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1D28A">
      <w:pPr>
        <w:spacing w:line="1000" w:lineRule="exact"/>
        <w:jc w:val="center"/>
        <w:rPr>
          <w:rFonts w:hint="eastAsia" w:ascii="宋体" w:hAnsi="宋体" w:cs="宋体"/>
          <w:color w:val="auto"/>
          <w:sz w:val="30"/>
          <w:szCs w:val="30"/>
          <w:highlight w:val="none"/>
        </w:rPr>
      </w:pPr>
    </w:p>
    <w:p w14:paraId="747158F0">
      <w:pPr>
        <w:spacing w:line="1000" w:lineRule="exact"/>
        <w:jc w:val="center"/>
        <w:rPr>
          <w:rFonts w:hint="eastAsia" w:ascii="宋体" w:hAnsi="宋体" w:cs="宋体"/>
          <w:color w:val="auto"/>
          <w:sz w:val="30"/>
          <w:szCs w:val="30"/>
          <w:highlight w:val="none"/>
        </w:rPr>
      </w:pPr>
    </w:p>
    <w:p w14:paraId="52800EDC">
      <w:pPr>
        <w:spacing w:line="1000" w:lineRule="exact"/>
        <w:jc w:val="center"/>
        <w:rPr>
          <w:rFonts w:hint="eastAsia" w:ascii="宋体" w:hAnsi="宋体" w:cs="宋体"/>
          <w:b/>
          <w:bCs/>
          <w:color w:val="auto"/>
          <w:sz w:val="40"/>
          <w:szCs w:val="40"/>
          <w:highlight w:val="none"/>
        </w:rPr>
      </w:pPr>
      <w:r>
        <w:rPr>
          <w:rFonts w:hint="eastAsia" w:ascii="宋体" w:hAnsi="宋体" w:cs="宋体"/>
          <w:b/>
          <w:bCs/>
          <w:color w:val="auto"/>
          <w:sz w:val="40"/>
          <w:szCs w:val="40"/>
          <w:highlight w:val="none"/>
        </w:rPr>
        <w:t>网上竞采文件</w:t>
      </w:r>
    </w:p>
    <w:p w14:paraId="55CF73D7">
      <w:pPr>
        <w:pStyle w:val="5"/>
        <w:spacing w:line="560" w:lineRule="exact"/>
        <w:rPr>
          <w:rFonts w:hint="eastAsia" w:ascii="宋体" w:hAnsi="宋体" w:eastAsia="宋体" w:cs="宋体"/>
          <w:color w:val="auto"/>
          <w:sz w:val="36"/>
          <w:szCs w:val="30"/>
          <w:highlight w:val="none"/>
        </w:rPr>
      </w:pPr>
    </w:p>
    <w:p w14:paraId="562E4BF5">
      <w:pPr>
        <w:pStyle w:val="14"/>
        <w:jc w:val="center"/>
        <w:rPr>
          <w:rFonts w:hint="eastAsia" w:ascii="宋体" w:hAnsi="宋体" w:cs="宋体"/>
          <w:color w:val="auto"/>
          <w:highlight w:val="none"/>
        </w:rPr>
      </w:pPr>
      <w:bookmarkStart w:id="437" w:name="_GoBack"/>
      <w:bookmarkEnd w:id="437"/>
    </w:p>
    <w:p w14:paraId="41178E13">
      <w:pPr>
        <w:pStyle w:val="5"/>
        <w:spacing w:line="560" w:lineRule="exact"/>
        <w:rPr>
          <w:rFonts w:hint="eastAsia" w:ascii="宋体" w:hAnsi="宋体" w:eastAsia="宋体" w:cs="宋体"/>
          <w:color w:val="auto"/>
          <w:sz w:val="36"/>
          <w:szCs w:val="30"/>
          <w:highlight w:val="none"/>
        </w:rPr>
      </w:pPr>
    </w:p>
    <w:p w14:paraId="76B39A40">
      <w:pPr>
        <w:pStyle w:val="6"/>
        <w:rPr>
          <w:rFonts w:hint="eastAsia" w:ascii="宋体" w:hAnsi="宋体" w:eastAsia="宋体" w:cs="宋体"/>
          <w:color w:val="auto"/>
          <w:sz w:val="36"/>
          <w:szCs w:val="30"/>
          <w:highlight w:val="none"/>
        </w:rPr>
      </w:pPr>
    </w:p>
    <w:p w14:paraId="4246565C">
      <w:pPr>
        <w:rPr>
          <w:rFonts w:hint="eastAsia"/>
        </w:rPr>
      </w:pPr>
    </w:p>
    <w:p w14:paraId="39C28828">
      <w:pPr>
        <w:spacing w:line="560" w:lineRule="exact"/>
        <w:rPr>
          <w:rFonts w:hint="eastAsia" w:ascii="宋体" w:hAnsi="宋体" w:cs="宋体"/>
          <w:color w:val="auto"/>
          <w:sz w:val="32"/>
          <w:szCs w:val="32"/>
          <w:highlight w:val="none"/>
        </w:rPr>
      </w:pPr>
    </w:p>
    <w:p w14:paraId="15DE1F30">
      <w:pPr>
        <w:spacing w:line="560" w:lineRule="exact"/>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采购项目编号：</w:t>
      </w:r>
    </w:p>
    <w:p w14:paraId="6EBD5313">
      <w:pPr>
        <w:snapToGrid w:val="0"/>
        <w:spacing w:line="540" w:lineRule="exact"/>
        <w:ind w:left="2240" w:hanging="2240" w:hangingChars="700"/>
        <w:jc w:val="left"/>
        <w:rPr>
          <w:rFonts w:hint="default" w:ascii="宋体" w:hAnsi="宋体" w:cs="宋体"/>
          <w:color w:val="auto"/>
          <w:sz w:val="32"/>
          <w:szCs w:val="32"/>
          <w:highlight w:val="none"/>
          <w:lang w:val="en-US" w:eastAsia="zh-CN"/>
        </w:rPr>
      </w:pPr>
      <w:r>
        <w:rPr>
          <w:rFonts w:hint="eastAsia" w:ascii="宋体" w:hAnsi="宋体" w:cs="宋体"/>
          <w:color w:val="auto"/>
          <w:sz w:val="32"/>
          <w:szCs w:val="32"/>
          <w:highlight w:val="none"/>
        </w:rPr>
        <w:t>采购项目名称：</w:t>
      </w:r>
      <w:r>
        <w:rPr>
          <w:rFonts w:hint="eastAsia" w:ascii="宋体" w:hAnsi="宋体" w:cs="宋体"/>
          <w:color w:val="auto"/>
          <w:sz w:val="32"/>
          <w:szCs w:val="32"/>
          <w:highlight w:val="none"/>
          <w:lang w:val="en-US" w:eastAsia="zh-CN"/>
        </w:rPr>
        <w:t>重庆市石柱县2025-2026年松材线虫病县级验收服务</w:t>
      </w:r>
    </w:p>
    <w:p w14:paraId="661CBDA4">
      <w:pPr>
        <w:spacing w:line="560" w:lineRule="exact"/>
        <w:ind w:left="3198" w:leftChars="342" w:hanging="2240" w:hangingChars="700"/>
        <w:rPr>
          <w:rFonts w:hint="eastAsia" w:ascii="宋体" w:hAnsi="宋体" w:cs="宋体"/>
          <w:color w:val="auto"/>
          <w:sz w:val="32"/>
          <w:szCs w:val="32"/>
          <w:highlight w:val="none"/>
        </w:rPr>
      </w:pPr>
    </w:p>
    <w:p w14:paraId="5D65016D">
      <w:pPr>
        <w:spacing w:line="560" w:lineRule="exact"/>
        <w:jc w:val="both"/>
        <w:rPr>
          <w:rFonts w:hint="eastAsia" w:ascii="宋体" w:hAnsi="宋体" w:cs="宋体"/>
          <w:color w:val="auto"/>
          <w:sz w:val="32"/>
          <w:szCs w:val="32"/>
          <w:highlight w:val="none"/>
        </w:rPr>
      </w:pPr>
    </w:p>
    <w:p w14:paraId="34A686B7">
      <w:pPr>
        <w:spacing w:line="560" w:lineRule="exact"/>
        <w:ind w:firstLine="3200" w:firstLineChars="1000"/>
        <w:jc w:val="center"/>
        <w:rPr>
          <w:rFonts w:hint="eastAsia" w:ascii="宋体" w:hAnsi="宋体" w:cs="宋体"/>
          <w:color w:val="auto"/>
          <w:sz w:val="32"/>
          <w:szCs w:val="32"/>
          <w:highlight w:val="none"/>
        </w:rPr>
      </w:pPr>
    </w:p>
    <w:p w14:paraId="44EFB80E">
      <w:pPr>
        <w:pStyle w:val="5"/>
        <w:rPr>
          <w:rFonts w:hint="eastAsia" w:ascii="宋体" w:hAnsi="宋体" w:eastAsia="宋体" w:cs="宋体"/>
          <w:color w:val="auto"/>
          <w:highlight w:val="none"/>
        </w:rPr>
      </w:pPr>
    </w:p>
    <w:p w14:paraId="29C61FFA">
      <w:pPr>
        <w:spacing w:line="560" w:lineRule="exact"/>
        <w:ind w:firstLine="0" w:firstLineChars="0"/>
        <w:jc w:val="both"/>
        <w:rPr>
          <w:rFonts w:hint="eastAsia" w:ascii="宋体" w:hAnsi="宋体" w:cs="宋体"/>
          <w:color w:val="auto"/>
          <w:sz w:val="32"/>
          <w:szCs w:val="32"/>
          <w:highlight w:val="none"/>
        </w:rPr>
      </w:pPr>
    </w:p>
    <w:p w14:paraId="46949813">
      <w:pPr>
        <w:spacing w:line="560" w:lineRule="exact"/>
        <w:jc w:val="center"/>
        <w:rPr>
          <w:rFonts w:hint="eastAsia" w:ascii="宋体" w:hAnsi="宋体" w:cs="宋体"/>
          <w:color w:val="auto"/>
          <w:sz w:val="32"/>
          <w:szCs w:val="32"/>
          <w:highlight w:val="none"/>
        </w:rPr>
      </w:pPr>
    </w:p>
    <w:p w14:paraId="08996931">
      <w:pPr>
        <w:spacing w:line="560" w:lineRule="exact"/>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eastAsia="zh-CN"/>
        </w:rPr>
        <w:t>重庆市</w:t>
      </w:r>
      <w:r>
        <w:rPr>
          <w:rFonts w:hint="eastAsia" w:ascii="宋体" w:hAnsi="宋体" w:cs="宋体"/>
          <w:color w:val="auto"/>
          <w:sz w:val="32"/>
          <w:szCs w:val="32"/>
          <w:highlight w:val="none"/>
          <w:lang w:val="en-US" w:eastAsia="zh-CN"/>
        </w:rPr>
        <w:t>石柱县</w:t>
      </w:r>
      <w:r>
        <w:rPr>
          <w:rFonts w:hint="eastAsia" w:ascii="宋体" w:hAnsi="宋体" w:cs="宋体"/>
          <w:color w:val="auto"/>
          <w:sz w:val="32"/>
          <w:szCs w:val="32"/>
          <w:highlight w:val="none"/>
          <w:lang w:eastAsia="zh-CN"/>
        </w:rPr>
        <w:t>林业局</w:t>
      </w:r>
    </w:p>
    <w:p w14:paraId="6A914957">
      <w:pPr>
        <w:spacing w:line="560" w:lineRule="exact"/>
        <w:jc w:val="center"/>
        <w:rPr>
          <w:rFonts w:hint="default" w:ascii="宋体" w:hAnsi="宋体" w:cs="宋体"/>
          <w:color w:val="auto"/>
          <w:highlight w:val="none"/>
          <w:lang w:val="en-US"/>
        </w:rPr>
        <w:sectPr>
          <w:headerReference r:id="rId3" w:type="first"/>
          <w:footerReference r:id="rId5" w:type="first"/>
          <w:footerReference r:id="rId4" w:type="even"/>
          <w:pgSz w:w="11907" w:h="16840"/>
          <w:pgMar w:top="1134" w:right="1191" w:bottom="1134" w:left="1304" w:header="851" w:footer="992" w:gutter="0"/>
          <w:pgNumType w:fmt="numberInDash" w:start="1"/>
          <w:cols w:space="720" w:num="1"/>
          <w:docGrid w:linePitch="380" w:charSpace="-5735"/>
        </w:sectPr>
      </w:pPr>
      <w:r>
        <w:rPr>
          <w:rFonts w:hint="eastAsia" w:ascii="宋体" w:hAnsi="宋体" w:cs="宋体"/>
          <w:color w:val="auto"/>
          <w:sz w:val="32"/>
          <w:szCs w:val="32"/>
          <w:highlight w:val="none"/>
        </w:rPr>
        <w:t>二〇二</w:t>
      </w:r>
      <w:r>
        <w:rPr>
          <w:rFonts w:hint="eastAsia" w:ascii="宋体" w:hAnsi="宋体" w:cs="宋体"/>
          <w:color w:val="auto"/>
          <w:sz w:val="32"/>
          <w:szCs w:val="32"/>
          <w:highlight w:val="none"/>
          <w:lang w:val="en-US" w:eastAsia="zh-CN"/>
        </w:rPr>
        <w:t>六</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四</w:t>
      </w:r>
      <w:r>
        <w:rPr>
          <w:rFonts w:hint="eastAsia" w:ascii="宋体" w:hAnsi="宋体" w:cs="宋体"/>
          <w:color w:val="auto"/>
          <w:sz w:val="32"/>
          <w:szCs w:val="32"/>
          <w:highlight w:val="none"/>
        </w:rPr>
        <w:t>月</w:t>
      </w:r>
      <w:r>
        <w:rPr>
          <w:rFonts w:hint="eastAsia" w:ascii="宋体" w:hAnsi="宋体" w:cs="宋体"/>
          <w:color w:val="auto"/>
          <w:sz w:val="32"/>
          <w:szCs w:val="32"/>
          <w:highlight w:val="none"/>
          <w:lang w:val="en-US" w:eastAsia="zh-CN"/>
        </w:rPr>
        <w:t>二十八日</w:t>
      </w:r>
    </w:p>
    <w:p w14:paraId="51D2993F">
      <w:pPr>
        <w:pStyle w:val="13"/>
        <w:keepLines/>
        <w:tabs>
          <w:tab w:val="right" w:leader="dot" w:pos="9412"/>
        </w:tabs>
        <w:wordWrap w:val="0"/>
        <w:topLinePunct/>
        <w:adjustRightInd w:val="0"/>
        <w:snapToGrid w:val="0"/>
        <w:spacing w:line="560" w:lineRule="exact"/>
        <w:ind w:left="0" w:leftChars="0" w:firstLine="0" w:firstLineChars="0"/>
        <w:jc w:val="both"/>
        <w:outlineLvl w:val="0"/>
        <w:rPr>
          <w:rFonts w:hint="eastAsia" w:ascii="宋体" w:hAnsi="宋体" w:cs="宋体"/>
          <w:b/>
          <w:color w:val="auto"/>
          <w:sz w:val="36"/>
          <w:szCs w:val="30"/>
          <w:highlight w:val="none"/>
        </w:rPr>
      </w:pPr>
      <w:bookmarkStart w:id="0" w:name="_Toc5205"/>
      <w:bookmarkStart w:id="1" w:name="_Toc31269"/>
      <w:bookmarkStart w:id="2" w:name="_Toc32068"/>
      <w:bookmarkStart w:id="3" w:name="_Toc22533"/>
      <w:bookmarkStart w:id="4" w:name="_Toc10945"/>
      <w:bookmarkStart w:id="5" w:name="_Toc74"/>
      <w:bookmarkStart w:id="6" w:name="_Toc12789052"/>
      <w:bookmarkStart w:id="7" w:name="_Toc18722"/>
      <w:bookmarkStart w:id="8" w:name="_Toc11641050"/>
      <w:r>
        <w:rPr>
          <w:rFonts w:hint="eastAsia" w:ascii="宋体" w:hAnsi="宋体" w:cs="宋体"/>
          <w:b/>
          <w:color w:val="auto"/>
          <w:sz w:val="36"/>
          <w:szCs w:val="30"/>
          <w:highlight w:val="none"/>
        </w:rPr>
        <w:t>第一篇  采购邀请书</w:t>
      </w:r>
      <w:bookmarkEnd w:id="0"/>
      <w:bookmarkEnd w:id="1"/>
      <w:bookmarkEnd w:id="2"/>
      <w:bookmarkEnd w:id="3"/>
      <w:bookmarkEnd w:id="4"/>
      <w:bookmarkEnd w:id="5"/>
      <w:bookmarkEnd w:id="6"/>
      <w:bookmarkEnd w:id="7"/>
      <w:bookmarkEnd w:id="8"/>
    </w:p>
    <w:p w14:paraId="5C15D33F">
      <w:pPr>
        <w:rPr>
          <w:rFonts w:hint="eastAsia" w:ascii="宋体" w:hAnsi="宋体" w:cs="宋体"/>
          <w:color w:val="auto"/>
          <w:highlight w:val="none"/>
        </w:rPr>
      </w:pPr>
    </w:p>
    <w:p w14:paraId="36C37592">
      <w:pPr>
        <w:snapToGrid w:val="0"/>
        <w:spacing w:line="54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重庆市石柱县林业局</w:t>
      </w:r>
      <w:r>
        <w:rPr>
          <w:rFonts w:hint="eastAsia" w:ascii="宋体" w:hAnsi="宋体" w:cs="宋体"/>
          <w:color w:val="auto"/>
          <w:sz w:val="24"/>
          <w:szCs w:val="24"/>
          <w:highlight w:val="none"/>
        </w:rPr>
        <w:t>的委托，对</w:t>
      </w:r>
      <w:r>
        <w:rPr>
          <w:rFonts w:hint="eastAsia" w:ascii="宋体" w:hAnsi="宋体" w:cs="宋体"/>
          <w:color w:val="auto"/>
          <w:sz w:val="24"/>
          <w:szCs w:val="24"/>
          <w:highlight w:val="none"/>
          <w:u w:val="single"/>
          <w:lang w:eastAsia="zh-CN"/>
        </w:rPr>
        <w:t>重庆市石柱县2025-2026年松材线虫病除治验收项目服务</w:t>
      </w:r>
      <w:r>
        <w:rPr>
          <w:rFonts w:hint="eastAsia" w:ascii="宋体" w:hAnsi="宋体" w:cs="宋体"/>
          <w:color w:val="auto"/>
          <w:sz w:val="24"/>
          <w:szCs w:val="24"/>
          <w:highlight w:val="none"/>
        </w:rPr>
        <w:t>进行网上竞采。欢迎有资格的供应商前来参加报价。</w:t>
      </w:r>
    </w:p>
    <w:p w14:paraId="4A97313E">
      <w:pPr>
        <w:pStyle w:val="3"/>
        <w:spacing w:before="0" w:after="0" w:line="560" w:lineRule="exact"/>
        <w:rPr>
          <w:rFonts w:hint="eastAsia" w:ascii="宋体" w:hAnsi="宋体" w:eastAsia="宋体" w:cs="宋体"/>
          <w:color w:val="auto"/>
          <w:sz w:val="24"/>
          <w:szCs w:val="24"/>
          <w:highlight w:val="none"/>
        </w:rPr>
      </w:pPr>
      <w:bookmarkStart w:id="9" w:name="_Toc10601"/>
      <w:bookmarkStart w:id="10" w:name="_Toc27272"/>
      <w:bookmarkStart w:id="11" w:name="_Toc4378"/>
      <w:bookmarkStart w:id="12" w:name="_Toc317775175"/>
      <w:bookmarkStart w:id="13" w:name="_Toc313893526"/>
      <w:bookmarkStart w:id="14" w:name="_Toc20812"/>
      <w:bookmarkStart w:id="15" w:name="_Toc9602"/>
      <w:bookmarkStart w:id="16" w:name="_Toc21626"/>
      <w:bookmarkStart w:id="17" w:name="_Toc18167"/>
      <w:r>
        <w:rPr>
          <w:rFonts w:hint="eastAsia" w:ascii="宋体" w:hAnsi="宋体" w:eastAsia="宋体" w:cs="宋体"/>
          <w:color w:val="auto"/>
          <w:sz w:val="24"/>
          <w:szCs w:val="24"/>
          <w:highlight w:val="none"/>
        </w:rPr>
        <w:t>一、竞采内容</w:t>
      </w:r>
      <w:bookmarkEnd w:id="9"/>
      <w:bookmarkEnd w:id="10"/>
      <w:bookmarkEnd w:id="11"/>
      <w:bookmarkEnd w:id="12"/>
      <w:bookmarkEnd w:id="13"/>
      <w:bookmarkEnd w:id="14"/>
      <w:bookmarkEnd w:id="15"/>
      <w:bookmarkEnd w:id="16"/>
      <w:bookmarkEnd w:id="17"/>
    </w:p>
    <w:tbl>
      <w:tblPr>
        <w:tblStyle w:val="16"/>
        <w:tblW w:w="0" w:type="auto"/>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0"/>
        <w:gridCol w:w="2130"/>
        <w:gridCol w:w="1830"/>
        <w:gridCol w:w="1868"/>
      </w:tblGrid>
      <w:tr w14:paraId="6E67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3630" w:type="dxa"/>
            <w:tcBorders>
              <w:top w:val="single" w:color="auto" w:sz="4" w:space="0"/>
              <w:left w:val="single" w:color="auto" w:sz="4" w:space="0"/>
              <w:right w:val="single" w:color="auto" w:sz="4" w:space="0"/>
            </w:tcBorders>
            <w:noWrap w:val="0"/>
            <w:vAlign w:val="center"/>
          </w:tcPr>
          <w:p w14:paraId="755D61FE">
            <w:pPr>
              <w:widowControl/>
              <w:snapToGrid w:val="0"/>
              <w:spacing w:line="560" w:lineRule="exact"/>
              <w:jc w:val="center"/>
              <w:textAlignment w:val="baseline"/>
              <w:rPr>
                <w:rFonts w:hint="eastAsia" w:ascii="宋体" w:hAnsi="宋体" w:cs="宋体"/>
                <w:b/>
                <w:bCs/>
                <w:color w:val="auto"/>
                <w:kern w:val="0"/>
                <w:sz w:val="24"/>
                <w:szCs w:val="24"/>
                <w:highlight w:val="none"/>
              </w:rPr>
            </w:pPr>
            <w:bookmarkStart w:id="18" w:name="_Toc17400"/>
            <w:bookmarkStart w:id="19" w:name="_Toc373860293"/>
            <w:bookmarkStart w:id="20" w:name="_Toc317775178"/>
            <w:r>
              <w:rPr>
                <w:rFonts w:hint="eastAsia" w:ascii="宋体" w:hAnsi="宋体" w:cs="宋体"/>
                <w:b/>
                <w:bCs/>
                <w:color w:val="auto"/>
                <w:kern w:val="0"/>
                <w:sz w:val="24"/>
                <w:szCs w:val="24"/>
                <w:highlight w:val="none"/>
              </w:rPr>
              <w:t>项目名称</w:t>
            </w:r>
          </w:p>
        </w:tc>
        <w:tc>
          <w:tcPr>
            <w:tcW w:w="2130" w:type="dxa"/>
            <w:tcBorders>
              <w:top w:val="single" w:color="auto" w:sz="4" w:space="0"/>
              <w:left w:val="single" w:color="auto" w:sz="4" w:space="0"/>
              <w:right w:val="single" w:color="auto" w:sz="4" w:space="0"/>
            </w:tcBorders>
            <w:noWrap w:val="0"/>
            <w:vAlign w:val="center"/>
          </w:tcPr>
          <w:p w14:paraId="3A36506C">
            <w:pPr>
              <w:spacing w:line="56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最高限价（元）</w:t>
            </w:r>
          </w:p>
        </w:tc>
        <w:tc>
          <w:tcPr>
            <w:tcW w:w="1830" w:type="dxa"/>
            <w:tcBorders>
              <w:top w:val="single" w:color="auto" w:sz="4" w:space="0"/>
              <w:left w:val="single" w:color="auto" w:sz="4" w:space="0"/>
              <w:right w:val="single" w:color="auto" w:sz="4" w:space="0"/>
            </w:tcBorders>
            <w:noWrap w:val="0"/>
            <w:vAlign w:val="center"/>
          </w:tcPr>
          <w:p w14:paraId="6C6584B8">
            <w:pPr>
              <w:snapToGrid w:val="0"/>
              <w:spacing w:line="560" w:lineRule="exact"/>
              <w:jc w:val="center"/>
              <w:textAlignment w:val="baseline"/>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成交供应商数量（名）</w:t>
            </w:r>
          </w:p>
        </w:tc>
        <w:tc>
          <w:tcPr>
            <w:tcW w:w="1868" w:type="dxa"/>
            <w:tcBorders>
              <w:top w:val="single" w:color="auto" w:sz="4" w:space="0"/>
              <w:left w:val="single" w:color="auto" w:sz="4" w:space="0"/>
              <w:right w:val="single" w:color="auto" w:sz="4" w:space="0"/>
            </w:tcBorders>
            <w:noWrap w:val="0"/>
            <w:vAlign w:val="center"/>
          </w:tcPr>
          <w:p w14:paraId="2496E8C3">
            <w:pPr>
              <w:snapToGrid w:val="0"/>
              <w:spacing w:line="560" w:lineRule="exact"/>
              <w:jc w:val="center"/>
              <w:textAlignment w:val="baseline"/>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备注</w:t>
            </w:r>
          </w:p>
        </w:tc>
      </w:tr>
      <w:tr w14:paraId="5749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630" w:type="dxa"/>
            <w:tcBorders>
              <w:top w:val="single" w:color="auto" w:sz="4" w:space="0"/>
              <w:left w:val="single" w:color="auto" w:sz="4" w:space="0"/>
              <w:right w:val="single" w:color="auto" w:sz="4" w:space="0"/>
            </w:tcBorders>
            <w:noWrap w:val="0"/>
            <w:vAlign w:val="center"/>
          </w:tcPr>
          <w:p w14:paraId="7433A0A1">
            <w:pPr>
              <w:widowControl/>
              <w:snapToGrid w:val="0"/>
              <w:spacing w:line="360" w:lineRule="auto"/>
              <w:jc w:val="left"/>
              <w:textAlignment w:val="baseline"/>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eastAsia="zh-CN"/>
              </w:rPr>
              <w:t>重庆市石柱县2025-2026年松材线虫线虫病除治验收项目服务</w:t>
            </w:r>
          </w:p>
        </w:tc>
        <w:tc>
          <w:tcPr>
            <w:tcW w:w="2130" w:type="dxa"/>
            <w:tcBorders>
              <w:top w:val="single" w:color="auto" w:sz="4" w:space="0"/>
              <w:left w:val="single" w:color="auto" w:sz="4" w:space="0"/>
              <w:right w:val="single" w:color="auto" w:sz="4" w:space="0"/>
            </w:tcBorders>
            <w:noWrap w:val="0"/>
            <w:vAlign w:val="center"/>
          </w:tcPr>
          <w:p w14:paraId="3DB64888">
            <w:pPr>
              <w:widowControl/>
              <w:snapToGrid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350000.00</w:t>
            </w:r>
          </w:p>
        </w:tc>
        <w:tc>
          <w:tcPr>
            <w:tcW w:w="1830" w:type="dxa"/>
            <w:tcBorders>
              <w:top w:val="single" w:color="auto" w:sz="4" w:space="0"/>
              <w:left w:val="single" w:color="auto" w:sz="4" w:space="0"/>
              <w:right w:val="single" w:color="auto" w:sz="4" w:space="0"/>
            </w:tcBorders>
            <w:noWrap w:val="0"/>
            <w:vAlign w:val="center"/>
          </w:tcPr>
          <w:p w14:paraId="4FF3860F">
            <w:pPr>
              <w:widowControl/>
              <w:snapToGrid w:val="0"/>
              <w:spacing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868" w:type="dxa"/>
            <w:tcBorders>
              <w:top w:val="single" w:color="auto" w:sz="4" w:space="0"/>
              <w:left w:val="single" w:color="auto" w:sz="4" w:space="0"/>
              <w:right w:val="single" w:color="auto" w:sz="4" w:space="0"/>
            </w:tcBorders>
            <w:noWrap w:val="0"/>
            <w:vAlign w:val="center"/>
          </w:tcPr>
          <w:p w14:paraId="01CFF20B">
            <w:pPr>
              <w:widowControl/>
              <w:snapToGrid w:val="0"/>
              <w:spacing w:line="360" w:lineRule="auto"/>
              <w:jc w:val="both"/>
              <w:textAlignment w:val="baseline"/>
              <w:rPr>
                <w:rFonts w:hint="eastAsia" w:ascii="宋体" w:hAnsi="宋体" w:eastAsia="宋体" w:cs="宋体"/>
                <w:color w:val="auto"/>
                <w:kern w:val="0"/>
                <w:sz w:val="24"/>
                <w:szCs w:val="24"/>
                <w:highlight w:val="none"/>
                <w:lang w:val="en-US" w:eastAsia="zh-CN"/>
              </w:rPr>
            </w:pPr>
          </w:p>
        </w:tc>
      </w:tr>
    </w:tbl>
    <w:p w14:paraId="4FBC4CCB">
      <w:pPr>
        <w:pStyle w:val="3"/>
        <w:adjustRightInd w:val="0"/>
        <w:snapToGrid w:val="0"/>
        <w:spacing w:before="0" w:after="0" w:line="360" w:lineRule="auto"/>
        <w:rPr>
          <w:rFonts w:hint="eastAsia" w:ascii="宋体" w:hAnsi="宋体" w:eastAsia="宋体" w:cs="宋体"/>
          <w:color w:val="auto"/>
          <w:sz w:val="24"/>
          <w:szCs w:val="24"/>
          <w:highlight w:val="none"/>
        </w:rPr>
      </w:pPr>
      <w:bookmarkStart w:id="21" w:name="_Toc32209"/>
      <w:bookmarkStart w:id="22" w:name="_Toc1425"/>
      <w:bookmarkStart w:id="23" w:name="_Toc21703"/>
      <w:bookmarkStart w:id="24" w:name="_Toc399"/>
      <w:bookmarkStart w:id="25" w:name="_Toc26164"/>
      <w:bookmarkStart w:id="26" w:name="_Toc21693"/>
      <w:r>
        <w:rPr>
          <w:rFonts w:hint="eastAsia" w:ascii="宋体" w:hAnsi="宋体" w:eastAsia="宋体" w:cs="宋体"/>
          <w:color w:val="auto"/>
          <w:sz w:val="24"/>
          <w:szCs w:val="24"/>
          <w:highlight w:val="none"/>
        </w:rPr>
        <w:t>二、资金来源</w:t>
      </w:r>
      <w:bookmarkEnd w:id="18"/>
      <w:bookmarkEnd w:id="21"/>
      <w:bookmarkEnd w:id="22"/>
      <w:bookmarkEnd w:id="23"/>
      <w:bookmarkEnd w:id="24"/>
      <w:bookmarkEnd w:id="25"/>
      <w:bookmarkEnd w:id="26"/>
    </w:p>
    <w:p w14:paraId="447B2A63">
      <w:pPr>
        <w:wordWrap w:val="0"/>
        <w:adjustRightInd w:val="0"/>
        <w:snapToGrid w:val="0"/>
        <w:spacing w:line="360" w:lineRule="auto"/>
        <w:ind w:firstLine="480" w:firstLineChars="200"/>
        <w:rPr>
          <w:rFonts w:hint="eastAsia" w:ascii="宋体" w:hAnsi="宋体" w:cs="宋体"/>
          <w:color w:val="auto"/>
          <w:sz w:val="24"/>
          <w:szCs w:val="24"/>
          <w:highlight w:val="none"/>
        </w:rPr>
      </w:pPr>
      <w:bookmarkStart w:id="27" w:name="_Toc8257"/>
      <w:bookmarkStart w:id="28" w:name="_Toc16773"/>
      <w:bookmarkStart w:id="29" w:name="_Toc396"/>
      <w:bookmarkStart w:id="30" w:name="_Toc10122"/>
      <w:bookmarkStart w:id="31" w:name="_Toc5830"/>
      <w:bookmarkStart w:id="32" w:name="_Toc27051"/>
      <w:r>
        <w:rPr>
          <w:rFonts w:hint="eastAsia" w:ascii="宋体" w:hAnsi="宋体" w:cs="宋体"/>
          <w:color w:val="auto"/>
          <w:sz w:val="24"/>
          <w:szCs w:val="24"/>
          <w:highlight w:val="none"/>
        </w:rPr>
        <w:t>财政预算资金。</w:t>
      </w:r>
      <w:bookmarkEnd w:id="27"/>
      <w:bookmarkEnd w:id="28"/>
      <w:bookmarkEnd w:id="29"/>
      <w:bookmarkEnd w:id="30"/>
      <w:bookmarkEnd w:id="31"/>
      <w:bookmarkEnd w:id="32"/>
    </w:p>
    <w:p w14:paraId="09A66037">
      <w:pPr>
        <w:pStyle w:val="3"/>
        <w:adjustRightInd w:val="0"/>
        <w:snapToGrid w:val="0"/>
        <w:spacing w:before="0" w:after="0" w:line="360" w:lineRule="auto"/>
        <w:rPr>
          <w:rFonts w:hint="eastAsia" w:ascii="宋体" w:hAnsi="宋体" w:eastAsia="宋体" w:cs="宋体"/>
          <w:color w:val="auto"/>
          <w:sz w:val="24"/>
          <w:szCs w:val="24"/>
          <w:highlight w:val="none"/>
        </w:rPr>
      </w:pPr>
      <w:bookmarkStart w:id="33" w:name="_Toc29329"/>
      <w:bookmarkStart w:id="34" w:name="_Toc10616"/>
      <w:bookmarkStart w:id="35" w:name="_Toc26549"/>
      <w:bookmarkStart w:id="36" w:name="_Toc3765"/>
      <w:bookmarkStart w:id="37" w:name="_Toc109"/>
      <w:bookmarkStart w:id="38" w:name="_Toc22715"/>
      <w:bookmarkStart w:id="39" w:name="_Toc26591"/>
      <w:r>
        <w:rPr>
          <w:rFonts w:hint="eastAsia" w:ascii="宋体" w:hAnsi="宋体" w:eastAsia="宋体" w:cs="宋体"/>
          <w:color w:val="auto"/>
          <w:sz w:val="24"/>
          <w:szCs w:val="24"/>
          <w:highlight w:val="none"/>
        </w:rPr>
        <w:t>三、供应商资格</w:t>
      </w:r>
      <w:bookmarkEnd w:id="33"/>
      <w:r>
        <w:rPr>
          <w:rFonts w:hint="eastAsia" w:ascii="宋体" w:hAnsi="宋体" w:eastAsia="宋体" w:cs="宋体"/>
          <w:color w:val="auto"/>
          <w:sz w:val="24"/>
          <w:szCs w:val="24"/>
          <w:highlight w:val="none"/>
        </w:rPr>
        <w:t>条件</w:t>
      </w:r>
      <w:bookmarkEnd w:id="34"/>
      <w:bookmarkEnd w:id="35"/>
      <w:bookmarkEnd w:id="36"/>
      <w:bookmarkEnd w:id="37"/>
      <w:bookmarkEnd w:id="38"/>
      <w:bookmarkEnd w:id="39"/>
    </w:p>
    <w:p w14:paraId="195E3968">
      <w:pPr>
        <w:adjustRightInd w:val="0"/>
        <w:snapToGrid w:val="0"/>
        <w:spacing w:line="360" w:lineRule="auto"/>
        <w:ind w:firstLine="480" w:firstLineChars="200"/>
        <w:rPr>
          <w:rFonts w:hint="eastAsia" w:ascii="宋体" w:hAnsi="宋体" w:cs="宋体"/>
          <w:color w:val="auto"/>
          <w:sz w:val="24"/>
          <w:szCs w:val="24"/>
          <w:highlight w:val="none"/>
        </w:rPr>
      </w:pPr>
      <w:bookmarkStart w:id="40" w:name="_Toc26204"/>
      <w:r>
        <w:rPr>
          <w:rFonts w:hint="eastAsia" w:ascii="宋体" w:hAnsi="宋体" w:cs="宋体"/>
          <w:color w:val="auto"/>
          <w:sz w:val="24"/>
          <w:szCs w:val="24"/>
          <w:highlight w:val="none"/>
        </w:rPr>
        <w:t>（一）满足《中华人民共和国政府采购法》第二十二条规定；</w:t>
      </w:r>
    </w:p>
    <w:p w14:paraId="31D12487">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（二）落实政府采购政策需满足的资格要求：无。</w:t>
      </w:r>
    </w:p>
    <w:p w14:paraId="79D979CD">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（三）本项目的特定资格要求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供应商须具备林业调查规划设计丙级及以上资质，并提供证书复印件并加盖单位鲜章</w:t>
      </w:r>
      <w:r>
        <w:rPr>
          <w:rFonts w:hint="eastAsia" w:ascii="宋体" w:hAnsi="宋体" w:cs="宋体"/>
          <w:color w:val="auto"/>
          <w:sz w:val="24"/>
          <w:szCs w:val="24"/>
          <w:highlight w:val="none"/>
          <w:lang w:val="en-US" w:eastAsia="zh-CN"/>
        </w:rPr>
        <w:t>。</w:t>
      </w:r>
    </w:p>
    <w:p w14:paraId="1398EBCB">
      <w:pPr>
        <w:pStyle w:val="3"/>
        <w:adjustRightInd w:val="0"/>
        <w:snapToGrid w:val="0"/>
        <w:spacing w:before="0" w:after="0" w:line="360" w:lineRule="auto"/>
        <w:rPr>
          <w:rFonts w:hint="eastAsia" w:ascii="宋体" w:hAnsi="宋体" w:eastAsia="宋体" w:cs="宋体"/>
          <w:color w:val="auto"/>
          <w:sz w:val="24"/>
          <w:szCs w:val="24"/>
          <w:highlight w:val="none"/>
        </w:rPr>
      </w:pPr>
      <w:bookmarkStart w:id="41" w:name="_Toc6628"/>
      <w:bookmarkStart w:id="42" w:name="_Toc5345"/>
      <w:bookmarkStart w:id="43" w:name="_Toc18007"/>
      <w:bookmarkStart w:id="44" w:name="_Toc29171"/>
      <w:bookmarkStart w:id="45" w:name="_Toc31942"/>
      <w:bookmarkStart w:id="46" w:name="_Toc25830"/>
      <w:r>
        <w:rPr>
          <w:rFonts w:hint="eastAsia" w:ascii="宋体" w:hAnsi="宋体" w:eastAsia="宋体" w:cs="宋体"/>
          <w:color w:val="auto"/>
          <w:sz w:val="24"/>
          <w:szCs w:val="24"/>
          <w:highlight w:val="none"/>
        </w:rPr>
        <w:t>四、竞采有关说明</w:t>
      </w:r>
      <w:bookmarkEnd w:id="19"/>
      <w:bookmarkEnd w:id="40"/>
      <w:bookmarkEnd w:id="41"/>
      <w:bookmarkEnd w:id="42"/>
      <w:bookmarkEnd w:id="43"/>
      <w:bookmarkEnd w:id="44"/>
      <w:bookmarkEnd w:id="45"/>
      <w:bookmarkEnd w:id="46"/>
    </w:p>
    <w:p w14:paraId="296EF6BC">
      <w:pPr>
        <w:adjustRightInd w:val="0"/>
        <w:snapToGrid w:val="0"/>
        <w:spacing w:line="360" w:lineRule="auto"/>
        <w:ind w:firstLine="480" w:firstLineChars="200"/>
        <w:rPr>
          <w:rFonts w:hint="eastAsia" w:ascii="宋体" w:hAnsi="宋体" w:cs="宋体"/>
          <w:color w:val="auto"/>
          <w:sz w:val="24"/>
          <w:szCs w:val="24"/>
          <w:highlight w:val="none"/>
        </w:rPr>
      </w:pPr>
      <w:bookmarkStart w:id="47" w:name="_Toc478656823"/>
      <w:bookmarkStart w:id="48" w:name="_Toc19627"/>
      <w:bookmarkStart w:id="49" w:name="_Toc373860294"/>
      <w:r>
        <w:rPr>
          <w:rFonts w:hint="eastAsia" w:ascii="宋体" w:hAnsi="宋体" w:cs="宋体"/>
          <w:color w:val="auto"/>
          <w:sz w:val="24"/>
          <w:szCs w:val="24"/>
          <w:highlight w:val="none"/>
        </w:rPr>
        <w:t>（一）供应商需通过重庆市政府采购网（https://www.ccgp-chongqing.gov.cn/）进行注册，登记加入“重庆市政府采购供应商库”。</w:t>
      </w:r>
    </w:p>
    <w:p w14:paraId="72C3792F">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（二）凡有意参加竞采的供应商，请于公告发布之日（</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日）起至报名截止时间之前，在重庆市政府采购云平台·网上竞采（https://xj.ccgp-chongqing.gov.cn/ge/）网上下载查看本项目需求文件以及变更公告等竞采前公布的所有项目资料，无论供应商下载查看与否，均视为已知晓所有竞采实质性要求内容。</w:t>
      </w:r>
    </w:p>
    <w:p w14:paraId="50C9E02A">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（三）采购公告期限：自采购公告发布之日起三个工作日。</w:t>
      </w:r>
    </w:p>
    <w:p w14:paraId="679CF56F">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（四）报名方式</w:t>
      </w:r>
    </w:p>
    <w:p w14:paraId="6C96A5E9">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1.报名时间：</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9：00——</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00时。</w:t>
      </w:r>
    </w:p>
    <w:p w14:paraId="56EF2996">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2.网上报价及上传响应文件电子档时间：</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9：00——</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00时。</w:t>
      </w:r>
    </w:p>
    <w:p w14:paraId="3FF19B34">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mailto:，供应商将文件购买费转入下侧二维码中，转账时注明\“供应商简称-大佛寺配电房改造工程（可简写）\”，并将《报名登记表》（格式详见附件）填写完整加盖供应商公章扫描后同询比文件购买费转账截图一起发送至指定邮箱（283927784@qq.com）。"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供应商将《报名登记表》（格式详见附件1）填写完整加盖供应商公章扫描后</w:t>
      </w:r>
      <w:r>
        <w:rPr>
          <w:rFonts w:hint="eastAsia" w:ascii="宋体" w:hAnsi="宋体" w:cs="宋体"/>
          <w:b/>
          <w:bCs/>
          <w:color w:val="auto"/>
          <w:sz w:val="24"/>
          <w:szCs w:val="24"/>
          <w:highlight w:val="none"/>
          <w:lang w:val="en-US" w:eastAsia="zh-CN"/>
        </w:rPr>
        <w:t>形成一个文件并命名单位名称+项目名称</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发送至指定邮箱（</w:t>
      </w:r>
      <w:r>
        <w:rPr>
          <w:rFonts w:hint="eastAsia" w:ascii="宋体" w:hAnsi="宋体" w:cs="宋体"/>
          <w:color w:val="auto"/>
          <w:sz w:val="24"/>
          <w:szCs w:val="24"/>
          <w:highlight w:val="none"/>
          <w:lang w:val="en-US" w:eastAsia="zh-CN"/>
        </w:rPr>
        <w:t>707449729</w:t>
      </w:r>
      <w:r>
        <w:rPr>
          <w:rFonts w:hint="eastAsia" w:ascii="宋体" w:hAnsi="宋体" w:eastAsia="宋体" w:cs="宋体"/>
          <w:color w:val="auto"/>
          <w:sz w:val="24"/>
          <w:szCs w:val="24"/>
          <w:highlight w:val="none"/>
        </w:rPr>
        <w:t>@qq.com</w:t>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end"/>
      </w:r>
    </w:p>
    <w:p w14:paraId="5238043D">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4.供应商请自行下载网上竞采文件并编制响应文件，在采购文件规定的时间内，将签字盖章完毕的响应文件电子档上传至重庆市政府采购云平台·网上竞采（https://xj.ccgp-chongqing.gov.cn/ge/</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并完成报价。</w:t>
      </w:r>
    </w:p>
    <w:p w14:paraId="48F28790">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（五）供应商须满足以下三种要求，其响应文件</w:t>
      </w:r>
      <w:r>
        <w:rPr>
          <w:rFonts w:hint="eastAsia" w:ascii="宋体" w:hAnsi="宋体" w:cs="宋体"/>
          <w:color w:val="auto"/>
          <w:sz w:val="24"/>
          <w:szCs w:val="24"/>
          <w:highlight w:val="none"/>
          <w:lang w:eastAsia="zh-CN"/>
        </w:rPr>
        <w:t>才能</w:t>
      </w:r>
      <w:r>
        <w:rPr>
          <w:rFonts w:hint="eastAsia" w:ascii="宋体" w:hAnsi="宋体" w:cs="宋体"/>
          <w:color w:val="auto"/>
          <w:sz w:val="24"/>
          <w:szCs w:val="24"/>
          <w:highlight w:val="none"/>
        </w:rPr>
        <w:t>被接受：</w:t>
      </w:r>
    </w:p>
    <w:p w14:paraId="53B6D4FF">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1.按时在重庆市政府采购云平台-网上竞采中心报价，并上传响应文件；</w:t>
      </w:r>
    </w:p>
    <w:p w14:paraId="4DD7A9C8">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2.按要求完成报名。</w:t>
      </w:r>
    </w:p>
    <w:bookmarkEnd w:id="47"/>
    <w:bookmarkEnd w:id="48"/>
    <w:bookmarkEnd w:id="49"/>
    <w:p w14:paraId="5DFAB218">
      <w:pPr>
        <w:pStyle w:val="3"/>
        <w:adjustRightInd w:val="0"/>
        <w:snapToGrid w:val="0"/>
        <w:spacing w:before="0" w:after="0" w:line="360" w:lineRule="auto"/>
        <w:rPr>
          <w:rFonts w:hint="eastAsia" w:ascii="宋体" w:hAnsi="宋体" w:eastAsia="宋体" w:cs="宋体"/>
          <w:color w:val="auto"/>
          <w:sz w:val="24"/>
          <w:szCs w:val="24"/>
          <w:highlight w:val="none"/>
        </w:rPr>
      </w:pPr>
      <w:bookmarkStart w:id="50" w:name="_Toc479668114"/>
      <w:bookmarkStart w:id="51" w:name="_Toc14904"/>
      <w:bookmarkStart w:id="52" w:name="_Toc308"/>
      <w:bookmarkStart w:id="53" w:name="_Toc3174"/>
      <w:bookmarkStart w:id="54" w:name="_Toc488854696"/>
      <w:bookmarkStart w:id="55" w:name="_Toc8986"/>
      <w:bookmarkStart w:id="56" w:name="_Toc21342"/>
      <w:r>
        <w:rPr>
          <w:rFonts w:hint="eastAsia" w:ascii="宋体" w:hAnsi="宋体" w:eastAsia="宋体" w:cs="宋体"/>
          <w:color w:val="auto"/>
          <w:sz w:val="24"/>
          <w:szCs w:val="24"/>
          <w:highlight w:val="none"/>
        </w:rPr>
        <w:t>五、采购项目需落实的政府采购政策</w:t>
      </w:r>
      <w:bookmarkEnd w:id="50"/>
      <w:bookmarkEnd w:id="51"/>
      <w:bookmarkEnd w:id="52"/>
      <w:bookmarkEnd w:id="53"/>
      <w:bookmarkEnd w:id="54"/>
      <w:bookmarkEnd w:id="55"/>
    </w:p>
    <w:p w14:paraId="6B9A7FD4">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172084A1">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（二）按照《财政部 工业和信息化部关于印发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政府采购促进中小企业发展管理办法</w:t>
      </w:r>
      <w:r>
        <w:rPr>
          <w:rFonts w:hint="eastAsia" w:ascii="宋体" w:hAnsi="宋体" w:cs="宋体"/>
          <w:color w:val="auto"/>
          <w:sz w:val="24"/>
          <w:szCs w:val="24"/>
          <w:highlight w:val="none"/>
          <w:lang w:eastAsia="zh-CN"/>
        </w:rPr>
        <w:t>〉的通知》</w:t>
      </w:r>
      <w:r>
        <w:rPr>
          <w:rFonts w:hint="eastAsia" w:ascii="宋体" w:hAnsi="宋体" w:cs="宋体"/>
          <w:color w:val="auto"/>
          <w:sz w:val="24"/>
          <w:szCs w:val="24"/>
          <w:highlight w:val="none"/>
        </w:rPr>
        <w:t>（财库〔2020〕46号）的规定，落实促进中小企业发展政策。</w:t>
      </w:r>
    </w:p>
    <w:p w14:paraId="21C42DD7">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（三）按照</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财政部、司法部关于政府采购支持监狱企业发展有关问题的通知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（财库〔2014〕68号）的规定，落实支持监狱企业发展政策。</w:t>
      </w:r>
    </w:p>
    <w:p w14:paraId="292ACAAE">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（四）按照《三部门联合发布关于促进残疾人就业政府采购政策的通知》（财库</w:t>
      </w:r>
      <w:r>
        <w:rPr>
          <w:rFonts w:hint="eastAsia" w:ascii="宋体" w:hAnsi="宋体" w:cs="宋体"/>
          <w:color w:val="auto"/>
          <w:sz w:val="24"/>
          <w:szCs w:val="24"/>
          <w:highlight w:val="none"/>
          <w:lang w:eastAsia="zh-CN"/>
        </w:rPr>
        <w:t>〔2017〕141号</w:t>
      </w:r>
      <w:r>
        <w:rPr>
          <w:rFonts w:hint="eastAsia" w:ascii="宋体" w:hAnsi="宋体" w:cs="宋体"/>
          <w:color w:val="auto"/>
          <w:sz w:val="24"/>
          <w:szCs w:val="24"/>
          <w:highlight w:val="none"/>
        </w:rPr>
        <w:t>）的规定，落实支持残疾人福利性单位发展政策。</w:t>
      </w:r>
    </w:p>
    <w:p w14:paraId="08ECC926">
      <w:pPr>
        <w:pStyle w:val="3"/>
        <w:adjustRightInd w:val="0"/>
        <w:snapToGrid w:val="0"/>
        <w:spacing w:before="0" w:after="0" w:line="360" w:lineRule="auto"/>
        <w:rPr>
          <w:rFonts w:hint="eastAsia" w:ascii="宋体" w:hAnsi="宋体" w:eastAsia="宋体" w:cs="宋体"/>
          <w:color w:val="auto"/>
          <w:sz w:val="24"/>
          <w:szCs w:val="24"/>
          <w:highlight w:val="none"/>
        </w:rPr>
      </w:pPr>
      <w:bookmarkStart w:id="57" w:name="_Toc19031"/>
      <w:bookmarkStart w:id="58" w:name="_Toc12001"/>
      <w:bookmarkStart w:id="59" w:name="_Toc14613"/>
      <w:bookmarkStart w:id="60" w:name="_Toc12225"/>
      <w:bookmarkStart w:id="61" w:name="_Toc18125"/>
      <w:bookmarkStart w:id="62" w:name="_Toc11227"/>
      <w:r>
        <w:rPr>
          <w:rFonts w:hint="eastAsia" w:ascii="宋体" w:hAnsi="宋体" w:eastAsia="宋体" w:cs="宋体"/>
          <w:color w:val="auto"/>
          <w:sz w:val="24"/>
          <w:szCs w:val="24"/>
          <w:highlight w:val="none"/>
        </w:rPr>
        <w:t>六、</w:t>
      </w:r>
      <w:bookmarkEnd w:id="20"/>
      <w:r>
        <w:rPr>
          <w:rFonts w:hint="eastAsia" w:ascii="宋体" w:hAnsi="宋体" w:eastAsia="宋体" w:cs="宋体"/>
          <w:color w:val="auto"/>
          <w:sz w:val="24"/>
          <w:szCs w:val="24"/>
          <w:highlight w:val="none"/>
        </w:rPr>
        <w:t>其它有关规定</w:t>
      </w:r>
      <w:bookmarkEnd w:id="56"/>
      <w:bookmarkEnd w:id="57"/>
      <w:bookmarkEnd w:id="58"/>
      <w:bookmarkEnd w:id="59"/>
      <w:bookmarkEnd w:id="60"/>
      <w:bookmarkEnd w:id="61"/>
      <w:bookmarkEnd w:id="62"/>
    </w:p>
    <w:p w14:paraId="79A4571E">
      <w:pPr>
        <w:adjustRightInd w:val="0"/>
        <w:snapToGrid w:val="0"/>
        <w:spacing w:line="360" w:lineRule="auto"/>
        <w:ind w:firstLine="480" w:firstLineChars="200"/>
        <w:rPr>
          <w:rFonts w:hint="eastAsia" w:ascii="宋体" w:hAnsi="宋体" w:cs="宋体"/>
          <w:color w:val="auto"/>
          <w:sz w:val="24"/>
          <w:szCs w:val="24"/>
          <w:highlight w:val="none"/>
        </w:rPr>
      </w:pPr>
      <w:bookmarkStart w:id="63" w:name="_Toc22100"/>
      <w:r>
        <w:rPr>
          <w:rFonts w:hint="eastAsia" w:ascii="宋体" w:hAnsi="宋体" w:cs="宋体"/>
          <w:color w:val="auto"/>
          <w:sz w:val="24"/>
          <w:szCs w:val="24"/>
          <w:highlight w:val="none"/>
        </w:rPr>
        <w:t>（一）单位负责人为同一人或者存在直接控股、管理关系的不同供应商，不得参加同一合同项（分包）下的政府采购活动，否则均为无效响应。</w:t>
      </w:r>
    </w:p>
    <w:p w14:paraId="731EE66E">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（二）本项目的补遗文件（如果有）一律在重庆市政府采购云服务平台·网上竞采（https://www.chinazhyc.com/）发布；无论供应商下载与否，均视同供应商已知晓本项目补遗文件（如果有）的内容。</w:t>
      </w:r>
    </w:p>
    <w:p w14:paraId="3B3307B0">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（三）超过响应文件截止时间递交的响应文件，恕不接收。</w:t>
      </w:r>
    </w:p>
    <w:p w14:paraId="3DD07E23">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（四）竞采费用：无论竞采结果如何，供应商参与本项目竞采的所有费用均应由供应商自行承担。</w:t>
      </w:r>
    </w:p>
    <w:p w14:paraId="51B71672">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（五）本项目不接受联合体参与竞采。</w:t>
      </w:r>
    </w:p>
    <w:p w14:paraId="727429D7">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（六）本项目不接受合同分包。</w:t>
      </w:r>
    </w:p>
    <w:p w14:paraId="4ABE3BC2">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7E71E75">
      <w:pPr>
        <w:pStyle w:val="3"/>
        <w:adjustRightInd w:val="0"/>
        <w:snapToGrid w:val="0"/>
        <w:spacing w:before="0" w:after="0" w:line="360" w:lineRule="auto"/>
        <w:rPr>
          <w:rFonts w:hint="eastAsia" w:ascii="宋体" w:hAnsi="宋体" w:eastAsia="宋体" w:cs="宋体"/>
          <w:b w:val="0"/>
          <w:color w:val="auto"/>
          <w:sz w:val="24"/>
          <w:szCs w:val="24"/>
          <w:highlight w:val="none"/>
        </w:rPr>
      </w:pPr>
      <w:bookmarkStart w:id="64" w:name="_Toc13495"/>
      <w:bookmarkStart w:id="65" w:name="_Toc3212"/>
      <w:bookmarkStart w:id="66" w:name="_Toc16408"/>
      <w:bookmarkStart w:id="67" w:name="_Toc23589"/>
      <w:bookmarkStart w:id="68" w:name="_Toc16011"/>
      <w:bookmarkStart w:id="69" w:name="_Toc25975"/>
      <w:r>
        <w:rPr>
          <w:rFonts w:hint="eastAsia" w:ascii="宋体" w:hAnsi="宋体" w:eastAsia="宋体" w:cs="宋体"/>
          <w:color w:val="auto"/>
          <w:sz w:val="24"/>
          <w:szCs w:val="24"/>
          <w:highlight w:val="none"/>
        </w:rPr>
        <w:t>七、联系方式</w:t>
      </w:r>
      <w:bookmarkEnd w:id="63"/>
      <w:bookmarkEnd w:id="64"/>
      <w:bookmarkEnd w:id="65"/>
      <w:bookmarkEnd w:id="66"/>
      <w:bookmarkEnd w:id="67"/>
      <w:bookmarkEnd w:id="68"/>
      <w:bookmarkEnd w:id="69"/>
      <w:bookmarkStart w:id="70" w:name="_Toc102227313"/>
    </w:p>
    <w:bookmarkEnd w:id="70"/>
    <w:p w14:paraId="525DCC82">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（一）采购人：</w:t>
      </w:r>
      <w:r>
        <w:rPr>
          <w:rFonts w:hint="eastAsia" w:ascii="宋体" w:hAnsi="宋体" w:cs="宋体"/>
          <w:color w:val="auto"/>
          <w:sz w:val="24"/>
          <w:szCs w:val="24"/>
          <w:highlight w:val="none"/>
          <w:lang w:eastAsia="zh-CN"/>
        </w:rPr>
        <w:t>重庆市石柱县林业局</w:t>
      </w:r>
    </w:p>
    <w:p w14:paraId="331E3CA2">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p w14:paraId="46F28455">
      <w:pPr>
        <w:adjustRightInd w:val="0"/>
        <w:snapToGrid w:val="0"/>
        <w:spacing w:line="360" w:lineRule="auto"/>
        <w:ind w:firstLine="480" w:firstLineChars="200"/>
        <w:rPr>
          <w:rFonts w:hint="default"/>
          <w:lang w:val="en-US" w:eastAsia="zh-CN"/>
        </w:rPr>
      </w:pPr>
      <w:r>
        <w:rPr>
          <w:rFonts w:hint="eastAsia" w:ascii="宋体" w:hAnsi="宋体" w:cs="宋体"/>
          <w:color w:val="auto"/>
          <w:sz w:val="24"/>
          <w:szCs w:val="24"/>
          <w:highlight w:val="none"/>
        </w:rPr>
        <w:t>电  话：</w:t>
      </w:r>
    </w:p>
    <w:p w14:paraId="3B30FE49">
      <w:pPr>
        <w:adjustRightInd w:val="0"/>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地  址：</w:t>
      </w:r>
    </w:p>
    <w:p w14:paraId="341E1A75">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（二）采购代理机构：</w:t>
      </w:r>
      <w:r>
        <w:rPr>
          <w:rFonts w:hint="eastAsia" w:ascii="宋体" w:hAnsi="宋体" w:cs="宋体"/>
          <w:color w:val="auto"/>
          <w:sz w:val="24"/>
          <w:szCs w:val="24"/>
          <w:highlight w:val="none"/>
          <w:lang w:eastAsia="zh-CN"/>
        </w:rPr>
        <w:t>XXX限公司</w:t>
      </w:r>
    </w:p>
    <w:p w14:paraId="6A65AF4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联系人： </w:t>
      </w:r>
    </w:p>
    <w:p w14:paraId="4925DDBE">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p>
    <w:p w14:paraId="4D8E4C26">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  址：</w:t>
      </w:r>
    </w:p>
    <w:p w14:paraId="4DF19EF2">
      <w:pPr>
        <w:jc w:val="left"/>
        <w:rPr>
          <w:rFonts w:hint="eastAsia" w:ascii="宋体" w:hAnsi="宋体" w:cs="宋体"/>
          <w:b/>
          <w:bCs/>
          <w:color w:val="auto"/>
          <w:szCs w:val="28"/>
          <w:highlight w:val="none"/>
        </w:rPr>
      </w:pPr>
    </w:p>
    <w:p w14:paraId="346A4DF4">
      <w:pPr>
        <w:jc w:val="left"/>
        <w:rPr>
          <w:rFonts w:hint="eastAsia" w:ascii="宋体" w:hAnsi="宋体" w:cs="宋体"/>
          <w:b/>
          <w:bCs/>
          <w:color w:val="auto"/>
          <w:szCs w:val="28"/>
          <w:highlight w:val="none"/>
        </w:rPr>
      </w:pPr>
    </w:p>
    <w:p w14:paraId="6FF75960">
      <w:pPr>
        <w:jc w:val="left"/>
        <w:rPr>
          <w:rFonts w:hint="eastAsia" w:ascii="宋体" w:hAnsi="宋体" w:cs="宋体"/>
          <w:b/>
          <w:bCs/>
          <w:color w:val="auto"/>
          <w:szCs w:val="28"/>
          <w:highlight w:val="none"/>
        </w:rPr>
      </w:pPr>
    </w:p>
    <w:p w14:paraId="7FC86199">
      <w:pPr>
        <w:jc w:val="left"/>
        <w:rPr>
          <w:rFonts w:hint="eastAsia" w:ascii="宋体" w:hAnsi="宋体" w:cs="宋体"/>
          <w:b/>
          <w:bCs/>
          <w:color w:val="auto"/>
          <w:szCs w:val="28"/>
          <w:highlight w:val="none"/>
        </w:rPr>
      </w:pPr>
    </w:p>
    <w:p w14:paraId="38CA3F5D">
      <w:pPr>
        <w:pStyle w:val="15"/>
        <w:rPr>
          <w:rFonts w:hint="eastAsia" w:eastAsia="宋体" w:cs="宋体"/>
          <w:b/>
          <w:bCs/>
          <w:color w:val="auto"/>
          <w:szCs w:val="28"/>
          <w:highlight w:val="none"/>
        </w:rPr>
      </w:pPr>
    </w:p>
    <w:p w14:paraId="6DB6BDBD">
      <w:pPr>
        <w:rPr>
          <w:rFonts w:hint="eastAsia" w:ascii="宋体" w:hAnsi="宋体" w:cs="宋体"/>
          <w:b/>
          <w:bCs/>
          <w:color w:val="auto"/>
          <w:szCs w:val="28"/>
          <w:highlight w:val="none"/>
        </w:rPr>
      </w:pPr>
    </w:p>
    <w:p w14:paraId="1E960061">
      <w:pPr>
        <w:pStyle w:val="3"/>
        <w:rPr>
          <w:rFonts w:hint="eastAsia" w:ascii="宋体" w:hAnsi="宋体" w:eastAsia="宋体" w:cs="宋体"/>
          <w:color w:val="auto"/>
          <w:highlight w:val="none"/>
        </w:rPr>
      </w:pPr>
    </w:p>
    <w:p w14:paraId="6AF46B88">
      <w:pPr>
        <w:jc w:val="left"/>
        <w:rPr>
          <w:rFonts w:hint="eastAsia" w:ascii="宋体" w:hAnsi="宋体" w:cs="宋体"/>
          <w:b/>
          <w:bCs/>
          <w:color w:val="auto"/>
          <w:szCs w:val="28"/>
          <w:highlight w:val="none"/>
        </w:rPr>
      </w:pPr>
      <w:r>
        <w:rPr>
          <w:rFonts w:hint="eastAsia" w:ascii="宋体" w:hAnsi="宋体" w:cs="宋体"/>
          <w:color w:val="auto"/>
          <w:highlight w:val="none"/>
        </w:rPr>
        <w:br w:type="page"/>
      </w:r>
    </w:p>
    <w:p w14:paraId="27126303">
      <w:pPr>
        <w:jc w:val="left"/>
        <w:rPr>
          <w:rFonts w:hint="eastAsia" w:ascii="宋体" w:hAnsi="宋体" w:cs="宋体"/>
          <w:b/>
          <w:bCs/>
          <w:color w:val="auto"/>
          <w:szCs w:val="28"/>
          <w:highlight w:val="none"/>
        </w:rPr>
      </w:pPr>
    </w:p>
    <w:p w14:paraId="6105F215">
      <w:pPr>
        <w:rPr>
          <w:rFonts w:hint="eastAsia" w:ascii="宋体" w:hAnsi="宋体" w:cs="宋体"/>
          <w:b/>
          <w:bCs/>
          <w:color w:val="auto"/>
          <w:szCs w:val="28"/>
          <w:highlight w:val="none"/>
        </w:rPr>
      </w:pPr>
      <w:r>
        <w:rPr>
          <w:rFonts w:hint="eastAsia" w:ascii="宋体" w:hAnsi="宋体" w:cs="宋体"/>
          <w:b/>
          <w:bCs/>
          <w:color w:val="auto"/>
          <w:szCs w:val="28"/>
          <w:highlight w:val="none"/>
        </w:rPr>
        <w:t>附件1：</w:t>
      </w:r>
    </w:p>
    <w:p w14:paraId="4920CD41">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报名登记表</w:t>
      </w:r>
    </w:p>
    <w:p w14:paraId="59B4D6BC">
      <w:pPr>
        <w:pStyle w:val="5"/>
        <w:rPr>
          <w:rFonts w:hint="eastAsia" w:ascii="宋体" w:hAnsi="宋体" w:eastAsia="宋体" w:cs="宋体"/>
          <w:color w:val="auto"/>
          <w:highlight w:val="none"/>
        </w:rPr>
      </w:pP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2127"/>
        <w:gridCol w:w="926"/>
        <w:gridCol w:w="3500"/>
      </w:tblGrid>
      <w:tr w14:paraId="3330C6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942" w:hRule="atLeast"/>
          <w:jc w:val="center"/>
        </w:trPr>
        <w:tc>
          <w:tcPr>
            <w:tcW w:w="2086" w:type="dxa"/>
            <w:noWrap w:val="0"/>
            <w:vAlign w:val="center"/>
          </w:tcPr>
          <w:p w14:paraId="2B25E447">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项目名称</w:t>
            </w:r>
          </w:p>
        </w:tc>
        <w:tc>
          <w:tcPr>
            <w:tcW w:w="6553" w:type="dxa"/>
            <w:gridSpan w:val="3"/>
            <w:noWrap w:val="0"/>
            <w:vAlign w:val="center"/>
          </w:tcPr>
          <w:p w14:paraId="2229AFCF">
            <w:pPr>
              <w:spacing w:line="500" w:lineRule="exact"/>
              <w:outlineLvl w:val="0"/>
              <w:rPr>
                <w:rFonts w:hint="eastAsia" w:ascii="宋体" w:hAnsi="宋体" w:cs="宋体"/>
                <w:color w:val="auto"/>
                <w:sz w:val="32"/>
                <w:highlight w:val="none"/>
              </w:rPr>
            </w:pPr>
          </w:p>
        </w:tc>
      </w:tr>
      <w:tr w14:paraId="40E4FB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2086" w:type="dxa"/>
            <w:noWrap w:val="0"/>
            <w:vAlign w:val="center"/>
          </w:tcPr>
          <w:p w14:paraId="1B97274A">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供应商名称</w:t>
            </w:r>
          </w:p>
        </w:tc>
        <w:tc>
          <w:tcPr>
            <w:tcW w:w="6553" w:type="dxa"/>
            <w:gridSpan w:val="3"/>
            <w:noWrap w:val="0"/>
            <w:vAlign w:val="bottom"/>
          </w:tcPr>
          <w:p w14:paraId="0AFAEFB2">
            <w:pPr>
              <w:jc w:val="right"/>
              <w:rPr>
                <w:rFonts w:hint="eastAsia" w:ascii="宋体" w:hAnsi="宋体" w:cs="宋体"/>
                <w:color w:val="auto"/>
                <w:sz w:val="30"/>
                <w:szCs w:val="30"/>
                <w:highlight w:val="none"/>
              </w:rPr>
            </w:pPr>
          </w:p>
        </w:tc>
      </w:tr>
      <w:tr w14:paraId="3D1F9D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noWrap w:val="0"/>
            <w:vAlign w:val="center"/>
          </w:tcPr>
          <w:p w14:paraId="7F07B835">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联系人</w:t>
            </w:r>
          </w:p>
        </w:tc>
        <w:tc>
          <w:tcPr>
            <w:tcW w:w="2127" w:type="dxa"/>
            <w:noWrap w:val="0"/>
            <w:vAlign w:val="center"/>
          </w:tcPr>
          <w:p w14:paraId="432F4C2D">
            <w:pPr>
              <w:jc w:val="left"/>
              <w:rPr>
                <w:rFonts w:hint="eastAsia" w:ascii="宋体" w:hAnsi="宋体" w:cs="宋体"/>
                <w:color w:val="auto"/>
                <w:sz w:val="30"/>
                <w:szCs w:val="30"/>
                <w:highlight w:val="none"/>
              </w:rPr>
            </w:pPr>
          </w:p>
        </w:tc>
        <w:tc>
          <w:tcPr>
            <w:tcW w:w="926" w:type="dxa"/>
            <w:noWrap w:val="0"/>
            <w:vAlign w:val="center"/>
          </w:tcPr>
          <w:p w14:paraId="6D2AEDB4">
            <w:pPr>
              <w:jc w:val="left"/>
              <w:rPr>
                <w:rFonts w:hint="eastAsia" w:ascii="宋体" w:hAnsi="宋体" w:cs="宋体"/>
                <w:color w:val="auto"/>
                <w:sz w:val="30"/>
                <w:szCs w:val="30"/>
                <w:highlight w:val="none"/>
              </w:rPr>
            </w:pPr>
            <w:r>
              <w:rPr>
                <w:rFonts w:hint="eastAsia" w:ascii="宋体" w:hAnsi="宋体" w:cs="宋体"/>
                <w:b/>
                <w:bCs/>
                <w:color w:val="auto"/>
                <w:sz w:val="30"/>
                <w:szCs w:val="30"/>
                <w:highlight w:val="none"/>
              </w:rPr>
              <w:t>手机</w:t>
            </w:r>
          </w:p>
        </w:tc>
        <w:tc>
          <w:tcPr>
            <w:tcW w:w="3500" w:type="dxa"/>
            <w:noWrap w:val="0"/>
            <w:vAlign w:val="center"/>
          </w:tcPr>
          <w:p w14:paraId="0989A2B9">
            <w:pPr>
              <w:jc w:val="left"/>
              <w:rPr>
                <w:rFonts w:hint="eastAsia" w:ascii="宋体" w:hAnsi="宋体" w:cs="宋体"/>
                <w:color w:val="auto"/>
                <w:sz w:val="30"/>
                <w:szCs w:val="30"/>
                <w:highlight w:val="none"/>
              </w:rPr>
            </w:pPr>
          </w:p>
        </w:tc>
      </w:tr>
      <w:tr w14:paraId="739870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noWrap w:val="0"/>
            <w:vAlign w:val="center"/>
          </w:tcPr>
          <w:p w14:paraId="3B1C3B78">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办公电话</w:t>
            </w:r>
          </w:p>
        </w:tc>
        <w:tc>
          <w:tcPr>
            <w:tcW w:w="2127" w:type="dxa"/>
            <w:noWrap w:val="0"/>
            <w:vAlign w:val="center"/>
          </w:tcPr>
          <w:p w14:paraId="5DE3FB08">
            <w:pPr>
              <w:jc w:val="left"/>
              <w:rPr>
                <w:rFonts w:hint="eastAsia" w:ascii="宋体" w:hAnsi="宋体" w:cs="宋体"/>
                <w:color w:val="auto"/>
                <w:sz w:val="30"/>
                <w:szCs w:val="30"/>
                <w:highlight w:val="none"/>
              </w:rPr>
            </w:pPr>
          </w:p>
        </w:tc>
        <w:tc>
          <w:tcPr>
            <w:tcW w:w="926" w:type="dxa"/>
            <w:noWrap w:val="0"/>
            <w:vAlign w:val="center"/>
          </w:tcPr>
          <w:p w14:paraId="158C4F11">
            <w:pPr>
              <w:jc w:val="left"/>
              <w:rPr>
                <w:rFonts w:hint="eastAsia" w:ascii="宋体" w:hAnsi="宋体" w:cs="宋体"/>
                <w:color w:val="auto"/>
                <w:sz w:val="30"/>
                <w:szCs w:val="30"/>
                <w:highlight w:val="none"/>
              </w:rPr>
            </w:pPr>
            <w:r>
              <w:rPr>
                <w:rFonts w:hint="eastAsia" w:ascii="宋体" w:hAnsi="宋体" w:cs="宋体"/>
                <w:b/>
                <w:bCs/>
                <w:color w:val="auto"/>
                <w:sz w:val="30"/>
                <w:szCs w:val="30"/>
                <w:highlight w:val="none"/>
              </w:rPr>
              <w:t>传真</w:t>
            </w:r>
          </w:p>
        </w:tc>
        <w:tc>
          <w:tcPr>
            <w:tcW w:w="3500" w:type="dxa"/>
            <w:noWrap w:val="0"/>
            <w:vAlign w:val="center"/>
          </w:tcPr>
          <w:p w14:paraId="0D37E77B">
            <w:pPr>
              <w:jc w:val="left"/>
              <w:rPr>
                <w:rFonts w:hint="eastAsia" w:ascii="宋体" w:hAnsi="宋体" w:cs="宋体"/>
                <w:color w:val="auto"/>
                <w:sz w:val="30"/>
                <w:szCs w:val="30"/>
                <w:highlight w:val="none"/>
              </w:rPr>
            </w:pPr>
          </w:p>
        </w:tc>
      </w:tr>
      <w:tr w14:paraId="0ECA4D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2086" w:type="dxa"/>
            <w:noWrap w:val="0"/>
            <w:vAlign w:val="center"/>
          </w:tcPr>
          <w:p w14:paraId="48C9D2AA">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E-mail</w:t>
            </w:r>
          </w:p>
        </w:tc>
        <w:tc>
          <w:tcPr>
            <w:tcW w:w="6553" w:type="dxa"/>
            <w:gridSpan w:val="3"/>
            <w:noWrap w:val="0"/>
            <w:vAlign w:val="center"/>
          </w:tcPr>
          <w:p w14:paraId="4D45414D">
            <w:pPr>
              <w:jc w:val="left"/>
              <w:rPr>
                <w:rFonts w:hint="eastAsia" w:ascii="宋体" w:hAnsi="宋体" w:cs="宋体"/>
                <w:color w:val="auto"/>
                <w:sz w:val="30"/>
                <w:szCs w:val="30"/>
                <w:highlight w:val="none"/>
              </w:rPr>
            </w:pPr>
          </w:p>
        </w:tc>
      </w:tr>
      <w:tr w14:paraId="113AC2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086" w:type="dxa"/>
            <w:noWrap w:val="0"/>
            <w:vAlign w:val="center"/>
          </w:tcPr>
          <w:p w14:paraId="5B22366E">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单位地址</w:t>
            </w:r>
          </w:p>
        </w:tc>
        <w:tc>
          <w:tcPr>
            <w:tcW w:w="6553" w:type="dxa"/>
            <w:gridSpan w:val="3"/>
            <w:noWrap w:val="0"/>
            <w:vAlign w:val="center"/>
          </w:tcPr>
          <w:p w14:paraId="6B29250A">
            <w:pPr>
              <w:jc w:val="left"/>
              <w:rPr>
                <w:rFonts w:hint="eastAsia" w:ascii="宋体" w:hAnsi="宋体" w:cs="宋体"/>
                <w:color w:val="auto"/>
                <w:sz w:val="30"/>
                <w:szCs w:val="30"/>
                <w:highlight w:val="none"/>
              </w:rPr>
            </w:pPr>
          </w:p>
        </w:tc>
      </w:tr>
      <w:tr w14:paraId="3E5B2D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noWrap w:val="0"/>
            <w:vAlign w:val="center"/>
          </w:tcPr>
          <w:p w14:paraId="2934B801">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报名时间</w:t>
            </w:r>
          </w:p>
        </w:tc>
        <w:tc>
          <w:tcPr>
            <w:tcW w:w="6553" w:type="dxa"/>
            <w:gridSpan w:val="3"/>
            <w:noWrap w:val="0"/>
            <w:vAlign w:val="center"/>
          </w:tcPr>
          <w:p w14:paraId="1CC3E946">
            <w:pPr>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年  月  日</w:t>
            </w:r>
          </w:p>
        </w:tc>
      </w:tr>
      <w:tr w14:paraId="4719B9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noWrap w:val="0"/>
            <w:vAlign w:val="center"/>
          </w:tcPr>
          <w:p w14:paraId="03CB513E">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备注</w:t>
            </w:r>
          </w:p>
        </w:tc>
        <w:tc>
          <w:tcPr>
            <w:tcW w:w="6553" w:type="dxa"/>
            <w:gridSpan w:val="3"/>
            <w:noWrap w:val="0"/>
            <w:vAlign w:val="center"/>
          </w:tcPr>
          <w:p w14:paraId="4DAE5813">
            <w:pPr>
              <w:jc w:val="center"/>
              <w:rPr>
                <w:rFonts w:hint="eastAsia" w:ascii="宋体" w:hAnsi="宋体" w:cs="宋体"/>
                <w:color w:val="auto"/>
                <w:sz w:val="30"/>
                <w:szCs w:val="30"/>
                <w:highlight w:val="none"/>
              </w:rPr>
            </w:pPr>
          </w:p>
        </w:tc>
      </w:tr>
    </w:tbl>
    <w:p w14:paraId="62A75DBD">
      <w:pPr>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说明：</w:t>
      </w:r>
    </w:p>
    <w:p w14:paraId="0CBFCA7F">
      <w:pPr>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lang w:eastAsia="zh-CN"/>
        </w:rPr>
        <w:t>1.</w:t>
      </w:r>
      <w:r>
        <w:rPr>
          <w:rFonts w:hint="eastAsia" w:ascii="宋体" w:hAnsi="宋体" w:cs="宋体"/>
          <w:color w:val="auto"/>
          <w:sz w:val="24"/>
          <w:szCs w:val="22"/>
          <w:highlight w:val="none"/>
        </w:rPr>
        <w:t>报名期限：</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9：00——</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00时</w:t>
      </w:r>
    </w:p>
    <w:p w14:paraId="14A78019">
      <w:pPr>
        <w:snapToGrid w:val="0"/>
        <w:spacing w:line="440" w:lineRule="exact"/>
        <w:ind w:firstLine="480" w:firstLineChars="200"/>
        <w:rPr>
          <w:rFonts w:hint="eastAsia" w:ascii="宋体" w:hAnsi="宋体" w:cs="宋体"/>
          <w:color w:val="auto"/>
          <w:sz w:val="21"/>
          <w:szCs w:val="21"/>
          <w:highlight w:val="none"/>
        </w:rPr>
      </w:pPr>
      <w:r>
        <w:rPr>
          <w:rFonts w:hint="eastAsia" w:ascii="宋体" w:hAnsi="宋体" w:cs="宋体"/>
          <w:color w:val="auto"/>
          <w:sz w:val="24"/>
          <w:szCs w:val="22"/>
          <w:highlight w:val="none"/>
          <w:lang w:eastAsia="zh-CN"/>
        </w:rPr>
        <w:t>2.</w:t>
      </w:r>
      <w:r>
        <w:rPr>
          <w:rFonts w:hint="eastAsia" w:ascii="宋体" w:hAnsi="宋体" w:cs="宋体"/>
          <w:color w:val="auto"/>
          <w:sz w:val="24"/>
          <w:szCs w:val="22"/>
          <w:highlight w:val="none"/>
        </w:rPr>
        <w:t>请完整填写本表。</w:t>
      </w:r>
    </w:p>
    <w:p w14:paraId="05228089">
      <w:pPr>
        <w:rPr>
          <w:rFonts w:hint="eastAsia" w:ascii="宋体" w:hAnsi="宋体" w:cs="宋体"/>
          <w:color w:val="auto"/>
          <w:highlight w:val="none"/>
        </w:rPr>
      </w:pPr>
    </w:p>
    <w:p w14:paraId="54851A34">
      <w:pPr>
        <w:rPr>
          <w:rFonts w:hint="eastAsia" w:ascii="宋体" w:hAnsi="宋体" w:cs="宋体"/>
          <w:color w:val="auto"/>
          <w:highlight w:val="none"/>
        </w:rPr>
      </w:pPr>
    </w:p>
    <w:p w14:paraId="235590A3">
      <w:pPr>
        <w:rPr>
          <w:rFonts w:hint="eastAsia" w:ascii="宋体" w:hAnsi="宋体" w:cs="宋体"/>
          <w:color w:val="auto"/>
          <w:highlight w:val="none"/>
        </w:rPr>
      </w:pPr>
    </w:p>
    <w:p w14:paraId="035970E2">
      <w:pPr>
        <w:rPr>
          <w:rFonts w:hint="eastAsia" w:ascii="宋体" w:hAnsi="宋体" w:cs="宋体"/>
          <w:color w:val="auto"/>
          <w:highlight w:val="none"/>
        </w:rPr>
      </w:pPr>
    </w:p>
    <w:p w14:paraId="0F30E3F0">
      <w:pPr>
        <w:pStyle w:val="2"/>
        <w:numPr>
          <w:ilvl w:val="0"/>
          <w:numId w:val="1"/>
        </w:numPr>
        <w:jc w:val="center"/>
        <w:rPr>
          <w:rFonts w:hint="eastAsia" w:hAnsi="宋体" w:cs="宋体"/>
          <w:b/>
          <w:bCs/>
          <w:color w:val="auto"/>
          <w:sz w:val="36"/>
          <w:szCs w:val="36"/>
          <w:highlight w:val="none"/>
        </w:rPr>
      </w:pPr>
      <w:bookmarkStart w:id="71" w:name="_Toc29338"/>
      <w:bookmarkStart w:id="72" w:name="_Toc31841"/>
      <w:bookmarkStart w:id="73" w:name="_Toc23376"/>
      <w:bookmarkStart w:id="74" w:name="_Toc11118"/>
      <w:bookmarkStart w:id="75" w:name="_Toc19009"/>
      <w:bookmarkStart w:id="76" w:name="_Toc25851"/>
      <w:r>
        <w:rPr>
          <w:rFonts w:hint="eastAsia" w:hAnsi="宋体" w:cs="宋体"/>
          <w:b/>
          <w:bCs/>
          <w:color w:val="auto"/>
          <w:sz w:val="36"/>
          <w:szCs w:val="36"/>
          <w:highlight w:val="none"/>
        </w:rPr>
        <w:t>采购服务需求</w:t>
      </w:r>
      <w:bookmarkEnd w:id="71"/>
      <w:bookmarkEnd w:id="72"/>
      <w:bookmarkEnd w:id="73"/>
      <w:bookmarkEnd w:id="74"/>
      <w:bookmarkEnd w:id="75"/>
      <w:bookmarkEnd w:id="76"/>
      <w:bookmarkStart w:id="77" w:name="_Toc20282"/>
      <w:bookmarkStart w:id="78" w:name="_Toc12789058"/>
      <w:bookmarkStart w:id="79" w:name="_Toc22653"/>
    </w:p>
    <w:p w14:paraId="5EC44A7E">
      <w:pPr>
        <w:rPr>
          <w:rFonts w:hint="eastAsia" w:ascii="宋体" w:hAnsi="宋体" w:cs="宋体"/>
          <w:color w:val="auto"/>
          <w:highlight w:val="none"/>
        </w:rPr>
      </w:pPr>
    </w:p>
    <w:p w14:paraId="7D547D02">
      <w:pPr>
        <w:jc w:val="center"/>
        <w:rPr>
          <w:rFonts w:hint="eastAsia" w:ascii="宋体" w:hAnsi="宋体" w:cs="宋体"/>
          <w:b/>
          <w:bCs/>
          <w:color w:val="auto"/>
          <w:highlight w:val="none"/>
        </w:rPr>
      </w:pPr>
      <w:bookmarkStart w:id="80" w:name="_Toc23236"/>
      <w:bookmarkStart w:id="81" w:name="_Toc2484"/>
      <w:bookmarkStart w:id="82" w:name="_Toc1342"/>
      <w:bookmarkStart w:id="83" w:name="_Toc16238"/>
      <w:bookmarkStart w:id="84" w:name="_Toc8713"/>
      <w:bookmarkStart w:id="85" w:name="_Toc22268"/>
      <w:bookmarkStart w:id="86" w:name="_Toc15391"/>
      <w:r>
        <w:rPr>
          <w:rFonts w:hint="eastAsia" w:ascii="宋体" w:hAnsi="宋体" w:cs="宋体"/>
          <w:b/>
          <w:bCs/>
          <w:color w:val="auto"/>
          <w:sz w:val="21"/>
          <w:szCs w:val="21"/>
          <w:highlight w:val="none"/>
        </w:rPr>
        <w:t>项目服务需求中所有要求均为符合性审查中的实质性要求，响应文件若不满足按无效响应处理。</w:t>
      </w:r>
    </w:p>
    <w:p w14:paraId="5AAA73AF">
      <w:pPr>
        <w:snapToGrid w:val="0"/>
        <w:spacing w:line="360" w:lineRule="auto"/>
        <w:ind w:firstLine="0" w:firstLineChars="0"/>
        <w:rPr>
          <w:rFonts w:hint="eastAsia" w:ascii="宋体" w:hAnsi="宋体" w:eastAsia="宋体" w:cs="宋体"/>
          <w:b/>
          <w:color w:val="auto"/>
          <w:sz w:val="24"/>
          <w:szCs w:val="24"/>
          <w:highlight w:val="none"/>
          <w:lang w:val="en-US" w:eastAsia="zh-CN"/>
        </w:rPr>
      </w:pPr>
      <w:bookmarkStart w:id="87" w:name="_Hlk208913988"/>
    </w:p>
    <w:p w14:paraId="72124407">
      <w:pPr>
        <w:pStyle w:val="3"/>
        <w:adjustRightInd w:val="0"/>
        <w:snapToGrid w:val="0"/>
        <w:spacing w:before="0" w:after="0" w:line="560" w:lineRule="exact"/>
        <w:rPr>
          <w:rFonts w:hint="default" w:ascii="宋体" w:hAnsi="宋体" w:eastAsia="宋体" w:cs="宋体"/>
          <w:b/>
          <w:color w:val="auto"/>
          <w:sz w:val="24"/>
          <w:highlight w:val="none"/>
          <w:lang w:val="en-US" w:eastAsia="zh-CN"/>
        </w:rPr>
      </w:pPr>
      <w:bookmarkStart w:id="88" w:name="_Toc106030879"/>
      <w:bookmarkStart w:id="89" w:name="_Toc20101"/>
      <w:r>
        <w:rPr>
          <w:rFonts w:hint="eastAsia" w:ascii="宋体" w:hAnsi="宋体" w:eastAsia="宋体" w:cs="宋体"/>
          <w:b/>
          <w:color w:val="auto"/>
          <w:sz w:val="24"/>
          <w:highlight w:val="none"/>
          <w:lang w:val="en-US" w:eastAsia="zh-CN"/>
        </w:rPr>
        <w:t>一、项目</w:t>
      </w:r>
      <w:bookmarkEnd w:id="88"/>
      <w:r>
        <w:rPr>
          <w:rFonts w:hint="eastAsia" w:ascii="宋体" w:hAnsi="宋体" w:eastAsia="宋体" w:cs="宋体"/>
          <w:b/>
          <w:color w:val="auto"/>
          <w:sz w:val="24"/>
          <w:highlight w:val="none"/>
          <w:lang w:val="en-US" w:eastAsia="zh-CN"/>
        </w:rPr>
        <w:t>一览表</w:t>
      </w:r>
      <w:bookmarkEnd w:id="89"/>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0"/>
        <w:gridCol w:w="1849"/>
        <w:gridCol w:w="1739"/>
      </w:tblGrid>
      <w:tr w14:paraId="5128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136" w:type="pct"/>
            <w:noWrap w:val="0"/>
            <w:vAlign w:val="center"/>
          </w:tcPr>
          <w:p w14:paraId="2C63B5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名称</w:t>
            </w:r>
          </w:p>
        </w:tc>
        <w:tc>
          <w:tcPr>
            <w:tcW w:w="960" w:type="pct"/>
            <w:noWrap w:val="0"/>
            <w:vAlign w:val="center"/>
          </w:tcPr>
          <w:p w14:paraId="298639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数量/单位</w:t>
            </w:r>
          </w:p>
        </w:tc>
        <w:tc>
          <w:tcPr>
            <w:tcW w:w="903" w:type="pct"/>
            <w:noWrap w:val="0"/>
            <w:vAlign w:val="center"/>
          </w:tcPr>
          <w:p w14:paraId="289C3E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w:t>
            </w:r>
          </w:p>
        </w:tc>
      </w:tr>
      <w:tr w14:paraId="4B70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pct"/>
            <w:noWrap w:val="0"/>
            <w:vAlign w:val="center"/>
          </w:tcPr>
          <w:p w14:paraId="52CB1F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auto"/>
                <w:sz w:val="24"/>
                <w:szCs w:val="24"/>
                <w:highlight w:val="none"/>
                <w:lang w:val="en-US"/>
              </w:rPr>
            </w:pPr>
            <w:r>
              <w:rPr>
                <w:rFonts w:hint="eastAsia" w:ascii="宋体" w:hAnsi="宋体" w:cs="宋体"/>
                <w:i w:val="0"/>
                <w:iCs w:val="0"/>
                <w:color w:val="auto"/>
                <w:sz w:val="24"/>
                <w:szCs w:val="24"/>
                <w:highlight w:val="none"/>
                <w:lang w:eastAsia="zh-CN"/>
              </w:rPr>
              <w:t>重庆市石柱县2025-2026年松材线虫线虫病</w:t>
            </w:r>
            <w:r>
              <w:rPr>
                <w:rFonts w:hint="eastAsia" w:ascii="宋体" w:hAnsi="宋体" w:cs="宋体"/>
                <w:i w:val="0"/>
                <w:iCs w:val="0"/>
                <w:color w:val="auto"/>
                <w:sz w:val="24"/>
                <w:szCs w:val="24"/>
                <w:highlight w:val="none"/>
                <w:lang w:val="en-US" w:eastAsia="zh-CN"/>
              </w:rPr>
              <w:t>山场除治县级验收</w:t>
            </w:r>
            <w:r>
              <w:rPr>
                <w:rFonts w:hint="eastAsia" w:ascii="宋体" w:hAnsi="宋体" w:cs="宋体"/>
                <w:i w:val="0"/>
                <w:iCs w:val="0"/>
                <w:color w:val="auto"/>
                <w:sz w:val="24"/>
                <w:szCs w:val="24"/>
                <w:highlight w:val="none"/>
                <w:lang w:eastAsia="zh-CN"/>
              </w:rPr>
              <w:t>服务</w:t>
            </w:r>
            <w:r>
              <w:rPr>
                <w:rFonts w:hint="eastAsia" w:ascii="宋体" w:hAnsi="宋体" w:cs="宋体"/>
                <w:i w:val="0"/>
                <w:iCs w:val="0"/>
                <w:color w:val="auto"/>
                <w:sz w:val="24"/>
                <w:szCs w:val="24"/>
                <w:highlight w:val="none"/>
                <w:lang w:val="en-US" w:eastAsia="zh-CN"/>
              </w:rPr>
              <w:t>项目</w:t>
            </w:r>
          </w:p>
        </w:tc>
        <w:tc>
          <w:tcPr>
            <w:tcW w:w="960" w:type="pct"/>
            <w:noWrap w:val="0"/>
            <w:vAlign w:val="center"/>
          </w:tcPr>
          <w:p w14:paraId="35B2CA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1项</w:t>
            </w:r>
          </w:p>
        </w:tc>
        <w:tc>
          <w:tcPr>
            <w:tcW w:w="903" w:type="pct"/>
            <w:noWrap w:val="0"/>
            <w:vAlign w:val="center"/>
          </w:tcPr>
          <w:p w14:paraId="7E34ED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详见下文</w:t>
            </w:r>
          </w:p>
        </w:tc>
      </w:tr>
      <w:bookmarkEnd w:id="87"/>
    </w:tbl>
    <w:p w14:paraId="2652434B">
      <w:pPr>
        <w:pStyle w:val="3"/>
        <w:adjustRightInd w:val="0"/>
        <w:snapToGrid w:val="0"/>
        <w:spacing w:before="0" w:after="0" w:line="560" w:lineRule="exact"/>
        <w:rPr>
          <w:rFonts w:hint="eastAsia" w:ascii="宋体" w:hAnsi="宋体" w:eastAsia="宋体" w:cs="宋体"/>
          <w:b/>
          <w:color w:val="auto"/>
          <w:sz w:val="24"/>
          <w:highlight w:val="none"/>
          <w:lang w:val="en-US" w:eastAsia="zh-CN"/>
        </w:rPr>
      </w:pPr>
      <w:bookmarkStart w:id="90" w:name="_Toc27022"/>
      <w:bookmarkStart w:id="91" w:name="_Toc211273983"/>
      <w:bookmarkStart w:id="92" w:name="_Toc14945"/>
      <w:r>
        <w:rPr>
          <w:rFonts w:hint="eastAsia" w:ascii="宋体" w:hAnsi="宋体" w:eastAsia="宋体" w:cs="宋体"/>
          <w:b/>
          <w:color w:val="auto"/>
          <w:sz w:val="24"/>
          <w:highlight w:val="none"/>
          <w:lang w:val="en-US" w:eastAsia="zh-CN"/>
        </w:rPr>
        <w:t>二、服务范围</w:t>
      </w:r>
      <w:bookmarkEnd w:id="90"/>
    </w:p>
    <w:p w14:paraId="784372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r>
        <w:rPr>
          <w:rFonts w:hint="eastAsia" w:ascii="宋体" w:hAnsi="宋体" w:cs="宋体"/>
          <w:bCs/>
          <w:color w:val="auto"/>
          <w:sz w:val="24"/>
          <w:szCs w:val="24"/>
          <w:highlight w:val="none"/>
          <w:lang w:val="en-US" w:eastAsia="zh-CN"/>
        </w:rPr>
        <w:t>验收</w:t>
      </w:r>
      <w:r>
        <w:rPr>
          <w:rFonts w:hint="eastAsia" w:ascii="宋体" w:hAnsi="宋体" w:eastAsia="宋体" w:cs="宋体"/>
          <w:bCs/>
          <w:color w:val="auto"/>
          <w:sz w:val="24"/>
          <w:szCs w:val="24"/>
          <w:highlight w:val="none"/>
          <w:lang w:val="zh-CN"/>
        </w:rPr>
        <w:t>面积</w:t>
      </w:r>
      <w:r>
        <w:rPr>
          <w:rFonts w:hint="eastAsia" w:ascii="宋体" w:hAnsi="宋体" w:cs="宋体"/>
          <w:bCs/>
          <w:color w:val="auto"/>
          <w:sz w:val="24"/>
          <w:szCs w:val="24"/>
          <w:highlight w:val="none"/>
          <w:lang w:val="en-US" w:eastAsia="zh-CN"/>
        </w:rPr>
        <w:t>约36</w:t>
      </w:r>
      <w:r>
        <w:rPr>
          <w:rFonts w:hint="eastAsia" w:ascii="宋体" w:hAnsi="宋体" w:eastAsia="宋体" w:cs="宋体"/>
          <w:bCs/>
          <w:color w:val="auto"/>
          <w:sz w:val="24"/>
          <w:szCs w:val="24"/>
          <w:highlight w:val="none"/>
          <w:lang w:val="zh-CN"/>
        </w:rPr>
        <w:t>万亩</w:t>
      </w:r>
      <w:r>
        <w:rPr>
          <w:rFonts w:hint="eastAsia" w:ascii="宋体" w:hAnsi="宋体" w:cs="宋体"/>
          <w:bCs/>
          <w:color w:val="auto"/>
          <w:sz w:val="24"/>
          <w:szCs w:val="24"/>
          <w:highlight w:val="none"/>
          <w:lang w:val="zh-CN"/>
        </w:rPr>
        <w:t>，</w:t>
      </w:r>
      <w:r>
        <w:rPr>
          <w:rFonts w:hint="eastAsia" w:ascii="宋体" w:hAnsi="宋体" w:eastAsia="宋体" w:cs="宋体"/>
          <w:bCs/>
          <w:color w:val="auto"/>
          <w:sz w:val="24"/>
          <w:szCs w:val="24"/>
          <w:highlight w:val="none"/>
          <w:lang w:val="zh-CN"/>
        </w:rPr>
        <w:t>小班</w:t>
      </w:r>
      <w:r>
        <w:rPr>
          <w:rFonts w:hint="eastAsia" w:ascii="宋体" w:hAnsi="宋体" w:cs="宋体"/>
          <w:bCs/>
          <w:color w:val="auto"/>
          <w:sz w:val="24"/>
          <w:szCs w:val="24"/>
          <w:highlight w:val="none"/>
          <w:lang w:val="en-US" w:eastAsia="zh-CN"/>
        </w:rPr>
        <w:t>3365</w:t>
      </w:r>
      <w:r>
        <w:rPr>
          <w:rFonts w:hint="eastAsia" w:ascii="宋体" w:hAnsi="宋体" w:eastAsia="宋体" w:cs="宋体"/>
          <w:bCs/>
          <w:color w:val="auto"/>
          <w:sz w:val="24"/>
          <w:szCs w:val="24"/>
          <w:highlight w:val="none"/>
          <w:lang w:val="zh-CN"/>
        </w:rPr>
        <w:t>个。</w:t>
      </w:r>
    </w:p>
    <w:p w14:paraId="4BC2EB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2、农户检查：33个乡镇，每个乡镇40户</w:t>
      </w:r>
      <w:r>
        <w:rPr>
          <w:rFonts w:hint="eastAsia" w:ascii="宋体" w:hAnsi="宋体" w:cs="宋体"/>
          <w:bCs/>
          <w:color w:val="auto"/>
          <w:sz w:val="24"/>
          <w:szCs w:val="24"/>
          <w:highlight w:val="none"/>
          <w:lang w:val="zh-CN"/>
        </w:rPr>
        <w:t>。</w:t>
      </w:r>
    </w:p>
    <w:p w14:paraId="26AB5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3、企业检查：</w:t>
      </w:r>
      <w:r>
        <w:rPr>
          <w:rFonts w:hint="eastAsia" w:ascii="宋体" w:hAnsi="宋体" w:cs="宋体"/>
          <w:bCs/>
          <w:color w:val="auto"/>
          <w:sz w:val="24"/>
          <w:szCs w:val="24"/>
          <w:highlight w:val="none"/>
          <w:lang w:val="en-US" w:eastAsia="zh-CN"/>
        </w:rPr>
        <w:t>石柱县辖区内所有加工厂</w:t>
      </w:r>
      <w:r>
        <w:rPr>
          <w:rFonts w:hint="eastAsia" w:ascii="宋体" w:hAnsi="宋体" w:cs="宋体"/>
          <w:bCs/>
          <w:color w:val="auto"/>
          <w:sz w:val="24"/>
          <w:szCs w:val="24"/>
          <w:highlight w:val="none"/>
          <w:lang w:val="zh-CN"/>
        </w:rPr>
        <w:t>。</w:t>
      </w:r>
    </w:p>
    <w:p w14:paraId="5B84A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4、其他需求：以上三点需使用专业软件进行打卡①石柱专用智慧林长；②奥维互动地图。</w:t>
      </w:r>
    </w:p>
    <w:p w14:paraId="3106F1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rPr>
        <w:t>项目完成时间：2026年5月31日之前</w:t>
      </w:r>
      <w:r>
        <w:rPr>
          <w:rFonts w:hint="eastAsia" w:ascii="宋体" w:hAnsi="宋体" w:cs="宋体"/>
          <w:bCs/>
          <w:color w:val="auto"/>
          <w:sz w:val="24"/>
          <w:szCs w:val="24"/>
          <w:highlight w:val="none"/>
          <w:lang w:val="en-US" w:eastAsia="zh-CN"/>
        </w:rPr>
        <w:t>提交</w:t>
      </w:r>
      <w:r>
        <w:rPr>
          <w:rFonts w:hint="eastAsia" w:ascii="宋体" w:hAnsi="宋体" w:eastAsia="宋体" w:cs="宋体"/>
          <w:bCs/>
          <w:color w:val="auto"/>
          <w:sz w:val="24"/>
          <w:szCs w:val="24"/>
          <w:highlight w:val="none"/>
          <w:lang w:val="zh-CN"/>
        </w:rPr>
        <w:t>验收报告。</w:t>
      </w:r>
    </w:p>
    <w:bookmarkEnd w:id="80"/>
    <w:bookmarkEnd w:id="81"/>
    <w:bookmarkEnd w:id="82"/>
    <w:bookmarkEnd w:id="83"/>
    <w:bookmarkEnd w:id="84"/>
    <w:bookmarkEnd w:id="85"/>
    <w:bookmarkEnd w:id="86"/>
    <w:bookmarkEnd w:id="91"/>
    <w:bookmarkEnd w:id="92"/>
    <w:p w14:paraId="3238344D">
      <w:pPr>
        <w:pStyle w:val="3"/>
        <w:adjustRightInd w:val="0"/>
        <w:snapToGrid w:val="0"/>
        <w:spacing w:before="0" w:after="0" w:line="560" w:lineRule="exact"/>
        <w:rPr>
          <w:rFonts w:hint="eastAsia" w:ascii="宋体" w:hAnsi="宋体" w:eastAsia="宋体" w:cs="宋体"/>
          <w:b/>
          <w:color w:val="auto"/>
          <w:sz w:val="24"/>
          <w:highlight w:val="none"/>
          <w:lang w:val="en-US" w:eastAsia="zh-CN"/>
        </w:rPr>
      </w:pPr>
      <w:bookmarkStart w:id="93" w:name="_Toc1769"/>
      <w:r>
        <w:rPr>
          <w:rFonts w:hint="eastAsia" w:ascii="宋体" w:hAnsi="宋体" w:eastAsia="宋体" w:cs="宋体"/>
          <w:b/>
          <w:color w:val="auto"/>
          <w:sz w:val="24"/>
          <w:highlight w:val="none"/>
          <w:lang w:val="en-US" w:eastAsia="zh-CN"/>
        </w:rPr>
        <w:t>三、服务要求</w:t>
      </w:r>
      <w:bookmarkEnd w:id="93"/>
    </w:p>
    <w:p w14:paraId="010C3F52">
      <w:pPr>
        <w:snapToGrid w:val="0"/>
        <w:spacing w:line="360" w:lineRule="auto"/>
        <w:ind w:firstLine="0" w:firstLineChars="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（一）区级检查验收服务要求</w:t>
      </w:r>
    </w:p>
    <w:p w14:paraId="205A5C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结合202</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zh-CN"/>
        </w:rPr>
        <w:t>年度秋季枯死松树普查小班和除治质量监管小班，以全查或抽查的方式开展除治质量区级检查验收，严格按照《松材线虫病防治技术方案（2024年版）》标准，</w:t>
      </w:r>
      <w:r>
        <w:rPr>
          <w:rFonts w:hint="eastAsia" w:ascii="宋体" w:hAnsi="宋体" w:eastAsia="宋体" w:cs="宋体"/>
          <w:bCs/>
          <w:color w:val="auto"/>
          <w:sz w:val="24"/>
          <w:szCs w:val="24"/>
          <w:highlight w:val="none"/>
          <w:lang w:val="en-US" w:eastAsia="zh-CN"/>
        </w:rPr>
        <w:t>参照</w:t>
      </w:r>
      <w:r>
        <w:rPr>
          <w:rFonts w:hint="eastAsia" w:ascii="宋体" w:hAnsi="宋体" w:eastAsia="宋体" w:cs="宋体"/>
          <w:bCs/>
          <w:color w:val="auto"/>
          <w:sz w:val="24"/>
          <w:szCs w:val="24"/>
          <w:highlight w:val="none"/>
          <w:lang w:val="zh-CN"/>
        </w:rPr>
        <w:t>《重庆市松材线虫病疫情防治成效核查评价</w:t>
      </w:r>
      <w:r>
        <w:rPr>
          <w:rFonts w:hint="eastAsia" w:ascii="宋体" w:hAnsi="宋体" w:eastAsia="宋体" w:cs="宋体"/>
          <w:bCs/>
          <w:color w:val="auto"/>
          <w:sz w:val="24"/>
          <w:szCs w:val="24"/>
          <w:highlight w:val="none"/>
          <w:lang w:val="en-US" w:eastAsia="zh-CN"/>
        </w:rPr>
        <w:t>工作</w:t>
      </w:r>
      <w:r>
        <w:rPr>
          <w:rFonts w:hint="eastAsia" w:ascii="宋体" w:hAnsi="宋体" w:eastAsia="宋体" w:cs="宋体"/>
          <w:bCs/>
          <w:color w:val="auto"/>
          <w:sz w:val="24"/>
          <w:szCs w:val="24"/>
          <w:highlight w:val="none"/>
          <w:lang w:val="zh-CN"/>
        </w:rPr>
        <w:t>方案》开展。应用无人机等设备，采用“天空地一体”方式开展检查验收工作。人工检查验收：</w:t>
      </w:r>
      <w:r>
        <w:rPr>
          <w:rFonts w:hint="eastAsia" w:ascii="宋体" w:hAnsi="宋体" w:cs="宋体"/>
          <w:bCs/>
          <w:color w:val="auto"/>
          <w:sz w:val="24"/>
          <w:szCs w:val="24"/>
          <w:highlight w:val="none"/>
          <w:lang w:val="en-US" w:eastAsia="zh-CN"/>
        </w:rPr>
        <w:t>将结合近三年秋普发生疫情严重小班、近三年拔除小班，采取全覆盖核查方式组织实施，</w:t>
      </w:r>
      <w:r>
        <w:rPr>
          <w:rFonts w:hint="eastAsia" w:ascii="宋体" w:hAnsi="宋体" w:eastAsia="宋体" w:cs="宋体"/>
          <w:bCs/>
          <w:color w:val="auto"/>
          <w:sz w:val="24"/>
          <w:szCs w:val="24"/>
          <w:highlight w:val="none"/>
          <w:lang w:val="zh-CN"/>
        </w:rPr>
        <w:t>：在人工检查的基础上，利用无人机对人工无法查看的地段（如沟谷、山脊线沿线、区县交界沿线等），进行空中监测，查清是否有未除治清理的枯死松树。</w:t>
      </w:r>
    </w:p>
    <w:p w14:paraId="2EA4ED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充分利用“人工+无人机”对各</w:t>
      </w:r>
      <w:r>
        <w:rPr>
          <w:rFonts w:hint="eastAsia" w:ascii="宋体" w:hAnsi="宋体" w:eastAsia="宋体" w:cs="宋体"/>
          <w:bCs/>
          <w:color w:val="auto"/>
          <w:sz w:val="24"/>
          <w:szCs w:val="24"/>
          <w:highlight w:val="none"/>
          <w:lang w:val="zh-CN" w:eastAsia="zh-CN"/>
        </w:rPr>
        <w:t>街镇</w:t>
      </w:r>
      <w:r>
        <w:rPr>
          <w:rFonts w:hint="eastAsia" w:ascii="宋体" w:hAnsi="宋体" w:eastAsia="宋体" w:cs="宋体"/>
          <w:bCs/>
          <w:color w:val="auto"/>
          <w:sz w:val="24"/>
          <w:szCs w:val="24"/>
          <w:highlight w:val="none"/>
          <w:lang w:val="zh-CN"/>
        </w:rPr>
        <w:t>、林场除治质量工作情况进行全覆盖检查，以林业小班为基础分乡镇级单位完成除治质量检查工作，并形成检查验收报告。</w:t>
      </w:r>
    </w:p>
    <w:p w14:paraId="466987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1.</w:t>
      </w:r>
      <w:r>
        <w:rPr>
          <w:rFonts w:hint="eastAsia" w:ascii="宋体" w:hAnsi="宋体" w:eastAsia="宋体" w:cs="宋体"/>
          <w:bCs/>
          <w:color w:val="auto"/>
          <w:sz w:val="24"/>
          <w:szCs w:val="24"/>
          <w:highlight w:val="none"/>
          <w:lang w:val="zh-CN"/>
        </w:rPr>
        <w:t>对照《</w:t>
      </w:r>
      <w:r>
        <w:rPr>
          <w:rFonts w:hint="eastAsia" w:ascii="宋体" w:hAnsi="宋体" w:cs="宋体"/>
          <w:bCs/>
          <w:color w:val="auto"/>
          <w:sz w:val="24"/>
          <w:szCs w:val="24"/>
          <w:highlight w:val="none"/>
          <w:lang w:val="zh-CN"/>
        </w:rPr>
        <w:t>石柱县</w:t>
      </w:r>
      <w:r>
        <w:rPr>
          <w:rFonts w:hint="eastAsia" w:ascii="宋体" w:hAnsi="宋体" w:eastAsia="宋体" w:cs="宋体"/>
          <w:bCs/>
          <w:color w:val="auto"/>
          <w:sz w:val="24"/>
          <w:szCs w:val="24"/>
          <w:highlight w:val="none"/>
          <w:lang w:val="zh-CN"/>
        </w:rPr>
        <w:t>202</w:t>
      </w:r>
      <w:r>
        <w:rPr>
          <w:rFonts w:hint="eastAsia" w:ascii="宋体" w:hAnsi="宋体" w:eastAsia="宋体" w:cs="宋体"/>
          <w:bCs/>
          <w:color w:val="auto"/>
          <w:sz w:val="24"/>
          <w:szCs w:val="24"/>
          <w:highlight w:val="none"/>
          <w:lang w:val="zh-CN" w:eastAsia="zh-CN"/>
        </w:rPr>
        <w:t>5</w:t>
      </w:r>
      <w:r>
        <w:rPr>
          <w:rFonts w:hint="eastAsia" w:ascii="宋体" w:hAnsi="宋体" w:eastAsia="宋体" w:cs="宋体"/>
          <w:bCs/>
          <w:color w:val="auto"/>
          <w:sz w:val="24"/>
          <w:szCs w:val="24"/>
          <w:highlight w:val="none"/>
          <w:lang w:val="zh-CN"/>
        </w:rPr>
        <w:t>-202</w:t>
      </w:r>
      <w:r>
        <w:rPr>
          <w:rFonts w:hint="eastAsia" w:ascii="宋体" w:hAnsi="宋体" w:eastAsia="宋体" w:cs="宋体"/>
          <w:bCs/>
          <w:color w:val="auto"/>
          <w:sz w:val="24"/>
          <w:szCs w:val="24"/>
          <w:highlight w:val="none"/>
          <w:lang w:val="zh-CN" w:eastAsia="zh-CN"/>
        </w:rPr>
        <w:t>6</w:t>
      </w:r>
      <w:r>
        <w:rPr>
          <w:rFonts w:hint="eastAsia" w:ascii="宋体" w:hAnsi="宋体" w:eastAsia="宋体" w:cs="宋体"/>
          <w:bCs/>
          <w:color w:val="auto"/>
          <w:sz w:val="24"/>
          <w:szCs w:val="24"/>
          <w:highlight w:val="none"/>
          <w:lang w:val="zh-CN"/>
        </w:rPr>
        <w:t>年度松材线虫病疫情防治实施方案》，检查各</w:t>
      </w:r>
      <w:r>
        <w:rPr>
          <w:rFonts w:hint="eastAsia" w:ascii="宋体" w:hAnsi="宋体" w:eastAsia="宋体" w:cs="宋体"/>
          <w:bCs/>
          <w:color w:val="auto"/>
          <w:sz w:val="24"/>
          <w:szCs w:val="24"/>
          <w:highlight w:val="none"/>
          <w:lang w:val="zh-CN" w:eastAsia="zh-CN"/>
        </w:rPr>
        <w:t>街镇</w:t>
      </w:r>
      <w:r>
        <w:rPr>
          <w:rFonts w:hint="eastAsia" w:ascii="宋体" w:hAnsi="宋体" w:eastAsia="宋体" w:cs="宋体"/>
          <w:bCs/>
          <w:color w:val="auto"/>
          <w:sz w:val="24"/>
          <w:szCs w:val="24"/>
          <w:highlight w:val="none"/>
          <w:lang w:val="zh-CN"/>
        </w:rPr>
        <w:t>、林场年度除治任务完成情况；</w:t>
      </w:r>
    </w:p>
    <w:p w14:paraId="146FC1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rPr>
        <w:t>人工检查，深入林内对所有枯死松树除治小班进行全面检查除治质量是否合格。</w:t>
      </w:r>
    </w:p>
    <w:p w14:paraId="4FE2F5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zh-CN"/>
        </w:rPr>
        <w:t>无人机空中监测，对人工无法查看的地段（如沟谷、山脊线沿线、区县交界沿线等），利用无人机进行空中监测，查验是否有未除治清理的枯死松树，空中监测面积不低于总面积的40％；</w:t>
      </w:r>
    </w:p>
    <w:p w14:paraId="304CDE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rPr>
        <w:t>检查验收过程中发现仍有簇状死亡现象的，需拍摄2张照片存档[簇状死亡标准：连片30亩以内发现病（枯、濒）死松树在5—15株以内的情形（含5株和15株）]；</w:t>
      </w:r>
    </w:p>
    <w:p w14:paraId="2E4B2F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zh-CN"/>
        </w:rPr>
        <w:t>农户检查，每个涉林</w:t>
      </w:r>
      <w:r>
        <w:rPr>
          <w:rFonts w:hint="eastAsia" w:ascii="宋体" w:hAnsi="宋体" w:eastAsia="宋体" w:cs="宋体"/>
          <w:bCs/>
          <w:color w:val="auto"/>
          <w:sz w:val="24"/>
          <w:szCs w:val="24"/>
          <w:highlight w:val="none"/>
          <w:lang w:val="en-US" w:eastAsia="zh-CN"/>
        </w:rPr>
        <w:t>村</w:t>
      </w:r>
      <w:r>
        <w:rPr>
          <w:rFonts w:hint="eastAsia" w:ascii="宋体" w:hAnsi="宋体" w:eastAsia="宋体" w:cs="宋体"/>
          <w:bCs/>
          <w:color w:val="auto"/>
          <w:sz w:val="24"/>
          <w:szCs w:val="24"/>
          <w:highlight w:val="none"/>
          <w:lang w:val="zh-CN"/>
        </w:rPr>
        <w:t>抽检</w:t>
      </w:r>
      <w:r>
        <w:rPr>
          <w:rFonts w:hint="eastAsia" w:ascii="宋体" w:hAnsi="宋体" w:eastAsia="宋体" w:cs="宋体"/>
          <w:bCs/>
          <w:color w:val="auto"/>
          <w:sz w:val="24"/>
          <w:szCs w:val="24"/>
          <w:highlight w:val="none"/>
          <w:lang w:val="en-US" w:eastAsia="zh-CN"/>
        </w:rPr>
        <w:t>不少于</w:t>
      </w:r>
      <w:r>
        <w:rPr>
          <w:rFonts w:hint="eastAsia" w:ascii="宋体" w:hAnsi="宋体" w:eastAsia="宋体" w:cs="宋体"/>
          <w:bCs/>
          <w:color w:val="auto"/>
          <w:sz w:val="24"/>
          <w:szCs w:val="24"/>
          <w:highlight w:val="none"/>
          <w:lang w:val="zh-CN"/>
        </w:rPr>
        <w:t>40户农户，检查家中松木松枝清理情况；</w:t>
      </w:r>
    </w:p>
    <w:p w14:paraId="08002C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6.涉木企业和涉松木建设工程。对全区无害化处置企业进行全查（名单由森防站提供），对涉松木建设工程进行全覆盖检查。</w:t>
      </w:r>
    </w:p>
    <w:p w14:paraId="21EC3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lang w:val="zh-CN"/>
        </w:rPr>
        <w:t>在检查各小班、农户中发现问题的情形均要摄取2张照片，小班照片按照</w:t>
      </w:r>
      <w:r>
        <w:rPr>
          <w:rFonts w:hint="eastAsia" w:ascii="宋体" w:hAnsi="宋体" w:eastAsia="宋体" w:cs="宋体"/>
          <w:bCs/>
          <w:color w:val="auto"/>
          <w:sz w:val="24"/>
          <w:szCs w:val="24"/>
          <w:highlight w:val="none"/>
          <w:lang w:val="zh-CN" w:eastAsia="zh-CN"/>
        </w:rPr>
        <w:t>街镇</w:t>
      </w:r>
      <w:r>
        <w:rPr>
          <w:rFonts w:hint="eastAsia" w:ascii="宋体" w:hAnsi="宋体" w:eastAsia="宋体" w:cs="宋体"/>
          <w:bCs/>
          <w:color w:val="auto"/>
          <w:sz w:val="24"/>
          <w:szCs w:val="24"/>
          <w:highlight w:val="none"/>
          <w:lang w:val="zh-CN"/>
        </w:rPr>
        <w:t>（林场）-村（林区）-小班号、小地名-问题-数量的规则进行标注，农户照片对象按</w:t>
      </w:r>
      <w:r>
        <w:rPr>
          <w:rFonts w:hint="eastAsia" w:ascii="宋体" w:hAnsi="宋体" w:eastAsia="宋体" w:cs="宋体"/>
          <w:bCs/>
          <w:color w:val="auto"/>
          <w:sz w:val="24"/>
          <w:szCs w:val="24"/>
          <w:highlight w:val="none"/>
          <w:lang w:val="zh-CN" w:eastAsia="zh-CN"/>
        </w:rPr>
        <w:t>街镇</w:t>
      </w:r>
      <w:r>
        <w:rPr>
          <w:rFonts w:hint="eastAsia" w:ascii="宋体" w:hAnsi="宋体" w:eastAsia="宋体" w:cs="宋体"/>
          <w:bCs/>
          <w:color w:val="auto"/>
          <w:sz w:val="24"/>
          <w:szCs w:val="24"/>
          <w:highlight w:val="none"/>
          <w:lang w:val="zh-CN"/>
        </w:rPr>
        <w:t>-村-组-门牌号-户名-问题-数量的规则进行标注，涉木企业和涉木建设工程照片按</w:t>
      </w:r>
      <w:r>
        <w:rPr>
          <w:rFonts w:hint="eastAsia" w:ascii="宋体" w:hAnsi="宋体" w:eastAsia="宋体" w:cs="宋体"/>
          <w:bCs/>
          <w:color w:val="auto"/>
          <w:sz w:val="24"/>
          <w:szCs w:val="24"/>
          <w:highlight w:val="none"/>
          <w:lang w:val="zh-CN" w:eastAsia="zh-CN"/>
        </w:rPr>
        <w:t>街镇</w:t>
      </w:r>
      <w:r>
        <w:rPr>
          <w:rFonts w:hint="eastAsia" w:ascii="宋体" w:hAnsi="宋体" w:eastAsia="宋体" w:cs="宋体"/>
          <w:bCs/>
          <w:color w:val="auto"/>
          <w:sz w:val="24"/>
          <w:szCs w:val="24"/>
          <w:highlight w:val="none"/>
          <w:lang w:val="zh-CN"/>
        </w:rPr>
        <w:t>-单位名称的规则进行标注。</w:t>
      </w:r>
    </w:p>
    <w:p w14:paraId="36EB85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zh-CN"/>
        </w:rPr>
        <w:t>根据现场检查情况和结果分析，按要求编制除治质量检查验收报告3份。形成全区除治</w:t>
      </w:r>
      <w:r>
        <w:rPr>
          <w:rFonts w:hint="eastAsia" w:ascii="宋体" w:hAnsi="宋体" w:eastAsia="宋体" w:cs="宋体"/>
          <w:bCs/>
          <w:color w:val="auto"/>
          <w:sz w:val="24"/>
          <w:szCs w:val="24"/>
          <w:highlight w:val="none"/>
          <w:lang w:val="en-US" w:eastAsia="zh-CN"/>
        </w:rPr>
        <w:t>完成情况</w:t>
      </w:r>
      <w:r>
        <w:rPr>
          <w:rFonts w:hint="eastAsia" w:ascii="宋体" w:hAnsi="宋体" w:eastAsia="宋体" w:cs="宋体"/>
          <w:bCs/>
          <w:color w:val="auto"/>
          <w:sz w:val="24"/>
          <w:szCs w:val="24"/>
          <w:highlight w:val="none"/>
          <w:lang w:val="zh-CN"/>
        </w:rPr>
        <w:t>一张图纸质件</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rPr>
        <w:t>份。</w:t>
      </w:r>
    </w:p>
    <w:p w14:paraId="21F356DA">
      <w:pPr>
        <w:snapToGrid w:val="0"/>
        <w:spacing w:line="360" w:lineRule="auto"/>
        <w:ind w:firstLine="0" w:firstLineChars="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（二）区级检查验收标准</w:t>
      </w:r>
    </w:p>
    <w:p w14:paraId="25A5E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除治质量验收实行评分制，参照《重庆市松材线虫病疫情防治成效核查评价工作方案》中除治质量核查标准，分为优秀、良好、合格和不合格四个等次。</w:t>
      </w:r>
    </w:p>
    <w:p w14:paraId="15AF8C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区级验收单位按时提交检查验收结果，确保数据来源有据、评价客观公正。所有扣分项要提供扣分证据，经林业局审核研判确认后方可扣分。核查资料规范整理并上交林业局森防站，森防站对区级验收单位提供的结果报告进行认真审查，确保结果公平公正公开。评价结果及时通报相关街镇和林场，并作为补助资金的依据之一。验收单位不得隐瞒被查单位的扣分资料，不得外泄松材线虫病的所有视频图片和资料数据。</w:t>
      </w:r>
    </w:p>
    <w:p w14:paraId="6CF408CD">
      <w:pPr>
        <w:pStyle w:val="3"/>
        <w:adjustRightInd w:val="0"/>
        <w:snapToGrid w:val="0"/>
        <w:spacing w:before="0" w:after="0" w:line="560" w:lineRule="exact"/>
        <w:rPr>
          <w:rFonts w:hint="eastAsia" w:ascii="宋体" w:hAnsi="宋体" w:eastAsia="宋体" w:cs="宋体"/>
          <w:b/>
          <w:color w:val="auto"/>
          <w:sz w:val="24"/>
          <w:highlight w:val="none"/>
          <w:lang w:val="en-US" w:eastAsia="zh-CN"/>
        </w:rPr>
      </w:pPr>
      <w:bookmarkStart w:id="94" w:name="_Toc6783"/>
      <w:r>
        <w:rPr>
          <w:rFonts w:hint="eastAsia" w:ascii="宋体" w:hAnsi="宋体" w:eastAsia="宋体" w:cs="宋体"/>
          <w:b/>
          <w:color w:val="auto"/>
          <w:sz w:val="24"/>
          <w:highlight w:val="none"/>
          <w:lang w:val="en-US" w:eastAsia="zh-CN"/>
        </w:rPr>
        <w:t>四、其他</w:t>
      </w:r>
      <w:bookmarkEnd w:id="94"/>
    </w:p>
    <w:p w14:paraId="2865331D">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现场踏勘；本项目不组织集体现场踏勘，各供应商可自行对现场进行踏勘。踏勘现场所发生的所有费用（包含因踏勘现场而造成的死亡、人身伤害、财产损失和产生的其他费用）均由供应商自行承担、充分考虑了本项目可能面临的不确定因素可能导致的风险。供应商一旦成交，成交供应商不得以不完全了解现场情况为借口而提出额外赔偿，或延长工期等要求</w:t>
      </w:r>
      <w:r>
        <w:rPr>
          <w:rFonts w:hint="eastAsia" w:ascii="宋体" w:hAnsi="宋体" w:cs="宋体"/>
          <w:bCs/>
          <w:color w:val="auto"/>
          <w:sz w:val="24"/>
          <w:szCs w:val="24"/>
          <w:highlight w:val="none"/>
          <w:lang w:eastAsia="zh-CN"/>
        </w:rPr>
        <w:t>。</w:t>
      </w:r>
    </w:p>
    <w:p w14:paraId="6313C0AA">
      <w:pPr>
        <w:pStyle w:val="2"/>
        <w:jc w:val="center"/>
        <w:rPr>
          <w:rFonts w:hint="eastAsia" w:hAnsi="宋体" w:cs="宋体"/>
          <w:b/>
          <w:bCs/>
          <w:color w:val="auto"/>
          <w:sz w:val="36"/>
          <w:szCs w:val="36"/>
          <w:highlight w:val="none"/>
        </w:rPr>
      </w:pPr>
      <w:r>
        <w:rPr>
          <w:rFonts w:hint="eastAsia" w:hAnsi="宋体" w:cs="宋体"/>
          <w:b/>
          <w:bCs/>
          <w:color w:val="auto"/>
          <w:sz w:val="36"/>
          <w:szCs w:val="36"/>
          <w:highlight w:val="none"/>
        </w:rPr>
        <w:br w:type="page"/>
      </w:r>
      <w:bookmarkStart w:id="95" w:name="_Toc12009"/>
      <w:bookmarkStart w:id="96" w:name="_Toc13610"/>
      <w:bookmarkStart w:id="97" w:name="_Toc14065"/>
      <w:bookmarkStart w:id="98" w:name="_Toc12147"/>
      <w:bookmarkStart w:id="99" w:name="_Toc32601"/>
      <w:bookmarkStart w:id="100" w:name="_Toc22681"/>
      <w:r>
        <w:rPr>
          <w:rFonts w:hint="eastAsia" w:hAnsi="宋体" w:cs="宋体"/>
          <w:b/>
          <w:bCs/>
          <w:color w:val="auto"/>
          <w:sz w:val="36"/>
          <w:szCs w:val="36"/>
          <w:highlight w:val="none"/>
        </w:rPr>
        <w:t>第三篇 项目商务需求</w:t>
      </w:r>
      <w:bookmarkEnd w:id="77"/>
      <w:bookmarkEnd w:id="95"/>
      <w:bookmarkEnd w:id="96"/>
      <w:bookmarkEnd w:id="97"/>
      <w:bookmarkEnd w:id="98"/>
      <w:bookmarkEnd w:id="99"/>
      <w:bookmarkEnd w:id="100"/>
    </w:p>
    <w:p w14:paraId="21358726">
      <w:pPr>
        <w:rPr>
          <w:rFonts w:hint="eastAsia" w:ascii="宋体" w:hAnsi="宋体" w:cs="宋体"/>
          <w:color w:val="auto"/>
          <w:highlight w:val="none"/>
        </w:rPr>
      </w:pPr>
    </w:p>
    <w:p w14:paraId="1475332B">
      <w:pPr>
        <w:snapToGrid w:val="0"/>
        <w:spacing w:line="360" w:lineRule="auto"/>
        <w:rPr>
          <w:rFonts w:hint="eastAsia" w:ascii="宋体" w:hAnsi="宋体" w:cs="宋体"/>
          <w:b/>
          <w:bCs/>
          <w:color w:val="auto"/>
          <w:sz w:val="21"/>
          <w:szCs w:val="21"/>
          <w:highlight w:val="none"/>
        </w:rPr>
      </w:pPr>
      <w:bookmarkStart w:id="101" w:name="_Toc267320049"/>
      <w:r>
        <w:rPr>
          <w:rFonts w:hint="eastAsia" w:ascii="宋体" w:hAnsi="宋体" w:cs="宋体"/>
          <w:b/>
          <w:bCs/>
          <w:color w:val="auto"/>
          <w:sz w:val="21"/>
          <w:szCs w:val="21"/>
          <w:highlight w:val="none"/>
        </w:rPr>
        <w:t>项目商务需求中所有要求均为符合性审查中的实质性要求，响应文件若不满足按无效响应处理。</w:t>
      </w:r>
      <w:bookmarkEnd w:id="101"/>
    </w:p>
    <w:bookmarkEnd w:id="78"/>
    <w:bookmarkEnd w:id="79"/>
    <w:p w14:paraId="49E7D625">
      <w:pPr>
        <w:pStyle w:val="3"/>
        <w:adjustRightInd w:val="0"/>
        <w:snapToGrid w:val="0"/>
        <w:spacing w:before="0" w:after="0" w:line="560" w:lineRule="exact"/>
        <w:rPr>
          <w:rFonts w:hint="eastAsia" w:ascii="宋体" w:hAnsi="宋体" w:eastAsia="宋体" w:cs="宋体"/>
          <w:b/>
          <w:color w:val="auto"/>
          <w:sz w:val="24"/>
          <w:highlight w:val="none"/>
          <w:lang w:val="en-US" w:eastAsia="zh-CN"/>
        </w:rPr>
      </w:pPr>
      <w:bookmarkStart w:id="102" w:name="_Toc127957611"/>
      <w:bookmarkStart w:id="103" w:name="_Toc8697"/>
      <w:bookmarkStart w:id="104" w:name="_Toc6927"/>
      <w:bookmarkStart w:id="105" w:name="_Toc17573"/>
      <w:bookmarkStart w:id="106" w:name="_Toc18575"/>
      <w:bookmarkStart w:id="107" w:name="_Toc344475122"/>
      <w:bookmarkStart w:id="108" w:name="_Toc521399411"/>
      <w:bookmarkStart w:id="109" w:name="_Toc31229"/>
      <w:bookmarkStart w:id="110" w:name="_Toc27675"/>
      <w:bookmarkStart w:id="111" w:name="_Toc2847"/>
      <w:bookmarkStart w:id="112" w:name="_Toc30780"/>
      <w:bookmarkStart w:id="113" w:name="_Toc16123"/>
      <w:bookmarkStart w:id="114" w:name="_Toc65660349"/>
      <w:bookmarkStart w:id="115" w:name="_Toc31282"/>
      <w:bookmarkStart w:id="116" w:name="_Toc106034789"/>
      <w:bookmarkStart w:id="117" w:name="_Toc24195"/>
      <w:bookmarkStart w:id="118" w:name="_Toc11641055"/>
      <w:bookmarkStart w:id="119" w:name="_Toc12789059"/>
      <w:bookmarkStart w:id="120" w:name="_Toc18865"/>
      <w:r>
        <w:rPr>
          <w:rFonts w:hint="eastAsia" w:ascii="宋体" w:hAnsi="宋体" w:eastAsia="宋体" w:cs="宋体"/>
          <w:b/>
          <w:color w:val="auto"/>
          <w:sz w:val="24"/>
          <w:highlight w:val="none"/>
          <w:lang w:val="en-US" w:eastAsia="zh-CN"/>
        </w:rPr>
        <w:t>一、</w:t>
      </w:r>
      <w:bookmarkEnd w:id="102"/>
      <w:r>
        <w:rPr>
          <w:rFonts w:hint="eastAsia" w:ascii="宋体" w:hAnsi="宋体" w:eastAsia="宋体" w:cs="宋体"/>
          <w:b/>
          <w:color w:val="auto"/>
          <w:sz w:val="24"/>
          <w:highlight w:val="none"/>
          <w:lang w:val="en-US" w:eastAsia="zh-CN"/>
        </w:rPr>
        <w:t>服务期限、项目地点及验收方式</w:t>
      </w:r>
      <w:bookmarkEnd w:id="103"/>
    </w:p>
    <w:p w14:paraId="4D8A7A8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（一）服务期限</w:t>
      </w:r>
    </w:p>
    <w:p w14:paraId="4FEA441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自合同签订之日起至2026年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月3</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日。</w:t>
      </w:r>
    </w:p>
    <w:p w14:paraId="5C7721E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地点</w:t>
      </w:r>
    </w:p>
    <w:p w14:paraId="4D4A73F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采购人指定地方</w:t>
      </w:r>
      <w:r>
        <w:rPr>
          <w:rFonts w:hint="eastAsia" w:ascii="宋体" w:hAnsi="宋体" w:cs="宋体"/>
          <w:color w:val="auto"/>
          <w:sz w:val="24"/>
          <w:szCs w:val="24"/>
          <w:highlight w:val="none"/>
        </w:rPr>
        <w:t>。</w:t>
      </w:r>
    </w:p>
    <w:p w14:paraId="6172EE1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（三）验收方式</w:t>
      </w:r>
    </w:p>
    <w:p w14:paraId="2EEF9187">
      <w:pPr>
        <w:spacing w:before="0" w:after="0"/>
        <w:ind w:firstLine="480" w:firstLineChars="200"/>
        <w:rPr>
          <w:rFonts w:hint="eastAsia" w:ascii="宋体" w:hAnsi="宋体" w:cs="宋体"/>
          <w:b/>
          <w:color w:val="auto"/>
          <w:sz w:val="24"/>
          <w:szCs w:val="24"/>
          <w:highlight w:val="none"/>
        </w:rPr>
      </w:pPr>
      <w:r>
        <w:rPr>
          <w:rFonts w:hint="eastAsia" w:ascii="宋体" w:hAnsi="宋体" w:eastAsia="宋体" w:cs="宋体"/>
          <w:color w:val="auto"/>
          <w:sz w:val="24"/>
          <w:szCs w:val="24"/>
          <w:highlight w:val="none"/>
          <w:lang w:val="zh-CN"/>
        </w:rPr>
        <w:t>根据采购人、网上竞采文件及合同要求进行验收。</w:t>
      </w:r>
    </w:p>
    <w:p w14:paraId="00CE58E1">
      <w:pPr>
        <w:pStyle w:val="3"/>
        <w:adjustRightInd w:val="0"/>
        <w:snapToGrid w:val="0"/>
        <w:spacing w:before="0" w:after="0" w:line="560" w:lineRule="exact"/>
        <w:rPr>
          <w:rFonts w:hint="eastAsia" w:ascii="宋体" w:hAnsi="宋体" w:eastAsia="宋体" w:cs="宋体"/>
          <w:b/>
          <w:color w:val="auto"/>
          <w:sz w:val="24"/>
          <w:highlight w:val="none"/>
          <w:lang w:val="en-US" w:eastAsia="zh-CN"/>
        </w:rPr>
      </w:pPr>
      <w:bookmarkStart w:id="121" w:name="_Toc26614"/>
      <w:r>
        <w:rPr>
          <w:rFonts w:hint="eastAsia" w:ascii="宋体" w:hAnsi="宋体" w:eastAsia="宋体" w:cs="宋体"/>
          <w:b/>
          <w:color w:val="auto"/>
          <w:sz w:val="24"/>
          <w:highlight w:val="none"/>
          <w:lang w:val="en-US" w:eastAsia="zh-CN"/>
        </w:rPr>
        <w:t>二、报价要求</w:t>
      </w:r>
      <w:bookmarkEnd w:id="121"/>
    </w:p>
    <w:p w14:paraId="2641069E">
      <w:pPr>
        <w:spacing w:line="360" w:lineRule="auto"/>
        <w:ind w:firstLine="480" w:firstLineChars="200"/>
        <w:rPr>
          <w:rFonts w:hint="eastAsia" w:ascii="宋体" w:hAnsi="宋体" w:eastAsia="宋体" w:cs="宋体"/>
          <w:color w:val="auto"/>
          <w:sz w:val="24"/>
          <w:szCs w:val="24"/>
          <w:highlight w:val="none"/>
        </w:rPr>
      </w:pPr>
      <w:bookmarkStart w:id="122" w:name="_Toc26898"/>
      <w:bookmarkStart w:id="123" w:name="_Toc509233094"/>
      <w:r>
        <w:rPr>
          <w:rFonts w:hint="eastAsia" w:ascii="宋体" w:hAnsi="宋体" w:eastAsia="宋体" w:cs="宋体"/>
          <w:color w:val="auto"/>
          <w:sz w:val="24"/>
          <w:szCs w:val="24"/>
          <w:highlight w:val="none"/>
          <w:lang w:val="zh-CN"/>
        </w:rPr>
        <w:t>供应商</w:t>
      </w:r>
      <w:r>
        <w:rPr>
          <w:rFonts w:hint="eastAsia" w:ascii="宋体" w:hAnsi="宋体" w:eastAsia="宋体" w:cs="宋体"/>
          <w:color w:val="auto"/>
          <w:sz w:val="24"/>
          <w:szCs w:val="24"/>
          <w:highlight w:val="none"/>
          <w:lang w:val="zh-CN" w:eastAsia="zh-CN"/>
        </w:rPr>
        <w:t>投标</w:t>
      </w:r>
      <w:r>
        <w:rPr>
          <w:rFonts w:hint="eastAsia" w:ascii="宋体" w:hAnsi="宋体" w:eastAsia="宋体" w:cs="宋体"/>
          <w:color w:val="auto"/>
          <w:sz w:val="24"/>
          <w:szCs w:val="24"/>
          <w:highlight w:val="none"/>
          <w:lang w:val="zh-CN"/>
        </w:rPr>
        <w:t>报价为人民币报价，</w:t>
      </w:r>
      <w:bookmarkStart w:id="124" w:name="_Toc2140"/>
      <w:bookmarkStart w:id="125" w:name="_Toc441065668"/>
      <w:bookmarkStart w:id="126" w:name="_Toc24913"/>
      <w:bookmarkStart w:id="127" w:name="_Toc4261"/>
      <w:r>
        <w:rPr>
          <w:rFonts w:hint="eastAsia" w:ascii="宋体" w:hAnsi="宋体" w:eastAsia="宋体" w:cs="宋体"/>
          <w:color w:val="auto"/>
          <w:sz w:val="24"/>
          <w:szCs w:val="24"/>
          <w:highlight w:val="none"/>
          <w:lang w:val="zh-CN"/>
        </w:rPr>
        <w:t>报价须包含但不限于：完成本项目所需的服务费、人工费及提供服务所需的设备或货物购买（制造）费、辅材费、运输费、装卸费、安装调试费、培训费及各种应纳的税费等完成本项目所需的所有费用。</w:t>
      </w:r>
      <w:r>
        <w:rPr>
          <w:rFonts w:hint="eastAsia" w:ascii="宋体" w:hAnsi="宋体" w:eastAsia="宋体" w:cs="宋体"/>
          <w:color w:val="auto"/>
          <w:sz w:val="24"/>
          <w:szCs w:val="24"/>
          <w:highlight w:val="none"/>
          <w:lang w:val="zh-CN" w:eastAsia="zh-CN"/>
        </w:rPr>
        <w:t>因成交人自身原因造成漏报、少报皆由其自行承担责任，采购人不再补偿。</w:t>
      </w:r>
      <w:bookmarkEnd w:id="124"/>
      <w:bookmarkEnd w:id="125"/>
      <w:bookmarkEnd w:id="126"/>
      <w:bookmarkEnd w:id="127"/>
    </w:p>
    <w:bookmarkEnd w:id="122"/>
    <w:bookmarkEnd w:id="123"/>
    <w:p w14:paraId="24225F2B">
      <w:pPr>
        <w:pStyle w:val="3"/>
        <w:adjustRightInd w:val="0"/>
        <w:snapToGrid w:val="0"/>
        <w:spacing w:before="0" w:after="0" w:line="560" w:lineRule="exact"/>
        <w:rPr>
          <w:rFonts w:hint="eastAsia" w:ascii="宋体" w:hAnsi="宋体" w:eastAsia="宋体" w:cs="宋体"/>
          <w:b/>
          <w:color w:val="auto"/>
          <w:sz w:val="24"/>
          <w:highlight w:val="none"/>
          <w:lang w:val="en-US" w:eastAsia="zh-CN"/>
        </w:rPr>
      </w:pPr>
      <w:bookmarkStart w:id="128" w:name="_Toc26693"/>
      <w:r>
        <w:rPr>
          <w:rFonts w:hint="eastAsia" w:ascii="宋体" w:hAnsi="宋体" w:eastAsia="宋体" w:cs="宋体"/>
          <w:b/>
          <w:color w:val="auto"/>
          <w:sz w:val="24"/>
          <w:highlight w:val="none"/>
          <w:lang w:val="en-US" w:eastAsia="zh-CN"/>
        </w:rPr>
        <w:t>三、付款方式</w:t>
      </w:r>
      <w:bookmarkEnd w:id="104"/>
      <w:bookmarkEnd w:id="105"/>
      <w:bookmarkEnd w:id="106"/>
      <w:bookmarkEnd w:id="107"/>
      <w:bookmarkEnd w:id="108"/>
      <w:bookmarkEnd w:id="109"/>
      <w:bookmarkEnd w:id="110"/>
      <w:bookmarkEnd w:id="111"/>
      <w:bookmarkEnd w:id="112"/>
      <w:bookmarkEnd w:id="128"/>
      <w:bookmarkStart w:id="129" w:name="_Toc344475123"/>
    </w:p>
    <w:p w14:paraId="20B5D9B1">
      <w:pPr>
        <w:bidi w:val="0"/>
        <w:ind w:firstLine="560" w:firstLineChars="200"/>
        <w:rPr>
          <w:rFonts w:hint="default"/>
        </w:rPr>
      </w:pPr>
      <w:bookmarkStart w:id="130" w:name="_Toc7682"/>
      <w:bookmarkStart w:id="131" w:name="_Toc1640"/>
      <w:bookmarkStart w:id="132" w:name="_Toc30510"/>
      <w:bookmarkStart w:id="133" w:name="_Toc32367"/>
      <w:bookmarkStart w:id="134" w:name="_Toc20153"/>
      <w:bookmarkStart w:id="135" w:name="_Toc24075"/>
      <w:bookmarkStart w:id="136" w:name="_Toc521399412"/>
      <w:bookmarkStart w:id="137" w:name="_Toc15783"/>
      <w:r>
        <w:rPr>
          <w:rFonts w:hint="default"/>
        </w:rPr>
        <w:t>乙方完成所有验收工作</w:t>
      </w:r>
      <w:r>
        <w:rPr>
          <w:rFonts w:hint="eastAsia"/>
          <w:lang w:eastAsia="zh-CN"/>
        </w:rPr>
        <w:t>后向甲方提出</w:t>
      </w:r>
      <w:r>
        <w:rPr>
          <w:rFonts w:hint="eastAsia"/>
          <w:lang w:val="en-US" w:eastAsia="zh-CN"/>
        </w:rPr>
        <w:t>符合性抽查</w:t>
      </w:r>
      <w:r>
        <w:rPr>
          <w:rFonts w:hint="eastAsia"/>
          <w:lang w:eastAsia="zh-CN"/>
        </w:rPr>
        <w:t>申请，甲方于</w:t>
      </w:r>
      <w:r>
        <w:rPr>
          <w:rFonts w:hint="eastAsia"/>
          <w:lang w:val="en-US" w:eastAsia="zh-CN"/>
        </w:rPr>
        <w:t>15日内组织开展并完成</w:t>
      </w:r>
      <w:r>
        <w:rPr>
          <w:rFonts w:hint="default"/>
        </w:rPr>
        <w:t>符合性抽查</w:t>
      </w:r>
      <w:r>
        <w:rPr>
          <w:rFonts w:hint="eastAsia"/>
          <w:lang w:eastAsia="zh-CN"/>
        </w:rPr>
        <w:t>，通过</w:t>
      </w:r>
      <w:r>
        <w:rPr>
          <w:rFonts w:hint="default"/>
        </w:rPr>
        <w:t>符合性抽查</w:t>
      </w:r>
      <w:r>
        <w:rPr>
          <w:rFonts w:hint="eastAsia"/>
          <w:lang w:val="en-US" w:eastAsia="zh-CN"/>
        </w:rPr>
        <w:t>且合格、</w:t>
      </w:r>
      <w:r>
        <w:rPr>
          <w:rFonts w:hint="default"/>
        </w:rPr>
        <w:t>甲方在收到乙方开具发票</w:t>
      </w:r>
      <w:r>
        <w:rPr>
          <w:rFonts w:hint="eastAsia"/>
          <w:lang w:val="en-US" w:eastAsia="zh-CN"/>
        </w:rPr>
        <w:t>后，</w:t>
      </w:r>
      <w:r>
        <w:rPr>
          <w:rFonts w:hint="default"/>
        </w:rPr>
        <w:t>30个日历日内</w:t>
      </w:r>
      <w:r>
        <w:rPr>
          <w:rFonts w:hint="eastAsia"/>
          <w:lang w:eastAsia="zh-CN"/>
        </w:rPr>
        <w:t>提请县财政</w:t>
      </w:r>
      <w:r>
        <w:rPr>
          <w:rFonts w:hint="eastAsia"/>
          <w:lang w:val="en-US" w:eastAsia="zh-CN"/>
        </w:rPr>
        <w:t>一次性</w:t>
      </w:r>
      <w:r>
        <w:rPr>
          <w:rFonts w:hint="default"/>
        </w:rPr>
        <w:t>支付</w:t>
      </w:r>
      <w:r>
        <w:rPr>
          <w:rFonts w:hint="eastAsia"/>
          <w:lang w:eastAsia="zh-CN"/>
        </w:rPr>
        <w:t>，最终支付时间以财政审核支付为准</w:t>
      </w:r>
      <w:r>
        <w:rPr>
          <w:rFonts w:hint="default"/>
        </w:rPr>
        <w:t>。</w:t>
      </w:r>
    </w:p>
    <w:bookmarkEnd w:id="129"/>
    <w:bookmarkEnd w:id="130"/>
    <w:bookmarkEnd w:id="131"/>
    <w:bookmarkEnd w:id="132"/>
    <w:bookmarkEnd w:id="133"/>
    <w:bookmarkEnd w:id="134"/>
    <w:bookmarkEnd w:id="135"/>
    <w:bookmarkEnd w:id="136"/>
    <w:bookmarkEnd w:id="137"/>
    <w:p w14:paraId="4C2BA4BE">
      <w:pPr>
        <w:pStyle w:val="3"/>
        <w:adjustRightInd w:val="0"/>
        <w:snapToGrid w:val="0"/>
        <w:spacing w:before="0" w:after="0" w:line="560" w:lineRule="exact"/>
        <w:rPr>
          <w:rFonts w:hint="eastAsia" w:ascii="宋体" w:hAnsi="宋体" w:eastAsia="宋体" w:cs="宋体"/>
          <w:b/>
          <w:color w:val="auto"/>
          <w:sz w:val="24"/>
          <w:highlight w:val="none"/>
          <w:lang w:val="en-US" w:eastAsia="zh-CN"/>
        </w:rPr>
      </w:pPr>
      <w:bookmarkStart w:id="138" w:name="_Toc12213"/>
      <w:r>
        <w:rPr>
          <w:rFonts w:hint="eastAsia" w:ascii="宋体" w:hAnsi="宋体" w:eastAsia="宋体" w:cs="宋体"/>
          <w:b/>
          <w:color w:val="auto"/>
          <w:sz w:val="24"/>
          <w:highlight w:val="none"/>
          <w:lang w:val="en-US" w:eastAsia="zh-CN"/>
        </w:rPr>
        <w:t>四、知识产权</w:t>
      </w:r>
      <w:bookmarkEnd w:id="138"/>
    </w:p>
    <w:p w14:paraId="6210101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053620F">
      <w:pPr>
        <w:pStyle w:val="3"/>
        <w:adjustRightInd w:val="0"/>
        <w:snapToGrid w:val="0"/>
        <w:spacing w:before="0" w:after="0" w:line="560" w:lineRule="exact"/>
        <w:rPr>
          <w:rFonts w:hint="eastAsia" w:ascii="宋体" w:hAnsi="宋体" w:eastAsia="宋体" w:cs="宋体"/>
          <w:b/>
          <w:color w:val="auto"/>
          <w:sz w:val="24"/>
          <w:highlight w:val="none"/>
          <w:lang w:val="en-US" w:eastAsia="zh-CN"/>
        </w:rPr>
      </w:pPr>
      <w:bookmarkStart w:id="139" w:name="_Toc31694"/>
      <w:bookmarkStart w:id="140" w:name="_Toc8204"/>
      <w:bookmarkStart w:id="141" w:name="_Toc521399413"/>
      <w:bookmarkStart w:id="142" w:name="_Toc17561"/>
      <w:bookmarkStart w:id="143" w:name="_Toc700"/>
      <w:bookmarkStart w:id="144" w:name="_Toc13503"/>
      <w:bookmarkStart w:id="145" w:name="_Toc24816"/>
      <w:bookmarkStart w:id="146" w:name="_Toc344475125"/>
      <w:bookmarkStart w:id="147" w:name="_Toc6899"/>
      <w:bookmarkStart w:id="148" w:name="_Toc658"/>
      <w:r>
        <w:rPr>
          <w:rFonts w:hint="eastAsia" w:ascii="宋体" w:hAnsi="宋体" w:eastAsia="宋体" w:cs="宋体"/>
          <w:b/>
          <w:color w:val="auto"/>
          <w:sz w:val="24"/>
          <w:highlight w:val="none"/>
          <w:lang w:val="en-US" w:eastAsia="zh-CN"/>
        </w:rPr>
        <w:t>五、其他</w:t>
      </w:r>
      <w:bookmarkEnd w:id="139"/>
      <w:bookmarkEnd w:id="140"/>
      <w:bookmarkEnd w:id="141"/>
      <w:bookmarkEnd w:id="142"/>
      <w:bookmarkEnd w:id="143"/>
      <w:bookmarkEnd w:id="144"/>
      <w:bookmarkEnd w:id="145"/>
      <w:bookmarkEnd w:id="146"/>
      <w:bookmarkEnd w:id="147"/>
      <w:bookmarkEnd w:id="148"/>
    </w:p>
    <w:p w14:paraId="1BF406D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.其他未尽事宜由供需双方在采购合同中详细约定。</w:t>
      </w:r>
    </w:p>
    <w:p w14:paraId="1699EC37">
      <w:pPr>
        <w:widowControl/>
        <w:tabs>
          <w:tab w:val="left" w:pos="2370"/>
          <w:tab w:val="center" w:pos="4320"/>
        </w:tabs>
        <w:spacing w:line="360" w:lineRule="auto"/>
        <w:outlineLvl w:val="0"/>
        <w:rPr>
          <w:rStyle w:val="19"/>
          <w:rFonts w:hint="eastAsia" w:hAnsi="宋体" w:cs="宋体"/>
          <w:b/>
          <w:bCs/>
          <w:color w:val="auto"/>
          <w:sz w:val="36"/>
          <w:szCs w:val="36"/>
          <w:highlight w:val="none"/>
        </w:rPr>
      </w:pPr>
      <w:r>
        <w:rPr>
          <w:rStyle w:val="19"/>
          <w:rFonts w:hint="eastAsia" w:hAnsi="宋体" w:cs="宋体"/>
          <w:b/>
          <w:bCs/>
          <w:color w:val="auto"/>
          <w:sz w:val="36"/>
          <w:szCs w:val="36"/>
          <w:highlight w:val="none"/>
        </w:rPr>
        <w:br w:type="page"/>
      </w:r>
      <w:bookmarkStart w:id="149" w:name="_Toc3885"/>
      <w:bookmarkStart w:id="150" w:name="_Toc18003"/>
      <w:bookmarkStart w:id="151" w:name="_Toc3807"/>
      <w:bookmarkStart w:id="152" w:name="_Toc25567"/>
      <w:bookmarkStart w:id="153" w:name="_Toc31133"/>
      <w:bookmarkStart w:id="154" w:name="_Toc25875"/>
      <w:r>
        <w:rPr>
          <w:rStyle w:val="19"/>
          <w:rFonts w:hint="eastAsia" w:hAnsi="宋体" w:cs="宋体"/>
          <w:b/>
          <w:bCs/>
          <w:color w:val="auto"/>
          <w:sz w:val="36"/>
          <w:szCs w:val="36"/>
          <w:highlight w:val="none"/>
        </w:rPr>
        <w:t>第四篇  采购程序、评定成交的标准、无效报价及采购终止</w:t>
      </w:r>
      <w:bookmarkEnd w:id="113"/>
      <w:bookmarkEnd w:id="114"/>
      <w:bookmarkEnd w:id="115"/>
      <w:bookmarkEnd w:id="116"/>
      <w:bookmarkEnd w:id="117"/>
      <w:bookmarkEnd w:id="149"/>
      <w:bookmarkEnd w:id="150"/>
      <w:bookmarkEnd w:id="151"/>
      <w:bookmarkEnd w:id="152"/>
      <w:bookmarkEnd w:id="153"/>
      <w:bookmarkEnd w:id="154"/>
    </w:p>
    <w:p w14:paraId="39638928">
      <w:pPr>
        <w:pStyle w:val="3"/>
        <w:adjustRightInd w:val="0"/>
        <w:snapToGrid w:val="0"/>
        <w:spacing w:before="0" w:after="0" w:line="560" w:lineRule="exact"/>
        <w:rPr>
          <w:rFonts w:hint="eastAsia" w:ascii="宋体" w:hAnsi="宋体" w:eastAsia="宋体" w:cs="宋体"/>
          <w:color w:val="auto"/>
          <w:sz w:val="24"/>
          <w:highlight w:val="none"/>
        </w:rPr>
      </w:pPr>
      <w:bookmarkStart w:id="155" w:name="_Toc5167"/>
      <w:bookmarkStart w:id="156" w:name="_Toc11926"/>
      <w:bookmarkStart w:id="157" w:name="_Toc24656"/>
      <w:bookmarkStart w:id="158" w:name="_Toc9361"/>
      <w:bookmarkStart w:id="159" w:name="_Toc27616"/>
      <w:bookmarkStart w:id="160" w:name="_Toc19708"/>
      <w:bookmarkStart w:id="161" w:name="_Toc23417"/>
      <w:bookmarkStart w:id="162" w:name="_Toc106034790"/>
      <w:bookmarkStart w:id="163" w:name="_Toc65660350"/>
      <w:bookmarkStart w:id="164" w:name="_Toc28169"/>
      <w:bookmarkStart w:id="165" w:name="_Toc27932"/>
      <w:bookmarkStart w:id="166" w:name="_Toc64732012"/>
      <w:r>
        <w:rPr>
          <w:rFonts w:hint="eastAsia" w:ascii="宋体" w:hAnsi="宋体" w:eastAsia="宋体" w:cs="宋体"/>
          <w:color w:val="auto"/>
          <w:sz w:val="24"/>
          <w:highlight w:val="none"/>
        </w:rPr>
        <w:t>一、采购程序</w:t>
      </w:r>
      <w:bookmarkEnd w:id="155"/>
      <w:bookmarkEnd w:id="156"/>
      <w:bookmarkEnd w:id="157"/>
      <w:bookmarkEnd w:id="158"/>
      <w:bookmarkEnd w:id="159"/>
      <w:bookmarkEnd w:id="160"/>
      <w:bookmarkEnd w:id="161"/>
      <w:bookmarkEnd w:id="162"/>
      <w:bookmarkEnd w:id="163"/>
      <w:bookmarkEnd w:id="164"/>
      <w:bookmarkEnd w:id="165"/>
      <w:bookmarkEnd w:id="166"/>
    </w:p>
    <w:p w14:paraId="1801A733">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（一）竞采按网上竞采文件规定的时间和地点进行。</w:t>
      </w:r>
    </w:p>
    <w:p w14:paraId="5FFBD202">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（二）由本项目评审小组对各供应商的资格条件、实质性响应等进行审查。 </w:t>
      </w:r>
    </w:p>
    <w:p w14:paraId="6D605D97">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1.资格性审查。依据法律法规和网上竞采文件的规定，对响应文件中的资格证明材料、保证金等进行审查。资格性审查内容如下：</w:t>
      </w:r>
    </w:p>
    <w:tbl>
      <w:tblPr>
        <w:tblStyle w:val="16"/>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4421"/>
        <w:gridCol w:w="3579"/>
      </w:tblGrid>
      <w:tr w14:paraId="2267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noWrap w:val="0"/>
            <w:vAlign w:val="center"/>
          </w:tcPr>
          <w:p w14:paraId="436183BF">
            <w:pPr>
              <w:snapToGrid w:val="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5272" w:type="dxa"/>
            <w:gridSpan w:val="2"/>
            <w:noWrap w:val="0"/>
            <w:vAlign w:val="center"/>
          </w:tcPr>
          <w:p w14:paraId="3B9F6877">
            <w:pPr>
              <w:snapToGrid w:val="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检查因素</w:t>
            </w:r>
          </w:p>
        </w:tc>
        <w:tc>
          <w:tcPr>
            <w:tcW w:w="3579" w:type="dxa"/>
            <w:noWrap w:val="0"/>
            <w:vAlign w:val="center"/>
          </w:tcPr>
          <w:p w14:paraId="41D0CCE8">
            <w:pPr>
              <w:snapToGrid w:val="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r>
      <w:tr w14:paraId="76B2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817" w:type="dxa"/>
            <w:vMerge w:val="restart"/>
            <w:noWrap w:val="0"/>
            <w:vAlign w:val="center"/>
          </w:tcPr>
          <w:p w14:paraId="36A0B33A">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（一）</w:t>
            </w:r>
          </w:p>
        </w:tc>
        <w:tc>
          <w:tcPr>
            <w:tcW w:w="851" w:type="dxa"/>
            <w:vMerge w:val="restart"/>
            <w:noWrap w:val="0"/>
            <w:vAlign w:val="center"/>
          </w:tcPr>
          <w:p w14:paraId="3436A1AA">
            <w:pPr>
              <w:snapToGrid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《中华人民共和国政府采购法》第二十二条规定</w:t>
            </w:r>
          </w:p>
        </w:tc>
        <w:tc>
          <w:tcPr>
            <w:tcW w:w="4421" w:type="dxa"/>
            <w:noWrap w:val="0"/>
            <w:vAlign w:val="center"/>
          </w:tcPr>
          <w:p w14:paraId="4B3F6E9E">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3579" w:type="dxa"/>
            <w:noWrap w:val="0"/>
            <w:vAlign w:val="center"/>
          </w:tcPr>
          <w:p w14:paraId="0F5C1881">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供应商法人营业执照（副本）或社会团体法人登记证书（副本）或民办非企业单位法人登记证书（副本）或事业单位法人证书（副本）或个体工商户营业执照或有效的自然人身份证明（提供复印件）；</w:t>
            </w:r>
          </w:p>
          <w:p w14:paraId="72D9AFA9">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供应商法定代表人身份证明和法定代表人授权代表委托书。</w:t>
            </w:r>
          </w:p>
        </w:tc>
      </w:tr>
      <w:tr w14:paraId="4161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817" w:type="dxa"/>
            <w:vMerge w:val="continue"/>
            <w:noWrap w:val="0"/>
            <w:vAlign w:val="center"/>
          </w:tcPr>
          <w:p w14:paraId="78640B37">
            <w:pPr>
              <w:rPr>
                <w:rFonts w:hint="eastAsia" w:ascii="宋体" w:hAnsi="宋体" w:cs="宋体"/>
                <w:color w:val="auto"/>
                <w:sz w:val="24"/>
                <w:szCs w:val="24"/>
                <w:highlight w:val="none"/>
              </w:rPr>
            </w:pPr>
          </w:p>
        </w:tc>
        <w:tc>
          <w:tcPr>
            <w:tcW w:w="851" w:type="dxa"/>
            <w:vMerge w:val="continue"/>
            <w:noWrap w:val="0"/>
            <w:vAlign w:val="center"/>
          </w:tcPr>
          <w:p w14:paraId="560E15A4">
            <w:pPr>
              <w:rPr>
                <w:rFonts w:hint="eastAsia" w:ascii="宋体" w:hAnsi="宋体" w:cs="宋体"/>
                <w:color w:val="auto"/>
                <w:sz w:val="24"/>
                <w:szCs w:val="24"/>
                <w:highlight w:val="none"/>
              </w:rPr>
            </w:pPr>
          </w:p>
        </w:tc>
        <w:tc>
          <w:tcPr>
            <w:tcW w:w="4421" w:type="dxa"/>
            <w:noWrap w:val="0"/>
            <w:vAlign w:val="center"/>
          </w:tcPr>
          <w:p w14:paraId="65466847">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具有良好的商业信誉和健全的财务会计制度</w:t>
            </w:r>
          </w:p>
        </w:tc>
        <w:tc>
          <w:tcPr>
            <w:tcW w:w="3579" w:type="dxa"/>
            <w:vMerge w:val="restart"/>
            <w:noWrap w:val="0"/>
            <w:vAlign w:val="center"/>
          </w:tcPr>
          <w:p w14:paraId="01F8880F">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供应商提供《基本资格条件承诺函》（见格式文件）</w:t>
            </w:r>
          </w:p>
          <w:p w14:paraId="640A22D8">
            <w:pPr>
              <w:snapToGrid w:val="0"/>
              <w:rPr>
                <w:rFonts w:hint="eastAsia" w:ascii="宋体" w:hAnsi="宋体" w:cs="宋体"/>
                <w:color w:val="auto"/>
                <w:sz w:val="24"/>
                <w:szCs w:val="24"/>
                <w:highlight w:val="none"/>
              </w:rPr>
            </w:pPr>
          </w:p>
        </w:tc>
      </w:tr>
      <w:tr w14:paraId="1B08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17" w:type="dxa"/>
            <w:vMerge w:val="continue"/>
            <w:noWrap w:val="0"/>
            <w:vAlign w:val="center"/>
          </w:tcPr>
          <w:p w14:paraId="0520E0BC">
            <w:pPr>
              <w:rPr>
                <w:rFonts w:hint="eastAsia" w:ascii="宋体" w:hAnsi="宋体" w:cs="宋体"/>
                <w:color w:val="auto"/>
                <w:sz w:val="24"/>
                <w:szCs w:val="24"/>
                <w:highlight w:val="none"/>
              </w:rPr>
            </w:pPr>
          </w:p>
        </w:tc>
        <w:tc>
          <w:tcPr>
            <w:tcW w:w="851" w:type="dxa"/>
            <w:vMerge w:val="continue"/>
            <w:noWrap w:val="0"/>
            <w:vAlign w:val="center"/>
          </w:tcPr>
          <w:p w14:paraId="494FD059">
            <w:pPr>
              <w:rPr>
                <w:rFonts w:hint="eastAsia" w:ascii="宋体" w:hAnsi="宋体" w:cs="宋体"/>
                <w:color w:val="auto"/>
                <w:sz w:val="24"/>
                <w:szCs w:val="24"/>
                <w:highlight w:val="none"/>
              </w:rPr>
            </w:pPr>
          </w:p>
        </w:tc>
        <w:tc>
          <w:tcPr>
            <w:tcW w:w="4421" w:type="dxa"/>
            <w:noWrap w:val="0"/>
            <w:vAlign w:val="center"/>
          </w:tcPr>
          <w:p w14:paraId="7CDC771C">
            <w:pPr>
              <w:snapToGrid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tc>
        <w:tc>
          <w:tcPr>
            <w:tcW w:w="3579" w:type="dxa"/>
            <w:vMerge w:val="continue"/>
            <w:noWrap w:val="0"/>
            <w:vAlign w:val="center"/>
          </w:tcPr>
          <w:p w14:paraId="2E79897E">
            <w:pPr>
              <w:snapToGrid w:val="0"/>
              <w:rPr>
                <w:rFonts w:hint="eastAsia" w:ascii="宋体" w:hAnsi="宋体" w:cs="宋体"/>
                <w:color w:val="auto"/>
                <w:sz w:val="24"/>
                <w:szCs w:val="24"/>
                <w:highlight w:val="none"/>
              </w:rPr>
            </w:pPr>
          </w:p>
        </w:tc>
      </w:tr>
      <w:tr w14:paraId="4DF7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noWrap w:val="0"/>
            <w:vAlign w:val="center"/>
          </w:tcPr>
          <w:p w14:paraId="10E8AA2F">
            <w:pPr>
              <w:rPr>
                <w:rFonts w:hint="eastAsia" w:ascii="宋体" w:hAnsi="宋体" w:cs="宋体"/>
                <w:color w:val="auto"/>
                <w:sz w:val="24"/>
                <w:szCs w:val="24"/>
                <w:highlight w:val="none"/>
              </w:rPr>
            </w:pPr>
          </w:p>
        </w:tc>
        <w:tc>
          <w:tcPr>
            <w:tcW w:w="851" w:type="dxa"/>
            <w:vMerge w:val="continue"/>
            <w:noWrap w:val="0"/>
            <w:vAlign w:val="center"/>
          </w:tcPr>
          <w:p w14:paraId="3568B9F9">
            <w:pPr>
              <w:rPr>
                <w:rFonts w:hint="eastAsia" w:ascii="宋体" w:hAnsi="宋体" w:cs="宋体"/>
                <w:color w:val="auto"/>
                <w:sz w:val="24"/>
                <w:szCs w:val="24"/>
                <w:highlight w:val="none"/>
              </w:rPr>
            </w:pPr>
          </w:p>
        </w:tc>
        <w:tc>
          <w:tcPr>
            <w:tcW w:w="4421" w:type="dxa"/>
            <w:noWrap w:val="0"/>
            <w:vAlign w:val="center"/>
          </w:tcPr>
          <w:p w14:paraId="47B95967">
            <w:pPr>
              <w:snapToGrid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4.有依法缴纳税收的良好记录</w:t>
            </w:r>
          </w:p>
        </w:tc>
        <w:tc>
          <w:tcPr>
            <w:tcW w:w="3579" w:type="dxa"/>
            <w:vMerge w:val="continue"/>
            <w:noWrap w:val="0"/>
            <w:vAlign w:val="center"/>
          </w:tcPr>
          <w:p w14:paraId="7DCFAEC2">
            <w:pPr>
              <w:snapToGrid w:val="0"/>
              <w:rPr>
                <w:rFonts w:hint="eastAsia" w:ascii="宋体" w:hAnsi="宋体" w:cs="宋体"/>
                <w:color w:val="auto"/>
                <w:sz w:val="24"/>
                <w:szCs w:val="24"/>
                <w:highlight w:val="none"/>
              </w:rPr>
            </w:pPr>
          </w:p>
        </w:tc>
      </w:tr>
      <w:tr w14:paraId="408C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817" w:type="dxa"/>
            <w:vMerge w:val="continue"/>
            <w:noWrap w:val="0"/>
            <w:vAlign w:val="center"/>
          </w:tcPr>
          <w:p w14:paraId="6A17312D">
            <w:pPr>
              <w:rPr>
                <w:rFonts w:hint="eastAsia" w:ascii="宋体" w:hAnsi="宋体" w:cs="宋体"/>
                <w:color w:val="auto"/>
                <w:sz w:val="24"/>
                <w:szCs w:val="24"/>
                <w:highlight w:val="none"/>
              </w:rPr>
            </w:pPr>
          </w:p>
        </w:tc>
        <w:tc>
          <w:tcPr>
            <w:tcW w:w="851" w:type="dxa"/>
            <w:vMerge w:val="continue"/>
            <w:noWrap w:val="0"/>
            <w:vAlign w:val="center"/>
          </w:tcPr>
          <w:p w14:paraId="6DD331D0">
            <w:pPr>
              <w:rPr>
                <w:rFonts w:hint="eastAsia" w:ascii="宋体" w:hAnsi="宋体" w:cs="宋体"/>
                <w:color w:val="auto"/>
                <w:sz w:val="24"/>
                <w:szCs w:val="24"/>
                <w:highlight w:val="none"/>
              </w:rPr>
            </w:pPr>
          </w:p>
        </w:tc>
        <w:tc>
          <w:tcPr>
            <w:tcW w:w="4421" w:type="dxa"/>
            <w:noWrap w:val="0"/>
            <w:vAlign w:val="center"/>
          </w:tcPr>
          <w:p w14:paraId="5FD27095">
            <w:pPr>
              <w:snapToGrid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5.参加政府采购活动前三年内，在经营活动中没有重大违法记录</w:t>
            </w:r>
          </w:p>
        </w:tc>
        <w:tc>
          <w:tcPr>
            <w:tcW w:w="3579" w:type="dxa"/>
            <w:vMerge w:val="continue"/>
            <w:noWrap w:val="0"/>
            <w:vAlign w:val="center"/>
          </w:tcPr>
          <w:p w14:paraId="314E894D">
            <w:pPr>
              <w:snapToGrid w:val="0"/>
              <w:rPr>
                <w:rFonts w:hint="eastAsia" w:ascii="宋体" w:hAnsi="宋体" w:cs="宋体"/>
                <w:b/>
                <w:color w:val="auto"/>
                <w:sz w:val="24"/>
                <w:szCs w:val="24"/>
                <w:highlight w:val="none"/>
              </w:rPr>
            </w:pPr>
          </w:p>
        </w:tc>
      </w:tr>
      <w:tr w14:paraId="0571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noWrap w:val="0"/>
            <w:vAlign w:val="center"/>
          </w:tcPr>
          <w:p w14:paraId="43C1D736">
            <w:pPr>
              <w:rPr>
                <w:rFonts w:hint="eastAsia" w:ascii="宋体" w:hAnsi="宋体" w:cs="宋体"/>
                <w:color w:val="auto"/>
                <w:sz w:val="24"/>
                <w:szCs w:val="24"/>
                <w:highlight w:val="none"/>
              </w:rPr>
            </w:pPr>
          </w:p>
        </w:tc>
        <w:tc>
          <w:tcPr>
            <w:tcW w:w="851" w:type="dxa"/>
            <w:vMerge w:val="continue"/>
            <w:noWrap w:val="0"/>
            <w:vAlign w:val="center"/>
          </w:tcPr>
          <w:p w14:paraId="7289C431">
            <w:pPr>
              <w:rPr>
                <w:rFonts w:hint="eastAsia" w:ascii="宋体" w:hAnsi="宋体" w:cs="宋体"/>
                <w:color w:val="auto"/>
                <w:sz w:val="24"/>
                <w:szCs w:val="24"/>
                <w:highlight w:val="none"/>
              </w:rPr>
            </w:pPr>
          </w:p>
        </w:tc>
        <w:tc>
          <w:tcPr>
            <w:tcW w:w="4421" w:type="dxa"/>
            <w:noWrap w:val="0"/>
            <w:vAlign w:val="center"/>
          </w:tcPr>
          <w:p w14:paraId="1D314D2F">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3579" w:type="dxa"/>
            <w:noWrap w:val="0"/>
            <w:vAlign w:val="center"/>
          </w:tcPr>
          <w:p w14:paraId="4E6B64C9">
            <w:pPr>
              <w:snapToGrid w:val="0"/>
              <w:rPr>
                <w:rFonts w:hint="eastAsia" w:ascii="宋体" w:hAnsi="宋体" w:cs="宋体"/>
                <w:color w:val="auto"/>
                <w:sz w:val="24"/>
                <w:szCs w:val="24"/>
                <w:highlight w:val="none"/>
              </w:rPr>
            </w:pPr>
          </w:p>
        </w:tc>
      </w:tr>
      <w:tr w14:paraId="1928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noWrap w:val="0"/>
            <w:vAlign w:val="center"/>
          </w:tcPr>
          <w:p w14:paraId="24DECF79">
            <w:pPr>
              <w:rPr>
                <w:rFonts w:hint="eastAsia" w:ascii="宋体" w:hAnsi="宋体" w:cs="宋体"/>
                <w:color w:val="auto"/>
                <w:sz w:val="24"/>
                <w:szCs w:val="24"/>
                <w:highlight w:val="none"/>
              </w:rPr>
            </w:pPr>
          </w:p>
        </w:tc>
        <w:tc>
          <w:tcPr>
            <w:tcW w:w="851" w:type="dxa"/>
            <w:vMerge w:val="continue"/>
            <w:noWrap w:val="0"/>
            <w:vAlign w:val="center"/>
          </w:tcPr>
          <w:p w14:paraId="0050058C">
            <w:pPr>
              <w:rPr>
                <w:rFonts w:hint="eastAsia" w:ascii="宋体" w:hAnsi="宋体" w:cs="宋体"/>
                <w:color w:val="auto"/>
                <w:sz w:val="24"/>
                <w:szCs w:val="24"/>
                <w:highlight w:val="none"/>
              </w:rPr>
            </w:pPr>
          </w:p>
        </w:tc>
        <w:tc>
          <w:tcPr>
            <w:tcW w:w="4421" w:type="dxa"/>
            <w:noWrap w:val="0"/>
            <w:vAlign w:val="center"/>
          </w:tcPr>
          <w:p w14:paraId="49027C0A">
            <w:pPr>
              <w:snapToGrid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7.特定资格条件</w:t>
            </w:r>
          </w:p>
        </w:tc>
        <w:tc>
          <w:tcPr>
            <w:tcW w:w="3579" w:type="dxa"/>
            <w:noWrap w:val="0"/>
            <w:vAlign w:val="center"/>
          </w:tcPr>
          <w:p w14:paraId="17B04BD0">
            <w:pPr>
              <w:snapToGrid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按网上竞采文件要求提供，并满足采购文件要求。</w:t>
            </w:r>
          </w:p>
        </w:tc>
      </w:tr>
    </w:tbl>
    <w:p w14:paraId="4ACEF379">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257DBD3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6C83BB1C">
      <w:pPr>
        <w:numPr>
          <w:ilvl w:val="0"/>
          <w:numId w:val="2"/>
        </w:num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sz w:val="24"/>
          <w:szCs w:val="24"/>
          <w:highlight w:val="none"/>
        </w:rPr>
        <w:t>实质性响应审查。评审小组应当对响应文件进行评审，并根据网上竞采文件规定的采购程序、评定成交的标准等事项与实质性响应网上竞采文件要求的供应商进行评审。未实质性响应网上竞采文件的响应文件按无效处理，评审小组应当告知有关供应商。实质性响应审查内容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2BF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241DFF98">
            <w:pPr>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2694" w:type="dxa"/>
            <w:noWrap w:val="0"/>
            <w:vAlign w:val="center"/>
          </w:tcPr>
          <w:p w14:paraId="5F85A7B4">
            <w:pPr>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审查因素</w:t>
            </w:r>
          </w:p>
        </w:tc>
        <w:tc>
          <w:tcPr>
            <w:tcW w:w="6259" w:type="dxa"/>
            <w:noWrap w:val="0"/>
            <w:vAlign w:val="center"/>
          </w:tcPr>
          <w:p w14:paraId="4E81B03C">
            <w:pPr>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审查标准</w:t>
            </w:r>
          </w:p>
        </w:tc>
      </w:tr>
      <w:tr w14:paraId="4B32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494C5A38">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94" w:type="dxa"/>
            <w:noWrap w:val="0"/>
            <w:vAlign w:val="center"/>
          </w:tcPr>
          <w:p w14:paraId="728B43ED">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响应文件签署或盖章</w:t>
            </w:r>
          </w:p>
        </w:tc>
        <w:tc>
          <w:tcPr>
            <w:tcW w:w="6259" w:type="dxa"/>
            <w:noWrap w:val="0"/>
            <w:vAlign w:val="center"/>
          </w:tcPr>
          <w:p w14:paraId="4B1418A6">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按“第七篇响应文件格式要求”要求签署或盖章。</w:t>
            </w:r>
          </w:p>
        </w:tc>
      </w:tr>
      <w:tr w14:paraId="65AB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6FB9B6AF">
            <w:pPr>
              <w:spacing w:line="360" w:lineRule="auto"/>
              <w:jc w:val="center"/>
              <w:rPr>
                <w:rFonts w:hint="eastAsia" w:ascii="宋体" w:hAnsi="宋体" w:cs="宋体"/>
                <w:color w:val="auto"/>
                <w:kern w:val="0"/>
                <w:sz w:val="24"/>
                <w:szCs w:val="24"/>
                <w:highlight w:val="none"/>
              </w:rPr>
            </w:pPr>
          </w:p>
        </w:tc>
        <w:tc>
          <w:tcPr>
            <w:tcW w:w="2694" w:type="dxa"/>
            <w:noWrap w:val="0"/>
            <w:vAlign w:val="center"/>
          </w:tcPr>
          <w:p w14:paraId="4C07C71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6259" w:type="dxa"/>
            <w:noWrap w:val="0"/>
            <w:vAlign w:val="center"/>
          </w:tcPr>
          <w:p w14:paraId="1ABFCF5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法定代表人身份证明及授权委托书有效，符合网上竞采文件规定的格式，签署或盖章齐全。</w:t>
            </w:r>
          </w:p>
        </w:tc>
      </w:tr>
      <w:tr w14:paraId="63B0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78617E01">
            <w:pPr>
              <w:spacing w:line="360" w:lineRule="auto"/>
              <w:jc w:val="center"/>
              <w:rPr>
                <w:rFonts w:hint="eastAsia" w:ascii="宋体" w:hAnsi="宋体" w:cs="宋体"/>
                <w:color w:val="auto"/>
                <w:kern w:val="0"/>
                <w:sz w:val="24"/>
                <w:szCs w:val="24"/>
                <w:highlight w:val="none"/>
              </w:rPr>
            </w:pPr>
          </w:p>
        </w:tc>
        <w:tc>
          <w:tcPr>
            <w:tcW w:w="2694" w:type="dxa"/>
            <w:noWrap w:val="0"/>
            <w:vAlign w:val="center"/>
          </w:tcPr>
          <w:p w14:paraId="747574A5">
            <w:pPr>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6259" w:type="dxa"/>
            <w:noWrap w:val="0"/>
            <w:vAlign w:val="center"/>
          </w:tcPr>
          <w:p w14:paraId="44A80437">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zh-CN"/>
              </w:rPr>
              <w:t>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2EAB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1CBFEE02">
            <w:pPr>
              <w:spacing w:line="360" w:lineRule="auto"/>
              <w:jc w:val="center"/>
              <w:rPr>
                <w:rFonts w:hint="eastAsia" w:ascii="宋体" w:hAnsi="宋体" w:cs="宋体"/>
                <w:color w:val="auto"/>
                <w:kern w:val="0"/>
                <w:sz w:val="24"/>
                <w:szCs w:val="24"/>
                <w:highlight w:val="none"/>
              </w:rPr>
            </w:pPr>
          </w:p>
        </w:tc>
        <w:tc>
          <w:tcPr>
            <w:tcW w:w="2694" w:type="dxa"/>
            <w:noWrap w:val="0"/>
            <w:vAlign w:val="center"/>
          </w:tcPr>
          <w:p w14:paraId="2A4EAF8A">
            <w:pPr>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6259" w:type="dxa"/>
            <w:noWrap w:val="0"/>
            <w:vAlign w:val="center"/>
          </w:tcPr>
          <w:p w14:paraId="2A1DC120">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只能有一个有效报价，不得提交选择性报价。</w:t>
            </w:r>
          </w:p>
        </w:tc>
      </w:tr>
      <w:tr w14:paraId="3E54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78ABEC19">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694" w:type="dxa"/>
            <w:noWrap w:val="0"/>
            <w:vAlign w:val="center"/>
          </w:tcPr>
          <w:p w14:paraId="4736E20A">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响应文件</w:t>
            </w:r>
            <w:r>
              <w:rPr>
                <w:rFonts w:hint="eastAsia" w:ascii="宋体" w:hAnsi="宋体" w:cs="宋体"/>
                <w:color w:val="auto"/>
                <w:sz w:val="24"/>
                <w:szCs w:val="24"/>
                <w:highlight w:val="none"/>
                <w:lang w:val="zh-CN"/>
              </w:rPr>
              <w:t>份数</w:t>
            </w:r>
          </w:p>
        </w:tc>
        <w:tc>
          <w:tcPr>
            <w:tcW w:w="6259" w:type="dxa"/>
            <w:noWrap w:val="0"/>
            <w:vAlign w:val="center"/>
          </w:tcPr>
          <w:p w14:paraId="40DD752B">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响应文件符合竞采文件要求。</w:t>
            </w:r>
          </w:p>
        </w:tc>
      </w:tr>
      <w:tr w14:paraId="4606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27148AE1">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2694" w:type="dxa"/>
            <w:noWrap w:val="0"/>
            <w:vAlign w:val="center"/>
          </w:tcPr>
          <w:p w14:paraId="615C4902">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响应文件内容</w:t>
            </w:r>
          </w:p>
        </w:tc>
        <w:tc>
          <w:tcPr>
            <w:tcW w:w="6259" w:type="dxa"/>
            <w:noWrap w:val="0"/>
            <w:vAlign w:val="center"/>
          </w:tcPr>
          <w:p w14:paraId="4042BD5B">
            <w:pPr>
              <w:pStyle w:val="8"/>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zh-CN"/>
              </w:rPr>
              <w:t>满足本网上竞采</w:t>
            </w:r>
            <w:r>
              <w:rPr>
                <w:rFonts w:hint="eastAsia" w:ascii="宋体" w:hAnsi="宋体" w:cs="宋体"/>
                <w:color w:val="auto"/>
                <w:kern w:val="0"/>
                <w:sz w:val="24"/>
                <w:szCs w:val="24"/>
                <w:highlight w:val="none"/>
              </w:rPr>
              <w:t>第二篇和第三篇规定的内容作出响应。</w:t>
            </w:r>
          </w:p>
        </w:tc>
      </w:tr>
      <w:tr w14:paraId="2AB5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2C8456B8">
            <w:pPr>
              <w:spacing w:line="360" w:lineRule="auto"/>
              <w:jc w:val="center"/>
              <w:rPr>
                <w:rFonts w:hint="eastAsia" w:ascii="宋体" w:hAnsi="宋体" w:cs="宋体"/>
                <w:color w:val="auto"/>
                <w:kern w:val="0"/>
                <w:sz w:val="24"/>
                <w:szCs w:val="24"/>
                <w:highlight w:val="none"/>
              </w:rPr>
            </w:pPr>
          </w:p>
        </w:tc>
        <w:tc>
          <w:tcPr>
            <w:tcW w:w="2694" w:type="dxa"/>
            <w:noWrap w:val="0"/>
            <w:vAlign w:val="center"/>
          </w:tcPr>
          <w:p w14:paraId="0E133CAC">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竞采有效期</w:t>
            </w:r>
          </w:p>
        </w:tc>
        <w:tc>
          <w:tcPr>
            <w:tcW w:w="6259" w:type="dxa"/>
            <w:noWrap w:val="0"/>
            <w:vAlign w:val="center"/>
          </w:tcPr>
          <w:p w14:paraId="62D9F409">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响应文件及有关承诺文件有效期为提交响应文件截止时间起90天。</w:t>
            </w:r>
          </w:p>
        </w:tc>
      </w:tr>
    </w:tbl>
    <w:p w14:paraId="186CF54D">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6A9AEAC">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5F7A4E4">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（四）评审的依据为网上竞采文件和响应文件（含有效的补充文件）。评审小组判断响应文件对网上竞采文件的响应，仅基于响应文件本身而不靠外部证据。</w:t>
      </w:r>
    </w:p>
    <w:p w14:paraId="20893676">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67" w:name="_Toc22761"/>
      <w:bookmarkStart w:id="168" w:name="_Toc64732013"/>
      <w:bookmarkStart w:id="169" w:name="_Toc11713"/>
      <w:bookmarkStart w:id="170" w:name="_Toc106034791"/>
      <w:bookmarkStart w:id="171" w:name="_Toc30639"/>
      <w:bookmarkStart w:id="172" w:name="_Toc31353"/>
      <w:bookmarkStart w:id="173" w:name="_Toc65660351"/>
      <w:bookmarkStart w:id="174" w:name="_Toc3233"/>
      <w:bookmarkStart w:id="175" w:name="_Toc23097"/>
      <w:bookmarkStart w:id="176" w:name="_Toc25896"/>
      <w:bookmarkStart w:id="177" w:name="_Toc5149"/>
      <w:bookmarkStart w:id="178" w:name="_Toc26139"/>
      <w:r>
        <w:rPr>
          <w:rFonts w:hint="eastAsia" w:ascii="宋体" w:hAnsi="宋体" w:eastAsia="宋体" w:cs="宋体"/>
          <w:color w:val="auto"/>
          <w:sz w:val="24"/>
          <w:highlight w:val="none"/>
        </w:rPr>
        <w:t>二、评定成交的标准</w:t>
      </w:r>
      <w:bookmarkEnd w:id="167"/>
      <w:bookmarkEnd w:id="168"/>
      <w:bookmarkEnd w:id="169"/>
      <w:bookmarkEnd w:id="170"/>
      <w:bookmarkEnd w:id="171"/>
      <w:bookmarkEnd w:id="172"/>
      <w:bookmarkEnd w:id="173"/>
      <w:bookmarkEnd w:id="174"/>
      <w:bookmarkEnd w:id="175"/>
      <w:bookmarkEnd w:id="176"/>
      <w:bookmarkEnd w:id="177"/>
      <w:bookmarkEnd w:id="178"/>
    </w:p>
    <w:p w14:paraId="5DD9B764">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（一）综合评分法。</w:t>
      </w:r>
    </w:p>
    <w:p w14:paraId="7D1163F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审小组对已投标供应商的资格条件、响应文件的有效性、完整性和响应程度进行资格性和符合性审查，各供应商只有在完全符合要求的前提下，才能成为入围供应商。评审小组对入围供应商的报价和响应文件按照评审因素的量化指标评审得分最高的供应商为成交候选供应商。供应商总得分为价格、服务</w:t>
      </w:r>
      <w:r>
        <w:rPr>
          <w:rFonts w:hint="eastAsia" w:ascii="宋体" w:hAnsi="宋体" w:cs="宋体"/>
          <w:color w:val="auto"/>
          <w:sz w:val="24"/>
          <w:szCs w:val="24"/>
          <w:highlight w:val="none"/>
          <w:lang w:val="en-US" w:eastAsia="zh-CN"/>
        </w:rPr>
        <w:t>及商务</w:t>
      </w:r>
      <w:r>
        <w:rPr>
          <w:rFonts w:hint="eastAsia" w:ascii="宋体" w:hAnsi="宋体" w:cs="宋体"/>
          <w:color w:val="auto"/>
          <w:sz w:val="24"/>
          <w:szCs w:val="24"/>
          <w:highlight w:val="none"/>
        </w:rPr>
        <w:t>等评定因素分别按照相应权重值计算分项得分后相加，满分为100分（详见评审标准）若供应商的评审得分相同的，按照投标报价由低到高的顺序排列推荐。评审得分且投标报价相同的，按照服务指标优劣顺序排列推荐。</w:t>
      </w:r>
      <w:r>
        <w:rPr>
          <w:rFonts w:hint="eastAsia" w:ascii="宋体" w:hAnsi="宋体" w:cs="宋体"/>
          <w:color w:val="auto"/>
          <w:kern w:val="0"/>
          <w:sz w:val="24"/>
          <w:szCs w:val="24"/>
          <w:highlight w:val="none"/>
        </w:rPr>
        <w:t>若供应商的服务部分为0分，将失去成为成交候选供应商的资格。</w:t>
      </w:r>
    </w:p>
    <w:p w14:paraId="041366E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（二）成交价格=成交供应商的报价。</w:t>
      </w:r>
    </w:p>
    <w:p w14:paraId="462ECCC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（三）</w:t>
      </w:r>
      <w:r>
        <w:rPr>
          <w:rFonts w:hint="eastAsia" w:ascii="宋体" w:hAnsi="宋体" w:cs="宋体"/>
          <w:color w:val="auto"/>
          <w:sz w:val="24"/>
          <w:highlight w:val="none"/>
        </w:rPr>
        <w:t>评审标准：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061"/>
        <w:gridCol w:w="1160"/>
        <w:gridCol w:w="4484"/>
        <w:gridCol w:w="2209"/>
      </w:tblGrid>
      <w:tr w14:paraId="39FE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64" w:type="dxa"/>
            <w:noWrap w:val="0"/>
            <w:vAlign w:val="center"/>
          </w:tcPr>
          <w:p w14:paraId="7F1B8BDB">
            <w:pPr>
              <w:jc w:val="center"/>
              <w:rPr>
                <w:rFonts w:hint="eastAsia" w:ascii="宋体" w:hAnsi="宋体" w:eastAsia="宋体" w:cs="宋体"/>
                <w:b/>
                <w:color w:val="auto"/>
                <w:kern w:val="0"/>
                <w:sz w:val="24"/>
                <w:szCs w:val="24"/>
                <w:highlight w:val="none"/>
              </w:rPr>
            </w:pPr>
            <w:bookmarkStart w:id="179" w:name="_Toc65660352"/>
            <w:bookmarkStart w:id="180" w:name="_Toc29113"/>
            <w:bookmarkStart w:id="181" w:name="_Toc12644"/>
            <w:bookmarkStart w:id="182" w:name="_Toc19473"/>
            <w:bookmarkStart w:id="183" w:name="_Toc106034792"/>
            <w:r>
              <w:rPr>
                <w:rFonts w:hint="eastAsia" w:ascii="宋体" w:hAnsi="宋体" w:eastAsia="宋体" w:cs="宋体"/>
                <w:b/>
                <w:color w:val="auto"/>
                <w:kern w:val="0"/>
                <w:sz w:val="24"/>
                <w:szCs w:val="24"/>
                <w:highlight w:val="none"/>
              </w:rPr>
              <w:t>序号</w:t>
            </w:r>
          </w:p>
        </w:tc>
        <w:tc>
          <w:tcPr>
            <w:tcW w:w="1061" w:type="dxa"/>
            <w:noWrap w:val="0"/>
            <w:vAlign w:val="center"/>
          </w:tcPr>
          <w:p w14:paraId="190809C9">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评分因素及权值</w:t>
            </w:r>
          </w:p>
        </w:tc>
        <w:tc>
          <w:tcPr>
            <w:tcW w:w="1160" w:type="dxa"/>
            <w:noWrap w:val="0"/>
            <w:vAlign w:val="center"/>
          </w:tcPr>
          <w:p w14:paraId="004169CF">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分值</w:t>
            </w:r>
          </w:p>
        </w:tc>
        <w:tc>
          <w:tcPr>
            <w:tcW w:w="4484" w:type="dxa"/>
            <w:noWrap w:val="0"/>
            <w:vAlign w:val="center"/>
          </w:tcPr>
          <w:p w14:paraId="5A2BEECF">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评分标准</w:t>
            </w:r>
          </w:p>
        </w:tc>
        <w:tc>
          <w:tcPr>
            <w:tcW w:w="2209" w:type="dxa"/>
            <w:noWrap w:val="0"/>
            <w:vAlign w:val="center"/>
          </w:tcPr>
          <w:p w14:paraId="2CDBCE12">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说明</w:t>
            </w:r>
          </w:p>
        </w:tc>
      </w:tr>
      <w:tr w14:paraId="4F5D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564" w:type="dxa"/>
            <w:noWrap w:val="0"/>
            <w:vAlign w:val="center"/>
          </w:tcPr>
          <w:p w14:paraId="4B51F69A">
            <w:pPr>
              <w:snapToGrid w:val="0"/>
              <w:spacing w:line="28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1" w:type="dxa"/>
            <w:noWrap w:val="0"/>
            <w:vAlign w:val="center"/>
          </w:tcPr>
          <w:p w14:paraId="2FC57099">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w:t>
            </w:r>
          </w:p>
          <w:p w14:paraId="6BC04BC3">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  价</w:t>
            </w:r>
          </w:p>
          <w:p w14:paraId="0B0CE2F9">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c>
          <w:tcPr>
            <w:tcW w:w="1160" w:type="dxa"/>
            <w:noWrap w:val="0"/>
            <w:vAlign w:val="center"/>
          </w:tcPr>
          <w:p w14:paraId="4C2153E4">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tc>
        <w:tc>
          <w:tcPr>
            <w:tcW w:w="4484" w:type="dxa"/>
            <w:noWrap w:val="0"/>
            <w:vAlign w:val="center"/>
          </w:tcPr>
          <w:p w14:paraId="26265E53">
            <w:pPr>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满足竞采文件资格性、符合性要求且报价最低的供应商的价格为评审基准价，其价格分为满分。其他供应商的价格分统一按照下列公式计算：</w:t>
            </w:r>
          </w:p>
          <w:p w14:paraId="5C9D0CE1">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报价得分=（评审基准价/竞采报价）×价格权值×100</w:t>
            </w:r>
          </w:p>
        </w:tc>
        <w:tc>
          <w:tcPr>
            <w:tcW w:w="2209" w:type="dxa"/>
            <w:noWrap w:val="0"/>
            <w:vAlign w:val="center"/>
          </w:tcPr>
          <w:p w14:paraId="1E72C67E">
            <w:pPr>
              <w:spacing w:line="2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高于最高限价为无效报价。</w:t>
            </w:r>
          </w:p>
        </w:tc>
      </w:tr>
      <w:tr w14:paraId="7F44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564" w:type="dxa"/>
            <w:vMerge w:val="restart"/>
            <w:noWrap w:val="0"/>
            <w:vAlign w:val="center"/>
          </w:tcPr>
          <w:p w14:paraId="21F35617">
            <w:pPr>
              <w:widowControl/>
              <w:spacing w:line="2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061" w:type="dxa"/>
            <w:vMerge w:val="restart"/>
            <w:noWrap w:val="0"/>
            <w:vAlign w:val="center"/>
          </w:tcPr>
          <w:p w14:paraId="7F1349DC">
            <w:pPr>
              <w:snapToGri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服务部分（40%）</w:t>
            </w:r>
          </w:p>
        </w:tc>
        <w:tc>
          <w:tcPr>
            <w:tcW w:w="1160" w:type="dxa"/>
            <w:noWrap w:val="0"/>
            <w:vAlign w:val="center"/>
          </w:tcPr>
          <w:p w14:paraId="020071EC">
            <w:pPr>
              <w:snapToGrid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服务方案及计划（</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p>
          <w:p w14:paraId="22EDEC64">
            <w:pPr>
              <w:snapToGrid w:val="0"/>
              <w:rPr>
                <w:rFonts w:hint="eastAsia" w:ascii="宋体" w:hAnsi="宋体" w:eastAsia="宋体" w:cs="宋体"/>
                <w:color w:val="auto"/>
                <w:sz w:val="24"/>
                <w:szCs w:val="24"/>
                <w:highlight w:val="none"/>
              </w:rPr>
            </w:pPr>
          </w:p>
        </w:tc>
        <w:tc>
          <w:tcPr>
            <w:tcW w:w="4484" w:type="dxa"/>
            <w:noWrap w:val="0"/>
            <w:vAlign w:val="center"/>
          </w:tcPr>
          <w:p w14:paraId="43D32589">
            <w:pPr>
              <w:snapToGrid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供应商服务</w:t>
            </w:r>
            <w:r>
              <w:rPr>
                <w:rFonts w:hint="eastAsia" w:ascii="宋体" w:hAnsi="宋体" w:eastAsia="宋体" w:cs="宋体"/>
                <w:b w:val="0"/>
                <w:bCs w:val="0"/>
                <w:color w:val="auto"/>
                <w:sz w:val="24"/>
                <w:szCs w:val="24"/>
                <w:highlight w:val="none"/>
                <w:lang w:val="en-US" w:eastAsia="zh-CN"/>
              </w:rPr>
              <w:t>方案及计划</w:t>
            </w:r>
            <w:r>
              <w:rPr>
                <w:rFonts w:hint="eastAsia" w:ascii="宋体" w:hAnsi="宋体" w:eastAsia="宋体" w:cs="宋体"/>
                <w:b w:val="0"/>
                <w:bCs w:val="0"/>
                <w:color w:val="auto"/>
                <w:sz w:val="24"/>
                <w:szCs w:val="24"/>
                <w:highlight w:val="none"/>
              </w:rPr>
              <w:t>情况编写专项管理措施</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根据提供的内容是否全面、是否详尽、是否符合项目实际情况等进行评审；</w:t>
            </w:r>
          </w:p>
          <w:p w14:paraId="7946A6F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方案内容不存在瑕疵，得10分；</w:t>
            </w:r>
          </w:p>
          <w:p w14:paraId="374EA74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方案内容存在1处瑕疵，得7分；</w:t>
            </w:r>
          </w:p>
          <w:p w14:paraId="7722598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方案内容存在2处瑕疵，得4分；</w:t>
            </w:r>
          </w:p>
          <w:p w14:paraId="37C4EC6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方案内容存在3处瑕疵，得1分；</w:t>
            </w:r>
          </w:p>
          <w:p w14:paraId="5094738D">
            <w:pPr>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方案内容存在4处及以上瑕疵或未提供方案得0分。</w:t>
            </w:r>
          </w:p>
        </w:tc>
        <w:tc>
          <w:tcPr>
            <w:tcW w:w="2209" w:type="dxa"/>
            <w:vMerge w:val="restart"/>
            <w:noWrap w:val="0"/>
            <w:vAlign w:val="center"/>
          </w:tcPr>
          <w:p w14:paraId="66EEC81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评审小组根据供应商提供的方案进行综合评分。提供方案，格式自拟，并加盖公章。</w:t>
            </w:r>
          </w:p>
          <w:p w14:paraId="5B94F7A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本项内容中所称的“瑕疵”指方案内容缺项、内容表述不完整或缺少关键分析点，方案不具体，不完善、不完整、不合理、不可靠，现场考虑不充分、可实施程度低、关键性工序考虑不充分、不具体、不合理，方案内容表述前后矛盾、无连贯性，内容存在逻辑漏洞错误等任意一种情形。</w:t>
            </w:r>
          </w:p>
          <w:p w14:paraId="3DD39E2A">
            <w:pPr>
              <w:spacing w:line="2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2.评审专家对每份技术方案独立打分。</w:t>
            </w:r>
          </w:p>
        </w:tc>
      </w:tr>
      <w:tr w14:paraId="785E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564" w:type="dxa"/>
            <w:vMerge w:val="continue"/>
            <w:noWrap w:val="0"/>
            <w:vAlign w:val="center"/>
          </w:tcPr>
          <w:p w14:paraId="527AD0C5">
            <w:pPr>
              <w:widowControl/>
              <w:spacing w:line="280" w:lineRule="exact"/>
              <w:jc w:val="center"/>
              <w:rPr>
                <w:rFonts w:hint="eastAsia" w:ascii="宋体" w:hAnsi="宋体" w:eastAsia="宋体" w:cs="宋体"/>
                <w:color w:val="auto"/>
                <w:sz w:val="24"/>
                <w:szCs w:val="24"/>
                <w:highlight w:val="none"/>
              </w:rPr>
            </w:pPr>
          </w:p>
        </w:tc>
        <w:tc>
          <w:tcPr>
            <w:tcW w:w="1061" w:type="dxa"/>
            <w:vMerge w:val="continue"/>
            <w:noWrap w:val="0"/>
            <w:vAlign w:val="center"/>
          </w:tcPr>
          <w:p w14:paraId="7536B773">
            <w:pPr>
              <w:snapToGrid w:val="0"/>
              <w:rPr>
                <w:rFonts w:hint="eastAsia" w:ascii="宋体" w:hAnsi="宋体" w:eastAsia="宋体" w:cs="宋体"/>
                <w:color w:val="auto"/>
                <w:sz w:val="24"/>
                <w:szCs w:val="24"/>
                <w:highlight w:val="none"/>
              </w:rPr>
            </w:pPr>
          </w:p>
        </w:tc>
        <w:tc>
          <w:tcPr>
            <w:tcW w:w="1160" w:type="dxa"/>
            <w:noWrap w:val="0"/>
            <w:vAlign w:val="center"/>
          </w:tcPr>
          <w:p w14:paraId="79C5DEC3">
            <w:pPr>
              <w:snapToGrid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人员配备及安排</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p>
        </w:tc>
        <w:tc>
          <w:tcPr>
            <w:tcW w:w="4484" w:type="dxa"/>
            <w:noWrap w:val="0"/>
            <w:vAlign w:val="center"/>
          </w:tcPr>
          <w:p w14:paraId="6E08F45C">
            <w:pPr>
              <w:snapToGrid w:val="0"/>
              <w:ind w:firstLine="480" w:firstLineChars="200"/>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供应商根据项目具体情况提供项目组织机构方案包含但不限于人员配备、职责分工、人员素质、资质、经验，对员工的管理、培训、教育、考评机制等内容进行评审：</w:t>
            </w:r>
          </w:p>
          <w:p w14:paraId="4A9845B5">
            <w:pPr>
              <w:snapToGrid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根据提供的内容是否全面、是否详尽、是否符合项目实际情况等进行评审；</w:t>
            </w:r>
          </w:p>
          <w:p w14:paraId="3AF47D66">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方案内容不存在瑕疵，得10分；</w:t>
            </w:r>
          </w:p>
          <w:p w14:paraId="79D4BE10">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方案内容存在1处瑕疵，得7分；</w:t>
            </w:r>
          </w:p>
          <w:p w14:paraId="70739F99">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方案内容存在2处瑕疵，得4分；</w:t>
            </w:r>
          </w:p>
          <w:p w14:paraId="232AC683">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方案内容存在3处瑕疵，得1分；</w:t>
            </w:r>
          </w:p>
          <w:p w14:paraId="35E71A10">
            <w:pPr>
              <w:snapToGrid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方案内容存在4处及以上瑕疵或未提供方案得0分。</w:t>
            </w:r>
          </w:p>
        </w:tc>
        <w:tc>
          <w:tcPr>
            <w:tcW w:w="2209" w:type="dxa"/>
            <w:vMerge w:val="continue"/>
            <w:noWrap w:val="0"/>
            <w:vAlign w:val="center"/>
          </w:tcPr>
          <w:p w14:paraId="738658ED">
            <w:pPr>
              <w:spacing w:line="280" w:lineRule="exact"/>
              <w:rPr>
                <w:rFonts w:hint="eastAsia" w:ascii="宋体" w:hAnsi="宋体" w:eastAsia="宋体" w:cs="宋体"/>
                <w:color w:val="auto"/>
                <w:sz w:val="24"/>
                <w:szCs w:val="24"/>
                <w:highlight w:val="none"/>
              </w:rPr>
            </w:pPr>
          </w:p>
        </w:tc>
      </w:tr>
      <w:tr w14:paraId="22BC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64" w:type="dxa"/>
            <w:vMerge w:val="continue"/>
            <w:noWrap w:val="0"/>
            <w:vAlign w:val="center"/>
          </w:tcPr>
          <w:p w14:paraId="027A90DA">
            <w:pPr>
              <w:widowControl/>
              <w:spacing w:line="280" w:lineRule="exact"/>
              <w:jc w:val="center"/>
              <w:rPr>
                <w:rFonts w:hint="eastAsia" w:ascii="宋体" w:hAnsi="宋体" w:eastAsia="宋体" w:cs="宋体"/>
                <w:color w:val="auto"/>
                <w:sz w:val="24"/>
                <w:szCs w:val="24"/>
                <w:highlight w:val="none"/>
              </w:rPr>
            </w:pPr>
          </w:p>
        </w:tc>
        <w:tc>
          <w:tcPr>
            <w:tcW w:w="1061" w:type="dxa"/>
            <w:vMerge w:val="continue"/>
            <w:noWrap w:val="0"/>
            <w:vAlign w:val="center"/>
          </w:tcPr>
          <w:p w14:paraId="7FF50370">
            <w:pPr>
              <w:snapToGrid w:val="0"/>
              <w:rPr>
                <w:rFonts w:hint="eastAsia" w:ascii="宋体" w:hAnsi="宋体" w:eastAsia="宋体" w:cs="宋体"/>
                <w:color w:val="auto"/>
                <w:sz w:val="24"/>
                <w:szCs w:val="24"/>
                <w:highlight w:val="none"/>
              </w:rPr>
            </w:pPr>
          </w:p>
        </w:tc>
        <w:tc>
          <w:tcPr>
            <w:tcW w:w="1160" w:type="dxa"/>
            <w:noWrap w:val="0"/>
            <w:vAlign w:val="center"/>
          </w:tcPr>
          <w:p w14:paraId="254BCAB0">
            <w:pPr>
              <w:snapToGrid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应急处置措施和具体实施方案（10分）</w:t>
            </w:r>
          </w:p>
        </w:tc>
        <w:tc>
          <w:tcPr>
            <w:tcW w:w="4484" w:type="dxa"/>
            <w:noWrap w:val="0"/>
            <w:vAlign w:val="center"/>
          </w:tcPr>
          <w:p w14:paraId="2B07EED1">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供应商编制应急处置措施和具体实施方案，根据提供的内容是否全面、是否详尽、是否符合项目实际情况等进行评审；</w:t>
            </w:r>
          </w:p>
          <w:p w14:paraId="114EA03A">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方案内容不存在瑕疵，得10分；</w:t>
            </w:r>
          </w:p>
          <w:p w14:paraId="104DC655">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方案内容存在1处瑕疵，得7分；</w:t>
            </w:r>
          </w:p>
          <w:p w14:paraId="3889E5BA">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方案内容存在2处瑕疵，得4分；</w:t>
            </w:r>
          </w:p>
          <w:p w14:paraId="0CA416A4">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方案内容存在3处瑕疵，得1分；</w:t>
            </w:r>
          </w:p>
          <w:p w14:paraId="54C8D3C3">
            <w:pPr>
              <w:snapToGrid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方案内容存在4处及以上瑕疵或未提供方案得0分。</w:t>
            </w:r>
          </w:p>
        </w:tc>
        <w:tc>
          <w:tcPr>
            <w:tcW w:w="2209" w:type="dxa"/>
            <w:vMerge w:val="continue"/>
            <w:noWrap w:val="0"/>
            <w:vAlign w:val="center"/>
          </w:tcPr>
          <w:p w14:paraId="1B58C7A0">
            <w:pPr>
              <w:spacing w:line="280" w:lineRule="exact"/>
              <w:rPr>
                <w:rFonts w:hint="eastAsia" w:ascii="宋体" w:hAnsi="宋体" w:eastAsia="宋体" w:cs="宋体"/>
                <w:color w:val="auto"/>
                <w:sz w:val="24"/>
                <w:szCs w:val="24"/>
                <w:highlight w:val="none"/>
              </w:rPr>
            </w:pPr>
          </w:p>
        </w:tc>
      </w:tr>
      <w:tr w14:paraId="3465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564" w:type="dxa"/>
            <w:vMerge w:val="continue"/>
            <w:noWrap w:val="0"/>
            <w:vAlign w:val="center"/>
          </w:tcPr>
          <w:p w14:paraId="536273C2">
            <w:pPr>
              <w:widowControl/>
              <w:spacing w:line="280" w:lineRule="exact"/>
              <w:jc w:val="center"/>
              <w:rPr>
                <w:rFonts w:hint="eastAsia" w:ascii="宋体" w:hAnsi="宋体" w:eastAsia="宋体" w:cs="宋体"/>
                <w:color w:val="auto"/>
                <w:sz w:val="24"/>
                <w:szCs w:val="24"/>
                <w:highlight w:val="none"/>
              </w:rPr>
            </w:pPr>
          </w:p>
        </w:tc>
        <w:tc>
          <w:tcPr>
            <w:tcW w:w="1061" w:type="dxa"/>
            <w:vMerge w:val="continue"/>
            <w:noWrap w:val="0"/>
            <w:vAlign w:val="center"/>
          </w:tcPr>
          <w:p w14:paraId="53CAA58C">
            <w:pPr>
              <w:snapToGrid w:val="0"/>
              <w:rPr>
                <w:rFonts w:hint="eastAsia" w:ascii="宋体" w:hAnsi="宋体" w:eastAsia="宋体" w:cs="宋体"/>
                <w:color w:val="auto"/>
                <w:sz w:val="24"/>
                <w:szCs w:val="24"/>
                <w:highlight w:val="none"/>
              </w:rPr>
            </w:pPr>
          </w:p>
        </w:tc>
        <w:tc>
          <w:tcPr>
            <w:tcW w:w="1160" w:type="dxa"/>
            <w:noWrap w:val="0"/>
            <w:vAlign w:val="center"/>
          </w:tcPr>
          <w:p w14:paraId="635F071F">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安全方案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0007938D">
            <w:pPr>
              <w:snapToGrid w:val="0"/>
              <w:rPr>
                <w:rFonts w:hint="eastAsia" w:ascii="宋体" w:hAnsi="宋体" w:eastAsia="宋体" w:cs="宋体"/>
                <w:color w:val="auto"/>
                <w:sz w:val="24"/>
                <w:szCs w:val="24"/>
                <w:highlight w:val="none"/>
              </w:rPr>
            </w:pPr>
          </w:p>
        </w:tc>
        <w:tc>
          <w:tcPr>
            <w:tcW w:w="4484" w:type="dxa"/>
            <w:noWrap w:val="0"/>
            <w:vAlign w:val="center"/>
          </w:tcPr>
          <w:p w14:paraId="5E54DC31">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供应商根据供应商提供的安全方案是否全面、可靠、是否符合项目实际情况等等进行评审；</w:t>
            </w:r>
          </w:p>
          <w:p w14:paraId="22EF8F4E">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方案内容不存在瑕疵，得10分；</w:t>
            </w:r>
          </w:p>
          <w:p w14:paraId="587540CF">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方案内容存在1处瑕疵，得7分；</w:t>
            </w:r>
          </w:p>
          <w:p w14:paraId="0BA8DC43">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方案内容存在2处瑕疵，得4分；</w:t>
            </w:r>
          </w:p>
          <w:p w14:paraId="6EA81195">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方案内容存在3处瑕疵，得1分；</w:t>
            </w:r>
          </w:p>
          <w:p w14:paraId="1D41FFEB">
            <w:pPr>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方案内容存在4处及以上瑕疵或未提供方案得0分。</w:t>
            </w:r>
          </w:p>
        </w:tc>
        <w:tc>
          <w:tcPr>
            <w:tcW w:w="2209" w:type="dxa"/>
            <w:vMerge w:val="continue"/>
            <w:noWrap w:val="0"/>
            <w:vAlign w:val="center"/>
          </w:tcPr>
          <w:p w14:paraId="5F42FDD5">
            <w:pPr>
              <w:spacing w:line="280" w:lineRule="exact"/>
              <w:rPr>
                <w:rFonts w:hint="eastAsia" w:ascii="宋体" w:hAnsi="宋体" w:eastAsia="宋体" w:cs="宋体"/>
                <w:color w:val="auto"/>
                <w:sz w:val="24"/>
                <w:szCs w:val="24"/>
                <w:highlight w:val="none"/>
              </w:rPr>
            </w:pPr>
          </w:p>
        </w:tc>
      </w:tr>
      <w:tr w14:paraId="5542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564" w:type="dxa"/>
            <w:vMerge w:val="restart"/>
            <w:noWrap w:val="0"/>
            <w:vAlign w:val="center"/>
          </w:tcPr>
          <w:p w14:paraId="0B061E66">
            <w:pPr>
              <w:widowControl/>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61" w:type="dxa"/>
            <w:vMerge w:val="restart"/>
            <w:noWrap w:val="0"/>
            <w:vAlign w:val="center"/>
          </w:tcPr>
          <w:p w14:paraId="103924AE">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   务</w:t>
            </w:r>
          </w:p>
          <w:p w14:paraId="73853FB5">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   分</w:t>
            </w:r>
          </w:p>
          <w:p w14:paraId="1DA7BDBE">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w:t>
            </w:r>
          </w:p>
        </w:tc>
        <w:tc>
          <w:tcPr>
            <w:tcW w:w="1160" w:type="dxa"/>
            <w:noWrap w:val="0"/>
            <w:vAlign w:val="center"/>
          </w:tcPr>
          <w:p w14:paraId="507E2F07">
            <w:pPr>
              <w:ind w:firstLine="28" w:firstLineChars="0"/>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人员要求（1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tc>
        <w:tc>
          <w:tcPr>
            <w:tcW w:w="4484" w:type="dxa"/>
            <w:noWrap w:val="0"/>
            <w:vAlign w:val="center"/>
          </w:tcPr>
          <w:p w14:paraId="18C69CA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项目团队人员：</w:t>
            </w:r>
          </w:p>
          <w:p w14:paraId="3E4572C2">
            <w:pPr>
              <w:numPr>
                <w:ilvl w:val="0"/>
                <w:numId w:val="0"/>
              </w:numPr>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具有</w:t>
            </w:r>
            <w:r>
              <w:rPr>
                <w:rFonts w:hint="eastAsia" w:ascii="宋体" w:hAnsi="宋体" w:cs="宋体"/>
                <w:color w:val="auto"/>
                <w:sz w:val="24"/>
                <w:szCs w:val="24"/>
                <w:highlight w:val="none"/>
                <w:lang w:val="en-US" w:eastAsia="zh-CN"/>
              </w:rPr>
              <w:t>林业</w:t>
            </w:r>
            <w:r>
              <w:rPr>
                <w:rFonts w:hint="eastAsia" w:ascii="宋体" w:hAnsi="宋体" w:eastAsia="宋体" w:cs="宋体"/>
                <w:color w:val="auto"/>
                <w:sz w:val="24"/>
                <w:szCs w:val="24"/>
                <w:highlight w:val="none"/>
              </w:rPr>
              <w:t>工程师资格证书的，提供一人得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w:t>
            </w:r>
            <w:r>
              <w:rPr>
                <w:rFonts w:hint="eastAsia" w:ascii="宋体" w:hAnsi="宋体" w:eastAsia="宋体" w:cs="宋体"/>
                <w:color w:val="auto"/>
                <w:sz w:val="24"/>
                <w:szCs w:val="24"/>
                <w:highlight w:val="none"/>
              </w:rPr>
              <w:t>最高得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6561FCE7">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.具有民用无人机驾驶员合格证的，提供一人得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w:t>
            </w:r>
            <w:r>
              <w:rPr>
                <w:rFonts w:hint="eastAsia" w:ascii="宋体" w:hAnsi="宋体" w:eastAsia="宋体" w:cs="宋体"/>
                <w:color w:val="auto"/>
                <w:sz w:val="24"/>
                <w:szCs w:val="24"/>
                <w:highlight w:val="none"/>
              </w:rPr>
              <w:t>最高得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20DE94B2">
            <w:pPr>
              <w:pStyle w:val="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注：同一人员不重复计分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不提供不加分</w:t>
            </w:r>
            <w:r>
              <w:rPr>
                <w:rFonts w:hint="eastAsia" w:ascii="宋体" w:hAnsi="宋体" w:eastAsia="宋体" w:cs="宋体"/>
                <w:color w:val="auto"/>
                <w:sz w:val="24"/>
                <w:szCs w:val="24"/>
                <w:highlight w:val="none"/>
              </w:rPr>
              <w:t>。</w:t>
            </w:r>
          </w:p>
        </w:tc>
        <w:tc>
          <w:tcPr>
            <w:tcW w:w="2209" w:type="dxa"/>
            <w:noWrap w:val="0"/>
            <w:vAlign w:val="center"/>
          </w:tcPr>
          <w:p w14:paraId="0A2CF444">
            <w:pPr>
              <w:widowControl/>
              <w:spacing w:line="300" w:lineRule="exact"/>
              <w:jc w:val="left"/>
              <w:outlineLvl w:val="2"/>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提供项目团队名单（至少包含人员姓名、身份证号码、对应证书名称）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对应人员证书</w:t>
            </w:r>
            <w:r>
              <w:rPr>
                <w:rFonts w:hint="eastAsia" w:ascii="宋体" w:hAnsi="宋体" w:eastAsia="宋体" w:cs="宋体"/>
                <w:color w:val="auto"/>
                <w:sz w:val="24"/>
                <w:szCs w:val="24"/>
                <w:highlight w:val="none"/>
                <w:lang w:eastAsia="zh-CN"/>
              </w:rPr>
              <w:t>复印件并加盖公章</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原件职称证书备查。</w:t>
            </w:r>
          </w:p>
          <w:p w14:paraId="18AF12FA">
            <w:pPr>
              <w:widowControl/>
              <w:spacing w:line="300" w:lineRule="exact"/>
              <w:jc w:val="left"/>
              <w:outlineLvl w:val="2"/>
              <w:rPr>
                <w:rFonts w:hint="eastAsia" w:ascii="宋体" w:hAnsi="宋体" w:eastAsia="宋体" w:cs="宋体"/>
                <w:color w:val="auto"/>
                <w:sz w:val="24"/>
                <w:szCs w:val="24"/>
                <w:highlight w:val="none"/>
              </w:rPr>
            </w:pPr>
          </w:p>
        </w:tc>
      </w:tr>
      <w:tr w14:paraId="4D82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564" w:type="dxa"/>
            <w:vMerge w:val="continue"/>
            <w:noWrap w:val="0"/>
            <w:vAlign w:val="center"/>
          </w:tcPr>
          <w:p w14:paraId="3F982563">
            <w:pPr>
              <w:widowControl/>
              <w:spacing w:line="280" w:lineRule="exact"/>
              <w:jc w:val="center"/>
              <w:rPr>
                <w:rFonts w:hint="eastAsia" w:ascii="宋体" w:hAnsi="宋体" w:eastAsia="宋体" w:cs="宋体"/>
                <w:color w:val="auto"/>
                <w:sz w:val="24"/>
                <w:szCs w:val="24"/>
                <w:highlight w:val="none"/>
              </w:rPr>
            </w:pPr>
          </w:p>
        </w:tc>
        <w:tc>
          <w:tcPr>
            <w:tcW w:w="1061" w:type="dxa"/>
            <w:vMerge w:val="continue"/>
            <w:noWrap w:val="0"/>
            <w:vAlign w:val="center"/>
          </w:tcPr>
          <w:p w14:paraId="02909002">
            <w:pPr>
              <w:snapToGrid w:val="0"/>
              <w:rPr>
                <w:rFonts w:hint="eastAsia" w:ascii="宋体" w:hAnsi="宋体" w:eastAsia="宋体" w:cs="宋体"/>
                <w:color w:val="auto"/>
                <w:sz w:val="24"/>
                <w:szCs w:val="24"/>
                <w:highlight w:val="none"/>
              </w:rPr>
            </w:pPr>
          </w:p>
        </w:tc>
        <w:tc>
          <w:tcPr>
            <w:tcW w:w="1160" w:type="dxa"/>
            <w:noWrap w:val="0"/>
            <w:vAlign w:val="center"/>
          </w:tcPr>
          <w:p w14:paraId="5A981ECB">
            <w:pPr>
              <w:ind w:firstLine="28"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财务状况（</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tc>
        <w:tc>
          <w:tcPr>
            <w:tcW w:w="4484" w:type="dxa"/>
            <w:noWrap w:val="0"/>
            <w:vAlign w:val="center"/>
          </w:tcPr>
          <w:p w14:paraId="4971B4F5">
            <w:p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需提供近3年（202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年）财务状况。提供三年经审计的财务报表或审计报告得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2209" w:type="dxa"/>
            <w:noWrap w:val="0"/>
            <w:vAlign w:val="center"/>
          </w:tcPr>
          <w:p w14:paraId="7C576567">
            <w:pPr>
              <w:rPr>
                <w:rFonts w:hint="eastAsia" w:ascii="宋体" w:hAnsi="宋体" w:eastAsia="宋体" w:cs="宋体"/>
                <w:color w:val="auto"/>
                <w:sz w:val="24"/>
                <w:szCs w:val="24"/>
                <w:highlight w:val="none"/>
              </w:rPr>
            </w:pPr>
          </w:p>
        </w:tc>
      </w:tr>
      <w:tr w14:paraId="1B3D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564" w:type="dxa"/>
            <w:vMerge w:val="continue"/>
            <w:noWrap w:val="0"/>
            <w:vAlign w:val="center"/>
          </w:tcPr>
          <w:p w14:paraId="09E1798C">
            <w:pPr>
              <w:widowControl/>
              <w:spacing w:line="280" w:lineRule="exact"/>
              <w:jc w:val="center"/>
              <w:rPr>
                <w:rFonts w:hint="eastAsia" w:ascii="宋体" w:hAnsi="宋体" w:eastAsia="宋体" w:cs="宋体"/>
                <w:color w:val="auto"/>
                <w:sz w:val="24"/>
                <w:szCs w:val="24"/>
                <w:highlight w:val="none"/>
              </w:rPr>
            </w:pPr>
          </w:p>
        </w:tc>
        <w:tc>
          <w:tcPr>
            <w:tcW w:w="1061" w:type="dxa"/>
            <w:vMerge w:val="continue"/>
            <w:noWrap w:val="0"/>
            <w:vAlign w:val="center"/>
          </w:tcPr>
          <w:p w14:paraId="15E239C5">
            <w:pPr>
              <w:snapToGrid w:val="0"/>
              <w:rPr>
                <w:rFonts w:hint="eastAsia" w:ascii="宋体" w:hAnsi="宋体" w:eastAsia="宋体" w:cs="宋体"/>
                <w:color w:val="auto"/>
                <w:sz w:val="24"/>
                <w:szCs w:val="24"/>
                <w:highlight w:val="none"/>
              </w:rPr>
            </w:pPr>
          </w:p>
        </w:tc>
        <w:tc>
          <w:tcPr>
            <w:tcW w:w="1160" w:type="dxa"/>
            <w:noWrap w:val="0"/>
            <w:vAlign w:val="center"/>
          </w:tcPr>
          <w:p w14:paraId="28E46C17">
            <w:pPr>
              <w:ind w:firstLine="28"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业绩（10分）</w:t>
            </w:r>
          </w:p>
        </w:tc>
        <w:tc>
          <w:tcPr>
            <w:tcW w:w="4484" w:type="dxa"/>
            <w:noWrap w:val="0"/>
            <w:vAlign w:val="center"/>
          </w:tcPr>
          <w:p w14:paraId="2CE801B7">
            <w:p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年1月1日至今（以合同签订时间为准），供应商在</w:t>
            </w:r>
            <w:r>
              <w:rPr>
                <w:rFonts w:hint="eastAsia" w:ascii="宋体" w:hAnsi="宋体" w:eastAsia="宋体" w:cs="宋体"/>
                <w:color w:val="auto"/>
                <w:sz w:val="24"/>
                <w:szCs w:val="24"/>
                <w:highlight w:val="none"/>
                <w:lang w:eastAsia="zh-CN"/>
              </w:rPr>
              <w:t>全国</w:t>
            </w:r>
            <w:r>
              <w:rPr>
                <w:rFonts w:hint="eastAsia" w:ascii="宋体" w:hAnsi="宋体" w:eastAsia="宋体" w:cs="宋体"/>
                <w:color w:val="auto"/>
                <w:sz w:val="24"/>
                <w:szCs w:val="24"/>
                <w:highlight w:val="none"/>
              </w:rPr>
              <w:t>范围内</w:t>
            </w:r>
            <w:r>
              <w:rPr>
                <w:rFonts w:hint="eastAsia" w:ascii="宋体" w:hAnsi="宋体" w:eastAsia="宋体" w:cs="宋体"/>
                <w:color w:val="auto"/>
                <w:sz w:val="24"/>
                <w:szCs w:val="24"/>
                <w:highlight w:val="none"/>
                <w:lang w:val="en-US" w:eastAsia="zh-CN"/>
              </w:rPr>
              <w:t>做过</w:t>
            </w:r>
            <w:r>
              <w:rPr>
                <w:rFonts w:hint="eastAsia" w:ascii="宋体" w:hAnsi="宋体" w:eastAsia="宋体" w:cs="宋体"/>
                <w:color w:val="auto"/>
                <w:sz w:val="24"/>
                <w:szCs w:val="24"/>
                <w:highlight w:val="none"/>
              </w:rPr>
              <w:t>松材线虫病</w:t>
            </w:r>
            <w:r>
              <w:rPr>
                <w:rFonts w:hint="eastAsia" w:ascii="宋体" w:hAnsi="宋体" w:eastAsia="宋体" w:cs="宋体"/>
                <w:color w:val="auto"/>
                <w:sz w:val="24"/>
                <w:szCs w:val="24"/>
                <w:highlight w:val="none"/>
                <w:lang w:val="en-US" w:eastAsia="zh-CN"/>
              </w:rPr>
              <w:t>普查或监理或检查验收</w:t>
            </w:r>
            <w:r>
              <w:rPr>
                <w:rFonts w:hint="eastAsia" w:ascii="宋体" w:hAnsi="宋体" w:eastAsia="宋体" w:cs="宋体"/>
                <w:color w:val="auto"/>
                <w:sz w:val="24"/>
                <w:szCs w:val="24"/>
                <w:highlight w:val="none"/>
              </w:rPr>
              <w:t>服务业绩的，每提供一份业绩合同</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2.5分，</w:t>
            </w:r>
            <w:r>
              <w:rPr>
                <w:rFonts w:hint="eastAsia" w:ascii="宋体" w:hAnsi="宋体" w:eastAsia="宋体" w:cs="宋体"/>
                <w:color w:val="auto"/>
                <w:sz w:val="24"/>
                <w:szCs w:val="24"/>
                <w:highlight w:val="none"/>
              </w:rPr>
              <w:t>本项最高</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2209" w:type="dxa"/>
            <w:noWrap w:val="0"/>
            <w:vAlign w:val="center"/>
          </w:tcPr>
          <w:p w14:paraId="5F011EA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提供项目合同</w:t>
            </w:r>
            <w:r>
              <w:rPr>
                <w:rFonts w:hint="eastAsia" w:ascii="宋体" w:hAnsi="宋体" w:eastAsia="宋体" w:cs="宋体"/>
                <w:color w:val="auto"/>
                <w:sz w:val="24"/>
                <w:szCs w:val="24"/>
                <w:highlight w:val="none"/>
                <w:lang w:val="en-US" w:eastAsia="zh-CN"/>
              </w:rPr>
              <w:t>复印件盖鲜章，原件备查</w:t>
            </w:r>
            <w:r>
              <w:rPr>
                <w:rFonts w:hint="eastAsia" w:ascii="宋体" w:hAnsi="宋体" w:eastAsia="宋体" w:cs="宋体"/>
                <w:color w:val="auto"/>
                <w:sz w:val="24"/>
                <w:szCs w:val="24"/>
                <w:highlight w:val="none"/>
              </w:rPr>
              <w:t>。</w:t>
            </w:r>
          </w:p>
        </w:tc>
      </w:tr>
      <w:tr w14:paraId="0C0B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564" w:type="dxa"/>
            <w:vMerge w:val="continue"/>
            <w:noWrap w:val="0"/>
            <w:vAlign w:val="center"/>
          </w:tcPr>
          <w:p w14:paraId="288A339C">
            <w:pPr>
              <w:widowControl/>
              <w:spacing w:line="280" w:lineRule="exact"/>
              <w:jc w:val="center"/>
              <w:rPr>
                <w:rFonts w:hint="eastAsia" w:ascii="宋体" w:hAnsi="宋体" w:eastAsia="宋体" w:cs="宋体"/>
                <w:color w:val="auto"/>
                <w:sz w:val="24"/>
                <w:szCs w:val="24"/>
                <w:highlight w:val="none"/>
              </w:rPr>
            </w:pPr>
          </w:p>
        </w:tc>
        <w:tc>
          <w:tcPr>
            <w:tcW w:w="1061" w:type="dxa"/>
            <w:vMerge w:val="continue"/>
            <w:noWrap w:val="0"/>
            <w:vAlign w:val="center"/>
          </w:tcPr>
          <w:p w14:paraId="1AB2323A">
            <w:pPr>
              <w:snapToGrid w:val="0"/>
              <w:rPr>
                <w:rFonts w:hint="eastAsia" w:ascii="宋体" w:hAnsi="宋体" w:eastAsia="宋体" w:cs="宋体"/>
                <w:color w:val="auto"/>
                <w:sz w:val="24"/>
                <w:szCs w:val="24"/>
                <w:highlight w:val="none"/>
              </w:rPr>
            </w:pPr>
          </w:p>
        </w:tc>
        <w:tc>
          <w:tcPr>
            <w:tcW w:w="7853" w:type="dxa"/>
            <w:gridSpan w:val="3"/>
            <w:noWrap w:val="0"/>
            <w:vAlign w:val="center"/>
          </w:tcPr>
          <w:p w14:paraId="2822AB9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注：于签订合同之前，成交供应商就将以上商务部分评分证明资料原件交采购人进行复核检查，并对其真实性进行核实，如发现</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文件与原件不一致或弄虚作假，</w:t>
            </w:r>
            <w:r>
              <w:rPr>
                <w:rFonts w:hint="eastAsia" w:ascii="宋体" w:hAnsi="宋体" w:eastAsia="宋体" w:cs="宋体"/>
                <w:color w:val="auto"/>
                <w:sz w:val="24"/>
                <w:szCs w:val="24"/>
                <w:highlight w:val="none"/>
                <w:lang w:val="en-US" w:eastAsia="zh-CN"/>
              </w:rPr>
              <w:t>将</w:t>
            </w:r>
            <w:r>
              <w:rPr>
                <w:rFonts w:hint="eastAsia" w:ascii="宋体" w:hAnsi="宋体" w:eastAsia="宋体" w:cs="宋体"/>
                <w:color w:val="auto"/>
                <w:sz w:val="24"/>
                <w:szCs w:val="24"/>
                <w:highlight w:val="none"/>
              </w:rPr>
              <w:t>取消成交资格，并报相关行政主管部门进行处罚，如给采购人造成损失的，还应承担相应损失。</w:t>
            </w:r>
          </w:p>
        </w:tc>
      </w:tr>
    </w:tbl>
    <w:p w14:paraId="735C55B4">
      <w:pPr>
        <w:snapToGri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说明：</w:t>
      </w:r>
      <w:bookmarkStart w:id="184" w:name="_Toc961"/>
      <w:r>
        <w:rPr>
          <w:rFonts w:hint="eastAsia" w:ascii="宋体" w:hAnsi="宋体" w:cs="宋体"/>
          <w:color w:val="auto"/>
          <w:sz w:val="24"/>
          <w:szCs w:val="24"/>
          <w:highlight w:val="none"/>
        </w:rPr>
        <w:t>评审小组认为，排名在前面的成交供应商候选人的竞采报价或者某些分项报价明显不合理或者低于成本，有可能影响服务质量和不能诚信履约的，将要求其在规定的期限内提供书面文件予以解释说明，并提交相关证明材料；否则，评审小组可以取消该成交供应商候选人资格，按顺序由排在后一位的成交供应商候选人递补，以此类推。</w:t>
      </w:r>
    </w:p>
    <w:p w14:paraId="0DB6FFA8">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85" w:name="_Toc12449"/>
      <w:bookmarkStart w:id="186" w:name="_Toc947"/>
      <w:bookmarkStart w:id="187" w:name="_Toc22419"/>
      <w:bookmarkStart w:id="188" w:name="_Toc18322"/>
      <w:bookmarkStart w:id="189" w:name="_Toc8070"/>
      <w:r>
        <w:rPr>
          <w:rFonts w:hint="eastAsia" w:ascii="宋体" w:hAnsi="宋体" w:eastAsia="宋体" w:cs="宋体"/>
          <w:color w:val="auto"/>
          <w:sz w:val="24"/>
          <w:highlight w:val="none"/>
        </w:rPr>
        <w:t>三、无效</w:t>
      </w:r>
      <w:bookmarkEnd w:id="179"/>
      <w:bookmarkEnd w:id="180"/>
      <w:bookmarkEnd w:id="181"/>
      <w:r>
        <w:rPr>
          <w:rFonts w:hint="eastAsia" w:ascii="宋体" w:hAnsi="宋体" w:eastAsia="宋体" w:cs="宋体"/>
          <w:color w:val="auto"/>
          <w:sz w:val="24"/>
          <w:highlight w:val="none"/>
        </w:rPr>
        <w:t>报价</w:t>
      </w:r>
      <w:bookmarkEnd w:id="182"/>
      <w:bookmarkEnd w:id="183"/>
      <w:bookmarkEnd w:id="184"/>
      <w:bookmarkEnd w:id="185"/>
      <w:bookmarkEnd w:id="186"/>
      <w:bookmarkEnd w:id="187"/>
      <w:bookmarkEnd w:id="188"/>
      <w:bookmarkEnd w:id="189"/>
    </w:p>
    <w:p w14:paraId="00F49C1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供应商发生以下条款情况之一者，视为无效报价：</w:t>
      </w:r>
    </w:p>
    <w:p w14:paraId="5C8DAFC7">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267FA1D7">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（二）供应商未通过实质性响应审查的；</w:t>
      </w:r>
    </w:p>
    <w:p w14:paraId="0E64BAA1">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（三）供应商未在保证金到账截止时间前足额交纳所参与包保证金的（如有）；</w:t>
      </w:r>
    </w:p>
    <w:p w14:paraId="00AD582B">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（四）供应商所提交的响应文件未按“第七篇响应文件格式要求”要求签署或盖章的；</w:t>
      </w:r>
    </w:p>
    <w:p w14:paraId="7159CAC2">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（五）供应商的报价超过采购预算或最高限价的；</w:t>
      </w:r>
    </w:p>
    <w:p w14:paraId="4B783456">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（六）供应商不接受评审小组修正后的价格的；</w:t>
      </w:r>
    </w:p>
    <w:p w14:paraId="506F83DA">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（七）单位负责人为同一人或者存在直接控股、管理关系的不同供应商，参加同一合同项（包）报价的；</w:t>
      </w:r>
    </w:p>
    <w:p w14:paraId="721D2D8F">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（八）为采购项目提供整体设计、规范编制或者项目管理、监理、检测等服务的供应商再参加该采购项目的其他采购活动的；</w:t>
      </w:r>
    </w:p>
    <w:p w14:paraId="11C5F51C">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（九）同一合同项（包）下的货物，制造商参与报价，再委托代理商参与报价的；</w:t>
      </w:r>
    </w:p>
    <w:p w14:paraId="40BF4A91">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（十）供应商响应文件内容有与国家现行法律法规相违背的内容，或附有采购人无法接受条件的；</w:t>
      </w:r>
    </w:p>
    <w:p w14:paraId="1D35FF1B">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（十一）</w:t>
      </w:r>
      <w:r>
        <w:rPr>
          <w:rFonts w:hint="eastAsia" w:ascii="宋体" w:hAnsi="宋体" w:cs="宋体"/>
          <w:color w:val="auto"/>
          <w:sz w:val="24"/>
          <w:szCs w:val="24"/>
          <w:highlight w:val="none"/>
          <w:lang w:eastAsia="zh-CN"/>
        </w:rPr>
        <w:t>法律法规</w:t>
      </w:r>
      <w:r>
        <w:rPr>
          <w:rFonts w:hint="eastAsia" w:ascii="宋体" w:hAnsi="宋体" w:cs="宋体"/>
          <w:color w:val="auto"/>
          <w:sz w:val="24"/>
          <w:szCs w:val="24"/>
          <w:highlight w:val="none"/>
        </w:rPr>
        <w:t>和网上竞采文件规定的其他无效情形。</w:t>
      </w:r>
    </w:p>
    <w:p w14:paraId="12285252">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90" w:name="_Toc20908"/>
      <w:bookmarkStart w:id="191" w:name="_Toc29298"/>
      <w:bookmarkStart w:id="192" w:name="_Toc16569"/>
      <w:bookmarkStart w:id="193" w:name="_Toc3070"/>
      <w:bookmarkStart w:id="194" w:name="_Toc28422"/>
      <w:bookmarkStart w:id="195" w:name="_Toc22716"/>
      <w:bookmarkStart w:id="196" w:name="_Toc18333"/>
      <w:bookmarkStart w:id="197" w:name="_Toc106034793"/>
      <w:bookmarkStart w:id="198" w:name="_Toc9262"/>
      <w:bookmarkStart w:id="199" w:name="_Toc5801"/>
      <w:bookmarkStart w:id="200" w:name="_Toc65660353"/>
      <w:r>
        <w:rPr>
          <w:rFonts w:hint="eastAsia" w:ascii="宋体" w:hAnsi="宋体" w:eastAsia="宋体" w:cs="宋体"/>
          <w:color w:val="auto"/>
          <w:sz w:val="24"/>
          <w:highlight w:val="none"/>
        </w:rPr>
        <w:t>四、采购终止</w:t>
      </w:r>
      <w:bookmarkEnd w:id="190"/>
      <w:bookmarkEnd w:id="191"/>
      <w:bookmarkEnd w:id="192"/>
      <w:bookmarkEnd w:id="193"/>
      <w:bookmarkEnd w:id="194"/>
      <w:bookmarkEnd w:id="195"/>
      <w:bookmarkEnd w:id="196"/>
      <w:bookmarkEnd w:id="197"/>
      <w:bookmarkEnd w:id="198"/>
      <w:bookmarkEnd w:id="199"/>
      <w:bookmarkEnd w:id="200"/>
    </w:p>
    <w:p w14:paraId="035CE06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出现下列情形之一的，采购人或者采购代理机构应当终止网上竞采活动，发布项目终止公告并说明原因，重新开展采购活动：</w:t>
      </w:r>
    </w:p>
    <w:p w14:paraId="4A0AE9B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（一）因情况变化，不再符合规定的网上竞采方式适用情形的；</w:t>
      </w:r>
    </w:p>
    <w:p w14:paraId="1234DBF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46DC950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（三）在采购过程中符合竞争要求的供应商或者报价未超过采购预算的供应商不足3家的。</w:t>
      </w:r>
    </w:p>
    <w:p w14:paraId="51606796">
      <w:pPr>
        <w:pStyle w:val="2"/>
        <w:spacing w:line="360" w:lineRule="auto"/>
        <w:jc w:val="center"/>
        <w:rPr>
          <w:rFonts w:hint="eastAsia" w:hAnsi="宋体" w:cs="宋体"/>
          <w:b/>
          <w:bCs/>
          <w:color w:val="auto"/>
          <w:sz w:val="40"/>
          <w:szCs w:val="32"/>
          <w:highlight w:val="none"/>
        </w:rPr>
      </w:pPr>
      <w:r>
        <w:rPr>
          <w:rFonts w:hint="eastAsia" w:hAnsi="宋体" w:cs="宋体"/>
          <w:b/>
          <w:color w:val="auto"/>
          <w:sz w:val="36"/>
          <w:szCs w:val="30"/>
          <w:highlight w:val="none"/>
        </w:rPr>
        <w:br w:type="page"/>
      </w:r>
      <w:bookmarkStart w:id="201" w:name="_Toc10768"/>
      <w:bookmarkStart w:id="202" w:name="_Toc20504"/>
      <w:bookmarkStart w:id="203" w:name="_Toc20055"/>
      <w:bookmarkStart w:id="204" w:name="_Toc65660354"/>
      <w:bookmarkStart w:id="205" w:name="_Toc26864"/>
      <w:bookmarkStart w:id="206" w:name="_Toc8158"/>
      <w:bookmarkStart w:id="207" w:name="_Toc21850"/>
      <w:bookmarkStart w:id="208" w:name="_Toc106034794"/>
      <w:bookmarkStart w:id="209" w:name="_Toc32091"/>
      <w:bookmarkStart w:id="210" w:name="_Toc8558"/>
      <w:bookmarkStart w:id="211" w:name="_Toc8916"/>
      <w:r>
        <w:rPr>
          <w:rStyle w:val="19"/>
          <w:rFonts w:hint="eastAsia" w:hAnsi="宋体" w:cs="宋体"/>
          <w:b/>
          <w:bCs/>
          <w:color w:val="auto"/>
          <w:sz w:val="32"/>
          <w:szCs w:val="21"/>
          <w:highlight w:val="none"/>
        </w:rPr>
        <w:t>第五篇  供应商须知</w:t>
      </w:r>
      <w:bookmarkEnd w:id="201"/>
      <w:bookmarkEnd w:id="202"/>
      <w:bookmarkEnd w:id="203"/>
      <w:bookmarkEnd w:id="204"/>
      <w:bookmarkEnd w:id="205"/>
      <w:bookmarkEnd w:id="206"/>
      <w:bookmarkEnd w:id="207"/>
      <w:bookmarkEnd w:id="208"/>
      <w:bookmarkEnd w:id="209"/>
      <w:bookmarkEnd w:id="210"/>
      <w:bookmarkEnd w:id="211"/>
    </w:p>
    <w:p w14:paraId="66D4F123">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212" w:name="_Toc65660355"/>
      <w:bookmarkStart w:id="213" w:name="_Toc21205"/>
      <w:bookmarkStart w:id="214" w:name="_Toc16730"/>
      <w:bookmarkStart w:id="215" w:name="_Toc20821"/>
      <w:bookmarkStart w:id="216" w:name="_Toc2864"/>
      <w:bookmarkStart w:id="217" w:name="_Toc5290"/>
      <w:bookmarkStart w:id="218" w:name="_Toc106034795"/>
      <w:bookmarkStart w:id="219" w:name="_Toc7637"/>
      <w:bookmarkStart w:id="220" w:name="_Toc16524"/>
      <w:bookmarkStart w:id="221" w:name="_Toc17522"/>
      <w:bookmarkStart w:id="222" w:name="_Toc27608"/>
      <w:r>
        <w:rPr>
          <w:rFonts w:hint="eastAsia" w:ascii="宋体" w:hAnsi="宋体" w:eastAsia="宋体" w:cs="宋体"/>
          <w:color w:val="auto"/>
          <w:sz w:val="24"/>
          <w:highlight w:val="none"/>
        </w:rPr>
        <w:t>一、竞采费用</w:t>
      </w:r>
      <w:bookmarkEnd w:id="212"/>
      <w:bookmarkEnd w:id="213"/>
      <w:bookmarkEnd w:id="214"/>
      <w:bookmarkEnd w:id="215"/>
      <w:bookmarkEnd w:id="216"/>
      <w:bookmarkEnd w:id="217"/>
      <w:bookmarkEnd w:id="218"/>
      <w:bookmarkEnd w:id="219"/>
      <w:bookmarkEnd w:id="220"/>
      <w:bookmarkEnd w:id="221"/>
      <w:bookmarkEnd w:id="222"/>
    </w:p>
    <w:p w14:paraId="48FB0CB6">
      <w:pPr>
        <w:pStyle w:val="2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参与报价的供应商应承担其编制响应文件与递交响应文件所涉及的一切费用，不论竞采结果如何，采购人和采购代理机构在任何情况下无义务也无责任承担这些费用。</w:t>
      </w:r>
    </w:p>
    <w:p w14:paraId="3BE29F09">
      <w:pPr>
        <w:pStyle w:val="3"/>
        <w:adjustRightInd w:val="0"/>
        <w:snapToGrid w:val="0"/>
        <w:spacing w:before="0" w:after="0" w:line="360" w:lineRule="auto"/>
        <w:ind w:firstLine="482" w:firstLineChars="200"/>
        <w:rPr>
          <w:rFonts w:hint="eastAsia" w:ascii="宋体" w:hAnsi="宋体" w:eastAsia="宋体" w:cs="宋体"/>
          <w:b/>
          <w:color w:val="auto"/>
          <w:sz w:val="24"/>
          <w:highlight w:val="none"/>
        </w:rPr>
      </w:pPr>
      <w:bookmarkStart w:id="223" w:name="_Toc31739"/>
      <w:bookmarkStart w:id="224" w:name="_Toc65660356"/>
      <w:bookmarkStart w:id="225" w:name="_Toc106034796"/>
      <w:bookmarkStart w:id="226" w:name="_Toc31070"/>
      <w:bookmarkStart w:id="227" w:name="_Toc5915"/>
      <w:bookmarkStart w:id="228" w:name="_Toc15720"/>
      <w:bookmarkStart w:id="229" w:name="_Toc23817"/>
      <w:bookmarkStart w:id="230" w:name="_Toc21966"/>
      <w:bookmarkStart w:id="231" w:name="_Toc8888"/>
      <w:bookmarkStart w:id="232" w:name="_Toc19454"/>
      <w:bookmarkStart w:id="233" w:name="_Toc8045"/>
      <w:r>
        <w:rPr>
          <w:rFonts w:hint="eastAsia" w:ascii="宋体" w:hAnsi="宋体" w:eastAsia="宋体" w:cs="宋体"/>
          <w:b/>
          <w:color w:val="auto"/>
          <w:sz w:val="24"/>
          <w:highlight w:val="none"/>
        </w:rPr>
        <w:t>二、</w:t>
      </w:r>
      <w:bookmarkEnd w:id="223"/>
      <w:bookmarkEnd w:id="224"/>
      <w:bookmarkEnd w:id="225"/>
      <w:bookmarkEnd w:id="226"/>
      <w:bookmarkEnd w:id="227"/>
      <w:r>
        <w:rPr>
          <w:rFonts w:hint="eastAsia" w:ascii="宋体" w:hAnsi="宋体" w:eastAsia="宋体" w:cs="宋体"/>
          <w:b/>
          <w:color w:val="auto"/>
          <w:sz w:val="24"/>
          <w:highlight w:val="none"/>
        </w:rPr>
        <w:t>网上竞采文件</w:t>
      </w:r>
      <w:bookmarkEnd w:id="228"/>
      <w:bookmarkEnd w:id="229"/>
      <w:bookmarkEnd w:id="230"/>
      <w:bookmarkEnd w:id="231"/>
      <w:bookmarkEnd w:id="232"/>
      <w:bookmarkEnd w:id="233"/>
      <w:r>
        <w:rPr>
          <w:rFonts w:hint="eastAsia" w:ascii="宋体" w:hAnsi="宋体" w:eastAsia="宋体" w:cs="宋体"/>
          <w:b/>
          <w:color w:val="auto"/>
          <w:sz w:val="24"/>
          <w:highlight w:val="none"/>
        </w:rPr>
        <w:tab/>
      </w:r>
    </w:p>
    <w:p w14:paraId="3E86D343">
      <w:pPr>
        <w:snapToGrid w:val="0"/>
        <w:spacing w:line="360" w:lineRule="auto"/>
        <w:ind w:firstLine="480" w:firstLineChars="200"/>
        <w:rPr>
          <w:rFonts w:hint="eastAsia" w:ascii="宋体" w:hAnsi="宋体" w:cs="宋体"/>
          <w:color w:val="auto"/>
          <w:sz w:val="24"/>
          <w:szCs w:val="24"/>
          <w:highlight w:val="none"/>
        </w:rPr>
      </w:pPr>
      <w:bookmarkStart w:id="234" w:name="_Toc106034797"/>
      <w:bookmarkStart w:id="235" w:name="_Toc65660357"/>
      <w:bookmarkStart w:id="236" w:name="_Toc9532"/>
      <w:bookmarkStart w:id="237" w:name="_Toc3061"/>
      <w:bookmarkStart w:id="238" w:name="_Toc1922"/>
      <w:r>
        <w:rPr>
          <w:rFonts w:hint="eastAsia" w:ascii="宋体" w:hAnsi="宋体" w:cs="宋体"/>
          <w:color w:val="auto"/>
          <w:sz w:val="24"/>
          <w:szCs w:val="24"/>
          <w:highlight w:val="none"/>
        </w:rPr>
        <w:t>（一）网上竞采文件由采购邀请书、采购技术和服务要求、项目商务要求、竞采程序及方法、评审标准、无效响应和采购终止、供应商须知、合同主要条款及格式、响应文件格式要求七部分组成。</w:t>
      </w:r>
    </w:p>
    <w:p w14:paraId="44DDF8C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（二）采购人（或采购代理机构）所作的一切有效的书面通知、修改及补充，都是网上竞采文件不可分割的部分。</w:t>
      </w:r>
    </w:p>
    <w:p w14:paraId="44F389BD">
      <w:pPr>
        <w:snapToGrid w:val="0"/>
        <w:spacing w:line="360" w:lineRule="auto"/>
        <w:ind w:firstLine="480" w:firstLineChars="200"/>
        <w:rPr>
          <w:rFonts w:hint="eastAsia" w:ascii="宋体" w:hAnsi="宋体" w:cs="宋体"/>
          <w:color w:val="auto"/>
          <w:sz w:val="24"/>
          <w:szCs w:val="24"/>
          <w:highlight w:val="none"/>
        </w:rPr>
      </w:pPr>
      <w:bookmarkStart w:id="239" w:name="_Toc318159349"/>
      <w:bookmarkStart w:id="240" w:name="_Toc318159780"/>
      <w:bookmarkStart w:id="241" w:name="_Toc318166429"/>
      <w:bookmarkStart w:id="242" w:name="_Toc318159160"/>
      <w:r>
        <w:rPr>
          <w:rFonts w:hint="eastAsia" w:ascii="宋体" w:hAnsi="宋体" w:cs="宋体"/>
          <w:color w:val="auto"/>
          <w:sz w:val="24"/>
          <w:szCs w:val="24"/>
          <w:highlight w:val="none"/>
        </w:rPr>
        <w:t>（三）评审的依据为网上竞采文件和响应文件（含有效的书面承诺）。评审小组判断响应文件对网上竞采文件的响应，仅基于响应文件本身而不靠外部证据。</w:t>
      </w:r>
    </w:p>
    <w:bookmarkEnd w:id="234"/>
    <w:bookmarkEnd w:id="235"/>
    <w:bookmarkEnd w:id="236"/>
    <w:bookmarkEnd w:id="237"/>
    <w:bookmarkEnd w:id="238"/>
    <w:bookmarkEnd w:id="239"/>
    <w:bookmarkEnd w:id="240"/>
    <w:bookmarkEnd w:id="241"/>
    <w:bookmarkEnd w:id="242"/>
    <w:p w14:paraId="747EC239">
      <w:pPr>
        <w:pStyle w:val="3"/>
        <w:adjustRightInd w:val="0"/>
        <w:snapToGrid w:val="0"/>
        <w:spacing w:before="0" w:after="0" w:line="360" w:lineRule="auto"/>
        <w:ind w:firstLine="482" w:firstLineChars="200"/>
        <w:rPr>
          <w:rFonts w:hint="eastAsia" w:ascii="宋体" w:hAnsi="宋体" w:eastAsia="宋体" w:cs="宋体"/>
          <w:b/>
          <w:color w:val="auto"/>
          <w:sz w:val="24"/>
          <w:highlight w:val="none"/>
        </w:rPr>
      </w:pPr>
      <w:bookmarkStart w:id="243" w:name="_Toc26634"/>
      <w:bookmarkStart w:id="244" w:name="_Toc342913392"/>
      <w:bookmarkStart w:id="245" w:name="_Toc10923"/>
      <w:bookmarkStart w:id="246" w:name="_Toc179714297"/>
      <w:bookmarkStart w:id="247" w:name="_Toc102227318"/>
      <w:bookmarkStart w:id="248" w:name="_Toc106034798"/>
      <w:bookmarkStart w:id="249" w:name="_Toc10172"/>
      <w:bookmarkStart w:id="250" w:name="_Toc65660358"/>
      <w:bookmarkStart w:id="251" w:name="_Toc6242"/>
      <w:bookmarkStart w:id="252" w:name="_Toc14702"/>
      <w:r>
        <w:rPr>
          <w:rFonts w:hint="eastAsia" w:ascii="宋体" w:hAnsi="宋体" w:eastAsia="宋体" w:cs="宋体"/>
          <w:b/>
          <w:color w:val="auto"/>
          <w:sz w:val="24"/>
          <w:highlight w:val="none"/>
        </w:rPr>
        <w:t>三、竞采要求</w:t>
      </w:r>
      <w:bookmarkEnd w:id="243"/>
      <w:bookmarkEnd w:id="244"/>
      <w:bookmarkEnd w:id="245"/>
      <w:bookmarkEnd w:id="246"/>
      <w:bookmarkEnd w:id="247"/>
    </w:p>
    <w:p w14:paraId="4A492F2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（一）响应文件</w:t>
      </w:r>
    </w:p>
    <w:p w14:paraId="342EADD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当按照网上竞采文件的要求编制响应文件，并对网上竞采文件提出的要求和条件作出实质性响应，响应文件应编制完整的页码、目录。按照采购文件要求制作的响应文件电子版上传至重庆市政府采购云平台·网上竞采。</w:t>
      </w:r>
    </w:p>
    <w:p w14:paraId="3FB86DA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5571EE6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0B481DD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（二）联合体</w:t>
      </w:r>
    </w:p>
    <w:p w14:paraId="2D7D7A6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本项目不接受联合体。</w:t>
      </w:r>
    </w:p>
    <w:p w14:paraId="0BD50C6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（三）竞采有效期：响应文件及有关承诺文件有效期为提交响应文件截止时间起90天。</w:t>
      </w:r>
    </w:p>
    <w:p w14:paraId="067E26B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（四）修正错误</w:t>
      </w:r>
    </w:p>
    <w:p w14:paraId="0757F05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cs="宋体"/>
          <w:color w:val="auto"/>
          <w:sz w:val="24"/>
          <w:szCs w:val="24"/>
          <w:highlight w:val="none"/>
        </w:rPr>
        <w:t>若供应商所递交的响应文件中的价格出现大写金额和小写金额不一致的错误，以大写金额修正为准。</w:t>
      </w:r>
    </w:p>
    <w:p w14:paraId="0365B57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cs="宋体"/>
          <w:color w:val="auto"/>
          <w:sz w:val="24"/>
          <w:szCs w:val="24"/>
          <w:highlight w:val="none"/>
        </w:rPr>
        <w:t>若供应商所上传的响应文件中报价函价格与重庆市政府采购云平台·网上竞采所填报的价格不一致，以重庆市政府采购云平台·网上竞采所填报的价格为准。</w:t>
      </w:r>
    </w:p>
    <w:p w14:paraId="27F5BA2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cs="宋体"/>
          <w:color w:val="auto"/>
          <w:sz w:val="24"/>
          <w:szCs w:val="24"/>
          <w:highlight w:val="none"/>
        </w:rPr>
        <w:t>评审小组按上述修正错误的原则及方法修正供应商的报价，供应商须默认上述修正方式，修正后的报价对供应商具有约束作用。如果供应商不接受修正后的价格，按无效响应处理。</w:t>
      </w:r>
    </w:p>
    <w:p w14:paraId="1754F9F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457808CC">
      <w:pPr>
        <w:snapToGrid w:val="0"/>
        <w:spacing w:line="360" w:lineRule="auto"/>
        <w:ind w:firstLine="482" w:firstLineChars="200"/>
        <w:rPr>
          <w:rFonts w:hint="eastAsia" w:ascii="宋体" w:hAnsi="宋体" w:cs="宋体"/>
          <w:b/>
          <w:color w:val="auto"/>
          <w:sz w:val="24"/>
          <w:szCs w:val="24"/>
          <w:highlight w:val="none"/>
        </w:rPr>
      </w:pPr>
      <w:bookmarkStart w:id="253" w:name="_Toc28817"/>
      <w:r>
        <w:rPr>
          <w:rFonts w:hint="eastAsia" w:ascii="宋体" w:hAnsi="宋体" w:cs="宋体"/>
          <w:b/>
          <w:color w:val="auto"/>
          <w:sz w:val="24"/>
          <w:szCs w:val="24"/>
          <w:highlight w:val="none"/>
        </w:rPr>
        <w:t>1. 供应商线上报名、报价时需上传盖章后完整的响应文件电子文档一份。</w:t>
      </w:r>
    </w:p>
    <w:p w14:paraId="113388A2">
      <w:p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 在响应文件正本中，网上竞采文件第七篇响应文件编制要求中规定签字、盖章的地方必须按其规定签字、盖章。</w:t>
      </w:r>
    </w:p>
    <w:bookmarkEnd w:id="248"/>
    <w:bookmarkEnd w:id="249"/>
    <w:bookmarkEnd w:id="250"/>
    <w:bookmarkEnd w:id="251"/>
    <w:bookmarkEnd w:id="252"/>
    <w:bookmarkEnd w:id="253"/>
    <w:p w14:paraId="617B9EA1">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254" w:name="_Toc1092"/>
      <w:bookmarkStart w:id="255" w:name="_Toc31797"/>
      <w:bookmarkStart w:id="256" w:name="_Toc20414"/>
      <w:bookmarkStart w:id="257" w:name="_Toc32753"/>
      <w:bookmarkStart w:id="258" w:name="_Toc2661"/>
      <w:bookmarkStart w:id="259" w:name="_Toc10852"/>
      <w:bookmarkStart w:id="260" w:name="_Toc10504"/>
      <w:bookmarkStart w:id="261" w:name="_Toc3387"/>
      <w:bookmarkStart w:id="262" w:name="_Toc65660359"/>
      <w:bookmarkStart w:id="263" w:name="_Toc106034799"/>
      <w:bookmarkStart w:id="264" w:name="_Toc29821"/>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、成交通知</w:t>
      </w:r>
      <w:bookmarkEnd w:id="254"/>
      <w:bookmarkEnd w:id="255"/>
      <w:bookmarkEnd w:id="256"/>
      <w:bookmarkEnd w:id="257"/>
      <w:bookmarkEnd w:id="258"/>
      <w:bookmarkEnd w:id="259"/>
      <w:bookmarkEnd w:id="260"/>
      <w:bookmarkEnd w:id="261"/>
      <w:bookmarkEnd w:id="262"/>
      <w:bookmarkEnd w:id="263"/>
      <w:bookmarkEnd w:id="264"/>
    </w:p>
    <w:p w14:paraId="20B48391">
      <w:pPr>
        <w:snapToGrid w:val="0"/>
        <w:spacing w:line="360" w:lineRule="auto"/>
        <w:ind w:firstLine="480" w:firstLineChars="200"/>
        <w:rPr>
          <w:rFonts w:hint="eastAsia" w:ascii="宋体" w:hAnsi="宋体" w:cs="宋体"/>
          <w:color w:val="auto"/>
          <w:sz w:val="24"/>
          <w:szCs w:val="24"/>
          <w:highlight w:val="none"/>
        </w:rPr>
      </w:pPr>
      <w:bookmarkStart w:id="265" w:name="_Toc30909"/>
      <w:bookmarkStart w:id="266" w:name="_Toc106034800"/>
      <w:bookmarkStart w:id="267" w:name="_Toc31082"/>
      <w:bookmarkStart w:id="268" w:name="_Toc1010"/>
      <w:bookmarkStart w:id="269" w:name="_Toc65660360"/>
      <w:r>
        <w:rPr>
          <w:rFonts w:hint="eastAsia" w:ascii="宋体" w:hAnsi="宋体" w:cs="宋体"/>
          <w:color w:val="auto"/>
          <w:sz w:val="24"/>
          <w:szCs w:val="24"/>
          <w:highlight w:val="none"/>
        </w:rPr>
        <w:t>（一）成交供应商确定后，采购人或采购代理机构将在重庆市政府采购云服务平台·网上竞采（https://www.chinazhyc.com/）上发布成交结果公告。</w:t>
      </w:r>
    </w:p>
    <w:p w14:paraId="2B497BF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66771F4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1ED49CC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（四）如有供应商对成交结果提出质疑的，在质疑处理完毕后发出成交通知书。</w:t>
      </w:r>
    </w:p>
    <w:bookmarkEnd w:id="265"/>
    <w:bookmarkEnd w:id="266"/>
    <w:bookmarkEnd w:id="267"/>
    <w:bookmarkEnd w:id="268"/>
    <w:bookmarkEnd w:id="269"/>
    <w:p w14:paraId="1D0FC429">
      <w:pPr>
        <w:pStyle w:val="3"/>
        <w:adjustRightInd w:val="0"/>
        <w:snapToGrid w:val="0"/>
        <w:spacing w:before="0" w:after="0" w:line="360" w:lineRule="auto"/>
        <w:ind w:firstLine="482" w:firstLineChars="200"/>
        <w:rPr>
          <w:rFonts w:hint="eastAsia" w:ascii="宋体" w:hAnsi="宋体" w:eastAsia="宋体" w:cs="宋体"/>
          <w:b/>
          <w:color w:val="auto"/>
          <w:sz w:val="24"/>
          <w:highlight w:val="none"/>
        </w:rPr>
      </w:pPr>
      <w:bookmarkStart w:id="270" w:name="_Toc6515"/>
      <w:bookmarkStart w:id="271" w:name="_Toc16122"/>
      <w:bookmarkStart w:id="272" w:name="_Toc3944"/>
      <w:bookmarkStart w:id="273" w:name="_Toc14191"/>
      <w:bookmarkStart w:id="274" w:name="_Toc27245"/>
      <w:bookmarkStart w:id="275" w:name="_Toc15334"/>
      <w:bookmarkStart w:id="276" w:name="_Toc16387"/>
      <w:bookmarkStart w:id="277" w:name="_Toc1962"/>
      <w:bookmarkStart w:id="278" w:name="_Toc25670"/>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rPr>
        <w:t>、关于</w:t>
      </w:r>
      <w:bookmarkEnd w:id="270"/>
      <w:bookmarkEnd w:id="271"/>
      <w:bookmarkEnd w:id="272"/>
      <w:bookmarkEnd w:id="273"/>
      <w:bookmarkEnd w:id="274"/>
      <w:bookmarkEnd w:id="275"/>
      <w:bookmarkEnd w:id="276"/>
      <w:r>
        <w:rPr>
          <w:rFonts w:hint="eastAsia" w:ascii="宋体" w:hAnsi="宋体" w:eastAsia="宋体" w:cs="宋体"/>
          <w:b/>
          <w:color w:val="auto"/>
          <w:sz w:val="24"/>
          <w:highlight w:val="none"/>
        </w:rPr>
        <w:t>咨询</w:t>
      </w:r>
      <w:bookmarkEnd w:id="277"/>
      <w:bookmarkEnd w:id="278"/>
    </w:p>
    <w:p w14:paraId="7189D967">
      <w:pPr>
        <w:spacing w:line="360" w:lineRule="auto"/>
        <w:ind w:firstLine="360" w:firstLineChars="150"/>
        <w:rPr>
          <w:rFonts w:hint="eastAsia" w:ascii="宋体" w:hAnsi="宋体" w:cs="宋体"/>
          <w:color w:val="auto"/>
          <w:sz w:val="24"/>
          <w:highlight w:val="none"/>
        </w:rPr>
      </w:pPr>
      <w:bookmarkStart w:id="279" w:name="_Toc16648"/>
      <w:bookmarkStart w:id="280" w:name="_Toc65660361"/>
      <w:bookmarkStart w:id="281" w:name="_Toc23778"/>
      <w:bookmarkStart w:id="282" w:name="_Toc3127"/>
      <w:bookmarkStart w:id="283" w:name="_Toc106034801"/>
      <w:r>
        <w:rPr>
          <w:rFonts w:hint="eastAsia" w:ascii="宋体" w:hAnsi="宋体" w:cs="宋体"/>
          <w:color w:val="auto"/>
          <w:sz w:val="24"/>
          <w:highlight w:val="none"/>
        </w:rPr>
        <w:t>供应商如对网上竞采文件有异议，请电话咨询采购人。如对采购流程有异议，请电话咨询重庆市政府采购云平台·网上竞采平台运营。</w:t>
      </w:r>
    </w:p>
    <w:p w14:paraId="06810063">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284" w:name="_Toc32225"/>
      <w:bookmarkStart w:id="285" w:name="_Toc22869"/>
      <w:bookmarkStart w:id="286" w:name="_Toc32280"/>
      <w:bookmarkStart w:id="287" w:name="_Toc23514"/>
      <w:bookmarkStart w:id="288" w:name="_Toc31752"/>
      <w:bookmarkStart w:id="289" w:name="_Toc32747"/>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、签订合同</w:t>
      </w:r>
      <w:bookmarkEnd w:id="279"/>
      <w:bookmarkEnd w:id="280"/>
      <w:bookmarkEnd w:id="281"/>
      <w:bookmarkEnd w:id="282"/>
      <w:bookmarkEnd w:id="283"/>
      <w:bookmarkEnd w:id="284"/>
      <w:bookmarkEnd w:id="285"/>
      <w:bookmarkEnd w:id="286"/>
      <w:bookmarkEnd w:id="287"/>
      <w:bookmarkEnd w:id="288"/>
      <w:bookmarkEnd w:id="289"/>
    </w:p>
    <w:p w14:paraId="099E85FB">
      <w:pPr>
        <w:spacing w:line="360" w:lineRule="auto"/>
        <w:ind w:firstLine="360" w:firstLineChars="150"/>
        <w:rPr>
          <w:rFonts w:hint="eastAsia" w:ascii="宋体" w:hAnsi="宋体" w:cs="宋体"/>
          <w:color w:val="auto"/>
          <w:sz w:val="24"/>
          <w:highlight w:val="none"/>
        </w:rPr>
      </w:pPr>
      <w:bookmarkStart w:id="290" w:name="_Toc32594"/>
      <w:bookmarkStart w:id="291" w:name="_Toc65660362"/>
      <w:bookmarkStart w:id="292" w:name="_Toc29513"/>
      <w:bookmarkStart w:id="293" w:name="_Toc2438"/>
      <w:bookmarkStart w:id="294" w:name="_Toc106034803"/>
      <w:r>
        <w:rPr>
          <w:rFonts w:hint="eastAsia" w:ascii="宋体" w:hAnsi="宋体" w:cs="宋体"/>
          <w:color w:val="auto"/>
          <w:sz w:val="24"/>
          <w:highlight w:val="none"/>
        </w:rPr>
        <w:t>（一）采购人应当自成交通知书发出之日起二十日内，按照网上竞采文件和成交供应商响应文件的约定，与成交供应商签订书面合同。所签订的合同不得对网上竞采文件和供应商的响应文件作实质性修改。</w:t>
      </w:r>
    </w:p>
    <w:p w14:paraId="7742E5B8">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（二）网上竞采文件、供应商的响应文件及澄清文件等，均为签订采购合同的依据。</w:t>
      </w:r>
    </w:p>
    <w:p w14:paraId="42E30213">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（三）合同生效条款由供需双方约定，法律、行政法规规定应当办理批准、登记等手续后生效的合同，依照其规定。</w:t>
      </w:r>
    </w:p>
    <w:bookmarkEnd w:id="118"/>
    <w:bookmarkEnd w:id="119"/>
    <w:bookmarkEnd w:id="120"/>
    <w:bookmarkEnd w:id="290"/>
    <w:bookmarkEnd w:id="291"/>
    <w:bookmarkEnd w:id="292"/>
    <w:bookmarkEnd w:id="293"/>
    <w:bookmarkEnd w:id="294"/>
    <w:p w14:paraId="7BA04936">
      <w:pPr>
        <w:pStyle w:val="3"/>
        <w:pageBreakBefore/>
        <w:tabs>
          <w:tab w:val="left" w:pos="2746"/>
          <w:tab w:val="center" w:pos="4766"/>
        </w:tabs>
        <w:spacing w:line="360" w:lineRule="auto"/>
        <w:jc w:val="left"/>
        <w:rPr>
          <w:rFonts w:hint="eastAsia" w:ascii="宋体" w:hAnsi="宋体" w:eastAsia="宋体" w:cs="宋体"/>
          <w:color w:val="auto"/>
          <w:sz w:val="36"/>
          <w:szCs w:val="30"/>
          <w:highlight w:val="none"/>
        </w:rPr>
      </w:pPr>
      <w:bookmarkStart w:id="295" w:name="_Toc127957630"/>
      <w:bookmarkStart w:id="296" w:name="_Toc23941"/>
      <w:bookmarkStart w:id="297" w:name="_Toc12789072"/>
      <w:r>
        <w:rPr>
          <w:rFonts w:hint="eastAsia" w:ascii="宋体" w:hAnsi="宋体" w:eastAsia="宋体" w:cs="宋体"/>
          <w:b w:val="0"/>
          <w:color w:val="auto"/>
          <w:sz w:val="36"/>
          <w:szCs w:val="30"/>
          <w:highlight w:val="none"/>
        </w:rPr>
        <w:tab/>
      </w:r>
      <w:bookmarkStart w:id="298" w:name="_Toc2605"/>
      <w:bookmarkStart w:id="299" w:name="_Toc8833"/>
      <w:bookmarkStart w:id="300" w:name="_Toc29780"/>
      <w:bookmarkStart w:id="301" w:name="_Toc25767"/>
      <w:bookmarkStart w:id="302" w:name="_Toc27342"/>
      <w:bookmarkStart w:id="303" w:name="_Toc21139"/>
      <w:r>
        <w:rPr>
          <w:rFonts w:hint="eastAsia" w:ascii="宋体" w:hAnsi="宋体" w:eastAsia="宋体" w:cs="宋体"/>
          <w:color w:val="auto"/>
          <w:sz w:val="36"/>
          <w:szCs w:val="30"/>
          <w:highlight w:val="none"/>
        </w:rPr>
        <w:t>第六篇  政府采购合同</w:t>
      </w:r>
      <w:bookmarkEnd w:id="295"/>
      <w:bookmarkEnd w:id="298"/>
      <w:bookmarkEnd w:id="299"/>
      <w:bookmarkEnd w:id="300"/>
      <w:bookmarkEnd w:id="301"/>
      <w:bookmarkEnd w:id="302"/>
      <w:bookmarkEnd w:id="303"/>
    </w:p>
    <w:p w14:paraId="16107316">
      <w:pPr>
        <w:spacing w:line="500" w:lineRule="exact"/>
        <w:jc w:val="center"/>
        <w:rPr>
          <w:rFonts w:hint="eastAsia" w:ascii="宋体" w:hAnsi="宋体" w:cs="宋体"/>
          <w:b/>
          <w:color w:val="auto"/>
          <w:sz w:val="44"/>
          <w:highlight w:val="none"/>
        </w:rPr>
      </w:pPr>
      <w:bookmarkStart w:id="304" w:name="_Hlt41879464"/>
      <w:bookmarkEnd w:id="304"/>
      <w:r>
        <w:rPr>
          <w:rFonts w:hint="eastAsia" w:ascii="宋体" w:hAnsi="宋体" w:cs="宋体"/>
          <w:b/>
          <w:color w:val="auto"/>
          <w:sz w:val="44"/>
          <w:highlight w:val="none"/>
        </w:rPr>
        <w:t>重庆市政府采购合同</w:t>
      </w:r>
      <w:r>
        <w:rPr>
          <w:rFonts w:hint="eastAsia" w:ascii="宋体" w:hAnsi="宋体" w:cs="宋体"/>
          <w:bCs/>
          <w:color w:val="auto"/>
          <w:sz w:val="32"/>
          <w:szCs w:val="32"/>
          <w:highlight w:val="none"/>
        </w:rPr>
        <w:t>(供参考)</w:t>
      </w:r>
    </w:p>
    <w:p w14:paraId="513DB420">
      <w:pPr>
        <w:spacing w:line="500" w:lineRule="exact"/>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eastAsia="zh-CN"/>
        </w:rPr>
        <w:t>采购项目编号</w:t>
      </w:r>
      <w:r>
        <w:rPr>
          <w:rFonts w:hint="eastAsia" w:ascii="宋体" w:hAnsi="宋体" w:cs="宋体"/>
          <w:color w:val="auto"/>
          <w:highlight w:val="none"/>
        </w:rPr>
        <w:t>：     ）</w:t>
      </w:r>
    </w:p>
    <w:p w14:paraId="62755C89">
      <w:pPr>
        <w:spacing w:line="500" w:lineRule="exact"/>
        <w:rPr>
          <w:rFonts w:hint="eastAsia" w:ascii="宋体" w:hAnsi="宋体" w:cs="宋体"/>
          <w:color w:val="auto"/>
          <w:sz w:val="24"/>
          <w:highlight w:val="none"/>
        </w:rPr>
      </w:pPr>
      <w:r>
        <w:rPr>
          <w:rFonts w:hint="eastAsia" w:ascii="宋体" w:hAnsi="宋体" w:cs="宋体"/>
          <w:color w:val="auto"/>
          <w:sz w:val="24"/>
          <w:highlight w:val="none"/>
        </w:rPr>
        <w:t>甲方（需方）：___________________________      计价单位：____________</w:t>
      </w:r>
    </w:p>
    <w:p w14:paraId="3B4BA519">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乙方（供方）：___________________________      计量单位：_____________</w:t>
      </w:r>
    </w:p>
    <w:p w14:paraId="19468D5A">
      <w:pPr>
        <w:spacing w:line="500" w:lineRule="exact"/>
        <w:rPr>
          <w:rFonts w:hint="eastAsia" w:ascii="宋体" w:hAnsi="宋体" w:cs="宋体"/>
          <w:color w:val="auto"/>
          <w:sz w:val="24"/>
          <w:highlight w:val="none"/>
        </w:rPr>
      </w:pPr>
    </w:p>
    <w:p w14:paraId="1B6390B5">
      <w:pPr>
        <w:spacing w:line="500" w:lineRule="exact"/>
        <w:rPr>
          <w:rFonts w:hint="eastAsia" w:ascii="宋体" w:hAnsi="宋体" w:cs="宋体"/>
          <w:color w:val="auto"/>
          <w:sz w:val="24"/>
          <w:highlight w:val="none"/>
        </w:rPr>
      </w:pPr>
      <w:r>
        <w:rPr>
          <w:rFonts w:hint="eastAsia" w:ascii="宋体" w:hAnsi="宋体" w:cs="宋体"/>
          <w:color w:val="auto"/>
          <w:sz w:val="24"/>
          <w:highlight w:val="none"/>
        </w:rPr>
        <w:t>经双方协商一致，达成以下采购合同：</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0BD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48C8053">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984" w:type="dxa"/>
            <w:noWrap w:val="0"/>
            <w:vAlign w:val="center"/>
          </w:tcPr>
          <w:p w14:paraId="6F9E9EC5">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数量</w:t>
            </w:r>
          </w:p>
        </w:tc>
        <w:tc>
          <w:tcPr>
            <w:tcW w:w="1298" w:type="dxa"/>
            <w:gridSpan w:val="2"/>
            <w:noWrap w:val="0"/>
            <w:vAlign w:val="center"/>
          </w:tcPr>
          <w:p w14:paraId="4E233E40">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综合单价</w:t>
            </w:r>
          </w:p>
        </w:tc>
        <w:tc>
          <w:tcPr>
            <w:tcW w:w="1134" w:type="dxa"/>
            <w:noWrap w:val="0"/>
            <w:vAlign w:val="center"/>
          </w:tcPr>
          <w:p w14:paraId="6F81FE02">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总价</w:t>
            </w:r>
          </w:p>
        </w:tc>
        <w:tc>
          <w:tcPr>
            <w:tcW w:w="1559" w:type="dxa"/>
            <w:noWrap w:val="0"/>
            <w:vAlign w:val="center"/>
          </w:tcPr>
          <w:p w14:paraId="47525BFD">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服务时间</w:t>
            </w:r>
          </w:p>
        </w:tc>
        <w:tc>
          <w:tcPr>
            <w:tcW w:w="1567" w:type="dxa"/>
            <w:noWrap w:val="0"/>
            <w:vAlign w:val="center"/>
          </w:tcPr>
          <w:p w14:paraId="7BE31B6E">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服务地点</w:t>
            </w:r>
          </w:p>
        </w:tc>
      </w:tr>
      <w:tr w14:paraId="290E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606104D2">
            <w:pPr>
              <w:spacing w:line="240" w:lineRule="atLeast"/>
              <w:jc w:val="center"/>
              <w:rPr>
                <w:rFonts w:hint="eastAsia" w:ascii="宋体" w:hAnsi="宋体" w:cs="宋体"/>
                <w:color w:val="auto"/>
                <w:sz w:val="21"/>
                <w:szCs w:val="21"/>
                <w:highlight w:val="none"/>
              </w:rPr>
            </w:pPr>
          </w:p>
        </w:tc>
        <w:tc>
          <w:tcPr>
            <w:tcW w:w="984" w:type="dxa"/>
            <w:noWrap w:val="0"/>
            <w:vAlign w:val="center"/>
          </w:tcPr>
          <w:p w14:paraId="1E48524A">
            <w:pPr>
              <w:spacing w:line="240" w:lineRule="atLeast"/>
              <w:jc w:val="center"/>
              <w:rPr>
                <w:rFonts w:hint="eastAsia" w:ascii="宋体" w:hAnsi="宋体" w:cs="宋体"/>
                <w:color w:val="auto"/>
                <w:sz w:val="21"/>
                <w:szCs w:val="21"/>
                <w:highlight w:val="none"/>
              </w:rPr>
            </w:pPr>
          </w:p>
        </w:tc>
        <w:tc>
          <w:tcPr>
            <w:tcW w:w="1298" w:type="dxa"/>
            <w:gridSpan w:val="2"/>
            <w:noWrap w:val="0"/>
            <w:vAlign w:val="center"/>
          </w:tcPr>
          <w:p w14:paraId="18C2734D">
            <w:pPr>
              <w:spacing w:line="240" w:lineRule="atLeast"/>
              <w:jc w:val="center"/>
              <w:rPr>
                <w:rFonts w:hint="eastAsia" w:ascii="宋体" w:hAnsi="宋体" w:cs="宋体"/>
                <w:color w:val="auto"/>
                <w:sz w:val="21"/>
                <w:szCs w:val="21"/>
                <w:highlight w:val="none"/>
              </w:rPr>
            </w:pPr>
          </w:p>
        </w:tc>
        <w:tc>
          <w:tcPr>
            <w:tcW w:w="1134" w:type="dxa"/>
            <w:noWrap w:val="0"/>
            <w:vAlign w:val="center"/>
          </w:tcPr>
          <w:p w14:paraId="1B6E936F">
            <w:pPr>
              <w:spacing w:line="240" w:lineRule="atLeast"/>
              <w:jc w:val="center"/>
              <w:rPr>
                <w:rFonts w:hint="eastAsia" w:ascii="宋体" w:hAnsi="宋体" w:cs="宋体"/>
                <w:color w:val="auto"/>
                <w:sz w:val="21"/>
                <w:szCs w:val="21"/>
                <w:highlight w:val="none"/>
              </w:rPr>
            </w:pPr>
          </w:p>
        </w:tc>
        <w:tc>
          <w:tcPr>
            <w:tcW w:w="1559" w:type="dxa"/>
            <w:noWrap w:val="0"/>
            <w:vAlign w:val="center"/>
          </w:tcPr>
          <w:p w14:paraId="4B072CD9">
            <w:pPr>
              <w:spacing w:line="240" w:lineRule="atLeast"/>
              <w:jc w:val="center"/>
              <w:rPr>
                <w:rFonts w:hint="eastAsia" w:ascii="宋体" w:hAnsi="宋体" w:cs="宋体"/>
                <w:color w:val="auto"/>
                <w:sz w:val="21"/>
                <w:szCs w:val="21"/>
                <w:highlight w:val="none"/>
              </w:rPr>
            </w:pPr>
          </w:p>
        </w:tc>
        <w:tc>
          <w:tcPr>
            <w:tcW w:w="1567" w:type="dxa"/>
            <w:noWrap w:val="0"/>
            <w:vAlign w:val="center"/>
          </w:tcPr>
          <w:p w14:paraId="08C72A86">
            <w:pPr>
              <w:spacing w:line="240" w:lineRule="atLeast"/>
              <w:jc w:val="center"/>
              <w:rPr>
                <w:rFonts w:hint="eastAsia" w:ascii="宋体" w:hAnsi="宋体" w:cs="宋体"/>
                <w:color w:val="auto"/>
                <w:sz w:val="21"/>
                <w:szCs w:val="21"/>
                <w:highlight w:val="none"/>
              </w:rPr>
            </w:pPr>
          </w:p>
        </w:tc>
      </w:tr>
      <w:tr w14:paraId="5E7E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0A9CCB61">
            <w:pPr>
              <w:spacing w:line="240" w:lineRule="atLeast"/>
              <w:jc w:val="center"/>
              <w:rPr>
                <w:rFonts w:hint="eastAsia" w:ascii="宋体" w:hAnsi="宋体" w:cs="宋体"/>
                <w:color w:val="auto"/>
                <w:sz w:val="21"/>
                <w:szCs w:val="21"/>
                <w:highlight w:val="none"/>
              </w:rPr>
            </w:pPr>
          </w:p>
        </w:tc>
        <w:tc>
          <w:tcPr>
            <w:tcW w:w="984" w:type="dxa"/>
            <w:noWrap w:val="0"/>
            <w:vAlign w:val="center"/>
          </w:tcPr>
          <w:p w14:paraId="5266873E">
            <w:pPr>
              <w:spacing w:line="240" w:lineRule="atLeast"/>
              <w:jc w:val="center"/>
              <w:rPr>
                <w:rFonts w:hint="eastAsia" w:ascii="宋体" w:hAnsi="宋体" w:cs="宋体"/>
                <w:color w:val="auto"/>
                <w:sz w:val="21"/>
                <w:szCs w:val="21"/>
                <w:highlight w:val="none"/>
              </w:rPr>
            </w:pPr>
          </w:p>
        </w:tc>
        <w:tc>
          <w:tcPr>
            <w:tcW w:w="1298" w:type="dxa"/>
            <w:gridSpan w:val="2"/>
            <w:noWrap w:val="0"/>
            <w:vAlign w:val="center"/>
          </w:tcPr>
          <w:p w14:paraId="76D9A584">
            <w:pPr>
              <w:spacing w:line="240" w:lineRule="atLeast"/>
              <w:jc w:val="center"/>
              <w:rPr>
                <w:rFonts w:hint="eastAsia" w:ascii="宋体" w:hAnsi="宋体" w:cs="宋体"/>
                <w:color w:val="auto"/>
                <w:sz w:val="21"/>
                <w:szCs w:val="21"/>
                <w:highlight w:val="none"/>
              </w:rPr>
            </w:pPr>
          </w:p>
        </w:tc>
        <w:tc>
          <w:tcPr>
            <w:tcW w:w="1134" w:type="dxa"/>
            <w:noWrap w:val="0"/>
            <w:vAlign w:val="center"/>
          </w:tcPr>
          <w:p w14:paraId="18FD0BFA">
            <w:pPr>
              <w:spacing w:line="240" w:lineRule="atLeast"/>
              <w:jc w:val="center"/>
              <w:rPr>
                <w:rFonts w:hint="eastAsia" w:ascii="宋体" w:hAnsi="宋体" w:cs="宋体"/>
                <w:color w:val="auto"/>
                <w:sz w:val="21"/>
                <w:szCs w:val="21"/>
                <w:highlight w:val="none"/>
              </w:rPr>
            </w:pPr>
          </w:p>
        </w:tc>
        <w:tc>
          <w:tcPr>
            <w:tcW w:w="1559" w:type="dxa"/>
            <w:noWrap w:val="0"/>
            <w:vAlign w:val="center"/>
          </w:tcPr>
          <w:p w14:paraId="4F7F9DF5">
            <w:pPr>
              <w:spacing w:line="240" w:lineRule="atLeast"/>
              <w:jc w:val="center"/>
              <w:rPr>
                <w:rFonts w:hint="eastAsia" w:ascii="宋体" w:hAnsi="宋体" w:cs="宋体"/>
                <w:color w:val="auto"/>
                <w:sz w:val="21"/>
                <w:szCs w:val="21"/>
                <w:highlight w:val="none"/>
              </w:rPr>
            </w:pPr>
          </w:p>
        </w:tc>
        <w:tc>
          <w:tcPr>
            <w:tcW w:w="1567" w:type="dxa"/>
            <w:noWrap w:val="0"/>
            <w:vAlign w:val="center"/>
          </w:tcPr>
          <w:p w14:paraId="264E034D">
            <w:pPr>
              <w:spacing w:line="240" w:lineRule="atLeast"/>
              <w:jc w:val="center"/>
              <w:rPr>
                <w:rFonts w:hint="eastAsia" w:ascii="宋体" w:hAnsi="宋体" w:cs="宋体"/>
                <w:color w:val="auto"/>
                <w:sz w:val="21"/>
                <w:szCs w:val="21"/>
                <w:highlight w:val="none"/>
              </w:rPr>
            </w:pPr>
          </w:p>
        </w:tc>
      </w:tr>
      <w:tr w14:paraId="0F35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0E55F229">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合计人民币（小写）：</w:t>
            </w:r>
          </w:p>
        </w:tc>
      </w:tr>
      <w:tr w14:paraId="3F5C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163FAC91">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合计人民币（大写）：</w:t>
            </w:r>
          </w:p>
        </w:tc>
      </w:tr>
      <w:tr w14:paraId="3106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20BED29A">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一、服务要求</w:t>
            </w:r>
          </w:p>
        </w:tc>
      </w:tr>
      <w:tr w14:paraId="5C22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28D2FDE8">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二、考核方式</w:t>
            </w:r>
          </w:p>
        </w:tc>
      </w:tr>
      <w:tr w14:paraId="67A7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3E74762F">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三、付款方式：</w:t>
            </w:r>
          </w:p>
          <w:p w14:paraId="6E0AB61F">
            <w:pPr>
              <w:rPr>
                <w:rFonts w:hint="eastAsia" w:ascii="宋体" w:hAnsi="宋体" w:cs="宋体"/>
                <w:color w:val="auto"/>
                <w:highlight w:val="none"/>
              </w:rPr>
            </w:pPr>
          </w:p>
        </w:tc>
      </w:tr>
      <w:tr w14:paraId="3BEA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21FE55F5">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四、违约责任：</w:t>
            </w:r>
          </w:p>
          <w:p w14:paraId="21B172D9">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按《中华人民共和国民法典</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中华人民共和国政府采购法》执行，或按双方约定。</w:t>
            </w:r>
          </w:p>
        </w:tc>
      </w:tr>
      <w:tr w14:paraId="674F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02444B26">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五、其他约定事项：</w:t>
            </w:r>
          </w:p>
          <w:p w14:paraId="6E1C3955">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1.采购文件及其澄清文件、响应文件和承诺是本合同不可分割的部分。</w:t>
            </w:r>
          </w:p>
          <w:p w14:paraId="4CC74849">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2.本合同如发生争议由双方协商解决，协商不成向重庆仲裁委员会提请仲裁。</w:t>
            </w:r>
          </w:p>
          <w:p w14:paraId="610041EC">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3.本合同一式__份， 需方__份，供方__份，</w:t>
            </w:r>
            <w:r>
              <w:rPr>
                <w:rFonts w:hint="eastAsia" w:ascii="宋体" w:hAnsi="宋体" w:cs="宋体"/>
                <w:color w:val="auto"/>
                <w:sz w:val="21"/>
                <w:szCs w:val="21"/>
                <w:highlight w:val="none"/>
                <w:lang w:eastAsia="zh-CN"/>
              </w:rPr>
              <w:t>具有</w:t>
            </w:r>
            <w:r>
              <w:rPr>
                <w:rFonts w:hint="eastAsia" w:ascii="宋体" w:hAnsi="宋体" w:cs="宋体"/>
                <w:color w:val="auto"/>
                <w:sz w:val="21"/>
                <w:szCs w:val="21"/>
                <w:highlight w:val="none"/>
              </w:rPr>
              <w:t>同等法律效力。</w:t>
            </w:r>
          </w:p>
          <w:p w14:paraId="23727B90">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4.其他：</w:t>
            </w:r>
          </w:p>
        </w:tc>
      </w:tr>
      <w:tr w14:paraId="72FA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17D469D8">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需方：</w:t>
            </w:r>
          </w:p>
          <w:p w14:paraId="270C35A0">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p>
          <w:p w14:paraId="3EE9E98A">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联系电话：</w:t>
            </w:r>
          </w:p>
          <w:p w14:paraId="1237DAC0">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授权代表：</w:t>
            </w:r>
          </w:p>
        </w:tc>
        <w:tc>
          <w:tcPr>
            <w:tcW w:w="4984" w:type="dxa"/>
            <w:gridSpan w:val="5"/>
            <w:noWrap w:val="0"/>
            <w:vAlign w:val="top"/>
          </w:tcPr>
          <w:p w14:paraId="157D7C76">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供方：</w:t>
            </w:r>
          </w:p>
          <w:p w14:paraId="63CA8D80">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p>
          <w:p w14:paraId="59D1F759">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电话：</w:t>
            </w:r>
          </w:p>
          <w:p w14:paraId="58F2405F">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传真：</w:t>
            </w:r>
          </w:p>
          <w:p w14:paraId="3A1BF8AF">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开户银行：</w:t>
            </w:r>
          </w:p>
          <w:p w14:paraId="4F08ECC6">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账号：</w:t>
            </w:r>
          </w:p>
          <w:p w14:paraId="5CB7B2C8">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授权代表：</w:t>
            </w:r>
          </w:p>
          <w:p w14:paraId="6D8902F4">
            <w:pPr>
              <w:widowControl/>
              <w:spacing w:line="24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（本栏请用计算机打印以便于准确付款）</w:t>
            </w:r>
          </w:p>
        </w:tc>
      </w:tr>
      <w:tr w14:paraId="0B8E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46921F2">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14:paraId="19B9A865">
            <w:pPr>
              <w:spacing w:line="240" w:lineRule="atLeast"/>
              <w:rPr>
                <w:rFonts w:hint="eastAsia" w:ascii="宋体" w:hAnsi="宋体" w:cs="宋体"/>
                <w:color w:val="auto"/>
                <w:sz w:val="21"/>
                <w:szCs w:val="21"/>
                <w:highlight w:val="none"/>
              </w:rPr>
            </w:pPr>
          </w:p>
          <w:p w14:paraId="564835E7">
            <w:pPr>
              <w:spacing w:line="240" w:lineRule="atLeast"/>
              <w:rPr>
                <w:rFonts w:hint="eastAsia" w:ascii="宋体" w:hAnsi="宋体" w:cs="宋体"/>
                <w:color w:val="auto"/>
                <w:sz w:val="21"/>
                <w:szCs w:val="21"/>
                <w:highlight w:val="none"/>
              </w:rPr>
            </w:pPr>
          </w:p>
        </w:tc>
      </w:tr>
    </w:tbl>
    <w:p w14:paraId="644C356B">
      <w:pPr>
        <w:rPr>
          <w:rFonts w:hint="eastAsia" w:ascii="宋体" w:hAnsi="宋体" w:cs="宋体"/>
          <w:color w:val="auto"/>
          <w:sz w:val="24"/>
          <w:highlight w:val="none"/>
        </w:rPr>
      </w:pPr>
      <w:r>
        <w:rPr>
          <w:rFonts w:hint="eastAsia" w:ascii="宋体" w:hAnsi="宋体" w:cs="宋体"/>
          <w:color w:val="auto"/>
          <w:sz w:val="24"/>
          <w:highlight w:val="none"/>
        </w:rPr>
        <w:t>签约时间：           年   月   日      签约地点：</w:t>
      </w:r>
    </w:p>
    <w:p w14:paraId="3DB6C5B9">
      <w:pPr>
        <w:snapToGrid w:val="0"/>
        <w:spacing w:line="360" w:lineRule="auto"/>
        <w:ind w:firstLine="465"/>
        <w:rPr>
          <w:rFonts w:hint="eastAsia" w:ascii="宋体" w:hAnsi="宋体" w:cs="宋体"/>
          <w:color w:val="auto"/>
          <w:sz w:val="24"/>
          <w:szCs w:val="24"/>
          <w:highlight w:val="none"/>
        </w:rPr>
        <w:sectPr>
          <w:footerReference r:id="rId6" w:type="default"/>
          <w:pgSz w:w="11907" w:h="16840"/>
          <w:pgMar w:top="1134" w:right="1191" w:bottom="1134" w:left="1304" w:header="964" w:footer="992" w:gutter="0"/>
          <w:pgNumType w:fmt="numberInDash"/>
          <w:cols w:space="720" w:num="1"/>
          <w:docGrid w:linePitch="312" w:charSpace="0"/>
        </w:sectPr>
      </w:pPr>
    </w:p>
    <w:bookmarkEnd w:id="296"/>
    <w:bookmarkEnd w:id="297"/>
    <w:p w14:paraId="629E3A6A">
      <w:pPr>
        <w:pStyle w:val="3"/>
        <w:spacing w:line="360" w:lineRule="auto"/>
        <w:jc w:val="center"/>
        <w:rPr>
          <w:rFonts w:hint="eastAsia" w:ascii="宋体" w:hAnsi="宋体" w:eastAsia="宋体" w:cs="宋体"/>
          <w:color w:val="auto"/>
          <w:sz w:val="36"/>
          <w:szCs w:val="30"/>
          <w:highlight w:val="none"/>
        </w:rPr>
      </w:pPr>
      <w:bookmarkStart w:id="305" w:name="_Toc30511"/>
      <w:bookmarkStart w:id="306" w:name="_Toc14189"/>
      <w:bookmarkStart w:id="307" w:name="_Toc10959"/>
      <w:bookmarkStart w:id="308" w:name="_Toc89693272"/>
      <w:bookmarkStart w:id="309" w:name="_Toc3257"/>
      <w:bookmarkStart w:id="310" w:name="_Toc127957631"/>
      <w:bookmarkStart w:id="311" w:name="_Toc24235"/>
      <w:bookmarkStart w:id="312" w:name="_Toc9775"/>
      <w:r>
        <w:rPr>
          <w:rFonts w:hint="eastAsia" w:ascii="宋体" w:hAnsi="宋体" w:eastAsia="宋体" w:cs="宋体"/>
          <w:color w:val="auto"/>
          <w:sz w:val="36"/>
          <w:szCs w:val="30"/>
          <w:highlight w:val="none"/>
        </w:rPr>
        <w:t>第七篇  响应文件编制要求</w:t>
      </w:r>
      <w:bookmarkEnd w:id="305"/>
      <w:bookmarkEnd w:id="306"/>
      <w:bookmarkEnd w:id="307"/>
      <w:bookmarkEnd w:id="308"/>
      <w:bookmarkEnd w:id="309"/>
      <w:bookmarkEnd w:id="310"/>
      <w:bookmarkEnd w:id="311"/>
      <w:bookmarkEnd w:id="312"/>
    </w:p>
    <w:p w14:paraId="2FDFEC54">
      <w:pPr>
        <w:pStyle w:val="4"/>
        <w:spacing w:before="0" w:after="0" w:line="360" w:lineRule="auto"/>
        <w:ind w:firstLine="482" w:firstLineChars="200"/>
        <w:rPr>
          <w:rFonts w:hint="eastAsia" w:ascii="宋体" w:hAnsi="宋体" w:eastAsia="宋体" w:cs="宋体"/>
          <w:color w:val="auto"/>
          <w:sz w:val="24"/>
          <w:szCs w:val="24"/>
          <w:highlight w:val="none"/>
        </w:rPr>
      </w:pPr>
      <w:bookmarkStart w:id="313" w:name="_Toc127957632"/>
      <w:bookmarkStart w:id="314" w:name="_Toc89693273"/>
      <w:r>
        <w:rPr>
          <w:rFonts w:hint="eastAsia" w:ascii="宋体" w:hAnsi="宋体" w:eastAsia="宋体" w:cs="宋体"/>
          <w:color w:val="auto"/>
          <w:sz w:val="24"/>
          <w:szCs w:val="24"/>
          <w:highlight w:val="none"/>
        </w:rPr>
        <w:t>一、经济部分</w:t>
      </w:r>
      <w:bookmarkEnd w:id="313"/>
      <w:bookmarkEnd w:id="314"/>
    </w:p>
    <w:p w14:paraId="04CB4C5F">
      <w:pPr>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网上竞采报价函</w:t>
      </w:r>
    </w:p>
    <w:p w14:paraId="379E16A2">
      <w:pPr>
        <w:pStyle w:val="4"/>
        <w:spacing w:before="0" w:after="0" w:line="360" w:lineRule="auto"/>
        <w:ind w:firstLine="482" w:firstLineChars="200"/>
        <w:rPr>
          <w:rFonts w:hint="eastAsia" w:ascii="宋体" w:hAnsi="宋体" w:eastAsia="宋体" w:cs="宋体"/>
          <w:color w:val="auto"/>
          <w:sz w:val="24"/>
          <w:szCs w:val="24"/>
          <w:highlight w:val="none"/>
        </w:rPr>
      </w:pPr>
      <w:bookmarkStart w:id="315" w:name="_Toc109228087"/>
      <w:bookmarkStart w:id="316" w:name="_Toc127957633"/>
      <w:bookmarkStart w:id="317" w:name="_Toc78194469"/>
      <w:r>
        <w:rPr>
          <w:rFonts w:hint="eastAsia" w:ascii="宋体" w:hAnsi="宋体" w:eastAsia="宋体" w:cs="宋体"/>
          <w:color w:val="auto"/>
          <w:sz w:val="24"/>
          <w:szCs w:val="24"/>
          <w:highlight w:val="none"/>
        </w:rPr>
        <w:t>二、服务部分</w:t>
      </w:r>
      <w:bookmarkEnd w:id="315"/>
      <w:bookmarkEnd w:id="316"/>
      <w:bookmarkEnd w:id="317"/>
    </w:p>
    <w:p w14:paraId="13D29F4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（一）服务响应差异表</w:t>
      </w:r>
    </w:p>
    <w:p w14:paraId="1615DF3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（二）服务方案</w:t>
      </w:r>
    </w:p>
    <w:p w14:paraId="29D47791">
      <w:pPr>
        <w:pStyle w:val="4"/>
        <w:spacing w:before="0" w:after="0" w:line="360" w:lineRule="auto"/>
        <w:ind w:firstLine="482" w:firstLineChars="200"/>
        <w:rPr>
          <w:rFonts w:hint="eastAsia" w:ascii="宋体" w:hAnsi="宋体" w:eastAsia="宋体" w:cs="宋体"/>
          <w:color w:val="auto"/>
          <w:sz w:val="24"/>
          <w:szCs w:val="24"/>
          <w:highlight w:val="none"/>
        </w:rPr>
      </w:pPr>
      <w:bookmarkStart w:id="318" w:name="_Toc127957634"/>
      <w:bookmarkStart w:id="319" w:name="_Toc109228088"/>
      <w:r>
        <w:rPr>
          <w:rFonts w:hint="eastAsia" w:ascii="宋体" w:hAnsi="宋体" w:eastAsia="宋体" w:cs="宋体"/>
          <w:color w:val="auto"/>
          <w:sz w:val="24"/>
          <w:szCs w:val="24"/>
          <w:highlight w:val="none"/>
        </w:rPr>
        <w:t>三、商务部分</w:t>
      </w:r>
      <w:bookmarkEnd w:id="318"/>
      <w:bookmarkEnd w:id="319"/>
    </w:p>
    <w:p w14:paraId="6D37CDE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（一）商务响应差异表</w:t>
      </w:r>
    </w:p>
    <w:p w14:paraId="131A57A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（二）商务评审资料</w:t>
      </w:r>
    </w:p>
    <w:p w14:paraId="1E83784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）其它商务部分相关资料</w:t>
      </w:r>
    </w:p>
    <w:p w14:paraId="1BF8FDA4">
      <w:pPr>
        <w:pStyle w:val="4"/>
        <w:spacing w:before="0" w:after="0" w:line="360" w:lineRule="auto"/>
        <w:ind w:firstLine="482" w:firstLineChars="200"/>
        <w:rPr>
          <w:rFonts w:hint="eastAsia" w:ascii="宋体" w:hAnsi="宋体" w:eastAsia="宋体" w:cs="宋体"/>
          <w:color w:val="auto"/>
          <w:sz w:val="24"/>
          <w:szCs w:val="24"/>
          <w:highlight w:val="none"/>
        </w:rPr>
      </w:pPr>
      <w:bookmarkStart w:id="320" w:name="_Toc109228089"/>
      <w:bookmarkStart w:id="321" w:name="_Toc127957635"/>
      <w:r>
        <w:rPr>
          <w:rFonts w:hint="eastAsia" w:ascii="宋体" w:hAnsi="宋体" w:eastAsia="宋体" w:cs="宋体"/>
          <w:color w:val="auto"/>
          <w:sz w:val="24"/>
          <w:szCs w:val="24"/>
          <w:highlight w:val="none"/>
        </w:rPr>
        <w:t>四、资格条件及其他</w:t>
      </w:r>
      <w:bookmarkEnd w:id="320"/>
      <w:bookmarkEnd w:id="321"/>
    </w:p>
    <w:p w14:paraId="25B89B0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07BEE43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4949ECF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01E6A9A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2B376C5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）其他应提供的资料</w:t>
      </w:r>
    </w:p>
    <w:p w14:paraId="62326E22">
      <w:pPr>
        <w:pStyle w:val="3"/>
        <w:spacing w:line="240" w:lineRule="auto"/>
        <w:rPr>
          <w:rFonts w:hint="eastAsia" w:ascii="宋体" w:hAnsi="宋体" w:eastAsia="宋体" w:cs="宋体"/>
          <w:color w:val="auto"/>
          <w:sz w:val="24"/>
          <w:szCs w:val="24"/>
          <w:highlight w:val="none"/>
        </w:rPr>
      </w:pPr>
      <w:bookmarkStart w:id="322" w:name="_Toc23764522"/>
      <w:bookmarkStart w:id="323" w:name="_Toc21079"/>
      <w:bookmarkStart w:id="324" w:name="_Toc313008356"/>
      <w:bookmarkStart w:id="325" w:name="_Toc342913419"/>
      <w:bookmarkStart w:id="326" w:name="_Toc313888360"/>
      <w:bookmarkStart w:id="327" w:name="_Toc283382454"/>
      <w:bookmarkStart w:id="328" w:name="_Toc12789073"/>
    </w:p>
    <w:p w14:paraId="4A668001">
      <w:pPr>
        <w:pStyle w:val="3"/>
        <w:spacing w:line="240" w:lineRule="auto"/>
        <w:rPr>
          <w:rFonts w:hint="eastAsia" w:ascii="宋体" w:hAnsi="宋体" w:eastAsia="宋体" w:cs="宋体"/>
          <w:color w:val="auto"/>
          <w:sz w:val="24"/>
          <w:szCs w:val="24"/>
          <w:highlight w:val="none"/>
        </w:rPr>
      </w:pPr>
    </w:p>
    <w:p w14:paraId="5C75A78D">
      <w:pPr>
        <w:pStyle w:val="3"/>
        <w:spacing w:line="240" w:lineRule="auto"/>
        <w:rPr>
          <w:rFonts w:hint="eastAsia" w:ascii="宋体" w:hAnsi="宋体" w:eastAsia="宋体" w:cs="宋体"/>
          <w:color w:val="auto"/>
          <w:sz w:val="24"/>
          <w:szCs w:val="24"/>
          <w:highlight w:val="none"/>
        </w:rPr>
      </w:pPr>
    </w:p>
    <w:p w14:paraId="675FD9EF">
      <w:pPr>
        <w:pStyle w:val="3"/>
        <w:spacing w:line="240" w:lineRule="auto"/>
        <w:rPr>
          <w:rFonts w:hint="eastAsia" w:ascii="宋体" w:hAnsi="宋体" w:eastAsia="宋体" w:cs="宋体"/>
          <w:color w:val="auto"/>
          <w:sz w:val="24"/>
          <w:szCs w:val="24"/>
          <w:highlight w:val="none"/>
        </w:rPr>
      </w:pPr>
    </w:p>
    <w:p w14:paraId="05D7A725">
      <w:pPr>
        <w:pStyle w:val="3"/>
        <w:spacing w:line="240" w:lineRule="auto"/>
        <w:rPr>
          <w:rFonts w:hint="eastAsia" w:ascii="宋体" w:hAnsi="宋体" w:eastAsia="宋体" w:cs="宋体"/>
          <w:color w:val="auto"/>
          <w:sz w:val="24"/>
          <w:szCs w:val="24"/>
          <w:highlight w:val="none"/>
        </w:rPr>
      </w:pPr>
    </w:p>
    <w:p w14:paraId="3880FE54">
      <w:pPr>
        <w:rPr>
          <w:rFonts w:hint="eastAsia" w:ascii="宋体" w:hAnsi="宋体" w:eastAsia="宋体" w:cs="宋体"/>
          <w:color w:val="auto"/>
          <w:highlight w:val="none"/>
        </w:rPr>
      </w:pPr>
    </w:p>
    <w:p w14:paraId="437A9FCC">
      <w:pPr>
        <w:pStyle w:val="3"/>
        <w:spacing w:line="240" w:lineRule="auto"/>
        <w:rPr>
          <w:rFonts w:hint="eastAsia" w:ascii="宋体" w:hAnsi="宋体" w:eastAsia="宋体" w:cs="宋体"/>
          <w:color w:val="auto"/>
          <w:sz w:val="24"/>
          <w:szCs w:val="24"/>
          <w:highlight w:val="none"/>
        </w:rPr>
      </w:pPr>
    </w:p>
    <w:p w14:paraId="6EAE8464">
      <w:pPr>
        <w:pStyle w:val="3"/>
        <w:spacing w:line="240" w:lineRule="auto"/>
        <w:rPr>
          <w:rFonts w:hint="eastAsia" w:ascii="宋体" w:hAnsi="宋体" w:eastAsia="宋体" w:cs="宋体"/>
          <w:color w:val="auto"/>
          <w:sz w:val="24"/>
          <w:szCs w:val="24"/>
          <w:highlight w:val="none"/>
        </w:rPr>
      </w:pPr>
    </w:p>
    <w:p w14:paraId="50DAC5DD">
      <w:pPr>
        <w:rPr>
          <w:rFonts w:hint="eastAsia" w:ascii="宋体" w:hAnsi="宋体" w:eastAsia="宋体" w:cs="宋体"/>
          <w:color w:val="auto"/>
          <w:highlight w:val="none"/>
        </w:rPr>
      </w:pPr>
    </w:p>
    <w:p w14:paraId="4FBDE66C">
      <w:pPr>
        <w:pStyle w:val="3"/>
        <w:spacing w:line="240" w:lineRule="auto"/>
        <w:rPr>
          <w:rFonts w:hint="eastAsia" w:ascii="宋体" w:hAnsi="宋体" w:eastAsia="宋体" w:cs="宋体"/>
          <w:color w:val="auto"/>
          <w:sz w:val="24"/>
          <w:szCs w:val="24"/>
          <w:highlight w:val="none"/>
        </w:rPr>
      </w:pPr>
      <w:bookmarkStart w:id="329" w:name="_Toc2921"/>
      <w:bookmarkStart w:id="330" w:name="_Toc13352"/>
      <w:bookmarkStart w:id="331" w:name="_Toc19409"/>
      <w:bookmarkStart w:id="332" w:name="_Toc10549"/>
      <w:bookmarkStart w:id="333" w:name="_Toc2005"/>
      <w:r>
        <w:rPr>
          <w:rFonts w:hint="eastAsia" w:ascii="宋体" w:hAnsi="宋体" w:eastAsia="宋体" w:cs="宋体"/>
          <w:color w:val="auto"/>
          <w:sz w:val="24"/>
          <w:szCs w:val="24"/>
          <w:highlight w:val="none"/>
        </w:rPr>
        <w:t>一、经济部分</w:t>
      </w:r>
      <w:bookmarkEnd w:id="322"/>
      <w:bookmarkEnd w:id="323"/>
      <w:bookmarkEnd w:id="324"/>
      <w:bookmarkEnd w:id="325"/>
      <w:bookmarkEnd w:id="326"/>
      <w:bookmarkEnd w:id="329"/>
      <w:bookmarkEnd w:id="330"/>
      <w:bookmarkEnd w:id="331"/>
      <w:bookmarkEnd w:id="332"/>
      <w:bookmarkEnd w:id="333"/>
    </w:p>
    <w:bookmarkEnd w:id="327"/>
    <w:bookmarkEnd w:id="328"/>
    <w:p w14:paraId="0A3ABD50">
      <w:pPr>
        <w:tabs>
          <w:tab w:val="left" w:pos="6300"/>
        </w:tabs>
        <w:snapToGrid w:val="0"/>
        <w:spacing w:line="312" w:lineRule="auto"/>
        <w:jc w:val="center"/>
        <w:rPr>
          <w:rFonts w:hint="eastAsia" w:ascii="宋体" w:hAnsi="宋体" w:eastAsia="宋体" w:cs="宋体"/>
          <w:color w:val="auto"/>
          <w:sz w:val="24"/>
          <w:szCs w:val="24"/>
          <w:highlight w:val="none"/>
        </w:rPr>
      </w:pPr>
      <w:bookmarkStart w:id="334" w:name="_Toc342913420"/>
      <w:bookmarkStart w:id="335" w:name="_Toc23764523"/>
      <w:bookmarkStart w:id="336" w:name="_Toc313008357"/>
      <w:bookmarkStart w:id="337" w:name="_Toc313888361"/>
    </w:p>
    <w:p w14:paraId="489BE268">
      <w:pPr>
        <w:tabs>
          <w:tab w:val="left" w:pos="6300"/>
        </w:tabs>
        <w:snapToGrid w:val="0"/>
        <w:spacing w:line="312" w:lineRule="auto"/>
        <w:jc w:val="center"/>
        <w:rPr>
          <w:rFonts w:hint="eastAsia" w:ascii="宋体" w:hAnsi="宋体" w:eastAsia="宋体" w:cs="宋体"/>
          <w:color w:val="auto"/>
          <w:sz w:val="24"/>
          <w:szCs w:val="24"/>
          <w:highlight w:val="none"/>
        </w:rPr>
      </w:pPr>
    </w:p>
    <w:p w14:paraId="2732A8FE">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竞采报价函</w:t>
      </w:r>
    </w:p>
    <w:p w14:paraId="2ED0D0F4">
      <w:pPr>
        <w:pStyle w:val="5"/>
        <w:rPr>
          <w:rFonts w:hint="eastAsia" w:ascii="宋体" w:hAnsi="宋体" w:eastAsia="宋体" w:cs="宋体"/>
          <w:color w:val="auto"/>
          <w:highlight w:val="none"/>
        </w:rPr>
      </w:pPr>
    </w:p>
    <w:p w14:paraId="13074933">
      <w:pPr>
        <w:tabs>
          <w:tab w:val="left" w:pos="630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（采购代理机构名称）</w:t>
      </w:r>
      <w:r>
        <w:rPr>
          <w:rFonts w:hint="eastAsia" w:ascii="宋体" w:hAnsi="宋体" w:eastAsia="宋体" w:cs="宋体"/>
          <w:color w:val="auto"/>
          <w:sz w:val="21"/>
          <w:szCs w:val="21"/>
          <w:highlight w:val="none"/>
        </w:rPr>
        <w:t>：</w:t>
      </w:r>
    </w:p>
    <w:p w14:paraId="35E7CF54">
      <w:pP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我方收到____________________________（项目名称）的网上竞采文件，经详细研究，决定参加该项目的竞采。</w:t>
      </w:r>
    </w:p>
    <w:p w14:paraId="6B9B78C9">
      <w:pP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愿意按照网上竞采文件中的一切要求，提供本项目的服务，竞标报价为人民币大写：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；人民币小写：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C55A52A">
      <w:pP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我方现提交的响应文件为：</w:t>
      </w:r>
      <w:r>
        <w:rPr>
          <w:rFonts w:hint="eastAsia" w:ascii="宋体" w:hAnsi="宋体" w:eastAsia="宋体" w:cs="宋体"/>
          <w:color w:val="auto"/>
          <w:sz w:val="21"/>
          <w:szCs w:val="21"/>
          <w:highlight w:val="none"/>
          <w:lang w:val="en-US" w:eastAsia="zh-CN"/>
        </w:rPr>
        <w:t>网上上传</w:t>
      </w:r>
      <w:r>
        <w:rPr>
          <w:rFonts w:hint="eastAsia" w:ascii="宋体" w:hAnsi="宋体" w:eastAsia="宋体" w:cs="宋体"/>
          <w:color w:val="auto"/>
          <w:sz w:val="21"/>
          <w:szCs w:val="21"/>
          <w:highlight w:val="none"/>
        </w:rPr>
        <w:t>响应文件电子文档</w:t>
      </w:r>
      <w:r>
        <w:rPr>
          <w:rFonts w:hint="eastAsia" w:ascii="宋体" w:hAnsi="宋体" w:eastAsia="宋体" w:cs="宋体"/>
          <w:color w:val="auto"/>
          <w:sz w:val="21"/>
          <w:szCs w:val="21"/>
          <w:highlight w:val="none"/>
          <w:u w:val="single"/>
        </w:rPr>
        <w:t>壹</w:t>
      </w:r>
      <w:r>
        <w:rPr>
          <w:rFonts w:hint="eastAsia" w:ascii="宋体" w:hAnsi="宋体" w:eastAsia="宋体" w:cs="宋体"/>
          <w:color w:val="auto"/>
          <w:sz w:val="21"/>
          <w:szCs w:val="21"/>
          <w:highlight w:val="none"/>
        </w:rPr>
        <w:t>份。</w:t>
      </w:r>
    </w:p>
    <w:p w14:paraId="49650914">
      <w:pP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我方承诺：本次竞采的有效期为90天。</w:t>
      </w:r>
    </w:p>
    <w:p w14:paraId="4FF96DEE">
      <w:pP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我方完全理解和接受贵方网上竞采文件的一切规定和要求及评审办法。</w:t>
      </w:r>
    </w:p>
    <w:p w14:paraId="313E07F6">
      <w:pP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在整个竞采过程中，我方若有违规行为，接受按照《中华人民共和国政府采购法》和《网上竞采文件》之规定给予惩罚。</w:t>
      </w:r>
    </w:p>
    <w:p w14:paraId="35C507B3">
      <w:pP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我方若成为成交供应商，将按照最终竞采结果签订合同，并且严格履行合同义务。本承诺函将成为合同不可分割的一部分，与合同具有同等的法律效力。</w:t>
      </w:r>
    </w:p>
    <w:p w14:paraId="42D52242">
      <w:pPr>
        <w:tabs>
          <w:tab w:val="left" w:pos="6300"/>
        </w:tabs>
        <w:snapToGrid w:val="0"/>
        <w:spacing w:line="360" w:lineRule="auto"/>
        <w:ind w:firstLine="560" w:firstLineChars="200"/>
        <w:rPr>
          <w:rFonts w:hint="eastAsia" w:ascii="宋体" w:hAnsi="宋体" w:eastAsia="宋体" w:cs="宋体"/>
          <w:color w:val="auto"/>
          <w:highlight w:val="none"/>
        </w:rPr>
      </w:pPr>
    </w:p>
    <w:p w14:paraId="019D15E0">
      <w:pPr>
        <w:rPr>
          <w:rFonts w:hint="eastAsia" w:ascii="宋体" w:hAnsi="宋体" w:eastAsia="宋体" w:cs="宋体"/>
          <w:color w:val="auto"/>
          <w:highlight w:val="none"/>
        </w:rPr>
      </w:pPr>
    </w:p>
    <w:p w14:paraId="61FD0E28">
      <w:pPr>
        <w:tabs>
          <w:tab w:val="left" w:pos="6300"/>
        </w:tabs>
        <w:snapToGrid w:val="0"/>
        <w:spacing w:line="312"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供应商（公章）：</w:t>
      </w:r>
    </w:p>
    <w:p w14:paraId="0580A59F">
      <w:pPr>
        <w:tabs>
          <w:tab w:val="left" w:pos="6300"/>
        </w:tabs>
        <w:snapToGrid w:val="0"/>
        <w:spacing w:line="312"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p>
    <w:p w14:paraId="0AFBAEE5">
      <w:pPr>
        <w:tabs>
          <w:tab w:val="left" w:pos="6300"/>
        </w:tabs>
        <w:snapToGrid w:val="0"/>
        <w:spacing w:line="312"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传真：</w:t>
      </w:r>
    </w:p>
    <w:p w14:paraId="7ADBE748">
      <w:pPr>
        <w:tabs>
          <w:tab w:val="left" w:pos="6300"/>
        </w:tabs>
        <w:snapToGrid w:val="0"/>
        <w:spacing w:line="312"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网址：                                             邮编：</w:t>
      </w:r>
    </w:p>
    <w:p w14:paraId="6D485FDC">
      <w:pPr>
        <w:tabs>
          <w:tab w:val="left" w:pos="6300"/>
        </w:tabs>
        <w:snapToGrid w:val="0"/>
        <w:spacing w:line="312"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p w14:paraId="358C663E">
      <w:pPr>
        <w:snapToGrid w:val="0"/>
        <w:spacing w:line="312"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年   月   日</w:t>
      </w:r>
    </w:p>
    <w:p w14:paraId="400A29D6">
      <w:pPr>
        <w:snapToGrid w:val="0"/>
        <w:spacing w:line="312" w:lineRule="auto"/>
        <w:ind w:firstLine="480" w:firstLineChars="200"/>
        <w:rPr>
          <w:rFonts w:hint="eastAsia" w:ascii="宋体" w:hAnsi="宋体" w:eastAsia="宋体" w:cs="宋体"/>
          <w:color w:val="auto"/>
          <w:sz w:val="24"/>
          <w:szCs w:val="24"/>
          <w:highlight w:val="none"/>
        </w:rPr>
      </w:pPr>
    </w:p>
    <w:p w14:paraId="7D023AA9">
      <w:pPr>
        <w:snapToGrid w:val="0"/>
        <w:spacing w:line="312" w:lineRule="auto"/>
        <w:ind w:firstLine="480" w:firstLineChars="200"/>
        <w:rPr>
          <w:rFonts w:hint="eastAsia" w:ascii="宋体" w:hAnsi="宋体" w:eastAsia="宋体" w:cs="宋体"/>
          <w:color w:val="auto"/>
          <w:sz w:val="24"/>
          <w:szCs w:val="24"/>
          <w:highlight w:val="none"/>
        </w:rPr>
      </w:pPr>
    </w:p>
    <w:p w14:paraId="13385C24">
      <w:pPr>
        <w:snapToGrid w:val="0"/>
        <w:spacing w:line="312" w:lineRule="auto"/>
        <w:ind w:firstLine="480" w:firstLineChars="200"/>
        <w:rPr>
          <w:rFonts w:hint="eastAsia" w:ascii="宋体" w:hAnsi="宋体" w:eastAsia="宋体" w:cs="宋体"/>
          <w:color w:val="auto"/>
          <w:sz w:val="24"/>
          <w:szCs w:val="24"/>
          <w:highlight w:val="none"/>
        </w:rPr>
      </w:pPr>
    </w:p>
    <w:p w14:paraId="5ABC0862">
      <w:pPr>
        <w:snapToGrid w:val="0"/>
        <w:spacing w:line="312" w:lineRule="auto"/>
        <w:ind w:firstLine="480" w:firstLineChars="200"/>
        <w:rPr>
          <w:rFonts w:hint="eastAsia" w:ascii="宋体" w:hAnsi="宋体" w:eastAsia="宋体" w:cs="宋体"/>
          <w:color w:val="auto"/>
          <w:sz w:val="24"/>
          <w:szCs w:val="24"/>
          <w:highlight w:val="none"/>
        </w:rPr>
      </w:pPr>
    </w:p>
    <w:p w14:paraId="46C793C5">
      <w:pPr>
        <w:snapToGrid w:val="0"/>
        <w:spacing w:line="312" w:lineRule="auto"/>
        <w:ind w:firstLine="480" w:firstLineChars="200"/>
        <w:rPr>
          <w:rFonts w:hint="eastAsia" w:ascii="宋体" w:hAnsi="宋体" w:eastAsia="宋体" w:cs="宋体"/>
          <w:color w:val="auto"/>
          <w:sz w:val="24"/>
          <w:szCs w:val="24"/>
          <w:highlight w:val="none"/>
        </w:rPr>
      </w:pPr>
    </w:p>
    <w:p w14:paraId="5327E298">
      <w:pPr>
        <w:pStyle w:val="15"/>
        <w:rPr>
          <w:rFonts w:hint="eastAsia" w:ascii="宋体" w:hAnsi="宋体" w:eastAsia="宋体" w:cs="宋体"/>
          <w:color w:val="auto"/>
          <w:highlight w:val="none"/>
        </w:rPr>
      </w:pPr>
    </w:p>
    <w:p w14:paraId="66ADB400">
      <w:pPr>
        <w:snapToGrid w:val="0"/>
        <w:spacing w:line="312" w:lineRule="auto"/>
        <w:ind w:firstLine="480" w:firstLineChars="200"/>
        <w:rPr>
          <w:rFonts w:hint="eastAsia" w:ascii="宋体" w:hAnsi="宋体" w:eastAsia="宋体" w:cs="宋体"/>
          <w:color w:val="auto"/>
          <w:sz w:val="24"/>
          <w:szCs w:val="24"/>
          <w:highlight w:val="none"/>
        </w:rPr>
      </w:pPr>
    </w:p>
    <w:p w14:paraId="19821B54">
      <w:pPr>
        <w:snapToGrid w:val="0"/>
        <w:spacing w:line="312" w:lineRule="auto"/>
        <w:ind w:firstLine="480" w:firstLineChars="200"/>
        <w:rPr>
          <w:rFonts w:hint="eastAsia" w:ascii="宋体" w:hAnsi="宋体" w:eastAsia="宋体" w:cs="宋体"/>
          <w:color w:val="auto"/>
          <w:sz w:val="24"/>
          <w:szCs w:val="24"/>
          <w:highlight w:val="none"/>
        </w:rPr>
      </w:pPr>
    </w:p>
    <w:bookmarkEnd w:id="334"/>
    <w:bookmarkEnd w:id="335"/>
    <w:bookmarkEnd w:id="336"/>
    <w:bookmarkEnd w:id="337"/>
    <w:p w14:paraId="3405CC1E">
      <w:pPr>
        <w:pStyle w:val="14"/>
        <w:rPr>
          <w:rFonts w:hint="eastAsia" w:ascii="宋体" w:hAnsi="宋体" w:eastAsia="宋体" w:cs="宋体"/>
          <w:color w:val="auto"/>
          <w:highlight w:val="none"/>
        </w:rPr>
      </w:pPr>
    </w:p>
    <w:p w14:paraId="763A2EAC">
      <w:pPr>
        <w:pStyle w:val="3"/>
        <w:spacing w:line="240" w:lineRule="auto"/>
        <w:rPr>
          <w:rFonts w:hint="eastAsia" w:ascii="宋体" w:hAnsi="宋体" w:eastAsia="宋体" w:cs="宋体"/>
          <w:color w:val="auto"/>
          <w:sz w:val="24"/>
          <w:szCs w:val="24"/>
          <w:highlight w:val="none"/>
        </w:rPr>
      </w:pPr>
      <w:bookmarkStart w:id="338" w:name="_Toc5690"/>
      <w:bookmarkStart w:id="339" w:name="_Toc20473"/>
      <w:bookmarkStart w:id="340" w:name="_Toc8198"/>
      <w:bookmarkStart w:id="341" w:name="_Toc4268"/>
      <w:bookmarkStart w:id="342" w:name="_Toc2095"/>
      <w:bookmarkStart w:id="343" w:name="_Toc30469"/>
      <w:r>
        <w:rPr>
          <w:rFonts w:hint="eastAsia" w:ascii="宋体" w:hAnsi="宋体" w:eastAsia="宋体" w:cs="宋体"/>
          <w:color w:val="auto"/>
          <w:sz w:val="24"/>
          <w:szCs w:val="24"/>
          <w:highlight w:val="none"/>
        </w:rPr>
        <w:t>二、服务部分</w:t>
      </w:r>
      <w:bookmarkEnd w:id="338"/>
      <w:bookmarkEnd w:id="339"/>
      <w:bookmarkEnd w:id="340"/>
      <w:bookmarkEnd w:id="341"/>
      <w:bookmarkEnd w:id="342"/>
      <w:bookmarkEnd w:id="343"/>
    </w:p>
    <w:p w14:paraId="0255E65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（一）服务响应差异表</w:t>
      </w:r>
    </w:p>
    <w:p w14:paraId="55CDCB4B">
      <w:pPr>
        <w:snapToGrid w:val="0"/>
        <w:spacing w:line="360" w:lineRule="auto"/>
        <w:ind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（一）服务响应差异表</w:t>
      </w:r>
    </w:p>
    <w:p w14:paraId="536A96E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418D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14:paraId="1A102DFC">
            <w:pPr>
              <w:tabs>
                <w:tab w:val="left" w:pos="6300"/>
              </w:tabs>
              <w:snapToGrid w:val="0"/>
              <w:spacing w:line="500" w:lineRule="exact"/>
              <w:jc w:val="center"/>
              <w:outlineLvl w:val="0"/>
              <w:rPr>
                <w:rFonts w:hint="eastAsia" w:ascii="宋体" w:hAnsi="宋体" w:eastAsia="宋体" w:cs="宋体"/>
                <w:color w:val="auto"/>
                <w:sz w:val="21"/>
                <w:szCs w:val="21"/>
                <w:highlight w:val="none"/>
              </w:rPr>
            </w:pPr>
            <w:bookmarkStart w:id="344" w:name="_Toc22426"/>
            <w:bookmarkStart w:id="345" w:name="_Toc30901"/>
            <w:bookmarkStart w:id="346" w:name="_Toc3508"/>
            <w:bookmarkStart w:id="347" w:name="_Toc6299"/>
            <w:bookmarkStart w:id="348" w:name="_Toc30354"/>
            <w:bookmarkStart w:id="349" w:name="_Toc4230"/>
            <w:bookmarkStart w:id="350" w:name="_Toc26679"/>
            <w:bookmarkStart w:id="351" w:name="_Toc24032"/>
            <w:r>
              <w:rPr>
                <w:rFonts w:hint="eastAsia" w:ascii="宋体" w:hAnsi="宋体" w:eastAsia="宋体" w:cs="宋体"/>
                <w:color w:val="auto"/>
                <w:sz w:val="21"/>
                <w:szCs w:val="21"/>
                <w:highlight w:val="none"/>
              </w:rPr>
              <w:t>序号</w:t>
            </w:r>
            <w:bookmarkEnd w:id="344"/>
            <w:bookmarkEnd w:id="345"/>
            <w:bookmarkEnd w:id="346"/>
            <w:bookmarkEnd w:id="347"/>
            <w:bookmarkEnd w:id="348"/>
            <w:bookmarkEnd w:id="349"/>
            <w:bookmarkEnd w:id="350"/>
            <w:bookmarkEnd w:id="351"/>
          </w:p>
        </w:tc>
        <w:tc>
          <w:tcPr>
            <w:tcW w:w="2967" w:type="dxa"/>
            <w:noWrap w:val="0"/>
            <w:vAlign w:val="center"/>
          </w:tcPr>
          <w:p w14:paraId="524BA79B">
            <w:pPr>
              <w:tabs>
                <w:tab w:val="left" w:pos="6300"/>
              </w:tabs>
              <w:snapToGrid w:val="0"/>
              <w:spacing w:line="500" w:lineRule="exact"/>
              <w:jc w:val="center"/>
              <w:outlineLvl w:val="0"/>
              <w:rPr>
                <w:rFonts w:hint="eastAsia" w:ascii="宋体" w:hAnsi="宋体" w:eastAsia="宋体" w:cs="宋体"/>
                <w:color w:val="auto"/>
                <w:sz w:val="21"/>
                <w:szCs w:val="21"/>
                <w:highlight w:val="none"/>
              </w:rPr>
            </w:pPr>
            <w:bookmarkStart w:id="352" w:name="_Toc29649"/>
            <w:bookmarkStart w:id="353" w:name="_Toc9408"/>
            <w:bookmarkStart w:id="354" w:name="_Toc27586"/>
            <w:bookmarkStart w:id="355" w:name="_Toc2501"/>
            <w:bookmarkStart w:id="356" w:name="_Toc11199"/>
            <w:bookmarkStart w:id="357" w:name="_Toc18181"/>
            <w:bookmarkStart w:id="358" w:name="_Toc11864"/>
            <w:bookmarkStart w:id="359" w:name="_Toc9918"/>
            <w:r>
              <w:rPr>
                <w:rFonts w:hint="eastAsia" w:ascii="宋体" w:hAnsi="宋体" w:eastAsia="宋体" w:cs="宋体"/>
                <w:color w:val="auto"/>
                <w:sz w:val="21"/>
                <w:szCs w:val="21"/>
                <w:highlight w:val="none"/>
              </w:rPr>
              <w:t>采购需求</w:t>
            </w:r>
            <w:bookmarkEnd w:id="352"/>
            <w:bookmarkEnd w:id="353"/>
            <w:bookmarkEnd w:id="354"/>
            <w:bookmarkEnd w:id="355"/>
            <w:bookmarkEnd w:id="356"/>
            <w:bookmarkEnd w:id="357"/>
            <w:bookmarkEnd w:id="358"/>
            <w:bookmarkEnd w:id="359"/>
          </w:p>
        </w:tc>
        <w:tc>
          <w:tcPr>
            <w:tcW w:w="3081" w:type="dxa"/>
            <w:noWrap w:val="0"/>
            <w:vAlign w:val="center"/>
          </w:tcPr>
          <w:p w14:paraId="4C2F96E6">
            <w:pPr>
              <w:tabs>
                <w:tab w:val="left" w:pos="6300"/>
              </w:tabs>
              <w:snapToGrid w:val="0"/>
              <w:spacing w:line="500" w:lineRule="exact"/>
              <w:jc w:val="center"/>
              <w:outlineLvl w:val="0"/>
              <w:rPr>
                <w:rFonts w:hint="eastAsia" w:ascii="宋体" w:hAnsi="宋体" w:eastAsia="宋体" w:cs="宋体"/>
                <w:color w:val="auto"/>
                <w:sz w:val="21"/>
                <w:szCs w:val="21"/>
                <w:highlight w:val="none"/>
              </w:rPr>
            </w:pPr>
            <w:bookmarkStart w:id="360" w:name="_Toc8957"/>
            <w:bookmarkStart w:id="361" w:name="_Toc10042"/>
            <w:bookmarkStart w:id="362" w:name="_Toc3179"/>
            <w:bookmarkStart w:id="363" w:name="_Toc22499"/>
            <w:bookmarkStart w:id="364" w:name="_Toc29325"/>
            <w:bookmarkStart w:id="365" w:name="_Toc1301"/>
            <w:bookmarkStart w:id="366" w:name="_Toc4565"/>
            <w:bookmarkStart w:id="367" w:name="_Toc17474"/>
            <w:r>
              <w:rPr>
                <w:rFonts w:hint="eastAsia" w:ascii="宋体" w:hAnsi="宋体" w:eastAsia="宋体" w:cs="宋体"/>
                <w:color w:val="auto"/>
                <w:sz w:val="21"/>
                <w:szCs w:val="21"/>
                <w:highlight w:val="none"/>
              </w:rPr>
              <w:t>响应情况</w:t>
            </w:r>
            <w:bookmarkEnd w:id="360"/>
            <w:bookmarkEnd w:id="361"/>
            <w:bookmarkEnd w:id="362"/>
            <w:bookmarkEnd w:id="363"/>
            <w:bookmarkEnd w:id="364"/>
            <w:bookmarkEnd w:id="365"/>
            <w:bookmarkEnd w:id="366"/>
            <w:bookmarkEnd w:id="367"/>
          </w:p>
        </w:tc>
        <w:tc>
          <w:tcPr>
            <w:tcW w:w="2309" w:type="dxa"/>
            <w:noWrap w:val="0"/>
            <w:vAlign w:val="center"/>
          </w:tcPr>
          <w:p w14:paraId="5D8B5CFF">
            <w:pPr>
              <w:tabs>
                <w:tab w:val="left" w:pos="6300"/>
              </w:tabs>
              <w:snapToGrid w:val="0"/>
              <w:spacing w:line="500" w:lineRule="exact"/>
              <w:jc w:val="center"/>
              <w:outlineLvl w:val="0"/>
              <w:rPr>
                <w:rFonts w:hint="eastAsia" w:ascii="宋体" w:hAnsi="宋体" w:eastAsia="宋体" w:cs="宋体"/>
                <w:color w:val="auto"/>
                <w:sz w:val="21"/>
                <w:szCs w:val="21"/>
                <w:highlight w:val="none"/>
              </w:rPr>
            </w:pPr>
            <w:bookmarkStart w:id="368" w:name="_Toc17963"/>
            <w:bookmarkStart w:id="369" w:name="_Toc20340"/>
            <w:bookmarkStart w:id="370" w:name="_Toc25980"/>
            <w:bookmarkStart w:id="371" w:name="_Toc31126"/>
            <w:bookmarkStart w:id="372" w:name="_Toc13951"/>
            <w:bookmarkStart w:id="373" w:name="_Toc11753"/>
            <w:bookmarkStart w:id="374" w:name="_Toc11120"/>
            <w:bookmarkStart w:id="375" w:name="_Toc6282"/>
            <w:r>
              <w:rPr>
                <w:rFonts w:hint="eastAsia" w:ascii="宋体" w:hAnsi="宋体" w:eastAsia="宋体" w:cs="宋体"/>
                <w:color w:val="auto"/>
                <w:sz w:val="21"/>
                <w:szCs w:val="21"/>
                <w:highlight w:val="none"/>
              </w:rPr>
              <w:t>差异说明</w:t>
            </w:r>
            <w:bookmarkEnd w:id="368"/>
            <w:bookmarkEnd w:id="369"/>
            <w:bookmarkEnd w:id="370"/>
            <w:bookmarkEnd w:id="371"/>
            <w:bookmarkEnd w:id="372"/>
            <w:bookmarkEnd w:id="373"/>
            <w:bookmarkEnd w:id="374"/>
            <w:bookmarkEnd w:id="375"/>
          </w:p>
        </w:tc>
      </w:tr>
      <w:tr w14:paraId="55E1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7E41C6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56036C4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793CC4CB">
            <w:pPr>
              <w:tabs>
                <w:tab w:val="left" w:pos="6300"/>
              </w:tabs>
              <w:snapToGrid w:val="0"/>
              <w:spacing w:line="500" w:lineRule="exact"/>
              <w:outlineLvl w:val="0"/>
              <w:rPr>
                <w:rFonts w:hint="eastAsia" w:ascii="宋体" w:hAnsi="宋体" w:eastAsia="宋体" w:cs="宋体"/>
                <w:color w:val="auto"/>
                <w:sz w:val="21"/>
                <w:szCs w:val="21"/>
                <w:highlight w:val="none"/>
              </w:rPr>
            </w:pPr>
            <w:bookmarkStart w:id="376" w:name="_Toc21585"/>
            <w:bookmarkStart w:id="377" w:name="_Toc28590"/>
            <w:bookmarkStart w:id="378" w:name="_Toc6451"/>
            <w:bookmarkStart w:id="379" w:name="_Toc24790"/>
            <w:bookmarkStart w:id="380" w:name="_Toc6804"/>
            <w:bookmarkStart w:id="381" w:name="_Toc13318"/>
            <w:bookmarkStart w:id="382" w:name="_Toc5145"/>
            <w:bookmarkStart w:id="383" w:name="_Toc24758"/>
            <w:r>
              <w:rPr>
                <w:rFonts w:hint="eastAsia" w:ascii="宋体" w:hAnsi="宋体" w:eastAsia="宋体" w:cs="宋体"/>
                <w:color w:val="auto"/>
                <w:sz w:val="21"/>
                <w:szCs w:val="21"/>
                <w:highlight w:val="none"/>
              </w:rPr>
              <w:t>提醒：请注明技术参数或具体内容</w:t>
            </w:r>
            <w:bookmarkEnd w:id="376"/>
            <w:bookmarkEnd w:id="377"/>
            <w:bookmarkEnd w:id="378"/>
            <w:bookmarkEnd w:id="379"/>
            <w:bookmarkEnd w:id="380"/>
            <w:bookmarkEnd w:id="381"/>
            <w:bookmarkEnd w:id="382"/>
            <w:bookmarkEnd w:id="383"/>
          </w:p>
        </w:tc>
        <w:tc>
          <w:tcPr>
            <w:tcW w:w="2309" w:type="dxa"/>
            <w:noWrap w:val="0"/>
            <w:vAlign w:val="center"/>
          </w:tcPr>
          <w:p w14:paraId="5C4932C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888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5FE4AE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0FEAFBA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3C57FC7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noWrap w:val="0"/>
            <w:vAlign w:val="center"/>
          </w:tcPr>
          <w:p w14:paraId="6AFD650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F8A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6CA46EF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5ACAC4F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5BADB5E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noWrap w:val="0"/>
            <w:vAlign w:val="center"/>
          </w:tcPr>
          <w:p w14:paraId="2213A6D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B51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0FF1F7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54778F9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3F8E960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noWrap w:val="0"/>
            <w:vAlign w:val="center"/>
          </w:tcPr>
          <w:p w14:paraId="648A010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11B8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9E5A94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4118D51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38AF1DE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noWrap w:val="0"/>
            <w:vAlign w:val="center"/>
          </w:tcPr>
          <w:p w14:paraId="13928BC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3B1F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B51FD8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325628F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0835137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noWrap w:val="0"/>
            <w:vAlign w:val="center"/>
          </w:tcPr>
          <w:p w14:paraId="32CF3E6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501F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EBF5B9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5643631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46E47A0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noWrap w:val="0"/>
            <w:vAlign w:val="center"/>
          </w:tcPr>
          <w:p w14:paraId="1B47012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bl>
    <w:p w14:paraId="36C617DE">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法定代表人（或其授权代表）或自然人：</w:t>
      </w:r>
    </w:p>
    <w:p w14:paraId="35C1B937">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D18B3A8">
      <w:pPr>
        <w:spacing w:line="5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（供应商公章）                               （签署或盖章）</w:t>
      </w:r>
    </w:p>
    <w:p w14:paraId="5901198C">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41248149">
      <w:pPr>
        <w:pStyle w:val="5"/>
        <w:rPr>
          <w:rFonts w:hint="eastAsia" w:ascii="宋体" w:hAnsi="宋体" w:eastAsia="宋体" w:cs="宋体"/>
          <w:color w:val="auto"/>
          <w:sz w:val="21"/>
          <w:szCs w:val="21"/>
          <w:highlight w:val="none"/>
        </w:rPr>
      </w:pPr>
    </w:p>
    <w:p w14:paraId="606090EF">
      <w:pPr>
        <w:pStyle w:val="5"/>
        <w:rPr>
          <w:rFonts w:hint="eastAsia" w:ascii="宋体" w:hAnsi="宋体" w:eastAsia="宋体" w:cs="宋体"/>
          <w:color w:val="auto"/>
          <w:highlight w:val="none"/>
        </w:rPr>
      </w:pPr>
    </w:p>
    <w:p w14:paraId="05C0918A">
      <w:pPr>
        <w:tabs>
          <w:tab w:val="left" w:pos="6300"/>
        </w:tabs>
        <w:snapToGrid w:val="0"/>
        <w:spacing w:line="360" w:lineRule="auto"/>
        <w:ind w:firstLine="570"/>
        <w:rPr>
          <w:rFonts w:hint="eastAsia" w:ascii="宋体" w:hAnsi="宋体" w:eastAsia="宋体" w:cs="宋体"/>
          <w:color w:val="auto"/>
          <w:highlight w:val="none"/>
        </w:rPr>
      </w:pPr>
      <w:r>
        <w:rPr>
          <w:rFonts w:hint="eastAsia" w:ascii="宋体" w:hAnsi="宋体" w:eastAsia="宋体" w:cs="宋体"/>
          <w:color w:val="auto"/>
          <w:sz w:val="21"/>
          <w:szCs w:val="21"/>
          <w:highlight w:val="none"/>
        </w:rPr>
        <w:t>注：</w:t>
      </w:r>
    </w:p>
    <w:p w14:paraId="0EDBECA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1.本表即为对本项目“第二篇 </w:t>
      </w:r>
      <w:r>
        <w:rPr>
          <w:rFonts w:hint="eastAsia" w:ascii="宋体" w:hAnsi="宋体" w:eastAsia="宋体" w:cs="宋体"/>
          <w:color w:val="auto"/>
          <w:sz w:val="21"/>
          <w:szCs w:val="21"/>
          <w:highlight w:val="none"/>
          <w:lang w:val="en-US" w:eastAsia="zh-CN"/>
        </w:rPr>
        <w:t>采购服务需</w:t>
      </w:r>
      <w:r>
        <w:rPr>
          <w:rFonts w:hint="eastAsia" w:ascii="宋体" w:hAnsi="宋体" w:eastAsia="宋体" w:cs="宋体"/>
          <w:color w:val="auto"/>
          <w:sz w:val="21"/>
          <w:szCs w:val="21"/>
          <w:highlight w:val="none"/>
        </w:rPr>
        <w:t>求”中所列</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要求进行比较和响应；</w:t>
      </w:r>
    </w:p>
    <w:p w14:paraId="53F11F4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2.该表必须按照竞采文件要求逐条如实填写，根据响应情况在“差异说明”项填写正偏离或负偏离及原因，完全符合的填写“无差异”；</w:t>
      </w:r>
    </w:p>
    <w:p w14:paraId="471BC21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3.该表可扩展，并逐页签字或盖章；</w:t>
      </w:r>
    </w:p>
    <w:p w14:paraId="5318E93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4.可附相关技术支撑材料。（格式自定）</w:t>
      </w:r>
    </w:p>
    <w:p w14:paraId="2F059AA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5.若“响应情况”栏中仅填写“无</w:t>
      </w:r>
      <w:r>
        <w:rPr>
          <w:rFonts w:hint="eastAsia" w:ascii="宋体" w:hAnsi="宋体" w:eastAsia="宋体" w:cs="宋体"/>
          <w:color w:val="auto"/>
          <w:sz w:val="21"/>
          <w:szCs w:val="21"/>
          <w:highlight w:val="none"/>
          <w:lang w:val="en-US" w:eastAsia="zh-CN"/>
        </w:rPr>
        <w:t>差异</w:t>
      </w:r>
      <w:r>
        <w:rPr>
          <w:rFonts w:hint="eastAsia" w:ascii="宋体" w:hAnsi="宋体" w:eastAsia="宋体" w:cs="宋体"/>
          <w:color w:val="auto"/>
          <w:sz w:val="21"/>
          <w:szCs w:val="21"/>
          <w:highlight w:val="none"/>
        </w:rPr>
        <w:t>”或“有</w:t>
      </w:r>
      <w:r>
        <w:rPr>
          <w:rFonts w:hint="eastAsia" w:ascii="宋体" w:hAnsi="宋体" w:eastAsia="宋体" w:cs="宋体"/>
          <w:color w:val="auto"/>
          <w:sz w:val="21"/>
          <w:szCs w:val="21"/>
          <w:highlight w:val="none"/>
          <w:lang w:val="en-US" w:eastAsia="zh-CN"/>
        </w:rPr>
        <w:t>差异</w:t>
      </w:r>
      <w:r>
        <w:rPr>
          <w:rFonts w:hint="eastAsia" w:ascii="宋体" w:hAnsi="宋体" w:eastAsia="宋体" w:cs="宋体"/>
          <w:color w:val="auto"/>
          <w:sz w:val="21"/>
          <w:szCs w:val="21"/>
          <w:highlight w:val="none"/>
        </w:rPr>
        <w:t>”等内容而未作实质性内容描述，该供应商</w:t>
      </w:r>
      <w:r>
        <w:rPr>
          <w:rFonts w:hint="eastAsia" w:ascii="宋体" w:hAnsi="宋体" w:eastAsia="宋体" w:cs="宋体"/>
          <w:color w:val="auto"/>
          <w:sz w:val="21"/>
          <w:szCs w:val="21"/>
          <w:highlight w:val="none"/>
          <w:lang w:val="en-US" w:eastAsia="zh-CN"/>
        </w:rPr>
        <w:t>按无效响应处理</w:t>
      </w:r>
      <w:r>
        <w:rPr>
          <w:rFonts w:hint="eastAsia" w:ascii="宋体" w:hAnsi="宋体" w:eastAsia="宋体" w:cs="宋体"/>
          <w:color w:val="auto"/>
          <w:sz w:val="21"/>
          <w:szCs w:val="21"/>
          <w:highlight w:val="none"/>
        </w:rPr>
        <w:t>。</w:t>
      </w:r>
    </w:p>
    <w:p w14:paraId="18D05C0A">
      <w:pPr>
        <w:pStyle w:val="21"/>
        <w:ind w:firstLine="560"/>
        <w:rPr>
          <w:rFonts w:hint="eastAsia" w:ascii="宋体" w:hAnsi="宋体" w:eastAsia="宋体" w:cs="宋体"/>
          <w:color w:val="auto"/>
          <w:highlight w:val="none"/>
        </w:rPr>
      </w:pPr>
    </w:p>
    <w:p w14:paraId="39213EB0">
      <w:pPr>
        <w:numPr>
          <w:ilvl w:val="0"/>
          <w:numId w:val="3"/>
        </w:numPr>
        <w:tabs>
          <w:tab w:val="left" w:pos="6300"/>
        </w:tabs>
        <w:snapToGrid w:val="0"/>
        <w:spacing w:line="400" w:lineRule="exact"/>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w:t>
      </w:r>
    </w:p>
    <w:p w14:paraId="3E519C0B">
      <w:pPr>
        <w:pStyle w:val="5"/>
        <w:rPr>
          <w:rFonts w:hint="eastAsia" w:ascii="宋体" w:hAnsi="宋体" w:eastAsia="宋体" w:cs="宋体"/>
          <w:color w:val="auto"/>
          <w:highlight w:val="none"/>
        </w:rPr>
      </w:pPr>
      <w:r>
        <w:rPr>
          <w:rFonts w:hint="eastAsia" w:ascii="宋体" w:hAnsi="宋体" w:eastAsia="宋体" w:cs="宋体"/>
          <w:color w:val="auto"/>
          <w:sz w:val="21"/>
          <w:szCs w:val="21"/>
          <w:highlight w:val="none"/>
        </w:rPr>
        <w:t xml:space="preserve">     供应商可根据本竞采文件“第四篇 竞采程序及方法、评审标准、无效响应和采购终止→评审标准→服务部分”中的要求提供。</w:t>
      </w:r>
    </w:p>
    <w:p w14:paraId="640CE4F9">
      <w:pPr>
        <w:pStyle w:val="3"/>
        <w:spacing w:line="240" w:lineRule="auto"/>
        <w:rPr>
          <w:rFonts w:hint="eastAsia" w:ascii="宋体" w:hAnsi="宋体" w:eastAsia="宋体" w:cs="宋体"/>
          <w:color w:val="auto"/>
          <w:sz w:val="24"/>
          <w:szCs w:val="24"/>
          <w:highlight w:val="none"/>
        </w:rPr>
      </w:pPr>
      <w:bookmarkStart w:id="384" w:name="_Toc342913421"/>
      <w:bookmarkStart w:id="385" w:name="_Toc313888362"/>
      <w:bookmarkStart w:id="386" w:name="_Toc23764524"/>
      <w:bookmarkStart w:id="387" w:name="_Toc313008358"/>
      <w:r>
        <w:rPr>
          <w:rFonts w:hint="eastAsia" w:ascii="宋体" w:hAnsi="宋体" w:eastAsia="宋体" w:cs="宋体"/>
          <w:color w:val="auto"/>
          <w:sz w:val="24"/>
          <w:szCs w:val="24"/>
          <w:highlight w:val="none"/>
        </w:rPr>
        <w:t xml:space="preserve">    </w:t>
      </w:r>
      <w:bookmarkStart w:id="388" w:name="_Toc14498"/>
    </w:p>
    <w:p w14:paraId="1BB14ACA">
      <w:pPr>
        <w:rPr>
          <w:rFonts w:hint="eastAsia" w:ascii="宋体" w:hAnsi="宋体" w:eastAsia="宋体" w:cs="宋体"/>
          <w:b/>
          <w:color w:val="auto"/>
          <w:sz w:val="24"/>
          <w:szCs w:val="24"/>
          <w:highlight w:val="none"/>
        </w:rPr>
      </w:pPr>
    </w:p>
    <w:p w14:paraId="65E647C4">
      <w:pPr>
        <w:pStyle w:val="5"/>
        <w:rPr>
          <w:rFonts w:hint="eastAsia" w:ascii="宋体" w:hAnsi="宋体" w:eastAsia="宋体" w:cs="宋体"/>
          <w:b/>
          <w:color w:val="auto"/>
          <w:sz w:val="24"/>
          <w:szCs w:val="24"/>
          <w:highlight w:val="none"/>
        </w:rPr>
      </w:pPr>
    </w:p>
    <w:p w14:paraId="0D0E8665">
      <w:pPr>
        <w:rPr>
          <w:rFonts w:hint="eastAsia" w:ascii="宋体" w:hAnsi="宋体" w:eastAsia="宋体" w:cs="宋体"/>
          <w:b/>
          <w:color w:val="auto"/>
          <w:sz w:val="24"/>
          <w:szCs w:val="24"/>
          <w:highlight w:val="none"/>
        </w:rPr>
      </w:pPr>
    </w:p>
    <w:p w14:paraId="6821C367">
      <w:pPr>
        <w:pStyle w:val="5"/>
        <w:rPr>
          <w:rFonts w:hint="eastAsia" w:ascii="宋体" w:hAnsi="宋体" w:eastAsia="宋体" w:cs="宋体"/>
          <w:b/>
          <w:color w:val="auto"/>
          <w:sz w:val="24"/>
          <w:szCs w:val="24"/>
          <w:highlight w:val="none"/>
        </w:rPr>
      </w:pPr>
    </w:p>
    <w:p w14:paraId="0F7D4FD7">
      <w:pPr>
        <w:rPr>
          <w:rFonts w:hint="eastAsia" w:ascii="宋体" w:hAnsi="宋体" w:eastAsia="宋体" w:cs="宋体"/>
          <w:b/>
          <w:color w:val="auto"/>
          <w:sz w:val="24"/>
          <w:szCs w:val="24"/>
          <w:highlight w:val="none"/>
        </w:rPr>
      </w:pPr>
    </w:p>
    <w:p w14:paraId="0B0235C9">
      <w:pPr>
        <w:pStyle w:val="5"/>
        <w:rPr>
          <w:rFonts w:hint="eastAsia" w:ascii="宋体" w:hAnsi="宋体" w:eastAsia="宋体" w:cs="宋体"/>
          <w:b/>
          <w:color w:val="auto"/>
          <w:sz w:val="24"/>
          <w:szCs w:val="24"/>
          <w:highlight w:val="none"/>
        </w:rPr>
      </w:pPr>
    </w:p>
    <w:p w14:paraId="1A1D2CC6">
      <w:pPr>
        <w:rPr>
          <w:rFonts w:hint="eastAsia" w:ascii="宋体" w:hAnsi="宋体" w:eastAsia="宋体" w:cs="宋体"/>
          <w:b/>
          <w:color w:val="auto"/>
          <w:sz w:val="24"/>
          <w:szCs w:val="24"/>
          <w:highlight w:val="none"/>
        </w:rPr>
      </w:pPr>
    </w:p>
    <w:p w14:paraId="613BEA69">
      <w:pPr>
        <w:pStyle w:val="5"/>
        <w:rPr>
          <w:rFonts w:hint="eastAsia" w:ascii="宋体" w:hAnsi="宋体" w:eastAsia="宋体" w:cs="宋体"/>
          <w:b/>
          <w:color w:val="auto"/>
          <w:sz w:val="24"/>
          <w:szCs w:val="24"/>
          <w:highlight w:val="none"/>
        </w:rPr>
      </w:pPr>
    </w:p>
    <w:p w14:paraId="400F518E">
      <w:pPr>
        <w:rPr>
          <w:rFonts w:hint="eastAsia" w:ascii="宋体" w:hAnsi="宋体" w:eastAsia="宋体" w:cs="宋体"/>
          <w:b/>
          <w:color w:val="auto"/>
          <w:sz w:val="24"/>
          <w:szCs w:val="24"/>
          <w:highlight w:val="none"/>
        </w:rPr>
      </w:pPr>
    </w:p>
    <w:p w14:paraId="64D8E46E">
      <w:pPr>
        <w:pStyle w:val="5"/>
        <w:rPr>
          <w:rFonts w:hint="eastAsia" w:ascii="宋体" w:hAnsi="宋体" w:eastAsia="宋体" w:cs="宋体"/>
          <w:b/>
          <w:color w:val="auto"/>
          <w:sz w:val="24"/>
          <w:szCs w:val="24"/>
          <w:highlight w:val="none"/>
        </w:rPr>
      </w:pPr>
    </w:p>
    <w:p w14:paraId="08D4F8AF">
      <w:pPr>
        <w:rPr>
          <w:rFonts w:hint="eastAsia" w:ascii="宋体" w:hAnsi="宋体" w:eastAsia="宋体" w:cs="宋体"/>
          <w:b/>
          <w:color w:val="auto"/>
          <w:sz w:val="24"/>
          <w:szCs w:val="24"/>
          <w:highlight w:val="none"/>
        </w:rPr>
      </w:pPr>
    </w:p>
    <w:p w14:paraId="49A97389">
      <w:pPr>
        <w:pStyle w:val="5"/>
        <w:rPr>
          <w:rFonts w:hint="eastAsia" w:ascii="宋体" w:hAnsi="宋体" w:eastAsia="宋体" w:cs="宋体"/>
          <w:b/>
          <w:color w:val="auto"/>
          <w:sz w:val="24"/>
          <w:szCs w:val="24"/>
          <w:highlight w:val="none"/>
        </w:rPr>
      </w:pPr>
    </w:p>
    <w:p w14:paraId="7AB2BF6B">
      <w:pPr>
        <w:rPr>
          <w:rFonts w:hint="eastAsia" w:ascii="宋体" w:hAnsi="宋体" w:eastAsia="宋体" w:cs="宋体"/>
          <w:b/>
          <w:color w:val="auto"/>
          <w:sz w:val="24"/>
          <w:szCs w:val="24"/>
          <w:highlight w:val="none"/>
        </w:rPr>
      </w:pPr>
    </w:p>
    <w:p w14:paraId="2D716668">
      <w:pPr>
        <w:pStyle w:val="5"/>
        <w:rPr>
          <w:rFonts w:hint="eastAsia" w:ascii="宋体" w:hAnsi="宋体" w:eastAsia="宋体" w:cs="宋体"/>
          <w:b/>
          <w:color w:val="auto"/>
          <w:sz w:val="24"/>
          <w:szCs w:val="24"/>
          <w:highlight w:val="none"/>
        </w:rPr>
      </w:pPr>
    </w:p>
    <w:p w14:paraId="3D91BF52">
      <w:pPr>
        <w:rPr>
          <w:rFonts w:hint="eastAsia" w:ascii="宋体" w:hAnsi="宋体" w:eastAsia="宋体" w:cs="宋体"/>
          <w:b/>
          <w:color w:val="auto"/>
          <w:sz w:val="24"/>
          <w:szCs w:val="24"/>
          <w:highlight w:val="none"/>
        </w:rPr>
      </w:pPr>
    </w:p>
    <w:p w14:paraId="72C8082B">
      <w:pPr>
        <w:pStyle w:val="5"/>
        <w:rPr>
          <w:rFonts w:hint="eastAsia" w:ascii="宋体" w:hAnsi="宋体" w:eastAsia="宋体" w:cs="宋体"/>
          <w:b/>
          <w:color w:val="auto"/>
          <w:sz w:val="24"/>
          <w:szCs w:val="24"/>
          <w:highlight w:val="none"/>
        </w:rPr>
      </w:pPr>
    </w:p>
    <w:p w14:paraId="26F255C4">
      <w:pPr>
        <w:rPr>
          <w:rFonts w:hint="eastAsia" w:ascii="宋体" w:hAnsi="宋体" w:eastAsia="宋体" w:cs="宋体"/>
          <w:b/>
          <w:color w:val="auto"/>
          <w:sz w:val="24"/>
          <w:szCs w:val="24"/>
          <w:highlight w:val="none"/>
        </w:rPr>
      </w:pPr>
    </w:p>
    <w:p w14:paraId="3689C311">
      <w:pPr>
        <w:pStyle w:val="5"/>
        <w:rPr>
          <w:rFonts w:hint="eastAsia" w:ascii="宋体" w:hAnsi="宋体" w:eastAsia="宋体" w:cs="宋体"/>
          <w:b/>
          <w:color w:val="auto"/>
          <w:sz w:val="24"/>
          <w:szCs w:val="24"/>
          <w:highlight w:val="none"/>
        </w:rPr>
      </w:pPr>
    </w:p>
    <w:p w14:paraId="42C3B9D1">
      <w:pPr>
        <w:rPr>
          <w:rFonts w:hint="eastAsia" w:ascii="宋体" w:hAnsi="宋体" w:eastAsia="宋体" w:cs="宋体"/>
          <w:b/>
          <w:color w:val="auto"/>
          <w:sz w:val="24"/>
          <w:szCs w:val="24"/>
          <w:highlight w:val="none"/>
        </w:rPr>
      </w:pPr>
    </w:p>
    <w:p w14:paraId="51563828">
      <w:pPr>
        <w:pStyle w:val="5"/>
        <w:rPr>
          <w:rFonts w:hint="eastAsia" w:ascii="宋体" w:hAnsi="宋体" w:eastAsia="宋体" w:cs="宋体"/>
          <w:b/>
          <w:color w:val="auto"/>
          <w:sz w:val="24"/>
          <w:szCs w:val="24"/>
          <w:highlight w:val="none"/>
        </w:rPr>
      </w:pPr>
    </w:p>
    <w:p w14:paraId="1D39F6D8">
      <w:pPr>
        <w:rPr>
          <w:rFonts w:hint="eastAsia" w:ascii="宋体" w:hAnsi="宋体" w:eastAsia="宋体" w:cs="宋体"/>
          <w:b/>
          <w:color w:val="auto"/>
          <w:sz w:val="24"/>
          <w:szCs w:val="24"/>
          <w:highlight w:val="none"/>
        </w:rPr>
      </w:pPr>
    </w:p>
    <w:p w14:paraId="4059B5CB">
      <w:pPr>
        <w:pStyle w:val="5"/>
        <w:rPr>
          <w:rFonts w:hint="eastAsia" w:ascii="宋体" w:hAnsi="宋体" w:eastAsia="宋体" w:cs="宋体"/>
          <w:b/>
          <w:color w:val="auto"/>
          <w:sz w:val="24"/>
          <w:szCs w:val="24"/>
          <w:highlight w:val="none"/>
        </w:rPr>
      </w:pPr>
    </w:p>
    <w:p w14:paraId="6E02FBAF">
      <w:pPr>
        <w:rPr>
          <w:rFonts w:hint="eastAsia" w:ascii="宋体" w:hAnsi="宋体" w:eastAsia="宋体" w:cs="宋体"/>
          <w:b/>
          <w:color w:val="auto"/>
          <w:sz w:val="24"/>
          <w:szCs w:val="24"/>
          <w:highlight w:val="none"/>
        </w:rPr>
      </w:pPr>
    </w:p>
    <w:p w14:paraId="1DCF077B">
      <w:pPr>
        <w:pStyle w:val="5"/>
        <w:rPr>
          <w:rFonts w:hint="eastAsia" w:ascii="宋体" w:hAnsi="宋体" w:eastAsia="宋体" w:cs="宋体"/>
          <w:b/>
          <w:color w:val="auto"/>
          <w:sz w:val="24"/>
          <w:szCs w:val="24"/>
          <w:highlight w:val="none"/>
        </w:rPr>
      </w:pPr>
    </w:p>
    <w:p w14:paraId="706E86E5">
      <w:pPr>
        <w:rPr>
          <w:rFonts w:hint="eastAsia" w:ascii="宋体" w:hAnsi="宋体" w:eastAsia="宋体" w:cs="宋体"/>
          <w:b/>
          <w:color w:val="auto"/>
          <w:sz w:val="24"/>
          <w:szCs w:val="24"/>
          <w:highlight w:val="none"/>
        </w:rPr>
      </w:pPr>
    </w:p>
    <w:p w14:paraId="6C3E0184">
      <w:pPr>
        <w:pStyle w:val="5"/>
        <w:rPr>
          <w:rFonts w:hint="eastAsia" w:ascii="宋体" w:hAnsi="宋体" w:eastAsia="宋体" w:cs="宋体"/>
          <w:b/>
          <w:color w:val="auto"/>
          <w:sz w:val="24"/>
          <w:szCs w:val="24"/>
          <w:highlight w:val="none"/>
        </w:rPr>
      </w:pPr>
    </w:p>
    <w:p w14:paraId="6DD866C1">
      <w:pPr>
        <w:rPr>
          <w:rFonts w:hint="eastAsia" w:ascii="宋体" w:hAnsi="宋体" w:eastAsia="宋体" w:cs="宋体"/>
          <w:b/>
          <w:color w:val="auto"/>
          <w:sz w:val="24"/>
          <w:szCs w:val="24"/>
          <w:highlight w:val="none"/>
        </w:rPr>
      </w:pPr>
    </w:p>
    <w:p w14:paraId="4A46D3DE">
      <w:pPr>
        <w:pStyle w:val="5"/>
        <w:rPr>
          <w:rFonts w:hint="eastAsia" w:ascii="宋体" w:hAnsi="宋体" w:eastAsia="宋体" w:cs="宋体"/>
          <w:b/>
          <w:color w:val="auto"/>
          <w:sz w:val="24"/>
          <w:szCs w:val="24"/>
          <w:highlight w:val="none"/>
        </w:rPr>
      </w:pPr>
    </w:p>
    <w:p w14:paraId="5A62EF3F">
      <w:pPr>
        <w:rPr>
          <w:rFonts w:hint="eastAsia" w:ascii="宋体" w:hAnsi="宋体" w:eastAsia="宋体" w:cs="宋体"/>
          <w:b/>
          <w:color w:val="auto"/>
          <w:sz w:val="24"/>
          <w:szCs w:val="24"/>
          <w:highlight w:val="none"/>
        </w:rPr>
      </w:pPr>
    </w:p>
    <w:p w14:paraId="27652B96">
      <w:pPr>
        <w:pStyle w:val="5"/>
        <w:rPr>
          <w:rFonts w:hint="eastAsia" w:ascii="宋体" w:hAnsi="宋体" w:eastAsia="宋体" w:cs="宋体"/>
          <w:b/>
          <w:color w:val="auto"/>
          <w:sz w:val="24"/>
          <w:szCs w:val="24"/>
          <w:highlight w:val="none"/>
        </w:rPr>
      </w:pPr>
    </w:p>
    <w:p w14:paraId="08B92E88">
      <w:pPr>
        <w:rPr>
          <w:rFonts w:hint="eastAsia" w:ascii="宋体" w:hAnsi="宋体" w:eastAsia="宋体" w:cs="宋体"/>
          <w:b/>
          <w:color w:val="auto"/>
          <w:sz w:val="24"/>
          <w:szCs w:val="24"/>
          <w:highlight w:val="none"/>
        </w:rPr>
      </w:pPr>
    </w:p>
    <w:p w14:paraId="0C0DE6DA">
      <w:pPr>
        <w:pStyle w:val="5"/>
        <w:rPr>
          <w:rFonts w:hint="eastAsia" w:ascii="宋体" w:hAnsi="宋体" w:eastAsia="宋体" w:cs="宋体"/>
          <w:b/>
          <w:color w:val="auto"/>
          <w:sz w:val="24"/>
          <w:szCs w:val="24"/>
          <w:highlight w:val="none"/>
        </w:rPr>
      </w:pPr>
    </w:p>
    <w:p w14:paraId="4BAEDED9">
      <w:pPr>
        <w:rPr>
          <w:rFonts w:hint="eastAsia" w:ascii="宋体" w:hAnsi="宋体" w:eastAsia="宋体" w:cs="宋体"/>
          <w:b/>
          <w:color w:val="auto"/>
          <w:sz w:val="24"/>
          <w:szCs w:val="24"/>
          <w:highlight w:val="none"/>
        </w:rPr>
      </w:pPr>
    </w:p>
    <w:p w14:paraId="17506714">
      <w:pPr>
        <w:pStyle w:val="5"/>
        <w:rPr>
          <w:rFonts w:hint="eastAsia" w:ascii="宋体" w:hAnsi="宋体" w:eastAsia="宋体" w:cs="宋体"/>
          <w:b/>
          <w:color w:val="auto"/>
          <w:sz w:val="24"/>
          <w:szCs w:val="24"/>
          <w:highlight w:val="none"/>
        </w:rPr>
      </w:pPr>
    </w:p>
    <w:p w14:paraId="3E019012">
      <w:pPr>
        <w:rPr>
          <w:rFonts w:hint="eastAsia" w:ascii="宋体" w:hAnsi="宋体" w:eastAsia="宋体" w:cs="宋体"/>
          <w:b/>
          <w:color w:val="auto"/>
          <w:sz w:val="24"/>
          <w:szCs w:val="24"/>
          <w:highlight w:val="none"/>
        </w:rPr>
      </w:pPr>
    </w:p>
    <w:p w14:paraId="1049D58F">
      <w:pPr>
        <w:pStyle w:val="5"/>
        <w:rPr>
          <w:rFonts w:hint="eastAsia" w:ascii="宋体" w:hAnsi="宋体" w:eastAsia="宋体" w:cs="宋体"/>
          <w:b/>
          <w:color w:val="auto"/>
          <w:sz w:val="24"/>
          <w:szCs w:val="24"/>
          <w:highlight w:val="none"/>
        </w:rPr>
      </w:pPr>
    </w:p>
    <w:p w14:paraId="6A13CA9C">
      <w:pPr>
        <w:rPr>
          <w:rFonts w:hint="eastAsia" w:ascii="宋体" w:hAnsi="宋体" w:eastAsia="宋体" w:cs="宋体"/>
          <w:b/>
          <w:color w:val="auto"/>
          <w:sz w:val="24"/>
          <w:szCs w:val="24"/>
          <w:highlight w:val="none"/>
        </w:rPr>
      </w:pPr>
    </w:p>
    <w:p w14:paraId="45B39BCA">
      <w:pPr>
        <w:pStyle w:val="5"/>
        <w:rPr>
          <w:rFonts w:hint="eastAsia" w:ascii="宋体" w:hAnsi="宋体" w:eastAsia="宋体" w:cs="宋体"/>
          <w:b/>
          <w:color w:val="auto"/>
          <w:sz w:val="24"/>
          <w:szCs w:val="24"/>
          <w:highlight w:val="none"/>
        </w:rPr>
      </w:pPr>
    </w:p>
    <w:p w14:paraId="7DD4B4EC">
      <w:pPr>
        <w:rPr>
          <w:rFonts w:hint="eastAsia" w:ascii="宋体" w:hAnsi="宋体" w:eastAsia="宋体" w:cs="宋体"/>
          <w:b/>
          <w:color w:val="auto"/>
          <w:sz w:val="24"/>
          <w:szCs w:val="24"/>
          <w:highlight w:val="none"/>
        </w:rPr>
      </w:pPr>
    </w:p>
    <w:p w14:paraId="11617255">
      <w:pPr>
        <w:pStyle w:val="5"/>
        <w:rPr>
          <w:rFonts w:hint="eastAsia" w:ascii="宋体" w:hAnsi="宋体" w:eastAsia="宋体" w:cs="宋体"/>
          <w:b/>
          <w:color w:val="auto"/>
          <w:sz w:val="24"/>
          <w:szCs w:val="24"/>
          <w:highlight w:val="none"/>
        </w:rPr>
      </w:pPr>
    </w:p>
    <w:p w14:paraId="4863BA56">
      <w:pPr>
        <w:pStyle w:val="3"/>
        <w:spacing w:line="240" w:lineRule="auto"/>
        <w:rPr>
          <w:rFonts w:hint="eastAsia" w:ascii="宋体" w:hAnsi="宋体" w:eastAsia="宋体" w:cs="宋体"/>
          <w:color w:val="auto"/>
          <w:sz w:val="24"/>
          <w:szCs w:val="24"/>
          <w:highlight w:val="none"/>
        </w:rPr>
      </w:pPr>
      <w:bookmarkStart w:id="389" w:name="_Toc1599"/>
      <w:bookmarkStart w:id="390" w:name="_Toc9137"/>
      <w:bookmarkStart w:id="391" w:name="_Toc2094"/>
      <w:bookmarkStart w:id="392" w:name="_Toc28373"/>
      <w:bookmarkStart w:id="393" w:name="_Toc26482"/>
      <w:r>
        <w:rPr>
          <w:rFonts w:hint="eastAsia" w:ascii="宋体" w:hAnsi="宋体" w:eastAsia="宋体" w:cs="宋体"/>
          <w:color w:val="auto"/>
          <w:sz w:val="24"/>
          <w:szCs w:val="24"/>
          <w:highlight w:val="none"/>
        </w:rPr>
        <w:t>三、商务部分</w:t>
      </w:r>
      <w:bookmarkEnd w:id="384"/>
      <w:bookmarkEnd w:id="385"/>
      <w:bookmarkEnd w:id="386"/>
      <w:bookmarkEnd w:id="387"/>
      <w:bookmarkEnd w:id="388"/>
      <w:bookmarkEnd w:id="389"/>
      <w:bookmarkEnd w:id="390"/>
      <w:bookmarkEnd w:id="391"/>
      <w:bookmarkEnd w:id="392"/>
      <w:bookmarkEnd w:id="393"/>
    </w:p>
    <w:p w14:paraId="148EB6AC">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w:t>
      </w:r>
      <w:bookmarkStart w:id="394" w:name="_Toc161727403"/>
      <w:r>
        <w:rPr>
          <w:rFonts w:hint="eastAsia" w:ascii="宋体" w:hAnsi="宋体" w:eastAsia="宋体" w:cs="宋体"/>
          <w:color w:val="auto"/>
          <w:sz w:val="24"/>
          <w:szCs w:val="24"/>
          <w:highlight w:val="none"/>
        </w:rPr>
        <w:t>商务</w:t>
      </w:r>
      <w:bookmarkEnd w:id="394"/>
      <w:r>
        <w:rPr>
          <w:rFonts w:hint="eastAsia" w:ascii="宋体" w:hAnsi="宋体" w:eastAsia="宋体" w:cs="宋体"/>
          <w:color w:val="auto"/>
          <w:sz w:val="24"/>
          <w:szCs w:val="24"/>
          <w:highlight w:val="none"/>
        </w:rPr>
        <w:t>响应</w:t>
      </w:r>
      <w:r>
        <w:rPr>
          <w:rFonts w:hint="eastAsia" w:ascii="宋体" w:hAnsi="宋体" w:eastAsia="宋体" w:cs="宋体"/>
          <w:color w:val="auto"/>
          <w:sz w:val="21"/>
          <w:szCs w:val="21"/>
          <w:highlight w:val="none"/>
        </w:rPr>
        <w:t>差异</w:t>
      </w:r>
      <w:r>
        <w:rPr>
          <w:rFonts w:hint="eastAsia" w:ascii="宋体" w:hAnsi="宋体" w:eastAsia="宋体" w:cs="宋体"/>
          <w:color w:val="auto"/>
          <w:sz w:val="24"/>
          <w:szCs w:val="24"/>
          <w:highlight w:val="none"/>
        </w:rPr>
        <w:t>表</w:t>
      </w:r>
    </w:p>
    <w:p w14:paraId="3B12AAC3">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87C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2D506DE7">
            <w:pPr>
              <w:snapToGrid w:val="0"/>
              <w:spacing w:line="360" w:lineRule="auto"/>
              <w:ind w:firstLine="4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79" w:type="dxa"/>
            <w:noWrap w:val="0"/>
            <w:vAlign w:val="center"/>
          </w:tcPr>
          <w:p w14:paraId="39BAD163">
            <w:pPr>
              <w:tabs>
                <w:tab w:val="left" w:pos="6300"/>
              </w:tabs>
              <w:snapToGrid w:val="0"/>
              <w:spacing w:line="360" w:lineRule="auto"/>
              <w:jc w:val="center"/>
              <w:outlineLvl w:val="0"/>
              <w:rPr>
                <w:rFonts w:hint="eastAsia" w:ascii="宋体" w:hAnsi="宋体" w:eastAsia="宋体" w:cs="宋体"/>
                <w:color w:val="auto"/>
                <w:sz w:val="21"/>
                <w:szCs w:val="21"/>
                <w:highlight w:val="none"/>
              </w:rPr>
            </w:pPr>
            <w:bookmarkStart w:id="395" w:name="_Toc6473"/>
            <w:bookmarkStart w:id="396" w:name="_Toc18321"/>
            <w:bookmarkStart w:id="397" w:name="_Toc4324"/>
            <w:bookmarkStart w:id="398" w:name="_Toc30917"/>
            <w:bookmarkStart w:id="399" w:name="_Toc1578"/>
            <w:bookmarkStart w:id="400" w:name="_Toc18469"/>
            <w:bookmarkStart w:id="401" w:name="_Toc1391"/>
            <w:bookmarkStart w:id="402" w:name="_Toc26427"/>
            <w:r>
              <w:rPr>
                <w:rFonts w:hint="eastAsia" w:ascii="宋体" w:hAnsi="宋体" w:eastAsia="宋体" w:cs="宋体"/>
                <w:color w:val="auto"/>
                <w:sz w:val="21"/>
                <w:szCs w:val="21"/>
                <w:highlight w:val="none"/>
              </w:rPr>
              <w:t>商务需求</w:t>
            </w:r>
            <w:bookmarkEnd w:id="395"/>
            <w:bookmarkEnd w:id="396"/>
            <w:bookmarkEnd w:id="397"/>
            <w:bookmarkEnd w:id="398"/>
            <w:bookmarkEnd w:id="399"/>
            <w:bookmarkEnd w:id="400"/>
            <w:bookmarkEnd w:id="401"/>
            <w:bookmarkEnd w:id="402"/>
          </w:p>
        </w:tc>
        <w:tc>
          <w:tcPr>
            <w:tcW w:w="2434" w:type="dxa"/>
            <w:noWrap w:val="0"/>
            <w:vAlign w:val="center"/>
          </w:tcPr>
          <w:p w14:paraId="2576EA37">
            <w:pPr>
              <w:tabs>
                <w:tab w:val="left" w:pos="6300"/>
              </w:tabs>
              <w:snapToGrid w:val="0"/>
              <w:spacing w:line="360" w:lineRule="auto"/>
              <w:jc w:val="center"/>
              <w:outlineLvl w:val="0"/>
              <w:rPr>
                <w:rFonts w:hint="eastAsia" w:ascii="宋体" w:hAnsi="宋体" w:eastAsia="宋体" w:cs="宋体"/>
                <w:color w:val="auto"/>
                <w:sz w:val="21"/>
                <w:szCs w:val="21"/>
                <w:highlight w:val="none"/>
              </w:rPr>
            </w:pPr>
            <w:bookmarkStart w:id="403" w:name="_Toc2984"/>
            <w:bookmarkStart w:id="404" w:name="_Toc29484"/>
            <w:bookmarkStart w:id="405" w:name="_Toc30816"/>
            <w:bookmarkStart w:id="406" w:name="_Toc20671"/>
            <w:bookmarkStart w:id="407" w:name="_Toc32660"/>
            <w:bookmarkStart w:id="408" w:name="_Toc1454"/>
            <w:bookmarkStart w:id="409" w:name="_Toc9753"/>
            <w:bookmarkStart w:id="410" w:name="_Toc27891"/>
            <w:r>
              <w:rPr>
                <w:rFonts w:hint="eastAsia" w:ascii="宋体" w:hAnsi="宋体" w:eastAsia="宋体" w:cs="宋体"/>
                <w:color w:val="auto"/>
                <w:sz w:val="21"/>
                <w:szCs w:val="21"/>
                <w:highlight w:val="none"/>
              </w:rPr>
              <w:t>响应情况</w:t>
            </w:r>
            <w:bookmarkEnd w:id="403"/>
            <w:bookmarkEnd w:id="404"/>
            <w:bookmarkEnd w:id="405"/>
            <w:bookmarkEnd w:id="406"/>
            <w:bookmarkEnd w:id="407"/>
            <w:bookmarkEnd w:id="408"/>
            <w:bookmarkEnd w:id="409"/>
            <w:bookmarkEnd w:id="410"/>
          </w:p>
        </w:tc>
        <w:tc>
          <w:tcPr>
            <w:tcW w:w="2355" w:type="dxa"/>
            <w:noWrap w:val="0"/>
            <w:vAlign w:val="center"/>
          </w:tcPr>
          <w:p w14:paraId="59A95081">
            <w:pPr>
              <w:tabs>
                <w:tab w:val="left" w:pos="6300"/>
              </w:tabs>
              <w:snapToGrid w:val="0"/>
              <w:spacing w:line="360" w:lineRule="auto"/>
              <w:jc w:val="center"/>
              <w:outlineLvl w:val="0"/>
              <w:rPr>
                <w:rFonts w:hint="eastAsia" w:ascii="宋体" w:hAnsi="宋体" w:eastAsia="宋体" w:cs="宋体"/>
                <w:color w:val="auto"/>
                <w:sz w:val="21"/>
                <w:szCs w:val="21"/>
                <w:highlight w:val="none"/>
              </w:rPr>
            </w:pPr>
            <w:bookmarkStart w:id="411" w:name="_Toc27235"/>
            <w:bookmarkStart w:id="412" w:name="_Toc27166"/>
            <w:bookmarkStart w:id="413" w:name="_Toc30843"/>
            <w:bookmarkStart w:id="414" w:name="_Toc4018"/>
            <w:bookmarkStart w:id="415" w:name="_Toc24114"/>
            <w:bookmarkStart w:id="416" w:name="_Toc1535"/>
            <w:bookmarkStart w:id="417" w:name="_Toc23590"/>
            <w:bookmarkStart w:id="418" w:name="_Toc3935"/>
            <w:r>
              <w:rPr>
                <w:rFonts w:hint="eastAsia" w:ascii="宋体" w:hAnsi="宋体" w:eastAsia="宋体" w:cs="宋体"/>
                <w:color w:val="auto"/>
                <w:sz w:val="21"/>
                <w:szCs w:val="21"/>
                <w:highlight w:val="none"/>
              </w:rPr>
              <w:t>差异说明</w:t>
            </w:r>
            <w:bookmarkEnd w:id="411"/>
            <w:bookmarkEnd w:id="412"/>
            <w:bookmarkEnd w:id="413"/>
            <w:bookmarkEnd w:id="414"/>
            <w:bookmarkEnd w:id="415"/>
            <w:bookmarkEnd w:id="416"/>
            <w:bookmarkEnd w:id="417"/>
            <w:bookmarkEnd w:id="418"/>
          </w:p>
        </w:tc>
      </w:tr>
      <w:tr w14:paraId="581C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393E41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noWrap w:val="0"/>
            <w:vAlign w:val="center"/>
          </w:tcPr>
          <w:p w14:paraId="61CBE71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noWrap w:val="0"/>
            <w:vAlign w:val="center"/>
          </w:tcPr>
          <w:p w14:paraId="5D3CB078">
            <w:pPr>
              <w:tabs>
                <w:tab w:val="left" w:pos="6300"/>
              </w:tabs>
              <w:snapToGrid w:val="0"/>
              <w:spacing w:line="360" w:lineRule="auto"/>
              <w:outlineLvl w:val="0"/>
              <w:rPr>
                <w:rFonts w:hint="eastAsia" w:ascii="宋体" w:hAnsi="宋体" w:eastAsia="宋体" w:cs="宋体"/>
                <w:color w:val="auto"/>
                <w:sz w:val="21"/>
                <w:szCs w:val="21"/>
                <w:highlight w:val="none"/>
              </w:rPr>
            </w:pPr>
            <w:bookmarkStart w:id="419" w:name="_Toc20261"/>
            <w:bookmarkStart w:id="420" w:name="_Toc27207"/>
            <w:bookmarkStart w:id="421" w:name="_Toc10917"/>
            <w:bookmarkStart w:id="422" w:name="_Toc31785"/>
            <w:bookmarkStart w:id="423" w:name="_Toc29727"/>
            <w:bookmarkStart w:id="424" w:name="_Toc4850"/>
            <w:bookmarkStart w:id="425" w:name="_Toc4959"/>
            <w:bookmarkStart w:id="426" w:name="_Toc23786"/>
            <w:r>
              <w:rPr>
                <w:rFonts w:hint="eastAsia" w:ascii="宋体" w:hAnsi="宋体" w:eastAsia="宋体" w:cs="宋体"/>
                <w:color w:val="auto"/>
                <w:sz w:val="21"/>
                <w:szCs w:val="21"/>
                <w:highlight w:val="none"/>
              </w:rPr>
              <w:t>提醒：请注明具体内容</w:t>
            </w:r>
            <w:bookmarkEnd w:id="419"/>
            <w:bookmarkEnd w:id="420"/>
            <w:bookmarkEnd w:id="421"/>
            <w:bookmarkEnd w:id="422"/>
            <w:bookmarkEnd w:id="423"/>
            <w:bookmarkEnd w:id="424"/>
            <w:bookmarkEnd w:id="425"/>
            <w:bookmarkEnd w:id="426"/>
          </w:p>
        </w:tc>
        <w:tc>
          <w:tcPr>
            <w:tcW w:w="2355" w:type="dxa"/>
            <w:noWrap w:val="0"/>
            <w:vAlign w:val="center"/>
          </w:tcPr>
          <w:p w14:paraId="76D82801">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25B4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1FAF47E">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noWrap w:val="0"/>
            <w:vAlign w:val="center"/>
          </w:tcPr>
          <w:p w14:paraId="22C5C9A2">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noWrap w:val="0"/>
            <w:vAlign w:val="center"/>
          </w:tcPr>
          <w:p w14:paraId="0094472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noWrap w:val="0"/>
            <w:vAlign w:val="center"/>
          </w:tcPr>
          <w:p w14:paraId="68796DC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6CBC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9D68C0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noWrap w:val="0"/>
            <w:vAlign w:val="center"/>
          </w:tcPr>
          <w:p w14:paraId="798EC7B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noWrap w:val="0"/>
            <w:vAlign w:val="center"/>
          </w:tcPr>
          <w:p w14:paraId="1D38BE7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noWrap w:val="0"/>
            <w:vAlign w:val="center"/>
          </w:tcPr>
          <w:p w14:paraId="47F46C06">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0B0A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D7E501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noWrap w:val="0"/>
            <w:vAlign w:val="center"/>
          </w:tcPr>
          <w:p w14:paraId="6AD5541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noWrap w:val="0"/>
            <w:vAlign w:val="center"/>
          </w:tcPr>
          <w:p w14:paraId="6325FF0A">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noWrap w:val="0"/>
            <w:vAlign w:val="center"/>
          </w:tcPr>
          <w:p w14:paraId="7BA9A07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0F32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B3DF68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noWrap w:val="0"/>
            <w:vAlign w:val="center"/>
          </w:tcPr>
          <w:p w14:paraId="05F9097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noWrap w:val="0"/>
            <w:vAlign w:val="center"/>
          </w:tcPr>
          <w:p w14:paraId="1F5A5E8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noWrap w:val="0"/>
            <w:vAlign w:val="center"/>
          </w:tcPr>
          <w:p w14:paraId="64256911">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3400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4FD3A9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noWrap w:val="0"/>
            <w:vAlign w:val="center"/>
          </w:tcPr>
          <w:p w14:paraId="799AA08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noWrap w:val="0"/>
            <w:vAlign w:val="center"/>
          </w:tcPr>
          <w:p w14:paraId="1C49442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noWrap w:val="0"/>
            <w:vAlign w:val="center"/>
          </w:tcPr>
          <w:p w14:paraId="0FB354F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bl>
    <w:p w14:paraId="1C9EF67B">
      <w:pPr>
        <w:snapToGrid w:val="0"/>
        <w:spacing w:line="360" w:lineRule="auto"/>
        <w:ind w:firstLine="465"/>
        <w:rPr>
          <w:rFonts w:hint="eastAsia" w:ascii="宋体" w:hAnsi="宋体" w:eastAsia="宋体" w:cs="宋体"/>
          <w:color w:val="auto"/>
          <w:sz w:val="21"/>
          <w:szCs w:val="21"/>
          <w:highlight w:val="none"/>
        </w:rPr>
      </w:pPr>
    </w:p>
    <w:p w14:paraId="425FC10D">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法定代表人（或其授权代表）或自然人：</w:t>
      </w:r>
    </w:p>
    <w:p w14:paraId="156306E0">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5547ECA">
      <w:pPr>
        <w:spacing w:line="50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（供应商公章）                                 （签署或盖章）</w:t>
      </w:r>
    </w:p>
    <w:p w14:paraId="78D1C944">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124E2098">
      <w:pPr>
        <w:tabs>
          <w:tab w:val="left" w:pos="6300"/>
        </w:tabs>
        <w:snapToGrid w:val="0"/>
        <w:spacing w:line="360"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0E9ECD8">
      <w:pPr>
        <w:spacing w:line="50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1.本表即为对本项目“第三篇 项目商务</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求”中所列服务要求进行比较和响应；</w:t>
      </w:r>
    </w:p>
    <w:p w14:paraId="4A2DABE6">
      <w:pPr>
        <w:spacing w:line="50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2.该表必须按照竞采文件要求逐条如实填写，根据响应情况在“</w:t>
      </w:r>
      <w:r>
        <w:rPr>
          <w:rFonts w:hint="eastAsia" w:ascii="宋体" w:hAnsi="宋体" w:eastAsia="宋体" w:cs="宋体"/>
          <w:color w:val="auto"/>
          <w:sz w:val="21"/>
          <w:szCs w:val="21"/>
          <w:highlight w:val="none"/>
          <w:lang w:val="en-US" w:eastAsia="zh-CN"/>
        </w:rPr>
        <w:t>偏离</w:t>
      </w:r>
      <w:r>
        <w:rPr>
          <w:rFonts w:hint="eastAsia" w:ascii="宋体" w:hAnsi="宋体" w:eastAsia="宋体" w:cs="宋体"/>
          <w:color w:val="auto"/>
          <w:sz w:val="21"/>
          <w:szCs w:val="21"/>
          <w:highlight w:val="none"/>
        </w:rPr>
        <w:t>说明”项填写正偏离或负偏离及原因，完全符合的填写“无差异”；</w:t>
      </w:r>
    </w:p>
    <w:p w14:paraId="2837D745">
      <w:pPr>
        <w:spacing w:line="50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3.该表可扩展，并逐页签字或盖章；</w:t>
      </w:r>
    </w:p>
    <w:p w14:paraId="22496FD9">
      <w:pPr>
        <w:spacing w:line="50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4.可附相关技术支撑材料。（格式自定）</w:t>
      </w:r>
    </w:p>
    <w:p w14:paraId="5B82389E">
      <w:pPr>
        <w:spacing w:line="50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5.若“响应情况”栏中仅填写“无</w:t>
      </w:r>
      <w:r>
        <w:rPr>
          <w:rFonts w:hint="eastAsia" w:ascii="宋体" w:hAnsi="宋体" w:eastAsia="宋体" w:cs="宋体"/>
          <w:color w:val="auto"/>
          <w:sz w:val="21"/>
          <w:szCs w:val="21"/>
          <w:highlight w:val="none"/>
          <w:lang w:val="en-US" w:eastAsia="zh-CN"/>
        </w:rPr>
        <w:t>差异</w:t>
      </w:r>
      <w:r>
        <w:rPr>
          <w:rFonts w:hint="eastAsia" w:ascii="宋体" w:hAnsi="宋体" w:eastAsia="宋体" w:cs="宋体"/>
          <w:color w:val="auto"/>
          <w:sz w:val="21"/>
          <w:szCs w:val="21"/>
          <w:highlight w:val="none"/>
        </w:rPr>
        <w:t>”或“有</w:t>
      </w:r>
      <w:r>
        <w:rPr>
          <w:rFonts w:hint="eastAsia" w:ascii="宋体" w:hAnsi="宋体" w:eastAsia="宋体" w:cs="宋体"/>
          <w:color w:val="auto"/>
          <w:sz w:val="21"/>
          <w:szCs w:val="21"/>
          <w:highlight w:val="none"/>
          <w:lang w:val="en-US" w:eastAsia="zh-CN"/>
        </w:rPr>
        <w:t>差异</w:t>
      </w:r>
      <w:r>
        <w:rPr>
          <w:rFonts w:hint="eastAsia" w:ascii="宋体" w:hAnsi="宋体" w:eastAsia="宋体" w:cs="宋体"/>
          <w:color w:val="auto"/>
          <w:sz w:val="21"/>
          <w:szCs w:val="21"/>
          <w:highlight w:val="none"/>
        </w:rPr>
        <w:t>”等内容而未作实质性内容描述，该供应商</w:t>
      </w:r>
      <w:r>
        <w:rPr>
          <w:rFonts w:hint="eastAsia" w:ascii="宋体" w:hAnsi="宋体" w:eastAsia="宋体" w:cs="宋体"/>
          <w:color w:val="auto"/>
          <w:sz w:val="21"/>
          <w:szCs w:val="21"/>
          <w:highlight w:val="none"/>
          <w:lang w:val="en-US" w:eastAsia="zh-CN"/>
        </w:rPr>
        <w:t>按无效响应处理</w:t>
      </w:r>
      <w:r>
        <w:rPr>
          <w:rFonts w:hint="eastAsia" w:ascii="宋体" w:hAnsi="宋体" w:eastAsia="宋体" w:cs="宋体"/>
          <w:color w:val="auto"/>
          <w:sz w:val="21"/>
          <w:szCs w:val="21"/>
          <w:highlight w:val="none"/>
        </w:rPr>
        <w:t>。</w:t>
      </w:r>
    </w:p>
    <w:p w14:paraId="3DED48D9">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p>
    <w:p w14:paraId="37758DDB">
      <w:pPr>
        <w:tabs>
          <w:tab w:val="left" w:pos="6300"/>
        </w:tabs>
        <w:snapToGrid w:val="0"/>
        <w:ind w:firstLine="420" w:firstLineChars="200"/>
        <w:rPr>
          <w:rFonts w:hint="eastAsia" w:ascii="宋体" w:hAnsi="宋体" w:eastAsia="宋体" w:cs="宋体"/>
          <w:color w:val="auto"/>
          <w:sz w:val="21"/>
          <w:szCs w:val="21"/>
          <w:highlight w:val="none"/>
        </w:rPr>
      </w:pPr>
    </w:p>
    <w:p w14:paraId="5F46A16E">
      <w:pPr>
        <w:tabs>
          <w:tab w:val="left" w:pos="6300"/>
        </w:tabs>
        <w:snapToGrid w:val="0"/>
        <w:ind w:firstLine="420" w:firstLineChars="200"/>
        <w:rPr>
          <w:rFonts w:hint="eastAsia" w:ascii="宋体" w:hAnsi="宋体" w:eastAsia="宋体" w:cs="宋体"/>
          <w:color w:val="auto"/>
          <w:sz w:val="21"/>
          <w:szCs w:val="21"/>
          <w:highlight w:val="none"/>
        </w:rPr>
      </w:pPr>
    </w:p>
    <w:p w14:paraId="56FEBC1F">
      <w:pPr>
        <w:tabs>
          <w:tab w:val="left" w:pos="6300"/>
        </w:tabs>
        <w:snapToGrid w:val="0"/>
        <w:ind w:firstLine="420" w:firstLineChars="200"/>
        <w:rPr>
          <w:rFonts w:hint="eastAsia" w:ascii="宋体" w:hAnsi="宋体" w:eastAsia="宋体" w:cs="宋体"/>
          <w:color w:val="auto"/>
          <w:sz w:val="21"/>
          <w:szCs w:val="21"/>
          <w:highlight w:val="none"/>
        </w:rPr>
      </w:pPr>
    </w:p>
    <w:p w14:paraId="7154FD5F">
      <w:pPr>
        <w:snapToGrid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（二）商务评审资料</w:t>
      </w:r>
    </w:p>
    <w:p w14:paraId="7F8A6D46">
      <w:pPr>
        <w:pStyle w:val="5"/>
        <w:rPr>
          <w:rFonts w:hint="eastAsia" w:ascii="宋体" w:hAnsi="宋体" w:eastAsia="宋体" w:cs="宋体"/>
          <w:color w:val="auto"/>
          <w:highlight w:val="none"/>
        </w:rPr>
      </w:pPr>
      <w:r>
        <w:rPr>
          <w:rFonts w:hint="eastAsia" w:ascii="宋体" w:hAnsi="宋体" w:eastAsia="宋体" w:cs="宋体"/>
          <w:color w:val="auto"/>
          <w:sz w:val="21"/>
          <w:szCs w:val="21"/>
          <w:highlight w:val="none"/>
        </w:rPr>
        <w:t xml:space="preserve">     供应商可根据本竞采文件“第四篇 竞采程序及方法、评审标准、无效响应和采购终止→评审标准→</w:t>
      </w:r>
      <w:r>
        <w:rPr>
          <w:rFonts w:hint="eastAsia" w:ascii="宋体" w:hAnsi="宋体" w:eastAsia="宋体" w:cs="宋体"/>
          <w:color w:val="auto"/>
          <w:sz w:val="21"/>
          <w:szCs w:val="21"/>
          <w:highlight w:val="none"/>
          <w:lang w:val="en-US" w:eastAsia="zh-CN"/>
        </w:rPr>
        <w:t>商务</w:t>
      </w:r>
      <w:r>
        <w:rPr>
          <w:rFonts w:hint="eastAsia" w:ascii="宋体" w:hAnsi="宋体" w:eastAsia="宋体" w:cs="宋体"/>
          <w:color w:val="auto"/>
          <w:sz w:val="21"/>
          <w:szCs w:val="21"/>
          <w:highlight w:val="none"/>
        </w:rPr>
        <w:t>部分”中的要求提供。</w:t>
      </w:r>
    </w:p>
    <w:p w14:paraId="38BF9DDE">
      <w:pPr>
        <w:tabs>
          <w:tab w:val="left" w:pos="6300"/>
        </w:tabs>
        <w:snapToGrid w:val="0"/>
        <w:ind w:firstLine="420" w:firstLineChars="200"/>
        <w:rPr>
          <w:rFonts w:hint="eastAsia" w:ascii="宋体" w:hAnsi="宋体" w:eastAsia="宋体" w:cs="宋体"/>
          <w:color w:val="auto"/>
          <w:sz w:val="21"/>
          <w:szCs w:val="21"/>
          <w:highlight w:val="none"/>
        </w:rPr>
      </w:pPr>
    </w:p>
    <w:p w14:paraId="69F0CBEE">
      <w:pPr>
        <w:tabs>
          <w:tab w:val="left" w:pos="6300"/>
        </w:tabs>
        <w:snapToGrid w:val="0"/>
        <w:ind w:firstLine="420" w:firstLineChars="200"/>
        <w:rPr>
          <w:rFonts w:hint="eastAsia" w:ascii="宋体" w:hAnsi="宋体" w:eastAsia="宋体" w:cs="宋体"/>
          <w:color w:val="auto"/>
          <w:sz w:val="21"/>
          <w:szCs w:val="21"/>
          <w:highlight w:val="none"/>
        </w:rPr>
      </w:pPr>
    </w:p>
    <w:p w14:paraId="2CA0F8A1">
      <w:pPr>
        <w:tabs>
          <w:tab w:val="left" w:pos="6300"/>
        </w:tabs>
        <w:snapToGrid w:val="0"/>
        <w:ind w:firstLine="420" w:firstLineChars="200"/>
        <w:rPr>
          <w:rFonts w:hint="eastAsia" w:ascii="宋体" w:hAnsi="宋体" w:eastAsia="宋体" w:cs="宋体"/>
          <w:color w:val="auto"/>
          <w:sz w:val="21"/>
          <w:szCs w:val="21"/>
          <w:highlight w:val="none"/>
        </w:rPr>
      </w:pPr>
    </w:p>
    <w:p w14:paraId="4CCE801E">
      <w:pPr>
        <w:tabs>
          <w:tab w:val="left" w:pos="6300"/>
        </w:tabs>
        <w:snapToGrid w:val="0"/>
        <w:ind w:firstLine="420" w:firstLineChars="200"/>
        <w:rPr>
          <w:rFonts w:hint="eastAsia" w:ascii="宋体" w:hAnsi="宋体" w:eastAsia="宋体" w:cs="宋体"/>
          <w:color w:val="auto"/>
          <w:sz w:val="21"/>
          <w:szCs w:val="21"/>
          <w:highlight w:val="none"/>
        </w:rPr>
      </w:pPr>
    </w:p>
    <w:p w14:paraId="493D8954">
      <w:pPr>
        <w:tabs>
          <w:tab w:val="left" w:pos="6300"/>
        </w:tabs>
        <w:snapToGrid w:val="0"/>
        <w:ind w:firstLine="420" w:firstLineChars="200"/>
        <w:rPr>
          <w:rFonts w:hint="eastAsia" w:ascii="宋体" w:hAnsi="宋体" w:eastAsia="宋体" w:cs="宋体"/>
          <w:color w:val="auto"/>
          <w:sz w:val="21"/>
          <w:szCs w:val="21"/>
          <w:highlight w:val="none"/>
        </w:rPr>
      </w:pPr>
    </w:p>
    <w:p w14:paraId="11276B29">
      <w:pPr>
        <w:tabs>
          <w:tab w:val="left" w:pos="6300"/>
        </w:tabs>
        <w:snapToGrid w:val="0"/>
        <w:ind w:firstLine="420" w:firstLineChars="200"/>
        <w:rPr>
          <w:rFonts w:hint="eastAsia" w:ascii="宋体" w:hAnsi="宋体" w:eastAsia="宋体" w:cs="宋体"/>
          <w:color w:val="auto"/>
          <w:sz w:val="21"/>
          <w:szCs w:val="21"/>
          <w:highlight w:val="none"/>
        </w:rPr>
      </w:pPr>
    </w:p>
    <w:p w14:paraId="63CD9173">
      <w:pPr>
        <w:tabs>
          <w:tab w:val="left" w:pos="6300"/>
        </w:tabs>
        <w:snapToGrid w:val="0"/>
        <w:ind w:firstLine="420" w:firstLineChars="200"/>
        <w:rPr>
          <w:rFonts w:hint="eastAsia" w:ascii="宋体" w:hAnsi="宋体" w:eastAsia="宋体" w:cs="宋体"/>
          <w:color w:val="auto"/>
          <w:sz w:val="21"/>
          <w:szCs w:val="21"/>
          <w:highlight w:val="none"/>
        </w:rPr>
      </w:pPr>
    </w:p>
    <w:p w14:paraId="1CBAC909">
      <w:pPr>
        <w:tabs>
          <w:tab w:val="left" w:pos="6300"/>
        </w:tabs>
        <w:snapToGrid w:val="0"/>
        <w:ind w:firstLine="420" w:firstLineChars="200"/>
        <w:rPr>
          <w:rFonts w:hint="eastAsia" w:ascii="宋体" w:hAnsi="宋体" w:eastAsia="宋体" w:cs="宋体"/>
          <w:color w:val="auto"/>
          <w:sz w:val="21"/>
          <w:szCs w:val="21"/>
          <w:highlight w:val="none"/>
        </w:rPr>
      </w:pPr>
    </w:p>
    <w:p w14:paraId="34DAE82A">
      <w:pPr>
        <w:tabs>
          <w:tab w:val="left" w:pos="6300"/>
        </w:tabs>
        <w:snapToGrid w:val="0"/>
        <w:ind w:firstLine="420" w:firstLineChars="200"/>
        <w:rPr>
          <w:rFonts w:hint="eastAsia" w:ascii="宋体" w:hAnsi="宋体" w:eastAsia="宋体" w:cs="宋体"/>
          <w:color w:val="auto"/>
          <w:sz w:val="21"/>
          <w:szCs w:val="21"/>
          <w:highlight w:val="none"/>
        </w:rPr>
      </w:pPr>
    </w:p>
    <w:p w14:paraId="1914F6AA">
      <w:pPr>
        <w:tabs>
          <w:tab w:val="left" w:pos="6300"/>
        </w:tabs>
        <w:snapToGrid w:val="0"/>
        <w:ind w:firstLine="420" w:firstLineChars="200"/>
        <w:rPr>
          <w:rFonts w:hint="eastAsia" w:ascii="宋体" w:hAnsi="宋体" w:eastAsia="宋体" w:cs="宋体"/>
          <w:color w:val="auto"/>
          <w:sz w:val="21"/>
          <w:szCs w:val="21"/>
          <w:highlight w:val="none"/>
        </w:rPr>
      </w:pPr>
    </w:p>
    <w:p w14:paraId="01741FD4">
      <w:pPr>
        <w:tabs>
          <w:tab w:val="left" w:pos="6300"/>
        </w:tabs>
        <w:snapToGrid w:val="0"/>
        <w:ind w:firstLine="420" w:firstLineChars="200"/>
        <w:rPr>
          <w:rFonts w:hint="eastAsia" w:ascii="宋体" w:hAnsi="宋体" w:eastAsia="宋体" w:cs="宋体"/>
          <w:color w:val="auto"/>
          <w:sz w:val="21"/>
          <w:szCs w:val="21"/>
          <w:highlight w:val="none"/>
        </w:rPr>
      </w:pPr>
    </w:p>
    <w:p w14:paraId="7E5DEC81">
      <w:pPr>
        <w:tabs>
          <w:tab w:val="left" w:pos="6300"/>
        </w:tabs>
        <w:snapToGrid w:val="0"/>
        <w:ind w:firstLine="420" w:firstLineChars="200"/>
        <w:rPr>
          <w:rFonts w:hint="eastAsia" w:ascii="宋体" w:hAnsi="宋体" w:eastAsia="宋体" w:cs="宋体"/>
          <w:color w:val="auto"/>
          <w:sz w:val="21"/>
          <w:szCs w:val="21"/>
          <w:highlight w:val="none"/>
        </w:rPr>
      </w:pPr>
    </w:p>
    <w:p w14:paraId="6CEB9874">
      <w:pPr>
        <w:tabs>
          <w:tab w:val="left" w:pos="6300"/>
        </w:tabs>
        <w:snapToGrid w:val="0"/>
        <w:ind w:firstLine="420" w:firstLineChars="200"/>
        <w:rPr>
          <w:rFonts w:hint="eastAsia" w:ascii="宋体" w:hAnsi="宋体" w:eastAsia="宋体" w:cs="宋体"/>
          <w:color w:val="auto"/>
          <w:sz w:val="21"/>
          <w:szCs w:val="21"/>
          <w:highlight w:val="none"/>
        </w:rPr>
      </w:pPr>
    </w:p>
    <w:p w14:paraId="14A590E4">
      <w:pPr>
        <w:tabs>
          <w:tab w:val="left" w:pos="6300"/>
        </w:tabs>
        <w:snapToGrid w:val="0"/>
        <w:ind w:firstLine="420" w:firstLineChars="200"/>
        <w:rPr>
          <w:rFonts w:hint="eastAsia" w:ascii="宋体" w:hAnsi="宋体" w:eastAsia="宋体" w:cs="宋体"/>
          <w:color w:val="auto"/>
          <w:sz w:val="21"/>
          <w:szCs w:val="21"/>
          <w:highlight w:val="none"/>
        </w:rPr>
      </w:pPr>
    </w:p>
    <w:p w14:paraId="54447F4A">
      <w:pPr>
        <w:tabs>
          <w:tab w:val="left" w:pos="6300"/>
        </w:tabs>
        <w:snapToGrid w:val="0"/>
        <w:ind w:firstLine="420" w:firstLineChars="200"/>
        <w:rPr>
          <w:rFonts w:hint="eastAsia" w:ascii="宋体" w:hAnsi="宋体" w:eastAsia="宋体" w:cs="宋体"/>
          <w:color w:val="auto"/>
          <w:sz w:val="21"/>
          <w:szCs w:val="21"/>
          <w:highlight w:val="none"/>
        </w:rPr>
      </w:pPr>
    </w:p>
    <w:p w14:paraId="2AB26590">
      <w:pPr>
        <w:tabs>
          <w:tab w:val="left" w:pos="6300"/>
        </w:tabs>
        <w:snapToGrid w:val="0"/>
        <w:ind w:firstLine="420" w:firstLineChars="200"/>
        <w:rPr>
          <w:rFonts w:hint="eastAsia" w:ascii="宋体" w:hAnsi="宋体" w:eastAsia="宋体" w:cs="宋体"/>
          <w:color w:val="auto"/>
          <w:sz w:val="21"/>
          <w:szCs w:val="21"/>
          <w:highlight w:val="none"/>
        </w:rPr>
      </w:pPr>
    </w:p>
    <w:p w14:paraId="71D8C272">
      <w:pPr>
        <w:tabs>
          <w:tab w:val="left" w:pos="6300"/>
        </w:tabs>
        <w:snapToGrid w:val="0"/>
        <w:ind w:firstLine="420" w:firstLineChars="200"/>
        <w:rPr>
          <w:rFonts w:hint="eastAsia" w:ascii="宋体" w:hAnsi="宋体" w:eastAsia="宋体" w:cs="宋体"/>
          <w:color w:val="auto"/>
          <w:sz w:val="21"/>
          <w:szCs w:val="21"/>
          <w:highlight w:val="none"/>
        </w:rPr>
      </w:pPr>
    </w:p>
    <w:p w14:paraId="7D5A4EB8">
      <w:pPr>
        <w:tabs>
          <w:tab w:val="left" w:pos="6300"/>
        </w:tabs>
        <w:snapToGrid w:val="0"/>
        <w:ind w:firstLine="420" w:firstLineChars="200"/>
        <w:rPr>
          <w:rFonts w:hint="eastAsia" w:ascii="宋体" w:hAnsi="宋体" w:eastAsia="宋体" w:cs="宋体"/>
          <w:color w:val="auto"/>
          <w:sz w:val="21"/>
          <w:szCs w:val="21"/>
          <w:highlight w:val="none"/>
        </w:rPr>
      </w:pPr>
    </w:p>
    <w:p w14:paraId="45B49398">
      <w:pPr>
        <w:tabs>
          <w:tab w:val="left" w:pos="6300"/>
        </w:tabs>
        <w:snapToGrid w:val="0"/>
        <w:ind w:firstLine="420" w:firstLineChars="200"/>
        <w:rPr>
          <w:rFonts w:hint="eastAsia" w:ascii="宋体" w:hAnsi="宋体" w:eastAsia="宋体" w:cs="宋体"/>
          <w:color w:val="auto"/>
          <w:sz w:val="21"/>
          <w:szCs w:val="21"/>
          <w:highlight w:val="none"/>
        </w:rPr>
      </w:pPr>
    </w:p>
    <w:p w14:paraId="379131DB">
      <w:pPr>
        <w:tabs>
          <w:tab w:val="left" w:pos="6300"/>
        </w:tabs>
        <w:snapToGrid w:val="0"/>
        <w:ind w:firstLine="420" w:firstLineChars="200"/>
        <w:rPr>
          <w:rFonts w:hint="eastAsia" w:ascii="宋体" w:hAnsi="宋体" w:eastAsia="宋体" w:cs="宋体"/>
          <w:color w:val="auto"/>
          <w:sz w:val="21"/>
          <w:szCs w:val="21"/>
          <w:highlight w:val="none"/>
        </w:rPr>
      </w:pPr>
    </w:p>
    <w:p w14:paraId="03C679F7">
      <w:pPr>
        <w:tabs>
          <w:tab w:val="left" w:pos="6300"/>
        </w:tabs>
        <w:snapToGrid w:val="0"/>
        <w:ind w:firstLine="420" w:firstLineChars="200"/>
        <w:rPr>
          <w:rFonts w:hint="eastAsia" w:ascii="宋体" w:hAnsi="宋体" w:eastAsia="宋体" w:cs="宋体"/>
          <w:color w:val="auto"/>
          <w:sz w:val="21"/>
          <w:szCs w:val="21"/>
          <w:highlight w:val="none"/>
        </w:rPr>
      </w:pPr>
    </w:p>
    <w:p w14:paraId="624E386E">
      <w:pPr>
        <w:tabs>
          <w:tab w:val="left" w:pos="6300"/>
        </w:tabs>
        <w:snapToGrid w:val="0"/>
        <w:ind w:firstLine="420" w:firstLineChars="200"/>
        <w:rPr>
          <w:rFonts w:hint="eastAsia" w:ascii="宋体" w:hAnsi="宋体" w:eastAsia="宋体" w:cs="宋体"/>
          <w:color w:val="auto"/>
          <w:sz w:val="21"/>
          <w:szCs w:val="21"/>
          <w:highlight w:val="none"/>
        </w:rPr>
      </w:pPr>
    </w:p>
    <w:p w14:paraId="0C028380">
      <w:pPr>
        <w:tabs>
          <w:tab w:val="left" w:pos="6300"/>
        </w:tabs>
        <w:snapToGrid w:val="0"/>
        <w:ind w:firstLine="420" w:firstLineChars="200"/>
        <w:rPr>
          <w:rFonts w:hint="eastAsia" w:ascii="宋体" w:hAnsi="宋体" w:eastAsia="宋体" w:cs="宋体"/>
          <w:color w:val="auto"/>
          <w:sz w:val="21"/>
          <w:szCs w:val="21"/>
          <w:highlight w:val="none"/>
        </w:rPr>
      </w:pPr>
    </w:p>
    <w:p w14:paraId="716AA967">
      <w:pPr>
        <w:tabs>
          <w:tab w:val="left" w:pos="6300"/>
        </w:tabs>
        <w:snapToGrid w:val="0"/>
        <w:ind w:firstLine="420" w:firstLineChars="200"/>
        <w:rPr>
          <w:rFonts w:hint="eastAsia" w:ascii="宋体" w:hAnsi="宋体" w:eastAsia="宋体" w:cs="宋体"/>
          <w:color w:val="auto"/>
          <w:sz w:val="21"/>
          <w:szCs w:val="21"/>
          <w:highlight w:val="none"/>
        </w:rPr>
      </w:pPr>
    </w:p>
    <w:p w14:paraId="3FF4C26F">
      <w:pPr>
        <w:tabs>
          <w:tab w:val="left" w:pos="6300"/>
        </w:tabs>
        <w:snapToGrid w:val="0"/>
        <w:ind w:firstLine="420" w:firstLineChars="200"/>
        <w:rPr>
          <w:rFonts w:hint="eastAsia" w:ascii="宋体" w:hAnsi="宋体" w:eastAsia="宋体" w:cs="宋体"/>
          <w:color w:val="auto"/>
          <w:sz w:val="21"/>
          <w:szCs w:val="21"/>
          <w:highlight w:val="none"/>
        </w:rPr>
      </w:pPr>
    </w:p>
    <w:p w14:paraId="5B1BBE67">
      <w:pPr>
        <w:tabs>
          <w:tab w:val="left" w:pos="6300"/>
        </w:tabs>
        <w:snapToGrid w:val="0"/>
        <w:ind w:firstLine="420" w:firstLineChars="200"/>
        <w:rPr>
          <w:rFonts w:hint="eastAsia" w:ascii="宋体" w:hAnsi="宋体" w:eastAsia="宋体" w:cs="宋体"/>
          <w:color w:val="auto"/>
          <w:sz w:val="21"/>
          <w:szCs w:val="21"/>
          <w:highlight w:val="none"/>
        </w:rPr>
      </w:pPr>
    </w:p>
    <w:p w14:paraId="0F99E0D3">
      <w:pPr>
        <w:tabs>
          <w:tab w:val="left" w:pos="6300"/>
        </w:tabs>
        <w:snapToGrid w:val="0"/>
        <w:ind w:firstLine="420" w:firstLineChars="200"/>
        <w:rPr>
          <w:rFonts w:hint="eastAsia" w:ascii="宋体" w:hAnsi="宋体" w:eastAsia="宋体" w:cs="宋体"/>
          <w:color w:val="auto"/>
          <w:sz w:val="21"/>
          <w:szCs w:val="21"/>
          <w:highlight w:val="none"/>
        </w:rPr>
      </w:pPr>
    </w:p>
    <w:p w14:paraId="570576A1">
      <w:pPr>
        <w:tabs>
          <w:tab w:val="left" w:pos="6300"/>
        </w:tabs>
        <w:snapToGrid w:val="0"/>
        <w:ind w:firstLine="420" w:firstLineChars="200"/>
        <w:rPr>
          <w:rFonts w:hint="eastAsia" w:ascii="宋体" w:hAnsi="宋体" w:eastAsia="宋体" w:cs="宋体"/>
          <w:color w:val="auto"/>
          <w:sz w:val="21"/>
          <w:szCs w:val="21"/>
          <w:highlight w:val="none"/>
        </w:rPr>
      </w:pPr>
    </w:p>
    <w:p w14:paraId="465E421C">
      <w:pPr>
        <w:tabs>
          <w:tab w:val="left" w:pos="6300"/>
        </w:tabs>
        <w:snapToGrid w:val="0"/>
        <w:ind w:firstLine="420" w:firstLineChars="200"/>
        <w:rPr>
          <w:rFonts w:hint="eastAsia" w:ascii="宋体" w:hAnsi="宋体" w:eastAsia="宋体" w:cs="宋体"/>
          <w:color w:val="auto"/>
          <w:sz w:val="21"/>
          <w:szCs w:val="21"/>
          <w:highlight w:val="none"/>
        </w:rPr>
      </w:pPr>
    </w:p>
    <w:p w14:paraId="739281EC">
      <w:pPr>
        <w:tabs>
          <w:tab w:val="left" w:pos="6300"/>
        </w:tabs>
        <w:snapToGrid w:val="0"/>
        <w:ind w:firstLine="420" w:firstLineChars="200"/>
        <w:rPr>
          <w:rFonts w:hint="eastAsia" w:ascii="宋体" w:hAnsi="宋体" w:eastAsia="宋体" w:cs="宋体"/>
          <w:color w:val="auto"/>
          <w:sz w:val="21"/>
          <w:szCs w:val="21"/>
          <w:highlight w:val="none"/>
        </w:rPr>
      </w:pPr>
    </w:p>
    <w:p w14:paraId="5AEF4F92">
      <w:pPr>
        <w:tabs>
          <w:tab w:val="left" w:pos="6300"/>
        </w:tabs>
        <w:snapToGrid w:val="0"/>
        <w:ind w:firstLine="420" w:firstLineChars="200"/>
        <w:rPr>
          <w:rFonts w:hint="eastAsia" w:ascii="宋体" w:hAnsi="宋体" w:eastAsia="宋体" w:cs="宋体"/>
          <w:color w:val="auto"/>
          <w:sz w:val="21"/>
          <w:szCs w:val="21"/>
          <w:highlight w:val="none"/>
        </w:rPr>
      </w:pPr>
    </w:p>
    <w:p w14:paraId="2EF5EDFF">
      <w:pPr>
        <w:tabs>
          <w:tab w:val="left" w:pos="6300"/>
        </w:tabs>
        <w:snapToGrid w:val="0"/>
        <w:ind w:firstLine="420" w:firstLineChars="200"/>
        <w:rPr>
          <w:rFonts w:hint="eastAsia" w:ascii="宋体" w:hAnsi="宋体" w:eastAsia="宋体" w:cs="宋体"/>
          <w:color w:val="auto"/>
          <w:sz w:val="21"/>
          <w:szCs w:val="21"/>
          <w:highlight w:val="none"/>
        </w:rPr>
      </w:pPr>
    </w:p>
    <w:p w14:paraId="2E66779F">
      <w:pPr>
        <w:tabs>
          <w:tab w:val="left" w:pos="6300"/>
        </w:tabs>
        <w:snapToGrid w:val="0"/>
        <w:ind w:firstLine="420" w:firstLineChars="200"/>
        <w:rPr>
          <w:rFonts w:hint="eastAsia" w:ascii="宋体" w:hAnsi="宋体" w:eastAsia="宋体" w:cs="宋体"/>
          <w:color w:val="auto"/>
          <w:sz w:val="21"/>
          <w:szCs w:val="21"/>
          <w:highlight w:val="none"/>
        </w:rPr>
      </w:pPr>
    </w:p>
    <w:p w14:paraId="76177304">
      <w:pPr>
        <w:tabs>
          <w:tab w:val="left" w:pos="6300"/>
        </w:tabs>
        <w:snapToGrid w:val="0"/>
        <w:ind w:firstLine="420" w:firstLineChars="200"/>
        <w:rPr>
          <w:rFonts w:hint="eastAsia" w:ascii="宋体" w:hAnsi="宋体" w:eastAsia="宋体" w:cs="宋体"/>
          <w:color w:val="auto"/>
          <w:sz w:val="21"/>
          <w:szCs w:val="21"/>
          <w:highlight w:val="none"/>
        </w:rPr>
      </w:pPr>
    </w:p>
    <w:p w14:paraId="0125773B">
      <w:pPr>
        <w:tabs>
          <w:tab w:val="left" w:pos="6300"/>
        </w:tabs>
        <w:snapToGrid w:val="0"/>
        <w:ind w:firstLine="420" w:firstLineChars="200"/>
        <w:rPr>
          <w:rFonts w:hint="eastAsia" w:ascii="宋体" w:hAnsi="宋体" w:eastAsia="宋体" w:cs="宋体"/>
          <w:color w:val="auto"/>
          <w:sz w:val="21"/>
          <w:szCs w:val="21"/>
          <w:highlight w:val="none"/>
        </w:rPr>
      </w:pPr>
    </w:p>
    <w:p w14:paraId="0D00B861">
      <w:pPr>
        <w:tabs>
          <w:tab w:val="left" w:pos="6300"/>
        </w:tabs>
        <w:snapToGrid w:val="0"/>
        <w:ind w:firstLine="420" w:firstLineChars="200"/>
        <w:rPr>
          <w:rFonts w:hint="eastAsia" w:ascii="宋体" w:hAnsi="宋体" w:eastAsia="宋体" w:cs="宋体"/>
          <w:color w:val="auto"/>
          <w:sz w:val="21"/>
          <w:szCs w:val="21"/>
          <w:highlight w:val="none"/>
        </w:rPr>
      </w:pPr>
    </w:p>
    <w:p w14:paraId="51A24C40">
      <w:pPr>
        <w:tabs>
          <w:tab w:val="left" w:pos="6300"/>
        </w:tabs>
        <w:snapToGrid w:val="0"/>
        <w:ind w:firstLine="420" w:firstLineChars="200"/>
        <w:rPr>
          <w:rFonts w:hint="eastAsia" w:ascii="宋体" w:hAnsi="宋体" w:eastAsia="宋体" w:cs="宋体"/>
          <w:color w:val="auto"/>
          <w:sz w:val="21"/>
          <w:szCs w:val="21"/>
          <w:highlight w:val="none"/>
        </w:rPr>
      </w:pPr>
    </w:p>
    <w:p w14:paraId="796AA706">
      <w:pPr>
        <w:tabs>
          <w:tab w:val="left" w:pos="6300"/>
        </w:tabs>
        <w:snapToGrid w:val="0"/>
        <w:ind w:firstLine="420" w:firstLineChars="200"/>
        <w:rPr>
          <w:rFonts w:hint="eastAsia" w:ascii="宋体" w:hAnsi="宋体" w:eastAsia="宋体" w:cs="宋体"/>
          <w:color w:val="auto"/>
          <w:sz w:val="21"/>
          <w:szCs w:val="21"/>
          <w:highlight w:val="none"/>
        </w:rPr>
      </w:pPr>
    </w:p>
    <w:p w14:paraId="16C6C9CB">
      <w:pPr>
        <w:tabs>
          <w:tab w:val="left" w:pos="6300"/>
        </w:tabs>
        <w:snapToGrid w:val="0"/>
        <w:ind w:firstLine="420" w:firstLineChars="200"/>
        <w:rPr>
          <w:rFonts w:hint="eastAsia" w:ascii="宋体" w:hAnsi="宋体" w:eastAsia="宋体" w:cs="宋体"/>
          <w:color w:val="auto"/>
          <w:sz w:val="21"/>
          <w:szCs w:val="21"/>
          <w:highlight w:val="none"/>
        </w:rPr>
      </w:pPr>
    </w:p>
    <w:p w14:paraId="664391F5">
      <w:pPr>
        <w:tabs>
          <w:tab w:val="left" w:pos="6300"/>
        </w:tabs>
        <w:snapToGrid w:val="0"/>
        <w:ind w:firstLine="420" w:firstLineChars="200"/>
        <w:rPr>
          <w:rFonts w:hint="eastAsia" w:ascii="宋体" w:hAnsi="宋体" w:eastAsia="宋体" w:cs="宋体"/>
          <w:color w:val="auto"/>
          <w:sz w:val="21"/>
          <w:szCs w:val="21"/>
          <w:highlight w:val="none"/>
        </w:rPr>
      </w:pPr>
    </w:p>
    <w:p w14:paraId="65AB8677">
      <w:pPr>
        <w:tabs>
          <w:tab w:val="left" w:pos="6300"/>
        </w:tabs>
        <w:snapToGrid w:val="0"/>
        <w:ind w:firstLine="420" w:firstLineChars="200"/>
        <w:rPr>
          <w:rFonts w:hint="eastAsia" w:ascii="宋体" w:hAnsi="宋体" w:eastAsia="宋体" w:cs="宋体"/>
          <w:color w:val="auto"/>
          <w:sz w:val="21"/>
          <w:szCs w:val="21"/>
          <w:highlight w:val="none"/>
        </w:rPr>
      </w:pPr>
    </w:p>
    <w:p w14:paraId="16C4933B">
      <w:pPr>
        <w:tabs>
          <w:tab w:val="left" w:pos="6300"/>
        </w:tabs>
        <w:snapToGrid w:val="0"/>
        <w:ind w:firstLine="420" w:firstLineChars="200"/>
        <w:rPr>
          <w:rFonts w:hint="eastAsia" w:ascii="宋体" w:hAnsi="宋体" w:eastAsia="宋体" w:cs="宋体"/>
          <w:color w:val="auto"/>
          <w:sz w:val="21"/>
          <w:szCs w:val="21"/>
          <w:highlight w:val="none"/>
        </w:rPr>
      </w:pPr>
    </w:p>
    <w:p w14:paraId="00808FFE">
      <w:pPr>
        <w:tabs>
          <w:tab w:val="left" w:pos="6300"/>
        </w:tabs>
        <w:snapToGrid w:val="0"/>
        <w:ind w:firstLine="420" w:firstLineChars="200"/>
        <w:rPr>
          <w:rFonts w:hint="eastAsia" w:ascii="宋体" w:hAnsi="宋体" w:eastAsia="宋体" w:cs="宋体"/>
          <w:color w:val="auto"/>
          <w:sz w:val="21"/>
          <w:szCs w:val="21"/>
          <w:highlight w:val="none"/>
        </w:rPr>
      </w:pPr>
    </w:p>
    <w:p w14:paraId="6564CFA9">
      <w:pPr>
        <w:tabs>
          <w:tab w:val="left" w:pos="6300"/>
        </w:tabs>
        <w:snapToGrid w:val="0"/>
        <w:ind w:firstLine="420" w:firstLineChars="200"/>
        <w:rPr>
          <w:rFonts w:hint="eastAsia" w:ascii="宋体" w:hAnsi="宋体" w:eastAsia="宋体" w:cs="宋体"/>
          <w:color w:val="auto"/>
          <w:sz w:val="21"/>
          <w:szCs w:val="21"/>
          <w:highlight w:val="none"/>
        </w:rPr>
      </w:pPr>
    </w:p>
    <w:p w14:paraId="30BF2D3E">
      <w:pPr>
        <w:tabs>
          <w:tab w:val="left" w:pos="6300"/>
        </w:tabs>
        <w:snapToGrid w:val="0"/>
        <w:ind w:firstLine="420" w:firstLineChars="200"/>
        <w:rPr>
          <w:rFonts w:hint="eastAsia" w:ascii="宋体" w:hAnsi="宋体" w:eastAsia="宋体" w:cs="宋体"/>
          <w:color w:val="auto"/>
          <w:sz w:val="21"/>
          <w:szCs w:val="21"/>
          <w:highlight w:val="none"/>
        </w:rPr>
      </w:pPr>
    </w:p>
    <w:p w14:paraId="0972F1AD">
      <w:pPr>
        <w:tabs>
          <w:tab w:val="left" w:pos="6300"/>
        </w:tabs>
        <w:snapToGrid w:val="0"/>
        <w:ind w:firstLine="420" w:firstLineChars="200"/>
        <w:rPr>
          <w:rFonts w:hint="eastAsia" w:ascii="宋体" w:hAnsi="宋体" w:eastAsia="宋体" w:cs="宋体"/>
          <w:color w:val="auto"/>
          <w:sz w:val="21"/>
          <w:szCs w:val="21"/>
          <w:highlight w:val="none"/>
        </w:rPr>
      </w:pPr>
    </w:p>
    <w:p w14:paraId="73B050FB">
      <w:pPr>
        <w:tabs>
          <w:tab w:val="left" w:pos="6300"/>
        </w:tabs>
        <w:snapToGrid w:val="0"/>
        <w:ind w:firstLine="420" w:firstLineChars="200"/>
        <w:rPr>
          <w:rFonts w:hint="eastAsia" w:ascii="宋体" w:hAnsi="宋体" w:eastAsia="宋体" w:cs="宋体"/>
          <w:color w:val="auto"/>
          <w:sz w:val="21"/>
          <w:szCs w:val="21"/>
          <w:highlight w:val="none"/>
        </w:rPr>
      </w:pPr>
    </w:p>
    <w:p w14:paraId="1B1509ED">
      <w:pPr>
        <w:snapToGrid w:val="0"/>
        <w:spacing w:line="400" w:lineRule="exact"/>
        <w:ind w:firstLine="420" w:firstLineChars="200"/>
        <w:rPr>
          <w:rFonts w:hint="eastAsia" w:ascii="宋体" w:hAnsi="宋体" w:eastAsia="宋体" w:cs="宋体"/>
          <w:color w:val="auto"/>
          <w:sz w:val="21"/>
          <w:szCs w:val="21"/>
          <w:highlight w:val="none"/>
        </w:rPr>
      </w:pPr>
    </w:p>
    <w:p w14:paraId="3EBDD705">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）其它资料（格式自定）</w:t>
      </w:r>
    </w:p>
    <w:p w14:paraId="4387808C">
      <w:pPr>
        <w:spacing w:line="360" w:lineRule="auto"/>
        <w:ind w:firstLine="420" w:firstLineChars="200"/>
        <w:jc w:val="center"/>
        <w:rPr>
          <w:rFonts w:hint="eastAsia" w:ascii="宋体" w:hAnsi="宋体" w:eastAsia="宋体" w:cs="宋体"/>
          <w:color w:val="auto"/>
          <w:sz w:val="21"/>
          <w:szCs w:val="21"/>
          <w:highlight w:val="none"/>
        </w:rPr>
      </w:pPr>
    </w:p>
    <w:p w14:paraId="4A6B16D1">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供应商认为需要提供的其他资料。</w:t>
      </w:r>
    </w:p>
    <w:p w14:paraId="3B82FAE9">
      <w:pPr>
        <w:tabs>
          <w:tab w:val="left" w:pos="6300"/>
        </w:tabs>
        <w:snapToGrid w:val="0"/>
        <w:spacing w:line="500" w:lineRule="exact"/>
        <w:ind w:left="280" w:leftChars="100" w:firstLine="480" w:firstLineChars="200"/>
        <w:rPr>
          <w:rFonts w:hint="eastAsia" w:ascii="宋体" w:hAnsi="宋体" w:eastAsia="宋体" w:cs="宋体"/>
          <w:color w:val="auto"/>
          <w:sz w:val="24"/>
          <w:szCs w:val="24"/>
          <w:highlight w:val="none"/>
        </w:rPr>
      </w:pPr>
    </w:p>
    <w:p w14:paraId="57DA6106">
      <w:pPr>
        <w:pStyle w:val="5"/>
        <w:ind w:left="760" w:leftChars="100" w:hanging="480"/>
        <w:rPr>
          <w:rFonts w:hint="eastAsia" w:ascii="宋体" w:hAnsi="宋体" w:eastAsia="宋体" w:cs="宋体"/>
          <w:color w:val="auto"/>
          <w:highlight w:val="none"/>
        </w:rPr>
      </w:pPr>
    </w:p>
    <w:p w14:paraId="6058CA20">
      <w:pPr>
        <w:rPr>
          <w:rFonts w:hint="eastAsia" w:ascii="宋体" w:hAnsi="宋体" w:eastAsia="宋体" w:cs="宋体"/>
          <w:color w:val="auto"/>
          <w:highlight w:val="none"/>
        </w:rPr>
      </w:pPr>
    </w:p>
    <w:p w14:paraId="410EA109">
      <w:pPr>
        <w:pStyle w:val="5"/>
        <w:rPr>
          <w:rFonts w:hint="eastAsia" w:ascii="宋体" w:hAnsi="宋体" w:eastAsia="宋体" w:cs="宋体"/>
          <w:color w:val="auto"/>
          <w:highlight w:val="none"/>
        </w:rPr>
      </w:pPr>
    </w:p>
    <w:p w14:paraId="307C2197">
      <w:pPr>
        <w:rPr>
          <w:rFonts w:hint="eastAsia" w:ascii="宋体" w:hAnsi="宋体" w:eastAsia="宋体" w:cs="宋体"/>
          <w:color w:val="auto"/>
          <w:highlight w:val="none"/>
        </w:rPr>
      </w:pPr>
    </w:p>
    <w:p w14:paraId="1D37A80F">
      <w:pPr>
        <w:pStyle w:val="5"/>
        <w:rPr>
          <w:rFonts w:hint="eastAsia" w:ascii="宋体" w:hAnsi="宋体" w:eastAsia="宋体" w:cs="宋体"/>
          <w:color w:val="auto"/>
          <w:highlight w:val="none"/>
        </w:rPr>
      </w:pPr>
    </w:p>
    <w:p w14:paraId="5700BF11">
      <w:pPr>
        <w:rPr>
          <w:rFonts w:hint="eastAsia" w:ascii="宋体" w:hAnsi="宋体" w:eastAsia="宋体" w:cs="宋体"/>
          <w:color w:val="auto"/>
          <w:highlight w:val="none"/>
        </w:rPr>
      </w:pPr>
    </w:p>
    <w:p w14:paraId="2D778F4B">
      <w:pPr>
        <w:pStyle w:val="5"/>
        <w:rPr>
          <w:rFonts w:hint="eastAsia" w:ascii="宋体" w:hAnsi="宋体" w:eastAsia="宋体" w:cs="宋体"/>
          <w:color w:val="auto"/>
          <w:highlight w:val="none"/>
        </w:rPr>
      </w:pPr>
    </w:p>
    <w:p w14:paraId="037821A2">
      <w:pPr>
        <w:rPr>
          <w:rFonts w:hint="eastAsia" w:ascii="宋体" w:hAnsi="宋体" w:eastAsia="宋体" w:cs="宋体"/>
          <w:color w:val="auto"/>
          <w:highlight w:val="none"/>
        </w:rPr>
      </w:pPr>
    </w:p>
    <w:p w14:paraId="580C4C8D">
      <w:pPr>
        <w:pStyle w:val="5"/>
        <w:rPr>
          <w:rFonts w:hint="eastAsia" w:ascii="宋体" w:hAnsi="宋体" w:eastAsia="宋体" w:cs="宋体"/>
          <w:color w:val="auto"/>
          <w:highlight w:val="none"/>
        </w:rPr>
      </w:pPr>
    </w:p>
    <w:p w14:paraId="085A0F3C">
      <w:pPr>
        <w:rPr>
          <w:rFonts w:hint="eastAsia" w:ascii="宋体" w:hAnsi="宋体" w:eastAsia="宋体" w:cs="宋体"/>
          <w:color w:val="auto"/>
          <w:highlight w:val="none"/>
        </w:rPr>
      </w:pPr>
    </w:p>
    <w:p w14:paraId="1237255A">
      <w:pPr>
        <w:pStyle w:val="5"/>
        <w:rPr>
          <w:rFonts w:hint="eastAsia" w:ascii="宋体" w:hAnsi="宋体" w:eastAsia="宋体" w:cs="宋体"/>
          <w:color w:val="auto"/>
          <w:highlight w:val="none"/>
        </w:rPr>
      </w:pPr>
    </w:p>
    <w:p w14:paraId="187BE70E">
      <w:pPr>
        <w:rPr>
          <w:rFonts w:hint="eastAsia" w:ascii="宋体" w:hAnsi="宋体" w:eastAsia="宋体" w:cs="宋体"/>
          <w:color w:val="auto"/>
          <w:highlight w:val="none"/>
        </w:rPr>
      </w:pPr>
    </w:p>
    <w:p w14:paraId="136158C5">
      <w:pPr>
        <w:pStyle w:val="5"/>
        <w:rPr>
          <w:rFonts w:hint="eastAsia" w:ascii="宋体" w:hAnsi="宋体" w:eastAsia="宋体" w:cs="宋体"/>
          <w:color w:val="auto"/>
          <w:highlight w:val="none"/>
        </w:rPr>
      </w:pPr>
    </w:p>
    <w:p w14:paraId="0F593195">
      <w:pPr>
        <w:rPr>
          <w:rFonts w:hint="eastAsia" w:ascii="宋体" w:hAnsi="宋体" w:eastAsia="宋体" w:cs="宋体"/>
          <w:color w:val="auto"/>
          <w:highlight w:val="none"/>
        </w:rPr>
      </w:pPr>
    </w:p>
    <w:p w14:paraId="3029721C">
      <w:pPr>
        <w:pStyle w:val="5"/>
        <w:rPr>
          <w:rFonts w:hint="eastAsia" w:ascii="宋体" w:hAnsi="宋体" w:eastAsia="宋体" w:cs="宋体"/>
          <w:color w:val="auto"/>
          <w:highlight w:val="none"/>
        </w:rPr>
      </w:pPr>
    </w:p>
    <w:p w14:paraId="1A80165D">
      <w:pPr>
        <w:rPr>
          <w:rFonts w:hint="eastAsia" w:ascii="宋体" w:hAnsi="宋体" w:eastAsia="宋体" w:cs="宋体"/>
          <w:color w:val="auto"/>
          <w:highlight w:val="none"/>
        </w:rPr>
      </w:pPr>
    </w:p>
    <w:p w14:paraId="5A52D51D">
      <w:pPr>
        <w:pStyle w:val="5"/>
        <w:rPr>
          <w:rFonts w:hint="eastAsia" w:ascii="宋体" w:hAnsi="宋体" w:eastAsia="宋体" w:cs="宋体"/>
          <w:color w:val="auto"/>
          <w:highlight w:val="none"/>
        </w:rPr>
      </w:pPr>
    </w:p>
    <w:p w14:paraId="5E9BB8CA">
      <w:pPr>
        <w:rPr>
          <w:rFonts w:hint="eastAsia" w:ascii="宋体" w:hAnsi="宋体" w:eastAsia="宋体" w:cs="宋体"/>
          <w:color w:val="auto"/>
          <w:highlight w:val="none"/>
        </w:rPr>
      </w:pPr>
    </w:p>
    <w:p w14:paraId="7375F85C">
      <w:pPr>
        <w:pStyle w:val="5"/>
        <w:rPr>
          <w:rFonts w:hint="eastAsia" w:ascii="宋体" w:hAnsi="宋体" w:eastAsia="宋体" w:cs="宋体"/>
          <w:color w:val="auto"/>
          <w:highlight w:val="none"/>
        </w:rPr>
      </w:pPr>
    </w:p>
    <w:p w14:paraId="24FF0166">
      <w:pPr>
        <w:rPr>
          <w:rFonts w:hint="eastAsia" w:ascii="宋体" w:hAnsi="宋体" w:eastAsia="宋体" w:cs="宋体"/>
          <w:color w:val="auto"/>
          <w:highlight w:val="none"/>
        </w:rPr>
      </w:pPr>
    </w:p>
    <w:p w14:paraId="06C4B642">
      <w:pPr>
        <w:pStyle w:val="5"/>
        <w:rPr>
          <w:rFonts w:hint="eastAsia" w:ascii="宋体" w:hAnsi="宋体" w:eastAsia="宋体" w:cs="宋体"/>
          <w:color w:val="auto"/>
          <w:highlight w:val="none"/>
        </w:rPr>
      </w:pPr>
    </w:p>
    <w:p w14:paraId="0D22EEDF">
      <w:pPr>
        <w:rPr>
          <w:rFonts w:hint="eastAsia" w:ascii="宋体" w:hAnsi="宋体" w:eastAsia="宋体" w:cs="宋体"/>
          <w:color w:val="auto"/>
          <w:highlight w:val="none"/>
        </w:rPr>
      </w:pPr>
    </w:p>
    <w:p w14:paraId="07356ED8">
      <w:pPr>
        <w:pStyle w:val="5"/>
        <w:rPr>
          <w:rFonts w:hint="eastAsia" w:ascii="宋体" w:hAnsi="宋体" w:eastAsia="宋体" w:cs="宋体"/>
          <w:color w:val="auto"/>
          <w:highlight w:val="none"/>
        </w:rPr>
      </w:pPr>
    </w:p>
    <w:p w14:paraId="015F818D">
      <w:pPr>
        <w:rPr>
          <w:rFonts w:hint="eastAsia" w:ascii="宋体" w:hAnsi="宋体" w:eastAsia="宋体" w:cs="宋体"/>
          <w:color w:val="auto"/>
          <w:highlight w:val="none"/>
        </w:rPr>
      </w:pPr>
    </w:p>
    <w:p w14:paraId="664AF765">
      <w:pPr>
        <w:pStyle w:val="5"/>
        <w:rPr>
          <w:rFonts w:hint="eastAsia" w:ascii="宋体" w:hAnsi="宋体" w:eastAsia="宋体" w:cs="宋体"/>
          <w:color w:val="auto"/>
          <w:highlight w:val="none"/>
        </w:rPr>
      </w:pPr>
    </w:p>
    <w:p w14:paraId="6F102DC3">
      <w:pPr>
        <w:rPr>
          <w:rFonts w:hint="eastAsia" w:ascii="宋体" w:hAnsi="宋体" w:eastAsia="宋体" w:cs="宋体"/>
          <w:color w:val="auto"/>
          <w:highlight w:val="none"/>
        </w:rPr>
      </w:pPr>
    </w:p>
    <w:p w14:paraId="54D8AE05">
      <w:pPr>
        <w:pStyle w:val="5"/>
        <w:rPr>
          <w:rFonts w:hint="eastAsia" w:ascii="宋体" w:hAnsi="宋体" w:eastAsia="宋体" w:cs="宋体"/>
          <w:color w:val="auto"/>
          <w:highlight w:val="none"/>
        </w:rPr>
      </w:pPr>
    </w:p>
    <w:p w14:paraId="34E349C6">
      <w:pPr>
        <w:rPr>
          <w:rFonts w:hint="eastAsia" w:ascii="宋体" w:hAnsi="宋体" w:eastAsia="宋体" w:cs="宋体"/>
          <w:color w:val="auto"/>
          <w:highlight w:val="none"/>
        </w:rPr>
      </w:pPr>
    </w:p>
    <w:p w14:paraId="386DCB48">
      <w:pPr>
        <w:rPr>
          <w:rFonts w:hint="eastAsia" w:ascii="宋体" w:hAnsi="宋体" w:eastAsia="宋体" w:cs="宋体"/>
          <w:color w:val="auto"/>
          <w:highlight w:val="none"/>
        </w:rPr>
      </w:pPr>
    </w:p>
    <w:p w14:paraId="11FCB81E">
      <w:pPr>
        <w:pStyle w:val="3"/>
        <w:spacing w:line="240" w:lineRule="auto"/>
        <w:rPr>
          <w:rFonts w:hint="eastAsia" w:ascii="宋体" w:hAnsi="宋体" w:eastAsia="宋体" w:cs="宋体"/>
          <w:color w:val="auto"/>
          <w:sz w:val="24"/>
          <w:szCs w:val="24"/>
          <w:highlight w:val="none"/>
        </w:rPr>
      </w:pPr>
      <w:bookmarkStart w:id="427" w:name="_Toc313008359"/>
      <w:bookmarkStart w:id="428" w:name="_Toc23764525"/>
      <w:bookmarkStart w:id="429" w:name="_Toc313888363"/>
      <w:bookmarkStart w:id="430" w:name="_Toc342913422"/>
      <w:r>
        <w:rPr>
          <w:rFonts w:hint="eastAsia" w:ascii="宋体" w:hAnsi="宋体" w:eastAsia="宋体" w:cs="宋体"/>
          <w:color w:val="auto"/>
          <w:sz w:val="24"/>
          <w:szCs w:val="24"/>
          <w:highlight w:val="none"/>
        </w:rPr>
        <w:t xml:space="preserve">    </w:t>
      </w:r>
      <w:bookmarkStart w:id="431" w:name="_Toc18179"/>
      <w:bookmarkStart w:id="432" w:name="_Toc14873"/>
      <w:bookmarkStart w:id="433" w:name="_Toc13421"/>
      <w:bookmarkStart w:id="434" w:name="_Toc18503"/>
      <w:bookmarkStart w:id="435" w:name="_Toc28397"/>
      <w:bookmarkStart w:id="436" w:name="_Toc28052"/>
      <w:r>
        <w:rPr>
          <w:rFonts w:hint="eastAsia" w:ascii="宋体" w:hAnsi="宋体" w:eastAsia="宋体" w:cs="宋体"/>
          <w:color w:val="auto"/>
          <w:sz w:val="24"/>
          <w:szCs w:val="24"/>
          <w:highlight w:val="none"/>
        </w:rPr>
        <w:t>四、资格条件及其他</w:t>
      </w:r>
      <w:bookmarkEnd w:id="427"/>
      <w:bookmarkEnd w:id="428"/>
      <w:bookmarkEnd w:id="429"/>
      <w:bookmarkEnd w:id="430"/>
      <w:bookmarkEnd w:id="431"/>
      <w:bookmarkEnd w:id="432"/>
      <w:bookmarkEnd w:id="433"/>
      <w:bookmarkEnd w:id="434"/>
      <w:bookmarkEnd w:id="435"/>
      <w:bookmarkEnd w:id="436"/>
    </w:p>
    <w:p w14:paraId="408A0AC6">
      <w:pPr>
        <w:tabs>
          <w:tab w:val="left" w:pos="6300"/>
        </w:tabs>
        <w:snapToGrid w:val="0"/>
        <w:spacing w:line="5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（一）法人营业执照（副本）或事业单位法人证书（副本）或个体工商户营业执照或有效的自然人身份证明或社会团体法人登记证书复印件</w:t>
      </w:r>
    </w:p>
    <w:p w14:paraId="420792C5">
      <w:pPr>
        <w:tabs>
          <w:tab w:val="left" w:pos="6300"/>
        </w:tabs>
        <w:snapToGrid w:val="0"/>
        <w:spacing w:line="360" w:lineRule="auto"/>
        <w:ind w:firstLine="570"/>
        <w:rPr>
          <w:rFonts w:hint="eastAsia" w:ascii="宋体" w:hAnsi="宋体" w:eastAsia="宋体" w:cs="宋体"/>
          <w:color w:val="auto"/>
          <w:highlight w:val="none"/>
        </w:rPr>
      </w:pPr>
    </w:p>
    <w:p w14:paraId="7699F70B">
      <w:pPr>
        <w:tabs>
          <w:tab w:val="left" w:pos="6300"/>
        </w:tabs>
        <w:snapToGrid w:val="0"/>
        <w:spacing w:line="360" w:lineRule="auto"/>
        <w:rPr>
          <w:rFonts w:hint="eastAsia" w:ascii="宋体" w:hAnsi="宋体" w:eastAsia="宋体" w:cs="宋体"/>
          <w:color w:val="auto"/>
          <w:sz w:val="24"/>
          <w:highlight w:val="none"/>
        </w:rPr>
      </w:pPr>
    </w:p>
    <w:p w14:paraId="20B48B9D">
      <w:pPr>
        <w:pStyle w:val="5"/>
        <w:rPr>
          <w:rFonts w:hint="eastAsia" w:ascii="宋体" w:hAnsi="宋体" w:eastAsia="宋体" w:cs="宋体"/>
          <w:color w:val="auto"/>
          <w:sz w:val="24"/>
          <w:highlight w:val="none"/>
        </w:rPr>
      </w:pPr>
    </w:p>
    <w:p w14:paraId="0CAFA324">
      <w:pPr>
        <w:rPr>
          <w:rFonts w:hint="eastAsia" w:ascii="宋体" w:hAnsi="宋体" w:eastAsia="宋体" w:cs="宋体"/>
          <w:color w:val="auto"/>
          <w:sz w:val="24"/>
          <w:highlight w:val="none"/>
        </w:rPr>
      </w:pPr>
    </w:p>
    <w:p w14:paraId="41001D69">
      <w:pPr>
        <w:pStyle w:val="5"/>
        <w:rPr>
          <w:rFonts w:hint="eastAsia" w:ascii="宋体" w:hAnsi="宋体" w:eastAsia="宋体" w:cs="宋体"/>
          <w:color w:val="auto"/>
          <w:sz w:val="24"/>
          <w:highlight w:val="none"/>
        </w:rPr>
      </w:pPr>
    </w:p>
    <w:p w14:paraId="6FFAC281">
      <w:pPr>
        <w:rPr>
          <w:rFonts w:hint="eastAsia" w:ascii="宋体" w:hAnsi="宋体" w:eastAsia="宋体" w:cs="宋体"/>
          <w:color w:val="auto"/>
          <w:sz w:val="24"/>
          <w:highlight w:val="none"/>
        </w:rPr>
      </w:pPr>
    </w:p>
    <w:p w14:paraId="2ECCC298">
      <w:pPr>
        <w:pStyle w:val="5"/>
        <w:rPr>
          <w:rFonts w:hint="eastAsia" w:ascii="宋体" w:hAnsi="宋体" w:eastAsia="宋体" w:cs="宋体"/>
          <w:color w:val="auto"/>
          <w:sz w:val="24"/>
          <w:highlight w:val="none"/>
        </w:rPr>
      </w:pPr>
    </w:p>
    <w:p w14:paraId="728B4970">
      <w:pPr>
        <w:rPr>
          <w:rFonts w:hint="eastAsia" w:ascii="宋体" w:hAnsi="宋体" w:eastAsia="宋体" w:cs="宋体"/>
          <w:color w:val="auto"/>
          <w:sz w:val="24"/>
          <w:highlight w:val="none"/>
        </w:rPr>
      </w:pPr>
    </w:p>
    <w:p w14:paraId="492FCA9A">
      <w:pPr>
        <w:pStyle w:val="5"/>
        <w:rPr>
          <w:rFonts w:hint="eastAsia" w:ascii="宋体" w:hAnsi="宋体" w:eastAsia="宋体" w:cs="宋体"/>
          <w:color w:val="auto"/>
          <w:sz w:val="24"/>
          <w:highlight w:val="none"/>
        </w:rPr>
      </w:pPr>
    </w:p>
    <w:p w14:paraId="4AE1896F">
      <w:pPr>
        <w:rPr>
          <w:rFonts w:hint="eastAsia" w:ascii="宋体" w:hAnsi="宋体" w:eastAsia="宋体" w:cs="宋体"/>
          <w:color w:val="auto"/>
          <w:sz w:val="24"/>
          <w:highlight w:val="none"/>
        </w:rPr>
      </w:pPr>
    </w:p>
    <w:p w14:paraId="23479E10">
      <w:pPr>
        <w:pStyle w:val="5"/>
        <w:rPr>
          <w:rFonts w:hint="eastAsia" w:ascii="宋体" w:hAnsi="宋体" w:eastAsia="宋体" w:cs="宋体"/>
          <w:color w:val="auto"/>
          <w:sz w:val="24"/>
          <w:highlight w:val="none"/>
        </w:rPr>
      </w:pPr>
    </w:p>
    <w:p w14:paraId="0D60F94A">
      <w:pPr>
        <w:rPr>
          <w:rFonts w:hint="eastAsia" w:ascii="宋体" w:hAnsi="宋体" w:eastAsia="宋体" w:cs="宋体"/>
          <w:color w:val="auto"/>
          <w:sz w:val="24"/>
          <w:highlight w:val="none"/>
        </w:rPr>
      </w:pPr>
    </w:p>
    <w:p w14:paraId="46428DD6">
      <w:pPr>
        <w:pStyle w:val="5"/>
        <w:rPr>
          <w:rFonts w:hint="eastAsia" w:ascii="宋体" w:hAnsi="宋体" w:eastAsia="宋体" w:cs="宋体"/>
          <w:color w:val="auto"/>
          <w:sz w:val="24"/>
          <w:highlight w:val="none"/>
        </w:rPr>
      </w:pPr>
    </w:p>
    <w:p w14:paraId="65A54C46">
      <w:pPr>
        <w:rPr>
          <w:rFonts w:hint="eastAsia" w:ascii="宋体" w:hAnsi="宋体" w:eastAsia="宋体" w:cs="宋体"/>
          <w:color w:val="auto"/>
          <w:sz w:val="24"/>
          <w:highlight w:val="none"/>
        </w:rPr>
      </w:pPr>
    </w:p>
    <w:p w14:paraId="2529DBB0">
      <w:pPr>
        <w:pStyle w:val="5"/>
        <w:rPr>
          <w:rFonts w:hint="eastAsia" w:ascii="宋体" w:hAnsi="宋体" w:eastAsia="宋体" w:cs="宋体"/>
          <w:color w:val="auto"/>
          <w:sz w:val="24"/>
          <w:highlight w:val="none"/>
        </w:rPr>
      </w:pPr>
    </w:p>
    <w:p w14:paraId="16EC8858">
      <w:pPr>
        <w:rPr>
          <w:rFonts w:hint="eastAsia" w:ascii="宋体" w:hAnsi="宋体" w:eastAsia="宋体" w:cs="宋体"/>
          <w:color w:val="auto"/>
          <w:sz w:val="24"/>
          <w:highlight w:val="none"/>
        </w:rPr>
      </w:pPr>
    </w:p>
    <w:p w14:paraId="49E22F63">
      <w:pPr>
        <w:pStyle w:val="5"/>
        <w:rPr>
          <w:rFonts w:hint="eastAsia" w:ascii="宋体" w:hAnsi="宋体" w:eastAsia="宋体" w:cs="宋体"/>
          <w:color w:val="auto"/>
          <w:sz w:val="24"/>
          <w:highlight w:val="none"/>
        </w:rPr>
      </w:pPr>
    </w:p>
    <w:p w14:paraId="301420D5">
      <w:pPr>
        <w:rPr>
          <w:rFonts w:hint="eastAsia" w:ascii="宋体" w:hAnsi="宋体" w:eastAsia="宋体" w:cs="宋体"/>
          <w:color w:val="auto"/>
          <w:sz w:val="24"/>
          <w:highlight w:val="none"/>
        </w:rPr>
      </w:pPr>
    </w:p>
    <w:p w14:paraId="05952C65">
      <w:pPr>
        <w:pStyle w:val="5"/>
        <w:rPr>
          <w:rFonts w:hint="eastAsia" w:ascii="宋体" w:hAnsi="宋体" w:eastAsia="宋体" w:cs="宋体"/>
          <w:color w:val="auto"/>
          <w:sz w:val="24"/>
          <w:highlight w:val="none"/>
        </w:rPr>
      </w:pPr>
    </w:p>
    <w:p w14:paraId="0423223B">
      <w:pPr>
        <w:rPr>
          <w:rFonts w:hint="eastAsia" w:ascii="宋体" w:hAnsi="宋体" w:eastAsia="宋体" w:cs="宋体"/>
          <w:color w:val="auto"/>
          <w:sz w:val="24"/>
          <w:highlight w:val="none"/>
        </w:rPr>
      </w:pPr>
    </w:p>
    <w:p w14:paraId="740CB7B7">
      <w:pPr>
        <w:pStyle w:val="5"/>
        <w:rPr>
          <w:rFonts w:hint="eastAsia" w:ascii="宋体" w:hAnsi="宋体" w:eastAsia="宋体" w:cs="宋体"/>
          <w:color w:val="auto"/>
          <w:sz w:val="24"/>
          <w:highlight w:val="none"/>
        </w:rPr>
      </w:pPr>
    </w:p>
    <w:p w14:paraId="17B3D7B7">
      <w:pPr>
        <w:rPr>
          <w:rFonts w:hint="eastAsia" w:ascii="宋体" w:hAnsi="宋体" w:eastAsia="宋体" w:cs="宋体"/>
          <w:color w:val="auto"/>
          <w:sz w:val="24"/>
          <w:highlight w:val="none"/>
        </w:rPr>
      </w:pPr>
    </w:p>
    <w:p w14:paraId="72779C00">
      <w:pPr>
        <w:pStyle w:val="5"/>
        <w:rPr>
          <w:rFonts w:hint="eastAsia" w:ascii="宋体" w:hAnsi="宋体" w:eastAsia="宋体" w:cs="宋体"/>
          <w:color w:val="auto"/>
          <w:sz w:val="24"/>
          <w:highlight w:val="none"/>
        </w:rPr>
      </w:pPr>
    </w:p>
    <w:p w14:paraId="5E93780D">
      <w:pPr>
        <w:rPr>
          <w:rFonts w:hint="eastAsia" w:ascii="宋体" w:hAnsi="宋体" w:eastAsia="宋体" w:cs="宋体"/>
          <w:color w:val="auto"/>
          <w:sz w:val="24"/>
          <w:highlight w:val="none"/>
        </w:rPr>
      </w:pPr>
    </w:p>
    <w:p w14:paraId="6898A8DC">
      <w:pPr>
        <w:pStyle w:val="5"/>
        <w:rPr>
          <w:rFonts w:hint="eastAsia" w:ascii="宋体" w:hAnsi="宋体" w:eastAsia="宋体" w:cs="宋体"/>
          <w:color w:val="auto"/>
          <w:sz w:val="24"/>
          <w:highlight w:val="none"/>
        </w:rPr>
      </w:pPr>
    </w:p>
    <w:p w14:paraId="08FD6227">
      <w:pPr>
        <w:rPr>
          <w:rFonts w:hint="eastAsia" w:ascii="宋体" w:hAnsi="宋体" w:eastAsia="宋体" w:cs="宋体"/>
          <w:color w:val="auto"/>
          <w:sz w:val="24"/>
          <w:highlight w:val="none"/>
        </w:rPr>
      </w:pPr>
    </w:p>
    <w:p w14:paraId="7AAB3488">
      <w:pPr>
        <w:pStyle w:val="5"/>
        <w:rPr>
          <w:rFonts w:hint="eastAsia" w:ascii="宋体" w:hAnsi="宋体" w:eastAsia="宋体" w:cs="宋体"/>
          <w:color w:val="auto"/>
          <w:sz w:val="24"/>
          <w:highlight w:val="none"/>
        </w:rPr>
      </w:pPr>
    </w:p>
    <w:p w14:paraId="7466A7DB">
      <w:pPr>
        <w:rPr>
          <w:rFonts w:hint="eastAsia" w:ascii="宋体" w:hAnsi="宋体" w:eastAsia="宋体" w:cs="宋体"/>
          <w:color w:val="auto"/>
          <w:sz w:val="24"/>
          <w:highlight w:val="none"/>
        </w:rPr>
      </w:pPr>
    </w:p>
    <w:p w14:paraId="6221E009">
      <w:pPr>
        <w:pStyle w:val="5"/>
        <w:rPr>
          <w:rFonts w:hint="eastAsia" w:ascii="宋体" w:hAnsi="宋体" w:eastAsia="宋体" w:cs="宋体"/>
          <w:color w:val="auto"/>
          <w:sz w:val="24"/>
          <w:highlight w:val="none"/>
        </w:rPr>
      </w:pPr>
    </w:p>
    <w:p w14:paraId="64EC222B">
      <w:pPr>
        <w:rPr>
          <w:rFonts w:hint="eastAsia" w:ascii="宋体" w:hAnsi="宋体" w:eastAsia="宋体" w:cs="宋体"/>
          <w:color w:val="auto"/>
          <w:sz w:val="24"/>
          <w:highlight w:val="none"/>
        </w:rPr>
      </w:pPr>
    </w:p>
    <w:p w14:paraId="36F0F211">
      <w:pPr>
        <w:pStyle w:val="5"/>
        <w:rPr>
          <w:rFonts w:hint="eastAsia" w:ascii="宋体" w:hAnsi="宋体" w:eastAsia="宋体" w:cs="宋体"/>
          <w:color w:val="auto"/>
          <w:sz w:val="24"/>
          <w:highlight w:val="none"/>
        </w:rPr>
      </w:pPr>
    </w:p>
    <w:p w14:paraId="2339B89D">
      <w:pPr>
        <w:rPr>
          <w:rFonts w:hint="eastAsia" w:ascii="宋体" w:hAnsi="宋体" w:eastAsia="宋体" w:cs="宋体"/>
          <w:color w:val="auto"/>
          <w:sz w:val="24"/>
          <w:highlight w:val="none"/>
        </w:rPr>
      </w:pPr>
    </w:p>
    <w:p w14:paraId="3FA3619A">
      <w:pPr>
        <w:pStyle w:val="5"/>
        <w:rPr>
          <w:rFonts w:hint="eastAsia" w:ascii="宋体" w:hAnsi="宋体" w:eastAsia="宋体" w:cs="宋体"/>
          <w:color w:val="auto"/>
          <w:sz w:val="24"/>
          <w:highlight w:val="none"/>
        </w:rPr>
      </w:pPr>
    </w:p>
    <w:p w14:paraId="1FE3966D">
      <w:pPr>
        <w:rPr>
          <w:rFonts w:hint="eastAsia" w:ascii="宋体" w:hAnsi="宋体" w:eastAsia="宋体" w:cs="宋体"/>
          <w:color w:val="auto"/>
          <w:sz w:val="24"/>
          <w:highlight w:val="none"/>
        </w:rPr>
      </w:pPr>
    </w:p>
    <w:p w14:paraId="10733969">
      <w:pPr>
        <w:pStyle w:val="5"/>
        <w:rPr>
          <w:rFonts w:hint="eastAsia" w:ascii="宋体" w:hAnsi="宋体" w:eastAsia="宋体" w:cs="宋体"/>
          <w:color w:val="auto"/>
          <w:sz w:val="24"/>
          <w:highlight w:val="none"/>
        </w:rPr>
      </w:pPr>
    </w:p>
    <w:p w14:paraId="598E225D">
      <w:pPr>
        <w:rPr>
          <w:rFonts w:hint="eastAsia" w:ascii="宋体" w:hAnsi="宋体" w:eastAsia="宋体" w:cs="宋体"/>
          <w:color w:val="auto"/>
          <w:sz w:val="24"/>
          <w:highlight w:val="none"/>
        </w:rPr>
      </w:pPr>
    </w:p>
    <w:p w14:paraId="526E6C80">
      <w:pPr>
        <w:pStyle w:val="5"/>
        <w:rPr>
          <w:rFonts w:hint="eastAsia" w:ascii="宋体" w:hAnsi="宋体" w:eastAsia="宋体" w:cs="宋体"/>
          <w:color w:val="auto"/>
          <w:sz w:val="24"/>
          <w:highlight w:val="none"/>
        </w:rPr>
      </w:pPr>
    </w:p>
    <w:p w14:paraId="64E90875">
      <w:pPr>
        <w:rPr>
          <w:rFonts w:hint="eastAsia" w:ascii="宋体" w:hAnsi="宋体" w:eastAsia="宋体" w:cs="宋体"/>
          <w:color w:val="auto"/>
          <w:sz w:val="24"/>
          <w:highlight w:val="none"/>
        </w:rPr>
      </w:pPr>
    </w:p>
    <w:p w14:paraId="6BC76C0B">
      <w:pPr>
        <w:pStyle w:val="5"/>
        <w:rPr>
          <w:rFonts w:hint="eastAsia" w:ascii="宋体" w:hAnsi="宋体" w:eastAsia="宋体" w:cs="宋体"/>
          <w:color w:val="auto"/>
          <w:sz w:val="24"/>
          <w:highlight w:val="none"/>
        </w:rPr>
      </w:pPr>
    </w:p>
    <w:p w14:paraId="009EA81B">
      <w:pPr>
        <w:rPr>
          <w:rFonts w:hint="eastAsia" w:ascii="宋体" w:hAnsi="宋体" w:eastAsia="宋体" w:cs="宋体"/>
          <w:color w:val="auto"/>
          <w:sz w:val="24"/>
          <w:highlight w:val="none"/>
        </w:rPr>
      </w:pPr>
    </w:p>
    <w:p w14:paraId="7A6BC88A">
      <w:pPr>
        <w:pStyle w:val="5"/>
        <w:rPr>
          <w:rFonts w:hint="eastAsia" w:ascii="宋体" w:hAnsi="宋体" w:eastAsia="宋体" w:cs="宋体"/>
          <w:color w:val="auto"/>
          <w:highlight w:val="none"/>
        </w:rPr>
      </w:pPr>
    </w:p>
    <w:p w14:paraId="3F6EE189">
      <w:pPr>
        <w:widowControl/>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5CF0B71A">
      <w:pPr>
        <w:tabs>
          <w:tab w:val="left" w:pos="6300"/>
        </w:tabs>
        <w:snapToGrid w:val="0"/>
        <w:spacing w:line="500" w:lineRule="exact"/>
        <w:ind w:firstLine="570"/>
        <w:rPr>
          <w:rFonts w:hint="eastAsia" w:ascii="宋体" w:hAnsi="宋体" w:eastAsia="宋体" w:cs="宋体"/>
          <w:color w:val="auto"/>
          <w:sz w:val="24"/>
          <w:szCs w:val="24"/>
          <w:highlight w:val="none"/>
        </w:rPr>
      </w:pPr>
    </w:p>
    <w:p w14:paraId="2C1BEC0E">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30374D2F">
      <w:pPr>
        <w:tabs>
          <w:tab w:val="left" w:pos="6300"/>
        </w:tabs>
        <w:snapToGrid w:val="0"/>
        <w:spacing w:line="500" w:lineRule="exact"/>
        <w:ind w:firstLine="570"/>
        <w:rPr>
          <w:rFonts w:hint="eastAsia" w:ascii="宋体" w:hAnsi="宋体" w:eastAsia="宋体" w:cs="宋体"/>
          <w:color w:val="auto"/>
          <w:sz w:val="21"/>
          <w:szCs w:val="21"/>
          <w:highlight w:val="none"/>
        </w:rPr>
      </w:pPr>
    </w:p>
    <w:p w14:paraId="6771E0C7">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（采购代理机构名称）：</w:t>
      </w:r>
    </w:p>
    <w:p w14:paraId="72A4C874">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（法定代表人姓名）在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（供应商名称）任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（职务名称）职务，是（供应商名称）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的法定代表人。</w:t>
      </w:r>
    </w:p>
    <w:p w14:paraId="11266421">
      <w:pPr>
        <w:tabs>
          <w:tab w:val="left" w:pos="6300"/>
        </w:tabs>
        <w:snapToGrid w:val="0"/>
        <w:spacing w:line="500" w:lineRule="exact"/>
        <w:ind w:firstLine="570"/>
        <w:rPr>
          <w:rFonts w:hint="eastAsia" w:ascii="宋体" w:hAnsi="宋体" w:eastAsia="宋体" w:cs="宋体"/>
          <w:color w:val="auto"/>
          <w:sz w:val="21"/>
          <w:szCs w:val="21"/>
          <w:highlight w:val="none"/>
        </w:rPr>
      </w:pPr>
    </w:p>
    <w:p w14:paraId="58369A66">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3805B259">
      <w:pPr>
        <w:tabs>
          <w:tab w:val="left" w:pos="6300"/>
        </w:tabs>
        <w:snapToGrid w:val="0"/>
        <w:spacing w:line="500" w:lineRule="exact"/>
        <w:ind w:firstLine="570"/>
        <w:rPr>
          <w:rFonts w:hint="eastAsia" w:ascii="宋体" w:hAnsi="宋体" w:eastAsia="宋体" w:cs="宋体"/>
          <w:color w:val="auto"/>
          <w:sz w:val="21"/>
          <w:szCs w:val="21"/>
          <w:highlight w:val="none"/>
        </w:rPr>
      </w:pPr>
    </w:p>
    <w:p w14:paraId="75788BAA">
      <w:pPr>
        <w:tabs>
          <w:tab w:val="left" w:pos="6300"/>
        </w:tabs>
        <w:snapToGrid w:val="0"/>
        <w:spacing w:line="500" w:lineRule="exact"/>
        <w:ind w:firstLine="570"/>
        <w:rPr>
          <w:rFonts w:hint="eastAsia" w:ascii="宋体" w:hAnsi="宋体" w:eastAsia="宋体" w:cs="宋体"/>
          <w:color w:val="auto"/>
          <w:sz w:val="21"/>
          <w:szCs w:val="21"/>
          <w:highlight w:val="none"/>
        </w:rPr>
      </w:pPr>
    </w:p>
    <w:p w14:paraId="01AF4012">
      <w:pPr>
        <w:tabs>
          <w:tab w:val="left" w:pos="6300"/>
        </w:tabs>
        <w:snapToGrid w:val="0"/>
        <w:spacing w:line="500" w:lineRule="exact"/>
        <w:ind w:firstLine="570"/>
        <w:rPr>
          <w:rFonts w:hint="eastAsia" w:ascii="宋体" w:hAnsi="宋体" w:eastAsia="宋体" w:cs="宋体"/>
          <w:color w:val="auto"/>
          <w:sz w:val="21"/>
          <w:szCs w:val="21"/>
          <w:highlight w:val="none"/>
        </w:rPr>
      </w:pPr>
    </w:p>
    <w:p w14:paraId="7E67B4BE">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（供应商公章）</w:t>
      </w:r>
    </w:p>
    <w:p w14:paraId="2BF15653">
      <w:pPr>
        <w:tabs>
          <w:tab w:val="left" w:pos="6300"/>
        </w:tabs>
        <w:snapToGrid w:val="0"/>
        <w:spacing w:line="500" w:lineRule="exact"/>
        <w:ind w:firstLine="570"/>
        <w:rPr>
          <w:rFonts w:hint="eastAsia" w:ascii="宋体" w:hAnsi="宋体" w:eastAsia="宋体" w:cs="宋体"/>
          <w:color w:val="auto"/>
          <w:sz w:val="21"/>
          <w:szCs w:val="21"/>
          <w:highlight w:val="none"/>
        </w:rPr>
      </w:pPr>
    </w:p>
    <w:p w14:paraId="281536E2">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454ECCC4">
      <w:pPr>
        <w:tabs>
          <w:tab w:val="left" w:pos="6300"/>
        </w:tabs>
        <w:snapToGrid w:val="0"/>
        <w:spacing w:line="500" w:lineRule="exact"/>
        <w:ind w:firstLine="570"/>
        <w:rPr>
          <w:rFonts w:hint="eastAsia" w:ascii="宋体" w:hAnsi="宋体" w:eastAsia="宋体" w:cs="宋体"/>
          <w:color w:val="auto"/>
          <w:sz w:val="21"/>
          <w:szCs w:val="21"/>
          <w:highlight w:val="none"/>
        </w:rPr>
      </w:pPr>
    </w:p>
    <w:p w14:paraId="589FF1FB">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（若授权他人办理并签署投标文件的可不填写）</w:t>
      </w:r>
    </w:p>
    <w:p w14:paraId="359D9539">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（附：法定代表人身份证正反面复印件）</w:t>
      </w:r>
    </w:p>
    <w:p w14:paraId="3866C594">
      <w:pPr>
        <w:tabs>
          <w:tab w:val="left" w:pos="6300"/>
        </w:tabs>
        <w:snapToGrid w:val="0"/>
        <w:spacing w:line="500" w:lineRule="exact"/>
        <w:ind w:firstLine="570"/>
        <w:rPr>
          <w:rFonts w:hint="eastAsia" w:ascii="宋体" w:hAnsi="宋体" w:eastAsia="宋体" w:cs="宋体"/>
          <w:color w:val="auto"/>
          <w:sz w:val="21"/>
          <w:szCs w:val="21"/>
          <w:highlight w:val="none"/>
        </w:rPr>
      </w:pPr>
    </w:p>
    <w:p w14:paraId="07492FCF">
      <w:pPr>
        <w:tabs>
          <w:tab w:val="left" w:pos="6300"/>
        </w:tabs>
        <w:snapToGrid w:val="0"/>
        <w:spacing w:line="500" w:lineRule="exact"/>
        <w:ind w:firstLine="570"/>
        <w:rPr>
          <w:rFonts w:hint="eastAsia" w:ascii="宋体" w:hAnsi="宋体" w:eastAsia="宋体" w:cs="宋体"/>
          <w:color w:val="auto"/>
          <w:sz w:val="24"/>
          <w:szCs w:val="24"/>
          <w:highlight w:val="none"/>
        </w:rPr>
      </w:pPr>
    </w:p>
    <w:p w14:paraId="5137612A">
      <w:pPr>
        <w:tabs>
          <w:tab w:val="left" w:pos="6300"/>
        </w:tabs>
        <w:snapToGrid w:val="0"/>
        <w:spacing w:line="500" w:lineRule="exact"/>
        <w:ind w:firstLine="570"/>
        <w:rPr>
          <w:rFonts w:hint="eastAsia" w:ascii="宋体" w:hAnsi="宋体" w:eastAsia="宋体" w:cs="宋体"/>
          <w:color w:val="auto"/>
          <w:sz w:val="24"/>
          <w:szCs w:val="24"/>
          <w:highlight w:val="none"/>
        </w:rPr>
      </w:pPr>
    </w:p>
    <w:p w14:paraId="5ABC5427">
      <w:pPr>
        <w:tabs>
          <w:tab w:val="left" w:pos="6300"/>
        </w:tabs>
        <w:snapToGrid w:val="0"/>
        <w:spacing w:line="500" w:lineRule="exact"/>
        <w:ind w:firstLine="570"/>
        <w:rPr>
          <w:rFonts w:hint="eastAsia" w:ascii="宋体" w:hAnsi="宋体" w:eastAsia="宋体" w:cs="宋体"/>
          <w:color w:val="auto"/>
          <w:sz w:val="24"/>
          <w:szCs w:val="24"/>
          <w:highlight w:val="none"/>
        </w:rPr>
      </w:pPr>
    </w:p>
    <w:p w14:paraId="7A950283">
      <w:pPr>
        <w:tabs>
          <w:tab w:val="left" w:pos="6300"/>
        </w:tabs>
        <w:snapToGrid w:val="0"/>
        <w:spacing w:line="500" w:lineRule="exact"/>
        <w:ind w:firstLine="570"/>
        <w:rPr>
          <w:rFonts w:hint="eastAsia" w:ascii="宋体" w:hAnsi="宋体" w:eastAsia="宋体" w:cs="宋体"/>
          <w:color w:val="auto"/>
          <w:sz w:val="24"/>
          <w:szCs w:val="24"/>
          <w:highlight w:val="none"/>
        </w:rPr>
      </w:pPr>
    </w:p>
    <w:p w14:paraId="6908DC43">
      <w:pPr>
        <w:tabs>
          <w:tab w:val="left" w:pos="6300"/>
        </w:tabs>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column"/>
      </w:r>
      <w:r>
        <w:rPr>
          <w:rFonts w:hint="eastAsia" w:ascii="宋体" w:hAnsi="宋体" w:eastAsia="宋体" w:cs="宋体"/>
          <w:color w:val="auto"/>
          <w:sz w:val="24"/>
          <w:szCs w:val="24"/>
          <w:highlight w:val="none"/>
        </w:rPr>
        <w:t>（三）法定代表人授权委托书（格式）</w:t>
      </w:r>
    </w:p>
    <w:p w14:paraId="174B64AA">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D76A453">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67A50B9B">
      <w:pPr>
        <w:tabs>
          <w:tab w:val="left" w:pos="6300"/>
        </w:tabs>
        <w:snapToGrid w:val="0"/>
        <w:spacing w:line="500" w:lineRule="exact"/>
        <w:ind w:firstLine="570"/>
        <w:rPr>
          <w:rFonts w:hint="eastAsia" w:ascii="宋体" w:hAnsi="宋体" w:eastAsia="宋体" w:cs="宋体"/>
          <w:color w:val="auto"/>
          <w:sz w:val="21"/>
          <w:szCs w:val="21"/>
          <w:highlight w:val="none"/>
        </w:rPr>
      </w:pPr>
    </w:p>
    <w:p w14:paraId="3ED5130C">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（采购代理机构名称）：</w:t>
      </w:r>
    </w:p>
    <w:p w14:paraId="4A96BB19">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（供应商法定代表人名称）是</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（供应商名称）的法定代表人，特授权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（被授权人姓名及身份证代码）代表我单位全权办理上述项目的竞采、签约等具体工作，并签署全部有关文件、协议及合同。</w:t>
      </w:r>
    </w:p>
    <w:p w14:paraId="56B6EE40">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我单位对被授权人的签字负全部责任。</w:t>
      </w:r>
    </w:p>
    <w:p w14:paraId="4E40E2A5">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撤销</w:t>
      </w:r>
      <w:r>
        <w:rPr>
          <w:rFonts w:hint="eastAsia" w:ascii="宋体" w:hAnsi="宋体" w:eastAsia="宋体" w:cs="宋体"/>
          <w:color w:val="auto"/>
          <w:sz w:val="21"/>
          <w:szCs w:val="21"/>
          <w:highlight w:val="none"/>
        </w:rPr>
        <w:t>授权的书面通知以前，本授权书一直有效。被授权人在授权书有效期内签署的所有文件不因授权</w:t>
      </w:r>
      <w:r>
        <w:rPr>
          <w:rFonts w:hint="eastAsia" w:ascii="宋体" w:hAnsi="宋体" w:eastAsia="宋体" w:cs="宋体"/>
          <w:color w:val="auto"/>
          <w:sz w:val="21"/>
          <w:szCs w:val="21"/>
          <w:highlight w:val="none"/>
          <w:lang w:eastAsia="zh-CN"/>
        </w:rPr>
        <w:t>的撤销</w:t>
      </w:r>
      <w:r>
        <w:rPr>
          <w:rFonts w:hint="eastAsia" w:ascii="宋体" w:hAnsi="宋体" w:eastAsia="宋体" w:cs="宋体"/>
          <w:color w:val="auto"/>
          <w:sz w:val="21"/>
          <w:szCs w:val="21"/>
          <w:highlight w:val="none"/>
        </w:rPr>
        <w:t>而失效。</w:t>
      </w:r>
    </w:p>
    <w:p w14:paraId="7434898E">
      <w:pPr>
        <w:tabs>
          <w:tab w:val="left" w:pos="6300"/>
        </w:tabs>
        <w:snapToGrid w:val="0"/>
        <w:spacing w:line="500" w:lineRule="exact"/>
        <w:ind w:firstLine="570"/>
        <w:rPr>
          <w:rFonts w:hint="eastAsia" w:ascii="宋体" w:hAnsi="宋体" w:eastAsia="宋体" w:cs="宋体"/>
          <w:color w:val="auto"/>
          <w:sz w:val="21"/>
          <w:szCs w:val="21"/>
          <w:highlight w:val="none"/>
        </w:rPr>
      </w:pPr>
    </w:p>
    <w:p w14:paraId="03BC34B3">
      <w:pPr>
        <w:tabs>
          <w:tab w:val="left" w:pos="6300"/>
        </w:tabs>
        <w:snapToGrid w:val="0"/>
        <w:spacing w:line="500" w:lineRule="exact"/>
        <w:ind w:firstLine="570"/>
        <w:rPr>
          <w:rFonts w:hint="eastAsia" w:ascii="宋体" w:hAnsi="宋体" w:eastAsia="宋体" w:cs="宋体"/>
          <w:color w:val="auto"/>
          <w:sz w:val="21"/>
          <w:szCs w:val="21"/>
          <w:highlight w:val="none"/>
        </w:rPr>
      </w:pPr>
    </w:p>
    <w:p w14:paraId="3488C840">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                                 供应商法定代表人：</w:t>
      </w:r>
    </w:p>
    <w:p w14:paraId="0EF65E9F">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                                （签字或盖章）</w:t>
      </w:r>
    </w:p>
    <w:p w14:paraId="4E4F75DF">
      <w:pPr>
        <w:tabs>
          <w:tab w:val="left" w:pos="6300"/>
        </w:tabs>
        <w:snapToGrid w:val="0"/>
        <w:spacing w:line="500" w:lineRule="exact"/>
        <w:ind w:firstLine="570"/>
        <w:rPr>
          <w:rFonts w:hint="eastAsia" w:ascii="宋体" w:hAnsi="宋体" w:eastAsia="宋体" w:cs="宋体"/>
          <w:color w:val="auto"/>
          <w:sz w:val="21"/>
          <w:szCs w:val="21"/>
          <w:highlight w:val="none"/>
        </w:rPr>
      </w:pPr>
    </w:p>
    <w:p w14:paraId="42C2210D">
      <w:pPr>
        <w:tabs>
          <w:tab w:val="left" w:pos="6300"/>
        </w:tabs>
        <w:snapToGrid w:val="0"/>
        <w:spacing w:line="500" w:lineRule="exact"/>
        <w:ind w:firstLine="570"/>
        <w:rPr>
          <w:rFonts w:hint="eastAsia" w:ascii="宋体" w:hAnsi="宋体" w:eastAsia="宋体" w:cs="宋体"/>
          <w:color w:val="auto"/>
          <w:sz w:val="21"/>
          <w:szCs w:val="21"/>
          <w:highlight w:val="none"/>
        </w:rPr>
      </w:pPr>
    </w:p>
    <w:p w14:paraId="5E9643D1">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（附：被授权人身份证正反面复印件）</w:t>
      </w:r>
    </w:p>
    <w:p w14:paraId="0FB8A93E">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B7CCFDF">
      <w:pPr>
        <w:tabs>
          <w:tab w:val="left" w:pos="6300"/>
        </w:tabs>
        <w:snapToGrid w:val="0"/>
        <w:spacing w:line="500" w:lineRule="exact"/>
        <w:ind w:firstLine="570"/>
        <w:rPr>
          <w:rFonts w:hint="eastAsia" w:ascii="宋体" w:hAnsi="宋体" w:eastAsia="宋体" w:cs="宋体"/>
          <w:color w:val="auto"/>
          <w:sz w:val="21"/>
          <w:szCs w:val="21"/>
          <w:highlight w:val="none"/>
        </w:rPr>
      </w:pPr>
    </w:p>
    <w:p w14:paraId="765B83B2">
      <w:pPr>
        <w:tabs>
          <w:tab w:val="left" w:pos="6300"/>
        </w:tabs>
        <w:snapToGrid w:val="0"/>
        <w:spacing w:line="500" w:lineRule="exact"/>
        <w:ind w:firstLine="570"/>
        <w:rPr>
          <w:rFonts w:hint="eastAsia" w:ascii="宋体" w:hAnsi="宋体" w:eastAsia="宋体" w:cs="宋体"/>
          <w:color w:val="auto"/>
          <w:sz w:val="21"/>
          <w:szCs w:val="21"/>
          <w:highlight w:val="none"/>
        </w:rPr>
      </w:pPr>
    </w:p>
    <w:p w14:paraId="5D6B6C4E">
      <w:pPr>
        <w:tabs>
          <w:tab w:val="left" w:pos="6300"/>
        </w:tabs>
        <w:snapToGrid w:val="0"/>
        <w:spacing w:line="500" w:lineRule="exact"/>
        <w:ind w:right="480" w:firstLine="57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（供应商公章）</w:t>
      </w:r>
    </w:p>
    <w:p w14:paraId="5A237089">
      <w:pPr>
        <w:tabs>
          <w:tab w:val="left" w:pos="6300"/>
        </w:tabs>
        <w:snapToGrid w:val="0"/>
        <w:spacing w:line="500" w:lineRule="exact"/>
        <w:ind w:right="480" w:firstLine="57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4E09301A">
      <w:pPr>
        <w:tabs>
          <w:tab w:val="left" w:pos="6300"/>
        </w:tabs>
        <w:snapToGrid w:val="0"/>
        <w:spacing w:line="500" w:lineRule="exact"/>
        <w:ind w:right="480" w:firstLine="570"/>
        <w:jc w:val="right"/>
        <w:rPr>
          <w:rFonts w:hint="eastAsia" w:ascii="宋体" w:hAnsi="宋体" w:eastAsia="宋体" w:cs="宋体"/>
          <w:color w:val="auto"/>
          <w:sz w:val="21"/>
          <w:szCs w:val="21"/>
          <w:highlight w:val="none"/>
        </w:rPr>
      </w:pPr>
    </w:p>
    <w:p w14:paraId="0A1D03B6">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（若法定代表人办理并签署投标文件的可不填写）</w:t>
      </w:r>
    </w:p>
    <w:p w14:paraId="64E1170C">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402375C">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1.若为法定代表人办理并签署投标文件的，不提供此文件。</w:t>
      </w:r>
    </w:p>
    <w:p w14:paraId="49AA7C0C">
      <w:pPr>
        <w:tabs>
          <w:tab w:val="left" w:pos="6300"/>
        </w:tabs>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column"/>
      </w:r>
      <w:r>
        <w:rPr>
          <w:rFonts w:hint="eastAsia" w:ascii="宋体" w:hAnsi="宋体" w:eastAsia="宋体" w:cs="宋体"/>
          <w:color w:val="auto"/>
          <w:sz w:val="24"/>
          <w:szCs w:val="24"/>
          <w:highlight w:val="none"/>
        </w:rPr>
        <w:t>（四）基本资格条件承诺函</w:t>
      </w:r>
    </w:p>
    <w:p w14:paraId="05C1984E">
      <w:pPr>
        <w:tabs>
          <w:tab w:val="left" w:pos="6300"/>
        </w:tabs>
        <w:snapToGrid w:val="0"/>
        <w:spacing w:line="500" w:lineRule="exact"/>
        <w:ind w:firstLine="570"/>
        <w:rPr>
          <w:rFonts w:hint="eastAsia" w:ascii="宋体" w:hAnsi="宋体" w:eastAsia="宋体" w:cs="宋体"/>
          <w:color w:val="auto"/>
          <w:sz w:val="24"/>
          <w:highlight w:val="none"/>
        </w:rPr>
      </w:pPr>
    </w:p>
    <w:p w14:paraId="66951E38">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FC69D3C">
      <w:pPr>
        <w:tabs>
          <w:tab w:val="left" w:pos="6300"/>
        </w:tabs>
        <w:snapToGrid w:val="0"/>
        <w:spacing w:line="500" w:lineRule="exact"/>
        <w:ind w:firstLine="570"/>
        <w:rPr>
          <w:rFonts w:hint="eastAsia" w:ascii="宋体" w:hAnsi="宋体" w:eastAsia="宋体" w:cs="宋体"/>
          <w:color w:val="auto"/>
          <w:sz w:val="21"/>
          <w:szCs w:val="21"/>
          <w:highlight w:val="none"/>
        </w:rPr>
      </w:pPr>
    </w:p>
    <w:p w14:paraId="6426F7F3">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（采购代理机构名称）：</w:t>
      </w:r>
    </w:p>
    <w:p w14:paraId="1A36C95A">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（供应商名称）郑重承诺： </w:t>
      </w:r>
    </w:p>
    <w:p w14:paraId="57F197DE">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51E368F">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2.我方未列入在信用中国网站（www.creditchina.gov.cn）“失信被执行人”、“重大税收违法案件当事人名单”中，也未列入中国政府采购网（www.ccgp.gov.cn）“政府采购严重违法失信行为记录名单”中。</w:t>
      </w:r>
    </w:p>
    <w:p w14:paraId="77EDC568">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3.我方在采购项目评审（评标）环节结束后，随时接受采购人、采购代理机构的检查验证，配合提供相关证明材料，证明符合《中华人民共和国政府采购法》规定的投标人基本资格条件。</w:t>
      </w:r>
    </w:p>
    <w:p w14:paraId="464417A1">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我方对以上承诺负全部法律责任。</w:t>
      </w:r>
    </w:p>
    <w:p w14:paraId="49440C7F">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0F77C66B">
      <w:pPr>
        <w:tabs>
          <w:tab w:val="left" w:pos="6300"/>
        </w:tabs>
        <w:snapToGrid w:val="0"/>
        <w:spacing w:line="500" w:lineRule="exact"/>
        <w:ind w:firstLine="570"/>
        <w:rPr>
          <w:rFonts w:hint="eastAsia" w:ascii="宋体" w:hAnsi="宋体" w:eastAsia="宋体" w:cs="宋体"/>
          <w:color w:val="auto"/>
          <w:sz w:val="21"/>
          <w:szCs w:val="21"/>
          <w:highlight w:val="none"/>
        </w:rPr>
      </w:pPr>
    </w:p>
    <w:p w14:paraId="0DA955C4">
      <w:pPr>
        <w:tabs>
          <w:tab w:val="left" w:pos="6300"/>
        </w:tabs>
        <w:snapToGrid w:val="0"/>
        <w:spacing w:line="500" w:lineRule="exact"/>
        <w:ind w:firstLine="570"/>
        <w:rPr>
          <w:rFonts w:hint="eastAsia" w:ascii="宋体" w:hAnsi="宋体" w:eastAsia="宋体" w:cs="宋体"/>
          <w:color w:val="auto"/>
          <w:sz w:val="21"/>
          <w:szCs w:val="21"/>
          <w:highlight w:val="none"/>
        </w:rPr>
      </w:pPr>
    </w:p>
    <w:p w14:paraId="12990425">
      <w:pPr>
        <w:tabs>
          <w:tab w:val="left" w:pos="6300"/>
        </w:tabs>
        <w:snapToGrid w:val="0"/>
        <w:spacing w:line="500" w:lineRule="exact"/>
        <w:ind w:right="424" w:firstLine="57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（供应商公章）</w:t>
      </w:r>
    </w:p>
    <w:p w14:paraId="717FD5D0">
      <w:pPr>
        <w:tabs>
          <w:tab w:val="left" w:pos="6300"/>
        </w:tabs>
        <w:snapToGrid w:val="0"/>
        <w:spacing w:line="500" w:lineRule="exact"/>
        <w:ind w:right="480" w:firstLine="57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627EBCD3">
      <w:pPr>
        <w:tabs>
          <w:tab w:val="left" w:pos="6300"/>
        </w:tabs>
        <w:snapToGrid w:val="0"/>
        <w:spacing w:line="500" w:lineRule="exact"/>
        <w:rPr>
          <w:rFonts w:hint="eastAsia" w:ascii="宋体" w:hAnsi="宋体" w:eastAsia="宋体" w:cs="宋体"/>
          <w:color w:val="auto"/>
          <w:sz w:val="21"/>
          <w:szCs w:val="21"/>
          <w:highlight w:val="none"/>
        </w:rPr>
      </w:pPr>
    </w:p>
    <w:p w14:paraId="2CE5CBBB">
      <w:pPr>
        <w:tabs>
          <w:tab w:val="left" w:pos="6300"/>
        </w:tabs>
        <w:snapToGrid w:val="0"/>
        <w:spacing w:line="500" w:lineRule="exact"/>
        <w:rPr>
          <w:rFonts w:hint="eastAsia" w:ascii="宋体" w:hAnsi="宋体" w:eastAsia="宋体" w:cs="宋体"/>
          <w:color w:val="auto"/>
          <w:sz w:val="21"/>
          <w:szCs w:val="21"/>
          <w:highlight w:val="none"/>
        </w:rPr>
      </w:pPr>
    </w:p>
    <w:p w14:paraId="6B264788">
      <w:pPr>
        <w:tabs>
          <w:tab w:val="left" w:pos="6300"/>
        </w:tabs>
        <w:snapToGrid w:val="0"/>
        <w:spacing w:line="500" w:lineRule="exact"/>
        <w:rPr>
          <w:rFonts w:hint="eastAsia" w:ascii="宋体" w:hAnsi="宋体" w:eastAsia="宋体" w:cs="宋体"/>
          <w:color w:val="auto"/>
          <w:sz w:val="24"/>
          <w:szCs w:val="24"/>
          <w:highlight w:val="none"/>
        </w:rPr>
      </w:pPr>
    </w:p>
    <w:p w14:paraId="76DB6D3B">
      <w:pPr>
        <w:pStyle w:val="5"/>
        <w:rPr>
          <w:rFonts w:hint="eastAsia" w:ascii="宋体" w:hAnsi="宋体" w:eastAsia="宋体" w:cs="宋体"/>
          <w:color w:val="auto"/>
          <w:sz w:val="24"/>
          <w:szCs w:val="24"/>
          <w:highlight w:val="none"/>
        </w:rPr>
      </w:pPr>
    </w:p>
    <w:p w14:paraId="061EBFFA">
      <w:pPr>
        <w:pStyle w:val="6"/>
        <w:rPr>
          <w:rFonts w:hint="eastAsia" w:ascii="宋体" w:hAnsi="宋体" w:eastAsia="宋体" w:cs="宋体"/>
          <w:color w:val="auto"/>
          <w:sz w:val="24"/>
          <w:szCs w:val="24"/>
          <w:highlight w:val="none"/>
        </w:rPr>
      </w:pPr>
    </w:p>
    <w:p w14:paraId="746EEB77">
      <w:pPr>
        <w:rPr>
          <w:rFonts w:hint="eastAsia" w:ascii="宋体" w:hAnsi="宋体" w:eastAsia="宋体" w:cs="宋体"/>
          <w:color w:val="auto"/>
          <w:sz w:val="24"/>
          <w:szCs w:val="24"/>
          <w:highlight w:val="none"/>
        </w:rPr>
      </w:pPr>
    </w:p>
    <w:p w14:paraId="7AF37152">
      <w:pPr>
        <w:pStyle w:val="5"/>
        <w:rPr>
          <w:rFonts w:hint="eastAsia" w:ascii="宋体" w:hAnsi="宋体" w:eastAsia="宋体" w:cs="宋体"/>
          <w:color w:val="auto"/>
          <w:sz w:val="24"/>
          <w:szCs w:val="24"/>
          <w:highlight w:val="none"/>
        </w:rPr>
      </w:pPr>
    </w:p>
    <w:p w14:paraId="0CAC2959">
      <w:pPr>
        <w:pStyle w:val="6"/>
        <w:rPr>
          <w:rFonts w:hint="eastAsia" w:ascii="宋体" w:hAnsi="宋体" w:eastAsia="宋体" w:cs="宋体"/>
          <w:color w:val="auto"/>
          <w:sz w:val="24"/>
          <w:szCs w:val="24"/>
          <w:highlight w:val="none"/>
        </w:rPr>
      </w:pPr>
    </w:p>
    <w:p w14:paraId="0F718FE6">
      <w:pPr>
        <w:rPr>
          <w:rFonts w:hint="eastAsia" w:ascii="宋体" w:hAnsi="宋体" w:eastAsia="宋体" w:cs="宋体"/>
          <w:color w:val="auto"/>
          <w:sz w:val="24"/>
          <w:szCs w:val="24"/>
          <w:highlight w:val="none"/>
        </w:rPr>
      </w:pPr>
    </w:p>
    <w:p w14:paraId="671C76A8">
      <w:pPr>
        <w:pStyle w:val="5"/>
        <w:rPr>
          <w:rFonts w:hint="eastAsia" w:ascii="宋体" w:hAnsi="宋体" w:eastAsia="宋体" w:cs="宋体"/>
          <w:color w:val="auto"/>
          <w:sz w:val="24"/>
          <w:szCs w:val="24"/>
          <w:highlight w:val="none"/>
        </w:rPr>
      </w:pPr>
    </w:p>
    <w:p w14:paraId="34616703">
      <w:pPr>
        <w:pStyle w:val="6"/>
        <w:rPr>
          <w:rFonts w:hint="eastAsia" w:ascii="宋体" w:hAnsi="宋体" w:eastAsia="宋体" w:cs="宋体"/>
          <w:color w:val="auto"/>
          <w:sz w:val="24"/>
          <w:szCs w:val="24"/>
          <w:highlight w:val="none"/>
        </w:rPr>
      </w:pPr>
    </w:p>
    <w:p w14:paraId="771A6CFC">
      <w:pPr>
        <w:rPr>
          <w:rFonts w:hint="eastAsia" w:ascii="宋体" w:hAnsi="宋体" w:eastAsia="宋体" w:cs="宋体"/>
          <w:color w:val="auto"/>
          <w:sz w:val="24"/>
          <w:szCs w:val="24"/>
          <w:highlight w:val="none"/>
        </w:rPr>
      </w:pPr>
    </w:p>
    <w:p w14:paraId="61CA0E87">
      <w:pPr>
        <w:pStyle w:val="5"/>
        <w:rPr>
          <w:rFonts w:hint="eastAsia" w:ascii="宋体" w:hAnsi="宋体" w:eastAsia="宋体" w:cs="宋体"/>
          <w:color w:val="auto"/>
          <w:sz w:val="24"/>
          <w:szCs w:val="24"/>
          <w:highlight w:val="none"/>
        </w:rPr>
      </w:pPr>
    </w:p>
    <w:p w14:paraId="4DDC5B51">
      <w:pPr>
        <w:tabs>
          <w:tab w:val="left" w:pos="6300"/>
        </w:tabs>
        <w:snapToGrid w:val="0"/>
        <w:spacing w:line="500" w:lineRule="exact"/>
        <w:ind w:firstLine="560" w:firstLineChars="200"/>
        <w:rPr>
          <w:rFonts w:hint="eastAsia" w:ascii="宋体" w:hAnsi="宋体" w:eastAsia="宋体" w:cs="宋体"/>
          <w:color w:val="auto"/>
          <w:sz w:val="21"/>
          <w:szCs w:val="21"/>
          <w:highlight w:val="none"/>
        </w:rPr>
      </w:pPr>
      <w:r>
        <w:rPr>
          <w:rFonts w:hint="eastAsia" w:ascii="仿宋" w:hAnsi="仿宋" w:eastAsia="仿宋" w:cs="仿宋"/>
          <w:color w:val="auto"/>
          <w:sz w:val="28"/>
          <w:szCs w:val="28"/>
          <w:highlight w:val="none"/>
        </w:rPr>
        <w:br w:type="page"/>
      </w:r>
    </w:p>
    <w:p w14:paraId="30E21D3F">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）其他应提供的资料</w:t>
      </w:r>
    </w:p>
    <w:p w14:paraId="148D7E4F">
      <w:pPr>
        <w:tabs>
          <w:tab w:val="left" w:pos="6300"/>
        </w:tabs>
        <w:snapToGrid w:val="0"/>
        <w:spacing w:line="500" w:lineRule="exact"/>
        <w:ind w:left="280" w:left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04E25F3">
      <w:pPr>
        <w:tabs>
          <w:tab w:val="left" w:pos="6300"/>
        </w:tabs>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w:t>
      </w:r>
    </w:p>
    <w:p w14:paraId="6C408F09">
      <w:pPr>
        <w:tabs>
          <w:tab w:val="left" w:pos="6300"/>
        </w:tabs>
        <w:snapToGrid w:val="0"/>
        <w:spacing w:line="500" w:lineRule="exact"/>
        <w:ind w:left="280" w:leftChars="100"/>
        <w:jc w:val="center"/>
        <w:rPr>
          <w:rFonts w:hint="eastAsia" w:ascii="宋体" w:hAnsi="宋体" w:eastAsia="宋体" w:cs="宋体"/>
          <w:color w:val="auto"/>
          <w:sz w:val="24"/>
          <w:szCs w:val="24"/>
          <w:highlight w:val="none"/>
        </w:rPr>
      </w:pPr>
    </w:p>
    <w:p w14:paraId="2439EA7C">
      <w:pPr>
        <w:tabs>
          <w:tab w:val="left" w:pos="6300"/>
        </w:tabs>
        <w:snapToGrid w:val="0"/>
        <w:spacing w:line="500" w:lineRule="exact"/>
        <w:ind w:left="280" w:leftChars="100"/>
        <w:jc w:val="center"/>
        <w:rPr>
          <w:rFonts w:hint="eastAsia" w:ascii="宋体" w:hAnsi="宋体" w:eastAsia="宋体" w:cs="宋体"/>
          <w:color w:val="auto"/>
          <w:sz w:val="24"/>
          <w:szCs w:val="24"/>
          <w:highlight w:val="none"/>
        </w:rPr>
      </w:pPr>
    </w:p>
    <w:p w14:paraId="268C27E4">
      <w:pPr>
        <w:pStyle w:val="3"/>
        <w:rPr>
          <w:rFonts w:hint="eastAsia" w:ascii="宋体" w:hAnsi="宋体" w:eastAsia="宋体" w:cs="宋体"/>
          <w:color w:val="auto"/>
          <w:highlight w:val="none"/>
        </w:rPr>
      </w:pPr>
    </w:p>
    <w:p w14:paraId="1FB4B40A">
      <w:pPr>
        <w:tabs>
          <w:tab w:val="left" w:pos="6300"/>
        </w:tabs>
        <w:snapToGrid w:val="0"/>
        <w:spacing w:line="500" w:lineRule="exact"/>
        <w:ind w:left="280" w:leftChars="100"/>
        <w:jc w:val="center"/>
        <w:rPr>
          <w:rFonts w:hint="eastAsia" w:ascii="宋体" w:hAnsi="宋体" w:eastAsia="宋体" w:cs="宋体"/>
          <w:color w:val="auto"/>
          <w:sz w:val="24"/>
          <w:szCs w:val="24"/>
          <w:highlight w:val="none"/>
        </w:rPr>
      </w:pPr>
    </w:p>
    <w:p w14:paraId="7946E92C">
      <w:pPr>
        <w:tabs>
          <w:tab w:val="left" w:pos="6300"/>
        </w:tabs>
        <w:snapToGrid w:val="0"/>
        <w:spacing w:line="500" w:lineRule="exact"/>
        <w:ind w:left="280" w:leftChars="100"/>
        <w:jc w:val="center"/>
        <w:rPr>
          <w:rFonts w:hint="eastAsia" w:ascii="宋体" w:hAnsi="宋体" w:eastAsia="宋体" w:cs="宋体"/>
          <w:color w:val="auto"/>
          <w:sz w:val="24"/>
          <w:szCs w:val="24"/>
          <w:highlight w:val="none"/>
        </w:rPr>
      </w:pPr>
    </w:p>
    <w:p w14:paraId="0845B35B">
      <w:pPr>
        <w:tabs>
          <w:tab w:val="left" w:pos="6300"/>
        </w:tabs>
        <w:snapToGrid w:val="0"/>
        <w:spacing w:line="500" w:lineRule="exact"/>
        <w:ind w:left="280" w:leftChars="100"/>
        <w:jc w:val="center"/>
        <w:rPr>
          <w:rFonts w:hint="eastAsia" w:ascii="宋体" w:hAnsi="宋体" w:eastAsia="宋体" w:cs="宋体"/>
          <w:color w:val="auto"/>
          <w:sz w:val="24"/>
          <w:szCs w:val="24"/>
          <w:highlight w:val="none"/>
        </w:rPr>
      </w:pPr>
    </w:p>
    <w:p w14:paraId="41D0D7FE">
      <w:pPr>
        <w:pStyle w:val="3"/>
        <w:rPr>
          <w:rFonts w:hint="eastAsia" w:ascii="宋体" w:hAnsi="宋体" w:eastAsia="宋体" w:cs="宋体"/>
          <w:color w:val="auto"/>
          <w:sz w:val="24"/>
          <w:szCs w:val="24"/>
          <w:highlight w:val="none"/>
        </w:rPr>
      </w:pPr>
    </w:p>
    <w:p w14:paraId="49C28DEA">
      <w:pPr>
        <w:rPr>
          <w:rFonts w:hint="eastAsia" w:ascii="宋体" w:hAnsi="宋体" w:eastAsia="宋体" w:cs="宋体"/>
          <w:color w:val="auto"/>
          <w:sz w:val="24"/>
          <w:szCs w:val="24"/>
          <w:highlight w:val="none"/>
        </w:rPr>
      </w:pPr>
    </w:p>
    <w:p w14:paraId="3AAB9565">
      <w:pPr>
        <w:pStyle w:val="3"/>
        <w:rPr>
          <w:rFonts w:hint="eastAsia" w:ascii="宋体" w:hAnsi="宋体" w:eastAsia="宋体" w:cs="宋体"/>
          <w:color w:val="auto"/>
          <w:highlight w:val="none"/>
        </w:rPr>
      </w:pPr>
    </w:p>
    <w:p w14:paraId="4665C3F1">
      <w:pPr>
        <w:tabs>
          <w:tab w:val="left" w:pos="6300"/>
        </w:tabs>
        <w:snapToGrid w:val="0"/>
        <w:spacing w:line="500" w:lineRule="exact"/>
        <w:ind w:left="280" w:leftChars="100"/>
        <w:jc w:val="center"/>
        <w:rPr>
          <w:rFonts w:hint="eastAsia" w:ascii="宋体" w:hAnsi="宋体" w:eastAsia="宋体" w:cs="宋体"/>
          <w:color w:val="auto"/>
          <w:sz w:val="24"/>
          <w:szCs w:val="24"/>
          <w:highlight w:val="none"/>
        </w:rPr>
      </w:pPr>
    </w:p>
    <w:p w14:paraId="336536AD">
      <w:pPr>
        <w:tabs>
          <w:tab w:val="left" w:pos="6300"/>
        </w:tabs>
        <w:snapToGrid w:val="0"/>
        <w:spacing w:line="500" w:lineRule="exact"/>
        <w:ind w:left="280" w:leftChars="10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p>
    <w:p w14:paraId="2CDAB17F">
      <w:pPr>
        <w:ind w:left="280" w:leftChars="100"/>
        <w:rPr>
          <w:rFonts w:hint="eastAsia" w:ascii="宋体" w:hAnsi="宋体" w:eastAsia="宋体" w:cs="宋体"/>
          <w:color w:val="auto"/>
          <w:highlight w:val="none"/>
        </w:rPr>
      </w:pPr>
    </w:p>
    <w:p w14:paraId="10F3E4AB">
      <w:pPr>
        <w:spacing w:line="560" w:lineRule="exact"/>
        <w:ind w:firstLine="560" w:firstLineChars="200"/>
        <w:jc w:val="center"/>
        <w:rPr>
          <w:rFonts w:hint="eastAsia" w:ascii="宋体" w:hAnsi="宋体" w:eastAsia="宋体" w:cs="宋体"/>
          <w:color w:val="auto"/>
          <w:highlight w:val="none"/>
        </w:rPr>
      </w:pPr>
    </w:p>
    <w:p w14:paraId="27616A1F">
      <w:pPr>
        <w:spacing w:line="560" w:lineRule="exact"/>
        <w:ind w:firstLine="560" w:firstLineChars="200"/>
        <w:jc w:val="center"/>
        <w:rPr>
          <w:rFonts w:hint="eastAsia" w:ascii="宋体" w:hAnsi="宋体" w:cs="宋体"/>
          <w:color w:val="auto"/>
          <w:highlight w:val="none"/>
        </w:rPr>
      </w:pPr>
    </w:p>
    <w:p w14:paraId="3C7F5838"/>
    <w:sectPr>
      <w:headerReference r:id="rId7"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3D5A">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- 21 -</w:t>
    </w:r>
    <w:r>
      <w:fldChar w:fldCharType="end"/>
    </w:r>
  </w:p>
  <w:p w14:paraId="772BF20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2DD7A">
    <w:pPr>
      <w:pStyle w:val="10"/>
      <w:framePr w:wrap="around" w:vAnchor="text" w:hAnchor="margin" w:xAlign="center" w:y="1"/>
      <w:rPr>
        <w:rStyle w:val="18"/>
      </w:rPr>
    </w:pPr>
  </w:p>
  <w:p w14:paraId="3D03376D">
    <w:pPr>
      <w:pStyle w:val="10"/>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4ACD2">
    <w:pPr>
      <w:pStyle w:val="10"/>
      <w:jc w:val="center"/>
      <w:rPr>
        <w:rFonts w:hint="eastAsia" w:ascii="宋体" w:hAnsi="宋体"/>
        <w:sz w:val="21"/>
        <w:szCs w:val="21"/>
      </w:rPr>
    </w:pPr>
    <w:r>
      <w:rPr>
        <w:rFonts w:ascii="宋体" w:hAnsi="宋体"/>
        <w:sz w:val="21"/>
        <w:szCs w:val="21"/>
      </w:rPr>
      <w:fldChar w:fldCharType="begin"/>
    </w:r>
    <w:r>
      <w:rPr>
        <w:rStyle w:val="18"/>
        <w:rFonts w:ascii="宋体" w:hAnsi="宋体"/>
        <w:sz w:val="21"/>
        <w:szCs w:val="21"/>
      </w:rPr>
      <w:instrText xml:space="preserve"> PAGE </w:instrText>
    </w:r>
    <w:r>
      <w:rPr>
        <w:rFonts w:ascii="宋体" w:hAnsi="宋体"/>
        <w:sz w:val="21"/>
        <w:szCs w:val="21"/>
      </w:rPr>
      <w:fldChar w:fldCharType="separate"/>
    </w:r>
    <w:r>
      <w:rPr>
        <w:rStyle w:val="18"/>
        <w:rFonts w:ascii="宋体" w:hAnsi="宋体"/>
        <w:sz w:val="21"/>
        <w:szCs w:val="21"/>
      </w:rPr>
      <w:t>- 20 -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1E5ED">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13890">
    <w:pPr>
      <w:pStyle w:val="11"/>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1C78B"/>
    <w:multiLevelType w:val="singleLevel"/>
    <w:tmpl w:val="8631C78B"/>
    <w:lvl w:ilvl="0" w:tentative="0">
      <w:start w:val="2"/>
      <w:numFmt w:val="decimal"/>
      <w:lvlText w:val="%1."/>
      <w:lvlJc w:val="left"/>
      <w:pPr>
        <w:tabs>
          <w:tab w:val="left" w:pos="312"/>
        </w:tabs>
      </w:pPr>
    </w:lvl>
  </w:abstractNum>
  <w:abstractNum w:abstractNumId="1">
    <w:nsid w:val="D521739B"/>
    <w:multiLevelType w:val="singleLevel"/>
    <w:tmpl w:val="D521739B"/>
    <w:lvl w:ilvl="0" w:tentative="0">
      <w:start w:val="2"/>
      <w:numFmt w:val="chineseCounting"/>
      <w:suff w:val="space"/>
      <w:lvlText w:val="第%1篇"/>
      <w:lvlJc w:val="left"/>
      <w:pPr>
        <w:ind w:left="251"/>
      </w:pPr>
      <w:rPr>
        <w:rFonts w:hint="eastAsia"/>
      </w:rPr>
    </w:lvl>
  </w:abstractNum>
  <w:abstractNum w:abstractNumId="2">
    <w:nsid w:val="6FA5F7BD"/>
    <w:multiLevelType w:val="singleLevel"/>
    <w:tmpl w:val="6FA5F7BD"/>
    <w:lvl w:ilvl="0" w:tentative="0">
      <w:start w:val="2"/>
      <w:numFmt w:val="chineseCounting"/>
      <w:suff w:val="nothing"/>
      <w:lvlText w:val="（%1）"/>
      <w:lvlJc w:val="left"/>
      <w:pPr>
        <w:ind w:left="-58"/>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A3C8F"/>
    <w:rsid w:val="06A830B4"/>
    <w:rsid w:val="096C15FA"/>
    <w:rsid w:val="0AFA13CC"/>
    <w:rsid w:val="0BB83C3E"/>
    <w:rsid w:val="14775F48"/>
    <w:rsid w:val="1DD618BD"/>
    <w:rsid w:val="20701B3C"/>
    <w:rsid w:val="26301CEE"/>
    <w:rsid w:val="48AB6F9D"/>
    <w:rsid w:val="4B2E23F0"/>
    <w:rsid w:val="59EE18A4"/>
    <w:rsid w:val="5A37717F"/>
    <w:rsid w:val="630B4420"/>
    <w:rsid w:val="6715143A"/>
    <w:rsid w:val="6A8B22EB"/>
    <w:rsid w:val="6B9D395C"/>
    <w:rsid w:val="6CAB51F7"/>
    <w:rsid w:val="77D20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19"/>
    <w:qFormat/>
    <w:uiPriority w:val="0"/>
    <w:pPr>
      <w:keepNext/>
      <w:snapToGrid w:val="0"/>
      <w:spacing w:line="360" w:lineRule="atLeast"/>
      <w:outlineLvl w:val="0"/>
    </w:pPr>
    <w:rPr>
      <w:rFonts w:ascii="宋体"/>
      <w:kern w:val="0"/>
      <w:sz w:val="20"/>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rPr>
      <w:rFonts w:ascii="仿宋_GB2312" w:eastAsia="仿宋_GB2312"/>
      <w:sz w:val="32"/>
    </w:rPr>
  </w:style>
  <w:style w:type="paragraph" w:styleId="6">
    <w:name w:val="index 7"/>
    <w:basedOn w:val="1"/>
    <w:next w:val="1"/>
    <w:qFormat/>
    <w:uiPriority w:val="0"/>
    <w:pPr>
      <w:ind w:left="2520"/>
    </w:pPr>
  </w:style>
  <w:style w:type="paragraph" w:styleId="7">
    <w:name w:val="Plain Text"/>
    <w:basedOn w:val="1"/>
    <w:qFormat/>
    <w:uiPriority w:val="0"/>
    <w:rPr>
      <w:rFonts w:ascii="宋体" w:hAnsi="Courier New"/>
      <w:sz w:val="21"/>
    </w:rPr>
  </w:style>
  <w:style w:type="paragraph" w:styleId="8">
    <w:name w:val="Date"/>
    <w:basedOn w:val="1"/>
    <w:next w:val="1"/>
    <w:qFormat/>
    <w:uiPriority w:val="0"/>
  </w:style>
  <w:style w:type="paragraph" w:styleId="9">
    <w:name w:val="Body Text Indent 2"/>
    <w:basedOn w:val="1"/>
    <w:qFormat/>
    <w:uiPriority w:val="0"/>
    <w:pPr>
      <w:snapToGrid w:val="0"/>
      <w:spacing w:line="560" w:lineRule="atLeast"/>
      <w:ind w:firstLine="54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pPr>
      <w:spacing w:line="180" w:lineRule="auto"/>
      <w:jc w:val="center"/>
    </w:pPr>
    <w:rPr>
      <w:sz w:val="30"/>
    </w:rPr>
  </w:style>
  <w:style w:type="paragraph" w:styleId="13">
    <w:name w:val="toc 2"/>
    <w:basedOn w:val="1"/>
    <w:next w:val="1"/>
    <w:qFormat/>
    <w:uiPriority w:val="39"/>
    <w:pPr>
      <w:ind w:left="420" w:leftChars="200"/>
    </w:pPr>
  </w:style>
  <w:style w:type="paragraph" w:styleId="14">
    <w:name w:val="Body Text 2"/>
    <w:basedOn w:val="1"/>
    <w:qFormat/>
    <w:uiPriority w:val="0"/>
    <w:pPr>
      <w:adjustRightInd w:val="0"/>
      <w:snapToGrid w:val="0"/>
      <w:spacing w:after="120" w:afterLines="0" w:afterAutospacing="0" w:line="480" w:lineRule="auto"/>
    </w:pPr>
    <w:rPr>
      <w:sz w:val="24"/>
    </w:rPr>
  </w:style>
  <w:style w:type="paragraph" w:styleId="15">
    <w:name w:val="Body Text First Indent"/>
    <w:basedOn w:val="5"/>
    <w:next w:val="1"/>
    <w:qFormat/>
    <w:uiPriority w:val="0"/>
    <w:pPr>
      <w:spacing w:line="360" w:lineRule="auto"/>
      <w:ind w:firstLine="420"/>
    </w:pPr>
    <w:rPr>
      <w:rFonts w:ascii="宋体" w:hAnsi="宋体"/>
      <w:sz w:val="24"/>
    </w:rPr>
  </w:style>
  <w:style w:type="character" w:styleId="18">
    <w:name w:val="page number"/>
    <w:qFormat/>
    <w:uiPriority w:val="0"/>
  </w:style>
  <w:style w:type="character" w:customStyle="1" w:styleId="19">
    <w:name w:val="标题 1 Char"/>
    <w:link w:val="2"/>
    <w:qFormat/>
    <w:uiPriority w:val="0"/>
    <w:rPr>
      <w:rFonts w:ascii="宋体"/>
      <w:kern w:val="0"/>
      <w:sz w:val="20"/>
    </w:rPr>
  </w:style>
  <w:style w:type="paragraph" w:customStyle="1" w:styleId="20">
    <w:name w:val="1"/>
    <w:basedOn w:val="1"/>
    <w:next w:val="7"/>
    <w:qFormat/>
    <w:uiPriority w:val="0"/>
    <w:rPr>
      <w:rFonts w:ascii="宋体" w:hAnsi="Courier New"/>
      <w:sz w:val="21"/>
    </w:rPr>
  </w:style>
  <w:style w:type="paragraph" w:customStyle="1" w:styleId="21">
    <w:name w:val="标书正文1"/>
    <w:basedOn w:val="1"/>
    <w:qFormat/>
    <w:uiPriority w:val="0"/>
    <w:pPr>
      <w:spacing w:line="520" w:lineRule="exact"/>
      <w:ind w:firstLine="64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75</Words>
  <Characters>83</Characters>
  <Lines>0</Lines>
  <Paragraphs>0</Paragraphs>
  <TotalTime>8</TotalTime>
  <ScaleCrop>false</ScaleCrop>
  <LinksUpToDate>false</LinksUpToDate>
  <CharactersWithSpaces>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2026-04-24T07:18:00Z</dcterms:created>
  <dc:creator>Administrator</dc:creator>
  <cp:lastModifiedBy>siege</cp:lastModifiedBy>
  <dcterms:modified xsi:type="dcterms:W3CDTF">2026-05-06T06:57:31Z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eyJoZGlkIjoiZWUzYWI4ZjM0MDMzMWU4NTljY2YyYjAzYTQwOTIyMGIiLCJ1c2VySWQiOiI0MzA4OTMzODkifQ==</vt:lpwstr>
  </property>
  <property fmtid="{D5CDD505-2E9C-101B-9397-08002B2CF9AE}" pid="4" name="ICV">
    <vt:lpwstr>582124D5568C426F91ACC06EA1351F61_12</vt:lpwstr>
  </property>
</Properties>
</file>