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询价采购文件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2CB854A5">
      <w:pPr>
        <w:pageBreakBefore w:val="0"/>
        <w:widowControl w:val="0"/>
        <w:kinsoku/>
        <w:wordWrap/>
        <w:overflowPunct/>
        <w:topLinePunct w:val="0"/>
        <w:autoSpaceDE/>
        <w:autoSpaceDN/>
        <w:bidi w:val="0"/>
        <w:spacing w:line="360" w:lineRule="auto"/>
        <w:ind w:right="0" w:firstLine="1606" w:firstLineChars="5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项目名称：微生物核酸检测试剂一批</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8"/>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1FCEFB9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6F5B31C">
      <w:pPr>
        <w:pStyle w:val="18"/>
        <w:rPr>
          <w:rFonts w:hint="eastAsia" w:ascii="方正仿宋_GBK" w:hAnsi="方正仿宋_GBK" w:eastAsia="方正仿宋_GBK" w:cs="方正仿宋_GBK"/>
          <w:b w:val="0"/>
          <w:bCs w:val="0"/>
          <w:color w:val="auto"/>
          <w:sz w:val="28"/>
          <w:szCs w:val="28"/>
        </w:rPr>
      </w:pPr>
    </w:p>
    <w:p w14:paraId="3367AAF8">
      <w:pPr>
        <w:rPr>
          <w:rFonts w:hint="eastAsia" w:ascii="方正仿宋_GBK" w:hAnsi="方正仿宋_GBK" w:eastAsia="方正仿宋_GBK" w:cs="方正仿宋_GBK"/>
          <w:b w:val="0"/>
          <w:bCs w:val="0"/>
          <w:color w:val="auto"/>
          <w:sz w:val="28"/>
          <w:szCs w:val="28"/>
        </w:rPr>
      </w:pPr>
    </w:p>
    <w:p w14:paraId="474098B8">
      <w:pPr>
        <w:pStyle w:val="18"/>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采购人：</w:t>
      </w:r>
      <w:r>
        <w:rPr>
          <w:rFonts w:hint="eastAsia" w:ascii="宋体" w:hAnsi="宋体" w:eastAsia="宋体" w:cs="宋体"/>
          <w:b w:val="0"/>
          <w:bCs w:val="0"/>
          <w:color w:val="auto"/>
          <w:sz w:val="32"/>
          <w:szCs w:val="32"/>
          <w:lang w:val="en-US" w:eastAsia="zh-CN"/>
        </w:rPr>
        <w:t>重庆市黔江区疾病预防控制中心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2026</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4</w:t>
      </w:r>
      <w:r>
        <w:rPr>
          <w:rFonts w:hint="eastAsia" w:ascii="宋体" w:hAnsi="宋体" w:eastAsia="宋体" w:cs="宋体"/>
          <w:b w:val="0"/>
          <w:bCs w:val="0"/>
          <w:color w:val="auto"/>
          <w:sz w:val="32"/>
          <w:szCs w:val="32"/>
        </w:rPr>
        <w:t>月</w:t>
      </w:r>
    </w:p>
    <w:p w14:paraId="4B3472DF">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2AC51D34">
      <w:pPr>
        <w:snapToGrid w:val="0"/>
        <w:spacing w:line="400" w:lineRule="exact"/>
        <w:ind w:firstLine="480" w:firstLineChars="200"/>
        <w:rPr>
          <w:rFonts w:hint="eastAsia" w:ascii="宋体" w:hAnsi="宋体" w:cs="宋体"/>
          <w:sz w:val="24"/>
          <w:szCs w:val="24"/>
        </w:rPr>
      </w:pPr>
      <w:bookmarkStart w:id="0" w:name="_Toc317775178"/>
      <w:bookmarkStart w:id="1" w:name="_Toc4424"/>
      <w:bookmarkStart w:id="2" w:name="_Toc65660331"/>
      <w:bookmarkStart w:id="3" w:name="_Toc373860293"/>
      <w:bookmarkStart w:id="4" w:name="_Toc106034771"/>
      <w:bookmarkStart w:id="5" w:name="_Toc3256"/>
      <w:bookmarkStart w:id="6" w:name="_Toc27028"/>
    </w:p>
    <w:p w14:paraId="127B7B95">
      <w:pPr>
        <w:snapToGrid w:val="0"/>
        <w:spacing w:line="400" w:lineRule="exact"/>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询价通知书</w:t>
      </w:r>
    </w:p>
    <w:p w14:paraId="3A14720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w:t>
      </w:r>
      <w:r>
        <w:rPr>
          <w:rFonts w:hint="eastAsia" w:ascii="宋体" w:hAnsi="宋体" w:cs="宋体"/>
          <w:sz w:val="24"/>
          <w:szCs w:val="24"/>
          <w:highlight w:val="none"/>
        </w:rPr>
        <w:t>庆市黔江区疾病预防控制中心</w:t>
      </w:r>
      <w:r>
        <w:rPr>
          <w:rFonts w:hint="eastAsia" w:ascii="宋体" w:hAnsi="宋体" w:cs="宋体"/>
          <w:sz w:val="24"/>
          <w:szCs w:val="24"/>
          <w:highlight w:val="none"/>
          <w:lang w:val="en-US" w:eastAsia="zh-CN"/>
        </w:rPr>
        <w:t>拟对微生物</w:t>
      </w:r>
      <w:r>
        <w:rPr>
          <w:rFonts w:hint="eastAsia" w:ascii="宋体" w:hAnsi="宋体" w:cs="宋体"/>
          <w:color w:val="auto"/>
          <w:kern w:val="2"/>
          <w:sz w:val="24"/>
          <w:szCs w:val="24"/>
          <w:highlight w:val="none"/>
          <w:lang w:val="en-US" w:eastAsia="zh-CN" w:bidi="ar-SA"/>
        </w:rPr>
        <w:t>核酸检测试剂一批</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最高限价</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元</w:t>
            </w:r>
            <w:r>
              <w:rPr>
                <w:rFonts w:hint="eastAsia" w:ascii="宋体" w:hAnsi="宋体" w:eastAsia="宋体" w:cs="宋体"/>
                <w:b w:val="0"/>
                <w:bCs/>
                <w:color w:val="auto"/>
                <w:kern w:val="0"/>
                <w:sz w:val="24"/>
                <w:szCs w:val="24"/>
                <w:highlight w:val="none"/>
                <w:lang w:val="en-US" w:eastAsia="zh-CN"/>
              </w:rPr>
              <w:t>）</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noWrap w:val="0"/>
            <w:vAlign w:val="center"/>
          </w:tcPr>
          <w:p w14:paraId="67C0230B">
            <w:pPr>
              <w:widowControl/>
              <w:spacing w:line="240" w:lineRule="auto"/>
              <w:jc w:val="both"/>
              <w:textAlignment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微生物核酸检测试剂</w:t>
            </w:r>
          </w:p>
        </w:tc>
        <w:tc>
          <w:tcPr>
            <w:tcW w:w="1425" w:type="dxa"/>
            <w:noWrap w:val="0"/>
            <w:vAlign w:val="center"/>
          </w:tcPr>
          <w:p w14:paraId="1EB8BFED">
            <w:pPr>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14000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14000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14000元</w:t>
      </w:r>
      <w:r>
        <w:rPr>
          <w:rFonts w:hint="eastAsia" w:ascii="宋体" w:hAnsi="宋体" w:cs="宋体"/>
          <w:sz w:val="24"/>
          <w:szCs w:val="24"/>
          <w:highlight w:val="none"/>
        </w:rPr>
        <w:t>。</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5AB0F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0B0503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cs="宋体"/>
          <w:b/>
          <w:sz w:val="24"/>
          <w:szCs w:val="24"/>
          <w:lang w:val="en-US" w:eastAsia="zh-CN"/>
        </w:rPr>
      </w:pPr>
      <w:r>
        <w:rPr>
          <w:rFonts w:hint="eastAsia" w:cs="宋体"/>
          <w:b/>
          <w:sz w:val="24"/>
          <w:szCs w:val="24"/>
          <w:lang w:val="en-US" w:eastAsia="zh-CN"/>
        </w:rPr>
        <w:t>需求清单</w:t>
      </w:r>
    </w:p>
    <w:tbl>
      <w:tblPr>
        <w:tblStyle w:val="20"/>
        <w:tblW w:w="9605"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3189"/>
        <w:gridCol w:w="1238"/>
        <w:gridCol w:w="769"/>
        <w:gridCol w:w="920"/>
        <w:gridCol w:w="2816"/>
      </w:tblGrid>
      <w:tr w14:paraId="543F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90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0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7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20" w:type="dxa"/>
            <w:tcBorders>
              <w:top w:val="single" w:color="000000" w:sz="4" w:space="0"/>
              <w:left w:val="single" w:color="000000" w:sz="4" w:space="0"/>
              <w:bottom w:val="single" w:color="000000" w:sz="4" w:space="0"/>
              <w:right w:val="nil"/>
            </w:tcBorders>
            <w:shd w:val="clear" w:color="auto" w:fill="auto"/>
            <w:noWrap/>
            <w:vAlign w:val="center"/>
          </w:tcPr>
          <w:p w14:paraId="53FC3D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B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参考品牌</w:t>
            </w:r>
          </w:p>
        </w:tc>
      </w:tr>
      <w:tr w14:paraId="03E7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3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登革病毒和基孔肯雅病毒双重核酸试剂（荧光PCR法）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CDDC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1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2A93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D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登革病毒和基孔肯雅病毒双重核酸试剂（荧光PCR法）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2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F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4820F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7998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D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F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登革病毒核酸分型检测试剂盒(荧光PCR法) （1-4型）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8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1CF5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2D2A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登革病毒核酸分型检测试剂盒(荧光PCR法) （1-4型）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F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49597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4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7B8F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D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A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寨卡病毒核酸检测试剂盒（荧光PCR法）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A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6E5C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8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789F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寨卡病毒核酸检测试剂盒（荧光PCR法）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4AEE7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43CE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9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基孔肯雅病毒 IgM/IgG 抗体检测试剂盒(胶体金法)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3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noWrap/>
            <w:vAlign w:val="center"/>
          </w:tcPr>
          <w:p w14:paraId="62931641">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5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768D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4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基孔肯雅病毒抗原快速检测试剂盒（胶体金法）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F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8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noWrap/>
            <w:vAlign w:val="center"/>
          </w:tcPr>
          <w:p w14:paraId="29A745B4">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6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6BAC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6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登革热NS1抗原检测试剂盒（胶体金法）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D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6B64C14D">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6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1EBF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5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登革热 IgM/IgG 抗体检测试剂盒(胶体金法)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4B29CE3">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B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74ED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B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大别斑达病毒核酸检测试剂盒/含内标（荧光pcr法）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D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90CB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505D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大别斑达病毒核酸检测试剂盒/含内标（荧光pcr法）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D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3AACC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w:t>
            </w:r>
            <w:r>
              <w:rPr>
                <w:rFonts w:hint="eastAsia" w:ascii="宋体" w:hAnsi="宋体" w:cs="宋体"/>
                <w:i w:val="0"/>
                <w:iCs w:val="0"/>
                <w:color w:val="000000"/>
                <w:kern w:val="0"/>
                <w:sz w:val="20"/>
                <w:szCs w:val="20"/>
                <w:u w:val="none"/>
                <w:lang w:val="en-US" w:eastAsia="zh-CN"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bl>
    <w:p w14:paraId="3933557A">
      <w:pPr>
        <w:rPr>
          <w:rFonts w:hint="default" w:eastAsia="宋体" w:cs="宋体"/>
          <w:b w:val="0"/>
          <w:bCs/>
          <w:color w:val="FF0000"/>
          <w:kern w:val="2"/>
          <w:sz w:val="24"/>
          <w:szCs w:val="24"/>
          <w:lang w:val="en-US" w:eastAsia="zh-CN" w:bidi="ar-SA"/>
        </w:rPr>
      </w:pPr>
    </w:p>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241" w:firstLineChars="100"/>
        <w:textAlignment w:val="auto"/>
        <w:rPr>
          <w:rFonts w:hint="eastAsia" w:cs="宋体"/>
          <w:b/>
          <w:sz w:val="24"/>
          <w:szCs w:val="24"/>
          <w:lang w:val="en-US" w:eastAsia="zh-CN"/>
        </w:rPr>
      </w:pPr>
      <w:bookmarkStart w:id="10" w:name="_Toc21442"/>
      <w:bookmarkStart w:id="11" w:name="_Toc10771"/>
      <w:r>
        <w:rPr>
          <w:rFonts w:hint="eastAsia" w:cs="宋体"/>
          <w:b/>
          <w:sz w:val="24"/>
          <w:szCs w:val="24"/>
          <w:lang w:val="en-US" w:eastAsia="zh-CN"/>
        </w:rPr>
        <w:t>五、交货期、交货地点及验收方式</w:t>
      </w:r>
      <w:bookmarkEnd w:id="10"/>
      <w:bookmarkEnd w:id="11"/>
      <w:bookmarkStart w:id="57" w:name="_GoBack"/>
      <w:bookmarkEnd w:id="57"/>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5</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交货地点：采购人指定地点</w:t>
      </w:r>
      <w:r>
        <w:rPr>
          <w:rFonts w:hint="eastAsia" w:ascii="宋体" w:hAnsi="宋体" w:cs="宋体"/>
          <w:sz w:val="24"/>
          <w:szCs w:val="24"/>
          <w:lang w:eastAsia="zh-CN"/>
        </w:rPr>
        <w:t>（</w:t>
      </w:r>
      <w:r>
        <w:rPr>
          <w:rFonts w:hint="eastAsia" w:ascii="宋体" w:hAnsi="宋体" w:cs="宋体"/>
          <w:sz w:val="24"/>
          <w:szCs w:val="24"/>
          <w:lang w:val="en-US" w:eastAsia="zh-CN"/>
        </w:rPr>
        <w:t>重庆市黔江区疾病预防控制中心</w:t>
      </w:r>
      <w:r>
        <w:rPr>
          <w:rFonts w:hint="eastAsia" w:ascii="宋体" w:hAnsi="宋体" w:cs="宋体"/>
          <w:sz w:val="24"/>
          <w:szCs w:val="24"/>
          <w:lang w:eastAsia="zh-CN"/>
        </w:rPr>
        <w:t>）</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9192"/>
      <w:bookmarkStart w:id="13" w:name="_Toc7562"/>
      <w:bookmarkStart w:id="14" w:name="_Toc11000"/>
      <w:bookmarkStart w:id="15" w:name="_Toc106034785"/>
      <w:bookmarkStart w:id="16" w:name="_Toc65660345"/>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质保期</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到货效期不少于总效期的三分之二</w:t>
      </w:r>
      <w:r>
        <w:rPr>
          <w:rFonts w:hint="eastAsia" w:ascii="宋体" w:hAnsi="宋体" w:eastAsia="宋体" w:cs="宋体"/>
          <w:sz w:val="24"/>
          <w:szCs w:val="24"/>
          <w:lang w:val="en-US" w:eastAsia="zh-CN"/>
        </w:rPr>
        <w:t>（效期自合同签订之日起计算</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w:t>
      </w:r>
      <w:r>
        <w:rPr>
          <w:rFonts w:hint="eastAsia" w:ascii="宋体" w:hAnsi="宋体" w:eastAsia="宋体" w:cs="宋体"/>
          <w:sz w:val="24"/>
          <w:szCs w:val="24"/>
          <w:lang w:val="en-US" w:eastAsia="zh-CN"/>
        </w:rPr>
        <w:t>10个工作日内以转账方式向成交供应商支付款项。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06034784"/>
      <w:bookmarkStart w:id="18" w:name="_Toc12184"/>
      <w:bookmarkStart w:id="19" w:name="_Toc16974"/>
      <w:bookmarkStart w:id="20" w:name="_Toc122"/>
      <w:bookmarkStart w:id="21" w:name="_Toc6566034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525047164"/>
      <w:bookmarkStart w:id="23" w:name="_Toc1733"/>
      <w:bookmarkStart w:id="24" w:name="_Toc106034777"/>
      <w:bookmarkStart w:id="25" w:name="_Toc1552"/>
      <w:bookmarkStart w:id="26" w:name="_Toc521053056"/>
      <w:bookmarkStart w:id="27" w:name="_Toc65660337"/>
      <w:bookmarkStart w:id="28" w:name="_Toc10415"/>
    </w:p>
    <w:p w14:paraId="2C5C94B4">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方正仿宋_GBK" w:hAnsi="方正仿宋_GBK" w:eastAsia="方正仿宋_GBK" w:cs="方正仿宋_GBK"/>
          <w:sz w:val="32"/>
          <w:szCs w:val="32"/>
          <w:lang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51D6787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十一、中标（成交）原则</w:t>
      </w:r>
    </w:p>
    <w:p w14:paraId="30AD87E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在符合项目要求的供应商数量不少于3家的前提下，按报价最低原则推荐中标（成交）供应商，如有两个以上相同最低报价的，由需求方自行选择（成交）供应商。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十二、供应商提交响应文件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 xml:space="preserve"> 中标供应商需保证所投产品为正品，并提供相关</w:t>
      </w:r>
      <w:r>
        <w:rPr>
          <w:rFonts w:hint="eastAsia" w:ascii="宋体" w:hAnsi="宋体" w:cs="宋体"/>
          <w:sz w:val="24"/>
          <w:szCs w:val="24"/>
          <w:lang w:val="en-US" w:eastAsia="zh-CN"/>
        </w:rPr>
        <w:t>合格</w:t>
      </w:r>
      <w:r>
        <w:rPr>
          <w:rFonts w:hint="eastAsia" w:ascii="宋体" w:hAnsi="宋体" w:eastAsia="宋体" w:cs="宋体"/>
          <w:sz w:val="24"/>
          <w:szCs w:val="24"/>
          <w:lang w:val="en-US" w:eastAsia="zh-CN"/>
        </w:rPr>
        <w:t>证明。如中标后无法提供正品证明，采购人有权更改中标结果。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十三、联系方式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采购人：重庆市黔江区疾病预防控制中心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联系人：刘老师</w:t>
      </w:r>
    </w:p>
    <w:p w14:paraId="2CB30A17">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话：023-79238850</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址：黔江区正阳街道金龙路11号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65660361"/>
      <w:bookmarkStart w:id="30" w:name="_Toc16648"/>
      <w:bookmarkStart w:id="31" w:name="_Toc3127"/>
      <w:bookmarkStart w:id="32" w:name="_Toc110325244"/>
      <w:bookmarkStart w:id="33" w:name="_Toc23778"/>
      <w:bookmarkStart w:id="34" w:name="_Toc12265"/>
      <w:bookmarkStart w:id="35" w:name="_Toc342913389"/>
      <w:bookmarkStart w:id="36" w:name="_Toc106034802"/>
      <w:bookmarkStart w:id="37" w:name="_Toc77"/>
      <w:r>
        <w:rPr>
          <w:rFonts w:hint="eastAsia" w:cs="宋体"/>
          <w:b/>
          <w:sz w:val="24"/>
          <w:szCs w:val="24"/>
          <w:lang w:val="en-US" w:eastAsia="zh-CN"/>
        </w:rPr>
        <w:t>十四、签订合同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bookmarkEnd w:id="35"/>
    <w:bookmarkEnd w:id="36"/>
    <w:bookmarkEnd w:id="37"/>
    <w:p w14:paraId="2A639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28123"/>
      <w:bookmarkStart w:id="39" w:name="_Toc110325245"/>
      <w:bookmarkStart w:id="40" w:name="_Toc12789072"/>
      <w:bookmarkStart w:id="41" w:name="_Toc9538"/>
      <w:bookmarkStart w:id="42" w:name="_Toc65660378"/>
      <w:bookmarkStart w:id="43" w:name="_Toc6968"/>
      <w:bookmarkStart w:id="44" w:name="_Toc18521"/>
      <w:bookmarkStart w:id="45" w:name="_Toc106034807"/>
      <w:r>
        <w:rPr>
          <w:rFonts w:hint="eastAsia" w:cs="宋体"/>
          <w:b/>
          <w:sz w:val="24"/>
          <w:szCs w:val="24"/>
          <w:lang w:val="en-US" w:eastAsia="zh-CN"/>
        </w:rPr>
        <w:t>十五、项目验收</w:t>
      </w:r>
      <w:bookmarkEnd w:id="38"/>
      <w:bookmarkEnd w:id="39"/>
    </w:p>
    <w:p w14:paraId="432ED537">
      <w:pPr>
        <w:spacing w:line="400" w:lineRule="exact"/>
        <w:ind w:firstLine="480" w:firstLineChars="200"/>
        <w:rPr>
          <w:rFonts w:hint="eastAsia" w:ascii="宋体" w:hAnsi="宋体" w:cs="宋体"/>
          <w:sz w:val="24"/>
          <w:szCs w:val="24"/>
        </w:rPr>
      </w:pPr>
      <w:bookmarkStart w:id="46" w:name="_Toc18609"/>
      <w:bookmarkStart w:id="47" w:name="_Toc31595"/>
      <w:bookmarkStart w:id="48" w:name="_Toc110325248"/>
      <w:bookmarkStart w:id="49" w:name="_Toc65660364"/>
      <w:bookmarkStart w:id="50" w:name="_Toc1715"/>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46"/>
      <w:bookmarkEnd w:id="47"/>
      <w:bookmarkEnd w:id="48"/>
      <w:bookmarkEnd w:id="49"/>
      <w:bookmarkEnd w:id="50"/>
      <w:bookmarkStart w:id="51" w:name="_Hlt41879464"/>
      <w:bookmarkEnd w:id="51"/>
    </w:p>
    <w:p w14:paraId="582D5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491E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23777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465C9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35B31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54F79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0BD90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1A8C37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B1DE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2A61A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2E183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00F8D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10DBB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6F9A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67D1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5A337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40201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cs="宋体"/>
          <w:b/>
          <w:sz w:val="24"/>
          <w:szCs w:val="24"/>
          <w:lang w:val="en-US" w:eastAsia="zh-CN"/>
        </w:rPr>
      </w:pPr>
      <w:r>
        <w:rPr>
          <w:rFonts w:hint="eastAsia" w:ascii="Times New Roman" w:hAnsi="Times New Roman" w:eastAsia="宋体" w:cs="宋体"/>
          <w:b/>
          <w:kern w:val="2"/>
          <w:sz w:val="24"/>
          <w:szCs w:val="24"/>
          <w:lang w:val="en-US" w:eastAsia="zh-CN" w:bidi="ar-SA"/>
        </w:rPr>
        <w:t>十</w:t>
      </w:r>
      <w:r>
        <w:rPr>
          <w:rFonts w:hint="eastAsia" w:cs="宋体"/>
          <w:b/>
          <w:kern w:val="2"/>
          <w:sz w:val="24"/>
          <w:szCs w:val="24"/>
          <w:lang w:val="en-US" w:eastAsia="zh-CN" w:bidi="ar-SA"/>
        </w:rPr>
        <w:t>六</w:t>
      </w:r>
      <w:r>
        <w:rPr>
          <w:rFonts w:hint="eastAsia" w:ascii="Times New Roman" w:hAnsi="Times New Roman" w:eastAsia="宋体" w:cs="宋体"/>
          <w:b/>
          <w:kern w:val="2"/>
          <w:sz w:val="24"/>
          <w:szCs w:val="24"/>
          <w:lang w:val="en-US" w:eastAsia="zh-CN" w:bidi="ar-SA"/>
        </w:rPr>
        <w:t>、</w:t>
      </w:r>
      <w:r>
        <w:rPr>
          <w:rFonts w:hint="eastAsia" w:cs="宋体"/>
          <w:b/>
          <w:sz w:val="24"/>
          <w:szCs w:val="24"/>
          <w:lang w:val="en-US" w:eastAsia="zh-CN"/>
        </w:rPr>
        <w:t>响应文件格式要求</w:t>
      </w:r>
      <w:bookmarkEnd w:id="40"/>
      <w:bookmarkEnd w:id="41"/>
      <w:bookmarkEnd w:id="42"/>
      <w:bookmarkEnd w:id="43"/>
      <w:bookmarkEnd w:id="44"/>
      <w:bookmarkEnd w:id="45"/>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w:t>
      </w:r>
      <w:r>
        <w:rPr>
          <w:rFonts w:hint="eastAsia" w:ascii="宋体" w:hAnsi="宋体" w:cs="宋体"/>
          <w:sz w:val="24"/>
          <w:szCs w:val="24"/>
          <w:u w:val="single"/>
        </w:rPr>
        <w:t>90</w:t>
      </w:r>
      <w:r>
        <w:rPr>
          <w:rFonts w:hint="eastAsia" w:ascii="宋体" w:hAnsi="宋体" w:cs="宋体"/>
          <w:sz w:val="24"/>
          <w:szCs w:val="24"/>
        </w:rPr>
        <w:t>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0"/>
        <w:spacing w:line="500" w:lineRule="exact"/>
        <w:rPr>
          <w:rFonts w:hint="eastAsia" w:ascii="宋体" w:hAnsi="宋体" w:cs="宋体"/>
          <w:sz w:val="24"/>
          <w:szCs w:val="28"/>
          <w:lang w:val="en-US" w:eastAsia="zh-CN"/>
        </w:rPr>
      </w:pPr>
    </w:p>
    <w:p w14:paraId="7E28C11B">
      <w:pPr>
        <w:pStyle w:val="10"/>
        <w:spacing w:line="500" w:lineRule="exact"/>
        <w:rPr>
          <w:rFonts w:hint="eastAsia" w:ascii="宋体" w:hAnsi="宋体" w:cs="宋体"/>
          <w:sz w:val="24"/>
          <w:szCs w:val="28"/>
          <w:lang w:val="en-US" w:eastAsia="zh-CN"/>
        </w:rPr>
      </w:pPr>
    </w:p>
    <w:p w14:paraId="3BD768AD">
      <w:pPr>
        <w:pStyle w:val="10"/>
        <w:spacing w:line="500" w:lineRule="exact"/>
        <w:rPr>
          <w:rFonts w:hint="eastAsia" w:ascii="宋体" w:hAnsi="宋体" w:cs="宋体"/>
          <w:sz w:val="24"/>
          <w:szCs w:val="28"/>
          <w:lang w:val="en-US" w:eastAsia="zh-CN"/>
        </w:rPr>
      </w:pPr>
    </w:p>
    <w:p w14:paraId="2DAB8171">
      <w:pPr>
        <w:pStyle w:val="10"/>
        <w:spacing w:line="500" w:lineRule="exact"/>
        <w:rPr>
          <w:rFonts w:hint="eastAsia" w:ascii="宋体" w:hAnsi="宋体" w:cs="宋体"/>
          <w:sz w:val="24"/>
          <w:szCs w:val="28"/>
          <w:lang w:val="en-US" w:eastAsia="zh-CN"/>
        </w:rPr>
      </w:pPr>
    </w:p>
    <w:p w14:paraId="2192DD27">
      <w:pPr>
        <w:pStyle w:val="10"/>
        <w:spacing w:line="500" w:lineRule="exact"/>
        <w:rPr>
          <w:rFonts w:hint="eastAsia" w:ascii="宋体" w:hAnsi="宋体" w:cs="宋体"/>
          <w:sz w:val="24"/>
          <w:szCs w:val="28"/>
          <w:lang w:val="en-US" w:eastAsia="zh-CN"/>
        </w:rPr>
      </w:pPr>
    </w:p>
    <w:p w14:paraId="51713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default"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57445207">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bookmarkStart w:id="52" w:name="_Toc65660382"/>
      <w:bookmarkStart w:id="53" w:name="_Toc106034811"/>
      <w:bookmarkStart w:id="54" w:name="_Toc20162"/>
      <w:bookmarkStart w:id="55" w:name="_Toc2082"/>
      <w:bookmarkStart w:id="56" w:name="_Toc21793"/>
    </w:p>
    <w:p w14:paraId="44419735">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3DCBE222">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57DB333B">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6AE69C85">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2E33341F">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4A3BC441">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64B61C44">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532F7063">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7AB634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imes New Roman" w:hAnsi="Times New Roman" w:eastAsia="宋体" w:cs="宋体"/>
          <w:b/>
          <w:sz w:val="24"/>
          <w:szCs w:val="24"/>
          <w:lang w:val="en-US" w:eastAsia="zh-CN"/>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014D934A"/>
    <w:p w14:paraId="0137507D">
      <w:pPr>
        <w:pStyle w:val="19"/>
      </w:pPr>
    </w:p>
    <w:p w14:paraId="60F2E100">
      <w:pPr>
        <w:pStyle w:val="19"/>
      </w:pPr>
    </w:p>
    <w:p w14:paraId="4B7FBCD8">
      <w:pPr>
        <w:pStyle w:val="19"/>
      </w:pPr>
    </w:p>
    <w:p w14:paraId="7CFA38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(四）基本资格条件承诺函</w:t>
      </w:r>
    </w:p>
    <w:p w14:paraId="5A37CF14">
      <w:pPr>
        <w:pStyle w:val="35"/>
        <w:rPr>
          <w:color w:val="auto"/>
        </w:rPr>
      </w:pPr>
    </w:p>
    <w:p w14:paraId="307B5AC8">
      <w:pPr>
        <w:snapToGrid w:val="0"/>
        <w:spacing w:line="360" w:lineRule="auto"/>
        <w:ind w:firstLine="643"/>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2401E18E">
      <w:pPr>
        <w:snapToGrid w:val="0"/>
        <w:spacing w:line="360" w:lineRule="auto"/>
        <w:ind w:firstLine="482"/>
        <w:rPr>
          <w:rFonts w:ascii="方正仿宋_GBK" w:hAnsi="宋体" w:eastAsia="方正仿宋_GBK" w:cs="方正仿宋_GBK"/>
          <w:b/>
        </w:rPr>
      </w:pPr>
      <w:r>
        <w:rPr>
          <w:rFonts w:ascii="方正仿宋_GBK" w:hAnsi="宋体" w:eastAsia="方正仿宋_GBK" w:cs="方正仿宋_GBK"/>
          <w:b/>
        </w:rPr>
        <w:t xml:space="preserve"> </w:t>
      </w:r>
    </w:p>
    <w:p w14:paraId="19BC0679">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（采购单位名称）：</w:t>
      </w:r>
    </w:p>
    <w:p w14:paraId="3844EBCF">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供应商名称）郑重承诺：</w:t>
      </w:r>
    </w:p>
    <w:p w14:paraId="26877BA4">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5A878BE4">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2.我方未列入在信用中国网站（www.creditchina.gov.cn）“失信被执行人”、“重大税收违法案件当事人名单”中，也未列入中国政府采购网（www.ccgp.gov.cn）“政府采购严重违法失信行为记录名单”中。</w:t>
      </w:r>
    </w:p>
    <w:p w14:paraId="107879F0">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3.我方在项目评审环节结束后，随时接受采购人检查验证，配合提供相关证明材料，证明符合《中华人民共和国政府采购法》第二十二条规定的供应商基本资格条件。</w:t>
      </w:r>
    </w:p>
    <w:p w14:paraId="2ABFA57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我方对以上承诺负全部法律责任。</w:t>
      </w:r>
    </w:p>
    <w:p w14:paraId="2009C2C9">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特此承诺。</w:t>
      </w:r>
    </w:p>
    <w:p w14:paraId="4DB3082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p>
    <w:p w14:paraId="6AE91EB7">
      <w:pPr>
        <w:tabs>
          <w:tab w:val="left" w:pos="6300"/>
        </w:tabs>
        <w:snapToGrid w:val="0"/>
        <w:spacing w:line="480" w:lineRule="auto"/>
        <w:ind w:firstLine="480"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供应商名称（公章）</w:t>
      </w:r>
    </w:p>
    <w:p w14:paraId="7132691D">
      <w:pPr>
        <w:tabs>
          <w:tab w:val="left" w:pos="6300"/>
        </w:tabs>
        <w:snapToGrid w:val="0"/>
        <w:spacing w:line="480" w:lineRule="auto"/>
        <w:ind w:firstLine="480" w:firstLineChars="200"/>
        <w:jc w:val="right"/>
        <w:rPr>
          <w:rFonts w:ascii="仿宋_GB2312" w:hAnsi="仿宋_GB2312" w:cs="仿宋_GB2312"/>
          <w:sz w:val="32"/>
          <w:szCs w:val="32"/>
        </w:rPr>
      </w:pPr>
      <w:r>
        <w:rPr>
          <w:rFonts w:hint="eastAsia" w:asciiTheme="majorEastAsia" w:hAnsiTheme="majorEastAsia" w:eastAsiaTheme="majorEastAsia" w:cstheme="majorEastAsia"/>
          <w:sz w:val="24"/>
          <w:szCs w:val="24"/>
        </w:rPr>
        <w:t xml:space="preserve">                                年   月   日</w:t>
      </w:r>
    </w:p>
    <w:p w14:paraId="325CD1B3">
      <w:pPr>
        <w:spacing w:line="360" w:lineRule="auto"/>
        <w:ind w:firstLine="640"/>
        <w:jc w:val="right"/>
        <w:rPr>
          <w:rFonts w:ascii="仿宋_GB2312" w:hAnsi="仿宋_GB2312" w:cs="仿宋_GB2312"/>
          <w:sz w:val="32"/>
          <w:szCs w:val="32"/>
        </w:rPr>
      </w:pPr>
      <w:r>
        <w:rPr>
          <w:rFonts w:hint="eastAsia" w:ascii="仿宋_GB2312" w:hAnsi="仿宋_GB2312" w:cs="仿宋_GB2312"/>
          <w:sz w:val="32"/>
          <w:szCs w:val="32"/>
        </w:rPr>
        <w:br w:type="page"/>
      </w:r>
    </w:p>
    <w:p w14:paraId="2BC80869">
      <w:pPr>
        <w:tabs>
          <w:tab w:val="left" w:pos="6300"/>
        </w:tabs>
        <w:snapToGrid w:val="0"/>
        <w:spacing w:line="360" w:lineRule="auto"/>
        <w:ind w:firstLine="643"/>
        <w:rPr>
          <w:rFonts w:ascii="黑体" w:hAnsi="黑体" w:eastAsia="黑体" w:cs="黑体"/>
          <w:b/>
          <w:sz w:val="32"/>
          <w:szCs w:val="32"/>
        </w:rPr>
      </w:pPr>
      <w:r>
        <w:rPr>
          <w:rFonts w:hint="eastAsia" w:ascii="黑体" w:hAnsi="黑体" w:eastAsia="黑体" w:cs="黑体"/>
          <w:b/>
          <w:sz w:val="32"/>
          <w:szCs w:val="32"/>
        </w:rPr>
        <w:t>五、其他应提供的资料（如无，可不提供）</w:t>
      </w:r>
    </w:p>
    <w:p w14:paraId="62C383F4">
      <w:pPr>
        <w:tabs>
          <w:tab w:val="left" w:pos="6300"/>
        </w:tabs>
        <w:snapToGrid w:val="0"/>
        <w:spacing w:line="360" w:lineRule="auto"/>
        <w:ind w:firstLine="480"/>
        <w:rPr>
          <w:rFonts w:ascii="宋体" w:hAnsi="宋体" w:cs="宋体"/>
        </w:rPr>
      </w:pPr>
    </w:p>
    <w:p w14:paraId="2996392F">
      <w:pPr>
        <w:tabs>
          <w:tab w:val="left" w:pos="6300"/>
        </w:tabs>
        <w:snapToGrid w:val="0"/>
        <w:spacing w:line="360" w:lineRule="auto"/>
        <w:ind w:firstLine="480"/>
        <w:rPr>
          <w:rFonts w:ascii="宋体" w:hAnsi="宋体" w:cs="宋体"/>
        </w:rPr>
      </w:pPr>
    </w:p>
    <w:p w14:paraId="163776E5">
      <w:pPr>
        <w:tabs>
          <w:tab w:val="left" w:pos="6300"/>
        </w:tabs>
        <w:snapToGrid w:val="0"/>
        <w:spacing w:line="360" w:lineRule="auto"/>
        <w:ind w:firstLine="640"/>
        <w:rPr>
          <w:rFonts w:ascii="仿宋_GB2312" w:hAnsi="仿宋_GB2312" w:cs="仿宋_GB2312"/>
          <w:sz w:val="32"/>
          <w:szCs w:val="32"/>
        </w:rPr>
      </w:pPr>
    </w:p>
    <w:p w14:paraId="1B2D2D56">
      <w:pPr>
        <w:tabs>
          <w:tab w:val="left" w:pos="6300"/>
        </w:tabs>
        <w:snapToGrid w:val="0"/>
        <w:spacing w:line="360" w:lineRule="auto"/>
        <w:ind w:right="480" w:firstLine="640"/>
        <w:jc w:val="center"/>
        <w:rPr>
          <w:rFonts w:ascii="宋体" w:hAnsi="宋体" w:cs="宋体"/>
        </w:rPr>
        <w:sectPr>
          <w:footerReference r:id="rId8" w:type="default"/>
          <w:pgSz w:w="11907" w:h="16840"/>
          <w:pgMar w:top="1134" w:right="1418" w:bottom="1134" w:left="1418" w:header="964" w:footer="992" w:gutter="0"/>
          <w:pgNumType w:fmt="numberInDash"/>
          <w:cols w:space="720" w:num="1"/>
          <w:docGrid w:linePitch="312" w:charSpace="0"/>
        </w:sectPr>
      </w:pPr>
      <w:r>
        <w:rPr>
          <w:rFonts w:hint="eastAsia" w:ascii="仿宋_GB2312" w:hAnsi="仿宋_GB2312" w:cs="仿宋_GB2312"/>
          <w:sz w:val="32"/>
          <w:szCs w:val="32"/>
        </w:rPr>
        <w:t>（结束）</w:t>
      </w:r>
    </w:p>
    <w:p w14:paraId="71C1C41D">
      <w:pPr>
        <w:pStyle w:val="19"/>
      </w:pPr>
    </w:p>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2"/>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2"/>
      <w:framePr w:wrap="around" w:vAnchor="text" w:hAnchor="margin" w:xAlign="center" w:y="1"/>
      <w:rPr>
        <w:rStyle w:val="23"/>
      </w:rPr>
    </w:pPr>
  </w:p>
  <w:p w14:paraId="2DEF6793">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CB7E">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37A9FFC1">
                          <w:pPr>
                            <w:pStyle w:val="12"/>
                            <w:ind w:firstLine="36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37A9FFC1">
                    <w:pPr>
                      <w:pStyle w:val="12"/>
                      <w:ind w:firstLine="36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2"/>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2"/>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3"/>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78A717CD"/>
    <w:multiLevelType w:val="multilevel"/>
    <w:tmpl w:val="78A717CD"/>
    <w:lvl w:ilvl="0" w:tentative="0">
      <w:start w:val="1"/>
      <w:numFmt w:val="none"/>
      <w:pStyle w:val="2"/>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8C4057"/>
    <w:rsid w:val="0EB62A56"/>
    <w:rsid w:val="0EC2266F"/>
    <w:rsid w:val="0EEB6DB7"/>
    <w:rsid w:val="0EEC156E"/>
    <w:rsid w:val="0F4F7D88"/>
    <w:rsid w:val="0F8B16C0"/>
    <w:rsid w:val="10463643"/>
    <w:rsid w:val="11047F89"/>
    <w:rsid w:val="11C96FC3"/>
    <w:rsid w:val="124D269B"/>
    <w:rsid w:val="13D11138"/>
    <w:rsid w:val="13F8440C"/>
    <w:rsid w:val="13FF5C54"/>
    <w:rsid w:val="15EE0A8A"/>
    <w:rsid w:val="16B74C21"/>
    <w:rsid w:val="17D052D6"/>
    <w:rsid w:val="17D9680D"/>
    <w:rsid w:val="196126C4"/>
    <w:rsid w:val="19792055"/>
    <w:rsid w:val="19D379B8"/>
    <w:rsid w:val="1A63133D"/>
    <w:rsid w:val="1A65537C"/>
    <w:rsid w:val="1B276E20"/>
    <w:rsid w:val="1B66485B"/>
    <w:rsid w:val="1B75302A"/>
    <w:rsid w:val="1BBA19E9"/>
    <w:rsid w:val="1D3E15EC"/>
    <w:rsid w:val="1D50709D"/>
    <w:rsid w:val="1D813D76"/>
    <w:rsid w:val="1DAD5583"/>
    <w:rsid w:val="1E2E2E01"/>
    <w:rsid w:val="1ECA6F99"/>
    <w:rsid w:val="20474C5B"/>
    <w:rsid w:val="212F0ECA"/>
    <w:rsid w:val="21721428"/>
    <w:rsid w:val="221E648B"/>
    <w:rsid w:val="22C540E9"/>
    <w:rsid w:val="22DD5E4C"/>
    <w:rsid w:val="237B5E93"/>
    <w:rsid w:val="237E5776"/>
    <w:rsid w:val="23F62AD3"/>
    <w:rsid w:val="242460B9"/>
    <w:rsid w:val="24DD3B6D"/>
    <w:rsid w:val="24E22A16"/>
    <w:rsid w:val="25705088"/>
    <w:rsid w:val="257217A9"/>
    <w:rsid w:val="25A501B3"/>
    <w:rsid w:val="270F3FF9"/>
    <w:rsid w:val="27524813"/>
    <w:rsid w:val="27867AF3"/>
    <w:rsid w:val="29BE1C1D"/>
    <w:rsid w:val="2B3A6011"/>
    <w:rsid w:val="2B525709"/>
    <w:rsid w:val="2B6C1073"/>
    <w:rsid w:val="2C337D5D"/>
    <w:rsid w:val="2C9E07BF"/>
    <w:rsid w:val="300B7BC0"/>
    <w:rsid w:val="30105A0F"/>
    <w:rsid w:val="3052575D"/>
    <w:rsid w:val="30714674"/>
    <w:rsid w:val="309A2B85"/>
    <w:rsid w:val="31342FDA"/>
    <w:rsid w:val="315A37BA"/>
    <w:rsid w:val="31921F89"/>
    <w:rsid w:val="32703B15"/>
    <w:rsid w:val="3359578A"/>
    <w:rsid w:val="33A508C3"/>
    <w:rsid w:val="34164C19"/>
    <w:rsid w:val="34C226AB"/>
    <w:rsid w:val="353C4DCD"/>
    <w:rsid w:val="35CF03BD"/>
    <w:rsid w:val="35F546ED"/>
    <w:rsid w:val="363F12C5"/>
    <w:rsid w:val="37F4125D"/>
    <w:rsid w:val="392D6E11"/>
    <w:rsid w:val="397A5331"/>
    <w:rsid w:val="3D754927"/>
    <w:rsid w:val="3D9E708C"/>
    <w:rsid w:val="3D9F7F70"/>
    <w:rsid w:val="3DCF21EB"/>
    <w:rsid w:val="3E930171"/>
    <w:rsid w:val="3E9C21BE"/>
    <w:rsid w:val="3EBA2645"/>
    <w:rsid w:val="407B3939"/>
    <w:rsid w:val="40A95921"/>
    <w:rsid w:val="40C024EF"/>
    <w:rsid w:val="41BC3913"/>
    <w:rsid w:val="41DD0026"/>
    <w:rsid w:val="44AB6474"/>
    <w:rsid w:val="44D02BC2"/>
    <w:rsid w:val="4503409A"/>
    <w:rsid w:val="45153B2D"/>
    <w:rsid w:val="45D047C9"/>
    <w:rsid w:val="46032B23"/>
    <w:rsid w:val="475712EB"/>
    <w:rsid w:val="49311755"/>
    <w:rsid w:val="49B52FF9"/>
    <w:rsid w:val="4A927B24"/>
    <w:rsid w:val="4CA949F7"/>
    <w:rsid w:val="4DC63746"/>
    <w:rsid w:val="4E1333CF"/>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90232FF"/>
    <w:rsid w:val="59946F61"/>
    <w:rsid w:val="5A305354"/>
    <w:rsid w:val="5BD72959"/>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A766C1E"/>
    <w:rsid w:val="6A7B05B3"/>
    <w:rsid w:val="6AC62D13"/>
    <w:rsid w:val="6B3810D4"/>
    <w:rsid w:val="6DAD12F2"/>
    <w:rsid w:val="6DB27434"/>
    <w:rsid w:val="6DE5298B"/>
    <w:rsid w:val="6FAF4E14"/>
    <w:rsid w:val="704F2AD4"/>
    <w:rsid w:val="70DA4120"/>
    <w:rsid w:val="71047A01"/>
    <w:rsid w:val="7133210C"/>
    <w:rsid w:val="71595467"/>
    <w:rsid w:val="71841907"/>
    <w:rsid w:val="71D92724"/>
    <w:rsid w:val="724D67D7"/>
    <w:rsid w:val="72C4590F"/>
    <w:rsid w:val="72FC6D7F"/>
    <w:rsid w:val="7362714C"/>
    <w:rsid w:val="74185727"/>
    <w:rsid w:val="74631D9C"/>
    <w:rsid w:val="75614FED"/>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qFormat/>
    <w:uiPriority w:val="0"/>
    <w:rPr>
      <w:rFonts w:ascii="仿宋_GB2312" w:hAnsi="Calibri" w:eastAsia="仿宋_GB2312" w:cs="宋体"/>
      <w:sz w:val="32"/>
      <w:szCs w:val="2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next w:val="1"/>
    <w:qFormat/>
    <w:uiPriority w:val="0"/>
    <w:pPr>
      <w:spacing w:line="360" w:lineRule="auto"/>
      <w:ind w:firstLine="420"/>
    </w:pPr>
    <w:rPr>
      <w:rFonts w:ascii="宋体" w:hAnsi="宋体"/>
      <w:sz w:val="24"/>
    </w:rPr>
  </w:style>
  <w:style w:type="paragraph" w:styleId="19">
    <w:name w:val="Body Text First Indent 2"/>
    <w:basedOn w:val="7"/>
    <w:qFormat/>
    <w:uiPriority w:val="0"/>
    <w:pPr>
      <w:spacing w:after="120" w:line="240" w:lineRule="auto"/>
      <w:ind w:left="420" w:leftChars="200"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4"/>
    <w:qFormat/>
    <w:uiPriority w:val="0"/>
    <w:rPr>
      <w:b/>
      <w:sz w:val="24"/>
      <w:szCs w:val="24"/>
    </w:rPr>
  </w:style>
  <w:style w:type="paragraph" w:customStyle="1" w:styleId="26">
    <w:name w:val="1"/>
    <w:basedOn w:val="1"/>
    <w:next w:val="9"/>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2930</Words>
  <Characters>3035</Characters>
  <Lines>0</Lines>
  <Paragraphs>0</Paragraphs>
  <TotalTime>10</TotalTime>
  <ScaleCrop>false</ScaleCrop>
  <LinksUpToDate>false</LinksUpToDate>
  <CharactersWithSpaces>3097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眉姐</cp:lastModifiedBy>
  <dcterms:modified xsi:type="dcterms:W3CDTF">2026-04-03T09:14:19Z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42C249E00CF44C879BFF180FDCCCA3A9_13</vt:lpwstr>
  </property>
  <property fmtid="{D5CDD505-2E9C-101B-9397-08002B2CF9AE}" pid="4" name="KSOTemplateDocerSaveRecord">
    <vt:lpwstr>eyJoZGlkIjoiYzQ4MTIwMzIzMDM0MzM1MjJjMWNmZjg1ODY2YTc4ODkiLCJ1c2VySWQiOiIzMzQ2Nzk2NzMifQ==</vt:lpwstr>
  </property>
</Properties>
</file>