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296C">
      <w:pPr>
        <w:widowControl/>
        <w:spacing w:line="360" w:lineRule="auto"/>
        <w:jc w:val="center"/>
        <w:rPr>
          <w:rFonts w:ascii="Times New Roman" w:hAnsi="Times New Roman" w:eastAsia="宋体" w:cs="宋体"/>
          <w:color w:val="auto"/>
          <w:sz w:val="96"/>
          <w:szCs w:val="96"/>
          <w:highlight w:val="none"/>
        </w:rPr>
      </w:pPr>
    </w:p>
    <w:p w14:paraId="31EC4F36">
      <w:pPr>
        <w:spacing w:line="360" w:lineRule="auto"/>
        <w:jc w:val="center"/>
        <w:outlineLvl w:val="0"/>
        <w:rPr>
          <w:rFonts w:hint="eastAsia" w:cs="宋体"/>
          <w:b/>
          <w:bCs/>
          <w:color w:val="auto"/>
          <w:sz w:val="72"/>
          <w:szCs w:val="72"/>
          <w:highlight w:val="none"/>
          <w:lang w:val="en-US" w:eastAsia="zh-CN"/>
        </w:rPr>
      </w:pPr>
      <w:bookmarkStart w:id="0" w:name="_Toc29402"/>
    </w:p>
    <w:bookmarkEnd w:id="0"/>
    <w:p w14:paraId="4EED4BCD">
      <w:pPr>
        <w:spacing w:line="360" w:lineRule="auto"/>
        <w:jc w:val="center"/>
        <w:outlineLvl w:val="0"/>
        <w:rPr>
          <w:rFonts w:ascii="Times New Roman" w:hAnsi="Times New Roman" w:eastAsia="宋体" w:cs="宋体"/>
          <w:b/>
          <w:bCs/>
          <w:color w:val="auto"/>
          <w:sz w:val="72"/>
          <w:szCs w:val="72"/>
          <w:highlight w:val="none"/>
        </w:rPr>
      </w:pPr>
      <w:r>
        <w:rPr>
          <w:rFonts w:hint="eastAsia" w:cs="宋体"/>
          <w:b/>
          <w:bCs/>
          <w:color w:val="auto"/>
          <w:sz w:val="72"/>
          <w:szCs w:val="72"/>
          <w:highlight w:val="none"/>
          <w:lang w:val="en-US" w:eastAsia="zh-CN"/>
        </w:rPr>
        <w:t>行采家网上竞采文件</w:t>
      </w:r>
    </w:p>
    <w:p w14:paraId="0039CDE5">
      <w:pPr>
        <w:widowControl/>
        <w:spacing w:line="480" w:lineRule="exact"/>
        <w:jc w:val="center"/>
        <w:rPr>
          <w:rFonts w:ascii="Times New Roman" w:hAnsi="Times New Roman" w:eastAsia="宋体" w:cs="宋体"/>
          <w:color w:val="auto"/>
          <w:sz w:val="84"/>
          <w:szCs w:val="84"/>
          <w:highlight w:val="none"/>
        </w:rPr>
      </w:pPr>
    </w:p>
    <w:p w14:paraId="6B12364C">
      <w:pPr>
        <w:pStyle w:val="16"/>
        <w:rPr>
          <w:rFonts w:ascii="Times New Roman" w:hAnsi="Times New Roman" w:eastAsia="宋体" w:cs="宋体"/>
          <w:color w:val="auto"/>
          <w:sz w:val="84"/>
          <w:szCs w:val="84"/>
          <w:highlight w:val="none"/>
        </w:rPr>
      </w:pPr>
    </w:p>
    <w:p w14:paraId="3D648687">
      <w:pPr>
        <w:rPr>
          <w:rFonts w:ascii="Times New Roman" w:hAnsi="Times New Roman" w:eastAsia="宋体" w:cs="宋体"/>
          <w:color w:val="auto"/>
          <w:highlight w:val="none"/>
        </w:rPr>
      </w:pPr>
    </w:p>
    <w:p w14:paraId="58F8ADF0">
      <w:pPr>
        <w:pStyle w:val="10"/>
        <w:spacing w:line="480" w:lineRule="exact"/>
        <w:ind w:left="560"/>
        <w:jc w:val="center"/>
        <w:rPr>
          <w:rFonts w:ascii="Times New Roman" w:hAnsi="Times New Roman" w:eastAsia="宋体" w:cs="宋体"/>
          <w:color w:val="auto"/>
          <w:sz w:val="32"/>
          <w:highlight w:val="none"/>
        </w:rPr>
      </w:pPr>
    </w:p>
    <w:p w14:paraId="0F4B7C3C">
      <w:pPr>
        <w:pStyle w:val="10"/>
        <w:spacing w:line="480" w:lineRule="exact"/>
        <w:ind w:left="560"/>
        <w:jc w:val="center"/>
        <w:rPr>
          <w:rFonts w:ascii="Times New Roman" w:hAnsi="Times New Roman" w:eastAsia="宋体" w:cs="宋体"/>
          <w:color w:val="auto"/>
          <w:sz w:val="32"/>
          <w:highlight w:val="none"/>
        </w:rPr>
      </w:pPr>
    </w:p>
    <w:p w14:paraId="0EFE1FB8">
      <w:pPr>
        <w:pStyle w:val="10"/>
        <w:spacing w:line="480" w:lineRule="exact"/>
        <w:ind w:left="560"/>
        <w:rPr>
          <w:rFonts w:hint="eastAsia" w:ascii="Times New Roman" w:hAnsi="Times New Roman" w:eastAsia="宋体" w:cs="宋体"/>
          <w:color w:val="auto"/>
          <w:kern w:val="2"/>
          <w:sz w:val="32"/>
          <w:szCs w:val="28"/>
          <w:highlight w:val="none"/>
          <w:lang w:val="en-US" w:eastAsia="zh-CN" w:bidi="ar-SA"/>
        </w:rPr>
      </w:pPr>
    </w:p>
    <w:p w14:paraId="262B458E">
      <w:pPr>
        <w:widowControl/>
        <w:spacing w:line="480" w:lineRule="exact"/>
        <w:ind w:firstLine="640" w:firstLineChars="200"/>
        <w:jc w:val="center"/>
        <w:outlineLvl w:val="0"/>
        <w:rPr>
          <w:rFonts w:hint="eastAsia" w:ascii="Times New Roman" w:hAnsi="Times New Roman" w:eastAsia="宋体" w:cs="宋体"/>
          <w:color w:val="auto"/>
          <w:highlight w:val="none"/>
          <w:lang w:val="en-US" w:eastAsia="zh-CN"/>
        </w:rPr>
      </w:pPr>
      <w:bookmarkStart w:id="1" w:name="_Toc4800"/>
      <w:r>
        <w:rPr>
          <w:rFonts w:hint="eastAsia" w:ascii="Times New Roman" w:hAnsi="Times New Roman" w:eastAsia="宋体" w:cs="宋体"/>
          <w:color w:val="auto"/>
          <w:sz w:val="32"/>
          <w:szCs w:val="28"/>
          <w:highlight w:val="none"/>
        </w:rPr>
        <w:t>项目名称：</w:t>
      </w:r>
      <w:bookmarkEnd w:id="1"/>
      <w:r>
        <w:rPr>
          <w:rFonts w:hint="eastAsia" w:cs="宋体"/>
          <w:color w:val="auto"/>
          <w:sz w:val="32"/>
          <w:szCs w:val="28"/>
          <w:highlight w:val="none"/>
          <w:lang w:val="en-US" w:eastAsia="zh-CN"/>
        </w:rPr>
        <w:t>2025年常年法律顾问服务</w:t>
      </w:r>
    </w:p>
    <w:p w14:paraId="5C1F5AAE">
      <w:pPr>
        <w:spacing w:line="480" w:lineRule="exact"/>
        <w:rPr>
          <w:rFonts w:ascii="Times New Roman" w:hAnsi="Times New Roman" w:eastAsia="宋体" w:cs="宋体"/>
          <w:color w:val="auto"/>
          <w:highlight w:val="none"/>
        </w:rPr>
      </w:pPr>
    </w:p>
    <w:p w14:paraId="10E90DC2">
      <w:pPr>
        <w:pStyle w:val="9"/>
        <w:spacing w:line="480" w:lineRule="exact"/>
        <w:outlineLvl w:val="0"/>
        <w:rPr>
          <w:rFonts w:ascii="Times New Roman" w:hAnsi="Times New Roman" w:eastAsia="宋体" w:cs="宋体"/>
          <w:color w:val="auto"/>
          <w:highlight w:val="none"/>
        </w:rPr>
      </w:pPr>
    </w:p>
    <w:p w14:paraId="4956B806">
      <w:pPr>
        <w:widowControl/>
        <w:spacing w:line="480" w:lineRule="exact"/>
        <w:ind w:firstLine="1280" w:firstLineChars="400"/>
        <w:jc w:val="left"/>
        <w:outlineLvl w:val="0"/>
        <w:rPr>
          <w:rFonts w:hint="eastAsia" w:cs="宋体"/>
          <w:color w:val="auto"/>
          <w:sz w:val="32"/>
          <w:szCs w:val="28"/>
          <w:highlight w:val="none"/>
          <w:lang w:val="en-US" w:eastAsia="zh-CN"/>
        </w:rPr>
      </w:pPr>
    </w:p>
    <w:p w14:paraId="4F4EF3CE">
      <w:pPr>
        <w:pStyle w:val="9"/>
        <w:rPr>
          <w:rFonts w:hint="eastAsia" w:cs="宋体"/>
          <w:color w:val="auto"/>
          <w:sz w:val="32"/>
          <w:szCs w:val="28"/>
          <w:highlight w:val="none"/>
          <w:lang w:val="en-US" w:eastAsia="zh-CN"/>
        </w:rPr>
      </w:pPr>
    </w:p>
    <w:p w14:paraId="78176835">
      <w:pPr>
        <w:rPr>
          <w:rFonts w:hint="eastAsia"/>
          <w:color w:val="auto"/>
          <w:highlight w:val="none"/>
          <w:lang w:val="en-US" w:eastAsia="zh-CN"/>
        </w:rPr>
      </w:pPr>
    </w:p>
    <w:p w14:paraId="7A1A0968">
      <w:pPr>
        <w:widowControl/>
        <w:spacing w:line="480" w:lineRule="exact"/>
        <w:ind w:firstLine="1280" w:firstLineChars="400"/>
        <w:jc w:val="left"/>
        <w:outlineLvl w:val="0"/>
        <w:rPr>
          <w:rFonts w:hint="eastAsia" w:cs="宋体"/>
          <w:color w:val="auto"/>
          <w:sz w:val="32"/>
          <w:szCs w:val="28"/>
          <w:highlight w:val="none"/>
          <w:lang w:val="en-US" w:eastAsia="zh-CN"/>
        </w:rPr>
      </w:pPr>
    </w:p>
    <w:p w14:paraId="2AF4D29A">
      <w:pPr>
        <w:widowControl/>
        <w:spacing w:line="480" w:lineRule="exact"/>
        <w:ind w:firstLine="1280" w:firstLineChars="400"/>
        <w:jc w:val="left"/>
        <w:outlineLvl w:val="0"/>
        <w:rPr>
          <w:rFonts w:hint="eastAsia" w:cs="宋体"/>
          <w:color w:val="auto"/>
          <w:sz w:val="32"/>
          <w:szCs w:val="28"/>
          <w:highlight w:val="none"/>
          <w:lang w:val="en-US" w:eastAsia="zh-CN"/>
        </w:rPr>
      </w:pPr>
    </w:p>
    <w:p w14:paraId="695D9FC4">
      <w:pPr>
        <w:widowControl/>
        <w:spacing w:line="480" w:lineRule="exact"/>
        <w:ind w:firstLine="1280" w:firstLineChars="400"/>
        <w:jc w:val="left"/>
        <w:outlineLvl w:val="0"/>
        <w:rPr>
          <w:rFonts w:ascii="Times New Roman" w:hAnsi="Times New Roman" w:eastAsia="宋体" w:cs="宋体"/>
          <w:color w:val="auto"/>
          <w:sz w:val="32"/>
          <w:szCs w:val="28"/>
          <w:highlight w:val="none"/>
        </w:rPr>
      </w:pPr>
      <w:bookmarkStart w:id="2" w:name="_Toc14170"/>
      <w:r>
        <w:rPr>
          <w:rFonts w:hint="eastAsia" w:cs="宋体"/>
          <w:color w:val="auto"/>
          <w:sz w:val="32"/>
          <w:szCs w:val="28"/>
          <w:highlight w:val="none"/>
          <w:lang w:val="en-US" w:eastAsia="zh-CN"/>
        </w:rPr>
        <w:t>采  购</w:t>
      </w:r>
      <w:r>
        <w:rPr>
          <w:rFonts w:hint="eastAsia" w:ascii="Times New Roman" w:hAnsi="Times New Roman" w:eastAsia="宋体" w:cs="宋体"/>
          <w:color w:val="auto"/>
          <w:sz w:val="32"/>
          <w:szCs w:val="28"/>
          <w:highlight w:val="none"/>
        </w:rPr>
        <w:t xml:space="preserve"> 人：</w:t>
      </w:r>
      <w:bookmarkEnd w:id="2"/>
      <w:r>
        <w:rPr>
          <w:rFonts w:hint="eastAsia" w:cs="宋体"/>
          <w:color w:val="auto"/>
          <w:sz w:val="32"/>
          <w:szCs w:val="28"/>
          <w:highlight w:val="none"/>
          <w:lang w:val="en-US" w:eastAsia="zh-CN"/>
        </w:rPr>
        <w:t>重庆市农业综合行政执法总队</w:t>
      </w:r>
      <w:r>
        <w:rPr>
          <w:rFonts w:hint="eastAsia" w:ascii="Times New Roman" w:hAnsi="Times New Roman" w:eastAsia="宋体" w:cs="宋体"/>
          <w:color w:val="auto"/>
          <w:sz w:val="32"/>
          <w:szCs w:val="28"/>
          <w:highlight w:val="none"/>
        </w:rPr>
        <w:t xml:space="preserve">            </w:t>
      </w:r>
    </w:p>
    <w:p w14:paraId="32CFE740">
      <w:pPr>
        <w:widowControl/>
        <w:spacing w:line="480" w:lineRule="exact"/>
        <w:ind w:firstLine="1280" w:firstLineChars="400"/>
        <w:jc w:val="left"/>
        <w:outlineLvl w:val="0"/>
        <w:rPr>
          <w:rFonts w:hint="eastAsia" w:ascii="Times New Roman" w:hAnsi="Times New Roman" w:eastAsia="宋体" w:cs="宋体"/>
          <w:color w:val="auto"/>
          <w:sz w:val="32"/>
          <w:szCs w:val="28"/>
          <w:highlight w:val="none"/>
          <w:lang w:eastAsia="zh-CN"/>
        </w:rPr>
      </w:pPr>
      <w:bookmarkStart w:id="3" w:name="_Toc19959"/>
      <w:r>
        <w:rPr>
          <w:rFonts w:hint="eastAsia" w:cs="宋体"/>
          <w:color w:val="auto"/>
          <w:sz w:val="32"/>
          <w:szCs w:val="28"/>
          <w:highlight w:val="none"/>
          <w:lang w:val="en-US" w:eastAsia="zh-CN"/>
        </w:rPr>
        <w:t>采购代理</w:t>
      </w:r>
      <w:r>
        <w:rPr>
          <w:rFonts w:hint="eastAsia" w:ascii="Times New Roman" w:hAnsi="Times New Roman" w:eastAsia="宋体" w:cs="宋体"/>
          <w:color w:val="auto"/>
          <w:sz w:val="32"/>
          <w:szCs w:val="28"/>
          <w:highlight w:val="none"/>
        </w:rPr>
        <w:t>机构：</w:t>
      </w:r>
      <w:r>
        <w:rPr>
          <w:rFonts w:hint="eastAsia" w:cs="宋体"/>
          <w:color w:val="auto"/>
          <w:sz w:val="32"/>
          <w:szCs w:val="28"/>
          <w:highlight w:val="none"/>
          <w:lang w:eastAsia="zh-CN"/>
        </w:rPr>
        <w:t>重庆方采工程项目管理咨询有限公司</w:t>
      </w:r>
      <w:bookmarkEnd w:id="3"/>
    </w:p>
    <w:p w14:paraId="6CFD2889">
      <w:pPr>
        <w:spacing w:line="480" w:lineRule="exact"/>
        <w:ind w:firstLine="2880" w:firstLineChars="900"/>
        <w:rPr>
          <w:rFonts w:ascii="Times New Roman" w:hAnsi="Times New Roman" w:eastAsia="宋体" w:cs="宋体"/>
          <w:color w:val="auto"/>
          <w:sz w:val="32"/>
          <w:szCs w:val="28"/>
          <w:highlight w:val="none"/>
        </w:rPr>
      </w:pPr>
    </w:p>
    <w:p w14:paraId="0CAA9208">
      <w:pPr>
        <w:spacing w:line="480" w:lineRule="exact"/>
        <w:ind w:firstLine="2880" w:firstLineChars="900"/>
        <w:rPr>
          <w:rFonts w:hint="eastAsia" w:ascii="Times New Roman" w:hAnsi="Times New Roman" w:eastAsia="宋体" w:cs="宋体"/>
          <w:color w:val="auto"/>
          <w:sz w:val="32"/>
          <w:szCs w:val="28"/>
          <w:highlight w:val="none"/>
        </w:rPr>
      </w:pPr>
    </w:p>
    <w:p w14:paraId="2BD4E669">
      <w:pPr>
        <w:spacing w:line="480" w:lineRule="exact"/>
        <w:jc w:val="center"/>
        <w:outlineLvl w:val="0"/>
        <w:rPr>
          <w:rFonts w:hint="eastAsia" w:ascii="Times New Roman" w:hAnsi="Times New Roman" w:eastAsia="宋体" w:cs="宋体"/>
          <w:color w:val="auto"/>
          <w:sz w:val="32"/>
          <w:szCs w:val="28"/>
          <w:highlight w:val="none"/>
        </w:rPr>
      </w:pPr>
      <w:bookmarkStart w:id="4" w:name="_Toc6099"/>
      <w:r>
        <w:rPr>
          <w:rFonts w:hint="eastAsia" w:ascii="Times New Roman" w:hAnsi="Times New Roman" w:eastAsia="宋体" w:cs="宋体"/>
          <w:color w:val="auto"/>
          <w:sz w:val="32"/>
          <w:szCs w:val="28"/>
          <w:highlight w:val="none"/>
        </w:rPr>
        <w:t>二○二</w:t>
      </w:r>
      <w:r>
        <w:rPr>
          <w:rFonts w:hint="eastAsia" w:cs="宋体"/>
          <w:color w:val="auto"/>
          <w:sz w:val="32"/>
          <w:szCs w:val="28"/>
          <w:highlight w:val="none"/>
          <w:lang w:val="en-US" w:eastAsia="zh-CN"/>
        </w:rPr>
        <w:t>五</w:t>
      </w:r>
      <w:r>
        <w:rPr>
          <w:rFonts w:hint="eastAsia" w:ascii="Times New Roman" w:hAnsi="Times New Roman" w:eastAsia="宋体" w:cs="宋体"/>
          <w:color w:val="auto"/>
          <w:sz w:val="32"/>
          <w:szCs w:val="28"/>
          <w:highlight w:val="none"/>
        </w:rPr>
        <w:t>年</w:t>
      </w:r>
      <w:r>
        <w:rPr>
          <w:rFonts w:hint="eastAsia" w:cs="宋体"/>
          <w:color w:val="auto"/>
          <w:sz w:val="32"/>
          <w:szCs w:val="28"/>
          <w:highlight w:val="none"/>
          <w:lang w:val="en-US" w:eastAsia="zh-CN"/>
        </w:rPr>
        <w:t>四</w:t>
      </w:r>
      <w:r>
        <w:rPr>
          <w:rFonts w:hint="eastAsia" w:ascii="Times New Roman" w:hAnsi="Times New Roman" w:eastAsia="宋体" w:cs="宋体"/>
          <w:color w:val="auto"/>
          <w:sz w:val="32"/>
          <w:szCs w:val="28"/>
          <w:highlight w:val="none"/>
        </w:rPr>
        <w:t>月</w:t>
      </w:r>
      <w:bookmarkEnd w:id="4"/>
    </w:p>
    <w:p w14:paraId="313FA916">
      <w:pPr>
        <w:pStyle w:val="21"/>
        <w:tabs>
          <w:tab w:val="left" w:pos="5662"/>
        </w:tabs>
        <w:rPr>
          <w:rFonts w:hint="eastAsia" w:ascii="Times New Roman" w:hAnsi="Times New Roman" w:eastAsia="宋体" w:cs="宋体"/>
          <w:color w:val="auto"/>
          <w:sz w:val="32"/>
          <w:szCs w:val="28"/>
          <w:highlight w:val="none"/>
          <w:lang w:eastAsia="zh-CN"/>
        </w:rPr>
      </w:pPr>
      <w:r>
        <w:rPr>
          <w:rFonts w:hint="eastAsia" w:ascii="Times New Roman" w:hAnsi="Times New Roman" w:cs="宋体"/>
          <w:color w:val="auto"/>
          <w:sz w:val="32"/>
          <w:szCs w:val="28"/>
          <w:highlight w:val="none"/>
          <w:lang w:eastAsia="zh-CN"/>
        </w:rPr>
        <w:tab/>
      </w:r>
    </w:p>
    <w:p w14:paraId="7BF05D78">
      <w:pPr>
        <w:pStyle w:val="21"/>
        <w:rPr>
          <w:rFonts w:hint="eastAsia" w:ascii="Times New Roman" w:hAnsi="Times New Roman" w:eastAsia="宋体" w:cs="宋体"/>
          <w:color w:val="auto"/>
          <w:sz w:val="32"/>
          <w:szCs w:val="28"/>
          <w:highlight w:val="none"/>
        </w:rPr>
      </w:pPr>
    </w:p>
    <w:p w14:paraId="7531A002">
      <w:pPr>
        <w:pStyle w:val="21"/>
        <w:rPr>
          <w:rFonts w:hint="eastAsia" w:ascii="Times New Roman" w:hAnsi="Times New Roman" w:eastAsia="宋体" w:cs="宋体"/>
          <w:color w:val="auto"/>
          <w:sz w:val="32"/>
          <w:szCs w:val="28"/>
          <w:highlight w:val="none"/>
        </w:rPr>
      </w:pPr>
    </w:p>
    <w:p w14:paraId="4F16D9DE">
      <w:pPr>
        <w:pStyle w:val="21"/>
        <w:rPr>
          <w:rFonts w:hint="eastAsia" w:ascii="Times New Roman" w:hAnsi="Times New Roman" w:eastAsia="宋体" w:cs="宋体"/>
          <w:color w:val="auto"/>
          <w:sz w:val="32"/>
          <w:szCs w:val="28"/>
          <w:highlight w:val="none"/>
        </w:rPr>
      </w:pPr>
    </w:p>
    <w:p w14:paraId="58E2AA91">
      <w:pPr>
        <w:pStyle w:val="21"/>
        <w:rPr>
          <w:rFonts w:hint="eastAsia" w:ascii="Times New Roman" w:hAnsi="Times New Roman" w:eastAsia="宋体" w:cs="宋体"/>
          <w:color w:val="auto"/>
          <w:sz w:val="32"/>
          <w:szCs w:val="28"/>
          <w:highlight w:val="none"/>
        </w:rPr>
      </w:pPr>
    </w:p>
    <w:p w14:paraId="4F254EDF">
      <w:pPr>
        <w:pStyle w:val="21"/>
        <w:jc w:val="center"/>
        <w:outlineLvl w:val="0"/>
        <w:rPr>
          <w:rFonts w:hint="eastAsia" w:ascii="宋体" w:hAnsi="宋体" w:eastAsia="宋体" w:cs="宋体"/>
          <w:b/>
          <w:bCs/>
          <w:color w:val="auto"/>
          <w:sz w:val="28"/>
          <w:szCs w:val="28"/>
          <w:highlight w:val="none"/>
        </w:rPr>
      </w:pPr>
    </w:p>
    <w:p w14:paraId="51DFAF06">
      <w:pPr>
        <w:pStyle w:val="21"/>
        <w:jc w:val="center"/>
        <w:outlineLvl w:val="0"/>
        <w:rPr>
          <w:rFonts w:hint="eastAsia" w:ascii="宋体" w:hAnsi="宋体" w:eastAsia="宋体" w:cs="宋体"/>
          <w:b/>
          <w:bCs/>
          <w:color w:val="auto"/>
          <w:sz w:val="40"/>
          <w:szCs w:val="40"/>
          <w:highlight w:val="none"/>
        </w:rPr>
      </w:pPr>
      <w:bookmarkStart w:id="5" w:name="_Toc89"/>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bookmarkEnd w:id="5"/>
    </w:p>
    <w:p w14:paraId="4CE6AAD6">
      <w:pPr>
        <w:pStyle w:val="21"/>
        <w:jc w:val="center"/>
        <w:rPr>
          <w:rFonts w:hint="eastAsia" w:ascii="宋体" w:hAnsi="宋体" w:eastAsia="宋体" w:cs="宋体"/>
          <w:b/>
          <w:bCs/>
          <w:color w:val="auto"/>
          <w:sz w:val="28"/>
          <w:szCs w:val="28"/>
          <w:highlight w:val="none"/>
        </w:rPr>
      </w:pPr>
    </w:p>
    <w:sdt>
      <w:sdtPr>
        <w:rPr>
          <w:rFonts w:hint="eastAsia" w:ascii="Times New Roman" w:hAnsi="Times New Roman" w:eastAsia="宋体" w:cs="宋体"/>
          <w:b/>
          <w:bCs/>
          <w:color w:val="auto"/>
          <w:kern w:val="44"/>
          <w:sz w:val="30"/>
          <w:szCs w:val="30"/>
          <w:highlight w:val="none"/>
        </w:rPr>
        <w:id w:val="147466922"/>
        <w:docPartObj>
          <w:docPartGallery w:val="Table of Contents"/>
          <w:docPartUnique/>
        </w:docPartObj>
      </w:sdtPr>
      <w:sdtEndPr>
        <w:rPr>
          <w:rFonts w:hint="eastAsia" w:ascii="Times New Roman" w:hAnsi="Times New Roman" w:eastAsia="宋体" w:cs="宋体"/>
          <w:b/>
          <w:bCs/>
          <w:color w:val="auto"/>
          <w:kern w:val="44"/>
          <w:sz w:val="24"/>
          <w:szCs w:val="24"/>
          <w:highlight w:val="none"/>
        </w:rPr>
      </w:sdtEndPr>
      <w:sdtContent>
        <w:p w14:paraId="715C54EF">
          <w:pPr>
            <w:jc w:val="center"/>
            <w:rPr>
              <w:rFonts w:hint="eastAsia" w:ascii="宋体" w:hAnsi="宋体" w:eastAsia="宋体" w:cs="宋体"/>
              <w:b/>
              <w:bCs/>
              <w:color w:val="auto"/>
              <w:sz w:val="28"/>
              <w:szCs w:val="28"/>
              <w:highlight w:val="none"/>
            </w:rPr>
          </w:pPr>
        </w:p>
        <w:p w14:paraId="0A02B04D">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_Toc26343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 xml:space="preserve">第一篇 </w:t>
          </w:r>
          <w:r>
            <w:rPr>
              <w:rFonts w:hint="eastAsia"/>
              <w:color w:val="auto"/>
              <w:sz w:val="32"/>
              <w:szCs w:val="22"/>
              <w:highlight w:val="none"/>
              <w:lang w:eastAsia="zh-CN"/>
            </w:rPr>
            <w:t>采购邀请书</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_Toc26343 \h </w:instrText>
          </w:r>
          <w:r>
            <w:rPr>
              <w:color w:val="auto"/>
              <w:sz w:val="32"/>
              <w:szCs w:val="22"/>
              <w:highlight w:val="none"/>
            </w:rPr>
            <w:fldChar w:fldCharType="separate"/>
          </w:r>
          <w:r>
            <w:rPr>
              <w:color w:val="auto"/>
              <w:sz w:val="32"/>
              <w:szCs w:val="22"/>
              <w:highlight w:val="none"/>
            </w:rPr>
            <w:t>1</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25C1CB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_Toc7658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第二篇 项目</w:t>
          </w:r>
          <w:r>
            <w:rPr>
              <w:rFonts w:hint="eastAsia" w:cs="宋体"/>
              <w:bCs/>
              <w:color w:val="auto"/>
              <w:sz w:val="32"/>
              <w:szCs w:val="22"/>
              <w:highlight w:val="none"/>
              <w:lang w:eastAsia="zh-CN"/>
            </w:rPr>
            <w:t>服务需求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_Toc7658 \h </w:instrText>
          </w:r>
          <w:r>
            <w:rPr>
              <w:color w:val="auto"/>
              <w:sz w:val="32"/>
              <w:szCs w:val="22"/>
              <w:highlight w:val="none"/>
            </w:rPr>
            <w:fldChar w:fldCharType="separate"/>
          </w:r>
          <w:r>
            <w:rPr>
              <w:color w:val="auto"/>
              <w:sz w:val="32"/>
              <w:szCs w:val="22"/>
              <w:highlight w:val="none"/>
            </w:rPr>
            <w:t>5</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CB29F74">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_Toc32457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第三篇 项目商务需求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_Toc32457 \h </w:instrText>
          </w:r>
          <w:r>
            <w:rPr>
              <w:color w:val="auto"/>
              <w:sz w:val="32"/>
              <w:szCs w:val="22"/>
              <w:highlight w:val="none"/>
            </w:rPr>
            <w:fldChar w:fldCharType="separate"/>
          </w:r>
          <w:r>
            <w:rPr>
              <w:color w:val="auto"/>
              <w:sz w:val="32"/>
              <w:szCs w:val="22"/>
              <w:highlight w:val="none"/>
            </w:rPr>
            <w:t>8</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107CA9F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_Toc32452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第四篇 资格审查及评审办法</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_Toc32452 \h </w:instrText>
          </w:r>
          <w:r>
            <w:rPr>
              <w:color w:val="auto"/>
              <w:sz w:val="32"/>
              <w:szCs w:val="22"/>
              <w:highlight w:val="none"/>
            </w:rPr>
            <w:fldChar w:fldCharType="separate"/>
          </w:r>
          <w:r>
            <w:rPr>
              <w:color w:val="auto"/>
              <w:sz w:val="32"/>
              <w:szCs w:val="22"/>
              <w:highlight w:val="none"/>
            </w:rPr>
            <w:t>9</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DD84C2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_Toc1670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 xml:space="preserve">第五篇 </w:t>
          </w:r>
          <w:r>
            <w:rPr>
              <w:rFonts w:hint="eastAsia" w:cs="宋体"/>
              <w:bCs/>
              <w:color w:val="auto"/>
              <w:sz w:val="32"/>
              <w:szCs w:val="22"/>
              <w:highlight w:val="none"/>
              <w:lang w:eastAsia="zh-CN"/>
            </w:rPr>
            <w:t>供应商</w:t>
          </w:r>
          <w:r>
            <w:rPr>
              <w:rFonts w:hint="eastAsia" w:ascii="Times New Roman" w:hAnsi="Times New Roman" w:eastAsia="宋体" w:cs="宋体"/>
              <w:bCs/>
              <w:color w:val="auto"/>
              <w:sz w:val="32"/>
              <w:szCs w:val="22"/>
              <w:highlight w:val="none"/>
            </w:rPr>
            <w:t>须知</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_Toc1670 \h </w:instrText>
          </w:r>
          <w:r>
            <w:rPr>
              <w:color w:val="auto"/>
              <w:sz w:val="32"/>
              <w:szCs w:val="22"/>
              <w:highlight w:val="none"/>
            </w:rPr>
            <w:fldChar w:fldCharType="separate"/>
          </w:r>
          <w:r>
            <w:rPr>
              <w:color w:val="auto"/>
              <w:sz w:val="32"/>
              <w:szCs w:val="22"/>
              <w:highlight w:val="none"/>
            </w:rPr>
            <w:t>15</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6C8B26A">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_Toc19280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第六篇 合同条款</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_Toc19280 \h </w:instrText>
          </w:r>
          <w:r>
            <w:rPr>
              <w:color w:val="auto"/>
              <w:sz w:val="32"/>
              <w:szCs w:val="22"/>
              <w:highlight w:val="none"/>
            </w:rPr>
            <w:fldChar w:fldCharType="separate"/>
          </w:r>
          <w:r>
            <w:rPr>
              <w:color w:val="auto"/>
              <w:sz w:val="32"/>
              <w:szCs w:val="22"/>
              <w:highlight w:val="none"/>
            </w:rPr>
            <w:t>19</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2F869F2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_Toc15971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 xml:space="preserve">第七篇 </w:t>
          </w:r>
          <w:r>
            <w:rPr>
              <w:rFonts w:hint="eastAsia"/>
              <w:color w:val="auto"/>
              <w:sz w:val="32"/>
              <w:szCs w:val="22"/>
              <w:highlight w:val="none"/>
              <w:lang w:eastAsia="zh-CN"/>
            </w:rPr>
            <w:t>响应文件</w:t>
          </w:r>
          <w:r>
            <w:rPr>
              <w:rFonts w:hint="eastAsia" w:ascii="Times New Roman" w:hAnsi="Times New Roman" w:eastAsia="宋体"/>
              <w:color w:val="auto"/>
              <w:sz w:val="32"/>
              <w:szCs w:val="22"/>
              <w:highlight w:val="none"/>
            </w:rPr>
            <w:t>格式</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_Toc15971 \h </w:instrText>
          </w:r>
          <w:r>
            <w:rPr>
              <w:color w:val="auto"/>
              <w:sz w:val="32"/>
              <w:szCs w:val="22"/>
              <w:highlight w:val="none"/>
            </w:rPr>
            <w:fldChar w:fldCharType="separate"/>
          </w:r>
          <w:r>
            <w:rPr>
              <w:color w:val="auto"/>
              <w:sz w:val="32"/>
              <w:szCs w:val="22"/>
              <w:highlight w:val="none"/>
            </w:rPr>
            <w:t>20</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162684F">
          <w:pPr>
            <w:pStyle w:val="20"/>
            <w:tabs>
              <w:tab w:val="right" w:leader="dot" w:pos="9639"/>
            </w:tabs>
            <w:rPr>
              <w:color w:val="auto"/>
              <w:highlight w:val="none"/>
            </w:rPr>
          </w:pPr>
        </w:p>
        <w:p w14:paraId="09972B62">
          <w:pPr>
            <w:pStyle w:val="2"/>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highlight w:val="none"/>
            </w:rPr>
            <w:sectPr>
              <w:footerReference r:id="rId4" w:type="first"/>
              <w:footerReference r:id="rId3" w:type="default"/>
              <w:pgSz w:w="11907" w:h="16840"/>
              <w:pgMar w:top="1134" w:right="1134" w:bottom="1134" w:left="1134" w:header="850" w:footer="992" w:gutter="0"/>
              <w:pgNumType w:start="1"/>
              <w:cols w:space="720" w:num="1"/>
              <w:docGrid w:linePitch="312" w:charSpace="0"/>
            </w:sectPr>
          </w:pPr>
          <w:r>
            <w:rPr>
              <w:rFonts w:hint="eastAsia" w:ascii="宋体" w:hAnsi="宋体" w:eastAsia="宋体" w:cs="宋体"/>
              <w:color w:val="auto"/>
              <w:szCs w:val="28"/>
              <w:highlight w:val="none"/>
            </w:rPr>
            <w:fldChar w:fldCharType="end"/>
          </w:r>
        </w:p>
      </w:sdtContent>
    </w:sdt>
    <w:p w14:paraId="2E9FC33E">
      <w:pPr>
        <w:pStyle w:val="2"/>
        <w:bidi w:val="0"/>
        <w:rPr>
          <w:rFonts w:hint="eastAsia" w:ascii="Times New Roman" w:hAnsi="Times New Roman" w:eastAsia="宋体"/>
          <w:color w:val="auto"/>
          <w:sz w:val="36"/>
          <w:szCs w:val="22"/>
          <w:highlight w:val="none"/>
          <w:lang w:eastAsia="zh-CN"/>
        </w:rPr>
      </w:pPr>
      <w:bookmarkStart w:id="6" w:name="_Toc7504"/>
      <w:bookmarkStart w:id="7" w:name="_Toc10681"/>
      <w:bookmarkStart w:id="8" w:name="_Toc26343"/>
      <w:r>
        <w:rPr>
          <w:rFonts w:hint="eastAsia" w:ascii="Times New Roman" w:hAnsi="Times New Roman" w:eastAsia="宋体"/>
          <w:color w:val="auto"/>
          <w:sz w:val="36"/>
          <w:szCs w:val="22"/>
          <w:highlight w:val="none"/>
        </w:rPr>
        <w:t xml:space="preserve">第一篇 </w:t>
      </w:r>
      <w:bookmarkEnd w:id="6"/>
      <w:bookmarkEnd w:id="7"/>
      <w:r>
        <w:rPr>
          <w:rFonts w:hint="eastAsia"/>
          <w:color w:val="auto"/>
          <w:sz w:val="36"/>
          <w:szCs w:val="22"/>
          <w:highlight w:val="none"/>
          <w:lang w:eastAsia="zh-CN"/>
        </w:rPr>
        <w:t>采购邀请书</w:t>
      </w:r>
      <w:bookmarkEnd w:id="8"/>
    </w:p>
    <w:p w14:paraId="5A5229A3">
      <w:pPr>
        <w:pStyle w:val="3"/>
        <w:bidi w:val="0"/>
        <w:rPr>
          <w:rFonts w:ascii="Times New Roman" w:hAnsi="Times New Roman" w:eastAsia="宋体"/>
          <w:color w:val="auto"/>
          <w:highlight w:val="none"/>
        </w:rPr>
      </w:pPr>
      <w:bookmarkStart w:id="9" w:name="_Toc28083"/>
      <w:bookmarkStart w:id="10" w:name="_Toc8664"/>
      <w:bookmarkStart w:id="11" w:name="_Toc5304"/>
      <w:bookmarkStart w:id="12" w:name="_Toc15239"/>
      <w:r>
        <w:rPr>
          <w:rFonts w:hint="eastAsia" w:ascii="Times New Roman" w:hAnsi="Times New Roman" w:eastAsia="宋体"/>
          <w:color w:val="auto"/>
          <w:highlight w:val="none"/>
        </w:rPr>
        <w:t>一、项目内容</w:t>
      </w:r>
      <w:bookmarkEnd w:id="9"/>
      <w:bookmarkEnd w:id="10"/>
      <w:bookmarkEnd w:id="11"/>
      <w:bookmarkEnd w:id="12"/>
    </w:p>
    <w:p w14:paraId="0D9431B5">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u w:val="single"/>
          <w:lang w:eastAsia="zh-CN"/>
        </w:rPr>
        <w:t>重庆方采工程项目管理咨询有限公司</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机构）接受</w:t>
      </w:r>
      <w:r>
        <w:rPr>
          <w:rFonts w:hint="eastAsia" w:cs="宋体"/>
          <w:color w:val="auto"/>
          <w:szCs w:val="28"/>
          <w:highlight w:val="none"/>
          <w:u w:val="single"/>
          <w:lang w:val="en-US" w:eastAsia="zh-CN"/>
        </w:rPr>
        <w:t>重庆市农业综合行政执法总队</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）的委托，对</w:t>
      </w:r>
      <w:r>
        <w:rPr>
          <w:rFonts w:hint="eastAsia" w:cs="宋体"/>
          <w:color w:val="auto"/>
          <w:szCs w:val="28"/>
          <w:highlight w:val="none"/>
          <w:u w:val="single"/>
          <w:lang w:val="en-US" w:eastAsia="zh-CN"/>
        </w:rPr>
        <w:t>2025年常年法律顾问服务</w:t>
      </w:r>
      <w:r>
        <w:rPr>
          <w:rFonts w:hint="eastAsia" w:ascii="Times New Roman" w:hAnsi="Times New Roman" w:eastAsia="宋体" w:cs="宋体"/>
          <w:color w:val="auto"/>
          <w:szCs w:val="28"/>
          <w:highlight w:val="none"/>
        </w:rPr>
        <w:t>进行</w:t>
      </w:r>
      <w:r>
        <w:rPr>
          <w:rFonts w:hint="eastAsia" w:cs="宋体"/>
          <w:color w:val="auto"/>
          <w:szCs w:val="28"/>
          <w:highlight w:val="none"/>
          <w:lang w:val="en-US" w:eastAsia="zh-CN"/>
        </w:rPr>
        <w:t>网上竞采，</w:t>
      </w:r>
      <w:r>
        <w:rPr>
          <w:rFonts w:hint="eastAsia" w:ascii="Times New Roman" w:hAnsi="Times New Roman" w:eastAsia="宋体" w:cs="宋体"/>
          <w:color w:val="auto"/>
          <w:szCs w:val="28"/>
          <w:highlight w:val="none"/>
        </w:rPr>
        <w:t>欢迎有资格的</w:t>
      </w:r>
      <w:r>
        <w:rPr>
          <w:rFonts w:hint="eastAsia" w:cs="宋体"/>
          <w:color w:val="auto"/>
          <w:szCs w:val="28"/>
          <w:highlight w:val="none"/>
          <w:lang w:eastAsia="zh-CN"/>
        </w:rPr>
        <w:t>供应商</w:t>
      </w:r>
      <w:r>
        <w:rPr>
          <w:rFonts w:hint="eastAsia" w:cs="宋体"/>
          <w:color w:val="auto"/>
          <w:szCs w:val="28"/>
          <w:highlight w:val="none"/>
          <w:lang w:val="en-US" w:eastAsia="zh-CN"/>
        </w:rPr>
        <w:t>参与竞采</w:t>
      </w:r>
      <w:r>
        <w:rPr>
          <w:rFonts w:hint="eastAsia" w:ascii="Times New Roman" w:hAnsi="Times New Roman" w:eastAsia="宋体" w:cs="宋体"/>
          <w:color w:val="auto"/>
          <w:szCs w:val="28"/>
          <w:highlight w:val="none"/>
        </w:rPr>
        <w:t>。</w:t>
      </w:r>
    </w:p>
    <w:tbl>
      <w:tblPr>
        <w:tblStyle w:val="26"/>
        <w:tblpPr w:leftFromText="180" w:rightFromText="180" w:vertAnchor="text" w:horzAnchor="page" w:tblpX="1343" w:tblpY="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830"/>
        <w:gridCol w:w="1580"/>
        <w:gridCol w:w="1560"/>
        <w:gridCol w:w="1745"/>
        <w:gridCol w:w="534"/>
      </w:tblGrid>
      <w:tr w14:paraId="392A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21" w:type="pct"/>
            <w:tcBorders>
              <w:top w:val="single" w:color="auto" w:sz="4" w:space="0"/>
              <w:left w:val="single" w:color="auto" w:sz="4" w:space="0"/>
              <w:right w:val="single" w:color="auto" w:sz="4" w:space="0"/>
            </w:tcBorders>
            <w:noWrap/>
            <w:vAlign w:val="center"/>
          </w:tcPr>
          <w:p w14:paraId="546538AE">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项目名称</w:t>
            </w:r>
          </w:p>
        </w:tc>
        <w:tc>
          <w:tcPr>
            <w:tcW w:w="928" w:type="pct"/>
            <w:tcBorders>
              <w:top w:val="single" w:color="auto" w:sz="4" w:space="0"/>
              <w:left w:val="single" w:color="auto" w:sz="4" w:space="0"/>
              <w:right w:val="single" w:color="auto" w:sz="4" w:space="0"/>
            </w:tcBorders>
            <w:noWrap/>
            <w:vAlign w:val="center"/>
          </w:tcPr>
          <w:p w14:paraId="204B07BC">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最高限价（元）</w:t>
            </w:r>
          </w:p>
        </w:tc>
        <w:tc>
          <w:tcPr>
            <w:tcW w:w="801" w:type="pct"/>
            <w:tcBorders>
              <w:top w:val="single" w:color="auto" w:sz="4" w:space="0"/>
              <w:left w:val="single" w:color="auto" w:sz="4" w:space="0"/>
              <w:right w:val="single" w:color="auto" w:sz="4" w:space="0"/>
            </w:tcBorders>
            <w:noWrap/>
            <w:vAlign w:val="center"/>
          </w:tcPr>
          <w:p w14:paraId="7DA9568C">
            <w:pPr>
              <w:widowControl/>
              <w:spacing w:line="480" w:lineRule="atLeast"/>
              <w:jc w:val="center"/>
              <w:rPr>
                <w:rFonts w:hint="default"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竞采保证金（元）</w:t>
            </w:r>
          </w:p>
        </w:tc>
        <w:tc>
          <w:tcPr>
            <w:tcW w:w="791" w:type="pct"/>
            <w:tcBorders>
              <w:top w:val="single" w:color="auto" w:sz="4" w:space="0"/>
              <w:left w:val="single" w:color="auto" w:sz="4" w:space="0"/>
              <w:right w:val="single" w:color="auto" w:sz="4" w:space="0"/>
            </w:tcBorders>
            <w:noWrap/>
            <w:vAlign w:val="center"/>
          </w:tcPr>
          <w:p w14:paraId="04DDF3DF">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平台服务费及服务费</w:t>
            </w:r>
          </w:p>
        </w:tc>
        <w:tc>
          <w:tcPr>
            <w:tcW w:w="885" w:type="pct"/>
            <w:tcBorders>
              <w:top w:val="single" w:color="auto" w:sz="4" w:space="0"/>
              <w:left w:val="single" w:color="auto" w:sz="4" w:space="0"/>
              <w:right w:val="single" w:color="auto" w:sz="4" w:space="0"/>
            </w:tcBorders>
            <w:noWrap/>
            <w:vAlign w:val="center"/>
          </w:tcPr>
          <w:p w14:paraId="09D04AD4">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资金</w:t>
            </w:r>
          </w:p>
          <w:p w14:paraId="6969DCB2">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来源</w:t>
            </w:r>
          </w:p>
        </w:tc>
        <w:tc>
          <w:tcPr>
            <w:tcW w:w="270" w:type="pct"/>
            <w:tcBorders>
              <w:top w:val="single" w:color="auto" w:sz="4" w:space="0"/>
              <w:left w:val="single" w:color="auto" w:sz="4" w:space="0"/>
              <w:right w:val="single" w:color="auto" w:sz="4" w:space="0"/>
            </w:tcBorders>
            <w:noWrap/>
            <w:vAlign w:val="center"/>
          </w:tcPr>
          <w:p w14:paraId="13784F61">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备注</w:t>
            </w:r>
          </w:p>
        </w:tc>
      </w:tr>
      <w:tr w14:paraId="10C6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98E47">
            <w:pPr>
              <w:pStyle w:val="22"/>
              <w:shd w:val="clear" w:color="auto" w:fill="FFFFFF"/>
              <w:spacing w:before="0" w:beforeAutospacing="0" w:after="0" w:afterAutospacing="0" w:line="480" w:lineRule="atLeast"/>
              <w:jc w:val="center"/>
              <w:rPr>
                <w:rFonts w:hint="eastAsia" w:ascii="Times New Roman" w:hAnsi="Times New Roman" w:cs="宋体"/>
                <w:b w:val="0"/>
                <w:bCs w:val="0"/>
                <w:color w:val="auto"/>
                <w:kern w:val="0"/>
                <w:sz w:val="28"/>
                <w:szCs w:val="28"/>
                <w:highlight w:val="none"/>
                <w:lang w:val="en-US" w:eastAsia="zh-CN" w:bidi="ar-SA"/>
              </w:rPr>
            </w:pPr>
            <w:bookmarkStart w:id="13" w:name="_Hlk344477914"/>
            <w:r>
              <w:rPr>
                <w:rFonts w:hint="eastAsia" w:ascii="Times New Roman" w:hAnsi="Times New Roman" w:cs="宋体"/>
                <w:b w:val="0"/>
                <w:bCs w:val="0"/>
                <w:color w:val="auto"/>
                <w:kern w:val="0"/>
                <w:sz w:val="28"/>
                <w:szCs w:val="28"/>
                <w:highlight w:val="none"/>
                <w:lang w:val="en-US" w:eastAsia="zh-CN" w:bidi="ar-SA"/>
              </w:rPr>
              <w:t>2025年常年法律</w:t>
            </w:r>
          </w:p>
          <w:p w14:paraId="6DF579C0">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顾问服务</w:t>
            </w:r>
          </w:p>
        </w:tc>
        <w:tc>
          <w:tcPr>
            <w:tcW w:w="9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42572">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80000</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E28BC">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1600</w:t>
            </w:r>
          </w:p>
        </w:tc>
        <w:tc>
          <w:tcPr>
            <w:tcW w:w="791" w:type="pct"/>
            <w:tcBorders>
              <w:top w:val="single" w:color="auto" w:sz="4" w:space="0"/>
              <w:left w:val="single" w:color="auto" w:sz="4" w:space="0"/>
              <w:right w:val="single" w:color="auto" w:sz="4" w:space="0"/>
            </w:tcBorders>
            <w:noWrap/>
            <w:vAlign w:val="center"/>
          </w:tcPr>
          <w:p w14:paraId="2083C835">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详见本篇“六”</w:t>
            </w:r>
          </w:p>
        </w:tc>
        <w:tc>
          <w:tcPr>
            <w:tcW w:w="885" w:type="pct"/>
            <w:tcBorders>
              <w:top w:val="single" w:color="auto" w:sz="4" w:space="0"/>
              <w:left w:val="single" w:color="auto" w:sz="4" w:space="0"/>
              <w:right w:val="single" w:color="auto" w:sz="4" w:space="0"/>
            </w:tcBorders>
            <w:noWrap/>
            <w:vAlign w:val="center"/>
          </w:tcPr>
          <w:p w14:paraId="6598970B">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农业综合执法能力提升专项资金</w:t>
            </w:r>
          </w:p>
        </w:tc>
        <w:tc>
          <w:tcPr>
            <w:tcW w:w="270" w:type="pct"/>
            <w:tcBorders>
              <w:top w:val="single" w:color="auto" w:sz="4" w:space="0"/>
              <w:left w:val="single" w:color="auto" w:sz="4" w:space="0"/>
              <w:right w:val="single" w:color="auto" w:sz="4" w:space="0"/>
            </w:tcBorders>
            <w:noWrap/>
            <w:vAlign w:val="center"/>
          </w:tcPr>
          <w:p w14:paraId="6697F391">
            <w:pPr>
              <w:pStyle w:val="22"/>
              <w:shd w:val="clear" w:color="auto" w:fill="FFFFFF"/>
              <w:spacing w:before="0" w:beforeAutospacing="0" w:after="0" w:afterAutospacing="0" w:line="480" w:lineRule="atLeast"/>
              <w:jc w:val="center"/>
              <w:rPr>
                <w:rFonts w:hint="eastAsia" w:ascii="Times New Roman" w:hAnsi="Times New Roman" w:cs="宋体"/>
                <w:b w:val="0"/>
                <w:bCs w:val="0"/>
                <w:color w:val="auto"/>
                <w:kern w:val="0"/>
                <w:sz w:val="28"/>
                <w:szCs w:val="28"/>
                <w:highlight w:val="none"/>
                <w:lang w:val="en-US" w:eastAsia="zh-CN" w:bidi="ar-SA"/>
              </w:rPr>
            </w:pPr>
          </w:p>
        </w:tc>
      </w:tr>
      <w:bookmarkEnd w:id="13"/>
    </w:tbl>
    <w:p w14:paraId="687596F9">
      <w:pPr>
        <w:pStyle w:val="3"/>
        <w:bidi w:val="0"/>
        <w:rPr>
          <w:rFonts w:ascii="Times New Roman" w:hAnsi="Times New Roman" w:eastAsia="宋体"/>
          <w:color w:val="auto"/>
          <w:highlight w:val="none"/>
        </w:rPr>
      </w:pPr>
      <w:bookmarkStart w:id="14" w:name="_Toc22795"/>
      <w:bookmarkStart w:id="15" w:name="_Toc8843"/>
      <w:bookmarkStart w:id="16" w:name="_Toc14960"/>
      <w:bookmarkStart w:id="17" w:name="_Toc19000"/>
      <w:bookmarkStart w:id="18" w:name="_Toc1477"/>
      <w:bookmarkStart w:id="19" w:name="_Toc10941"/>
      <w:r>
        <w:rPr>
          <w:rFonts w:hint="eastAsia" w:ascii="Times New Roman" w:hAnsi="Times New Roman" w:eastAsia="宋体"/>
          <w:color w:val="auto"/>
          <w:highlight w:val="none"/>
        </w:rPr>
        <w:t>二、资格条件</w:t>
      </w:r>
      <w:bookmarkEnd w:id="14"/>
      <w:bookmarkEnd w:id="15"/>
      <w:bookmarkEnd w:id="16"/>
      <w:bookmarkEnd w:id="17"/>
      <w:bookmarkEnd w:id="18"/>
      <w:bookmarkEnd w:id="19"/>
    </w:p>
    <w:p w14:paraId="1F6656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val="en-US" w:eastAsia="zh-CN"/>
        </w:rPr>
        <w:t>基本资格条件：</w:t>
      </w:r>
    </w:p>
    <w:p w14:paraId="50FE7E1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1.具有独立承担民事责任的能力；</w:t>
      </w:r>
    </w:p>
    <w:p w14:paraId="2E10CDE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2.具有良好的商业信誉和健全的财务会计制度；</w:t>
      </w:r>
      <w:bookmarkStart w:id="414" w:name="_GoBack"/>
      <w:bookmarkEnd w:id="414"/>
    </w:p>
    <w:p w14:paraId="134D39B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3.具有履行合同所必需的设备和专业技术能力；</w:t>
      </w:r>
    </w:p>
    <w:p w14:paraId="1E1475C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4.有依法缴纳税收和社会保障资金的良好记录；</w:t>
      </w:r>
    </w:p>
    <w:p w14:paraId="58C47DB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5.参加采购活动前三年内，在经营活动中没有重大违法记录；</w:t>
      </w:r>
    </w:p>
    <w:p w14:paraId="4EB043B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6.法律、行政法规规定的其他条件。</w:t>
      </w:r>
    </w:p>
    <w:p w14:paraId="79030C64">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（二）本项目的特定资格要求</w:t>
      </w:r>
      <w:r>
        <w:rPr>
          <w:rFonts w:hint="eastAsia" w:ascii="Times New Roman" w:hAnsi="Times New Roman" w:eastAsia="宋体" w:cs="宋体"/>
          <w:color w:val="auto"/>
          <w:szCs w:val="28"/>
          <w:highlight w:val="none"/>
          <w:lang w:eastAsia="zh-CN"/>
        </w:rPr>
        <w:t>：</w:t>
      </w:r>
    </w:p>
    <w:p w14:paraId="1E3D1287">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1.</w:t>
      </w:r>
      <w:r>
        <w:rPr>
          <w:rFonts w:hint="eastAsia" w:ascii="Times New Roman" w:hAnsi="Times New Roman" w:eastAsia="宋体" w:cs="宋体"/>
          <w:color w:val="auto"/>
          <w:szCs w:val="28"/>
          <w:highlight w:val="none"/>
        </w:rPr>
        <w:t>具有</w:t>
      </w:r>
      <w:r>
        <w:rPr>
          <w:rFonts w:hint="eastAsia" w:ascii="Times New Roman" w:hAnsi="Times New Roman" w:eastAsia="宋体" w:cs="宋体"/>
          <w:color w:val="auto"/>
          <w:szCs w:val="28"/>
          <w:highlight w:val="none"/>
          <w:lang w:val="en-US" w:eastAsia="zh-CN"/>
        </w:rPr>
        <w:t>司法主管部门颁发的有效律师事务所执业许可。</w:t>
      </w:r>
    </w:p>
    <w:p w14:paraId="28BB3E94">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2.以分支机构（或分所）投标的，须具有律师事务所分所执业许可证。</w:t>
      </w:r>
    </w:p>
    <w:p w14:paraId="3777245A">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注：提供有效证明材料复印件加盖供应商公章，以分支机构（或分所）投标的，须由分支机构（或分所）注册行采家平台并提交报价。</w:t>
      </w:r>
      <w:r>
        <w:rPr>
          <w:rFonts w:hint="eastAsia" w:ascii="Times New Roman" w:hAnsi="Times New Roman" w:eastAsia="宋体" w:cs="宋体"/>
          <w:color w:val="auto"/>
          <w:szCs w:val="28"/>
          <w:highlight w:val="none"/>
          <w:lang w:val="en-US" w:eastAsia="zh-CN"/>
        </w:rPr>
        <w:tab/>
      </w:r>
    </w:p>
    <w:p w14:paraId="038389CE">
      <w:pPr>
        <w:pStyle w:val="3"/>
        <w:bidi w:val="0"/>
        <w:rPr>
          <w:rFonts w:ascii="Times New Roman" w:hAnsi="Times New Roman" w:eastAsia="宋体"/>
          <w:b w:val="0"/>
          <w:bCs/>
          <w:color w:val="auto"/>
          <w:highlight w:val="none"/>
        </w:rPr>
      </w:pPr>
      <w:bookmarkStart w:id="20" w:name="_Toc9964"/>
      <w:bookmarkStart w:id="21" w:name="_Toc3005"/>
      <w:bookmarkStart w:id="22" w:name="_Toc17417"/>
      <w:bookmarkStart w:id="23" w:name="_Toc1597"/>
      <w:r>
        <w:rPr>
          <w:rFonts w:hint="eastAsia" w:ascii="Times New Roman" w:hAnsi="Times New Roman" w:eastAsia="宋体"/>
          <w:b w:val="0"/>
          <w:bCs/>
          <w:color w:val="auto"/>
          <w:highlight w:val="none"/>
        </w:rPr>
        <w:t>三、响应、评审有关说明</w:t>
      </w:r>
      <w:bookmarkEnd w:id="20"/>
      <w:bookmarkEnd w:id="21"/>
      <w:bookmarkEnd w:id="22"/>
      <w:bookmarkEnd w:id="23"/>
      <w:bookmarkStart w:id="24" w:name="_Toc22048"/>
    </w:p>
    <w:p w14:paraId="32EEC96C">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（一）凡有意参加的</w:t>
      </w:r>
      <w:r>
        <w:rPr>
          <w:rFonts w:hint="eastAsia" w:cs="宋体"/>
          <w:color w:val="auto"/>
          <w:szCs w:val="28"/>
          <w:highlight w:val="none"/>
          <w:lang w:val="en-US" w:eastAsia="zh-CN"/>
        </w:rPr>
        <w:t>供应商</w:t>
      </w:r>
      <w:r>
        <w:rPr>
          <w:rFonts w:hint="eastAsia" w:ascii="Times New Roman" w:hAnsi="Times New Roman" w:eastAsia="宋体" w:cs="宋体"/>
          <w:color w:val="auto"/>
          <w:szCs w:val="28"/>
          <w:highlight w:val="none"/>
        </w:rPr>
        <w:t>，应通过“行采家”平台（https://www.gec123.com）进行注册，成为平台</w:t>
      </w:r>
      <w:r>
        <w:rPr>
          <w:rFonts w:hint="eastAsia" w:cs="宋体"/>
          <w:color w:val="auto"/>
          <w:szCs w:val="28"/>
          <w:highlight w:val="none"/>
          <w:lang w:val="en-US" w:eastAsia="zh-CN"/>
        </w:rPr>
        <w:t>入驻</w:t>
      </w:r>
      <w:r>
        <w:rPr>
          <w:rFonts w:hint="eastAsia" w:ascii="Times New Roman" w:hAnsi="Times New Roman" w:eastAsia="宋体" w:cs="宋体"/>
          <w:color w:val="auto"/>
          <w:szCs w:val="28"/>
          <w:highlight w:val="none"/>
        </w:rPr>
        <w:t>供应商</w:t>
      </w:r>
      <w:r>
        <w:rPr>
          <w:rFonts w:hint="eastAsia" w:ascii="Times New Roman" w:hAnsi="Times New Roman" w:eastAsia="宋体" w:cs="宋体"/>
          <w:color w:val="auto"/>
          <w:szCs w:val="28"/>
          <w:highlight w:val="none"/>
          <w:lang w:eastAsia="zh-CN"/>
        </w:rPr>
        <w:t>，</w:t>
      </w:r>
      <w:r>
        <w:rPr>
          <w:rFonts w:hint="eastAsia" w:ascii="Times New Roman" w:hAnsi="Times New Roman" w:eastAsia="宋体" w:cs="宋体"/>
          <w:color w:val="auto"/>
          <w:szCs w:val="28"/>
          <w:highlight w:val="none"/>
        </w:rPr>
        <w:t>在</w:t>
      </w:r>
      <w:r>
        <w:rPr>
          <w:rFonts w:hint="eastAsia" w:ascii="Times New Roman" w:hAnsi="Times New Roman" w:eastAsia="宋体" w:cs="宋体"/>
          <w:color w:val="auto"/>
          <w:szCs w:val="28"/>
          <w:highlight w:val="none"/>
          <w:lang w:eastAsia="zh-CN"/>
        </w:rPr>
        <w:t>网站</w:t>
      </w:r>
      <w:r>
        <w:rPr>
          <w:rFonts w:hint="eastAsia" w:ascii="Times New Roman" w:hAnsi="Times New Roman" w:eastAsia="宋体" w:cs="宋体"/>
          <w:color w:val="auto"/>
          <w:szCs w:val="28"/>
          <w:highlight w:val="none"/>
        </w:rPr>
        <w:t>下载本项目</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以及补遗等</w:t>
      </w: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w:t>
      </w:r>
      <w:r>
        <w:rPr>
          <w:rFonts w:hint="eastAsia" w:cs="宋体"/>
          <w:color w:val="auto"/>
          <w:szCs w:val="28"/>
          <w:highlight w:val="none"/>
          <w:lang w:val="en-US" w:eastAsia="zh-CN"/>
        </w:rPr>
        <w:t>时间</w:t>
      </w:r>
      <w:r>
        <w:rPr>
          <w:rFonts w:hint="eastAsia" w:ascii="Times New Roman" w:hAnsi="Times New Roman" w:eastAsia="宋体" w:cs="宋体"/>
          <w:color w:val="auto"/>
          <w:szCs w:val="28"/>
          <w:highlight w:val="none"/>
        </w:rPr>
        <w:t>前公布的所有项目资料，无论下载与否，均视为</w:t>
      </w:r>
      <w:r>
        <w:rPr>
          <w:rFonts w:hint="eastAsia" w:cs="宋体"/>
          <w:color w:val="auto"/>
          <w:szCs w:val="28"/>
          <w:highlight w:val="none"/>
          <w:lang w:val="en-US" w:eastAsia="zh-CN"/>
        </w:rPr>
        <w:t>其</w:t>
      </w:r>
      <w:r>
        <w:rPr>
          <w:rFonts w:hint="eastAsia" w:ascii="Times New Roman" w:hAnsi="Times New Roman" w:eastAsia="宋体" w:cs="宋体"/>
          <w:color w:val="auto"/>
          <w:szCs w:val="28"/>
          <w:highlight w:val="none"/>
        </w:rPr>
        <w:t>已知晓所有</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内容。</w:t>
      </w:r>
    </w:p>
    <w:p w14:paraId="7ED8DC20">
      <w:pPr>
        <w:snapToGrid w:val="0"/>
        <w:spacing w:line="480" w:lineRule="atLeast"/>
        <w:ind w:firstLine="560" w:firstLineChars="200"/>
        <w:rPr>
          <w:rFonts w:ascii="Times New Roman" w:hAnsi="Times New Roman" w:eastAsia="宋体" w:cs="宋体"/>
          <w:b w:val="0"/>
          <w:bCs w:val="0"/>
          <w:color w:val="auto"/>
          <w:szCs w:val="28"/>
          <w:highlight w:val="none"/>
        </w:rPr>
      </w:pPr>
      <w:r>
        <w:rPr>
          <w:rFonts w:hint="eastAsia" w:ascii="Times New Roman" w:hAnsi="Times New Roman" w:eastAsia="宋体" w:cs="宋体"/>
          <w:b w:val="0"/>
          <w:bCs w:val="0"/>
          <w:color w:val="auto"/>
          <w:szCs w:val="28"/>
          <w:highlight w:val="none"/>
        </w:rPr>
        <w:t>（二）报名期限</w:t>
      </w:r>
    </w:p>
    <w:p w14:paraId="00D4B864">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1.报名期限：</w:t>
      </w:r>
      <w:r>
        <w:rPr>
          <w:rFonts w:hint="eastAsia" w:cs="宋体"/>
          <w:bCs/>
          <w:color w:val="auto"/>
          <w:highlight w:val="none"/>
          <w:lang w:val="en-US" w:eastAsia="zh-CN"/>
        </w:rPr>
        <w:t>自公告发布之日起</w:t>
      </w:r>
      <w:r>
        <w:rPr>
          <w:rFonts w:hint="eastAsia" w:ascii="Times New Roman" w:hAnsi="Times New Roman" w:eastAsia="宋体" w:cs="宋体"/>
          <w:bCs/>
          <w:color w:val="auto"/>
          <w:highlight w:val="none"/>
        </w:rPr>
        <w:t>至</w:t>
      </w:r>
      <w:r>
        <w:rPr>
          <w:rFonts w:hint="eastAsia" w:cs="宋体"/>
          <w:bCs/>
          <w:color w:val="auto"/>
          <w:highlight w:val="none"/>
          <w:lang w:eastAsia="zh-CN"/>
        </w:rPr>
        <w:t>2025年</w:t>
      </w:r>
      <w:r>
        <w:rPr>
          <w:rFonts w:hint="eastAsia" w:cs="宋体"/>
          <w:bCs/>
          <w:color w:val="auto"/>
          <w:highlight w:val="none"/>
          <w:lang w:val="en-US" w:eastAsia="zh-CN"/>
        </w:rPr>
        <w:t>4</w:t>
      </w:r>
      <w:r>
        <w:rPr>
          <w:rFonts w:hint="eastAsia" w:ascii="Times New Roman" w:hAnsi="Times New Roman" w:eastAsia="宋体" w:cs="宋体"/>
          <w:bCs/>
          <w:color w:val="auto"/>
          <w:highlight w:val="none"/>
        </w:rPr>
        <w:t>月</w:t>
      </w:r>
      <w:r>
        <w:rPr>
          <w:rFonts w:hint="eastAsia" w:cs="宋体"/>
          <w:bCs/>
          <w:color w:val="auto"/>
          <w:highlight w:val="none"/>
          <w:lang w:val="en-US" w:eastAsia="zh-CN"/>
        </w:rPr>
        <w:t>11日</w:t>
      </w:r>
      <w:r>
        <w:rPr>
          <w:rFonts w:hint="eastAsia" w:ascii="Times New Roman" w:hAnsi="Times New Roman" w:eastAsia="宋体" w:cs="宋体"/>
          <w:bCs/>
          <w:color w:val="auto"/>
          <w:highlight w:val="none"/>
        </w:rPr>
        <w:t>1</w:t>
      </w:r>
      <w:r>
        <w:rPr>
          <w:rFonts w:hint="eastAsia" w:cs="宋体"/>
          <w:bCs/>
          <w:color w:val="auto"/>
          <w:highlight w:val="none"/>
          <w:lang w:val="en-US" w:eastAsia="zh-CN"/>
        </w:rPr>
        <w:t>7</w:t>
      </w:r>
      <w:r>
        <w:rPr>
          <w:rFonts w:hint="eastAsia" w:ascii="Times New Roman" w:hAnsi="Times New Roman" w:eastAsia="宋体" w:cs="宋体"/>
          <w:bCs/>
          <w:color w:val="auto"/>
          <w:highlight w:val="none"/>
        </w:rPr>
        <w:t>:00</w:t>
      </w:r>
      <w:r>
        <w:rPr>
          <w:rFonts w:hint="eastAsia" w:cs="宋体"/>
          <w:bCs/>
          <w:color w:val="auto"/>
          <w:highlight w:val="none"/>
          <w:lang w:eastAsia="zh-CN"/>
        </w:rPr>
        <w:t>前</w:t>
      </w:r>
      <w:r>
        <w:rPr>
          <w:rFonts w:hint="eastAsia" w:ascii="Times New Roman" w:hAnsi="Times New Roman" w:eastAsia="宋体" w:cs="宋体"/>
          <w:bCs/>
          <w:color w:val="auto"/>
          <w:highlight w:val="none"/>
        </w:rPr>
        <w:t>。</w:t>
      </w:r>
    </w:p>
    <w:p w14:paraId="534B0A9D">
      <w:pPr>
        <w:snapToGrid w:val="0"/>
        <w:spacing w:line="480" w:lineRule="atLeast"/>
        <w:ind w:firstLine="560" w:firstLineChars="200"/>
        <w:rPr>
          <w:rFonts w:hint="eastAsia" w:cs="宋体"/>
          <w:bCs/>
          <w:color w:val="auto"/>
          <w:highlight w:val="none"/>
          <w:lang w:val="en-US" w:eastAsia="zh-CN"/>
        </w:rPr>
      </w:pPr>
      <w:r>
        <w:rPr>
          <w:rFonts w:hint="eastAsia" w:ascii="Times New Roman" w:hAnsi="Times New Roman" w:eastAsia="宋体" w:cs="宋体"/>
          <w:bCs/>
          <w:color w:val="auto"/>
          <w:highlight w:val="none"/>
        </w:rPr>
        <w:t>2.</w:t>
      </w:r>
      <w:r>
        <w:rPr>
          <w:rFonts w:hint="eastAsia" w:cs="宋体"/>
          <w:bCs/>
          <w:color w:val="auto"/>
          <w:highlight w:val="none"/>
          <w:lang w:val="en-US" w:eastAsia="zh-CN"/>
        </w:rPr>
        <w:t>报名费：300元/家（售后不退），支付账户如下。</w:t>
      </w:r>
    </w:p>
    <w:p w14:paraId="7E56830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账户名称：重庆方采工程项目管理咨询有限公司</w:t>
      </w:r>
    </w:p>
    <w:p w14:paraId="2986D62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开户银行：重庆渝北银座村镇银行有限责任公司人和支行</w:t>
      </w:r>
    </w:p>
    <w:p w14:paraId="155FFDB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 号：651095368900015</w:t>
      </w:r>
    </w:p>
    <w:p w14:paraId="138AC663">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行 号：320653000442</w:t>
      </w:r>
    </w:p>
    <w:p w14:paraId="4635EDE5">
      <w:pPr>
        <w:snapToGrid w:val="0"/>
        <w:spacing w:line="480" w:lineRule="atLeast"/>
        <w:ind w:firstLine="560" w:firstLineChars="200"/>
        <w:rPr>
          <w:rFonts w:ascii="Times New Roman" w:hAnsi="Times New Roman" w:eastAsia="宋体" w:cs="宋体"/>
          <w:bCs/>
          <w:color w:val="auto"/>
          <w:highlight w:val="none"/>
        </w:rPr>
      </w:pPr>
      <w:r>
        <w:rPr>
          <w:rFonts w:hint="eastAsia" w:cs="宋体"/>
          <w:bCs/>
          <w:color w:val="auto"/>
          <w:highlight w:val="none"/>
          <w:lang w:val="en-US" w:eastAsia="zh-CN"/>
        </w:rPr>
        <w:t>3.</w:t>
      </w:r>
      <w:r>
        <w:rPr>
          <w:rFonts w:hint="eastAsia" w:ascii="Times New Roman" w:hAnsi="Times New Roman" w:eastAsia="宋体" w:cs="宋体"/>
          <w:bCs/>
          <w:color w:val="auto"/>
          <w:highlight w:val="none"/>
        </w:rPr>
        <w:t>报名</w:t>
      </w:r>
      <w:r>
        <w:rPr>
          <w:rFonts w:hint="eastAsia" w:cs="宋体"/>
          <w:bCs/>
          <w:color w:val="auto"/>
          <w:highlight w:val="none"/>
          <w:lang w:val="en-US" w:eastAsia="zh-CN"/>
        </w:rPr>
        <w:t>登记</w:t>
      </w:r>
      <w:r>
        <w:rPr>
          <w:rFonts w:hint="eastAsia" w:ascii="Times New Roman" w:hAnsi="Times New Roman" w:eastAsia="宋体" w:cs="宋体"/>
          <w:bCs/>
          <w:color w:val="auto"/>
          <w:highlight w:val="none"/>
        </w:rPr>
        <w:t>：在报名</w:t>
      </w:r>
      <w:r>
        <w:rPr>
          <w:rFonts w:hint="eastAsia" w:cs="宋体"/>
          <w:bCs/>
          <w:color w:val="auto"/>
          <w:highlight w:val="none"/>
          <w:lang w:val="en-US" w:eastAsia="zh-CN"/>
        </w:rPr>
        <w:t>期限</w:t>
      </w:r>
      <w:r>
        <w:rPr>
          <w:rFonts w:hint="eastAsia" w:ascii="Times New Roman" w:hAnsi="Times New Roman" w:eastAsia="宋体" w:cs="宋体"/>
          <w:bCs/>
          <w:color w:val="auto"/>
          <w:highlight w:val="none"/>
        </w:rPr>
        <w:t>内，</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w:t>
      </w:r>
      <w:r>
        <w:rPr>
          <w:rFonts w:hint="eastAsia" w:cs="宋体"/>
          <w:bCs/>
          <w:color w:val="auto"/>
          <w:highlight w:val="none"/>
          <w:lang w:eastAsia="zh-CN"/>
        </w:rPr>
        <w:t>报名费支付凭证及加盖公章的</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竞采报名</w:t>
      </w:r>
      <w:r>
        <w:rPr>
          <w:rFonts w:hint="eastAsia" w:ascii="Times New Roman" w:hAnsi="Times New Roman" w:eastAsia="宋体" w:cs="宋体"/>
          <w:bCs/>
          <w:color w:val="auto"/>
          <w:highlight w:val="none"/>
        </w:rPr>
        <w:t>登记表》扫描后发送至</w:t>
      </w:r>
      <w:r>
        <w:rPr>
          <w:rFonts w:hint="eastAsia" w:cs="宋体"/>
          <w:bCs/>
          <w:color w:val="auto"/>
          <w:highlight w:val="none"/>
          <w:lang w:val="en-US" w:eastAsia="zh-CN"/>
        </w:rPr>
        <w:t>1933815129@qq.com</w:t>
      </w:r>
      <w:r>
        <w:rPr>
          <w:rFonts w:hint="eastAsia" w:ascii="Times New Roman" w:hAnsi="Times New Roman" w:eastAsia="宋体" w:cs="宋体"/>
          <w:bCs/>
          <w:color w:val="auto"/>
          <w:highlight w:val="none"/>
        </w:rPr>
        <w:t>。（提示：</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机构对报名的潜在</w:t>
      </w:r>
      <w:r>
        <w:rPr>
          <w:rFonts w:hint="eastAsia" w:cs="宋体"/>
          <w:bCs/>
          <w:color w:val="auto"/>
          <w:highlight w:val="none"/>
          <w:lang w:eastAsia="zh-CN"/>
        </w:rPr>
        <w:t>供应商</w:t>
      </w:r>
      <w:r>
        <w:rPr>
          <w:rFonts w:hint="eastAsia" w:ascii="Times New Roman" w:hAnsi="Times New Roman" w:eastAsia="宋体" w:cs="宋体"/>
          <w:bCs/>
          <w:color w:val="auto"/>
          <w:highlight w:val="none"/>
        </w:rPr>
        <w:t>信用记录进行查询）。</w:t>
      </w:r>
    </w:p>
    <w:p w14:paraId="72C2084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 w:val="0"/>
          <w:bCs/>
          <w:color w:val="auto"/>
          <w:highlight w:val="none"/>
        </w:rPr>
        <w:t>注：</w:t>
      </w:r>
      <w:r>
        <w:rPr>
          <w:rFonts w:hint="eastAsia" w:cs="宋体"/>
          <w:bCs/>
          <w:color w:val="auto"/>
          <w:highlight w:val="none"/>
          <w:lang w:val="en-US" w:eastAsia="zh-CN"/>
        </w:rPr>
        <w:t>只有在报名期限内完成了报名手续并按时签到的供应商</w:t>
      </w:r>
      <w:r>
        <w:rPr>
          <w:rFonts w:hint="eastAsia" w:ascii="Times New Roman" w:hAnsi="Times New Roman" w:eastAsia="宋体" w:cs="宋体"/>
          <w:bCs/>
          <w:color w:val="auto"/>
          <w:highlight w:val="none"/>
        </w:rPr>
        <w:t>，其</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rPr>
        <w:t>才被接收。</w:t>
      </w:r>
    </w:p>
    <w:p w14:paraId="73C6E7FE">
      <w:pPr>
        <w:snapToGrid w:val="0"/>
        <w:spacing w:line="480" w:lineRule="atLeast"/>
        <w:ind w:firstLine="560" w:firstLineChars="200"/>
        <w:rPr>
          <w:rFonts w:hint="eastAsia" w:ascii="Times New Roman" w:hAnsi="Times New Roman" w:eastAsia="宋体" w:cs="宋体"/>
          <w:b w:val="0"/>
          <w:bCs w:val="0"/>
          <w:color w:val="auto"/>
          <w:szCs w:val="28"/>
          <w:highlight w:val="none"/>
          <w:lang w:eastAsia="zh-CN"/>
        </w:rPr>
      </w:pPr>
      <w:r>
        <w:rPr>
          <w:rFonts w:hint="eastAsia" w:ascii="Times New Roman" w:hAnsi="Times New Roman" w:eastAsia="宋体" w:cs="宋体"/>
          <w:b w:val="0"/>
          <w:bCs w:val="0"/>
          <w:color w:val="auto"/>
          <w:szCs w:val="28"/>
          <w:highlight w:val="none"/>
        </w:rPr>
        <w:t>（四）</w:t>
      </w:r>
      <w:r>
        <w:rPr>
          <w:rFonts w:hint="eastAsia" w:cs="宋体"/>
          <w:b w:val="0"/>
          <w:bCs w:val="0"/>
          <w:color w:val="auto"/>
          <w:szCs w:val="28"/>
          <w:highlight w:val="none"/>
          <w:lang w:eastAsia="zh-CN"/>
        </w:rPr>
        <w:t>响应文件</w:t>
      </w:r>
    </w:p>
    <w:p w14:paraId="0C14225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color w:val="auto"/>
          <w:szCs w:val="28"/>
          <w:highlight w:val="none"/>
          <w:lang w:eastAsia="zh-CN"/>
        </w:rPr>
      </w:pPr>
      <w:bookmarkStart w:id="25" w:name="_Toc14264"/>
      <w:bookmarkStart w:id="26" w:name="_Toc394"/>
      <w:bookmarkStart w:id="27" w:name="_Toc17573"/>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w:t>
      </w:r>
      <w:r>
        <w:rPr>
          <w:rFonts w:hint="eastAsia" w:cs="宋体"/>
          <w:color w:val="auto"/>
          <w:szCs w:val="28"/>
          <w:highlight w:val="none"/>
          <w:lang w:val="en-US" w:eastAsia="zh-CN"/>
        </w:rPr>
        <w:t>本项目竞采文件要求制作响应文件，</w:t>
      </w:r>
      <w:r>
        <w:rPr>
          <w:rFonts w:hint="eastAsia" w:ascii="Times New Roman" w:hAnsi="Times New Roman" w:eastAsia="宋体" w:cs="宋体"/>
          <w:bCs/>
          <w:color w:val="auto"/>
          <w:highlight w:val="none"/>
        </w:rPr>
        <w:t>规定签字、盖章的地方必须按其规定签字、盖章，未按要求制作</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的进行无效响应处理</w:t>
      </w:r>
      <w:r>
        <w:rPr>
          <w:rFonts w:hint="eastAsia" w:cs="宋体"/>
          <w:bCs/>
          <w:color w:val="auto"/>
          <w:highlight w:val="none"/>
          <w:lang w:eastAsia="zh-CN"/>
        </w:rPr>
        <w:t>。</w:t>
      </w:r>
    </w:p>
    <w:p w14:paraId="2E64787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Cs/>
          <w:color w:val="auto"/>
          <w:highlight w:val="none"/>
        </w:rPr>
      </w:pPr>
      <w:r>
        <w:rPr>
          <w:rFonts w:hint="eastAsia" w:cs="宋体"/>
          <w:bCs/>
          <w:color w:val="auto"/>
          <w:highlight w:val="none"/>
          <w:lang w:val="en-US" w:eastAsia="zh-CN"/>
        </w:rPr>
        <w:t>2</w:t>
      </w:r>
      <w:r>
        <w:rPr>
          <w:rFonts w:hint="eastAsia" w:ascii="Times New Roman" w:hAnsi="Times New Roman" w:eastAsia="宋体" w:cs="宋体"/>
          <w:bCs/>
          <w:color w:val="auto"/>
          <w:highlight w:val="none"/>
        </w:rPr>
        <w:t>.</w:t>
      </w:r>
      <w:r>
        <w:rPr>
          <w:rFonts w:hint="eastAsia" w:cs="宋体"/>
          <w:bCs/>
          <w:color w:val="auto"/>
          <w:highlight w:val="none"/>
          <w:lang w:eastAsia="zh-CN"/>
        </w:rPr>
        <w:t>供应商</w:t>
      </w:r>
      <w:r>
        <w:rPr>
          <w:rFonts w:hint="eastAsia" w:ascii="Times New Roman" w:hAnsi="Times New Roman" w:eastAsia="宋体" w:cs="宋体"/>
          <w:bCs/>
          <w:color w:val="auto"/>
          <w:highlight w:val="none"/>
        </w:rPr>
        <w:t>提供的响应材料要求真实可靠，</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rPr>
        <w:t>可对响应材料真实性进行核查，如有虚假，取消</w:t>
      </w:r>
      <w:r>
        <w:rPr>
          <w:rFonts w:hint="eastAsia" w:cs="宋体"/>
          <w:bCs/>
          <w:color w:val="auto"/>
          <w:highlight w:val="none"/>
          <w:lang w:val="en-US" w:eastAsia="zh-CN"/>
        </w:rPr>
        <w:t>成交</w:t>
      </w:r>
      <w:r>
        <w:rPr>
          <w:rFonts w:hint="eastAsia" w:ascii="Times New Roman" w:hAnsi="Times New Roman" w:eastAsia="宋体" w:cs="宋体"/>
          <w:bCs/>
          <w:color w:val="auto"/>
          <w:highlight w:val="none"/>
        </w:rPr>
        <w:t>资格或者解除合同，并赔偿由此造成</w:t>
      </w:r>
      <w:r>
        <w:rPr>
          <w:rFonts w:hint="eastAsia" w:cs="宋体"/>
          <w:bCs/>
          <w:color w:val="auto"/>
          <w:highlight w:val="none"/>
          <w:lang w:eastAsia="zh-CN"/>
        </w:rPr>
        <w:t>采购人</w:t>
      </w:r>
      <w:r>
        <w:rPr>
          <w:rFonts w:hint="eastAsia" w:ascii="Times New Roman" w:hAnsi="Times New Roman" w:eastAsia="宋体" w:cs="宋体"/>
          <w:bCs/>
          <w:color w:val="auto"/>
          <w:highlight w:val="none"/>
        </w:rPr>
        <w:t>的经济损失。</w:t>
      </w:r>
    </w:p>
    <w:p w14:paraId="52566D81">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bookmarkStart w:id="28" w:name="_Toc27708"/>
      <w:r>
        <w:rPr>
          <w:rFonts w:hint="eastAsia" w:ascii="Times New Roman" w:hAnsi="Times New Roman" w:eastAsia="宋体" w:cs="宋体"/>
          <w:b w:val="0"/>
          <w:bCs/>
          <w:i w:val="0"/>
          <w:iCs w:val="0"/>
          <w:color w:val="auto"/>
          <w:highlight w:val="none"/>
          <w:lang w:val="en-US" w:eastAsia="zh-CN"/>
        </w:rPr>
        <w:t>3.请参与本项目竞采的供应商于</w:t>
      </w:r>
      <w:r>
        <w:rPr>
          <w:rFonts w:hint="eastAsia" w:cs="宋体"/>
          <w:b w:val="0"/>
          <w:bCs/>
          <w:i w:val="0"/>
          <w:iCs w:val="0"/>
          <w:color w:val="auto"/>
          <w:highlight w:val="none"/>
          <w:lang w:val="en-US" w:eastAsia="zh-CN"/>
        </w:rPr>
        <w:t>2025年4</w:t>
      </w:r>
      <w:r>
        <w:rPr>
          <w:rFonts w:hint="eastAsia" w:ascii="Times New Roman" w:hAnsi="Times New Roman" w:eastAsia="宋体" w:cs="宋体"/>
          <w:b w:val="0"/>
          <w:bCs/>
          <w:i w:val="0"/>
          <w:iCs w:val="0"/>
          <w:color w:val="auto"/>
          <w:highlight w:val="none"/>
          <w:lang w:val="en-US" w:eastAsia="zh-CN"/>
        </w:rPr>
        <w:t>月</w:t>
      </w:r>
      <w:r>
        <w:rPr>
          <w:rFonts w:hint="eastAsia" w:cs="宋体"/>
          <w:b w:val="0"/>
          <w:bCs/>
          <w:i w:val="0"/>
          <w:iCs w:val="0"/>
          <w:color w:val="auto"/>
          <w:highlight w:val="none"/>
          <w:lang w:val="en-US" w:eastAsia="zh-CN"/>
        </w:rPr>
        <w:t>14</w:t>
      </w:r>
      <w:r>
        <w:rPr>
          <w:rFonts w:hint="eastAsia" w:ascii="Times New Roman" w:hAnsi="Times New Roman" w:eastAsia="宋体" w:cs="宋体"/>
          <w:b w:val="0"/>
          <w:bCs/>
          <w:i w:val="0"/>
          <w:iCs w:val="0"/>
          <w:color w:val="auto"/>
          <w:highlight w:val="none"/>
          <w:lang w:val="en-US" w:eastAsia="zh-CN"/>
        </w:rPr>
        <w:t>日</w:t>
      </w:r>
      <w:r>
        <w:rPr>
          <w:rFonts w:hint="eastAsia" w:cs="宋体"/>
          <w:b w:val="0"/>
          <w:bCs/>
          <w:i w:val="0"/>
          <w:iCs w:val="0"/>
          <w:color w:val="auto"/>
          <w:highlight w:val="none"/>
          <w:lang w:val="en-US" w:eastAsia="zh-CN"/>
        </w:rPr>
        <w:t>17</w:t>
      </w:r>
      <w:r>
        <w:rPr>
          <w:rFonts w:hint="eastAsia" w:ascii="Times New Roman" w:hAnsi="Times New Roman" w:eastAsia="宋体" w:cs="宋体"/>
          <w:b w:val="0"/>
          <w:bCs/>
          <w:i w:val="0"/>
          <w:iCs w:val="0"/>
          <w:color w:val="auto"/>
          <w:highlight w:val="none"/>
          <w:lang w:val="en-US" w:eastAsia="zh-CN"/>
        </w:rPr>
        <w:t>时00分前在本项目公告电子竞采页面线上完成报价和递交平台服务费，并于</w:t>
      </w:r>
      <w:r>
        <w:rPr>
          <w:rFonts w:hint="eastAsia" w:cs="宋体"/>
          <w:b w:val="0"/>
          <w:bCs/>
          <w:i w:val="0"/>
          <w:iCs w:val="0"/>
          <w:color w:val="auto"/>
          <w:highlight w:val="none"/>
          <w:lang w:val="en-US" w:eastAsia="zh-CN"/>
        </w:rPr>
        <w:t>下列</w:t>
      </w:r>
      <w:r>
        <w:rPr>
          <w:rFonts w:hint="eastAsia" w:ascii="Times New Roman" w:hAnsi="Times New Roman" w:eastAsia="宋体" w:cs="宋体"/>
          <w:b w:val="0"/>
          <w:bCs/>
          <w:i w:val="0"/>
          <w:iCs w:val="0"/>
          <w:color w:val="auto"/>
          <w:highlight w:val="none"/>
          <w:lang w:val="en-US" w:eastAsia="zh-CN"/>
        </w:rPr>
        <w:t>规定的时间地点递交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lang w:val="en-US" w:eastAsia="zh-CN"/>
        </w:rPr>
        <w:t>，根据网站电子竞采规则，未</w:t>
      </w:r>
      <w:r>
        <w:rPr>
          <w:rFonts w:hint="eastAsia" w:cs="宋体"/>
          <w:b w:val="0"/>
          <w:bCs/>
          <w:i w:val="0"/>
          <w:iCs w:val="0"/>
          <w:color w:val="auto"/>
          <w:highlight w:val="none"/>
          <w:lang w:val="en-US" w:eastAsia="zh-CN"/>
        </w:rPr>
        <w:t>在线上</w:t>
      </w:r>
      <w:r>
        <w:rPr>
          <w:rFonts w:hint="eastAsia" w:ascii="Times New Roman" w:hAnsi="Times New Roman" w:eastAsia="宋体" w:cs="宋体"/>
          <w:b w:val="0"/>
          <w:bCs/>
          <w:i w:val="0"/>
          <w:iCs w:val="0"/>
          <w:color w:val="auto"/>
          <w:highlight w:val="none"/>
          <w:lang w:val="en-US" w:eastAsia="zh-CN"/>
        </w:rPr>
        <w:t>报价的单位</w:t>
      </w:r>
      <w:r>
        <w:rPr>
          <w:rFonts w:hint="eastAsia" w:cs="宋体"/>
          <w:b w:val="0"/>
          <w:bCs/>
          <w:i w:val="0"/>
          <w:iCs w:val="0"/>
          <w:color w:val="auto"/>
          <w:highlight w:val="none"/>
          <w:lang w:val="en-US" w:eastAsia="zh-CN"/>
        </w:rPr>
        <w:t>其响应文件</w:t>
      </w:r>
      <w:r>
        <w:rPr>
          <w:rFonts w:hint="eastAsia" w:ascii="Times New Roman" w:hAnsi="Times New Roman" w:eastAsia="宋体" w:cs="宋体"/>
          <w:b w:val="0"/>
          <w:bCs/>
          <w:i w:val="0"/>
          <w:iCs w:val="0"/>
          <w:color w:val="auto"/>
          <w:highlight w:val="none"/>
          <w:lang w:val="en-US" w:eastAsia="zh-CN"/>
        </w:rPr>
        <w:t>将不予接收</w:t>
      </w:r>
      <w:r>
        <w:rPr>
          <w:rFonts w:hint="eastAsia" w:cs="宋体"/>
          <w:b w:val="0"/>
          <w:bCs/>
          <w:i w:val="0"/>
          <w:iCs w:val="0"/>
          <w:color w:val="auto"/>
          <w:highlight w:val="none"/>
          <w:lang w:val="en-US" w:eastAsia="zh-CN"/>
        </w:rPr>
        <w:t>。</w:t>
      </w:r>
      <w:r>
        <w:rPr>
          <w:rFonts w:hint="eastAsia" w:cs="宋体"/>
          <w:b/>
          <w:bCs w:val="0"/>
          <w:i w:val="0"/>
          <w:iCs w:val="0"/>
          <w:color w:val="auto"/>
          <w:highlight w:val="none"/>
          <w:lang w:val="en-US" w:eastAsia="zh-CN"/>
        </w:rPr>
        <w:t>供应商线上报价时须上传《报价函》扫描件，但线上报价与纸质响应文件报价不一致的，以线上报价为准进行评审</w:t>
      </w:r>
      <w:r>
        <w:rPr>
          <w:rFonts w:hint="eastAsia" w:ascii="Times New Roman" w:hAnsi="Times New Roman" w:eastAsia="宋体" w:cs="宋体"/>
          <w:b w:val="0"/>
          <w:bCs/>
          <w:i w:val="0"/>
          <w:iCs w:val="0"/>
          <w:color w:val="auto"/>
          <w:highlight w:val="none"/>
        </w:rPr>
        <w:t>。</w:t>
      </w:r>
      <w:bookmarkStart w:id="29" w:name="_Toc30922"/>
    </w:p>
    <w:p w14:paraId="3C1258BF">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lang w:val="en-US" w:eastAsia="zh-CN"/>
        </w:rPr>
      </w:pP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五</w:t>
      </w:r>
      <w:r>
        <w:rPr>
          <w:rFonts w:hint="eastAsia" w:ascii="Times New Roman" w:hAnsi="Times New Roman" w:eastAsia="宋体" w:cs="宋体"/>
          <w:b w:val="0"/>
          <w:bCs/>
          <w:i w:val="0"/>
          <w:iCs w:val="0"/>
          <w:color w:val="auto"/>
          <w:highlight w:val="none"/>
        </w:rPr>
        <w:t>）递交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地点：</w:t>
      </w:r>
      <w:r>
        <w:rPr>
          <w:rFonts w:hint="eastAsia" w:cs="宋体"/>
          <w:bCs/>
          <w:color w:val="auto"/>
          <w:highlight w:val="none"/>
          <w:lang w:val="en-US" w:eastAsia="zh-CN"/>
        </w:rPr>
        <w:t>重庆市农业综合行政执法总队</w:t>
      </w:r>
      <w:r>
        <w:rPr>
          <w:rFonts w:hint="eastAsia" w:ascii="Times New Roman" w:hAnsi="Times New Roman" w:eastAsia="宋体" w:cs="宋体"/>
          <w:bCs/>
          <w:color w:val="auto"/>
          <w:highlight w:val="none"/>
          <w:lang w:eastAsia="zh-CN"/>
        </w:rPr>
        <w:t>会议室</w:t>
      </w:r>
      <w:r>
        <w:rPr>
          <w:rFonts w:hint="eastAsia" w:cs="宋体"/>
          <w:bCs/>
          <w:color w:val="auto"/>
          <w:highlight w:val="none"/>
          <w:lang w:val="en-US" w:eastAsia="zh-CN"/>
        </w:rPr>
        <w:t>（</w:t>
      </w:r>
      <w:r>
        <w:rPr>
          <w:rFonts w:hint="eastAsia" w:ascii="Times New Roman" w:hAnsi="Times New Roman" w:eastAsia="宋体" w:cs="宋体"/>
          <w:bCs/>
          <w:color w:val="auto"/>
          <w:highlight w:val="none"/>
        </w:rPr>
        <w:t>重庆市江北区建新东路3号附1号</w:t>
      </w:r>
      <w:r>
        <w:rPr>
          <w:rFonts w:hint="eastAsia" w:ascii="Times New Roman" w:hAnsi="Times New Roman" w:eastAsia="宋体" w:cs="宋体"/>
          <w:bCs/>
          <w:color w:val="auto"/>
          <w:highlight w:val="none"/>
          <w:lang w:eastAsia="zh-CN"/>
        </w:rPr>
        <w:t>会议室</w:t>
      </w:r>
      <w:r>
        <w:rPr>
          <w:rFonts w:hint="eastAsia" w:cs="宋体"/>
          <w:bCs/>
          <w:color w:val="auto"/>
          <w:highlight w:val="none"/>
          <w:lang w:val="en-US" w:eastAsia="zh-CN"/>
        </w:rPr>
        <w:t>）</w:t>
      </w:r>
      <w:bookmarkEnd w:id="29"/>
      <w:bookmarkStart w:id="30" w:name="_Toc30794"/>
      <w:r>
        <w:rPr>
          <w:rFonts w:hint="eastAsia" w:cs="宋体"/>
          <w:bCs/>
          <w:color w:val="auto"/>
          <w:highlight w:val="none"/>
          <w:lang w:val="en-US" w:eastAsia="zh-CN"/>
        </w:rPr>
        <w:t>。</w:t>
      </w:r>
    </w:p>
    <w:p w14:paraId="4D32924F">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cs="宋体"/>
          <w:b w:val="0"/>
          <w:bCs/>
          <w:i w:val="0"/>
          <w:iCs w:val="0"/>
          <w:color w:val="auto"/>
          <w:highlight w:val="none"/>
          <w:lang w:val="en-US" w:eastAsia="zh-CN"/>
        </w:rPr>
        <w:t>六</w:t>
      </w: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递交时间：</w:t>
      </w:r>
      <w:r>
        <w:rPr>
          <w:rFonts w:hint="eastAsia" w:cs="宋体"/>
          <w:b w:val="0"/>
          <w:bCs/>
          <w:i w:val="0"/>
          <w:iCs w:val="0"/>
          <w:color w:val="auto"/>
          <w:highlight w:val="none"/>
          <w:lang w:val="en-US" w:eastAsia="zh-CN"/>
        </w:rPr>
        <w:t>2025年4</w:t>
      </w:r>
      <w:r>
        <w:rPr>
          <w:rFonts w:hint="eastAsia" w:ascii="Times New Roman" w:hAnsi="Times New Roman" w:eastAsia="宋体" w:cs="宋体"/>
          <w:b w:val="0"/>
          <w:bCs/>
          <w:i w:val="0"/>
          <w:iCs w:val="0"/>
          <w:color w:val="auto"/>
          <w:highlight w:val="none"/>
        </w:rPr>
        <w:t>月</w:t>
      </w:r>
      <w:r>
        <w:rPr>
          <w:rFonts w:hint="eastAsia" w:cs="宋体"/>
          <w:b w:val="0"/>
          <w:bCs/>
          <w:i w:val="0"/>
          <w:iCs w:val="0"/>
          <w:color w:val="auto"/>
          <w:highlight w:val="none"/>
          <w:lang w:val="en-US" w:eastAsia="zh-CN"/>
        </w:rPr>
        <w:t>15</w:t>
      </w:r>
      <w:r>
        <w:rPr>
          <w:rFonts w:hint="eastAsia" w:ascii="Times New Roman" w:hAnsi="Times New Roman" w:eastAsia="宋体" w:cs="宋体"/>
          <w:b w:val="0"/>
          <w:bCs/>
          <w:i w:val="0"/>
          <w:iCs w:val="0"/>
          <w:color w:val="auto"/>
          <w:highlight w:val="none"/>
        </w:rPr>
        <w:t>日北京时间</w:t>
      </w:r>
      <w:r>
        <w:rPr>
          <w:rFonts w:hint="eastAsia" w:ascii="Times New Roman" w:hAnsi="Times New Roman" w:cs="宋体"/>
          <w:b w:val="0"/>
          <w:bCs/>
          <w:i w:val="0"/>
          <w:iCs w:val="0"/>
          <w:color w:val="auto"/>
          <w:highlight w:val="none"/>
          <w:u w:val="single"/>
          <w:lang w:val="en-US" w:eastAsia="zh-CN"/>
        </w:rPr>
        <w:t xml:space="preserve"> </w:t>
      </w:r>
      <w:r>
        <w:rPr>
          <w:rFonts w:hint="eastAsia" w:cs="宋体"/>
          <w:b w:val="0"/>
          <w:bCs/>
          <w:i w:val="0"/>
          <w:iCs w:val="0"/>
          <w:color w:val="auto"/>
          <w:highlight w:val="none"/>
          <w:u w:val="single"/>
          <w:lang w:val="en-US" w:eastAsia="zh-CN"/>
        </w:rPr>
        <w:t>09:30-10:00</w:t>
      </w:r>
      <w:r>
        <w:rPr>
          <w:rFonts w:hint="eastAsia" w:ascii="Times New Roman" w:hAnsi="Times New Roman" w:eastAsia="宋体" w:cs="宋体"/>
          <w:b w:val="0"/>
          <w:bCs/>
          <w:i w:val="0"/>
          <w:iCs w:val="0"/>
          <w:color w:val="auto"/>
          <w:highlight w:val="none"/>
        </w:rPr>
        <w:t>。</w:t>
      </w:r>
      <w:bookmarkEnd w:id="30"/>
      <w:bookmarkStart w:id="31" w:name="_Toc368"/>
    </w:p>
    <w:p w14:paraId="0C58F4A5">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七</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时间：</w:t>
      </w:r>
      <w:r>
        <w:rPr>
          <w:rFonts w:hint="eastAsia" w:cs="宋体"/>
          <w:b w:val="0"/>
          <w:bCs/>
          <w:i w:val="0"/>
          <w:iCs w:val="0"/>
          <w:color w:val="auto"/>
          <w:highlight w:val="none"/>
          <w:lang w:val="en-US" w:eastAsia="zh-CN"/>
        </w:rPr>
        <w:t>2025年4</w:t>
      </w:r>
      <w:r>
        <w:rPr>
          <w:rFonts w:hint="eastAsia" w:ascii="Times New Roman" w:hAnsi="Times New Roman" w:cs="宋体"/>
          <w:b w:val="0"/>
          <w:bCs/>
          <w:i w:val="0"/>
          <w:iCs w:val="0"/>
          <w:color w:val="auto"/>
          <w:highlight w:val="none"/>
          <w:lang w:val="en-US" w:eastAsia="zh-CN"/>
        </w:rPr>
        <w:t>月</w:t>
      </w:r>
      <w:r>
        <w:rPr>
          <w:rFonts w:hint="eastAsia" w:cs="宋体"/>
          <w:b w:val="0"/>
          <w:bCs/>
          <w:i w:val="0"/>
          <w:iCs w:val="0"/>
          <w:color w:val="auto"/>
          <w:highlight w:val="none"/>
          <w:lang w:val="en-US" w:eastAsia="zh-CN"/>
        </w:rPr>
        <w:t>15</w:t>
      </w:r>
      <w:r>
        <w:rPr>
          <w:rFonts w:hint="eastAsia" w:ascii="Times New Roman" w:hAnsi="Times New Roman" w:cs="宋体"/>
          <w:b w:val="0"/>
          <w:bCs/>
          <w:i w:val="0"/>
          <w:iCs w:val="0"/>
          <w:color w:val="auto"/>
          <w:highlight w:val="none"/>
          <w:lang w:val="en-US" w:eastAsia="zh-CN"/>
        </w:rPr>
        <w:t>日</w:t>
      </w:r>
      <w:r>
        <w:rPr>
          <w:rFonts w:hint="eastAsia" w:ascii="Times New Roman" w:hAnsi="Times New Roman" w:cs="宋体"/>
          <w:b w:val="0"/>
          <w:bCs/>
          <w:i w:val="0"/>
          <w:iCs w:val="0"/>
          <w:color w:val="auto"/>
          <w:highlight w:val="none"/>
          <w:u w:val="single"/>
          <w:lang w:val="en-US" w:eastAsia="zh-CN"/>
        </w:rPr>
        <w:t>1</w:t>
      </w:r>
      <w:r>
        <w:rPr>
          <w:rFonts w:hint="eastAsia" w:cs="宋体"/>
          <w:b w:val="0"/>
          <w:bCs/>
          <w:i w:val="0"/>
          <w:iCs w:val="0"/>
          <w:color w:val="auto"/>
          <w:highlight w:val="none"/>
          <w:u w:val="single"/>
          <w:lang w:val="en-US" w:eastAsia="zh-CN"/>
        </w:rPr>
        <w:t>0:0</w:t>
      </w:r>
      <w:r>
        <w:rPr>
          <w:rFonts w:hint="eastAsia" w:ascii="Times New Roman" w:hAnsi="Times New Roman" w:cs="宋体"/>
          <w:b w:val="0"/>
          <w:bCs/>
          <w:i w:val="0"/>
          <w:iCs w:val="0"/>
          <w:color w:val="auto"/>
          <w:highlight w:val="none"/>
          <w:u w:val="single"/>
          <w:lang w:val="en-US" w:eastAsia="zh-CN"/>
        </w:rPr>
        <w:t>0</w:t>
      </w:r>
      <w:r>
        <w:rPr>
          <w:rFonts w:hint="eastAsia" w:ascii="Times New Roman" w:hAnsi="Times New Roman" w:eastAsia="宋体" w:cs="宋体"/>
          <w:b w:val="0"/>
          <w:bCs/>
          <w:i w:val="0"/>
          <w:iCs w:val="0"/>
          <w:color w:val="auto"/>
          <w:highlight w:val="none"/>
        </w:rPr>
        <w:t>。</w:t>
      </w:r>
      <w:bookmarkEnd w:id="31"/>
    </w:p>
    <w:p w14:paraId="4161040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cs="宋体"/>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八</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地点：</w:t>
      </w:r>
      <w:r>
        <w:rPr>
          <w:rFonts w:hint="eastAsia" w:ascii="Times New Roman" w:hAnsi="Times New Roman" w:eastAsia="宋体" w:cs="宋体"/>
          <w:b w:val="0"/>
          <w:bCs/>
          <w:i w:val="0"/>
          <w:iCs w:val="0"/>
          <w:color w:val="auto"/>
          <w:highlight w:val="none"/>
          <w:lang w:val="en-US" w:eastAsia="zh-CN"/>
        </w:rPr>
        <w:t>同递交响应文件地点</w:t>
      </w:r>
      <w:r>
        <w:rPr>
          <w:rFonts w:hint="eastAsia" w:ascii="Times New Roman" w:hAnsi="Times New Roman" w:eastAsia="宋体" w:cs="宋体"/>
          <w:b w:val="0"/>
          <w:bCs/>
          <w:i w:val="0"/>
          <w:iCs w:val="0"/>
          <w:color w:val="auto"/>
          <w:highlight w:val="none"/>
        </w:rPr>
        <w:t>。</w:t>
      </w:r>
      <w:bookmarkEnd w:id="28"/>
    </w:p>
    <w:p w14:paraId="14B97686">
      <w:pPr>
        <w:pStyle w:val="3"/>
        <w:bidi w:val="0"/>
        <w:rPr>
          <w:rFonts w:ascii="Times New Roman" w:hAnsi="Times New Roman" w:eastAsia="宋体"/>
          <w:color w:val="auto"/>
          <w:highlight w:val="none"/>
        </w:rPr>
      </w:pPr>
      <w:r>
        <w:rPr>
          <w:rFonts w:hint="eastAsia" w:ascii="Times New Roman" w:hAnsi="Times New Roman" w:eastAsia="宋体"/>
          <w:color w:val="auto"/>
          <w:highlight w:val="none"/>
        </w:rPr>
        <w:t>四、</w:t>
      </w:r>
      <w:r>
        <w:rPr>
          <w:rFonts w:hint="eastAsia" w:ascii="Times New Roman" w:hAnsi="Times New Roman"/>
          <w:color w:val="auto"/>
          <w:highlight w:val="none"/>
          <w:lang w:val="en-US" w:eastAsia="zh-CN"/>
        </w:rPr>
        <w:t>采购有关</w:t>
      </w:r>
      <w:r>
        <w:rPr>
          <w:rFonts w:hint="eastAsia" w:ascii="Times New Roman" w:hAnsi="Times New Roman" w:eastAsia="宋体"/>
          <w:color w:val="auto"/>
          <w:highlight w:val="none"/>
        </w:rPr>
        <w:t>规定</w:t>
      </w:r>
      <w:bookmarkEnd w:id="25"/>
      <w:bookmarkEnd w:id="26"/>
      <w:bookmarkEnd w:id="27"/>
    </w:p>
    <w:p w14:paraId="290B82A4">
      <w:pPr>
        <w:pageBreakBefore w:val="0"/>
        <w:kinsoku/>
        <w:overflowPunct/>
        <w:topLinePunct w:val="0"/>
        <w:autoSpaceDE/>
        <w:autoSpaceDN/>
        <w:bidi w:val="0"/>
        <w:adjustRightInd/>
        <w:snapToGrid w:val="0"/>
        <w:spacing w:line="480" w:lineRule="atLeast"/>
        <w:ind w:firstLine="560" w:firstLineChars="200"/>
        <w:textAlignment w:val="auto"/>
        <w:rPr>
          <w:rFonts w:hint="eastAsia" w:ascii="Times New Roman" w:hAnsi="Times New Roman" w:eastAsia="宋体" w:cs="宋体"/>
          <w:b w:val="0"/>
          <w:bCs/>
          <w:color w:val="auto"/>
          <w:highlight w:val="none"/>
        </w:rPr>
      </w:pPr>
      <w:bookmarkStart w:id="32" w:name="_Toc16480"/>
      <w:r>
        <w:rPr>
          <w:rFonts w:hint="eastAsia" w:ascii="Times New Roman" w:hAnsi="Times New Roman" w:eastAsia="宋体" w:cs="宋体"/>
          <w:b w:val="0"/>
          <w:bCs/>
          <w:color w:val="auto"/>
          <w:highlight w:val="none"/>
        </w:rPr>
        <w:t>（一）单位负责人为同一人或者存在直接控股、管理关系的不同</w:t>
      </w:r>
      <w:r>
        <w:rPr>
          <w:rFonts w:hint="eastAsia" w:cs="宋体"/>
          <w:b w:val="0"/>
          <w:bCs/>
          <w:color w:val="auto"/>
          <w:highlight w:val="none"/>
          <w:lang w:eastAsia="zh-CN"/>
        </w:rPr>
        <w:t>供应商</w:t>
      </w:r>
      <w:r>
        <w:rPr>
          <w:rFonts w:hint="eastAsia" w:ascii="Times New Roman" w:hAnsi="Times New Roman" w:eastAsia="宋体" w:cs="宋体"/>
          <w:b w:val="0"/>
          <w:bCs/>
          <w:color w:val="auto"/>
          <w:highlight w:val="none"/>
        </w:rPr>
        <w:t>，不得参加同一合同项（包）下的</w:t>
      </w:r>
      <w:r>
        <w:rPr>
          <w:rFonts w:hint="eastAsia" w:cs="宋体"/>
          <w:b w:val="0"/>
          <w:bCs/>
          <w:color w:val="auto"/>
          <w:highlight w:val="none"/>
          <w:lang w:val="en-US" w:eastAsia="zh-CN"/>
        </w:rPr>
        <w:t>竞采</w:t>
      </w:r>
      <w:r>
        <w:rPr>
          <w:rFonts w:hint="eastAsia" w:ascii="Times New Roman" w:hAnsi="Times New Roman" w:eastAsia="宋体" w:cs="宋体"/>
          <w:b w:val="0"/>
          <w:bCs/>
          <w:color w:val="auto"/>
          <w:highlight w:val="none"/>
        </w:rPr>
        <w:t>活动。</w:t>
      </w:r>
    </w:p>
    <w:p w14:paraId="574BA02B">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二</w:t>
      </w:r>
      <w:r>
        <w:rPr>
          <w:rFonts w:hint="eastAsia" w:ascii="Times New Roman" w:hAnsi="Times New Roman" w:eastAsia="宋体" w:cs="宋体"/>
          <w:bCs/>
          <w:color w:val="auto"/>
          <w:highlight w:val="none"/>
        </w:rPr>
        <w:t>）为</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项目提供整体设计、规范编制或者项目管理、监理、检测等服务的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，不得再参加该项目</w:t>
      </w:r>
      <w:r>
        <w:rPr>
          <w:rFonts w:hint="eastAsia" w:cs="宋体"/>
          <w:bCs/>
          <w:color w:val="auto"/>
          <w:highlight w:val="none"/>
          <w:lang w:val="en-US" w:eastAsia="zh-CN"/>
        </w:rPr>
        <w:t>范围内</w:t>
      </w:r>
      <w:r>
        <w:rPr>
          <w:rFonts w:hint="eastAsia" w:ascii="Times New Roman" w:hAnsi="Times New Roman" w:eastAsia="宋体" w:cs="宋体"/>
          <w:bCs/>
          <w:color w:val="auto"/>
          <w:highlight w:val="none"/>
        </w:rPr>
        <w:t>的其他</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775EF6FF">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三</w:t>
      </w:r>
      <w:r>
        <w:rPr>
          <w:rFonts w:hint="eastAsia" w:ascii="Times New Roman" w:hAnsi="Times New Roman" w:eastAsia="宋体" w:cs="宋体"/>
          <w:bCs/>
          <w:color w:val="auto"/>
          <w:highlight w:val="none"/>
        </w:rPr>
        <w:t>）本项目若有澄清文件一律在</w:t>
      </w:r>
      <w:r>
        <w:rPr>
          <w:rFonts w:hint="eastAsia" w:cs="宋体"/>
          <w:bCs/>
          <w:color w:val="auto"/>
          <w:highlight w:val="none"/>
          <w:lang w:eastAsia="zh-CN"/>
        </w:rPr>
        <w:t>“</w:t>
      </w:r>
      <w:r>
        <w:rPr>
          <w:rFonts w:hint="eastAsia" w:cs="宋体"/>
          <w:bCs/>
          <w:color w:val="auto"/>
          <w:highlight w:val="none"/>
          <w:lang w:val="en-US" w:eastAsia="zh-CN"/>
        </w:rPr>
        <w:t>行采家</w:t>
      </w:r>
      <w:r>
        <w:rPr>
          <w:rFonts w:hint="eastAsia" w:cs="宋体"/>
          <w:bCs/>
          <w:color w:val="auto"/>
          <w:highlight w:val="none"/>
          <w:lang w:eastAsia="zh-CN"/>
        </w:rPr>
        <w:t>”</w:t>
      </w:r>
      <w:r>
        <w:rPr>
          <w:rFonts w:hint="eastAsia" w:ascii="Times New Roman" w:hAnsi="Times New Roman" w:eastAsia="宋体" w:cs="宋体"/>
          <w:bCs/>
          <w:color w:val="auto"/>
          <w:highlight w:val="none"/>
        </w:rPr>
        <w:t>上发布，请各</w:t>
      </w:r>
      <w:r>
        <w:rPr>
          <w:rFonts w:hint="eastAsia" w:cs="宋体"/>
          <w:bCs/>
          <w:color w:val="auto"/>
          <w:highlight w:val="none"/>
          <w:lang w:eastAsia="zh-CN"/>
        </w:rPr>
        <w:t>供应商</w:t>
      </w:r>
      <w:r>
        <w:rPr>
          <w:rFonts w:hint="eastAsia" w:ascii="Times New Roman" w:hAnsi="Times New Roman" w:eastAsia="宋体" w:cs="宋体"/>
          <w:bCs/>
          <w:color w:val="auto"/>
          <w:highlight w:val="none"/>
        </w:rPr>
        <w:t>注意下载或到</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机构领取；无论</w:t>
      </w:r>
      <w:r>
        <w:rPr>
          <w:rFonts w:hint="eastAsia" w:cs="宋体"/>
          <w:bCs/>
          <w:color w:val="auto"/>
          <w:highlight w:val="none"/>
          <w:lang w:eastAsia="zh-CN"/>
        </w:rPr>
        <w:t>供应商</w:t>
      </w:r>
      <w:r>
        <w:rPr>
          <w:rFonts w:hint="eastAsia" w:ascii="Times New Roman" w:hAnsi="Times New Roman" w:eastAsia="宋体" w:cs="宋体"/>
          <w:bCs/>
          <w:color w:val="auto"/>
          <w:highlight w:val="none"/>
        </w:rPr>
        <w:t>下载或领取与否，均视同</w:t>
      </w:r>
      <w:r>
        <w:rPr>
          <w:rFonts w:hint="eastAsia" w:cs="宋体"/>
          <w:bCs/>
          <w:color w:val="auto"/>
          <w:highlight w:val="none"/>
          <w:lang w:eastAsia="zh-CN"/>
        </w:rPr>
        <w:t>供应商</w:t>
      </w:r>
      <w:r>
        <w:rPr>
          <w:rFonts w:hint="eastAsia" w:ascii="Times New Roman" w:hAnsi="Times New Roman" w:eastAsia="宋体" w:cs="宋体"/>
          <w:bCs/>
          <w:color w:val="auto"/>
          <w:highlight w:val="none"/>
        </w:rPr>
        <w:t>已知晓本项目澄清文件的内容。</w:t>
      </w:r>
    </w:p>
    <w:p w14:paraId="34C3D87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四</w:t>
      </w:r>
      <w:r>
        <w:rPr>
          <w:rFonts w:hint="eastAsia" w:ascii="Times New Roman" w:hAnsi="Times New Roman" w:eastAsia="宋体" w:cs="宋体"/>
          <w:bCs/>
          <w:color w:val="auto"/>
          <w:highlight w:val="none"/>
        </w:rPr>
        <w:t>）超过响应截止时间递交的</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，恕不接收。</w:t>
      </w:r>
    </w:p>
    <w:p w14:paraId="516261C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五</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费用：无论结果如何，</w:t>
      </w:r>
      <w:r>
        <w:rPr>
          <w:rFonts w:hint="eastAsia" w:cs="宋体"/>
          <w:bCs/>
          <w:color w:val="auto"/>
          <w:highlight w:val="none"/>
          <w:lang w:eastAsia="zh-CN"/>
        </w:rPr>
        <w:t>供应商</w:t>
      </w:r>
      <w:r>
        <w:rPr>
          <w:rFonts w:hint="eastAsia" w:ascii="Times New Roman" w:hAnsi="Times New Roman" w:eastAsia="宋体" w:cs="宋体"/>
          <w:bCs/>
          <w:color w:val="auto"/>
          <w:highlight w:val="none"/>
        </w:rPr>
        <w:t>参与本项目</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的所有费用均应由</w:t>
      </w:r>
      <w:r>
        <w:rPr>
          <w:rFonts w:hint="eastAsia" w:cs="宋体"/>
          <w:bCs/>
          <w:color w:val="auto"/>
          <w:highlight w:val="none"/>
          <w:lang w:eastAsia="zh-CN"/>
        </w:rPr>
        <w:t>供应商</w:t>
      </w:r>
      <w:r>
        <w:rPr>
          <w:rFonts w:hint="eastAsia" w:ascii="Times New Roman" w:hAnsi="Times New Roman" w:eastAsia="宋体" w:cs="宋体"/>
          <w:bCs/>
          <w:color w:val="auto"/>
          <w:highlight w:val="none"/>
        </w:rPr>
        <w:t>自行承担。</w:t>
      </w:r>
    </w:p>
    <w:p w14:paraId="43E899A8">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六</w:t>
      </w:r>
      <w:r>
        <w:rPr>
          <w:rFonts w:hint="eastAsia" w:ascii="Times New Roman" w:hAnsi="Times New Roman" w:eastAsia="宋体" w:cs="宋体"/>
          <w:bCs/>
          <w:color w:val="auto"/>
          <w:highlight w:val="none"/>
        </w:rPr>
        <w:t>）</w:t>
      </w:r>
      <w:r>
        <w:rPr>
          <w:rFonts w:hint="eastAsia" w:ascii="Times New Roman" w:hAnsi="Times New Roman" w:eastAsia="宋体" w:cs="宋体"/>
          <w:b/>
          <w:bCs w:val="0"/>
          <w:color w:val="auto"/>
          <w:highlight w:val="none"/>
        </w:rPr>
        <w:t>本项目不接受联合体参与</w:t>
      </w:r>
      <w:r>
        <w:rPr>
          <w:rFonts w:hint="eastAsia" w:cs="宋体"/>
          <w:b/>
          <w:bCs w:val="0"/>
          <w:color w:val="auto"/>
          <w:highlight w:val="none"/>
          <w:lang w:val="en-US" w:eastAsia="zh-CN"/>
        </w:rPr>
        <w:t>竞采</w:t>
      </w:r>
      <w:r>
        <w:rPr>
          <w:rFonts w:hint="eastAsia" w:ascii="Times New Roman" w:hAnsi="Times New Roman" w:eastAsia="宋体" w:cs="宋体"/>
          <w:b/>
          <w:bCs w:val="0"/>
          <w:color w:val="auto"/>
          <w:highlight w:val="none"/>
        </w:rPr>
        <w:t>，否则按</w:t>
      </w:r>
      <w:r>
        <w:rPr>
          <w:rFonts w:hint="eastAsia" w:cs="宋体"/>
          <w:b/>
          <w:bCs w:val="0"/>
          <w:color w:val="auto"/>
          <w:highlight w:val="none"/>
          <w:lang w:eastAsia="zh-CN"/>
        </w:rPr>
        <w:t>无效响应</w:t>
      </w:r>
      <w:r>
        <w:rPr>
          <w:rFonts w:hint="eastAsia" w:ascii="Times New Roman" w:hAnsi="Times New Roman" w:eastAsia="宋体" w:cs="宋体"/>
          <w:b/>
          <w:bCs w:val="0"/>
          <w:color w:val="auto"/>
          <w:highlight w:val="none"/>
        </w:rPr>
        <w:t>处理。</w:t>
      </w:r>
    </w:p>
    <w:p w14:paraId="6AB2B68F">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七</w:t>
      </w:r>
      <w:r>
        <w:rPr>
          <w:rFonts w:hint="eastAsia" w:ascii="Times New Roman" w:hAnsi="Times New Roman" w:eastAsia="宋体" w:cs="宋体"/>
          <w:bCs/>
          <w:color w:val="auto"/>
          <w:highlight w:val="none"/>
        </w:rPr>
        <w:t>）</w:t>
      </w:r>
      <w:r>
        <w:rPr>
          <w:rFonts w:hint="eastAsia" w:ascii="Times New Roman" w:hAnsi="Times New Roman" w:eastAsia="宋体" w:cs="宋体"/>
          <w:b/>
          <w:bCs w:val="0"/>
          <w:color w:val="auto"/>
          <w:highlight w:val="none"/>
        </w:rPr>
        <w:t>本项目不接受合同分包，否则按</w:t>
      </w:r>
      <w:r>
        <w:rPr>
          <w:rFonts w:hint="eastAsia" w:cs="宋体"/>
          <w:b/>
          <w:bCs w:val="0"/>
          <w:color w:val="auto"/>
          <w:highlight w:val="none"/>
          <w:lang w:eastAsia="zh-CN"/>
        </w:rPr>
        <w:t>无效响应</w:t>
      </w:r>
      <w:r>
        <w:rPr>
          <w:rFonts w:hint="eastAsia" w:ascii="Times New Roman" w:hAnsi="Times New Roman" w:eastAsia="宋体" w:cs="宋体"/>
          <w:b/>
          <w:bCs w:val="0"/>
          <w:color w:val="auto"/>
          <w:highlight w:val="none"/>
        </w:rPr>
        <w:t>处理。</w:t>
      </w:r>
    </w:p>
    <w:p w14:paraId="23D33657">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八</w:t>
      </w:r>
      <w:r>
        <w:rPr>
          <w:rFonts w:hint="eastAsia" w:ascii="Times New Roman" w:hAnsi="Times New Roman" w:eastAsia="宋体" w:cs="宋体"/>
          <w:bCs/>
          <w:color w:val="auto"/>
          <w:highlight w:val="none"/>
        </w:rPr>
        <w:t>）按照《财政部关于在政府采购活动中查询及使用信用记录有关问题的通知》财库〔2016〕125号，</w:t>
      </w:r>
      <w:r>
        <w:rPr>
          <w:rFonts w:hint="eastAsia" w:cs="宋体"/>
          <w:bCs/>
          <w:color w:val="auto"/>
          <w:highlight w:val="none"/>
          <w:lang w:eastAsia="zh-CN"/>
        </w:rPr>
        <w:t>供应商</w:t>
      </w:r>
      <w:r>
        <w:rPr>
          <w:rFonts w:hint="eastAsia" w:ascii="Times New Roman" w:hAnsi="Times New Roman" w:eastAsia="宋体" w:cs="宋体"/>
          <w:bCs/>
          <w:color w:val="auto"/>
          <w:highlight w:val="none"/>
        </w:rPr>
        <w:t>列入失信被执行人、重大税收违法案件当事人名单、政府采购严重违法失信行为记录名单及其他不符合《中华人民共和国政府采购法》第二十二条规定条件的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，将拒绝其参与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0E4F7E95">
      <w:pPr>
        <w:pStyle w:val="3"/>
        <w:bidi w:val="0"/>
        <w:rPr>
          <w:rFonts w:hint="default" w:ascii="Times New Roman" w:hAnsi="Times New Roman" w:eastAsia="宋体"/>
          <w:color w:val="auto"/>
          <w:highlight w:val="none"/>
          <w:lang w:val="en-US" w:eastAsia="zh-CN"/>
        </w:rPr>
      </w:pPr>
      <w:bookmarkStart w:id="33" w:name="_Toc18235"/>
      <w:bookmarkStart w:id="34" w:name="_Toc3504"/>
      <w:bookmarkStart w:id="35" w:name="_Toc9158"/>
      <w:r>
        <w:rPr>
          <w:rFonts w:hint="eastAsia" w:ascii="Times New Roman" w:hAnsi="Times New Roman" w:eastAsia="宋体"/>
          <w:color w:val="auto"/>
          <w:highlight w:val="none"/>
        </w:rPr>
        <w:t>五、</w:t>
      </w:r>
      <w:bookmarkEnd w:id="33"/>
      <w:r>
        <w:rPr>
          <w:rFonts w:hint="eastAsia" w:ascii="Times New Roman" w:hAnsi="Times New Roman"/>
          <w:color w:val="auto"/>
          <w:highlight w:val="none"/>
          <w:lang w:val="en-US" w:eastAsia="zh-CN"/>
        </w:rPr>
        <w:t>竞采保证金</w:t>
      </w:r>
    </w:p>
    <w:p w14:paraId="1753DB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（一）转账方式</w:t>
      </w:r>
    </w:p>
    <w:p w14:paraId="2145E5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应足额交纳</w:t>
      </w:r>
      <w:r>
        <w:rPr>
          <w:rFonts w:hint="eastAsia" w:cs="宋体"/>
          <w:bCs/>
          <w:color w:val="auto"/>
          <w:highlight w:val="none"/>
          <w:lang w:val="en-US" w:eastAsia="zh-CN"/>
        </w:rPr>
        <w:t>竞采保证金</w:t>
      </w:r>
      <w:r>
        <w:rPr>
          <w:rFonts w:hint="eastAsia" w:ascii="Times New Roman" w:hAnsi="Times New Roman" w:eastAsia="宋体" w:cs="宋体"/>
          <w:bCs/>
          <w:color w:val="auto"/>
          <w:highlight w:val="none"/>
          <w:lang w:val="en-US" w:eastAsia="zh-CN"/>
        </w:rPr>
        <w:t>（保证金金额详见本篇“一”），并汇至下列账户，保证金的到账截止时间同</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lang w:val="en-US" w:eastAsia="zh-CN"/>
        </w:rPr>
        <w:t>递交截止时间，</w:t>
      </w:r>
      <w:r>
        <w:rPr>
          <w:rFonts w:hint="eastAsia" w:cs="宋体"/>
          <w:bCs/>
          <w:color w:val="auto"/>
          <w:highlight w:val="none"/>
          <w:lang w:val="en-US" w:eastAsia="zh-CN"/>
        </w:rPr>
        <w:t>须</w:t>
      </w:r>
      <w:r>
        <w:rPr>
          <w:rFonts w:hint="eastAsia" w:ascii="Times New Roman" w:hAnsi="Times New Roman" w:eastAsia="宋体" w:cs="宋体"/>
          <w:b/>
          <w:bCs w:val="0"/>
          <w:color w:val="auto"/>
          <w:highlight w:val="none"/>
          <w:lang w:val="en-US" w:eastAsia="zh-CN"/>
        </w:rPr>
        <w:t>备注项目名称</w:t>
      </w:r>
      <w:r>
        <w:rPr>
          <w:rFonts w:hint="eastAsia" w:ascii="Times New Roman" w:hAnsi="Times New Roman" w:eastAsia="宋体" w:cs="宋体"/>
          <w:bCs/>
          <w:color w:val="auto"/>
          <w:highlight w:val="none"/>
          <w:lang w:val="en-US" w:eastAsia="zh-CN"/>
        </w:rPr>
        <w:t>以便于识别</w:t>
      </w:r>
      <w:r>
        <w:rPr>
          <w:rFonts w:hint="eastAsia" w:cs="宋体"/>
          <w:bCs/>
          <w:color w:val="auto"/>
          <w:highlight w:val="none"/>
          <w:lang w:val="en-US" w:eastAsia="zh-CN"/>
        </w:rPr>
        <w:t>，项目名称可简写</w:t>
      </w:r>
      <w:r>
        <w:rPr>
          <w:rFonts w:hint="eastAsia" w:ascii="Times New Roman" w:hAnsi="Times New Roman" w:eastAsia="宋体" w:cs="宋体"/>
          <w:bCs/>
          <w:color w:val="auto"/>
          <w:highlight w:val="none"/>
          <w:lang w:val="en-US" w:eastAsia="zh-CN"/>
        </w:rPr>
        <w:t>。</w:t>
      </w:r>
      <w:r>
        <w:rPr>
          <w:rFonts w:hint="eastAsia" w:cs="宋体"/>
          <w:bCs/>
          <w:color w:val="auto"/>
          <w:highlight w:val="none"/>
          <w:lang w:val="en-US" w:eastAsia="zh-CN"/>
        </w:rPr>
        <w:t>保证金账户同报名费缴纳账户。</w:t>
      </w:r>
    </w:p>
    <w:p w14:paraId="5777129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2、各</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在银行转账（电汇）时，须充分考虑银行转账（电汇）的时间差风险，如同城转账、异地转账或汇款、跨行转账或电汇的时间要求。</w:t>
      </w:r>
    </w:p>
    <w:p w14:paraId="5E105A4F">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（二）保证金退还方式</w:t>
      </w:r>
    </w:p>
    <w:p w14:paraId="1D97B2A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1.未</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通知书发放后，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机构在五个工作日内按来款渠道直接退还。</w:t>
      </w:r>
    </w:p>
    <w:p w14:paraId="6745EC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的保证金在与</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lang w:val="en-US" w:eastAsia="zh-CN"/>
        </w:rPr>
        <w:t>签订合同后，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公司在五个工作日内按资金来款渠道直接退还。</w:t>
      </w:r>
    </w:p>
    <w:p w14:paraId="3D9CE3A9">
      <w:pPr>
        <w:pStyle w:val="3"/>
        <w:bidi w:val="0"/>
        <w:rPr>
          <w:rFonts w:hint="eastAsia" w:ascii="Times New Roman" w:hAnsi="Times New Roman"/>
          <w:color w:val="auto"/>
          <w:highlight w:val="none"/>
          <w:lang w:val="en-US" w:eastAsia="zh-CN"/>
        </w:rPr>
      </w:pPr>
      <w:bookmarkStart w:id="36" w:name="_Toc4426"/>
      <w:r>
        <w:rPr>
          <w:rFonts w:hint="eastAsia" w:ascii="Times New Roman" w:hAnsi="Times New Roman"/>
          <w:color w:val="auto"/>
          <w:highlight w:val="none"/>
          <w:lang w:val="en-US" w:eastAsia="zh-CN"/>
        </w:rPr>
        <w:t>六、行采家平台服务费</w:t>
      </w:r>
    </w:p>
    <w:p w14:paraId="235CBCA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1.供应商于前述时间</w:t>
      </w:r>
      <w:r>
        <w:rPr>
          <w:rFonts w:hint="eastAsia" w:ascii="Times New Roman" w:hAnsi="Times New Roman" w:eastAsia="宋体" w:cs="宋体"/>
          <w:bCs/>
          <w:color w:val="auto"/>
          <w:highlight w:val="none"/>
          <w:lang w:val="en-US" w:eastAsia="zh-CN"/>
        </w:rPr>
        <w:t>在本项目公告</w:t>
      </w:r>
      <w:r>
        <w:rPr>
          <w:rFonts w:hint="eastAsia" w:cs="宋体"/>
          <w:bCs/>
          <w:color w:val="auto"/>
          <w:highlight w:val="none"/>
          <w:lang w:val="en-US" w:eastAsia="zh-CN"/>
        </w:rPr>
        <w:t>网上</w:t>
      </w:r>
      <w:r>
        <w:rPr>
          <w:rFonts w:hint="eastAsia" w:ascii="Times New Roman" w:hAnsi="Times New Roman" w:eastAsia="宋体" w:cs="宋体"/>
          <w:bCs/>
          <w:color w:val="auto"/>
          <w:highlight w:val="none"/>
          <w:lang w:val="en-US" w:eastAsia="zh-CN"/>
        </w:rPr>
        <w:t>竞采页面线上完成报价</w:t>
      </w:r>
      <w:r>
        <w:rPr>
          <w:rFonts w:hint="eastAsia" w:cs="宋体"/>
          <w:bCs/>
          <w:color w:val="auto"/>
          <w:highlight w:val="none"/>
          <w:lang w:val="en-US" w:eastAsia="zh-CN"/>
        </w:rPr>
        <w:t>的同时</w:t>
      </w:r>
      <w:r>
        <w:rPr>
          <w:rFonts w:hint="eastAsia" w:ascii="Times New Roman" w:hAnsi="Times New Roman" w:eastAsia="宋体" w:cs="宋体"/>
          <w:bCs/>
          <w:color w:val="auto"/>
          <w:highlight w:val="none"/>
          <w:lang w:val="en-US" w:eastAsia="zh-CN"/>
        </w:rPr>
        <w:t>递交</w:t>
      </w:r>
      <w:r>
        <w:rPr>
          <w:rFonts w:hint="eastAsia" w:cs="宋体"/>
          <w:bCs/>
          <w:color w:val="auto"/>
          <w:highlight w:val="none"/>
          <w:lang w:val="en-US" w:eastAsia="zh-CN"/>
        </w:rPr>
        <w:t>平台服务费，平台服务费</w:t>
      </w:r>
      <w:r>
        <w:rPr>
          <w:rFonts w:hint="eastAsia" w:ascii="Times New Roman" w:hAnsi="Times New Roman" w:eastAsia="宋体" w:cs="宋体"/>
          <w:bCs/>
          <w:color w:val="auto"/>
          <w:highlight w:val="none"/>
          <w:lang w:val="en-US" w:eastAsia="zh-CN"/>
        </w:rPr>
        <w:t>由行采家网站代收代管，</w:t>
      </w:r>
      <w:r>
        <w:rPr>
          <w:rFonts w:hint="eastAsia" w:cs="宋体"/>
          <w:bCs/>
          <w:color w:val="auto"/>
          <w:highlight w:val="none"/>
          <w:lang w:val="en-US" w:eastAsia="zh-CN"/>
        </w:rPr>
        <w:t>金额为项目预算金额的3‰（计算后不足100元的，按100元收取，20000元封顶），不递交平台服务费的将无法提交报价。</w:t>
      </w:r>
    </w:p>
    <w:p w14:paraId="105E65BB">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2.</w:t>
      </w:r>
      <w:r>
        <w:rPr>
          <w:rFonts w:hint="eastAsia" w:ascii="Times New Roman" w:hAnsi="Times New Roman" w:eastAsia="宋体" w:cs="宋体"/>
          <w:bCs/>
          <w:color w:val="auto"/>
          <w:highlight w:val="none"/>
          <w:lang w:val="en-US" w:eastAsia="zh-CN"/>
        </w:rPr>
        <w:t>未</w:t>
      </w:r>
      <w:r>
        <w:rPr>
          <w:rFonts w:hint="eastAsia" w:cs="宋体"/>
          <w:bCs/>
          <w:color w:val="auto"/>
          <w:highlight w:val="none"/>
          <w:lang w:val="en-US" w:eastAsia="zh-CN"/>
        </w:rPr>
        <w:t>成交供应商平台服务费在评审结果公告发布后由</w:t>
      </w:r>
      <w:r>
        <w:rPr>
          <w:rFonts w:hint="eastAsia" w:ascii="Times New Roman" w:hAnsi="Times New Roman" w:eastAsia="宋体" w:cs="宋体"/>
          <w:bCs/>
          <w:color w:val="auto"/>
          <w:highlight w:val="none"/>
          <w:lang w:val="en-US" w:eastAsia="zh-CN"/>
        </w:rPr>
        <w:t>平台原路</w:t>
      </w:r>
      <w:r>
        <w:rPr>
          <w:rFonts w:hint="eastAsia" w:cs="宋体"/>
          <w:bCs/>
          <w:color w:val="auto"/>
          <w:highlight w:val="none"/>
          <w:lang w:val="en-US" w:eastAsia="zh-CN"/>
        </w:rPr>
        <w:t>全额</w:t>
      </w:r>
      <w:r>
        <w:rPr>
          <w:rFonts w:hint="eastAsia" w:ascii="Times New Roman" w:hAnsi="Times New Roman" w:eastAsia="宋体" w:cs="宋体"/>
          <w:bCs/>
          <w:color w:val="auto"/>
          <w:highlight w:val="none"/>
          <w:lang w:val="en-US" w:eastAsia="zh-CN"/>
        </w:rPr>
        <w:t>退还</w:t>
      </w:r>
      <w:r>
        <w:rPr>
          <w:rFonts w:hint="eastAsia" w:cs="宋体"/>
          <w:bCs/>
          <w:color w:val="auto"/>
          <w:highlight w:val="none"/>
          <w:lang w:val="en-US" w:eastAsia="zh-CN"/>
        </w:rPr>
        <w:t>；</w:t>
      </w:r>
    </w:p>
    <w:p w14:paraId="35929A3D">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cs="宋体"/>
          <w:bCs/>
          <w:color w:val="auto"/>
          <w:highlight w:val="none"/>
          <w:lang w:val="en-US" w:eastAsia="zh-CN"/>
        </w:rPr>
        <w:t>3.成交供应商应缴纳的平台服务费</w:t>
      </w:r>
      <w:r>
        <w:rPr>
          <w:rFonts w:hint="eastAsia" w:ascii="Times New Roman" w:hAnsi="Times New Roman" w:eastAsia="宋体" w:cs="宋体"/>
          <w:bCs/>
          <w:color w:val="auto"/>
          <w:highlight w:val="none"/>
          <w:lang w:val="en-US" w:eastAsia="zh-CN"/>
        </w:rPr>
        <w:t>由</w:t>
      </w:r>
      <w:r>
        <w:rPr>
          <w:rFonts w:hint="eastAsia" w:cs="宋体"/>
          <w:bCs/>
          <w:color w:val="auto"/>
          <w:highlight w:val="none"/>
          <w:lang w:val="en-US" w:eastAsia="zh-CN"/>
        </w:rPr>
        <w:t>平台</w:t>
      </w:r>
      <w:r>
        <w:rPr>
          <w:rFonts w:hint="eastAsia" w:ascii="Times New Roman" w:hAnsi="Times New Roman" w:eastAsia="宋体" w:cs="宋体"/>
          <w:bCs/>
          <w:color w:val="auto"/>
          <w:highlight w:val="none"/>
          <w:lang w:val="en-US" w:eastAsia="zh-CN"/>
        </w:rPr>
        <w:t>根据</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金额</w:t>
      </w:r>
      <w:r>
        <w:rPr>
          <w:rFonts w:hint="eastAsia" w:cs="宋体"/>
          <w:bCs/>
          <w:color w:val="auto"/>
          <w:highlight w:val="none"/>
          <w:lang w:val="en-US" w:eastAsia="zh-CN"/>
        </w:rPr>
        <w:t>据实计算，费率为3‰，（计算后不足100元的，按100元收取，20000元封顶），平台服务费减去应缴纳平台服务费后的多余部分（如有）将原路退还。</w:t>
      </w:r>
    </w:p>
    <w:p w14:paraId="2DC620B8">
      <w:pPr>
        <w:pStyle w:val="3"/>
        <w:bidi w:val="0"/>
        <w:rPr>
          <w:rFonts w:ascii="Times New Roman" w:hAnsi="Times New Roman" w:eastAsia="宋体"/>
          <w:color w:val="auto"/>
          <w:highlight w:val="none"/>
        </w:rPr>
      </w:pPr>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联系方式</w:t>
      </w:r>
      <w:bookmarkEnd w:id="32"/>
      <w:bookmarkEnd w:id="34"/>
      <w:bookmarkEnd w:id="35"/>
      <w:bookmarkEnd w:id="36"/>
    </w:p>
    <w:p w14:paraId="267677F0">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lang w:eastAsia="zh-CN"/>
        </w:rPr>
        <w:t>（</w:t>
      </w:r>
      <w:r>
        <w:rPr>
          <w:rFonts w:hint="eastAsia" w:ascii="Times New Roman" w:hAnsi="Times New Roman" w:eastAsia="宋体" w:cs="宋体"/>
          <w:bCs/>
          <w:color w:val="auto"/>
          <w:highlight w:val="none"/>
          <w:lang w:val="en-US" w:eastAsia="zh-CN"/>
        </w:rPr>
        <w:t>一</w:t>
      </w:r>
      <w:r>
        <w:rPr>
          <w:rFonts w:hint="eastAsia" w:ascii="Times New Roman" w:hAnsi="Times New Roman" w:eastAsia="宋体" w:cs="宋体"/>
          <w:bCs/>
          <w:color w:val="auto"/>
          <w:highlight w:val="none"/>
          <w:lang w:eastAsia="zh-CN"/>
        </w:rPr>
        <w:t>）</w:t>
      </w:r>
      <w:r>
        <w:rPr>
          <w:rFonts w:hint="eastAsia" w:cs="宋体"/>
          <w:bCs/>
          <w:color w:val="auto"/>
          <w:highlight w:val="none"/>
          <w:lang w:eastAsia="zh-CN"/>
        </w:rPr>
        <w:t>采购人</w:t>
      </w:r>
      <w:r>
        <w:rPr>
          <w:rFonts w:hint="eastAsia" w:ascii="Times New Roman" w:hAnsi="Times New Roman" w:eastAsia="宋体" w:cs="宋体"/>
          <w:bCs/>
          <w:color w:val="auto"/>
          <w:highlight w:val="none"/>
        </w:rPr>
        <w:t>：</w:t>
      </w:r>
      <w:r>
        <w:rPr>
          <w:rFonts w:hint="eastAsia" w:cs="宋体"/>
          <w:bCs/>
          <w:color w:val="auto"/>
          <w:highlight w:val="none"/>
          <w:lang w:val="en-US" w:eastAsia="zh-CN"/>
        </w:rPr>
        <w:t>重庆市农业综合行政执法总队</w:t>
      </w:r>
    </w:p>
    <w:p w14:paraId="514CC40F">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穆</w:t>
      </w:r>
      <w:r>
        <w:rPr>
          <w:rFonts w:hint="eastAsia" w:cs="宋体"/>
          <w:bCs/>
          <w:color w:val="auto"/>
          <w:highlight w:val="none"/>
          <w:lang w:eastAsia="zh-CN"/>
        </w:rPr>
        <w:t>老师</w:t>
      </w:r>
      <w:r>
        <w:rPr>
          <w:rFonts w:hint="eastAsia" w:ascii="Times New Roman" w:hAnsi="Times New Roman" w:eastAsia="宋体" w:cs="宋体"/>
          <w:bCs/>
          <w:color w:val="auto"/>
          <w:highlight w:val="none"/>
          <w:lang w:val="en-US" w:eastAsia="zh-CN"/>
        </w:rPr>
        <w:t xml:space="preserve">  </w:t>
      </w:r>
    </w:p>
    <w:p w14:paraId="49B0E5A7">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023-</w:t>
      </w:r>
      <w:r>
        <w:rPr>
          <w:rFonts w:hint="eastAsia" w:ascii="Times New Roman" w:hAnsi="Times New Roman" w:eastAsia="宋体" w:cs="宋体"/>
          <w:bCs/>
          <w:color w:val="auto"/>
          <w:highlight w:val="none"/>
          <w:lang w:val="en-US" w:eastAsia="zh-CN"/>
        </w:rPr>
        <w:t>67633052</w:t>
      </w:r>
    </w:p>
    <w:p w14:paraId="4F3DDCB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址：重庆市江北区建新东路3号附1号</w:t>
      </w:r>
      <w:r>
        <w:rPr>
          <w:rFonts w:hint="eastAsia" w:cs="宋体"/>
          <w:bCs/>
          <w:color w:val="auto"/>
          <w:highlight w:val="none"/>
        </w:rPr>
        <w:t xml:space="preserve"> </w:t>
      </w:r>
      <w:r>
        <w:rPr>
          <w:rFonts w:hint="eastAsia" w:ascii="Times New Roman" w:hAnsi="Times New Roman" w:eastAsia="宋体" w:cs="宋体"/>
          <w:bCs/>
          <w:color w:val="auto"/>
          <w:highlight w:val="none"/>
        </w:rPr>
        <w:t xml:space="preserve">       </w:t>
      </w:r>
    </w:p>
    <w:p w14:paraId="238D0654">
      <w:pPr>
        <w:snapToGrid w:val="0"/>
        <w:spacing w:line="480" w:lineRule="atLeast"/>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（二）代理机构：</w:t>
      </w:r>
      <w:r>
        <w:rPr>
          <w:rFonts w:hint="eastAsia" w:cs="宋体"/>
          <w:bCs/>
          <w:color w:val="auto"/>
          <w:highlight w:val="none"/>
          <w:lang w:eastAsia="zh-CN"/>
        </w:rPr>
        <w:t>重庆方采工程项目管理咨询有限公司</w:t>
      </w:r>
    </w:p>
    <w:p w14:paraId="6FA59E68">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李</w:t>
      </w:r>
      <w:r>
        <w:rPr>
          <w:rFonts w:hint="eastAsia" w:ascii="Times New Roman" w:hAnsi="Times New Roman" w:eastAsia="宋体" w:cs="宋体"/>
          <w:bCs/>
          <w:color w:val="auto"/>
          <w:highlight w:val="none"/>
        </w:rPr>
        <w:t>老师</w:t>
      </w:r>
    </w:p>
    <w:p w14:paraId="57F2D3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15736098013</w:t>
      </w:r>
    </w:p>
    <w:p w14:paraId="3902A05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w:t>
      </w:r>
      <w:bookmarkStart w:id="37" w:name="_Toc20127"/>
      <w:bookmarkStart w:id="38" w:name="_Toc22183"/>
      <w:r>
        <w:rPr>
          <w:rFonts w:hint="eastAsia" w:ascii="Times New Roman" w:hAnsi="Times New Roman" w:eastAsia="宋体" w:cs="宋体"/>
          <w:bCs/>
          <w:color w:val="auto"/>
          <w:highlight w:val="none"/>
        </w:rPr>
        <w:t>重庆市大渡口区八桥镇山海路80号附1号</w:t>
      </w:r>
    </w:p>
    <w:p w14:paraId="500FF1E3">
      <w:pPr>
        <w:rPr>
          <w:rFonts w:ascii="Times New Roman" w:hAnsi="Times New Roman" w:eastAsia="宋体" w:cs="宋体"/>
          <w:color w:val="auto"/>
          <w:highlight w:val="none"/>
        </w:rPr>
      </w:pPr>
      <w:r>
        <w:rPr>
          <w:rFonts w:hint="eastAsia" w:ascii="Times New Roman" w:hAnsi="Times New Roman" w:eastAsia="宋体" w:cs="宋体"/>
          <w:color w:val="auto"/>
          <w:highlight w:val="none"/>
        </w:rPr>
        <w:br w:type="page"/>
      </w:r>
    </w:p>
    <w:p w14:paraId="6186D2E2">
      <w:pPr>
        <w:jc w:val="center"/>
        <w:rPr>
          <w:rFonts w:eastAsia="黑体"/>
          <w:b/>
          <w:bCs/>
          <w:color w:val="auto"/>
          <w:sz w:val="44"/>
          <w:szCs w:val="44"/>
          <w:highlight w:val="none"/>
        </w:rPr>
      </w:pPr>
      <w:bookmarkStart w:id="39" w:name="_Toc23434"/>
      <w:bookmarkStart w:id="40" w:name="_Toc7658"/>
      <w:r>
        <w:rPr>
          <w:rFonts w:hint="eastAsia" w:eastAsia="黑体"/>
          <w:b/>
          <w:bCs/>
          <w:color w:val="auto"/>
          <w:sz w:val="44"/>
          <w:szCs w:val="44"/>
          <w:highlight w:val="none"/>
          <w:lang w:val="en-US" w:eastAsia="zh-CN"/>
        </w:rPr>
        <w:t>竞采报名登记表</w:t>
      </w:r>
    </w:p>
    <w:p w14:paraId="222BEC55">
      <w:pPr>
        <w:jc w:val="left"/>
        <w:rPr>
          <w:rFonts w:eastAsia="黑体"/>
          <w:b/>
          <w:bCs/>
          <w:color w:val="auto"/>
          <w:spacing w:val="40"/>
          <w:highlight w:val="none"/>
        </w:rPr>
      </w:pPr>
    </w:p>
    <w:tbl>
      <w:tblPr>
        <w:tblStyle w:val="26"/>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632"/>
        <w:gridCol w:w="1154"/>
        <w:gridCol w:w="3963"/>
      </w:tblGrid>
      <w:tr w14:paraId="21C2A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6" w:type="pct"/>
            <w:noWrap w:val="0"/>
            <w:vAlign w:val="center"/>
          </w:tcPr>
          <w:p w14:paraId="08FC9C8D">
            <w:pPr>
              <w:jc w:val="center"/>
              <w:rPr>
                <w:rFonts w:hint="eastAsia"/>
                <w:color w:val="auto"/>
                <w:sz w:val="30"/>
                <w:szCs w:val="30"/>
                <w:highlight w:val="none"/>
              </w:rPr>
            </w:pPr>
            <w:r>
              <w:rPr>
                <w:rFonts w:hint="eastAsia"/>
                <w:color w:val="auto"/>
                <w:sz w:val="30"/>
                <w:szCs w:val="30"/>
                <w:highlight w:val="none"/>
              </w:rPr>
              <w:t>项目名称</w:t>
            </w:r>
          </w:p>
        </w:tc>
        <w:tc>
          <w:tcPr>
            <w:tcW w:w="3933" w:type="pct"/>
            <w:gridSpan w:val="3"/>
            <w:noWrap w:val="0"/>
            <w:vAlign w:val="center"/>
          </w:tcPr>
          <w:p w14:paraId="4A4402AF">
            <w:pPr>
              <w:jc w:val="center"/>
              <w:rPr>
                <w:rFonts w:hint="eastAsia"/>
                <w:color w:val="auto"/>
                <w:sz w:val="30"/>
                <w:szCs w:val="30"/>
                <w:highlight w:val="none"/>
              </w:rPr>
            </w:pPr>
          </w:p>
        </w:tc>
      </w:tr>
      <w:tr w14:paraId="45AE2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6" w:type="pct"/>
            <w:noWrap w:val="0"/>
            <w:vAlign w:val="center"/>
          </w:tcPr>
          <w:p w14:paraId="055C0775">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名称</w:t>
            </w:r>
          </w:p>
        </w:tc>
        <w:tc>
          <w:tcPr>
            <w:tcW w:w="3933" w:type="pct"/>
            <w:gridSpan w:val="3"/>
            <w:noWrap w:val="0"/>
            <w:vAlign w:val="bottom"/>
          </w:tcPr>
          <w:p w14:paraId="0F63BB65">
            <w:pPr>
              <w:jc w:val="right"/>
              <w:rPr>
                <w:rFonts w:hint="eastAsia"/>
                <w:color w:val="auto"/>
                <w:sz w:val="30"/>
                <w:szCs w:val="30"/>
                <w:highlight w:val="none"/>
              </w:rPr>
            </w:pPr>
            <w:r>
              <w:rPr>
                <w:rFonts w:hint="eastAsia"/>
                <w:color w:val="auto"/>
                <w:sz w:val="30"/>
                <w:szCs w:val="30"/>
                <w:highlight w:val="none"/>
              </w:rPr>
              <w:t>（公章）</w:t>
            </w:r>
          </w:p>
        </w:tc>
      </w:tr>
      <w:tr w14:paraId="1C643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noWrap w:val="0"/>
            <w:vAlign w:val="center"/>
          </w:tcPr>
          <w:p w14:paraId="49FAE4D0">
            <w:pPr>
              <w:jc w:val="center"/>
              <w:rPr>
                <w:rFonts w:hint="eastAsia"/>
                <w:color w:val="auto"/>
                <w:sz w:val="30"/>
                <w:szCs w:val="30"/>
                <w:highlight w:val="none"/>
              </w:rPr>
            </w:pPr>
            <w:r>
              <w:rPr>
                <w:rFonts w:hint="eastAsia"/>
                <w:color w:val="auto"/>
                <w:sz w:val="30"/>
                <w:szCs w:val="30"/>
                <w:highlight w:val="none"/>
              </w:rPr>
              <w:t>联系人</w:t>
            </w:r>
          </w:p>
        </w:tc>
        <w:tc>
          <w:tcPr>
            <w:tcW w:w="1336" w:type="pct"/>
            <w:noWrap w:val="0"/>
            <w:vAlign w:val="center"/>
          </w:tcPr>
          <w:p w14:paraId="7A856AD1">
            <w:pPr>
              <w:jc w:val="left"/>
              <w:rPr>
                <w:rFonts w:hint="eastAsia"/>
                <w:color w:val="auto"/>
                <w:sz w:val="30"/>
                <w:szCs w:val="30"/>
                <w:highlight w:val="none"/>
              </w:rPr>
            </w:pPr>
          </w:p>
        </w:tc>
        <w:tc>
          <w:tcPr>
            <w:tcW w:w="586" w:type="pct"/>
            <w:noWrap w:val="0"/>
            <w:vAlign w:val="center"/>
          </w:tcPr>
          <w:p w14:paraId="75DF8B12">
            <w:pPr>
              <w:jc w:val="left"/>
              <w:rPr>
                <w:rFonts w:hint="eastAsia"/>
                <w:color w:val="auto"/>
                <w:sz w:val="30"/>
                <w:szCs w:val="30"/>
                <w:highlight w:val="none"/>
              </w:rPr>
            </w:pPr>
            <w:r>
              <w:rPr>
                <w:rFonts w:hint="eastAsia"/>
                <w:color w:val="auto"/>
                <w:sz w:val="30"/>
                <w:szCs w:val="30"/>
                <w:highlight w:val="none"/>
              </w:rPr>
              <w:t>手机</w:t>
            </w:r>
          </w:p>
        </w:tc>
        <w:tc>
          <w:tcPr>
            <w:tcW w:w="2009" w:type="pct"/>
            <w:noWrap w:val="0"/>
            <w:vAlign w:val="center"/>
          </w:tcPr>
          <w:p w14:paraId="1956F1AF">
            <w:pPr>
              <w:jc w:val="left"/>
              <w:rPr>
                <w:rFonts w:hint="eastAsia"/>
                <w:color w:val="auto"/>
                <w:sz w:val="30"/>
                <w:szCs w:val="30"/>
                <w:highlight w:val="none"/>
              </w:rPr>
            </w:pPr>
          </w:p>
        </w:tc>
      </w:tr>
      <w:tr w14:paraId="21E85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noWrap w:val="0"/>
            <w:vAlign w:val="center"/>
          </w:tcPr>
          <w:p w14:paraId="0B83921F">
            <w:pPr>
              <w:jc w:val="center"/>
              <w:rPr>
                <w:rFonts w:hint="eastAsia"/>
                <w:color w:val="auto"/>
                <w:sz w:val="30"/>
                <w:szCs w:val="30"/>
                <w:highlight w:val="none"/>
              </w:rPr>
            </w:pPr>
            <w:r>
              <w:rPr>
                <w:rFonts w:hint="eastAsia"/>
                <w:color w:val="auto"/>
                <w:sz w:val="30"/>
                <w:szCs w:val="30"/>
                <w:highlight w:val="none"/>
              </w:rPr>
              <w:t>办公电话</w:t>
            </w:r>
          </w:p>
        </w:tc>
        <w:tc>
          <w:tcPr>
            <w:tcW w:w="1336" w:type="pct"/>
            <w:noWrap w:val="0"/>
            <w:vAlign w:val="center"/>
          </w:tcPr>
          <w:p w14:paraId="5CA6B7DB">
            <w:pPr>
              <w:jc w:val="left"/>
              <w:rPr>
                <w:rFonts w:hint="eastAsia"/>
                <w:color w:val="auto"/>
                <w:sz w:val="30"/>
                <w:szCs w:val="30"/>
                <w:highlight w:val="none"/>
              </w:rPr>
            </w:pPr>
          </w:p>
        </w:tc>
        <w:tc>
          <w:tcPr>
            <w:tcW w:w="586" w:type="pct"/>
            <w:noWrap w:val="0"/>
            <w:vAlign w:val="center"/>
          </w:tcPr>
          <w:p w14:paraId="1BC0ED73">
            <w:pPr>
              <w:jc w:val="left"/>
              <w:rPr>
                <w:rFonts w:hint="eastAsia"/>
                <w:color w:val="auto"/>
                <w:sz w:val="30"/>
                <w:szCs w:val="30"/>
                <w:highlight w:val="none"/>
              </w:rPr>
            </w:pPr>
            <w:r>
              <w:rPr>
                <w:rFonts w:hint="eastAsia"/>
                <w:color w:val="auto"/>
                <w:sz w:val="30"/>
                <w:szCs w:val="30"/>
                <w:highlight w:val="none"/>
              </w:rPr>
              <w:t>传真</w:t>
            </w:r>
          </w:p>
        </w:tc>
        <w:tc>
          <w:tcPr>
            <w:tcW w:w="2009" w:type="pct"/>
            <w:noWrap w:val="0"/>
            <w:vAlign w:val="center"/>
          </w:tcPr>
          <w:p w14:paraId="6C5C1BB9">
            <w:pPr>
              <w:jc w:val="left"/>
              <w:rPr>
                <w:rFonts w:hint="eastAsia"/>
                <w:color w:val="auto"/>
                <w:sz w:val="30"/>
                <w:szCs w:val="30"/>
                <w:highlight w:val="none"/>
              </w:rPr>
            </w:pPr>
          </w:p>
        </w:tc>
      </w:tr>
      <w:tr w14:paraId="1B664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6" w:type="pct"/>
            <w:noWrap w:val="0"/>
            <w:vAlign w:val="center"/>
          </w:tcPr>
          <w:p w14:paraId="56E27674">
            <w:pPr>
              <w:jc w:val="center"/>
              <w:rPr>
                <w:rFonts w:hint="eastAsia"/>
                <w:color w:val="auto"/>
                <w:sz w:val="30"/>
                <w:szCs w:val="30"/>
                <w:highlight w:val="none"/>
              </w:rPr>
            </w:pPr>
            <w:r>
              <w:rPr>
                <w:rFonts w:hint="eastAsia"/>
                <w:color w:val="auto"/>
                <w:sz w:val="30"/>
                <w:szCs w:val="30"/>
                <w:highlight w:val="none"/>
              </w:rPr>
              <w:t>E-mail</w:t>
            </w:r>
          </w:p>
        </w:tc>
        <w:tc>
          <w:tcPr>
            <w:tcW w:w="1336" w:type="pct"/>
            <w:noWrap w:val="0"/>
            <w:vAlign w:val="center"/>
          </w:tcPr>
          <w:p w14:paraId="79F6A5C0">
            <w:pPr>
              <w:jc w:val="left"/>
              <w:rPr>
                <w:rFonts w:hint="eastAsia"/>
                <w:color w:val="auto"/>
                <w:sz w:val="30"/>
                <w:szCs w:val="30"/>
                <w:highlight w:val="none"/>
              </w:rPr>
            </w:pPr>
          </w:p>
        </w:tc>
        <w:tc>
          <w:tcPr>
            <w:tcW w:w="586" w:type="pct"/>
            <w:noWrap w:val="0"/>
            <w:vAlign w:val="center"/>
          </w:tcPr>
          <w:p w14:paraId="3104B9C5">
            <w:pPr>
              <w:jc w:val="left"/>
              <w:rPr>
                <w:rFonts w:hint="eastAsia"/>
                <w:color w:val="auto"/>
                <w:sz w:val="30"/>
                <w:szCs w:val="30"/>
                <w:highlight w:val="none"/>
              </w:rPr>
            </w:pPr>
            <w:r>
              <w:rPr>
                <w:rFonts w:hint="eastAsia"/>
                <w:color w:val="auto"/>
                <w:sz w:val="30"/>
                <w:szCs w:val="30"/>
                <w:highlight w:val="none"/>
              </w:rPr>
              <w:t>登记</w:t>
            </w:r>
          </w:p>
          <w:p w14:paraId="67FDB088">
            <w:pPr>
              <w:jc w:val="left"/>
              <w:rPr>
                <w:rFonts w:hint="eastAsia"/>
                <w:color w:val="auto"/>
                <w:sz w:val="30"/>
                <w:szCs w:val="30"/>
                <w:highlight w:val="none"/>
              </w:rPr>
            </w:pPr>
            <w:r>
              <w:rPr>
                <w:rFonts w:hint="eastAsia"/>
                <w:color w:val="auto"/>
                <w:sz w:val="30"/>
                <w:szCs w:val="30"/>
                <w:highlight w:val="none"/>
              </w:rPr>
              <w:t>日期</w:t>
            </w:r>
          </w:p>
        </w:tc>
        <w:tc>
          <w:tcPr>
            <w:tcW w:w="2009" w:type="pct"/>
            <w:noWrap w:val="0"/>
            <w:vAlign w:val="center"/>
          </w:tcPr>
          <w:p w14:paraId="0CA48EFC">
            <w:pPr>
              <w:jc w:val="left"/>
              <w:rPr>
                <w:rFonts w:hint="default" w:eastAsia="宋体"/>
                <w:color w:val="auto"/>
                <w:sz w:val="30"/>
                <w:szCs w:val="30"/>
                <w:highlight w:val="none"/>
                <w:lang w:val="en-US" w:eastAsia="zh-CN"/>
              </w:rPr>
            </w:pPr>
            <w:r>
              <w:rPr>
                <w:rFonts w:hint="eastAsia"/>
                <w:color w:val="auto"/>
                <w:sz w:val="30"/>
                <w:szCs w:val="30"/>
                <w:highlight w:val="none"/>
                <w:lang w:val="en-US" w:eastAsia="zh-CN"/>
              </w:rPr>
              <w:t xml:space="preserve">      年    月    日</w:t>
            </w:r>
          </w:p>
        </w:tc>
      </w:tr>
      <w:tr w14:paraId="568E5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noWrap w:val="0"/>
            <w:vAlign w:val="center"/>
          </w:tcPr>
          <w:p w14:paraId="06CFED44">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地址</w:t>
            </w:r>
          </w:p>
        </w:tc>
        <w:tc>
          <w:tcPr>
            <w:tcW w:w="3933" w:type="pct"/>
            <w:gridSpan w:val="3"/>
            <w:noWrap w:val="0"/>
            <w:vAlign w:val="center"/>
          </w:tcPr>
          <w:p w14:paraId="5FECD4B8">
            <w:pPr>
              <w:jc w:val="left"/>
              <w:rPr>
                <w:rFonts w:hint="eastAsia"/>
                <w:color w:val="auto"/>
                <w:sz w:val="30"/>
                <w:szCs w:val="30"/>
                <w:highlight w:val="none"/>
              </w:rPr>
            </w:pPr>
          </w:p>
        </w:tc>
      </w:tr>
      <w:tr w14:paraId="67677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noWrap w:val="0"/>
            <w:vAlign w:val="center"/>
          </w:tcPr>
          <w:p w14:paraId="620AE6C8">
            <w:pPr>
              <w:jc w:val="left"/>
              <w:rPr>
                <w:rFonts w:ascii="宋体" w:hAnsi="宋体"/>
                <w:color w:val="auto"/>
                <w:sz w:val="30"/>
                <w:szCs w:val="30"/>
                <w:highlight w:val="none"/>
              </w:rPr>
            </w:pPr>
          </w:p>
        </w:tc>
      </w:tr>
    </w:tbl>
    <w:p w14:paraId="360FD1CA">
      <w:pPr>
        <w:rPr>
          <w:rFonts w:hint="eastAsia" w:ascii="宋体" w:hAnsi="宋体"/>
          <w:color w:val="auto"/>
          <w:sz w:val="24"/>
          <w:highlight w:val="none"/>
        </w:rPr>
      </w:pPr>
    </w:p>
    <w:p w14:paraId="255E6FC7">
      <w:pPr>
        <w:rPr>
          <w:rFonts w:hint="eastAsia" w:ascii="宋体" w:hAnsi="宋体"/>
          <w:color w:val="auto"/>
          <w:sz w:val="24"/>
          <w:highlight w:val="none"/>
        </w:rPr>
      </w:pPr>
    </w:p>
    <w:p w14:paraId="688461C1">
      <w:pPr>
        <w:pStyle w:val="2"/>
        <w:ind w:firstLine="643"/>
        <w:jc w:val="center"/>
        <w:rPr>
          <w:rFonts w:hint="eastAsia" w:ascii="Times New Roman" w:hAnsi="Times New Roman" w:eastAsia="宋体" w:cs="宋体"/>
          <w:b/>
          <w:bCs/>
          <w:color w:val="auto"/>
          <w:highlight w:val="none"/>
        </w:rPr>
        <w:sectPr>
          <w:footerReference r:id="rId5" w:type="default"/>
          <w:pgSz w:w="11905" w:h="16838"/>
          <w:pgMar w:top="1134" w:right="1134" w:bottom="1134" w:left="1134" w:header="850" w:footer="992" w:gutter="0"/>
          <w:pgNumType w:fmt="numberInDash" w:start="1"/>
          <w:cols w:space="720" w:num="1"/>
          <w:docGrid w:type="lines" w:linePitch="388" w:charSpace="0"/>
        </w:sectPr>
      </w:pPr>
    </w:p>
    <w:p w14:paraId="51F1CCE7">
      <w:pPr>
        <w:pStyle w:val="2"/>
        <w:ind w:firstLine="643"/>
        <w:jc w:val="center"/>
        <w:rPr>
          <w:rFonts w:hint="eastAsia" w:cs="宋体"/>
          <w:b/>
          <w:bCs/>
          <w:color w:val="auto"/>
          <w:sz w:val="36"/>
          <w:szCs w:val="22"/>
          <w:highlight w:val="none"/>
          <w:lang w:eastAsia="zh-CN"/>
        </w:rPr>
      </w:pPr>
      <w:r>
        <w:rPr>
          <w:rFonts w:hint="eastAsia" w:ascii="Times New Roman" w:hAnsi="Times New Roman" w:eastAsia="宋体" w:cs="宋体"/>
          <w:b/>
          <w:bCs/>
          <w:color w:val="auto"/>
          <w:sz w:val="36"/>
          <w:szCs w:val="22"/>
          <w:highlight w:val="none"/>
        </w:rPr>
        <w:t>第二篇 项目</w:t>
      </w:r>
      <w:bookmarkEnd w:id="37"/>
      <w:bookmarkEnd w:id="38"/>
      <w:bookmarkEnd w:id="39"/>
      <w:r>
        <w:rPr>
          <w:rFonts w:hint="eastAsia" w:cs="宋体"/>
          <w:b/>
          <w:bCs/>
          <w:color w:val="auto"/>
          <w:sz w:val="36"/>
          <w:szCs w:val="22"/>
          <w:highlight w:val="none"/>
          <w:lang w:eastAsia="zh-CN"/>
        </w:rPr>
        <w:t>服务需求</w:t>
      </w:r>
      <w:bookmarkEnd w:id="40"/>
    </w:p>
    <w:p w14:paraId="13451629">
      <w:pPr>
        <w:rPr>
          <w:rFonts w:hint="eastAsia"/>
          <w:color w:val="auto"/>
          <w:highlight w:val="none"/>
          <w:lang w:eastAsia="zh-CN"/>
        </w:rPr>
      </w:pPr>
    </w:p>
    <w:bookmarkEnd w:id="24"/>
    <w:p w14:paraId="53DE1BEB">
      <w:pPr>
        <w:keepNext w:val="0"/>
        <w:keepLines w:val="0"/>
        <w:pageBreakBefore w:val="0"/>
        <w:wordWrap/>
        <w:overflowPunct/>
        <w:topLinePunct w:val="0"/>
        <w:bidi w:val="0"/>
        <w:snapToGrid w:val="0"/>
        <w:spacing w:line="360" w:lineRule="auto"/>
        <w:ind w:firstLine="2160" w:firstLineChars="900"/>
        <w:jc w:val="left"/>
        <w:outlineLvl w:val="0"/>
        <w:rPr>
          <w:rFonts w:hint="eastAsia" w:ascii="宋体" w:hAnsi="宋体" w:cs="仿宋"/>
          <w:b w:val="0"/>
          <w:bCs w:val="0"/>
          <w:color w:val="auto"/>
          <w:sz w:val="24"/>
          <w:szCs w:val="24"/>
          <w:highlight w:val="none"/>
          <w:lang w:val="en-US" w:eastAsia="zh-CN"/>
        </w:rPr>
      </w:pPr>
      <w:bookmarkStart w:id="41" w:name="_Toc17173"/>
      <w:bookmarkStart w:id="42" w:name="_Toc8493"/>
      <w:bookmarkStart w:id="43" w:name="_Toc22938"/>
      <w:bookmarkStart w:id="44" w:name="_Toc1902"/>
      <w:bookmarkStart w:id="45" w:name="_Toc14076"/>
      <w:bookmarkStart w:id="46" w:name="_Toc7873"/>
      <w:r>
        <w:rPr>
          <w:rFonts w:hint="eastAsia" w:ascii="宋体" w:hAnsi="宋体" w:cs="仿宋"/>
          <w:b w:val="0"/>
          <w:bCs w:val="0"/>
          <w:color w:val="auto"/>
          <w:sz w:val="24"/>
          <w:szCs w:val="24"/>
          <w:highlight w:val="none"/>
          <w:lang w:val="en-US" w:eastAsia="zh-CN"/>
        </w:rPr>
        <w:t>※内容为符合性审查内容，不满足的作无效响应处理。</w:t>
      </w:r>
      <w:bookmarkEnd w:id="41"/>
    </w:p>
    <w:p w14:paraId="4BBB2FE3">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outlineLvl w:val="0"/>
        <w:rPr>
          <w:rFonts w:hint="default" w:ascii="宋体" w:hAnsi="宋体" w:cs="仿宋"/>
          <w:b/>
          <w:bCs/>
          <w:color w:val="auto"/>
          <w:szCs w:val="28"/>
          <w:highlight w:val="none"/>
          <w:lang w:val="en-US" w:eastAsia="zh-CN"/>
        </w:rPr>
      </w:pPr>
      <w:bookmarkStart w:id="47" w:name="_Toc23113"/>
      <w:r>
        <w:rPr>
          <w:rFonts w:hint="eastAsia" w:ascii="宋体" w:hAnsi="宋体" w:cs="仿宋"/>
          <w:b/>
          <w:bCs/>
          <w:color w:val="auto"/>
          <w:szCs w:val="28"/>
          <w:highlight w:val="none"/>
        </w:rPr>
        <w:t>一、</w:t>
      </w:r>
      <w:bookmarkEnd w:id="47"/>
      <w:r>
        <w:rPr>
          <w:rFonts w:hint="eastAsia" w:ascii="宋体" w:hAnsi="宋体" w:cs="仿宋"/>
          <w:b/>
          <w:bCs/>
          <w:color w:val="auto"/>
          <w:szCs w:val="28"/>
          <w:highlight w:val="none"/>
          <w:lang w:val="en-US" w:eastAsia="zh-CN"/>
        </w:rPr>
        <w:t>项目背景</w:t>
      </w:r>
    </w:p>
    <w:p w14:paraId="61139A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eastAsia="zh-CN"/>
        </w:rPr>
      </w:pPr>
      <w:r>
        <w:rPr>
          <w:rFonts w:hint="eastAsia" w:ascii="宋体" w:hAnsi="宋体" w:cs="仿宋"/>
          <w:b w:val="0"/>
          <w:bCs w:val="0"/>
          <w:color w:val="auto"/>
          <w:szCs w:val="28"/>
          <w:highlight w:val="none"/>
          <w:lang w:val="en-US" w:eastAsia="zh-CN"/>
        </w:rPr>
        <w:t xml:space="preserve">按照国务院办公厅《提升行政执法质量三年行动计划（2023—2025年）》（国办发〔2023〕27号）、国务院办公厅《关于全面推行行政执法公示制度执法全过程记录制度重大执法决定法制审核制度的指导意见》（国办发〔2018〕118号）、市农业农村委《重庆市农业农村委员会公职律师和外聘法律顾问管理办法》（渝农办发〔2022〕87号）等文件要求，针对强化行政执法保障能力的要求，重庆市农业综合行政执法总队拟采购2025年常年法律顾问服务供应商为本单位提供诸如内部管理制度、重大合同等合法性审查，为重大决策、重大行政行为的合法性、可行性、风险预测提供法律意见等常规性法律服务工作。 </w:t>
      </w:r>
    </w:p>
    <w:p w14:paraId="33FD5AF1">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outlineLvl w:val="0"/>
        <w:rPr>
          <w:rFonts w:hint="default" w:ascii="宋体" w:hAnsi="宋体" w:eastAsia="宋体" w:cs="仿宋"/>
          <w:b/>
          <w:bCs/>
          <w:color w:val="auto"/>
          <w:szCs w:val="28"/>
          <w:highlight w:val="none"/>
          <w:lang w:val="en-US" w:eastAsia="zh-CN"/>
        </w:rPr>
      </w:pPr>
      <w:r>
        <w:rPr>
          <w:rFonts w:hint="eastAsia" w:ascii="宋体" w:hAnsi="宋体" w:cs="仿宋"/>
          <w:b/>
          <w:bCs/>
          <w:color w:val="auto"/>
          <w:szCs w:val="28"/>
          <w:highlight w:val="none"/>
        </w:rPr>
        <w:t>※</w:t>
      </w:r>
      <w:r>
        <w:rPr>
          <w:rFonts w:hint="eastAsia" w:ascii="宋体" w:hAnsi="宋体" w:cs="仿宋"/>
          <w:b/>
          <w:bCs/>
          <w:color w:val="auto"/>
          <w:szCs w:val="28"/>
          <w:highlight w:val="none"/>
          <w:lang w:eastAsia="zh-CN"/>
        </w:rPr>
        <w:t>二</w:t>
      </w:r>
      <w:r>
        <w:rPr>
          <w:rFonts w:hint="eastAsia" w:ascii="宋体" w:hAnsi="宋体" w:cs="仿宋"/>
          <w:b/>
          <w:bCs/>
          <w:color w:val="auto"/>
          <w:szCs w:val="28"/>
          <w:highlight w:val="none"/>
        </w:rPr>
        <w:t>、主要</w:t>
      </w:r>
      <w:r>
        <w:rPr>
          <w:rFonts w:hint="eastAsia" w:ascii="宋体" w:hAnsi="宋体" w:cs="仿宋"/>
          <w:b/>
          <w:bCs/>
          <w:color w:val="auto"/>
          <w:szCs w:val="28"/>
          <w:highlight w:val="none"/>
          <w:lang w:val="en-US" w:eastAsia="zh-CN"/>
        </w:rPr>
        <w:t>工作要求</w:t>
      </w:r>
    </w:p>
    <w:p w14:paraId="780A2AD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（一）一般性法律服务事项：</w:t>
      </w:r>
    </w:p>
    <w:p w14:paraId="1692D4E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1. 法律咨询：</w:t>
      </w:r>
    </w:p>
    <w:p w14:paraId="0A0F847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（1）对采购人执法工作相关事项提供法律咨询；</w:t>
      </w:r>
    </w:p>
    <w:p w14:paraId="00EE720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（2）就重庆市下辖区县的农业执法机构提交的重大疑难问题提供法律咨询；</w:t>
      </w:r>
    </w:p>
    <w:p w14:paraId="15179A5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（3）为涉及采购人的行政复议、诉讼等事务提供法律咨询；</w:t>
      </w:r>
    </w:p>
    <w:p w14:paraId="0B94E6B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（4）为重大决策、重大行政行为的合法性、可行性、风险预测提供法律意见，对规范执法制度、改进执法方式提出法律意见；</w:t>
      </w:r>
    </w:p>
    <w:p w14:paraId="160869E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（5）其他需要进行法律咨询的问题。</w:t>
      </w:r>
    </w:p>
    <w:p w14:paraId="59DDFBC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 协助采购人论证相关政策文件、规范性文件。</w:t>
      </w:r>
    </w:p>
    <w:p w14:paraId="171CF1F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 参与涉及采购人的政府信息公开答复。</w:t>
      </w:r>
    </w:p>
    <w:p w14:paraId="7839665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4. 参与执法案例、案卷的评选、评查。</w:t>
      </w:r>
    </w:p>
    <w:p w14:paraId="7CAA73C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5. 对采购人拟定的内部管理制度、重大合同等进行法律审查；</w:t>
      </w:r>
    </w:p>
    <w:p w14:paraId="3B5B5F0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6. 发挥律所作为第三方的监督作用，协助执法人员履行职责，依法规范执法程序。</w:t>
      </w:r>
    </w:p>
    <w:p w14:paraId="3DF7BAD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7. 开展普法教育，协助采购人做好农业法治宣传和普法活动，协助开展农业综合执法人员法律知识培训，每个服务周期内提供不少于一次的法律培训。</w:t>
      </w:r>
    </w:p>
    <w:p w14:paraId="269D6E2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8. 其它一般性法律服务事项。</w:t>
      </w:r>
    </w:p>
    <w:p w14:paraId="7B83980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（二）“驻队律师”法律服务事项：</w:t>
      </w:r>
    </w:p>
    <w:p w14:paraId="170747D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1. 指派一名以上（含一名）的律师每周至少在采购人办公场所办公值班两个半天，提供法律咨询服务，协助执法。</w:t>
      </w:r>
    </w:p>
    <w:p w14:paraId="1D46343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 参与采购人行政处罚案件的法制审核。</w:t>
      </w:r>
    </w:p>
    <w:p w14:paraId="1F6FD4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 根据采购人的要求，与采购人的执法人员赴执法一线，进行现场执法指导。</w:t>
      </w:r>
    </w:p>
    <w:p w14:paraId="4C15EC1D">
      <w:pPr>
        <w:outlineLvl w:val="9"/>
        <w:rPr>
          <w:rFonts w:hint="default"/>
          <w:color w:val="auto"/>
          <w:highlight w:val="none"/>
          <w:lang w:val="en-US" w:eastAsia="zh-CN"/>
        </w:rPr>
      </w:pPr>
    </w:p>
    <w:p w14:paraId="093C07D9">
      <w:pPr>
        <w:bidi w:val="0"/>
        <w:spacing w:line="240" w:lineRule="auto"/>
        <w:outlineLvl w:val="9"/>
        <w:rPr>
          <w:rFonts w:hint="eastAsia" w:ascii="Times New Roman" w:hAnsi="Times New Roman" w:eastAsia="宋体"/>
          <w:color w:val="auto"/>
          <w:sz w:val="36"/>
          <w:szCs w:val="22"/>
          <w:highlight w:val="none"/>
        </w:rPr>
      </w:pPr>
      <w:bookmarkStart w:id="48" w:name="_Toc32457"/>
    </w:p>
    <w:p w14:paraId="1950AA98">
      <w:pPr>
        <w:outlineLvl w:val="9"/>
        <w:rPr>
          <w:rFonts w:hint="eastAsia" w:ascii="Times New Roman" w:hAnsi="Times New Roman" w:eastAsia="宋体"/>
          <w:color w:val="auto"/>
          <w:sz w:val="36"/>
          <w:szCs w:val="22"/>
          <w:highlight w:val="none"/>
        </w:rPr>
      </w:pPr>
    </w:p>
    <w:p w14:paraId="3271CD0B">
      <w:pPr>
        <w:pStyle w:val="16"/>
        <w:rPr>
          <w:rFonts w:hint="eastAsia" w:ascii="Times New Roman" w:hAnsi="Times New Roman" w:eastAsia="宋体"/>
          <w:color w:val="auto"/>
          <w:sz w:val="36"/>
          <w:szCs w:val="22"/>
          <w:highlight w:val="none"/>
        </w:rPr>
      </w:pPr>
    </w:p>
    <w:p w14:paraId="1802062E">
      <w:pPr>
        <w:rPr>
          <w:rFonts w:hint="eastAsia" w:ascii="Times New Roman" w:hAnsi="Times New Roman" w:eastAsia="宋体"/>
          <w:color w:val="auto"/>
          <w:sz w:val="36"/>
          <w:szCs w:val="22"/>
          <w:highlight w:val="none"/>
        </w:rPr>
      </w:pPr>
    </w:p>
    <w:p w14:paraId="6D1B5C57">
      <w:pPr>
        <w:pStyle w:val="16"/>
        <w:rPr>
          <w:rFonts w:hint="eastAsia" w:ascii="Times New Roman" w:hAnsi="Times New Roman" w:eastAsia="宋体"/>
          <w:color w:val="auto"/>
          <w:sz w:val="36"/>
          <w:szCs w:val="22"/>
          <w:highlight w:val="none"/>
        </w:rPr>
      </w:pPr>
    </w:p>
    <w:p w14:paraId="5FAB5F48">
      <w:pPr>
        <w:rPr>
          <w:rFonts w:hint="eastAsia" w:ascii="Times New Roman" w:hAnsi="Times New Roman" w:eastAsia="宋体"/>
          <w:color w:val="auto"/>
          <w:sz w:val="36"/>
          <w:szCs w:val="22"/>
          <w:highlight w:val="none"/>
        </w:rPr>
      </w:pPr>
    </w:p>
    <w:p w14:paraId="580AA173">
      <w:pPr>
        <w:pStyle w:val="16"/>
        <w:rPr>
          <w:rFonts w:hint="eastAsia" w:ascii="Times New Roman" w:hAnsi="Times New Roman" w:eastAsia="宋体"/>
          <w:color w:val="auto"/>
          <w:sz w:val="36"/>
          <w:szCs w:val="22"/>
          <w:highlight w:val="none"/>
        </w:rPr>
      </w:pPr>
    </w:p>
    <w:p w14:paraId="61F5706B">
      <w:pPr>
        <w:rPr>
          <w:rFonts w:hint="eastAsia"/>
          <w:color w:val="auto"/>
          <w:highlight w:val="none"/>
        </w:rPr>
      </w:pPr>
    </w:p>
    <w:p w14:paraId="487B300D">
      <w:pPr>
        <w:pStyle w:val="16"/>
        <w:rPr>
          <w:rFonts w:hint="eastAsia" w:ascii="Times New Roman" w:hAnsi="Times New Roman" w:eastAsia="宋体"/>
          <w:color w:val="auto"/>
          <w:sz w:val="36"/>
          <w:szCs w:val="22"/>
          <w:highlight w:val="none"/>
        </w:rPr>
      </w:pPr>
    </w:p>
    <w:p w14:paraId="2401B746">
      <w:pPr>
        <w:pStyle w:val="2"/>
        <w:bidi w:val="0"/>
        <w:rPr>
          <w:rFonts w:hint="eastAsia" w:ascii="Times New Roman" w:hAnsi="Times New Roman" w:eastAsia="宋体"/>
          <w:color w:val="auto"/>
          <w:sz w:val="36"/>
          <w:szCs w:val="22"/>
          <w:highlight w:val="none"/>
        </w:rPr>
        <w:sectPr>
          <w:footerReference r:id="rId7" w:type="first"/>
          <w:footerReference r:id="rId6" w:type="default"/>
          <w:pgSz w:w="11905" w:h="16838"/>
          <w:pgMar w:top="1134" w:right="1134" w:bottom="1134" w:left="1134" w:header="850" w:footer="992" w:gutter="0"/>
          <w:pgNumType w:fmt="decimal"/>
          <w:cols w:space="0" w:num="1"/>
          <w:titlePg/>
          <w:rtlGutter w:val="0"/>
          <w:docGrid w:type="lines" w:linePitch="385" w:charSpace="0"/>
        </w:sectPr>
      </w:pPr>
    </w:p>
    <w:p w14:paraId="5FF0C8ED">
      <w:pPr>
        <w:pStyle w:val="2"/>
        <w:bidi w:val="0"/>
        <w:rPr>
          <w:rFonts w:ascii="Times New Roman" w:hAnsi="Times New Roman" w:eastAsia="宋体"/>
          <w:color w:val="auto"/>
          <w:sz w:val="36"/>
          <w:szCs w:val="22"/>
          <w:highlight w:val="none"/>
        </w:rPr>
      </w:pPr>
      <w:r>
        <w:rPr>
          <w:rFonts w:hint="eastAsia" w:ascii="Times New Roman" w:hAnsi="Times New Roman" w:eastAsia="宋体"/>
          <w:color w:val="auto"/>
          <w:sz w:val="36"/>
          <w:szCs w:val="22"/>
          <w:highlight w:val="none"/>
        </w:rPr>
        <w:t>第三篇 项目商务需求</w:t>
      </w:r>
      <w:bookmarkEnd w:id="42"/>
      <w:bookmarkEnd w:id="43"/>
      <w:bookmarkEnd w:id="44"/>
      <w:bookmarkEnd w:id="48"/>
    </w:p>
    <w:bookmarkEnd w:id="45"/>
    <w:bookmarkEnd w:id="46"/>
    <w:p w14:paraId="321FC225">
      <w:pPr>
        <w:snapToGrid w:val="0"/>
        <w:spacing w:line="360" w:lineRule="auto"/>
        <w:ind w:firstLine="480" w:firstLineChars="200"/>
        <w:rPr>
          <w:rFonts w:hint="eastAsia" w:ascii="宋体" w:hAnsi="宋体" w:cs="仿宋"/>
          <w:b w:val="0"/>
          <w:bCs w:val="0"/>
          <w:color w:val="auto"/>
          <w:sz w:val="24"/>
          <w:szCs w:val="24"/>
          <w:highlight w:val="none"/>
          <w:lang w:val="en-US" w:eastAsia="zh-CN"/>
        </w:rPr>
      </w:pPr>
      <w:bookmarkStart w:id="49" w:name="_Toc23663"/>
      <w:bookmarkStart w:id="50" w:name="_Toc8133"/>
      <w:bookmarkStart w:id="51" w:name="_Toc17711"/>
      <w:bookmarkStart w:id="52" w:name="_Toc2487"/>
      <w:bookmarkStart w:id="53" w:name="_Toc25911"/>
      <w:bookmarkStart w:id="54" w:name="_Toc24966"/>
      <w:bookmarkStart w:id="55" w:name="_Toc11875"/>
      <w:bookmarkStart w:id="56" w:name="_Toc25903"/>
      <w:bookmarkStart w:id="57" w:name="_Toc25165"/>
      <w:bookmarkStart w:id="58" w:name="_Toc2406"/>
      <w:bookmarkStart w:id="59" w:name="_Toc22763"/>
      <w:bookmarkStart w:id="60" w:name="_Toc30067"/>
      <w:bookmarkStart w:id="61" w:name="_Toc106030393"/>
      <w:bookmarkStart w:id="62" w:name="_Toc15693"/>
      <w:bookmarkStart w:id="63" w:name="_Toc23377"/>
      <w:bookmarkStart w:id="64" w:name="_Toc2672"/>
      <w:bookmarkStart w:id="65" w:name="_Toc75793517"/>
      <w:bookmarkStart w:id="66" w:name="_Toc3339"/>
      <w:bookmarkStart w:id="67" w:name="_Toc10668"/>
    </w:p>
    <w:p w14:paraId="4E3E8318">
      <w:pPr>
        <w:snapToGrid w:val="0"/>
        <w:spacing w:line="360" w:lineRule="auto"/>
        <w:ind w:firstLine="960" w:firstLineChars="400"/>
        <w:jc w:val="center"/>
        <w:rPr>
          <w:rFonts w:hint="eastAsia" w:ascii="宋体" w:hAnsi="宋体" w:cs="仿宋"/>
          <w:b/>
          <w:bCs/>
          <w:color w:val="auto"/>
          <w:sz w:val="28"/>
          <w:szCs w:val="28"/>
          <w:highlight w:val="none"/>
        </w:rPr>
      </w:pPr>
      <w:r>
        <w:rPr>
          <w:rFonts w:hint="eastAsia" w:ascii="宋体" w:hAnsi="宋体" w:cs="仿宋"/>
          <w:b w:val="0"/>
          <w:bCs w:val="0"/>
          <w:color w:val="auto"/>
          <w:sz w:val="24"/>
          <w:szCs w:val="24"/>
          <w:highlight w:val="none"/>
          <w:lang w:val="en-US" w:eastAsia="zh-CN"/>
        </w:rPr>
        <w:t>※内容为符合性审查内容，不满足的作无效响应处理。</w:t>
      </w:r>
    </w:p>
    <w:p w14:paraId="27845EE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68" w:name="_Toc13488"/>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一、服务期、服务地点、验收方式</w:t>
      </w:r>
      <w:bookmarkEnd w:id="68"/>
    </w:p>
    <w:p w14:paraId="1C3A82E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69" w:name="_Toc9737"/>
      <w:r>
        <w:rPr>
          <w:rFonts w:hint="eastAsia" w:ascii="宋体" w:hAnsi="宋体" w:cs="仿宋"/>
          <w:b w:val="0"/>
          <w:bCs w:val="0"/>
          <w:color w:val="auto"/>
          <w:szCs w:val="28"/>
          <w:highlight w:val="none"/>
        </w:rPr>
        <w:t>（一）服务期：自合同签订之日起</w:t>
      </w:r>
      <w:r>
        <w:rPr>
          <w:rFonts w:hint="eastAsia" w:ascii="宋体" w:hAnsi="宋体" w:cs="仿宋"/>
          <w:b w:val="0"/>
          <w:bCs w:val="0"/>
          <w:color w:val="auto"/>
          <w:szCs w:val="28"/>
          <w:highlight w:val="none"/>
          <w:lang w:val="en-US" w:eastAsia="zh-CN"/>
        </w:rPr>
        <w:t>一年</w:t>
      </w:r>
      <w:r>
        <w:rPr>
          <w:rFonts w:hint="eastAsia" w:ascii="宋体" w:hAnsi="宋体" w:cs="仿宋"/>
          <w:b w:val="0"/>
          <w:bCs w:val="0"/>
          <w:color w:val="auto"/>
          <w:szCs w:val="28"/>
          <w:highlight w:val="none"/>
        </w:rPr>
        <w:t>。</w:t>
      </w:r>
      <w:bookmarkEnd w:id="69"/>
    </w:p>
    <w:p w14:paraId="0BBC21A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70" w:name="_Toc15193"/>
      <w:r>
        <w:rPr>
          <w:rFonts w:hint="eastAsia" w:ascii="宋体" w:hAnsi="宋体" w:cs="仿宋"/>
          <w:b w:val="0"/>
          <w:bCs w:val="0"/>
          <w:color w:val="auto"/>
          <w:szCs w:val="28"/>
          <w:highlight w:val="none"/>
        </w:rPr>
        <w:t>（二）服务地点：</w:t>
      </w: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指定地点。</w:t>
      </w:r>
      <w:bookmarkEnd w:id="70"/>
    </w:p>
    <w:p w14:paraId="4B6489D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71" w:name="_Toc20721"/>
      <w:r>
        <w:rPr>
          <w:rFonts w:hint="eastAsia" w:ascii="宋体" w:hAnsi="宋体" w:cs="仿宋"/>
          <w:b w:val="0"/>
          <w:bCs w:val="0"/>
          <w:color w:val="auto"/>
          <w:szCs w:val="28"/>
          <w:highlight w:val="none"/>
        </w:rPr>
        <w:t>（三）验收方式：</w:t>
      </w:r>
      <w:bookmarkEnd w:id="71"/>
      <w:r>
        <w:rPr>
          <w:rFonts w:hint="eastAsia" w:ascii="宋体" w:hAnsi="宋体" w:cs="仿宋"/>
          <w:b w:val="0"/>
          <w:bCs w:val="0"/>
          <w:color w:val="auto"/>
          <w:szCs w:val="28"/>
          <w:highlight w:val="none"/>
        </w:rPr>
        <w:t>按照</w:t>
      </w:r>
      <w:r>
        <w:rPr>
          <w:rFonts w:hint="eastAsia" w:ascii="宋体" w:hAnsi="宋体" w:cs="仿宋"/>
          <w:b w:val="0"/>
          <w:bCs w:val="0"/>
          <w:color w:val="auto"/>
          <w:szCs w:val="28"/>
          <w:highlight w:val="none"/>
          <w:lang w:eastAsia="zh-CN"/>
        </w:rPr>
        <w:t>竞采</w:t>
      </w:r>
      <w:r>
        <w:rPr>
          <w:rFonts w:hint="eastAsia" w:ascii="宋体" w:hAnsi="宋体" w:cs="仿宋"/>
          <w:b w:val="0"/>
          <w:bCs w:val="0"/>
          <w:color w:val="auto"/>
          <w:szCs w:val="28"/>
          <w:highlight w:val="none"/>
        </w:rPr>
        <w:t>文件、采购合同及相关</w:t>
      </w:r>
      <w:r>
        <w:rPr>
          <w:rFonts w:hint="eastAsia" w:ascii="宋体" w:hAnsi="宋体" w:cs="仿宋"/>
          <w:b w:val="0"/>
          <w:bCs w:val="0"/>
          <w:color w:val="auto"/>
          <w:szCs w:val="28"/>
          <w:highlight w:val="none"/>
          <w:lang w:val="en-US" w:eastAsia="zh-CN"/>
        </w:rPr>
        <w:t>规定</w:t>
      </w:r>
      <w:r>
        <w:rPr>
          <w:rFonts w:hint="eastAsia" w:ascii="宋体" w:hAnsi="宋体" w:cs="仿宋"/>
          <w:b w:val="0"/>
          <w:bCs w:val="0"/>
          <w:color w:val="auto"/>
          <w:szCs w:val="28"/>
          <w:highlight w:val="none"/>
        </w:rPr>
        <w:t>，由</w:t>
      </w: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组织验收。</w:t>
      </w:r>
    </w:p>
    <w:p w14:paraId="0A07829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72" w:name="_Toc2173"/>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二、报价要求及结算方式</w:t>
      </w:r>
      <w:bookmarkEnd w:id="72"/>
    </w:p>
    <w:p w14:paraId="5D2A8764">
      <w:pPr>
        <w:pStyle w:val="51"/>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b w:val="0"/>
          <w:bCs w:val="0"/>
          <w:color w:val="auto"/>
          <w:sz w:val="28"/>
          <w:szCs w:val="28"/>
          <w:highlight w:val="none"/>
        </w:rPr>
      </w:pPr>
      <w:bookmarkStart w:id="73" w:name="_Toc24100"/>
      <w:r>
        <w:rPr>
          <w:rFonts w:hint="eastAsia" w:eastAsia="宋体"/>
          <w:b w:val="0"/>
          <w:bCs w:val="0"/>
          <w:color w:val="auto"/>
          <w:sz w:val="28"/>
          <w:szCs w:val="28"/>
          <w:highlight w:val="none"/>
        </w:rPr>
        <w:t>（一）报价要求：</w:t>
      </w:r>
    </w:p>
    <w:p w14:paraId="55DBFFED">
      <w:pPr>
        <w:pStyle w:val="51"/>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b w:val="0"/>
          <w:bCs w:val="0"/>
          <w:color w:val="auto"/>
          <w:highlight w:val="none"/>
        </w:rPr>
      </w:pPr>
      <w:r>
        <w:rPr>
          <w:rFonts w:hint="eastAsia" w:eastAsia="宋体"/>
          <w:b w:val="0"/>
          <w:bCs w:val="0"/>
          <w:color w:val="auto"/>
          <w:sz w:val="28"/>
          <w:szCs w:val="28"/>
          <w:highlight w:val="none"/>
        </w:rPr>
        <w:t>本项目报价以人民币包干报价，包括完成本项目所需的全部人工</w:t>
      </w:r>
      <w:r>
        <w:rPr>
          <w:rFonts w:hint="eastAsia" w:eastAsia="宋体"/>
          <w:b w:val="0"/>
          <w:bCs w:val="0"/>
          <w:color w:val="auto"/>
          <w:sz w:val="28"/>
          <w:szCs w:val="28"/>
          <w:highlight w:val="none"/>
          <w:lang w:val="en-US" w:eastAsia="zh-CN"/>
        </w:rPr>
        <w:t>、办公</w:t>
      </w:r>
      <w:r>
        <w:rPr>
          <w:rFonts w:hint="eastAsia" w:eastAsia="宋体"/>
          <w:b w:val="0"/>
          <w:bCs w:val="0"/>
          <w:color w:val="auto"/>
          <w:sz w:val="28"/>
          <w:szCs w:val="28"/>
          <w:highlight w:val="none"/>
        </w:rPr>
        <w:t>材料、管理、税金、利润、</w:t>
      </w:r>
      <w:r>
        <w:rPr>
          <w:rFonts w:hint="eastAsia" w:eastAsia="宋体"/>
          <w:b w:val="0"/>
          <w:bCs w:val="0"/>
          <w:color w:val="auto"/>
          <w:sz w:val="28"/>
          <w:szCs w:val="28"/>
          <w:highlight w:val="none"/>
          <w:lang w:val="en-US" w:eastAsia="zh-CN"/>
        </w:rPr>
        <w:t>保险费</w:t>
      </w:r>
      <w:r>
        <w:rPr>
          <w:rFonts w:hint="eastAsia" w:eastAsia="宋体"/>
          <w:b w:val="0"/>
          <w:bCs w:val="0"/>
          <w:color w:val="auto"/>
          <w:sz w:val="28"/>
          <w:szCs w:val="28"/>
          <w:highlight w:val="none"/>
          <w:lang w:eastAsia="zh-CN"/>
        </w:rPr>
        <w:t>、采购</w:t>
      </w:r>
      <w:r>
        <w:rPr>
          <w:rFonts w:hint="eastAsia" w:eastAsia="宋体"/>
          <w:b w:val="0"/>
          <w:bCs w:val="0"/>
          <w:color w:val="auto"/>
          <w:sz w:val="28"/>
          <w:szCs w:val="28"/>
          <w:highlight w:val="none"/>
        </w:rPr>
        <w:t>代理服务费（含在总报价中不单列）、平台服务费（含在总报价中不单列）等完成本项目所需的一切费。因</w:t>
      </w:r>
      <w:r>
        <w:rPr>
          <w:rFonts w:hint="eastAsia" w:eastAsia="宋体"/>
          <w:b w:val="0"/>
          <w:bCs w:val="0"/>
          <w:color w:val="auto"/>
          <w:sz w:val="28"/>
          <w:szCs w:val="28"/>
          <w:highlight w:val="none"/>
          <w:lang w:eastAsia="zh-CN"/>
        </w:rPr>
        <w:t>供应商</w:t>
      </w:r>
      <w:r>
        <w:rPr>
          <w:rFonts w:hint="eastAsia" w:eastAsia="宋体"/>
          <w:b w:val="0"/>
          <w:bCs w:val="0"/>
          <w:color w:val="auto"/>
          <w:sz w:val="28"/>
          <w:szCs w:val="28"/>
          <w:highlight w:val="none"/>
        </w:rPr>
        <w:t>自身原因造成漏报、少报皆由其自行承担责任，不再补偿。</w:t>
      </w:r>
    </w:p>
    <w:p w14:paraId="5E3BFB2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74" w:name="_Toc19984"/>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三、</w:t>
      </w:r>
      <w:bookmarkEnd w:id="73"/>
      <w:r>
        <w:rPr>
          <w:rFonts w:hint="eastAsia" w:ascii="宋体" w:hAnsi="宋体" w:cs="仿宋"/>
          <w:b/>
          <w:bCs/>
          <w:color w:val="auto"/>
          <w:szCs w:val="28"/>
          <w:highlight w:val="none"/>
        </w:rPr>
        <w:t>付款方式</w:t>
      </w:r>
      <w:bookmarkEnd w:id="74"/>
    </w:p>
    <w:p w14:paraId="02C58F3B">
      <w:pPr>
        <w:pStyle w:val="51"/>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eastAsia="宋体"/>
          <w:b w:val="0"/>
          <w:bCs w:val="0"/>
          <w:color w:val="auto"/>
          <w:sz w:val="28"/>
          <w:szCs w:val="28"/>
          <w:highlight w:val="none"/>
          <w:lang w:val="en-US" w:eastAsia="zh-CN"/>
        </w:rPr>
      </w:pPr>
      <w:r>
        <w:rPr>
          <w:rFonts w:hint="eastAsia" w:eastAsia="宋体"/>
          <w:b w:val="0"/>
          <w:bCs w:val="0"/>
          <w:color w:val="auto"/>
          <w:sz w:val="28"/>
          <w:szCs w:val="28"/>
          <w:highlight w:val="none"/>
          <w:lang w:val="en-US" w:eastAsia="zh-CN"/>
        </w:rPr>
        <w:t>合同签订后5个工作日内支付合同金额的100%。在付款前，成交供应商须先提供发票。</w:t>
      </w:r>
    </w:p>
    <w:p w14:paraId="651223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75" w:name="_Toc31015"/>
      <w:r>
        <w:rPr>
          <w:rFonts w:hint="eastAsia" w:ascii="宋体" w:hAnsi="宋体" w:cs="仿宋"/>
          <w:b/>
          <w:bCs/>
          <w:color w:val="auto"/>
          <w:sz w:val="24"/>
          <w:szCs w:val="24"/>
          <w:highlight w:val="none"/>
        </w:rPr>
        <w:t>※</w:t>
      </w:r>
      <w:r>
        <w:rPr>
          <w:rFonts w:hint="eastAsia" w:ascii="宋体" w:hAnsi="宋体" w:cs="仿宋"/>
          <w:b/>
          <w:bCs/>
          <w:color w:val="auto"/>
          <w:szCs w:val="28"/>
          <w:highlight w:val="none"/>
        </w:rPr>
        <w:t>四、知识产权</w:t>
      </w:r>
      <w:bookmarkEnd w:id="75"/>
    </w:p>
    <w:p w14:paraId="03EDE2B6">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val="0"/>
          <w:bCs w:val="0"/>
          <w:color w:val="auto"/>
          <w:szCs w:val="28"/>
          <w:highlight w:val="none"/>
        </w:rPr>
      </w:pP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在中华人民共和国境内使用中选人提供的货物及服务时免受第三方提出的侵犯其专利权或其他知识产权的起诉。如果第三方提出侵权指控，中选人应承担由此而引起的一切法律责任和费用。</w:t>
      </w:r>
    </w:p>
    <w:p w14:paraId="48F90B1D">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bCs/>
          <w:color w:val="auto"/>
          <w:szCs w:val="28"/>
          <w:highlight w:val="none"/>
        </w:rPr>
      </w:pPr>
      <w:bookmarkStart w:id="76" w:name="_Toc53646881"/>
      <w:bookmarkStart w:id="77" w:name="_Toc15487"/>
      <w:bookmarkStart w:id="78" w:name="_Toc802"/>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五、</w:t>
      </w:r>
      <w:bookmarkEnd w:id="76"/>
      <w:bookmarkEnd w:id="77"/>
      <w:bookmarkEnd w:id="78"/>
      <w:bookmarkStart w:id="79" w:name="_Toc2121"/>
      <w:r>
        <w:rPr>
          <w:rFonts w:hint="eastAsia" w:ascii="宋体" w:hAnsi="宋体" w:cs="仿宋"/>
          <w:b/>
          <w:bCs/>
          <w:color w:val="auto"/>
          <w:szCs w:val="28"/>
          <w:highlight w:val="none"/>
        </w:rPr>
        <w:t>其他</w:t>
      </w:r>
      <w:bookmarkEnd w:id="79"/>
    </w:p>
    <w:p w14:paraId="5D82C99F">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val="0"/>
          <w:bCs w:val="0"/>
          <w:color w:val="auto"/>
          <w:szCs w:val="28"/>
          <w:highlight w:val="none"/>
        </w:rPr>
      </w:pPr>
      <w:r>
        <w:rPr>
          <w:rFonts w:hint="eastAsia" w:ascii="宋体" w:hAnsi="宋体" w:cs="仿宋"/>
          <w:b w:val="0"/>
          <w:bCs w:val="0"/>
          <w:color w:val="auto"/>
          <w:szCs w:val="28"/>
          <w:highlight w:val="none"/>
        </w:rPr>
        <w:t>其他未尽事宜由甲乙双方在合同中详细约定。</w:t>
      </w:r>
    </w:p>
    <w:p w14:paraId="584235E0">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br w:type="page"/>
      </w:r>
    </w:p>
    <w:p w14:paraId="316B2D45">
      <w:pPr>
        <w:pStyle w:val="2"/>
        <w:bidi w:val="0"/>
        <w:rPr>
          <w:rFonts w:ascii="Times New Roman" w:hAnsi="Times New Roman" w:eastAsia="宋体"/>
          <w:color w:val="auto"/>
          <w:sz w:val="36"/>
          <w:szCs w:val="22"/>
          <w:highlight w:val="none"/>
        </w:rPr>
      </w:pPr>
      <w:bookmarkStart w:id="80" w:name="_Toc32452"/>
      <w:r>
        <w:rPr>
          <w:rFonts w:hint="eastAsia" w:ascii="Times New Roman" w:hAnsi="Times New Roman" w:eastAsia="宋体"/>
          <w:color w:val="auto"/>
          <w:sz w:val="36"/>
          <w:szCs w:val="22"/>
          <w:highlight w:val="none"/>
        </w:rPr>
        <w:t>第四篇 资格审查及评审办法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0"/>
    </w:p>
    <w:p w14:paraId="060340CE">
      <w:pPr>
        <w:pStyle w:val="3"/>
        <w:bidi w:val="0"/>
        <w:rPr>
          <w:rFonts w:ascii="Times New Roman" w:hAnsi="Times New Roman" w:eastAsia="宋体"/>
          <w:color w:val="auto"/>
          <w:highlight w:val="none"/>
        </w:rPr>
      </w:pPr>
      <w:bookmarkStart w:id="81" w:name="_Toc27081"/>
      <w:bookmarkStart w:id="82" w:name="_Toc23973"/>
      <w:bookmarkStart w:id="83" w:name="_Toc75793518"/>
      <w:bookmarkStart w:id="84" w:name="_Toc28360"/>
      <w:bookmarkStart w:id="85" w:name="_Toc28903"/>
      <w:bookmarkStart w:id="86" w:name="_Toc25971"/>
      <w:bookmarkStart w:id="87" w:name="_Toc1497"/>
      <w:bookmarkStart w:id="88" w:name="_Toc29755"/>
      <w:bookmarkStart w:id="89" w:name="_Toc20541"/>
      <w:bookmarkStart w:id="90" w:name="_Toc4071"/>
      <w:bookmarkStart w:id="91" w:name="_Toc21859"/>
      <w:bookmarkStart w:id="92" w:name="_Toc12641"/>
      <w:bookmarkStart w:id="93" w:name="_Toc14564"/>
      <w:bookmarkStart w:id="94" w:name="_Toc8983"/>
      <w:bookmarkStart w:id="95" w:name="_Toc26309"/>
      <w:bookmarkStart w:id="96" w:name="_Toc15440"/>
      <w:bookmarkStart w:id="97" w:name="_Toc10022"/>
      <w:bookmarkStart w:id="98" w:name="_Toc1763"/>
      <w:bookmarkStart w:id="99" w:name="_Toc106030394"/>
      <w:bookmarkStart w:id="100" w:name="_Toc3951"/>
      <w:r>
        <w:rPr>
          <w:rFonts w:hint="eastAsia" w:ascii="Times New Roman" w:hAnsi="Times New Roman" w:eastAsia="宋体"/>
          <w:color w:val="auto"/>
          <w:highlight w:val="none"/>
        </w:rPr>
        <w:t>一、资格审查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Times New Roman" w:hAnsi="Times New Roman" w:eastAsia="宋体"/>
          <w:color w:val="auto"/>
          <w:highlight w:val="none"/>
        </w:rPr>
        <w:t>及符合性审查</w:t>
      </w:r>
      <w:bookmarkEnd w:id="96"/>
      <w:bookmarkEnd w:id="97"/>
      <w:bookmarkEnd w:id="98"/>
      <w:bookmarkEnd w:id="99"/>
      <w:bookmarkEnd w:id="100"/>
    </w:p>
    <w:p w14:paraId="71435A00">
      <w:pPr>
        <w:snapToGrid w:val="0"/>
        <w:spacing w:line="480" w:lineRule="atLeast"/>
        <w:ind w:firstLine="560" w:firstLineChars="200"/>
        <w:rPr>
          <w:rFonts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若未通过资格审查及符合性审查的</w:t>
      </w:r>
      <w:r>
        <w:rPr>
          <w:rFonts w:hint="eastAsia" w:cs="宋体"/>
          <w:bCs/>
          <w:color w:val="auto"/>
          <w:szCs w:val="28"/>
          <w:highlight w:val="none"/>
          <w:lang w:eastAsia="zh-CN"/>
        </w:rPr>
        <w:t>响应文件</w:t>
      </w:r>
      <w:r>
        <w:rPr>
          <w:rFonts w:hint="eastAsia" w:ascii="Times New Roman" w:hAnsi="Times New Roman" w:eastAsia="宋体" w:cs="宋体"/>
          <w:bCs/>
          <w:color w:val="auto"/>
          <w:szCs w:val="28"/>
          <w:highlight w:val="none"/>
        </w:rPr>
        <w:t>，不进入评审环节。</w:t>
      </w:r>
    </w:p>
    <w:p w14:paraId="03255165">
      <w:pPr>
        <w:snapToGrid w:val="0"/>
        <w:spacing w:line="480" w:lineRule="atLeast"/>
        <w:ind w:firstLine="562" w:firstLineChars="200"/>
        <w:rPr>
          <w:rFonts w:hint="eastAsia" w:ascii="Times New Roman" w:hAnsi="Times New Roman" w:eastAsia="宋体" w:cs="宋体"/>
          <w:b/>
          <w:color w:val="auto"/>
          <w:szCs w:val="28"/>
          <w:highlight w:val="none"/>
          <w:lang w:eastAsia="zh-CN"/>
        </w:rPr>
      </w:pPr>
      <w:r>
        <w:rPr>
          <w:rFonts w:hint="eastAsia" w:ascii="Times New Roman" w:hAnsi="Times New Roman" w:eastAsia="宋体" w:cs="宋体"/>
          <w:b/>
          <w:color w:val="auto"/>
          <w:szCs w:val="28"/>
          <w:highlight w:val="none"/>
        </w:rPr>
        <w:t>（一）资格审查</w:t>
      </w:r>
    </w:p>
    <w:p w14:paraId="4F4769A7">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对</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A1A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6A5478">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6D3209CD">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5254123C">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04C9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6A90497">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57DDC506">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基本资格条件</w:t>
            </w:r>
          </w:p>
        </w:tc>
        <w:tc>
          <w:tcPr>
            <w:tcW w:w="3118" w:type="dxa"/>
            <w:vAlign w:val="center"/>
          </w:tcPr>
          <w:p w14:paraId="461C4727">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0A991FBD">
            <w:pPr>
              <w:rPr>
                <w:rFonts w:hint="eastAsia" w:cs="宋体"/>
                <w:color w:val="auto"/>
                <w:sz w:val="24"/>
                <w:szCs w:val="24"/>
                <w:highlight w:val="none"/>
                <w:lang w:eastAsia="zh-CN"/>
              </w:rPr>
            </w:pPr>
            <w:r>
              <w:rPr>
                <w:rFonts w:hint="eastAsia" w:cs="宋体"/>
                <w:color w:val="auto"/>
                <w:sz w:val="24"/>
                <w:szCs w:val="24"/>
                <w:highlight w:val="none"/>
                <w:lang w:val="en-US" w:eastAsia="zh-CN"/>
              </w:rPr>
              <w:t>1.</w:t>
            </w:r>
            <w:r>
              <w:rPr>
                <w:rFonts w:hint="eastAsia" w:cs="宋体"/>
                <w:color w:val="auto"/>
                <w:sz w:val="24"/>
                <w:szCs w:val="24"/>
                <w:highlight w:val="none"/>
                <w:lang w:eastAsia="zh-CN"/>
              </w:rPr>
              <w:t>供应商法定代表人（或负责人）</w:t>
            </w:r>
            <w:r>
              <w:rPr>
                <w:rFonts w:hint="eastAsia" w:ascii="Times New Roman" w:hAnsi="Times New Roman" w:eastAsia="宋体" w:cs="宋体"/>
                <w:color w:val="auto"/>
                <w:sz w:val="24"/>
                <w:szCs w:val="24"/>
                <w:highlight w:val="none"/>
              </w:rPr>
              <w:t>身份证明</w:t>
            </w:r>
            <w:r>
              <w:rPr>
                <w:rFonts w:hint="eastAsia" w:cs="宋体"/>
                <w:color w:val="auto"/>
                <w:sz w:val="24"/>
                <w:szCs w:val="24"/>
                <w:highlight w:val="none"/>
                <w:lang w:eastAsia="zh-CN"/>
              </w:rPr>
              <w:t>；</w:t>
            </w:r>
          </w:p>
          <w:p w14:paraId="7A9697AC">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2.委托授权代表签署响应文件和投标的，还须提供</w:t>
            </w:r>
            <w:r>
              <w:rPr>
                <w:rFonts w:hint="eastAsia" w:ascii="Times New Roman" w:hAnsi="Times New Roman" w:eastAsia="宋体" w:cs="宋体"/>
                <w:color w:val="auto"/>
                <w:sz w:val="24"/>
                <w:szCs w:val="24"/>
                <w:highlight w:val="none"/>
              </w:rPr>
              <w:t>授权代表委托书。</w:t>
            </w:r>
          </w:p>
        </w:tc>
      </w:tr>
      <w:tr w14:paraId="11B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DC26F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27088C77">
            <w:pPr>
              <w:rPr>
                <w:rFonts w:ascii="Times New Roman" w:hAnsi="Times New Roman" w:eastAsia="宋体" w:cs="宋体"/>
                <w:color w:val="auto"/>
                <w:sz w:val="24"/>
                <w:szCs w:val="24"/>
                <w:highlight w:val="none"/>
                <w:lang w:val="zh-CN"/>
              </w:rPr>
            </w:pPr>
          </w:p>
        </w:tc>
        <w:tc>
          <w:tcPr>
            <w:tcW w:w="3118" w:type="dxa"/>
            <w:vAlign w:val="center"/>
          </w:tcPr>
          <w:p w14:paraId="3C4D819B">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72BBE97A">
            <w:pPr>
              <w:rPr>
                <w:rFonts w:ascii="Times New Roman" w:hAnsi="Times New Roman" w:eastAsia="宋体" w:cs="宋体"/>
                <w:color w:val="auto"/>
                <w:sz w:val="24"/>
                <w:szCs w:val="24"/>
                <w:highlight w:val="none"/>
              </w:rPr>
            </w:pP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提供“基本资格条件承诺函”（格式详见第</w:t>
            </w:r>
            <w:r>
              <w:rPr>
                <w:rFonts w:hint="eastAsia" w:cs="宋体"/>
                <w:color w:val="auto"/>
                <w:sz w:val="24"/>
                <w:szCs w:val="24"/>
                <w:highlight w:val="none"/>
                <w:lang w:val="en-US" w:eastAsia="zh-CN"/>
              </w:rPr>
              <w:t>七</w:t>
            </w:r>
            <w:r>
              <w:rPr>
                <w:rFonts w:hint="eastAsia" w:ascii="Times New Roman" w:hAnsi="Times New Roman" w:eastAsia="宋体" w:cs="宋体"/>
                <w:color w:val="auto"/>
                <w:sz w:val="24"/>
                <w:szCs w:val="24"/>
                <w:highlight w:val="none"/>
              </w:rPr>
              <w:t>篇）</w:t>
            </w:r>
          </w:p>
          <w:p w14:paraId="0D8D0A01">
            <w:pPr>
              <w:rPr>
                <w:rFonts w:ascii="Times New Roman" w:hAnsi="Times New Roman" w:eastAsia="宋体" w:cs="宋体"/>
                <w:b/>
                <w:color w:val="auto"/>
                <w:sz w:val="24"/>
                <w:szCs w:val="24"/>
                <w:highlight w:val="none"/>
              </w:rPr>
            </w:pPr>
          </w:p>
        </w:tc>
      </w:tr>
      <w:tr w14:paraId="3038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CE4E6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0E64F981">
            <w:pPr>
              <w:rPr>
                <w:rFonts w:ascii="Times New Roman" w:hAnsi="Times New Roman" w:eastAsia="宋体" w:cs="宋体"/>
                <w:color w:val="auto"/>
                <w:sz w:val="24"/>
                <w:szCs w:val="24"/>
                <w:highlight w:val="none"/>
                <w:lang w:val="zh-CN"/>
              </w:rPr>
            </w:pPr>
          </w:p>
        </w:tc>
        <w:tc>
          <w:tcPr>
            <w:tcW w:w="3118" w:type="dxa"/>
            <w:vAlign w:val="center"/>
          </w:tcPr>
          <w:p w14:paraId="41A39DBF">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30182EB6">
            <w:pPr>
              <w:rPr>
                <w:rFonts w:ascii="Times New Roman" w:hAnsi="Times New Roman" w:eastAsia="宋体" w:cs="宋体"/>
                <w:color w:val="auto"/>
                <w:sz w:val="24"/>
                <w:szCs w:val="24"/>
                <w:highlight w:val="none"/>
              </w:rPr>
            </w:pPr>
          </w:p>
        </w:tc>
      </w:tr>
      <w:tr w14:paraId="247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4D8B0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6134BE8A">
            <w:pPr>
              <w:rPr>
                <w:rFonts w:ascii="Times New Roman" w:hAnsi="Times New Roman" w:eastAsia="宋体" w:cs="宋体"/>
                <w:color w:val="auto"/>
                <w:sz w:val="24"/>
                <w:szCs w:val="24"/>
                <w:highlight w:val="none"/>
                <w:lang w:val="zh-CN"/>
              </w:rPr>
            </w:pPr>
          </w:p>
        </w:tc>
        <w:tc>
          <w:tcPr>
            <w:tcW w:w="3118" w:type="dxa"/>
            <w:vAlign w:val="center"/>
          </w:tcPr>
          <w:p w14:paraId="2C270BB7">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7FA16858">
            <w:pPr>
              <w:rPr>
                <w:rFonts w:ascii="Times New Roman" w:hAnsi="Times New Roman" w:eastAsia="宋体" w:cs="宋体"/>
                <w:color w:val="auto"/>
                <w:sz w:val="24"/>
                <w:szCs w:val="24"/>
                <w:highlight w:val="none"/>
              </w:rPr>
            </w:pPr>
          </w:p>
        </w:tc>
      </w:tr>
      <w:tr w14:paraId="6617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1D163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4CA9977">
            <w:pPr>
              <w:rPr>
                <w:rFonts w:ascii="Times New Roman" w:hAnsi="Times New Roman" w:eastAsia="宋体" w:cs="宋体"/>
                <w:color w:val="auto"/>
                <w:sz w:val="24"/>
                <w:szCs w:val="24"/>
                <w:highlight w:val="none"/>
                <w:lang w:val="zh-CN"/>
              </w:rPr>
            </w:pPr>
          </w:p>
        </w:tc>
        <w:tc>
          <w:tcPr>
            <w:tcW w:w="3118" w:type="dxa"/>
            <w:vAlign w:val="center"/>
          </w:tcPr>
          <w:p w14:paraId="3EA5FB7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5.参加采购活动前三年内，在经营活动中没有重大违法记录（注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7EE18B0D">
            <w:pPr>
              <w:rPr>
                <w:rFonts w:ascii="Times New Roman" w:hAnsi="Times New Roman" w:eastAsia="宋体" w:cs="宋体"/>
                <w:b/>
                <w:color w:val="auto"/>
                <w:sz w:val="24"/>
                <w:szCs w:val="24"/>
                <w:highlight w:val="none"/>
              </w:rPr>
            </w:pPr>
          </w:p>
        </w:tc>
      </w:tr>
      <w:tr w14:paraId="0E3C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3B374E0">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84CBAF4">
            <w:pPr>
              <w:rPr>
                <w:rFonts w:ascii="Times New Roman" w:hAnsi="Times New Roman" w:eastAsia="宋体" w:cs="宋体"/>
                <w:color w:val="auto"/>
                <w:sz w:val="24"/>
                <w:szCs w:val="24"/>
                <w:highlight w:val="none"/>
              </w:rPr>
            </w:pPr>
          </w:p>
        </w:tc>
        <w:tc>
          <w:tcPr>
            <w:tcW w:w="3118" w:type="dxa"/>
            <w:vAlign w:val="center"/>
          </w:tcPr>
          <w:p w14:paraId="28E4B9F2">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7E693E45">
            <w:pPr>
              <w:rPr>
                <w:rFonts w:ascii="Times New Roman" w:hAnsi="Times New Roman" w:eastAsia="宋体" w:cs="宋体"/>
                <w:color w:val="auto"/>
                <w:sz w:val="24"/>
                <w:szCs w:val="24"/>
                <w:highlight w:val="none"/>
              </w:rPr>
            </w:pPr>
          </w:p>
        </w:tc>
      </w:tr>
      <w:tr w14:paraId="18A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35D0456">
            <w:pPr>
              <w:spacing w:line="480" w:lineRule="atLeast"/>
              <w:jc w:val="center"/>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cs="宋体"/>
                <w:color w:val="auto"/>
                <w:sz w:val="24"/>
                <w:szCs w:val="24"/>
                <w:highlight w:val="none"/>
                <w:lang w:eastAsia="zh-CN"/>
              </w:rPr>
              <w:t>）</w:t>
            </w:r>
          </w:p>
        </w:tc>
        <w:tc>
          <w:tcPr>
            <w:tcW w:w="3827" w:type="dxa"/>
            <w:gridSpan w:val="2"/>
            <w:vAlign w:val="center"/>
          </w:tcPr>
          <w:p w14:paraId="3D6649E5">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本项目的特定资格要求</w:t>
            </w:r>
          </w:p>
        </w:tc>
        <w:tc>
          <w:tcPr>
            <w:tcW w:w="4984" w:type="dxa"/>
            <w:vAlign w:val="center"/>
          </w:tcPr>
          <w:p w14:paraId="4EFE4D5B">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r w14:paraId="38B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50DC5B6C">
            <w:pPr>
              <w:spacing w:line="480" w:lineRule="atLeast"/>
              <w:jc w:val="center"/>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三</w:t>
            </w:r>
            <w:r>
              <w:rPr>
                <w:rFonts w:hint="eastAsia" w:cs="宋体"/>
                <w:color w:val="auto"/>
                <w:sz w:val="24"/>
                <w:szCs w:val="24"/>
                <w:highlight w:val="none"/>
                <w:lang w:eastAsia="zh-CN"/>
              </w:rPr>
              <w:t>）</w:t>
            </w:r>
          </w:p>
        </w:tc>
        <w:tc>
          <w:tcPr>
            <w:tcW w:w="3827" w:type="dxa"/>
            <w:gridSpan w:val="2"/>
            <w:vAlign w:val="center"/>
          </w:tcPr>
          <w:p w14:paraId="13F0BB8D">
            <w:pPr>
              <w:rPr>
                <w:rFonts w:hint="eastAsia" w:ascii="Times New Roman" w:hAnsi="Times New Roman" w:eastAsia="宋体" w:cs="宋体"/>
                <w:color w:val="auto"/>
                <w:sz w:val="24"/>
                <w:szCs w:val="24"/>
                <w:highlight w:val="none"/>
              </w:rPr>
            </w:pPr>
            <w:r>
              <w:rPr>
                <w:rFonts w:hint="eastAsia" w:cs="宋体"/>
                <w:color w:val="auto"/>
                <w:sz w:val="24"/>
                <w:szCs w:val="24"/>
                <w:highlight w:val="none"/>
                <w:lang w:val="en-US" w:eastAsia="zh-CN"/>
              </w:rPr>
              <w:t>竞采保证金</w:t>
            </w:r>
          </w:p>
        </w:tc>
        <w:tc>
          <w:tcPr>
            <w:tcW w:w="4984" w:type="dxa"/>
            <w:vAlign w:val="center"/>
          </w:tcPr>
          <w:p w14:paraId="4D402DA1">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bl>
    <w:p w14:paraId="01EF9B34">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kern w:val="0"/>
          <w:szCs w:val="28"/>
          <w:highlight w:val="none"/>
        </w:rPr>
        <w:t>“参加采购活动前三年内，在经营活动中没有重大违法记录”中“重大违法记录”，是指</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可于</w:t>
      </w:r>
      <w:r>
        <w:rPr>
          <w:rFonts w:hint="eastAsia" w:cs="宋体"/>
          <w:color w:val="auto"/>
          <w:kern w:val="0"/>
          <w:szCs w:val="28"/>
          <w:highlight w:val="none"/>
          <w:lang w:val="en-US" w:eastAsia="zh-CN"/>
        </w:rPr>
        <w:t>竞采</w:t>
      </w:r>
      <w:r>
        <w:rPr>
          <w:rFonts w:hint="eastAsia" w:ascii="Times New Roman" w:hAnsi="Times New Roman" w:eastAsia="宋体" w:cs="宋体"/>
          <w:color w:val="auto"/>
          <w:kern w:val="0"/>
          <w:szCs w:val="28"/>
          <w:highlight w:val="none"/>
        </w:rPr>
        <w:t>截止日期前通过 “信用中国”网站(www.creditchina.gov.cn)、"中国政府采购网"(www.ccgp.gov.cn)等渠道查询信用记录。</w:t>
      </w:r>
    </w:p>
    <w:p w14:paraId="3B46ADE6">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（二）符合性审查</w:t>
      </w:r>
    </w:p>
    <w:p w14:paraId="39CCA7B2">
      <w:pPr>
        <w:snapToGrid w:val="0"/>
        <w:spacing w:line="480" w:lineRule="atLeast"/>
        <w:ind w:firstLine="560" w:firstLineChars="200"/>
        <w:rPr>
          <w:rFonts w:hint="eastAsia" w:ascii="Times New Roman" w:hAnsi="Times New Roman" w:eastAsia="宋体" w:cs="宋体"/>
          <w:color w:val="auto"/>
          <w:kern w:val="0"/>
          <w:szCs w:val="28"/>
          <w:highlight w:val="none"/>
        </w:rPr>
      </w:pPr>
      <w:r>
        <w:rPr>
          <w:rFonts w:hint="eastAsia" w:cs="宋体"/>
          <w:color w:val="auto"/>
          <w:kern w:val="0"/>
          <w:szCs w:val="28"/>
          <w:highlight w:val="none"/>
          <w:lang w:eastAsia="zh-CN"/>
        </w:rPr>
        <w:t>评审小组</w:t>
      </w:r>
      <w:r>
        <w:rPr>
          <w:rFonts w:hint="eastAsia" w:ascii="Times New Roman" w:hAnsi="Times New Roman" w:eastAsia="宋体" w:cs="宋体"/>
          <w:color w:val="auto"/>
          <w:kern w:val="0"/>
          <w:szCs w:val="28"/>
          <w:highlight w:val="none"/>
        </w:rPr>
        <w:t>应当对符合资格的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的</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进行符合性审查，以确定其是否满足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的实质性要求。符合性审查资料表如下：</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2572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14:paraId="14104EC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1625" w:type="pct"/>
            <w:gridSpan w:val="2"/>
            <w:vAlign w:val="center"/>
          </w:tcPr>
          <w:p w14:paraId="7B49BB8B">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2955" w:type="pct"/>
            <w:vAlign w:val="center"/>
          </w:tcPr>
          <w:p w14:paraId="2D6847B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6CBB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1D21EB04">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741" w:type="pct"/>
            <w:vMerge w:val="restart"/>
            <w:vAlign w:val="center"/>
          </w:tcPr>
          <w:p w14:paraId="2173D662">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883" w:type="pct"/>
            <w:vAlign w:val="center"/>
          </w:tcPr>
          <w:p w14:paraId="28383456">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签署或盖章</w:t>
            </w:r>
          </w:p>
        </w:tc>
        <w:tc>
          <w:tcPr>
            <w:tcW w:w="2955" w:type="pct"/>
            <w:vAlign w:val="center"/>
          </w:tcPr>
          <w:p w14:paraId="5D92E115">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上</w:t>
            </w:r>
            <w:r>
              <w:rPr>
                <w:rFonts w:hint="eastAsia" w:cs="宋体"/>
                <w:color w:val="auto"/>
                <w:sz w:val="24"/>
                <w:szCs w:val="24"/>
                <w:highlight w:val="none"/>
                <w:lang w:eastAsia="zh-CN"/>
              </w:rPr>
              <w:t>法定代表人（或负责人）</w:t>
            </w:r>
            <w:r>
              <w:rPr>
                <w:rFonts w:hint="eastAsia" w:ascii="Times New Roman" w:hAnsi="Times New Roman" w:eastAsia="宋体" w:cs="宋体"/>
                <w:color w:val="auto"/>
                <w:sz w:val="24"/>
                <w:szCs w:val="24"/>
                <w:highlight w:val="none"/>
              </w:rPr>
              <w:t>（或其授权代表）的签署或盖章齐全。</w:t>
            </w:r>
          </w:p>
        </w:tc>
      </w:tr>
      <w:tr w14:paraId="48E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2C94666B">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5A25600A">
            <w:pPr>
              <w:rPr>
                <w:rFonts w:ascii="Times New Roman" w:hAnsi="Times New Roman" w:eastAsia="宋体" w:cs="宋体"/>
                <w:color w:val="auto"/>
                <w:kern w:val="0"/>
                <w:sz w:val="24"/>
                <w:szCs w:val="24"/>
                <w:highlight w:val="none"/>
              </w:rPr>
            </w:pPr>
          </w:p>
        </w:tc>
        <w:tc>
          <w:tcPr>
            <w:tcW w:w="883" w:type="pct"/>
            <w:vAlign w:val="center"/>
          </w:tcPr>
          <w:p w14:paraId="6279FD6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2955" w:type="pct"/>
            <w:vAlign w:val="center"/>
          </w:tcPr>
          <w:p w14:paraId="2E46875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49C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4FC9CE62">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63F68B63">
            <w:pPr>
              <w:rPr>
                <w:rFonts w:ascii="Times New Roman" w:hAnsi="Times New Roman" w:eastAsia="宋体" w:cs="宋体"/>
                <w:color w:val="auto"/>
                <w:kern w:val="0"/>
                <w:sz w:val="24"/>
                <w:szCs w:val="24"/>
                <w:highlight w:val="none"/>
              </w:rPr>
            </w:pPr>
          </w:p>
        </w:tc>
        <w:tc>
          <w:tcPr>
            <w:tcW w:w="883" w:type="pct"/>
            <w:vAlign w:val="center"/>
          </w:tcPr>
          <w:p w14:paraId="0CF49D3E">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2955" w:type="pct"/>
            <w:vAlign w:val="center"/>
          </w:tcPr>
          <w:p w14:paraId="1EA45E32">
            <w:pPr>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sz w:val="24"/>
                <w:szCs w:val="24"/>
                <w:highlight w:val="none"/>
                <w:lang w:val="zh-CN"/>
              </w:rPr>
              <w:t>在</w:t>
            </w:r>
            <w:r>
              <w:rPr>
                <w:rFonts w:hint="eastAsia" w:cs="宋体"/>
                <w:color w:val="auto"/>
                <w:sz w:val="24"/>
                <w:szCs w:val="24"/>
                <w:highlight w:val="none"/>
                <w:lang w:val="zh-CN"/>
              </w:rPr>
              <w:t>规定</w:t>
            </w:r>
            <w:r>
              <w:rPr>
                <w:rFonts w:hint="eastAsia" w:ascii="Times New Roman" w:hAnsi="Times New Roman" w:eastAsia="宋体" w:cs="宋体"/>
                <w:color w:val="auto"/>
                <w:sz w:val="24"/>
                <w:szCs w:val="24"/>
                <w:highlight w:val="none"/>
                <w:lang w:val="zh-CN"/>
              </w:rPr>
              <w:t>限价内报价</w:t>
            </w:r>
            <w:r>
              <w:rPr>
                <w:rFonts w:hint="eastAsia" w:cs="宋体"/>
                <w:color w:val="auto"/>
                <w:sz w:val="24"/>
                <w:szCs w:val="24"/>
                <w:highlight w:val="none"/>
                <w:lang w:val="zh-CN"/>
              </w:rPr>
              <w:t>，</w:t>
            </w:r>
            <w:r>
              <w:rPr>
                <w:rFonts w:hint="eastAsia" w:ascii="Times New Roman" w:hAnsi="Times New Roman" w:eastAsia="宋体" w:cs="宋体"/>
                <w:color w:val="auto"/>
                <w:sz w:val="24"/>
                <w:szCs w:val="24"/>
                <w:highlight w:val="none"/>
              </w:rPr>
              <w:t>只能有一个有效报价，不得提交选择性报价</w:t>
            </w:r>
            <w:r>
              <w:rPr>
                <w:rFonts w:hint="eastAsia" w:cs="宋体"/>
                <w:color w:val="auto"/>
                <w:sz w:val="24"/>
                <w:szCs w:val="24"/>
                <w:highlight w:val="none"/>
                <w:lang w:eastAsia="zh-CN"/>
              </w:rPr>
              <w:t>；出现非否决因素的计价错误的，按照“第五篇”规定的修正方式进行修正。</w:t>
            </w:r>
          </w:p>
        </w:tc>
      </w:tr>
      <w:tr w14:paraId="5076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11F93655">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741" w:type="pct"/>
            <w:vAlign w:val="center"/>
          </w:tcPr>
          <w:p w14:paraId="496E2830">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883" w:type="pct"/>
            <w:vAlign w:val="center"/>
          </w:tcPr>
          <w:p w14:paraId="031E1D40">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zh-CN"/>
              </w:rPr>
              <w:t>响应文件</w:t>
            </w:r>
            <w:r>
              <w:rPr>
                <w:rFonts w:hint="eastAsia" w:ascii="Times New Roman" w:hAnsi="Times New Roman" w:eastAsia="宋体" w:cs="宋体"/>
                <w:color w:val="auto"/>
                <w:sz w:val="24"/>
                <w:szCs w:val="24"/>
                <w:highlight w:val="none"/>
                <w:lang w:val="zh-CN"/>
              </w:rPr>
              <w:t>份数</w:t>
            </w:r>
          </w:p>
        </w:tc>
        <w:tc>
          <w:tcPr>
            <w:tcW w:w="2955" w:type="pct"/>
            <w:vAlign w:val="center"/>
          </w:tcPr>
          <w:p w14:paraId="701E6B2C">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en-US" w:eastAsia="zh-CN"/>
              </w:rPr>
              <w:t>满足竞采文件的规定</w:t>
            </w:r>
            <w:r>
              <w:rPr>
                <w:rFonts w:hint="eastAsia" w:ascii="Times New Roman" w:hAnsi="Times New Roman" w:eastAsia="宋体" w:cs="宋体"/>
                <w:color w:val="auto"/>
                <w:sz w:val="24"/>
                <w:szCs w:val="24"/>
                <w:highlight w:val="none"/>
                <w:lang w:val="zh-CN"/>
              </w:rPr>
              <w:t>。</w:t>
            </w:r>
          </w:p>
        </w:tc>
      </w:tr>
      <w:tr w14:paraId="59DD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2009A80A">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741" w:type="pct"/>
            <w:vAlign w:val="center"/>
          </w:tcPr>
          <w:p w14:paraId="665B7E25">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服务</w:t>
            </w:r>
            <w:r>
              <w:rPr>
                <w:rFonts w:hint="eastAsia" w:ascii="Times New Roman" w:hAnsi="Times New Roman" w:eastAsia="宋体" w:cs="宋体"/>
                <w:color w:val="auto"/>
                <w:kern w:val="0"/>
                <w:sz w:val="24"/>
                <w:szCs w:val="24"/>
                <w:highlight w:val="none"/>
              </w:rPr>
              <w:t>部分</w:t>
            </w:r>
          </w:p>
        </w:tc>
        <w:tc>
          <w:tcPr>
            <w:tcW w:w="883" w:type="pct"/>
            <w:vAlign w:val="center"/>
          </w:tcPr>
          <w:p w14:paraId="5C492738">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5B6F505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第二篇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2C8C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1B6B39E8">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741" w:type="pct"/>
            <w:vAlign w:val="center"/>
          </w:tcPr>
          <w:p w14:paraId="7743E36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883" w:type="pct"/>
            <w:vAlign w:val="center"/>
          </w:tcPr>
          <w:p w14:paraId="5273FA9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494ABBEA">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第三篇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6F9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52B4511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5</w:t>
            </w:r>
          </w:p>
        </w:tc>
        <w:tc>
          <w:tcPr>
            <w:tcW w:w="741" w:type="pct"/>
            <w:vAlign w:val="center"/>
          </w:tcPr>
          <w:p w14:paraId="05F8573B">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竞采有效期</w:t>
            </w:r>
          </w:p>
        </w:tc>
        <w:tc>
          <w:tcPr>
            <w:tcW w:w="883" w:type="pct"/>
            <w:vAlign w:val="center"/>
          </w:tcPr>
          <w:p w14:paraId="59D9A446">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3BBF1BE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响应文件递交</w:t>
            </w:r>
            <w:r>
              <w:rPr>
                <w:rFonts w:hint="eastAsia" w:ascii="Times New Roman" w:hAnsi="Times New Roman" w:eastAsia="宋体" w:cs="宋体"/>
                <w:color w:val="auto"/>
                <w:kern w:val="0"/>
                <w:sz w:val="24"/>
                <w:szCs w:val="24"/>
                <w:highlight w:val="none"/>
              </w:rPr>
              <w:t>截止时间起90天。</w:t>
            </w:r>
          </w:p>
        </w:tc>
      </w:tr>
    </w:tbl>
    <w:p w14:paraId="1AA51AB9">
      <w:pPr>
        <w:pStyle w:val="3"/>
        <w:bidi w:val="0"/>
        <w:rPr>
          <w:rFonts w:ascii="Times New Roman" w:hAnsi="Times New Roman" w:eastAsia="宋体"/>
          <w:color w:val="auto"/>
          <w:highlight w:val="none"/>
        </w:rPr>
      </w:pPr>
      <w:bookmarkStart w:id="101" w:name="_Toc16405"/>
      <w:bookmarkStart w:id="102" w:name="_Toc14970"/>
      <w:bookmarkStart w:id="103" w:name="_Toc20171"/>
      <w:bookmarkStart w:id="104" w:name="_Toc26938"/>
      <w:bookmarkStart w:id="105" w:name="_Toc106030395"/>
      <w:bookmarkStart w:id="106" w:name="_Toc26796"/>
      <w:bookmarkStart w:id="107" w:name="_Toc21650"/>
      <w:bookmarkStart w:id="108" w:name="_Toc27633"/>
      <w:bookmarkStart w:id="109" w:name="_Toc29140"/>
      <w:bookmarkStart w:id="110" w:name="_Toc28549"/>
      <w:bookmarkStart w:id="111" w:name="_Toc30717"/>
      <w:bookmarkStart w:id="112" w:name="_Toc14824"/>
      <w:bookmarkStart w:id="113" w:name="_Toc5620"/>
      <w:bookmarkStart w:id="114" w:name="_Toc28526"/>
      <w:bookmarkStart w:id="115" w:name="_Toc30011"/>
      <w:bookmarkStart w:id="116" w:name="_Toc27015"/>
      <w:bookmarkStart w:id="117" w:name="_Toc75793519"/>
      <w:bookmarkStart w:id="118" w:name="_Toc31997"/>
      <w:bookmarkStart w:id="119" w:name="_Toc25341"/>
      <w:bookmarkStart w:id="120" w:name="_Toc9094"/>
      <w:r>
        <w:rPr>
          <w:rFonts w:hint="eastAsia" w:ascii="Times New Roman" w:hAnsi="Times New Roman" w:eastAsia="宋体"/>
          <w:color w:val="auto"/>
          <w:highlight w:val="none"/>
        </w:rPr>
        <w:t>二、评审方法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E45A54D">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本项目采用综合评分法进行评审。</w:t>
      </w:r>
    </w:p>
    <w:p w14:paraId="3F6A35AF">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综合评分法，是指</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全部实质性要求且按照评审因素的量化指标评审得分最高的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为成交候选人的评审方法。</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总得分为价格、</w:t>
      </w:r>
      <w:r>
        <w:rPr>
          <w:rFonts w:hint="eastAsia" w:cs="宋体"/>
          <w:color w:val="auto"/>
          <w:kern w:val="0"/>
          <w:szCs w:val="28"/>
          <w:highlight w:val="none"/>
          <w:lang w:eastAsia="zh-CN"/>
        </w:rPr>
        <w:t>服务</w:t>
      </w:r>
      <w:r>
        <w:rPr>
          <w:rFonts w:hint="eastAsia" w:ascii="Times New Roman" w:hAnsi="Times New Roman" w:eastAsia="宋体" w:cs="宋体"/>
          <w:color w:val="auto"/>
          <w:kern w:val="0"/>
          <w:szCs w:val="28"/>
          <w:highlight w:val="none"/>
        </w:rPr>
        <w:t>、商务等评定因素分别按照相应权重值计算分项得分后相加，满分为100分。</w:t>
      </w:r>
    </w:p>
    <w:p w14:paraId="48A978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澄清有关问题。对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中含义不明确、同类问题表述不一致或者有明显文字和计算错误的内容，</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可以书面形式（应当由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成员签字）要求</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作出必要澄清、说明或者纠正。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的澄清、说明或者补正应当采用书面形式，由其</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（或其授权代表）签字，其澄清的内容不得超出</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的范围或者改变</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的实质性内容。</w:t>
      </w:r>
    </w:p>
    <w:p w14:paraId="08DB264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评审：</w:t>
      </w:r>
    </w:p>
    <w:p w14:paraId="641BD8FA">
      <w:pPr>
        <w:snapToGrid w:val="0"/>
        <w:spacing w:line="480" w:lineRule="atLeast"/>
        <w:ind w:firstLine="562" w:firstLineChars="200"/>
        <w:rPr>
          <w:rFonts w:hint="eastAsia"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（一）比较与评价</w:t>
      </w:r>
      <w:r>
        <w:rPr>
          <w:rFonts w:hint="eastAsia" w:ascii="Times New Roman" w:hAnsi="Times New Roman" w:eastAsia="宋体" w:cs="宋体"/>
          <w:color w:val="auto"/>
          <w:szCs w:val="28"/>
          <w:highlight w:val="none"/>
        </w:rPr>
        <w:t>。按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中规定的评审方法和标准，对资格审查和符合性审查合格的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进行商务</w:t>
      </w:r>
      <w:r>
        <w:rPr>
          <w:rFonts w:hint="eastAsia" w:cs="宋体"/>
          <w:color w:val="auto"/>
          <w:szCs w:val="28"/>
          <w:highlight w:val="none"/>
          <w:lang w:eastAsia="zh-CN"/>
        </w:rPr>
        <w:t>、服务、报价评分</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各成员独立对每个有效</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（通过资格审查、符合性审查的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进行评价、打分，然后由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对各成员打分情况进行核查及复核，个别成员对同一</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同一评分项的打分偏离较大的，应对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进行再次核对，确属打分有误的，应及时进行修正。复核后，</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汇总每个</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每项评分因素的得分。</w:t>
      </w:r>
    </w:p>
    <w:p w14:paraId="04B1F745">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（二）推荐成交候选人名单。</w:t>
      </w:r>
    </w:p>
    <w:p w14:paraId="1489A042">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按评审后得分由高到低的排列顺序推荐综合得分排名</w:t>
      </w:r>
      <w:r>
        <w:rPr>
          <w:rFonts w:hint="eastAsia" w:ascii="Times New Roman" w:hAnsi="Times New Roman" w:eastAsia="宋体" w:cs="宋体"/>
          <w:bCs/>
          <w:color w:val="auto"/>
          <w:highlight w:val="none"/>
        </w:rPr>
        <w:t>前三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为本</w:t>
      </w:r>
      <w:r>
        <w:rPr>
          <w:rFonts w:hint="eastAsia" w:ascii="Times New Roman" w:hAnsi="Times New Roman" w:eastAsia="宋体" w:cs="宋体"/>
          <w:color w:val="auto"/>
          <w:szCs w:val="28"/>
          <w:highlight w:val="none"/>
          <w:lang w:val="en-US" w:eastAsia="zh-CN"/>
        </w:rPr>
        <w:t>项目</w:t>
      </w:r>
      <w:r>
        <w:rPr>
          <w:rFonts w:hint="eastAsia" w:ascii="Times New Roman" w:hAnsi="Times New Roman" w:eastAsia="宋体" w:cs="宋体"/>
          <w:color w:val="auto"/>
          <w:szCs w:val="28"/>
          <w:highlight w:val="none"/>
        </w:rPr>
        <w:t>成交候选人，排名第一的为第一成交候选人。得分相同的，按</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报价由低到高顺序排列，得分且</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报价相同的并列，但</w:t>
      </w:r>
      <w:r>
        <w:rPr>
          <w:rFonts w:hint="eastAsia" w:cs="宋体"/>
          <w:color w:val="auto"/>
          <w:szCs w:val="28"/>
          <w:highlight w:val="none"/>
          <w:lang w:eastAsia="zh-CN"/>
        </w:rPr>
        <w:t>服务</w:t>
      </w:r>
      <w:r>
        <w:rPr>
          <w:rFonts w:hint="eastAsia" w:ascii="Times New Roman" w:hAnsi="Times New Roman" w:eastAsia="宋体" w:cs="宋体"/>
          <w:color w:val="auto"/>
          <w:szCs w:val="28"/>
          <w:highlight w:val="none"/>
        </w:rPr>
        <w:t>部分得分为0分的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失去成交候选人资格</w:t>
      </w:r>
      <w:r>
        <w:rPr>
          <w:rFonts w:hint="eastAsia" w:cs="宋体"/>
          <w:color w:val="auto"/>
          <w:szCs w:val="28"/>
          <w:highlight w:val="none"/>
          <w:lang w:eastAsia="zh-CN"/>
        </w:rPr>
        <w:t>，仅保留其有效供应商身份</w:t>
      </w:r>
      <w:r>
        <w:rPr>
          <w:rFonts w:hint="eastAsia" w:ascii="Times New Roman" w:hAnsi="Times New Roman" w:eastAsia="宋体" w:cs="宋体"/>
          <w:color w:val="auto"/>
          <w:szCs w:val="28"/>
          <w:highlight w:val="none"/>
        </w:rPr>
        <w:t>。</w:t>
      </w:r>
    </w:p>
    <w:p w14:paraId="64FCF10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、或者在</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规定的时间内不提交履约保证金或不签定合同的，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将依序确定第二成交候选人为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lang w:val="en-US" w:eastAsia="zh-CN"/>
        </w:rPr>
        <w:t>或重新组织</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w:t>
      </w:r>
    </w:p>
    <w:p w14:paraId="036F5CE6">
      <w:pPr>
        <w:numPr>
          <w:ilvl w:val="0"/>
          <w:numId w:val="1"/>
        </w:numPr>
        <w:ind w:firstLine="562" w:firstLineChars="200"/>
        <w:rPr>
          <w:rFonts w:hint="eastAsia"/>
          <w:color w:val="auto"/>
          <w:highlight w:val="none"/>
        </w:rPr>
      </w:pPr>
      <w:bookmarkStart w:id="121" w:name="_Toc267320057"/>
      <w:bookmarkStart w:id="122" w:name="_Toc25814"/>
      <w:bookmarkStart w:id="123" w:name="_Toc20699"/>
      <w:bookmarkStart w:id="124" w:name="_Toc19924"/>
      <w:bookmarkStart w:id="125" w:name="_Toc25919"/>
      <w:bookmarkStart w:id="126" w:name="_Toc5799"/>
      <w:bookmarkStart w:id="127" w:name="_Toc20354"/>
      <w:bookmarkStart w:id="128" w:name="_Toc20875"/>
      <w:bookmarkStart w:id="129" w:name="_Toc75793520"/>
      <w:bookmarkStart w:id="130" w:name="_Toc371"/>
      <w:bookmarkStart w:id="131" w:name="_Toc17116"/>
      <w:bookmarkStart w:id="132" w:name="_Toc4511"/>
      <w:bookmarkStart w:id="133" w:name="_Toc17311"/>
      <w:bookmarkStart w:id="134" w:name="_Toc6342"/>
      <w:bookmarkStart w:id="135" w:name="_Toc7999"/>
      <w:bookmarkStart w:id="136" w:name="_Toc22772"/>
      <w:bookmarkStart w:id="137" w:name="_Toc15716"/>
      <w:bookmarkStart w:id="138" w:name="_Toc20800"/>
      <w:bookmarkStart w:id="139" w:name="_Toc106030396"/>
      <w:bookmarkStart w:id="140" w:name="_Toc1055"/>
      <w:bookmarkStart w:id="141" w:name="_Toc6313"/>
      <w:r>
        <w:rPr>
          <w:rFonts w:hint="eastAsia" w:ascii="Times New Roman" w:hAnsi="Times New Roman" w:eastAsia="宋体"/>
          <w:b/>
          <w:bCs/>
          <w:color w:val="auto"/>
          <w:highlight w:val="none"/>
        </w:rPr>
        <w:t>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26"/>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64"/>
        <w:gridCol w:w="1720"/>
        <w:gridCol w:w="4471"/>
        <w:gridCol w:w="2016"/>
      </w:tblGrid>
      <w:tr w14:paraId="1C9F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45DFCD4A">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bookmarkStart w:id="142" w:name="_Toc102227320"/>
            <w:bookmarkStart w:id="143" w:name="_Toc426965635"/>
            <w:bookmarkStart w:id="144" w:name="_Toc487204784"/>
            <w:bookmarkStart w:id="145" w:name="_Toc342913394"/>
            <w:r>
              <w:rPr>
                <w:rFonts w:hint="eastAsia" w:ascii="宋体" w:hAnsi="宋体" w:eastAsia="宋体" w:cs="宋体"/>
                <w:b/>
                <w:color w:val="auto"/>
                <w:kern w:val="0"/>
                <w:sz w:val="24"/>
                <w:szCs w:val="24"/>
                <w:highlight w:val="none"/>
              </w:rPr>
              <w:t>序号</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14:paraId="27B76A09">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评分因素及权重</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3D79895">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7CE3AADA">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50DFFE42">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14:paraId="433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0DEED17">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14:paraId="4A730220">
            <w:pPr>
              <w:snapToGrid w:val="0"/>
              <w:spacing w:line="480" w:lineRule="atLeast"/>
              <w:jc w:val="center"/>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报价（</w:t>
            </w:r>
            <w:r>
              <w:rPr>
                <w:rFonts w:hint="eastAsia" w:cs="宋体"/>
                <w:color w:val="auto"/>
                <w:szCs w:val="28"/>
                <w:highlight w:val="none"/>
                <w:lang w:val="en-US" w:eastAsia="zh-CN"/>
              </w:rPr>
              <w:t>10</w:t>
            </w:r>
            <w:r>
              <w:rPr>
                <w:rFonts w:hint="eastAsia" w:ascii="Times New Roman" w:hAnsi="Times New Roman" w:cs="宋体"/>
                <w:color w:val="auto"/>
                <w:szCs w:val="28"/>
                <w:highlight w:val="none"/>
                <w:lang w:eastAsia="zh-CN"/>
              </w:rPr>
              <w:t>%）</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2E71532">
            <w:pPr>
              <w:snapToGrid w:val="0"/>
              <w:spacing w:line="480" w:lineRule="atLeast"/>
              <w:jc w:val="center"/>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10</w:t>
            </w:r>
            <w:r>
              <w:rPr>
                <w:rFonts w:hint="eastAsia" w:ascii="Times New Roman" w:hAnsi="Times New Roman" w:cs="宋体"/>
                <w:color w:val="auto"/>
                <w:szCs w:val="28"/>
                <w:highlight w:val="none"/>
                <w:lang w:eastAsia="zh-CN"/>
              </w:rPr>
              <w:t>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71E8CA49">
            <w:pPr>
              <w:snapToGrid w:val="0"/>
              <w:spacing w:line="480" w:lineRule="atLeast"/>
              <w:ind w:firstLine="560" w:firstLineChars="200"/>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满足资格性、符合性要求且报价最低的供应商的价格为</w:t>
            </w:r>
            <w:r>
              <w:rPr>
                <w:rFonts w:hint="eastAsia" w:cs="宋体"/>
                <w:color w:val="auto"/>
                <w:szCs w:val="28"/>
                <w:highlight w:val="none"/>
                <w:lang w:val="en-US" w:eastAsia="zh-CN"/>
              </w:rPr>
              <w:t>评审</w:t>
            </w:r>
            <w:r>
              <w:rPr>
                <w:rFonts w:hint="eastAsia" w:ascii="Times New Roman" w:hAnsi="Times New Roman" w:cs="宋体"/>
                <w:color w:val="auto"/>
                <w:szCs w:val="28"/>
                <w:highlight w:val="none"/>
                <w:lang w:eastAsia="zh-CN"/>
              </w:rPr>
              <w:t>基准价，其价格分为满分。其他供应商的价格分统一按照下列公式计算：</w:t>
            </w:r>
          </w:p>
          <w:p w14:paraId="3AD38BB4">
            <w:pPr>
              <w:snapToGrid w:val="0"/>
              <w:spacing w:line="480" w:lineRule="atLeast"/>
              <w:ind w:firstLine="560" w:firstLineChars="200"/>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报价得分=（基准价/报价）×价格权值×100。</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715371E9">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val="en-US" w:eastAsia="zh-CN"/>
              </w:rPr>
              <w:t>计算结果保留两位小数，第三位四舍五入。</w:t>
            </w:r>
          </w:p>
        </w:tc>
      </w:tr>
      <w:tr w14:paraId="0DBA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 w:type="pct"/>
            <w:vMerge w:val="restart"/>
            <w:tcBorders>
              <w:left w:val="single" w:color="auto" w:sz="4" w:space="0"/>
              <w:right w:val="single" w:color="auto" w:sz="4" w:space="0"/>
            </w:tcBorders>
            <w:shd w:val="clear" w:color="auto" w:fill="auto"/>
            <w:vAlign w:val="center"/>
          </w:tcPr>
          <w:p w14:paraId="6EF4BB75">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680" w:type="pct"/>
            <w:vMerge w:val="restart"/>
            <w:tcBorders>
              <w:left w:val="single" w:color="auto" w:sz="4" w:space="0"/>
              <w:right w:val="single" w:color="auto" w:sz="4" w:space="0"/>
            </w:tcBorders>
            <w:shd w:val="clear" w:color="auto" w:fill="auto"/>
            <w:vAlign w:val="center"/>
          </w:tcPr>
          <w:p w14:paraId="28A835DB">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服务</w:t>
            </w:r>
            <w:r>
              <w:rPr>
                <w:rFonts w:hint="eastAsia" w:ascii="Times New Roman" w:hAnsi="Times New Roman" w:cs="宋体"/>
                <w:color w:val="auto"/>
                <w:szCs w:val="28"/>
                <w:highlight w:val="none"/>
                <w:lang w:eastAsia="zh-CN"/>
              </w:rPr>
              <w:t>部分（</w:t>
            </w:r>
            <w:r>
              <w:rPr>
                <w:rFonts w:hint="eastAsia" w:cs="宋体"/>
                <w:color w:val="auto"/>
                <w:szCs w:val="28"/>
                <w:highlight w:val="none"/>
                <w:lang w:val="en-US" w:eastAsia="zh-CN"/>
              </w:rPr>
              <w:t>5</w:t>
            </w:r>
            <w:r>
              <w:rPr>
                <w:rFonts w:hint="eastAsia" w:ascii="Times New Roman" w:hAnsi="Times New Roman" w:cs="宋体"/>
                <w:color w:val="auto"/>
                <w:szCs w:val="28"/>
                <w:highlight w:val="none"/>
                <w:lang w:val="en-US" w:eastAsia="zh-CN"/>
              </w:rPr>
              <w:t>0%</w:t>
            </w:r>
            <w:r>
              <w:rPr>
                <w:rFonts w:hint="eastAsia" w:ascii="Times New Roman" w:hAnsi="Times New Roman" w:cs="宋体"/>
                <w:color w:val="auto"/>
                <w:szCs w:val="28"/>
                <w:highlight w:val="none"/>
                <w:lang w:eastAsia="zh-CN"/>
              </w:rPr>
              <w:t>）</w:t>
            </w:r>
          </w:p>
        </w:tc>
        <w:tc>
          <w:tcPr>
            <w:tcW w:w="857" w:type="pct"/>
            <w:tcBorders>
              <w:left w:val="single" w:color="auto" w:sz="4" w:space="0"/>
              <w:right w:val="single" w:color="auto" w:sz="4" w:space="0"/>
            </w:tcBorders>
            <w:shd w:val="clear" w:color="auto" w:fill="auto"/>
            <w:vAlign w:val="center"/>
          </w:tcPr>
          <w:p w14:paraId="435CA848">
            <w:pPr>
              <w:snapToGrid w:val="0"/>
              <w:spacing w:line="480" w:lineRule="atLeast"/>
              <w:jc w:val="left"/>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val="en-US" w:eastAsia="zh-CN"/>
              </w:rPr>
              <w:t>总体思路</w:t>
            </w:r>
          </w:p>
          <w:p w14:paraId="7C360C33">
            <w:pPr>
              <w:snapToGrid w:val="0"/>
              <w:spacing w:line="480" w:lineRule="atLeast"/>
              <w:jc w:val="left"/>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w:t>
            </w:r>
            <w:r>
              <w:rPr>
                <w:rFonts w:hint="eastAsia" w:ascii="Times New Roman" w:hAnsi="Times New Roman" w:cs="宋体"/>
                <w:color w:val="auto"/>
                <w:szCs w:val="28"/>
                <w:highlight w:val="none"/>
                <w:lang w:val="en-US" w:eastAsia="zh-CN"/>
              </w:rPr>
              <w:t>10</w:t>
            </w:r>
            <w:r>
              <w:rPr>
                <w:rFonts w:hint="eastAsia" w:ascii="Times New Roman" w:hAnsi="Times New Roman" w:cs="宋体"/>
                <w:color w:val="auto"/>
                <w:szCs w:val="28"/>
                <w:highlight w:val="none"/>
                <w:lang w:eastAsia="zh-CN"/>
              </w:rPr>
              <w:t>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0A96C6C9">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内容包括但不限于：总体分析、工作计划安排、专业水平保证等。</w:t>
            </w:r>
          </w:p>
          <w:p w14:paraId="458A13CE">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29FE01D4">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cs="宋体"/>
                <w:color w:val="auto"/>
                <w:szCs w:val="28"/>
                <w:highlight w:val="none"/>
                <w:lang w:val="en-US" w:eastAsia="zh-CN"/>
              </w:rPr>
              <w:t>7</w:t>
            </w:r>
            <w:r>
              <w:rPr>
                <w:rFonts w:hint="eastAsia" w:ascii="Times New Roman" w:hAnsi="Times New Roman" w:eastAsia="宋体" w:cs="宋体"/>
                <w:color w:val="auto"/>
                <w:szCs w:val="28"/>
                <w:highlight w:val="none"/>
                <w:lang w:val="en-US" w:eastAsia="zh-CN"/>
              </w:rPr>
              <w:t>分；</w:t>
            </w:r>
          </w:p>
          <w:p w14:paraId="395E0A2B">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分；</w:t>
            </w:r>
          </w:p>
          <w:p w14:paraId="1879B11F">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分；</w:t>
            </w:r>
          </w:p>
          <w:p w14:paraId="0E868C7B">
            <w:pPr>
              <w:ind w:firstLine="560" w:firstLineChars="200"/>
              <w:rPr>
                <w:rFonts w:hint="eastAsia" w:ascii="Times New Roman" w:hAnsi="Times New Roman" w:cs="宋体"/>
                <w:color w:val="auto"/>
                <w:szCs w:val="28"/>
                <w:highlight w:val="none"/>
                <w:lang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1D05F8AC">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内容自拟</w:t>
            </w:r>
          </w:p>
        </w:tc>
      </w:tr>
      <w:tr w14:paraId="351B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27" w:type="pct"/>
            <w:vMerge w:val="continue"/>
            <w:tcBorders>
              <w:left w:val="single" w:color="auto" w:sz="4" w:space="0"/>
              <w:right w:val="single" w:color="auto" w:sz="4" w:space="0"/>
            </w:tcBorders>
            <w:shd w:val="clear" w:color="auto" w:fill="auto"/>
            <w:vAlign w:val="center"/>
          </w:tcPr>
          <w:p w14:paraId="3168FC7B">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5ED63436">
            <w:pPr>
              <w:snapToGrid w:val="0"/>
              <w:spacing w:line="480" w:lineRule="atLeast"/>
              <w:ind w:firstLine="560" w:firstLineChars="200"/>
              <w:rPr>
                <w:rFonts w:hint="eastAsia" w:ascii="Times New Roman" w:hAnsi="Times New Roman" w:cs="宋体"/>
                <w:color w:val="auto"/>
                <w:szCs w:val="28"/>
                <w:highlight w:val="none"/>
                <w:lang w:eastAsia="zh-CN"/>
              </w:rPr>
            </w:pPr>
          </w:p>
        </w:tc>
        <w:tc>
          <w:tcPr>
            <w:tcW w:w="857" w:type="pct"/>
            <w:tcBorders>
              <w:left w:val="single" w:color="auto" w:sz="4" w:space="0"/>
              <w:right w:val="single" w:color="auto" w:sz="4" w:space="0"/>
            </w:tcBorders>
            <w:shd w:val="clear" w:color="auto" w:fill="auto"/>
            <w:vAlign w:val="center"/>
          </w:tcPr>
          <w:p w14:paraId="2D318B62">
            <w:pPr>
              <w:snapToGrid w:val="0"/>
              <w:spacing w:line="480" w:lineRule="atLeast"/>
              <w:jc w:val="center"/>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工作保障（20分）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42744227">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内容包括但不限于：服务团队人员组织、服务质量保障、沟通机制的建立与优化等。</w:t>
            </w:r>
          </w:p>
          <w:p w14:paraId="4B2EAC8E">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ascii="Times New Roman" w:hAnsi="Times New Roman"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0分；</w:t>
            </w:r>
          </w:p>
          <w:p w14:paraId="642E8B4D">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ascii="Times New Roman" w:hAnsi="Times New Roman" w:cs="宋体"/>
                <w:color w:val="auto"/>
                <w:szCs w:val="28"/>
                <w:highlight w:val="none"/>
                <w:lang w:val="en-US" w:eastAsia="zh-CN"/>
              </w:rPr>
              <w:t>15</w:t>
            </w:r>
            <w:r>
              <w:rPr>
                <w:rFonts w:hint="eastAsia" w:ascii="Times New Roman" w:hAnsi="Times New Roman" w:eastAsia="宋体" w:cs="宋体"/>
                <w:color w:val="auto"/>
                <w:szCs w:val="28"/>
                <w:highlight w:val="none"/>
                <w:lang w:val="en-US" w:eastAsia="zh-CN"/>
              </w:rPr>
              <w:t>分；</w:t>
            </w:r>
          </w:p>
          <w:p w14:paraId="453E09B0">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ascii="Times New Roman" w:hAnsi="Times New Roman"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0EE2CCC9">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ascii="Times New Roman" w:hAnsi="Times New Roman"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p>
          <w:p w14:paraId="7EF14DE1">
            <w:pPr>
              <w:ind w:firstLine="560" w:firstLineChars="200"/>
              <w:rPr>
                <w:rFonts w:hint="eastAsia" w:ascii="Times New Roman" w:hAnsi="Times New Roman" w:cs="宋体"/>
                <w:color w:val="auto"/>
                <w:szCs w:val="28"/>
                <w:highlight w:val="none"/>
                <w:lang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502D9B1B">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内容自拟</w:t>
            </w:r>
          </w:p>
        </w:tc>
      </w:tr>
      <w:tr w14:paraId="18F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27" w:type="pct"/>
            <w:vMerge w:val="continue"/>
            <w:tcBorders>
              <w:left w:val="single" w:color="auto" w:sz="4" w:space="0"/>
              <w:right w:val="single" w:color="auto" w:sz="4" w:space="0"/>
            </w:tcBorders>
            <w:shd w:val="clear" w:color="auto" w:fill="auto"/>
            <w:vAlign w:val="center"/>
          </w:tcPr>
          <w:p w14:paraId="283E0BCC">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777A8739">
            <w:pPr>
              <w:snapToGrid w:val="0"/>
              <w:spacing w:line="480" w:lineRule="atLeast"/>
              <w:ind w:firstLine="560" w:firstLineChars="200"/>
              <w:rPr>
                <w:rFonts w:hint="eastAsia" w:ascii="Times New Roman" w:hAnsi="Times New Roman" w:cs="宋体"/>
                <w:color w:val="auto"/>
                <w:szCs w:val="28"/>
                <w:highlight w:val="none"/>
                <w:lang w:eastAsia="zh-CN"/>
              </w:rPr>
            </w:pPr>
          </w:p>
        </w:tc>
        <w:tc>
          <w:tcPr>
            <w:tcW w:w="857" w:type="pct"/>
            <w:tcBorders>
              <w:left w:val="single" w:color="auto" w:sz="4" w:space="0"/>
              <w:right w:val="single" w:color="auto" w:sz="4" w:space="0"/>
            </w:tcBorders>
            <w:shd w:val="clear" w:color="auto" w:fill="auto"/>
            <w:vAlign w:val="center"/>
          </w:tcPr>
          <w:p w14:paraId="7CAA6FCD">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法律风险分析</w:t>
            </w:r>
            <w:r>
              <w:rPr>
                <w:rFonts w:hint="eastAsia" w:ascii="Times New Roman" w:hAnsi="Times New Roman" w:cs="宋体"/>
                <w:color w:val="auto"/>
                <w:szCs w:val="28"/>
                <w:highlight w:val="none"/>
                <w:lang w:val="en-US" w:eastAsia="zh-CN"/>
              </w:rPr>
              <w:t>及</w:t>
            </w:r>
            <w:r>
              <w:rPr>
                <w:rFonts w:hint="eastAsia" w:ascii="Times New Roman" w:hAnsi="Times New Roman" w:cs="宋体"/>
                <w:color w:val="auto"/>
                <w:szCs w:val="28"/>
                <w:highlight w:val="none"/>
                <w:lang w:eastAsia="zh-CN"/>
              </w:rPr>
              <w:t>应对措施（</w:t>
            </w:r>
            <w:r>
              <w:rPr>
                <w:rFonts w:hint="eastAsia" w:ascii="Times New Roman" w:hAnsi="Times New Roman" w:cs="宋体"/>
                <w:color w:val="auto"/>
                <w:szCs w:val="28"/>
                <w:highlight w:val="none"/>
                <w:lang w:val="en-US" w:eastAsia="zh-CN"/>
              </w:rPr>
              <w:t>20</w:t>
            </w:r>
            <w:r>
              <w:rPr>
                <w:rFonts w:hint="eastAsia" w:ascii="Times New Roman" w:hAnsi="Times New Roman" w:cs="宋体"/>
                <w:color w:val="auto"/>
                <w:szCs w:val="28"/>
                <w:highlight w:val="none"/>
                <w:lang w:eastAsia="zh-CN"/>
              </w:rPr>
              <w:t>分）</w:t>
            </w:r>
          </w:p>
          <w:p w14:paraId="0EF3CD12">
            <w:pPr>
              <w:snapToGrid w:val="0"/>
              <w:spacing w:line="480" w:lineRule="atLeast"/>
              <w:jc w:val="center"/>
              <w:rPr>
                <w:rFonts w:hint="eastAsia" w:ascii="Times New Roman" w:hAnsi="Times New Roman" w:cs="宋体"/>
                <w:color w:val="auto"/>
                <w:szCs w:val="28"/>
                <w:highlight w:val="none"/>
                <w:lang w:eastAsia="zh-CN"/>
              </w:rPr>
            </w:pP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67F6BA1F">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内容包括但不限于：法律风险分析、应对措施、具体案例分析、风险防范建议等。</w:t>
            </w:r>
          </w:p>
          <w:p w14:paraId="6CFD232B">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ascii="Times New Roman" w:hAnsi="Times New Roman"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0分；</w:t>
            </w:r>
          </w:p>
          <w:p w14:paraId="5166AEEB">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ascii="Times New Roman" w:hAnsi="Times New Roman" w:cs="宋体"/>
                <w:color w:val="auto"/>
                <w:szCs w:val="28"/>
                <w:highlight w:val="none"/>
                <w:lang w:val="en-US" w:eastAsia="zh-CN"/>
              </w:rPr>
              <w:t>15</w:t>
            </w:r>
            <w:r>
              <w:rPr>
                <w:rFonts w:hint="eastAsia" w:ascii="Times New Roman" w:hAnsi="Times New Roman" w:eastAsia="宋体" w:cs="宋体"/>
                <w:color w:val="auto"/>
                <w:szCs w:val="28"/>
                <w:highlight w:val="none"/>
                <w:lang w:val="en-US" w:eastAsia="zh-CN"/>
              </w:rPr>
              <w:t>分；</w:t>
            </w:r>
          </w:p>
          <w:p w14:paraId="7358243B">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ascii="Times New Roman" w:hAnsi="Times New Roman"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4213D532">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ascii="Times New Roman" w:hAnsi="Times New Roman"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p>
          <w:p w14:paraId="763E1B93">
            <w:pPr>
              <w:ind w:firstLine="560" w:firstLineChars="200"/>
              <w:rPr>
                <w:rFonts w:hint="default"/>
                <w:color w:val="auto"/>
                <w:highlight w:val="none"/>
                <w:lang w:val="en-US"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5D0EE46E">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内容自拟</w:t>
            </w:r>
          </w:p>
        </w:tc>
      </w:tr>
      <w:tr w14:paraId="1D4E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7" w:type="pct"/>
            <w:vMerge w:val="restart"/>
            <w:tcBorders>
              <w:left w:val="single" w:color="auto" w:sz="4" w:space="0"/>
              <w:right w:val="single" w:color="auto" w:sz="4" w:space="0"/>
            </w:tcBorders>
            <w:shd w:val="clear" w:color="auto" w:fill="auto"/>
            <w:vAlign w:val="center"/>
          </w:tcPr>
          <w:p w14:paraId="553646F1">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80" w:type="pct"/>
            <w:vMerge w:val="restart"/>
            <w:tcBorders>
              <w:left w:val="single" w:color="auto" w:sz="4" w:space="0"/>
              <w:right w:val="single" w:color="auto" w:sz="4" w:space="0"/>
            </w:tcBorders>
            <w:shd w:val="clear" w:color="auto" w:fill="auto"/>
            <w:vAlign w:val="center"/>
          </w:tcPr>
          <w:p w14:paraId="39EE0261">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商务部分(</w:t>
            </w:r>
            <w:r>
              <w:rPr>
                <w:rFonts w:hint="eastAsia" w:cs="宋体"/>
                <w:color w:val="auto"/>
                <w:szCs w:val="28"/>
                <w:highlight w:val="none"/>
                <w:lang w:val="en-US" w:eastAsia="zh-CN"/>
              </w:rPr>
              <w:t>40</w:t>
            </w:r>
            <w:r>
              <w:rPr>
                <w:rFonts w:hint="eastAsia" w:ascii="Times New Roman" w:hAnsi="Times New Roman" w:cs="宋体"/>
                <w:color w:val="auto"/>
                <w:szCs w:val="28"/>
                <w:highlight w:val="none"/>
                <w:lang w:eastAsia="zh-CN"/>
              </w:rPr>
              <w:t>%)</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D885356">
            <w:pPr>
              <w:snapToGrid w:val="0"/>
              <w:spacing w:line="480" w:lineRule="atLeast"/>
              <w:rPr>
                <w:rFonts w:hint="eastAsia" w:cs="宋体"/>
                <w:color w:val="auto"/>
                <w:szCs w:val="28"/>
                <w:highlight w:val="none"/>
                <w:lang w:val="en-US" w:eastAsia="zh-CN"/>
              </w:rPr>
            </w:pPr>
            <w:r>
              <w:rPr>
                <w:rFonts w:hint="eastAsia" w:cs="宋体"/>
                <w:color w:val="auto"/>
                <w:szCs w:val="28"/>
                <w:highlight w:val="none"/>
                <w:lang w:val="en-US" w:eastAsia="zh-CN"/>
              </w:rPr>
              <w:t>顾问团队</w:t>
            </w:r>
          </w:p>
          <w:p w14:paraId="55ABEF3C">
            <w:pPr>
              <w:snapToGrid w:val="0"/>
              <w:spacing w:line="480" w:lineRule="atLeast"/>
              <w:rPr>
                <w:rFonts w:hint="eastAsia" w:cs="宋体"/>
                <w:color w:val="auto"/>
                <w:szCs w:val="28"/>
                <w:highlight w:val="none"/>
                <w:lang w:val="en-US" w:eastAsia="zh-CN"/>
              </w:rPr>
            </w:pPr>
            <w:r>
              <w:rPr>
                <w:rFonts w:hint="eastAsia" w:cs="宋体"/>
                <w:color w:val="auto"/>
                <w:szCs w:val="28"/>
                <w:highlight w:val="none"/>
                <w:lang w:val="en-US" w:eastAsia="zh-CN"/>
              </w:rPr>
              <w:t>实力</w:t>
            </w:r>
          </w:p>
          <w:p w14:paraId="3B395755">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0F7CF92B">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根据供应商指派的法律顾问团队成员配备情况、职称及业绩等进行评审。</w:t>
            </w:r>
          </w:p>
          <w:p w14:paraId="7E553076">
            <w:pPr>
              <w:numPr>
                <w:ilvl w:val="0"/>
                <w:numId w:val="0"/>
              </w:numPr>
              <w:snapToGrid w:val="0"/>
              <w:spacing w:line="480" w:lineRule="atLeast"/>
              <w:ind w:left="0" w:leftChars="0" w:firstLine="0" w:firstLineChars="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1.</w:t>
            </w:r>
            <w:r>
              <w:rPr>
                <w:rFonts w:hint="eastAsia" w:ascii="Times New Roman" w:hAnsi="Times New Roman" w:eastAsia="宋体" w:cs="宋体"/>
                <w:color w:val="auto"/>
                <w:szCs w:val="28"/>
                <w:highlight w:val="none"/>
                <w:lang w:val="en-US" w:eastAsia="zh-CN"/>
              </w:rPr>
              <w:t>团队负责人执业年限超过</w:t>
            </w:r>
            <w:r>
              <w:rPr>
                <w:rFonts w:hint="eastAsia" w:cs="宋体"/>
                <w:color w:val="auto"/>
                <w:szCs w:val="28"/>
                <w:highlight w:val="none"/>
                <w:lang w:val="en-US" w:eastAsia="zh-CN"/>
              </w:rPr>
              <w:t>8</w:t>
            </w:r>
            <w:r>
              <w:rPr>
                <w:rFonts w:hint="eastAsia" w:ascii="Times New Roman" w:hAnsi="Times New Roman" w:eastAsia="宋体" w:cs="宋体"/>
                <w:color w:val="auto"/>
                <w:szCs w:val="28"/>
                <w:highlight w:val="none"/>
                <w:lang w:val="en-US" w:eastAsia="zh-CN"/>
              </w:rPr>
              <w:t>年的得</w:t>
            </w:r>
            <w:r>
              <w:rPr>
                <w:rFonts w:hint="eastAsia"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分，不足</w:t>
            </w:r>
            <w:r>
              <w:rPr>
                <w:rFonts w:hint="eastAsia" w:cs="宋体"/>
                <w:color w:val="auto"/>
                <w:szCs w:val="28"/>
                <w:highlight w:val="none"/>
                <w:lang w:val="en-US" w:eastAsia="zh-CN"/>
              </w:rPr>
              <w:t>8</w:t>
            </w:r>
            <w:r>
              <w:rPr>
                <w:rFonts w:hint="eastAsia" w:ascii="Times New Roman" w:hAnsi="Times New Roman" w:eastAsia="宋体" w:cs="宋体"/>
                <w:color w:val="auto"/>
                <w:szCs w:val="28"/>
                <w:highlight w:val="none"/>
                <w:lang w:val="en-US" w:eastAsia="zh-CN"/>
              </w:rPr>
              <w:t>年的得</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lang w:val="en-US" w:eastAsia="zh-CN"/>
              </w:rPr>
              <w:t>分；</w:t>
            </w:r>
          </w:p>
          <w:p w14:paraId="00B9CC8E">
            <w:pPr>
              <w:numPr>
                <w:ilvl w:val="0"/>
                <w:numId w:val="0"/>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2.</w:t>
            </w:r>
            <w:r>
              <w:rPr>
                <w:rFonts w:hint="eastAsia" w:ascii="Times New Roman" w:hAnsi="Times New Roman" w:eastAsia="宋体" w:cs="宋体"/>
                <w:color w:val="auto"/>
                <w:szCs w:val="28"/>
                <w:highlight w:val="none"/>
                <w:lang w:val="en-US" w:eastAsia="zh-CN"/>
              </w:rPr>
              <w:t>团队负责人需承诺直接参与服务事项并纳入考核，承诺团队负责人直接服务次数超过90%的得5分，低于90%的得3分</w:t>
            </w:r>
            <w:r>
              <w:rPr>
                <w:rFonts w:hint="eastAsia" w:cs="宋体"/>
                <w:color w:val="auto"/>
                <w:szCs w:val="28"/>
                <w:highlight w:val="none"/>
                <w:lang w:val="en-US" w:eastAsia="zh-CN"/>
              </w:rPr>
              <w:t>；</w:t>
            </w:r>
          </w:p>
          <w:p w14:paraId="59FFA10C">
            <w:pPr>
              <w:numPr>
                <w:ilvl w:val="0"/>
                <w:numId w:val="0"/>
              </w:numPr>
              <w:snapToGrid w:val="0"/>
              <w:spacing w:line="480" w:lineRule="atLeast"/>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3.</w:t>
            </w:r>
            <w:r>
              <w:rPr>
                <w:rFonts w:hint="eastAsia" w:cs="宋体"/>
                <w:color w:val="auto"/>
                <w:kern w:val="2"/>
                <w:sz w:val="28"/>
                <w:szCs w:val="28"/>
                <w:highlight w:val="none"/>
                <w:lang w:val="en-US" w:eastAsia="zh-CN" w:bidi="ar-SA"/>
              </w:rPr>
              <w:t>驻队律师近1年服务过农业（农村）领域企（事）业单位或政府机关的，得5分。</w:t>
            </w:r>
          </w:p>
          <w:p w14:paraId="03029E1D">
            <w:pPr>
              <w:numPr>
                <w:ilvl w:val="0"/>
                <w:numId w:val="0"/>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4.</w:t>
            </w:r>
            <w:r>
              <w:rPr>
                <w:rFonts w:hint="eastAsia" w:cs="宋体"/>
                <w:color w:val="auto"/>
                <w:szCs w:val="28"/>
                <w:highlight w:val="none"/>
                <w:lang w:val="en-US" w:eastAsia="zh-CN"/>
              </w:rPr>
              <w:t>负责人除外，其他拟派</w:t>
            </w:r>
            <w:r>
              <w:rPr>
                <w:rFonts w:hint="eastAsia" w:ascii="Times New Roman" w:hAnsi="Times New Roman" w:eastAsia="宋体" w:cs="宋体"/>
                <w:color w:val="auto"/>
                <w:szCs w:val="28"/>
                <w:highlight w:val="none"/>
                <w:lang w:val="en-US" w:eastAsia="zh-CN"/>
              </w:rPr>
              <w:t>团队成员</w:t>
            </w:r>
            <w:r>
              <w:rPr>
                <w:rFonts w:hint="eastAsia" w:cs="宋体"/>
                <w:color w:val="auto"/>
                <w:szCs w:val="28"/>
                <w:highlight w:val="none"/>
                <w:lang w:val="en-US" w:eastAsia="zh-CN"/>
              </w:rPr>
              <w:t>（注：最低不少于5人）最低</w:t>
            </w:r>
            <w:r>
              <w:rPr>
                <w:rFonts w:hint="eastAsia" w:ascii="Times New Roman" w:hAnsi="Times New Roman" w:eastAsia="宋体" w:cs="宋体"/>
                <w:color w:val="auto"/>
                <w:szCs w:val="28"/>
                <w:highlight w:val="none"/>
                <w:lang w:val="en-US" w:eastAsia="zh-CN"/>
              </w:rPr>
              <w:t>执业时间</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年及以上的，得5分，</w:t>
            </w:r>
            <w:r>
              <w:rPr>
                <w:rFonts w:hint="eastAsia" w:cs="宋体"/>
                <w:color w:val="auto"/>
                <w:szCs w:val="28"/>
                <w:highlight w:val="none"/>
                <w:lang w:val="en-US" w:eastAsia="zh-CN"/>
              </w:rPr>
              <w:t>最低</w:t>
            </w:r>
            <w:r>
              <w:rPr>
                <w:rFonts w:hint="eastAsia" w:ascii="Times New Roman" w:hAnsi="Times New Roman" w:eastAsia="宋体" w:cs="宋体"/>
                <w:color w:val="auto"/>
                <w:szCs w:val="28"/>
                <w:highlight w:val="none"/>
                <w:lang w:val="en-US" w:eastAsia="zh-CN"/>
              </w:rPr>
              <w:t>执业时间不满</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年的，得3分</w:t>
            </w:r>
            <w:r>
              <w:rPr>
                <w:rFonts w:hint="eastAsia" w:cs="宋体"/>
                <w:color w:val="auto"/>
                <w:szCs w:val="28"/>
                <w:highlight w:val="none"/>
                <w:lang w:val="en-US" w:eastAsia="zh-CN"/>
              </w:rPr>
              <w:t>。</w:t>
            </w:r>
          </w:p>
          <w:p w14:paraId="44A3DE6D">
            <w:pPr>
              <w:numPr>
                <w:ilvl w:val="0"/>
                <w:numId w:val="0"/>
              </w:numPr>
              <w:snapToGrid w:val="0"/>
              <w:spacing w:line="480" w:lineRule="atLeast"/>
              <w:ind w:leftChars="0"/>
              <w:rPr>
                <w:rFonts w:hint="eastAsia" w:ascii="Times New Roman" w:hAnsi="Times New Roman" w:eastAsia="宋体" w:cs="宋体"/>
                <w:color w:val="auto"/>
                <w:szCs w:val="28"/>
                <w:highlight w:val="none"/>
                <w:lang w:val="en-US" w:eastAsia="zh-CN"/>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0B205BB7">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1.提供人员律师执业资格证书，执业时间以资格证书取得之日起至今计算，每满12个月计1年；</w:t>
            </w:r>
          </w:p>
          <w:p w14:paraId="4ABD2953">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2.承诺格式自拟。</w:t>
            </w:r>
          </w:p>
          <w:p w14:paraId="72545942">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3、提供驻队律师提供服务的相关证明材料。</w:t>
            </w:r>
          </w:p>
          <w:p w14:paraId="74519BBE">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注：签订合同前，采购人可要求供应商提供人员证书原件备查。</w:t>
            </w:r>
          </w:p>
        </w:tc>
      </w:tr>
      <w:tr w14:paraId="367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7" w:type="pct"/>
            <w:vMerge w:val="continue"/>
            <w:tcBorders>
              <w:left w:val="single" w:color="auto" w:sz="4" w:space="0"/>
              <w:right w:val="single" w:color="auto" w:sz="4" w:space="0"/>
            </w:tcBorders>
            <w:shd w:val="clear" w:color="auto" w:fill="auto"/>
            <w:vAlign w:val="center"/>
          </w:tcPr>
          <w:p w14:paraId="10C93FCB">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60BB74A0">
            <w:pPr>
              <w:snapToGrid w:val="0"/>
              <w:spacing w:line="480" w:lineRule="atLeast"/>
              <w:rPr>
                <w:rFonts w:hint="eastAsia" w:ascii="Times New Roman" w:hAnsi="Times New Roman" w:cs="宋体"/>
                <w:color w:val="auto"/>
                <w:szCs w:val="28"/>
                <w:highlight w:val="none"/>
                <w:lang w:eastAsia="zh-CN"/>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B53EBA4">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类似业绩（20分）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0F84F0BF">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1、农业（农村）领域法律服务（16分）</w:t>
            </w:r>
          </w:p>
          <w:p w14:paraId="63753804">
            <w:pPr>
              <w:snapToGrid w:val="0"/>
              <w:spacing w:line="480" w:lineRule="atLeast"/>
              <w:rPr>
                <w:rFonts w:hint="eastAsia"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202</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年1月1日至今（以合同签订日期为准）供应商为</w:t>
            </w:r>
            <w:r>
              <w:rPr>
                <w:rFonts w:hint="eastAsia" w:cs="宋体"/>
                <w:color w:val="auto"/>
                <w:szCs w:val="28"/>
                <w:highlight w:val="none"/>
                <w:lang w:val="en-US" w:eastAsia="zh-CN"/>
              </w:rPr>
              <w:t>农业（农村）领域相关的企（</w:t>
            </w:r>
            <w:r>
              <w:rPr>
                <w:rFonts w:hint="eastAsia" w:ascii="Times New Roman" w:hAnsi="Times New Roman" w:eastAsia="宋体" w:cs="宋体"/>
                <w:color w:val="auto"/>
                <w:szCs w:val="28"/>
                <w:highlight w:val="none"/>
                <w:lang w:val="en-US" w:eastAsia="zh-CN"/>
              </w:rPr>
              <w:t>事</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业单位</w:t>
            </w:r>
            <w:r>
              <w:rPr>
                <w:rFonts w:hint="eastAsia" w:cs="宋体"/>
                <w:color w:val="auto"/>
                <w:szCs w:val="28"/>
                <w:highlight w:val="none"/>
                <w:lang w:val="en-US" w:eastAsia="zh-CN"/>
              </w:rPr>
              <w:t>或政府机关</w:t>
            </w:r>
            <w:r>
              <w:rPr>
                <w:rFonts w:hint="eastAsia" w:ascii="Times New Roman" w:hAnsi="Times New Roman" w:eastAsia="宋体" w:cs="宋体"/>
                <w:color w:val="auto"/>
                <w:szCs w:val="28"/>
                <w:highlight w:val="none"/>
                <w:lang w:val="en-US" w:eastAsia="zh-CN"/>
              </w:rPr>
              <w:t>提供过法律服务</w:t>
            </w:r>
            <w:r>
              <w:rPr>
                <w:rFonts w:hint="eastAsia" w:cs="宋体"/>
                <w:color w:val="auto"/>
                <w:szCs w:val="28"/>
                <w:highlight w:val="none"/>
                <w:lang w:val="en-US" w:eastAsia="zh-CN"/>
              </w:rPr>
              <w:t>（注：顾问和诉讼）</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p>
          <w:p w14:paraId="1D9DFB52">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1.1</w:t>
            </w:r>
            <w:r>
              <w:rPr>
                <w:rFonts w:hint="eastAsia" w:ascii="Times New Roman" w:hAnsi="Times New Roman" w:eastAsia="宋体" w:cs="宋体"/>
                <w:color w:val="auto"/>
                <w:szCs w:val="28"/>
                <w:highlight w:val="none"/>
                <w:lang w:val="en-US" w:eastAsia="zh-CN"/>
              </w:rPr>
              <w:t>每提供一个</w:t>
            </w:r>
            <w:r>
              <w:rPr>
                <w:rFonts w:hint="eastAsia" w:cs="宋体"/>
                <w:color w:val="auto"/>
                <w:szCs w:val="28"/>
                <w:highlight w:val="none"/>
                <w:lang w:val="en-US" w:eastAsia="zh-CN"/>
              </w:rPr>
              <w:t>法律顾问</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得</w:t>
            </w:r>
            <w:r>
              <w:rPr>
                <w:rFonts w:hint="eastAsia"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，本款最多得10分；</w:t>
            </w:r>
          </w:p>
          <w:p w14:paraId="47740F13">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1.2</w:t>
            </w:r>
            <w:r>
              <w:rPr>
                <w:rFonts w:hint="eastAsia" w:ascii="Times New Roman" w:hAnsi="Times New Roman" w:eastAsia="宋体" w:cs="宋体"/>
                <w:color w:val="auto"/>
                <w:szCs w:val="28"/>
                <w:highlight w:val="none"/>
                <w:lang w:val="en-US" w:eastAsia="zh-CN"/>
              </w:rPr>
              <w:t>每提供一个</w:t>
            </w:r>
            <w:r>
              <w:rPr>
                <w:rFonts w:hint="eastAsia" w:cs="宋体"/>
                <w:color w:val="auto"/>
                <w:szCs w:val="28"/>
                <w:highlight w:val="none"/>
                <w:lang w:val="en-US" w:eastAsia="zh-CN"/>
              </w:rPr>
              <w:t>诉讼</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得</w:t>
            </w: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本款</w:t>
            </w:r>
            <w:r>
              <w:rPr>
                <w:rFonts w:hint="eastAsia" w:ascii="Times New Roman" w:hAnsi="Times New Roman" w:eastAsia="宋体" w:cs="宋体"/>
                <w:color w:val="auto"/>
                <w:szCs w:val="28"/>
                <w:highlight w:val="none"/>
                <w:lang w:val="en-US" w:eastAsia="zh-CN"/>
              </w:rPr>
              <w:t>最多得</w:t>
            </w:r>
            <w:r>
              <w:rPr>
                <w:rFonts w:hint="eastAsia" w:cs="宋体"/>
                <w:color w:val="auto"/>
                <w:szCs w:val="28"/>
                <w:highlight w:val="none"/>
                <w:lang w:val="en-US" w:eastAsia="zh-CN"/>
              </w:rPr>
              <w:t>6</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w:t>
            </w:r>
          </w:p>
          <w:p w14:paraId="1658576D">
            <w:pPr>
              <w:snapToGrid w:val="0"/>
              <w:spacing w:line="480" w:lineRule="atLeast"/>
              <w:rPr>
                <w:rFonts w:hint="default" w:cs="宋体"/>
                <w:color w:val="auto"/>
                <w:szCs w:val="28"/>
                <w:highlight w:val="none"/>
                <w:lang w:val="en-US" w:eastAsia="zh-CN"/>
              </w:rPr>
            </w:pPr>
          </w:p>
          <w:p w14:paraId="398919E5">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2、农业（农村）领域外的法律服务（4分）</w:t>
            </w:r>
          </w:p>
          <w:p w14:paraId="7B759E77">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 xml:space="preserve">2.1 </w:t>
            </w:r>
            <w:r>
              <w:rPr>
                <w:rFonts w:hint="eastAsia" w:ascii="Times New Roman" w:hAnsi="Times New Roman" w:eastAsia="宋体" w:cs="宋体"/>
                <w:color w:val="auto"/>
                <w:szCs w:val="28"/>
                <w:highlight w:val="none"/>
                <w:lang w:val="en-US" w:eastAsia="zh-CN"/>
              </w:rPr>
              <w:t>202</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年1月1日至今（以合同签订日期为准）供应商为</w:t>
            </w:r>
            <w:r>
              <w:rPr>
                <w:rFonts w:hint="eastAsia" w:cs="宋体"/>
                <w:color w:val="auto"/>
                <w:szCs w:val="28"/>
                <w:highlight w:val="none"/>
                <w:lang w:val="en-US" w:eastAsia="zh-CN"/>
              </w:rPr>
              <w:t>农业（农村）领域外的其他企（</w:t>
            </w:r>
            <w:r>
              <w:rPr>
                <w:rFonts w:hint="eastAsia" w:ascii="Times New Roman" w:hAnsi="Times New Roman" w:eastAsia="宋体" w:cs="宋体"/>
                <w:color w:val="auto"/>
                <w:szCs w:val="28"/>
                <w:highlight w:val="none"/>
                <w:lang w:val="en-US" w:eastAsia="zh-CN"/>
              </w:rPr>
              <w:t>事</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业单位</w:t>
            </w:r>
            <w:r>
              <w:rPr>
                <w:rFonts w:hint="eastAsia" w:cs="宋体"/>
                <w:color w:val="auto"/>
                <w:szCs w:val="28"/>
                <w:highlight w:val="none"/>
                <w:lang w:val="en-US" w:eastAsia="zh-CN"/>
              </w:rPr>
              <w:t>或政府机关</w:t>
            </w:r>
            <w:r>
              <w:rPr>
                <w:rFonts w:hint="eastAsia" w:ascii="Times New Roman" w:hAnsi="Times New Roman" w:eastAsia="宋体" w:cs="宋体"/>
                <w:color w:val="auto"/>
                <w:szCs w:val="28"/>
                <w:highlight w:val="none"/>
                <w:lang w:val="en-US" w:eastAsia="zh-CN"/>
              </w:rPr>
              <w:t>提供过法律服务，每提供一个业绩合同得</w:t>
            </w: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分，最多得</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分。</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30C3744B">
            <w:pPr>
              <w:numPr>
                <w:ilvl w:val="0"/>
                <w:numId w:val="2"/>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提供合同</w:t>
            </w:r>
            <w:r>
              <w:rPr>
                <w:rFonts w:hint="eastAsia" w:cs="宋体"/>
                <w:color w:val="auto"/>
                <w:szCs w:val="28"/>
                <w:highlight w:val="none"/>
                <w:lang w:val="en-US" w:eastAsia="zh-CN"/>
              </w:rPr>
              <w:t>（或协议）</w:t>
            </w:r>
            <w:r>
              <w:rPr>
                <w:rFonts w:hint="eastAsia" w:ascii="Times New Roman" w:hAnsi="Times New Roman" w:eastAsia="宋体" w:cs="宋体"/>
                <w:color w:val="auto"/>
                <w:szCs w:val="28"/>
                <w:highlight w:val="none"/>
                <w:lang w:val="en-US" w:eastAsia="zh-CN"/>
              </w:rPr>
              <w:t>；</w:t>
            </w:r>
          </w:p>
          <w:p w14:paraId="281F1196">
            <w:pPr>
              <w:numPr>
                <w:ilvl w:val="0"/>
                <w:numId w:val="2"/>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提供</w:t>
            </w:r>
            <w:r>
              <w:rPr>
                <w:rFonts w:hint="eastAsia" w:cs="宋体"/>
                <w:color w:val="auto"/>
                <w:szCs w:val="28"/>
                <w:highlight w:val="none"/>
                <w:lang w:val="en-US" w:eastAsia="zh-CN"/>
              </w:rPr>
              <w:t>该业绩</w:t>
            </w:r>
            <w:r>
              <w:rPr>
                <w:rFonts w:hint="eastAsia" w:ascii="Times New Roman" w:hAnsi="Times New Roman" w:eastAsia="宋体" w:cs="宋体"/>
                <w:color w:val="auto"/>
                <w:szCs w:val="28"/>
                <w:highlight w:val="none"/>
                <w:lang w:val="en-US" w:eastAsia="zh-CN"/>
              </w:rPr>
              <w:t>对应的任意一张</w:t>
            </w:r>
            <w:r>
              <w:rPr>
                <w:rFonts w:hint="eastAsia" w:cs="宋体"/>
                <w:color w:val="auto"/>
                <w:szCs w:val="28"/>
                <w:highlight w:val="none"/>
                <w:lang w:val="en-US" w:eastAsia="zh-CN"/>
              </w:rPr>
              <w:t>甲方</w:t>
            </w:r>
            <w:r>
              <w:rPr>
                <w:rFonts w:hint="eastAsia" w:ascii="Times New Roman" w:hAnsi="Times New Roman" w:eastAsia="宋体" w:cs="宋体"/>
                <w:color w:val="auto"/>
                <w:szCs w:val="28"/>
                <w:highlight w:val="none"/>
                <w:lang w:val="en-US" w:eastAsia="zh-CN"/>
              </w:rPr>
              <w:t>付款发票。</w:t>
            </w:r>
          </w:p>
          <w:p w14:paraId="218D15C9">
            <w:pPr>
              <w:pStyle w:val="9"/>
              <w:rPr>
                <w:rFonts w:hint="default"/>
                <w:color w:val="auto"/>
                <w:highlight w:val="none"/>
                <w:lang w:val="en-US" w:eastAsia="zh-CN"/>
              </w:rPr>
            </w:pPr>
            <w:r>
              <w:rPr>
                <w:rFonts w:hint="eastAsia" w:ascii="Times New Roman" w:hAnsi="Times New Roman" w:eastAsia="宋体" w:cs="宋体"/>
                <w:color w:val="auto"/>
                <w:szCs w:val="28"/>
                <w:highlight w:val="none"/>
                <w:lang w:val="en-US" w:eastAsia="zh-CN"/>
              </w:rPr>
              <w:t>注：复印件须加盖供应商公章。</w:t>
            </w:r>
          </w:p>
        </w:tc>
      </w:tr>
      <w:bookmarkEnd w:id="142"/>
      <w:bookmarkEnd w:id="143"/>
      <w:bookmarkEnd w:id="144"/>
      <w:bookmarkEnd w:id="145"/>
    </w:tbl>
    <w:p w14:paraId="32E55D8C">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hint="eastAsia" w:ascii="Times New Roman" w:hAnsi="Times New Roman" w:eastAsia="宋体" w:cs="宋体"/>
          <w:b/>
          <w:bCs/>
          <w:color w:val="auto"/>
          <w:szCs w:val="28"/>
          <w:highlight w:val="none"/>
        </w:rPr>
      </w:pPr>
    </w:p>
    <w:p w14:paraId="39D28082">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说明</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认为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的报价明显低于其他通过符合性审查</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的报价，有可能影响产品质量或者不能诚信履约的，应当要求其在评审现场合理的时间内提供书面说明，必要时提交相关证明材料；</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不能证明其报价合理性的，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应当将其作为无效响应处理。</w:t>
      </w:r>
    </w:p>
    <w:p w14:paraId="73101AAA">
      <w:pPr>
        <w:pStyle w:val="3"/>
        <w:bidi w:val="0"/>
        <w:rPr>
          <w:rFonts w:ascii="Times New Roman" w:hAnsi="Times New Roman" w:eastAsia="宋体"/>
          <w:color w:val="auto"/>
          <w:highlight w:val="none"/>
        </w:rPr>
      </w:pPr>
      <w:bookmarkStart w:id="146" w:name="_Toc15200"/>
      <w:bookmarkStart w:id="147" w:name="_Toc29586"/>
      <w:bookmarkStart w:id="148" w:name="_Toc13301"/>
      <w:bookmarkStart w:id="149" w:name="_Toc13232"/>
      <w:bookmarkStart w:id="150" w:name="_Toc18716"/>
      <w:bookmarkStart w:id="151" w:name="_Toc6898"/>
      <w:bookmarkStart w:id="152" w:name="_Toc13045"/>
      <w:bookmarkStart w:id="153" w:name="_Toc106030397"/>
      <w:bookmarkStart w:id="154" w:name="_Toc10923"/>
      <w:bookmarkStart w:id="155" w:name="_Toc20423"/>
      <w:bookmarkStart w:id="156" w:name="_Toc75793521"/>
      <w:bookmarkStart w:id="157" w:name="_Toc26747"/>
      <w:bookmarkStart w:id="158" w:name="_Toc17065"/>
      <w:bookmarkStart w:id="159" w:name="_Toc27926"/>
      <w:bookmarkStart w:id="160" w:name="_Toc22167"/>
      <w:bookmarkStart w:id="161" w:name="_Toc30659"/>
      <w:bookmarkStart w:id="162" w:name="_Toc5010"/>
      <w:bookmarkStart w:id="163" w:name="_Toc7962"/>
      <w:bookmarkStart w:id="164" w:name="_Toc4045"/>
      <w:bookmarkStart w:id="165" w:name="_Toc12283"/>
      <w:r>
        <w:rPr>
          <w:rFonts w:hint="eastAsia" w:ascii="Times New Roman" w:hAnsi="Times New Roman" w:eastAsia="宋体"/>
          <w:color w:val="auto"/>
          <w:highlight w:val="none"/>
        </w:rPr>
        <w:t>四、无效响应条款</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9038360">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出现下列情况之一者，应为无效响应：</w:t>
      </w:r>
    </w:p>
    <w:p w14:paraId="2009E75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供应商</w:t>
      </w:r>
      <w:r>
        <w:rPr>
          <w:rFonts w:hint="eastAsia" w:cs="宋体"/>
          <w:color w:val="auto"/>
          <w:szCs w:val="28"/>
          <w:highlight w:val="none"/>
          <w:lang w:val="en-US" w:eastAsia="zh-CN"/>
        </w:rPr>
        <w:t>未通过资格性评审或符合性评审</w:t>
      </w:r>
      <w:r>
        <w:rPr>
          <w:rFonts w:hint="eastAsia" w:ascii="Times New Roman" w:hAnsi="Times New Roman" w:eastAsia="宋体" w:cs="宋体"/>
          <w:color w:val="auto"/>
          <w:szCs w:val="28"/>
          <w:highlight w:val="none"/>
        </w:rPr>
        <w:t>的；</w:t>
      </w:r>
    </w:p>
    <w:p w14:paraId="24D2188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为同一个人的两个及两个以上法人，母公司、全资子公司及其控股公司，在同一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中同时参与</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20CCE6B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）单位负责人为同一人或者存在直接控股、管理关系的不同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，参加同一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的；</w:t>
      </w:r>
    </w:p>
    <w:p w14:paraId="7720874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四</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项目提供整体设计、规范编制或者项目管理、监理、检测等服务的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，再参加该项目</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1A7851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五</w:t>
      </w: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不满足</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要求的；</w:t>
      </w:r>
    </w:p>
    <w:p w14:paraId="0392675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六</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内容有与国家现行法律法规相违背的内容，或附有</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无法接受的条件；</w:t>
      </w:r>
    </w:p>
    <w:p w14:paraId="3179CC8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）法律、法规和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规定的其他无效情形。</w:t>
      </w:r>
    </w:p>
    <w:p w14:paraId="578D48D1">
      <w:pPr>
        <w:pStyle w:val="3"/>
        <w:bidi w:val="0"/>
        <w:rPr>
          <w:rFonts w:ascii="Times New Roman" w:hAnsi="Times New Roman" w:eastAsia="宋体"/>
          <w:color w:val="auto"/>
          <w:highlight w:val="none"/>
        </w:rPr>
      </w:pPr>
      <w:bookmarkStart w:id="166" w:name="_Toc14355"/>
      <w:bookmarkStart w:id="167" w:name="_Toc6719"/>
      <w:bookmarkStart w:id="168" w:name="_Toc25960"/>
      <w:bookmarkStart w:id="169" w:name="_Toc75793522"/>
      <w:bookmarkStart w:id="170" w:name="_Toc11293"/>
      <w:bookmarkStart w:id="171" w:name="_Toc24499"/>
      <w:bookmarkStart w:id="172" w:name="_Toc6204"/>
      <w:bookmarkStart w:id="173" w:name="_Toc25549"/>
      <w:bookmarkStart w:id="174" w:name="_Toc4422"/>
      <w:bookmarkStart w:id="175" w:name="_Toc30605"/>
      <w:bookmarkStart w:id="176" w:name="_Toc23533"/>
      <w:bookmarkStart w:id="177" w:name="_Toc7802"/>
      <w:bookmarkStart w:id="178" w:name="_Toc27180"/>
      <w:bookmarkStart w:id="179" w:name="_Toc21946"/>
      <w:bookmarkStart w:id="180" w:name="_Toc6956"/>
      <w:bookmarkStart w:id="181" w:name="_Toc1009"/>
      <w:bookmarkStart w:id="182" w:name="_Toc106030398"/>
      <w:bookmarkStart w:id="183" w:name="_Toc20005"/>
      <w:bookmarkStart w:id="184" w:name="_Toc27133"/>
      <w:bookmarkStart w:id="185" w:name="_Toc20000"/>
      <w:r>
        <w:rPr>
          <w:rFonts w:hint="eastAsia" w:ascii="Times New Roman" w:hAnsi="Times New Roman" w:eastAsia="宋体"/>
          <w:color w:val="auto"/>
          <w:highlight w:val="none"/>
        </w:rPr>
        <w:t>五、</w:t>
      </w:r>
      <w:r>
        <w:rPr>
          <w:rFonts w:hint="eastAsia" w:ascii="Times New Roman" w:hAnsi="Times New Roman"/>
          <w:color w:val="auto"/>
          <w:highlight w:val="none"/>
          <w:lang w:val="en-US" w:eastAsia="zh-CN"/>
        </w:rPr>
        <w:t>废标</w:t>
      </w:r>
      <w:r>
        <w:rPr>
          <w:rFonts w:hint="eastAsia" w:ascii="Times New Roman" w:hAnsi="Times New Roman" w:eastAsia="宋体"/>
          <w:color w:val="auto"/>
          <w:highlight w:val="none"/>
        </w:rPr>
        <w:t>条款</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367205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w:t>
      </w:r>
      <w:r>
        <w:rPr>
          <w:rFonts w:hint="eastAsia" w:cs="宋体"/>
          <w:color w:val="auto"/>
          <w:szCs w:val="28"/>
          <w:highlight w:val="none"/>
          <w:lang w:val="en-US" w:eastAsia="zh-CN"/>
        </w:rPr>
        <w:t>竞采过程中</w:t>
      </w:r>
      <w:r>
        <w:rPr>
          <w:rFonts w:hint="eastAsia" w:ascii="Times New Roman" w:hAnsi="Times New Roman" w:eastAsia="宋体" w:cs="宋体"/>
          <w:color w:val="auto"/>
          <w:szCs w:val="28"/>
          <w:highlight w:val="none"/>
        </w:rPr>
        <w:t>出现下列情形之一的，</w:t>
      </w:r>
      <w:r>
        <w:rPr>
          <w:rFonts w:hint="eastAsia" w:cs="宋体"/>
          <w:color w:val="auto"/>
          <w:szCs w:val="28"/>
          <w:highlight w:val="none"/>
          <w:lang w:val="en-US" w:eastAsia="zh-CN"/>
        </w:rPr>
        <w:t>应</w:t>
      </w:r>
      <w:r>
        <w:rPr>
          <w:rFonts w:hint="eastAsia" w:ascii="Times New Roman" w:hAnsi="Times New Roman" w:eastAsia="宋体" w:cs="宋体"/>
          <w:color w:val="auto"/>
          <w:szCs w:val="28"/>
          <w:highlight w:val="none"/>
        </w:rPr>
        <w:t>终止</w:t>
      </w:r>
      <w:r>
        <w:rPr>
          <w:rFonts w:hint="eastAsia" w:cs="宋体"/>
          <w:color w:val="auto"/>
          <w:szCs w:val="28"/>
          <w:highlight w:val="none"/>
          <w:lang w:val="en-US" w:eastAsia="zh-CN"/>
        </w:rPr>
        <w:t>评审，作废标处理</w:t>
      </w:r>
      <w:r>
        <w:rPr>
          <w:rFonts w:hint="eastAsia" w:ascii="Times New Roman" w:hAnsi="Times New Roman" w:eastAsia="宋体" w:cs="宋体"/>
          <w:color w:val="auto"/>
          <w:szCs w:val="28"/>
          <w:highlight w:val="none"/>
        </w:rPr>
        <w:t>：</w:t>
      </w:r>
    </w:p>
    <w:p w14:paraId="39336D2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（一）符合专业条件的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或者对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作实质响应的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不足</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rPr>
        <w:t>家的；</w:t>
      </w:r>
    </w:p>
    <w:p w14:paraId="6EE44A1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）出现影响</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公正的违法、违规行为的；</w:t>
      </w:r>
    </w:p>
    <w:p w14:paraId="646A6F1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）因重大变故，</w:t>
      </w:r>
      <w:r>
        <w:rPr>
          <w:rFonts w:hint="eastAsia" w:cs="宋体"/>
          <w:color w:val="auto"/>
          <w:szCs w:val="28"/>
          <w:highlight w:val="none"/>
          <w:lang w:val="en-US" w:eastAsia="zh-CN"/>
        </w:rPr>
        <w:t>竞采项目</w:t>
      </w:r>
      <w:r>
        <w:rPr>
          <w:rFonts w:hint="eastAsia" w:ascii="Times New Roman" w:hAnsi="Times New Roman" w:eastAsia="宋体" w:cs="宋体"/>
          <w:color w:val="auto"/>
          <w:szCs w:val="28"/>
          <w:highlight w:val="none"/>
        </w:rPr>
        <w:t>取消的。</w:t>
      </w:r>
    </w:p>
    <w:p w14:paraId="49B4990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val="en-US" w:eastAsia="zh-CN"/>
        </w:rPr>
        <w:t>废标</w:t>
      </w:r>
      <w:r>
        <w:rPr>
          <w:rFonts w:hint="eastAsia" w:ascii="Times New Roman" w:hAnsi="Times New Roman" w:eastAsia="宋体" w:cs="宋体"/>
          <w:color w:val="auto"/>
          <w:szCs w:val="28"/>
          <w:highlight w:val="none"/>
        </w:rPr>
        <w:t>后，除</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任务取消情形外，应当重新组织</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w:t>
      </w:r>
    </w:p>
    <w:bookmarkEnd w:id="67"/>
    <w:p w14:paraId="2CBA7C99">
      <w:pPr>
        <w:pStyle w:val="2"/>
        <w:bidi w:val="0"/>
        <w:outlineLvl w:val="0"/>
        <w:rPr>
          <w:rFonts w:ascii="Times New Roman" w:hAnsi="Times New Roman" w:eastAsia="宋体" w:cs="宋体"/>
          <w:color w:val="auto"/>
          <w:sz w:val="32"/>
          <w:szCs w:val="21"/>
          <w:highlight w:val="none"/>
        </w:rPr>
      </w:pPr>
      <w:r>
        <w:rPr>
          <w:rFonts w:hint="eastAsia" w:ascii="Times New Roman" w:hAnsi="Times New Roman" w:eastAsia="宋体" w:cs="宋体"/>
          <w:color w:val="auto"/>
          <w:highlight w:val="none"/>
        </w:rPr>
        <w:br w:type="page"/>
      </w:r>
      <w:bookmarkStart w:id="186" w:name="_Toc75793523"/>
      <w:bookmarkStart w:id="187" w:name="_Toc19831"/>
      <w:bookmarkStart w:id="188" w:name="_Toc13159"/>
      <w:bookmarkStart w:id="189" w:name="_Toc21000"/>
      <w:bookmarkStart w:id="190" w:name="_Toc22201"/>
      <w:bookmarkStart w:id="191" w:name="_Toc1670"/>
      <w:bookmarkStart w:id="192" w:name="_Toc18502"/>
      <w:bookmarkStart w:id="193" w:name="_Toc14416"/>
      <w:bookmarkStart w:id="194" w:name="_Toc106030399"/>
      <w:bookmarkStart w:id="195" w:name="_Toc25755"/>
      <w:bookmarkStart w:id="196" w:name="_Toc29546"/>
      <w:bookmarkStart w:id="197" w:name="_Toc5106"/>
      <w:bookmarkStart w:id="198" w:name="_Toc32211"/>
      <w:bookmarkStart w:id="199" w:name="_Toc22256"/>
      <w:bookmarkStart w:id="200" w:name="_Toc25962"/>
      <w:bookmarkStart w:id="201" w:name="_Toc20379"/>
      <w:bookmarkStart w:id="202" w:name="_Toc1982"/>
      <w:bookmarkStart w:id="203" w:name="_Toc4735"/>
      <w:bookmarkStart w:id="204" w:name="_Toc12533"/>
      <w:bookmarkStart w:id="205" w:name="_Toc21720"/>
      <w:bookmarkStart w:id="206" w:name="_Toc21360"/>
      <w:r>
        <w:rPr>
          <w:rFonts w:hint="eastAsia" w:ascii="Times New Roman" w:hAnsi="Times New Roman" w:eastAsia="宋体" w:cs="宋体"/>
          <w:b/>
          <w:bCs/>
          <w:color w:val="auto"/>
          <w:sz w:val="32"/>
          <w:szCs w:val="21"/>
          <w:highlight w:val="none"/>
        </w:rPr>
        <w:t xml:space="preserve">第五篇 </w:t>
      </w:r>
      <w:r>
        <w:rPr>
          <w:rFonts w:hint="eastAsia" w:cs="宋体"/>
          <w:b/>
          <w:bCs/>
          <w:color w:val="auto"/>
          <w:sz w:val="32"/>
          <w:szCs w:val="21"/>
          <w:highlight w:val="none"/>
          <w:lang w:eastAsia="zh-CN"/>
        </w:rPr>
        <w:t>供应商</w:t>
      </w:r>
      <w:r>
        <w:rPr>
          <w:rFonts w:hint="eastAsia" w:ascii="Times New Roman" w:hAnsi="Times New Roman" w:eastAsia="宋体" w:cs="宋体"/>
          <w:b/>
          <w:bCs/>
          <w:color w:val="auto"/>
          <w:sz w:val="32"/>
          <w:szCs w:val="21"/>
          <w:highlight w:val="none"/>
        </w:rPr>
        <w:t>须知</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1490F18">
      <w:pPr>
        <w:pStyle w:val="3"/>
        <w:bidi w:val="0"/>
        <w:rPr>
          <w:rFonts w:hint="eastAsia" w:ascii="Times New Roman" w:hAnsi="Times New Roman" w:eastAsia="宋体"/>
          <w:color w:val="auto"/>
          <w:highlight w:val="none"/>
          <w:lang w:eastAsia="zh-CN"/>
        </w:rPr>
      </w:pPr>
      <w:bookmarkStart w:id="207" w:name="_Toc14797"/>
      <w:bookmarkStart w:id="208" w:name="_Toc9833"/>
      <w:bookmarkStart w:id="209" w:name="_Toc22743"/>
      <w:r>
        <w:rPr>
          <w:rFonts w:hint="eastAsia" w:ascii="Times New Roman" w:hAnsi="Times New Roman" w:eastAsia="宋体"/>
          <w:color w:val="auto"/>
          <w:highlight w:val="none"/>
        </w:rPr>
        <w:t>一、</w:t>
      </w:r>
      <w:bookmarkEnd w:id="207"/>
      <w:bookmarkEnd w:id="208"/>
      <w:bookmarkEnd w:id="209"/>
      <w:r>
        <w:rPr>
          <w:rFonts w:hint="eastAsia" w:ascii="Times New Roman" w:hAnsi="Times New Roman"/>
          <w:color w:val="auto"/>
          <w:highlight w:val="none"/>
          <w:lang w:eastAsia="zh-CN"/>
        </w:rPr>
        <w:t>供应商</w:t>
      </w:r>
    </w:p>
    <w:p w14:paraId="58FCD271">
      <w:pPr>
        <w:snapToGrid w:val="0"/>
        <w:spacing w:line="480" w:lineRule="atLeast"/>
        <w:ind w:firstLine="562"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供应商</w:t>
      </w:r>
    </w:p>
    <w:p w14:paraId="3A90261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是指响应</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、参加</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的法人、其他组织。</w:t>
      </w:r>
    </w:p>
    <w:p w14:paraId="6F44FC4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（二）合格</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条件</w:t>
      </w:r>
    </w:p>
    <w:p w14:paraId="3F5DCE7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合格</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应完全符合</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第一篇中规定的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资格条件，并对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作出实质性响应。</w:t>
      </w:r>
    </w:p>
    <w:p w14:paraId="77756E5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（三）</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的风险</w:t>
      </w:r>
    </w:p>
    <w:p w14:paraId="47958A5B">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要求提供全部资料，或者</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在各方面作出实质性响应，可能导致响应被拒绝或评定为无效响应。</w:t>
      </w:r>
    </w:p>
    <w:p w14:paraId="57260EA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（四）法律责任</w:t>
      </w:r>
    </w:p>
    <w:p w14:paraId="36D6001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违反</w:t>
      </w:r>
      <w:r>
        <w:rPr>
          <w:rFonts w:hint="eastAsia" w:cs="宋体"/>
          <w:color w:val="auto"/>
          <w:szCs w:val="28"/>
          <w:highlight w:val="none"/>
          <w:lang w:eastAsia="zh-CN"/>
        </w:rPr>
        <w:t>法律法规</w:t>
      </w:r>
      <w:r>
        <w:rPr>
          <w:rFonts w:hint="eastAsia" w:ascii="Times New Roman" w:hAnsi="Times New Roman" w:eastAsia="宋体" w:cs="宋体"/>
          <w:color w:val="auto"/>
          <w:szCs w:val="28"/>
          <w:highlight w:val="none"/>
        </w:rPr>
        <w:t>等相关规定</w:t>
      </w:r>
      <w:r>
        <w:rPr>
          <w:rFonts w:hint="eastAsia" w:cs="宋体"/>
          <w:color w:val="auto"/>
          <w:szCs w:val="28"/>
          <w:highlight w:val="none"/>
          <w:lang w:eastAsia="zh-CN"/>
        </w:rPr>
        <w:t>的</w:t>
      </w:r>
      <w:r>
        <w:rPr>
          <w:rFonts w:hint="eastAsia" w:ascii="Times New Roman" w:hAnsi="Times New Roman" w:eastAsia="宋体" w:cs="宋体"/>
          <w:color w:val="auto"/>
          <w:szCs w:val="28"/>
          <w:highlight w:val="none"/>
        </w:rPr>
        <w:t>，将按规定追究</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法律责任。</w:t>
      </w:r>
    </w:p>
    <w:p w14:paraId="7AED5363">
      <w:pPr>
        <w:pStyle w:val="3"/>
        <w:bidi w:val="0"/>
        <w:rPr>
          <w:rFonts w:hint="eastAsia" w:ascii="Times New Roman" w:hAnsi="Times New Roman" w:eastAsia="宋体"/>
          <w:color w:val="auto"/>
          <w:highlight w:val="none"/>
          <w:lang w:eastAsia="zh-CN"/>
        </w:rPr>
      </w:pPr>
      <w:bookmarkStart w:id="210" w:name="_Toc24271"/>
      <w:bookmarkStart w:id="211" w:name="_Toc32437"/>
      <w:bookmarkStart w:id="212" w:name="_Toc29706"/>
      <w:r>
        <w:rPr>
          <w:rFonts w:hint="eastAsia" w:ascii="Times New Roman" w:hAnsi="Times New Roman" w:eastAsia="宋体"/>
          <w:color w:val="auto"/>
          <w:highlight w:val="none"/>
        </w:rPr>
        <w:t>二、</w:t>
      </w:r>
      <w:bookmarkEnd w:id="210"/>
      <w:bookmarkEnd w:id="211"/>
      <w:bookmarkEnd w:id="212"/>
      <w:r>
        <w:rPr>
          <w:rFonts w:hint="eastAsia" w:ascii="Times New Roman" w:hAnsi="Times New Roman"/>
          <w:color w:val="auto"/>
          <w:highlight w:val="none"/>
          <w:lang w:eastAsia="zh-CN"/>
        </w:rPr>
        <w:t>竞采文件</w:t>
      </w:r>
    </w:p>
    <w:p w14:paraId="620DF7F7">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是</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的依据，是</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评判依据和标准。</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也是</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与</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签订合同的基础。</w:t>
      </w:r>
    </w:p>
    <w:p w14:paraId="5AF9BBD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由</w:t>
      </w:r>
      <w:r>
        <w:rPr>
          <w:rFonts w:hint="eastAsia" w:cs="宋体"/>
          <w:color w:val="auto"/>
          <w:szCs w:val="28"/>
          <w:highlight w:val="none"/>
          <w:lang w:eastAsia="zh-CN"/>
        </w:rPr>
        <w:t>采购邀请书</w:t>
      </w:r>
      <w:r>
        <w:rPr>
          <w:rFonts w:hint="eastAsia" w:ascii="Times New Roman" w:hAnsi="Times New Roman" w:eastAsia="宋体" w:cs="宋体"/>
          <w:color w:val="auto"/>
          <w:szCs w:val="28"/>
          <w:highlight w:val="none"/>
        </w:rPr>
        <w:t>、项目</w:t>
      </w:r>
      <w:r>
        <w:rPr>
          <w:rFonts w:hint="eastAsia" w:cs="宋体"/>
          <w:color w:val="auto"/>
          <w:szCs w:val="28"/>
          <w:highlight w:val="none"/>
          <w:lang w:eastAsia="zh-CN"/>
        </w:rPr>
        <w:t>服务需求</w:t>
      </w:r>
      <w:r>
        <w:rPr>
          <w:rFonts w:hint="eastAsia" w:ascii="Times New Roman" w:hAnsi="Times New Roman" w:eastAsia="宋体" w:cs="宋体"/>
          <w:color w:val="auto"/>
          <w:szCs w:val="28"/>
          <w:highlight w:val="none"/>
        </w:rPr>
        <w:t>、项目商务需求、资格审查及评审办法、</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须知、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格式等六部分组成。</w:t>
      </w:r>
    </w:p>
    <w:p w14:paraId="2CFF6BE3">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所作的一切有效的书面通知、修改及补充，都是</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不可分割的部分。</w:t>
      </w:r>
    </w:p>
    <w:p w14:paraId="4FAFC9E9">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（三）本项目的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、澄清文件（如果有）一律在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cs="宋体"/>
          <w:color w:val="auto"/>
          <w:szCs w:val="28"/>
          <w:highlight w:val="none"/>
          <w:lang w:val="en-US" w:eastAsia="zh-CN"/>
        </w:rPr>
        <w:t>网站</w:t>
      </w:r>
      <w:r>
        <w:rPr>
          <w:rFonts w:hint="eastAsia" w:ascii="Times New Roman" w:hAnsi="Times New Roman" w:eastAsia="宋体" w:cs="宋体"/>
          <w:color w:val="auto"/>
          <w:szCs w:val="28"/>
          <w:highlight w:val="none"/>
        </w:rPr>
        <w:t>上发布，请各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注意下载；无论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下载与否，均视同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已知晓本项目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、澄清文件的内容。</w:t>
      </w:r>
    </w:p>
    <w:p w14:paraId="1A70D24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机构对已发出的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需要进行澄清或修改的，应以书面形式或公告形式通知所有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收受人。该澄清或者修改的内容为</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的组成部分。</w:t>
      </w:r>
    </w:p>
    <w:p w14:paraId="441FAF3A">
      <w:pPr>
        <w:pStyle w:val="3"/>
        <w:bidi w:val="0"/>
        <w:rPr>
          <w:rFonts w:hint="eastAsia" w:ascii="Times New Roman" w:hAnsi="Times New Roman" w:eastAsia="宋体"/>
          <w:color w:val="auto"/>
          <w:highlight w:val="none"/>
          <w:lang w:eastAsia="zh-CN"/>
        </w:rPr>
      </w:pPr>
      <w:bookmarkStart w:id="213" w:name="_Toc31145"/>
      <w:bookmarkStart w:id="214" w:name="_Toc8987"/>
      <w:bookmarkStart w:id="215" w:name="_Toc21372"/>
      <w:r>
        <w:rPr>
          <w:rFonts w:hint="eastAsia" w:ascii="Times New Roman" w:hAnsi="Times New Roman" w:eastAsia="宋体"/>
          <w:color w:val="auto"/>
          <w:highlight w:val="none"/>
        </w:rPr>
        <w:t>三、</w:t>
      </w:r>
      <w:bookmarkEnd w:id="213"/>
      <w:bookmarkEnd w:id="214"/>
      <w:bookmarkEnd w:id="215"/>
      <w:r>
        <w:rPr>
          <w:rFonts w:hint="eastAsia" w:ascii="Times New Roman" w:hAnsi="Times New Roman"/>
          <w:color w:val="auto"/>
          <w:highlight w:val="none"/>
          <w:lang w:eastAsia="zh-CN"/>
        </w:rPr>
        <w:t>响应文件</w:t>
      </w:r>
    </w:p>
    <w:p w14:paraId="7A7A3C4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应当按照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的要求编制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提出的要求和条件作出实质性响应。</w:t>
      </w:r>
    </w:p>
    <w:p w14:paraId="2345C1EB">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响应文件</w:t>
      </w:r>
      <w:r>
        <w:rPr>
          <w:rFonts w:hint="eastAsia" w:ascii="Times New Roman" w:hAnsi="Times New Roman" w:eastAsia="宋体" w:cs="宋体"/>
          <w:b/>
          <w:bCs/>
          <w:color w:val="auto"/>
          <w:szCs w:val="28"/>
          <w:highlight w:val="none"/>
        </w:rPr>
        <w:t>组成</w:t>
      </w:r>
    </w:p>
    <w:p w14:paraId="06E0BFD8">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由第</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篇“</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格式”规定的部分和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所作的一切有效补充、修改和承诺等文件组成，</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应按照</w:t>
      </w:r>
      <w:r>
        <w:rPr>
          <w:rFonts w:hint="eastAsia" w:cs="宋体"/>
          <w:color w:val="auto"/>
          <w:szCs w:val="28"/>
          <w:highlight w:val="none"/>
          <w:lang w:eastAsia="zh-CN"/>
        </w:rPr>
        <w:t>第七篇</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格式”规定的目录顺序组织编写和装订，否则有可能影响评委对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的评审。</w:t>
      </w:r>
    </w:p>
    <w:p w14:paraId="2AECCAF8">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二</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竞采有效期</w:t>
      </w:r>
    </w:p>
    <w:p w14:paraId="5715AEF0">
      <w:pPr>
        <w:snapToGrid w:val="0"/>
        <w:spacing w:line="480" w:lineRule="atLeast"/>
        <w:ind w:firstLine="560" w:firstLineChars="200"/>
        <w:rPr>
          <w:rFonts w:ascii="Times New Roman" w:hAnsi="Times New Roman" w:eastAsia="宋体"/>
          <w:color w:val="auto"/>
          <w:highlight w:val="none"/>
        </w:rPr>
      </w:pP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截止时间起90天。</w:t>
      </w:r>
    </w:p>
    <w:p w14:paraId="4BD96A3D">
      <w:pPr>
        <w:snapToGrid w:val="0"/>
        <w:spacing w:line="480" w:lineRule="atLeast"/>
        <w:ind w:firstLine="562" w:firstLineChars="200"/>
        <w:rPr>
          <w:rFonts w:hint="default" w:ascii="Times New Roman" w:hAnsi="Times New Roman" w:eastAsia="宋体" w:cs="宋体"/>
          <w:b/>
          <w:bCs/>
          <w:i w:val="0"/>
          <w:iCs w:val="0"/>
          <w:color w:val="auto"/>
          <w:szCs w:val="28"/>
          <w:highlight w:val="none"/>
          <w:lang w:val="en-US" w:eastAsia="zh-CN"/>
        </w:rPr>
      </w:pP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三</w:t>
      </w: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响应文件的签署、份数和递交</w:t>
      </w:r>
    </w:p>
    <w:p w14:paraId="56D0009D">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ascii="Times New Roman" w:hAnsi="Times New Roman" w:eastAsia="宋体" w:cs="宋体"/>
          <w:b w:val="0"/>
          <w:bCs w:val="0"/>
          <w:i w:val="0"/>
          <w:iCs w:val="0"/>
          <w:color w:val="auto"/>
          <w:kern w:val="0"/>
          <w:sz w:val="28"/>
          <w:szCs w:val="28"/>
          <w:highlight w:val="none"/>
        </w:rPr>
        <w:t>1.</w:t>
      </w:r>
      <w:r>
        <w:rPr>
          <w:rFonts w:hint="eastAsia" w:ascii="Times New Roman" w:hAnsi="Times New Roman" w:eastAsia="宋体" w:cs="宋体"/>
          <w:i w:val="0"/>
          <w:iCs w:val="0"/>
          <w:color w:val="auto"/>
          <w:szCs w:val="28"/>
          <w:highlight w:val="none"/>
        </w:rPr>
        <w:t>在</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中，</w:t>
      </w:r>
      <w:r>
        <w:rPr>
          <w:rFonts w:hint="eastAsia" w:cs="宋体"/>
          <w:i w:val="0"/>
          <w:iCs w:val="0"/>
          <w:color w:val="auto"/>
          <w:szCs w:val="28"/>
          <w:highlight w:val="none"/>
          <w:lang w:eastAsia="zh-CN"/>
        </w:rPr>
        <w:t>竞采文件第七篇响应文件</w:t>
      </w:r>
      <w:r>
        <w:rPr>
          <w:rFonts w:hint="eastAsia" w:ascii="Times New Roman" w:hAnsi="Times New Roman" w:eastAsia="宋体" w:cs="宋体"/>
          <w:i w:val="0"/>
          <w:iCs w:val="0"/>
          <w:color w:val="auto"/>
          <w:szCs w:val="28"/>
          <w:highlight w:val="none"/>
        </w:rPr>
        <w:t>格式中规定签署、盖章的地方必须按其规定签署、盖章。</w:t>
      </w:r>
    </w:p>
    <w:p w14:paraId="0E98FF21">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2</w:t>
      </w:r>
      <w:r>
        <w:rPr>
          <w:rFonts w:hint="eastAsia" w:ascii="Times New Roman" w:hAnsi="Times New Roman" w:eastAsia="宋体" w:cs="宋体"/>
          <w:i w:val="0"/>
          <w:iCs w:val="0"/>
          <w:color w:val="auto"/>
          <w:szCs w:val="28"/>
          <w:highlight w:val="none"/>
        </w:rPr>
        <w:t>.若</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对</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的错处作必要修改，则应在修改处加盖</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公章或由</w:t>
      </w:r>
      <w:r>
        <w:rPr>
          <w:rFonts w:hint="eastAsia" w:cs="宋体"/>
          <w:i w:val="0"/>
          <w:iCs w:val="0"/>
          <w:color w:val="auto"/>
          <w:szCs w:val="28"/>
          <w:highlight w:val="none"/>
          <w:lang w:eastAsia="zh-CN"/>
        </w:rPr>
        <w:t>法定代表人（或负责人）</w:t>
      </w:r>
      <w:r>
        <w:rPr>
          <w:rFonts w:hint="eastAsia" w:ascii="Times New Roman" w:hAnsi="Times New Roman" w:eastAsia="宋体" w:cs="宋体"/>
          <w:i w:val="0"/>
          <w:iCs w:val="0"/>
          <w:color w:val="auto"/>
          <w:szCs w:val="28"/>
          <w:highlight w:val="none"/>
        </w:rPr>
        <w:t>（或其授权代表）签署确认。</w:t>
      </w:r>
    </w:p>
    <w:p w14:paraId="16D66557">
      <w:pPr>
        <w:snapToGrid w:val="0"/>
        <w:spacing w:line="480" w:lineRule="atLeast"/>
        <w:ind w:firstLine="560" w:firstLineChars="200"/>
        <w:rPr>
          <w:rFonts w:hint="eastAsia"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3</w:t>
      </w:r>
      <w:r>
        <w:rPr>
          <w:rFonts w:hint="eastAsia" w:ascii="Times New Roman" w:hAnsi="Times New Roman" w:eastAsia="宋体" w:cs="宋体"/>
          <w:i w:val="0"/>
          <w:iCs w:val="0"/>
          <w:color w:val="auto"/>
          <w:szCs w:val="28"/>
          <w:highlight w:val="none"/>
        </w:rPr>
        <w:t>.电报、电话、传真形式的</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概不接受。</w:t>
      </w:r>
    </w:p>
    <w:p w14:paraId="492C7248">
      <w:pPr>
        <w:snapToGrid w:val="0"/>
        <w:spacing w:line="480" w:lineRule="atLeast"/>
        <w:ind w:firstLine="560" w:firstLineChars="200"/>
        <w:rPr>
          <w:rFonts w:hint="eastAsia" w:cs="宋体"/>
          <w:i w:val="0"/>
          <w:iCs w:val="0"/>
          <w:color w:val="auto"/>
          <w:szCs w:val="28"/>
          <w:highlight w:val="none"/>
          <w:lang w:val="en-US" w:eastAsia="zh-CN"/>
        </w:rPr>
      </w:pPr>
      <w:r>
        <w:rPr>
          <w:rFonts w:hint="eastAsia" w:cs="宋体"/>
          <w:i w:val="0"/>
          <w:iCs w:val="0"/>
          <w:color w:val="auto"/>
          <w:szCs w:val="28"/>
          <w:highlight w:val="none"/>
          <w:lang w:val="en-US" w:eastAsia="zh-CN"/>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52FDEC5">
      <w:pPr>
        <w:snapToGrid w:val="0"/>
        <w:spacing w:line="480" w:lineRule="atLeast"/>
        <w:ind w:firstLine="560" w:firstLineChars="200"/>
        <w:rPr>
          <w:rFonts w:cs="宋体"/>
          <w:i w:val="0"/>
          <w:iCs w:val="0"/>
          <w:color w:val="auto"/>
          <w:szCs w:val="28"/>
          <w:highlight w:val="none"/>
        </w:rPr>
      </w:pPr>
      <w:r>
        <w:rPr>
          <w:rFonts w:hint="eastAsia" w:cs="宋体"/>
          <w:i w:val="0"/>
          <w:iCs w:val="0"/>
          <w:color w:val="auto"/>
          <w:szCs w:val="28"/>
          <w:highlight w:val="none"/>
          <w:lang w:val="en-US" w:eastAsia="zh-CN"/>
        </w:rPr>
        <w:t>5.响应文件的正本、副本以及电子文档均应密封送达竞采地点，应在封套上注明项目名称、单位名称。若正本、副本以及电子文档分别进行密封的，还应在封套上注明“正本”、“副本”、“电子文档”字样。</w:t>
      </w:r>
    </w:p>
    <w:p w14:paraId="76552B3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四</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w:t>
      </w:r>
      <w:r>
        <w:rPr>
          <w:rFonts w:hint="eastAsia" w:ascii="Times New Roman" w:hAnsi="Times New Roman" w:eastAsia="宋体" w:cs="宋体"/>
          <w:b/>
          <w:bCs/>
          <w:color w:val="auto"/>
          <w:szCs w:val="28"/>
          <w:highlight w:val="none"/>
        </w:rPr>
        <w:t>报价</w:t>
      </w:r>
    </w:p>
    <w:p w14:paraId="288CEEA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应严格按照“</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格式”中“报价一览表”的格式填写报价。</w:t>
      </w:r>
    </w:p>
    <w:p w14:paraId="4E99373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的报价为一次性报价，即在</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内</w:t>
      </w:r>
      <w:r>
        <w:rPr>
          <w:rFonts w:hint="eastAsia" w:cs="宋体"/>
          <w:color w:val="auto"/>
          <w:szCs w:val="28"/>
          <w:highlight w:val="none"/>
          <w:lang w:eastAsia="zh-CN"/>
        </w:rPr>
        <w:t>报价</w:t>
      </w:r>
      <w:r>
        <w:rPr>
          <w:rFonts w:hint="eastAsia" w:ascii="Times New Roman" w:hAnsi="Times New Roman" w:eastAsia="宋体" w:cs="宋体"/>
          <w:color w:val="auto"/>
          <w:szCs w:val="28"/>
          <w:highlight w:val="none"/>
        </w:rPr>
        <w:t>固定不变。</w:t>
      </w:r>
    </w:p>
    <w:p w14:paraId="1755FBC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3.本项目只接受一个报价，有选择的或有条件的报价将不予接受</w:t>
      </w:r>
      <w:r>
        <w:rPr>
          <w:rFonts w:hint="eastAsia" w:cs="宋体"/>
          <w:color w:val="auto"/>
          <w:szCs w:val="28"/>
          <w:highlight w:val="none"/>
          <w:lang w:eastAsia="zh-CN"/>
        </w:rPr>
        <w:t>，</w:t>
      </w:r>
      <w:r>
        <w:rPr>
          <w:rFonts w:hint="eastAsia" w:cs="宋体"/>
          <w:color w:val="auto"/>
          <w:szCs w:val="28"/>
          <w:highlight w:val="none"/>
          <w:lang w:val="en-US" w:eastAsia="zh-CN"/>
        </w:rPr>
        <w:t>作无效响应处理</w:t>
      </w:r>
      <w:r>
        <w:rPr>
          <w:rFonts w:hint="eastAsia" w:ascii="Times New Roman" w:hAnsi="Times New Roman" w:eastAsia="宋体" w:cs="宋体"/>
          <w:color w:val="auto"/>
          <w:szCs w:val="28"/>
          <w:highlight w:val="none"/>
        </w:rPr>
        <w:t>。</w:t>
      </w:r>
    </w:p>
    <w:p w14:paraId="17D8312C">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五</w:t>
      </w:r>
      <w:r>
        <w:rPr>
          <w:rFonts w:hint="eastAsia" w:ascii="Times New Roman" w:hAnsi="Times New Roman" w:eastAsia="宋体" w:cs="宋体"/>
          <w:b/>
          <w:bCs/>
          <w:color w:val="auto"/>
          <w:szCs w:val="28"/>
          <w:highlight w:val="none"/>
        </w:rPr>
        <w:t>）修正错误</w:t>
      </w:r>
    </w:p>
    <w:p w14:paraId="47B64F8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出现计算或表达上的错误，修正错误的原则如下：</w:t>
      </w:r>
    </w:p>
    <w:p w14:paraId="7E626271">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rPr>
        <w:t>.</w:t>
      </w:r>
      <w:r>
        <w:rPr>
          <w:rFonts w:hint="eastAsia" w:ascii="宋体" w:hAnsi="宋体" w:cs="宋体"/>
          <w:color w:val="auto"/>
          <w:sz w:val="28"/>
          <w:szCs w:val="28"/>
          <w:highlight w:val="none"/>
          <w:lang w:eastAsia="zh-CN"/>
        </w:rPr>
        <w:t>出现大写不规范（例如“壹万壹仟元”写作“壹点壹万元”）或少数错别字（例如“玖”写作“九”）等不影响判断其实质意义的情况，可视同有效</w:t>
      </w:r>
      <w:r>
        <w:rPr>
          <w:rFonts w:hint="eastAsia" w:cs="宋体"/>
          <w:color w:val="auto"/>
          <w:szCs w:val="28"/>
          <w:highlight w:val="none"/>
          <w:lang w:eastAsia="zh-CN"/>
        </w:rPr>
        <w:t>。</w:t>
      </w:r>
    </w:p>
    <w:p w14:paraId="45119C6A">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rPr>
        <w:t>总价金额与按单价汇总金额不一致的，以单价金额计算结果为准。</w:t>
      </w:r>
    </w:p>
    <w:p w14:paraId="127A0F86">
      <w:pPr>
        <w:snapToGrid w:val="0"/>
        <w:spacing w:line="480" w:lineRule="atLeast"/>
        <w:ind w:firstLine="560" w:firstLineChars="200"/>
        <w:rPr>
          <w:rFonts w:hint="default" w:cs="宋体"/>
          <w:color w:val="auto"/>
          <w:szCs w:val="28"/>
          <w:highlight w:val="none"/>
          <w:lang w:val="en-US" w:eastAsia="zh-CN"/>
        </w:rPr>
      </w:pPr>
      <w:r>
        <w:rPr>
          <w:rFonts w:hint="eastAsia" w:cs="宋体"/>
          <w:color w:val="auto"/>
          <w:szCs w:val="28"/>
          <w:highlight w:val="none"/>
          <w:lang w:val="en-US" w:eastAsia="zh-CN"/>
        </w:rPr>
        <w:t>3.线上报价与线下纸质文件不一致的，以线上报价为准进行修正。</w:t>
      </w:r>
    </w:p>
    <w:p w14:paraId="09CD0439">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按上述修正错误的原则及方法调整或修正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报价，若同时出现两种以上不一致的，按照前款规定的顺序修正，</w:t>
      </w:r>
      <w:r>
        <w:rPr>
          <w:rFonts w:hint="eastAsia" w:cs="宋体"/>
          <w:color w:val="auto"/>
          <w:szCs w:val="28"/>
          <w:highlight w:val="none"/>
          <w:lang w:eastAsia="zh-CN"/>
        </w:rPr>
        <w:t>修正</w:t>
      </w:r>
      <w:r>
        <w:rPr>
          <w:rFonts w:hint="eastAsia" w:ascii="Times New Roman" w:hAnsi="Times New Roman" w:eastAsia="宋体" w:cs="宋体"/>
          <w:color w:val="auto"/>
          <w:szCs w:val="28"/>
          <w:highlight w:val="none"/>
        </w:rPr>
        <w:t>后的报价对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具有约束作用。</w:t>
      </w:r>
    </w:p>
    <w:p w14:paraId="4991CF91">
      <w:pPr>
        <w:pStyle w:val="3"/>
        <w:bidi w:val="0"/>
        <w:rPr>
          <w:rFonts w:hint="eastAsia" w:ascii="Times New Roman" w:hAnsi="Times New Roman" w:eastAsia="宋体"/>
          <w:color w:val="auto"/>
          <w:highlight w:val="none"/>
          <w:lang w:val="en-US" w:eastAsia="zh-CN"/>
        </w:rPr>
      </w:pPr>
      <w:bookmarkStart w:id="216" w:name="_Toc2488"/>
      <w:bookmarkStart w:id="217" w:name="_Toc27146"/>
      <w:bookmarkStart w:id="218" w:name="_Toc28317"/>
      <w:r>
        <w:rPr>
          <w:rFonts w:hint="eastAsia" w:ascii="Times New Roman" w:hAnsi="Times New Roman" w:eastAsia="宋体"/>
          <w:color w:val="auto"/>
          <w:highlight w:val="none"/>
        </w:rPr>
        <w:t>四、评审</w:t>
      </w:r>
      <w:r>
        <w:rPr>
          <w:rFonts w:hint="eastAsia" w:ascii="Times New Roman" w:hAnsi="Times New Roman" w:eastAsia="宋体"/>
          <w:color w:val="auto"/>
          <w:highlight w:val="none"/>
          <w:lang w:val="en-US" w:eastAsia="zh-CN"/>
        </w:rPr>
        <w:t>流程</w:t>
      </w:r>
      <w:bookmarkEnd w:id="216"/>
      <w:bookmarkEnd w:id="217"/>
      <w:r>
        <w:rPr>
          <w:rFonts w:hint="eastAsia" w:ascii="Times New Roman" w:hAnsi="Times New Roman"/>
          <w:color w:val="auto"/>
          <w:highlight w:val="none"/>
          <w:lang w:val="en-US" w:eastAsia="zh-CN"/>
        </w:rPr>
        <w:t>及标准</w:t>
      </w:r>
      <w:bookmarkEnd w:id="218"/>
    </w:p>
    <w:p w14:paraId="79B6957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见第四篇。</w:t>
      </w:r>
    </w:p>
    <w:p w14:paraId="13A6FE8D">
      <w:pPr>
        <w:pStyle w:val="3"/>
        <w:bidi w:val="0"/>
        <w:rPr>
          <w:rFonts w:hint="eastAsia" w:ascii="Times New Roman" w:hAnsi="Times New Roman" w:eastAsia="宋体"/>
          <w:color w:val="auto"/>
          <w:highlight w:val="none"/>
          <w:lang w:eastAsia="zh-CN"/>
        </w:rPr>
      </w:pPr>
      <w:bookmarkStart w:id="219" w:name="_Toc23216"/>
      <w:bookmarkStart w:id="220" w:name="_Toc12781"/>
      <w:bookmarkStart w:id="221" w:name="_Toc26213"/>
      <w:r>
        <w:rPr>
          <w:rFonts w:hint="eastAsia" w:ascii="Times New Roman" w:hAnsi="Times New Roman"/>
          <w:color w:val="auto"/>
          <w:highlight w:val="none"/>
          <w:lang w:val="en-US" w:eastAsia="zh-CN"/>
        </w:rPr>
        <w:t>五</w:t>
      </w:r>
      <w:r>
        <w:rPr>
          <w:rFonts w:hint="eastAsia" w:ascii="Times New Roman" w:hAnsi="Times New Roman" w:eastAsia="宋体"/>
          <w:color w:val="auto"/>
          <w:highlight w:val="none"/>
        </w:rPr>
        <w:t>、确认</w:t>
      </w:r>
      <w:bookmarkEnd w:id="219"/>
      <w:bookmarkEnd w:id="220"/>
      <w:bookmarkEnd w:id="221"/>
      <w:r>
        <w:rPr>
          <w:rFonts w:hint="eastAsia" w:ascii="Times New Roman" w:hAnsi="Times New Roman"/>
          <w:color w:val="auto"/>
          <w:highlight w:val="none"/>
          <w:lang w:eastAsia="zh-CN"/>
        </w:rPr>
        <w:t>成交供应商</w:t>
      </w:r>
    </w:p>
    <w:p w14:paraId="31E5744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（一）原则</w:t>
      </w:r>
    </w:p>
    <w:p w14:paraId="6F2C938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或其授权的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应按照评审报告中推荐的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候选人排名顺序确定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2ED064A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（二）程序</w:t>
      </w:r>
    </w:p>
    <w:p w14:paraId="041A173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机构应当在评审结束之日起2个工作日内将评审报告送</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w:t>
      </w:r>
    </w:p>
    <w:p w14:paraId="739C0A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应当自收到评审报告之日起5个工作日内按评审报告推荐的成交候选人顺序确定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637EC84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或者</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机构应当自</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确定之日起2个工作日内，在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ascii="Times New Roman" w:hAnsi="Times New Roman" w:eastAsia="宋体" w:cs="宋体"/>
          <w:color w:val="auto"/>
          <w:szCs w:val="28"/>
          <w:highlight w:val="none"/>
        </w:rPr>
        <w:t>公告</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结果。</w:t>
      </w:r>
    </w:p>
    <w:p w14:paraId="4CCC47FA">
      <w:pPr>
        <w:pStyle w:val="3"/>
        <w:bidi w:val="0"/>
        <w:rPr>
          <w:rFonts w:hint="eastAsia" w:ascii="Times New Roman" w:hAnsi="Times New Roman" w:eastAsia="宋体"/>
          <w:color w:val="auto"/>
          <w:highlight w:val="none"/>
          <w:lang w:val="en-US" w:eastAsia="zh-CN"/>
        </w:rPr>
      </w:pPr>
      <w:bookmarkStart w:id="222" w:name="_Toc7093"/>
      <w:bookmarkStart w:id="223" w:name="_Toc6219"/>
      <w:bookmarkStart w:id="224" w:name="_Toc18089"/>
      <w:r>
        <w:rPr>
          <w:rFonts w:hint="eastAsia" w:ascii="Times New Roman" w:hAnsi="Times New Roman"/>
          <w:color w:val="auto"/>
          <w:highlight w:val="none"/>
          <w:lang w:val="en-US" w:eastAsia="zh-CN"/>
        </w:rPr>
        <w:t>六</w:t>
      </w:r>
      <w:r>
        <w:rPr>
          <w:rFonts w:hint="eastAsia" w:ascii="Times New Roman" w:hAnsi="Times New Roman" w:eastAsia="宋体"/>
          <w:color w:val="auto"/>
          <w:highlight w:val="none"/>
        </w:rPr>
        <w:t>、</w:t>
      </w:r>
      <w:bookmarkEnd w:id="222"/>
      <w:bookmarkEnd w:id="223"/>
      <w:bookmarkEnd w:id="224"/>
      <w:r>
        <w:rPr>
          <w:rFonts w:hint="eastAsia" w:ascii="Times New Roman" w:hAnsi="Times New Roman"/>
          <w:color w:val="auto"/>
          <w:highlight w:val="none"/>
          <w:lang w:val="en-US" w:eastAsia="zh-CN"/>
        </w:rPr>
        <w:t>成交</w:t>
      </w:r>
    </w:p>
    <w:p w14:paraId="12AD0A2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依法确定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后，</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机构进行结果</w:t>
      </w:r>
      <w:r>
        <w:rPr>
          <w:rFonts w:hint="eastAsia" w:cs="宋体"/>
          <w:color w:val="auto"/>
          <w:szCs w:val="28"/>
          <w:highlight w:val="none"/>
          <w:lang w:val="en-US" w:eastAsia="zh-CN"/>
        </w:rPr>
        <w:t>公示</w:t>
      </w:r>
      <w:r>
        <w:rPr>
          <w:rFonts w:hint="eastAsia" w:ascii="Times New Roman" w:hAnsi="Times New Roman" w:eastAsia="宋体" w:cs="宋体"/>
          <w:color w:val="auto"/>
          <w:szCs w:val="28"/>
          <w:highlight w:val="none"/>
        </w:rPr>
        <w:t>。</w:t>
      </w:r>
    </w:p>
    <w:p w14:paraId="2F3B36AD">
      <w:pPr>
        <w:snapToGrid w:val="0"/>
        <w:spacing w:line="480" w:lineRule="atLeast"/>
        <w:ind w:firstLine="560" w:firstLineChars="200"/>
        <w:rPr>
          <w:rFonts w:hint="eastAsia" w:cs="宋体"/>
          <w:color w:val="auto"/>
          <w:szCs w:val="28"/>
          <w:highlight w:val="none"/>
          <w:lang w:eastAsia="zh-CN"/>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成交供应商</w:t>
      </w:r>
      <w:r>
        <w:rPr>
          <w:rFonts w:hint="eastAsia" w:cs="宋体"/>
          <w:color w:val="auto"/>
          <w:szCs w:val="28"/>
          <w:highlight w:val="none"/>
          <w:lang w:val="en-US" w:eastAsia="zh-CN"/>
        </w:rPr>
        <w:t>无正当理由</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成交资格的</w:t>
      </w:r>
      <w:r>
        <w:rPr>
          <w:rFonts w:hint="eastAsia" w:ascii="Times New Roman" w:hAnsi="Times New Roman" w:eastAsia="宋体" w:cs="宋体"/>
          <w:color w:val="auto"/>
          <w:szCs w:val="28"/>
          <w:highlight w:val="none"/>
        </w:rPr>
        <w:t>应当承担相应的法律责任。</w:t>
      </w:r>
    </w:p>
    <w:p w14:paraId="59054F19">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eastAsia="zh-CN"/>
        </w:rPr>
        <w:t>（</w:t>
      </w:r>
      <w:r>
        <w:rPr>
          <w:rFonts w:hint="eastAsia" w:cs="宋体"/>
          <w:color w:val="auto"/>
          <w:szCs w:val="28"/>
          <w:highlight w:val="none"/>
          <w:lang w:val="en-US" w:eastAsia="zh-CN"/>
        </w:rPr>
        <w:t>三</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拒绝与</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签订合同的，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可以按照评审报告推荐的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候选人顺序，确定排名下一位的候选人为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，也可以重新开展</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活动</w:t>
      </w:r>
      <w:r>
        <w:rPr>
          <w:rFonts w:hint="eastAsia" w:ascii="Times New Roman" w:hAnsi="Times New Roman" w:eastAsia="宋体" w:cs="宋体"/>
          <w:color w:val="auto"/>
          <w:szCs w:val="28"/>
          <w:highlight w:val="none"/>
          <w:lang w:eastAsia="zh-CN"/>
        </w:rPr>
        <w:t>。</w:t>
      </w:r>
    </w:p>
    <w:p w14:paraId="134EC3C3">
      <w:pPr>
        <w:pStyle w:val="3"/>
        <w:bidi w:val="0"/>
        <w:rPr>
          <w:rFonts w:ascii="Times New Roman" w:hAnsi="Times New Roman" w:eastAsia="宋体"/>
          <w:color w:val="auto"/>
          <w:highlight w:val="none"/>
        </w:rPr>
      </w:pPr>
      <w:bookmarkStart w:id="225" w:name="_Toc15324"/>
      <w:bookmarkStart w:id="226" w:name="_Toc12557"/>
      <w:bookmarkStart w:id="227" w:name="_Toc20725"/>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w:t>
      </w:r>
      <w:r>
        <w:rPr>
          <w:rFonts w:hint="eastAsia" w:ascii="Times New Roman" w:hAnsi="Times New Roman"/>
          <w:color w:val="auto"/>
          <w:highlight w:val="none"/>
          <w:lang w:eastAsia="zh-CN"/>
        </w:rPr>
        <w:t>采购代理</w:t>
      </w:r>
      <w:r>
        <w:rPr>
          <w:rFonts w:hint="eastAsia" w:ascii="Times New Roman" w:hAnsi="Times New Roman" w:eastAsia="宋体"/>
          <w:color w:val="auto"/>
          <w:highlight w:val="none"/>
        </w:rPr>
        <w:t>服务费</w:t>
      </w:r>
      <w:bookmarkEnd w:id="225"/>
      <w:bookmarkEnd w:id="226"/>
      <w:bookmarkEnd w:id="227"/>
    </w:p>
    <w:p w14:paraId="116C4BE3">
      <w:pPr>
        <w:spacing w:line="480" w:lineRule="atLeast"/>
        <w:ind w:firstLine="560" w:firstLineChars="200"/>
        <w:rPr>
          <w:rFonts w:hint="eastAsia" w:ascii="Times New Roman" w:hAnsi="Times New Roman" w:eastAsia="宋体" w:cs="宋体"/>
          <w:color w:val="auto"/>
          <w:szCs w:val="28"/>
          <w:highlight w:val="none"/>
          <w:lang w:eastAsia="zh-CN"/>
        </w:rPr>
      </w:pPr>
      <w:bookmarkStart w:id="228" w:name="OLE_LINK8"/>
      <w:bookmarkStart w:id="229" w:name="OLE_LINK7"/>
      <w:r>
        <w:rPr>
          <w:rFonts w:hint="eastAsia" w:cs="宋体"/>
          <w:color w:val="auto"/>
          <w:szCs w:val="28"/>
          <w:highlight w:val="none"/>
          <w:lang w:eastAsia="zh-CN"/>
        </w:rPr>
        <w:t>供应商成交</w:t>
      </w:r>
      <w:r>
        <w:rPr>
          <w:rFonts w:hint="eastAsia" w:ascii="Times New Roman" w:hAnsi="Times New Roman" w:eastAsia="宋体" w:cs="宋体"/>
          <w:color w:val="auto"/>
          <w:szCs w:val="28"/>
          <w:highlight w:val="none"/>
        </w:rPr>
        <w:t>后向</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机构缴纳代理服务费</w:t>
      </w:r>
      <w:bookmarkEnd w:id="228"/>
      <w:bookmarkEnd w:id="229"/>
      <w:bookmarkStart w:id="230" w:name="_Toc28733"/>
      <w:r>
        <w:rPr>
          <w:rFonts w:hint="eastAsia" w:cs="宋体"/>
          <w:color w:val="auto"/>
          <w:szCs w:val="28"/>
          <w:highlight w:val="none"/>
          <w:lang w:eastAsia="zh-CN"/>
        </w:rPr>
        <w:t>：</w:t>
      </w:r>
      <w:r>
        <w:rPr>
          <w:rFonts w:hint="eastAsia" w:cs="宋体"/>
          <w:color w:val="auto"/>
          <w:szCs w:val="28"/>
          <w:highlight w:val="none"/>
          <w:u w:val="single"/>
          <w:lang w:val="en-US" w:eastAsia="zh-CN"/>
        </w:rPr>
        <w:t>3000</w:t>
      </w:r>
      <w:r>
        <w:rPr>
          <w:rFonts w:hint="eastAsia" w:cs="宋体"/>
          <w:color w:val="auto"/>
          <w:szCs w:val="28"/>
          <w:highlight w:val="none"/>
          <w:lang w:val="en-US" w:eastAsia="zh-CN"/>
        </w:rPr>
        <w:t>元整，</w:t>
      </w:r>
      <w:r>
        <w:rPr>
          <w:rFonts w:hint="eastAsia" w:cs="宋体"/>
          <w:color w:val="auto"/>
          <w:szCs w:val="28"/>
          <w:highlight w:val="none"/>
          <w:lang w:eastAsia="zh-CN"/>
        </w:rPr>
        <w:t>缴费账户同报名费缴纳账户。</w:t>
      </w:r>
    </w:p>
    <w:p w14:paraId="053AECD1">
      <w:pPr>
        <w:pStyle w:val="3"/>
        <w:bidi w:val="0"/>
        <w:rPr>
          <w:rFonts w:ascii="Times New Roman" w:hAnsi="Times New Roman" w:eastAsia="宋体"/>
          <w:color w:val="auto"/>
          <w:highlight w:val="none"/>
        </w:rPr>
      </w:pPr>
      <w:bookmarkStart w:id="231" w:name="_Toc5049"/>
      <w:bookmarkStart w:id="232" w:name="_Toc12565"/>
      <w:r>
        <w:rPr>
          <w:rFonts w:hint="eastAsia" w:ascii="Times New Roman" w:hAnsi="Times New Roman"/>
          <w:color w:val="auto"/>
          <w:highlight w:val="none"/>
          <w:lang w:val="en-US" w:eastAsia="zh-CN"/>
        </w:rPr>
        <w:t>八</w:t>
      </w:r>
      <w:r>
        <w:rPr>
          <w:rFonts w:hint="eastAsia" w:ascii="Times New Roman" w:hAnsi="Times New Roman" w:eastAsia="宋体"/>
          <w:color w:val="auto"/>
          <w:highlight w:val="none"/>
        </w:rPr>
        <w:t>、签订合同</w:t>
      </w:r>
      <w:bookmarkEnd w:id="230"/>
      <w:bookmarkEnd w:id="231"/>
      <w:bookmarkEnd w:id="232"/>
    </w:p>
    <w:p w14:paraId="08A0D643">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原则上应在成交确认书发出之日起二十日内和</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签订合同，无正当理由不得拒绝或拖延合同签订。所签订的合同不得对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和</w:t>
      </w:r>
      <w:r>
        <w:rPr>
          <w:rFonts w:hint="eastAsia" w:cs="宋体"/>
          <w:color w:val="auto"/>
          <w:szCs w:val="28"/>
          <w:highlight w:val="none"/>
          <w:lang w:eastAsia="zh-CN"/>
        </w:rPr>
        <w:t>成交供应商响应文件</w:t>
      </w:r>
      <w:r>
        <w:rPr>
          <w:rFonts w:hint="eastAsia" w:ascii="Times New Roman" w:hAnsi="Times New Roman" w:eastAsia="宋体" w:cs="宋体"/>
          <w:color w:val="auto"/>
          <w:szCs w:val="28"/>
          <w:highlight w:val="none"/>
        </w:rPr>
        <w:t>作实质性修改。</w:t>
      </w:r>
      <w:r>
        <w:rPr>
          <w:rFonts w:hint="eastAsia" w:ascii="Times New Roman" w:hAnsi="Times New Roman" w:eastAsia="宋体" w:cs="宋体"/>
          <w:color w:val="auto"/>
          <w:kern w:val="0"/>
          <w:szCs w:val="28"/>
          <w:highlight w:val="none"/>
        </w:rPr>
        <w:t>其他未尽事宜由</w:t>
      </w:r>
      <w:r>
        <w:rPr>
          <w:rFonts w:hint="eastAsia" w:cs="宋体"/>
          <w:color w:val="auto"/>
          <w:kern w:val="0"/>
          <w:szCs w:val="28"/>
          <w:highlight w:val="none"/>
          <w:lang w:eastAsia="zh-CN"/>
        </w:rPr>
        <w:t>采购人</w:t>
      </w:r>
      <w:r>
        <w:rPr>
          <w:rFonts w:hint="eastAsia" w:ascii="Times New Roman" w:hAnsi="Times New Roman" w:eastAsia="宋体" w:cs="宋体"/>
          <w:color w:val="auto"/>
          <w:kern w:val="0"/>
          <w:szCs w:val="28"/>
          <w:highlight w:val="none"/>
        </w:rPr>
        <w:t>和</w:t>
      </w:r>
      <w:r>
        <w:rPr>
          <w:rFonts w:hint="eastAsia" w:cs="宋体"/>
          <w:color w:val="auto"/>
          <w:kern w:val="0"/>
          <w:szCs w:val="28"/>
          <w:highlight w:val="none"/>
          <w:lang w:eastAsia="zh-CN"/>
        </w:rPr>
        <w:t>成交供应商</w:t>
      </w:r>
      <w:r>
        <w:rPr>
          <w:rFonts w:hint="eastAsia" w:ascii="Times New Roman" w:hAnsi="Times New Roman" w:eastAsia="宋体" w:cs="宋体"/>
          <w:color w:val="auto"/>
          <w:kern w:val="0"/>
          <w:szCs w:val="28"/>
          <w:highlight w:val="none"/>
        </w:rPr>
        <w:t>在合同中详细约定。</w:t>
      </w:r>
    </w:p>
    <w:p w14:paraId="174B7004">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及澄清文件等，均为签订合同的依据。</w:t>
      </w:r>
    </w:p>
    <w:p w14:paraId="444A888C">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（三）合同生效条款由供需双方约定，法律、行政法规规定应当办理批准、登记等手续后生效的合同，依照其规定。</w:t>
      </w:r>
    </w:p>
    <w:p w14:paraId="6FEF87C2">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val="en-US" w:eastAsia="zh-CN"/>
        </w:rPr>
        <w:t>本竞采文件中的合同版式仅供参考，在双方签订合同时可自行选用其他版本</w:t>
      </w:r>
      <w:r>
        <w:rPr>
          <w:rFonts w:hint="eastAsia" w:ascii="Times New Roman" w:hAnsi="Times New Roman" w:eastAsia="宋体" w:cs="宋体"/>
          <w:color w:val="auto"/>
          <w:szCs w:val="28"/>
          <w:highlight w:val="none"/>
        </w:rPr>
        <w:t>。</w:t>
      </w:r>
    </w:p>
    <w:p w14:paraId="050D10E8">
      <w:pPr>
        <w:pStyle w:val="3"/>
        <w:bidi w:val="0"/>
        <w:rPr>
          <w:rFonts w:ascii="Times New Roman" w:hAnsi="Times New Roman" w:eastAsia="宋体"/>
          <w:color w:val="auto"/>
          <w:highlight w:val="none"/>
        </w:rPr>
      </w:pPr>
      <w:bookmarkStart w:id="233" w:name="_Toc23671"/>
      <w:bookmarkStart w:id="234" w:name="_Toc23965"/>
      <w:bookmarkStart w:id="235" w:name="_Toc11558"/>
      <w:bookmarkStart w:id="236" w:name="_Toc11349"/>
      <w:bookmarkStart w:id="237" w:name="_Toc13027"/>
      <w:bookmarkStart w:id="238" w:name="_Toc13934"/>
      <w:bookmarkStart w:id="239" w:name="_Toc23473"/>
      <w:bookmarkStart w:id="240" w:name="_Toc25795"/>
      <w:bookmarkStart w:id="241" w:name="_Toc1406"/>
      <w:bookmarkStart w:id="242" w:name="_Toc26438"/>
      <w:bookmarkStart w:id="243" w:name="_Toc12465"/>
      <w:bookmarkStart w:id="244" w:name="_Toc4923"/>
      <w:bookmarkStart w:id="245" w:name="_Toc21197"/>
      <w:bookmarkStart w:id="246" w:name="_Toc4207"/>
      <w:bookmarkStart w:id="247" w:name="_Toc9393"/>
      <w:bookmarkStart w:id="248" w:name="_Toc106030411"/>
      <w:bookmarkStart w:id="249" w:name="_Toc29139"/>
      <w:r>
        <w:rPr>
          <w:rFonts w:hint="eastAsia" w:ascii="Times New Roman" w:hAnsi="Times New Roman"/>
          <w:color w:val="auto"/>
          <w:highlight w:val="none"/>
          <w:lang w:val="en-US" w:eastAsia="zh-CN"/>
        </w:rPr>
        <w:t>九</w:t>
      </w:r>
      <w:r>
        <w:rPr>
          <w:rFonts w:hint="eastAsia" w:ascii="Times New Roman" w:hAnsi="Times New Roman" w:eastAsia="宋体"/>
          <w:color w:val="auto"/>
          <w:highlight w:val="none"/>
        </w:rPr>
        <w:t>、</w:t>
      </w:r>
      <w:bookmarkEnd w:id="233"/>
      <w:bookmarkEnd w:id="234"/>
      <w:bookmarkEnd w:id="235"/>
      <w:bookmarkEnd w:id="236"/>
      <w:r>
        <w:rPr>
          <w:rFonts w:hint="eastAsia" w:ascii="Times New Roman" w:hAnsi="Times New Roman" w:eastAsia="宋体"/>
          <w:color w:val="auto"/>
          <w:highlight w:val="none"/>
        </w:rPr>
        <w:t>项目验收</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00A1536">
      <w:pPr>
        <w:spacing w:line="480" w:lineRule="atLeast"/>
        <w:ind w:firstLine="560" w:firstLineChars="200"/>
        <w:rPr>
          <w:rFonts w:ascii="Times New Roman" w:hAnsi="Times New Roman" w:eastAsia="宋体" w:cs="宋体"/>
          <w:b/>
          <w:color w:val="auto"/>
          <w:szCs w:val="28"/>
          <w:highlight w:val="none"/>
        </w:rPr>
      </w:pPr>
      <w:r>
        <w:rPr>
          <w:rFonts w:hint="eastAsia" w:ascii="Times New Roman" w:hAnsi="Times New Roman" w:eastAsia="宋体" w:cs="宋体"/>
          <w:color w:val="auto"/>
          <w:szCs w:val="28"/>
          <w:highlight w:val="none"/>
        </w:rPr>
        <w:t>合同执行完毕，</w:t>
      </w:r>
      <w:r>
        <w:rPr>
          <w:rFonts w:hint="eastAsia" w:cs="宋体"/>
          <w:color w:val="auto"/>
          <w:szCs w:val="28"/>
          <w:highlight w:val="none"/>
          <w:lang w:eastAsia="zh-CN"/>
        </w:rPr>
        <w:t>由采购人</w:t>
      </w:r>
      <w:r>
        <w:rPr>
          <w:rFonts w:hint="eastAsia" w:ascii="Times New Roman" w:hAnsi="Times New Roman" w:eastAsia="宋体" w:cs="宋体"/>
          <w:color w:val="auto"/>
          <w:szCs w:val="28"/>
          <w:highlight w:val="none"/>
        </w:rPr>
        <w:t>组织履约情况验收，不得无故拖延或附加额外条件。</w:t>
      </w:r>
      <w:bookmarkStart w:id="250" w:name="_Toc75793535"/>
      <w:bookmarkStart w:id="251" w:name="_Toc15435"/>
      <w:bookmarkStart w:id="252" w:name="_Toc19188"/>
      <w:bookmarkStart w:id="253" w:name="_Toc20328"/>
      <w:bookmarkStart w:id="254" w:name="_Toc13368"/>
      <w:bookmarkStart w:id="255" w:name="_Toc13002"/>
      <w:bookmarkStart w:id="256" w:name="_Toc13050"/>
      <w:bookmarkStart w:id="257" w:name="_Toc31578"/>
      <w:bookmarkStart w:id="258" w:name="_Toc31383"/>
      <w:bookmarkStart w:id="259" w:name="_Toc3421"/>
      <w:bookmarkStart w:id="260" w:name="_Toc2195"/>
      <w:bookmarkStart w:id="261" w:name="_Toc21850"/>
    </w:p>
    <w:bookmarkEnd w:id="250"/>
    <w:bookmarkEnd w:id="251"/>
    <w:bookmarkEnd w:id="252"/>
    <w:bookmarkEnd w:id="253"/>
    <w:bookmarkEnd w:id="254"/>
    <w:bookmarkEnd w:id="255"/>
    <w:bookmarkEnd w:id="256"/>
    <w:bookmarkEnd w:id="257"/>
    <w:bookmarkEnd w:id="258"/>
    <w:bookmarkEnd w:id="259"/>
    <w:bookmarkEnd w:id="260"/>
    <w:bookmarkEnd w:id="261"/>
    <w:p w14:paraId="766B5958">
      <w:pPr>
        <w:spacing w:line="480" w:lineRule="atLeast"/>
        <w:rPr>
          <w:rStyle w:val="37"/>
          <w:rFonts w:ascii="Times New Roman" w:hAnsi="Times New Roman" w:eastAsia="宋体" w:cs="宋体"/>
          <w:color w:val="auto"/>
          <w:highlight w:val="none"/>
        </w:rPr>
      </w:pPr>
    </w:p>
    <w:p w14:paraId="661B50A6">
      <w:pPr>
        <w:pStyle w:val="4"/>
        <w:rPr>
          <w:rStyle w:val="37"/>
          <w:rFonts w:ascii="Times New Roman" w:hAnsi="Times New Roman" w:eastAsia="宋体" w:cs="宋体"/>
          <w:color w:val="auto"/>
          <w:highlight w:val="none"/>
        </w:rPr>
      </w:pPr>
    </w:p>
    <w:p w14:paraId="56AE2691">
      <w:pPr>
        <w:rPr>
          <w:rStyle w:val="37"/>
          <w:rFonts w:ascii="Times New Roman" w:hAnsi="Times New Roman" w:eastAsia="宋体" w:cs="宋体"/>
          <w:color w:val="auto"/>
          <w:highlight w:val="none"/>
        </w:rPr>
      </w:pPr>
    </w:p>
    <w:p w14:paraId="5B1F33BD">
      <w:pPr>
        <w:pStyle w:val="4"/>
        <w:rPr>
          <w:color w:val="auto"/>
          <w:highlight w:val="none"/>
        </w:rPr>
      </w:pPr>
    </w:p>
    <w:p w14:paraId="16304598">
      <w:pPr>
        <w:rPr>
          <w:rStyle w:val="37"/>
          <w:rFonts w:ascii="Times New Roman" w:hAnsi="Times New Roman" w:eastAsia="宋体" w:cs="宋体"/>
          <w:color w:val="auto"/>
          <w:highlight w:val="none"/>
        </w:rPr>
      </w:pPr>
      <w:r>
        <w:rPr>
          <w:rStyle w:val="37"/>
          <w:rFonts w:hint="eastAsia" w:ascii="Times New Roman" w:hAnsi="Times New Roman" w:eastAsia="宋体" w:cs="宋体"/>
          <w:color w:val="auto"/>
          <w:highlight w:val="none"/>
        </w:rPr>
        <w:br w:type="page"/>
      </w:r>
    </w:p>
    <w:bookmarkEnd w:id="206"/>
    <w:p w14:paraId="2AB1115E">
      <w:pPr>
        <w:pStyle w:val="2"/>
        <w:numPr>
          <w:ilvl w:val="0"/>
          <w:numId w:val="3"/>
        </w:numPr>
        <w:bidi w:val="0"/>
        <w:rPr>
          <w:rFonts w:hint="eastAsia"/>
          <w:color w:val="auto"/>
          <w:highlight w:val="none"/>
          <w:lang w:val="en-US" w:eastAsia="zh-CN"/>
        </w:rPr>
      </w:pPr>
      <w:bookmarkStart w:id="262" w:name="_Toc27199"/>
      <w:bookmarkStart w:id="263" w:name="_Toc24661"/>
      <w:r>
        <w:rPr>
          <w:rFonts w:hint="eastAsia"/>
          <w:color w:val="auto"/>
          <w:highlight w:val="none"/>
          <w:lang w:val="en-US" w:eastAsia="zh-CN"/>
        </w:rPr>
        <w:t xml:space="preserve"> </w:t>
      </w:r>
      <w:bookmarkStart w:id="264" w:name="_Toc19280"/>
      <w:r>
        <w:rPr>
          <w:rFonts w:hint="eastAsia"/>
          <w:color w:val="auto"/>
          <w:highlight w:val="none"/>
          <w:lang w:val="en-US" w:eastAsia="zh-CN"/>
        </w:rPr>
        <w:t>合同条款</w:t>
      </w:r>
      <w:bookmarkEnd w:id="264"/>
    </w:p>
    <w:p w14:paraId="43DD2A5A">
      <w:pPr>
        <w:pStyle w:val="2"/>
        <w:numPr>
          <w:ilvl w:val="0"/>
          <w:numId w:val="0"/>
        </w:numPr>
        <w:bidi w:val="0"/>
        <w:jc w:val="center"/>
        <w:rPr>
          <w:rFonts w:hint="eastAsia"/>
          <w:i/>
          <w:iCs/>
          <w:color w:val="auto"/>
          <w:sz w:val="24"/>
          <w:szCs w:val="16"/>
          <w:highlight w:val="none"/>
          <w:u w:val="none"/>
          <w:lang w:val="en-US" w:eastAsia="zh-CN"/>
        </w:rPr>
      </w:pPr>
      <w:bookmarkStart w:id="265" w:name="_Toc18769"/>
    </w:p>
    <w:p w14:paraId="73EC04D5">
      <w:pPr>
        <w:pStyle w:val="2"/>
        <w:numPr>
          <w:ilvl w:val="0"/>
          <w:numId w:val="0"/>
        </w:numPr>
        <w:bidi w:val="0"/>
        <w:jc w:val="center"/>
        <w:rPr>
          <w:rFonts w:hint="default" w:ascii="Times New Roman" w:hAnsi="Times New Roman" w:eastAsia="宋体"/>
          <w:i/>
          <w:iCs/>
          <w:color w:val="auto"/>
          <w:sz w:val="24"/>
          <w:szCs w:val="16"/>
          <w:highlight w:val="none"/>
          <w:u w:val="none"/>
          <w:lang w:val="en-US" w:eastAsia="zh-CN"/>
        </w:rPr>
      </w:pPr>
      <w:r>
        <w:rPr>
          <w:rFonts w:hint="eastAsia"/>
          <w:i/>
          <w:iCs/>
          <w:color w:val="auto"/>
          <w:sz w:val="24"/>
          <w:szCs w:val="16"/>
          <w:highlight w:val="none"/>
          <w:u w:val="none"/>
          <w:lang w:val="en-US" w:eastAsia="zh-CN"/>
        </w:rPr>
        <w:t>（注：本格式仅供参考格式，供需双方也可根据实际情况自行采用其他合同范式。）</w:t>
      </w:r>
      <w:bookmarkEnd w:id="265"/>
    </w:p>
    <w:p w14:paraId="2DF040B2">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bookmarkStart w:id="266" w:name="_Toc15971"/>
    </w:p>
    <w:p w14:paraId="3CC901DF">
      <w:pPr>
        <w:keepNext w:val="0"/>
        <w:keepLines w:val="0"/>
        <w:pageBreakBefore w:val="0"/>
        <w:widowControl w:val="0"/>
        <w:kinsoku/>
        <w:wordWrap/>
        <w:overflowPunct/>
        <w:topLinePunct w:val="0"/>
        <w:autoSpaceDE/>
        <w:autoSpaceDN/>
        <w:bidi w:val="0"/>
        <w:snapToGrid w:val="0"/>
        <w:spacing w:line="360" w:lineRule="auto"/>
        <w:ind w:right="0" w:rightChars="0"/>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法律事务委托合同</w:t>
      </w:r>
    </w:p>
    <w:p w14:paraId="3B192874">
      <w:pPr>
        <w:keepNext w:val="0"/>
        <w:keepLines w:val="0"/>
        <w:pageBreakBefore w:val="0"/>
        <w:widowControl w:val="0"/>
        <w:kinsoku/>
        <w:wordWrap/>
        <w:overflowPunct/>
        <w:topLinePunct w:val="0"/>
        <w:autoSpaceDE/>
        <w:autoSpaceDN/>
        <w:bidi w:val="0"/>
        <w:spacing w:line="360" w:lineRule="auto"/>
        <w:ind w:right="0" w:rightChars="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委 托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（以下简称甲方）</w:t>
      </w:r>
    </w:p>
    <w:p w14:paraId="6F51D49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法定代表人（或负责人）：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0FEC893F">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住所（或住址）：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7C672457">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统一社会信用代码（或居民身份号码）：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p>
    <w:p w14:paraId="39C5DFD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传真：</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1123BA3">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p>
    <w:p w14:paraId="3A1E1B39">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受 托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（以下简称乙方）</w:t>
      </w:r>
    </w:p>
    <w:p w14:paraId="7C55E47E">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负 责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2B531B3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法定地址：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5E77F0E6">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传真：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019E9E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根据《中华人民共和国民法典》《中华人民共和国律师法》的有关规定，甲方特聘请乙方指派的律师担任</w:t>
      </w:r>
      <w:r>
        <w:rPr>
          <w:rFonts w:hint="eastAsia" w:ascii="宋体" w:hAnsi="宋体" w:cs="宋体"/>
          <w:b/>
          <w:color w:val="auto"/>
          <w:sz w:val="24"/>
          <w:szCs w:val="24"/>
          <w:highlight w:val="none"/>
          <w:u w:val="single"/>
          <w:lang w:eastAsia="zh-CN"/>
        </w:rPr>
        <w:t>常年法律顾问</w:t>
      </w:r>
      <w:r>
        <w:rPr>
          <w:rFonts w:hint="eastAsia" w:ascii="宋体" w:hAnsi="宋体" w:eastAsia="宋体" w:cs="宋体"/>
          <w:color w:val="auto"/>
          <w:sz w:val="24"/>
          <w:szCs w:val="24"/>
          <w:highlight w:val="none"/>
        </w:rPr>
        <w:t>。现甲、乙双方经友好、平等协商，订立本合同，以资共同遵守：</w:t>
      </w:r>
    </w:p>
    <w:p w14:paraId="612347F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  委托事项</w:t>
      </w:r>
    </w:p>
    <w:p w14:paraId="62C98C8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乙方接受甲方委托，指派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等律师担任甲方</w:t>
      </w:r>
      <w:r>
        <w:rPr>
          <w:rFonts w:hint="eastAsia" w:ascii="宋体" w:hAnsi="宋体" w:cs="宋体"/>
          <w:b/>
          <w:color w:val="auto"/>
          <w:sz w:val="24"/>
          <w:szCs w:val="24"/>
          <w:highlight w:val="none"/>
          <w:u w:val="single"/>
          <w:lang w:eastAsia="zh-CN"/>
        </w:rPr>
        <w:t>常年法律顾问</w:t>
      </w:r>
      <w:r>
        <w:rPr>
          <w:rFonts w:hint="eastAsia" w:ascii="宋体" w:hAnsi="宋体" w:eastAsia="宋体" w:cs="宋体"/>
          <w:color w:val="auto"/>
          <w:sz w:val="24"/>
          <w:szCs w:val="24"/>
          <w:highlight w:val="none"/>
        </w:rPr>
        <w:t>。法律顾问将根据事实与法律，为甲方提供法律服务，维护甲方的合法权益。</w:t>
      </w:r>
    </w:p>
    <w:p w14:paraId="6BFAC5D1">
      <w:pPr>
        <w:keepNext w:val="0"/>
        <w:keepLines w:val="0"/>
        <w:pageBreakBefore w:val="0"/>
        <w:widowControl w:val="0"/>
        <w:tabs>
          <w:tab w:val="left" w:pos="1575"/>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第二条  委托期限</w:t>
      </w:r>
    </w:p>
    <w:p w14:paraId="00E4CBAD">
      <w:pPr>
        <w:keepNext w:val="0"/>
        <w:keepLines w:val="0"/>
        <w:pageBreakBefore w:val="0"/>
        <w:widowControl w:val="0"/>
        <w:tabs>
          <w:tab w:val="left" w:pos="1575"/>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本合同约定之顾问期限为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14:paraId="79B3EA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  乙方服务范围</w:t>
      </w:r>
    </w:p>
    <w:p w14:paraId="5060A86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乙方律师的服务内容为协助甲方处理日常法律事务，法律服务事项包括：</w:t>
      </w:r>
    </w:p>
    <w:p w14:paraId="7B0598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（一）一般性法律服务事项：</w:t>
      </w:r>
    </w:p>
    <w:p w14:paraId="1353E6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法律咨询：</w:t>
      </w:r>
    </w:p>
    <w:p w14:paraId="662675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（1）对甲方执法工作相关事项提供法律咨询；</w:t>
      </w:r>
    </w:p>
    <w:p w14:paraId="0EF8A0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（2）就重庆市下辖区县的农业执法机构提交的重大疑难问题提供法律咨询；</w:t>
      </w:r>
    </w:p>
    <w:p w14:paraId="0605F3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（3）为涉及甲方的行政复议、诉讼等事务提供法律咨询；</w:t>
      </w:r>
    </w:p>
    <w:p w14:paraId="6C813D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（4）为重大决策、重大行政行为的合法性、可行性、风险预测提供法律意见，对规范执法制度、改进执法方式提出法律意见。</w:t>
      </w:r>
    </w:p>
    <w:p w14:paraId="1E1308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（5）其他需要进行法律咨询的问题。</w:t>
      </w:r>
    </w:p>
    <w:p w14:paraId="1816EE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协助甲方论证相关政策文件、规范性文件。</w:t>
      </w:r>
    </w:p>
    <w:p w14:paraId="1CD7D36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参与涉及甲方的政府信息公开答复。</w:t>
      </w:r>
    </w:p>
    <w:p w14:paraId="64FB16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参与执法案例、案卷的评选、评查。</w:t>
      </w:r>
    </w:p>
    <w:p w14:paraId="47CA42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对甲方拟定的内部管理制度、重大合同等进行法律审查；</w:t>
      </w:r>
    </w:p>
    <w:p w14:paraId="17EFD9F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发挥律所作为第三方的监督作用，协助执法人员履行职责，依法规范执法程序。</w:t>
      </w:r>
    </w:p>
    <w:p w14:paraId="369419E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开展普法教育，协助甲方做好农业法治宣传和普法活动，协助开展农业综合执法人员法律知识培训，每个服务周期内提供不少于一次的法律培训。</w:t>
      </w:r>
    </w:p>
    <w:p w14:paraId="246D601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其它一般性法律服务事项。</w:t>
      </w:r>
    </w:p>
    <w:p w14:paraId="7F162D7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（二）“驻队律师”法律服务事项：</w:t>
      </w:r>
    </w:p>
    <w:p w14:paraId="40FAB56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指派一名以上（含一名）的律师每周至少在甲方办公场所办公值班两个半天，提供法律咨询服务，协助执法； </w:t>
      </w:r>
    </w:p>
    <w:p w14:paraId="5F3E56F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参与甲方行政处罚案件的法制审核。</w:t>
      </w:r>
    </w:p>
    <w:p w14:paraId="128CA17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根据甲方的要求，与甲方的执法人员赴执法一线，就重大案件提供法律服务，参与对接受调查处理或者受行政处罚的行政相对人的说服沟通工作，向行政相对人出具律师告知函，催告行政相对人履行法律义务。</w:t>
      </w:r>
    </w:p>
    <w:p w14:paraId="15B7E28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甲方的权利和义务</w:t>
      </w:r>
    </w:p>
    <w:p w14:paraId="5111FD0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当真实、完整、客观和及时地向乙方律师提供委托事务有关的各种情况、文件、资料，并确保提供相关书面资料的复印件应与原件核对一致。甲方向乙方提供资料有延误、虚假、误导、隐瞒、重大遗漏及其他违规行为造成的损失由甲方承担。</w:t>
      </w:r>
    </w:p>
    <w:p w14:paraId="1A4E80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2．甲方需乙方律师提供本合同第三条所列服务范围的法律服务时，应当向乙方律师提出明确、合理、合法的要求，并应合理、必要的提前通知。</w:t>
      </w:r>
    </w:p>
    <w:p w14:paraId="578DBC9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3．甲方应当按照本合同约定，按时、足额向乙方支付律师服务费、差旅费及其他费用，如逾期支付，每逾期一日，甲方应按未付金额的万分之五向乙方承担违约金。</w:t>
      </w:r>
    </w:p>
    <w:p w14:paraId="2DBE7F3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4．甲方应当为乙方律师开展工作提供一切必要的便利。</w:t>
      </w:r>
    </w:p>
    <w:p w14:paraId="2DEBF0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5．甲方有权要求乙方更换在提供法律服务中工作不负责任或甲方认为专业知识不适合为甲方提供法律服务的律师，但甲方应向乙方说明要求更换律师的具体理由。</w:t>
      </w:r>
    </w:p>
    <w:p w14:paraId="267888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．甲方不得要求乙方律师从事任何违法犯罪活动。</w:t>
      </w:r>
    </w:p>
    <w:p w14:paraId="0F2C49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．如乙方无正当理由解除本合同，甲方有权要求乙方退还全部律师服务费。</w:t>
      </w:r>
    </w:p>
    <w:p w14:paraId="0097D37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8.其他：</w:t>
      </w:r>
      <w:r>
        <w:rPr>
          <w:rFonts w:hint="eastAsia" w:ascii="宋体" w:hAnsi="宋体" w:eastAsia="宋体" w:cs="宋体"/>
          <w:color w:val="auto"/>
          <w:sz w:val="24"/>
          <w:szCs w:val="24"/>
          <w:highlight w:val="none"/>
          <w:u w:val="single"/>
          <w:lang w:val="en-US" w:eastAsia="zh-CN"/>
        </w:rPr>
        <w:t xml:space="preserve">            </w:t>
      </w:r>
    </w:p>
    <w:p w14:paraId="17D33B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p>
    <w:p w14:paraId="0A56B0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第五条  乙方的权利和义务</w:t>
      </w:r>
    </w:p>
    <w:p w14:paraId="7DA030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1．乙方应当依法忠实地维护甲方的一切合法权益，甲方同意乙方有权根据服务情况，更换本合同第一条约定的指派律师，但应通知甲方。</w:t>
      </w:r>
    </w:p>
    <w:p w14:paraId="7BFEC4E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2．乙方律师应勤勉、尽责地完成约定的法律事务工作，甲方同意乙方律师可指派律师助理完成本合同约定法律事务的辅助性工作。</w:t>
      </w:r>
    </w:p>
    <w:p w14:paraId="12E4A4F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3．乙方律师应当遵守保密制度，不得泄露党和国家的秘密、工作秘密以及其他不应公开的信息，不得擅自对外透露所承担的工作内容。不得以任何方式泄露所接触和知悉与法律服务相关的资料、信息。</w:t>
      </w:r>
    </w:p>
    <w:p w14:paraId="77C0F31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4．除本合同约定或甲乙双方另行协商外，乙方律师不得私自向甲方收取费用。</w:t>
      </w:r>
    </w:p>
    <w:p w14:paraId="3B333C3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5．乙方有权根据本合同约定向甲方收取律师服务费、差旅费等费用。</w:t>
      </w:r>
    </w:p>
    <w:p w14:paraId="7DFCD5D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6．因甲方未按时足额支付律师服务费、差旅费或其它费用的，乙方及其指派律师有权暂缓履行法律顾问工作。</w:t>
      </w:r>
    </w:p>
    <w:p w14:paraId="380C76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7．甲方若无正当理由擅自解除本合同，乙方除不予退还已收取甲方支付的律师服务费和差旅费等费用外，有权继续追讨甲方尚未支付乙方的费用，包括未达到支付条件的律师服务费。</w:t>
      </w:r>
    </w:p>
    <w:p w14:paraId="1D7A921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8．如乙方指派律师因故不能履行相关职责的，乙方有权另行指派其他律师继续完成本合同约定的法律事务。</w:t>
      </w:r>
    </w:p>
    <w:p w14:paraId="4EB78F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9．甲方有下列情形之一的，乙方有权解除合同：</w:t>
      </w:r>
    </w:p>
    <w:p w14:paraId="5CD1CE2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（1）甲方委托事项违反法律、法规或者律师执业规范，经乙方律师告知后，仍要求乙方接受委托的；</w:t>
      </w:r>
    </w:p>
    <w:p w14:paraId="7644FD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（2）甲方有捏造事实、伪造证据或者隐瞒重要情节等情形的；</w:t>
      </w:r>
    </w:p>
    <w:p w14:paraId="7F1D5F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（3）甲方逾期超过3日未向乙方支付律师服务费或者工作费用的。</w:t>
      </w:r>
    </w:p>
    <w:p w14:paraId="014C37E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乙方因第（1）、（2）项原因解除合同的，甲方已支付的律师服务费乙方不予退还；乙方因第（3）项原因解除合同的，如乙方前期已实际开展本合同约定的法律服务，甲方应向乙方支付本合同50%的律师服务费。</w:t>
      </w:r>
    </w:p>
    <w:p w14:paraId="3AD1D2E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p>
    <w:p w14:paraId="2BD5D6B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第六条  律师服务费、差旅费和其他费用</w:t>
      </w:r>
    </w:p>
    <w:p w14:paraId="601852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1．律师服务费</w:t>
      </w:r>
    </w:p>
    <w:p w14:paraId="4D35C96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律师服务费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97BC4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支付方式：合同签订后5个工作日内支付合同金额的100%。在付款前，</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须先提供发票。</w:t>
      </w:r>
    </w:p>
    <w:p w14:paraId="2AF634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2．差旅费</w:t>
      </w:r>
    </w:p>
    <w:p w14:paraId="2BA4A3C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项方式收取差旅费：</w:t>
      </w:r>
    </w:p>
    <w:p w14:paraId="4595146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在重庆市主城区九区内（包括渝中区、江北区、沙坪坝区、南岸区、九龙坡区、大渡口区、渝北区、巴南区、北碚区）办理甲方委托的法律事务，乙方按律师服务费的10%向甲方一次性收取包干差旅费人民币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元。甲方应于本合同签订之日向乙方付清以上约定的差旅费。</w:t>
      </w:r>
    </w:p>
    <w:p w14:paraId="5DEAB7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（2）若在重庆市主城区九区外办理甲方委托的法律事务，乙方实行据实报销差旅费，乙方律师应向甲方提出差旅费预算并经甲方同意后，按甲方相关规定办理出差手续，乙方律师出差后甲方给予据实报销。</w:t>
      </w:r>
    </w:p>
    <w:p w14:paraId="6CC41A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（3）乙方不向甲方收取差旅费，差旅费已包含在律师服务费中。</w:t>
      </w:r>
    </w:p>
    <w:p w14:paraId="32DEB8E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3．乙方收款账户信息：</w:t>
      </w:r>
    </w:p>
    <w:p w14:paraId="51F1F0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p>
    <w:p w14:paraId="4D65DE6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4</w:t>
      </w:r>
      <w:r>
        <w:rPr>
          <w:rFonts w:hint="eastAsia" w:ascii="宋体" w:hAnsi="宋体" w:eastAsia="宋体" w:cs="宋体"/>
          <w:color w:val="auto"/>
          <w:sz w:val="24"/>
          <w:szCs w:val="24"/>
          <w:highlight w:val="none"/>
        </w:rPr>
        <w:t>．根据《重庆市律师服务收费管理暂行办法》的相关规定，乙方律师在办理甲方委托法律事务中发生的鉴定费、公证费、公告费、翻译费、查档费以及应由甲方支付的其他费用，由甲方另行支付；如乙方律师先行垫付的，甲方应在垫付之日起3个工作日内向乙方律师支付垫付费用。</w:t>
      </w:r>
    </w:p>
    <w:p w14:paraId="23C59C0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5</w:t>
      </w:r>
      <w:r>
        <w:rPr>
          <w:rFonts w:hint="eastAsia" w:ascii="宋体" w:hAnsi="宋体" w:eastAsia="宋体" w:cs="宋体"/>
          <w:color w:val="auto"/>
          <w:sz w:val="24"/>
          <w:szCs w:val="24"/>
          <w:highlight w:val="none"/>
        </w:rPr>
        <w:t>．除非乙方另有书面同意，如因甲方未按时足额付清前述费用导致乙方律师不能履行或未能及时履行甲方委托法律事务的责任将由甲方承担。</w:t>
      </w:r>
    </w:p>
    <w:p w14:paraId="7645E1B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．除本协议约定或甲乙双方另有约定，甲方不得向乙方律师直接支付任何费用或允许乙方律师报销任何费用，甲方也无需向乙方律师支付任何额外的报酬、补贴、津贴和馈赠。</w:t>
      </w:r>
    </w:p>
    <w:p w14:paraId="031CE49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第七条  特别约定</w:t>
      </w:r>
    </w:p>
    <w:p w14:paraId="29BF08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理解并同意，如甲方为企业的，乙方律师的工作只限于与甲方以独立法人名义发生的活动相关，乙方律师无义务为甲方职工、甲方参与的任何形式的合作或联合组织提供上述法律服务；如甲方为自然人的，乙方律师的工作只限于与甲方自身名义发生的活动相关，乙方律师无义务为甲方投资企业、合作伙伴或亲属提供上述法律服务。若相关单位和个人需要乙方指派律师提供上述法律服务，乙方可以按照律师收费办法优惠10—15%收取律师费用。</w:t>
      </w:r>
    </w:p>
    <w:p w14:paraId="16D449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2．本合同第三条约定的需另行委托的法律服务内容，甲方应另行与乙方协商订立委托代理合同，并向乙方另行支付律师服务费。</w:t>
      </w:r>
    </w:p>
    <w:p w14:paraId="6A7E50B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3．本合同以上条款不能概明之事项，可在本条款下另行特别约定</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73FA4F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第八条  通知、送达</w:t>
      </w:r>
    </w:p>
    <w:p w14:paraId="3E9322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甲方确认下列通讯地址及联系人是乙方办理本合同委托法律事务向甲方履行通知义务的唯一通讯地址：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重庆市江北区百业兴大厦</w:t>
      </w:r>
      <w:r>
        <w:rPr>
          <w:rFonts w:hint="default" w:ascii="宋体" w:hAnsi="宋体" w:eastAsia="宋体" w:cs="宋体"/>
          <w:color w:val="auto"/>
          <w:sz w:val="24"/>
          <w:szCs w:val="24"/>
          <w:highlight w:val="none"/>
          <w:u w:val="single"/>
          <w:lang w:eastAsia="zh-Hans"/>
        </w:rPr>
        <w:t>20</w:t>
      </w:r>
      <w:r>
        <w:rPr>
          <w:rFonts w:hint="eastAsia" w:ascii="宋体" w:hAnsi="宋体" w:eastAsia="宋体" w:cs="宋体"/>
          <w:color w:val="auto"/>
          <w:sz w:val="24"/>
          <w:szCs w:val="24"/>
          <w:highlight w:val="none"/>
          <w:u w:val="single"/>
          <w:lang w:val="en-US" w:eastAsia="zh-Hans"/>
        </w:rPr>
        <w:t>层</w:t>
      </w:r>
      <w:r>
        <w:rPr>
          <w:rFonts w:hint="default" w:ascii="宋体" w:hAnsi="宋体" w:eastAsia="宋体" w:cs="宋体"/>
          <w:color w:val="auto"/>
          <w:sz w:val="24"/>
          <w:szCs w:val="24"/>
          <w:highlight w:val="none"/>
          <w:u w:val="single"/>
          <w:lang w:eastAsia="zh-Hans"/>
        </w:rPr>
        <w:t xml:space="preserve">  </w:t>
      </w:r>
      <w:r>
        <w:rPr>
          <w:rFonts w:hint="eastAsia" w:ascii="宋体" w:hAnsi="宋体" w:eastAsia="宋体" w:cs="宋体"/>
          <w:color w:val="auto"/>
          <w:sz w:val="24"/>
          <w:szCs w:val="24"/>
          <w:highlight w:val="none"/>
          <w:u w:val="single"/>
        </w:rPr>
        <w:t>重庆市农业综合行政执法总队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A2497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乙方按上述通讯地址向指定的联系人履行了通知义务，视为乙方已向甲方履行了通知义务。</w:t>
      </w:r>
      <w:r>
        <w:rPr>
          <w:rFonts w:hint="eastAsia" w:ascii="宋体" w:hAnsi="宋体" w:eastAsia="宋体" w:cs="宋体"/>
          <w:b/>
          <w:color w:val="auto"/>
          <w:sz w:val="24"/>
          <w:szCs w:val="24"/>
          <w:highlight w:val="none"/>
        </w:rPr>
        <w:t>甲方通讯地址或联系人因故变更的，应在变更后七日内书面通知乙方，否则，由此导致乙方未能及时通知或送达甲方的责任全部由甲方自行承担。</w:t>
      </w:r>
    </w:p>
    <w:p w14:paraId="34C74A4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第九条  争议解决方式</w:t>
      </w:r>
    </w:p>
    <w:p w14:paraId="36AD4AB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本合同在履行过程中若发生纠纷，甲乙双方应友好协商解决。协商不成的，可以提请乙方所在地的司法行政部门或律师协会调解处理，也可以直接向乙方所在地有管辖权的人民法院提起诉讼解决。</w:t>
      </w:r>
    </w:p>
    <w:p w14:paraId="483874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第十条  特别提示</w:t>
      </w:r>
    </w:p>
    <w:p w14:paraId="2C1D9A3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所有条款均经过甲乙双方充分协商，不存在由甲乙任何一方提供的法律意义上的格式条款。乙方已提请甲方特别注意有关双方权利义务的全部条款，同时，乙方已经应甲方的要求对合同条款做相应的说明，甲方对合同条款有全面、准确的理解。签约双方对本合同所有条款的理解完全一致。</w:t>
      </w:r>
    </w:p>
    <w:p w14:paraId="51B6E1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第十一条  附则</w:t>
      </w:r>
    </w:p>
    <w:p w14:paraId="12BFE61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1．本合同未尽事宜，可由双方共同协商并签订补充协议，补充协议与本合同具有同等法律效力。</w:t>
      </w:r>
    </w:p>
    <w:p w14:paraId="7DE21F0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2．本合同壹式肆份，甲乙双方各持贰份，自双方签字或盖章之日起生效。</w:t>
      </w:r>
    </w:p>
    <w:p w14:paraId="46D3DEF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（本页无正文，为</w:t>
      </w:r>
      <w:r>
        <w:rPr>
          <w:rFonts w:hint="eastAsia" w:ascii="宋体" w:hAnsi="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签署页）</w:t>
      </w:r>
    </w:p>
    <w:p w14:paraId="2CD37C8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p>
    <w:p w14:paraId="39620AF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  方：</w:t>
      </w:r>
      <w:r>
        <w:rPr>
          <w:rFonts w:hint="eastAsia" w:ascii="宋体" w:hAnsi="宋体" w:eastAsia="宋体" w:cs="宋体"/>
          <w:color w:val="auto"/>
          <w:sz w:val="24"/>
          <w:szCs w:val="24"/>
          <w:highlight w:val="none"/>
          <w:lang w:val="en-US" w:eastAsia="zh-CN"/>
        </w:rPr>
        <w:t xml:space="preserve">     </w:t>
      </w:r>
    </w:p>
    <w:p w14:paraId="7620AD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99ECC4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0" w:firstLineChars="4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C79A8B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签约代表：                       签约代表：</w:t>
      </w:r>
    </w:p>
    <w:p w14:paraId="602DE2C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p>
    <w:p w14:paraId="095B478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签约时间：    年   月   日</w:t>
      </w:r>
    </w:p>
    <w:p w14:paraId="38202B06">
      <w:pPr>
        <w:pStyle w:val="24"/>
        <w:rPr>
          <w:rFonts w:hint="eastAsia"/>
          <w:color w:val="auto"/>
          <w:highlight w:val="none"/>
          <w:lang w:val="en-US" w:eastAsia="zh-CN"/>
        </w:rPr>
      </w:pPr>
    </w:p>
    <w:p w14:paraId="344C28B6">
      <w:pPr>
        <w:pStyle w:val="2"/>
        <w:bidi w:val="0"/>
        <w:rPr>
          <w:rFonts w:hint="eastAsia"/>
          <w:color w:val="auto"/>
          <w:highlight w:val="none"/>
          <w:lang w:val="en-US" w:eastAsia="zh-CN"/>
        </w:rPr>
        <w:sectPr>
          <w:pgSz w:w="11905" w:h="16838"/>
          <w:pgMar w:top="1134" w:right="1134" w:bottom="1134" w:left="1134" w:header="850" w:footer="992" w:gutter="0"/>
          <w:pgNumType w:fmt="decimal"/>
          <w:cols w:space="0" w:num="1"/>
          <w:titlePg/>
          <w:rtlGutter w:val="0"/>
          <w:docGrid w:type="lines" w:linePitch="385" w:charSpace="0"/>
        </w:sectPr>
      </w:pPr>
    </w:p>
    <w:p w14:paraId="67CAD0BD">
      <w:pPr>
        <w:pStyle w:val="2"/>
        <w:bidi w:val="0"/>
        <w:rPr>
          <w:rFonts w:ascii="Times New Roman" w:hAnsi="Times New Roman" w:eastAsia="宋体"/>
          <w:color w:val="auto"/>
          <w:highlight w:val="none"/>
        </w:rPr>
      </w:pPr>
      <w:r>
        <w:rPr>
          <w:rFonts w:hint="eastAsia"/>
          <w:color w:val="auto"/>
          <w:highlight w:val="none"/>
          <w:lang w:val="en-US" w:eastAsia="zh-CN"/>
        </w:rPr>
        <w:t xml:space="preserve">第七篇 </w:t>
      </w:r>
      <w:r>
        <w:rPr>
          <w:rFonts w:hint="eastAsia"/>
          <w:color w:val="auto"/>
          <w:highlight w:val="none"/>
          <w:lang w:eastAsia="zh-CN"/>
        </w:rPr>
        <w:t>响应文件</w:t>
      </w:r>
      <w:r>
        <w:rPr>
          <w:rFonts w:hint="eastAsia" w:ascii="Times New Roman" w:hAnsi="Times New Roman" w:eastAsia="宋体"/>
          <w:color w:val="auto"/>
          <w:highlight w:val="none"/>
        </w:rPr>
        <w:t>格式</w:t>
      </w:r>
      <w:bookmarkEnd w:id="262"/>
      <w:bookmarkEnd w:id="263"/>
      <w:bookmarkEnd w:id="266"/>
    </w:p>
    <w:p w14:paraId="22D503C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rPr>
      </w:pPr>
      <w:bookmarkStart w:id="267" w:name="_Toc9790"/>
      <w:bookmarkStart w:id="268" w:name="_Toc10248"/>
      <w:bookmarkStart w:id="269" w:name="_Toc30939"/>
      <w:bookmarkStart w:id="270" w:name="_Toc15251"/>
      <w:bookmarkStart w:id="271" w:name="_Toc22811"/>
    </w:p>
    <w:p w14:paraId="3FBB4A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w:t>
      </w:r>
      <w:bookmarkEnd w:id="267"/>
      <w:bookmarkEnd w:id="268"/>
      <w:bookmarkEnd w:id="269"/>
      <w:bookmarkEnd w:id="270"/>
      <w:bookmarkEnd w:id="271"/>
      <w:r>
        <w:rPr>
          <w:rFonts w:hint="eastAsia"/>
          <w:b/>
          <w:bCs/>
          <w:color w:val="auto"/>
          <w:highlight w:val="none"/>
          <w:lang w:eastAsia="zh-CN"/>
        </w:rPr>
        <w:t>经济部分</w:t>
      </w:r>
    </w:p>
    <w:p w14:paraId="2AC0188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72" w:name="_Toc254"/>
      <w:bookmarkStart w:id="273" w:name="_Toc26419"/>
      <w:bookmarkStart w:id="274" w:name="_Toc18890"/>
      <w:bookmarkStart w:id="275" w:name="_Toc26002"/>
      <w:bookmarkStart w:id="276" w:name="_Toc24000"/>
      <w:r>
        <w:rPr>
          <w:rFonts w:hint="eastAsia" w:ascii="Times New Roman" w:hAnsi="Times New Roman" w:eastAsia="宋体" w:cs="Times New Roman"/>
          <w:b/>
          <w:bCs/>
          <w:color w:val="auto"/>
          <w:highlight w:val="none"/>
        </w:rPr>
        <w:t>二、资格</w:t>
      </w:r>
      <w:bookmarkEnd w:id="272"/>
      <w:bookmarkEnd w:id="273"/>
      <w:bookmarkEnd w:id="274"/>
      <w:bookmarkEnd w:id="275"/>
      <w:r>
        <w:rPr>
          <w:rFonts w:hint="eastAsia" w:ascii="Times New Roman" w:hAnsi="Times New Roman" w:eastAsia="宋体" w:cs="Times New Roman"/>
          <w:b/>
          <w:bCs/>
          <w:color w:val="auto"/>
          <w:highlight w:val="none"/>
        </w:rPr>
        <w:t>文件</w:t>
      </w:r>
      <w:bookmarkEnd w:id="276"/>
    </w:p>
    <w:p w14:paraId="0D8B92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77" w:name="_Toc7698"/>
      <w:bookmarkStart w:id="278" w:name="_Toc16080"/>
      <w:bookmarkStart w:id="279" w:name="_Toc6114"/>
      <w:bookmarkStart w:id="280" w:name="_Toc11535"/>
      <w:bookmarkStart w:id="281" w:name="_Toc19972"/>
      <w:r>
        <w:rPr>
          <w:rFonts w:hint="eastAsia" w:ascii="Times New Roman" w:hAnsi="Times New Roman" w:eastAsia="宋体" w:cs="Times New Roman"/>
          <w:b/>
          <w:bCs/>
          <w:color w:val="auto"/>
          <w:highlight w:val="none"/>
        </w:rPr>
        <w:t>三、</w:t>
      </w:r>
      <w:bookmarkEnd w:id="277"/>
      <w:bookmarkEnd w:id="278"/>
      <w:bookmarkEnd w:id="279"/>
      <w:bookmarkEnd w:id="280"/>
      <w:bookmarkEnd w:id="281"/>
      <w:r>
        <w:rPr>
          <w:rFonts w:hint="eastAsia" w:cs="Times New Roman"/>
          <w:b/>
          <w:bCs/>
          <w:color w:val="auto"/>
          <w:highlight w:val="none"/>
          <w:lang w:eastAsia="zh-CN"/>
        </w:rPr>
        <w:t>服务部分</w:t>
      </w:r>
    </w:p>
    <w:p w14:paraId="44691C7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82" w:name="_Toc15817"/>
      <w:bookmarkStart w:id="283" w:name="_Toc29209"/>
      <w:bookmarkStart w:id="284" w:name="_Toc29874"/>
      <w:bookmarkStart w:id="285" w:name="_Toc8479"/>
      <w:bookmarkStart w:id="286" w:name="_Toc32049"/>
      <w:r>
        <w:rPr>
          <w:rFonts w:hint="eastAsia" w:ascii="Times New Roman" w:hAnsi="Times New Roman" w:eastAsia="宋体" w:cs="Times New Roman"/>
          <w:b/>
          <w:bCs/>
          <w:color w:val="auto"/>
          <w:highlight w:val="none"/>
        </w:rPr>
        <w:t>四、</w:t>
      </w:r>
      <w:bookmarkEnd w:id="282"/>
      <w:bookmarkEnd w:id="283"/>
      <w:bookmarkEnd w:id="284"/>
      <w:bookmarkEnd w:id="285"/>
      <w:bookmarkEnd w:id="286"/>
      <w:r>
        <w:rPr>
          <w:rFonts w:hint="eastAsia" w:cs="Times New Roman"/>
          <w:b/>
          <w:bCs/>
          <w:color w:val="auto"/>
          <w:highlight w:val="none"/>
          <w:lang w:eastAsia="zh-CN"/>
        </w:rPr>
        <w:t>商务部分</w:t>
      </w:r>
    </w:p>
    <w:p w14:paraId="590581F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87" w:name="_Toc8893"/>
      <w:bookmarkStart w:id="288" w:name="_Toc19746"/>
      <w:bookmarkStart w:id="289" w:name="_Toc28431"/>
      <w:bookmarkStart w:id="290" w:name="_Toc29564"/>
      <w:bookmarkStart w:id="291" w:name="_Toc10309"/>
      <w:r>
        <w:rPr>
          <w:rFonts w:hint="eastAsia" w:ascii="Times New Roman" w:hAnsi="Times New Roman" w:eastAsia="宋体" w:cs="Times New Roman"/>
          <w:b/>
          <w:bCs/>
          <w:color w:val="auto"/>
          <w:highlight w:val="none"/>
        </w:rPr>
        <w:t>五、</w:t>
      </w:r>
      <w:bookmarkEnd w:id="287"/>
      <w:bookmarkEnd w:id="288"/>
      <w:bookmarkEnd w:id="289"/>
      <w:r>
        <w:rPr>
          <w:rFonts w:hint="eastAsia" w:ascii="Times New Roman" w:hAnsi="Times New Roman" w:eastAsia="宋体" w:cs="Times New Roman"/>
          <w:b/>
          <w:bCs/>
          <w:color w:val="auto"/>
          <w:highlight w:val="none"/>
        </w:rPr>
        <w:t>其他与项目有关的</w:t>
      </w:r>
      <w:bookmarkEnd w:id="290"/>
      <w:r>
        <w:rPr>
          <w:rFonts w:hint="eastAsia" w:ascii="Times New Roman" w:hAnsi="Times New Roman" w:eastAsia="宋体" w:cs="Times New Roman"/>
          <w:b/>
          <w:bCs/>
          <w:color w:val="auto"/>
          <w:highlight w:val="none"/>
        </w:rPr>
        <w:t>资料</w:t>
      </w:r>
      <w:bookmarkEnd w:id="291"/>
    </w:p>
    <w:p w14:paraId="1D7C6729">
      <w:pPr>
        <w:rPr>
          <w:rFonts w:ascii="Times New Roman" w:hAnsi="Times New Roman" w:eastAsia="宋体" w:cs="宋体"/>
          <w:b/>
          <w:bCs/>
          <w:color w:val="auto"/>
          <w:highlight w:val="none"/>
        </w:rPr>
      </w:pPr>
    </w:p>
    <w:p w14:paraId="77650497">
      <w:pPr>
        <w:rPr>
          <w:rFonts w:hint="eastAsia" w:ascii="Times New Roman" w:hAnsi="Times New Roman" w:eastAsia="宋体" w:cs="宋体"/>
          <w:b/>
          <w:bCs/>
          <w:color w:val="auto"/>
          <w:kern w:val="2"/>
          <w:sz w:val="28"/>
          <w:highlight w:val="none"/>
          <w:lang w:val="en-US" w:eastAsia="zh-CN" w:bidi="ar-SA"/>
        </w:rPr>
      </w:pPr>
      <w:bookmarkStart w:id="292" w:name="_Toc23145"/>
      <w:bookmarkStart w:id="293" w:name="_Toc31914"/>
      <w:bookmarkStart w:id="294" w:name="_Toc75793540"/>
      <w:bookmarkStart w:id="295" w:name="_Toc25659"/>
      <w:bookmarkStart w:id="296" w:name="_Toc21561"/>
      <w:bookmarkStart w:id="297" w:name="_Toc14568"/>
      <w:bookmarkStart w:id="298" w:name="_Toc27612"/>
      <w:bookmarkStart w:id="299" w:name="_Toc14552"/>
      <w:bookmarkStart w:id="300" w:name="_Toc29821"/>
      <w:bookmarkStart w:id="301" w:name="_Toc27943"/>
      <w:bookmarkStart w:id="302" w:name="_Toc31828"/>
      <w:bookmarkStart w:id="303" w:name="_Toc11398"/>
      <w:bookmarkStart w:id="304" w:name="_Toc106030417"/>
      <w:bookmarkStart w:id="305" w:name="_Toc13547"/>
      <w:bookmarkStart w:id="306" w:name="_Toc15893"/>
      <w:bookmarkStart w:id="307" w:name="_Toc23361"/>
      <w:bookmarkStart w:id="308" w:name="_Toc429584884"/>
      <w:bookmarkStart w:id="309" w:name="_Toc27722"/>
      <w:bookmarkStart w:id="310" w:name="_Toc10124"/>
      <w:bookmarkStart w:id="311" w:name="_Toc18181"/>
      <w:bookmarkStart w:id="312" w:name="_Toc17074"/>
      <w:r>
        <w:rPr>
          <w:rFonts w:hint="eastAsia" w:ascii="Times New Roman" w:hAnsi="Times New Roman" w:eastAsia="宋体" w:cs="宋体"/>
          <w:b/>
          <w:bCs/>
          <w:color w:val="auto"/>
          <w:kern w:val="2"/>
          <w:sz w:val="28"/>
          <w:highlight w:val="none"/>
          <w:lang w:val="en-US" w:eastAsia="zh-CN" w:bidi="ar-SA"/>
        </w:rPr>
        <w:br w:type="page"/>
      </w:r>
    </w:p>
    <w:p w14:paraId="3B9F9181">
      <w:pPr>
        <w:rPr>
          <w:rFonts w:hint="default"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 xml:space="preserve">                                    </w:t>
      </w:r>
    </w:p>
    <w:p w14:paraId="3BEB3609">
      <w:pPr>
        <w:rPr>
          <w:rFonts w:hint="eastAsia" w:cs="宋体"/>
          <w:b/>
          <w:bCs/>
          <w:color w:val="auto"/>
          <w:kern w:val="2"/>
          <w:sz w:val="28"/>
          <w:highlight w:val="none"/>
          <w:lang w:val="en-US" w:eastAsia="zh-CN" w:bidi="ar-SA"/>
        </w:rPr>
      </w:pPr>
    </w:p>
    <w:p w14:paraId="3CA523BF">
      <w:pPr>
        <w:rPr>
          <w:rFonts w:hint="eastAsia" w:cs="宋体"/>
          <w:b/>
          <w:bCs/>
          <w:color w:val="auto"/>
          <w:kern w:val="2"/>
          <w:sz w:val="28"/>
          <w:highlight w:val="none"/>
          <w:lang w:val="en-US" w:eastAsia="zh-CN" w:bidi="ar-SA"/>
        </w:rPr>
      </w:pPr>
    </w:p>
    <w:p w14:paraId="67D343BE">
      <w:pPr>
        <w:rPr>
          <w:rFonts w:hint="eastAsia" w:cs="宋体"/>
          <w:b/>
          <w:bCs/>
          <w:color w:val="auto"/>
          <w:kern w:val="2"/>
          <w:sz w:val="28"/>
          <w:highlight w:val="none"/>
          <w:lang w:val="en-US" w:eastAsia="zh-CN" w:bidi="ar-SA"/>
        </w:rPr>
      </w:pPr>
    </w:p>
    <w:p w14:paraId="4FC05B9C">
      <w:pPr>
        <w:jc w:val="center"/>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2025年常年法律顾问服务</w:t>
      </w:r>
    </w:p>
    <w:p w14:paraId="351F6D70">
      <w:pPr>
        <w:outlineLvl w:val="9"/>
        <w:rPr>
          <w:rFonts w:hint="eastAsia" w:cs="宋体"/>
          <w:b/>
          <w:bCs/>
          <w:color w:val="auto"/>
          <w:kern w:val="2"/>
          <w:sz w:val="48"/>
          <w:szCs w:val="48"/>
          <w:highlight w:val="none"/>
          <w:lang w:val="en-US" w:eastAsia="zh-CN" w:bidi="ar-SA"/>
        </w:rPr>
      </w:pPr>
    </w:p>
    <w:p w14:paraId="26BA89B9">
      <w:pPr>
        <w:outlineLvl w:val="9"/>
        <w:rPr>
          <w:rFonts w:hint="eastAsia"/>
          <w:color w:val="auto"/>
          <w:highlight w:val="none"/>
          <w:lang w:val="en-US" w:eastAsia="zh-CN"/>
        </w:rPr>
      </w:pPr>
    </w:p>
    <w:p w14:paraId="383060CA">
      <w:pPr>
        <w:outlineLvl w:val="9"/>
        <w:rPr>
          <w:rFonts w:hint="eastAsia" w:cs="宋体"/>
          <w:b/>
          <w:bCs/>
          <w:color w:val="auto"/>
          <w:kern w:val="2"/>
          <w:sz w:val="48"/>
          <w:szCs w:val="48"/>
          <w:highlight w:val="none"/>
          <w:lang w:val="en-US" w:eastAsia="zh-CN" w:bidi="ar-SA"/>
        </w:rPr>
      </w:pPr>
    </w:p>
    <w:p w14:paraId="0C1620A1">
      <w:pPr>
        <w:outlineLvl w:val="9"/>
        <w:rPr>
          <w:rFonts w:hint="eastAsia" w:cs="宋体"/>
          <w:b/>
          <w:bCs/>
          <w:color w:val="auto"/>
          <w:kern w:val="2"/>
          <w:sz w:val="48"/>
          <w:szCs w:val="48"/>
          <w:highlight w:val="none"/>
          <w:lang w:val="en-US" w:eastAsia="zh-CN" w:bidi="ar-SA"/>
        </w:rPr>
      </w:pPr>
    </w:p>
    <w:p w14:paraId="0BDE1465">
      <w:pPr>
        <w:jc w:val="center"/>
        <w:outlineLvl w:val="9"/>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响应文件</w:t>
      </w:r>
    </w:p>
    <w:p w14:paraId="6118B38E">
      <w:pPr>
        <w:jc w:val="center"/>
        <w:outlineLvl w:val="9"/>
        <w:rPr>
          <w:rFonts w:hint="eastAsia" w:cs="宋体"/>
          <w:b/>
          <w:bCs/>
          <w:color w:val="auto"/>
          <w:kern w:val="2"/>
          <w:sz w:val="48"/>
          <w:szCs w:val="48"/>
          <w:highlight w:val="none"/>
          <w:lang w:val="en-US" w:eastAsia="zh-CN" w:bidi="ar-SA"/>
        </w:rPr>
      </w:pPr>
    </w:p>
    <w:p w14:paraId="2F0039BA">
      <w:pPr>
        <w:jc w:val="center"/>
        <w:outlineLvl w:val="9"/>
        <w:rPr>
          <w:rFonts w:hint="eastAsia" w:cs="宋体"/>
          <w:b/>
          <w:bCs/>
          <w:color w:val="auto"/>
          <w:kern w:val="2"/>
          <w:sz w:val="48"/>
          <w:szCs w:val="48"/>
          <w:highlight w:val="none"/>
          <w:lang w:val="en-US" w:eastAsia="zh-CN" w:bidi="ar-SA"/>
        </w:rPr>
      </w:pPr>
    </w:p>
    <w:p w14:paraId="6A1D3872">
      <w:pPr>
        <w:outlineLvl w:val="9"/>
        <w:rPr>
          <w:rFonts w:hint="eastAsia" w:cs="宋体"/>
          <w:b/>
          <w:bCs/>
          <w:color w:val="auto"/>
          <w:kern w:val="2"/>
          <w:sz w:val="48"/>
          <w:szCs w:val="48"/>
          <w:highlight w:val="none"/>
          <w:lang w:val="en-US" w:eastAsia="zh-CN" w:bidi="ar-SA"/>
        </w:rPr>
      </w:pPr>
    </w:p>
    <w:p w14:paraId="10DFFECA">
      <w:pPr>
        <w:outlineLvl w:val="9"/>
        <w:rPr>
          <w:rFonts w:hint="eastAsia" w:cs="宋体"/>
          <w:b/>
          <w:bCs/>
          <w:color w:val="auto"/>
          <w:kern w:val="2"/>
          <w:sz w:val="48"/>
          <w:szCs w:val="48"/>
          <w:highlight w:val="none"/>
          <w:lang w:val="en-US" w:eastAsia="zh-CN" w:bidi="ar-SA"/>
        </w:rPr>
      </w:pPr>
    </w:p>
    <w:p w14:paraId="72A7D3F6">
      <w:pPr>
        <w:outlineLvl w:val="9"/>
        <w:rPr>
          <w:rFonts w:hint="eastAsia" w:cs="宋体"/>
          <w:b/>
          <w:bCs/>
          <w:color w:val="auto"/>
          <w:kern w:val="2"/>
          <w:sz w:val="48"/>
          <w:szCs w:val="48"/>
          <w:highlight w:val="none"/>
          <w:lang w:val="en-US" w:eastAsia="zh-CN" w:bidi="ar-SA"/>
        </w:rPr>
      </w:pPr>
    </w:p>
    <w:p w14:paraId="00AC68D5">
      <w:pPr>
        <w:ind w:firstLine="1687" w:firstLineChars="600"/>
        <w:jc w:val="both"/>
        <w:outlineLvl w:val="9"/>
        <w:rPr>
          <w:rFonts w:hint="eastAsia" w:cs="宋体"/>
          <w:b/>
          <w:bCs/>
          <w:color w:val="auto"/>
          <w:kern w:val="2"/>
          <w:sz w:val="28"/>
          <w:szCs w:val="28"/>
          <w:highlight w:val="none"/>
          <w:u w:val="single"/>
          <w:lang w:val="en-US" w:eastAsia="zh-CN" w:bidi="ar-SA"/>
        </w:rPr>
      </w:pPr>
      <w:r>
        <w:rPr>
          <w:rFonts w:hint="eastAsia" w:cs="宋体"/>
          <w:b/>
          <w:bCs/>
          <w:color w:val="auto"/>
          <w:kern w:val="2"/>
          <w:sz w:val="28"/>
          <w:szCs w:val="28"/>
          <w:highlight w:val="none"/>
          <w:lang w:val="en-US" w:eastAsia="zh-CN" w:bidi="ar-SA"/>
        </w:rPr>
        <w:t>供应商名称（公章）：</w:t>
      </w:r>
      <w:r>
        <w:rPr>
          <w:rFonts w:hint="eastAsia" w:cs="宋体"/>
          <w:b/>
          <w:bCs/>
          <w:color w:val="auto"/>
          <w:kern w:val="2"/>
          <w:sz w:val="28"/>
          <w:szCs w:val="28"/>
          <w:highlight w:val="none"/>
          <w:u w:val="single"/>
          <w:lang w:val="en-US" w:eastAsia="zh-CN" w:bidi="ar-SA"/>
        </w:rPr>
        <w:t xml:space="preserve">             </w:t>
      </w:r>
    </w:p>
    <w:p w14:paraId="5DCE9E6D">
      <w:pPr>
        <w:jc w:val="center"/>
        <w:outlineLvl w:val="9"/>
        <w:rPr>
          <w:rFonts w:hint="default"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 xml:space="preserve"> </w:t>
      </w:r>
    </w:p>
    <w:p w14:paraId="31A03617">
      <w:pPr>
        <w:jc w:val="center"/>
        <w:outlineLvl w:val="9"/>
        <w:rPr>
          <w:rFonts w:hint="eastAsia"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年   月   日</w:t>
      </w:r>
    </w:p>
    <w:p w14:paraId="1976E80D">
      <w:pPr>
        <w:jc w:val="center"/>
        <w:outlineLvl w:val="9"/>
        <w:rPr>
          <w:rFonts w:hint="eastAsia" w:cs="宋体"/>
          <w:b/>
          <w:bCs/>
          <w:color w:val="auto"/>
          <w:kern w:val="2"/>
          <w:sz w:val="28"/>
          <w:szCs w:val="28"/>
          <w:highlight w:val="none"/>
          <w:u w:val="none"/>
          <w:lang w:val="en-US" w:eastAsia="zh-CN" w:bidi="ar-SA"/>
        </w:rPr>
      </w:pPr>
    </w:p>
    <w:p w14:paraId="55040F7B">
      <w:pPr>
        <w:jc w:val="center"/>
        <w:outlineLvl w:val="9"/>
        <w:rPr>
          <w:rFonts w:hint="eastAsia" w:cs="宋体"/>
          <w:b/>
          <w:bCs/>
          <w:color w:val="auto"/>
          <w:kern w:val="2"/>
          <w:sz w:val="28"/>
          <w:szCs w:val="28"/>
          <w:highlight w:val="none"/>
          <w:u w:val="none"/>
          <w:lang w:val="en-US" w:eastAsia="zh-CN" w:bidi="ar-SA"/>
        </w:rPr>
      </w:pPr>
    </w:p>
    <w:p w14:paraId="7E3063CE">
      <w:pPr>
        <w:jc w:val="center"/>
        <w:outlineLvl w:val="9"/>
        <w:rPr>
          <w:rFonts w:hint="eastAsia" w:cs="宋体"/>
          <w:b/>
          <w:bCs/>
          <w:color w:val="auto"/>
          <w:kern w:val="2"/>
          <w:sz w:val="28"/>
          <w:szCs w:val="28"/>
          <w:highlight w:val="none"/>
          <w:u w:val="none"/>
          <w:lang w:val="en-US" w:eastAsia="zh-CN" w:bidi="ar-SA"/>
        </w:rPr>
      </w:pPr>
    </w:p>
    <w:p w14:paraId="3E1500EB">
      <w:pPr>
        <w:jc w:val="center"/>
        <w:rPr>
          <w:rFonts w:hint="eastAsia" w:cs="宋体"/>
          <w:b/>
          <w:bCs/>
          <w:color w:val="auto"/>
          <w:kern w:val="2"/>
          <w:sz w:val="28"/>
          <w:szCs w:val="28"/>
          <w:highlight w:val="none"/>
          <w:u w:val="none"/>
          <w:lang w:val="en-US" w:eastAsia="zh-CN" w:bidi="ar-SA"/>
        </w:rPr>
      </w:pPr>
    </w:p>
    <w:p w14:paraId="45C9E28E">
      <w:pPr>
        <w:jc w:val="center"/>
        <w:rPr>
          <w:rFonts w:hint="eastAsia" w:cs="宋体"/>
          <w:b/>
          <w:bCs/>
          <w:color w:val="auto"/>
          <w:kern w:val="2"/>
          <w:sz w:val="28"/>
          <w:szCs w:val="28"/>
          <w:highlight w:val="none"/>
          <w:u w:val="none"/>
          <w:lang w:val="en-US" w:eastAsia="zh-CN" w:bidi="ar-SA"/>
        </w:rPr>
      </w:pPr>
    </w:p>
    <w:p w14:paraId="24E2209C">
      <w:pPr>
        <w:jc w:val="center"/>
        <w:rPr>
          <w:rFonts w:hint="eastAsia" w:cs="宋体"/>
          <w:b/>
          <w:bCs/>
          <w:color w:val="auto"/>
          <w:kern w:val="2"/>
          <w:sz w:val="28"/>
          <w:szCs w:val="28"/>
          <w:highlight w:val="none"/>
          <w:u w:val="none"/>
          <w:lang w:val="en-US" w:eastAsia="zh-CN" w:bidi="ar-SA"/>
        </w:rPr>
      </w:pPr>
    </w:p>
    <w:p w14:paraId="15B1DAEB">
      <w:pPr>
        <w:jc w:val="center"/>
        <w:rPr>
          <w:rFonts w:hint="eastAsia" w:cs="宋体"/>
          <w:b/>
          <w:bCs/>
          <w:color w:val="auto"/>
          <w:kern w:val="2"/>
          <w:sz w:val="28"/>
          <w:szCs w:val="28"/>
          <w:highlight w:val="none"/>
          <w:u w:val="none"/>
          <w:lang w:val="en-US" w:eastAsia="zh-CN" w:bidi="ar-SA"/>
        </w:rPr>
      </w:pPr>
    </w:p>
    <w:p w14:paraId="4BB7627C">
      <w:pPr>
        <w:jc w:val="center"/>
        <w:rPr>
          <w:rFonts w:hint="eastAsia" w:cs="宋体"/>
          <w:b/>
          <w:bCs/>
          <w:color w:val="auto"/>
          <w:kern w:val="2"/>
          <w:sz w:val="28"/>
          <w:highlight w:val="none"/>
          <w:lang w:val="en-US" w:eastAsia="zh-CN" w:bidi="ar-SA"/>
        </w:rPr>
      </w:pPr>
    </w:p>
    <w:p w14:paraId="47ECEF9A">
      <w:pPr>
        <w:jc w:val="center"/>
        <w:rPr>
          <w:rFonts w:hint="eastAsia" w:cs="宋体"/>
          <w:b/>
          <w:bCs/>
          <w:color w:val="auto"/>
          <w:kern w:val="2"/>
          <w:sz w:val="28"/>
          <w:highlight w:val="none"/>
          <w:lang w:val="en-US" w:eastAsia="zh-CN" w:bidi="ar-SA"/>
        </w:rPr>
      </w:pPr>
    </w:p>
    <w:p w14:paraId="12EAA7D9">
      <w:pPr>
        <w:jc w:val="center"/>
        <w:rPr>
          <w:rFonts w:hint="eastAsia" w:ascii="Times New Roman" w:hAnsi="Times New Roman" w:eastAsia="宋体"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目 录</w:t>
      </w:r>
    </w:p>
    <w:p w14:paraId="494A9F69">
      <w:pPr>
        <w:jc w:val="center"/>
        <w:rPr>
          <w:rFonts w:hint="eastAsia" w:cs="宋体"/>
          <w:b w:val="0"/>
          <w:bCs w:val="0"/>
          <w:color w:val="auto"/>
          <w:kern w:val="2"/>
          <w:sz w:val="22"/>
          <w:szCs w:val="16"/>
          <w:highlight w:val="none"/>
          <w:lang w:val="en-US" w:eastAsia="zh-CN" w:bidi="ar-SA"/>
        </w:rPr>
      </w:pPr>
    </w:p>
    <w:p w14:paraId="5DD5EFC0">
      <w:pPr>
        <w:jc w:val="center"/>
        <w:rPr>
          <w:rFonts w:hint="eastAsia" w:ascii="Times New Roman" w:hAnsi="Times New Roman" w:eastAsia="宋体" w:cs="宋体"/>
          <w:b w:val="0"/>
          <w:bCs w:val="0"/>
          <w:color w:val="auto"/>
          <w:kern w:val="2"/>
          <w:sz w:val="22"/>
          <w:szCs w:val="16"/>
          <w:highlight w:val="none"/>
          <w:lang w:val="en-US" w:eastAsia="zh-CN" w:bidi="ar-SA"/>
        </w:rPr>
      </w:pPr>
      <w:r>
        <w:rPr>
          <w:rFonts w:hint="eastAsia" w:cs="宋体"/>
          <w:b w:val="0"/>
          <w:bCs w:val="0"/>
          <w:color w:val="auto"/>
          <w:kern w:val="2"/>
          <w:sz w:val="22"/>
          <w:szCs w:val="16"/>
          <w:highlight w:val="none"/>
          <w:lang w:val="en-US" w:eastAsia="zh-CN" w:bidi="ar-SA"/>
        </w:rPr>
        <w:t>（供应商自拟）</w:t>
      </w:r>
    </w:p>
    <w:p w14:paraId="6A2D0AFF">
      <w:pPr>
        <w:pStyle w:val="3"/>
        <w:ind w:firstLine="562"/>
        <w:rPr>
          <w:rFonts w:hint="eastAsia" w:ascii="Times New Roman" w:hAnsi="Times New Roman" w:eastAsia="宋体" w:cs="宋体"/>
          <w:b/>
          <w:bCs/>
          <w:color w:val="auto"/>
          <w:kern w:val="2"/>
          <w:sz w:val="28"/>
          <w:highlight w:val="none"/>
          <w:lang w:val="en-US" w:eastAsia="zh-CN" w:bidi="ar-SA"/>
        </w:rPr>
        <w:sectPr>
          <w:pgSz w:w="11905" w:h="16838"/>
          <w:pgMar w:top="1134" w:right="1134" w:bottom="1134" w:left="1134" w:header="850" w:footer="992" w:gutter="0"/>
          <w:pgNumType w:fmt="decimal"/>
          <w:cols w:space="0" w:num="1"/>
          <w:titlePg/>
          <w:rtlGutter w:val="0"/>
          <w:docGrid w:type="lines" w:linePitch="385" w:charSpace="0"/>
        </w:sectPr>
      </w:pPr>
    </w:p>
    <w:p w14:paraId="27E51D45">
      <w:pPr>
        <w:pStyle w:val="3"/>
        <w:ind w:firstLine="562"/>
        <w:rPr>
          <w:rFonts w:hint="eastAsia" w:ascii="Times New Roman" w:hAnsi="Times New Roman" w:eastAsia="宋体" w:cs="宋体"/>
          <w:b/>
          <w:bCs/>
          <w:color w:val="auto"/>
          <w:kern w:val="2"/>
          <w:sz w:val="28"/>
          <w:highlight w:val="none"/>
          <w:lang w:val="en-US" w:eastAsia="zh-CN" w:bidi="ar-SA"/>
        </w:rPr>
      </w:pPr>
      <w:bookmarkStart w:id="313" w:name="_Toc18399"/>
      <w:r>
        <w:rPr>
          <w:rFonts w:hint="eastAsia" w:ascii="Times New Roman" w:hAnsi="Times New Roman" w:eastAsia="宋体" w:cs="宋体"/>
          <w:b/>
          <w:bCs/>
          <w:color w:val="auto"/>
          <w:kern w:val="2"/>
          <w:sz w:val="28"/>
          <w:highlight w:val="none"/>
          <w:lang w:val="en-US" w:eastAsia="zh-CN" w:bidi="ar-SA"/>
        </w:rPr>
        <w:t>一、</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ascii="Times New Roman" w:hAnsi="Times New Roman" w:cs="宋体"/>
          <w:b/>
          <w:bCs/>
          <w:color w:val="auto"/>
          <w:kern w:val="2"/>
          <w:sz w:val="28"/>
          <w:highlight w:val="none"/>
          <w:lang w:val="en-US" w:eastAsia="zh-CN" w:bidi="ar-SA"/>
        </w:rPr>
        <w:t>经济部分</w:t>
      </w:r>
      <w:bookmarkEnd w:id="311"/>
      <w:bookmarkEnd w:id="313"/>
    </w:p>
    <w:p w14:paraId="437C44A1">
      <w:pPr>
        <w:jc w:val="center"/>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（一）报价</w:t>
      </w:r>
      <w:r>
        <w:rPr>
          <w:rFonts w:hint="eastAsia"/>
          <w:b/>
          <w:bCs/>
          <w:color w:val="auto"/>
          <w:highlight w:val="none"/>
          <w:lang w:val="en-US" w:eastAsia="zh-CN"/>
        </w:rPr>
        <w:t>函</w:t>
      </w:r>
    </w:p>
    <w:p w14:paraId="0224300B">
      <w:pPr>
        <w:spacing w:line="500" w:lineRule="exact"/>
        <w:rPr>
          <w:rFonts w:ascii="Times New Roman" w:hAnsi="Times New Roman" w:eastAsia="宋体" w:cs="宋体"/>
          <w:color w:val="auto"/>
          <w:szCs w:val="32"/>
          <w:highlight w:val="none"/>
        </w:rPr>
      </w:pPr>
    </w:p>
    <w:p w14:paraId="3448F90E">
      <w:pPr>
        <w:tabs>
          <w:tab w:val="left" w:pos="6300"/>
        </w:tabs>
        <w:snapToGrid w:val="0"/>
        <w:spacing w:line="480" w:lineRule="exac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w:t>
      </w:r>
      <w:r>
        <w:rPr>
          <w:rFonts w:hint="eastAsia" w:ascii="宋体" w:hAnsi="宋体" w:cs="仿宋"/>
          <w:color w:val="auto"/>
          <w:sz w:val="24"/>
          <w:szCs w:val="24"/>
          <w:highlight w:val="none"/>
          <w:u w:val="single"/>
          <w:lang w:eastAsia="zh-CN"/>
        </w:rPr>
        <w:t>采购人或采购代理</w:t>
      </w:r>
      <w:r>
        <w:rPr>
          <w:rFonts w:hint="eastAsia" w:ascii="宋体" w:hAnsi="宋体" w:cs="仿宋"/>
          <w:color w:val="auto"/>
          <w:sz w:val="24"/>
          <w:szCs w:val="24"/>
          <w:highlight w:val="none"/>
          <w:u w:val="single"/>
        </w:rPr>
        <w:t>机构名称）</w:t>
      </w:r>
      <w:r>
        <w:rPr>
          <w:rFonts w:hint="eastAsia" w:ascii="宋体" w:hAnsi="宋体" w:cs="仿宋"/>
          <w:color w:val="auto"/>
          <w:sz w:val="24"/>
          <w:szCs w:val="24"/>
          <w:highlight w:val="none"/>
        </w:rPr>
        <w:t>：</w:t>
      </w:r>
    </w:p>
    <w:p w14:paraId="6AE71A6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我方收到____________________________（项目名称）的</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，经详细研究，决定参加该项目的</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w:t>
      </w:r>
    </w:p>
    <w:p w14:paraId="7885895D">
      <w:pPr>
        <w:tabs>
          <w:tab w:val="left" w:pos="6300"/>
        </w:tabs>
        <w:snapToGrid w:val="0"/>
        <w:spacing w:line="48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rPr>
        <w:t>1、愿意按照</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中的一切要求</w:t>
      </w:r>
      <w:r>
        <w:rPr>
          <w:rFonts w:hint="eastAsia" w:ascii="宋体" w:hAnsi="宋体" w:cs="仿宋"/>
          <w:color w:val="auto"/>
          <w:sz w:val="24"/>
          <w:szCs w:val="24"/>
          <w:highlight w:val="none"/>
          <w:lang w:val="en-US" w:eastAsia="zh-CN"/>
        </w:rPr>
        <w:t>竞标</w:t>
      </w:r>
      <w:r>
        <w:rPr>
          <w:rFonts w:hint="eastAsia" w:ascii="宋体" w:hAnsi="宋体" w:cs="仿宋"/>
          <w:color w:val="auto"/>
          <w:sz w:val="24"/>
          <w:szCs w:val="24"/>
          <w:highlight w:val="none"/>
          <w:lang w:eastAsia="zh-CN"/>
        </w:rPr>
        <w:t>本项目</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总报价为人民币大写：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；人民币小写</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元</w:t>
      </w:r>
      <w:r>
        <w:rPr>
          <w:rFonts w:hint="eastAsia" w:ascii="宋体" w:hAnsi="宋体" w:cs="仿宋"/>
          <w:color w:val="auto"/>
          <w:sz w:val="24"/>
          <w:szCs w:val="24"/>
          <w:highlight w:val="none"/>
          <w:lang w:eastAsia="zh-CN"/>
        </w:rPr>
        <w:t>。</w:t>
      </w:r>
    </w:p>
    <w:p w14:paraId="2F8F61A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2、我方提交的</w:t>
      </w:r>
      <w:r>
        <w:rPr>
          <w:rFonts w:hint="eastAsia" w:ascii="宋体" w:hAnsi="宋体" w:cs="仿宋"/>
          <w:color w:val="auto"/>
          <w:sz w:val="24"/>
          <w:szCs w:val="24"/>
          <w:highlight w:val="none"/>
          <w:lang w:eastAsia="zh-CN"/>
        </w:rPr>
        <w:t>响应文件</w:t>
      </w:r>
      <w:r>
        <w:rPr>
          <w:rFonts w:hint="eastAsia" w:ascii="宋体" w:hAnsi="宋体" w:cs="仿宋"/>
          <w:color w:val="auto"/>
          <w:sz w:val="24"/>
          <w:szCs w:val="24"/>
          <w:highlight w:val="none"/>
          <w:lang w:val="en-US" w:eastAsia="zh-CN"/>
        </w:rPr>
        <w:t>数量</w:t>
      </w:r>
      <w:r>
        <w:rPr>
          <w:rFonts w:hint="eastAsia" w:ascii="宋体" w:hAnsi="宋体" w:cs="仿宋"/>
          <w:color w:val="auto"/>
          <w:sz w:val="24"/>
          <w:szCs w:val="24"/>
          <w:highlight w:val="none"/>
        </w:rPr>
        <w:t>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正</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副</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电子档</w:t>
      </w:r>
      <w:r>
        <w:rPr>
          <w:rFonts w:hint="eastAsia" w:ascii="宋体" w:hAnsi="宋体" w:cs="仿宋"/>
          <w:color w:val="auto"/>
          <w:sz w:val="24"/>
          <w:szCs w:val="24"/>
          <w:highlight w:val="none"/>
        </w:rPr>
        <w:t>。</w:t>
      </w:r>
    </w:p>
    <w:p w14:paraId="7599847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3、我方承诺：本次</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的有效期为90天。</w:t>
      </w:r>
    </w:p>
    <w:p w14:paraId="44F9C01B">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4、我方完全理解和接受</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的一切规定和要求及评审办法。</w:t>
      </w:r>
    </w:p>
    <w:p w14:paraId="2E26AD09">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5、在整个</w:t>
      </w:r>
      <w:r>
        <w:rPr>
          <w:rFonts w:hint="eastAsia" w:ascii="宋体" w:hAnsi="宋体" w:cs="仿宋"/>
          <w:color w:val="auto"/>
          <w:sz w:val="24"/>
          <w:szCs w:val="24"/>
          <w:highlight w:val="none"/>
          <w:lang w:val="en-US" w:eastAsia="zh-CN"/>
        </w:rPr>
        <w:t>竞采过程</w:t>
      </w:r>
      <w:r>
        <w:rPr>
          <w:rFonts w:hint="eastAsia" w:ascii="宋体" w:hAnsi="宋体" w:cs="仿宋"/>
          <w:color w:val="auto"/>
          <w:sz w:val="24"/>
          <w:szCs w:val="24"/>
          <w:highlight w:val="none"/>
        </w:rPr>
        <w:t>中，我方若有违规行为，接受按照</w:t>
      </w:r>
      <w:r>
        <w:rPr>
          <w:rFonts w:hint="eastAsia" w:ascii="宋体" w:hAnsi="宋体" w:cs="仿宋"/>
          <w:color w:val="auto"/>
          <w:sz w:val="24"/>
          <w:szCs w:val="24"/>
          <w:highlight w:val="none"/>
          <w:lang w:eastAsia="zh-CN"/>
        </w:rPr>
        <w:t>相关法律法规</w:t>
      </w:r>
      <w:r>
        <w:rPr>
          <w:rFonts w:hint="eastAsia" w:ascii="宋体" w:hAnsi="宋体" w:cs="仿宋"/>
          <w:color w:val="auto"/>
          <w:sz w:val="24"/>
          <w:szCs w:val="24"/>
          <w:highlight w:val="none"/>
        </w:rPr>
        <w:t>给予惩罚。</w:t>
      </w:r>
    </w:p>
    <w:p w14:paraId="72C2B2B3">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6、我方若成为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，将按照最终</w:t>
      </w:r>
      <w:r>
        <w:rPr>
          <w:rFonts w:hint="eastAsia" w:ascii="宋体" w:hAnsi="宋体" w:cs="仿宋"/>
          <w:color w:val="auto"/>
          <w:sz w:val="24"/>
          <w:szCs w:val="24"/>
          <w:highlight w:val="none"/>
          <w:lang w:val="en-US" w:eastAsia="zh-CN"/>
        </w:rPr>
        <w:t>评审</w:t>
      </w:r>
      <w:r>
        <w:rPr>
          <w:rFonts w:hint="eastAsia" w:ascii="宋体" w:hAnsi="宋体" w:cs="仿宋"/>
          <w:color w:val="auto"/>
          <w:sz w:val="24"/>
          <w:szCs w:val="24"/>
          <w:highlight w:val="none"/>
        </w:rPr>
        <w:t>结果签订合同，并且严格履行合同义务。本报价函将成为合同不可分割的一部分，与合同具有同等的法律效力。</w:t>
      </w:r>
    </w:p>
    <w:p w14:paraId="5A9D5792">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7、</w:t>
      </w:r>
      <w:r>
        <w:rPr>
          <w:rFonts w:hint="eastAsia" w:ascii="宋体" w:hAnsi="宋体" w:cs="仿宋"/>
          <w:color w:val="auto"/>
          <w:sz w:val="24"/>
          <w:szCs w:val="28"/>
          <w:highlight w:val="none"/>
        </w:rPr>
        <w:t>我方理解，最低报价不是成交的唯一条件。</w:t>
      </w:r>
    </w:p>
    <w:p w14:paraId="26A6C3B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8、如果我方成为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，保证在接到成交通知书后，向</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机构交纳</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规定的</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服务费</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如有</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w:t>
      </w:r>
    </w:p>
    <w:p w14:paraId="1AE4A25F">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9、</w:t>
      </w:r>
      <w:r>
        <w:rPr>
          <w:rFonts w:hint="eastAsia" w:ascii="宋体" w:hAnsi="宋体" w:cs="仿宋"/>
          <w:color w:val="auto"/>
          <w:sz w:val="24"/>
          <w:szCs w:val="28"/>
          <w:highlight w:val="none"/>
        </w:rPr>
        <w:t>我方未</w:t>
      </w:r>
      <w:r>
        <w:rPr>
          <w:rFonts w:hint="eastAsia" w:ascii="宋体" w:hAnsi="宋体" w:cs="仿宋"/>
          <w:color w:val="auto"/>
          <w:sz w:val="24"/>
          <w:szCs w:val="24"/>
          <w:highlight w:val="none"/>
        </w:rPr>
        <w:t>为</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项目提供整体设计、规范编制或者项目管理、监理、施工自检等服务。</w:t>
      </w:r>
    </w:p>
    <w:p w14:paraId="011EC3D6">
      <w:pPr>
        <w:tabs>
          <w:tab w:val="left" w:pos="6300"/>
        </w:tabs>
        <w:snapToGrid w:val="0"/>
        <w:spacing w:line="312" w:lineRule="auto"/>
        <w:ind w:firstLine="570"/>
        <w:rPr>
          <w:rFonts w:hint="eastAsia" w:ascii="宋体" w:hAnsi="宋体" w:cs="仿宋"/>
          <w:color w:val="auto"/>
          <w:sz w:val="24"/>
          <w:szCs w:val="24"/>
          <w:highlight w:val="none"/>
        </w:rPr>
      </w:pPr>
    </w:p>
    <w:p w14:paraId="1D9BB2D3">
      <w:pPr>
        <w:tabs>
          <w:tab w:val="left" w:pos="6300"/>
        </w:tabs>
        <w:snapToGrid w:val="0"/>
        <w:spacing w:line="312" w:lineRule="auto"/>
        <w:ind w:firstLine="570"/>
        <w:rPr>
          <w:rFonts w:hint="eastAsia" w:ascii="宋体" w:hAnsi="宋体" w:cs="仿宋"/>
          <w:color w:val="auto"/>
          <w:sz w:val="24"/>
          <w:szCs w:val="24"/>
          <w:highlight w:val="none"/>
        </w:rPr>
      </w:pPr>
    </w:p>
    <w:p w14:paraId="3BF58F48">
      <w:pPr>
        <w:tabs>
          <w:tab w:val="left" w:pos="6300"/>
        </w:tabs>
        <w:snapToGrid w:val="0"/>
        <w:spacing w:line="312" w:lineRule="auto"/>
        <w:ind w:firstLine="570"/>
        <w:rPr>
          <w:rFonts w:hint="eastAsia" w:ascii="宋体" w:hAnsi="宋体" w:cs="仿宋"/>
          <w:color w:val="auto"/>
          <w:sz w:val="24"/>
          <w:szCs w:val="24"/>
          <w:highlight w:val="none"/>
        </w:rPr>
      </w:pPr>
    </w:p>
    <w:p w14:paraId="42A710F1">
      <w:pPr>
        <w:tabs>
          <w:tab w:val="left" w:pos="6300"/>
        </w:tabs>
        <w:snapToGrid w:val="0"/>
        <w:spacing w:line="312" w:lineRule="auto"/>
        <w:ind w:firstLine="570"/>
        <w:rPr>
          <w:rFonts w:hint="eastAsia" w:ascii="宋体" w:hAnsi="宋体" w:cs="仿宋"/>
          <w:color w:val="auto"/>
          <w:sz w:val="24"/>
          <w:szCs w:val="24"/>
          <w:highlight w:val="none"/>
        </w:rPr>
      </w:pPr>
    </w:p>
    <w:p w14:paraId="51E619F1">
      <w:pPr>
        <w:tabs>
          <w:tab w:val="left" w:pos="6300"/>
        </w:tabs>
        <w:snapToGrid w:val="0"/>
        <w:spacing w:line="312" w:lineRule="auto"/>
        <w:ind w:firstLine="57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（公章）：</w:t>
      </w:r>
    </w:p>
    <w:p w14:paraId="71313AA6">
      <w:pPr>
        <w:snapToGrid w:val="0"/>
        <w:spacing w:line="312" w:lineRule="auto"/>
        <w:ind w:firstLine="480" w:firstLineChars="200"/>
        <w:rPr>
          <w:rFonts w:hint="eastAsia" w:ascii="宋体" w:hAnsi="宋体" w:cs="仿宋"/>
          <w:color w:val="auto"/>
          <w:sz w:val="24"/>
          <w:szCs w:val="24"/>
          <w:highlight w:val="none"/>
        </w:rPr>
        <w:sectPr>
          <w:pgSz w:w="11905" w:h="16838"/>
          <w:pgMar w:top="1134" w:right="1134" w:bottom="1134" w:left="1134" w:header="850" w:footer="992" w:gutter="0"/>
          <w:pgNumType w:fmt="decimal"/>
          <w:cols w:space="0" w:num="1"/>
          <w:titlePg/>
          <w:rtlGutter w:val="0"/>
          <w:docGrid w:type="lines" w:linePitch="385" w:charSpace="0"/>
        </w:sectPr>
      </w:pPr>
      <w:r>
        <w:rPr>
          <w:rFonts w:hint="eastAsia" w:ascii="宋体" w:hAnsi="宋体" w:cs="仿宋"/>
          <w:color w:val="auto"/>
          <w:sz w:val="24"/>
          <w:szCs w:val="24"/>
          <w:highlight w:val="none"/>
        </w:rPr>
        <w:t xml:space="preserve">                                                  年   月   日</w:t>
      </w:r>
    </w:p>
    <w:p w14:paraId="6AE4B933">
      <w:pPr>
        <w:rPr>
          <w:rFonts w:ascii="Times New Roman" w:hAnsi="Times New Roman" w:eastAsia="宋体" w:cs="宋体"/>
          <w:bCs/>
          <w:color w:val="auto"/>
          <w:highlight w:val="none"/>
        </w:rPr>
      </w:pPr>
      <w:r>
        <w:rPr>
          <w:rFonts w:hint="eastAsia" w:ascii="Times New Roman" w:hAnsi="Times New Roman" w:eastAsia="宋体" w:cs="宋体"/>
          <w:color w:val="auto"/>
          <w:szCs w:val="32"/>
          <w:highlight w:val="none"/>
        </w:rPr>
        <w:t xml:space="preserve">      </w:t>
      </w:r>
    </w:p>
    <w:p w14:paraId="624CDAF4">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b/>
          <w:bCs/>
          <w:color w:val="auto"/>
          <w:kern w:val="2"/>
          <w:sz w:val="28"/>
          <w:highlight w:val="none"/>
          <w:lang w:val="en-US" w:eastAsia="zh-CN" w:bidi="ar-SA"/>
        </w:rPr>
      </w:pPr>
      <w:bookmarkStart w:id="314" w:name="_Toc3974"/>
      <w:bookmarkStart w:id="315" w:name="_Toc4271"/>
      <w:bookmarkStart w:id="316" w:name="_Toc18471"/>
      <w:bookmarkStart w:id="317" w:name="_Toc18485"/>
      <w:bookmarkStart w:id="318" w:name="_Toc18310"/>
      <w:bookmarkStart w:id="319" w:name="_Toc6124"/>
      <w:bookmarkStart w:id="320" w:name="_Toc23499"/>
      <w:bookmarkStart w:id="321" w:name="_Toc553"/>
      <w:bookmarkStart w:id="322" w:name="_Toc14140"/>
      <w:r>
        <w:rPr>
          <w:rFonts w:hint="eastAsia" w:ascii="Times New Roman" w:hAnsi="Times New Roman" w:eastAsia="宋体" w:cs="宋体"/>
          <w:b/>
          <w:bCs/>
          <w:color w:val="auto"/>
          <w:kern w:val="2"/>
          <w:sz w:val="28"/>
          <w:highlight w:val="none"/>
          <w:lang w:val="en-US" w:eastAsia="zh-CN" w:bidi="ar-SA"/>
        </w:rPr>
        <w:t>二、资格</w:t>
      </w:r>
      <w:bookmarkEnd w:id="314"/>
      <w:bookmarkEnd w:id="315"/>
      <w:bookmarkEnd w:id="316"/>
      <w:bookmarkEnd w:id="317"/>
      <w:bookmarkEnd w:id="318"/>
      <w:bookmarkEnd w:id="319"/>
      <w:bookmarkEnd w:id="320"/>
      <w:bookmarkEnd w:id="321"/>
      <w:bookmarkEnd w:id="322"/>
      <w:r>
        <w:rPr>
          <w:rFonts w:hint="eastAsia" w:ascii="Times New Roman" w:hAnsi="Times New Roman" w:cs="宋体"/>
          <w:b/>
          <w:bCs/>
          <w:color w:val="auto"/>
          <w:kern w:val="2"/>
          <w:sz w:val="28"/>
          <w:highlight w:val="none"/>
          <w:lang w:val="en-US" w:eastAsia="zh-CN" w:bidi="ar-SA"/>
        </w:rPr>
        <w:t>文件</w:t>
      </w:r>
    </w:p>
    <w:p w14:paraId="0A1242A2">
      <w:pPr>
        <w:ind w:firstLine="562" w:firstLineChars="200"/>
        <w:jc w:val="left"/>
        <w:rPr>
          <w:rFonts w:ascii="Times New Roman" w:hAnsi="Times New Roman" w:eastAsia="宋体" w:cs="宋体"/>
          <w:b/>
          <w:color w:val="auto"/>
          <w:sz w:val="2"/>
          <w:szCs w:val="2"/>
          <w:highlight w:val="none"/>
        </w:rPr>
      </w:pPr>
      <w:bookmarkStart w:id="323" w:name="_Toc13155"/>
      <w:bookmarkStart w:id="324" w:name="_Toc16414"/>
      <w:bookmarkStart w:id="325" w:name="_Toc15489"/>
      <w:bookmarkStart w:id="326" w:name="_Toc22071"/>
      <w:r>
        <w:rPr>
          <w:rFonts w:hint="eastAsia" w:cs="宋体"/>
          <w:b/>
          <w:bCs/>
          <w:color w:val="auto"/>
          <w:highlight w:val="none"/>
          <w:lang w:eastAsia="zh-CN"/>
        </w:rPr>
        <w:t>（</w:t>
      </w:r>
      <w:r>
        <w:rPr>
          <w:rFonts w:hint="eastAsia" w:cs="宋体"/>
          <w:b/>
          <w:bCs/>
          <w:color w:val="auto"/>
          <w:highlight w:val="none"/>
          <w:lang w:val="en-US" w:eastAsia="zh-CN"/>
        </w:rPr>
        <w:t>一</w:t>
      </w:r>
      <w:r>
        <w:rPr>
          <w:rFonts w:hint="eastAsia" w:cs="宋体"/>
          <w:b/>
          <w:bCs/>
          <w:color w:val="auto"/>
          <w:highlight w:val="none"/>
          <w:lang w:eastAsia="zh-CN"/>
        </w:rPr>
        <w:t>）法定代表人（或负责人）</w:t>
      </w:r>
      <w:r>
        <w:rPr>
          <w:rFonts w:hint="eastAsia" w:ascii="Times New Roman" w:hAnsi="Times New Roman" w:eastAsia="宋体" w:cs="宋体"/>
          <w:b/>
          <w:bCs/>
          <w:color w:val="auto"/>
          <w:highlight w:val="none"/>
        </w:rPr>
        <w:t>身份证明书</w:t>
      </w:r>
      <w:bookmarkEnd w:id="323"/>
      <w:r>
        <w:rPr>
          <w:rFonts w:hint="eastAsia" w:ascii="Times New Roman" w:hAnsi="Times New Roman" w:eastAsia="宋体" w:cs="宋体"/>
          <w:b/>
          <w:bCs/>
          <w:color w:val="auto"/>
          <w:highlight w:val="none"/>
        </w:rPr>
        <w:t>（格式）</w:t>
      </w:r>
      <w:bookmarkEnd w:id="324"/>
      <w:bookmarkEnd w:id="325"/>
      <w:bookmarkEnd w:id="326"/>
    </w:p>
    <w:p w14:paraId="2A8155D9">
      <w:pPr>
        <w:tabs>
          <w:tab w:val="left" w:pos="6300"/>
        </w:tabs>
        <w:snapToGrid w:val="0"/>
        <w:spacing w:line="480" w:lineRule="atLeast"/>
        <w:ind w:firstLine="480"/>
        <w:rPr>
          <w:rFonts w:ascii="Times New Roman" w:hAnsi="Times New Roman" w:eastAsia="宋体" w:cs="宋体"/>
          <w:color w:val="auto"/>
          <w:highlight w:val="none"/>
        </w:rPr>
      </w:pPr>
    </w:p>
    <w:p w14:paraId="40A669A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7900A685">
      <w:pPr>
        <w:tabs>
          <w:tab w:val="left" w:pos="6300"/>
        </w:tabs>
        <w:snapToGrid w:val="0"/>
        <w:spacing w:line="480" w:lineRule="atLeast"/>
        <w:ind w:firstLine="570"/>
        <w:rPr>
          <w:rFonts w:ascii="Times New Roman" w:hAnsi="Times New Roman" w:eastAsia="宋体" w:cs="宋体"/>
          <w:color w:val="auto"/>
          <w:szCs w:val="28"/>
          <w:highlight w:val="none"/>
        </w:rPr>
      </w:pPr>
    </w:p>
    <w:p w14:paraId="6AD314B7">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08066A4C">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w:t>
      </w:r>
    </w:p>
    <w:p w14:paraId="294B5F01">
      <w:pPr>
        <w:tabs>
          <w:tab w:val="left" w:pos="6300"/>
        </w:tabs>
        <w:snapToGrid w:val="0"/>
        <w:spacing w:line="480" w:lineRule="atLeast"/>
        <w:ind w:firstLine="570"/>
        <w:rPr>
          <w:rFonts w:ascii="Times New Roman" w:hAnsi="Times New Roman" w:eastAsia="宋体" w:cs="宋体"/>
          <w:color w:val="auto"/>
          <w:szCs w:val="28"/>
          <w:highlight w:val="none"/>
        </w:rPr>
      </w:pPr>
    </w:p>
    <w:p w14:paraId="03B38590">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0D7B6FE8">
      <w:pPr>
        <w:tabs>
          <w:tab w:val="left" w:pos="6300"/>
        </w:tabs>
        <w:snapToGrid w:val="0"/>
        <w:spacing w:line="480" w:lineRule="atLeast"/>
        <w:ind w:firstLine="570"/>
        <w:rPr>
          <w:rFonts w:ascii="Times New Roman" w:hAnsi="Times New Roman" w:eastAsia="宋体" w:cs="宋体"/>
          <w:color w:val="auto"/>
          <w:szCs w:val="28"/>
          <w:highlight w:val="none"/>
        </w:rPr>
      </w:pPr>
    </w:p>
    <w:p w14:paraId="2C5E6085">
      <w:pPr>
        <w:tabs>
          <w:tab w:val="left" w:pos="6300"/>
        </w:tabs>
        <w:snapToGrid w:val="0"/>
        <w:spacing w:line="480" w:lineRule="atLeast"/>
        <w:ind w:firstLine="570"/>
        <w:rPr>
          <w:rFonts w:ascii="Times New Roman" w:hAnsi="Times New Roman" w:eastAsia="宋体" w:cs="宋体"/>
          <w:color w:val="auto"/>
          <w:szCs w:val="28"/>
          <w:highlight w:val="none"/>
        </w:rPr>
      </w:pPr>
    </w:p>
    <w:p w14:paraId="06AE2641">
      <w:pPr>
        <w:tabs>
          <w:tab w:val="left" w:pos="6300"/>
        </w:tabs>
        <w:snapToGrid w:val="0"/>
        <w:spacing w:line="480" w:lineRule="atLeast"/>
        <w:ind w:firstLine="570"/>
        <w:rPr>
          <w:rFonts w:ascii="Times New Roman" w:hAnsi="Times New Roman" w:eastAsia="宋体" w:cs="宋体"/>
          <w:color w:val="auto"/>
          <w:szCs w:val="28"/>
          <w:highlight w:val="none"/>
        </w:rPr>
      </w:pPr>
    </w:p>
    <w:p w14:paraId="1A39A75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0717A4FA">
      <w:pPr>
        <w:tabs>
          <w:tab w:val="left" w:pos="6300"/>
        </w:tabs>
        <w:snapToGrid w:val="0"/>
        <w:spacing w:line="480" w:lineRule="atLeast"/>
        <w:ind w:firstLine="570"/>
        <w:rPr>
          <w:rFonts w:ascii="Times New Roman" w:hAnsi="Times New Roman" w:eastAsia="宋体" w:cs="宋体"/>
          <w:color w:val="auto"/>
          <w:szCs w:val="28"/>
          <w:highlight w:val="none"/>
        </w:rPr>
      </w:pPr>
    </w:p>
    <w:p w14:paraId="7D4502F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49863DE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电话：XXXXXXX      电子邮箱：XXXXXX@XXXXX（若授权他人办理并签署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r>
        <w:rPr>
          <w:rFonts w:hint="eastAsia" w:cs="宋体"/>
          <w:color w:val="auto"/>
          <w:szCs w:val="28"/>
          <w:highlight w:val="none"/>
          <w:lang w:eastAsia="zh-CN"/>
        </w:rPr>
        <w:t>电话和邮箱</w:t>
      </w:r>
      <w:r>
        <w:rPr>
          <w:rFonts w:hint="eastAsia" w:ascii="Times New Roman" w:hAnsi="Times New Roman" w:eastAsia="宋体" w:cs="宋体"/>
          <w:color w:val="auto"/>
          <w:szCs w:val="28"/>
          <w:highlight w:val="none"/>
        </w:rPr>
        <w:t>）</w:t>
      </w:r>
    </w:p>
    <w:p w14:paraId="41EA60FD">
      <w:pPr>
        <w:tabs>
          <w:tab w:val="left" w:pos="6300"/>
        </w:tabs>
        <w:snapToGrid w:val="0"/>
        <w:spacing w:line="480" w:lineRule="atLeast"/>
        <w:ind w:firstLine="570"/>
        <w:rPr>
          <w:rFonts w:hint="eastAsia" w:ascii="Times New Roman" w:hAnsi="Times New Roman" w:eastAsia="宋体" w:cs="宋体"/>
          <w:color w:val="auto"/>
          <w:szCs w:val="28"/>
          <w:highlight w:val="none"/>
        </w:rPr>
      </w:pPr>
    </w:p>
    <w:p w14:paraId="08F4503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身份证正反面复印件）</w:t>
      </w:r>
    </w:p>
    <w:p w14:paraId="74CDA65B">
      <w:pPr>
        <w:spacing w:line="480" w:lineRule="atLeast"/>
        <w:rPr>
          <w:rFonts w:ascii="Times New Roman" w:hAnsi="Times New Roman" w:eastAsia="宋体" w:cs="宋体"/>
          <w:b/>
          <w:bCs/>
          <w:color w:val="auto"/>
          <w:highlight w:val="none"/>
        </w:rPr>
      </w:pPr>
    </w:p>
    <w:p w14:paraId="5DA5262B">
      <w:pPr>
        <w:spacing w:line="480" w:lineRule="atLeast"/>
        <w:rPr>
          <w:rFonts w:ascii="Times New Roman" w:hAnsi="Times New Roman" w:eastAsia="宋体" w:cs="宋体"/>
          <w:color w:val="auto"/>
          <w:highlight w:val="none"/>
        </w:rPr>
      </w:pPr>
    </w:p>
    <w:p w14:paraId="62127122">
      <w:pPr>
        <w:spacing w:line="480" w:lineRule="atLeast"/>
        <w:rPr>
          <w:rFonts w:ascii="Times New Roman" w:hAnsi="Times New Roman" w:eastAsia="宋体" w:cs="宋体"/>
          <w:b/>
          <w:color w:val="auto"/>
          <w:highlight w:val="none"/>
        </w:rPr>
      </w:pPr>
    </w:p>
    <w:p w14:paraId="26B4A881">
      <w:pPr>
        <w:spacing w:line="480" w:lineRule="atLeast"/>
        <w:rPr>
          <w:rFonts w:ascii="Times New Roman" w:hAnsi="Times New Roman" w:eastAsia="宋体" w:cs="宋体"/>
          <w:b/>
          <w:color w:val="auto"/>
          <w:highlight w:val="none"/>
        </w:rPr>
      </w:pPr>
    </w:p>
    <w:p w14:paraId="7344E6A1">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0973DCE2">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18D69AD9">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2B4BDE64">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3EE821DE">
      <w:pPr>
        <w:rPr>
          <w:rFonts w:ascii="Times New Roman" w:hAnsi="Times New Roman" w:eastAsia="宋体"/>
          <w:b/>
          <w:bCs/>
          <w:color w:val="auto"/>
          <w:highlight w:val="none"/>
        </w:rPr>
      </w:pPr>
      <w:bookmarkStart w:id="327" w:name="_Toc5047"/>
      <w:bookmarkStart w:id="328" w:name="_Toc13955"/>
      <w:bookmarkStart w:id="329" w:name="_Toc22622"/>
      <w:bookmarkStart w:id="330" w:name="_Toc13316"/>
      <w:r>
        <w:rPr>
          <w:rFonts w:hint="eastAsia" w:ascii="Times New Roman" w:hAnsi="Times New Roman" w:eastAsia="宋体"/>
          <w:b/>
          <w:bCs/>
          <w:color w:val="auto"/>
          <w:highlight w:val="none"/>
        </w:rPr>
        <w:t>（</w:t>
      </w:r>
      <w:r>
        <w:rPr>
          <w:rFonts w:hint="eastAsia"/>
          <w:b/>
          <w:bCs/>
          <w:color w:val="auto"/>
          <w:highlight w:val="none"/>
          <w:lang w:val="en-US" w:eastAsia="zh-CN"/>
        </w:rPr>
        <w:t>二</w:t>
      </w:r>
      <w:r>
        <w:rPr>
          <w:rFonts w:hint="eastAsia" w:ascii="Times New Roman" w:hAnsi="Times New Roman" w:eastAsia="宋体"/>
          <w:b/>
          <w:bCs/>
          <w:color w:val="auto"/>
          <w:highlight w:val="none"/>
        </w:rPr>
        <w:t>）</w:t>
      </w:r>
      <w:r>
        <w:rPr>
          <w:rFonts w:hint="eastAsia"/>
          <w:b/>
          <w:bCs/>
          <w:color w:val="auto"/>
          <w:highlight w:val="none"/>
          <w:lang w:eastAsia="zh-CN"/>
        </w:rPr>
        <w:t>法定代表人（或负责人）</w:t>
      </w:r>
      <w:r>
        <w:rPr>
          <w:rFonts w:hint="eastAsia" w:ascii="Times New Roman" w:hAnsi="Times New Roman" w:eastAsia="宋体"/>
          <w:b/>
          <w:bCs/>
          <w:color w:val="auto"/>
          <w:highlight w:val="none"/>
        </w:rPr>
        <w:t>授权委托书</w:t>
      </w:r>
      <w:bookmarkEnd w:id="327"/>
      <w:r>
        <w:rPr>
          <w:rFonts w:hint="eastAsia" w:ascii="Times New Roman" w:hAnsi="Times New Roman" w:eastAsia="宋体"/>
          <w:b/>
          <w:bCs/>
          <w:color w:val="auto"/>
          <w:highlight w:val="none"/>
        </w:rPr>
        <w:t>（格式）</w:t>
      </w:r>
      <w:bookmarkEnd w:id="328"/>
      <w:bookmarkEnd w:id="329"/>
      <w:bookmarkEnd w:id="330"/>
    </w:p>
    <w:p w14:paraId="20B724D7">
      <w:pPr>
        <w:tabs>
          <w:tab w:val="left" w:pos="6300"/>
        </w:tabs>
        <w:snapToGrid w:val="0"/>
        <w:spacing w:line="480" w:lineRule="atLeast"/>
        <w:ind w:firstLine="560" w:firstLineChars="200"/>
        <w:rPr>
          <w:rFonts w:hint="eastAsia" w:ascii="Times New Roman" w:hAnsi="Times New Roman" w:eastAsia="宋体" w:cs="宋体"/>
          <w:color w:val="auto"/>
          <w:szCs w:val="28"/>
          <w:highlight w:val="none"/>
        </w:rPr>
      </w:pPr>
    </w:p>
    <w:p w14:paraId="543E5898">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307FD62">
      <w:pPr>
        <w:tabs>
          <w:tab w:val="left" w:pos="6300"/>
        </w:tabs>
        <w:snapToGrid w:val="0"/>
        <w:spacing w:line="480" w:lineRule="atLeast"/>
        <w:ind w:firstLine="570"/>
        <w:rPr>
          <w:rFonts w:ascii="Times New Roman" w:hAnsi="Times New Roman" w:eastAsia="宋体" w:cs="宋体"/>
          <w:color w:val="auto"/>
          <w:szCs w:val="28"/>
          <w:highlight w:val="none"/>
        </w:rPr>
      </w:pPr>
    </w:p>
    <w:p w14:paraId="3F6C8FA1">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C87DBA9">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供应商法定代表人（或负责人）姓名</w:t>
      </w:r>
      <w:r>
        <w:rPr>
          <w:rFonts w:hint="eastAsia" w:ascii="Times New Roman" w:hAnsi="Times New Roman" w:eastAsia="宋体" w:cs="宋体"/>
          <w:color w:val="auto"/>
          <w:szCs w:val="28"/>
          <w:highlight w:val="none"/>
        </w:rPr>
        <w:t>）是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w:t>
      </w:r>
      <w:r>
        <w:rPr>
          <w:rFonts w:hint="eastAsia" w:cs="宋体"/>
          <w:color w:val="auto"/>
          <w:szCs w:val="28"/>
          <w:highlight w:val="none"/>
          <w:u w:val="single"/>
          <w:lang w:val="en-US" w:eastAsia="zh-CN"/>
        </w:rPr>
        <w:t xml:space="preserve">       </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w:t>
      </w:r>
      <w:r>
        <w:rPr>
          <w:rFonts w:hint="eastAsia" w:cs="宋体"/>
          <w:color w:val="auto"/>
          <w:szCs w:val="28"/>
          <w:highlight w:val="none"/>
          <w:lang w:val="en-US" w:eastAsia="zh-CN"/>
        </w:rPr>
        <w:t>号码</w:t>
      </w:r>
      <w:r>
        <w:rPr>
          <w:rFonts w:hint="eastAsia" w:ascii="Times New Roman" w:hAnsi="Times New Roman" w:eastAsia="宋体" w:cs="宋体"/>
          <w:color w:val="auto"/>
          <w:szCs w:val="28"/>
          <w:highlight w:val="none"/>
        </w:rPr>
        <w:t>）代表我单位全权办理上述项目的的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、签约等具体工作，并签署全部有关文件、协议及合同。</w:t>
      </w:r>
    </w:p>
    <w:p w14:paraId="4287D8FC">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2BF67BB5">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4D3879DD">
      <w:pPr>
        <w:tabs>
          <w:tab w:val="left" w:pos="6300"/>
        </w:tabs>
        <w:snapToGrid w:val="0"/>
        <w:spacing w:line="480" w:lineRule="atLeast"/>
        <w:ind w:firstLine="570"/>
        <w:rPr>
          <w:rFonts w:ascii="Times New Roman" w:hAnsi="Times New Roman" w:eastAsia="宋体" w:cs="宋体"/>
          <w:color w:val="auto"/>
          <w:szCs w:val="28"/>
          <w:highlight w:val="none"/>
        </w:rPr>
      </w:pPr>
    </w:p>
    <w:p w14:paraId="1741F28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被授权人：                         </w:t>
      </w:r>
      <w:r>
        <w:rPr>
          <w:rFonts w:hint="eastAsia" w:cs="宋体"/>
          <w:color w:val="auto"/>
          <w:szCs w:val="28"/>
          <w:highlight w:val="none"/>
          <w:lang w:eastAsia="zh-CN"/>
        </w:rPr>
        <w:t>供应商法定代表人（或负责人）</w:t>
      </w:r>
      <w:r>
        <w:rPr>
          <w:rFonts w:hint="eastAsia" w:ascii="Times New Roman" w:hAnsi="Times New Roman" w:eastAsia="宋体" w:cs="宋体"/>
          <w:color w:val="auto"/>
          <w:szCs w:val="28"/>
          <w:highlight w:val="none"/>
        </w:rPr>
        <w:t>：</w:t>
      </w:r>
    </w:p>
    <w:p w14:paraId="46422BF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3320449B">
      <w:pPr>
        <w:tabs>
          <w:tab w:val="left" w:pos="6300"/>
        </w:tabs>
        <w:snapToGrid w:val="0"/>
        <w:spacing w:line="480" w:lineRule="atLeast"/>
        <w:rPr>
          <w:rFonts w:ascii="Times New Roman" w:hAnsi="Times New Roman" w:eastAsia="宋体" w:cs="宋体"/>
          <w:color w:val="auto"/>
          <w:szCs w:val="28"/>
          <w:highlight w:val="none"/>
        </w:rPr>
      </w:pPr>
    </w:p>
    <w:p w14:paraId="130CCDC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38C61B4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3C9AEBA7">
      <w:pPr>
        <w:tabs>
          <w:tab w:val="left" w:pos="6300"/>
        </w:tabs>
        <w:snapToGrid w:val="0"/>
        <w:spacing w:line="480" w:lineRule="atLeast"/>
        <w:ind w:firstLine="570"/>
        <w:rPr>
          <w:rFonts w:ascii="Times New Roman" w:hAnsi="Times New Roman" w:eastAsia="宋体" w:cs="宋体"/>
          <w:color w:val="auto"/>
          <w:szCs w:val="28"/>
          <w:highlight w:val="none"/>
        </w:rPr>
      </w:pPr>
    </w:p>
    <w:p w14:paraId="4B5F6342">
      <w:pPr>
        <w:tabs>
          <w:tab w:val="left" w:pos="6300"/>
        </w:tabs>
        <w:snapToGrid w:val="0"/>
        <w:spacing w:line="480" w:lineRule="atLeast"/>
        <w:ind w:firstLine="570"/>
        <w:rPr>
          <w:rFonts w:ascii="Times New Roman" w:hAnsi="Times New Roman" w:eastAsia="宋体" w:cs="宋体"/>
          <w:color w:val="auto"/>
          <w:szCs w:val="28"/>
          <w:highlight w:val="none"/>
        </w:rPr>
      </w:pPr>
    </w:p>
    <w:p w14:paraId="315596B4">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746AB231">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6875B163">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w:t>
      </w:r>
      <w:r>
        <w:rPr>
          <w:rFonts w:hint="eastAsia" w:cs="宋体"/>
          <w:color w:val="auto"/>
          <w:szCs w:val="28"/>
          <w:highlight w:val="none"/>
          <w:lang w:eastAsia="zh-CN"/>
        </w:rPr>
        <w:t>（手机）</w:t>
      </w:r>
      <w:r>
        <w:rPr>
          <w:rFonts w:hint="eastAsia" w:ascii="Times New Roman" w:hAnsi="Times New Roman" w:eastAsia="宋体" w:cs="宋体"/>
          <w:color w:val="auto"/>
          <w:szCs w:val="28"/>
          <w:highlight w:val="none"/>
        </w:rPr>
        <w:t>：XXXXXXX     电子邮箱：XXXXXX@XXXXX（若</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p>
    <w:p w14:paraId="4476B6F7">
      <w:pPr>
        <w:snapToGrid w:val="0"/>
        <w:spacing w:line="480" w:lineRule="atLeast"/>
        <w:ind w:firstLine="560" w:firstLineChars="200"/>
        <w:rPr>
          <w:rFonts w:hint="eastAsia" w:ascii="Times New Roman" w:hAnsi="Times New Roman" w:eastAsia="宋体" w:cs="宋体"/>
          <w:color w:val="auto"/>
          <w:szCs w:val="28"/>
          <w:highlight w:val="none"/>
        </w:rPr>
      </w:pPr>
    </w:p>
    <w:p w14:paraId="5560A678">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注：若为</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的，不提供此文件。</w:t>
      </w:r>
    </w:p>
    <w:p w14:paraId="3A2488DD">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44085289">
      <w:pPr>
        <w:rPr>
          <w:rFonts w:ascii="Times New Roman" w:hAnsi="Times New Roman" w:eastAsia="宋体"/>
          <w:b/>
          <w:bCs/>
          <w:color w:val="auto"/>
          <w:highlight w:val="none"/>
        </w:rPr>
      </w:pPr>
      <w:bookmarkStart w:id="331" w:name="_Toc16943"/>
      <w:bookmarkStart w:id="332" w:name="_Toc6935"/>
      <w:bookmarkStart w:id="333" w:name="_Toc10882"/>
      <w:bookmarkStart w:id="334" w:name="_Toc30268"/>
      <w:bookmarkStart w:id="335" w:name="_Toc14569"/>
      <w:r>
        <w:rPr>
          <w:rFonts w:hint="eastAsia" w:ascii="Times New Roman" w:hAnsi="Times New Roman" w:eastAsia="宋体"/>
          <w:b/>
          <w:bCs/>
          <w:color w:val="auto"/>
          <w:highlight w:val="none"/>
        </w:rPr>
        <w:t>（四）</w:t>
      </w:r>
      <w:bookmarkEnd w:id="331"/>
      <w:r>
        <w:rPr>
          <w:rFonts w:hint="eastAsia" w:ascii="Times New Roman" w:hAnsi="Times New Roman" w:eastAsia="宋体"/>
          <w:b/>
          <w:bCs/>
          <w:color w:val="auto"/>
          <w:highlight w:val="none"/>
        </w:rPr>
        <w:t>基本资格条件承诺函</w:t>
      </w:r>
      <w:bookmarkEnd w:id="332"/>
      <w:r>
        <w:rPr>
          <w:rFonts w:hint="eastAsia" w:ascii="Times New Roman" w:hAnsi="Times New Roman" w:eastAsia="宋体"/>
          <w:b/>
          <w:bCs/>
          <w:color w:val="auto"/>
          <w:highlight w:val="none"/>
        </w:rPr>
        <w:t>（格式）</w:t>
      </w:r>
      <w:bookmarkEnd w:id="333"/>
      <w:bookmarkEnd w:id="334"/>
      <w:bookmarkEnd w:id="335"/>
    </w:p>
    <w:p w14:paraId="0F48A1C2">
      <w:pPr>
        <w:spacing w:line="480" w:lineRule="atLeast"/>
        <w:ind w:firstLine="562" w:firstLineChars="200"/>
        <w:jc w:val="center"/>
        <w:rPr>
          <w:rFonts w:ascii="Times New Roman" w:hAnsi="Times New Roman" w:eastAsia="宋体" w:cs="宋体"/>
          <w:b/>
          <w:bCs/>
          <w:color w:val="auto"/>
          <w:szCs w:val="32"/>
          <w:highlight w:val="none"/>
        </w:rPr>
      </w:pPr>
    </w:p>
    <w:p w14:paraId="7B837FCC">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542EE404">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val="en-US" w:eastAsia="zh-CN"/>
        </w:rPr>
        <w:t>采购人或</w:t>
      </w:r>
      <w:r>
        <w:rPr>
          <w:rFonts w:hint="eastAsia" w:ascii="Times New Roman" w:hAnsi="Times New Roman" w:eastAsia="宋体" w:cs="宋体"/>
          <w:color w:val="auto"/>
          <w:szCs w:val="32"/>
          <w:highlight w:val="none"/>
        </w:rPr>
        <w:t>代理机构名称）：</w:t>
      </w:r>
    </w:p>
    <w:p w14:paraId="4B89759B">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名称）郑重承诺：</w:t>
      </w:r>
    </w:p>
    <w:p w14:paraId="13550A76">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7567F3F0">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136ECBF1">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3.我方在项目评审（</w:t>
      </w:r>
      <w:r>
        <w:rPr>
          <w:rFonts w:hint="eastAsia" w:cs="宋体"/>
          <w:color w:val="auto"/>
          <w:szCs w:val="32"/>
          <w:highlight w:val="none"/>
          <w:lang w:eastAsia="zh-CN"/>
        </w:rPr>
        <w:t>评审</w:t>
      </w:r>
      <w:r>
        <w:rPr>
          <w:rFonts w:hint="eastAsia" w:ascii="Times New Roman" w:hAnsi="Times New Roman" w:eastAsia="宋体" w:cs="宋体"/>
          <w:color w:val="auto"/>
          <w:szCs w:val="32"/>
          <w:highlight w:val="none"/>
        </w:rPr>
        <w:t>）环节结束后，随时接受</w:t>
      </w:r>
      <w:r>
        <w:rPr>
          <w:rFonts w:hint="eastAsia" w:cs="宋体"/>
          <w:color w:val="auto"/>
          <w:szCs w:val="32"/>
          <w:highlight w:val="none"/>
          <w:lang w:eastAsia="zh-CN"/>
        </w:rPr>
        <w:t>采购人</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采购代理</w:t>
      </w:r>
      <w:r>
        <w:rPr>
          <w:rFonts w:hint="eastAsia" w:ascii="Times New Roman" w:hAnsi="Times New Roman" w:eastAsia="宋体" w:cs="宋体"/>
          <w:color w:val="auto"/>
          <w:szCs w:val="32"/>
          <w:highlight w:val="none"/>
        </w:rPr>
        <w:t>机构的检查验证，配合提供相关证明材料，证明符合</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基本资格条件。</w:t>
      </w:r>
    </w:p>
    <w:p w14:paraId="4A99A82F">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44DBFAB1">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02159D98">
      <w:pPr>
        <w:tabs>
          <w:tab w:val="left" w:pos="6300"/>
        </w:tabs>
        <w:snapToGrid w:val="0"/>
        <w:spacing w:line="480" w:lineRule="atLeast"/>
        <w:rPr>
          <w:rFonts w:ascii="Times New Roman" w:hAnsi="Times New Roman" w:eastAsia="宋体" w:cs="宋体"/>
          <w:color w:val="auto"/>
          <w:szCs w:val="32"/>
          <w:highlight w:val="none"/>
        </w:rPr>
      </w:pPr>
    </w:p>
    <w:p w14:paraId="2E806C46">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558FA858">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3B821F3">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185936C">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公章）</w:t>
      </w:r>
    </w:p>
    <w:p w14:paraId="5CB71A3B">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7356BDBE">
      <w:pPr>
        <w:spacing w:line="480" w:lineRule="atLeast"/>
        <w:ind w:right="540" w:firstLine="3080" w:firstLineChars="1100"/>
        <w:jc w:val="right"/>
        <w:rPr>
          <w:rFonts w:ascii="Times New Roman" w:hAnsi="Times New Roman" w:eastAsia="宋体" w:cs="宋体"/>
          <w:color w:val="auto"/>
          <w:highlight w:val="none"/>
        </w:rPr>
      </w:pPr>
    </w:p>
    <w:bookmarkEnd w:id="312"/>
    <w:p w14:paraId="2A131DBB">
      <w:pPr>
        <w:spacing w:line="480" w:lineRule="atLeast"/>
        <w:rPr>
          <w:rFonts w:ascii="Times New Roman" w:hAnsi="Times New Roman" w:eastAsia="宋体" w:cs="宋体"/>
          <w:b/>
          <w:bCs/>
          <w:color w:val="auto"/>
          <w:highlight w:val="none"/>
        </w:rPr>
      </w:pPr>
      <w:bookmarkStart w:id="336" w:name="_Toc19365"/>
      <w:bookmarkStart w:id="337" w:name="_Toc22450"/>
      <w:bookmarkStart w:id="338" w:name="_Toc1814"/>
      <w:bookmarkStart w:id="339" w:name="_Toc32708"/>
      <w:bookmarkStart w:id="340" w:name="_Toc9726"/>
    </w:p>
    <w:p w14:paraId="7ACD1BA4">
      <w:pPr>
        <w:ind w:firstLine="562" w:firstLineChars="200"/>
        <w:rPr>
          <w:rFonts w:ascii="Times New Roman" w:hAnsi="Times New Roman" w:eastAsia="宋体" w:cs="宋体"/>
          <w:b/>
          <w:bCs/>
          <w:color w:val="auto"/>
          <w:highlight w:val="none"/>
        </w:rPr>
      </w:pPr>
      <w:bookmarkStart w:id="341" w:name="_Toc13006"/>
      <w:r>
        <w:rPr>
          <w:rFonts w:hint="eastAsia" w:ascii="Times New Roman" w:hAnsi="Times New Roman" w:eastAsia="宋体" w:cs="宋体"/>
          <w:b/>
          <w:bCs/>
          <w:color w:val="auto"/>
          <w:highlight w:val="none"/>
        </w:rPr>
        <w:br w:type="page"/>
      </w:r>
    </w:p>
    <w:p w14:paraId="27AFE44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b/>
          <w:bCs/>
          <w:color w:val="auto"/>
          <w:highlight w:val="none"/>
          <w:lang w:val="en-US" w:eastAsia="zh-CN"/>
        </w:rPr>
      </w:pPr>
      <w:bookmarkStart w:id="342" w:name="_Toc31862"/>
      <w:bookmarkStart w:id="343" w:name="_Toc23748"/>
      <w:bookmarkStart w:id="344" w:name="_Toc10274"/>
      <w:r>
        <w:rPr>
          <w:rFonts w:hint="eastAsia" w:ascii="Times New Roman" w:hAnsi="Times New Roman" w:eastAsia="宋体" w:cs="宋体"/>
          <w:b/>
          <w:bCs/>
          <w:color w:val="auto"/>
          <w:highlight w:val="none"/>
        </w:rPr>
        <w:t>（五）特定资格条件</w:t>
      </w:r>
      <w:r>
        <w:rPr>
          <w:rFonts w:hint="eastAsia" w:cs="宋体"/>
          <w:b/>
          <w:bCs/>
          <w:color w:val="auto"/>
          <w:highlight w:val="none"/>
          <w:lang w:eastAsia="zh-CN"/>
        </w:rPr>
        <w:t>证明材料</w:t>
      </w:r>
    </w:p>
    <w:p w14:paraId="2683D2FB">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342"/>
    <w:bookmarkEnd w:id="343"/>
    <w:bookmarkEnd w:id="344"/>
    <w:p w14:paraId="417F6295">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345" w:name="_Toc29622"/>
      <w:bookmarkStart w:id="346" w:name="_Toc15378"/>
      <w:bookmarkStart w:id="347" w:name="_Toc12587"/>
      <w:bookmarkStart w:id="348" w:name="_Toc29104"/>
      <w:r>
        <w:rPr>
          <w:rFonts w:hint="eastAsia" w:ascii="Times New Roman" w:hAnsi="Times New Roman" w:eastAsia="宋体" w:cs="宋体"/>
          <w:color w:val="auto"/>
          <w:highlight w:val="none"/>
        </w:rPr>
        <w:t>三、</w:t>
      </w:r>
      <w:bookmarkEnd w:id="336"/>
      <w:bookmarkEnd w:id="337"/>
      <w:bookmarkEnd w:id="338"/>
      <w:bookmarkEnd w:id="339"/>
      <w:bookmarkEnd w:id="341"/>
      <w:bookmarkEnd w:id="345"/>
      <w:bookmarkEnd w:id="346"/>
      <w:bookmarkEnd w:id="347"/>
      <w:r>
        <w:rPr>
          <w:rFonts w:hint="eastAsia" w:ascii="Times New Roman" w:hAnsi="Times New Roman" w:cs="宋体"/>
          <w:color w:val="auto"/>
          <w:highlight w:val="none"/>
          <w:lang w:eastAsia="zh-CN"/>
        </w:rPr>
        <w:t>服务部分</w:t>
      </w:r>
      <w:bookmarkEnd w:id="348"/>
    </w:p>
    <w:p w14:paraId="7761EAD6">
      <w:pPr>
        <w:rPr>
          <w:rFonts w:ascii="Times New Roman" w:hAnsi="Times New Roman" w:eastAsia="宋体"/>
          <w:b/>
          <w:bCs/>
          <w:color w:val="auto"/>
          <w:highlight w:val="none"/>
        </w:rPr>
      </w:pPr>
      <w:bookmarkStart w:id="349" w:name="_Toc17114"/>
      <w:bookmarkStart w:id="350" w:name="_Toc8181"/>
      <w:bookmarkStart w:id="351" w:name="_Toc13297"/>
      <w:r>
        <w:rPr>
          <w:rFonts w:hint="eastAsia" w:ascii="Times New Roman" w:hAnsi="Times New Roman" w:eastAsia="宋体"/>
          <w:b/>
          <w:bCs/>
          <w:color w:val="auto"/>
          <w:highlight w:val="none"/>
        </w:rPr>
        <w:t>（一）</w:t>
      </w:r>
      <w:r>
        <w:rPr>
          <w:rFonts w:hint="eastAsia"/>
          <w:b/>
          <w:bCs/>
          <w:color w:val="auto"/>
          <w:highlight w:val="none"/>
          <w:lang w:eastAsia="zh-CN"/>
        </w:rPr>
        <w:t>服务条款</w:t>
      </w:r>
      <w:r>
        <w:rPr>
          <w:rFonts w:hint="eastAsia" w:ascii="Times New Roman" w:hAnsi="Times New Roman" w:eastAsia="宋体"/>
          <w:b/>
          <w:bCs/>
          <w:color w:val="auto"/>
          <w:highlight w:val="none"/>
        </w:rPr>
        <w:t>差异表</w:t>
      </w:r>
      <w:bookmarkEnd w:id="349"/>
      <w:bookmarkEnd w:id="350"/>
      <w:bookmarkEnd w:id="351"/>
    </w:p>
    <w:bookmarkEnd w:id="340"/>
    <w:p w14:paraId="02B4327D">
      <w:pPr>
        <w:tabs>
          <w:tab w:val="left" w:pos="720"/>
        </w:tabs>
        <w:spacing w:line="480" w:lineRule="atLeast"/>
        <w:jc w:val="center"/>
        <w:rPr>
          <w:rFonts w:ascii="Times New Roman" w:hAnsi="Times New Roman" w:eastAsia="宋体" w:cs="宋体"/>
          <w:color w:val="auto"/>
          <w:highlight w:val="none"/>
        </w:rPr>
      </w:pPr>
      <w:r>
        <w:rPr>
          <w:rFonts w:hint="eastAsia" w:cs="宋体"/>
          <w:color w:val="auto"/>
          <w:highlight w:val="none"/>
          <w:lang w:eastAsia="zh-CN"/>
        </w:rPr>
        <w:t>服务条款</w:t>
      </w:r>
      <w:r>
        <w:rPr>
          <w:rFonts w:hint="eastAsia" w:ascii="Times New Roman" w:hAnsi="Times New Roman" w:eastAsia="宋体" w:cs="宋体"/>
          <w:color w:val="auto"/>
          <w:highlight w:val="none"/>
        </w:rPr>
        <w:t>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5"/>
        <w:gridCol w:w="3154"/>
        <w:gridCol w:w="2363"/>
      </w:tblGrid>
      <w:tr w14:paraId="5F46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6B382F0B">
            <w:pPr>
              <w:jc w:val="center"/>
              <w:rPr>
                <w:rFonts w:ascii="Times New Roman" w:hAnsi="Times New Roman" w:eastAsia="宋体"/>
                <w:color w:val="auto"/>
                <w:sz w:val="24"/>
                <w:szCs w:val="24"/>
                <w:highlight w:val="none"/>
              </w:rPr>
            </w:pPr>
            <w:bookmarkStart w:id="352" w:name="_Toc32321"/>
            <w:bookmarkStart w:id="353" w:name="_Toc11598"/>
            <w:bookmarkStart w:id="354" w:name="_Toc19618"/>
            <w:bookmarkStart w:id="355" w:name="_Toc26811"/>
            <w:bookmarkStart w:id="356" w:name="_Toc20881"/>
            <w:bookmarkStart w:id="357" w:name="_Toc11785"/>
            <w:r>
              <w:rPr>
                <w:rFonts w:hint="eastAsia" w:ascii="Times New Roman" w:hAnsi="Times New Roman" w:eastAsia="宋体"/>
                <w:color w:val="auto"/>
                <w:sz w:val="24"/>
                <w:szCs w:val="24"/>
                <w:highlight w:val="none"/>
              </w:rPr>
              <w:t>序号</w:t>
            </w:r>
            <w:bookmarkEnd w:id="352"/>
            <w:bookmarkEnd w:id="353"/>
            <w:bookmarkEnd w:id="354"/>
            <w:bookmarkEnd w:id="355"/>
            <w:bookmarkEnd w:id="356"/>
            <w:bookmarkEnd w:id="357"/>
          </w:p>
        </w:tc>
        <w:tc>
          <w:tcPr>
            <w:tcW w:w="1540" w:type="pct"/>
            <w:vAlign w:val="center"/>
          </w:tcPr>
          <w:p w14:paraId="403F5DCB">
            <w:pPr>
              <w:jc w:val="center"/>
              <w:rPr>
                <w:rFonts w:hint="default" w:ascii="Times New Roman" w:hAnsi="Times New Roman" w:eastAsia="宋体"/>
                <w:color w:val="auto"/>
                <w:sz w:val="24"/>
                <w:szCs w:val="24"/>
                <w:highlight w:val="none"/>
                <w:lang w:val="en-US"/>
              </w:rPr>
            </w:pPr>
            <w:bookmarkStart w:id="358" w:name="_Toc22837"/>
            <w:bookmarkStart w:id="359" w:name="_Toc23124"/>
            <w:bookmarkStart w:id="360" w:name="_Toc10531"/>
            <w:bookmarkStart w:id="361" w:name="_Toc18303"/>
            <w:bookmarkStart w:id="362" w:name="_Toc25371"/>
            <w:bookmarkStart w:id="363" w:name="_Toc22352"/>
            <w:r>
              <w:rPr>
                <w:rFonts w:hint="eastAsia"/>
                <w:color w:val="auto"/>
                <w:sz w:val="24"/>
                <w:szCs w:val="24"/>
                <w:highlight w:val="none"/>
                <w:lang w:val="en-US" w:eastAsia="zh-CN"/>
              </w:rPr>
              <w:t>项目</w:t>
            </w:r>
            <w:bookmarkEnd w:id="358"/>
            <w:bookmarkEnd w:id="359"/>
            <w:bookmarkEnd w:id="360"/>
            <w:bookmarkEnd w:id="361"/>
            <w:bookmarkEnd w:id="362"/>
            <w:bookmarkEnd w:id="363"/>
            <w:r>
              <w:rPr>
                <w:rFonts w:hint="eastAsia"/>
                <w:color w:val="auto"/>
                <w:sz w:val="24"/>
                <w:szCs w:val="24"/>
                <w:highlight w:val="none"/>
                <w:lang w:val="en-US" w:eastAsia="zh-CN"/>
              </w:rPr>
              <w:t>要求</w:t>
            </w:r>
          </w:p>
        </w:tc>
        <w:tc>
          <w:tcPr>
            <w:tcW w:w="1600" w:type="pct"/>
            <w:vAlign w:val="center"/>
          </w:tcPr>
          <w:p w14:paraId="7D3833A2">
            <w:pPr>
              <w:jc w:val="center"/>
              <w:rPr>
                <w:rFonts w:ascii="Times New Roman" w:hAnsi="Times New Roman" w:eastAsia="宋体"/>
                <w:color w:val="auto"/>
                <w:sz w:val="24"/>
                <w:szCs w:val="24"/>
                <w:highlight w:val="none"/>
              </w:rPr>
            </w:pPr>
            <w:bookmarkStart w:id="364" w:name="_Toc27763"/>
            <w:bookmarkStart w:id="365" w:name="_Toc23328"/>
            <w:bookmarkStart w:id="366" w:name="_Toc22442"/>
            <w:bookmarkStart w:id="367" w:name="_Toc11743"/>
            <w:bookmarkStart w:id="368" w:name="_Toc2477"/>
            <w:bookmarkStart w:id="369" w:name="_Toc2096"/>
            <w:r>
              <w:rPr>
                <w:rFonts w:hint="eastAsia" w:ascii="Times New Roman" w:hAnsi="Times New Roman" w:eastAsia="宋体"/>
                <w:color w:val="auto"/>
                <w:sz w:val="24"/>
                <w:szCs w:val="24"/>
                <w:highlight w:val="none"/>
              </w:rPr>
              <w:t>响应情况</w:t>
            </w:r>
            <w:bookmarkEnd w:id="364"/>
            <w:bookmarkEnd w:id="365"/>
            <w:bookmarkEnd w:id="366"/>
            <w:bookmarkEnd w:id="367"/>
            <w:bookmarkEnd w:id="368"/>
            <w:bookmarkEnd w:id="369"/>
          </w:p>
        </w:tc>
        <w:tc>
          <w:tcPr>
            <w:tcW w:w="1199" w:type="pct"/>
            <w:vAlign w:val="center"/>
          </w:tcPr>
          <w:p w14:paraId="1BFD2B81">
            <w:pPr>
              <w:jc w:val="center"/>
              <w:rPr>
                <w:rFonts w:ascii="Times New Roman" w:hAnsi="Times New Roman" w:eastAsia="宋体"/>
                <w:color w:val="auto"/>
                <w:sz w:val="24"/>
                <w:szCs w:val="24"/>
                <w:highlight w:val="none"/>
              </w:rPr>
            </w:pPr>
            <w:bookmarkStart w:id="370" w:name="_Toc10595"/>
            <w:bookmarkStart w:id="371" w:name="_Toc14056"/>
            <w:bookmarkStart w:id="372" w:name="_Toc30250"/>
            <w:bookmarkStart w:id="373" w:name="_Toc16701"/>
            <w:bookmarkStart w:id="374" w:name="_Toc5026"/>
            <w:bookmarkStart w:id="375" w:name="_Toc3009"/>
            <w:r>
              <w:rPr>
                <w:rFonts w:hint="eastAsia" w:ascii="Times New Roman" w:hAnsi="Times New Roman" w:eastAsia="宋体"/>
                <w:color w:val="auto"/>
                <w:sz w:val="24"/>
                <w:szCs w:val="24"/>
                <w:highlight w:val="none"/>
              </w:rPr>
              <w:t>差异说明</w:t>
            </w:r>
            <w:bookmarkEnd w:id="370"/>
            <w:bookmarkEnd w:id="371"/>
            <w:bookmarkEnd w:id="372"/>
            <w:bookmarkEnd w:id="373"/>
            <w:bookmarkEnd w:id="374"/>
            <w:bookmarkEnd w:id="375"/>
          </w:p>
        </w:tc>
      </w:tr>
      <w:tr w14:paraId="6EE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C9EBC43">
            <w:pPr>
              <w:jc w:val="center"/>
              <w:rPr>
                <w:rFonts w:ascii="Times New Roman" w:hAnsi="Times New Roman" w:eastAsia="宋体"/>
                <w:color w:val="auto"/>
                <w:sz w:val="24"/>
                <w:szCs w:val="24"/>
                <w:highlight w:val="none"/>
              </w:rPr>
            </w:pPr>
          </w:p>
        </w:tc>
        <w:tc>
          <w:tcPr>
            <w:tcW w:w="1540" w:type="pct"/>
            <w:vAlign w:val="center"/>
          </w:tcPr>
          <w:p w14:paraId="6AF7B94A">
            <w:pPr>
              <w:jc w:val="center"/>
              <w:rPr>
                <w:rFonts w:ascii="Times New Roman" w:hAnsi="Times New Roman" w:eastAsia="宋体"/>
                <w:color w:val="auto"/>
                <w:sz w:val="24"/>
                <w:szCs w:val="24"/>
                <w:highlight w:val="none"/>
              </w:rPr>
            </w:pPr>
          </w:p>
        </w:tc>
        <w:tc>
          <w:tcPr>
            <w:tcW w:w="1600" w:type="pct"/>
            <w:vAlign w:val="center"/>
          </w:tcPr>
          <w:p w14:paraId="2198C634">
            <w:pPr>
              <w:jc w:val="center"/>
              <w:rPr>
                <w:rFonts w:ascii="Times New Roman" w:hAnsi="Times New Roman" w:eastAsia="宋体"/>
                <w:color w:val="auto"/>
                <w:sz w:val="24"/>
                <w:szCs w:val="24"/>
                <w:highlight w:val="none"/>
              </w:rPr>
            </w:pPr>
          </w:p>
        </w:tc>
        <w:tc>
          <w:tcPr>
            <w:tcW w:w="1199" w:type="pct"/>
            <w:vAlign w:val="center"/>
          </w:tcPr>
          <w:p w14:paraId="122DAF4C">
            <w:pPr>
              <w:jc w:val="center"/>
              <w:rPr>
                <w:rFonts w:ascii="Times New Roman" w:hAnsi="Times New Roman" w:eastAsia="宋体"/>
                <w:color w:val="auto"/>
                <w:sz w:val="24"/>
                <w:szCs w:val="24"/>
                <w:highlight w:val="none"/>
              </w:rPr>
            </w:pPr>
          </w:p>
        </w:tc>
      </w:tr>
      <w:tr w14:paraId="4B82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2878148">
            <w:pPr>
              <w:jc w:val="center"/>
              <w:rPr>
                <w:rFonts w:ascii="Times New Roman" w:hAnsi="Times New Roman" w:eastAsia="宋体"/>
                <w:color w:val="auto"/>
                <w:sz w:val="24"/>
                <w:szCs w:val="24"/>
                <w:highlight w:val="none"/>
              </w:rPr>
            </w:pPr>
          </w:p>
        </w:tc>
        <w:tc>
          <w:tcPr>
            <w:tcW w:w="1540" w:type="pct"/>
            <w:vAlign w:val="center"/>
          </w:tcPr>
          <w:p w14:paraId="69E3B427">
            <w:pPr>
              <w:jc w:val="center"/>
              <w:rPr>
                <w:rFonts w:ascii="Times New Roman" w:hAnsi="Times New Roman" w:eastAsia="宋体"/>
                <w:color w:val="auto"/>
                <w:sz w:val="24"/>
                <w:szCs w:val="24"/>
                <w:highlight w:val="none"/>
              </w:rPr>
            </w:pPr>
          </w:p>
        </w:tc>
        <w:tc>
          <w:tcPr>
            <w:tcW w:w="1600" w:type="pct"/>
            <w:vAlign w:val="center"/>
          </w:tcPr>
          <w:p w14:paraId="566B79BC">
            <w:pPr>
              <w:jc w:val="center"/>
              <w:rPr>
                <w:rFonts w:ascii="Times New Roman" w:hAnsi="Times New Roman" w:eastAsia="宋体"/>
                <w:color w:val="auto"/>
                <w:sz w:val="24"/>
                <w:szCs w:val="24"/>
                <w:highlight w:val="none"/>
              </w:rPr>
            </w:pPr>
          </w:p>
        </w:tc>
        <w:tc>
          <w:tcPr>
            <w:tcW w:w="1199" w:type="pct"/>
            <w:vAlign w:val="center"/>
          </w:tcPr>
          <w:p w14:paraId="4C154FE7">
            <w:pPr>
              <w:jc w:val="center"/>
              <w:rPr>
                <w:rFonts w:ascii="Times New Roman" w:hAnsi="Times New Roman" w:eastAsia="宋体"/>
                <w:color w:val="auto"/>
                <w:sz w:val="24"/>
                <w:szCs w:val="24"/>
                <w:highlight w:val="none"/>
              </w:rPr>
            </w:pPr>
          </w:p>
        </w:tc>
      </w:tr>
      <w:tr w14:paraId="13B0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33B82B">
            <w:pPr>
              <w:jc w:val="center"/>
              <w:rPr>
                <w:rFonts w:ascii="Times New Roman" w:hAnsi="Times New Roman" w:eastAsia="宋体"/>
                <w:color w:val="auto"/>
                <w:sz w:val="24"/>
                <w:szCs w:val="24"/>
                <w:highlight w:val="none"/>
              </w:rPr>
            </w:pPr>
          </w:p>
        </w:tc>
        <w:tc>
          <w:tcPr>
            <w:tcW w:w="1540" w:type="pct"/>
            <w:vAlign w:val="center"/>
          </w:tcPr>
          <w:p w14:paraId="721D6F53">
            <w:pPr>
              <w:jc w:val="center"/>
              <w:rPr>
                <w:rFonts w:ascii="Times New Roman" w:hAnsi="Times New Roman" w:eastAsia="宋体"/>
                <w:color w:val="auto"/>
                <w:sz w:val="24"/>
                <w:szCs w:val="24"/>
                <w:highlight w:val="none"/>
              </w:rPr>
            </w:pPr>
          </w:p>
        </w:tc>
        <w:tc>
          <w:tcPr>
            <w:tcW w:w="1600" w:type="pct"/>
            <w:vAlign w:val="center"/>
          </w:tcPr>
          <w:p w14:paraId="6432A707">
            <w:pPr>
              <w:jc w:val="center"/>
              <w:rPr>
                <w:rFonts w:ascii="Times New Roman" w:hAnsi="Times New Roman" w:eastAsia="宋体"/>
                <w:color w:val="auto"/>
                <w:sz w:val="24"/>
                <w:szCs w:val="24"/>
                <w:highlight w:val="none"/>
              </w:rPr>
            </w:pPr>
          </w:p>
        </w:tc>
        <w:tc>
          <w:tcPr>
            <w:tcW w:w="1199" w:type="pct"/>
            <w:vAlign w:val="center"/>
          </w:tcPr>
          <w:p w14:paraId="3C31D604">
            <w:pPr>
              <w:jc w:val="center"/>
              <w:rPr>
                <w:rFonts w:ascii="Times New Roman" w:hAnsi="Times New Roman" w:eastAsia="宋体"/>
                <w:color w:val="auto"/>
                <w:sz w:val="24"/>
                <w:szCs w:val="24"/>
                <w:highlight w:val="none"/>
              </w:rPr>
            </w:pPr>
          </w:p>
        </w:tc>
      </w:tr>
      <w:tr w14:paraId="3E13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4E2D48">
            <w:pPr>
              <w:jc w:val="center"/>
              <w:rPr>
                <w:rFonts w:ascii="Times New Roman" w:hAnsi="Times New Roman" w:eastAsia="宋体"/>
                <w:color w:val="auto"/>
                <w:sz w:val="24"/>
                <w:szCs w:val="24"/>
                <w:highlight w:val="none"/>
              </w:rPr>
            </w:pPr>
          </w:p>
        </w:tc>
        <w:tc>
          <w:tcPr>
            <w:tcW w:w="1540" w:type="pct"/>
            <w:vAlign w:val="center"/>
          </w:tcPr>
          <w:p w14:paraId="40040BBE">
            <w:pPr>
              <w:jc w:val="center"/>
              <w:rPr>
                <w:rFonts w:ascii="Times New Roman" w:hAnsi="Times New Roman" w:eastAsia="宋体"/>
                <w:color w:val="auto"/>
                <w:sz w:val="24"/>
                <w:szCs w:val="24"/>
                <w:highlight w:val="none"/>
              </w:rPr>
            </w:pPr>
          </w:p>
        </w:tc>
        <w:tc>
          <w:tcPr>
            <w:tcW w:w="1600" w:type="pct"/>
            <w:vAlign w:val="center"/>
          </w:tcPr>
          <w:p w14:paraId="06D2DC4F">
            <w:pPr>
              <w:jc w:val="center"/>
              <w:rPr>
                <w:rFonts w:ascii="Times New Roman" w:hAnsi="Times New Roman" w:eastAsia="宋体"/>
                <w:color w:val="auto"/>
                <w:sz w:val="24"/>
                <w:szCs w:val="24"/>
                <w:highlight w:val="none"/>
              </w:rPr>
            </w:pPr>
          </w:p>
        </w:tc>
        <w:tc>
          <w:tcPr>
            <w:tcW w:w="1199" w:type="pct"/>
            <w:vAlign w:val="center"/>
          </w:tcPr>
          <w:p w14:paraId="2853BBBE">
            <w:pPr>
              <w:jc w:val="center"/>
              <w:rPr>
                <w:rFonts w:ascii="Times New Roman" w:hAnsi="Times New Roman" w:eastAsia="宋体"/>
                <w:color w:val="auto"/>
                <w:sz w:val="24"/>
                <w:szCs w:val="24"/>
                <w:highlight w:val="none"/>
              </w:rPr>
            </w:pPr>
          </w:p>
        </w:tc>
      </w:tr>
      <w:tr w14:paraId="447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1CD52F2">
            <w:pPr>
              <w:jc w:val="center"/>
              <w:rPr>
                <w:rFonts w:ascii="Times New Roman" w:hAnsi="Times New Roman" w:eastAsia="宋体"/>
                <w:color w:val="auto"/>
                <w:sz w:val="24"/>
                <w:szCs w:val="24"/>
                <w:highlight w:val="none"/>
              </w:rPr>
            </w:pPr>
          </w:p>
        </w:tc>
        <w:tc>
          <w:tcPr>
            <w:tcW w:w="1540" w:type="pct"/>
            <w:vAlign w:val="center"/>
          </w:tcPr>
          <w:p w14:paraId="3BC90CA3">
            <w:pPr>
              <w:jc w:val="center"/>
              <w:rPr>
                <w:rFonts w:ascii="Times New Roman" w:hAnsi="Times New Roman" w:eastAsia="宋体"/>
                <w:color w:val="auto"/>
                <w:sz w:val="24"/>
                <w:szCs w:val="24"/>
                <w:highlight w:val="none"/>
              </w:rPr>
            </w:pPr>
          </w:p>
        </w:tc>
        <w:tc>
          <w:tcPr>
            <w:tcW w:w="1600" w:type="pct"/>
            <w:vAlign w:val="center"/>
          </w:tcPr>
          <w:p w14:paraId="7BB894AD">
            <w:pPr>
              <w:jc w:val="center"/>
              <w:rPr>
                <w:rFonts w:ascii="Times New Roman" w:hAnsi="Times New Roman" w:eastAsia="宋体"/>
                <w:color w:val="auto"/>
                <w:sz w:val="24"/>
                <w:szCs w:val="24"/>
                <w:highlight w:val="none"/>
              </w:rPr>
            </w:pPr>
          </w:p>
        </w:tc>
        <w:tc>
          <w:tcPr>
            <w:tcW w:w="1199" w:type="pct"/>
            <w:vAlign w:val="center"/>
          </w:tcPr>
          <w:p w14:paraId="65F546C8">
            <w:pPr>
              <w:jc w:val="center"/>
              <w:rPr>
                <w:rFonts w:ascii="Times New Roman" w:hAnsi="Times New Roman" w:eastAsia="宋体"/>
                <w:color w:val="auto"/>
                <w:sz w:val="24"/>
                <w:szCs w:val="24"/>
                <w:highlight w:val="none"/>
              </w:rPr>
            </w:pPr>
          </w:p>
        </w:tc>
      </w:tr>
      <w:tr w14:paraId="094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67D76C7">
            <w:pPr>
              <w:jc w:val="center"/>
              <w:rPr>
                <w:rFonts w:ascii="Times New Roman" w:hAnsi="Times New Roman" w:eastAsia="宋体"/>
                <w:color w:val="auto"/>
                <w:sz w:val="24"/>
                <w:szCs w:val="24"/>
                <w:highlight w:val="none"/>
              </w:rPr>
            </w:pPr>
          </w:p>
        </w:tc>
        <w:tc>
          <w:tcPr>
            <w:tcW w:w="1540" w:type="pct"/>
            <w:vAlign w:val="center"/>
          </w:tcPr>
          <w:p w14:paraId="64E91A55">
            <w:pPr>
              <w:jc w:val="center"/>
              <w:rPr>
                <w:rFonts w:ascii="Times New Roman" w:hAnsi="Times New Roman" w:eastAsia="宋体"/>
                <w:color w:val="auto"/>
                <w:sz w:val="24"/>
                <w:szCs w:val="24"/>
                <w:highlight w:val="none"/>
              </w:rPr>
            </w:pPr>
          </w:p>
        </w:tc>
        <w:tc>
          <w:tcPr>
            <w:tcW w:w="1600" w:type="pct"/>
            <w:vAlign w:val="center"/>
          </w:tcPr>
          <w:p w14:paraId="340A5077">
            <w:pPr>
              <w:jc w:val="center"/>
              <w:rPr>
                <w:rFonts w:ascii="Times New Roman" w:hAnsi="Times New Roman" w:eastAsia="宋体"/>
                <w:color w:val="auto"/>
                <w:sz w:val="24"/>
                <w:szCs w:val="24"/>
                <w:highlight w:val="none"/>
              </w:rPr>
            </w:pPr>
          </w:p>
        </w:tc>
        <w:tc>
          <w:tcPr>
            <w:tcW w:w="1199" w:type="pct"/>
            <w:vAlign w:val="center"/>
          </w:tcPr>
          <w:p w14:paraId="4E9FA767">
            <w:pPr>
              <w:jc w:val="center"/>
              <w:rPr>
                <w:rFonts w:ascii="Times New Roman" w:hAnsi="Times New Roman" w:eastAsia="宋体"/>
                <w:color w:val="auto"/>
                <w:sz w:val="24"/>
                <w:szCs w:val="24"/>
                <w:highlight w:val="none"/>
              </w:rPr>
            </w:pPr>
          </w:p>
        </w:tc>
      </w:tr>
      <w:tr w14:paraId="32A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39C070E">
            <w:pPr>
              <w:jc w:val="center"/>
              <w:rPr>
                <w:rFonts w:ascii="Times New Roman" w:hAnsi="Times New Roman" w:eastAsia="宋体"/>
                <w:color w:val="auto"/>
                <w:sz w:val="24"/>
                <w:szCs w:val="24"/>
                <w:highlight w:val="none"/>
              </w:rPr>
            </w:pPr>
          </w:p>
        </w:tc>
        <w:tc>
          <w:tcPr>
            <w:tcW w:w="1540" w:type="pct"/>
            <w:vAlign w:val="center"/>
          </w:tcPr>
          <w:p w14:paraId="368768D2">
            <w:pPr>
              <w:jc w:val="center"/>
              <w:rPr>
                <w:rFonts w:ascii="Times New Roman" w:hAnsi="Times New Roman" w:eastAsia="宋体"/>
                <w:color w:val="auto"/>
                <w:sz w:val="24"/>
                <w:szCs w:val="24"/>
                <w:highlight w:val="none"/>
              </w:rPr>
            </w:pPr>
          </w:p>
        </w:tc>
        <w:tc>
          <w:tcPr>
            <w:tcW w:w="1600" w:type="pct"/>
            <w:vAlign w:val="center"/>
          </w:tcPr>
          <w:p w14:paraId="0084CF72">
            <w:pPr>
              <w:jc w:val="center"/>
              <w:rPr>
                <w:rFonts w:ascii="Times New Roman" w:hAnsi="Times New Roman" w:eastAsia="宋体"/>
                <w:color w:val="auto"/>
                <w:sz w:val="24"/>
                <w:szCs w:val="24"/>
                <w:highlight w:val="none"/>
              </w:rPr>
            </w:pPr>
          </w:p>
        </w:tc>
        <w:tc>
          <w:tcPr>
            <w:tcW w:w="1199" w:type="pct"/>
            <w:vAlign w:val="center"/>
          </w:tcPr>
          <w:p w14:paraId="49258B29">
            <w:pPr>
              <w:jc w:val="center"/>
              <w:rPr>
                <w:rFonts w:ascii="Times New Roman" w:hAnsi="Times New Roman" w:eastAsia="宋体"/>
                <w:color w:val="auto"/>
                <w:sz w:val="24"/>
                <w:szCs w:val="24"/>
                <w:highlight w:val="none"/>
              </w:rPr>
            </w:pPr>
          </w:p>
        </w:tc>
      </w:tr>
      <w:tr w14:paraId="7DF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3D9735">
            <w:pPr>
              <w:jc w:val="center"/>
              <w:rPr>
                <w:rFonts w:ascii="Times New Roman" w:hAnsi="Times New Roman" w:eastAsia="宋体"/>
                <w:color w:val="auto"/>
                <w:sz w:val="24"/>
                <w:szCs w:val="24"/>
                <w:highlight w:val="none"/>
              </w:rPr>
            </w:pPr>
          </w:p>
        </w:tc>
        <w:tc>
          <w:tcPr>
            <w:tcW w:w="1540" w:type="pct"/>
            <w:vAlign w:val="center"/>
          </w:tcPr>
          <w:p w14:paraId="689285FE">
            <w:pPr>
              <w:jc w:val="center"/>
              <w:rPr>
                <w:rFonts w:ascii="Times New Roman" w:hAnsi="Times New Roman" w:eastAsia="宋体"/>
                <w:color w:val="auto"/>
                <w:sz w:val="24"/>
                <w:szCs w:val="24"/>
                <w:highlight w:val="none"/>
              </w:rPr>
            </w:pPr>
          </w:p>
        </w:tc>
        <w:tc>
          <w:tcPr>
            <w:tcW w:w="1600" w:type="pct"/>
            <w:vAlign w:val="center"/>
          </w:tcPr>
          <w:p w14:paraId="15E0B15C">
            <w:pPr>
              <w:jc w:val="center"/>
              <w:rPr>
                <w:rFonts w:ascii="Times New Roman" w:hAnsi="Times New Roman" w:eastAsia="宋体"/>
                <w:color w:val="auto"/>
                <w:sz w:val="24"/>
                <w:szCs w:val="24"/>
                <w:highlight w:val="none"/>
              </w:rPr>
            </w:pPr>
          </w:p>
        </w:tc>
        <w:tc>
          <w:tcPr>
            <w:tcW w:w="1199" w:type="pct"/>
            <w:vAlign w:val="center"/>
          </w:tcPr>
          <w:p w14:paraId="5FD13F57">
            <w:pPr>
              <w:jc w:val="center"/>
              <w:rPr>
                <w:rFonts w:ascii="Times New Roman" w:hAnsi="Times New Roman" w:eastAsia="宋体"/>
                <w:color w:val="auto"/>
                <w:sz w:val="24"/>
                <w:szCs w:val="24"/>
                <w:highlight w:val="none"/>
              </w:rPr>
            </w:pPr>
          </w:p>
        </w:tc>
      </w:tr>
    </w:tbl>
    <w:p w14:paraId="6323CA18">
      <w:pPr>
        <w:spacing w:line="480" w:lineRule="atLeast"/>
        <w:jc w:val="both"/>
        <w:rPr>
          <w:rFonts w:hint="eastAsia" w:cs="宋体"/>
          <w:color w:val="auto"/>
          <w:highlight w:val="none"/>
          <w:lang w:eastAsia="zh-CN"/>
        </w:rPr>
      </w:pPr>
    </w:p>
    <w:p w14:paraId="1B9FB389">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法定代表人（或负责人）或授权代表（签署或盖章）：</w:t>
      </w:r>
    </w:p>
    <w:p w14:paraId="444B60EA">
      <w:pPr>
        <w:spacing w:line="480" w:lineRule="atLeast"/>
        <w:ind w:firstLine="480"/>
        <w:jc w:val="right"/>
        <w:rPr>
          <w:rFonts w:hint="eastAsia" w:ascii="Times New Roman" w:hAnsi="Times New Roman" w:eastAsia="宋体" w:cs="宋体"/>
          <w:color w:val="auto"/>
          <w:sz w:val="24"/>
          <w:szCs w:val="18"/>
          <w:highlight w:val="none"/>
        </w:rPr>
      </w:pPr>
    </w:p>
    <w:p w14:paraId="7366204A">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3B8D029B">
      <w:pPr>
        <w:pStyle w:val="38"/>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注：</w:t>
      </w:r>
    </w:p>
    <w:p w14:paraId="0523EBDF">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本表即为对本项目“第二篇”</w:t>
      </w:r>
      <w:r>
        <w:rPr>
          <w:rFonts w:hint="eastAsia" w:cs="宋体"/>
          <w:color w:val="auto"/>
          <w:sz w:val="21"/>
          <w:szCs w:val="21"/>
          <w:highlight w:val="none"/>
          <w:lang w:val="en-US" w:eastAsia="zh-CN"/>
        </w:rPr>
        <w:t>中</w:t>
      </w:r>
      <w:r>
        <w:rPr>
          <w:rFonts w:hint="eastAsia" w:cs="宋体"/>
          <w:b w:val="0"/>
          <w:bCs w:val="0"/>
          <w:color w:val="auto"/>
          <w:sz w:val="21"/>
          <w:szCs w:val="21"/>
          <w:highlight w:val="none"/>
          <w:lang w:val="en-US" w:eastAsia="zh-CN"/>
        </w:rPr>
        <w:t>服务要求</w:t>
      </w:r>
      <w:r>
        <w:rPr>
          <w:rFonts w:hint="eastAsia" w:ascii="Times New Roman" w:hAnsi="Times New Roman" w:eastAsia="宋体" w:cs="宋体"/>
          <w:color w:val="auto"/>
          <w:sz w:val="21"/>
          <w:szCs w:val="21"/>
          <w:highlight w:val="none"/>
        </w:rPr>
        <w:t>进行比较和响应；</w:t>
      </w:r>
    </w:p>
    <w:p w14:paraId="1398CFF3">
      <w:pPr>
        <w:spacing w:line="480" w:lineRule="atLeas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2</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该表必须按照</w:t>
      </w:r>
      <w:r>
        <w:rPr>
          <w:rFonts w:hint="eastAsia" w:cs="宋体"/>
          <w:color w:val="auto"/>
          <w:sz w:val="21"/>
          <w:szCs w:val="21"/>
          <w:highlight w:val="none"/>
          <w:lang w:eastAsia="zh-CN"/>
        </w:rPr>
        <w:t>竞采文件</w:t>
      </w:r>
      <w:r>
        <w:rPr>
          <w:rFonts w:hint="eastAsia" w:ascii="Times New Roman" w:hAnsi="Times New Roman" w:eastAsia="宋体" w:cs="宋体"/>
          <w:color w:val="auto"/>
          <w:sz w:val="21"/>
          <w:szCs w:val="21"/>
          <w:highlight w:val="none"/>
        </w:rPr>
        <w:t>要求如实填写，根据响应情况在“差异说明”项填写“无差异”或正负偏离说明</w:t>
      </w:r>
      <w:r>
        <w:rPr>
          <w:rFonts w:hint="eastAsia" w:cs="宋体"/>
          <w:color w:val="auto"/>
          <w:sz w:val="21"/>
          <w:szCs w:val="21"/>
          <w:highlight w:val="none"/>
          <w:lang w:eastAsia="zh-CN"/>
        </w:rPr>
        <w:t>，</w:t>
      </w:r>
      <w:r>
        <w:rPr>
          <w:rFonts w:hint="eastAsia" w:cs="宋体"/>
          <w:color w:val="auto"/>
          <w:sz w:val="21"/>
          <w:szCs w:val="21"/>
          <w:highlight w:val="none"/>
          <w:lang w:val="en-US" w:eastAsia="zh-CN"/>
        </w:rPr>
        <w:t>※条款不得负偏离响应，否则作无效响应处理；</w:t>
      </w:r>
    </w:p>
    <w:p w14:paraId="19939187">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该表可扩展；</w:t>
      </w:r>
    </w:p>
    <w:p w14:paraId="708590BD">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可附相关技术支撑材料。（</w:t>
      </w:r>
      <w:r>
        <w:rPr>
          <w:rFonts w:hint="eastAsia" w:cs="宋体"/>
          <w:color w:val="auto"/>
          <w:sz w:val="21"/>
          <w:szCs w:val="21"/>
          <w:highlight w:val="none"/>
          <w:lang w:val="en-US" w:eastAsia="zh-CN"/>
        </w:rPr>
        <w:t>如有，</w:t>
      </w:r>
      <w:r>
        <w:rPr>
          <w:rFonts w:hint="eastAsia" w:ascii="Times New Roman" w:hAnsi="Times New Roman" w:eastAsia="宋体" w:cs="宋体"/>
          <w:color w:val="auto"/>
          <w:sz w:val="21"/>
          <w:szCs w:val="21"/>
          <w:highlight w:val="none"/>
        </w:rPr>
        <w:t>格式自定</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rPr>
        <w:t>）</w:t>
      </w:r>
    </w:p>
    <w:p w14:paraId="2941F5A7">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3E1586C9">
      <w:pPr>
        <w:rPr>
          <w:rFonts w:hint="default" w:ascii="Times New Roman" w:hAnsi="Times New Roman" w:eastAsia="宋体" w:cs="宋体"/>
          <w:b/>
          <w:bCs/>
          <w:color w:val="auto"/>
          <w:highlight w:val="none"/>
          <w:lang w:val="en-US"/>
        </w:rPr>
      </w:pPr>
      <w:bookmarkStart w:id="376" w:name="_Toc13717"/>
      <w:r>
        <w:rPr>
          <w:rFonts w:hint="eastAsia" w:cs="宋体"/>
          <w:b/>
          <w:bCs/>
          <w:color w:val="auto"/>
          <w:highlight w:val="none"/>
          <w:lang w:eastAsia="zh-CN"/>
        </w:rPr>
        <w:t>（</w:t>
      </w:r>
      <w:r>
        <w:rPr>
          <w:rFonts w:hint="eastAsia" w:cs="宋体"/>
          <w:b/>
          <w:bCs/>
          <w:color w:val="auto"/>
          <w:highlight w:val="none"/>
          <w:lang w:val="en-US" w:eastAsia="zh-CN"/>
        </w:rPr>
        <w:t>二</w:t>
      </w:r>
      <w:r>
        <w:rPr>
          <w:rFonts w:hint="eastAsia" w:cs="宋体"/>
          <w:b/>
          <w:bCs/>
          <w:color w:val="auto"/>
          <w:highlight w:val="none"/>
          <w:lang w:eastAsia="zh-CN"/>
        </w:rPr>
        <w:t>）</w:t>
      </w:r>
      <w:r>
        <w:rPr>
          <w:rFonts w:hint="eastAsia" w:cs="宋体"/>
          <w:b/>
          <w:bCs/>
          <w:color w:val="auto"/>
          <w:highlight w:val="none"/>
          <w:lang w:val="en-US" w:eastAsia="zh-CN"/>
        </w:rPr>
        <w:t>其他</w:t>
      </w:r>
      <w:bookmarkEnd w:id="376"/>
      <w:r>
        <w:rPr>
          <w:rFonts w:hint="eastAsia" w:cs="宋体"/>
          <w:b/>
          <w:bCs/>
          <w:color w:val="auto"/>
          <w:highlight w:val="none"/>
          <w:lang w:val="en-US" w:eastAsia="zh-CN"/>
        </w:rPr>
        <w:t>服务部分相关资料（自拟）</w:t>
      </w:r>
    </w:p>
    <w:p w14:paraId="3FB11D53">
      <w:pPr>
        <w:spacing w:line="480" w:lineRule="atLeast"/>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bookmarkStart w:id="377" w:name="_Toc16264"/>
      <w:bookmarkStart w:id="378" w:name="_Toc2630"/>
      <w:bookmarkStart w:id="379" w:name="_Toc18349"/>
      <w:bookmarkStart w:id="380" w:name="_Toc27337"/>
      <w:bookmarkStart w:id="381" w:name="_Toc5262"/>
    </w:p>
    <w:p w14:paraId="1A24BE0F">
      <w:pPr>
        <w:pStyle w:val="3"/>
        <w:ind w:firstLine="562"/>
        <w:rPr>
          <w:rFonts w:hint="eastAsia" w:ascii="Times New Roman" w:hAnsi="Times New Roman" w:eastAsia="宋体" w:cs="宋体"/>
          <w:color w:val="auto"/>
          <w:highlight w:val="none"/>
          <w:lang w:eastAsia="zh-CN"/>
        </w:rPr>
      </w:pPr>
      <w:bookmarkStart w:id="382" w:name="_Toc17521"/>
      <w:bookmarkStart w:id="383" w:name="_Toc28286"/>
      <w:bookmarkStart w:id="384" w:name="_Toc12301"/>
      <w:bookmarkStart w:id="385" w:name="_Toc12163"/>
      <w:r>
        <w:rPr>
          <w:rFonts w:hint="eastAsia" w:ascii="Times New Roman" w:hAnsi="Times New Roman" w:eastAsia="宋体" w:cs="宋体"/>
          <w:color w:val="auto"/>
          <w:highlight w:val="none"/>
        </w:rPr>
        <w:t>四、</w:t>
      </w:r>
      <w:bookmarkEnd w:id="377"/>
      <w:bookmarkEnd w:id="378"/>
      <w:bookmarkEnd w:id="379"/>
      <w:bookmarkEnd w:id="380"/>
      <w:bookmarkEnd w:id="381"/>
      <w:bookmarkEnd w:id="382"/>
      <w:bookmarkEnd w:id="383"/>
      <w:r>
        <w:rPr>
          <w:rFonts w:hint="eastAsia" w:ascii="Times New Roman" w:hAnsi="Times New Roman" w:cs="宋体"/>
          <w:color w:val="auto"/>
          <w:highlight w:val="none"/>
          <w:lang w:eastAsia="zh-CN"/>
        </w:rPr>
        <w:t>商务部分</w:t>
      </w:r>
      <w:bookmarkEnd w:id="384"/>
      <w:bookmarkEnd w:id="385"/>
    </w:p>
    <w:p w14:paraId="14C884C3">
      <w:pPr>
        <w:rPr>
          <w:rFonts w:hint="eastAsia" w:ascii="Times New Roman" w:hAnsi="Times New Roman" w:eastAsia="宋体"/>
          <w:b/>
          <w:bCs/>
          <w:color w:val="auto"/>
          <w:highlight w:val="none"/>
        </w:rPr>
      </w:pPr>
    </w:p>
    <w:p w14:paraId="7A88F761">
      <w:pP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b/>
          <w:bCs/>
          <w:color w:val="auto"/>
          <w:highlight w:val="none"/>
          <w:lang w:val="en-US" w:eastAsia="zh-CN"/>
        </w:rPr>
        <w:t>投标</w:t>
      </w:r>
      <w:r>
        <w:rPr>
          <w:rFonts w:hint="eastAsia" w:ascii="Times New Roman" w:hAnsi="Times New Roman" w:eastAsia="宋体"/>
          <w:b/>
          <w:bCs/>
          <w:color w:val="auto"/>
          <w:highlight w:val="none"/>
        </w:rPr>
        <w:t>函</w:t>
      </w:r>
    </w:p>
    <w:p w14:paraId="498FCF39">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292BD0C4">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F7CA0D0">
      <w:pPr>
        <w:snapToGrid w:val="0"/>
        <w:spacing w:line="480" w:lineRule="atLeast"/>
        <w:ind w:firstLine="560" w:firstLineChars="20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val="en-US" w:eastAsia="zh-CN"/>
        </w:rPr>
        <w:t>采购有关</w:t>
      </w:r>
      <w:r>
        <w:rPr>
          <w:rFonts w:hint="eastAsia" w:ascii="Times New Roman" w:hAnsi="Times New Roman" w:eastAsia="宋体" w:cs="宋体"/>
          <w:color w:val="auto"/>
          <w:szCs w:val="28"/>
          <w:highlight w:val="none"/>
        </w:rPr>
        <w:t>事项郑重声明如下：</w:t>
      </w:r>
    </w:p>
    <w:p w14:paraId="3481A246">
      <w:pPr>
        <w:snapToGrid w:val="0"/>
        <w:spacing w:line="480" w:lineRule="atLeast"/>
        <w:ind w:firstLine="560" w:firstLineChars="200"/>
        <w:rPr>
          <w:rFonts w:ascii="Times New Roman" w:hAnsi="Times New Roman" w:eastAsia="宋体" w:cs="宋体"/>
          <w:color w:val="auto"/>
          <w:szCs w:val="28"/>
          <w:highlight w:val="none"/>
        </w:rPr>
      </w:pPr>
      <w:bookmarkStart w:id="386" w:name="_Toc8065"/>
      <w:bookmarkStart w:id="387" w:name="_Toc15412"/>
      <w:r>
        <w:rPr>
          <w:rFonts w:hint="eastAsia" w:ascii="Times New Roman" w:hAnsi="Times New Roman" w:eastAsia="宋体" w:cs="宋体"/>
          <w:color w:val="auto"/>
          <w:szCs w:val="28"/>
          <w:highlight w:val="none"/>
        </w:rPr>
        <w:t>一、我方完全理解并接受该项目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所有要求。</w:t>
      </w:r>
      <w:bookmarkEnd w:id="386"/>
      <w:bookmarkEnd w:id="387"/>
    </w:p>
    <w:p w14:paraId="255905F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、资料都是准确和真实的，如有虚假或隐瞒，我方愿意承担一切法律责任。</w:t>
      </w:r>
    </w:p>
    <w:p w14:paraId="126562D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项目的</w:t>
      </w:r>
      <w:r>
        <w:rPr>
          <w:rFonts w:hint="eastAsia" w:cs="宋体"/>
          <w:color w:val="auto"/>
          <w:szCs w:val="28"/>
          <w:highlight w:val="none"/>
          <w:lang w:val="en-US" w:eastAsia="zh-CN"/>
        </w:rPr>
        <w:t>工作</w:t>
      </w:r>
      <w:r>
        <w:rPr>
          <w:rFonts w:hint="eastAsia" w:ascii="Times New Roman" w:hAnsi="Times New Roman" w:eastAsia="宋体" w:cs="宋体"/>
          <w:color w:val="auto"/>
          <w:szCs w:val="28"/>
          <w:highlight w:val="none"/>
        </w:rPr>
        <w:t>。</w:t>
      </w:r>
    </w:p>
    <w:p w14:paraId="0C4C521F">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要求提交的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完整的响应文件电子档格式。</w:t>
      </w:r>
    </w:p>
    <w:p w14:paraId="2A0BF9B3">
      <w:pPr>
        <w:snapToGrid w:val="0"/>
        <w:spacing w:line="480" w:lineRule="atLeast"/>
        <w:ind w:firstLine="560" w:firstLineChars="200"/>
        <w:rPr>
          <w:rFonts w:ascii="Times New Roman" w:hAnsi="Times New Roman" w:eastAsia="宋体" w:cs="宋体"/>
          <w:color w:val="auto"/>
          <w:szCs w:val="28"/>
          <w:highlight w:val="none"/>
        </w:rPr>
      </w:pPr>
      <w:bookmarkStart w:id="388" w:name="_Toc5527"/>
      <w:bookmarkStart w:id="389" w:name="_Toc10192"/>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递交响应文件截止</w:t>
      </w:r>
      <w:r>
        <w:rPr>
          <w:rFonts w:hint="eastAsia" w:ascii="Times New Roman" w:hAnsi="Times New Roman" w:eastAsia="宋体" w:cs="宋体"/>
          <w:color w:val="auto"/>
          <w:szCs w:val="28"/>
          <w:highlight w:val="none"/>
        </w:rPr>
        <w:t>起90天。</w:t>
      </w:r>
      <w:bookmarkEnd w:id="388"/>
      <w:bookmarkEnd w:id="389"/>
    </w:p>
    <w:p w14:paraId="6703DE50">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六、我方报价</w:t>
      </w:r>
      <w:r>
        <w:rPr>
          <w:rFonts w:hint="eastAsia" w:cs="宋体"/>
          <w:b/>
          <w:bCs/>
          <w:color w:val="auto"/>
          <w:szCs w:val="28"/>
          <w:highlight w:val="none"/>
          <w:lang w:val="en-US" w:eastAsia="zh-CN"/>
        </w:rPr>
        <w:t>中的报价</w:t>
      </w:r>
      <w:r>
        <w:rPr>
          <w:rFonts w:hint="eastAsia" w:ascii="Times New Roman" w:hAnsi="Times New Roman" w:eastAsia="宋体" w:cs="宋体"/>
          <w:b/>
          <w:bCs/>
          <w:color w:val="auto"/>
          <w:szCs w:val="28"/>
          <w:highlight w:val="none"/>
        </w:rPr>
        <w:t>为闭口价</w:t>
      </w:r>
      <w:r>
        <w:rPr>
          <w:rFonts w:hint="eastAsia" w:cs="宋体"/>
          <w:b/>
          <w:bCs/>
          <w:color w:val="auto"/>
          <w:szCs w:val="28"/>
          <w:highlight w:val="none"/>
          <w:lang w:eastAsia="zh-CN"/>
        </w:rPr>
        <w:t>，</w:t>
      </w:r>
      <w:r>
        <w:rPr>
          <w:rFonts w:hint="eastAsia" w:ascii="Times New Roman" w:hAnsi="Times New Roman" w:eastAsia="宋体" w:cs="宋体"/>
          <w:b/>
          <w:bCs/>
          <w:color w:val="auto"/>
          <w:szCs w:val="28"/>
          <w:highlight w:val="none"/>
        </w:rPr>
        <w:t>即在</w:t>
      </w:r>
      <w:r>
        <w:rPr>
          <w:rFonts w:hint="eastAsia" w:cs="宋体"/>
          <w:b/>
          <w:bCs/>
          <w:color w:val="auto"/>
          <w:szCs w:val="28"/>
          <w:highlight w:val="none"/>
          <w:lang w:val="en-US" w:eastAsia="zh-CN"/>
        </w:rPr>
        <w:t>竞采有效期</w:t>
      </w:r>
      <w:r>
        <w:rPr>
          <w:rFonts w:hint="eastAsia" w:ascii="Times New Roman" w:hAnsi="Times New Roman" w:eastAsia="宋体" w:cs="宋体"/>
          <w:b/>
          <w:bCs/>
          <w:color w:val="auto"/>
          <w:szCs w:val="28"/>
          <w:highlight w:val="none"/>
        </w:rPr>
        <w:t>和合同有效期内，</w:t>
      </w:r>
      <w:r>
        <w:rPr>
          <w:rFonts w:hint="eastAsia" w:cs="宋体"/>
          <w:b/>
          <w:bCs/>
          <w:color w:val="auto"/>
          <w:szCs w:val="28"/>
          <w:highlight w:val="none"/>
          <w:lang w:val="en-US" w:eastAsia="zh-CN"/>
        </w:rPr>
        <w:t>报价不变</w:t>
      </w:r>
      <w:r>
        <w:rPr>
          <w:rFonts w:hint="eastAsia" w:ascii="Times New Roman" w:hAnsi="Times New Roman" w:eastAsia="宋体" w:cs="宋体"/>
          <w:b/>
          <w:bCs/>
          <w:color w:val="auto"/>
          <w:szCs w:val="28"/>
          <w:highlight w:val="none"/>
        </w:rPr>
        <w:t>。</w:t>
      </w:r>
    </w:p>
    <w:p w14:paraId="7A3F19F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，我方将履行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中规定的各项要求以及我方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的各项承诺，</w:t>
      </w:r>
      <w:r>
        <w:rPr>
          <w:rFonts w:hint="eastAsia" w:cs="宋体"/>
          <w:color w:val="auto"/>
          <w:szCs w:val="28"/>
          <w:highlight w:val="none"/>
          <w:lang w:val="en-US" w:eastAsia="zh-CN"/>
        </w:rPr>
        <w:t>按相关法律法规及</w:t>
      </w:r>
      <w:r>
        <w:rPr>
          <w:rFonts w:hint="eastAsia" w:ascii="Times New Roman" w:hAnsi="Times New Roman" w:eastAsia="宋体" w:cs="宋体"/>
          <w:color w:val="auto"/>
          <w:szCs w:val="28"/>
          <w:highlight w:val="none"/>
        </w:rPr>
        <w:t>合同约定条款承担我方责任。</w:t>
      </w:r>
    </w:p>
    <w:p w14:paraId="0E03E4E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项目提供整体设计、规范编制或者项目管理、监理、检测等服务。</w:t>
      </w:r>
    </w:p>
    <w:p w14:paraId="653E079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11DA006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十、若我方成为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，愿意按有关规定及</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要求缴纳</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服务费。</w:t>
      </w:r>
    </w:p>
    <w:p w14:paraId="05BEE97A">
      <w:pPr>
        <w:tabs>
          <w:tab w:val="left" w:pos="6300"/>
        </w:tabs>
        <w:snapToGrid w:val="0"/>
        <w:spacing w:line="480" w:lineRule="atLeast"/>
        <w:ind w:firstLine="6370" w:firstLineChars="2275"/>
        <w:rPr>
          <w:rFonts w:hint="eastAsia" w:ascii="Times New Roman" w:hAnsi="Times New Roman" w:eastAsia="宋体" w:cs="宋体"/>
          <w:color w:val="auto"/>
          <w:szCs w:val="28"/>
          <w:highlight w:val="none"/>
        </w:rPr>
      </w:pPr>
    </w:p>
    <w:p w14:paraId="069D0811">
      <w:pPr>
        <w:tabs>
          <w:tab w:val="left" w:pos="6300"/>
        </w:tabs>
        <w:snapToGrid w:val="0"/>
        <w:spacing w:line="480" w:lineRule="atLeast"/>
        <w:ind w:firstLine="5040" w:firstLineChars="18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608511EC">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73FE16F4">
      <w:pP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390" w:name="_Toc17279"/>
      <w:bookmarkStart w:id="391" w:name="_Toc19167"/>
      <w:bookmarkStart w:id="392" w:name="_Toc10242"/>
      <w:r>
        <w:rPr>
          <w:rFonts w:hint="eastAsia" w:ascii="Times New Roman" w:hAnsi="Times New Roman" w:eastAsia="宋体" w:cs="宋体"/>
          <w:b/>
          <w:bCs/>
          <w:color w:val="auto"/>
          <w:highlight w:val="none"/>
        </w:rPr>
        <w:t>（二）商务条款差异表</w:t>
      </w:r>
      <w:bookmarkEnd w:id="390"/>
      <w:bookmarkEnd w:id="391"/>
      <w:bookmarkEnd w:id="392"/>
    </w:p>
    <w:p w14:paraId="0B0F84B8">
      <w:pPr>
        <w:tabs>
          <w:tab w:val="left" w:pos="720"/>
        </w:tabs>
        <w:spacing w:line="480" w:lineRule="atLeast"/>
        <w:ind w:firstLine="527"/>
        <w:jc w:val="center"/>
        <w:rPr>
          <w:rFonts w:ascii="Times New Roman" w:hAnsi="Times New Roman" w:eastAsia="宋体" w:cs="宋体"/>
          <w:color w:val="auto"/>
          <w:highlight w:val="none"/>
        </w:rPr>
      </w:pPr>
      <w:r>
        <w:rPr>
          <w:rFonts w:hint="eastAsia" w:ascii="Times New Roman" w:hAnsi="Times New Roman" w:eastAsia="宋体" w:cs="宋体"/>
          <w:color w:val="auto"/>
          <w:highlight w:val="none"/>
        </w:rPr>
        <w:t>商务条款差异表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037"/>
        <w:gridCol w:w="3153"/>
        <w:gridCol w:w="2363"/>
      </w:tblGrid>
      <w:tr w14:paraId="6CC0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24E1DC5">
            <w:pPr>
              <w:jc w:val="center"/>
              <w:rPr>
                <w:rFonts w:ascii="Times New Roman" w:hAnsi="Times New Roman" w:eastAsia="宋体" w:cs="宋体"/>
                <w:color w:val="auto"/>
                <w:sz w:val="24"/>
                <w:szCs w:val="24"/>
                <w:highlight w:val="none"/>
              </w:rPr>
            </w:pPr>
            <w:bookmarkStart w:id="393" w:name="_Toc3165"/>
            <w:bookmarkStart w:id="394" w:name="_Toc30909"/>
            <w:bookmarkStart w:id="395" w:name="_Toc26650"/>
            <w:bookmarkStart w:id="396" w:name="_Toc12928"/>
            <w:r>
              <w:rPr>
                <w:rFonts w:hint="eastAsia" w:ascii="Times New Roman" w:hAnsi="Times New Roman" w:eastAsia="宋体" w:cs="宋体"/>
                <w:color w:val="auto"/>
                <w:sz w:val="24"/>
                <w:szCs w:val="24"/>
                <w:highlight w:val="none"/>
              </w:rPr>
              <w:t>序号</w:t>
            </w:r>
            <w:bookmarkEnd w:id="393"/>
            <w:bookmarkEnd w:id="394"/>
            <w:bookmarkEnd w:id="395"/>
            <w:bookmarkEnd w:id="396"/>
          </w:p>
        </w:tc>
        <w:tc>
          <w:tcPr>
            <w:tcW w:w="1541" w:type="pct"/>
            <w:vAlign w:val="center"/>
          </w:tcPr>
          <w:p w14:paraId="3861BE66">
            <w:pPr>
              <w:jc w:val="cente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项目要求</w:t>
            </w:r>
          </w:p>
        </w:tc>
        <w:tc>
          <w:tcPr>
            <w:tcW w:w="1600" w:type="pct"/>
            <w:vAlign w:val="center"/>
          </w:tcPr>
          <w:p w14:paraId="659DA767">
            <w:pPr>
              <w:jc w:val="center"/>
              <w:rPr>
                <w:rFonts w:ascii="Times New Roman" w:hAnsi="Times New Roman" w:eastAsia="宋体" w:cs="宋体"/>
                <w:color w:val="auto"/>
                <w:sz w:val="24"/>
                <w:szCs w:val="24"/>
                <w:highlight w:val="none"/>
              </w:rPr>
            </w:pPr>
            <w:bookmarkStart w:id="397" w:name="_Toc3511"/>
            <w:bookmarkStart w:id="398" w:name="_Toc24660"/>
            <w:bookmarkStart w:id="399" w:name="_Toc22122"/>
            <w:bookmarkStart w:id="400" w:name="_Toc4456"/>
            <w:r>
              <w:rPr>
                <w:rFonts w:hint="eastAsia" w:ascii="Times New Roman" w:hAnsi="Times New Roman" w:eastAsia="宋体" w:cs="宋体"/>
                <w:color w:val="auto"/>
                <w:sz w:val="24"/>
                <w:szCs w:val="24"/>
                <w:highlight w:val="none"/>
              </w:rPr>
              <w:t>响应情况</w:t>
            </w:r>
            <w:bookmarkEnd w:id="397"/>
            <w:bookmarkEnd w:id="398"/>
            <w:bookmarkEnd w:id="399"/>
            <w:bookmarkEnd w:id="400"/>
          </w:p>
        </w:tc>
        <w:tc>
          <w:tcPr>
            <w:tcW w:w="1199" w:type="pct"/>
            <w:vAlign w:val="center"/>
          </w:tcPr>
          <w:p w14:paraId="083C7B18">
            <w:pPr>
              <w:jc w:val="center"/>
              <w:rPr>
                <w:rFonts w:ascii="Times New Roman" w:hAnsi="Times New Roman" w:eastAsia="宋体" w:cs="宋体"/>
                <w:color w:val="auto"/>
                <w:sz w:val="24"/>
                <w:szCs w:val="24"/>
                <w:highlight w:val="none"/>
              </w:rPr>
            </w:pPr>
            <w:bookmarkStart w:id="401" w:name="_Toc13230"/>
            <w:bookmarkStart w:id="402" w:name="_Toc14571"/>
            <w:bookmarkStart w:id="403" w:name="_Toc11128"/>
            <w:bookmarkStart w:id="404" w:name="_Toc15020"/>
            <w:r>
              <w:rPr>
                <w:rFonts w:hint="eastAsia" w:ascii="Times New Roman" w:hAnsi="Times New Roman" w:eastAsia="宋体" w:cs="宋体"/>
                <w:color w:val="auto"/>
                <w:sz w:val="24"/>
                <w:szCs w:val="24"/>
                <w:highlight w:val="none"/>
              </w:rPr>
              <w:t>差异说明</w:t>
            </w:r>
            <w:bookmarkEnd w:id="401"/>
            <w:bookmarkEnd w:id="402"/>
            <w:bookmarkEnd w:id="403"/>
            <w:bookmarkEnd w:id="404"/>
          </w:p>
        </w:tc>
      </w:tr>
      <w:tr w14:paraId="700A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717DB95">
            <w:pPr>
              <w:jc w:val="center"/>
              <w:rPr>
                <w:rFonts w:ascii="Times New Roman" w:hAnsi="Times New Roman" w:eastAsia="宋体" w:cs="宋体"/>
                <w:color w:val="auto"/>
                <w:sz w:val="24"/>
                <w:szCs w:val="24"/>
                <w:highlight w:val="none"/>
              </w:rPr>
            </w:pPr>
          </w:p>
        </w:tc>
        <w:tc>
          <w:tcPr>
            <w:tcW w:w="1541" w:type="pct"/>
            <w:vAlign w:val="center"/>
          </w:tcPr>
          <w:p w14:paraId="34C8C09F">
            <w:pPr>
              <w:jc w:val="center"/>
              <w:rPr>
                <w:rFonts w:ascii="Times New Roman" w:hAnsi="Times New Roman" w:eastAsia="宋体" w:cs="宋体"/>
                <w:color w:val="auto"/>
                <w:sz w:val="24"/>
                <w:szCs w:val="24"/>
                <w:highlight w:val="none"/>
              </w:rPr>
            </w:pPr>
          </w:p>
        </w:tc>
        <w:tc>
          <w:tcPr>
            <w:tcW w:w="1600" w:type="pct"/>
            <w:vAlign w:val="center"/>
          </w:tcPr>
          <w:p w14:paraId="30EFE509">
            <w:pPr>
              <w:jc w:val="center"/>
              <w:rPr>
                <w:rFonts w:ascii="Times New Roman" w:hAnsi="Times New Roman" w:eastAsia="宋体" w:cs="宋体"/>
                <w:color w:val="auto"/>
                <w:sz w:val="24"/>
                <w:szCs w:val="24"/>
                <w:highlight w:val="none"/>
              </w:rPr>
            </w:pPr>
          </w:p>
        </w:tc>
        <w:tc>
          <w:tcPr>
            <w:tcW w:w="1199" w:type="pct"/>
            <w:vAlign w:val="center"/>
          </w:tcPr>
          <w:p w14:paraId="293C6004">
            <w:pPr>
              <w:jc w:val="center"/>
              <w:rPr>
                <w:rFonts w:ascii="Times New Roman" w:hAnsi="Times New Roman" w:eastAsia="宋体" w:cs="宋体"/>
                <w:color w:val="auto"/>
                <w:sz w:val="24"/>
                <w:szCs w:val="24"/>
                <w:highlight w:val="none"/>
              </w:rPr>
            </w:pPr>
          </w:p>
        </w:tc>
      </w:tr>
      <w:tr w14:paraId="2B93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8EF520">
            <w:pPr>
              <w:jc w:val="center"/>
              <w:rPr>
                <w:rFonts w:ascii="Times New Roman" w:hAnsi="Times New Roman" w:eastAsia="宋体" w:cs="宋体"/>
                <w:color w:val="auto"/>
                <w:sz w:val="24"/>
                <w:szCs w:val="24"/>
                <w:highlight w:val="none"/>
              </w:rPr>
            </w:pPr>
          </w:p>
        </w:tc>
        <w:tc>
          <w:tcPr>
            <w:tcW w:w="1541" w:type="pct"/>
            <w:vAlign w:val="center"/>
          </w:tcPr>
          <w:p w14:paraId="2107C607">
            <w:pPr>
              <w:jc w:val="center"/>
              <w:rPr>
                <w:rFonts w:ascii="Times New Roman" w:hAnsi="Times New Roman" w:eastAsia="宋体" w:cs="宋体"/>
                <w:color w:val="auto"/>
                <w:sz w:val="24"/>
                <w:szCs w:val="24"/>
                <w:highlight w:val="none"/>
              </w:rPr>
            </w:pPr>
          </w:p>
        </w:tc>
        <w:tc>
          <w:tcPr>
            <w:tcW w:w="1600" w:type="pct"/>
            <w:vAlign w:val="center"/>
          </w:tcPr>
          <w:p w14:paraId="306AB20B">
            <w:pPr>
              <w:jc w:val="center"/>
              <w:rPr>
                <w:rFonts w:ascii="Times New Roman" w:hAnsi="Times New Roman" w:eastAsia="宋体" w:cs="宋体"/>
                <w:color w:val="auto"/>
                <w:sz w:val="24"/>
                <w:szCs w:val="24"/>
                <w:highlight w:val="none"/>
              </w:rPr>
            </w:pPr>
          </w:p>
        </w:tc>
        <w:tc>
          <w:tcPr>
            <w:tcW w:w="1199" w:type="pct"/>
            <w:vAlign w:val="center"/>
          </w:tcPr>
          <w:p w14:paraId="79154434">
            <w:pPr>
              <w:jc w:val="center"/>
              <w:rPr>
                <w:rFonts w:ascii="Times New Roman" w:hAnsi="Times New Roman" w:eastAsia="宋体" w:cs="宋体"/>
                <w:color w:val="auto"/>
                <w:sz w:val="24"/>
                <w:szCs w:val="24"/>
                <w:highlight w:val="none"/>
              </w:rPr>
            </w:pPr>
          </w:p>
        </w:tc>
      </w:tr>
      <w:tr w14:paraId="4D8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F7830F">
            <w:pPr>
              <w:jc w:val="center"/>
              <w:rPr>
                <w:rFonts w:ascii="Times New Roman" w:hAnsi="Times New Roman" w:eastAsia="宋体" w:cs="宋体"/>
                <w:color w:val="auto"/>
                <w:sz w:val="24"/>
                <w:szCs w:val="24"/>
                <w:highlight w:val="none"/>
              </w:rPr>
            </w:pPr>
          </w:p>
        </w:tc>
        <w:tc>
          <w:tcPr>
            <w:tcW w:w="1541" w:type="pct"/>
            <w:vAlign w:val="center"/>
          </w:tcPr>
          <w:p w14:paraId="6BFA706D">
            <w:pPr>
              <w:jc w:val="center"/>
              <w:rPr>
                <w:rFonts w:ascii="Times New Roman" w:hAnsi="Times New Roman" w:eastAsia="宋体" w:cs="宋体"/>
                <w:color w:val="auto"/>
                <w:sz w:val="24"/>
                <w:szCs w:val="24"/>
                <w:highlight w:val="none"/>
              </w:rPr>
            </w:pPr>
          </w:p>
        </w:tc>
        <w:tc>
          <w:tcPr>
            <w:tcW w:w="1600" w:type="pct"/>
            <w:vAlign w:val="center"/>
          </w:tcPr>
          <w:p w14:paraId="297112C1">
            <w:pPr>
              <w:jc w:val="center"/>
              <w:rPr>
                <w:rFonts w:ascii="Times New Roman" w:hAnsi="Times New Roman" w:eastAsia="宋体" w:cs="宋体"/>
                <w:color w:val="auto"/>
                <w:sz w:val="24"/>
                <w:szCs w:val="24"/>
                <w:highlight w:val="none"/>
              </w:rPr>
            </w:pPr>
          </w:p>
        </w:tc>
        <w:tc>
          <w:tcPr>
            <w:tcW w:w="1199" w:type="pct"/>
            <w:vAlign w:val="center"/>
          </w:tcPr>
          <w:p w14:paraId="375FBC9C">
            <w:pPr>
              <w:jc w:val="center"/>
              <w:rPr>
                <w:rFonts w:ascii="Times New Roman" w:hAnsi="Times New Roman" w:eastAsia="宋体" w:cs="宋体"/>
                <w:color w:val="auto"/>
                <w:sz w:val="24"/>
                <w:szCs w:val="24"/>
                <w:highlight w:val="none"/>
              </w:rPr>
            </w:pPr>
          </w:p>
        </w:tc>
      </w:tr>
      <w:tr w14:paraId="70AC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0EFEC3">
            <w:pPr>
              <w:jc w:val="center"/>
              <w:rPr>
                <w:rFonts w:ascii="Times New Roman" w:hAnsi="Times New Roman" w:eastAsia="宋体" w:cs="宋体"/>
                <w:color w:val="auto"/>
                <w:sz w:val="24"/>
                <w:szCs w:val="24"/>
                <w:highlight w:val="none"/>
              </w:rPr>
            </w:pPr>
          </w:p>
        </w:tc>
        <w:tc>
          <w:tcPr>
            <w:tcW w:w="1541" w:type="pct"/>
            <w:vAlign w:val="center"/>
          </w:tcPr>
          <w:p w14:paraId="5B00B9CB">
            <w:pPr>
              <w:jc w:val="center"/>
              <w:rPr>
                <w:rFonts w:ascii="Times New Roman" w:hAnsi="Times New Roman" w:eastAsia="宋体" w:cs="宋体"/>
                <w:color w:val="auto"/>
                <w:sz w:val="24"/>
                <w:szCs w:val="24"/>
                <w:highlight w:val="none"/>
              </w:rPr>
            </w:pPr>
          </w:p>
        </w:tc>
        <w:tc>
          <w:tcPr>
            <w:tcW w:w="1600" w:type="pct"/>
            <w:vAlign w:val="center"/>
          </w:tcPr>
          <w:p w14:paraId="6F771879">
            <w:pPr>
              <w:jc w:val="center"/>
              <w:rPr>
                <w:rFonts w:ascii="Times New Roman" w:hAnsi="Times New Roman" w:eastAsia="宋体" w:cs="宋体"/>
                <w:color w:val="auto"/>
                <w:sz w:val="24"/>
                <w:szCs w:val="24"/>
                <w:highlight w:val="none"/>
              </w:rPr>
            </w:pPr>
          </w:p>
        </w:tc>
        <w:tc>
          <w:tcPr>
            <w:tcW w:w="1199" w:type="pct"/>
            <w:vAlign w:val="center"/>
          </w:tcPr>
          <w:p w14:paraId="59D5E53E">
            <w:pPr>
              <w:jc w:val="center"/>
              <w:rPr>
                <w:rFonts w:ascii="Times New Roman" w:hAnsi="Times New Roman" w:eastAsia="宋体" w:cs="宋体"/>
                <w:color w:val="auto"/>
                <w:sz w:val="24"/>
                <w:szCs w:val="24"/>
                <w:highlight w:val="none"/>
              </w:rPr>
            </w:pPr>
          </w:p>
        </w:tc>
      </w:tr>
      <w:tr w14:paraId="7A7D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F2CBD82">
            <w:pPr>
              <w:jc w:val="center"/>
              <w:rPr>
                <w:rFonts w:ascii="Times New Roman" w:hAnsi="Times New Roman" w:eastAsia="宋体" w:cs="宋体"/>
                <w:color w:val="auto"/>
                <w:sz w:val="24"/>
                <w:szCs w:val="24"/>
                <w:highlight w:val="none"/>
              </w:rPr>
            </w:pPr>
          </w:p>
        </w:tc>
        <w:tc>
          <w:tcPr>
            <w:tcW w:w="1541" w:type="pct"/>
            <w:vAlign w:val="center"/>
          </w:tcPr>
          <w:p w14:paraId="200228FF">
            <w:pPr>
              <w:jc w:val="center"/>
              <w:rPr>
                <w:rFonts w:ascii="Times New Roman" w:hAnsi="Times New Roman" w:eastAsia="宋体" w:cs="宋体"/>
                <w:color w:val="auto"/>
                <w:sz w:val="24"/>
                <w:szCs w:val="24"/>
                <w:highlight w:val="none"/>
              </w:rPr>
            </w:pPr>
          </w:p>
        </w:tc>
        <w:tc>
          <w:tcPr>
            <w:tcW w:w="1600" w:type="pct"/>
            <w:vAlign w:val="center"/>
          </w:tcPr>
          <w:p w14:paraId="09D63592">
            <w:pPr>
              <w:jc w:val="center"/>
              <w:rPr>
                <w:rFonts w:ascii="Times New Roman" w:hAnsi="Times New Roman" w:eastAsia="宋体" w:cs="宋体"/>
                <w:color w:val="auto"/>
                <w:sz w:val="24"/>
                <w:szCs w:val="24"/>
                <w:highlight w:val="none"/>
              </w:rPr>
            </w:pPr>
          </w:p>
        </w:tc>
        <w:tc>
          <w:tcPr>
            <w:tcW w:w="1199" w:type="pct"/>
            <w:vAlign w:val="center"/>
          </w:tcPr>
          <w:p w14:paraId="7E93BCF7">
            <w:pPr>
              <w:jc w:val="center"/>
              <w:rPr>
                <w:rFonts w:ascii="Times New Roman" w:hAnsi="Times New Roman" w:eastAsia="宋体" w:cs="宋体"/>
                <w:color w:val="auto"/>
                <w:sz w:val="24"/>
                <w:szCs w:val="24"/>
                <w:highlight w:val="none"/>
              </w:rPr>
            </w:pPr>
          </w:p>
        </w:tc>
      </w:tr>
      <w:tr w14:paraId="292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F84DB9F">
            <w:pPr>
              <w:jc w:val="center"/>
              <w:rPr>
                <w:rFonts w:ascii="Times New Roman" w:hAnsi="Times New Roman" w:eastAsia="宋体" w:cs="宋体"/>
                <w:color w:val="auto"/>
                <w:sz w:val="24"/>
                <w:szCs w:val="24"/>
                <w:highlight w:val="none"/>
              </w:rPr>
            </w:pPr>
          </w:p>
        </w:tc>
        <w:tc>
          <w:tcPr>
            <w:tcW w:w="1541" w:type="pct"/>
            <w:vAlign w:val="center"/>
          </w:tcPr>
          <w:p w14:paraId="1CC78207">
            <w:pPr>
              <w:jc w:val="center"/>
              <w:rPr>
                <w:rFonts w:ascii="Times New Roman" w:hAnsi="Times New Roman" w:eastAsia="宋体" w:cs="宋体"/>
                <w:color w:val="auto"/>
                <w:sz w:val="24"/>
                <w:szCs w:val="24"/>
                <w:highlight w:val="none"/>
              </w:rPr>
            </w:pPr>
          </w:p>
        </w:tc>
        <w:tc>
          <w:tcPr>
            <w:tcW w:w="1600" w:type="pct"/>
            <w:vAlign w:val="center"/>
          </w:tcPr>
          <w:p w14:paraId="66E69C72">
            <w:pPr>
              <w:jc w:val="center"/>
              <w:rPr>
                <w:rFonts w:ascii="Times New Roman" w:hAnsi="Times New Roman" w:eastAsia="宋体" w:cs="宋体"/>
                <w:color w:val="auto"/>
                <w:sz w:val="24"/>
                <w:szCs w:val="24"/>
                <w:highlight w:val="none"/>
              </w:rPr>
            </w:pPr>
          </w:p>
        </w:tc>
        <w:tc>
          <w:tcPr>
            <w:tcW w:w="1199" w:type="pct"/>
            <w:vAlign w:val="center"/>
          </w:tcPr>
          <w:p w14:paraId="20F40B68">
            <w:pPr>
              <w:jc w:val="center"/>
              <w:rPr>
                <w:rFonts w:ascii="Times New Roman" w:hAnsi="Times New Roman" w:eastAsia="宋体" w:cs="宋体"/>
                <w:color w:val="auto"/>
                <w:sz w:val="24"/>
                <w:szCs w:val="24"/>
                <w:highlight w:val="none"/>
              </w:rPr>
            </w:pPr>
          </w:p>
        </w:tc>
      </w:tr>
      <w:tr w14:paraId="7C3A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C30677">
            <w:pPr>
              <w:jc w:val="center"/>
              <w:rPr>
                <w:rFonts w:ascii="Times New Roman" w:hAnsi="Times New Roman" w:eastAsia="宋体" w:cs="宋体"/>
                <w:color w:val="auto"/>
                <w:sz w:val="24"/>
                <w:szCs w:val="24"/>
                <w:highlight w:val="none"/>
              </w:rPr>
            </w:pPr>
          </w:p>
        </w:tc>
        <w:tc>
          <w:tcPr>
            <w:tcW w:w="1541" w:type="pct"/>
            <w:vAlign w:val="center"/>
          </w:tcPr>
          <w:p w14:paraId="7B3F7E2D">
            <w:pPr>
              <w:jc w:val="center"/>
              <w:rPr>
                <w:rFonts w:ascii="Times New Roman" w:hAnsi="Times New Roman" w:eastAsia="宋体" w:cs="宋体"/>
                <w:color w:val="auto"/>
                <w:sz w:val="24"/>
                <w:szCs w:val="24"/>
                <w:highlight w:val="none"/>
              </w:rPr>
            </w:pPr>
          </w:p>
        </w:tc>
        <w:tc>
          <w:tcPr>
            <w:tcW w:w="1600" w:type="pct"/>
            <w:vAlign w:val="center"/>
          </w:tcPr>
          <w:p w14:paraId="03B5DD7E">
            <w:pPr>
              <w:jc w:val="center"/>
              <w:rPr>
                <w:rFonts w:ascii="Times New Roman" w:hAnsi="Times New Roman" w:eastAsia="宋体" w:cs="宋体"/>
                <w:color w:val="auto"/>
                <w:sz w:val="24"/>
                <w:szCs w:val="24"/>
                <w:highlight w:val="none"/>
              </w:rPr>
            </w:pPr>
          </w:p>
        </w:tc>
        <w:tc>
          <w:tcPr>
            <w:tcW w:w="1199" w:type="pct"/>
            <w:vAlign w:val="center"/>
          </w:tcPr>
          <w:p w14:paraId="42A30EE7">
            <w:pPr>
              <w:jc w:val="center"/>
              <w:rPr>
                <w:rFonts w:ascii="Times New Roman" w:hAnsi="Times New Roman" w:eastAsia="宋体" w:cs="宋体"/>
                <w:color w:val="auto"/>
                <w:sz w:val="24"/>
                <w:szCs w:val="24"/>
                <w:highlight w:val="none"/>
              </w:rPr>
            </w:pPr>
          </w:p>
        </w:tc>
      </w:tr>
      <w:tr w14:paraId="38AE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4AFD99">
            <w:pPr>
              <w:jc w:val="center"/>
              <w:rPr>
                <w:rFonts w:ascii="Times New Roman" w:hAnsi="Times New Roman" w:eastAsia="宋体" w:cs="宋体"/>
                <w:color w:val="auto"/>
                <w:sz w:val="24"/>
                <w:szCs w:val="24"/>
                <w:highlight w:val="none"/>
              </w:rPr>
            </w:pPr>
          </w:p>
        </w:tc>
        <w:tc>
          <w:tcPr>
            <w:tcW w:w="1541" w:type="pct"/>
            <w:vAlign w:val="center"/>
          </w:tcPr>
          <w:p w14:paraId="1948B2D3">
            <w:pPr>
              <w:jc w:val="center"/>
              <w:rPr>
                <w:rFonts w:ascii="Times New Roman" w:hAnsi="Times New Roman" w:eastAsia="宋体" w:cs="宋体"/>
                <w:color w:val="auto"/>
                <w:sz w:val="24"/>
                <w:szCs w:val="24"/>
                <w:highlight w:val="none"/>
              </w:rPr>
            </w:pPr>
          </w:p>
        </w:tc>
        <w:tc>
          <w:tcPr>
            <w:tcW w:w="1600" w:type="pct"/>
            <w:vAlign w:val="center"/>
          </w:tcPr>
          <w:p w14:paraId="6EFF10C4">
            <w:pPr>
              <w:jc w:val="center"/>
              <w:rPr>
                <w:rFonts w:ascii="Times New Roman" w:hAnsi="Times New Roman" w:eastAsia="宋体" w:cs="宋体"/>
                <w:color w:val="auto"/>
                <w:sz w:val="24"/>
                <w:szCs w:val="24"/>
                <w:highlight w:val="none"/>
              </w:rPr>
            </w:pPr>
          </w:p>
        </w:tc>
        <w:tc>
          <w:tcPr>
            <w:tcW w:w="1199" w:type="pct"/>
            <w:vAlign w:val="center"/>
          </w:tcPr>
          <w:p w14:paraId="6F2E325B">
            <w:pPr>
              <w:jc w:val="center"/>
              <w:rPr>
                <w:rFonts w:ascii="Times New Roman" w:hAnsi="Times New Roman" w:eastAsia="宋体" w:cs="宋体"/>
                <w:color w:val="auto"/>
                <w:sz w:val="24"/>
                <w:szCs w:val="24"/>
                <w:highlight w:val="none"/>
              </w:rPr>
            </w:pPr>
          </w:p>
        </w:tc>
      </w:tr>
      <w:tr w14:paraId="3209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12D4E0">
            <w:pPr>
              <w:jc w:val="center"/>
              <w:rPr>
                <w:rFonts w:ascii="Times New Roman" w:hAnsi="Times New Roman" w:eastAsia="宋体" w:cs="宋体"/>
                <w:color w:val="auto"/>
                <w:sz w:val="24"/>
                <w:szCs w:val="24"/>
                <w:highlight w:val="none"/>
              </w:rPr>
            </w:pPr>
          </w:p>
        </w:tc>
        <w:tc>
          <w:tcPr>
            <w:tcW w:w="1541" w:type="pct"/>
            <w:vAlign w:val="center"/>
          </w:tcPr>
          <w:p w14:paraId="36710FDA">
            <w:pPr>
              <w:jc w:val="center"/>
              <w:rPr>
                <w:rFonts w:ascii="Times New Roman" w:hAnsi="Times New Roman" w:eastAsia="宋体" w:cs="宋体"/>
                <w:color w:val="auto"/>
                <w:sz w:val="24"/>
                <w:szCs w:val="24"/>
                <w:highlight w:val="none"/>
              </w:rPr>
            </w:pPr>
          </w:p>
        </w:tc>
        <w:tc>
          <w:tcPr>
            <w:tcW w:w="1600" w:type="pct"/>
            <w:vAlign w:val="center"/>
          </w:tcPr>
          <w:p w14:paraId="020FF416">
            <w:pPr>
              <w:jc w:val="center"/>
              <w:rPr>
                <w:rFonts w:ascii="Times New Roman" w:hAnsi="Times New Roman" w:eastAsia="宋体" w:cs="宋体"/>
                <w:color w:val="auto"/>
                <w:sz w:val="24"/>
                <w:szCs w:val="24"/>
                <w:highlight w:val="none"/>
              </w:rPr>
            </w:pPr>
          </w:p>
        </w:tc>
        <w:tc>
          <w:tcPr>
            <w:tcW w:w="1199" w:type="pct"/>
            <w:vAlign w:val="center"/>
          </w:tcPr>
          <w:p w14:paraId="4EF6AC8E">
            <w:pPr>
              <w:jc w:val="center"/>
              <w:rPr>
                <w:rFonts w:ascii="Times New Roman" w:hAnsi="Times New Roman" w:eastAsia="宋体" w:cs="宋体"/>
                <w:color w:val="auto"/>
                <w:sz w:val="24"/>
                <w:szCs w:val="24"/>
                <w:highlight w:val="none"/>
              </w:rPr>
            </w:pPr>
          </w:p>
        </w:tc>
      </w:tr>
      <w:tr w14:paraId="71F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829E452">
            <w:pPr>
              <w:jc w:val="center"/>
              <w:rPr>
                <w:rFonts w:ascii="Times New Roman" w:hAnsi="Times New Roman" w:eastAsia="宋体" w:cs="宋体"/>
                <w:color w:val="auto"/>
                <w:sz w:val="24"/>
                <w:szCs w:val="24"/>
                <w:highlight w:val="none"/>
              </w:rPr>
            </w:pPr>
          </w:p>
        </w:tc>
        <w:tc>
          <w:tcPr>
            <w:tcW w:w="1541" w:type="pct"/>
            <w:vAlign w:val="center"/>
          </w:tcPr>
          <w:p w14:paraId="44F0A6B9">
            <w:pPr>
              <w:jc w:val="center"/>
              <w:rPr>
                <w:rFonts w:ascii="Times New Roman" w:hAnsi="Times New Roman" w:eastAsia="宋体" w:cs="宋体"/>
                <w:color w:val="auto"/>
                <w:sz w:val="24"/>
                <w:szCs w:val="24"/>
                <w:highlight w:val="none"/>
              </w:rPr>
            </w:pPr>
          </w:p>
        </w:tc>
        <w:tc>
          <w:tcPr>
            <w:tcW w:w="1600" w:type="pct"/>
            <w:vAlign w:val="center"/>
          </w:tcPr>
          <w:p w14:paraId="7D213043">
            <w:pPr>
              <w:jc w:val="center"/>
              <w:rPr>
                <w:rFonts w:ascii="Times New Roman" w:hAnsi="Times New Roman" w:eastAsia="宋体" w:cs="宋体"/>
                <w:color w:val="auto"/>
                <w:sz w:val="24"/>
                <w:szCs w:val="24"/>
                <w:highlight w:val="none"/>
              </w:rPr>
            </w:pPr>
          </w:p>
        </w:tc>
        <w:tc>
          <w:tcPr>
            <w:tcW w:w="1199" w:type="pct"/>
            <w:vAlign w:val="center"/>
          </w:tcPr>
          <w:p w14:paraId="3449E75D">
            <w:pPr>
              <w:jc w:val="center"/>
              <w:rPr>
                <w:rFonts w:ascii="Times New Roman" w:hAnsi="Times New Roman" w:eastAsia="宋体" w:cs="宋体"/>
                <w:color w:val="auto"/>
                <w:sz w:val="24"/>
                <w:szCs w:val="24"/>
                <w:highlight w:val="none"/>
              </w:rPr>
            </w:pPr>
          </w:p>
        </w:tc>
      </w:tr>
    </w:tbl>
    <w:p w14:paraId="5BA58502">
      <w:pPr>
        <w:spacing w:line="480" w:lineRule="atLeast"/>
        <w:jc w:val="both"/>
        <w:rPr>
          <w:rFonts w:hint="eastAsia" w:cs="宋体"/>
          <w:color w:val="auto"/>
          <w:sz w:val="24"/>
          <w:szCs w:val="18"/>
          <w:highlight w:val="none"/>
          <w:lang w:eastAsia="zh-CN"/>
        </w:rPr>
      </w:pPr>
    </w:p>
    <w:p w14:paraId="7E8ED3EF">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法定代表人（或负责人）或授权代表（签署或盖章）：</w:t>
      </w:r>
    </w:p>
    <w:p w14:paraId="63CD7351">
      <w:pPr>
        <w:spacing w:line="480" w:lineRule="atLeast"/>
        <w:ind w:firstLine="480"/>
        <w:jc w:val="right"/>
        <w:rPr>
          <w:rFonts w:hint="eastAsia" w:ascii="Times New Roman" w:hAnsi="Times New Roman" w:eastAsia="宋体" w:cs="宋体"/>
          <w:color w:val="auto"/>
          <w:sz w:val="24"/>
          <w:szCs w:val="18"/>
          <w:highlight w:val="none"/>
        </w:rPr>
      </w:pPr>
    </w:p>
    <w:p w14:paraId="254452E4">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772A7EDC">
      <w:pPr>
        <w:pStyle w:val="38"/>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注：</w:t>
      </w:r>
    </w:p>
    <w:p w14:paraId="0033FFB4">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本表即为对本项目“第三篇”</w:t>
      </w:r>
      <w:r>
        <w:rPr>
          <w:rFonts w:hint="eastAsia" w:cs="宋体"/>
          <w:b w:val="0"/>
          <w:bCs w:val="0"/>
          <w:color w:val="auto"/>
          <w:sz w:val="22"/>
          <w:szCs w:val="22"/>
          <w:highlight w:val="none"/>
          <w:lang w:val="en-US" w:eastAsia="zh-CN"/>
        </w:rPr>
        <w:t>所列商务要求</w:t>
      </w:r>
      <w:r>
        <w:rPr>
          <w:rFonts w:hint="eastAsia" w:ascii="Times New Roman" w:hAnsi="Times New Roman" w:eastAsia="宋体" w:cs="宋体"/>
          <w:color w:val="auto"/>
          <w:sz w:val="22"/>
          <w:szCs w:val="22"/>
          <w:highlight w:val="none"/>
        </w:rPr>
        <w:t>进行比较和响应；</w:t>
      </w:r>
    </w:p>
    <w:p w14:paraId="04F4BCD8">
      <w:pPr>
        <w:spacing w:line="480" w:lineRule="atLeast"/>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该表必须按照</w:t>
      </w:r>
      <w:r>
        <w:rPr>
          <w:rFonts w:hint="eastAsia" w:cs="宋体"/>
          <w:color w:val="auto"/>
          <w:sz w:val="22"/>
          <w:szCs w:val="22"/>
          <w:highlight w:val="none"/>
          <w:lang w:eastAsia="zh-CN"/>
        </w:rPr>
        <w:t>竞采文件</w:t>
      </w:r>
      <w:r>
        <w:rPr>
          <w:rFonts w:hint="eastAsia" w:ascii="Times New Roman" w:hAnsi="Times New Roman" w:eastAsia="宋体" w:cs="宋体"/>
          <w:color w:val="auto"/>
          <w:sz w:val="22"/>
          <w:szCs w:val="22"/>
          <w:highlight w:val="none"/>
        </w:rPr>
        <w:t>要求如实填写，根据响应情况在“差异说明”项填写“无差异”或正负偏离说明</w:t>
      </w:r>
      <w:r>
        <w:rPr>
          <w:rFonts w:hint="eastAsia" w:cs="宋体"/>
          <w:color w:val="auto"/>
          <w:sz w:val="22"/>
          <w:szCs w:val="22"/>
          <w:highlight w:val="none"/>
          <w:lang w:eastAsia="zh-CN"/>
        </w:rPr>
        <w:t>，</w:t>
      </w:r>
      <w:r>
        <w:rPr>
          <w:rFonts w:hint="eastAsia" w:cs="宋体"/>
          <w:color w:val="auto"/>
          <w:sz w:val="22"/>
          <w:szCs w:val="22"/>
          <w:highlight w:val="none"/>
          <w:lang w:val="en-US" w:eastAsia="zh-CN"/>
        </w:rPr>
        <w:t>※条款不得负偏离响应，否则作无效响应处理；</w:t>
      </w:r>
    </w:p>
    <w:p w14:paraId="38659308">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3</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该表可扩展；</w:t>
      </w:r>
    </w:p>
    <w:p w14:paraId="6F5255FA">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4</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可附相关技术支撑材料。（格式自定）</w:t>
      </w:r>
    </w:p>
    <w:p w14:paraId="2765C176">
      <w:pPr>
        <w:rPr>
          <w:rFonts w:hint="eastAsia" w:ascii="Times New Roman" w:hAnsi="Times New Roman" w:eastAsia="宋体" w:cs="宋体"/>
          <w:b/>
          <w:bCs/>
          <w:color w:val="auto"/>
          <w:highlight w:val="none"/>
        </w:rPr>
      </w:pPr>
      <w:bookmarkStart w:id="405" w:name="_Toc28259"/>
      <w:bookmarkStart w:id="406" w:name="_Toc25826"/>
      <w:bookmarkStart w:id="407" w:name="_Toc20137"/>
      <w:bookmarkStart w:id="408" w:name="_Toc30526"/>
      <w:bookmarkStart w:id="409" w:name="_Toc13132"/>
      <w:bookmarkStart w:id="410" w:name="_Toc13056"/>
    </w:p>
    <w:p w14:paraId="61EFB243">
      <w:pPr>
        <w:rPr>
          <w:rFonts w:hint="eastAsia" w:ascii="Times New Roman" w:hAnsi="Times New Roman" w:eastAsia="宋体" w:cs="宋体"/>
          <w:b/>
          <w:bCs/>
          <w:color w:val="auto"/>
          <w:highlight w:val="none"/>
        </w:rPr>
      </w:pPr>
    </w:p>
    <w:p w14:paraId="26134A02">
      <w:pPr>
        <w:rPr>
          <w:rFonts w:hint="eastAsia" w:ascii="Times New Roman" w:hAnsi="Times New Roman" w:eastAsia="宋体" w:cs="宋体"/>
          <w:b/>
          <w:bCs/>
          <w:color w:val="auto"/>
          <w:highlight w:val="none"/>
        </w:rPr>
      </w:pPr>
    </w:p>
    <w:p w14:paraId="28DBC615">
      <w:pPr>
        <w:rPr>
          <w:rFonts w:hint="eastAsia" w:ascii="Times New Roman" w:hAnsi="Times New Roman" w:eastAsia="宋体" w:cs="宋体"/>
          <w:b/>
          <w:bCs/>
          <w:color w:val="auto"/>
          <w:highlight w:val="none"/>
        </w:rPr>
      </w:pPr>
    </w:p>
    <w:p w14:paraId="5DAD456F">
      <w:pPr>
        <w:rPr>
          <w:rFonts w:hint="eastAsia" w:ascii="Times New Roman" w:hAnsi="Times New Roman" w:eastAsia="宋体" w:cs="宋体"/>
          <w:b/>
          <w:bCs/>
          <w:color w:val="auto"/>
          <w:highlight w:val="none"/>
        </w:rPr>
      </w:pPr>
    </w:p>
    <w:p w14:paraId="416EC8E1">
      <w:pP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cs="宋体"/>
          <w:b/>
          <w:bCs/>
          <w:color w:val="auto"/>
          <w:highlight w:val="none"/>
          <w:lang w:eastAsia="zh-CN"/>
        </w:rPr>
        <w:t>（</w:t>
      </w:r>
      <w:r>
        <w:rPr>
          <w:rFonts w:hint="eastAsia" w:cs="宋体"/>
          <w:b/>
          <w:bCs/>
          <w:color w:val="auto"/>
          <w:highlight w:val="none"/>
          <w:lang w:val="en-US" w:eastAsia="zh-CN"/>
        </w:rPr>
        <w:t>自附</w:t>
      </w:r>
      <w:r>
        <w:rPr>
          <w:rFonts w:hint="eastAsia" w:cs="宋体"/>
          <w:b/>
          <w:bCs/>
          <w:color w:val="auto"/>
          <w:highlight w:val="none"/>
          <w:lang w:eastAsia="zh-CN"/>
        </w:rPr>
        <w:t>）</w:t>
      </w:r>
      <w:r>
        <w:rPr>
          <w:rFonts w:hint="eastAsia" w:ascii="Times New Roman" w:hAnsi="Times New Roman" w:eastAsia="宋体" w:cs="宋体"/>
          <w:color w:val="auto"/>
          <w:highlight w:val="none"/>
        </w:rPr>
        <w:br w:type="page"/>
      </w:r>
    </w:p>
    <w:p w14:paraId="0643AB0A">
      <w:pPr>
        <w:pStyle w:val="3"/>
        <w:ind w:firstLine="562"/>
        <w:rPr>
          <w:rFonts w:ascii="Times New Roman" w:hAnsi="Times New Roman" w:eastAsia="宋体" w:cs="宋体"/>
          <w:color w:val="auto"/>
          <w:highlight w:val="none"/>
        </w:rPr>
      </w:pPr>
      <w:bookmarkStart w:id="411" w:name="_Toc23051"/>
      <w:bookmarkStart w:id="412" w:name="_Toc2353"/>
      <w:bookmarkStart w:id="413" w:name="_Toc985"/>
      <w:r>
        <w:rPr>
          <w:rFonts w:hint="eastAsia" w:ascii="Times New Roman" w:hAnsi="Times New Roman" w:eastAsia="宋体" w:cs="宋体"/>
          <w:color w:val="auto"/>
          <w:highlight w:val="none"/>
        </w:rPr>
        <w:t>五、</w:t>
      </w:r>
      <w:bookmarkEnd w:id="405"/>
      <w:bookmarkEnd w:id="406"/>
      <w:bookmarkEnd w:id="407"/>
      <w:r>
        <w:rPr>
          <w:rFonts w:hint="eastAsia" w:ascii="Times New Roman" w:hAnsi="Times New Roman" w:eastAsia="宋体" w:cs="宋体"/>
          <w:color w:val="auto"/>
          <w:highlight w:val="none"/>
        </w:rPr>
        <w:t>其他与项目有关的资料</w:t>
      </w:r>
      <w:bookmarkEnd w:id="408"/>
      <w:bookmarkEnd w:id="409"/>
      <w:bookmarkEnd w:id="410"/>
      <w:bookmarkEnd w:id="411"/>
      <w:bookmarkEnd w:id="412"/>
      <w:bookmarkEnd w:id="413"/>
    </w:p>
    <w:p w14:paraId="15BA56D9">
      <w:pPr>
        <w:snapToGrid w:val="0"/>
        <w:spacing w:line="400" w:lineRule="exact"/>
        <w:ind w:firstLine="560" w:firstLineChars="200"/>
        <w:rPr>
          <w:rFonts w:hint="eastAsia" w:ascii="宋体" w:hAnsi="宋体" w:eastAsia="宋体" w:cs="宋体"/>
          <w:b w:val="0"/>
          <w:bCs w:val="0"/>
          <w:color w:val="auto"/>
          <w:szCs w:val="28"/>
          <w:highlight w:val="none"/>
          <w:lang w:eastAsia="zh-CN"/>
        </w:rPr>
      </w:pPr>
      <w:r>
        <w:rPr>
          <w:rFonts w:hint="eastAsia" w:ascii="宋体" w:hAnsi="宋体" w:eastAsia="宋体" w:cs="宋体"/>
          <w:b w:val="0"/>
          <w:bCs w:val="0"/>
          <w:color w:val="auto"/>
          <w:szCs w:val="28"/>
          <w:highlight w:val="none"/>
        </w:rPr>
        <w:t>（</w:t>
      </w:r>
      <w:r>
        <w:rPr>
          <w:rFonts w:hint="eastAsia" w:ascii="宋体" w:hAnsi="宋体" w:eastAsia="宋体" w:cs="宋体"/>
          <w:b w:val="0"/>
          <w:bCs w:val="0"/>
          <w:color w:val="auto"/>
          <w:szCs w:val="28"/>
          <w:highlight w:val="none"/>
          <w:lang w:val="en-US" w:eastAsia="zh-CN"/>
        </w:rPr>
        <w:t>一</w:t>
      </w:r>
      <w:r>
        <w:rPr>
          <w:rFonts w:hint="eastAsia" w:ascii="宋体" w:hAnsi="宋体" w:eastAsia="宋体" w:cs="宋体"/>
          <w:b w:val="0"/>
          <w:bCs w:val="0"/>
          <w:color w:val="auto"/>
          <w:szCs w:val="28"/>
          <w:highlight w:val="none"/>
        </w:rPr>
        <w:t>）其他与项目有关的资料</w:t>
      </w:r>
      <w:r>
        <w:rPr>
          <w:rFonts w:hint="eastAsia" w:ascii="宋体" w:hAnsi="宋体" w:cs="宋体"/>
          <w:b w:val="0"/>
          <w:bCs w:val="0"/>
          <w:color w:val="auto"/>
          <w:szCs w:val="28"/>
          <w:highlight w:val="none"/>
          <w:lang w:eastAsia="zh-CN"/>
        </w:rPr>
        <w:t>（</w:t>
      </w:r>
      <w:r>
        <w:rPr>
          <w:rFonts w:hint="eastAsia" w:ascii="宋体" w:hAnsi="宋体" w:cs="宋体"/>
          <w:b w:val="0"/>
          <w:bCs w:val="0"/>
          <w:color w:val="auto"/>
          <w:szCs w:val="28"/>
          <w:highlight w:val="none"/>
          <w:lang w:val="en-US" w:eastAsia="zh-CN"/>
        </w:rPr>
        <w:t>如有，自附。</w:t>
      </w:r>
      <w:r>
        <w:rPr>
          <w:rFonts w:hint="eastAsia" w:ascii="宋体" w:hAnsi="宋体" w:cs="宋体"/>
          <w:b w:val="0"/>
          <w:bCs w:val="0"/>
          <w:color w:val="auto"/>
          <w:szCs w:val="28"/>
          <w:highlight w:val="none"/>
          <w:lang w:eastAsia="zh-CN"/>
        </w:rPr>
        <w:t>）</w:t>
      </w:r>
    </w:p>
    <w:p w14:paraId="3B112EDB">
      <w:pPr>
        <w:rPr>
          <w:rFonts w:ascii="Times New Roman" w:hAnsi="Times New Roman" w:eastAsia="宋体" w:cs="宋体"/>
          <w:color w:val="auto"/>
          <w:highlight w:val="none"/>
        </w:rPr>
      </w:pPr>
    </w:p>
    <w:p w14:paraId="75907EBE">
      <w:pPr>
        <w:pStyle w:val="18"/>
        <w:rPr>
          <w:rFonts w:ascii="Times New Roman" w:hAnsi="Times New Roman" w:eastAsia="宋体" w:cs="宋体"/>
          <w:color w:val="auto"/>
          <w:highlight w:val="none"/>
        </w:rPr>
      </w:pPr>
    </w:p>
    <w:p w14:paraId="258CAF3E">
      <w:pPr>
        <w:pStyle w:val="18"/>
        <w:rPr>
          <w:rFonts w:ascii="Times New Roman" w:hAnsi="Times New Roman" w:eastAsia="宋体" w:cs="宋体"/>
          <w:color w:val="auto"/>
          <w:highlight w:val="none"/>
        </w:rPr>
      </w:pPr>
    </w:p>
    <w:p w14:paraId="7F9309DA">
      <w:pPr>
        <w:rPr>
          <w:rFonts w:ascii="Times New Roman" w:hAnsi="Times New Roman" w:eastAsia="宋体" w:cs="宋体"/>
          <w:color w:val="auto"/>
          <w:highlight w:val="none"/>
        </w:rPr>
      </w:pPr>
    </w:p>
    <w:p w14:paraId="18D8CB75">
      <w:pPr>
        <w:pStyle w:val="9"/>
        <w:rPr>
          <w:rFonts w:ascii="Times New Roman" w:hAnsi="Times New Roman" w:eastAsia="宋体" w:cs="宋体"/>
          <w:color w:val="auto"/>
          <w:highlight w:val="none"/>
        </w:rPr>
      </w:pPr>
    </w:p>
    <w:p w14:paraId="7C00DFE4">
      <w:pPr>
        <w:pStyle w:val="18"/>
        <w:rPr>
          <w:rFonts w:ascii="Times New Roman" w:hAnsi="Times New Roman" w:eastAsia="宋体" w:cs="宋体"/>
          <w:color w:val="auto"/>
          <w:highlight w:val="none"/>
        </w:rPr>
      </w:pPr>
    </w:p>
    <w:p w14:paraId="5C3321A5">
      <w:pPr>
        <w:rPr>
          <w:rFonts w:ascii="Times New Roman" w:hAnsi="Times New Roman" w:eastAsia="宋体" w:cs="宋体"/>
          <w:color w:val="auto"/>
          <w:highlight w:val="none"/>
        </w:rPr>
      </w:pPr>
    </w:p>
    <w:p w14:paraId="5C548A0D">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结  束</w:t>
      </w:r>
      <w:r>
        <w:rPr>
          <w:rFonts w:hint="eastAsia"/>
          <w:color w:val="auto"/>
          <w:highlight w:val="none"/>
          <w:lang w:eastAsia="zh-CN"/>
        </w:rPr>
        <w:t>）</w:t>
      </w:r>
    </w:p>
    <w:sectPr>
      <w:headerReference r:id="rId8" w:type="default"/>
      <w:footerReference r:id="rId9" w:type="default"/>
      <w:pgSz w:w="11905" w:h="16838"/>
      <w:pgMar w:top="1134" w:right="1134" w:bottom="1134" w:left="1134" w:header="850" w:footer="992" w:gutter="0"/>
      <w:pgNumType w:fmt="decimal"/>
      <w:cols w:space="0" w:num="1"/>
      <w:titlePg/>
      <w:rtlGutter w:val="0"/>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2ED47-F771-4BEA-8256-8401F137F0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FFC512-A475-4C80-8A3E-F456FCC0C8E2}"/>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366E9A7-3B81-4740-8B8E-C7240A7D9D35}"/>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079B">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9B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06CE">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87D0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87D0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67B2">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F7C7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CF7C7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557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5E16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05E16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643C">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F5E5">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73F5E5">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64D">
    <w:pPr>
      <w:pStyle w:val="15"/>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61A8D"/>
    <w:multiLevelType w:val="singleLevel"/>
    <w:tmpl w:val="ACE61A8D"/>
    <w:lvl w:ilvl="0" w:tentative="0">
      <w:start w:val="3"/>
      <w:numFmt w:val="chineseCounting"/>
      <w:suff w:val="nothing"/>
      <w:lvlText w:val="%1、"/>
      <w:lvlJc w:val="left"/>
      <w:rPr>
        <w:rFonts w:hint="eastAsia"/>
      </w:rPr>
    </w:lvl>
  </w:abstractNum>
  <w:abstractNum w:abstractNumId="1">
    <w:nsid w:val="F5ED906B"/>
    <w:multiLevelType w:val="singleLevel"/>
    <w:tmpl w:val="F5ED906B"/>
    <w:lvl w:ilvl="0" w:tentative="0">
      <w:start w:val="6"/>
      <w:numFmt w:val="chineseCounting"/>
      <w:suff w:val="space"/>
      <w:lvlText w:val="第%1篇"/>
      <w:lvlJc w:val="left"/>
      <w:rPr>
        <w:rFonts w:hint="eastAsia"/>
      </w:rPr>
    </w:lvl>
  </w:abstractNum>
  <w:abstractNum w:abstractNumId="2">
    <w:nsid w:val="3FF3CF33"/>
    <w:multiLevelType w:val="singleLevel"/>
    <w:tmpl w:val="3FF3CF3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000000"/>
    <w:rsid w:val="001315D9"/>
    <w:rsid w:val="002B6923"/>
    <w:rsid w:val="004D59BD"/>
    <w:rsid w:val="005749D1"/>
    <w:rsid w:val="00610597"/>
    <w:rsid w:val="0069744B"/>
    <w:rsid w:val="006D4EBE"/>
    <w:rsid w:val="00704336"/>
    <w:rsid w:val="0075194C"/>
    <w:rsid w:val="007C0F2D"/>
    <w:rsid w:val="009D033E"/>
    <w:rsid w:val="00B057ED"/>
    <w:rsid w:val="00E16FE2"/>
    <w:rsid w:val="00E30FAC"/>
    <w:rsid w:val="00EB1C0E"/>
    <w:rsid w:val="00FC02BF"/>
    <w:rsid w:val="01121891"/>
    <w:rsid w:val="01203FAE"/>
    <w:rsid w:val="0123584C"/>
    <w:rsid w:val="01237FC0"/>
    <w:rsid w:val="012F2443"/>
    <w:rsid w:val="01317F69"/>
    <w:rsid w:val="01390BCC"/>
    <w:rsid w:val="013B0DE8"/>
    <w:rsid w:val="013C56E1"/>
    <w:rsid w:val="014A20C9"/>
    <w:rsid w:val="01510BEF"/>
    <w:rsid w:val="01542746"/>
    <w:rsid w:val="015E4AD6"/>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532161"/>
    <w:rsid w:val="02535CBD"/>
    <w:rsid w:val="025657AD"/>
    <w:rsid w:val="027D2D3A"/>
    <w:rsid w:val="028213AB"/>
    <w:rsid w:val="028916DF"/>
    <w:rsid w:val="02963DFC"/>
    <w:rsid w:val="02A76009"/>
    <w:rsid w:val="02A91D81"/>
    <w:rsid w:val="02C473C4"/>
    <w:rsid w:val="02C72207"/>
    <w:rsid w:val="02C941D1"/>
    <w:rsid w:val="02CB1CF7"/>
    <w:rsid w:val="02D53891"/>
    <w:rsid w:val="02D84414"/>
    <w:rsid w:val="02D908B8"/>
    <w:rsid w:val="02F72AEC"/>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9E565E"/>
    <w:rsid w:val="03A34A22"/>
    <w:rsid w:val="03A8028B"/>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356BEC"/>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2971A9"/>
    <w:rsid w:val="053D1916"/>
    <w:rsid w:val="054162A1"/>
    <w:rsid w:val="05542478"/>
    <w:rsid w:val="056401E1"/>
    <w:rsid w:val="05685F23"/>
    <w:rsid w:val="05706B86"/>
    <w:rsid w:val="058E7496"/>
    <w:rsid w:val="05922FA0"/>
    <w:rsid w:val="0595200F"/>
    <w:rsid w:val="05A21435"/>
    <w:rsid w:val="05B01E1B"/>
    <w:rsid w:val="05C649F8"/>
    <w:rsid w:val="05C81985"/>
    <w:rsid w:val="05D37841"/>
    <w:rsid w:val="05D830A9"/>
    <w:rsid w:val="05E41A4E"/>
    <w:rsid w:val="05F61781"/>
    <w:rsid w:val="05F652DD"/>
    <w:rsid w:val="05F81055"/>
    <w:rsid w:val="060F45F1"/>
    <w:rsid w:val="06173ED7"/>
    <w:rsid w:val="061B11E8"/>
    <w:rsid w:val="062956B3"/>
    <w:rsid w:val="063F4ED6"/>
    <w:rsid w:val="064249C6"/>
    <w:rsid w:val="064E336B"/>
    <w:rsid w:val="064F0F69"/>
    <w:rsid w:val="0661309E"/>
    <w:rsid w:val="066163F9"/>
    <w:rsid w:val="06624721"/>
    <w:rsid w:val="066F5090"/>
    <w:rsid w:val="06764670"/>
    <w:rsid w:val="068E1614"/>
    <w:rsid w:val="069F3BC7"/>
    <w:rsid w:val="06AB431A"/>
    <w:rsid w:val="06B036DE"/>
    <w:rsid w:val="06B331CE"/>
    <w:rsid w:val="06B62CBE"/>
    <w:rsid w:val="06B807E5"/>
    <w:rsid w:val="06C37F45"/>
    <w:rsid w:val="06CB4FA1"/>
    <w:rsid w:val="06D7510F"/>
    <w:rsid w:val="06DE3CB3"/>
    <w:rsid w:val="070103DE"/>
    <w:rsid w:val="07035F04"/>
    <w:rsid w:val="07140111"/>
    <w:rsid w:val="0717375D"/>
    <w:rsid w:val="07195727"/>
    <w:rsid w:val="0721282E"/>
    <w:rsid w:val="07500A1D"/>
    <w:rsid w:val="07571DAC"/>
    <w:rsid w:val="075F5104"/>
    <w:rsid w:val="076B3AA9"/>
    <w:rsid w:val="076F1953"/>
    <w:rsid w:val="07702280"/>
    <w:rsid w:val="0784456A"/>
    <w:rsid w:val="07852DBD"/>
    <w:rsid w:val="078608E3"/>
    <w:rsid w:val="0789477F"/>
    <w:rsid w:val="07934F2A"/>
    <w:rsid w:val="0797489E"/>
    <w:rsid w:val="07975B80"/>
    <w:rsid w:val="07A07E80"/>
    <w:rsid w:val="07A64AE1"/>
    <w:rsid w:val="07AD2E51"/>
    <w:rsid w:val="07B216D8"/>
    <w:rsid w:val="07B61B72"/>
    <w:rsid w:val="07CD6512"/>
    <w:rsid w:val="07D96C64"/>
    <w:rsid w:val="07E07FF3"/>
    <w:rsid w:val="07E16AC7"/>
    <w:rsid w:val="07F41CF0"/>
    <w:rsid w:val="07FB307F"/>
    <w:rsid w:val="07FC4100"/>
    <w:rsid w:val="081465CD"/>
    <w:rsid w:val="08161C67"/>
    <w:rsid w:val="08400A92"/>
    <w:rsid w:val="084367D4"/>
    <w:rsid w:val="084A1910"/>
    <w:rsid w:val="08564759"/>
    <w:rsid w:val="08566507"/>
    <w:rsid w:val="086A1FB2"/>
    <w:rsid w:val="08894C98"/>
    <w:rsid w:val="08BF40AC"/>
    <w:rsid w:val="08F63846"/>
    <w:rsid w:val="0913264A"/>
    <w:rsid w:val="09167A44"/>
    <w:rsid w:val="09252D8D"/>
    <w:rsid w:val="09336848"/>
    <w:rsid w:val="093F343F"/>
    <w:rsid w:val="09510A7C"/>
    <w:rsid w:val="096A1BD2"/>
    <w:rsid w:val="096E162E"/>
    <w:rsid w:val="09774987"/>
    <w:rsid w:val="097A4477"/>
    <w:rsid w:val="097C3D4B"/>
    <w:rsid w:val="0992531D"/>
    <w:rsid w:val="09931095"/>
    <w:rsid w:val="09E55D95"/>
    <w:rsid w:val="0A037FC9"/>
    <w:rsid w:val="0A067AB9"/>
    <w:rsid w:val="0A072A97"/>
    <w:rsid w:val="0A0855DF"/>
    <w:rsid w:val="0A0A4865"/>
    <w:rsid w:val="0A1246B0"/>
    <w:rsid w:val="0A2134F6"/>
    <w:rsid w:val="0A3E680D"/>
    <w:rsid w:val="0A4D717D"/>
    <w:rsid w:val="0A51342A"/>
    <w:rsid w:val="0A56459C"/>
    <w:rsid w:val="0A6C3DC0"/>
    <w:rsid w:val="0A6F38B0"/>
    <w:rsid w:val="0A856C30"/>
    <w:rsid w:val="0A984BB5"/>
    <w:rsid w:val="0AA70248"/>
    <w:rsid w:val="0ABD286D"/>
    <w:rsid w:val="0AD23916"/>
    <w:rsid w:val="0ADD2F10"/>
    <w:rsid w:val="0AEC6CAF"/>
    <w:rsid w:val="0B073AE9"/>
    <w:rsid w:val="0B09449C"/>
    <w:rsid w:val="0B0E4E77"/>
    <w:rsid w:val="0B16263E"/>
    <w:rsid w:val="0B3A3EBE"/>
    <w:rsid w:val="0B425A17"/>
    <w:rsid w:val="0B464611"/>
    <w:rsid w:val="0B4D5164"/>
    <w:rsid w:val="0B4E7969"/>
    <w:rsid w:val="0B521208"/>
    <w:rsid w:val="0B667275"/>
    <w:rsid w:val="0B6B22C9"/>
    <w:rsid w:val="0B7D3DAB"/>
    <w:rsid w:val="0B8213C1"/>
    <w:rsid w:val="0B8D0492"/>
    <w:rsid w:val="0B8E420A"/>
    <w:rsid w:val="0B903ADE"/>
    <w:rsid w:val="0B957346"/>
    <w:rsid w:val="0B980BE5"/>
    <w:rsid w:val="0B9B6CCA"/>
    <w:rsid w:val="0BAD28E2"/>
    <w:rsid w:val="0BB43C70"/>
    <w:rsid w:val="0BB84DE3"/>
    <w:rsid w:val="0BC814CA"/>
    <w:rsid w:val="0BCB0A0C"/>
    <w:rsid w:val="0BD7170D"/>
    <w:rsid w:val="0BDA11FD"/>
    <w:rsid w:val="0BED7182"/>
    <w:rsid w:val="0C05627A"/>
    <w:rsid w:val="0C083FBC"/>
    <w:rsid w:val="0C1622A5"/>
    <w:rsid w:val="0C1F4E62"/>
    <w:rsid w:val="0C2421D9"/>
    <w:rsid w:val="0C37664F"/>
    <w:rsid w:val="0C452B1A"/>
    <w:rsid w:val="0C460641"/>
    <w:rsid w:val="0C637445"/>
    <w:rsid w:val="0C6B22BE"/>
    <w:rsid w:val="0C9D4705"/>
    <w:rsid w:val="0CA737D5"/>
    <w:rsid w:val="0CC021A1"/>
    <w:rsid w:val="0CC46135"/>
    <w:rsid w:val="0CC7259C"/>
    <w:rsid w:val="0CE340E1"/>
    <w:rsid w:val="0CE95B9C"/>
    <w:rsid w:val="0CEA0CA3"/>
    <w:rsid w:val="0CEF17A8"/>
    <w:rsid w:val="0CF14A50"/>
    <w:rsid w:val="0CFA3905"/>
    <w:rsid w:val="0D2A3ABE"/>
    <w:rsid w:val="0D442DD2"/>
    <w:rsid w:val="0D4E2C3A"/>
    <w:rsid w:val="0D5C45C0"/>
    <w:rsid w:val="0D611BD6"/>
    <w:rsid w:val="0D662D48"/>
    <w:rsid w:val="0D786F20"/>
    <w:rsid w:val="0D7C256C"/>
    <w:rsid w:val="0D7D0092"/>
    <w:rsid w:val="0D8238FA"/>
    <w:rsid w:val="0D894C89"/>
    <w:rsid w:val="0DA67DDF"/>
    <w:rsid w:val="0DAB10A3"/>
    <w:rsid w:val="0DC42165"/>
    <w:rsid w:val="0DC52BE4"/>
    <w:rsid w:val="0DEF0A31"/>
    <w:rsid w:val="0DF26CD2"/>
    <w:rsid w:val="0DF90060"/>
    <w:rsid w:val="0DFA594D"/>
    <w:rsid w:val="0E224B6C"/>
    <w:rsid w:val="0E666D78"/>
    <w:rsid w:val="0E67321C"/>
    <w:rsid w:val="0E6C0832"/>
    <w:rsid w:val="0E6F3E7F"/>
    <w:rsid w:val="0E9438E5"/>
    <w:rsid w:val="0E947D89"/>
    <w:rsid w:val="0E963B01"/>
    <w:rsid w:val="0E9C09EC"/>
    <w:rsid w:val="0EA0672E"/>
    <w:rsid w:val="0EAC5D88"/>
    <w:rsid w:val="0EC3241C"/>
    <w:rsid w:val="0EC35F79"/>
    <w:rsid w:val="0EC95C85"/>
    <w:rsid w:val="0ECC307F"/>
    <w:rsid w:val="0EDB32C2"/>
    <w:rsid w:val="0F000F7B"/>
    <w:rsid w:val="0F274759"/>
    <w:rsid w:val="0F5372FC"/>
    <w:rsid w:val="0F6F1C5E"/>
    <w:rsid w:val="0F7200CA"/>
    <w:rsid w:val="0F76123D"/>
    <w:rsid w:val="0F865924"/>
    <w:rsid w:val="0F9067A2"/>
    <w:rsid w:val="0F9470D3"/>
    <w:rsid w:val="0F9E52D1"/>
    <w:rsid w:val="0FB44876"/>
    <w:rsid w:val="0FC87CEA"/>
    <w:rsid w:val="0FD52407"/>
    <w:rsid w:val="0FE32D76"/>
    <w:rsid w:val="0FF22FB9"/>
    <w:rsid w:val="0FFF56D6"/>
    <w:rsid w:val="100E1475"/>
    <w:rsid w:val="102869DB"/>
    <w:rsid w:val="10321608"/>
    <w:rsid w:val="103709CC"/>
    <w:rsid w:val="103C4234"/>
    <w:rsid w:val="1040283D"/>
    <w:rsid w:val="104158DA"/>
    <w:rsid w:val="104355C3"/>
    <w:rsid w:val="10466E61"/>
    <w:rsid w:val="104D01F0"/>
    <w:rsid w:val="10587DF7"/>
    <w:rsid w:val="10593038"/>
    <w:rsid w:val="10596B94"/>
    <w:rsid w:val="105B0B5E"/>
    <w:rsid w:val="106F63B8"/>
    <w:rsid w:val="107A6B0B"/>
    <w:rsid w:val="107C5A41"/>
    <w:rsid w:val="108005C5"/>
    <w:rsid w:val="109D1177"/>
    <w:rsid w:val="109D2AD9"/>
    <w:rsid w:val="10C33691"/>
    <w:rsid w:val="10EA5A3E"/>
    <w:rsid w:val="10EC2A75"/>
    <w:rsid w:val="10F20B4A"/>
    <w:rsid w:val="10FC5772"/>
    <w:rsid w:val="10FD39C4"/>
    <w:rsid w:val="110034B4"/>
    <w:rsid w:val="11196324"/>
    <w:rsid w:val="113B44EC"/>
    <w:rsid w:val="113E3FDC"/>
    <w:rsid w:val="11577442"/>
    <w:rsid w:val="116457F1"/>
    <w:rsid w:val="1172466A"/>
    <w:rsid w:val="119D51A7"/>
    <w:rsid w:val="119D7604"/>
    <w:rsid w:val="119F0F1F"/>
    <w:rsid w:val="11A16A45"/>
    <w:rsid w:val="11A402E3"/>
    <w:rsid w:val="11AA3420"/>
    <w:rsid w:val="11DC55CF"/>
    <w:rsid w:val="11E701D0"/>
    <w:rsid w:val="11F22685"/>
    <w:rsid w:val="11F624FE"/>
    <w:rsid w:val="11F76665"/>
    <w:rsid w:val="121865DB"/>
    <w:rsid w:val="12323B41"/>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72098"/>
    <w:rsid w:val="138C7281"/>
    <w:rsid w:val="13904FC3"/>
    <w:rsid w:val="13925EE6"/>
    <w:rsid w:val="1399374C"/>
    <w:rsid w:val="139B3968"/>
    <w:rsid w:val="139C19DC"/>
    <w:rsid w:val="139F5206"/>
    <w:rsid w:val="139F6FB4"/>
    <w:rsid w:val="13A7230D"/>
    <w:rsid w:val="13AE5449"/>
    <w:rsid w:val="13CC15F2"/>
    <w:rsid w:val="13DD5D2E"/>
    <w:rsid w:val="13E470BD"/>
    <w:rsid w:val="13E7095B"/>
    <w:rsid w:val="13F84916"/>
    <w:rsid w:val="141334FE"/>
    <w:rsid w:val="14264FE0"/>
    <w:rsid w:val="1436224E"/>
    <w:rsid w:val="144A162C"/>
    <w:rsid w:val="145A737F"/>
    <w:rsid w:val="1461070D"/>
    <w:rsid w:val="14665D24"/>
    <w:rsid w:val="146E6986"/>
    <w:rsid w:val="14726477"/>
    <w:rsid w:val="148368D6"/>
    <w:rsid w:val="14860174"/>
    <w:rsid w:val="148A4193"/>
    <w:rsid w:val="148D49E2"/>
    <w:rsid w:val="14983A03"/>
    <w:rsid w:val="149A7D65"/>
    <w:rsid w:val="14A16D5C"/>
    <w:rsid w:val="14A64372"/>
    <w:rsid w:val="14BF71E2"/>
    <w:rsid w:val="14C2372B"/>
    <w:rsid w:val="14D25167"/>
    <w:rsid w:val="14D92443"/>
    <w:rsid w:val="15080B89"/>
    <w:rsid w:val="15190FE8"/>
    <w:rsid w:val="151B4D60"/>
    <w:rsid w:val="151E5B91"/>
    <w:rsid w:val="152534E9"/>
    <w:rsid w:val="1528122B"/>
    <w:rsid w:val="152A7C39"/>
    <w:rsid w:val="153674A4"/>
    <w:rsid w:val="153D78B4"/>
    <w:rsid w:val="15565D98"/>
    <w:rsid w:val="155C679B"/>
    <w:rsid w:val="156009C5"/>
    <w:rsid w:val="15735296"/>
    <w:rsid w:val="15802E15"/>
    <w:rsid w:val="15997A33"/>
    <w:rsid w:val="15AC7766"/>
    <w:rsid w:val="15AD4406"/>
    <w:rsid w:val="15B7153F"/>
    <w:rsid w:val="15C639B1"/>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8A2AF7"/>
    <w:rsid w:val="16913548"/>
    <w:rsid w:val="16C64858"/>
    <w:rsid w:val="16ED44DA"/>
    <w:rsid w:val="174E4CFE"/>
    <w:rsid w:val="175E2CE2"/>
    <w:rsid w:val="1767603B"/>
    <w:rsid w:val="17683B61"/>
    <w:rsid w:val="17C0399D"/>
    <w:rsid w:val="17C50FB3"/>
    <w:rsid w:val="17C84600"/>
    <w:rsid w:val="17D17958"/>
    <w:rsid w:val="17D94B36"/>
    <w:rsid w:val="17EE4066"/>
    <w:rsid w:val="17FD699F"/>
    <w:rsid w:val="18194E5B"/>
    <w:rsid w:val="18267CA4"/>
    <w:rsid w:val="18295325"/>
    <w:rsid w:val="18363C5F"/>
    <w:rsid w:val="184E0FA9"/>
    <w:rsid w:val="18561C0B"/>
    <w:rsid w:val="185D743E"/>
    <w:rsid w:val="187F0273"/>
    <w:rsid w:val="18891FE1"/>
    <w:rsid w:val="188D7D23"/>
    <w:rsid w:val="188E75F7"/>
    <w:rsid w:val="189866C8"/>
    <w:rsid w:val="189A41EE"/>
    <w:rsid w:val="18B352B0"/>
    <w:rsid w:val="18B37049"/>
    <w:rsid w:val="18B8458C"/>
    <w:rsid w:val="18C64FE3"/>
    <w:rsid w:val="18D544EC"/>
    <w:rsid w:val="18DE232D"/>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EA4D01"/>
    <w:rsid w:val="19FB2A6A"/>
    <w:rsid w:val="19FE255B"/>
    <w:rsid w:val="1A18186E"/>
    <w:rsid w:val="1A18361C"/>
    <w:rsid w:val="1A240213"/>
    <w:rsid w:val="1A3345AB"/>
    <w:rsid w:val="1A381F10"/>
    <w:rsid w:val="1A424B3D"/>
    <w:rsid w:val="1A4A57A0"/>
    <w:rsid w:val="1A5545C6"/>
    <w:rsid w:val="1A654388"/>
    <w:rsid w:val="1A6732D4"/>
    <w:rsid w:val="1A6844D4"/>
    <w:rsid w:val="1A6E148E"/>
    <w:rsid w:val="1A9C249F"/>
    <w:rsid w:val="1A9F5AEC"/>
    <w:rsid w:val="1AA2738A"/>
    <w:rsid w:val="1AAB7407"/>
    <w:rsid w:val="1AB570BD"/>
    <w:rsid w:val="1AC11F06"/>
    <w:rsid w:val="1AD559B1"/>
    <w:rsid w:val="1ADB3280"/>
    <w:rsid w:val="1ADB7C95"/>
    <w:rsid w:val="1AE654C9"/>
    <w:rsid w:val="1AE87493"/>
    <w:rsid w:val="1B0E2C71"/>
    <w:rsid w:val="1B132036"/>
    <w:rsid w:val="1B215345"/>
    <w:rsid w:val="1B232D26"/>
    <w:rsid w:val="1B285AE1"/>
    <w:rsid w:val="1B371D78"/>
    <w:rsid w:val="1B636B19"/>
    <w:rsid w:val="1B697EA8"/>
    <w:rsid w:val="1B6B6201"/>
    <w:rsid w:val="1B701236"/>
    <w:rsid w:val="1B7C5E2D"/>
    <w:rsid w:val="1B8A6CF4"/>
    <w:rsid w:val="1B9E7E6B"/>
    <w:rsid w:val="1BA875D4"/>
    <w:rsid w:val="1BAF48EB"/>
    <w:rsid w:val="1BBB4BA7"/>
    <w:rsid w:val="1BCD6688"/>
    <w:rsid w:val="1BD6378F"/>
    <w:rsid w:val="1BEC2FB3"/>
    <w:rsid w:val="1BFB4FA4"/>
    <w:rsid w:val="1BFE4A94"/>
    <w:rsid w:val="1C063DFC"/>
    <w:rsid w:val="1C0A51E7"/>
    <w:rsid w:val="1C146065"/>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642A2"/>
    <w:rsid w:val="1D300C7D"/>
    <w:rsid w:val="1D445881"/>
    <w:rsid w:val="1D4D5CD3"/>
    <w:rsid w:val="1D552DD9"/>
    <w:rsid w:val="1D5A5F73"/>
    <w:rsid w:val="1D5C5F16"/>
    <w:rsid w:val="1D685307"/>
    <w:rsid w:val="1D724B42"/>
    <w:rsid w:val="1D7D3EB6"/>
    <w:rsid w:val="1D864D41"/>
    <w:rsid w:val="1DBC69B5"/>
    <w:rsid w:val="1DE859FC"/>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62707"/>
    <w:rsid w:val="1EA90CE7"/>
    <w:rsid w:val="1EB83620"/>
    <w:rsid w:val="1EC93137"/>
    <w:rsid w:val="1EDD4E34"/>
    <w:rsid w:val="1EDF295B"/>
    <w:rsid w:val="1F0C74C8"/>
    <w:rsid w:val="1F132C50"/>
    <w:rsid w:val="1F1E7942"/>
    <w:rsid w:val="1F244811"/>
    <w:rsid w:val="1F264A2D"/>
    <w:rsid w:val="1F274302"/>
    <w:rsid w:val="1F274C01"/>
    <w:rsid w:val="1F3C1B5B"/>
    <w:rsid w:val="1F3E1D77"/>
    <w:rsid w:val="1F4924CA"/>
    <w:rsid w:val="1F60531F"/>
    <w:rsid w:val="1F6A2B6C"/>
    <w:rsid w:val="1F6D61B8"/>
    <w:rsid w:val="1F6D77C8"/>
    <w:rsid w:val="1F7532BF"/>
    <w:rsid w:val="1F8654CC"/>
    <w:rsid w:val="1F90634B"/>
    <w:rsid w:val="1FA20DCC"/>
    <w:rsid w:val="1FA47700"/>
    <w:rsid w:val="1FA53BA4"/>
    <w:rsid w:val="1FAF67D1"/>
    <w:rsid w:val="1FB812A8"/>
    <w:rsid w:val="1FC3402A"/>
    <w:rsid w:val="1FE741BD"/>
    <w:rsid w:val="20104D96"/>
    <w:rsid w:val="20120B0E"/>
    <w:rsid w:val="20140D2A"/>
    <w:rsid w:val="20234AC9"/>
    <w:rsid w:val="20315438"/>
    <w:rsid w:val="20346CD6"/>
    <w:rsid w:val="20407429"/>
    <w:rsid w:val="20457135"/>
    <w:rsid w:val="204D7D98"/>
    <w:rsid w:val="20542ED4"/>
    <w:rsid w:val="206550E2"/>
    <w:rsid w:val="20692E24"/>
    <w:rsid w:val="206A6B9C"/>
    <w:rsid w:val="206F41B2"/>
    <w:rsid w:val="207B1E2B"/>
    <w:rsid w:val="208A2D9A"/>
    <w:rsid w:val="208C6B12"/>
    <w:rsid w:val="208F6602"/>
    <w:rsid w:val="20947775"/>
    <w:rsid w:val="209D0D1F"/>
    <w:rsid w:val="20A0611A"/>
    <w:rsid w:val="20A21E92"/>
    <w:rsid w:val="20B17B77"/>
    <w:rsid w:val="20D12777"/>
    <w:rsid w:val="20D14525"/>
    <w:rsid w:val="20D34741"/>
    <w:rsid w:val="20E26732"/>
    <w:rsid w:val="20E97AC1"/>
    <w:rsid w:val="21132D8F"/>
    <w:rsid w:val="21150307"/>
    <w:rsid w:val="211C60E8"/>
    <w:rsid w:val="212D03D7"/>
    <w:rsid w:val="213435D0"/>
    <w:rsid w:val="21380A48"/>
    <w:rsid w:val="213A47C0"/>
    <w:rsid w:val="21703D3E"/>
    <w:rsid w:val="21751354"/>
    <w:rsid w:val="218617B3"/>
    <w:rsid w:val="21933ED0"/>
    <w:rsid w:val="21983295"/>
    <w:rsid w:val="219914E7"/>
    <w:rsid w:val="21991DF6"/>
    <w:rsid w:val="21A1039B"/>
    <w:rsid w:val="21B62351"/>
    <w:rsid w:val="21CD5F9A"/>
    <w:rsid w:val="21CF315A"/>
    <w:rsid w:val="21D134C5"/>
    <w:rsid w:val="21D249F9"/>
    <w:rsid w:val="21E1103D"/>
    <w:rsid w:val="21F77FBB"/>
    <w:rsid w:val="220B70F2"/>
    <w:rsid w:val="220F3557"/>
    <w:rsid w:val="22261312"/>
    <w:rsid w:val="223B434C"/>
    <w:rsid w:val="223C6316"/>
    <w:rsid w:val="224A27E1"/>
    <w:rsid w:val="224C6559"/>
    <w:rsid w:val="22592A24"/>
    <w:rsid w:val="225B2A36"/>
    <w:rsid w:val="22600256"/>
    <w:rsid w:val="2265586D"/>
    <w:rsid w:val="22775899"/>
    <w:rsid w:val="2280028D"/>
    <w:rsid w:val="22AC349C"/>
    <w:rsid w:val="22B20386"/>
    <w:rsid w:val="22E36792"/>
    <w:rsid w:val="22E9024C"/>
    <w:rsid w:val="22F866E1"/>
    <w:rsid w:val="22F95FB5"/>
    <w:rsid w:val="22FD7853"/>
    <w:rsid w:val="22FE4E63"/>
    <w:rsid w:val="23160915"/>
    <w:rsid w:val="231B417D"/>
    <w:rsid w:val="232A43C0"/>
    <w:rsid w:val="233139A1"/>
    <w:rsid w:val="23492A98"/>
    <w:rsid w:val="23566F63"/>
    <w:rsid w:val="23711FEF"/>
    <w:rsid w:val="2375388E"/>
    <w:rsid w:val="2382763C"/>
    <w:rsid w:val="23A423C5"/>
    <w:rsid w:val="23A45F21"/>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83022C"/>
    <w:rsid w:val="248A5117"/>
    <w:rsid w:val="2492046F"/>
    <w:rsid w:val="2492221D"/>
    <w:rsid w:val="24B16B47"/>
    <w:rsid w:val="24BD373E"/>
    <w:rsid w:val="24C70119"/>
    <w:rsid w:val="24CA5E5B"/>
    <w:rsid w:val="24D40A88"/>
    <w:rsid w:val="24DB1E16"/>
    <w:rsid w:val="24EC4023"/>
    <w:rsid w:val="24ED38F7"/>
    <w:rsid w:val="250C6474"/>
    <w:rsid w:val="250C7BDD"/>
    <w:rsid w:val="25180974"/>
    <w:rsid w:val="25203CCD"/>
    <w:rsid w:val="2527505B"/>
    <w:rsid w:val="252E63EA"/>
    <w:rsid w:val="25333A00"/>
    <w:rsid w:val="25341526"/>
    <w:rsid w:val="253728AF"/>
    <w:rsid w:val="25430923"/>
    <w:rsid w:val="25473008"/>
    <w:rsid w:val="254774AC"/>
    <w:rsid w:val="254F010E"/>
    <w:rsid w:val="25583467"/>
    <w:rsid w:val="25695674"/>
    <w:rsid w:val="25695F41"/>
    <w:rsid w:val="2572277A"/>
    <w:rsid w:val="257A162F"/>
    <w:rsid w:val="25A91362"/>
    <w:rsid w:val="25C20003"/>
    <w:rsid w:val="25EC3BAF"/>
    <w:rsid w:val="260B672B"/>
    <w:rsid w:val="261A071C"/>
    <w:rsid w:val="263F0183"/>
    <w:rsid w:val="26400147"/>
    <w:rsid w:val="26413EFB"/>
    <w:rsid w:val="264659B5"/>
    <w:rsid w:val="264834DB"/>
    <w:rsid w:val="26485289"/>
    <w:rsid w:val="26597496"/>
    <w:rsid w:val="2674607E"/>
    <w:rsid w:val="268B1CCF"/>
    <w:rsid w:val="26920BFA"/>
    <w:rsid w:val="26995AE5"/>
    <w:rsid w:val="269E759F"/>
    <w:rsid w:val="26A050C5"/>
    <w:rsid w:val="26AD333E"/>
    <w:rsid w:val="26B3099D"/>
    <w:rsid w:val="26BA5C25"/>
    <w:rsid w:val="26BD5C77"/>
    <w:rsid w:val="26C1503C"/>
    <w:rsid w:val="26C37006"/>
    <w:rsid w:val="26C54B2C"/>
    <w:rsid w:val="26DD1E76"/>
    <w:rsid w:val="26E054C2"/>
    <w:rsid w:val="26F96584"/>
    <w:rsid w:val="27024388"/>
    <w:rsid w:val="270713C3"/>
    <w:rsid w:val="270D202F"/>
    <w:rsid w:val="27392E24"/>
    <w:rsid w:val="274243CE"/>
    <w:rsid w:val="275A34C6"/>
    <w:rsid w:val="275E1D48"/>
    <w:rsid w:val="27677991"/>
    <w:rsid w:val="277327DA"/>
    <w:rsid w:val="278B7B24"/>
    <w:rsid w:val="27A3569D"/>
    <w:rsid w:val="27A40BE5"/>
    <w:rsid w:val="27A55B0F"/>
    <w:rsid w:val="27AC6936"/>
    <w:rsid w:val="27B01338"/>
    <w:rsid w:val="27B626C7"/>
    <w:rsid w:val="27CB43C4"/>
    <w:rsid w:val="27D1743C"/>
    <w:rsid w:val="27DD55D8"/>
    <w:rsid w:val="27E40FE2"/>
    <w:rsid w:val="27E92A9C"/>
    <w:rsid w:val="27EB563A"/>
    <w:rsid w:val="280B2A12"/>
    <w:rsid w:val="2810627B"/>
    <w:rsid w:val="28137B19"/>
    <w:rsid w:val="281713B7"/>
    <w:rsid w:val="283B73C3"/>
    <w:rsid w:val="28463A4A"/>
    <w:rsid w:val="284657F9"/>
    <w:rsid w:val="28481571"/>
    <w:rsid w:val="285D414E"/>
    <w:rsid w:val="28620159"/>
    <w:rsid w:val="28687E65"/>
    <w:rsid w:val="28697739"/>
    <w:rsid w:val="288B4085"/>
    <w:rsid w:val="28926C90"/>
    <w:rsid w:val="28A30E9D"/>
    <w:rsid w:val="28B05368"/>
    <w:rsid w:val="28B27CA3"/>
    <w:rsid w:val="28B60BD0"/>
    <w:rsid w:val="28C332ED"/>
    <w:rsid w:val="28C606E7"/>
    <w:rsid w:val="28C72DDD"/>
    <w:rsid w:val="28CD5F1A"/>
    <w:rsid w:val="28D41056"/>
    <w:rsid w:val="28F16026"/>
    <w:rsid w:val="2903193C"/>
    <w:rsid w:val="290336EA"/>
    <w:rsid w:val="290D4568"/>
    <w:rsid w:val="290F208E"/>
    <w:rsid w:val="29193321"/>
    <w:rsid w:val="291C47AB"/>
    <w:rsid w:val="29233D8C"/>
    <w:rsid w:val="29476954"/>
    <w:rsid w:val="294F2DD3"/>
    <w:rsid w:val="29535AE8"/>
    <w:rsid w:val="29543F45"/>
    <w:rsid w:val="295464C2"/>
    <w:rsid w:val="29626662"/>
    <w:rsid w:val="297C6AA2"/>
    <w:rsid w:val="299D769A"/>
    <w:rsid w:val="29AC3D81"/>
    <w:rsid w:val="29AF73CD"/>
    <w:rsid w:val="29BB3FC4"/>
    <w:rsid w:val="29C966E1"/>
    <w:rsid w:val="29CE3CF8"/>
    <w:rsid w:val="29D11A3A"/>
    <w:rsid w:val="29DB6414"/>
    <w:rsid w:val="29E37FC4"/>
    <w:rsid w:val="29E4351B"/>
    <w:rsid w:val="29F6324E"/>
    <w:rsid w:val="2A0239A1"/>
    <w:rsid w:val="2A16744D"/>
    <w:rsid w:val="2A1B4A63"/>
    <w:rsid w:val="2A263B34"/>
    <w:rsid w:val="2A3D0E87"/>
    <w:rsid w:val="2A510485"/>
    <w:rsid w:val="2A524929"/>
    <w:rsid w:val="2A567E78"/>
    <w:rsid w:val="2A5C1303"/>
    <w:rsid w:val="2A6102EC"/>
    <w:rsid w:val="2A7441EE"/>
    <w:rsid w:val="2A77613D"/>
    <w:rsid w:val="2A7C7BF7"/>
    <w:rsid w:val="2A862824"/>
    <w:rsid w:val="2A88034A"/>
    <w:rsid w:val="2AA8279A"/>
    <w:rsid w:val="2AA9206F"/>
    <w:rsid w:val="2AB033FD"/>
    <w:rsid w:val="2ACC030F"/>
    <w:rsid w:val="2AD25A69"/>
    <w:rsid w:val="2AD9215F"/>
    <w:rsid w:val="2AD96DF8"/>
    <w:rsid w:val="2ADE440E"/>
    <w:rsid w:val="2AE964C6"/>
    <w:rsid w:val="2B05199B"/>
    <w:rsid w:val="2B1E0CAF"/>
    <w:rsid w:val="2B1E2A5D"/>
    <w:rsid w:val="2B406E77"/>
    <w:rsid w:val="2B4C581C"/>
    <w:rsid w:val="2B606BD1"/>
    <w:rsid w:val="2B726905"/>
    <w:rsid w:val="2B8723B0"/>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406FF"/>
    <w:rsid w:val="2C3B13EC"/>
    <w:rsid w:val="2C475FE3"/>
    <w:rsid w:val="2C506C46"/>
    <w:rsid w:val="2C6E4C6A"/>
    <w:rsid w:val="2C703257"/>
    <w:rsid w:val="2C736DD8"/>
    <w:rsid w:val="2C772424"/>
    <w:rsid w:val="2C9B7CA1"/>
    <w:rsid w:val="2CA70830"/>
    <w:rsid w:val="2CAA0D04"/>
    <w:rsid w:val="2CAA7893"/>
    <w:rsid w:val="2CB82A3D"/>
    <w:rsid w:val="2CB847EB"/>
    <w:rsid w:val="2CBF201D"/>
    <w:rsid w:val="2CC3566A"/>
    <w:rsid w:val="2CDB64D3"/>
    <w:rsid w:val="2CE2593C"/>
    <w:rsid w:val="2CFC5020"/>
    <w:rsid w:val="2D04536F"/>
    <w:rsid w:val="2D12039F"/>
    <w:rsid w:val="2D15219B"/>
    <w:rsid w:val="2D2B7271"/>
    <w:rsid w:val="2D3227EF"/>
    <w:rsid w:val="2D3E73E6"/>
    <w:rsid w:val="2D4349FC"/>
    <w:rsid w:val="2D452523"/>
    <w:rsid w:val="2D4542D1"/>
    <w:rsid w:val="2D5C161A"/>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12877"/>
    <w:rsid w:val="2E0E0B66"/>
    <w:rsid w:val="2E3507E9"/>
    <w:rsid w:val="2E3F2682"/>
    <w:rsid w:val="2E405189"/>
    <w:rsid w:val="2E4427DA"/>
    <w:rsid w:val="2E642E7C"/>
    <w:rsid w:val="2E9D1EEA"/>
    <w:rsid w:val="2EB20408"/>
    <w:rsid w:val="2EB23BE8"/>
    <w:rsid w:val="2EC67693"/>
    <w:rsid w:val="2ED81174"/>
    <w:rsid w:val="2EDE1C71"/>
    <w:rsid w:val="2EE45D6B"/>
    <w:rsid w:val="2EE82BD8"/>
    <w:rsid w:val="2EFF2BA5"/>
    <w:rsid w:val="2F192425"/>
    <w:rsid w:val="2F3565C7"/>
    <w:rsid w:val="2F3C7955"/>
    <w:rsid w:val="2F4F7689"/>
    <w:rsid w:val="2F542EF1"/>
    <w:rsid w:val="2F5527C5"/>
    <w:rsid w:val="2F5C3B54"/>
    <w:rsid w:val="2F603644"/>
    <w:rsid w:val="2F700004"/>
    <w:rsid w:val="2F750AF6"/>
    <w:rsid w:val="2F776BDF"/>
    <w:rsid w:val="2F837332"/>
    <w:rsid w:val="2F8512FC"/>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62163D"/>
    <w:rsid w:val="30621B6B"/>
    <w:rsid w:val="307B625B"/>
    <w:rsid w:val="307C26FF"/>
    <w:rsid w:val="307D1FD3"/>
    <w:rsid w:val="308B46F0"/>
    <w:rsid w:val="3091782D"/>
    <w:rsid w:val="30B55C11"/>
    <w:rsid w:val="30D75B88"/>
    <w:rsid w:val="30EB33E1"/>
    <w:rsid w:val="31053E7C"/>
    <w:rsid w:val="31083F93"/>
    <w:rsid w:val="31093867"/>
    <w:rsid w:val="310E5321"/>
    <w:rsid w:val="31190263"/>
    <w:rsid w:val="311E37B6"/>
    <w:rsid w:val="313A1C72"/>
    <w:rsid w:val="314D1797"/>
    <w:rsid w:val="31642CFA"/>
    <w:rsid w:val="318F1FBE"/>
    <w:rsid w:val="3194582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840E9"/>
    <w:rsid w:val="323D5EBE"/>
    <w:rsid w:val="32472899"/>
    <w:rsid w:val="32494863"/>
    <w:rsid w:val="324C6101"/>
    <w:rsid w:val="325356E2"/>
    <w:rsid w:val="325A019F"/>
    <w:rsid w:val="3267118D"/>
    <w:rsid w:val="326A3B99"/>
    <w:rsid w:val="32780CA4"/>
    <w:rsid w:val="329528AE"/>
    <w:rsid w:val="329F4483"/>
    <w:rsid w:val="32A73338"/>
    <w:rsid w:val="32AE2918"/>
    <w:rsid w:val="32CC0FF0"/>
    <w:rsid w:val="32D449FB"/>
    <w:rsid w:val="32E620B2"/>
    <w:rsid w:val="32EB591A"/>
    <w:rsid w:val="32EE540A"/>
    <w:rsid w:val="32F32A21"/>
    <w:rsid w:val="32F522F5"/>
    <w:rsid w:val="32F742BF"/>
    <w:rsid w:val="32F81DE5"/>
    <w:rsid w:val="32FA3DAF"/>
    <w:rsid w:val="32FA790B"/>
    <w:rsid w:val="32FB6D81"/>
    <w:rsid w:val="32FC18D5"/>
    <w:rsid w:val="32FF3174"/>
    <w:rsid w:val="33016EEC"/>
    <w:rsid w:val="330A3CD4"/>
    <w:rsid w:val="330E785B"/>
    <w:rsid w:val="33332E1D"/>
    <w:rsid w:val="333515BA"/>
    <w:rsid w:val="33386686"/>
    <w:rsid w:val="333A23FE"/>
    <w:rsid w:val="335214F5"/>
    <w:rsid w:val="33531CE2"/>
    <w:rsid w:val="338813BB"/>
    <w:rsid w:val="339A2E9C"/>
    <w:rsid w:val="33BE302F"/>
    <w:rsid w:val="33BE4DDD"/>
    <w:rsid w:val="33D068BE"/>
    <w:rsid w:val="340D1B3C"/>
    <w:rsid w:val="3422536C"/>
    <w:rsid w:val="34376474"/>
    <w:rsid w:val="34480B4A"/>
    <w:rsid w:val="344C4197"/>
    <w:rsid w:val="346516FC"/>
    <w:rsid w:val="346E6803"/>
    <w:rsid w:val="34733E19"/>
    <w:rsid w:val="347B74B6"/>
    <w:rsid w:val="348C4EDB"/>
    <w:rsid w:val="348E0C53"/>
    <w:rsid w:val="34983880"/>
    <w:rsid w:val="349B511E"/>
    <w:rsid w:val="34A35D81"/>
    <w:rsid w:val="34A75871"/>
    <w:rsid w:val="34CB5A03"/>
    <w:rsid w:val="34EC597A"/>
    <w:rsid w:val="34ED5335"/>
    <w:rsid w:val="34EE7BB1"/>
    <w:rsid w:val="34F0546A"/>
    <w:rsid w:val="34F07218"/>
    <w:rsid w:val="34F211E2"/>
    <w:rsid w:val="34FC3E0F"/>
    <w:rsid w:val="35066A3B"/>
    <w:rsid w:val="350B5E00"/>
    <w:rsid w:val="35305866"/>
    <w:rsid w:val="353600E4"/>
    <w:rsid w:val="35402DD4"/>
    <w:rsid w:val="354E03E2"/>
    <w:rsid w:val="355F439E"/>
    <w:rsid w:val="356D6ABA"/>
    <w:rsid w:val="35803815"/>
    <w:rsid w:val="35846425"/>
    <w:rsid w:val="35857851"/>
    <w:rsid w:val="35951B6D"/>
    <w:rsid w:val="359978AF"/>
    <w:rsid w:val="359E4EC6"/>
    <w:rsid w:val="35A85D44"/>
    <w:rsid w:val="35A87AF3"/>
    <w:rsid w:val="35BC359E"/>
    <w:rsid w:val="35BC534C"/>
    <w:rsid w:val="35CF507F"/>
    <w:rsid w:val="35E13004"/>
    <w:rsid w:val="35EF5721"/>
    <w:rsid w:val="36174C78"/>
    <w:rsid w:val="361E1B63"/>
    <w:rsid w:val="362A0508"/>
    <w:rsid w:val="36344E26"/>
    <w:rsid w:val="364517E5"/>
    <w:rsid w:val="365C49EA"/>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1B42F4"/>
    <w:rsid w:val="373A6E70"/>
    <w:rsid w:val="373D426B"/>
    <w:rsid w:val="37461371"/>
    <w:rsid w:val="376A4769"/>
    <w:rsid w:val="378B147A"/>
    <w:rsid w:val="379876F3"/>
    <w:rsid w:val="379C3687"/>
    <w:rsid w:val="379E11AD"/>
    <w:rsid w:val="37A0321C"/>
    <w:rsid w:val="37B207B5"/>
    <w:rsid w:val="37B22EAA"/>
    <w:rsid w:val="37C91822"/>
    <w:rsid w:val="37F05781"/>
    <w:rsid w:val="37F9032E"/>
    <w:rsid w:val="3810197F"/>
    <w:rsid w:val="38211DDE"/>
    <w:rsid w:val="3825367C"/>
    <w:rsid w:val="38314519"/>
    <w:rsid w:val="38325D99"/>
    <w:rsid w:val="38417D8A"/>
    <w:rsid w:val="384653A1"/>
    <w:rsid w:val="38547ABE"/>
    <w:rsid w:val="385775AE"/>
    <w:rsid w:val="387C0DC3"/>
    <w:rsid w:val="3882287D"/>
    <w:rsid w:val="38966328"/>
    <w:rsid w:val="389E6F8B"/>
    <w:rsid w:val="389F58C0"/>
    <w:rsid w:val="38A071A7"/>
    <w:rsid w:val="38A547BD"/>
    <w:rsid w:val="38A65E3F"/>
    <w:rsid w:val="38AA3B82"/>
    <w:rsid w:val="38AD5420"/>
    <w:rsid w:val="38B8629F"/>
    <w:rsid w:val="38B95B73"/>
    <w:rsid w:val="38BB18EB"/>
    <w:rsid w:val="38C70290"/>
    <w:rsid w:val="38CA5FD2"/>
    <w:rsid w:val="38CF5396"/>
    <w:rsid w:val="38D53385"/>
    <w:rsid w:val="38D8249D"/>
    <w:rsid w:val="38D94467"/>
    <w:rsid w:val="38E52E0C"/>
    <w:rsid w:val="38EC3ACE"/>
    <w:rsid w:val="38F31085"/>
    <w:rsid w:val="38FB618B"/>
    <w:rsid w:val="390239BE"/>
    <w:rsid w:val="390C16F6"/>
    <w:rsid w:val="390E5EBF"/>
    <w:rsid w:val="3911775D"/>
    <w:rsid w:val="391536F1"/>
    <w:rsid w:val="39267E6B"/>
    <w:rsid w:val="39292CF8"/>
    <w:rsid w:val="39423DBA"/>
    <w:rsid w:val="39461AFC"/>
    <w:rsid w:val="394B7113"/>
    <w:rsid w:val="3951317E"/>
    <w:rsid w:val="39557F91"/>
    <w:rsid w:val="39581830"/>
    <w:rsid w:val="39761CB6"/>
    <w:rsid w:val="39782384"/>
    <w:rsid w:val="39846389"/>
    <w:rsid w:val="39965EB4"/>
    <w:rsid w:val="39A37AB9"/>
    <w:rsid w:val="39BA6046"/>
    <w:rsid w:val="39BB4388"/>
    <w:rsid w:val="39BF365D"/>
    <w:rsid w:val="39C42A21"/>
    <w:rsid w:val="39C96289"/>
    <w:rsid w:val="39CD7B28"/>
    <w:rsid w:val="39DF785B"/>
    <w:rsid w:val="39E10598"/>
    <w:rsid w:val="39E66E3B"/>
    <w:rsid w:val="39EB4452"/>
    <w:rsid w:val="39F8091D"/>
    <w:rsid w:val="39FF3A59"/>
    <w:rsid w:val="3A03179B"/>
    <w:rsid w:val="3A192D6D"/>
    <w:rsid w:val="3A2D4A6A"/>
    <w:rsid w:val="3A2F2590"/>
    <w:rsid w:val="3A4E3DF5"/>
    <w:rsid w:val="3A503773"/>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43A1D"/>
    <w:rsid w:val="3B0532F1"/>
    <w:rsid w:val="3B07350D"/>
    <w:rsid w:val="3B0A4CF0"/>
    <w:rsid w:val="3B0D21A6"/>
    <w:rsid w:val="3B194FEF"/>
    <w:rsid w:val="3B1C4F63"/>
    <w:rsid w:val="3B245E6D"/>
    <w:rsid w:val="3B491E82"/>
    <w:rsid w:val="3B516536"/>
    <w:rsid w:val="3B530501"/>
    <w:rsid w:val="3B581673"/>
    <w:rsid w:val="3B5E72AB"/>
    <w:rsid w:val="3B65253E"/>
    <w:rsid w:val="3B716BD9"/>
    <w:rsid w:val="3B732951"/>
    <w:rsid w:val="3B8561E0"/>
    <w:rsid w:val="3B914B85"/>
    <w:rsid w:val="3B9308FD"/>
    <w:rsid w:val="3B9603ED"/>
    <w:rsid w:val="3BA42B0A"/>
    <w:rsid w:val="3BCA3066"/>
    <w:rsid w:val="3BCC2061"/>
    <w:rsid w:val="3BDA79D4"/>
    <w:rsid w:val="3BE13D5E"/>
    <w:rsid w:val="3BE15B0C"/>
    <w:rsid w:val="3BF07AFD"/>
    <w:rsid w:val="3BF13876"/>
    <w:rsid w:val="3BF84C04"/>
    <w:rsid w:val="3C0124AF"/>
    <w:rsid w:val="3C0D4B53"/>
    <w:rsid w:val="3C1F4887"/>
    <w:rsid w:val="3C267A21"/>
    <w:rsid w:val="3C2A2785"/>
    <w:rsid w:val="3C3A521C"/>
    <w:rsid w:val="3C504A40"/>
    <w:rsid w:val="3C6A3D54"/>
    <w:rsid w:val="3C7945E5"/>
    <w:rsid w:val="3C7A386B"/>
    <w:rsid w:val="3C991F43"/>
    <w:rsid w:val="3C9943D8"/>
    <w:rsid w:val="3CA408E8"/>
    <w:rsid w:val="3CB11983"/>
    <w:rsid w:val="3CB50CFF"/>
    <w:rsid w:val="3CB60D47"/>
    <w:rsid w:val="3CCF005B"/>
    <w:rsid w:val="3CD218F9"/>
    <w:rsid w:val="3CDD2778"/>
    <w:rsid w:val="3CED04E1"/>
    <w:rsid w:val="3CF96E86"/>
    <w:rsid w:val="3D0A1093"/>
    <w:rsid w:val="3D131BCB"/>
    <w:rsid w:val="3D257C7B"/>
    <w:rsid w:val="3D3879AE"/>
    <w:rsid w:val="3D4445A5"/>
    <w:rsid w:val="3D566086"/>
    <w:rsid w:val="3D65276D"/>
    <w:rsid w:val="3D670293"/>
    <w:rsid w:val="3D755FB3"/>
    <w:rsid w:val="3D8A3F82"/>
    <w:rsid w:val="3D8B74C8"/>
    <w:rsid w:val="3D931088"/>
    <w:rsid w:val="3D9646D4"/>
    <w:rsid w:val="3D9A41C5"/>
    <w:rsid w:val="3D9F17DB"/>
    <w:rsid w:val="3DBD7EB3"/>
    <w:rsid w:val="3DC41242"/>
    <w:rsid w:val="3DEE62BF"/>
    <w:rsid w:val="3DF00289"/>
    <w:rsid w:val="3DFC4E7F"/>
    <w:rsid w:val="3E012496"/>
    <w:rsid w:val="3E0E4BB3"/>
    <w:rsid w:val="3E104487"/>
    <w:rsid w:val="3E2241BA"/>
    <w:rsid w:val="3E3F15CF"/>
    <w:rsid w:val="3E481E73"/>
    <w:rsid w:val="3E5C76CC"/>
    <w:rsid w:val="3E66054B"/>
    <w:rsid w:val="3E6A003B"/>
    <w:rsid w:val="3E6D18D9"/>
    <w:rsid w:val="3E733D99"/>
    <w:rsid w:val="3E916C1F"/>
    <w:rsid w:val="3E970704"/>
    <w:rsid w:val="3E9A1FA2"/>
    <w:rsid w:val="3EA03A5D"/>
    <w:rsid w:val="3EB158B4"/>
    <w:rsid w:val="3EBB7322"/>
    <w:rsid w:val="3EBE3EE3"/>
    <w:rsid w:val="3EC6723B"/>
    <w:rsid w:val="3ED2798E"/>
    <w:rsid w:val="3EE651E8"/>
    <w:rsid w:val="3EEA1054"/>
    <w:rsid w:val="3EF773F5"/>
    <w:rsid w:val="3F027924"/>
    <w:rsid w:val="3F125FDD"/>
    <w:rsid w:val="3F1A55AC"/>
    <w:rsid w:val="3F210422"/>
    <w:rsid w:val="3F253F62"/>
    <w:rsid w:val="3F281CA4"/>
    <w:rsid w:val="3F2C52F0"/>
    <w:rsid w:val="3F402B4A"/>
    <w:rsid w:val="3F406FEE"/>
    <w:rsid w:val="3F450160"/>
    <w:rsid w:val="3F47037C"/>
    <w:rsid w:val="3F473ED8"/>
    <w:rsid w:val="3F5B3E28"/>
    <w:rsid w:val="3F60143E"/>
    <w:rsid w:val="3F780536"/>
    <w:rsid w:val="3F7A2278"/>
    <w:rsid w:val="3F7B0026"/>
    <w:rsid w:val="3F7F7B16"/>
    <w:rsid w:val="3F981D74"/>
    <w:rsid w:val="3FA01B56"/>
    <w:rsid w:val="3FA13A92"/>
    <w:rsid w:val="3FA16FFD"/>
    <w:rsid w:val="3FA4132B"/>
    <w:rsid w:val="3FB452E6"/>
    <w:rsid w:val="3FBB48C6"/>
    <w:rsid w:val="3FE2019B"/>
    <w:rsid w:val="3FE94F8F"/>
    <w:rsid w:val="3FFF2A05"/>
    <w:rsid w:val="400022D9"/>
    <w:rsid w:val="4001677D"/>
    <w:rsid w:val="40050825"/>
    <w:rsid w:val="400973E0"/>
    <w:rsid w:val="401C35B7"/>
    <w:rsid w:val="401F6C03"/>
    <w:rsid w:val="403703F1"/>
    <w:rsid w:val="4044666A"/>
    <w:rsid w:val="40510BF2"/>
    <w:rsid w:val="40511FF8"/>
    <w:rsid w:val="405D597D"/>
    <w:rsid w:val="40775FC8"/>
    <w:rsid w:val="407F3756"/>
    <w:rsid w:val="40A4535A"/>
    <w:rsid w:val="40AC0D04"/>
    <w:rsid w:val="40EB11DB"/>
    <w:rsid w:val="40EF2A79"/>
    <w:rsid w:val="41135599"/>
    <w:rsid w:val="41173D7E"/>
    <w:rsid w:val="411C1395"/>
    <w:rsid w:val="412C782A"/>
    <w:rsid w:val="413F5BE3"/>
    <w:rsid w:val="414813D4"/>
    <w:rsid w:val="4148218A"/>
    <w:rsid w:val="4171348E"/>
    <w:rsid w:val="41AC096A"/>
    <w:rsid w:val="41B11ADD"/>
    <w:rsid w:val="41B25855"/>
    <w:rsid w:val="41B56B45"/>
    <w:rsid w:val="41BE41FA"/>
    <w:rsid w:val="41C45CB4"/>
    <w:rsid w:val="41D00C05"/>
    <w:rsid w:val="41DF53C7"/>
    <w:rsid w:val="41F83BB0"/>
    <w:rsid w:val="41F85FC5"/>
    <w:rsid w:val="41FD3881"/>
    <w:rsid w:val="42073DF3"/>
    <w:rsid w:val="42135109"/>
    <w:rsid w:val="42156510"/>
    <w:rsid w:val="421678CB"/>
    <w:rsid w:val="42206C63"/>
    <w:rsid w:val="422A188F"/>
    <w:rsid w:val="4234125C"/>
    <w:rsid w:val="423D7815"/>
    <w:rsid w:val="42442951"/>
    <w:rsid w:val="42576B28"/>
    <w:rsid w:val="425F778B"/>
    <w:rsid w:val="42703746"/>
    <w:rsid w:val="427174BE"/>
    <w:rsid w:val="428D4052"/>
    <w:rsid w:val="429733C9"/>
    <w:rsid w:val="42A0764D"/>
    <w:rsid w:val="42CA554C"/>
    <w:rsid w:val="42E20147"/>
    <w:rsid w:val="42F9198D"/>
    <w:rsid w:val="42FE0D52"/>
    <w:rsid w:val="43014CE6"/>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C20D21"/>
    <w:rsid w:val="43CC52F4"/>
    <w:rsid w:val="43D65C3E"/>
    <w:rsid w:val="43E32EF2"/>
    <w:rsid w:val="43F91FF0"/>
    <w:rsid w:val="44004F9E"/>
    <w:rsid w:val="442C2A84"/>
    <w:rsid w:val="44316F05"/>
    <w:rsid w:val="44480F49"/>
    <w:rsid w:val="444924A1"/>
    <w:rsid w:val="44564BBE"/>
    <w:rsid w:val="44621098"/>
    <w:rsid w:val="446472DA"/>
    <w:rsid w:val="447B63D2"/>
    <w:rsid w:val="4496320C"/>
    <w:rsid w:val="449D0A3E"/>
    <w:rsid w:val="449D459A"/>
    <w:rsid w:val="44A771C7"/>
    <w:rsid w:val="44A818BD"/>
    <w:rsid w:val="44A92F3F"/>
    <w:rsid w:val="44AD6ED3"/>
    <w:rsid w:val="44B30262"/>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E0248E"/>
    <w:rsid w:val="45E16709"/>
    <w:rsid w:val="46026DAB"/>
    <w:rsid w:val="460423BC"/>
    <w:rsid w:val="46184820"/>
    <w:rsid w:val="46207231"/>
    <w:rsid w:val="463B1919"/>
    <w:rsid w:val="464078D3"/>
    <w:rsid w:val="46455D41"/>
    <w:rsid w:val="46476EB4"/>
    <w:rsid w:val="464E1FF0"/>
    <w:rsid w:val="4654512D"/>
    <w:rsid w:val="466F6E02"/>
    <w:rsid w:val="4674757D"/>
    <w:rsid w:val="467A2DE5"/>
    <w:rsid w:val="468C0D6B"/>
    <w:rsid w:val="46946C63"/>
    <w:rsid w:val="469A3487"/>
    <w:rsid w:val="469F45FA"/>
    <w:rsid w:val="46A63BDA"/>
    <w:rsid w:val="46B34549"/>
    <w:rsid w:val="46C202E8"/>
    <w:rsid w:val="46E22739"/>
    <w:rsid w:val="47281424"/>
    <w:rsid w:val="472F1E22"/>
    <w:rsid w:val="4736606C"/>
    <w:rsid w:val="47394A4E"/>
    <w:rsid w:val="47490A0A"/>
    <w:rsid w:val="47507FEA"/>
    <w:rsid w:val="478168DD"/>
    <w:rsid w:val="478B1022"/>
    <w:rsid w:val="479003E6"/>
    <w:rsid w:val="479B1265"/>
    <w:rsid w:val="479C322F"/>
    <w:rsid w:val="47AA14A8"/>
    <w:rsid w:val="47C54534"/>
    <w:rsid w:val="47C615D0"/>
    <w:rsid w:val="47CB7671"/>
    <w:rsid w:val="47DC362C"/>
    <w:rsid w:val="47DE73A4"/>
    <w:rsid w:val="47E81FD1"/>
    <w:rsid w:val="48027536"/>
    <w:rsid w:val="48184616"/>
    <w:rsid w:val="48217291"/>
    <w:rsid w:val="482A3593"/>
    <w:rsid w:val="482C45B3"/>
    <w:rsid w:val="48313978"/>
    <w:rsid w:val="483671E0"/>
    <w:rsid w:val="48411E12"/>
    <w:rsid w:val="484A4A39"/>
    <w:rsid w:val="48552DCE"/>
    <w:rsid w:val="48561630"/>
    <w:rsid w:val="485D476D"/>
    <w:rsid w:val="48780FA3"/>
    <w:rsid w:val="487A4C36"/>
    <w:rsid w:val="487D096B"/>
    <w:rsid w:val="48877A3B"/>
    <w:rsid w:val="48904B42"/>
    <w:rsid w:val="4893018E"/>
    <w:rsid w:val="48934632"/>
    <w:rsid w:val="48B00D40"/>
    <w:rsid w:val="48BB1493"/>
    <w:rsid w:val="48BC5937"/>
    <w:rsid w:val="48DD3AFF"/>
    <w:rsid w:val="48EB621C"/>
    <w:rsid w:val="49060960"/>
    <w:rsid w:val="49261002"/>
    <w:rsid w:val="493D634C"/>
    <w:rsid w:val="49494CF1"/>
    <w:rsid w:val="494E2307"/>
    <w:rsid w:val="494F67AB"/>
    <w:rsid w:val="49584F34"/>
    <w:rsid w:val="49830203"/>
    <w:rsid w:val="49951CE4"/>
    <w:rsid w:val="49C425C9"/>
    <w:rsid w:val="49D071C0"/>
    <w:rsid w:val="49E54A1A"/>
    <w:rsid w:val="49ED2E91"/>
    <w:rsid w:val="49FE3D2D"/>
    <w:rsid w:val="4A0B01F8"/>
    <w:rsid w:val="4A161077"/>
    <w:rsid w:val="4A1B668D"/>
    <w:rsid w:val="4A286FFC"/>
    <w:rsid w:val="4A2F038B"/>
    <w:rsid w:val="4A2F6CCB"/>
    <w:rsid w:val="4A392FB7"/>
    <w:rsid w:val="4A4F27DB"/>
    <w:rsid w:val="4A541B9F"/>
    <w:rsid w:val="4A653DAC"/>
    <w:rsid w:val="4A6718D3"/>
    <w:rsid w:val="4A857FAB"/>
    <w:rsid w:val="4A8A1036"/>
    <w:rsid w:val="4A991223"/>
    <w:rsid w:val="4A9D2749"/>
    <w:rsid w:val="4AB34B18"/>
    <w:rsid w:val="4ABE79CD"/>
    <w:rsid w:val="4AD52CE0"/>
    <w:rsid w:val="4ADF3B5F"/>
    <w:rsid w:val="4AE03433"/>
    <w:rsid w:val="4AE21479"/>
    <w:rsid w:val="4AE253FD"/>
    <w:rsid w:val="4AEE78FE"/>
    <w:rsid w:val="4AFC64BF"/>
    <w:rsid w:val="4B115AA3"/>
    <w:rsid w:val="4B161640"/>
    <w:rsid w:val="4B1A4B97"/>
    <w:rsid w:val="4B26353C"/>
    <w:rsid w:val="4B2B6DA4"/>
    <w:rsid w:val="4B393CE2"/>
    <w:rsid w:val="4B4B4D50"/>
    <w:rsid w:val="4B5D6832"/>
    <w:rsid w:val="4B661B8A"/>
    <w:rsid w:val="4B7122DD"/>
    <w:rsid w:val="4B7A73E4"/>
    <w:rsid w:val="4B8244EA"/>
    <w:rsid w:val="4B9D6A2F"/>
    <w:rsid w:val="4BA40904"/>
    <w:rsid w:val="4BA426B2"/>
    <w:rsid w:val="4BAD5A0B"/>
    <w:rsid w:val="4BB44F0C"/>
    <w:rsid w:val="4BBA1528"/>
    <w:rsid w:val="4BBD05CA"/>
    <w:rsid w:val="4BCA036B"/>
    <w:rsid w:val="4BCD39B7"/>
    <w:rsid w:val="4BE86A43"/>
    <w:rsid w:val="4BF058F8"/>
    <w:rsid w:val="4C013661"/>
    <w:rsid w:val="4C0E5B16"/>
    <w:rsid w:val="4C1330DF"/>
    <w:rsid w:val="4C4C5224"/>
    <w:rsid w:val="4C545E87"/>
    <w:rsid w:val="4C5F36AF"/>
    <w:rsid w:val="4C705496"/>
    <w:rsid w:val="4C714C8A"/>
    <w:rsid w:val="4C76404F"/>
    <w:rsid w:val="4C991AEB"/>
    <w:rsid w:val="4CA74208"/>
    <w:rsid w:val="4CAA74EC"/>
    <w:rsid w:val="4CB6269D"/>
    <w:rsid w:val="4CC50B32"/>
    <w:rsid w:val="4CC76658"/>
    <w:rsid w:val="4CC92CDF"/>
    <w:rsid w:val="4CCE170B"/>
    <w:rsid w:val="4CCF19B1"/>
    <w:rsid w:val="4CD86AB8"/>
    <w:rsid w:val="4CD945DE"/>
    <w:rsid w:val="4CDD429D"/>
    <w:rsid w:val="4CE54D31"/>
    <w:rsid w:val="4CEF795D"/>
    <w:rsid w:val="4CFB27A6"/>
    <w:rsid w:val="4D16138E"/>
    <w:rsid w:val="4D172984"/>
    <w:rsid w:val="4D5679DC"/>
    <w:rsid w:val="4D5A74CD"/>
    <w:rsid w:val="4D7560B4"/>
    <w:rsid w:val="4D783DF7"/>
    <w:rsid w:val="4D7A7B6F"/>
    <w:rsid w:val="4D8072B6"/>
    <w:rsid w:val="4D824513"/>
    <w:rsid w:val="4D8C33FE"/>
    <w:rsid w:val="4DAE3F37"/>
    <w:rsid w:val="4DB473A2"/>
    <w:rsid w:val="4DB964A1"/>
    <w:rsid w:val="4DC1754C"/>
    <w:rsid w:val="4DC66910"/>
    <w:rsid w:val="4DD86E04"/>
    <w:rsid w:val="4DE4323A"/>
    <w:rsid w:val="4DEE5E67"/>
    <w:rsid w:val="4DF924BF"/>
    <w:rsid w:val="4E013DEC"/>
    <w:rsid w:val="4E061402"/>
    <w:rsid w:val="4E157897"/>
    <w:rsid w:val="4E353A96"/>
    <w:rsid w:val="4E355844"/>
    <w:rsid w:val="4E3D70E2"/>
    <w:rsid w:val="4E3F66C2"/>
    <w:rsid w:val="4E4B32B9"/>
    <w:rsid w:val="4E4C33F2"/>
    <w:rsid w:val="4E5E123E"/>
    <w:rsid w:val="4E616639"/>
    <w:rsid w:val="4E6A7BE3"/>
    <w:rsid w:val="4E721C6A"/>
    <w:rsid w:val="4E726A98"/>
    <w:rsid w:val="4EA12ED9"/>
    <w:rsid w:val="4EB01D52"/>
    <w:rsid w:val="4EBB21ED"/>
    <w:rsid w:val="4EDD03B5"/>
    <w:rsid w:val="4F075432"/>
    <w:rsid w:val="4F0973FC"/>
    <w:rsid w:val="4F0E056F"/>
    <w:rsid w:val="4F1810E5"/>
    <w:rsid w:val="4F1D6A04"/>
    <w:rsid w:val="4F2935FA"/>
    <w:rsid w:val="4F3D70A6"/>
    <w:rsid w:val="4F4026F2"/>
    <w:rsid w:val="4F4154B6"/>
    <w:rsid w:val="4F495A4B"/>
    <w:rsid w:val="4F5B577E"/>
    <w:rsid w:val="4F604B42"/>
    <w:rsid w:val="4F610FE6"/>
    <w:rsid w:val="4F6E3703"/>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C2ABD"/>
    <w:rsid w:val="500F6132"/>
    <w:rsid w:val="501778F7"/>
    <w:rsid w:val="50216A4B"/>
    <w:rsid w:val="50306C0B"/>
    <w:rsid w:val="50355FCF"/>
    <w:rsid w:val="50440650"/>
    <w:rsid w:val="504601DC"/>
    <w:rsid w:val="50566671"/>
    <w:rsid w:val="505E1082"/>
    <w:rsid w:val="5068570A"/>
    <w:rsid w:val="5076395C"/>
    <w:rsid w:val="50940F47"/>
    <w:rsid w:val="50964CC0"/>
    <w:rsid w:val="50A13664"/>
    <w:rsid w:val="50A62A29"/>
    <w:rsid w:val="50BE5FC4"/>
    <w:rsid w:val="50C80047"/>
    <w:rsid w:val="50CE26AB"/>
    <w:rsid w:val="50D41344"/>
    <w:rsid w:val="50F6750C"/>
    <w:rsid w:val="510E0CFA"/>
    <w:rsid w:val="510F4A72"/>
    <w:rsid w:val="511939BD"/>
    <w:rsid w:val="511B3417"/>
    <w:rsid w:val="511B6F73"/>
    <w:rsid w:val="51220301"/>
    <w:rsid w:val="51383FC9"/>
    <w:rsid w:val="515240B8"/>
    <w:rsid w:val="515D0FE2"/>
    <w:rsid w:val="516052CE"/>
    <w:rsid w:val="5160707C"/>
    <w:rsid w:val="51646882"/>
    <w:rsid w:val="516721B8"/>
    <w:rsid w:val="516D2C61"/>
    <w:rsid w:val="51870AAC"/>
    <w:rsid w:val="518E3BE9"/>
    <w:rsid w:val="51A21442"/>
    <w:rsid w:val="51A52CE0"/>
    <w:rsid w:val="51A857F9"/>
    <w:rsid w:val="51AF41D3"/>
    <w:rsid w:val="51B82A14"/>
    <w:rsid w:val="51BD27F3"/>
    <w:rsid w:val="51E11F6A"/>
    <w:rsid w:val="52196A42"/>
    <w:rsid w:val="523C53F3"/>
    <w:rsid w:val="525B6CEF"/>
    <w:rsid w:val="52A31916"/>
    <w:rsid w:val="52A82A88"/>
    <w:rsid w:val="52A86F2C"/>
    <w:rsid w:val="52B21B59"/>
    <w:rsid w:val="52D01FDF"/>
    <w:rsid w:val="52E37F64"/>
    <w:rsid w:val="52E94FF6"/>
    <w:rsid w:val="52FC4B82"/>
    <w:rsid w:val="530F48B5"/>
    <w:rsid w:val="531D3476"/>
    <w:rsid w:val="53277E51"/>
    <w:rsid w:val="533A056C"/>
    <w:rsid w:val="533E503D"/>
    <w:rsid w:val="5354676C"/>
    <w:rsid w:val="5358625C"/>
    <w:rsid w:val="536015B5"/>
    <w:rsid w:val="53607807"/>
    <w:rsid w:val="53624E0A"/>
    <w:rsid w:val="5362532D"/>
    <w:rsid w:val="536C1D08"/>
    <w:rsid w:val="53764934"/>
    <w:rsid w:val="537E2EA2"/>
    <w:rsid w:val="53816A87"/>
    <w:rsid w:val="538460DE"/>
    <w:rsid w:val="53876B42"/>
    <w:rsid w:val="53966D85"/>
    <w:rsid w:val="539B439B"/>
    <w:rsid w:val="53A12E87"/>
    <w:rsid w:val="53A414A2"/>
    <w:rsid w:val="53A4298E"/>
    <w:rsid w:val="53AF1757"/>
    <w:rsid w:val="53B16F24"/>
    <w:rsid w:val="53B316E5"/>
    <w:rsid w:val="53B85768"/>
    <w:rsid w:val="53BA0CC5"/>
    <w:rsid w:val="53C02053"/>
    <w:rsid w:val="53C733E2"/>
    <w:rsid w:val="53DD2CA6"/>
    <w:rsid w:val="53E775E0"/>
    <w:rsid w:val="53EB5322"/>
    <w:rsid w:val="53F35F85"/>
    <w:rsid w:val="5403676A"/>
    <w:rsid w:val="54085ED4"/>
    <w:rsid w:val="54104D89"/>
    <w:rsid w:val="541805B7"/>
    <w:rsid w:val="541D3002"/>
    <w:rsid w:val="54387E3C"/>
    <w:rsid w:val="543C792C"/>
    <w:rsid w:val="544762D1"/>
    <w:rsid w:val="54492049"/>
    <w:rsid w:val="545A5061"/>
    <w:rsid w:val="545C3B2A"/>
    <w:rsid w:val="545D0467"/>
    <w:rsid w:val="54605220"/>
    <w:rsid w:val="54640C31"/>
    <w:rsid w:val="54642849"/>
    <w:rsid w:val="54696247"/>
    <w:rsid w:val="547075D6"/>
    <w:rsid w:val="547F1F0F"/>
    <w:rsid w:val="548D63DA"/>
    <w:rsid w:val="54905ECA"/>
    <w:rsid w:val="5492579E"/>
    <w:rsid w:val="54B03564"/>
    <w:rsid w:val="54B0392B"/>
    <w:rsid w:val="54BC281B"/>
    <w:rsid w:val="54CB0CB0"/>
    <w:rsid w:val="54CB4FB3"/>
    <w:rsid w:val="54D2203E"/>
    <w:rsid w:val="54E0475B"/>
    <w:rsid w:val="550B5550"/>
    <w:rsid w:val="55222FC6"/>
    <w:rsid w:val="553B7BE4"/>
    <w:rsid w:val="5548346E"/>
    <w:rsid w:val="556829A3"/>
    <w:rsid w:val="556C4241"/>
    <w:rsid w:val="557355CF"/>
    <w:rsid w:val="55872E29"/>
    <w:rsid w:val="558772CD"/>
    <w:rsid w:val="55A439DB"/>
    <w:rsid w:val="55A57753"/>
    <w:rsid w:val="55AD03B6"/>
    <w:rsid w:val="55AE4859"/>
    <w:rsid w:val="55B22FA5"/>
    <w:rsid w:val="55C23E61"/>
    <w:rsid w:val="55CC7E02"/>
    <w:rsid w:val="55CE0A58"/>
    <w:rsid w:val="55FD3C3F"/>
    <w:rsid w:val="56075D18"/>
    <w:rsid w:val="561A1F82"/>
    <w:rsid w:val="56226FF5"/>
    <w:rsid w:val="56315F82"/>
    <w:rsid w:val="5632548A"/>
    <w:rsid w:val="56334D5F"/>
    <w:rsid w:val="564B3E56"/>
    <w:rsid w:val="564E1B99"/>
    <w:rsid w:val="565151E5"/>
    <w:rsid w:val="56530F5D"/>
    <w:rsid w:val="56586573"/>
    <w:rsid w:val="565D4368"/>
    <w:rsid w:val="565F354D"/>
    <w:rsid w:val="56665134"/>
    <w:rsid w:val="56725887"/>
    <w:rsid w:val="567F61F6"/>
    <w:rsid w:val="568A7075"/>
    <w:rsid w:val="56C37E91"/>
    <w:rsid w:val="56D71B8E"/>
    <w:rsid w:val="56E524FD"/>
    <w:rsid w:val="57064221"/>
    <w:rsid w:val="57064403"/>
    <w:rsid w:val="570E435D"/>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B819BF"/>
    <w:rsid w:val="57C02622"/>
    <w:rsid w:val="57E24C8E"/>
    <w:rsid w:val="57E74053"/>
    <w:rsid w:val="57E94CAC"/>
    <w:rsid w:val="57EE718F"/>
    <w:rsid w:val="58022C3B"/>
    <w:rsid w:val="580943E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80082"/>
    <w:rsid w:val="58EF7663"/>
    <w:rsid w:val="58FA5C29"/>
    <w:rsid w:val="58FC58DC"/>
    <w:rsid w:val="58FD3402"/>
    <w:rsid w:val="591E3224"/>
    <w:rsid w:val="592D3CE7"/>
    <w:rsid w:val="59417793"/>
    <w:rsid w:val="5947124D"/>
    <w:rsid w:val="595347AB"/>
    <w:rsid w:val="595C281E"/>
    <w:rsid w:val="596F4300"/>
    <w:rsid w:val="59821A6D"/>
    <w:rsid w:val="5988716F"/>
    <w:rsid w:val="598D29D8"/>
    <w:rsid w:val="598D4786"/>
    <w:rsid w:val="59927FEE"/>
    <w:rsid w:val="59A815C0"/>
    <w:rsid w:val="59C53F20"/>
    <w:rsid w:val="59C63F26"/>
    <w:rsid w:val="59D2488F"/>
    <w:rsid w:val="59D44AE4"/>
    <w:rsid w:val="59DD395F"/>
    <w:rsid w:val="59E3084A"/>
    <w:rsid w:val="59F82547"/>
    <w:rsid w:val="59FE19ED"/>
    <w:rsid w:val="5A0507C0"/>
    <w:rsid w:val="5A0A04CC"/>
    <w:rsid w:val="5A3B7DEC"/>
    <w:rsid w:val="5A4A2677"/>
    <w:rsid w:val="5A623E64"/>
    <w:rsid w:val="5A646500"/>
    <w:rsid w:val="5A6A4AC7"/>
    <w:rsid w:val="5A737E20"/>
    <w:rsid w:val="5A7476F4"/>
    <w:rsid w:val="5AB02E22"/>
    <w:rsid w:val="5AB13AE4"/>
    <w:rsid w:val="5AB3646E"/>
    <w:rsid w:val="5AC643F3"/>
    <w:rsid w:val="5AD14B46"/>
    <w:rsid w:val="5AE3311B"/>
    <w:rsid w:val="5AE87C8F"/>
    <w:rsid w:val="5AEE74A6"/>
    <w:rsid w:val="5AF251E8"/>
    <w:rsid w:val="5AFA5E4B"/>
    <w:rsid w:val="5AFF16B3"/>
    <w:rsid w:val="5AFF3461"/>
    <w:rsid w:val="5B0A0784"/>
    <w:rsid w:val="5B157129"/>
    <w:rsid w:val="5B172EA1"/>
    <w:rsid w:val="5B1F705C"/>
    <w:rsid w:val="5B2A00FA"/>
    <w:rsid w:val="5B2D18D4"/>
    <w:rsid w:val="5B565263"/>
    <w:rsid w:val="5B6B2007"/>
    <w:rsid w:val="5B8F6EDB"/>
    <w:rsid w:val="5B94004E"/>
    <w:rsid w:val="5BA069F2"/>
    <w:rsid w:val="5BA74225"/>
    <w:rsid w:val="5BB93F58"/>
    <w:rsid w:val="5BBA09F3"/>
    <w:rsid w:val="5BD20B76"/>
    <w:rsid w:val="5BD4669C"/>
    <w:rsid w:val="5BF40B0F"/>
    <w:rsid w:val="5C0056E3"/>
    <w:rsid w:val="5C0351D3"/>
    <w:rsid w:val="5C0C22DA"/>
    <w:rsid w:val="5C1178F0"/>
    <w:rsid w:val="5C1318BA"/>
    <w:rsid w:val="5C3435DF"/>
    <w:rsid w:val="5C497F8E"/>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D86660"/>
    <w:rsid w:val="5CE648D9"/>
    <w:rsid w:val="5D203D40"/>
    <w:rsid w:val="5D227715"/>
    <w:rsid w:val="5D284EF1"/>
    <w:rsid w:val="5D4D372F"/>
    <w:rsid w:val="5D5061F6"/>
    <w:rsid w:val="5D55380D"/>
    <w:rsid w:val="5D663C6C"/>
    <w:rsid w:val="5D6F2B20"/>
    <w:rsid w:val="5D71235A"/>
    <w:rsid w:val="5D740137"/>
    <w:rsid w:val="5D7C523D"/>
    <w:rsid w:val="5D8660BC"/>
    <w:rsid w:val="5D8B722E"/>
    <w:rsid w:val="5DA64068"/>
    <w:rsid w:val="5DBC3340"/>
    <w:rsid w:val="5DCC7F73"/>
    <w:rsid w:val="5DD619A0"/>
    <w:rsid w:val="5DF748C4"/>
    <w:rsid w:val="5E0349DE"/>
    <w:rsid w:val="5E1D07CE"/>
    <w:rsid w:val="5E3B2A02"/>
    <w:rsid w:val="5E413D91"/>
    <w:rsid w:val="5E451AD3"/>
    <w:rsid w:val="5E5D506F"/>
    <w:rsid w:val="5E6E2DD8"/>
    <w:rsid w:val="5E7D126D"/>
    <w:rsid w:val="5E7D74BF"/>
    <w:rsid w:val="5EAB402C"/>
    <w:rsid w:val="5EC51758"/>
    <w:rsid w:val="5EDF3CD6"/>
    <w:rsid w:val="5EDF7832"/>
    <w:rsid w:val="5EE30B66"/>
    <w:rsid w:val="5EF00C63"/>
    <w:rsid w:val="5F0454EA"/>
    <w:rsid w:val="5F047298"/>
    <w:rsid w:val="5F2D2C93"/>
    <w:rsid w:val="5F49114F"/>
    <w:rsid w:val="5F4955F3"/>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6005776C"/>
    <w:rsid w:val="6025396A"/>
    <w:rsid w:val="60285208"/>
    <w:rsid w:val="602A5424"/>
    <w:rsid w:val="602D281F"/>
    <w:rsid w:val="602F6597"/>
    <w:rsid w:val="603911C4"/>
    <w:rsid w:val="60522285"/>
    <w:rsid w:val="6057789C"/>
    <w:rsid w:val="605D3104"/>
    <w:rsid w:val="60787F3E"/>
    <w:rsid w:val="608F5287"/>
    <w:rsid w:val="60932FCA"/>
    <w:rsid w:val="60964868"/>
    <w:rsid w:val="609D19AE"/>
    <w:rsid w:val="60AE3960"/>
    <w:rsid w:val="60C05441"/>
    <w:rsid w:val="60C767CF"/>
    <w:rsid w:val="60CC028A"/>
    <w:rsid w:val="60DA0BF8"/>
    <w:rsid w:val="60DE7169"/>
    <w:rsid w:val="60E07891"/>
    <w:rsid w:val="61016185"/>
    <w:rsid w:val="61137C66"/>
    <w:rsid w:val="6118702B"/>
    <w:rsid w:val="61206FA0"/>
    <w:rsid w:val="61243C22"/>
    <w:rsid w:val="61447E20"/>
    <w:rsid w:val="61477910"/>
    <w:rsid w:val="61481125"/>
    <w:rsid w:val="61483DB4"/>
    <w:rsid w:val="615C0C4D"/>
    <w:rsid w:val="615E2827"/>
    <w:rsid w:val="615F567B"/>
    <w:rsid w:val="61630BEE"/>
    <w:rsid w:val="616446A4"/>
    <w:rsid w:val="61835B97"/>
    <w:rsid w:val="618D5C6B"/>
    <w:rsid w:val="619A3EE4"/>
    <w:rsid w:val="61A255D6"/>
    <w:rsid w:val="61A830E3"/>
    <w:rsid w:val="61AE5BE1"/>
    <w:rsid w:val="61B15CB6"/>
    <w:rsid w:val="61B50D1E"/>
    <w:rsid w:val="61C45941"/>
    <w:rsid w:val="61C92099"/>
    <w:rsid w:val="61CD250B"/>
    <w:rsid w:val="61DA565F"/>
    <w:rsid w:val="61DE2022"/>
    <w:rsid w:val="61F93300"/>
    <w:rsid w:val="61FE0917"/>
    <w:rsid w:val="621B4F7F"/>
    <w:rsid w:val="623C31ED"/>
    <w:rsid w:val="624778AB"/>
    <w:rsid w:val="624D3D9E"/>
    <w:rsid w:val="626400BF"/>
    <w:rsid w:val="626926F0"/>
    <w:rsid w:val="62764951"/>
    <w:rsid w:val="62791D4B"/>
    <w:rsid w:val="627E3805"/>
    <w:rsid w:val="629923ED"/>
    <w:rsid w:val="6299419B"/>
    <w:rsid w:val="629E7A04"/>
    <w:rsid w:val="62A468BF"/>
    <w:rsid w:val="62AC0373"/>
    <w:rsid w:val="62CA25A7"/>
    <w:rsid w:val="62E573E1"/>
    <w:rsid w:val="62EA2C49"/>
    <w:rsid w:val="62F13FD7"/>
    <w:rsid w:val="62F31AFE"/>
    <w:rsid w:val="62FC0EDD"/>
    <w:rsid w:val="630930CF"/>
    <w:rsid w:val="630A432C"/>
    <w:rsid w:val="631D301E"/>
    <w:rsid w:val="63310878"/>
    <w:rsid w:val="633A597E"/>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42301C1"/>
    <w:rsid w:val="64346872"/>
    <w:rsid w:val="643E0467"/>
    <w:rsid w:val="645E569D"/>
    <w:rsid w:val="64713622"/>
    <w:rsid w:val="6476316D"/>
    <w:rsid w:val="649B244D"/>
    <w:rsid w:val="64AD1B28"/>
    <w:rsid w:val="64CA4AE0"/>
    <w:rsid w:val="64D43BB1"/>
    <w:rsid w:val="64DB4F3F"/>
    <w:rsid w:val="64EA5182"/>
    <w:rsid w:val="64EB69CB"/>
    <w:rsid w:val="64F93617"/>
    <w:rsid w:val="65071890"/>
    <w:rsid w:val="650A1380"/>
    <w:rsid w:val="65130235"/>
    <w:rsid w:val="651D5558"/>
    <w:rsid w:val="65200BA4"/>
    <w:rsid w:val="65202952"/>
    <w:rsid w:val="6522491C"/>
    <w:rsid w:val="65295CAB"/>
    <w:rsid w:val="653D3504"/>
    <w:rsid w:val="65401246"/>
    <w:rsid w:val="65474383"/>
    <w:rsid w:val="6549634D"/>
    <w:rsid w:val="654C7BEB"/>
    <w:rsid w:val="65534AD5"/>
    <w:rsid w:val="6569254B"/>
    <w:rsid w:val="658C6239"/>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305AC"/>
    <w:rsid w:val="66285F62"/>
    <w:rsid w:val="663568D1"/>
    <w:rsid w:val="66546D57"/>
    <w:rsid w:val="665723A3"/>
    <w:rsid w:val="66650E39"/>
    <w:rsid w:val="66651D93"/>
    <w:rsid w:val="66747DFB"/>
    <w:rsid w:val="667747F4"/>
    <w:rsid w:val="667B2536"/>
    <w:rsid w:val="668F1B3D"/>
    <w:rsid w:val="66B6356E"/>
    <w:rsid w:val="66BC66AA"/>
    <w:rsid w:val="66C814F3"/>
    <w:rsid w:val="66D24120"/>
    <w:rsid w:val="66D63C10"/>
    <w:rsid w:val="66E4179C"/>
    <w:rsid w:val="66FB71D3"/>
    <w:rsid w:val="67073DC9"/>
    <w:rsid w:val="670A5668"/>
    <w:rsid w:val="670E6B05"/>
    <w:rsid w:val="671A0817"/>
    <w:rsid w:val="67223341"/>
    <w:rsid w:val="67262C9D"/>
    <w:rsid w:val="672C3830"/>
    <w:rsid w:val="67656D42"/>
    <w:rsid w:val="676D40F6"/>
    <w:rsid w:val="67795127"/>
    <w:rsid w:val="677D408C"/>
    <w:rsid w:val="678F3DBF"/>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84575B"/>
    <w:rsid w:val="68906041"/>
    <w:rsid w:val="68945B31"/>
    <w:rsid w:val="68993147"/>
    <w:rsid w:val="68A5389A"/>
    <w:rsid w:val="68AD09A1"/>
    <w:rsid w:val="68C31F72"/>
    <w:rsid w:val="68C77CB4"/>
    <w:rsid w:val="68CD4B9F"/>
    <w:rsid w:val="68D91796"/>
    <w:rsid w:val="68E11D62"/>
    <w:rsid w:val="69180510"/>
    <w:rsid w:val="691B590A"/>
    <w:rsid w:val="69201173"/>
    <w:rsid w:val="69272501"/>
    <w:rsid w:val="692F13B6"/>
    <w:rsid w:val="69531548"/>
    <w:rsid w:val="695D23C7"/>
    <w:rsid w:val="696A6892"/>
    <w:rsid w:val="697274F4"/>
    <w:rsid w:val="69821E2D"/>
    <w:rsid w:val="698B1D32"/>
    <w:rsid w:val="698C2CAC"/>
    <w:rsid w:val="699925C6"/>
    <w:rsid w:val="699D0A15"/>
    <w:rsid w:val="69A27DD9"/>
    <w:rsid w:val="69C75A92"/>
    <w:rsid w:val="69C95831"/>
    <w:rsid w:val="69E623BC"/>
    <w:rsid w:val="6A072332"/>
    <w:rsid w:val="6A2151A2"/>
    <w:rsid w:val="6A3C6480"/>
    <w:rsid w:val="6A4946F9"/>
    <w:rsid w:val="6A4B66C3"/>
    <w:rsid w:val="6A507835"/>
    <w:rsid w:val="6A6257BB"/>
    <w:rsid w:val="6A6D6639"/>
    <w:rsid w:val="6A9516EC"/>
    <w:rsid w:val="6A9E2C97"/>
    <w:rsid w:val="6AA656A7"/>
    <w:rsid w:val="6AB46016"/>
    <w:rsid w:val="6AD20B92"/>
    <w:rsid w:val="6ADB01D4"/>
    <w:rsid w:val="6ADE12E5"/>
    <w:rsid w:val="6AF26367"/>
    <w:rsid w:val="6B0F76F1"/>
    <w:rsid w:val="6B1116BB"/>
    <w:rsid w:val="6B192137"/>
    <w:rsid w:val="6B1B64B0"/>
    <w:rsid w:val="6B1D005F"/>
    <w:rsid w:val="6B386B50"/>
    <w:rsid w:val="6B477A2A"/>
    <w:rsid w:val="6B4D7F19"/>
    <w:rsid w:val="6B67752D"/>
    <w:rsid w:val="6B6E08BB"/>
    <w:rsid w:val="6B712159"/>
    <w:rsid w:val="6B7834E8"/>
    <w:rsid w:val="6B7E6624"/>
    <w:rsid w:val="6B881251"/>
    <w:rsid w:val="6BB64010"/>
    <w:rsid w:val="6BC07C08"/>
    <w:rsid w:val="6BCA3618"/>
    <w:rsid w:val="6BE02E3B"/>
    <w:rsid w:val="6BEC7A32"/>
    <w:rsid w:val="6BEE7306"/>
    <w:rsid w:val="6BF863D7"/>
    <w:rsid w:val="6BFD1C3F"/>
    <w:rsid w:val="6C156F89"/>
    <w:rsid w:val="6C1F3963"/>
    <w:rsid w:val="6C240F7A"/>
    <w:rsid w:val="6C30791F"/>
    <w:rsid w:val="6C3A079D"/>
    <w:rsid w:val="6C4B4758"/>
    <w:rsid w:val="6C4C52F4"/>
    <w:rsid w:val="6C580C23"/>
    <w:rsid w:val="6C59228F"/>
    <w:rsid w:val="6C7517D5"/>
    <w:rsid w:val="6C937EAD"/>
    <w:rsid w:val="6C9C4FB4"/>
    <w:rsid w:val="6C9F2CF6"/>
    <w:rsid w:val="6CA976D1"/>
    <w:rsid w:val="6CAE6A95"/>
    <w:rsid w:val="6CAF0778"/>
    <w:rsid w:val="6CB247D7"/>
    <w:rsid w:val="6CC13DA5"/>
    <w:rsid w:val="6CC8224D"/>
    <w:rsid w:val="6CDB1F80"/>
    <w:rsid w:val="6CDE55CC"/>
    <w:rsid w:val="6CE77315"/>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995997"/>
    <w:rsid w:val="6D9D7236"/>
    <w:rsid w:val="6DAD4F9F"/>
    <w:rsid w:val="6DB12CE1"/>
    <w:rsid w:val="6DCF13B9"/>
    <w:rsid w:val="6DEC5AC7"/>
    <w:rsid w:val="6DED797A"/>
    <w:rsid w:val="6DEE183F"/>
    <w:rsid w:val="6DF350A8"/>
    <w:rsid w:val="6E0B0643"/>
    <w:rsid w:val="6E1319A6"/>
    <w:rsid w:val="6E184B0E"/>
    <w:rsid w:val="6E250FD9"/>
    <w:rsid w:val="6E315729"/>
    <w:rsid w:val="6E3D4575"/>
    <w:rsid w:val="6E565636"/>
    <w:rsid w:val="6E641B01"/>
    <w:rsid w:val="6E7361E8"/>
    <w:rsid w:val="6E755ABD"/>
    <w:rsid w:val="6E7F693B"/>
    <w:rsid w:val="6EA2087C"/>
    <w:rsid w:val="6EAB5982"/>
    <w:rsid w:val="6EBE3907"/>
    <w:rsid w:val="6ECD58F9"/>
    <w:rsid w:val="6ED21161"/>
    <w:rsid w:val="6EE40E94"/>
    <w:rsid w:val="6EE964AB"/>
    <w:rsid w:val="6EED5F9B"/>
    <w:rsid w:val="6F06705D"/>
    <w:rsid w:val="6F141779"/>
    <w:rsid w:val="6F193452"/>
    <w:rsid w:val="6F42021D"/>
    <w:rsid w:val="6F4831D1"/>
    <w:rsid w:val="6F4A1255"/>
    <w:rsid w:val="6F4D4C8B"/>
    <w:rsid w:val="6F6124E5"/>
    <w:rsid w:val="6F6F075E"/>
    <w:rsid w:val="6F7044D6"/>
    <w:rsid w:val="6F774BAC"/>
    <w:rsid w:val="6F79782E"/>
    <w:rsid w:val="6F80296B"/>
    <w:rsid w:val="6F9603E0"/>
    <w:rsid w:val="6F975F07"/>
    <w:rsid w:val="6FA7614A"/>
    <w:rsid w:val="6FB22D40"/>
    <w:rsid w:val="6FB95E7D"/>
    <w:rsid w:val="6FC5117A"/>
    <w:rsid w:val="6FD827A7"/>
    <w:rsid w:val="6FE949B4"/>
    <w:rsid w:val="6FF62C2D"/>
    <w:rsid w:val="700323DB"/>
    <w:rsid w:val="702459EC"/>
    <w:rsid w:val="70253512"/>
    <w:rsid w:val="703D085C"/>
    <w:rsid w:val="704020FA"/>
    <w:rsid w:val="704718D2"/>
    <w:rsid w:val="7053007F"/>
    <w:rsid w:val="70840239"/>
    <w:rsid w:val="70AC7790"/>
    <w:rsid w:val="70AF6726"/>
    <w:rsid w:val="70BA6A2B"/>
    <w:rsid w:val="70BF5715"/>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B764B"/>
    <w:rsid w:val="71A36DE5"/>
    <w:rsid w:val="71A37FFC"/>
    <w:rsid w:val="71A87F57"/>
    <w:rsid w:val="71AC3EEB"/>
    <w:rsid w:val="71B20C4E"/>
    <w:rsid w:val="71B374B1"/>
    <w:rsid w:val="71C62CFF"/>
    <w:rsid w:val="71CB1E97"/>
    <w:rsid w:val="71D64AC4"/>
    <w:rsid w:val="71E427DC"/>
    <w:rsid w:val="71E52F59"/>
    <w:rsid w:val="71E74F23"/>
    <w:rsid w:val="71EA0570"/>
    <w:rsid w:val="720C2BDC"/>
    <w:rsid w:val="721E62BD"/>
    <w:rsid w:val="72331F17"/>
    <w:rsid w:val="72347A3D"/>
    <w:rsid w:val="72361A07"/>
    <w:rsid w:val="72417DAB"/>
    <w:rsid w:val="724203AC"/>
    <w:rsid w:val="72457E9C"/>
    <w:rsid w:val="72536115"/>
    <w:rsid w:val="727051DB"/>
    <w:rsid w:val="72807126"/>
    <w:rsid w:val="729047C5"/>
    <w:rsid w:val="72AF5315"/>
    <w:rsid w:val="72B312A9"/>
    <w:rsid w:val="72BD7A32"/>
    <w:rsid w:val="72C214EC"/>
    <w:rsid w:val="72C62D8B"/>
    <w:rsid w:val="72C74D55"/>
    <w:rsid w:val="72D6671B"/>
    <w:rsid w:val="72DA58D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903399"/>
    <w:rsid w:val="7399224D"/>
    <w:rsid w:val="739A7D73"/>
    <w:rsid w:val="73BE73D7"/>
    <w:rsid w:val="73D2750D"/>
    <w:rsid w:val="73D43285"/>
    <w:rsid w:val="73DC3D05"/>
    <w:rsid w:val="73DE2356"/>
    <w:rsid w:val="73EA4B55"/>
    <w:rsid w:val="73EF6311"/>
    <w:rsid w:val="740022CC"/>
    <w:rsid w:val="740578E3"/>
    <w:rsid w:val="74096F68"/>
    <w:rsid w:val="7431692A"/>
    <w:rsid w:val="743B50B2"/>
    <w:rsid w:val="74432521"/>
    <w:rsid w:val="744D717B"/>
    <w:rsid w:val="744F5002"/>
    <w:rsid w:val="74582108"/>
    <w:rsid w:val="745B5755"/>
    <w:rsid w:val="74602D6B"/>
    <w:rsid w:val="74604B19"/>
    <w:rsid w:val="746F4033"/>
    <w:rsid w:val="74827185"/>
    <w:rsid w:val="748E78D8"/>
    <w:rsid w:val="74911176"/>
    <w:rsid w:val="74996C40"/>
    <w:rsid w:val="74B36375"/>
    <w:rsid w:val="74B44E65"/>
    <w:rsid w:val="74B97AD4"/>
    <w:rsid w:val="74BA06CD"/>
    <w:rsid w:val="74C23A26"/>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C1784"/>
    <w:rsid w:val="755D1591"/>
    <w:rsid w:val="7564635F"/>
    <w:rsid w:val="757765BE"/>
    <w:rsid w:val="757C3BD5"/>
    <w:rsid w:val="758E3908"/>
    <w:rsid w:val="75952EE8"/>
    <w:rsid w:val="759F5B15"/>
    <w:rsid w:val="75C31803"/>
    <w:rsid w:val="75D60D25"/>
    <w:rsid w:val="75DB4D9F"/>
    <w:rsid w:val="75E4177A"/>
    <w:rsid w:val="75EA4FE2"/>
    <w:rsid w:val="75F55735"/>
    <w:rsid w:val="761258AB"/>
    <w:rsid w:val="76143E0D"/>
    <w:rsid w:val="762A3631"/>
    <w:rsid w:val="76311753"/>
    <w:rsid w:val="764A5A81"/>
    <w:rsid w:val="765132FA"/>
    <w:rsid w:val="765468FF"/>
    <w:rsid w:val="76854D0B"/>
    <w:rsid w:val="76872831"/>
    <w:rsid w:val="76982C90"/>
    <w:rsid w:val="76A41635"/>
    <w:rsid w:val="76AF7FDA"/>
    <w:rsid w:val="76BA0E58"/>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77E88"/>
    <w:rsid w:val="773D55E5"/>
    <w:rsid w:val="774E15A1"/>
    <w:rsid w:val="775D7A36"/>
    <w:rsid w:val="77626DFA"/>
    <w:rsid w:val="7763329E"/>
    <w:rsid w:val="77A14B54"/>
    <w:rsid w:val="77AE203F"/>
    <w:rsid w:val="77E51F05"/>
    <w:rsid w:val="780D3305"/>
    <w:rsid w:val="78205292"/>
    <w:rsid w:val="782115C4"/>
    <w:rsid w:val="78252301"/>
    <w:rsid w:val="78280044"/>
    <w:rsid w:val="782B3839"/>
    <w:rsid w:val="782E45B8"/>
    <w:rsid w:val="7831514A"/>
    <w:rsid w:val="783764D9"/>
    <w:rsid w:val="78411105"/>
    <w:rsid w:val="78415070"/>
    <w:rsid w:val="78484242"/>
    <w:rsid w:val="784B060A"/>
    <w:rsid w:val="784C1F84"/>
    <w:rsid w:val="785D5F3F"/>
    <w:rsid w:val="78697682"/>
    <w:rsid w:val="787B63C5"/>
    <w:rsid w:val="788566A9"/>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8412AA"/>
    <w:rsid w:val="79A66D50"/>
    <w:rsid w:val="79B67EF4"/>
    <w:rsid w:val="79BA116F"/>
    <w:rsid w:val="79D0629D"/>
    <w:rsid w:val="79D12015"/>
    <w:rsid w:val="79DA7170"/>
    <w:rsid w:val="79E166FC"/>
    <w:rsid w:val="7A150154"/>
    <w:rsid w:val="7A1940E8"/>
    <w:rsid w:val="7A1C7734"/>
    <w:rsid w:val="7A232871"/>
    <w:rsid w:val="7A2605B3"/>
    <w:rsid w:val="7A2776B7"/>
    <w:rsid w:val="7A293BFF"/>
    <w:rsid w:val="7A2A295A"/>
    <w:rsid w:val="7A3C3932"/>
    <w:rsid w:val="7A48677B"/>
    <w:rsid w:val="7A4E3666"/>
    <w:rsid w:val="7A5F138C"/>
    <w:rsid w:val="7A680BCB"/>
    <w:rsid w:val="7A6A66F1"/>
    <w:rsid w:val="7A6C36E3"/>
    <w:rsid w:val="7A7C01D3"/>
    <w:rsid w:val="7A813A3B"/>
    <w:rsid w:val="7AB47064"/>
    <w:rsid w:val="7AB91427"/>
    <w:rsid w:val="7ABB0CFB"/>
    <w:rsid w:val="7AC34054"/>
    <w:rsid w:val="7B024B7C"/>
    <w:rsid w:val="7B0A1C83"/>
    <w:rsid w:val="7B1A0118"/>
    <w:rsid w:val="7B1B5C3E"/>
    <w:rsid w:val="7B3960C4"/>
    <w:rsid w:val="7B3A4316"/>
    <w:rsid w:val="7B3B62E0"/>
    <w:rsid w:val="7B4038F6"/>
    <w:rsid w:val="7B52755D"/>
    <w:rsid w:val="7B560A24"/>
    <w:rsid w:val="7B566C76"/>
    <w:rsid w:val="7B58479C"/>
    <w:rsid w:val="7B797DA4"/>
    <w:rsid w:val="7B8B4B71"/>
    <w:rsid w:val="7BA34766"/>
    <w:rsid w:val="7BA522FF"/>
    <w:rsid w:val="7BC736D0"/>
    <w:rsid w:val="7BDD1145"/>
    <w:rsid w:val="7BF070CA"/>
    <w:rsid w:val="7BF72207"/>
    <w:rsid w:val="7BFD3595"/>
    <w:rsid w:val="7C1032C9"/>
    <w:rsid w:val="7C1728A9"/>
    <w:rsid w:val="7C3B3D9E"/>
    <w:rsid w:val="7C3D05C9"/>
    <w:rsid w:val="7C4B2553"/>
    <w:rsid w:val="7C4E4AC7"/>
    <w:rsid w:val="7C5546E4"/>
    <w:rsid w:val="7C5A68F7"/>
    <w:rsid w:val="7C6333F8"/>
    <w:rsid w:val="7C885555"/>
    <w:rsid w:val="7CD51E1C"/>
    <w:rsid w:val="7CD75B94"/>
    <w:rsid w:val="7CF353AF"/>
    <w:rsid w:val="7CF83BBE"/>
    <w:rsid w:val="7D044000"/>
    <w:rsid w:val="7D1312C2"/>
    <w:rsid w:val="7D133070"/>
    <w:rsid w:val="7D2012E9"/>
    <w:rsid w:val="7D2E7EAA"/>
    <w:rsid w:val="7D311748"/>
    <w:rsid w:val="7D3B6123"/>
    <w:rsid w:val="7D407BDD"/>
    <w:rsid w:val="7D52346D"/>
    <w:rsid w:val="7D545437"/>
    <w:rsid w:val="7D5D253D"/>
    <w:rsid w:val="7D697134"/>
    <w:rsid w:val="7D70600C"/>
    <w:rsid w:val="7D7635FF"/>
    <w:rsid w:val="7D7A30EF"/>
    <w:rsid w:val="7D7C2BAC"/>
    <w:rsid w:val="7D9F168F"/>
    <w:rsid w:val="7DC205F3"/>
    <w:rsid w:val="7DD766F1"/>
    <w:rsid w:val="7DE40569"/>
    <w:rsid w:val="7DE71E07"/>
    <w:rsid w:val="7DF74740"/>
    <w:rsid w:val="7DF804B8"/>
    <w:rsid w:val="7E002EC9"/>
    <w:rsid w:val="7E01111B"/>
    <w:rsid w:val="7E1626EC"/>
    <w:rsid w:val="7E2D1F10"/>
    <w:rsid w:val="7E327BA3"/>
    <w:rsid w:val="7E4E5655"/>
    <w:rsid w:val="7E4F632A"/>
    <w:rsid w:val="7E551467"/>
    <w:rsid w:val="7E6478FC"/>
    <w:rsid w:val="7EB10D93"/>
    <w:rsid w:val="7EB517AA"/>
    <w:rsid w:val="7EC860DC"/>
    <w:rsid w:val="7ECF1219"/>
    <w:rsid w:val="7EED78F1"/>
    <w:rsid w:val="7EF0118F"/>
    <w:rsid w:val="7EF46ED2"/>
    <w:rsid w:val="7F0474A0"/>
    <w:rsid w:val="7F17671C"/>
    <w:rsid w:val="7F201A75"/>
    <w:rsid w:val="7F2257ED"/>
    <w:rsid w:val="7F25708B"/>
    <w:rsid w:val="7F2A644F"/>
    <w:rsid w:val="7F547970"/>
    <w:rsid w:val="7F596D35"/>
    <w:rsid w:val="7F7973D7"/>
    <w:rsid w:val="7F7B4EFD"/>
    <w:rsid w:val="7F7D2A23"/>
    <w:rsid w:val="7F8114E6"/>
    <w:rsid w:val="7F9A1827"/>
    <w:rsid w:val="7FAC50B6"/>
    <w:rsid w:val="7FB126CD"/>
    <w:rsid w:val="7FB25ED0"/>
    <w:rsid w:val="7FB72124"/>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7"/>
    <w:autoRedefine/>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33"/>
    <w:autoRedefine/>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5"/>
    <w:autoRedefine/>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34"/>
    <w:autoRedefine/>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cs="Times New Roman"/>
      <w:kern w:val="2"/>
      <w:lang w:val="en-US" w:eastAsia="zh-TW" w:bidi="ar-SA"/>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Body Text Indent"/>
    <w:basedOn w:val="1"/>
    <w:autoRedefine/>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autoRedefine/>
    <w:qFormat/>
    <w:uiPriority w:val="0"/>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semiHidden/>
    <w:qFormat/>
    <w:uiPriority w:val="0"/>
    <w:pPr>
      <w:snapToGrid w:val="0"/>
    </w:pPr>
    <w:rPr>
      <w:rFonts w:ascii="Arial" w:hAnsi="Arial" w:cs="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line="320" w:lineRule="exact"/>
      <w:jc w:val="left"/>
    </w:pPr>
    <w:rPr>
      <w:rFonts w:ascii="宋体" w:hAnsi="宋体"/>
      <w:sz w:val="24"/>
    </w:rPr>
  </w:style>
  <w:style w:type="paragraph" w:styleId="17">
    <w:name w:val="Body Text Indent 3"/>
    <w:basedOn w:val="1"/>
    <w:autoRedefine/>
    <w:qFormat/>
    <w:uiPriority w:val="0"/>
    <w:pPr>
      <w:spacing w:line="360" w:lineRule="auto"/>
      <w:ind w:firstLine="632"/>
    </w:pPr>
    <w:rPr>
      <w:rFonts w:ascii="黑体" w:eastAsia="黑体"/>
    </w:rPr>
  </w:style>
  <w:style w:type="paragraph" w:styleId="18">
    <w:name w:val="index 9"/>
    <w:basedOn w:val="1"/>
    <w:next w:val="1"/>
    <w:qFormat/>
    <w:uiPriority w:val="0"/>
    <w:pPr>
      <w:ind w:left="1600" w:leftChars="1600"/>
    </w:pPr>
  </w:style>
  <w:style w:type="paragraph" w:styleId="19">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0">
    <w:name w:val="toc 2"/>
    <w:basedOn w:val="1"/>
    <w:next w:val="1"/>
    <w:autoRedefine/>
    <w:qFormat/>
    <w:uiPriority w:val="0"/>
    <w:pPr>
      <w:ind w:left="420" w:leftChars="200"/>
    </w:pPr>
  </w:style>
  <w:style w:type="paragraph" w:styleId="21">
    <w:name w:val="HTML Preformatted"/>
    <w:autoRedefine/>
    <w:qFormat/>
    <w:uiPriority w:val="0"/>
    <w:pPr>
      <w:widowControl w:val="0"/>
      <w:jc w:val="both"/>
    </w:pPr>
    <w:rPr>
      <w:rFonts w:ascii="Courier New" w:hAnsi="Courier New" w:eastAsia="宋体" w:cs="Times New Roman"/>
      <w:kern w:val="2"/>
      <w:sz w:val="21"/>
      <w:szCs w:val="24"/>
      <w:lang w:val="en-US" w:eastAsia="zh-CN" w:bidi="ar-SA"/>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Body Text First Indent"/>
    <w:basedOn w:val="9"/>
    <w:next w:val="1"/>
    <w:qFormat/>
    <w:uiPriority w:val="0"/>
    <w:pPr>
      <w:spacing w:line="360" w:lineRule="auto"/>
      <w:ind w:firstLine="420"/>
    </w:pPr>
    <w:rPr>
      <w:rFonts w:ascii="宋体" w:hAnsi="宋体"/>
      <w:sz w:val="24"/>
    </w:rPr>
  </w:style>
  <w:style w:type="paragraph" w:styleId="25">
    <w:name w:val="Body Text First Indent 2"/>
    <w:basedOn w:val="10"/>
    <w:autoRedefine/>
    <w:qFormat/>
    <w:uiPriority w:val="0"/>
    <w:pPr>
      <w:ind w:firstLine="420" w:firstLineChars="200"/>
    </w:pPr>
  </w:style>
  <w:style w:type="table" w:styleId="27">
    <w:name w:val="Table Grid"/>
    <w:basedOn w:val="26"/>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autoRedefine/>
    <w:qFormat/>
    <w:uiPriority w:val="0"/>
    <w:rPr>
      <w:sz w:val="21"/>
      <w:szCs w:val="21"/>
    </w:rPr>
  </w:style>
  <w:style w:type="paragraph" w:customStyle="1" w:styleId="30">
    <w:name w:val="标书正文1"/>
    <w:basedOn w:val="1"/>
    <w:qFormat/>
    <w:uiPriority w:val="0"/>
    <w:pPr>
      <w:widowControl/>
      <w:spacing w:line="520" w:lineRule="exact"/>
      <w:ind w:firstLine="640" w:firstLineChars="200"/>
    </w:pPr>
  </w:style>
  <w:style w:type="paragraph" w:customStyle="1" w:styleId="31">
    <w:name w:val="_Style 3"/>
    <w:next w:val="17"/>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1 Char"/>
    <w:link w:val="2"/>
    <w:autoRedefine/>
    <w:qFormat/>
    <w:locked/>
    <w:uiPriority w:val="0"/>
    <w:rPr>
      <w:rFonts w:ascii="Times New Roman" w:hAnsi="Times New Roman" w:eastAsia="宋体" w:cs="Times New Roman"/>
      <w:b/>
      <w:bCs/>
      <w:kern w:val="2"/>
      <w:sz w:val="32"/>
      <w:szCs w:val="32"/>
      <w:lang w:val="en-US" w:eastAsia="zh-CN" w:bidi="ar-SA"/>
    </w:rPr>
  </w:style>
  <w:style w:type="character" w:customStyle="1" w:styleId="33">
    <w:name w:val="标题 2 Char"/>
    <w:link w:val="3"/>
    <w:autoRedefine/>
    <w:qFormat/>
    <w:uiPriority w:val="0"/>
    <w:rPr>
      <w:rFonts w:ascii="Arial" w:hAnsi="Arial" w:eastAsia="宋体" w:cs="Times New Roman"/>
      <w:b/>
      <w:bCs/>
      <w:kern w:val="2"/>
      <w:sz w:val="28"/>
      <w:szCs w:val="32"/>
      <w:lang w:val="en-US" w:eastAsia="zh-CN" w:bidi="ar-SA"/>
    </w:rPr>
  </w:style>
  <w:style w:type="character" w:customStyle="1" w:styleId="34">
    <w:name w:val="标题 4 Char"/>
    <w:link w:val="5"/>
    <w:autoRedefine/>
    <w:qFormat/>
    <w:uiPriority w:val="0"/>
    <w:rPr>
      <w:rFonts w:ascii="Arial" w:hAnsi="Arial" w:eastAsia="宋体"/>
      <w:b/>
    </w:rPr>
  </w:style>
  <w:style w:type="character" w:customStyle="1" w:styleId="35">
    <w:name w:val="标题 3 Char"/>
    <w:link w:val="4"/>
    <w:autoRedefine/>
    <w:qFormat/>
    <w:uiPriority w:val="0"/>
    <w:rPr>
      <w:rFonts w:ascii="Times New Roman" w:hAnsi="Times New Roman" w:eastAsia="宋体"/>
      <w:b/>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标题 1 字符"/>
    <w:link w:val="2"/>
    <w:autoRedefine/>
    <w:qFormat/>
    <w:uiPriority w:val="0"/>
    <w:rPr>
      <w:rFonts w:ascii="Times New Roman" w:hAnsi="Times New Roman" w:eastAsia="宋体" w:cs="Times New Roman"/>
      <w:kern w:val="44"/>
      <w:sz w:val="32"/>
    </w:rPr>
  </w:style>
  <w:style w:type="paragraph" w:customStyle="1" w:styleId="3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11"/>
    <w:basedOn w:val="28"/>
    <w:autoRedefine/>
    <w:qFormat/>
    <w:uiPriority w:val="0"/>
    <w:rPr>
      <w:rFonts w:hint="default" w:ascii="Segoe UI" w:hAnsi="Segoe UI" w:eastAsia="Segoe UI" w:cs="Segoe UI"/>
      <w:color w:val="000000"/>
      <w:sz w:val="22"/>
      <w:szCs w:val="22"/>
      <w:u w:val="none"/>
    </w:rPr>
  </w:style>
  <w:style w:type="character" w:customStyle="1" w:styleId="41">
    <w:name w:val="font21"/>
    <w:basedOn w:val="28"/>
    <w:autoRedefine/>
    <w:qFormat/>
    <w:uiPriority w:val="0"/>
    <w:rPr>
      <w:rFonts w:hint="default" w:ascii="Segoe UI" w:hAnsi="Segoe UI" w:eastAsia="Segoe UI" w:cs="Segoe UI"/>
      <w:color w:val="000000"/>
      <w:sz w:val="21"/>
      <w:szCs w:val="21"/>
      <w:u w:val="none"/>
    </w:rPr>
  </w:style>
  <w:style w:type="character" w:customStyle="1" w:styleId="42">
    <w:name w:val="font51"/>
    <w:basedOn w:val="28"/>
    <w:autoRedefine/>
    <w:qFormat/>
    <w:uiPriority w:val="0"/>
    <w:rPr>
      <w:rFonts w:hint="eastAsia" w:ascii="微软雅黑" w:hAnsi="微软雅黑" w:eastAsia="微软雅黑" w:cs="微软雅黑"/>
      <w:color w:val="000000"/>
      <w:sz w:val="20"/>
      <w:szCs w:val="20"/>
      <w:u w:val="none"/>
    </w:rPr>
  </w:style>
  <w:style w:type="character" w:customStyle="1" w:styleId="43">
    <w:name w:val="font61"/>
    <w:basedOn w:val="28"/>
    <w:autoRedefine/>
    <w:qFormat/>
    <w:uiPriority w:val="0"/>
    <w:rPr>
      <w:rFonts w:ascii="宋体" w:hAnsi="宋体" w:eastAsia="宋体" w:cs="宋体"/>
      <w:color w:val="000000"/>
      <w:sz w:val="20"/>
      <w:szCs w:val="20"/>
      <w:u w:val="none"/>
    </w:rPr>
  </w:style>
  <w:style w:type="character" w:customStyle="1" w:styleId="44">
    <w:name w:val="font01"/>
    <w:basedOn w:val="28"/>
    <w:autoRedefine/>
    <w:qFormat/>
    <w:uiPriority w:val="0"/>
    <w:rPr>
      <w:rFonts w:hint="eastAsia" w:ascii="宋体" w:hAnsi="宋体" w:eastAsia="宋体" w:cs="宋体"/>
      <w:color w:val="000000"/>
      <w:sz w:val="20"/>
      <w:szCs w:val="20"/>
      <w:u w:val="none"/>
    </w:rPr>
  </w:style>
  <w:style w:type="paragraph" w:customStyle="1" w:styleId="45">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6">
    <w:name w:val="Body Text First Indent"/>
    <w:basedOn w:val="1"/>
    <w:next w:val="1"/>
    <w:qFormat/>
    <w:uiPriority w:val="0"/>
    <w:pPr>
      <w:spacing w:line="360" w:lineRule="auto"/>
      <w:ind w:firstLine="420"/>
    </w:pPr>
    <w:rPr>
      <w:rFonts w:ascii="宋体" w:hAnsi="宋体" w:eastAsia="仿宋_GB2312" w:cs="宋体"/>
      <w:sz w:val="24"/>
      <w:szCs w:val="24"/>
    </w:rPr>
  </w:style>
  <w:style w:type="paragraph" w:customStyle="1" w:styleId="47">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
    <w:name w:val="正文文本缩进1"/>
    <w:basedOn w:val="1"/>
    <w:qFormat/>
    <w:uiPriority w:val="0"/>
    <w:pPr>
      <w:ind w:firstLine="640" w:firstLineChars="200"/>
    </w:pPr>
    <w:rPr>
      <w:rFonts w:ascii="Calibri"/>
    </w:rPr>
  </w:style>
  <w:style w:type="paragraph" w:customStyle="1" w:styleId="49">
    <w:name w:val="正文首行缩进1"/>
    <w:basedOn w:val="9"/>
    <w:qFormat/>
    <w:uiPriority w:val="0"/>
    <w:pPr>
      <w:adjustRightInd w:val="0"/>
      <w:spacing w:line="275" w:lineRule="atLeast"/>
      <w:ind w:firstLine="420"/>
      <w:textAlignment w:val="baseline"/>
    </w:pPr>
    <w:rPr>
      <w:rFonts w:ascii="宋体" w:eastAsia="楷体_GB2312"/>
      <w:sz w:val="24"/>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1">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2">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3">
    <w:name w:val="正文（缩进）"/>
    <w:next w:val="1"/>
    <w:autoRedefine/>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14692</Words>
  <Characters>15160</Characters>
  <Lines>0</Lines>
  <Paragraphs>0</Paragraphs>
  <TotalTime>2</TotalTime>
  <ScaleCrop>false</ScaleCrop>
  <LinksUpToDate>false</LinksUpToDate>
  <CharactersWithSpaces>16673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mys</cp:lastModifiedBy>
  <dcterms:modified xsi:type="dcterms:W3CDTF">2025-04-09T02:52:01Z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C5932602A67541E0BC0A03D1205A1954_13</vt:lpwstr>
  </property>
  <property fmtid="{D5CDD505-2E9C-101B-9397-08002B2CF9AE}" pid="4" name="KSOTemplateDocerSaveRecord">
    <vt:lpwstr>eyJoZGlkIjoiMGYwODMwZDQ2NTUyNGQ3ZTk5YzZkMGMwYjM4MzVmYmMiLCJ1c2VySWQiOiIxMTQzNTg3NTIxIn0=</vt:lpwstr>
  </property>
</Properties>
</file>