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询价文件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资产名称：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UPS不间断电源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预算单价：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预购数量：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预算小计：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质保期：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3年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主要技术要求：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详见附件2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请购理由及用途：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疫苗冷库温湿度监控主机需24小时连续采集存储环境监测数据，市电停电、电压波动易造成主机停机、数据断档丢失，存在合规风险。为保障监测不间断运行、保护设备硬件，特申请购置配套12小时续航UPS不间断电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color w:val="FF000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8"/>
          <w:szCs w:val="28"/>
          <w:shd w:val="clear" w:color="auto" w:fill="auto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color w:val="FF0000"/>
          <w:sz w:val="28"/>
          <w:szCs w:val="28"/>
          <w:shd w:val="clear" w:color="auto" w:fill="auto"/>
          <w:lang w:val="en-US" w:eastAsia="zh-CN"/>
        </w:rPr>
        <w:t>单价均不得超过预算，必须给出两位小数以内精确单价，参数必须完全一致（不接受正偏离）。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2026-07-09T09:58:00Z</dcterms:created>
  <dc:creator>Lenovo</dc:creator>
  <cp:lastModifiedBy>Lenovo</cp:lastModifiedBy>
  <dcterms:modified xsi:type="dcterms:W3CDTF">2026-07-09T10:01:12Z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