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5BC24A">
      <w:pPr>
        <w:spacing w:line="600" w:lineRule="exact"/>
        <w:jc w:val="right"/>
        <w:outlineLvl w:val="0"/>
        <w:rPr>
          <w:rFonts w:hint="eastAsia" w:ascii="仿宋" w:hAnsi="仿宋" w:eastAsia="仿宋" w:cs="仿宋"/>
          <w:b/>
          <w:bCs/>
          <w:color w:val="auto"/>
          <w:sz w:val="52"/>
          <w:highlight w:val="none"/>
        </w:rPr>
      </w:pPr>
    </w:p>
    <w:p w14:paraId="3FEE824A">
      <w:pPr>
        <w:spacing w:line="600" w:lineRule="exact"/>
        <w:jc w:val="center"/>
        <w:outlineLvl w:val="0"/>
        <w:rPr>
          <w:rFonts w:hint="eastAsia" w:ascii="仿宋" w:hAnsi="仿宋" w:eastAsia="仿宋" w:cs="仿宋"/>
          <w:color w:val="auto"/>
          <w:sz w:val="52"/>
          <w:highlight w:val="none"/>
        </w:rPr>
      </w:pPr>
    </w:p>
    <w:p w14:paraId="2C7C294F">
      <w:pPr>
        <w:tabs>
          <w:tab w:val="center" w:pos="4766"/>
          <w:tab w:val="left" w:pos="8484"/>
        </w:tabs>
        <w:spacing w:line="1600" w:lineRule="exact"/>
        <w:jc w:val="left"/>
        <w:outlineLvl w:val="0"/>
        <w:rPr>
          <w:rFonts w:hint="eastAsia" w:ascii="仿宋" w:hAnsi="仿宋" w:eastAsia="仿宋" w:cs="仿宋"/>
          <w:bCs/>
          <w:color w:val="auto"/>
          <w:sz w:val="130"/>
          <w:szCs w:val="130"/>
          <w:highlight w:val="none"/>
        </w:rPr>
      </w:pPr>
      <w:r>
        <w:rPr>
          <w:rFonts w:hint="eastAsia" w:ascii="仿宋" w:hAnsi="仿宋" w:eastAsia="仿宋" w:cs="仿宋"/>
          <w:bCs/>
          <w:color w:val="auto"/>
          <w:sz w:val="100"/>
          <w:szCs w:val="100"/>
          <w:highlight w:val="none"/>
        </w:rPr>
        <w:tab/>
      </w:r>
      <w:bookmarkStart w:id="0" w:name="_Toc9371"/>
      <w:bookmarkStart w:id="1" w:name="_Toc4514"/>
      <w:bookmarkStart w:id="2" w:name="_Toc18627"/>
      <w:r>
        <w:rPr>
          <w:rFonts w:hint="eastAsia" w:ascii="仿宋" w:hAnsi="仿宋" w:eastAsia="仿宋" w:cs="仿宋"/>
          <w:b/>
          <w:bCs/>
          <w:color w:val="auto"/>
          <w:sz w:val="96"/>
          <w:szCs w:val="96"/>
          <w:highlight w:val="none"/>
        </w:rPr>
        <w:t>竞争性比选文件</w:t>
      </w:r>
      <w:bookmarkEnd w:id="0"/>
      <w:bookmarkEnd w:id="1"/>
      <w:bookmarkEnd w:id="2"/>
    </w:p>
    <w:p w14:paraId="7CA1A7B7">
      <w:pPr>
        <w:pStyle w:val="26"/>
        <w:spacing w:line="500" w:lineRule="exact"/>
        <w:ind w:left="0"/>
        <w:jc w:val="center"/>
        <w:rPr>
          <w:rFonts w:hint="eastAsia" w:ascii="仿宋" w:hAnsi="仿宋" w:eastAsia="仿宋" w:cs="仿宋"/>
          <w:color w:val="auto"/>
          <w:sz w:val="32"/>
          <w:highlight w:val="none"/>
        </w:rPr>
      </w:pPr>
    </w:p>
    <w:p w14:paraId="56BB5589">
      <w:pPr>
        <w:pStyle w:val="26"/>
        <w:spacing w:line="500" w:lineRule="exact"/>
        <w:ind w:left="0"/>
        <w:jc w:val="center"/>
        <w:rPr>
          <w:rFonts w:hint="eastAsia" w:ascii="仿宋" w:hAnsi="仿宋" w:eastAsia="仿宋" w:cs="仿宋"/>
          <w:color w:val="auto"/>
          <w:sz w:val="32"/>
          <w:highlight w:val="none"/>
        </w:rPr>
      </w:pPr>
    </w:p>
    <w:p w14:paraId="1E43E84B">
      <w:pPr>
        <w:pStyle w:val="26"/>
        <w:spacing w:line="500" w:lineRule="exact"/>
        <w:ind w:left="0"/>
        <w:jc w:val="center"/>
        <w:rPr>
          <w:rFonts w:hint="eastAsia" w:ascii="仿宋" w:hAnsi="仿宋" w:eastAsia="仿宋" w:cs="仿宋"/>
          <w:color w:val="auto"/>
          <w:sz w:val="32"/>
          <w:highlight w:val="none"/>
        </w:rPr>
      </w:pPr>
      <w:r>
        <w:rPr>
          <w:rFonts w:hint="eastAsia" w:ascii="宋体" w:hAnsi="宋体" w:eastAsia="宋体" w:cs="宋体"/>
          <w:color w:val="auto"/>
          <w:highlight w:val="none"/>
          <w:lang w:eastAsia="zh-CN"/>
        </w:rPr>
        <w:drawing>
          <wp:anchor distT="0" distB="0" distL="114300" distR="114300" simplePos="0" relativeHeight="251659264" behindDoc="1" locked="0" layoutInCell="1" allowOverlap="1">
            <wp:simplePos x="0" y="0"/>
            <wp:positionH relativeFrom="column">
              <wp:posOffset>1693545</wp:posOffset>
            </wp:positionH>
            <wp:positionV relativeFrom="paragraph">
              <wp:posOffset>86360</wp:posOffset>
            </wp:positionV>
            <wp:extent cx="2767330" cy="1685290"/>
            <wp:effectExtent l="0" t="0" r="0" b="0"/>
            <wp:wrapTight wrapText="bothSides">
              <wp:wrapPolygon>
                <wp:start x="21592" y="-2"/>
                <wp:lineTo x="0" y="0"/>
                <wp:lineTo x="0" y="21600"/>
                <wp:lineTo x="21592" y="21602"/>
                <wp:lineTo x="8" y="21602"/>
                <wp:lineTo x="21600" y="21600"/>
                <wp:lineTo x="21600" y="0"/>
                <wp:lineTo x="8" y="-2"/>
                <wp:lineTo x="21592" y="-2"/>
              </wp:wrapPolygon>
            </wp:wrapTight>
            <wp:docPr id="1" name="图片 2" descr="多杰LOGO定-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多杰LOGO定-03"/>
                    <pic:cNvPicPr>
                      <a:picLocks noChangeAspect="1"/>
                    </pic:cNvPicPr>
                  </pic:nvPicPr>
                  <pic:blipFill>
                    <a:blip r:embed="rId14"/>
                    <a:srcRect t="22523" b="23199"/>
                    <a:stretch>
                      <a:fillRect/>
                    </a:stretch>
                  </pic:blipFill>
                  <pic:spPr>
                    <a:xfrm>
                      <a:off x="0" y="0"/>
                      <a:ext cx="2767330" cy="1685290"/>
                    </a:xfrm>
                    <a:prstGeom prst="rect">
                      <a:avLst/>
                    </a:prstGeom>
                    <a:noFill/>
                    <a:ln>
                      <a:noFill/>
                    </a:ln>
                  </pic:spPr>
                </pic:pic>
              </a:graphicData>
            </a:graphic>
          </wp:anchor>
        </w:drawing>
      </w:r>
    </w:p>
    <w:p w14:paraId="0262B9E9">
      <w:pPr>
        <w:pStyle w:val="106"/>
        <w:rPr>
          <w:rFonts w:hint="eastAsia" w:ascii="仿宋" w:hAnsi="仿宋" w:eastAsia="仿宋" w:cs="仿宋"/>
          <w:color w:val="auto"/>
          <w:sz w:val="32"/>
          <w:highlight w:val="none"/>
        </w:rPr>
      </w:pPr>
    </w:p>
    <w:p w14:paraId="3EBE6C06">
      <w:pPr>
        <w:rPr>
          <w:rFonts w:hint="eastAsia"/>
          <w:color w:val="auto"/>
          <w:highlight w:val="none"/>
        </w:rPr>
      </w:pPr>
    </w:p>
    <w:p w14:paraId="1DADB8B6">
      <w:pPr>
        <w:pStyle w:val="26"/>
        <w:spacing w:line="500" w:lineRule="exact"/>
        <w:ind w:left="0"/>
        <w:jc w:val="center"/>
        <w:rPr>
          <w:rFonts w:hint="eastAsia" w:ascii="仿宋" w:hAnsi="仿宋" w:eastAsia="仿宋" w:cs="仿宋"/>
          <w:b/>
          <w:color w:val="auto"/>
          <w:sz w:val="32"/>
          <w:highlight w:val="none"/>
        </w:rPr>
      </w:pPr>
    </w:p>
    <w:p w14:paraId="7ED4EB86">
      <w:pPr>
        <w:pStyle w:val="26"/>
        <w:spacing w:line="500" w:lineRule="exact"/>
        <w:ind w:left="0"/>
        <w:rPr>
          <w:rFonts w:hint="eastAsia" w:ascii="仿宋" w:hAnsi="仿宋" w:eastAsia="仿宋" w:cs="仿宋"/>
          <w:b/>
          <w:color w:val="auto"/>
          <w:sz w:val="32"/>
          <w:highlight w:val="none"/>
        </w:rPr>
      </w:pPr>
    </w:p>
    <w:p w14:paraId="48A4B96C">
      <w:pPr>
        <w:spacing w:line="700" w:lineRule="exact"/>
        <w:ind w:firstLine="900" w:firstLineChars="250"/>
        <w:jc w:val="left"/>
        <w:rPr>
          <w:rFonts w:hint="eastAsia" w:ascii="仿宋" w:hAnsi="仿宋" w:eastAsia="仿宋" w:cs="仿宋"/>
          <w:color w:val="auto"/>
          <w:sz w:val="36"/>
          <w:szCs w:val="36"/>
          <w:highlight w:val="none"/>
        </w:rPr>
      </w:pPr>
    </w:p>
    <w:p w14:paraId="00AD005E">
      <w:pPr>
        <w:spacing w:line="700" w:lineRule="exact"/>
        <w:ind w:firstLine="900" w:firstLineChars="250"/>
        <w:jc w:val="left"/>
        <w:rPr>
          <w:rFonts w:hint="eastAsia" w:ascii="仿宋" w:hAnsi="仿宋" w:eastAsia="仿宋" w:cs="仿宋"/>
          <w:color w:val="auto"/>
          <w:sz w:val="36"/>
          <w:szCs w:val="36"/>
          <w:highlight w:val="none"/>
        </w:rPr>
      </w:pPr>
    </w:p>
    <w:p w14:paraId="05970A86">
      <w:pPr>
        <w:spacing w:line="700" w:lineRule="exact"/>
        <w:ind w:left="2695" w:leftChars="384" w:hanging="1620" w:hangingChars="450"/>
        <w:jc w:val="left"/>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广阳岛国际会议中心及配套酒店电梯系统年度维保服务采购（第二次）</w:t>
      </w:r>
    </w:p>
    <w:p w14:paraId="69CCA400">
      <w:pPr>
        <w:pStyle w:val="26"/>
        <w:spacing w:line="500" w:lineRule="exact"/>
        <w:ind w:left="958" w:firstLine="361" w:firstLineChars="100"/>
        <w:rPr>
          <w:rFonts w:hint="eastAsia" w:ascii="仿宋" w:hAnsi="仿宋" w:eastAsia="仿宋" w:cs="仿宋"/>
          <w:b/>
          <w:color w:val="auto"/>
          <w:sz w:val="36"/>
          <w:szCs w:val="36"/>
          <w:highlight w:val="none"/>
        </w:rPr>
      </w:pPr>
    </w:p>
    <w:p w14:paraId="2E7E2FAF">
      <w:pPr>
        <w:pStyle w:val="26"/>
        <w:spacing w:line="500" w:lineRule="exact"/>
        <w:ind w:left="0"/>
        <w:jc w:val="center"/>
        <w:rPr>
          <w:rFonts w:hint="eastAsia" w:ascii="仿宋" w:hAnsi="仿宋" w:eastAsia="仿宋" w:cs="仿宋"/>
          <w:b/>
          <w:color w:val="auto"/>
          <w:sz w:val="36"/>
          <w:szCs w:val="36"/>
          <w:highlight w:val="none"/>
        </w:rPr>
      </w:pPr>
    </w:p>
    <w:p w14:paraId="017992F3">
      <w:pPr>
        <w:pStyle w:val="106"/>
        <w:rPr>
          <w:rFonts w:hint="eastAsia" w:ascii="仿宋" w:hAnsi="仿宋" w:eastAsia="仿宋" w:cs="仿宋"/>
          <w:b/>
          <w:color w:val="auto"/>
          <w:sz w:val="36"/>
          <w:szCs w:val="36"/>
          <w:highlight w:val="none"/>
        </w:rPr>
      </w:pPr>
    </w:p>
    <w:p w14:paraId="4FE6D530">
      <w:pPr>
        <w:rPr>
          <w:rFonts w:hint="eastAsia"/>
          <w:color w:val="auto"/>
          <w:highlight w:val="none"/>
        </w:rPr>
      </w:pPr>
    </w:p>
    <w:p w14:paraId="5313FB44">
      <w:pPr>
        <w:spacing w:line="700" w:lineRule="exact"/>
        <w:ind w:firstLine="900" w:firstLineChars="250"/>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  购  人：</w:t>
      </w:r>
      <w:r>
        <w:rPr>
          <w:rFonts w:hint="eastAsia" w:ascii="仿宋" w:hAnsi="仿宋" w:eastAsia="仿宋" w:cs="仿宋"/>
          <w:color w:val="auto"/>
          <w:sz w:val="36"/>
          <w:szCs w:val="36"/>
          <w:highlight w:val="none"/>
          <w:lang w:eastAsia="zh-CN"/>
        </w:rPr>
        <w:t>重庆广阳岛绿色发展有限责任公司酒店管理分公司</w:t>
      </w:r>
    </w:p>
    <w:p w14:paraId="381DF83C">
      <w:pPr>
        <w:spacing w:line="700" w:lineRule="exact"/>
        <w:ind w:firstLine="900" w:firstLineChars="250"/>
        <w:jc w:val="left"/>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重庆多杰数字科技咨询服务有限公司</w:t>
      </w:r>
    </w:p>
    <w:p w14:paraId="34716CFB">
      <w:pPr>
        <w:spacing w:line="700" w:lineRule="exact"/>
        <w:ind w:firstLine="900" w:firstLineChars="250"/>
        <w:jc w:val="left"/>
        <w:rPr>
          <w:rFonts w:hint="eastAsia" w:ascii="仿宋" w:hAnsi="仿宋" w:eastAsia="仿宋" w:cs="仿宋"/>
          <w:color w:val="auto"/>
          <w:sz w:val="36"/>
          <w:szCs w:val="36"/>
          <w:highlight w:val="none"/>
        </w:rPr>
      </w:pPr>
    </w:p>
    <w:p w14:paraId="45ACC4B7">
      <w:pPr>
        <w:spacing w:line="700" w:lineRule="exact"/>
        <w:ind w:firstLine="180" w:firstLineChars="50"/>
        <w:jc w:val="center"/>
        <w:rPr>
          <w:rFonts w:hint="eastAsia" w:ascii="仿宋" w:hAnsi="仿宋" w:eastAsia="仿宋" w:cs="仿宋"/>
          <w:color w:val="auto"/>
          <w:sz w:val="4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fmt="decimal" w:start="1"/>
          <w:cols w:space="720" w:num="1"/>
          <w:titlePg/>
          <w:docGrid w:linePitch="312" w:charSpace="0"/>
        </w:sectPr>
      </w:pPr>
      <w:r>
        <w:rPr>
          <w:rFonts w:hint="eastAsia" w:ascii="仿宋" w:hAnsi="仿宋" w:eastAsia="仿宋" w:cs="仿宋"/>
          <w:color w:val="auto"/>
          <w:sz w:val="36"/>
          <w:szCs w:val="36"/>
          <w:highlight w:val="none"/>
        </w:rPr>
        <w:t>二0二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月</w:t>
      </w:r>
    </w:p>
    <w:p w14:paraId="34C49934">
      <w:pPr>
        <w:snapToGrid w:val="0"/>
        <w:spacing w:line="50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0B14DBCE">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auto"/>
        <w:ind w:left="0" w:leftChars="0" w:firstLine="279" w:firstLineChars="133"/>
        <w:textAlignment w:val="auto"/>
        <w:rPr>
          <w:rFonts w:hint="eastAsia" w:ascii="仿宋" w:hAnsi="仿宋" w:eastAsia="仿宋" w:cs="仿宋"/>
          <w:b w:val="0"/>
          <w:bCs/>
          <w:color w:val="auto"/>
          <w:sz w:val="21"/>
          <w:szCs w:val="21"/>
          <w:highlight w:val="none"/>
        </w:rPr>
      </w:pPr>
    </w:p>
    <w:p w14:paraId="130A6AB7">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ind w:left="0" w:leftChars="0" w:firstLine="279" w:firstLineChars="133"/>
        <w:textAlignment w:val="auto"/>
        <w:rPr>
          <w:b w:val="0"/>
          <w:bCs/>
          <w:color w:val="auto"/>
          <w:highlight w:val="none"/>
        </w:rPr>
      </w:pPr>
      <w:r>
        <w:rPr>
          <w:rFonts w:hint="eastAsia" w:ascii="仿宋" w:hAnsi="仿宋" w:eastAsia="仿宋" w:cs="仿宋"/>
          <w:b w:val="0"/>
          <w:bCs/>
          <w:color w:val="auto"/>
          <w:sz w:val="21"/>
          <w:szCs w:val="21"/>
          <w:highlight w:val="none"/>
        </w:rPr>
        <w:fldChar w:fldCharType="begin"/>
      </w:r>
      <w:r>
        <w:rPr>
          <w:rFonts w:hint="eastAsia" w:ascii="仿宋" w:hAnsi="仿宋" w:eastAsia="仿宋" w:cs="仿宋"/>
          <w:b w:val="0"/>
          <w:bCs/>
          <w:color w:val="auto"/>
          <w:sz w:val="21"/>
          <w:szCs w:val="21"/>
          <w:highlight w:val="none"/>
        </w:rPr>
        <w:instrText xml:space="preserve"> TOC \o "1-2" \h \z </w:instrText>
      </w:r>
      <w:r>
        <w:rPr>
          <w:rFonts w:hint="eastAsia" w:ascii="仿宋" w:hAnsi="仿宋" w:eastAsia="仿宋" w:cs="仿宋"/>
          <w:b w:val="0"/>
          <w:bCs/>
          <w:color w:val="auto"/>
          <w:sz w:val="21"/>
          <w:szCs w:val="21"/>
          <w:highlight w:val="none"/>
        </w:rPr>
        <w:fldChar w:fldCharType="separate"/>
      </w: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_Toc21883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第一篇 </w:t>
      </w:r>
      <w:r>
        <w:rPr>
          <w:rFonts w:hint="eastAsia" w:ascii="仿宋" w:hAnsi="仿宋" w:eastAsia="仿宋" w:cs="仿宋"/>
          <w:b w:val="0"/>
          <w:bCs/>
          <w:color w:val="auto"/>
          <w:highlight w:val="none"/>
          <w:lang w:eastAsia="zh-CN"/>
        </w:rPr>
        <w:t>竞争性比选公告</w:t>
      </w:r>
      <w:r>
        <w:rPr>
          <w:b w:val="0"/>
          <w:bCs/>
          <w:color w:val="auto"/>
          <w:highlight w:val="none"/>
        </w:rPr>
        <w:tab/>
      </w:r>
      <w:r>
        <w:rPr>
          <w:b w:val="0"/>
          <w:bCs/>
          <w:color w:val="auto"/>
          <w:highlight w:val="none"/>
        </w:rPr>
        <w:fldChar w:fldCharType="begin"/>
      </w:r>
      <w:r>
        <w:rPr>
          <w:b w:val="0"/>
          <w:bCs/>
          <w:color w:val="auto"/>
          <w:highlight w:val="none"/>
        </w:rPr>
        <w:instrText xml:space="preserve"> PAGEREF _Toc21883 \h </w:instrText>
      </w:r>
      <w:r>
        <w:rPr>
          <w:b w:val="0"/>
          <w:bCs/>
          <w:color w:val="auto"/>
          <w:highlight w:val="none"/>
        </w:rPr>
        <w:fldChar w:fldCharType="separate"/>
      </w:r>
      <w:r>
        <w:rPr>
          <w:b w:val="0"/>
          <w:bCs/>
          <w:color w:val="auto"/>
          <w:highlight w:val="none"/>
        </w:rPr>
        <w:t>2</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2C4274E2">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_Toc10419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第二篇 </w:t>
      </w:r>
      <w:r>
        <w:rPr>
          <w:rFonts w:hint="eastAsia" w:ascii="仿宋" w:hAnsi="仿宋" w:eastAsia="仿宋" w:cs="仿宋"/>
          <w:b w:val="0"/>
          <w:bCs/>
          <w:color w:val="auto"/>
          <w:highlight w:val="none"/>
          <w:lang w:eastAsia="zh-CN"/>
        </w:rPr>
        <w:t>项目服务需求</w:t>
      </w:r>
      <w:r>
        <w:rPr>
          <w:b w:val="0"/>
          <w:bCs/>
          <w:color w:val="auto"/>
          <w:highlight w:val="none"/>
        </w:rPr>
        <w:tab/>
      </w:r>
      <w:r>
        <w:rPr>
          <w:b w:val="0"/>
          <w:bCs/>
          <w:color w:val="auto"/>
          <w:highlight w:val="none"/>
        </w:rPr>
        <w:fldChar w:fldCharType="begin"/>
      </w:r>
      <w:r>
        <w:rPr>
          <w:b w:val="0"/>
          <w:bCs/>
          <w:color w:val="auto"/>
          <w:highlight w:val="none"/>
        </w:rPr>
        <w:instrText xml:space="preserve"> PAGEREF _Toc10419 \h </w:instrText>
      </w:r>
      <w:r>
        <w:rPr>
          <w:b w:val="0"/>
          <w:bCs/>
          <w:color w:val="auto"/>
          <w:highlight w:val="none"/>
        </w:rPr>
        <w:fldChar w:fldCharType="separate"/>
      </w:r>
      <w:r>
        <w:rPr>
          <w:b w:val="0"/>
          <w:bCs/>
          <w:color w:val="auto"/>
          <w:highlight w:val="none"/>
        </w:rPr>
        <w:t>5</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2FAB725F">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_Toc14229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第三篇  项目商务需求</w:t>
      </w:r>
      <w:r>
        <w:rPr>
          <w:b w:val="0"/>
          <w:bCs/>
          <w:color w:val="auto"/>
          <w:highlight w:val="none"/>
        </w:rPr>
        <w:tab/>
      </w:r>
      <w:r>
        <w:rPr>
          <w:b w:val="0"/>
          <w:bCs/>
          <w:color w:val="auto"/>
          <w:highlight w:val="none"/>
        </w:rPr>
        <w:fldChar w:fldCharType="begin"/>
      </w:r>
      <w:r>
        <w:rPr>
          <w:b w:val="0"/>
          <w:bCs/>
          <w:color w:val="auto"/>
          <w:highlight w:val="none"/>
        </w:rPr>
        <w:instrText xml:space="preserve"> PAGEREF _Toc14229 \h </w:instrText>
      </w:r>
      <w:r>
        <w:rPr>
          <w:b w:val="0"/>
          <w:bCs/>
          <w:color w:val="auto"/>
          <w:highlight w:val="none"/>
        </w:rPr>
        <w:fldChar w:fldCharType="separate"/>
      </w:r>
      <w:r>
        <w:rPr>
          <w:b w:val="0"/>
          <w:bCs/>
          <w:color w:val="auto"/>
          <w:highlight w:val="none"/>
        </w:rPr>
        <w:t>8</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4B24F13E">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_Toc16237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第四篇  资格审查及评标办法</w:t>
      </w:r>
      <w:r>
        <w:rPr>
          <w:b w:val="0"/>
          <w:bCs/>
          <w:color w:val="auto"/>
          <w:highlight w:val="none"/>
        </w:rPr>
        <w:tab/>
      </w:r>
      <w:r>
        <w:rPr>
          <w:b w:val="0"/>
          <w:bCs/>
          <w:color w:val="auto"/>
          <w:highlight w:val="none"/>
        </w:rPr>
        <w:fldChar w:fldCharType="begin"/>
      </w:r>
      <w:r>
        <w:rPr>
          <w:b w:val="0"/>
          <w:bCs/>
          <w:color w:val="auto"/>
          <w:highlight w:val="none"/>
        </w:rPr>
        <w:instrText xml:space="preserve"> PAGEREF _Toc16237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2FD47D79">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_Toc2588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第五篇  </w:t>
      </w:r>
      <w:r>
        <w:rPr>
          <w:rFonts w:hint="eastAsia" w:ascii="仿宋" w:hAnsi="仿宋" w:eastAsia="仿宋" w:cs="仿宋"/>
          <w:b w:val="0"/>
          <w:bCs/>
          <w:color w:val="auto"/>
          <w:highlight w:val="none"/>
          <w:lang w:eastAsia="zh-CN"/>
        </w:rPr>
        <w:t>供应商</w:t>
      </w:r>
      <w:r>
        <w:rPr>
          <w:rFonts w:hint="eastAsia" w:ascii="仿宋" w:hAnsi="仿宋" w:eastAsia="仿宋" w:cs="仿宋"/>
          <w:b w:val="0"/>
          <w:bCs/>
          <w:color w:val="auto"/>
          <w:highlight w:val="none"/>
        </w:rPr>
        <w:t>须知</w:t>
      </w:r>
      <w:r>
        <w:rPr>
          <w:b w:val="0"/>
          <w:bCs/>
          <w:color w:val="auto"/>
          <w:highlight w:val="none"/>
        </w:rPr>
        <w:tab/>
      </w:r>
      <w:r>
        <w:rPr>
          <w:b w:val="0"/>
          <w:bCs/>
          <w:color w:val="auto"/>
          <w:highlight w:val="none"/>
        </w:rPr>
        <w:fldChar w:fldCharType="begin"/>
      </w:r>
      <w:r>
        <w:rPr>
          <w:b w:val="0"/>
          <w:bCs/>
          <w:color w:val="auto"/>
          <w:highlight w:val="none"/>
        </w:rPr>
        <w:instrText xml:space="preserve"> PAGEREF _Toc2588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1075BF67">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_Toc15247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第六篇  </w:t>
      </w:r>
      <w:r>
        <w:rPr>
          <w:rFonts w:hint="eastAsia" w:ascii="仿宋" w:hAnsi="仿宋" w:eastAsia="仿宋" w:cs="仿宋"/>
          <w:b w:val="0"/>
          <w:bCs/>
          <w:color w:val="auto"/>
          <w:highlight w:val="none"/>
          <w:lang w:val="en-US" w:eastAsia="zh-CN"/>
        </w:rPr>
        <w:t>采购合同</w:t>
      </w:r>
      <w:r>
        <w:rPr>
          <w:b w:val="0"/>
          <w:bCs/>
          <w:color w:val="auto"/>
          <w:highlight w:val="none"/>
        </w:rPr>
        <w:tab/>
      </w:r>
      <w:r>
        <w:rPr>
          <w:b w:val="0"/>
          <w:bCs/>
          <w:color w:val="auto"/>
          <w:highlight w:val="none"/>
        </w:rPr>
        <w:fldChar w:fldCharType="begin"/>
      </w:r>
      <w:r>
        <w:rPr>
          <w:b w:val="0"/>
          <w:bCs/>
          <w:color w:val="auto"/>
          <w:highlight w:val="none"/>
        </w:rPr>
        <w:instrText xml:space="preserve"> PAGEREF _Toc15247 \h </w:instrText>
      </w:r>
      <w:r>
        <w:rPr>
          <w:b w:val="0"/>
          <w:bCs/>
          <w:color w:val="auto"/>
          <w:highlight w:val="none"/>
        </w:rPr>
        <w:fldChar w:fldCharType="separate"/>
      </w:r>
      <w:r>
        <w:rPr>
          <w:b w:val="0"/>
          <w:bCs/>
          <w:color w:val="auto"/>
          <w:highlight w:val="none"/>
        </w:rPr>
        <w:t>17</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0170F033">
      <w:pPr>
        <w:pStyle w:val="40"/>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_Toc26237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第七篇  </w:t>
      </w:r>
      <w:r>
        <w:rPr>
          <w:rFonts w:hint="eastAsia" w:ascii="仿宋" w:hAnsi="仿宋" w:eastAsia="仿宋" w:cs="仿宋"/>
          <w:b w:val="0"/>
          <w:bCs/>
          <w:color w:val="auto"/>
          <w:highlight w:val="none"/>
          <w:lang w:eastAsia="zh-CN"/>
        </w:rPr>
        <w:t>响应文件</w:t>
      </w:r>
      <w:r>
        <w:rPr>
          <w:rFonts w:hint="eastAsia" w:ascii="仿宋" w:hAnsi="仿宋" w:eastAsia="仿宋" w:cs="仿宋"/>
          <w:b w:val="0"/>
          <w:bCs/>
          <w:color w:val="auto"/>
          <w:highlight w:val="none"/>
        </w:rPr>
        <w:t>格式</w:t>
      </w:r>
      <w:r>
        <w:rPr>
          <w:b w:val="0"/>
          <w:bCs/>
          <w:color w:val="auto"/>
          <w:highlight w:val="none"/>
        </w:rPr>
        <w:tab/>
      </w:r>
      <w:r>
        <w:rPr>
          <w:b w:val="0"/>
          <w:bCs/>
          <w:color w:val="auto"/>
          <w:highlight w:val="none"/>
        </w:rPr>
        <w:fldChar w:fldCharType="begin"/>
      </w:r>
      <w:r>
        <w:rPr>
          <w:b w:val="0"/>
          <w:bCs/>
          <w:color w:val="auto"/>
          <w:highlight w:val="none"/>
        </w:rPr>
        <w:instrText xml:space="preserve"> PAGEREF _Toc26237 \h </w:instrText>
      </w:r>
      <w:r>
        <w:rPr>
          <w:b w:val="0"/>
          <w:bCs/>
          <w:color w:val="auto"/>
          <w:highlight w:val="none"/>
        </w:rPr>
        <w:fldChar w:fldCharType="separate"/>
      </w:r>
      <w:r>
        <w:rPr>
          <w:b w:val="0"/>
          <w:bCs/>
          <w:color w:val="auto"/>
          <w:highlight w:val="none"/>
        </w:rPr>
        <w:t>19</w:t>
      </w:r>
      <w:r>
        <w:rPr>
          <w:b w:val="0"/>
          <w:bCs/>
          <w:color w:val="auto"/>
          <w:highlight w:val="none"/>
        </w:rPr>
        <w:fldChar w:fldCharType="end"/>
      </w:r>
      <w:r>
        <w:rPr>
          <w:rFonts w:hint="eastAsia" w:ascii="仿宋" w:hAnsi="仿宋" w:eastAsia="仿宋" w:cs="仿宋"/>
          <w:b w:val="0"/>
          <w:bCs/>
          <w:color w:val="auto"/>
          <w:szCs w:val="21"/>
          <w:highlight w:val="none"/>
        </w:rPr>
        <w:fldChar w:fldCharType="end"/>
      </w:r>
    </w:p>
    <w:p w14:paraId="1677D3D1">
      <w:pPr>
        <w:pStyle w:val="40"/>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2"/>
          <w:highlight w:val="none"/>
        </w:rPr>
        <w:sectPr>
          <w:headerReference r:id="rId7" w:type="default"/>
          <w:footerReference r:id="rId8" w:type="default"/>
          <w:pgSz w:w="11907" w:h="16840"/>
          <w:pgMar w:top="1134" w:right="1191" w:bottom="1134" w:left="1304" w:header="964" w:footer="992" w:gutter="0"/>
          <w:pgNumType w:fmt="decimal" w:start="1"/>
          <w:cols w:space="720" w:num="1"/>
          <w:docGrid w:linePitch="312" w:charSpace="0"/>
        </w:sectPr>
      </w:pPr>
      <w:r>
        <w:rPr>
          <w:rFonts w:hint="eastAsia" w:ascii="仿宋" w:hAnsi="仿宋" w:eastAsia="仿宋" w:cs="仿宋"/>
          <w:b w:val="0"/>
          <w:bCs/>
          <w:color w:val="auto"/>
          <w:szCs w:val="21"/>
          <w:highlight w:val="none"/>
        </w:rPr>
        <w:fldChar w:fldCharType="end"/>
      </w:r>
    </w:p>
    <w:p w14:paraId="1561C385">
      <w:pPr>
        <w:pStyle w:val="2"/>
        <w:spacing w:before="0" w:beforeLines="0" w:after="0" w:afterLines="0" w:line="360" w:lineRule="auto"/>
        <w:rPr>
          <w:rFonts w:hint="eastAsia" w:ascii="仿宋" w:hAnsi="仿宋" w:eastAsia="仿宋" w:cs="仿宋"/>
          <w:b/>
          <w:color w:val="auto"/>
          <w:highlight w:val="none"/>
          <w:lang w:eastAsia="zh-CN"/>
        </w:rPr>
      </w:pPr>
      <w:bookmarkStart w:id="3" w:name="_Toc14366"/>
      <w:bookmarkStart w:id="4" w:name="_Toc6967"/>
      <w:bookmarkStart w:id="5" w:name="_Toc106030371"/>
      <w:bookmarkStart w:id="6" w:name="_Toc4502"/>
      <w:bookmarkStart w:id="7" w:name="_Toc31300"/>
      <w:bookmarkStart w:id="8" w:name="_Toc21693"/>
      <w:bookmarkStart w:id="9" w:name="_Toc2977"/>
      <w:bookmarkStart w:id="10" w:name="_Toc21468"/>
      <w:bookmarkStart w:id="11" w:name="_Toc25832"/>
      <w:bookmarkStart w:id="12" w:name="_Toc21631"/>
      <w:bookmarkStart w:id="13" w:name="_Toc16178"/>
      <w:bookmarkStart w:id="14" w:name="_Toc75793495"/>
      <w:bookmarkStart w:id="15" w:name="_Toc19468"/>
      <w:bookmarkStart w:id="16" w:name="_Toc5896"/>
      <w:bookmarkStart w:id="17" w:name="_Toc1386"/>
      <w:bookmarkStart w:id="18" w:name="_Toc5284"/>
      <w:bookmarkStart w:id="19" w:name="_Toc21883"/>
      <w:bookmarkStart w:id="20" w:name="_Hlk160809782"/>
      <w:r>
        <w:rPr>
          <w:rFonts w:hint="eastAsia" w:ascii="仿宋" w:hAnsi="仿宋" w:eastAsia="仿宋" w:cs="仿宋"/>
          <w:b/>
          <w:color w:val="auto"/>
          <w:highlight w:val="none"/>
        </w:rPr>
        <w:t xml:space="preserve">第一篇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 w:hAnsi="仿宋" w:eastAsia="仿宋" w:cs="仿宋"/>
          <w:b/>
          <w:color w:val="auto"/>
          <w:highlight w:val="none"/>
          <w:lang w:eastAsia="zh-CN"/>
        </w:rPr>
        <w:t>竞争性比选公告</w:t>
      </w:r>
      <w:bookmarkEnd w:id="19"/>
    </w:p>
    <w:p w14:paraId="690143D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重庆多杰数字科技咨询服务有限公司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lang w:eastAsia="zh-CN"/>
        </w:rPr>
        <w:t>重庆广阳岛绿色发展有限责任公司酒店管理分公司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lang w:eastAsia="zh-CN"/>
        </w:rPr>
        <w:t>广阳岛国际会议中心及配套酒店电梯系统年度维保服务采购（第二次）</w:t>
      </w:r>
      <w:r>
        <w:rPr>
          <w:rFonts w:hint="eastAsia" w:ascii="仿宋" w:hAnsi="仿宋" w:eastAsia="仿宋" w:cs="仿宋"/>
          <w:color w:val="auto"/>
          <w:sz w:val="24"/>
          <w:szCs w:val="24"/>
          <w:highlight w:val="none"/>
        </w:rPr>
        <w:t>进行</w:t>
      </w:r>
      <w:r>
        <w:rPr>
          <w:rFonts w:hint="eastAsia" w:ascii="仿宋" w:hAnsi="仿宋" w:eastAsia="仿宋" w:cs="仿宋"/>
          <w:color w:val="auto"/>
          <w:sz w:val="24"/>
          <w:highlight w:val="none"/>
        </w:rPr>
        <w:t>竞争性比选</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欢迎有资格的供应商前来参与</w:t>
      </w:r>
      <w:r>
        <w:rPr>
          <w:rFonts w:hint="eastAsia" w:ascii="仿宋" w:hAnsi="仿宋" w:eastAsia="仿宋" w:cs="仿宋"/>
          <w:color w:val="auto"/>
          <w:sz w:val="24"/>
          <w:szCs w:val="24"/>
          <w:highlight w:val="none"/>
        </w:rPr>
        <w:t>。</w:t>
      </w:r>
    </w:p>
    <w:p w14:paraId="3120A10A">
      <w:pPr>
        <w:pStyle w:val="3"/>
        <w:spacing w:line="400" w:lineRule="exact"/>
        <w:ind w:firstLine="482" w:firstLineChars="200"/>
        <w:rPr>
          <w:rFonts w:hint="eastAsia" w:ascii="仿宋" w:hAnsi="仿宋" w:eastAsia="仿宋" w:cs="仿宋"/>
          <w:b/>
          <w:color w:val="auto"/>
          <w:sz w:val="24"/>
          <w:szCs w:val="24"/>
          <w:highlight w:val="none"/>
        </w:rPr>
      </w:pPr>
      <w:bookmarkStart w:id="21" w:name="_Toc16810"/>
      <w:bookmarkStart w:id="22" w:name="_Toc75793496"/>
      <w:bookmarkStart w:id="23" w:name="_Toc14081"/>
      <w:bookmarkStart w:id="24" w:name="_Toc9774"/>
      <w:bookmarkStart w:id="25" w:name="_Toc8806"/>
      <w:bookmarkStart w:id="26" w:name="_Toc2284"/>
      <w:bookmarkStart w:id="27" w:name="_Toc27035"/>
      <w:bookmarkStart w:id="28" w:name="_Toc19219"/>
      <w:bookmarkStart w:id="29" w:name="_Toc10092"/>
      <w:bookmarkStart w:id="30" w:name="_Toc19082"/>
      <w:bookmarkStart w:id="31" w:name="_Toc398"/>
      <w:bookmarkStart w:id="32" w:name="_Toc7411"/>
      <w:bookmarkStart w:id="33" w:name="_Toc9233"/>
      <w:bookmarkStart w:id="34" w:name="_Toc25391"/>
      <w:bookmarkStart w:id="35" w:name="_Toc19648"/>
      <w:bookmarkStart w:id="36" w:name="_Toc106030372"/>
      <w:bookmarkStart w:id="37" w:name="_Toc11858"/>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比选</w:t>
      </w:r>
      <w:r>
        <w:rPr>
          <w:rFonts w:hint="eastAsia" w:ascii="仿宋" w:hAnsi="仿宋" w:eastAsia="仿宋" w:cs="仿宋"/>
          <w:b/>
          <w:color w:val="auto"/>
          <w:sz w:val="24"/>
          <w:szCs w:val="24"/>
          <w:highlight w:val="none"/>
        </w:rPr>
        <w:t>项目内容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6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1633"/>
        <w:gridCol w:w="1204"/>
        <w:gridCol w:w="1480"/>
        <w:gridCol w:w="1139"/>
      </w:tblGrid>
      <w:tr w14:paraId="3C6C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62" w:type="pct"/>
            <w:tcBorders>
              <w:top w:val="single" w:color="auto" w:sz="4" w:space="0"/>
              <w:left w:val="single" w:color="auto" w:sz="4" w:space="0"/>
              <w:right w:val="single" w:color="auto" w:sz="4" w:space="0"/>
            </w:tcBorders>
            <w:noWrap w:val="0"/>
            <w:vAlign w:val="center"/>
          </w:tcPr>
          <w:p w14:paraId="0F72EE56">
            <w:pPr>
              <w:widowControl/>
              <w:jc w:val="center"/>
              <w:rPr>
                <w:rFonts w:hint="eastAsia" w:ascii="仿宋" w:hAnsi="仿宋" w:eastAsia="仿宋" w:cs="仿宋"/>
                <w:b/>
                <w:bCs/>
                <w:color w:val="auto"/>
                <w:kern w:val="0"/>
                <w:sz w:val="24"/>
                <w:szCs w:val="24"/>
                <w:highlight w:val="none"/>
              </w:rPr>
            </w:pPr>
            <w:bookmarkStart w:id="38" w:name="_Toc29240"/>
            <w:bookmarkStart w:id="39" w:name="_Toc15272"/>
            <w:bookmarkStart w:id="40" w:name="_Toc31180"/>
            <w:bookmarkStart w:id="41" w:name="_Toc26507"/>
            <w:bookmarkStart w:id="42" w:name="_Toc106030373"/>
            <w:bookmarkStart w:id="43" w:name="_Toc22549"/>
            <w:bookmarkStart w:id="44" w:name="_Toc26540"/>
            <w:bookmarkStart w:id="45" w:name="_Toc9736"/>
            <w:bookmarkStart w:id="46" w:name="_Toc29989"/>
            <w:bookmarkStart w:id="47" w:name="_Toc31390"/>
            <w:bookmarkStart w:id="48" w:name="_Toc7121"/>
            <w:bookmarkStart w:id="49" w:name="_Toc856"/>
            <w:bookmarkStart w:id="50" w:name="_Toc12298"/>
            <w:bookmarkStart w:id="51" w:name="_Toc75793497"/>
            <w:bookmarkStart w:id="52" w:name="_Toc22327"/>
            <w:bookmarkStart w:id="53" w:name="_Toc26284"/>
            <w:bookmarkStart w:id="54" w:name="_Toc15664"/>
            <w:r>
              <w:rPr>
                <w:rFonts w:hint="eastAsia" w:ascii="仿宋" w:hAnsi="仿宋" w:eastAsia="仿宋" w:cs="仿宋"/>
                <w:b/>
                <w:bCs/>
                <w:color w:val="auto"/>
                <w:kern w:val="0"/>
                <w:sz w:val="24"/>
                <w:szCs w:val="24"/>
                <w:highlight w:val="none"/>
              </w:rPr>
              <w:t>项目名称</w:t>
            </w:r>
          </w:p>
        </w:tc>
        <w:tc>
          <w:tcPr>
            <w:tcW w:w="849" w:type="pct"/>
            <w:tcBorders>
              <w:top w:val="single" w:color="auto" w:sz="4" w:space="0"/>
              <w:left w:val="single" w:color="auto" w:sz="4" w:space="0"/>
              <w:right w:val="single" w:color="auto" w:sz="4" w:space="0"/>
            </w:tcBorders>
            <w:noWrap w:val="0"/>
            <w:vAlign w:val="center"/>
          </w:tcPr>
          <w:p w14:paraId="5C8FA40D">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总价（含税）</w:t>
            </w:r>
            <w:r>
              <w:rPr>
                <w:rFonts w:hint="eastAsia" w:ascii="仿宋" w:hAnsi="仿宋" w:eastAsia="仿宋" w:cs="仿宋"/>
                <w:b/>
                <w:bCs/>
                <w:color w:val="auto"/>
                <w:kern w:val="0"/>
                <w:sz w:val="24"/>
                <w:szCs w:val="24"/>
                <w:highlight w:val="none"/>
              </w:rPr>
              <w:t>最高限价</w:t>
            </w:r>
          </w:p>
          <w:p w14:paraId="5D5750AE">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（元）</w:t>
            </w:r>
          </w:p>
        </w:tc>
        <w:tc>
          <w:tcPr>
            <w:tcW w:w="626" w:type="pct"/>
            <w:tcBorders>
              <w:top w:val="single" w:color="auto" w:sz="4" w:space="0"/>
              <w:left w:val="single" w:color="auto" w:sz="4" w:space="0"/>
              <w:right w:val="single" w:color="auto" w:sz="4" w:space="0"/>
            </w:tcBorders>
            <w:noWrap w:val="0"/>
            <w:vAlign w:val="center"/>
          </w:tcPr>
          <w:p w14:paraId="1768229D">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保证金（元）</w:t>
            </w:r>
          </w:p>
        </w:tc>
        <w:tc>
          <w:tcPr>
            <w:tcW w:w="769" w:type="pct"/>
            <w:tcBorders>
              <w:top w:val="single" w:color="auto" w:sz="4" w:space="0"/>
              <w:left w:val="single" w:color="auto" w:sz="4" w:space="0"/>
              <w:right w:val="single" w:color="auto" w:sz="4" w:space="0"/>
            </w:tcBorders>
            <w:noWrap w:val="0"/>
            <w:vAlign w:val="center"/>
          </w:tcPr>
          <w:p w14:paraId="4098FD8A">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592" w:type="pct"/>
            <w:tcBorders>
              <w:top w:val="single" w:color="auto" w:sz="4" w:space="0"/>
              <w:left w:val="single" w:color="auto" w:sz="4" w:space="0"/>
              <w:right w:val="single" w:color="auto" w:sz="4" w:space="0"/>
            </w:tcBorders>
            <w:noWrap w:val="0"/>
            <w:vAlign w:val="center"/>
          </w:tcPr>
          <w:p w14:paraId="531678D8">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3D35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62" w:type="pct"/>
            <w:tcBorders>
              <w:top w:val="single" w:color="auto" w:sz="4" w:space="0"/>
              <w:left w:val="single" w:color="auto" w:sz="4" w:space="0"/>
              <w:right w:val="single" w:color="auto" w:sz="4" w:space="0"/>
            </w:tcBorders>
            <w:noWrap w:val="0"/>
            <w:vAlign w:val="center"/>
          </w:tcPr>
          <w:p w14:paraId="3F6025B8">
            <w:pPr>
              <w:widowControl/>
              <w:jc w:val="center"/>
              <w:rPr>
                <w:rFonts w:hint="eastAsia" w:ascii="仿宋" w:hAnsi="仿宋" w:eastAsia="仿宋" w:cs="仿宋"/>
                <w:color w:val="auto"/>
                <w:kern w:val="0"/>
                <w:sz w:val="24"/>
                <w:szCs w:val="24"/>
                <w:highlight w:val="none"/>
                <w:lang w:eastAsia="zh-CN"/>
              </w:rPr>
            </w:pPr>
            <w:bookmarkStart w:id="55" w:name="_Hlk344477914"/>
            <w:r>
              <w:rPr>
                <w:rFonts w:hint="eastAsia" w:ascii="仿宋" w:hAnsi="仿宋" w:eastAsia="仿宋" w:cs="仿宋"/>
                <w:color w:val="auto"/>
                <w:sz w:val="24"/>
                <w:szCs w:val="24"/>
                <w:highlight w:val="none"/>
                <w:lang w:eastAsia="zh-CN"/>
              </w:rPr>
              <w:t>广阳岛国际会议中心及配套酒店电梯系统年度维保服务采购（第二次）</w:t>
            </w:r>
          </w:p>
        </w:tc>
        <w:tc>
          <w:tcPr>
            <w:tcW w:w="849" w:type="pct"/>
            <w:tcBorders>
              <w:top w:val="single" w:color="auto" w:sz="4" w:space="0"/>
              <w:left w:val="single" w:color="auto" w:sz="4" w:space="0"/>
              <w:right w:val="single" w:color="auto" w:sz="4" w:space="0"/>
            </w:tcBorders>
            <w:shd w:val="clear" w:color="auto" w:fill="FFFFFF"/>
            <w:noWrap w:val="0"/>
            <w:vAlign w:val="center"/>
          </w:tcPr>
          <w:p w14:paraId="70FE03BC">
            <w:pPr>
              <w:keepNext w:val="0"/>
              <w:keepLines w:val="0"/>
              <w:widowControl/>
              <w:suppressLineNumbers w:val="0"/>
              <w:jc w:val="center"/>
              <w:textAlignment w:val="center"/>
              <w:rPr>
                <w:rFonts w:hint="default" w:ascii="微软雅黑" w:hAnsi="微软雅黑" w:eastAsia="微软雅黑" w:cs="微软雅黑"/>
                <w:i w:val="0"/>
                <w:iCs w:val="0"/>
                <w:color w:val="auto"/>
                <w:kern w:val="2"/>
                <w:sz w:val="20"/>
                <w:szCs w:val="20"/>
                <w:highlight w:val="none"/>
                <w:u w:val="none"/>
                <w:lang w:val="en-US" w:eastAsia="zh-CN" w:bidi="ar-SA"/>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191903.04 </w:t>
            </w:r>
          </w:p>
        </w:tc>
        <w:tc>
          <w:tcPr>
            <w:tcW w:w="626" w:type="pct"/>
            <w:tcBorders>
              <w:top w:val="single" w:color="auto" w:sz="4" w:space="0"/>
              <w:left w:val="single" w:color="auto" w:sz="4" w:space="0"/>
              <w:right w:val="single" w:color="auto" w:sz="4" w:space="0"/>
            </w:tcBorders>
            <w:noWrap w:val="0"/>
            <w:vAlign w:val="center"/>
          </w:tcPr>
          <w:p w14:paraId="0D57C14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3800.00</w:t>
            </w:r>
          </w:p>
        </w:tc>
        <w:tc>
          <w:tcPr>
            <w:tcW w:w="769" w:type="pct"/>
            <w:tcBorders>
              <w:top w:val="single" w:color="auto" w:sz="4" w:space="0"/>
              <w:left w:val="single" w:color="auto" w:sz="4" w:space="0"/>
              <w:right w:val="single" w:color="auto" w:sz="4" w:space="0"/>
            </w:tcBorders>
            <w:noWrap w:val="0"/>
            <w:vAlign w:val="center"/>
          </w:tcPr>
          <w:p w14:paraId="2478D3E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92" w:type="pct"/>
            <w:tcBorders>
              <w:top w:val="single" w:color="auto" w:sz="4" w:space="0"/>
              <w:left w:val="single" w:color="auto" w:sz="4" w:space="0"/>
              <w:right w:val="single" w:color="auto" w:sz="4" w:space="0"/>
            </w:tcBorders>
            <w:noWrap w:val="0"/>
            <w:vAlign w:val="center"/>
          </w:tcPr>
          <w:p w14:paraId="2089FA82">
            <w:pPr>
              <w:widowControl/>
              <w:jc w:val="center"/>
              <w:rPr>
                <w:rFonts w:hint="eastAsia" w:ascii="仿宋" w:hAnsi="仿宋" w:eastAsia="仿宋" w:cs="仿宋"/>
                <w:color w:val="auto"/>
                <w:kern w:val="0"/>
                <w:sz w:val="24"/>
                <w:szCs w:val="24"/>
                <w:highlight w:val="none"/>
              </w:rPr>
            </w:pPr>
          </w:p>
        </w:tc>
      </w:tr>
      <w:bookmarkEnd w:id="55"/>
    </w:tbl>
    <w:p w14:paraId="7A184A5F">
      <w:pPr>
        <w:pStyle w:val="3"/>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二、资金来源</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0B936E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自有资金</w:t>
      </w:r>
      <w:r>
        <w:rPr>
          <w:rFonts w:hint="eastAsia" w:ascii="仿宋" w:hAnsi="仿宋" w:eastAsia="仿宋" w:cs="仿宋"/>
          <w:color w:val="auto"/>
          <w:sz w:val="24"/>
          <w:szCs w:val="24"/>
          <w:highlight w:val="none"/>
        </w:rPr>
        <w:t>。</w:t>
      </w:r>
    </w:p>
    <w:p w14:paraId="0E93AD0F">
      <w:pPr>
        <w:pStyle w:val="3"/>
        <w:spacing w:line="400" w:lineRule="exact"/>
        <w:ind w:firstLine="482" w:firstLineChars="200"/>
        <w:rPr>
          <w:rFonts w:hint="eastAsia" w:ascii="仿宋" w:hAnsi="仿宋" w:eastAsia="仿宋" w:cs="仿宋"/>
          <w:b/>
          <w:color w:val="auto"/>
          <w:sz w:val="24"/>
          <w:szCs w:val="24"/>
          <w:highlight w:val="none"/>
        </w:rPr>
      </w:pPr>
      <w:bookmarkStart w:id="56" w:name="_Toc29468"/>
      <w:bookmarkStart w:id="57" w:name="_Toc12813"/>
      <w:bookmarkStart w:id="58" w:name="_Toc4504"/>
      <w:bookmarkStart w:id="59" w:name="_Toc106030374"/>
      <w:bookmarkStart w:id="60" w:name="_Toc28070"/>
      <w:bookmarkStart w:id="61" w:name="_Toc23472"/>
      <w:bookmarkStart w:id="62" w:name="_Toc20698"/>
      <w:bookmarkStart w:id="63" w:name="_Toc21210"/>
      <w:bookmarkStart w:id="64" w:name="_Toc13936"/>
      <w:bookmarkStart w:id="65" w:name="_Toc2256"/>
      <w:bookmarkStart w:id="66" w:name="_Toc7983"/>
      <w:bookmarkStart w:id="67" w:name="_Toc11835"/>
      <w:bookmarkStart w:id="68" w:name="_Toc75793498"/>
      <w:bookmarkStart w:id="69" w:name="_Toc682"/>
      <w:bookmarkStart w:id="70" w:name="_Toc21668"/>
      <w:bookmarkStart w:id="71" w:name="_Toc4356"/>
      <w:bookmarkStart w:id="72" w:name="_Toc20925"/>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资格要求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9CBA0F0">
      <w:pPr>
        <w:spacing w:line="400" w:lineRule="exact"/>
        <w:ind w:firstLine="480" w:firstLineChars="200"/>
        <w:rPr>
          <w:rFonts w:hint="eastAsia" w:ascii="仿宋" w:hAnsi="仿宋" w:eastAsia="仿宋" w:cs="仿宋"/>
          <w:color w:val="auto"/>
          <w:sz w:val="24"/>
          <w:szCs w:val="24"/>
          <w:highlight w:val="none"/>
        </w:rPr>
      </w:pPr>
      <w:bookmarkStart w:id="73" w:name="_Hlk160810619"/>
      <w:r>
        <w:rPr>
          <w:rFonts w:hint="eastAsia" w:ascii="仿宋" w:hAnsi="仿宋" w:eastAsia="仿宋" w:cs="仿宋"/>
          <w:color w:val="auto"/>
          <w:sz w:val="24"/>
          <w:szCs w:val="24"/>
          <w:highlight w:val="none"/>
        </w:rPr>
        <w:t>（一）供应商应当具备下列条件：</w:t>
      </w:r>
    </w:p>
    <w:p w14:paraId="2B3C854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FF0F30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2AC2F4A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A212DF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390986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2F8F86E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1955ADDA">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（二）本项目的特定资格要求：</w:t>
      </w:r>
      <w:bookmarkEnd w:id="20"/>
      <w:bookmarkEnd w:id="73"/>
      <w:bookmarkStart w:id="74" w:name="_Toc5414"/>
      <w:bookmarkStart w:id="75" w:name="_Toc15980"/>
      <w:bookmarkStart w:id="76" w:name="_Toc27442"/>
      <w:bookmarkStart w:id="77" w:name="_Toc9335"/>
      <w:bookmarkStart w:id="78" w:name="_Toc11987"/>
      <w:bookmarkStart w:id="79" w:name="_Toc13076"/>
      <w:bookmarkStart w:id="80" w:name="_Toc8255"/>
      <w:bookmarkStart w:id="81" w:name="_Toc11276"/>
      <w:bookmarkStart w:id="82" w:name="_Toc106030375"/>
      <w:bookmarkStart w:id="83" w:name="_Toc22464"/>
      <w:bookmarkStart w:id="84" w:name="_Toc75793499"/>
      <w:bookmarkStart w:id="85" w:name="_Toc28188"/>
      <w:bookmarkStart w:id="86" w:name="_Toc27732"/>
      <w:bookmarkStart w:id="87" w:name="_Toc1132"/>
      <w:bookmarkStart w:id="88" w:name="_Toc24618"/>
      <w:bookmarkStart w:id="89" w:name="_Toc12680"/>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需具备以下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资质之一</w:t>
      </w:r>
      <w:r>
        <w:rPr>
          <w:rFonts w:hint="eastAsia" w:ascii="仿宋" w:hAnsi="仿宋" w:eastAsia="仿宋" w:cs="仿宋"/>
          <w:color w:val="auto"/>
          <w:sz w:val="24"/>
          <w:szCs w:val="24"/>
          <w:highlight w:val="none"/>
          <w:lang w:eastAsia="zh-CN"/>
        </w:rPr>
        <w:t>：</w:t>
      </w:r>
    </w:p>
    <w:p w14:paraId="6DC11DB3">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具备有效的《中华人民共和国特种设备安装维修许可证》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电梯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A级资质</w:t>
      </w:r>
      <w:r>
        <w:rPr>
          <w:rFonts w:hint="eastAsia" w:ascii="仿宋" w:hAnsi="仿宋" w:eastAsia="仿宋" w:cs="仿宋"/>
          <w:color w:val="auto"/>
          <w:sz w:val="24"/>
          <w:szCs w:val="24"/>
          <w:highlight w:val="none"/>
          <w:lang w:eastAsia="zh-CN"/>
        </w:rPr>
        <w:t>；</w:t>
      </w:r>
    </w:p>
    <w:p w14:paraId="672385F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）具备《中华人民共和国特种设备生产许可证》，许可项目：电梯制造（含安装、修理、改造）或电梯安装（含修理），许可子项目包含：曳引驱动乘客电梯、曳引驱动载货电梯、自动扶梯与自动人行道</w:t>
      </w:r>
      <w:r>
        <w:rPr>
          <w:rFonts w:hint="eastAsia" w:ascii="仿宋" w:hAnsi="仿宋" w:eastAsia="仿宋" w:cs="仿宋"/>
          <w:color w:val="auto"/>
          <w:sz w:val="24"/>
          <w:szCs w:val="24"/>
          <w:highlight w:val="none"/>
        </w:rPr>
        <w:t>。</w:t>
      </w:r>
    </w:p>
    <w:p w14:paraId="153698F5">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2020年1月1日至今</w:t>
      </w:r>
      <w:r>
        <w:rPr>
          <w:rFonts w:hint="eastAsia" w:ascii="仿宋" w:hAnsi="仿宋" w:eastAsia="仿宋" w:cs="仿宋"/>
          <w:color w:val="auto"/>
          <w:sz w:val="24"/>
          <w:szCs w:val="24"/>
          <w:highlight w:val="none"/>
          <w:lang w:eastAsia="zh-CN"/>
        </w:rPr>
        <w:t>完成电梯的维保项目案例不少于3个(单个项目电梯数量&gt;15台)(需提供合同关键页)。</w:t>
      </w:r>
    </w:p>
    <w:p w14:paraId="5D83F2FD">
      <w:pPr>
        <w:pStyle w:val="3"/>
        <w:spacing w:line="400" w:lineRule="exact"/>
        <w:ind w:firstLine="482" w:firstLineChars="200"/>
        <w:rPr>
          <w:rFonts w:hint="eastAsia" w:ascii="仿宋" w:hAnsi="仿宋" w:eastAsia="仿宋" w:cs="仿宋"/>
          <w:b/>
          <w:color w:val="auto"/>
          <w:sz w:val="24"/>
          <w:szCs w:val="24"/>
          <w:highlight w:val="none"/>
        </w:rPr>
      </w:pPr>
      <w:bookmarkStart w:id="90" w:name="_Toc21463"/>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val="en-US" w:eastAsia="zh-CN"/>
        </w:rPr>
        <w:t>比选</w:t>
      </w:r>
      <w:r>
        <w:rPr>
          <w:rFonts w:hint="eastAsia" w:ascii="仿宋" w:hAnsi="仿宋" w:eastAsia="仿宋" w:cs="仿宋"/>
          <w:b/>
          <w:color w:val="auto"/>
          <w:sz w:val="24"/>
          <w:szCs w:val="24"/>
          <w:highlight w:val="none"/>
        </w:rPr>
        <w:t>有关说明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E3AD3A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（一）凡有意参加竞价的供应商，请于公告发布之日起至响应文件</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截止时间之前，在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）下载并查看本项目比选文件以及变更公告等竞争性比选前公布的所有项目资料，无论供应商下载查看与否，均视为已知晓所有比选实质性要求内容。</w:t>
      </w:r>
    </w:p>
    <w:p w14:paraId="4B1A3AF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Cs/>
          <w:color w:val="auto"/>
          <w:sz w:val="24"/>
          <w:szCs w:val="24"/>
          <w:highlight w:val="none"/>
          <w:u w:val="none"/>
        </w:rPr>
        <w:t>供应商须在</w:t>
      </w:r>
      <w:r>
        <w:rPr>
          <w:rFonts w:hint="eastAsia" w:ascii="仿宋" w:hAnsi="仿宋" w:eastAsia="仿宋" w:cs="仿宋"/>
          <w:color w:val="auto"/>
          <w:sz w:val="24"/>
          <w:highlight w:val="none"/>
          <w:u w:val="none"/>
          <w:lang w:eastAsia="zh-CN"/>
        </w:rPr>
        <w:t>行采家-电子竞采</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eastAsia="zh-CN"/>
        </w:rPr>
        <w:t>www.gec123.com/xe/</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val="en-US" w:eastAsia="zh-CN"/>
        </w:rPr>
        <w:t>平台</w:t>
      </w:r>
      <w:r>
        <w:rPr>
          <w:rFonts w:hint="eastAsia" w:ascii="仿宋" w:hAnsi="仿宋" w:eastAsia="仿宋" w:cs="仿宋"/>
          <w:bCs/>
          <w:color w:val="auto"/>
          <w:sz w:val="24"/>
          <w:szCs w:val="24"/>
          <w:highlight w:val="none"/>
          <w:u w:val="none"/>
        </w:rPr>
        <w:t>上获取</w:t>
      </w:r>
      <w:r>
        <w:rPr>
          <w:rFonts w:hint="eastAsia" w:ascii="仿宋" w:hAnsi="仿宋" w:eastAsia="仿宋" w:cs="仿宋"/>
          <w:bCs/>
          <w:color w:val="auto"/>
          <w:sz w:val="24"/>
          <w:szCs w:val="24"/>
          <w:highlight w:val="none"/>
          <w:u w:val="none"/>
          <w:lang w:val="en-US" w:eastAsia="zh-CN"/>
        </w:rPr>
        <w:t>竞争性比选文件</w:t>
      </w:r>
      <w:r>
        <w:rPr>
          <w:rFonts w:hint="eastAsia" w:ascii="仿宋" w:hAnsi="仿宋" w:eastAsia="仿宋" w:cs="仿宋"/>
          <w:bCs/>
          <w:color w:val="auto"/>
          <w:sz w:val="24"/>
          <w:szCs w:val="24"/>
          <w:highlight w:val="none"/>
          <w:u w:val="none"/>
        </w:rPr>
        <w:t>，并</w:t>
      </w:r>
      <w:r>
        <w:rPr>
          <w:rFonts w:hint="eastAsia" w:ascii="仿宋" w:hAnsi="仿宋" w:eastAsia="仿宋" w:cs="仿宋"/>
          <w:bCs/>
          <w:color w:val="auto"/>
          <w:sz w:val="24"/>
          <w:szCs w:val="24"/>
          <w:highlight w:val="none"/>
          <w:u w:val="none"/>
          <w:lang w:val="en-US" w:eastAsia="zh-CN"/>
        </w:rPr>
        <w:t>在规定的时间内</w:t>
      </w:r>
      <w:r>
        <w:rPr>
          <w:rFonts w:hint="eastAsia" w:ascii="仿宋" w:hAnsi="仿宋" w:eastAsia="仿宋" w:cs="仿宋"/>
          <w:bCs/>
          <w:color w:val="auto"/>
          <w:sz w:val="24"/>
          <w:szCs w:val="24"/>
          <w:highlight w:val="none"/>
          <w:u w:val="none"/>
        </w:rPr>
        <w:t>按要求</w:t>
      </w:r>
      <w:r>
        <w:rPr>
          <w:rFonts w:hint="eastAsia" w:ascii="仿宋" w:hAnsi="仿宋" w:eastAsia="仿宋" w:cs="仿宋"/>
          <w:bCs/>
          <w:color w:val="auto"/>
          <w:sz w:val="24"/>
          <w:szCs w:val="24"/>
          <w:highlight w:val="none"/>
          <w:u w:val="none"/>
          <w:lang w:val="en-US" w:eastAsia="zh-CN"/>
        </w:rPr>
        <w:t>报价和</w:t>
      </w:r>
      <w:r>
        <w:rPr>
          <w:rFonts w:hint="eastAsia" w:ascii="仿宋" w:hAnsi="仿宋" w:eastAsia="仿宋" w:cs="仿宋"/>
          <w:bCs/>
          <w:color w:val="auto"/>
          <w:sz w:val="24"/>
          <w:szCs w:val="24"/>
          <w:highlight w:val="none"/>
          <w:u w:val="none"/>
        </w:rPr>
        <w:t>上传响应文件，未按要求</w:t>
      </w:r>
      <w:r>
        <w:rPr>
          <w:rFonts w:hint="eastAsia" w:ascii="仿宋" w:hAnsi="仿宋" w:eastAsia="仿宋" w:cs="仿宋"/>
          <w:bCs/>
          <w:color w:val="auto"/>
          <w:sz w:val="24"/>
          <w:szCs w:val="24"/>
          <w:highlight w:val="none"/>
          <w:u w:val="none"/>
          <w:lang w:val="en-US" w:eastAsia="zh-CN"/>
        </w:rPr>
        <w:t>报价和</w:t>
      </w:r>
      <w:r>
        <w:rPr>
          <w:rFonts w:hint="eastAsia" w:ascii="仿宋" w:hAnsi="仿宋" w:eastAsia="仿宋" w:cs="仿宋"/>
          <w:bCs/>
          <w:color w:val="auto"/>
          <w:sz w:val="24"/>
          <w:szCs w:val="24"/>
          <w:highlight w:val="none"/>
          <w:u w:val="none"/>
        </w:rPr>
        <w:t>上传响应文件的</w:t>
      </w:r>
      <w:r>
        <w:rPr>
          <w:rFonts w:hint="eastAsia" w:ascii="仿宋" w:hAnsi="仿宋" w:eastAsia="仿宋" w:cs="仿宋"/>
          <w:bCs/>
          <w:color w:val="auto"/>
          <w:sz w:val="24"/>
          <w:szCs w:val="24"/>
          <w:highlight w:val="none"/>
          <w:u w:val="none"/>
          <w:lang w:val="en-US" w:eastAsia="zh-CN"/>
        </w:rPr>
        <w:t>视为</w:t>
      </w:r>
      <w:r>
        <w:rPr>
          <w:rFonts w:hint="eastAsia" w:ascii="仿宋" w:hAnsi="仿宋" w:eastAsia="仿宋" w:cs="仿宋"/>
          <w:bCs/>
          <w:color w:val="auto"/>
          <w:sz w:val="24"/>
          <w:szCs w:val="24"/>
          <w:highlight w:val="none"/>
          <w:u w:val="none"/>
        </w:rPr>
        <w:t>无效供应商</w:t>
      </w:r>
      <w:r>
        <w:rPr>
          <w:rFonts w:hint="eastAsia" w:ascii="仿宋" w:hAnsi="仿宋" w:eastAsia="仿宋" w:cs="仿宋"/>
          <w:color w:val="auto"/>
          <w:sz w:val="24"/>
          <w:highlight w:val="none"/>
          <w:u w:val="none"/>
        </w:rPr>
        <w:t>。</w:t>
      </w:r>
    </w:p>
    <w:p w14:paraId="052E75D7">
      <w:pPr>
        <w:spacing w:line="40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备注：1、供应商</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highlight w:val="none"/>
          <w:lang w:eastAsia="zh-CN"/>
        </w:rPr>
        <w:t>行采家-电子竞采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www.gec123.com/xe/</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平台上</w:t>
      </w:r>
      <w:r>
        <w:rPr>
          <w:rFonts w:hint="eastAsia" w:ascii="仿宋" w:hAnsi="仿宋" w:eastAsia="仿宋" w:cs="仿宋"/>
          <w:b/>
          <w:bCs/>
          <w:color w:val="auto"/>
          <w:sz w:val="24"/>
          <w:szCs w:val="24"/>
          <w:highlight w:val="none"/>
        </w:rPr>
        <w:t>须上传</w:t>
      </w:r>
      <w:r>
        <w:rPr>
          <w:rFonts w:hint="eastAsia" w:ascii="仿宋" w:hAnsi="仿宋" w:eastAsia="仿宋" w:cs="仿宋"/>
          <w:b/>
          <w:bCs/>
          <w:color w:val="auto"/>
          <w:sz w:val="24"/>
          <w:szCs w:val="24"/>
          <w:highlight w:val="none"/>
          <w:lang w:val="en-US" w:eastAsia="zh-CN"/>
        </w:rPr>
        <w:t>本项目的</w:t>
      </w:r>
      <w:r>
        <w:rPr>
          <w:rFonts w:hint="eastAsia" w:ascii="仿宋" w:hAnsi="仿宋" w:eastAsia="仿宋" w:cs="仿宋"/>
          <w:b/>
          <w:bCs/>
          <w:color w:val="auto"/>
          <w:sz w:val="24"/>
          <w:szCs w:val="24"/>
          <w:highlight w:val="none"/>
        </w:rPr>
        <w:t>响应文件一份。</w:t>
      </w:r>
      <w:r>
        <w:rPr>
          <w:rFonts w:hint="eastAsia" w:ascii="仿宋" w:hAnsi="仿宋" w:eastAsia="仿宋" w:cs="仿宋"/>
          <w:b/>
          <w:bCs/>
          <w:color w:val="auto"/>
          <w:sz w:val="24"/>
          <w:szCs w:val="24"/>
          <w:highlight w:val="none"/>
          <w:lang w:val="en-US" w:eastAsia="zh-CN"/>
        </w:rPr>
        <w:t>供应商在</w:t>
      </w:r>
      <w:r>
        <w:rPr>
          <w:rFonts w:hint="eastAsia" w:ascii="仿宋" w:hAnsi="仿宋" w:eastAsia="仿宋" w:cs="仿宋"/>
          <w:b/>
          <w:bCs/>
          <w:color w:val="auto"/>
          <w:sz w:val="24"/>
          <w:highlight w:val="none"/>
          <w:lang w:eastAsia="zh-CN"/>
        </w:rPr>
        <w:t>行采家-电子竞采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www.gec123.com/xe/</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平台上的报价必须与上传的响应文件中的报价一致，否则，按无效标处理。</w:t>
      </w:r>
    </w:p>
    <w:p w14:paraId="5E3C2BD7">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2、供应商</w:t>
      </w:r>
      <w:r>
        <w:rPr>
          <w:rFonts w:hint="eastAsia" w:ascii="仿宋" w:hAnsi="仿宋" w:eastAsia="仿宋" w:cs="仿宋"/>
          <w:b/>
          <w:bCs/>
          <w:color w:val="auto"/>
          <w:sz w:val="24"/>
          <w:szCs w:val="24"/>
          <w:highlight w:val="none"/>
          <w:lang w:val="en-US" w:eastAsia="zh-CN"/>
        </w:rPr>
        <w:t>的响应文件</w:t>
      </w:r>
      <w:r>
        <w:rPr>
          <w:rFonts w:hint="eastAsia" w:ascii="仿宋" w:hAnsi="仿宋" w:eastAsia="仿宋" w:cs="仿宋"/>
          <w:b/>
          <w:bCs/>
          <w:color w:val="auto"/>
          <w:sz w:val="24"/>
          <w:szCs w:val="24"/>
          <w:highlight w:val="none"/>
        </w:rPr>
        <w:t>应按照</w:t>
      </w:r>
      <w:r>
        <w:rPr>
          <w:rFonts w:hint="eastAsia" w:ascii="仿宋" w:hAnsi="仿宋" w:eastAsia="仿宋" w:cs="仿宋"/>
          <w:b/>
          <w:bCs/>
          <w:color w:val="auto"/>
          <w:sz w:val="24"/>
          <w:szCs w:val="24"/>
          <w:highlight w:val="none"/>
          <w:lang w:val="en-US" w:eastAsia="zh-CN"/>
        </w:rPr>
        <w:t>竞争性比选文件</w:t>
      </w:r>
      <w:r>
        <w:rPr>
          <w:rFonts w:hint="eastAsia" w:ascii="仿宋" w:hAnsi="仿宋" w:eastAsia="仿宋" w:cs="仿宋"/>
          <w:b/>
          <w:bCs/>
          <w:color w:val="auto"/>
          <w:sz w:val="24"/>
          <w:szCs w:val="24"/>
          <w:highlight w:val="none"/>
        </w:rPr>
        <w:t>要求制作，</w:t>
      </w:r>
      <w:r>
        <w:rPr>
          <w:rFonts w:hint="eastAsia" w:ascii="仿宋" w:hAnsi="仿宋" w:eastAsia="仿宋" w:cs="仿宋"/>
          <w:b/>
          <w:bCs/>
          <w:color w:val="auto"/>
          <w:sz w:val="24"/>
          <w:szCs w:val="24"/>
          <w:highlight w:val="none"/>
          <w:lang w:val="en-US" w:eastAsia="zh-CN"/>
        </w:rPr>
        <w:t>要求</w:t>
      </w:r>
      <w:r>
        <w:rPr>
          <w:rFonts w:hint="eastAsia" w:ascii="仿宋" w:hAnsi="仿宋" w:eastAsia="仿宋" w:cs="仿宋"/>
          <w:b/>
          <w:bCs/>
          <w:color w:val="auto"/>
          <w:sz w:val="24"/>
          <w:szCs w:val="24"/>
          <w:highlight w:val="none"/>
        </w:rPr>
        <w:t>签字、盖章的地方必须按规定签字、盖章，并扫描成PDF格式电子文档</w:t>
      </w:r>
      <w:r>
        <w:rPr>
          <w:rFonts w:hint="eastAsia" w:ascii="仿宋" w:hAnsi="仿宋" w:eastAsia="仿宋" w:cs="仿宋"/>
          <w:b/>
          <w:bCs/>
          <w:color w:val="auto"/>
          <w:sz w:val="24"/>
          <w:szCs w:val="24"/>
          <w:highlight w:val="none"/>
          <w:lang w:val="en-US" w:eastAsia="zh-CN"/>
        </w:rPr>
        <w:t>上传至</w:t>
      </w:r>
      <w:r>
        <w:rPr>
          <w:rFonts w:hint="eastAsia" w:ascii="仿宋" w:hAnsi="仿宋" w:eastAsia="仿宋" w:cs="仿宋"/>
          <w:b/>
          <w:bCs/>
          <w:color w:val="auto"/>
          <w:sz w:val="24"/>
          <w:highlight w:val="none"/>
          <w:lang w:eastAsia="zh-CN"/>
        </w:rPr>
        <w:t>行采家-电子竞采</w:t>
      </w:r>
      <w:r>
        <w:rPr>
          <w:rFonts w:hint="eastAsia" w:ascii="仿宋" w:hAnsi="仿宋" w:eastAsia="仿宋" w:cs="仿宋"/>
          <w:b/>
          <w:bCs/>
          <w:color w:val="auto"/>
          <w:sz w:val="24"/>
          <w:highlight w:val="none"/>
          <w:lang w:val="en-US" w:eastAsia="zh-CN"/>
        </w:rPr>
        <w:t>平台</w:t>
      </w:r>
      <w:r>
        <w:rPr>
          <w:rFonts w:hint="eastAsia" w:ascii="仿宋" w:hAnsi="仿宋" w:eastAsia="仿宋" w:cs="仿宋"/>
          <w:b/>
          <w:bCs/>
          <w:color w:val="auto"/>
          <w:sz w:val="24"/>
          <w:szCs w:val="24"/>
          <w:highlight w:val="none"/>
        </w:rPr>
        <w:t>，扫描件须清晰可辨，未按要求制作</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rPr>
        <w:t>文件</w:t>
      </w:r>
      <w:r>
        <w:rPr>
          <w:rFonts w:hint="eastAsia" w:ascii="仿宋" w:hAnsi="仿宋" w:eastAsia="仿宋" w:cs="仿宋"/>
          <w:b/>
          <w:bCs/>
          <w:color w:val="auto"/>
          <w:sz w:val="24"/>
          <w:szCs w:val="24"/>
          <w:highlight w:val="none"/>
          <w:lang w:val="en-US" w:eastAsia="zh-CN"/>
        </w:rPr>
        <w:t>按</w:t>
      </w:r>
      <w:r>
        <w:rPr>
          <w:rFonts w:hint="eastAsia" w:ascii="仿宋" w:hAnsi="仿宋" w:eastAsia="仿宋" w:cs="仿宋"/>
          <w:b/>
          <w:bCs/>
          <w:color w:val="auto"/>
          <w:sz w:val="24"/>
          <w:szCs w:val="24"/>
          <w:highlight w:val="none"/>
        </w:rPr>
        <w:t>无效标处理。</w:t>
      </w:r>
    </w:p>
    <w:p w14:paraId="48BD6E9B">
      <w:pPr>
        <w:spacing w:line="40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线下递交纸质版响应文件要求</w:t>
      </w:r>
    </w:p>
    <w:p w14:paraId="43E1E6EE">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各供应商参与本项目的比选，除应按要求在行采家-电子竞采（www.gec123.com/xe/）平台上传响应文件外，还应当线下递交响应文件纸质版一式</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份，其中正本一份，副本一份</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每套纸质响应文件须在封面清楚地标明“正本”、“副本”，副本应为正本的完整复印件，副本与正本不一致时以正本为准。</w:t>
      </w:r>
    </w:p>
    <w:p w14:paraId="474F1796">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2.采购人以线下递交的纸质版响应文件作为评审依据，</w:t>
      </w:r>
      <w:r>
        <w:rPr>
          <w:rFonts w:hint="eastAsia" w:ascii="仿宋" w:hAnsi="仿宋" w:eastAsia="仿宋" w:cs="仿宋"/>
          <w:b/>
          <w:bCs/>
          <w:color w:val="auto"/>
          <w:sz w:val="24"/>
          <w:highlight w:val="none"/>
        </w:rPr>
        <w:t>纸质版响应文件的总报价应与行采家-电子竞采平台上的总报价一致，否则，按无效标处理。</w:t>
      </w:r>
    </w:p>
    <w:p w14:paraId="5BB3E4DA">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纸质版响应文件递交地点：</w:t>
      </w:r>
      <w:r>
        <w:rPr>
          <w:rFonts w:hint="eastAsia" w:ascii="仿宋" w:hAnsi="仿宋" w:eastAsia="仿宋" w:cs="仿宋"/>
          <w:b/>
          <w:bCs/>
          <w:color w:val="auto"/>
          <w:sz w:val="24"/>
          <w:highlight w:val="none"/>
          <w:lang w:eastAsia="zh-CN"/>
        </w:rPr>
        <w:t>重庆多杰数字科技咨询服务有限公司</w:t>
      </w:r>
      <w:r>
        <w:rPr>
          <w:rFonts w:hint="eastAsia" w:ascii="仿宋" w:hAnsi="仿宋" w:eastAsia="仿宋" w:cs="仿宋"/>
          <w:b/>
          <w:bCs/>
          <w:color w:val="auto"/>
          <w:sz w:val="24"/>
          <w:highlight w:val="none"/>
        </w:rPr>
        <w:t>（详细地址为重庆市南岸区江峡路8号13-1幢1楼）一楼会议室</w:t>
      </w:r>
    </w:p>
    <w:p w14:paraId="73BA8901">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4.纸质版</w:t>
      </w:r>
      <w:r>
        <w:rPr>
          <w:rFonts w:hint="eastAsia" w:ascii="仿宋" w:hAnsi="仿宋" w:eastAsia="仿宋" w:cs="仿宋"/>
          <w:b/>
          <w:bCs/>
          <w:color w:val="auto"/>
          <w:sz w:val="24"/>
          <w:highlight w:val="none"/>
        </w:rPr>
        <w:t>响应文件递交开始时间：202</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年</w:t>
      </w:r>
      <w:bookmarkStart w:id="479" w:name="_GoBack"/>
      <w:bookmarkEnd w:id="479"/>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lang w:val="en-US" w:eastAsia="zh-CN"/>
        </w:rPr>
        <w:t>23</w:t>
      </w:r>
      <w:r>
        <w:rPr>
          <w:rFonts w:hint="eastAsia" w:ascii="仿宋" w:hAnsi="仿宋" w:eastAsia="仿宋" w:cs="仿宋"/>
          <w:b/>
          <w:bCs/>
          <w:color w:val="auto"/>
          <w:sz w:val="24"/>
          <w:highlight w:val="none"/>
          <w:u w:val="none"/>
        </w:rPr>
        <w:t>日</w:t>
      </w:r>
      <w:r>
        <w:rPr>
          <w:rFonts w:hint="eastAsia" w:ascii="仿宋" w:hAnsi="仿宋" w:eastAsia="仿宋" w:cs="仿宋"/>
          <w:b/>
          <w:bCs/>
          <w:color w:val="auto"/>
          <w:sz w:val="24"/>
          <w:highlight w:val="none"/>
          <w:u w:val="single"/>
          <w:lang w:val="en-US" w:eastAsia="zh-CN"/>
        </w:rPr>
        <w:t>14</w:t>
      </w:r>
      <w:r>
        <w:rPr>
          <w:rFonts w:hint="eastAsia" w:ascii="仿宋" w:hAnsi="仿宋" w:eastAsia="仿宋" w:cs="仿宋"/>
          <w:b/>
          <w:bCs/>
          <w:color w:val="auto"/>
          <w:sz w:val="24"/>
          <w:highlight w:val="none"/>
          <w:u w:val="none"/>
        </w:rPr>
        <w:t>时</w:t>
      </w:r>
      <w:r>
        <w:rPr>
          <w:rFonts w:hint="eastAsia" w:ascii="仿宋" w:hAnsi="仿宋" w:eastAsia="仿宋" w:cs="仿宋"/>
          <w:b/>
          <w:bCs/>
          <w:color w:val="auto"/>
          <w:sz w:val="24"/>
          <w:highlight w:val="none"/>
          <w:u w:val="single"/>
          <w:lang w:val="en-US" w:eastAsia="zh-CN"/>
        </w:rPr>
        <w:t>00</w:t>
      </w:r>
      <w:r>
        <w:rPr>
          <w:rFonts w:hint="eastAsia" w:ascii="仿宋" w:hAnsi="仿宋" w:eastAsia="仿宋" w:cs="仿宋"/>
          <w:b/>
          <w:bCs/>
          <w:color w:val="auto"/>
          <w:sz w:val="24"/>
          <w:highlight w:val="none"/>
        </w:rPr>
        <w:t>分（北京时间），递交截止时间：</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lang w:val="en-US" w:eastAsia="zh-CN"/>
        </w:rPr>
        <w:t>23</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lang w:val="en-US" w:eastAsia="zh-CN"/>
        </w:rPr>
        <w:t>14</w:t>
      </w:r>
      <w:r>
        <w:rPr>
          <w:rFonts w:hint="eastAsia" w:ascii="仿宋" w:hAnsi="仿宋" w:eastAsia="仿宋" w:cs="仿宋"/>
          <w:b/>
          <w:bCs/>
          <w:color w:val="auto"/>
          <w:sz w:val="24"/>
          <w:highlight w:val="none"/>
        </w:rPr>
        <w:t>时</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rPr>
        <w:t>分（北京时间）。未在规定的时间内按要求递交纸质版响应文件的，按无效标处理。</w:t>
      </w:r>
    </w:p>
    <w:p w14:paraId="7FD5F06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行采家-电子竞采</w:t>
      </w:r>
      <w:r>
        <w:rPr>
          <w:rFonts w:hint="eastAsia" w:ascii="仿宋" w:hAnsi="仿宋" w:eastAsia="仿宋" w:cs="仿宋"/>
          <w:color w:val="auto"/>
          <w:sz w:val="24"/>
          <w:highlight w:val="none"/>
          <w:lang w:val="en-US" w:eastAsia="zh-CN"/>
        </w:rPr>
        <w:t>平台的</w:t>
      </w:r>
      <w:r>
        <w:rPr>
          <w:rFonts w:hint="eastAsia" w:ascii="仿宋" w:hAnsi="仿宋" w:eastAsia="仿宋" w:cs="仿宋"/>
          <w:color w:val="auto"/>
          <w:sz w:val="24"/>
          <w:highlight w:val="none"/>
        </w:rPr>
        <w:t>响应文件</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开始时间</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rPr>
        <w:t>行采家-电子竞采（www.gec123.com/xe/）平台上项目</w:t>
      </w:r>
      <w:r>
        <w:rPr>
          <w:rFonts w:hint="eastAsia" w:ascii="仿宋" w:hAnsi="仿宋" w:eastAsia="仿宋" w:cs="仿宋"/>
          <w:color w:val="auto"/>
          <w:sz w:val="24"/>
          <w:highlight w:val="none"/>
          <w:lang w:val="en-US" w:eastAsia="zh-CN"/>
        </w:rPr>
        <w:t>公告上规定的时间为准</w:t>
      </w:r>
      <w:r>
        <w:rPr>
          <w:rFonts w:hint="eastAsia" w:ascii="仿宋" w:hAnsi="仿宋" w:eastAsia="仿宋" w:cs="仿宋"/>
          <w:color w:val="auto"/>
          <w:sz w:val="24"/>
          <w:highlight w:val="none"/>
        </w:rPr>
        <w:t>。</w:t>
      </w:r>
    </w:p>
    <w:p w14:paraId="449BA97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）开标时间：同响应</w:t>
      </w:r>
      <w:r>
        <w:rPr>
          <w:rFonts w:hint="eastAsia" w:ascii="仿宋" w:hAnsi="仿宋" w:eastAsia="仿宋" w:cs="仿宋"/>
          <w:color w:val="auto"/>
          <w:sz w:val="24"/>
          <w:highlight w:val="none"/>
          <w:lang w:val="en-US" w:eastAsia="zh-CN"/>
        </w:rPr>
        <w:t>文件上传</w:t>
      </w:r>
      <w:r>
        <w:rPr>
          <w:rFonts w:hint="eastAsia" w:ascii="仿宋" w:hAnsi="仿宋" w:eastAsia="仿宋" w:cs="仿宋"/>
          <w:color w:val="auto"/>
          <w:sz w:val="24"/>
          <w:highlight w:val="none"/>
        </w:rPr>
        <w:t>截止时间。</w:t>
      </w:r>
    </w:p>
    <w:p w14:paraId="64B2EC0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）无论竞标结果如何，供应商参与本项目的所有费用均由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自行承担。</w:t>
      </w:r>
    </w:p>
    <w:p w14:paraId="7A0F4DF9">
      <w:pPr>
        <w:keepNext/>
        <w:keepLines/>
        <w:spacing w:line="400" w:lineRule="exact"/>
        <w:outlineLvl w:val="0"/>
        <w:rPr>
          <w:rFonts w:hint="eastAsia" w:ascii="仿宋" w:hAnsi="仿宋" w:eastAsia="仿宋" w:cs="仿宋"/>
          <w:b/>
          <w:color w:val="auto"/>
          <w:sz w:val="24"/>
          <w:highlight w:val="none"/>
        </w:rPr>
      </w:pPr>
      <w:bookmarkStart w:id="91" w:name="_Toc12919"/>
      <w:bookmarkStart w:id="92" w:name="_Toc21299"/>
      <w:r>
        <w:rPr>
          <w:rFonts w:hint="eastAsia" w:ascii="仿宋" w:hAnsi="仿宋" w:eastAsia="仿宋" w:cs="仿宋"/>
          <w:b/>
          <w:color w:val="auto"/>
          <w:sz w:val="24"/>
          <w:highlight w:val="none"/>
        </w:rPr>
        <w:t>五、比选保证金</w:t>
      </w:r>
      <w:bookmarkEnd w:id="91"/>
      <w:bookmarkEnd w:id="92"/>
    </w:p>
    <w:p w14:paraId="060925D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1.供应商须按本项目规定的保证金金额缴纳比选保证金（保证金金额详见本篇“一、比选内容”），由供应商从其单位账户将保证金汇至以下账户，保证金的到账截止时间为响应文件</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截止时间前。</w:t>
      </w:r>
    </w:p>
    <w:p w14:paraId="738487D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2.保证金递交账户</w:t>
      </w:r>
    </w:p>
    <w:p w14:paraId="3303A95A">
      <w:pPr>
        <w:spacing w:line="40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户名：</w:t>
      </w:r>
      <w:r>
        <w:rPr>
          <w:rFonts w:hint="eastAsia" w:ascii="仿宋" w:hAnsi="仿宋" w:eastAsia="仿宋" w:cs="仿宋"/>
          <w:b/>
          <w:bCs/>
          <w:color w:val="auto"/>
          <w:sz w:val="24"/>
          <w:highlight w:val="none"/>
          <w:lang w:eastAsia="zh-CN"/>
        </w:rPr>
        <w:t>重庆多杰数字科技咨询服务有限公司</w:t>
      </w:r>
    </w:p>
    <w:p w14:paraId="037ED149">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账号：123916900610001</w:t>
      </w:r>
    </w:p>
    <w:p w14:paraId="56B6114E">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开户行：招商银行重庆分行营业部</w:t>
      </w:r>
    </w:p>
    <w:p w14:paraId="289F298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3.各供应商在银行转账（电汇）时，须充分考虑银行转账（电汇）的时间差风险，如同城转账、异地转账或汇款、跨行转账或电汇的时间要求。</w:t>
      </w:r>
    </w:p>
    <w:p w14:paraId="47BDB18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4.各供应商在递交保证金时，到款账户为上述指定的保证金账户，来款账户必须为供应商单位账户。</w:t>
      </w:r>
    </w:p>
    <w:p w14:paraId="3BB6120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（二）保证金退还方式</w:t>
      </w:r>
    </w:p>
    <w:p w14:paraId="7236CC6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1.未成交供应商的保证金，在中选通知书发放后，由采购代理机构在五个工作日内按来款渠道直接退还</w:t>
      </w:r>
      <w:r>
        <w:rPr>
          <w:rFonts w:hint="eastAsia" w:ascii="仿宋" w:hAnsi="仿宋" w:eastAsia="仿宋" w:cs="仿宋"/>
          <w:color w:val="auto"/>
          <w:sz w:val="24"/>
          <w:szCs w:val="24"/>
          <w:highlight w:val="none"/>
        </w:rPr>
        <w:t>保证金及银行同期活期存款利息</w:t>
      </w:r>
      <w:r>
        <w:rPr>
          <w:rFonts w:hint="eastAsia" w:ascii="仿宋" w:hAnsi="仿宋" w:eastAsia="仿宋" w:cs="仿宋"/>
          <w:color w:val="auto"/>
          <w:sz w:val="24"/>
          <w:highlight w:val="none"/>
        </w:rPr>
        <w:t>。</w:t>
      </w:r>
    </w:p>
    <w:p w14:paraId="4F1DEBF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2.成交供应商的保证金，在成交供应商与采购人签订合同后，由采购代理机构在五个工作日内按资金来款渠道直接退还</w:t>
      </w:r>
      <w:r>
        <w:rPr>
          <w:rFonts w:hint="eastAsia" w:ascii="仿宋" w:hAnsi="仿宋" w:eastAsia="仿宋" w:cs="仿宋"/>
          <w:color w:val="auto"/>
          <w:sz w:val="24"/>
          <w:szCs w:val="24"/>
          <w:highlight w:val="none"/>
        </w:rPr>
        <w:t>保证金及银行同期活期存款利息</w:t>
      </w:r>
      <w:r>
        <w:rPr>
          <w:rFonts w:hint="eastAsia" w:ascii="仿宋" w:hAnsi="仿宋" w:eastAsia="仿宋" w:cs="仿宋"/>
          <w:color w:val="auto"/>
          <w:sz w:val="24"/>
          <w:highlight w:val="none"/>
          <w:lang w:eastAsia="zh-CN"/>
        </w:rPr>
        <w:t>。</w:t>
      </w:r>
    </w:p>
    <w:p w14:paraId="4D1A081A">
      <w:pPr>
        <w:pStyle w:val="3"/>
        <w:spacing w:line="400" w:lineRule="exact"/>
        <w:ind w:firstLine="482" w:firstLineChars="200"/>
        <w:rPr>
          <w:rFonts w:hint="eastAsia" w:ascii="仿宋" w:hAnsi="仿宋" w:eastAsia="仿宋" w:cs="仿宋"/>
          <w:b/>
          <w:color w:val="auto"/>
          <w:sz w:val="24"/>
          <w:szCs w:val="24"/>
          <w:highlight w:val="none"/>
        </w:rPr>
      </w:pPr>
      <w:bookmarkStart w:id="93" w:name="_Toc24588"/>
      <w:bookmarkStart w:id="94" w:name="_Toc106030377"/>
      <w:bookmarkStart w:id="95" w:name="_Toc12760"/>
      <w:bookmarkStart w:id="96" w:name="_Toc29945"/>
      <w:bookmarkStart w:id="97" w:name="_Toc8081"/>
      <w:bookmarkStart w:id="98" w:name="_Toc24689"/>
      <w:bookmarkStart w:id="99" w:name="_Toc21524"/>
      <w:bookmarkStart w:id="100" w:name="_Toc18802"/>
      <w:bookmarkStart w:id="101" w:name="_Toc5839"/>
      <w:bookmarkStart w:id="102" w:name="_Toc3188"/>
      <w:bookmarkStart w:id="103" w:name="_Toc16198"/>
      <w:bookmarkStart w:id="104" w:name="_Toc441"/>
      <w:bookmarkStart w:id="105" w:name="_Toc75793501"/>
      <w:bookmarkStart w:id="106" w:name="_Toc28799"/>
      <w:bookmarkStart w:id="107" w:name="_Toc29744"/>
      <w:bookmarkStart w:id="108" w:name="_Toc9257"/>
      <w:bookmarkStart w:id="109" w:name="_Toc23293"/>
      <w:r>
        <w:rPr>
          <w:rFonts w:hint="eastAsia" w:ascii="仿宋" w:hAnsi="仿宋" w:eastAsia="仿宋" w:cs="仿宋"/>
          <w:b/>
          <w:color w:val="auto"/>
          <w:sz w:val="24"/>
          <w:szCs w:val="24"/>
          <w:highlight w:val="none"/>
        </w:rPr>
        <w:t>六、</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Start w:id="110" w:name="_Toc30916"/>
      <w:bookmarkStart w:id="111" w:name="_Toc106030378"/>
      <w:bookmarkStart w:id="112" w:name="_Toc10747"/>
      <w:bookmarkStart w:id="113" w:name="_Toc21799"/>
      <w:bookmarkStart w:id="114" w:name="_Toc19755"/>
      <w:bookmarkStart w:id="115" w:name="_Toc16322"/>
      <w:bookmarkStart w:id="116" w:name="_Toc13460"/>
      <w:bookmarkStart w:id="117" w:name="_Toc1373"/>
      <w:bookmarkStart w:id="118" w:name="_Toc22428"/>
      <w:bookmarkStart w:id="119" w:name="_Toc3810"/>
      <w:bookmarkStart w:id="120" w:name="_Toc29169"/>
      <w:bookmarkStart w:id="121" w:name="_Toc18921"/>
      <w:bookmarkStart w:id="122" w:name="_Toc4869"/>
      <w:bookmarkStart w:id="123" w:name="_Toc9931"/>
      <w:bookmarkStart w:id="124" w:name="_Toc75793502"/>
      <w:bookmarkStart w:id="125" w:name="_Toc13146"/>
      <w:r>
        <w:rPr>
          <w:rFonts w:hint="eastAsia" w:ascii="仿宋" w:hAnsi="仿宋" w:eastAsia="仿宋" w:cs="仿宋"/>
          <w:b/>
          <w:color w:val="auto"/>
          <w:sz w:val="24"/>
          <w:szCs w:val="24"/>
          <w:highlight w:val="none"/>
          <w:lang w:val="en-US" w:eastAsia="zh-CN"/>
        </w:rPr>
        <w:t>比选</w:t>
      </w:r>
      <w:r>
        <w:rPr>
          <w:rFonts w:hint="eastAsia" w:ascii="仿宋" w:hAnsi="仿宋" w:eastAsia="仿宋" w:cs="仿宋"/>
          <w:b/>
          <w:color w:val="auto"/>
          <w:sz w:val="24"/>
          <w:szCs w:val="24"/>
          <w:highlight w:val="none"/>
        </w:rPr>
        <w:t>有关规定</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5D838E1">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（一）单位负责人为同一人或者存在直接控股、管理关系的不同供应商，不得参加同一合同项（分包）下的采购活动，否则均为无效响应。</w:t>
      </w:r>
    </w:p>
    <w:p w14:paraId="105C737E">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（二）为采购项目提供整体设计、规范编制或者项目管理、监理、检测等服务的供应商，不得再参加该采购项目的其他采购活动。</w:t>
      </w:r>
    </w:p>
    <w:p w14:paraId="1A03A1E5">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（三）本项目的澄清文件（如果有）一律在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）上发布，请各供应商注意下载；无论供应商下载与否，均视同供应商已知晓本项目澄清文件（如果有）的内容。</w:t>
      </w:r>
    </w:p>
    <w:p w14:paraId="67D14F79">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（四）超过响应文件截止时间递交的响应文件，恕不接收。</w:t>
      </w:r>
    </w:p>
    <w:p w14:paraId="61D0B530">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（五）比选费用：无论比选结果如何，供应商参与本项目比选的所有费用均应由供应商自行承担。</w:t>
      </w:r>
    </w:p>
    <w:p w14:paraId="70631384">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r>
        <w:rPr>
          <w:rFonts w:hint="eastAsia" w:ascii="仿宋" w:hAnsi="仿宋" w:eastAsia="仿宋" w:cs="仿宋"/>
          <w:b/>
          <w:color w:val="auto"/>
          <w:sz w:val="24"/>
          <w:highlight w:val="none"/>
        </w:rPr>
        <w:t>本项目不接受联合体参与竞选。</w:t>
      </w:r>
    </w:p>
    <w:p w14:paraId="348144E7">
      <w:pPr>
        <w:pStyle w:val="3"/>
        <w:spacing w:line="400" w:lineRule="exact"/>
        <w:ind w:firstLine="482" w:firstLineChars="200"/>
        <w:rPr>
          <w:rFonts w:hint="eastAsia" w:ascii="仿宋" w:hAnsi="仿宋" w:eastAsia="仿宋" w:cs="仿宋"/>
          <w:b/>
          <w:color w:val="auto"/>
          <w:sz w:val="24"/>
          <w:szCs w:val="24"/>
          <w:highlight w:val="none"/>
        </w:rPr>
      </w:pPr>
      <w:bookmarkStart w:id="126" w:name="_Toc29351"/>
      <w:bookmarkStart w:id="127" w:name="_Toc30488"/>
      <w:bookmarkStart w:id="128" w:name="_Toc20452"/>
      <w:bookmarkStart w:id="129" w:name="_Toc11494"/>
      <w:bookmarkStart w:id="130" w:name="_Toc19676"/>
      <w:bookmarkStart w:id="131" w:name="_Toc24043"/>
      <w:bookmarkStart w:id="132" w:name="_Toc15522"/>
      <w:bookmarkStart w:id="133" w:name="_Toc106030379"/>
      <w:bookmarkStart w:id="134" w:name="_Toc67"/>
      <w:bookmarkStart w:id="135" w:name="_Toc28772"/>
      <w:bookmarkStart w:id="136" w:name="_Toc75793503"/>
      <w:bookmarkStart w:id="137" w:name="_Toc26782"/>
      <w:bookmarkStart w:id="138" w:name="_Toc9632"/>
      <w:bookmarkStart w:id="139" w:name="_Toc13885"/>
      <w:bookmarkStart w:id="140" w:name="_Toc24181"/>
      <w:bookmarkStart w:id="141" w:name="_Toc12717"/>
      <w:bookmarkStart w:id="142" w:name="_Toc5228"/>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、联系方式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6542A59">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（一）采购人：重庆广阳岛绿色发展有限责任公司酒店管理分公司  </w:t>
      </w:r>
    </w:p>
    <w:p w14:paraId="7C4FEF91">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邓</w:t>
      </w:r>
      <w:r>
        <w:rPr>
          <w:rFonts w:hint="eastAsia" w:ascii="仿宋" w:hAnsi="仿宋" w:eastAsia="仿宋" w:cs="仿宋"/>
          <w:color w:val="auto"/>
          <w:sz w:val="24"/>
          <w:szCs w:val="24"/>
          <w:highlight w:val="none"/>
          <w:lang w:eastAsia="zh-CN"/>
        </w:rPr>
        <w:t>老师</w:t>
      </w:r>
    </w:p>
    <w:p w14:paraId="1332C9DB">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话：023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88068991</w:t>
      </w:r>
      <w:r>
        <w:rPr>
          <w:rFonts w:hint="eastAsia" w:ascii="仿宋" w:hAnsi="仿宋" w:eastAsia="仿宋" w:cs="仿宋"/>
          <w:color w:val="auto"/>
          <w:sz w:val="24"/>
          <w:szCs w:val="24"/>
          <w:highlight w:val="none"/>
          <w:lang w:val="en-US" w:eastAsia="zh-CN"/>
        </w:rPr>
        <w:t>（优先拨打座机号码）/15825954927</w:t>
      </w:r>
    </w:p>
    <w:p w14:paraId="3DFF7A0C">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地  址：重庆市南岸区广阳岛内 </w:t>
      </w:r>
    </w:p>
    <w:p w14:paraId="061447F7">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（二）采购代理机构：重庆多杰数字科技咨询服务有限公司</w:t>
      </w:r>
    </w:p>
    <w:p w14:paraId="027EC579">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李</w:t>
      </w:r>
      <w:r>
        <w:rPr>
          <w:rFonts w:hint="eastAsia" w:ascii="仿宋" w:hAnsi="仿宋" w:eastAsia="仿宋" w:cs="仿宋"/>
          <w:color w:val="auto"/>
          <w:sz w:val="24"/>
          <w:szCs w:val="24"/>
          <w:highlight w:val="none"/>
          <w:lang w:eastAsia="zh-CN"/>
        </w:rPr>
        <w:t xml:space="preserve">老师  </w:t>
      </w:r>
    </w:p>
    <w:p w14:paraId="31B997E3">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话：023-62973303（</w:t>
      </w:r>
      <w:r>
        <w:rPr>
          <w:rFonts w:hint="eastAsia" w:ascii="仿宋" w:hAnsi="仿宋" w:eastAsia="仿宋" w:cs="仿宋"/>
          <w:color w:val="auto"/>
          <w:sz w:val="24"/>
          <w:szCs w:val="24"/>
          <w:highlight w:val="none"/>
          <w:lang w:val="en-US" w:eastAsia="zh-CN"/>
        </w:rPr>
        <w:t>转分机号8004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/18623379562</w:t>
      </w:r>
    </w:p>
    <w:p w14:paraId="31968F67">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地  址：重庆市南岸区江峡路8号13-1幢1楼 </w:t>
      </w:r>
    </w:p>
    <w:p w14:paraId="5BA25B17">
      <w:pPr>
        <w:pStyle w:val="2"/>
        <w:spacing w:before="0" w:beforeLines="0" w:after="0" w:afterLines="0" w:line="360" w:lineRule="auto"/>
        <w:rPr>
          <w:rFonts w:hint="eastAsia" w:ascii="仿宋" w:hAnsi="仿宋" w:eastAsia="仿宋" w:cs="仿宋"/>
          <w:b/>
          <w:color w:val="auto"/>
          <w:highlight w:val="none"/>
          <w:lang w:eastAsia="zh-CN"/>
        </w:rPr>
      </w:pPr>
      <w:r>
        <w:rPr>
          <w:rFonts w:hint="eastAsia" w:ascii="仿宋" w:hAnsi="仿宋" w:eastAsia="仿宋" w:cs="仿宋"/>
          <w:color w:val="auto"/>
          <w:highlight w:val="none"/>
        </w:rPr>
        <w:br w:type="page"/>
      </w:r>
      <w:bookmarkStart w:id="143" w:name="_Toc725"/>
      <w:bookmarkStart w:id="144" w:name="_Toc8649"/>
      <w:bookmarkStart w:id="145" w:name="_Toc1625"/>
      <w:bookmarkStart w:id="146" w:name="_Toc106030380"/>
      <w:bookmarkStart w:id="147" w:name="_Toc12959"/>
      <w:bookmarkStart w:id="148" w:name="_Toc25639"/>
      <w:bookmarkStart w:id="149" w:name="_Toc11017"/>
      <w:bookmarkStart w:id="150" w:name="_Toc19886"/>
      <w:bookmarkStart w:id="151" w:name="_Toc5461"/>
      <w:bookmarkStart w:id="152" w:name="_Toc26176"/>
      <w:bookmarkStart w:id="153" w:name="_Toc23143"/>
      <w:bookmarkStart w:id="154" w:name="_Toc2070"/>
      <w:bookmarkStart w:id="155" w:name="_Toc75793504"/>
      <w:bookmarkStart w:id="156" w:name="_Toc32686"/>
      <w:bookmarkStart w:id="157" w:name="_Toc2422"/>
      <w:bookmarkStart w:id="158" w:name="_Toc1492"/>
      <w:bookmarkStart w:id="159" w:name="_Toc10419"/>
      <w:r>
        <w:rPr>
          <w:rFonts w:hint="eastAsia" w:ascii="仿宋" w:hAnsi="仿宋" w:eastAsia="仿宋" w:cs="仿宋"/>
          <w:b/>
          <w:color w:val="auto"/>
          <w:highlight w:val="none"/>
        </w:rPr>
        <w:t xml:space="preserve">第二篇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cs="仿宋"/>
          <w:b/>
          <w:color w:val="auto"/>
          <w:highlight w:val="none"/>
          <w:lang w:eastAsia="zh-CN"/>
        </w:rPr>
        <w:t>项目服务需求</w:t>
      </w:r>
      <w:bookmarkEnd w:id="159"/>
    </w:p>
    <w:p w14:paraId="056DB799">
      <w:pPr>
        <w:keepNext/>
        <w:keepLines/>
        <w:numPr>
          <w:ilvl w:val="0"/>
          <w:numId w:val="16"/>
        </w:numPr>
        <w:spacing w:line="360" w:lineRule="auto"/>
        <w:outlineLvl w:val="0"/>
        <w:rPr>
          <w:rFonts w:hint="eastAsia" w:ascii="仿宋" w:hAnsi="仿宋" w:eastAsia="仿宋" w:cs="仿宋"/>
          <w:b/>
          <w:color w:val="auto"/>
          <w:sz w:val="24"/>
          <w:highlight w:val="none"/>
        </w:rPr>
      </w:pPr>
      <w:bookmarkStart w:id="160" w:name="_Toc12237"/>
      <w:bookmarkStart w:id="161" w:name="_Toc31985"/>
      <w:bookmarkStart w:id="162" w:name="_Toc2403"/>
      <w:bookmarkStart w:id="163" w:name="_Hlk161040850"/>
      <w:bookmarkStart w:id="164" w:name="_Toc6552"/>
      <w:bookmarkStart w:id="165" w:name="_Toc10232"/>
      <w:bookmarkStart w:id="166" w:name="_Toc19616"/>
      <w:bookmarkStart w:id="167" w:name="_Toc19729"/>
      <w:bookmarkStart w:id="168" w:name="_Toc29560"/>
      <w:bookmarkStart w:id="169" w:name="_Toc429584806"/>
      <w:bookmarkStart w:id="170" w:name="_Toc31214"/>
      <w:bookmarkStart w:id="171" w:name="_Toc11994"/>
      <w:bookmarkStart w:id="172" w:name="_Toc106030383"/>
      <w:bookmarkStart w:id="173" w:name="_Toc22886"/>
      <w:bookmarkStart w:id="174" w:name="_Toc27855"/>
      <w:bookmarkStart w:id="175" w:name="_Toc18180"/>
      <w:bookmarkStart w:id="176" w:name="_Toc429584853"/>
      <w:bookmarkStart w:id="177" w:name="_Toc6886"/>
      <w:bookmarkStart w:id="178" w:name="_Toc17980"/>
      <w:bookmarkStart w:id="179" w:name="_Toc32523"/>
      <w:bookmarkStart w:id="180" w:name="_Toc75793507"/>
      <w:bookmarkStart w:id="181" w:name="_Toc11656"/>
      <w:bookmarkStart w:id="182" w:name="_Hlk161040617"/>
      <w:r>
        <w:rPr>
          <w:rFonts w:hint="eastAsia" w:ascii="仿宋" w:hAnsi="仿宋" w:eastAsia="仿宋" w:cs="仿宋"/>
          <w:b/>
          <w:color w:val="auto"/>
          <w:sz w:val="24"/>
          <w:highlight w:val="none"/>
          <w:lang w:val="en-US" w:eastAsia="zh-CN"/>
        </w:rPr>
        <w:t>项目</w:t>
      </w:r>
      <w:r>
        <w:rPr>
          <w:rFonts w:hint="eastAsia" w:ascii="仿宋" w:hAnsi="仿宋" w:eastAsia="仿宋" w:cs="仿宋"/>
          <w:b/>
          <w:color w:val="auto"/>
          <w:sz w:val="24"/>
          <w:highlight w:val="none"/>
        </w:rPr>
        <w:t>概况</w:t>
      </w:r>
      <w:bookmarkEnd w:id="160"/>
      <w:bookmarkEnd w:id="161"/>
      <w:bookmarkEnd w:id="162"/>
    </w:p>
    <w:p w14:paraId="39E11065">
      <w:pPr>
        <w:pStyle w:val="288"/>
        <w:spacing w:line="360" w:lineRule="auto"/>
        <w:ind w:firstLine="480" w:firstLineChars="200"/>
        <w:jc w:val="both"/>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lang w:eastAsia="zh-CN"/>
        </w:rPr>
        <w:t>（</w:t>
      </w:r>
      <w:r>
        <w:rPr>
          <w:rFonts w:hint="eastAsia" w:ascii="仿宋" w:hAnsi="仿宋" w:eastAsia="仿宋" w:cs="仿宋"/>
          <w:color w:val="auto"/>
          <w:kern w:val="2"/>
          <w:szCs w:val="24"/>
          <w:highlight w:val="none"/>
          <w:lang w:val="en-US" w:eastAsia="zh-CN"/>
        </w:rPr>
        <w:t>一</w:t>
      </w:r>
      <w:r>
        <w:rPr>
          <w:rFonts w:hint="eastAsia" w:ascii="仿宋" w:hAnsi="仿宋" w:eastAsia="仿宋" w:cs="仿宋"/>
          <w:color w:val="auto"/>
          <w:kern w:val="2"/>
          <w:szCs w:val="24"/>
          <w:highlight w:val="none"/>
          <w:lang w:eastAsia="zh-CN"/>
        </w:rPr>
        <w:t>）</w:t>
      </w:r>
      <w:r>
        <w:rPr>
          <w:rFonts w:hint="eastAsia" w:ascii="仿宋" w:hAnsi="仿宋" w:eastAsia="仿宋" w:cs="仿宋"/>
          <w:color w:val="auto"/>
          <w:kern w:val="2"/>
          <w:szCs w:val="24"/>
          <w:highlight w:val="none"/>
        </w:rPr>
        <w:t>项目名称：</w:t>
      </w:r>
      <w:r>
        <w:rPr>
          <w:rFonts w:hint="eastAsia" w:ascii="仿宋" w:hAnsi="仿宋" w:eastAsia="仿宋" w:cs="仿宋"/>
          <w:color w:val="auto"/>
          <w:sz w:val="24"/>
          <w:szCs w:val="24"/>
          <w:highlight w:val="none"/>
          <w:lang w:eastAsia="zh-CN"/>
        </w:rPr>
        <w:t>广阳岛国际会议中心及配套酒店电梯系统年度维保服务采购（第二次）</w:t>
      </w:r>
      <w:r>
        <w:rPr>
          <w:rFonts w:hint="eastAsia" w:ascii="仿宋" w:hAnsi="仿宋" w:eastAsia="仿宋" w:cs="仿宋"/>
          <w:color w:val="auto"/>
          <w:kern w:val="2"/>
          <w:szCs w:val="24"/>
          <w:highlight w:val="none"/>
        </w:rPr>
        <w:t>；</w:t>
      </w:r>
    </w:p>
    <w:p w14:paraId="61599B87">
      <w:pPr>
        <w:pStyle w:val="288"/>
        <w:spacing w:line="360" w:lineRule="auto"/>
        <w:ind w:firstLine="480" w:firstLineChars="200"/>
        <w:jc w:val="both"/>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lang w:eastAsia="zh-CN"/>
        </w:rPr>
        <w:t>（</w:t>
      </w:r>
      <w:r>
        <w:rPr>
          <w:rFonts w:hint="eastAsia" w:ascii="仿宋" w:hAnsi="仿宋" w:eastAsia="仿宋" w:cs="仿宋"/>
          <w:color w:val="auto"/>
          <w:kern w:val="2"/>
          <w:szCs w:val="24"/>
          <w:highlight w:val="none"/>
          <w:lang w:val="en-US" w:eastAsia="zh-CN"/>
        </w:rPr>
        <w:t>二</w:t>
      </w:r>
      <w:r>
        <w:rPr>
          <w:rFonts w:hint="eastAsia" w:ascii="仿宋" w:hAnsi="仿宋" w:eastAsia="仿宋" w:cs="仿宋"/>
          <w:color w:val="auto"/>
          <w:kern w:val="2"/>
          <w:szCs w:val="24"/>
          <w:highlight w:val="none"/>
          <w:lang w:eastAsia="zh-CN"/>
        </w:rPr>
        <w:t>）</w:t>
      </w:r>
      <w:r>
        <w:rPr>
          <w:rFonts w:hint="eastAsia" w:ascii="仿宋" w:hAnsi="仿宋" w:eastAsia="仿宋" w:cs="仿宋"/>
          <w:color w:val="auto"/>
          <w:kern w:val="2"/>
          <w:szCs w:val="24"/>
          <w:highlight w:val="none"/>
        </w:rPr>
        <w:t>项目内容：本次采购内容包括广阳岛国际会议中心及配套酒店</w:t>
      </w:r>
      <w:r>
        <w:rPr>
          <w:rFonts w:hint="eastAsia" w:ascii="仿宋" w:hAnsi="仿宋" w:eastAsia="仿宋" w:cs="仿宋"/>
          <w:color w:val="auto"/>
          <w:kern w:val="2"/>
          <w:szCs w:val="24"/>
          <w:highlight w:val="none"/>
          <w:lang w:val="en-US" w:eastAsia="zh-CN"/>
        </w:rPr>
        <w:t>所有电梯的维保</w:t>
      </w:r>
      <w:r>
        <w:rPr>
          <w:rFonts w:hint="eastAsia" w:ascii="仿宋" w:hAnsi="仿宋" w:eastAsia="仿宋" w:cs="仿宋"/>
          <w:color w:val="auto"/>
          <w:kern w:val="2"/>
          <w:szCs w:val="24"/>
          <w:highlight w:val="none"/>
        </w:rPr>
        <w:t>。</w:t>
      </w:r>
    </w:p>
    <w:p w14:paraId="56B33C6D">
      <w:pPr>
        <w:keepNext/>
        <w:keepLines/>
        <w:numPr>
          <w:ilvl w:val="0"/>
          <w:numId w:val="16"/>
        </w:numPr>
        <w:autoSpaceDE w:val="0"/>
        <w:autoSpaceDN w:val="0"/>
        <w:spacing w:line="413" w:lineRule="auto"/>
        <w:outlineLvl w:val="0"/>
        <w:rPr>
          <w:rFonts w:hint="eastAsia" w:ascii="仿宋" w:hAnsi="仿宋" w:eastAsia="仿宋" w:cs="仿宋"/>
          <w:b/>
          <w:color w:val="auto"/>
          <w:sz w:val="24"/>
          <w:highlight w:val="none"/>
        </w:rPr>
      </w:pPr>
      <w:bookmarkStart w:id="183" w:name="_Toc25922"/>
      <w:r>
        <w:rPr>
          <w:rFonts w:hint="eastAsia" w:ascii="仿宋" w:hAnsi="仿宋" w:eastAsia="仿宋" w:cs="仿宋"/>
          <w:b/>
          <w:color w:val="auto"/>
          <w:sz w:val="24"/>
          <w:highlight w:val="none"/>
        </w:rPr>
        <w:t>采购服务要求</w:t>
      </w:r>
      <w:bookmarkEnd w:id="183"/>
    </w:p>
    <w:p w14:paraId="7B0C6328">
      <w:pPr>
        <w:numPr>
          <w:ilvl w:val="0"/>
          <w:numId w:val="17"/>
        </w:numPr>
        <w:spacing w:line="360" w:lineRule="auto"/>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服务范围：对广阳岛国际会议中心及配套酒店</w:t>
      </w:r>
      <w:r>
        <w:rPr>
          <w:rFonts w:hint="eastAsia" w:ascii="仿宋" w:hAnsi="仿宋" w:eastAsia="仿宋" w:cs="仿宋"/>
          <w:color w:val="auto"/>
          <w:sz w:val="24"/>
          <w:highlight w:val="none"/>
          <w:u w:val="single"/>
          <w:lang w:val="en-US" w:eastAsia="zh-CN"/>
        </w:rPr>
        <w:t>43</w:t>
      </w:r>
      <w:r>
        <w:rPr>
          <w:rFonts w:hint="eastAsia" w:ascii="仿宋" w:hAnsi="仿宋" w:eastAsia="仿宋" w:cs="仿宋"/>
          <w:color w:val="auto"/>
          <w:sz w:val="24"/>
          <w:highlight w:val="none"/>
          <w:lang w:val="en-US" w:eastAsia="zh-CN"/>
        </w:rPr>
        <w:t>台直/扶梯提供专业全面的维保维修服务，确保直/扶梯安全稳定的运行。本次专业维保服务为整体维保，维保服务费包含但不限于</w:t>
      </w:r>
      <w:r>
        <w:rPr>
          <w:rFonts w:hint="eastAsia" w:ascii="仿宋" w:hAnsi="仿宋" w:eastAsia="仿宋" w:cs="仿宋"/>
          <w:color w:val="auto"/>
          <w:sz w:val="24"/>
          <w:highlight w:val="none"/>
          <w:u w:val="single"/>
          <w:lang w:val="en-US" w:eastAsia="zh-CN"/>
        </w:rPr>
        <w:t>43</w:t>
      </w:r>
      <w:r>
        <w:rPr>
          <w:rFonts w:hint="eastAsia" w:ascii="仿宋" w:hAnsi="仿宋" w:eastAsia="仿宋" w:cs="仿宋"/>
          <w:color w:val="auto"/>
          <w:sz w:val="24"/>
          <w:highlight w:val="none"/>
          <w:lang w:val="en-US" w:eastAsia="zh-CN"/>
        </w:rPr>
        <w:t>台直/扶梯的整体专业维保，维修配件、材料和维保过程中使用的耗材费用以及电梯年检所需的费用（电梯的轿厢地面装饰、门框及地块、配电房至机房的供电线路及电梯控制柜至监控中心的三方通话线路更换；扶梯的桁架、扶梯玻璃更换；属于电梯改造更换的配件；人为损坏及自然灾害更换配件除外）等工作内容。电梯详情见下表：</w:t>
      </w:r>
    </w:p>
    <w:tbl>
      <w:tblPr>
        <w:tblStyle w:val="6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1528"/>
        <w:gridCol w:w="872"/>
        <w:gridCol w:w="1310"/>
        <w:gridCol w:w="1856"/>
        <w:gridCol w:w="763"/>
        <w:gridCol w:w="872"/>
        <w:gridCol w:w="901"/>
        <w:gridCol w:w="873"/>
      </w:tblGrid>
      <w:tr w14:paraId="1BD6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14:paraId="50D560C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广阳岛国际会议中心及配套酒店电梯维保清单</w:t>
            </w:r>
          </w:p>
        </w:tc>
      </w:tr>
      <w:tr w14:paraId="665A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FD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2A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品牌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85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类型</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E5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型号</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DC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设备编号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B8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层数</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64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限速</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77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07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54D0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44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99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DF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A5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3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27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40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F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FC2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每月两次维保，并按要求出具维保报告；2、重要接待需按要求蹲点值守；3、配合现场的检查及资料上传事宜；4、报价含所有年检费用（内检/外检）及所有的付费检测项；5、报价含300以内的配件免费更换（市场均价）。</w:t>
            </w:r>
          </w:p>
        </w:tc>
      </w:tr>
      <w:tr w14:paraId="4967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2D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84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7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8F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A3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14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E7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6F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5820">
            <w:pPr>
              <w:jc w:val="center"/>
              <w:rPr>
                <w:rFonts w:hint="eastAsia" w:ascii="仿宋" w:hAnsi="仿宋" w:eastAsia="仿宋" w:cs="仿宋"/>
                <w:i w:val="0"/>
                <w:iCs w:val="0"/>
                <w:color w:val="auto"/>
                <w:sz w:val="24"/>
                <w:szCs w:val="24"/>
                <w:highlight w:val="none"/>
                <w:u w:val="none"/>
              </w:rPr>
            </w:pPr>
          </w:p>
        </w:tc>
      </w:tr>
      <w:tr w14:paraId="794E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2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1B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7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9B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F7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1A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13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5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2AC6">
            <w:pPr>
              <w:jc w:val="center"/>
              <w:rPr>
                <w:rFonts w:hint="eastAsia" w:ascii="仿宋" w:hAnsi="仿宋" w:eastAsia="仿宋" w:cs="仿宋"/>
                <w:i w:val="0"/>
                <w:iCs w:val="0"/>
                <w:color w:val="auto"/>
                <w:sz w:val="24"/>
                <w:szCs w:val="24"/>
                <w:highlight w:val="none"/>
                <w:u w:val="none"/>
              </w:rPr>
            </w:pPr>
          </w:p>
        </w:tc>
      </w:tr>
      <w:tr w14:paraId="0BED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78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84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FC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B3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1B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27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9A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36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526B6">
            <w:pPr>
              <w:jc w:val="center"/>
              <w:rPr>
                <w:rFonts w:hint="eastAsia" w:ascii="仿宋" w:hAnsi="仿宋" w:eastAsia="仿宋" w:cs="仿宋"/>
                <w:i w:val="0"/>
                <w:iCs w:val="0"/>
                <w:color w:val="auto"/>
                <w:sz w:val="24"/>
                <w:szCs w:val="24"/>
                <w:highlight w:val="none"/>
                <w:u w:val="none"/>
              </w:rPr>
            </w:pPr>
          </w:p>
        </w:tc>
      </w:tr>
      <w:tr w14:paraId="0926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E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29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ED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5C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7D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E9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2E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A8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03E8">
            <w:pPr>
              <w:jc w:val="center"/>
              <w:rPr>
                <w:rFonts w:hint="eastAsia" w:ascii="仿宋" w:hAnsi="仿宋" w:eastAsia="仿宋" w:cs="仿宋"/>
                <w:i w:val="0"/>
                <w:iCs w:val="0"/>
                <w:color w:val="auto"/>
                <w:sz w:val="24"/>
                <w:szCs w:val="24"/>
                <w:highlight w:val="none"/>
                <w:u w:val="none"/>
              </w:rPr>
            </w:pPr>
          </w:p>
        </w:tc>
      </w:tr>
      <w:tr w14:paraId="6A74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05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AB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68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92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39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5B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10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B8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99F8">
            <w:pPr>
              <w:jc w:val="center"/>
              <w:rPr>
                <w:rFonts w:hint="eastAsia" w:ascii="仿宋" w:hAnsi="仿宋" w:eastAsia="仿宋" w:cs="仿宋"/>
                <w:i w:val="0"/>
                <w:iCs w:val="0"/>
                <w:color w:val="auto"/>
                <w:sz w:val="24"/>
                <w:szCs w:val="24"/>
                <w:highlight w:val="none"/>
                <w:u w:val="none"/>
              </w:rPr>
            </w:pPr>
          </w:p>
        </w:tc>
      </w:tr>
      <w:tr w14:paraId="1A61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32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87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F0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C8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E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22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AD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7A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01C0">
            <w:pPr>
              <w:jc w:val="center"/>
              <w:rPr>
                <w:rFonts w:hint="eastAsia" w:ascii="仿宋" w:hAnsi="仿宋" w:eastAsia="仿宋" w:cs="仿宋"/>
                <w:i w:val="0"/>
                <w:iCs w:val="0"/>
                <w:color w:val="auto"/>
                <w:sz w:val="24"/>
                <w:szCs w:val="24"/>
                <w:highlight w:val="none"/>
                <w:u w:val="none"/>
              </w:rPr>
            </w:pPr>
          </w:p>
        </w:tc>
      </w:tr>
      <w:tr w14:paraId="199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20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2C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C3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47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5E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EC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EC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7E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95B4A">
            <w:pPr>
              <w:jc w:val="center"/>
              <w:rPr>
                <w:rFonts w:hint="eastAsia" w:ascii="仿宋" w:hAnsi="仿宋" w:eastAsia="仿宋" w:cs="仿宋"/>
                <w:i w:val="0"/>
                <w:iCs w:val="0"/>
                <w:color w:val="auto"/>
                <w:sz w:val="24"/>
                <w:szCs w:val="24"/>
                <w:highlight w:val="none"/>
                <w:u w:val="none"/>
              </w:rPr>
            </w:pPr>
          </w:p>
        </w:tc>
      </w:tr>
      <w:tr w14:paraId="635B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E7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64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25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B1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63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DB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2A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74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7AE7">
            <w:pPr>
              <w:jc w:val="center"/>
              <w:rPr>
                <w:rFonts w:hint="eastAsia" w:ascii="仿宋" w:hAnsi="仿宋" w:eastAsia="仿宋" w:cs="仿宋"/>
                <w:i w:val="0"/>
                <w:iCs w:val="0"/>
                <w:color w:val="auto"/>
                <w:sz w:val="24"/>
                <w:szCs w:val="24"/>
                <w:highlight w:val="none"/>
                <w:u w:val="none"/>
              </w:rPr>
            </w:pPr>
          </w:p>
        </w:tc>
      </w:tr>
      <w:tr w14:paraId="12C4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D5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F2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D7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BF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D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CB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D5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7F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8E022">
            <w:pPr>
              <w:jc w:val="center"/>
              <w:rPr>
                <w:rFonts w:hint="eastAsia" w:ascii="仿宋" w:hAnsi="仿宋" w:eastAsia="仿宋" w:cs="仿宋"/>
                <w:i w:val="0"/>
                <w:iCs w:val="0"/>
                <w:color w:val="auto"/>
                <w:sz w:val="24"/>
                <w:szCs w:val="24"/>
                <w:highlight w:val="none"/>
                <w:u w:val="none"/>
              </w:rPr>
            </w:pPr>
          </w:p>
        </w:tc>
      </w:tr>
      <w:tr w14:paraId="6E7F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00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62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3C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44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F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59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FE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DA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203B">
            <w:pPr>
              <w:jc w:val="center"/>
              <w:rPr>
                <w:rFonts w:hint="eastAsia" w:ascii="仿宋" w:hAnsi="仿宋" w:eastAsia="仿宋" w:cs="仿宋"/>
                <w:i w:val="0"/>
                <w:iCs w:val="0"/>
                <w:color w:val="auto"/>
                <w:sz w:val="24"/>
                <w:szCs w:val="24"/>
                <w:highlight w:val="none"/>
                <w:u w:val="none"/>
              </w:rPr>
            </w:pPr>
          </w:p>
        </w:tc>
      </w:tr>
      <w:tr w14:paraId="1A1D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12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78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F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0E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FB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EF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AC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46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57E6">
            <w:pPr>
              <w:jc w:val="center"/>
              <w:rPr>
                <w:rFonts w:hint="eastAsia" w:ascii="仿宋" w:hAnsi="仿宋" w:eastAsia="仿宋" w:cs="仿宋"/>
                <w:i w:val="0"/>
                <w:iCs w:val="0"/>
                <w:color w:val="auto"/>
                <w:sz w:val="24"/>
                <w:szCs w:val="24"/>
                <w:highlight w:val="none"/>
                <w:u w:val="none"/>
              </w:rPr>
            </w:pPr>
          </w:p>
        </w:tc>
      </w:tr>
      <w:tr w14:paraId="77B6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C6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F3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A2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49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E9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F1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5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E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F7DD">
            <w:pPr>
              <w:jc w:val="center"/>
              <w:rPr>
                <w:rFonts w:hint="eastAsia" w:ascii="仿宋" w:hAnsi="仿宋" w:eastAsia="仿宋" w:cs="仿宋"/>
                <w:i w:val="0"/>
                <w:iCs w:val="0"/>
                <w:color w:val="auto"/>
                <w:sz w:val="24"/>
                <w:szCs w:val="24"/>
                <w:highlight w:val="none"/>
                <w:u w:val="none"/>
              </w:rPr>
            </w:pPr>
          </w:p>
        </w:tc>
      </w:tr>
      <w:tr w14:paraId="75C4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AA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13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6D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FB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A0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A9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A5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95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06D0">
            <w:pPr>
              <w:jc w:val="center"/>
              <w:rPr>
                <w:rFonts w:hint="eastAsia" w:ascii="仿宋" w:hAnsi="仿宋" w:eastAsia="仿宋" w:cs="仿宋"/>
                <w:i w:val="0"/>
                <w:iCs w:val="0"/>
                <w:color w:val="auto"/>
                <w:sz w:val="24"/>
                <w:szCs w:val="24"/>
                <w:highlight w:val="none"/>
                <w:u w:val="none"/>
              </w:rPr>
            </w:pPr>
          </w:p>
        </w:tc>
      </w:tr>
      <w:tr w14:paraId="1405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8D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3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69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B0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92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38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FB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AE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568F">
            <w:pPr>
              <w:jc w:val="center"/>
              <w:rPr>
                <w:rFonts w:hint="eastAsia" w:ascii="仿宋" w:hAnsi="仿宋" w:eastAsia="仿宋" w:cs="仿宋"/>
                <w:i w:val="0"/>
                <w:iCs w:val="0"/>
                <w:color w:val="auto"/>
                <w:sz w:val="24"/>
                <w:szCs w:val="24"/>
                <w:highlight w:val="none"/>
                <w:u w:val="none"/>
              </w:rPr>
            </w:pPr>
          </w:p>
        </w:tc>
      </w:tr>
      <w:tr w14:paraId="3F9A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15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16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BA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16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C7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57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97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6A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37C2">
            <w:pPr>
              <w:jc w:val="center"/>
              <w:rPr>
                <w:rFonts w:hint="eastAsia" w:ascii="仿宋" w:hAnsi="仿宋" w:eastAsia="仿宋" w:cs="仿宋"/>
                <w:i w:val="0"/>
                <w:iCs w:val="0"/>
                <w:color w:val="auto"/>
                <w:sz w:val="24"/>
                <w:szCs w:val="24"/>
                <w:highlight w:val="none"/>
                <w:u w:val="none"/>
              </w:rPr>
            </w:pPr>
          </w:p>
        </w:tc>
      </w:tr>
      <w:tr w14:paraId="3DDB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C4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D4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CF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2A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DB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1A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1B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F0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6915">
            <w:pPr>
              <w:jc w:val="center"/>
              <w:rPr>
                <w:rFonts w:hint="eastAsia" w:ascii="仿宋" w:hAnsi="仿宋" w:eastAsia="仿宋" w:cs="仿宋"/>
                <w:i w:val="0"/>
                <w:iCs w:val="0"/>
                <w:color w:val="auto"/>
                <w:sz w:val="24"/>
                <w:szCs w:val="24"/>
                <w:highlight w:val="none"/>
                <w:u w:val="none"/>
              </w:rPr>
            </w:pPr>
          </w:p>
        </w:tc>
      </w:tr>
      <w:tr w14:paraId="4FB7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76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E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36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98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E9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1C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23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25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9986">
            <w:pPr>
              <w:jc w:val="center"/>
              <w:rPr>
                <w:rFonts w:hint="eastAsia" w:ascii="仿宋" w:hAnsi="仿宋" w:eastAsia="仿宋" w:cs="仿宋"/>
                <w:i w:val="0"/>
                <w:iCs w:val="0"/>
                <w:color w:val="auto"/>
                <w:sz w:val="24"/>
                <w:szCs w:val="24"/>
                <w:highlight w:val="none"/>
                <w:u w:val="none"/>
              </w:rPr>
            </w:pPr>
          </w:p>
        </w:tc>
      </w:tr>
      <w:tr w14:paraId="1F72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1D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2A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B1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17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65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61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88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E2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D6E3">
            <w:pPr>
              <w:jc w:val="center"/>
              <w:rPr>
                <w:rFonts w:hint="eastAsia" w:ascii="仿宋" w:hAnsi="仿宋" w:eastAsia="仿宋" w:cs="仿宋"/>
                <w:i w:val="0"/>
                <w:iCs w:val="0"/>
                <w:color w:val="auto"/>
                <w:sz w:val="24"/>
                <w:szCs w:val="24"/>
                <w:highlight w:val="none"/>
                <w:u w:val="none"/>
              </w:rPr>
            </w:pPr>
          </w:p>
        </w:tc>
      </w:tr>
      <w:tr w14:paraId="2B46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6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6C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AD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62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49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4C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13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C9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8141">
            <w:pPr>
              <w:jc w:val="center"/>
              <w:rPr>
                <w:rFonts w:hint="eastAsia" w:ascii="仿宋" w:hAnsi="仿宋" w:eastAsia="仿宋" w:cs="仿宋"/>
                <w:i w:val="0"/>
                <w:iCs w:val="0"/>
                <w:color w:val="auto"/>
                <w:sz w:val="24"/>
                <w:szCs w:val="24"/>
                <w:highlight w:val="none"/>
                <w:u w:val="none"/>
              </w:rPr>
            </w:pPr>
          </w:p>
        </w:tc>
      </w:tr>
      <w:tr w14:paraId="3BC3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53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A6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AF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75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DE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4B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CC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3F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98BC">
            <w:pPr>
              <w:jc w:val="center"/>
              <w:rPr>
                <w:rFonts w:hint="eastAsia" w:ascii="仿宋" w:hAnsi="仿宋" w:eastAsia="仿宋" w:cs="仿宋"/>
                <w:i w:val="0"/>
                <w:iCs w:val="0"/>
                <w:color w:val="auto"/>
                <w:sz w:val="24"/>
                <w:szCs w:val="24"/>
                <w:highlight w:val="none"/>
                <w:u w:val="none"/>
              </w:rPr>
            </w:pPr>
          </w:p>
        </w:tc>
      </w:tr>
      <w:tr w14:paraId="3585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AD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57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C9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3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FA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EB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72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D6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C4EB">
            <w:pPr>
              <w:jc w:val="center"/>
              <w:rPr>
                <w:rFonts w:hint="eastAsia" w:ascii="仿宋" w:hAnsi="仿宋" w:eastAsia="仿宋" w:cs="仿宋"/>
                <w:i w:val="0"/>
                <w:iCs w:val="0"/>
                <w:color w:val="auto"/>
                <w:sz w:val="24"/>
                <w:szCs w:val="24"/>
                <w:highlight w:val="none"/>
                <w:u w:val="none"/>
              </w:rPr>
            </w:pPr>
          </w:p>
        </w:tc>
      </w:tr>
      <w:tr w14:paraId="458B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89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D9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90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02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2F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36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9B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44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6198D">
            <w:pPr>
              <w:jc w:val="center"/>
              <w:rPr>
                <w:rFonts w:hint="eastAsia" w:ascii="仿宋" w:hAnsi="仿宋" w:eastAsia="仿宋" w:cs="仿宋"/>
                <w:i w:val="0"/>
                <w:iCs w:val="0"/>
                <w:color w:val="auto"/>
                <w:sz w:val="24"/>
                <w:szCs w:val="24"/>
                <w:highlight w:val="none"/>
                <w:u w:val="none"/>
              </w:rPr>
            </w:pPr>
          </w:p>
        </w:tc>
      </w:tr>
      <w:tr w14:paraId="563F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51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CD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85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E3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4A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AC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43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92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7355">
            <w:pPr>
              <w:jc w:val="center"/>
              <w:rPr>
                <w:rFonts w:hint="eastAsia" w:ascii="仿宋" w:hAnsi="仿宋" w:eastAsia="仿宋" w:cs="仿宋"/>
                <w:i w:val="0"/>
                <w:iCs w:val="0"/>
                <w:color w:val="auto"/>
                <w:sz w:val="24"/>
                <w:szCs w:val="24"/>
                <w:highlight w:val="none"/>
                <w:u w:val="none"/>
              </w:rPr>
            </w:pPr>
          </w:p>
        </w:tc>
      </w:tr>
      <w:tr w14:paraId="56D9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99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8E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DA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A8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5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EF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E2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50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4598.64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E7E5">
            <w:pPr>
              <w:jc w:val="center"/>
              <w:rPr>
                <w:rFonts w:hint="eastAsia" w:ascii="仿宋" w:hAnsi="仿宋" w:eastAsia="仿宋" w:cs="仿宋"/>
                <w:i w:val="0"/>
                <w:iCs w:val="0"/>
                <w:color w:val="auto"/>
                <w:sz w:val="24"/>
                <w:szCs w:val="24"/>
                <w:highlight w:val="none"/>
                <w:u w:val="none"/>
              </w:rPr>
            </w:pPr>
          </w:p>
        </w:tc>
      </w:tr>
      <w:tr w14:paraId="575B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B4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F7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E1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7E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D7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0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36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FC43">
            <w:pPr>
              <w:jc w:val="center"/>
              <w:rPr>
                <w:rFonts w:hint="eastAsia" w:ascii="仿宋" w:hAnsi="仿宋" w:eastAsia="仿宋" w:cs="仿宋"/>
                <w:i w:val="0"/>
                <w:iCs w:val="0"/>
                <w:color w:val="auto"/>
                <w:sz w:val="24"/>
                <w:szCs w:val="24"/>
                <w:highlight w:val="none"/>
                <w:u w:val="none"/>
              </w:rPr>
            </w:pPr>
          </w:p>
        </w:tc>
      </w:tr>
      <w:tr w14:paraId="2157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B3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7B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26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F1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F6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41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6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B7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4801">
            <w:pPr>
              <w:jc w:val="center"/>
              <w:rPr>
                <w:rFonts w:hint="eastAsia" w:ascii="仿宋" w:hAnsi="仿宋" w:eastAsia="仿宋" w:cs="仿宋"/>
                <w:i w:val="0"/>
                <w:iCs w:val="0"/>
                <w:color w:val="auto"/>
                <w:sz w:val="24"/>
                <w:szCs w:val="24"/>
                <w:highlight w:val="none"/>
                <w:u w:val="none"/>
              </w:rPr>
            </w:pPr>
          </w:p>
        </w:tc>
      </w:tr>
      <w:tr w14:paraId="32C2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52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FB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55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2E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8B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E4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E9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7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1A26">
            <w:pPr>
              <w:jc w:val="center"/>
              <w:rPr>
                <w:rFonts w:hint="eastAsia" w:ascii="仿宋" w:hAnsi="仿宋" w:eastAsia="仿宋" w:cs="仿宋"/>
                <w:i w:val="0"/>
                <w:iCs w:val="0"/>
                <w:color w:val="auto"/>
                <w:sz w:val="24"/>
                <w:szCs w:val="24"/>
                <w:highlight w:val="none"/>
                <w:u w:val="none"/>
              </w:rPr>
            </w:pPr>
          </w:p>
        </w:tc>
      </w:tr>
      <w:tr w14:paraId="2E71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3C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70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FF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B3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2C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5A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19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70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8C5C">
            <w:pPr>
              <w:jc w:val="center"/>
              <w:rPr>
                <w:rFonts w:hint="eastAsia" w:ascii="仿宋" w:hAnsi="仿宋" w:eastAsia="仿宋" w:cs="仿宋"/>
                <w:i w:val="0"/>
                <w:iCs w:val="0"/>
                <w:color w:val="auto"/>
                <w:sz w:val="24"/>
                <w:szCs w:val="24"/>
                <w:highlight w:val="none"/>
                <w:u w:val="none"/>
              </w:rPr>
            </w:pPr>
          </w:p>
        </w:tc>
      </w:tr>
      <w:tr w14:paraId="5F68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35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4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01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28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6A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19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31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65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6DB1">
            <w:pPr>
              <w:jc w:val="center"/>
              <w:rPr>
                <w:rFonts w:hint="eastAsia" w:ascii="仿宋" w:hAnsi="仿宋" w:eastAsia="仿宋" w:cs="仿宋"/>
                <w:i w:val="0"/>
                <w:iCs w:val="0"/>
                <w:color w:val="auto"/>
                <w:sz w:val="24"/>
                <w:szCs w:val="24"/>
                <w:highlight w:val="none"/>
                <w:u w:val="none"/>
              </w:rPr>
            </w:pPr>
          </w:p>
        </w:tc>
      </w:tr>
      <w:tr w14:paraId="47E1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57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4E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A0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68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16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A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3D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B8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2CA6">
            <w:pPr>
              <w:jc w:val="center"/>
              <w:rPr>
                <w:rFonts w:hint="eastAsia" w:ascii="仿宋" w:hAnsi="仿宋" w:eastAsia="仿宋" w:cs="仿宋"/>
                <w:i w:val="0"/>
                <w:iCs w:val="0"/>
                <w:color w:val="auto"/>
                <w:sz w:val="24"/>
                <w:szCs w:val="24"/>
                <w:highlight w:val="none"/>
                <w:u w:val="none"/>
              </w:rPr>
            </w:pPr>
          </w:p>
        </w:tc>
      </w:tr>
      <w:tr w14:paraId="71F2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FC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D9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0E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87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6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4C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AA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03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AD49">
            <w:pPr>
              <w:jc w:val="center"/>
              <w:rPr>
                <w:rFonts w:hint="eastAsia" w:ascii="仿宋" w:hAnsi="仿宋" w:eastAsia="仿宋" w:cs="仿宋"/>
                <w:i w:val="0"/>
                <w:iCs w:val="0"/>
                <w:color w:val="auto"/>
                <w:sz w:val="24"/>
                <w:szCs w:val="24"/>
                <w:highlight w:val="none"/>
                <w:u w:val="none"/>
              </w:rPr>
            </w:pPr>
          </w:p>
        </w:tc>
      </w:tr>
      <w:tr w14:paraId="3CF3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9B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3A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BC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C4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05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EA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E0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FD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612D">
            <w:pPr>
              <w:jc w:val="center"/>
              <w:rPr>
                <w:rFonts w:hint="eastAsia" w:ascii="仿宋" w:hAnsi="仿宋" w:eastAsia="仿宋" w:cs="仿宋"/>
                <w:i w:val="0"/>
                <w:iCs w:val="0"/>
                <w:color w:val="auto"/>
                <w:sz w:val="24"/>
                <w:szCs w:val="24"/>
                <w:highlight w:val="none"/>
                <w:u w:val="none"/>
              </w:rPr>
            </w:pPr>
          </w:p>
        </w:tc>
      </w:tr>
      <w:tr w14:paraId="689C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E0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47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32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BA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F8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6E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48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93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5DF5">
            <w:pPr>
              <w:jc w:val="center"/>
              <w:rPr>
                <w:rFonts w:hint="eastAsia" w:ascii="仿宋" w:hAnsi="仿宋" w:eastAsia="仿宋" w:cs="仿宋"/>
                <w:i w:val="0"/>
                <w:iCs w:val="0"/>
                <w:color w:val="auto"/>
                <w:sz w:val="24"/>
                <w:szCs w:val="24"/>
                <w:highlight w:val="none"/>
                <w:u w:val="none"/>
              </w:rPr>
            </w:pPr>
          </w:p>
        </w:tc>
      </w:tr>
      <w:tr w14:paraId="1CE7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71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7C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A6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3B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3A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A6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5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3F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DADD">
            <w:pPr>
              <w:jc w:val="center"/>
              <w:rPr>
                <w:rFonts w:hint="eastAsia" w:ascii="仿宋" w:hAnsi="仿宋" w:eastAsia="仿宋" w:cs="仿宋"/>
                <w:i w:val="0"/>
                <w:iCs w:val="0"/>
                <w:color w:val="auto"/>
                <w:sz w:val="24"/>
                <w:szCs w:val="24"/>
                <w:highlight w:val="none"/>
                <w:u w:val="none"/>
              </w:rPr>
            </w:pPr>
          </w:p>
        </w:tc>
      </w:tr>
      <w:tr w14:paraId="04EE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C7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DA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E1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03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0E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7D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87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7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17E7">
            <w:pPr>
              <w:jc w:val="center"/>
              <w:rPr>
                <w:rFonts w:hint="eastAsia" w:ascii="仿宋" w:hAnsi="仿宋" w:eastAsia="仿宋" w:cs="仿宋"/>
                <w:i w:val="0"/>
                <w:iCs w:val="0"/>
                <w:color w:val="auto"/>
                <w:sz w:val="24"/>
                <w:szCs w:val="24"/>
                <w:highlight w:val="none"/>
                <w:u w:val="none"/>
              </w:rPr>
            </w:pPr>
          </w:p>
        </w:tc>
      </w:tr>
      <w:tr w14:paraId="20E8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98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E4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8F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45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75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DC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9A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F3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8A5C">
            <w:pPr>
              <w:jc w:val="center"/>
              <w:rPr>
                <w:rFonts w:hint="eastAsia" w:ascii="仿宋" w:hAnsi="仿宋" w:eastAsia="仿宋" w:cs="仿宋"/>
                <w:i w:val="0"/>
                <w:iCs w:val="0"/>
                <w:color w:val="auto"/>
                <w:sz w:val="24"/>
                <w:szCs w:val="24"/>
                <w:highlight w:val="none"/>
                <w:u w:val="none"/>
              </w:rPr>
            </w:pPr>
          </w:p>
        </w:tc>
      </w:tr>
      <w:tr w14:paraId="051B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C9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C5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19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8F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D0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DC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B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0C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B16E">
            <w:pPr>
              <w:jc w:val="center"/>
              <w:rPr>
                <w:rFonts w:hint="eastAsia" w:ascii="仿宋" w:hAnsi="仿宋" w:eastAsia="仿宋" w:cs="仿宋"/>
                <w:i w:val="0"/>
                <w:iCs w:val="0"/>
                <w:color w:val="auto"/>
                <w:sz w:val="24"/>
                <w:szCs w:val="24"/>
                <w:highlight w:val="none"/>
                <w:u w:val="none"/>
              </w:rPr>
            </w:pPr>
          </w:p>
        </w:tc>
      </w:tr>
      <w:tr w14:paraId="75DD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BA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CE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9A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17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D0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59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F4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57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BED2">
            <w:pPr>
              <w:jc w:val="center"/>
              <w:rPr>
                <w:rFonts w:hint="eastAsia" w:ascii="仿宋" w:hAnsi="仿宋" w:eastAsia="仿宋" w:cs="仿宋"/>
                <w:i w:val="0"/>
                <w:iCs w:val="0"/>
                <w:color w:val="auto"/>
                <w:sz w:val="24"/>
                <w:szCs w:val="24"/>
                <w:highlight w:val="none"/>
                <w:u w:val="none"/>
              </w:rPr>
            </w:pPr>
          </w:p>
        </w:tc>
      </w:tr>
      <w:tr w14:paraId="7C9A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E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4A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11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AC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0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61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54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6C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0E67">
            <w:pPr>
              <w:jc w:val="center"/>
              <w:rPr>
                <w:rFonts w:hint="eastAsia" w:ascii="仿宋" w:hAnsi="仿宋" w:eastAsia="仿宋" w:cs="仿宋"/>
                <w:i w:val="0"/>
                <w:iCs w:val="0"/>
                <w:color w:val="auto"/>
                <w:sz w:val="24"/>
                <w:szCs w:val="24"/>
                <w:highlight w:val="none"/>
                <w:u w:val="none"/>
              </w:rPr>
            </w:pPr>
          </w:p>
        </w:tc>
      </w:tr>
      <w:tr w14:paraId="77F9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CB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C2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B7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BA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A3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19058230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1C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F0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97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6C09">
            <w:pPr>
              <w:jc w:val="center"/>
              <w:rPr>
                <w:rFonts w:hint="eastAsia" w:ascii="仿宋" w:hAnsi="仿宋" w:eastAsia="仿宋" w:cs="仿宋"/>
                <w:i w:val="0"/>
                <w:iCs w:val="0"/>
                <w:color w:val="auto"/>
                <w:sz w:val="24"/>
                <w:szCs w:val="24"/>
                <w:highlight w:val="none"/>
                <w:u w:val="none"/>
              </w:rPr>
            </w:pPr>
          </w:p>
        </w:tc>
      </w:tr>
      <w:tr w14:paraId="1A39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69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8C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BE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C0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EB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19076916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3B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5m</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F2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7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47D5">
            <w:pPr>
              <w:jc w:val="center"/>
              <w:rPr>
                <w:rFonts w:hint="eastAsia" w:ascii="仿宋" w:hAnsi="仿宋" w:eastAsia="仿宋" w:cs="仿宋"/>
                <w:i w:val="0"/>
                <w:iCs w:val="0"/>
                <w:color w:val="auto"/>
                <w:sz w:val="24"/>
                <w:szCs w:val="24"/>
                <w:highlight w:val="none"/>
                <w:u w:val="none"/>
              </w:rPr>
            </w:pPr>
          </w:p>
        </w:tc>
      </w:tr>
      <w:tr w14:paraId="3BBD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C4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4C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02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2D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50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19076917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C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5m</w:t>
            </w:r>
          </w:p>
        </w:tc>
        <w:tc>
          <w:tcPr>
            <w:tcW w:w="4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F2676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467" w:type="pct"/>
            <w:tcBorders>
              <w:top w:val="single" w:color="000000" w:sz="4" w:space="0"/>
              <w:left w:val="single" w:color="auto" w:sz="4" w:space="0"/>
              <w:right w:val="single" w:color="000000" w:sz="4" w:space="0"/>
            </w:tcBorders>
            <w:shd w:val="clear" w:color="auto" w:fill="auto"/>
            <w:noWrap/>
            <w:vAlign w:val="center"/>
          </w:tcPr>
          <w:p w14:paraId="08287E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4274.28 </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CFB3">
            <w:pPr>
              <w:jc w:val="center"/>
              <w:rPr>
                <w:rFonts w:hint="eastAsia" w:ascii="仿宋" w:hAnsi="仿宋" w:eastAsia="仿宋" w:cs="仿宋"/>
                <w:i w:val="0"/>
                <w:iCs w:val="0"/>
                <w:color w:val="auto"/>
                <w:sz w:val="24"/>
                <w:szCs w:val="24"/>
                <w:highlight w:val="none"/>
                <w:u w:val="none"/>
              </w:rPr>
            </w:pPr>
          </w:p>
        </w:tc>
      </w:tr>
    </w:tbl>
    <w:p w14:paraId="1C7661E5">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（二）维保服务要求</w:t>
      </w:r>
    </w:p>
    <w:p w14:paraId="161B0FB6">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1.定期保养：每月提供至少二次定期保养，并按照《电梯维护保养规则》（TSG T5002-2017）完成半月、季度、半年、年保养项目，做好维护保养记录。</w:t>
      </w:r>
    </w:p>
    <w:p w14:paraId="72C7ECDB">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2.不定期巡检：供应商有责任对设备进行不定期的巡查检修。</w:t>
      </w:r>
    </w:p>
    <w:p w14:paraId="1BE5D2D8">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3.确保电梯处于良好运行状态，包括定期性调校，清理润滑、加注油脂、检查电梯井道、机房、轿厢的线路，机件的正常运行状态，机房电梯设备、井道、轿顶及底坑清洁卫生等，并提交相关检测记录。</w:t>
      </w:r>
    </w:p>
    <w:p w14:paraId="7B4BA580">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供应商负责完成电梯年检工作（定检、自检），采购人配合，必须保证电梯年检合格，电梯年检费用由供应商承担。因维护保养不当导致电梯检验检测不合格的，成交供应商承担电梯复验费用。采购人因此面临行政主管部门或上级主管部门处罚的，成交供应商承担全部责任。</w:t>
      </w:r>
    </w:p>
    <w:p w14:paraId="2E115E34">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5.供应商指定专人服务本项目，并配合采购人做好电梯一机一档的资料管理工作。在电梯轿厢内及扶梯明显位置张贴有效的《安全检验合格证》《维保应急公示信息》《警示图标》等。</w:t>
      </w:r>
    </w:p>
    <w:p w14:paraId="5EB78425">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6.供应商应保障电梯紧急报警装置能够随时与采购人消防监控室有效联系（五方通话）。</w:t>
      </w:r>
    </w:p>
    <w:p w14:paraId="093F59C9">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在维保期内设备发生故障，供应商在接到采购人故障通知后0.5小时内委派专业技术人员到现场提供维修和更换零部件、配件等服务。一般维修（不换配件）的情况下在4小时内完成维修并及时填写维修报告（包括故障原因、处理情况及用户意见等）报采购人备案。发生若电梯曳引机、安全钳、钢丝绳、变频器、限速器出现等重大问题故障时，维修时间超过12小时的，成交供应商需做书面说明，可延长至24小时。非成交供应商原因，人为造成的非常规故障，双方协商确认维修时间。如成交供应商达不到上述要求，每发生一次，采购人可扣除该月保养费的5％并有权立即解除合同。</w:t>
      </w:r>
    </w:p>
    <w:p w14:paraId="31CD96FA">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8.供应商应设立二十四小时应急服务，设立维保维修值班电话。</w:t>
      </w:r>
    </w:p>
    <w:p w14:paraId="3DCF7FA4">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在正常使用电梯的情况下，每台电梯每月发生一般故障不超过（3次/月/台）次，每台电梯每月发生电梯困人事故不超过1次。如成交供应商达不到上述任意维护要求，每发生一次，采购人可扣除该月保养费的5％并有权立即解除合同。</w:t>
      </w:r>
    </w:p>
    <w:p w14:paraId="75E8241C">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10.因维护保养不当导致人身伤亡或设备损坏、丢失的，由成交供应商承担全部责任。采购人可要求成交供应商支付合同总价的20％作为违约金并有权立即解除合同。</w:t>
      </w:r>
    </w:p>
    <w:p w14:paraId="5C86E494">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供应商应提供原厂或原装的零部件，且需要更换的零部件，在维修更换前建立入库索证和台账，做到所有零部件可溯源。更换材料前供应商应提前向采购人提供该部、配件的合格证明相关材料。300元及以下的部件、配件和设备由供应商免费更换。</w:t>
      </w:r>
    </w:p>
    <w:p w14:paraId="146F3331">
      <w:pPr>
        <w:numPr>
          <w:ilvl w:val="255"/>
          <w:numId w:val="0"/>
        </w:numPr>
        <w:spacing w:line="360" w:lineRule="auto"/>
        <w:ind w:firstLine="480" w:firstLineChars="200"/>
        <w:jc w:val="left"/>
        <w:outlineLvl w:val="2"/>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12、遇重要接待时成交供应商应派专人到现场值守。</w:t>
      </w:r>
    </w:p>
    <w:p w14:paraId="131206C1">
      <w:pPr>
        <w:numPr>
          <w:ilvl w:val="255"/>
          <w:numId w:val="0"/>
        </w:numPr>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本</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维保</w:t>
      </w:r>
      <w:r>
        <w:rPr>
          <w:rFonts w:hint="eastAsia" w:ascii="仿宋" w:hAnsi="仿宋" w:eastAsia="仿宋" w:cs="仿宋"/>
          <w:color w:val="auto"/>
          <w:sz w:val="24"/>
          <w:highlight w:val="none"/>
        </w:rPr>
        <w:t>人员配备要求</w:t>
      </w:r>
    </w:p>
    <w:p w14:paraId="4A304BF2">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（1）供应商</w:t>
      </w:r>
      <w:r>
        <w:rPr>
          <w:rFonts w:hint="eastAsia" w:ascii="仿宋" w:hAnsi="仿宋" w:eastAsia="仿宋" w:cs="仿宋"/>
          <w:color w:val="auto"/>
          <w:sz w:val="24"/>
          <w:highlight w:val="none"/>
          <w:lang w:eastAsia="zh-CN"/>
        </w:rPr>
        <w:t>拟派人员应具有特种设备安全管理证书（A证）的人员</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名、特种设备作业证书（T证）人员</w:t>
      </w:r>
      <w:r>
        <w:rPr>
          <w:rFonts w:hint="eastAsia" w:ascii="仿宋" w:hAnsi="仿宋" w:eastAsia="仿宋" w:cs="仿宋"/>
          <w:color w:val="auto"/>
          <w:sz w:val="24"/>
          <w:highlight w:val="none"/>
          <w:u w:val="single"/>
          <w:lang w:val="en-US" w:eastAsia="zh-CN"/>
        </w:rPr>
        <w:t xml:space="preserve"> 6 </w:t>
      </w:r>
      <w:r>
        <w:rPr>
          <w:rFonts w:hint="eastAsia" w:ascii="仿宋" w:hAnsi="仿宋" w:eastAsia="仿宋" w:cs="仿宋"/>
          <w:color w:val="auto"/>
          <w:sz w:val="24"/>
          <w:highlight w:val="none"/>
          <w:lang w:eastAsia="zh-CN"/>
        </w:rPr>
        <w:t>名，提供有效的人员证书、</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为其缴纳的</w:t>
      </w:r>
      <w:r>
        <w:rPr>
          <w:rFonts w:hint="eastAsia" w:ascii="仿宋" w:hAnsi="仿宋" w:eastAsia="仿宋" w:cs="仿宋"/>
          <w:color w:val="auto"/>
          <w:sz w:val="24"/>
          <w:highlight w:val="none"/>
          <w:lang w:val="en-US" w:eastAsia="zh-CN"/>
        </w:rPr>
        <w:t>养老保险参保证明材料</w:t>
      </w:r>
      <w:r>
        <w:rPr>
          <w:rFonts w:hint="eastAsia" w:ascii="仿宋" w:hAnsi="仿宋" w:eastAsia="仿宋" w:cs="仿宋"/>
          <w:color w:val="auto"/>
          <w:sz w:val="24"/>
          <w:highlight w:val="none"/>
          <w:lang w:eastAsia="zh-CN"/>
        </w:rPr>
        <w:t>复印件并加盖</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公章。</w:t>
      </w:r>
    </w:p>
    <w:p w14:paraId="2F3ACDB1">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）服务人员管理标准</w:t>
      </w:r>
    </w:p>
    <w:p w14:paraId="662FFE86">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服务人员</w:t>
      </w:r>
      <w:r>
        <w:rPr>
          <w:rFonts w:hint="eastAsia" w:ascii="仿宋" w:hAnsi="仿宋" w:eastAsia="仿宋" w:cs="仿宋"/>
          <w:color w:val="auto"/>
          <w:sz w:val="24"/>
          <w:highlight w:val="none"/>
          <w:lang w:eastAsia="zh-CN"/>
        </w:rPr>
        <w:t>人身及设备安全标准</w:t>
      </w:r>
    </w:p>
    <w:p w14:paraId="41A3BEF0">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在维保过程中，供应商</w:t>
      </w:r>
      <w:r>
        <w:rPr>
          <w:rFonts w:hint="eastAsia" w:ascii="仿宋" w:hAnsi="仿宋" w:eastAsia="仿宋" w:cs="仿宋"/>
          <w:color w:val="auto"/>
          <w:sz w:val="24"/>
          <w:highlight w:val="none"/>
          <w:lang w:val="en-US" w:eastAsia="zh-CN"/>
        </w:rPr>
        <w:t>维保人员</w:t>
      </w:r>
      <w:r>
        <w:rPr>
          <w:rFonts w:hint="eastAsia" w:ascii="仿宋" w:hAnsi="仿宋" w:eastAsia="仿宋" w:cs="仿宋"/>
          <w:color w:val="auto"/>
          <w:sz w:val="24"/>
          <w:highlight w:val="none"/>
          <w:lang w:eastAsia="zh-CN"/>
        </w:rPr>
        <w:t>须做到安全维保、文明维保，注意人身安全，注意技术操作流程，并做好相应的维保安全公告及警戒标识，凡工作过程中因成交供应商的原因而引起的一切安全事故由成交供应商自行负责处理。供应商应当与其维保人员建立劳动关系，承担全部用人用工主体责任。</w:t>
      </w:r>
    </w:p>
    <w:p w14:paraId="08EDE8C8">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维修维保期间，因成交供应商的原因造成设备及配件丢失或损坏的，成交供应商负责维修或赔偿。</w:t>
      </w:r>
    </w:p>
    <w:p w14:paraId="4293810F">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.服务保障标准</w:t>
      </w:r>
    </w:p>
    <w:p w14:paraId="028FA25F">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供应商工作人员应严格执行电梯安全运行要求，保障所管辖电梯的正常运行；</w:t>
      </w:r>
    </w:p>
    <w:p w14:paraId="7BE12B6C">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对各个电梯建立预警措施，保障突发设备故障的预警，以减少突发的设备故障比例；采购人不定期检查电梯设备的维保及安检记录工作。</w:t>
      </w:r>
    </w:p>
    <w:p w14:paraId="769308D3">
      <w:pPr>
        <w:numPr>
          <w:ilvl w:val="255"/>
          <w:numId w:val="0"/>
        </w:numPr>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.技术培训管理</w:t>
      </w:r>
    </w:p>
    <w:p w14:paraId="22491D99">
      <w:pPr>
        <w:numPr>
          <w:ilvl w:val="255"/>
          <w:numId w:val="0"/>
        </w:numPr>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定期对维保员工进行安全、服务意识、电梯维修保养技术的培训。</w:t>
      </w:r>
    </w:p>
    <w:p w14:paraId="0A55FA5E">
      <w:pPr>
        <w:keepNext/>
        <w:keepLines/>
        <w:numPr>
          <w:ilvl w:val="0"/>
          <w:numId w:val="16"/>
        </w:numPr>
        <w:autoSpaceDE w:val="0"/>
        <w:autoSpaceDN w:val="0"/>
        <w:spacing w:line="413" w:lineRule="auto"/>
        <w:outlineLvl w:val="0"/>
        <w:rPr>
          <w:rFonts w:hint="eastAsia" w:ascii="仿宋" w:hAnsi="仿宋" w:eastAsia="仿宋" w:cs="仿宋"/>
          <w:b/>
          <w:color w:val="auto"/>
          <w:sz w:val="24"/>
          <w:highlight w:val="none"/>
        </w:rPr>
      </w:pPr>
      <w:bookmarkStart w:id="184" w:name="_Toc26950"/>
      <w:r>
        <w:rPr>
          <w:rFonts w:hint="eastAsia" w:ascii="仿宋" w:hAnsi="仿宋" w:eastAsia="仿宋" w:cs="仿宋"/>
          <w:b/>
          <w:color w:val="auto"/>
          <w:sz w:val="24"/>
          <w:highlight w:val="none"/>
        </w:rPr>
        <w:t>其他说明事项</w:t>
      </w:r>
      <w:bookmarkEnd w:id="184"/>
    </w:p>
    <w:p w14:paraId="4EE4EF29">
      <w:pPr>
        <w:numPr>
          <w:ilvl w:val="255"/>
          <w:numId w:val="0"/>
        </w:numPr>
        <w:spacing w:line="360" w:lineRule="auto"/>
        <w:ind w:firstLine="480" w:firstLineChars="200"/>
        <w:jc w:val="left"/>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1.采购人有权对</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真实性、有效性进行核查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包括但不限于响应文件中提供的所有证明材料、业绩合同、供货发票等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应</w:t>
      </w:r>
      <w:r>
        <w:rPr>
          <w:rFonts w:hint="eastAsia" w:ascii="仿宋" w:hAnsi="仿宋" w:eastAsia="仿宋" w:cs="仿宋"/>
          <w:color w:val="auto"/>
          <w:sz w:val="24"/>
          <w:highlight w:val="none"/>
          <w:lang w:val="en-US" w:eastAsia="zh-CN"/>
        </w:rPr>
        <w:t>在中标候选人公示结束后三个工作日内按采购人要求提供核查所需的资料，且</w:t>
      </w:r>
      <w:r>
        <w:rPr>
          <w:rFonts w:hint="eastAsia" w:ascii="仿宋" w:hAnsi="仿宋" w:eastAsia="仿宋" w:cs="仿宋"/>
          <w:color w:val="auto"/>
          <w:sz w:val="24"/>
          <w:highlight w:val="none"/>
        </w:rPr>
        <w:t>对相关证明材料真实性、有效性负责，不得存在弄虚作假情形。若不配合采购人核查或发现弄虚作假，按相关规定取消其中标资格，其</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保证金不予退还，</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承担因此造成的相关责任并赔偿相应损失。</w:t>
      </w:r>
      <w:r>
        <w:rPr>
          <w:rFonts w:hint="eastAsia" w:ascii="仿宋" w:hAnsi="仿宋" w:eastAsia="仿宋" w:cs="仿宋"/>
          <w:color w:val="auto"/>
          <w:sz w:val="24"/>
          <w:highlight w:val="none"/>
          <w:lang w:val="en-US" w:eastAsia="zh-CN"/>
        </w:rPr>
        <w:t>采购人有权按中标候选人排名依次递补或者重新进行比选确定</w:t>
      </w:r>
      <w:bookmarkEnd w:id="163"/>
      <w:r>
        <w:rPr>
          <w:rFonts w:hint="eastAsia" w:ascii="仿宋" w:hAnsi="仿宋" w:eastAsia="仿宋" w:cs="仿宋"/>
          <w:color w:val="auto"/>
          <w:sz w:val="24"/>
          <w:highlight w:val="none"/>
          <w:lang w:val="en-US" w:eastAsia="zh-CN"/>
        </w:rPr>
        <w:t>中标供应商</w:t>
      </w:r>
      <w:r>
        <w:rPr>
          <w:rFonts w:hint="eastAsia" w:ascii="仿宋" w:hAnsi="仿宋" w:eastAsia="仿宋" w:cs="仿宋"/>
          <w:color w:val="auto"/>
          <w:kern w:val="0"/>
          <w:sz w:val="24"/>
          <w:highlight w:val="none"/>
          <w:lang w:val="en-US" w:eastAsia="zh-CN"/>
        </w:rPr>
        <w:t>。</w:t>
      </w:r>
    </w:p>
    <w:p w14:paraId="7BFABA28">
      <w:pPr>
        <w:numPr>
          <w:ilvl w:val="255"/>
          <w:numId w:val="0"/>
        </w:numPr>
        <w:spacing w:line="360" w:lineRule="auto"/>
        <w:ind w:firstLine="480" w:firstLineChars="200"/>
        <w:jc w:val="left"/>
        <w:outlineLvl w:val="2"/>
        <w:rPr>
          <w:rFonts w:hint="eastAsia" w:ascii="仿宋" w:hAnsi="仿宋" w:eastAsia="仿宋" w:cs="仿宋"/>
          <w:color w:val="auto"/>
          <w:kern w:val="2"/>
          <w:sz w:val="24"/>
          <w:highlight w:val="none"/>
          <w:lang w:val="en-US" w:eastAsia="zh-CN"/>
        </w:rPr>
        <w:sectPr>
          <w:footerReference r:id="rId9" w:type="default"/>
          <w:pgSz w:w="11907" w:h="16840"/>
          <w:pgMar w:top="1134" w:right="1191" w:bottom="1134" w:left="1304" w:header="709" w:footer="992" w:gutter="0"/>
          <w:pgNumType w:fmt="decimal"/>
          <w:cols w:space="720" w:num="1"/>
          <w:rtlGutter w:val="0"/>
          <w:docGrid w:linePitch="381" w:charSpace="0"/>
        </w:sectPr>
      </w:pP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01BE3A1C">
      <w:pPr>
        <w:pStyle w:val="2"/>
        <w:spacing w:before="0" w:beforeLines="0" w:after="0" w:afterLines="0" w:line="360" w:lineRule="auto"/>
        <w:rPr>
          <w:rFonts w:hint="eastAsia" w:ascii="仿宋" w:hAnsi="仿宋" w:eastAsia="仿宋" w:cs="仿宋"/>
          <w:b/>
          <w:color w:val="auto"/>
          <w:highlight w:val="none"/>
        </w:rPr>
      </w:pPr>
      <w:bookmarkStart w:id="185" w:name="_Toc28164"/>
      <w:bookmarkStart w:id="186" w:name="_Toc15467"/>
      <w:bookmarkStart w:id="187" w:name="_Toc9920"/>
      <w:bookmarkStart w:id="188" w:name="_Toc8633"/>
      <w:bookmarkStart w:id="189" w:name="_Toc19536"/>
      <w:bookmarkStart w:id="190" w:name="_Toc31584"/>
      <w:bookmarkStart w:id="191" w:name="_Toc9326"/>
      <w:bookmarkStart w:id="192" w:name="_Toc18187"/>
      <w:bookmarkStart w:id="193" w:name="_Toc1363"/>
      <w:bookmarkStart w:id="194" w:name="_Toc13990"/>
      <w:bookmarkStart w:id="195" w:name="_Toc26363"/>
      <w:bookmarkStart w:id="196" w:name="_Toc20842"/>
      <w:bookmarkStart w:id="197" w:name="_Toc75793508"/>
      <w:bookmarkStart w:id="198" w:name="_Toc2095"/>
      <w:bookmarkStart w:id="199" w:name="_Toc21557"/>
      <w:bookmarkStart w:id="200" w:name="_Toc14229"/>
      <w:bookmarkStart w:id="201" w:name="_Toc106030384"/>
      <w:r>
        <w:rPr>
          <w:rFonts w:hint="eastAsia" w:ascii="仿宋" w:hAnsi="仿宋" w:eastAsia="仿宋" w:cs="仿宋"/>
          <w:b/>
          <w:color w:val="auto"/>
          <w:highlight w:val="none"/>
        </w:rPr>
        <w:t xml:space="preserve">第三篇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ascii="仿宋" w:hAnsi="仿宋" w:eastAsia="仿宋" w:cs="仿宋"/>
          <w:b/>
          <w:color w:val="auto"/>
          <w:highlight w:val="none"/>
        </w:rPr>
        <w:t>项目商务需求</w:t>
      </w:r>
      <w:bookmarkEnd w:id="200"/>
      <w:bookmarkEnd w:id="201"/>
    </w:p>
    <w:p w14:paraId="6081A1D5">
      <w:pPr>
        <w:spacing w:line="400" w:lineRule="exact"/>
        <w:ind w:firstLine="482" w:firstLineChars="200"/>
        <w:outlineLvl w:val="0"/>
        <w:rPr>
          <w:rFonts w:hint="eastAsia" w:ascii="仿宋" w:hAnsi="仿宋" w:eastAsia="仿宋" w:cs="仿宋"/>
          <w:b/>
          <w:bCs/>
          <w:color w:val="auto"/>
          <w:sz w:val="24"/>
          <w:highlight w:val="none"/>
        </w:rPr>
      </w:pPr>
      <w:bookmarkStart w:id="202" w:name="_Toc2663"/>
      <w:bookmarkStart w:id="203" w:name="_Toc14755"/>
      <w:bookmarkStart w:id="204" w:name="_Toc32453"/>
      <w:r>
        <w:rPr>
          <w:rFonts w:hint="eastAsia" w:ascii="仿宋" w:hAnsi="仿宋" w:eastAsia="仿宋" w:cs="仿宋"/>
          <w:b/>
          <w:bCs/>
          <w:color w:val="auto"/>
          <w:sz w:val="24"/>
          <w:highlight w:val="none"/>
        </w:rPr>
        <w:t>一、服务时间、地点及验收方式</w:t>
      </w:r>
      <w:bookmarkEnd w:id="202"/>
      <w:bookmarkEnd w:id="203"/>
    </w:p>
    <w:p w14:paraId="6B111C3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（一）服务时间</w:t>
      </w:r>
    </w:p>
    <w:p w14:paraId="46D5CC8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本项目服务期为</w:t>
      </w:r>
      <w:r>
        <w:rPr>
          <w:rFonts w:hint="eastAsia" w:ascii="仿宋" w:hAnsi="仿宋" w:eastAsia="仿宋" w:cs="仿宋"/>
          <w:color w:val="auto"/>
          <w:sz w:val="24"/>
          <w:highlight w:val="none"/>
          <w:lang w:val="en-US" w:eastAsia="zh-CN"/>
        </w:rPr>
        <w:t>合同签订之日起一年</w:t>
      </w:r>
      <w:r>
        <w:rPr>
          <w:rFonts w:hint="eastAsia" w:ascii="仿宋" w:hAnsi="仿宋" w:eastAsia="仿宋" w:cs="仿宋"/>
          <w:color w:val="auto"/>
          <w:sz w:val="24"/>
          <w:highlight w:val="none"/>
        </w:rPr>
        <w:t>。</w:t>
      </w:r>
    </w:p>
    <w:p w14:paraId="61C5FAE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（二）服务地点</w:t>
      </w:r>
    </w:p>
    <w:p w14:paraId="177AB19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服务地点：采购人指定地点。</w:t>
      </w:r>
    </w:p>
    <w:p w14:paraId="7B460A9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（三）验收方式</w:t>
      </w:r>
    </w:p>
    <w:p w14:paraId="20CDBDF2">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采购人自行组织验收，达到国家现行有关电梯维护保养质量验收规范要求，满足采购人要求，并达到合格标准。验收争议或采购人认为必要的，由采购人抽选专家或第三方机构，费用由中标人承担。</w:t>
      </w:r>
      <w:bookmarkStart w:id="205" w:name="_Toc11637"/>
      <w:bookmarkStart w:id="206" w:name="_Toc30384"/>
    </w:p>
    <w:p w14:paraId="2EF24695">
      <w:pPr>
        <w:spacing w:line="400" w:lineRule="exact"/>
        <w:ind w:firstLine="482" w:firstLineChars="200"/>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、报价要求</w:t>
      </w:r>
      <w:bookmarkEnd w:id="205"/>
      <w:bookmarkEnd w:id="206"/>
    </w:p>
    <w:p w14:paraId="360BC695">
      <w:pPr>
        <w:snapToGrid w:val="0"/>
        <w:spacing w:line="40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本项目的</w:t>
      </w:r>
      <w:r>
        <w:rPr>
          <w:rFonts w:hint="eastAsia" w:ascii="仿宋" w:hAnsi="仿宋" w:eastAsia="仿宋" w:cs="仿宋"/>
          <w:color w:val="auto"/>
          <w:kern w:val="0"/>
          <w:sz w:val="24"/>
          <w:highlight w:val="none"/>
          <w:lang w:eastAsia="zh-CN"/>
        </w:rPr>
        <w:t>报价为人民币报价，不得超过最高限价。包含但不限于人工费、材料费、运输费、维修保养费用、电梯年检自检费（复验费）、管理费、利润、保险、各种规费税费、专用工具等所有成本费用。因成交供应商自身原因造成漏报、少报皆由其自行承担责任，采购人不再补偿。</w:t>
      </w:r>
    </w:p>
    <w:p w14:paraId="7E56707A">
      <w:pPr>
        <w:spacing w:line="400" w:lineRule="exact"/>
        <w:ind w:firstLine="482" w:firstLineChars="200"/>
        <w:outlineLvl w:val="0"/>
        <w:rPr>
          <w:rFonts w:hint="eastAsia" w:ascii="仿宋" w:hAnsi="仿宋" w:eastAsia="仿宋" w:cs="仿宋"/>
          <w:b/>
          <w:bCs/>
          <w:color w:val="auto"/>
          <w:sz w:val="24"/>
          <w:highlight w:val="none"/>
        </w:rPr>
      </w:pPr>
      <w:bookmarkStart w:id="207" w:name="_Toc27282"/>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、履约担保</w:t>
      </w:r>
      <w:bookmarkEnd w:id="207"/>
    </w:p>
    <w:p w14:paraId="61771D9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是否提供履约担保：提供。</w:t>
      </w:r>
    </w:p>
    <w:p w14:paraId="1A4762E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提供履约担保的形式、金额及期限：</w:t>
      </w:r>
    </w:p>
    <w:p w14:paraId="795A616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（3）履约担保的形式：现金或银行保函或现金+银行保函的组合；采用银行保函形式的，保函必须为不可撤销且见索即付。</w:t>
      </w:r>
    </w:p>
    <w:p w14:paraId="029A40F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（4）履约担保的金额：中标合同金额的5%。</w:t>
      </w:r>
    </w:p>
    <w:p w14:paraId="6A167A66">
      <w:pPr>
        <w:spacing w:line="400" w:lineRule="exact"/>
        <w:ind w:firstLine="480" w:firstLineChars="200"/>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（5）履约担保的提交时间：</w:t>
      </w:r>
      <w:r>
        <w:rPr>
          <w:rFonts w:hint="eastAsia" w:ascii="仿宋" w:hAnsi="仿宋" w:eastAsia="仿宋" w:cs="仿宋"/>
          <w:b w:val="0"/>
          <w:bCs w:val="0"/>
          <w:color w:val="auto"/>
          <w:sz w:val="24"/>
          <w:highlight w:val="none"/>
          <w:lang w:val="en-US" w:eastAsia="zh-CN"/>
        </w:rPr>
        <w:t>成交供应商</w:t>
      </w:r>
      <w:r>
        <w:rPr>
          <w:rFonts w:hint="eastAsia" w:ascii="仿宋" w:hAnsi="仿宋" w:eastAsia="仿宋" w:cs="仿宋"/>
          <w:color w:val="auto"/>
          <w:sz w:val="24"/>
          <w:highlight w:val="none"/>
        </w:rPr>
        <w:t>签订合同前</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w:t>
      </w:r>
    </w:p>
    <w:p w14:paraId="43590634">
      <w:pPr>
        <w:spacing w:line="400" w:lineRule="exact"/>
        <w:ind w:firstLine="480" w:firstLineChars="200"/>
        <w:rPr>
          <w:color w:val="auto"/>
          <w:highlight w:val="none"/>
        </w:rPr>
      </w:pPr>
      <w:r>
        <w:rPr>
          <w:rFonts w:hint="eastAsia" w:ascii="仿宋" w:hAnsi="仿宋" w:eastAsia="仿宋" w:cs="仿宋"/>
          <w:color w:val="auto"/>
          <w:sz w:val="24"/>
          <w:highlight w:val="none"/>
        </w:rPr>
        <w:t>（6）履约担保期限及退还时间：履约保证金以现金方式缴纳的，完成合同范围内所有工作后并经</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申请后一个月内无息退还。履约保证金以银行保函方式缴纳的，完成合同范围内所有工作后并经</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申请后一个月内解保。</w:t>
      </w:r>
    </w:p>
    <w:p w14:paraId="368150A0">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若中标供应商在合同履约期间，因履约情况受到处罚造成履约担保不足时，应在收到采购人通知后10日内及时补足履约担保，若逾期未补足的，采购人有权按照1000元/天进行处罚，若逾期时间超过10天的，采购人有权单方面通知解除双方合同关系并不予退还其履约担保，对采购人造成损失的，还应当赔偿采购人损失。</w:t>
      </w:r>
    </w:p>
    <w:p w14:paraId="09FEEAB9">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08" w:name="_Toc28905"/>
      <w:bookmarkStart w:id="209" w:name="_Toc27047"/>
      <w:r>
        <w:rPr>
          <w:rFonts w:hint="eastAsia" w:ascii="仿宋" w:hAnsi="仿宋" w:eastAsia="仿宋" w:cs="仿宋"/>
          <w:b/>
          <w:bCs/>
          <w:color w:val="auto"/>
          <w:sz w:val="24"/>
          <w:highlight w:val="none"/>
          <w:lang w:val="en-US" w:eastAsia="zh-CN"/>
        </w:rPr>
        <w:t>四、付款方式</w:t>
      </w:r>
      <w:bookmarkEnd w:id="208"/>
      <w:bookmarkEnd w:id="209"/>
    </w:p>
    <w:p w14:paraId="73C8DFB0">
      <w:pPr>
        <w:spacing w:line="400" w:lineRule="exact"/>
        <w:ind w:firstLine="480" w:firstLineChars="200"/>
        <w:rPr>
          <w:rFonts w:hint="eastAsia" w:ascii="仿宋" w:hAnsi="仿宋" w:eastAsia="仿宋" w:cs="仿宋"/>
          <w:color w:val="auto"/>
          <w:sz w:val="24"/>
          <w:highlight w:val="none"/>
          <w:lang w:bidi="ar"/>
        </w:rPr>
      </w:pPr>
      <w:r>
        <w:rPr>
          <w:rFonts w:hint="eastAsia" w:ascii="仿宋" w:hAnsi="仿宋" w:eastAsia="仿宋" w:cs="仿宋"/>
          <w:bCs/>
          <w:color w:val="auto"/>
          <w:sz w:val="24"/>
          <w:szCs w:val="20"/>
          <w:highlight w:val="none"/>
          <w:lang w:val="en-US" w:eastAsia="zh-CN"/>
        </w:rPr>
        <w:t>本项目</w:t>
      </w:r>
      <w:r>
        <w:rPr>
          <w:rFonts w:hint="eastAsia" w:ascii="仿宋" w:hAnsi="仿宋" w:eastAsia="仿宋" w:cs="仿宋"/>
          <w:bCs/>
          <w:color w:val="auto"/>
          <w:sz w:val="24"/>
          <w:szCs w:val="20"/>
          <w:highlight w:val="none"/>
          <w:lang w:eastAsia="zh-CN"/>
        </w:rPr>
        <w:t>按</w:t>
      </w:r>
      <w:r>
        <w:rPr>
          <w:rFonts w:hint="eastAsia" w:ascii="仿宋" w:hAnsi="仿宋" w:eastAsia="仿宋" w:cs="仿宋"/>
          <w:bCs/>
          <w:color w:val="auto"/>
          <w:sz w:val="24"/>
          <w:szCs w:val="20"/>
          <w:highlight w:val="none"/>
          <w:lang w:val="en-US" w:eastAsia="zh-CN"/>
        </w:rPr>
        <w:t>季度支付</w:t>
      </w:r>
      <w:r>
        <w:rPr>
          <w:rFonts w:hint="eastAsia" w:ascii="仿宋" w:hAnsi="仿宋" w:eastAsia="仿宋" w:cs="仿宋"/>
          <w:bCs/>
          <w:color w:val="auto"/>
          <w:sz w:val="24"/>
          <w:szCs w:val="20"/>
          <w:highlight w:val="none"/>
          <w:lang w:eastAsia="zh-CN"/>
        </w:rPr>
        <w:t>，每</w:t>
      </w:r>
      <w:r>
        <w:rPr>
          <w:rFonts w:hint="eastAsia" w:ascii="仿宋" w:hAnsi="仿宋" w:eastAsia="仿宋" w:cs="仿宋"/>
          <w:bCs/>
          <w:color w:val="auto"/>
          <w:sz w:val="24"/>
          <w:szCs w:val="20"/>
          <w:highlight w:val="none"/>
          <w:lang w:val="en-US" w:eastAsia="zh-CN"/>
        </w:rPr>
        <w:t>个季度</w:t>
      </w:r>
      <w:r>
        <w:rPr>
          <w:rFonts w:hint="eastAsia" w:ascii="仿宋" w:hAnsi="仿宋" w:eastAsia="仿宋" w:cs="仿宋"/>
          <w:bCs/>
          <w:color w:val="auto"/>
          <w:sz w:val="24"/>
          <w:szCs w:val="20"/>
          <w:highlight w:val="none"/>
          <w:lang w:eastAsia="zh-CN"/>
        </w:rPr>
        <w:t>支付金额为成交金额的1/</w:t>
      </w:r>
      <w:r>
        <w:rPr>
          <w:rFonts w:hint="eastAsia" w:ascii="仿宋" w:hAnsi="仿宋" w:eastAsia="仿宋" w:cs="仿宋"/>
          <w:bCs/>
          <w:color w:val="auto"/>
          <w:sz w:val="24"/>
          <w:szCs w:val="20"/>
          <w:highlight w:val="none"/>
          <w:lang w:val="en-US" w:eastAsia="zh-CN"/>
        </w:rPr>
        <w:t>4</w:t>
      </w:r>
      <w:r>
        <w:rPr>
          <w:rFonts w:hint="eastAsia" w:ascii="仿宋" w:hAnsi="仿宋" w:eastAsia="仿宋" w:cs="仿宋"/>
          <w:bCs/>
          <w:color w:val="auto"/>
          <w:sz w:val="24"/>
          <w:szCs w:val="20"/>
          <w:highlight w:val="none"/>
        </w:rPr>
        <w:t>。</w:t>
      </w:r>
      <w:r>
        <w:rPr>
          <w:rFonts w:hint="eastAsia" w:ascii="仿宋" w:hAnsi="仿宋" w:eastAsia="仿宋" w:cs="仿宋"/>
          <w:bCs/>
          <w:color w:val="auto"/>
          <w:sz w:val="24"/>
          <w:szCs w:val="20"/>
          <w:highlight w:val="none"/>
          <w:lang w:val="en-US" w:eastAsia="zh-CN"/>
        </w:rPr>
        <w:t>每次支付时</w:t>
      </w:r>
      <w:r>
        <w:rPr>
          <w:rFonts w:hint="eastAsia" w:ascii="仿宋" w:hAnsi="仿宋" w:eastAsia="仿宋" w:cs="仿宋"/>
          <w:color w:val="auto"/>
          <w:sz w:val="24"/>
          <w:highlight w:val="none"/>
          <w:lang w:eastAsia="zh-CN" w:bidi="ar"/>
        </w:rPr>
        <w:t>由中标供应商提出支付申请，经</w:t>
      </w:r>
      <w:r>
        <w:rPr>
          <w:rFonts w:hint="eastAsia" w:ascii="仿宋" w:hAnsi="仿宋" w:eastAsia="仿宋" w:cs="仿宋"/>
          <w:color w:val="auto"/>
          <w:sz w:val="24"/>
          <w:highlight w:val="none"/>
          <w:lang w:val="en-US" w:eastAsia="zh-CN" w:bidi="ar"/>
        </w:rPr>
        <w:t>采购人</w:t>
      </w:r>
      <w:r>
        <w:rPr>
          <w:rFonts w:hint="eastAsia" w:ascii="仿宋" w:hAnsi="仿宋" w:eastAsia="仿宋" w:cs="仿宋"/>
          <w:color w:val="auto"/>
          <w:sz w:val="24"/>
          <w:highlight w:val="none"/>
          <w:lang w:eastAsia="zh-CN" w:bidi="ar"/>
        </w:rPr>
        <w:t>审核后据实支付</w:t>
      </w:r>
      <w:r>
        <w:rPr>
          <w:rFonts w:hint="eastAsia" w:ascii="仿宋" w:hAnsi="仿宋" w:eastAsia="仿宋" w:cs="仿宋"/>
          <w:color w:val="auto"/>
          <w:sz w:val="24"/>
          <w:highlight w:val="none"/>
          <w:lang w:val="en-US" w:eastAsia="zh-CN" w:bidi="ar"/>
        </w:rPr>
        <w:t>该季度</w:t>
      </w:r>
      <w:r>
        <w:rPr>
          <w:rFonts w:hint="eastAsia" w:ascii="仿宋" w:hAnsi="仿宋" w:eastAsia="仿宋" w:cs="仿宋"/>
          <w:color w:val="auto"/>
          <w:sz w:val="24"/>
          <w:highlight w:val="none"/>
          <w:lang w:eastAsia="zh-CN" w:bidi="ar"/>
        </w:rPr>
        <w:t>的服务费。</w:t>
      </w:r>
      <w:bookmarkStart w:id="210" w:name="_Toc1471"/>
    </w:p>
    <w:p w14:paraId="363CAA4E">
      <w:pPr>
        <w:spacing w:line="400" w:lineRule="exact"/>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注：</w:t>
      </w:r>
      <w:r>
        <w:rPr>
          <w:rFonts w:hint="eastAsia" w:ascii="仿宋" w:hAnsi="仿宋" w:eastAsia="仿宋" w:cs="仿宋"/>
          <w:color w:val="auto"/>
          <w:sz w:val="24"/>
          <w:highlight w:val="none"/>
        </w:rPr>
        <w:t>本项目的增值税专用发票由</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开具，</w:t>
      </w:r>
      <w:r>
        <w:rPr>
          <w:rFonts w:hint="eastAsia" w:ascii="仿宋" w:hAnsi="仿宋" w:eastAsia="仿宋" w:cs="仿宋"/>
          <w:color w:val="auto"/>
          <w:sz w:val="24"/>
          <w:highlight w:val="none"/>
          <w:lang w:val="en-US" w:eastAsia="zh-CN"/>
        </w:rPr>
        <w:t>采购人收到发票后</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按发票金额进行付款。</w:t>
      </w:r>
    </w:p>
    <w:p w14:paraId="60F35F4E">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11" w:name="_Toc4603"/>
      <w:r>
        <w:rPr>
          <w:rFonts w:hint="eastAsia" w:ascii="仿宋" w:hAnsi="仿宋" w:eastAsia="仿宋" w:cs="仿宋"/>
          <w:b/>
          <w:bCs/>
          <w:color w:val="auto"/>
          <w:sz w:val="24"/>
          <w:highlight w:val="none"/>
          <w:lang w:val="en-US" w:eastAsia="zh-CN"/>
        </w:rPr>
        <w:t>五、知识产权</w:t>
      </w:r>
      <w:bookmarkEnd w:id="210"/>
      <w:bookmarkEnd w:id="211"/>
    </w:p>
    <w:p w14:paraId="20C02F0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采购人在中华人民共和国境内使用</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提供的货物及服务时免受第三方提出的侵犯其专利权或其它知识产权的起诉。如果第三方提出侵权指控，</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应承担由此而引起的一切法律责任和费用。给采购人造成损失的，采购人有权向</w:t>
      </w:r>
      <w:r>
        <w:rPr>
          <w:rFonts w:hint="eastAsia" w:ascii="仿宋" w:hAnsi="仿宋" w:eastAsia="仿宋" w:cs="仿宋"/>
          <w:color w:val="auto"/>
          <w:sz w:val="24"/>
          <w:highlight w:val="none"/>
          <w:lang w:val="en-US" w:eastAsia="zh-CN"/>
        </w:rPr>
        <w:t>中标供应商</w:t>
      </w:r>
      <w:r>
        <w:rPr>
          <w:rFonts w:hint="eastAsia" w:ascii="仿宋" w:hAnsi="仿宋" w:eastAsia="仿宋" w:cs="仿宋"/>
          <w:color w:val="auto"/>
          <w:sz w:val="24"/>
          <w:highlight w:val="none"/>
        </w:rPr>
        <w:t>全额追偿</w:t>
      </w:r>
      <w:r>
        <w:rPr>
          <w:rFonts w:hint="eastAsia" w:ascii="仿宋" w:hAnsi="仿宋" w:eastAsia="仿宋" w:cs="仿宋"/>
          <w:color w:val="auto"/>
          <w:sz w:val="24"/>
          <w:szCs w:val="24"/>
          <w:highlight w:val="none"/>
          <w:lang w:val="zh-CN"/>
        </w:rPr>
        <w:t>。</w:t>
      </w:r>
    </w:p>
    <w:p w14:paraId="06F64F1B">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12" w:name="_Toc6970"/>
      <w:bookmarkStart w:id="213" w:name="_Toc3205"/>
      <w:r>
        <w:rPr>
          <w:rFonts w:hint="eastAsia" w:ascii="仿宋" w:hAnsi="仿宋" w:eastAsia="仿宋" w:cs="仿宋"/>
          <w:b/>
          <w:bCs/>
          <w:color w:val="auto"/>
          <w:sz w:val="24"/>
          <w:highlight w:val="none"/>
          <w:lang w:val="en-US" w:eastAsia="zh-CN"/>
        </w:rPr>
        <w:t>六、其他</w:t>
      </w:r>
      <w:bookmarkEnd w:id="212"/>
      <w:bookmarkEnd w:id="213"/>
    </w:p>
    <w:p w14:paraId="16FB301E">
      <w:pPr>
        <w:spacing w:line="400" w:lineRule="exact"/>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（一）供应商必须在响应文件中对以上条款和服务承诺明确列出，承诺内容必须达到本篇及竞争性比选文件其他条款的要求。</w:t>
      </w:r>
    </w:p>
    <w:p w14:paraId="18046BFF">
      <w:pPr>
        <w:spacing w:line="400" w:lineRule="exact"/>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（二）其他未尽事宜由双方在合同中详细约定。</w:t>
      </w:r>
    </w:p>
    <w:p w14:paraId="79FDEBA1">
      <w:pPr>
        <w:pStyle w:val="2"/>
        <w:spacing w:before="0" w:beforeLines="0" w:after="0" w:afterLines="0" w:line="240" w:lineRule="auto"/>
        <w:rPr>
          <w:rFonts w:hint="eastAsia" w:ascii="仿宋" w:hAnsi="仿宋" w:eastAsia="仿宋" w:cs="仿宋"/>
          <w:b/>
          <w:color w:val="auto"/>
          <w:highlight w:val="none"/>
        </w:rPr>
      </w:pPr>
      <w:r>
        <w:rPr>
          <w:rFonts w:hint="eastAsia" w:ascii="仿宋" w:hAnsi="仿宋" w:eastAsia="仿宋" w:cs="仿宋"/>
          <w:color w:val="auto"/>
          <w:sz w:val="24"/>
          <w:szCs w:val="28"/>
          <w:highlight w:val="none"/>
        </w:rPr>
        <w:br w:type="page"/>
      </w:r>
      <w:bookmarkStart w:id="214" w:name="_Toc25911"/>
      <w:bookmarkStart w:id="215" w:name="_Toc16237"/>
      <w:bookmarkStart w:id="216" w:name="_Toc2406"/>
      <w:bookmarkStart w:id="217" w:name="_Toc23377"/>
      <w:bookmarkStart w:id="218" w:name="_Toc25903"/>
      <w:bookmarkStart w:id="219" w:name="_Toc2487"/>
      <w:bookmarkStart w:id="220" w:name="_Toc25165"/>
      <w:bookmarkStart w:id="221" w:name="_Toc22763"/>
      <w:bookmarkStart w:id="222" w:name="_Toc8133"/>
      <w:bookmarkStart w:id="223" w:name="_Toc15693"/>
      <w:bookmarkStart w:id="224" w:name="_Toc24966"/>
      <w:bookmarkStart w:id="225" w:name="_Toc106030393"/>
      <w:bookmarkStart w:id="226" w:name="_Toc11875"/>
      <w:bookmarkStart w:id="227" w:name="_Toc30067"/>
      <w:bookmarkStart w:id="228" w:name="_Toc3339"/>
      <w:bookmarkStart w:id="229" w:name="_Toc75793517"/>
      <w:r>
        <w:rPr>
          <w:rFonts w:hint="eastAsia" w:ascii="仿宋" w:hAnsi="仿宋" w:eastAsia="仿宋" w:cs="仿宋"/>
          <w:b/>
          <w:color w:val="auto"/>
          <w:highlight w:val="none"/>
        </w:rPr>
        <w:t>第四篇  资格审查及评标办法</w:t>
      </w:r>
      <w:bookmarkEnd w:id="20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bookmarkEnd w:id="182"/>
    <w:p w14:paraId="496C8BCC">
      <w:pPr>
        <w:keepNext/>
        <w:keepLines/>
        <w:spacing w:line="400" w:lineRule="exact"/>
        <w:ind w:firstLine="482" w:firstLineChars="200"/>
        <w:outlineLvl w:val="0"/>
        <w:rPr>
          <w:rFonts w:hint="eastAsia" w:ascii="仿宋" w:hAnsi="仿宋" w:eastAsia="仿宋" w:cs="仿宋"/>
          <w:b/>
          <w:color w:val="auto"/>
          <w:sz w:val="24"/>
          <w:highlight w:val="none"/>
        </w:rPr>
      </w:pPr>
      <w:bookmarkStart w:id="230" w:name="_Toc15615"/>
      <w:bookmarkStart w:id="231" w:name="_Toc22201"/>
      <w:bookmarkStart w:id="232" w:name="_Toc1982"/>
      <w:bookmarkStart w:id="233" w:name="_Toc22256"/>
      <w:bookmarkStart w:id="234" w:name="_Toc75793523"/>
      <w:bookmarkStart w:id="235" w:name="_Toc5106"/>
      <w:bookmarkStart w:id="236" w:name="_Toc2588"/>
      <w:bookmarkStart w:id="237" w:name="_Toc25962"/>
      <w:bookmarkStart w:id="238" w:name="_Toc13159"/>
      <w:bookmarkStart w:id="239" w:name="_Toc106030399"/>
      <w:bookmarkStart w:id="240" w:name="_Toc29546"/>
      <w:bookmarkStart w:id="241" w:name="_Toc4735"/>
      <w:bookmarkStart w:id="242" w:name="_Toc21000"/>
      <w:bookmarkStart w:id="243" w:name="_Toc25755"/>
      <w:bookmarkStart w:id="244" w:name="_Toc18502"/>
      <w:bookmarkStart w:id="245" w:name="_Toc12533"/>
      <w:bookmarkStart w:id="246" w:name="_Toc21720"/>
      <w:bookmarkStart w:id="247" w:name="_Toc19831"/>
      <w:r>
        <w:rPr>
          <w:rFonts w:hint="eastAsia" w:ascii="仿宋" w:hAnsi="仿宋" w:eastAsia="仿宋" w:cs="仿宋"/>
          <w:b/>
          <w:color w:val="auto"/>
          <w:sz w:val="24"/>
          <w:highlight w:val="none"/>
        </w:rPr>
        <w:t>一、资格审查及符合性审查</w:t>
      </w:r>
      <w:bookmarkEnd w:id="230"/>
    </w:p>
    <w:p w14:paraId="4098109A">
      <w:pPr>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1.</w:t>
      </w:r>
      <w:r>
        <w:rPr>
          <w:rFonts w:hint="eastAsia" w:ascii="仿宋" w:hAnsi="仿宋" w:eastAsia="仿宋" w:cs="仿宋"/>
          <w:b/>
          <w:color w:val="auto"/>
          <w:sz w:val="24"/>
          <w:szCs w:val="24"/>
          <w:highlight w:val="none"/>
          <w:lang w:val="en-US" w:eastAsia="zh-CN"/>
        </w:rPr>
        <w:t>本项目的</w:t>
      </w:r>
      <w:r>
        <w:rPr>
          <w:rFonts w:hint="eastAsia" w:ascii="仿宋" w:hAnsi="仿宋" w:eastAsia="仿宋" w:cs="仿宋"/>
          <w:b/>
          <w:color w:val="auto"/>
          <w:sz w:val="24"/>
          <w:highlight w:val="none"/>
          <w:lang w:bidi="ar"/>
        </w:rPr>
        <w:t>评标委员会</w:t>
      </w:r>
      <w:r>
        <w:rPr>
          <w:rFonts w:hint="eastAsia" w:ascii="仿宋" w:hAnsi="仿宋" w:eastAsia="仿宋" w:cs="仿宋"/>
          <w:b/>
          <w:color w:val="auto"/>
          <w:sz w:val="24"/>
          <w:highlight w:val="none"/>
          <w:lang w:val="en-US" w:eastAsia="zh-CN" w:bidi="ar"/>
        </w:rPr>
        <w:t>由采购人按规定组建</w:t>
      </w:r>
      <w:r>
        <w:rPr>
          <w:rFonts w:hint="eastAsia" w:ascii="仿宋" w:hAnsi="仿宋" w:eastAsia="仿宋" w:cs="仿宋"/>
          <w:b/>
          <w:color w:val="auto"/>
          <w:sz w:val="24"/>
          <w:highlight w:val="none"/>
          <w:lang w:bidi="ar"/>
        </w:rPr>
        <w:t>。</w:t>
      </w:r>
    </w:p>
    <w:p w14:paraId="7BAC0931">
      <w:pPr>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2.若未通过资格审查及符合性审查的响应文件，不进入评审环节。</w:t>
      </w:r>
    </w:p>
    <w:p w14:paraId="4B5BE7E4">
      <w:pPr>
        <w:snapToGrid w:val="0"/>
        <w:spacing w:line="40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（一）资格审查</w:t>
      </w:r>
    </w:p>
    <w:p w14:paraId="42844C13">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依据采购相关法律法规规定，由评标委员会对响应文件中的资格证明文件进行审查。资格审查资料表如下：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4984"/>
      </w:tblGrid>
      <w:tr w14:paraId="3377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8ACAC92">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noWrap w:val="0"/>
            <w:vAlign w:val="center"/>
          </w:tcPr>
          <w:p w14:paraId="25D171B3">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noWrap w:val="0"/>
            <w:vAlign w:val="center"/>
          </w:tcPr>
          <w:p w14:paraId="5E2ACC04">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0EA9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779DB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14:paraId="29773692">
            <w:pPr>
              <w:rPr>
                <w:rFonts w:hint="eastAsia" w:ascii="仿宋" w:hAnsi="仿宋" w:eastAsia="仿宋" w:cs="仿宋"/>
                <w:color w:val="auto"/>
                <w:sz w:val="24"/>
                <w:szCs w:val="24"/>
                <w:highlight w:val="none"/>
                <w:lang w:val="zh-CN"/>
              </w:rPr>
            </w:pPr>
          </w:p>
        </w:tc>
        <w:tc>
          <w:tcPr>
            <w:tcW w:w="3827" w:type="dxa"/>
            <w:noWrap w:val="0"/>
            <w:vAlign w:val="center"/>
          </w:tcPr>
          <w:p w14:paraId="034231E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noWrap w:val="0"/>
            <w:vAlign w:val="center"/>
          </w:tcPr>
          <w:p w14:paraId="4F847F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5F87F2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6EF2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A75BB5F">
            <w:pPr>
              <w:rPr>
                <w:rFonts w:hint="eastAsia" w:ascii="仿宋" w:hAnsi="仿宋" w:eastAsia="仿宋" w:cs="仿宋"/>
                <w:color w:val="auto"/>
                <w:sz w:val="24"/>
                <w:szCs w:val="24"/>
                <w:highlight w:val="none"/>
                <w:lang w:val="zh-CN"/>
              </w:rPr>
            </w:pPr>
          </w:p>
        </w:tc>
        <w:tc>
          <w:tcPr>
            <w:tcW w:w="3827" w:type="dxa"/>
            <w:noWrap w:val="0"/>
            <w:vAlign w:val="center"/>
          </w:tcPr>
          <w:p w14:paraId="4F8E34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noWrap w:val="0"/>
            <w:vAlign w:val="center"/>
          </w:tcPr>
          <w:p w14:paraId="637586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供应商提供“基本资格条件承诺函”（格式详见第七篇）</w:t>
            </w:r>
          </w:p>
          <w:p w14:paraId="1E6D47C6">
            <w:pPr>
              <w:rPr>
                <w:rFonts w:hint="eastAsia" w:ascii="仿宋" w:hAnsi="仿宋" w:eastAsia="仿宋" w:cs="仿宋"/>
                <w:b/>
                <w:color w:val="auto"/>
                <w:sz w:val="24"/>
                <w:szCs w:val="24"/>
                <w:highlight w:val="none"/>
              </w:rPr>
            </w:pPr>
          </w:p>
        </w:tc>
      </w:tr>
      <w:tr w14:paraId="65CB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271C1BD">
            <w:pPr>
              <w:rPr>
                <w:rFonts w:hint="eastAsia" w:ascii="仿宋" w:hAnsi="仿宋" w:eastAsia="仿宋" w:cs="仿宋"/>
                <w:color w:val="auto"/>
                <w:sz w:val="24"/>
                <w:szCs w:val="24"/>
                <w:highlight w:val="none"/>
                <w:lang w:val="zh-CN"/>
              </w:rPr>
            </w:pPr>
          </w:p>
        </w:tc>
        <w:tc>
          <w:tcPr>
            <w:tcW w:w="3827" w:type="dxa"/>
            <w:noWrap w:val="0"/>
            <w:vAlign w:val="center"/>
          </w:tcPr>
          <w:p w14:paraId="644F366C">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noWrap w:val="0"/>
            <w:vAlign w:val="center"/>
          </w:tcPr>
          <w:p w14:paraId="313C190D">
            <w:pPr>
              <w:rPr>
                <w:rFonts w:hint="eastAsia" w:ascii="仿宋" w:hAnsi="仿宋" w:eastAsia="仿宋" w:cs="仿宋"/>
                <w:color w:val="auto"/>
                <w:sz w:val="24"/>
                <w:szCs w:val="24"/>
                <w:highlight w:val="none"/>
              </w:rPr>
            </w:pPr>
          </w:p>
        </w:tc>
      </w:tr>
      <w:tr w14:paraId="5887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7EDF12">
            <w:pPr>
              <w:rPr>
                <w:rFonts w:hint="eastAsia" w:ascii="仿宋" w:hAnsi="仿宋" w:eastAsia="仿宋" w:cs="仿宋"/>
                <w:color w:val="auto"/>
                <w:sz w:val="24"/>
                <w:szCs w:val="24"/>
                <w:highlight w:val="none"/>
                <w:lang w:val="zh-CN"/>
              </w:rPr>
            </w:pPr>
          </w:p>
        </w:tc>
        <w:tc>
          <w:tcPr>
            <w:tcW w:w="3827" w:type="dxa"/>
            <w:noWrap w:val="0"/>
            <w:vAlign w:val="center"/>
          </w:tcPr>
          <w:p w14:paraId="60E8E14E">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noWrap w:val="0"/>
            <w:vAlign w:val="center"/>
          </w:tcPr>
          <w:p w14:paraId="2B265999">
            <w:pPr>
              <w:rPr>
                <w:rFonts w:hint="eastAsia" w:ascii="仿宋" w:hAnsi="仿宋" w:eastAsia="仿宋" w:cs="仿宋"/>
                <w:color w:val="auto"/>
                <w:sz w:val="24"/>
                <w:szCs w:val="24"/>
                <w:highlight w:val="none"/>
              </w:rPr>
            </w:pPr>
          </w:p>
        </w:tc>
      </w:tr>
      <w:tr w14:paraId="2CDD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CE7CB3F">
            <w:pPr>
              <w:rPr>
                <w:rFonts w:hint="eastAsia" w:ascii="仿宋" w:hAnsi="仿宋" w:eastAsia="仿宋" w:cs="仿宋"/>
                <w:color w:val="auto"/>
                <w:sz w:val="24"/>
                <w:szCs w:val="24"/>
                <w:highlight w:val="none"/>
                <w:lang w:val="zh-CN"/>
              </w:rPr>
            </w:pPr>
          </w:p>
        </w:tc>
        <w:tc>
          <w:tcPr>
            <w:tcW w:w="3827" w:type="dxa"/>
            <w:noWrap w:val="0"/>
            <w:vAlign w:val="center"/>
          </w:tcPr>
          <w:p w14:paraId="348F39A2">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position w:val="-4"/>
                <w:sz w:val="36"/>
                <w:szCs w:val="24"/>
                <w:highlight w:val="none"/>
              </w:rPr>
              <w:instrText xml:space="preserve">○</w:instrText>
            </w:r>
            <w:r>
              <w:rPr>
                <w:rFonts w:hint="eastAsia" w:ascii="仿宋" w:hAnsi="仿宋" w:eastAsia="仿宋" w:cs="仿宋"/>
                <w:color w:val="auto"/>
                <w:position w:val="0"/>
                <w:sz w:val="24"/>
                <w:szCs w:val="24"/>
                <w:highlight w:val="none"/>
              </w:rPr>
              <w:instrText xml:space="preserve">,1)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4984" w:type="dxa"/>
            <w:vMerge w:val="continue"/>
            <w:noWrap w:val="0"/>
            <w:vAlign w:val="center"/>
          </w:tcPr>
          <w:p w14:paraId="028A43D1">
            <w:pPr>
              <w:rPr>
                <w:rFonts w:hint="eastAsia" w:ascii="仿宋" w:hAnsi="仿宋" w:eastAsia="仿宋" w:cs="仿宋"/>
                <w:b/>
                <w:color w:val="auto"/>
                <w:sz w:val="24"/>
                <w:szCs w:val="24"/>
                <w:highlight w:val="none"/>
              </w:rPr>
            </w:pPr>
          </w:p>
        </w:tc>
      </w:tr>
      <w:tr w14:paraId="35D0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109DCFB">
            <w:pPr>
              <w:rPr>
                <w:rFonts w:hint="eastAsia" w:ascii="仿宋" w:hAnsi="仿宋" w:eastAsia="仿宋" w:cs="仿宋"/>
                <w:color w:val="auto"/>
                <w:sz w:val="24"/>
                <w:szCs w:val="24"/>
                <w:highlight w:val="none"/>
              </w:rPr>
            </w:pPr>
          </w:p>
        </w:tc>
        <w:tc>
          <w:tcPr>
            <w:tcW w:w="3827" w:type="dxa"/>
            <w:noWrap w:val="0"/>
            <w:vAlign w:val="center"/>
          </w:tcPr>
          <w:p w14:paraId="61D57C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6.法律、行政法规规定的其他条件以及第一篇“六、其它有关规定”</w:t>
            </w:r>
          </w:p>
        </w:tc>
        <w:tc>
          <w:tcPr>
            <w:tcW w:w="4984" w:type="dxa"/>
            <w:noWrap w:val="0"/>
            <w:vAlign w:val="center"/>
          </w:tcPr>
          <w:p w14:paraId="21FBC9C5">
            <w:pPr>
              <w:rPr>
                <w:rFonts w:hint="eastAsia" w:ascii="仿宋" w:hAnsi="仿宋" w:eastAsia="仿宋" w:cs="仿宋"/>
                <w:color w:val="auto"/>
                <w:sz w:val="24"/>
                <w:szCs w:val="24"/>
                <w:highlight w:val="none"/>
              </w:rPr>
            </w:pPr>
          </w:p>
        </w:tc>
      </w:tr>
      <w:tr w14:paraId="4DF6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4064DB4">
            <w:pPr>
              <w:rPr>
                <w:rFonts w:hint="eastAsia" w:ascii="仿宋" w:hAnsi="仿宋" w:eastAsia="仿宋" w:cs="仿宋"/>
                <w:color w:val="auto"/>
                <w:sz w:val="24"/>
                <w:szCs w:val="24"/>
                <w:highlight w:val="none"/>
              </w:rPr>
            </w:pPr>
          </w:p>
        </w:tc>
        <w:tc>
          <w:tcPr>
            <w:tcW w:w="3827" w:type="dxa"/>
            <w:noWrap w:val="0"/>
            <w:vAlign w:val="center"/>
          </w:tcPr>
          <w:p w14:paraId="3BF3EB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noWrap w:val="0"/>
            <w:vAlign w:val="center"/>
          </w:tcPr>
          <w:p w14:paraId="086616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）本项目的特定资格要求”的要求提交（如果有）。</w:t>
            </w:r>
          </w:p>
        </w:tc>
      </w:tr>
      <w:tr w14:paraId="4D26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6C9E31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27" w:type="dxa"/>
            <w:noWrap w:val="0"/>
            <w:vAlign w:val="center"/>
          </w:tcPr>
          <w:p w14:paraId="4503F3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比选保证金</w:t>
            </w:r>
          </w:p>
        </w:tc>
        <w:tc>
          <w:tcPr>
            <w:tcW w:w="4984" w:type="dxa"/>
            <w:noWrap w:val="0"/>
            <w:vAlign w:val="center"/>
          </w:tcPr>
          <w:p w14:paraId="389066D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按照比选文件要求足额交纳所投包的比选保证金。</w:t>
            </w:r>
          </w:p>
        </w:tc>
      </w:tr>
    </w:tbl>
    <w:p w14:paraId="3BBE523E">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373BBD24">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lt;中华人民共和国政府采购法实施条例&gt;第十九条第一款“较大数额罚款”具体适用问题的意见》（财库〔2022〕3号）执行。供应商可于投标截止日期前通过 “信用中国”网站(www.creditchina.gov.cn)等渠道查询信用记录。</w:t>
      </w:r>
    </w:p>
    <w:p w14:paraId="112292F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b/>
          <w:color w:val="auto"/>
          <w:kern w:val="0"/>
          <w:sz w:val="24"/>
          <w:highlight w:val="none"/>
        </w:rPr>
        <w:t>二</w:t>
      </w:r>
      <w:r>
        <w:rPr>
          <w:rFonts w:hint="eastAsia" w:ascii="仿宋" w:hAnsi="仿宋" w:eastAsia="仿宋" w:cs="仿宋"/>
          <w:color w:val="auto"/>
          <w:kern w:val="0"/>
          <w:sz w:val="24"/>
          <w:highlight w:val="none"/>
        </w:rPr>
        <w:t>）符合性审查</w:t>
      </w:r>
    </w:p>
    <w:p w14:paraId="2566129E">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评标委员会应当对符合资格的供应商的响应文件进行符合性审查，以确定其是否满足比选文件的实质性要求。符合性审查资料表如下：</w:t>
      </w:r>
    </w:p>
    <w:tbl>
      <w:tblPr>
        <w:tblStyle w:val="6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809"/>
        <w:gridCol w:w="5584"/>
      </w:tblGrid>
      <w:tr w14:paraId="04AC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809" w:type="dxa"/>
            <w:noWrap w:val="0"/>
            <w:vAlign w:val="center"/>
          </w:tcPr>
          <w:p w14:paraId="36795120">
            <w:pPr>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4"/>
                <w:szCs w:val="24"/>
                <w:highlight w:val="none"/>
              </w:rPr>
              <w:t>序号</w:t>
            </w:r>
          </w:p>
        </w:tc>
        <w:tc>
          <w:tcPr>
            <w:tcW w:w="3237" w:type="dxa"/>
            <w:gridSpan w:val="2"/>
            <w:noWrap w:val="0"/>
            <w:vAlign w:val="center"/>
          </w:tcPr>
          <w:p w14:paraId="507989E3">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584" w:type="dxa"/>
            <w:noWrap w:val="0"/>
            <w:vAlign w:val="center"/>
          </w:tcPr>
          <w:p w14:paraId="1A8A2E25">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50AC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9" w:type="dxa"/>
            <w:vMerge w:val="restart"/>
            <w:noWrap w:val="0"/>
            <w:vAlign w:val="center"/>
          </w:tcPr>
          <w:p w14:paraId="03BD8A45">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28" w:type="dxa"/>
            <w:vMerge w:val="restart"/>
            <w:noWrap w:val="0"/>
            <w:vAlign w:val="center"/>
          </w:tcPr>
          <w:p w14:paraId="4D8343A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09" w:type="dxa"/>
            <w:noWrap w:val="0"/>
            <w:vAlign w:val="center"/>
          </w:tcPr>
          <w:p w14:paraId="693F3665">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响应文件签署或盖章</w:t>
            </w:r>
          </w:p>
        </w:tc>
        <w:tc>
          <w:tcPr>
            <w:tcW w:w="5584" w:type="dxa"/>
            <w:noWrap w:val="0"/>
            <w:vAlign w:val="center"/>
          </w:tcPr>
          <w:p w14:paraId="40584B89">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响应文件上法定代表人（或其授权代表）或自然人（供应商为自然人）的签署或盖章齐全。</w:t>
            </w:r>
          </w:p>
        </w:tc>
      </w:tr>
      <w:tr w14:paraId="3959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09" w:type="dxa"/>
            <w:vMerge w:val="continue"/>
            <w:noWrap w:val="0"/>
            <w:vAlign w:val="center"/>
          </w:tcPr>
          <w:p w14:paraId="1757CEAC">
            <w:pPr>
              <w:jc w:val="center"/>
              <w:rPr>
                <w:rFonts w:hint="eastAsia" w:ascii="仿宋" w:hAnsi="仿宋" w:eastAsia="仿宋" w:cs="仿宋"/>
                <w:color w:val="auto"/>
                <w:kern w:val="0"/>
                <w:sz w:val="24"/>
                <w:szCs w:val="24"/>
                <w:highlight w:val="none"/>
              </w:rPr>
            </w:pPr>
          </w:p>
        </w:tc>
        <w:tc>
          <w:tcPr>
            <w:tcW w:w="1428" w:type="dxa"/>
            <w:vMerge w:val="continue"/>
            <w:noWrap w:val="0"/>
            <w:vAlign w:val="center"/>
          </w:tcPr>
          <w:p w14:paraId="286E8812">
            <w:pPr>
              <w:rPr>
                <w:rFonts w:hint="eastAsia" w:ascii="仿宋" w:hAnsi="仿宋" w:eastAsia="仿宋" w:cs="仿宋"/>
                <w:color w:val="auto"/>
                <w:kern w:val="0"/>
                <w:sz w:val="24"/>
                <w:szCs w:val="24"/>
                <w:highlight w:val="none"/>
              </w:rPr>
            </w:pPr>
          </w:p>
        </w:tc>
        <w:tc>
          <w:tcPr>
            <w:tcW w:w="1809" w:type="dxa"/>
            <w:noWrap w:val="0"/>
            <w:vAlign w:val="center"/>
          </w:tcPr>
          <w:p w14:paraId="2815D718">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投标方案</w:t>
            </w:r>
          </w:p>
        </w:tc>
        <w:tc>
          <w:tcPr>
            <w:tcW w:w="5584" w:type="dxa"/>
            <w:noWrap w:val="0"/>
            <w:vAlign w:val="center"/>
          </w:tcPr>
          <w:p w14:paraId="53DA5DC8">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每个包只能有一个投标方案。</w:t>
            </w:r>
          </w:p>
        </w:tc>
      </w:tr>
      <w:tr w14:paraId="2CBC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9" w:type="dxa"/>
            <w:vMerge w:val="continue"/>
            <w:noWrap w:val="0"/>
            <w:vAlign w:val="center"/>
          </w:tcPr>
          <w:p w14:paraId="5FA8B539">
            <w:pPr>
              <w:jc w:val="center"/>
              <w:rPr>
                <w:rFonts w:hint="eastAsia" w:ascii="仿宋" w:hAnsi="仿宋" w:eastAsia="仿宋" w:cs="仿宋"/>
                <w:color w:val="auto"/>
                <w:kern w:val="0"/>
                <w:sz w:val="24"/>
                <w:szCs w:val="24"/>
                <w:highlight w:val="none"/>
              </w:rPr>
            </w:pPr>
          </w:p>
        </w:tc>
        <w:tc>
          <w:tcPr>
            <w:tcW w:w="1428" w:type="dxa"/>
            <w:vMerge w:val="continue"/>
            <w:noWrap w:val="0"/>
            <w:vAlign w:val="center"/>
          </w:tcPr>
          <w:p w14:paraId="0D395FFD">
            <w:pPr>
              <w:rPr>
                <w:rFonts w:hint="eastAsia" w:ascii="仿宋" w:hAnsi="仿宋" w:eastAsia="仿宋" w:cs="仿宋"/>
                <w:color w:val="auto"/>
                <w:kern w:val="0"/>
                <w:sz w:val="24"/>
                <w:szCs w:val="24"/>
                <w:highlight w:val="none"/>
              </w:rPr>
            </w:pPr>
          </w:p>
        </w:tc>
        <w:tc>
          <w:tcPr>
            <w:tcW w:w="1809" w:type="dxa"/>
            <w:noWrap w:val="0"/>
            <w:vAlign w:val="center"/>
          </w:tcPr>
          <w:p w14:paraId="240E1290">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584" w:type="dxa"/>
            <w:noWrap w:val="0"/>
            <w:vAlign w:val="center"/>
          </w:tcPr>
          <w:p w14:paraId="36B1F361">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只能在预算金额和最高限价内报价，</w:t>
            </w:r>
            <w:r>
              <w:rPr>
                <w:rFonts w:hint="eastAsia" w:ascii="仿宋" w:hAnsi="仿宋" w:eastAsia="仿宋" w:cs="仿宋"/>
                <w:color w:val="auto"/>
                <w:sz w:val="24"/>
                <w:szCs w:val="24"/>
                <w:highlight w:val="none"/>
              </w:rPr>
              <w:t>只能有一个有效报价，不得提交选择性报价。</w:t>
            </w:r>
          </w:p>
        </w:tc>
      </w:tr>
      <w:tr w14:paraId="6020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noWrap w:val="0"/>
            <w:vAlign w:val="center"/>
          </w:tcPr>
          <w:p w14:paraId="473F372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28" w:type="dxa"/>
            <w:noWrap w:val="0"/>
            <w:vAlign w:val="center"/>
          </w:tcPr>
          <w:p w14:paraId="4D742D7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09" w:type="dxa"/>
            <w:noWrap w:val="0"/>
            <w:vAlign w:val="center"/>
          </w:tcPr>
          <w:p w14:paraId="1FFCEBCA">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584" w:type="dxa"/>
            <w:noWrap w:val="0"/>
            <w:vAlign w:val="center"/>
          </w:tcPr>
          <w:p w14:paraId="7E483381">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响应文件正、副本数量（含电子文档）符合比选文件要求。</w:t>
            </w:r>
          </w:p>
        </w:tc>
      </w:tr>
      <w:tr w14:paraId="3869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9" w:type="dxa"/>
            <w:noWrap w:val="0"/>
            <w:vAlign w:val="center"/>
          </w:tcPr>
          <w:p w14:paraId="54720B8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28" w:type="dxa"/>
            <w:noWrap w:val="0"/>
            <w:vAlign w:val="center"/>
          </w:tcPr>
          <w:p w14:paraId="13BCD33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809" w:type="dxa"/>
            <w:noWrap w:val="0"/>
            <w:vAlign w:val="center"/>
          </w:tcPr>
          <w:p w14:paraId="421FBC4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584" w:type="dxa"/>
            <w:noWrap w:val="0"/>
            <w:vAlign w:val="center"/>
          </w:tcPr>
          <w:p w14:paraId="42649CE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本比选文件第二篇的</w:t>
            </w:r>
            <w:r>
              <w:rPr>
                <w:rFonts w:hint="eastAsia" w:ascii="仿宋" w:hAnsi="仿宋" w:eastAsia="仿宋" w:cs="仿宋"/>
                <w:color w:val="auto"/>
                <w:kern w:val="0"/>
                <w:sz w:val="24"/>
                <w:szCs w:val="24"/>
                <w:highlight w:val="none"/>
                <w:lang w:eastAsia="zh-CN"/>
              </w:rPr>
              <w:t>“二、采购</w:t>
            </w:r>
            <w:r>
              <w:rPr>
                <w:rFonts w:hint="eastAsia" w:ascii="仿宋" w:hAnsi="仿宋" w:eastAsia="仿宋" w:cs="仿宋"/>
                <w:color w:val="auto"/>
                <w:kern w:val="0"/>
                <w:sz w:val="24"/>
                <w:szCs w:val="24"/>
                <w:highlight w:val="none"/>
                <w:lang w:val="en-US" w:eastAsia="zh-CN"/>
              </w:rPr>
              <w:t>服务要求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部分。</w:t>
            </w:r>
          </w:p>
        </w:tc>
      </w:tr>
      <w:tr w14:paraId="7F77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09" w:type="dxa"/>
            <w:noWrap w:val="0"/>
            <w:vAlign w:val="center"/>
          </w:tcPr>
          <w:p w14:paraId="54AD3BA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28" w:type="dxa"/>
            <w:noWrap w:val="0"/>
            <w:vAlign w:val="center"/>
          </w:tcPr>
          <w:p w14:paraId="1843AF7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809" w:type="dxa"/>
            <w:noWrap w:val="0"/>
            <w:vAlign w:val="center"/>
          </w:tcPr>
          <w:p w14:paraId="37963539">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584" w:type="dxa"/>
            <w:noWrap w:val="0"/>
            <w:vAlign w:val="center"/>
          </w:tcPr>
          <w:p w14:paraId="3C55673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本比选文件第三篇的部分。</w:t>
            </w:r>
          </w:p>
        </w:tc>
      </w:tr>
      <w:tr w14:paraId="0026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09" w:type="dxa"/>
            <w:noWrap w:val="0"/>
            <w:vAlign w:val="center"/>
          </w:tcPr>
          <w:p w14:paraId="076974E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28" w:type="dxa"/>
            <w:noWrap w:val="0"/>
            <w:vAlign w:val="center"/>
          </w:tcPr>
          <w:p w14:paraId="7A567CE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1809" w:type="dxa"/>
            <w:noWrap w:val="0"/>
            <w:vAlign w:val="center"/>
          </w:tcPr>
          <w:p w14:paraId="4BB8605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584" w:type="dxa"/>
            <w:noWrap w:val="0"/>
            <w:vAlign w:val="center"/>
          </w:tcPr>
          <w:p w14:paraId="4E7FB8D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投标有效期为投标截止时间起90天。</w:t>
            </w:r>
          </w:p>
        </w:tc>
      </w:tr>
      <w:tr w14:paraId="6D86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09" w:type="dxa"/>
            <w:noWrap w:val="0"/>
            <w:vAlign w:val="center"/>
          </w:tcPr>
          <w:p w14:paraId="50C4D272">
            <w:pPr>
              <w:jc w:val="center"/>
              <w:rPr>
                <w:rFonts w:hint="eastAsia" w:ascii="仿宋" w:hAnsi="仿宋" w:eastAsia="仿宋" w:cs="仿宋"/>
                <w:color w:val="auto"/>
                <w:kern w:val="0"/>
                <w:sz w:val="24"/>
                <w:szCs w:val="24"/>
                <w:highlight w:val="none"/>
                <w:lang w:val="en-US" w:eastAsia="zh-CN"/>
              </w:rPr>
            </w:pPr>
            <w:bookmarkStart w:id="248" w:name="_Toc106030395"/>
            <w:bookmarkStart w:id="249" w:name="_Toc18192"/>
            <w:bookmarkStart w:id="250" w:name="_Toc18"/>
            <w:r>
              <w:rPr>
                <w:rFonts w:hint="eastAsia" w:ascii="仿宋" w:hAnsi="仿宋" w:eastAsia="仿宋" w:cs="仿宋"/>
                <w:color w:val="auto"/>
                <w:kern w:val="0"/>
                <w:sz w:val="24"/>
                <w:szCs w:val="24"/>
                <w:highlight w:val="none"/>
                <w:lang w:val="en-US" w:eastAsia="zh-CN"/>
              </w:rPr>
              <w:t>6</w:t>
            </w:r>
          </w:p>
        </w:tc>
        <w:tc>
          <w:tcPr>
            <w:tcW w:w="1428" w:type="dxa"/>
            <w:noWrap w:val="0"/>
            <w:vAlign w:val="center"/>
          </w:tcPr>
          <w:p w14:paraId="26041D2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tc>
        <w:tc>
          <w:tcPr>
            <w:tcW w:w="1809" w:type="dxa"/>
            <w:noWrap w:val="0"/>
            <w:vAlign w:val="center"/>
          </w:tcPr>
          <w:p w14:paraId="177F09C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584" w:type="dxa"/>
            <w:noWrap w:val="0"/>
            <w:vAlign w:val="center"/>
          </w:tcPr>
          <w:p w14:paraId="6D140EF7">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委托代理人必须为供应商本单位人员，须提供供应商为其缴纳的养老保险证明材料。</w:t>
            </w:r>
          </w:p>
        </w:tc>
      </w:tr>
    </w:tbl>
    <w:p w14:paraId="5977284C">
      <w:pPr>
        <w:keepNext/>
        <w:keepLines/>
        <w:spacing w:line="4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二、评标方法</w:t>
      </w:r>
      <w:bookmarkEnd w:id="248"/>
      <w:bookmarkEnd w:id="249"/>
      <w:bookmarkEnd w:id="250"/>
    </w:p>
    <w:p w14:paraId="4A4CAB55">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本项目采用经评审的最低投标价法进行评标。</w:t>
      </w:r>
    </w:p>
    <w:p w14:paraId="25541E55">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经评审的最低投标价法，是指响应文件满足比选文件全部实质性要求且竞选报价最低的供应商为中标候选人的评标方法。</w:t>
      </w:r>
    </w:p>
    <w:p w14:paraId="4DA7CC1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4F5E297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（一）比较与评价。按比选文件中规定的评标方法和标准，对资格审查和符合性审查合格的响应文件进行商务和技术评估。</w:t>
      </w:r>
    </w:p>
    <w:p w14:paraId="7E7F5C2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（二）推荐中标候选人名单。</w:t>
      </w:r>
    </w:p>
    <w:p w14:paraId="56FC2C7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推荐响应文件满足比选文件全部实质性要求，竞选报价</w:t>
      </w:r>
      <w:r>
        <w:rPr>
          <w:rFonts w:hint="eastAsia" w:ascii="仿宋" w:hAnsi="仿宋" w:eastAsia="仿宋" w:cs="仿宋"/>
          <w:color w:val="auto"/>
          <w:sz w:val="24"/>
          <w:highlight w:val="none"/>
          <w:lang w:val="en-US" w:eastAsia="zh-CN"/>
        </w:rPr>
        <w:t>总额</w:t>
      </w:r>
      <w:r>
        <w:rPr>
          <w:rFonts w:hint="eastAsia" w:ascii="仿宋" w:hAnsi="仿宋" w:eastAsia="仿宋" w:cs="仿宋"/>
          <w:color w:val="auto"/>
          <w:sz w:val="24"/>
          <w:highlight w:val="none"/>
        </w:rPr>
        <w:t>按照由低到高的顺序排名前三的供应商为中标候选人，其中排名第一的供应商为第一中标候选人。</w:t>
      </w:r>
    </w:p>
    <w:p w14:paraId="3EC0374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评标结果按竞选报价总额由低到高顺序排列，若竞选报价总额相同的，</w:t>
      </w:r>
      <w:r>
        <w:rPr>
          <w:rFonts w:hint="eastAsia" w:ascii="仿宋" w:hAnsi="仿宋" w:eastAsia="仿宋" w:cs="仿宋"/>
          <w:color w:val="auto"/>
          <w:sz w:val="24"/>
          <w:highlight w:val="none"/>
          <w:lang w:val="en-US" w:eastAsia="zh-CN"/>
        </w:rPr>
        <w:t>由评标委员会随机抽取进行中标候选人排序</w:t>
      </w:r>
      <w:r>
        <w:rPr>
          <w:rFonts w:hint="eastAsia" w:ascii="仿宋" w:hAnsi="仿宋" w:eastAsia="仿宋" w:cs="仿宋"/>
          <w:color w:val="auto"/>
          <w:sz w:val="24"/>
          <w:highlight w:val="none"/>
        </w:rPr>
        <w:t>。</w:t>
      </w:r>
    </w:p>
    <w:p w14:paraId="04302AC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）关于技术（质量）、商务偏离</w:t>
      </w:r>
    </w:p>
    <w:p w14:paraId="545C000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1.响应文件投标应答有一条及以上不满足比选文件“</w:t>
      </w:r>
      <w:r>
        <w:rPr>
          <w:rFonts w:hint="eastAsia" w:ascii="仿宋" w:hAnsi="仿宋" w:eastAsia="仿宋" w:cs="仿宋"/>
          <w:color w:val="auto"/>
          <w:sz w:val="24"/>
          <w:highlight w:val="none"/>
          <w:lang w:eastAsia="zh-CN"/>
        </w:rPr>
        <w:t>第二篇 项目服务需求</w:t>
      </w:r>
      <w:r>
        <w:rPr>
          <w:rFonts w:hint="eastAsia" w:ascii="仿宋" w:hAnsi="仿宋" w:eastAsia="仿宋" w:cs="仿宋"/>
          <w:color w:val="auto"/>
          <w:sz w:val="24"/>
          <w:highlight w:val="none"/>
        </w:rPr>
        <w:t>”要求的，供应商将失去成为中标候选人的资格；</w:t>
      </w:r>
    </w:p>
    <w:p w14:paraId="5B3E352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2.响应文件投标应答有一条及以上不满足比选文件“第三篇 项目商务需求”要求的，供应商将失去成为中标候选人的资格；</w:t>
      </w:r>
    </w:p>
    <w:p w14:paraId="7A71074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7B03994">
      <w:pPr>
        <w:keepNext/>
        <w:keepLines/>
        <w:spacing w:line="400" w:lineRule="exact"/>
        <w:ind w:firstLine="482" w:firstLineChars="200"/>
        <w:outlineLvl w:val="0"/>
        <w:rPr>
          <w:rFonts w:hint="eastAsia" w:ascii="仿宋" w:hAnsi="仿宋" w:eastAsia="仿宋" w:cs="仿宋"/>
          <w:b/>
          <w:color w:val="auto"/>
          <w:sz w:val="24"/>
          <w:highlight w:val="none"/>
        </w:rPr>
      </w:pPr>
      <w:bookmarkStart w:id="251" w:name="_Toc20423"/>
      <w:bookmarkStart w:id="252" w:name="_Toc30659"/>
      <w:bookmarkStart w:id="253" w:name="_Toc13045"/>
      <w:bookmarkStart w:id="254" w:name="_Toc13232"/>
      <w:bookmarkStart w:id="255" w:name="_Toc29586"/>
      <w:bookmarkStart w:id="256" w:name="_Toc106030397"/>
      <w:bookmarkStart w:id="257" w:name="_Toc4045"/>
      <w:bookmarkStart w:id="258" w:name="_Toc2597"/>
      <w:bookmarkStart w:id="259" w:name="_Toc15200"/>
      <w:bookmarkStart w:id="260" w:name="_Toc18716"/>
      <w:bookmarkStart w:id="261" w:name="_Toc15625"/>
      <w:bookmarkStart w:id="262" w:name="_Toc75793521"/>
      <w:bookmarkStart w:id="263" w:name="_Toc5010"/>
      <w:bookmarkStart w:id="264" w:name="_Toc26747"/>
      <w:bookmarkStart w:id="265" w:name="_Toc22167"/>
      <w:bookmarkStart w:id="266" w:name="_Toc27926"/>
      <w:bookmarkStart w:id="267" w:name="_Toc17065"/>
      <w:bookmarkStart w:id="268" w:name="_Toc10923"/>
      <w:r>
        <w:rPr>
          <w:rFonts w:hint="eastAsia" w:ascii="仿宋" w:hAnsi="仿宋" w:eastAsia="仿宋" w:cs="仿宋"/>
          <w:b/>
          <w:color w:val="auto"/>
          <w:sz w:val="24"/>
          <w:highlight w:val="none"/>
        </w:rPr>
        <w:t>三、无效投标条款</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63A606A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供应商或其响应文件出现下列情况之一者，应为无效投标：</w:t>
      </w:r>
    </w:p>
    <w:p w14:paraId="51CAECF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（一）未按照比选文件的规定提交比选保证金的；</w:t>
      </w:r>
    </w:p>
    <w:p w14:paraId="50DE5AF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（二）响应文件未按比选文件要求签署、盖章的；</w:t>
      </w:r>
    </w:p>
    <w:p w14:paraId="6965630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（三）不具备比选文件中规定的资格要求的；</w:t>
      </w:r>
    </w:p>
    <w:p w14:paraId="3E67B97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（四）报价超过比选文件中规定的预算金额或者最高限价的；</w:t>
      </w:r>
    </w:p>
    <w:p w14:paraId="31FCA7C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（五）响应文件含有采购人不能接受的附加条件的；</w:t>
      </w:r>
    </w:p>
    <w:p w14:paraId="41262A9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（六）供应商串通投标的；</w:t>
      </w:r>
    </w:p>
    <w:p w14:paraId="7A43DE8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（七）法律、法规和比选文件规定的其他无效情形。</w:t>
      </w:r>
    </w:p>
    <w:p w14:paraId="5322D10F">
      <w:pPr>
        <w:keepNext/>
        <w:keepLines/>
        <w:spacing w:line="400" w:lineRule="exact"/>
        <w:ind w:firstLine="482" w:firstLineChars="200"/>
        <w:outlineLvl w:val="0"/>
        <w:rPr>
          <w:rFonts w:hint="eastAsia" w:ascii="仿宋" w:hAnsi="仿宋" w:eastAsia="仿宋" w:cs="仿宋"/>
          <w:b/>
          <w:color w:val="auto"/>
          <w:sz w:val="24"/>
          <w:highlight w:val="none"/>
        </w:rPr>
      </w:pPr>
      <w:bookmarkStart w:id="269" w:name="_Toc27133"/>
      <w:bookmarkStart w:id="270" w:name="_Toc23533"/>
      <w:bookmarkStart w:id="271" w:name="_Toc30605"/>
      <w:bookmarkStart w:id="272" w:name="_Toc11293"/>
      <w:bookmarkStart w:id="273" w:name="_Toc6710"/>
      <w:bookmarkStart w:id="274" w:name="_Toc30419"/>
      <w:bookmarkStart w:id="275" w:name="_Toc20005"/>
      <w:bookmarkStart w:id="276" w:name="_Toc6956"/>
      <w:bookmarkStart w:id="277" w:name="_Toc25549"/>
      <w:bookmarkStart w:id="278" w:name="_Toc14355"/>
      <w:bookmarkStart w:id="279" w:name="_Toc6204"/>
      <w:bookmarkStart w:id="280" w:name="_Toc106030398"/>
      <w:bookmarkStart w:id="281" w:name="_Toc4422"/>
      <w:bookmarkStart w:id="282" w:name="_Toc21946"/>
      <w:bookmarkStart w:id="283" w:name="_Toc75793522"/>
      <w:bookmarkStart w:id="284" w:name="_Toc7802"/>
      <w:bookmarkStart w:id="285" w:name="_Toc25960"/>
      <w:bookmarkStart w:id="286" w:name="_Toc6719"/>
      <w:r>
        <w:rPr>
          <w:rFonts w:hint="eastAsia" w:ascii="仿宋" w:hAnsi="仿宋" w:eastAsia="仿宋" w:cs="仿宋"/>
          <w:b/>
          <w:color w:val="auto"/>
          <w:sz w:val="24"/>
          <w:highlight w:val="none"/>
        </w:rPr>
        <w:t>四、废标条款</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BE1644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在招标采购中，出现下列情形之一的，应予废标：</w:t>
      </w:r>
    </w:p>
    <w:p w14:paraId="4315DB84">
      <w:pPr>
        <w:numPr>
          <w:ilvl w:val="0"/>
          <w:numId w:val="18"/>
        </w:num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响应文件递交</w:t>
      </w:r>
      <w:r>
        <w:rPr>
          <w:rFonts w:hint="eastAsia" w:ascii="仿宋" w:hAnsi="仿宋" w:eastAsia="仿宋" w:cs="仿宋"/>
          <w:color w:val="auto"/>
          <w:sz w:val="24"/>
          <w:highlight w:val="none"/>
        </w:rPr>
        <w:t>截止时间止，</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少于3个的;</w:t>
      </w:r>
    </w:p>
    <w:p w14:paraId="7540E0E5">
      <w:pPr>
        <w:numPr>
          <w:ilvl w:val="0"/>
          <w:numId w:val="18"/>
        </w:num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经评标委员会评审后否决所有</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p>
    <w:p w14:paraId="130868D1">
      <w:pPr>
        <w:numPr>
          <w:ilvl w:val="0"/>
          <w:numId w:val="18"/>
        </w:num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经评标委员会评审后部分</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被否决，导致有效</w:t>
      </w:r>
      <w:r>
        <w:rPr>
          <w:rFonts w:hint="eastAsia" w:ascii="仿宋" w:hAnsi="仿宋" w:eastAsia="仿宋" w:cs="仿宋"/>
          <w:color w:val="auto"/>
          <w:sz w:val="24"/>
          <w:highlight w:val="none"/>
          <w:lang w:val="en-US" w:eastAsia="zh-CN"/>
        </w:rPr>
        <w:t>响应商</w:t>
      </w:r>
      <w:r>
        <w:rPr>
          <w:rFonts w:hint="eastAsia" w:ascii="仿宋" w:hAnsi="仿宋" w:eastAsia="仿宋" w:cs="仿宋"/>
          <w:color w:val="auto"/>
          <w:sz w:val="24"/>
          <w:highlight w:val="none"/>
        </w:rPr>
        <w:t>不足三个的，评标委员会应当否决所有</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。但是有效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的经济、技术等指标仍然具有市场竞争力，能够满足</w:t>
      </w:r>
      <w:r>
        <w:rPr>
          <w:rFonts w:hint="eastAsia" w:ascii="仿宋" w:hAnsi="仿宋" w:eastAsia="仿宋" w:cs="仿宋"/>
          <w:color w:val="auto"/>
          <w:sz w:val="24"/>
          <w:highlight w:val="none"/>
          <w:lang w:val="en-US" w:eastAsia="zh-CN"/>
        </w:rPr>
        <w:t>竞争性比选文件</w:t>
      </w:r>
      <w:r>
        <w:rPr>
          <w:rFonts w:hint="eastAsia" w:ascii="仿宋" w:hAnsi="仿宋" w:eastAsia="仿宋" w:cs="仿宋"/>
          <w:color w:val="auto"/>
          <w:sz w:val="24"/>
          <w:highlight w:val="none"/>
        </w:rPr>
        <w:t>要求的，评标委员会可以继续评标并确定中</w:t>
      </w:r>
      <w:r>
        <w:rPr>
          <w:rFonts w:hint="eastAsia" w:ascii="仿宋" w:hAnsi="仿宋" w:eastAsia="仿宋" w:cs="仿宋"/>
          <w:color w:val="auto"/>
          <w:sz w:val="24"/>
          <w:highlight w:val="none"/>
          <w:lang w:val="en-US" w:eastAsia="zh-CN"/>
        </w:rPr>
        <w:t>选</w:t>
      </w:r>
      <w:r>
        <w:rPr>
          <w:rFonts w:hint="eastAsia" w:ascii="仿宋" w:hAnsi="仿宋" w:eastAsia="仿宋" w:cs="仿宋"/>
          <w:color w:val="auto"/>
          <w:sz w:val="24"/>
          <w:highlight w:val="none"/>
        </w:rPr>
        <w:t>候选人；</w:t>
      </w:r>
    </w:p>
    <w:p w14:paraId="1EBF249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）供应商的报价均超过了采购预算，采购人不能支付的；</w:t>
      </w:r>
    </w:p>
    <w:p w14:paraId="0684A32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）出现影响采购公正的违法、违规行为的；</w:t>
      </w:r>
    </w:p>
    <w:p w14:paraId="24D43C2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）因重大变故，采购任务取消的。</w:t>
      </w:r>
    </w:p>
    <w:p w14:paraId="7D816024">
      <w:pPr>
        <w:snapToGrid w:val="0"/>
        <w:spacing w:line="400" w:lineRule="exact"/>
        <w:ind w:firstLine="480" w:firstLineChars="200"/>
        <w:jc w:val="left"/>
        <w:rPr>
          <w:rFonts w:hint="eastAsia" w:ascii="仿宋" w:hAnsi="仿宋" w:eastAsia="仿宋" w:cs="仿宋"/>
          <w:color w:val="auto"/>
          <w:sz w:val="36"/>
          <w:szCs w:val="30"/>
          <w:highlight w:val="none"/>
        </w:rPr>
        <w:sectPr>
          <w:pgSz w:w="11907" w:h="16840"/>
          <w:pgMar w:top="1134" w:right="1134" w:bottom="1134" w:left="1134"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highlight w:val="none"/>
        </w:rPr>
        <w:t>废标后，除采购任务取消情形外，应当重新组织</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eastAsia="zh-CN"/>
        </w:rPr>
        <w:t>。重新比选的供应商仍然少于三个的，按照招标投标法律法规规定的程序开标和评标。重新比选经评审有有效供应商的，应当依法确定中标候选人。</w:t>
      </w:r>
    </w:p>
    <w:p w14:paraId="11955A0C">
      <w:pPr>
        <w:pStyle w:val="2"/>
        <w:spacing w:before="0" w:beforeLines="0" w:after="0" w:afterLines="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 xml:space="preserve">第五篇  </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须知</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559EC52">
      <w:pPr>
        <w:keepNext/>
        <w:keepLines/>
        <w:spacing w:line="440" w:lineRule="exact"/>
        <w:outlineLvl w:val="0"/>
        <w:rPr>
          <w:rFonts w:hint="eastAsia" w:ascii="仿宋" w:hAnsi="仿宋" w:eastAsia="仿宋" w:cs="仿宋"/>
          <w:b/>
          <w:color w:val="auto"/>
          <w:sz w:val="24"/>
          <w:highlight w:val="none"/>
        </w:rPr>
      </w:pPr>
      <w:bookmarkStart w:id="287" w:name="_Toc4515"/>
      <w:bookmarkStart w:id="288" w:name="_Toc5831"/>
      <w:bookmarkStart w:id="289" w:name="_Toc342913389"/>
      <w:bookmarkStart w:id="290" w:name="_Toc17119"/>
      <w:bookmarkStart w:id="291" w:name="_Toc1327"/>
      <w:bookmarkStart w:id="292" w:name="_Toc10325"/>
      <w:bookmarkStart w:id="293" w:name="_Toc15432"/>
      <w:bookmarkStart w:id="294" w:name="_Toc75793524"/>
      <w:bookmarkStart w:id="295" w:name="_Toc422"/>
      <w:bookmarkStart w:id="296" w:name="_Toc12955"/>
      <w:bookmarkStart w:id="297" w:name="_Toc11996"/>
      <w:bookmarkStart w:id="298" w:name="_Toc10657"/>
      <w:bookmarkStart w:id="299" w:name="_Toc20020"/>
      <w:bookmarkStart w:id="300" w:name="_Toc2439"/>
      <w:bookmarkStart w:id="301" w:name="_Toc106030400"/>
      <w:bookmarkStart w:id="302" w:name="_Toc18929"/>
      <w:bookmarkStart w:id="303" w:name="_Toc13197"/>
      <w:bookmarkStart w:id="304" w:name="_Toc3330"/>
      <w:bookmarkStart w:id="305" w:name="_Toc3327"/>
      <w:bookmarkStart w:id="306" w:name="_Toc27405"/>
      <w:r>
        <w:rPr>
          <w:rFonts w:hint="eastAsia" w:ascii="仿宋" w:hAnsi="仿宋" w:eastAsia="仿宋" w:cs="仿宋"/>
          <w:b/>
          <w:color w:val="auto"/>
          <w:sz w:val="24"/>
          <w:highlight w:val="none"/>
        </w:rPr>
        <w:t>一、比选费用</w:t>
      </w:r>
      <w:bookmarkEnd w:id="287"/>
      <w:bookmarkEnd w:id="288"/>
      <w:bookmarkEnd w:id="289"/>
      <w:bookmarkEnd w:id="290"/>
    </w:p>
    <w:p w14:paraId="69EF3C57">
      <w:pPr>
        <w:widowControl w:val="0"/>
        <w:spacing w:line="40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参与比选的供应商应承担其编制响应文件与递交响应文件所涉及的一切费用，不论比选结果如何，采购人和采购代理机构在任何情况下无义务也无责任承担这些费用。</w:t>
      </w:r>
    </w:p>
    <w:p w14:paraId="28BCF63E">
      <w:pPr>
        <w:keepNext/>
        <w:keepLines/>
        <w:tabs>
          <w:tab w:val="left" w:pos="2640"/>
        </w:tabs>
        <w:spacing w:line="400" w:lineRule="exact"/>
        <w:outlineLvl w:val="0"/>
        <w:rPr>
          <w:rFonts w:hint="eastAsia" w:ascii="仿宋" w:hAnsi="仿宋" w:eastAsia="仿宋" w:cs="仿宋"/>
          <w:b/>
          <w:color w:val="auto"/>
          <w:sz w:val="24"/>
          <w:highlight w:val="none"/>
        </w:rPr>
      </w:pPr>
      <w:bookmarkStart w:id="307" w:name="_Toc15658"/>
      <w:bookmarkStart w:id="308" w:name="_Toc342913391"/>
      <w:bookmarkStart w:id="309" w:name="_Toc15266"/>
      <w:bookmarkStart w:id="310" w:name="_Toc27100"/>
      <w:bookmarkStart w:id="311" w:name="_Toc28572"/>
      <w:r>
        <w:rPr>
          <w:rFonts w:hint="eastAsia" w:ascii="仿宋" w:hAnsi="仿宋" w:eastAsia="仿宋" w:cs="仿宋"/>
          <w:b/>
          <w:color w:val="auto"/>
          <w:sz w:val="24"/>
          <w:highlight w:val="none"/>
        </w:rPr>
        <w:t>二、</w:t>
      </w:r>
      <w:bookmarkEnd w:id="307"/>
      <w:bookmarkEnd w:id="308"/>
      <w:bookmarkEnd w:id="309"/>
      <w:r>
        <w:rPr>
          <w:rFonts w:hint="eastAsia" w:ascii="仿宋" w:hAnsi="仿宋" w:eastAsia="仿宋" w:cs="仿宋"/>
          <w:b/>
          <w:color w:val="auto"/>
          <w:sz w:val="24"/>
          <w:highlight w:val="none"/>
        </w:rPr>
        <w:t>竞争性比选文件</w:t>
      </w:r>
      <w:bookmarkEnd w:id="310"/>
      <w:bookmarkEnd w:id="311"/>
    </w:p>
    <w:p w14:paraId="76406EC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（一）竞争性比选文件由竞争性比选公告、</w:t>
      </w:r>
      <w:r>
        <w:rPr>
          <w:rFonts w:hint="eastAsia" w:ascii="仿宋" w:hAnsi="仿宋" w:eastAsia="仿宋" w:cs="仿宋"/>
          <w:color w:val="auto"/>
          <w:sz w:val="24"/>
          <w:highlight w:val="none"/>
          <w:lang w:eastAsia="zh-CN"/>
        </w:rPr>
        <w:t>项目服务需求</w:t>
      </w:r>
      <w:r>
        <w:rPr>
          <w:rFonts w:hint="eastAsia" w:ascii="仿宋" w:hAnsi="仿宋" w:eastAsia="仿宋" w:cs="仿宋"/>
          <w:color w:val="auto"/>
          <w:sz w:val="24"/>
          <w:highlight w:val="none"/>
        </w:rPr>
        <w:t>、项目商务需求、资格审查及评标办法、供应商须知</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采购合同</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响应文件编制要求七部分组成。</w:t>
      </w:r>
    </w:p>
    <w:p w14:paraId="56203464">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（二）采购人（或采购代理机构）所作的一切有效的书面通知、修改及补充，都是竞争性比选文件不可分割的部分。</w:t>
      </w:r>
    </w:p>
    <w:p w14:paraId="4A0AEC3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（三）竞争性比选文件的解释</w:t>
      </w:r>
    </w:p>
    <w:p w14:paraId="361B91B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如对竞争性比选文件有疑问，必须以书面形式在提交响应文件截止时间2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312" w:name="_Toc318159160"/>
      <w:bookmarkStart w:id="313" w:name="_Toc318159780"/>
      <w:bookmarkStart w:id="314" w:name="_Toc318159349"/>
      <w:bookmarkStart w:id="315" w:name="_Toc318166429"/>
    </w:p>
    <w:p w14:paraId="325CA22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（四）本竞争性比选文件中，比选小组根据与供应商进行比选可能实质性变动的内容为竞争性比选文件第二、三、四篇全部内容。</w:t>
      </w:r>
    </w:p>
    <w:p w14:paraId="0229278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（五）评审的依据为竞争性比选文件和响应文件（含有效的书面承诺）。比选小组判断响应文件对竞争性比选文件的响应，仅基于响应文件本身而不靠外部证据。</w:t>
      </w:r>
    </w:p>
    <w:bookmarkEnd w:id="312"/>
    <w:bookmarkEnd w:id="313"/>
    <w:bookmarkEnd w:id="314"/>
    <w:bookmarkEnd w:id="315"/>
    <w:p w14:paraId="3385250F">
      <w:pPr>
        <w:keepNext/>
        <w:keepLines/>
        <w:spacing w:line="400" w:lineRule="exact"/>
        <w:outlineLvl w:val="0"/>
        <w:rPr>
          <w:rFonts w:hint="eastAsia" w:ascii="仿宋" w:hAnsi="仿宋" w:eastAsia="仿宋" w:cs="仿宋"/>
          <w:b/>
          <w:color w:val="auto"/>
          <w:sz w:val="24"/>
          <w:highlight w:val="none"/>
        </w:rPr>
      </w:pPr>
      <w:bookmarkStart w:id="316" w:name="_Toc15350"/>
      <w:bookmarkStart w:id="317" w:name="_Toc14567"/>
      <w:bookmarkStart w:id="318" w:name="_Toc17357"/>
      <w:bookmarkStart w:id="319" w:name="_Toc342913392"/>
      <w:bookmarkStart w:id="320" w:name="_Toc2215"/>
      <w:bookmarkStart w:id="321" w:name="_Toc102227318"/>
      <w:bookmarkStart w:id="322" w:name="_Toc179714297"/>
      <w:r>
        <w:rPr>
          <w:rFonts w:hint="eastAsia" w:ascii="仿宋" w:hAnsi="仿宋" w:eastAsia="仿宋" w:cs="仿宋"/>
          <w:b/>
          <w:color w:val="auto"/>
          <w:sz w:val="24"/>
          <w:highlight w:val="none"/>
        </w:rPr>
        <w:t>三、比选要求</w:t>
      </w:r>
      <w:bookmarkEnd w:id="316"/>
      <w:bookmarkEnd w:id="317"/>
      <w:bookmarkEnd w:id="318"/>
      <w:bookmarkEnd w:id="319"/>
      <w:bookmarkEnd w:id="320"/>
      <w:bookmarkEnd w:id="321"/>
      <w:bookmarkEnd w:id="322"/>
    </w:p>
    <w:p w14:paraId="0DA1F43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（一）响应文件</w:t>
      </w:r>
    </w:p>
    <w:p w14:paraId="4BC9DCF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1.供应商应当按照竞争性比选文件的要求编制响应文件，并对竞争性比选文件提出的要求和条件作出实质性响应，同时应编制完整的页码、目录。</w:t>
      </w:r>
    </w:p>
    <w:p w14:paraId="1497974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2.响应文件组成</w:t>
      </w:r>
    </w:p>
    <w:p w14:paraId="4061316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1470AA6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（二）联合体</w:t>
      </w:r>
    </w:p>
    <w:p w14:paraId="17CD344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本项目不接受联合体参与比选</w:t>
      </w:r>
    </w:p>
    <w:p w14:paraId="2BFB1AF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（三）比选有效期：响应文件及有关承诺文件有效期为提交响应文件截止时间起90天。</w:t>
      </w:r>
    </w:p>
    <w:p w14:paraId="5BECEF8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（四）修正错误</w:t>
      </w:r>
    </w:p>
    <w:p w14:paraId="5B9517EB">
      <w:pPr>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1.若供应商所递交的响应文件报价中的价格出现大写金额和小写金额不一致的错误，以大写金额为准。</w:t>
      </w:r>
      <w:r>
        <w:rPr>
          <w:rFonts w:hint="eastAsia" w:ascii="仿宋" w:hAnsi="仿宋" w:eastAsia="仿宋" w:cs="仿宋"/>
          <w:color w:val="auto"/>
          <w:sz w:val="24"/>
          <w:highlight w:val="none"/>
          <w:lang w:val="en-US" w:eastAsia="zh-CN"/>
        </w:rPr>
        <w:t>若大写金额与</w:t>
      </w:r>
      <w:r>
        <w:rPr>
          <w:rFonts w:hint="eastAsia" w:ascii="仿宋" w:hAnsi="仿宋" w:eastAsia="仿宋" w:cs="仿宋"/>
          <w:b w:val="0"/>
          <w:bCs w:val="0"/>
          <w:color w:val="auto"/>
          <w:sz w:val="24"/>
          <w:szCs w:val="24"/>
          <w:highlight w:val="none"/>
          <w:lang w:val="en-US" w:eastAsia="zh-CN"/>
        </w:rPr>
        <w:t>供应商在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平台上的报价不一致的，则按无效标处理。</w:t>
      </w:r>
    </w:p>
    <w:p w14:paraId="75829759">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bookmarkStart w:id="323" w:name="_Toc16602"/>
      <w:bookmarkStart w:id="324" w:name="_Toc2994"/>
      <w:r>
        <w:rPr>
          <w:rFonts w:hint="eastAsia" w:ascii="仿宋" w:hAnsi="仿宋" w:eastAsia="仿宋" w:cs="仿宋"/>
          <w:color w:val="auto"/>
          <w:kern w:val="2"/>
          <w:sz w:val="24"/>
          <w:szCs w:val="24"/>
          <w:highlight w:val="none"/>
          <w:lang w:val="en-US" w:eastAsia="zh-CN" w:bidi="ar-SA"/>
        </w:rPr>
        <w:t>（五）响应文件编写要求</w:t>
      </w:r>
    </w:p>
    <w:p w14:paraId="3D5C8F7A">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响应文件应按照第七篇“响应文件编制要求”规定的目录顺序组织编写，同时应编制完整的目录、页码。</w:t>
      </w:r>
    </w:p>
    <w:p w14:paraId="5A464453">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（六）提交响应文件的份数和签署</w:t>
      </w:r>
    </w:p>
    <w:p w14:paraId="266528FA">
      <w:pPr>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1、供应商</w:t>
      </w:r>
      <w:r>
        <w:rPr>
          <w:rFonts w:hint="eastAsia" w:ascii="仿宋" w:hAnsi="仿宋" w:eastAsia="仿宋" w:cs="仿宋"/>
          <w:b w:val="0"/>
          <w:bCs w:val="0"/>
          <w:color w:val="auto"/>
          <w:sz w:val="24"/>
          <w:szCs w:val="24"/>
          <w:highlight w:val="none"/>
          <w:lang w:val="en-US" w:eastAsia="zh-CN"/>
        </w:rPr>
        <w:t>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平台上</w:t>
      </w:r>
      <w:r>
        <w:rPr>
          <w:rFonts w:hint="eastAsia" w:ascii="仿宋" w:hAnsi="仿宋" w:eastAsia="仿宋" w:cs="仿宋"/>
          <w:b w:val="0"/>
          <w:bCs w:val="0"/>
          <w:color w:val="auto"/>
          <w:sz w:val="24"/>
          <w:szCs w:val="24"/>
          <w:highlight w:val="none"/>
        </w:rPr>
        <w:t>须上传</w:t>
      </w:r>
      <w:r>
        <w:rPr>
          <w:rFonts w:hint="eastAsia" w:ascii="仿宋" w:hAnsi="仿宋" w:eastAsia="仿宋" w:cs="仿宋"/>
          <w:b w:val="0"/>
          <w:bCs w:val="0"/>
          <w:color w:val="auto"/>
          <w:sz w:val="24"/>
          <w:szCs w:val="24"/>
          <w:highlight w:val="none"/>
          <w:lang w:val="en-US" w:eastAsia="zh-CN"/>
        </w:rPr>
        <w:t>本项目的</w:t>
      </w:r>
      <w:r>
        <w:rPr>
          <w:rFonts w:hint="eastAsia" w:ascii="仿宋" w:hAnsi="仿宋" w:eastAsia="仿宋" w:cs="仿宋"/>
          <w:b w:val="0"/>
          <w:bCs w:val="0"/>
          <w:color w:val="auto"/>
          <w:sz w:val="24"/>
          <w:szCs w:val="24"/>
          <w:highlight w:val="none"/>
        </w:rPr>
        <w:t>响应文件一份。</w:t>
      </w:r>
      <w:r>
        <w:rPr>
          <w:rFonts w:hint="eastAsia" w:ascii="仿宋" w:hAnsi="仿宋" w:eastAsia="仿宋" w:cs="仿宋"/>
          <w:b w:val="0"/>
          <w:bCs w:val="0"/>
          <w:color w:val="auto"/>
          <w:sz w:val="24"/>
          <w:szCs w:val="24"/>
          <w:highlight w:val="none"/>
          <w:lang w:val="en-US" w:eastAsia="zh-CN"/>
        </w:rPr>
        <w:t>供应商在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平台上的报价必须与上传的响应文件中的报价一致，否则，按无效标处理。</w:t>
      </w:r>
    </w:p>
    <w:p w14:paraId="3A32EEE0">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w:t>
      </w:r>
      <w:r>
        <w:rPr>
          <w:rFonts w:hint="eastAsia" w:ascii="仿宋" w:hAnsi="仿宋" w:eastAsia="仿宋" w:cs="仿宋"/>
          <w:b w:val="0"/>
          <w:bCs w:val="0"/>
          <w:color w:val="auto"/>
          <w:sz w:val="24"/>
          <w:szCs w:val="24"/>
          <w:highlight w:val="none"/>
          <w:lang w:val="en-US" w:eastAsia="zh-CN"/>
        </w:rPr>
        <w:t>的响应文件</w:t>
      </w:r>
      <w:r>
        <w:rPr>
          <w:rFonts w:hint="eastAsia" w:ascii="仿宋" w:hAnsi="仿宋" w:eastAsia="仿宋" w:cs="仿宋"/>
          <w:b w:val="0"/>
          <w:bCs w:val="0"/>
          <w:color w:val="auto"/>
          <w:sz w:val="24"/>
          <w:szCs w:val="24"/>
          <w:highlight w:val="none"/>
        </w:rPr>
        <w:t>应按照</w:t>
      </w:r>
      <w:r>
        <w:rPr>
          <w:rFonts w:hint="eastAsia" w:ascii="仿宋" w:hAnsi="仿宋" w:eastAsia="仿宋" w:cs="仿宋"/>
          <w:b w:val="0"/>
          <w:bCs w:val="0"/>
          <w:color w:val="auto"/>
          <w:sz w:val="24"/>
          <w:szCs w:val="24"/>
          <w:highlight w:val="none"/>
          <w:lang w:val="en-US" w:eastAsia="zh-CN"/>
        </w:rPr>
        <w:t>竞争性比选文件</w:t>
      </w:r>
      <w:r>
        <w:rPr>
          <w:rFonts w:hint="eastAsia" w:ascii="仿宋" w:hAnsi="仿宋" w:eastAsia="仿宋" w:cs="仿宋"/>
          <w:b w:val="0"/>
          <w:bCs w:val="0"/>
          <w:color w:val="auto"/>
          <w:sz w:val="24"/>
          <w:szCs w:val="24"/>
          <w:highlight w:val="none"/>
        </w:rPr>
        <w:t>要求制作，</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签字、盖章的地方必须按规定签字、盖章，并扫描成PDF格式电子文档</w:t>
      </w:r>
      <w:r>
        <w:rPr>
          <w:rFonts w:hint="eastAsia" w:ascii="仿宋" w:hAnsi="仿宋" w:eastAsia="仿宋" w:cs="仿宋"/>
          <w:b w:val="0"/>
          <w:bCs w:val="0"/>
          <w:color w:val="auto"/>
          <w:sz w:val="24"/>
          <w:szCs w:val="24"/>
          <w:highlight w:val="none"/>
          <w:lang w:val="en-US" w:eastAsia="zh-CN"/>
        </w:rPr>
        <w:t>上传至</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lang w:val="en-US" w:eastAsia="zh-CN"/>
        </w:rPr>
        <w:t>平台</w:t>
      </w:r>
      <w:r>
        <w:rPr>
          <w:rFonts w:hint="eastAsia" w:ascii="仿宋" w:hAnsi="仿宋" w:eastAsia="仿宋" w:cs="仿宋"/>
          <w:b w:val="0"/>
          <w:bCs w:val="0"/>
          <w:color w:val="auto"/>
          <w:sz w:val="24"/>
          <w:szCs w:val="24"/>
          <w:highlight w:val="none"/>
        </w:rPr>
        <w:t>，扫描件须清晰可辨，未按要求制作</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val="en-US" w:eastAsia="zh-CN"/>
        </w:rPr>
        <w:t>按</w:t>
      </w:r>
      <w:r>
        <w:rPr>
          <w:rFonts w:hint="eastAsia" w:ascii="仿宋" w:hAnsi="仿宋" w:eastAsia="仿宋" w:cs="仿宋"/>
          <w:b w:val="0"/>
          <w:bCs w:val="0"/>
          <w:color w:val="auto"/>
          <w:sz w:val="24"/>
          <w:szCs w:val="24"/>
          <w:highlight w:val="none"/>
        </w:rPr>
        <w:t>无效标处理。</w:t>
      </w:r>
    </w:p>
    <w:p w14:paraId="1301DC7A">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各供应商参与本项目的比选，除应按要求在行采家-电子竞采（www.gec123.com/xe/）平台上传响应文件外，还应当线下递交响应文件纸质版一式</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份，其中正本一份，副本一份</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每套纸质响应文件须在封面清楚地标明“正本”、“副本”，副本应为正本的完整复印件，副本与正本不一致时以正本为准</w:t>
      </w:r>
      <w:r>
        <w:rPr>
          <w:rFonts w:hint="eastAsia" w:ascii="仿宋" w:hAnsi="仿宋" w:eastAsia="仿宋" w:cs="仿宋"/>
          <w:color w:val="auto"/>
          <w:kern w:val="2"/>
          <w:sz w:val="24"/>
          <w:szCs w:val="24"/>
          <w:highlight w:val="none"/>
          <w:lang w:val="en-US" w:eastAsia="zh-CN" w:bidi="ar-SA"/>
        </w:rPr>
        <w:t>。</w:t>
      </w:r>
    </w:p>
    <w:p w14:paraId="33B0F25E">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在响应文件正本中，竞争性比选文件第七篇“响应文件编制要求”格式中规定签字、盖章的地方必须按其规定签字、盖章。</w:t>
      </w:r>
    </w:p>
    <w:p w14:paraId="5DCC6969">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若供应商对响应文件的错处作必要修改，则应在修改处加盖供应商公章或由法定代表人或法定代表人授权代表签字确认。</w:t>
      </w:r>
    </w:p>
    <w:p w14:paraId="049616D1">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响应文件应按照第七篇“响应文件编制要求”规定的目录顺序组织编写和装订，同时应编制完整的目录、页码。</w:t>
      </w:r>
    </w:p>
    <w:p w14:paraId="5BDEAF04">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lang w:val="en-US" w:eastAsia="zh-CN"/>
        </w:rPr>
        <w:t>采购人以线下递交的纸质版响应文件作为评审依据，</w:t>
      </w:r>
      <w:r>
        <w:rPr>
          <w:rFonts w:hint="eastAsia" w:ascii="仿宋" w:hAnsi="仿宋" w:eastAsia="仿宋" w:cs="仿宋"/>
          <w:color w:val="auto"/>
          <w:sz w:val="24"/>
          <w:highlight w:val="none"/>
        </w:rPr>
        <w:t>纸质版响应文件的总报价应与行采家-电子竞采平台上的总报价一致，否则，按无效标处理。</w:t>
      </w:r>
    </w:p>
    <w:p w14:paraId="0FD6B89A">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（七）响应文件的递交</w:t>
      </w:r>
    </w:p>
    <w:p w14:paraId="2AB819D0">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供应商须在行采家-电子竞采（www.gec123.com/xe/）平台上获取竞争性比选文件，并在规定的时间内按要求报价和上传响应文件，未按要求报价和上传响应文件的视为无效供应商。纸质版响应</w:t>
      </w:r>
      <w:r>
        <w:rPr>
          <w:rFonts w:hint="eastAsia" w:ascii="仿宋" w:hAnsi="仿宋" w:eastAsia="仿宋" w:cs="仿宋"/>
          <w:color w:val="auto"/>
          <w:sz w:val="24"/>
          <w:highlight w:val="none"/>
        </w:rPr>
        <w:t>文件的正本、副本均应密封送达投标地点</w:t>
      </w:r>
      <w:r>
        <w:rPr>
          <w:rFonts w:hint="eastAsia" w:ascii="仿宋" w:hAnsi="仿宋" w:eastAsia="仿宋" w:cs="仿宋"/>
          <w:color w:val="auto"/>
          <w:sz w:val="24"/>
          <w:highlight w:val="none"/>
          <w:lang w:eastAsia="zh-CN"/>
        </w:rPr>
        <w:t>，未在规定的时间内按要求递交纸质版响应文件的，按无效标处理。</w:t>
      </w:r>
    </w:p>
    <w:p w14:paraId="3851583F">
      <w:pPr>
        <w:keepNext/>
        <w:keepLines/>
        <w:spacing w:line="400" w:lineRule="exact"/>
        <w:outlineLvl w:val="0"/>
        <w:rPr>
          <w:rFonts w:hint="eastAsia" w:ascii="仿宋" w:hAnsi="仿宋" w:eastAsia="仿宋" w:cs="仿宋"/>
          <w:b/>
          <w:color w:val="auto"/>
          <w:sz w:val="24"/>
          <w:highlight w:val="none"/>
        </w:rPr>
      </w:pPr>
      <w:bookmarkStart w:id="325" w:name="_Toc1091"/>
      <w:bookmarkStart w:id="326" w:name="_Toc27379"/>
      <w:bookmarkStart w:id="327" w:name="_Toc31706"/>
      <w:bookmarkStart w:id="328" w:name="_Toc23071"/>
      <w:bookmarkStart w:id="329" w:name="_Toc6215"/>
      <w:r>
        <w:rPr>
          <w:rFonts w:hint="eastAsia" w:ascii="仿宋" w:hAnsi="仿宋" w:eastAsia="仿宋" w:cs="仿宋"/>
          <w:b/>
          <w:color w:val="auto"/>
          <w:sz w:val="24"/>
          <w:highlight w:val="none"/>
        </w:rPr>
        <w:t>四、开标</w:t>
      </w:r>
      <w:bookmarkEnd w:id="325"/>
      <w:bookmarkEnd w:id="326"/>
      <w:bookmarkEnd w:id="327"/>
      <w:bookmarkEnd w:id="328"/>
      <w:bookmarkEnd w:id="329"/>
    </w:p>
    <w:p w14:paraId="1AAB8FC4">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（一）开标应当在比选文件确定的时间和地点公开进行。</w:t>
      </w:r>
    </w:p>
    <w:p w14:paraId="4637BE65">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（二）开标由比选人或采购代理机构主持，由采购人法务部对现场全程监督。</w:t>
      </w:r>
    </w:p>
    <w:p w14:paraId="727C77C5">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（三）开标时，宣布供应商名称、竞标价格等其他内容。</w:t>
      </w:r>
    </w:p>
    <w:p w14:paraId="3F8E16DD">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（四）未宣读的竞标价格、价格折扣等实质性内容，评标时不予承认。</w:t>
      </w:r>
    </w:p>
    <w:p w14:paraId="0EF73414">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（五）开标过程应由比选人或采购代理机构指定专人负责记录，并存档备查。采购人代表、监督人、代理机构代表、记录人等有关人员在开标记录上签字确认；</w:t>
      </w:r>
    </w:p>
    <w:p w14:paraId="4EF64531">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（六）开标结束。</w:t>
      </w:r>
    </w:p>
    <w:p w14:paraId="0142F6DB">
      <w:pPr>
        <w:keepNext/>
        <w:keepLines/>
        <w:spacing w:line="400" w:lineRule="exact"/>
        <w:outlineLvl w:val="0"/>
        <w:rPr>
          <w:rFonts w:hint="eastAsia" w:ascii="仿宋" w:hAnsi="仿宋" w:eastAsia="仿宋" w:cs="仿宋"/>
          <w:b/>
          <w:color w:val="auto"/>
          <w:sz w:val="24"/>
          <w:highlight w:val="none"/>
        </w:rPr>
      </w:pPr>
      <w:bookmarkStart w:id="330" w:name="_Toc1523"/>
      <w:bookmarkStart w:id="331" w:name="_Toc17083"/>
      <w:bookmarkStart w:id="332" w:name="_Toc17291"/>
      <w:bookmarkStart w:id="333" w:name="_Toc21710"/>
      <w:bookmarkStart w:id="334" w:name="_Toc20267"/>
      <w:r>
        <w:rPr>
          <w:rFonts w:hint="eastAsia" w:ascii="仿宋" w:hAnsi="仿宋" w:eastAsia="仿宋" w:cs="仿宋"/>
          <w:b/>
          <w:color w:val="auto"/>
          <w:sz w:val="24"/>
          <w:highlight w:val="none"/>
        </w:rPr>
        <w:t>五、评标</w:t>
      </w:r>
      <w:bookmarkEnd w:id="330"/>
      <w:bookmarkEnd w:id="331"/>
      <w:bookmarkEnd w:id="332"/>
      <w:bookmarkEnd w:id="333"/>
      <w:bookmarkEnd w:id="334"/>
    </w:p>
    <w:p w14:paraId="0B74D097">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见第四篇“评标”内容。</w:t>
      </w:r>
    </w:p>
    <w:p w14:paraId="0DFFEDB4">
      <w:pPr>
        <w:keepNext/>
        <w:keepLines/>
        <w:spacing w:line="400" w:lineRule="exact"/>
        <w:outlineLvl w:val="0"/>
        <w:rPr>
          <w:rFonts w:hint="eastAsia" w:ascii="仿宋" w:hAnsi="仿宋" w:eastAsia="仿宋" w:cs="仿宋"/>
          <w:b/>
          <w:color w:val="auto"/>
          <w:sz w:val="24"/>
          <w:highlight w:val="none"/>
        </w:rPr>
      </w:pPr>
      <w:bookmarkStart w:id="335" w:name="_Toc1960"/>
      <w:bookmarkStart w:id="336" w:name="_Toc13807"/>
      <w:r>
        <w:rPr>
          <w:rFonts w:hint="eastAsia" w:ascii="仿宋" w:hAnsi="仿宋" w:eastAsia="仿宋" w:cs="仿宋"/>
          <w:b/>
          <w:color w:val="auto"/>
          <w:sz w:val="24"/>
          <w:highlight w:val="none"/>
        </w:rPr>
        <w:t>六、成交供应商的确认和变更</w:t>
      </w:r>
      <w:bookmarkEnd w:id="323"/>
      <w:bookmarkEnd w:id="324"/>
      <w:bookmarkEnd w:id="335"/>
      <w:bookmarkEnd w:id="336"/>
    </w:p>
    <w:p w14:paraId="6081E69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（一）成交供应商的确认</w:t>
      </w:r>
    </w:p>
    <w:p w14:paraId="746DEA3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05D7348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（二）成交供应商的变更</w:t>
      </w:r>
    </w:p>
    <w:p w14:paraId="3C83E8A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成交供应商</w:t>
      </w:r>
      <w:r>
        <w:rPr>
          <w:rFonts w:hint="eastAsia" w:ascii="仿宋" w:hAnsi="仿宋" w:eastAsia="仿宋" w:cs="仿宋"/>
          <w:color w:val="auto"/>
          <w:sz w:val="24"/>
          <w:szCs w:val="20"/>
          <w:highlight w:val="none"/>
          <w:lang w:val="en-US" w:eastAsia="zh-CN"/>
        </w:rPr>
        <w:t>无正当理由</w:t>
      </w:r>
      <w:r>
        <w:rPr>
          <w:rFonts w:hint="eastAsia" w:ascii="仿宋" w:hAnsi="仿宋" w:eastAsia="仿宋" w:cs="仿宋"/>
          <w:color w:val="auto"/>
          <w:sz w:val="24"/>
          <w:szCs w:val="20"/>
          <w:highlight w:val="none"/>
        </w:rPr>
        <w:t>拒绝与采购人签订合同的，采购人可以按照评标报告推荐的成交候选供应商顺序，确定排名下一位的候选人为成交供应商，也可以重新开展采购活动。</w:t>
      </w:r>
    </w:p>
    <w:p w14:paraId="44CB354F">
      <w:pPr>
        <w:keepNext/>
        <w:keepLines/>
        <w:spacing w:line="400" w:lineRule="exact"/>
        <w:outlineLvl w:val="0"/>
        <w:rPr>
          <w:rFonts w:hint="eastAsia" w:ascii="仿宋" w:hAnsi="仿宋" w:eastAsia="仿宋" w:cs="仿宋"/>
          <w:b/>
          <w:color w:val="auto"/>
          <w:sz w:val="24"/>
          <w:highlight w:val="none"/>
        </w:rPr>
      </w:pPr>
      <w:bookmarkStart w:id="337" w:name="_Toc9365"/>
      <w:bookmarkStart w:id="338" w:name="_Toc342913395"/>
      <w:bookmarkStart w:id="339" w:name="_Toc9755"/>
      <w:bookmarkStart w:id="340" w:name="_Toc18749"/>
      <w:bookmarkStart w:id="341" w:name="_Toc102227321"/>
      <w:bookmarkStart w:id="342" w:name="_Toc10989"/>
      <w:r>
        <w:rPr>
          <w:rFonts w:hint="eastAsia" w:ascii="仿宋" w:hAnsi="仿宋" w:eastAsia="仿宋" w:cs="仿宋"/>
          <w:b/>
          <w:color w:val="auto"/>
          <w:sz w:val="24"/>
          <w:highlight w:val="none"/>
        </w:rPr>
        <w:t>七、</w:t>
      </w:r>
      <w:r>
        <w:rPr>
          <w:rFonts w:hint="eastAsia" w:ascii="仿宋" w:hAnsi="仿宋" w:eastAsia="仿宋" w:cs="仿宋"/>
          <w:b/>
          <w:color w:val="auto"/>
          <w:sz w:val="24"/>
          <w:highlight w:val="none"/>
          <w:lang w:val="en-US" w:eastAsia="zh-CN"/>
        </w:rPr>
        <w:t>中选公示及</w:t>
      </w:r>
      <w:r>
        <w:rPr>
          <w:rFonts w:hint="eastAsia" w:ascii="仿宋" w:hAnsi="仿宋" w:eastAsia="仿宋" w:cs="仿宋"/>
          <w:b/>
          <w:color w:val="auto"/>
          <w:sz w:val="24"/>
          <w:highlight w:val="none"/>
        </w:rPr>
        <w:t>成交通知</w:t>
      </w:r>
      <w:bookmarkEnd w:id="337"/>
      <w:bookmarkEnd w:id="338"/>
      <w:bookmarkEnd w:id="339"/>
      <w:bookmarkEnd w:id="340"/>
      <w:bookmarkEnd w:id="341"/>
      <w:bookmarkEnd w:id="342"/>
    </w:p>
    <w:p w14:paraId="1095D72D">
      <w:pPr>
        <w:snapToGrid w:val="0"/>
        <w:spacing w:line="400" w:lineRule="exact"/>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（一）成交供应商确定后，采购代理机构将在</w:t>
      </w:r>
      <w:r>
        <w:rPr>
          <w:rFonts w:hint="eastAsia" w:ascii="仿宋" w:hAnsi="仿宋" w:eastAsia="仿宋" w:cs="仿宋"/>
          <w:color w:val="auto"/>
          <w:sz w:val="24"/>
          <w:szCs w:val="20"/>
          <w:highlight w:val="none"/>
          <w:lang w:eastAsia="zh-CN"/>
        </w:rPr>
        <w:t>行采家-电子竞采</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eastAsia="zh-CN"/>
        </w:rPr>
        <w:t>www.gec123.com/xe/</w:t>
      </w:r>
      <w:r>
        <w:rPr>
          <w:rFonts w:hint="eastAsia" w:ascii="仿宋" w:hAnsi="仿宋" w:eastAsia="仿宋" w:cs="仿宋"/>
          <w:color w:val="auto"/>
          <w:sz w:val="24"/>
          <w:szCs w:val="20"/>
          <w:highlight w:val="none"/>
        </w:rPr>
        <w:t>）上发布成交结果公告</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公示期为3个日历天，供应商对评标结果提出异议（质疑）、投诉的，应当在公示内向采购人书面提出，超过异议（质疑）或投诉时效的，采购人可不受理。</w:t>
      </w:r>
    </w:p>
    <w:p w14:paraId="4C0DFB81">
      <w:pPr>
        <w:snapToGrid w:val="0"/>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（二）</w:t>
      </w:r>
      <w:r>
        <w:rPr>
          <w:rFonts w:hint="eastAsia" w:ascii="仿宋" w:hAnsi="仿宋" w:eastAsia="仿宋" w:cs="仿宋"/>
          <w:color w:val="auto"/>
          <w:sz w:val="24"/>
          <w:szCs w:val="20"/>
          <w:highlight w:val="none"/>
          <w:lang w:val="en-US" w:eastAsia="zh-CN"/>
        </w:rPr>
        <w:t>本项目公示期结束后无异议（质疑）、投诉的</w:t>
      </w:r>
      <w:r>
        <w:rPr>
          <w:rFonts w:hint="eastAsia" w:ascii="仿宋" w:hAnsi="仿宋" w:eastAsia="仿宋" w:cs="仿宋"/>
          <w:color w:val="auto"/>
          <w:sz w:val="24"/>
          <w:szCs w:val="20"/>
          <w:highlight w:val="none"/>
        </w:rPr>
        <w:t>，采购代理机构将以书面形式发出《中选通知书》。《中选通知书》一经发出即发生法律效力。</w:t>
      </w:r>
    </w:p>
    <w:p w14:paraId="4C893BE4">
      <w:pPr>
        <w:snapToGrid w:val="0"/>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（三）《中选通知书》将作为签订合同的依据。</w:t>
      </w:r>
    </w:p>
    <w:p w14:paraId="13E18E5D">
      <w:pPr>
        <w:keepNext/>
        <w:keepLines/>
        <w:spacing w:line="400" w:lineRule="exact"/>
        <w:outlineLvl w:val="0"/>
        <w:rPr>
          <w:rFonts w:hint="eastAsia" w:ascii="仿宋" w:hAnsi="仿宋" w:eastAsia="仿宋" w:cs="仿宋"/>
          <w:b/>
          <w:color w:val="auto"/>
          <w:sz w:val="24"/>
          <w:highlight w:val="none"/>
        </w:rPr>
      </w:pPr>
      <w:bookmarkStart w:id="343" w:name="_Toc17821"/>
      <w:bookmarkStart w:id="344" w:name="_Toc1181"/>
      <w:bookmarkStart w:id="345" w:name="_Toc9056"/>
      <w:bookmarkStart w:id="346" w:name="_Toc5895"/>
      <w:r>
        <w:rPr>
          <w:rFonts w:hint="eastAsia" w:ascii="仿宋" w:hAnsi="仿宋" w:eastAsia="仿宋" w:cs="仿宋"/>
          <w:b/>
          <w:color w:val="auto"/>
          <w:szCs w:val="21"/>
          <w:highlight w:val="none"/>
        </w:rPr>
        <w:t>八、</w:t>
      </w:r>
      <w:r>
        <w:rPr>
          <w:rFonts w:hint="eastAsia" w:ascii="仿宋" w:hAnsi="仿宋" w:eastAsia="仿宋" w:cs="仿宋"/>
          <w:b/>
          <w:color w:val="auto"/>
          <w:sz w:val="24"/>
          <w:highlight w:val="none"/>
        </w:rPr>
        <w:t>代理服务费</w:t>
      </w:r>
      <w:bookmarkEnd w:id="343"/>
      <w:bookmarkEnd w:id="344"/>
    </w:p>
    <w:p w14:paraId="7D3F481D">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（一）本次竞争性比选由代理机构委托实施，</w:t>
      </w:r>
      <w:r>
        <w:rPr>
          <w:rFonts w:hint="eastAsia" w:ascii="仿宋" w:hAnsi="仿宋" w:eastAsia="仿宋" w:cs="仿宋"/>
          <w:color w:val="auto"/>
          <w:sz w:val="24"/>
          <w:szCs w:val="24"/>
          <w:highlight w:val="none"/>
        </w:rPr>
        <w:t>代理服务费</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中标金额为计费基数，参照渝招投协〔2015〕11号收费标准</w:t>
      </w:r>
      <w:r>
        <w:rPr>
          <w:rFonts w:hint="eastAsia" w:ascii="仿宋" w:hAnsi="仿宋" w:eastAsia="仿宋" w:cs="仿宋"/>
          <w:color w:val="auto"/>
          <w:sz w:val="24"/>
          <w:szCs w:val="24"/>
          <w:highlight w:val="none"/>
          <w:lang w:val="en-US" w:eastAsia="zh-CN"/>
        </w:rPr>
        <w:t>的80%</w:t>
      </w:r>
      <w:r>
        <w:rPr>
          <w:rFonts w:hint="eastAsia" w:ascii="仿宋" w:hAnsi="仿宋" w:eastAsia="仿宋" w:cs="仿宋"/>
          <w:color w:val="auto"/>
          <w:sz w:val="24"/>
          <w:szCs w:val="24"/>
          <w:highlight w:val="none"/>
        </w:rPr>
        <w:t>计取（若计取的代理服务费不足3000.00元时，按3000.00元计取）</w:t>
      </w:r>
      <w:r>
        <w:rPr>
          <w:rFonts w:hint="eastAsia" w:ascii="仿宋" w:hAnsi="仿宋" w:eastAsia="仿宋" w:cs="仿宋"/>
          <w:color w:val="auto"/>
          <w:sz w:val="24"/>
          <w:highlight w:val="none"/>
        </w:rPr>
        <w:t>，由中标供应商在领取中标通知书时一次性向代理机构缴纳。</w:t>
      </w:r>
    </w:p>
    <w:p w14:paraId="26C2DBFC">
      <w:pPr>
        <w:spacing w:line="400" w:lineRule="exact"/>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代理费缴费账户信息如下：</w:t>
      </w:r>
    </w:p>
    <w:p w14:paraId="266F715A">
      <w:pPr>
        <w:spacing w:line="400" w:lineRule="exact"/>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户名：</w:t>
      </w:r>
      <w:r>
        <w:rPr>
          <w:rFonts w:hint="eastAsia" w:ascii="仿宋" w:hAnsi="仿宋" w:eastAsia="仿宋" w:cs="仿宋"/>
          <w:b/>
          <w:bCs/>
          <w:color w:val="auto"/>
          <w:sz w:val="24"/>
          <w:highlight w:val="none"/>
          <w:lang w:eastAsia="zh-CN"/>
        </w:rPr>
        <w:t>重庆多杰数字科技咨询服务有限公司</w:t>
      </w:r>
      <w:r>
        <w:rPr>
          <w:rFonts w:hint="eastAsia" w:ascii="仿宋" w:hAnsi="仿宋" w:eastAsia="仿宋" w:cs="仿宋"/>
          <w:b/>
          <w:bCs/>
          <w:color w:val="auto"/>
          <w:sz w:val="24"/>
          <w:highlight w:val="none"/>
        </w:rPr>
        <w:t xml:space="preserve">    </w:t>
      </w:r>
    </w:p>
    <w:p w14:paraId="3008F691">
      <w:pPr>
        <w:spacing w:line="400" w:lineRule="exact"/>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账号：123916900610001</w:t>
      </w:r>
    </w:p>
    <w:p w14:paraId="4870E369">
      <w:pPr>
        <w:spacing w:line="400" w:lineRule="exact"/>
        <w:ind w:firstLine="361" w:firstLineChars="150"/>
        <w:rPr>
          <w:rFonts w:hint="eastAsia" w:ascii="仿宋" w:hAnsi="仿宋" w:eastAsia="仿宋" w:cs="仿宋"/>
          <w:color w:val="auto"/>
          <w:sz w:val="28"/>
          <w:szCs w:val="20"/>
          <w:highlight w:val="none"/>
        </w:rPr>
      </w:pPr>
      <w:r>
        <w:rPr>
          <w:rFonts w:hint="eastAsia" w:ascii="仿宋" w:hAnsi="仿宋" w:eastAsia="仿宋" w:cs="仿宋"/>
          <w:b/>
          <w:bCs/>
          <w:color w:val="auto"/>
          <w:sz w:val="24"/>
          <w:highlight w:val="none"/>
        </w:rPr>
        <w:t xml:space="preserve">开户行：招商银行重庆分行营业部  </w:t>
      </w:r>
      <w:r>
        <w:rPr>
          <w:rFonts w:hint="eastAsia" w:ascii="仿宋" w:hAnsi="仿宋" w:eastAsia="仿宋" w:cs="仿宋"/>
          <w:color w:val="auto"/>
          <w:sz w:val="28"/>
          <w:szCs w:val="20"/>
          <w:highlight w:val="none"/>
        </w:rPr>
        <w:t xml:space="preserve"> </w:t>
      </w:r>
    </w:p>
    <w:p w14:paraId="36AC72C2">
      <w:pPr>
        <w:keepNext/>
        <w:keepLines/>
        <w:spacing w:line="400" w:lineRule="exact"/>
        <w:outlineLvl w:val="0"/>
        <w:rPr>
          <w:rFonts w:hint="eastAsia" w:ascii="仿宋" w:hAnsi="仿宋" w:eastAsia="仿宋" w:cs="仿宋"/>
          <w:b/>
          <w:color w:val="auto"/>
          <w:sz w:val="24"/>
          <w:highlight w:val="none"/>
        </w:rPr>
      </w:pPr>
      <w:bookmarkStart w:id="347" w:name="_Toc4681"/>
      <w:bookmarkStart w:id="348" w:name="_Toc16053"/>
      <w:r>
        <w:rPr>
          <w:rFonts w:hint="eastAsia" w:ascii="仿宋" w:hAnsi="仿宋" w:eastAsia="仿宋" w:cs="仿宋"/>
          <w:b/>
          <w:color w:val="auto"/>
          <w:szCs w:val="21"/>
          <w:highlight w:val="none"/>
        </w:rPr>
        <w:t>九、</w:t>
      </w:r>
      <w:bookmarkEnd w:id="345"/>
      <w:bookmarkEnd w:id="346"/>
      <w:bookmarkStart w:id="349" w:name="_Toc102227322"/>
      <w:bookmarkStart w:id="350" w:name="_Toc342913396"/>
      <w:bookmarkStart w:id="351" w:name="_Toc9208"/>
      <w:bookmarkStart w:id="352" w:name="_Toc2545"/>
      <w:r>
        <w:rPr>
          <w:rFonts w:hint="eastAsia" w:ascii="仿宋" w:hAnsi="仿宋" w:eastAsia="仿宋" w:cs="仿宋"/>
          <w:b/>
          <w:color w:val="auto"/>
          <w:sz w:val="24"/>
          <w:highlight w:val="none"/>
        </w:rPr>
        <w:t>签订</w:t>
      </w:r>
      <w:bookmarkEnd w:id="349"/>
      <w:r>
        <w:rPr>
          <w:rFonts w:hint="eastAsia" w:ascii="仿宋" w:hAnsi="仿宋" w:eastAsia="仿宋" w:cs="仿宋"/>
          <w:b/>
          <w:color w:val="auto"/>
          <w:sz w:val="24"/>
          <w:highlight w:val="none"/>
        </w:rPr>
        <w:t>合同</w:t>
      </w:r>
      <w:bookmarkEnd w:id="347"/>
      <w:bookmarkEnd w:id="348"/>
      <w:bookmarkEnd w:id="350"/>
      <w:bookmarkEnd w:id="351"/>
      <w:bookmarkEnd w:id="352"/>
    </w:p>
    <w:p w14:paraId="5E13F0D2">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（一）采购人应当自中选通知书发出之日起二十日内，按照竞争性比选文件和成交供应商响应文件的约定，与成交供应商签订书面合同。所签订的合同不得对竞争性比选文件和供应商的响应文件作实质性修改。</w:t>
      </w:r>
    </w:p>
    <w:p w14:paraId="796C4CC1">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（二）竞争性比选文件、供应商的响应文件及澄清文件等，均为签订采购合同的依据。</w:t>
      </w:r>
    </w:p>
    <w:p w14:paraId="79E7551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（三）合同生效条款由供需双方约定，法律、行政法规规定应当办理批准、登记等手续后生效的合同，依照其规定。</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14:paraId="64D30E29">
      <w:pPr>
        <w:pStyle w:val="2"/>
        <w:spacing w:before="0" w:beforeLines="0" w:after="0" w:afterLines="0" w:line="360" w:lineRule="auto"/>
        <w:rPr>
          <w:rFonts w:hint="default" w:ascii="仿宋" w:hAnsi="仿宋" w:eastAsia="仿宋" w:cs="仿宋"/>
          <w:b/>
          <w:color w:val="auto"/>
          <w:highlight w:val="none"/>
          <w:lang w:val="en-US" w:eastAsia="zh-CN"/>
        </w:rPr>
      </w:pPr>
      <w:bookmarkStart w:id="353" w:name="_Toc106030413"/>
      <w:bookmarkStart w:id="354" w:name="_Toc5880"/>
      <w:bookmarkStart w:id="355" w:name="_Toc128"/>
      <w:bookmarkStart w:id="356" w:name="_Toc12210"/>
      <w:bookmarkStart w:id="357" w:name="_Toc28592"/>
      <w:bookmarkStart w:id="358" w:name="_Toc9505"/>
      <w:bookmarkStart w:id="359" w:name="_Toc13696"/>
      <w:bookmarkStart w:id="360" w:name="_Toc3344"/>
      <w:bookmarkStart w:id="361" w:name="_Toc21870"/>
      <w:bookmarkStart w:id="362" w:name="_Toc9831"/>
      <w:bookmarkStart w:id="363" w:name="_Toc5544"/>
      <w:bookmarkStart w:id="364" w:name="_Toc75793536"/>
      <w:bookmarkStart w:id="365" w:name="_Toc7598"/>
      <w:bookmarkStart w:id="366" w:name="_Toc4454"/>
      <w:bookmarkStart w:id="367" w:name="_Toc19939"/>
      <w:bookmarkStart w:id="368" w:name="_Toc17885"/>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highlight w:val="none"/>
        </w:rPr>
        <w:br w:type="page"/>
      </w:r>
      <w:bookmarkStart w:id="369" w:name="_Toc15247"/>
      <w:r>
        <w:rPr>
          <w:rFonts w:hint="eastAsia" w:ascii="仿宋" w:hAnsi="仿宋" w:eastAsia="仿宋" w:cs="仿宋"/>
          <w:b/>
          <w:color w:val="auto"/>
          <w:highlight w:val="none"/>
        </w:rPr>
        <w:t xml:space="preserve">第六篇  </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仿宋" w:hAnsi="仿宋" w:eastAsia="仿宋" w:cs="仿宋"/>
          <w:b/>
          <w:color w:val="auto"/>
          <w:highlight w:val="none"/>
          <w:lang w:val="en-US" w:eastAsia="zh-CN"/>
        </w:rPr>
        <w:t>采购合同</w:t>
      </w:r>
      <w:bookmarkEnd w:id="369"/>
    </w:p>
    <w:p w14:paraId="4366CC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370" w:name="_Toc16964"/>
      <w:bookmarkStart w:id="371" w:name="_Toc12863"/>
      <w:bookmarkStart w:id="372" w:name="_Toc14019"/>
      <w:bookmarkStart w:id="373" w:name="_Toc8818"/>
      <w:bookmarkStart w:id="374" w:name="_Toc31517"/>
      <w:bookmarkStart w:id="375" w:name="_Toc25727"/>
      <w:bookmarkStart w:id="376" w:name="_Toc16203"/>
      <w:bookmarkStart w:id="377" w:name="_Toc106030416"/>
      <w:bookmarkStart w:id="378" w:name="_Toc8132"/>
      <w:bookmarkStart w:id="379" w:name="_Toc9843"/>
      <w:bookmarkStart w:id="380" w:name="_Toc6992"/>
      <w:bookmarkStart w:id="381" w:name="_Toc19519"/>
      <w:bookmarkStart w:id="382" w:name="_Toc12202"/>
      <w:bookmarkStart w:id="383" w:name="_Toc22748"/>
      <w:bookmarkStart w:id="384" w:name="_Toc75793539"/>
      <w:bookmarkStart w:id="385" w:name="_Toc8114"/>
      <w:bookmarkStart w:id="386" w:name="_Toc14325"/>
      <w:r>
        <w:rPr>
          <w:rFonts w:hint="eastAsia" w:ascii="仿宋" w:hAnsi="仿宋" w:eastAsia="仿宋" w:cs="仿宋"/>
          <w:color w:val="auto"/>
          <w:sz w:val="24"/>
          <w:szCs w:val="32"/>
          <w:highlight w:val="none"/>
          <w:lang w:val="en-US" w:eastAsia="zh-CN"/>
        </w:rPr>
        <w:t>注：本项目合同条款在中标后由合同各方签订。</w:t>
      </w:r>
    </w:p>
    <w:bookmarkEnd w:id="370"/>
    <w:p w14:paraId="16235494">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4029C9B8">
      <w:pPr>
        <w:pStyle w:val="2"/>
        <w:spacing w:before="0" w:beforeLines="0" w:after="0" w:afterLines="0" w:line="360" w:lineRule="auto"/>
        <w:rPr>
          <w:rFonts w:hint="eastAsia" w:ascii="仿宋" w:hAnsi="仿宋" w:eastAsia="仿宋" w:cs="仿宋"/>
          <w:b/>
          <w:color w:val="auto"/>
          <w:highlight w:val="none"/>
        </w:rPr>
      </w:pPr>
      <w:bookmarkStart w:id="387" w:name="_Toc26237"/>
      <w:r>
        <w:rPr>
          <w:rFonts w:hint="eastAsia" w:ascii="仿宋" w:hAnsi="仿宋" w:eastAsia="仿宋" w:cs="仿宋"/>
          <w:b/>
          <w:color w:val="auto"/>
          <w:highlight w:val="none"/>
        </w:rPr>
        <w:t xml:space="preserve">第七篇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格式</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6910DB3">
      <w:pPr>
        <w:snapToGrid w:val="0"/>
        <w:spacing w:line="400" w:lineRule="exact"/>
        <w:ind w:firstLine="482" w:firstLineChars="200"/>
        <w:outlineLvl w:val="0"/>
        <w:rPr>
          <w:rFonts w:hint="eastAsia" w:ascii="仿宋" w:hAnsi="仿宋" w:eastAsia="仿宋" w:cs="仿宋"/>
          <w:b/>
          <w:color w:val="auto"/>
          <w:sz w:val="24"/>
          <w:highlight w:val="none"/>
        </w:rPr>
      </w:pPr>
      <w:bookmarkStart w:id="388" w:name="_Toc11173"/>
      <w:bookmarkStart w:id="389" w:name="_Toc28808"/>
      <w:r>
        <w:rPr>
          <w:rFonts w:hint="eastAsia" w:ascii="仿宋" w:hAnsi="仿宋" w:eastAsia="仿宋" w:cs="仿宋"/>
          <w:b/>
          <w:color w:val="auto"/>
          <w:sz w:val="24"/>
          <w:highlight w:val="none"/>
        </w:rPr>
        <w:t>一、经济文件</w:t>
      </w:r>
      <w:bookmarkEnd w:id="388"/>
      <w:bookmarkEnd w:id="389"/>
    </w:p>
    <w:p w14:paraId="5D3031C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（一）开标一览表</w:t>
      </w:r>
    </w:p>
    <w:p w14:paraId="146544B1">
      <w:pPr>
        <w:snapToGrid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明细报价表</w:t>
      </w:r>
    </w:p>
    <w:p w14:paraId="4CC2B23F">
      <w:pPr>
        <w:snapToGrid w:val="0"/>
        <w:spacing w:line="400" w:lineRule="exact"/>
        <w:ind w:firstLine="482" w:firstLineChars="200"/>
        <w:outlineLvl w:val="0"/>
        <w:rPr>
          <w:rFonts w:hint="eastAsia" w:ascii="仿宋" w:hAnsi="仿宋" w:eastAsia="仿宋" w:cs="仿宋"/>
          <w:b/>
          <w:color w:val="auto"/>
          <w:sz w:val="24"/>
          <w:highlight w:val="none"/>
        </w:rPr>
      </w:pPr>
      <w:bookmarkStart w:id="390" w:name="_Toc30460"/>
      <w:bookmarkStart w:id="391" w:name="_Toc24657"/>
      <w:r>
        <w:rPr>
          <w:rFonts w:hint="eastAsia" w:ascii="仿宋" w:hAnsi="仿宋" w:eastAsia="仿宋" w:cs="仿宋"/>
          <w:b/>
          <w:color w:val="auto"/>
          <w:sz w:val="24"/>
          <w:highlight w:val="none"/>
        </w:rPr>
        <w:t>二、服务文件</w:t>
      </w:r>
      <w:bookmarkEnd w:id="390"/>
      <w:bookmarkEnd w:id="391"/>
    </w:p>
    <w:p w14:paraId="7F64CAE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szCs w:val="28"/>
          <w:highlight w:val="none"/>
        </w:rPr>
        <w:t>服务条款差异表</w:t>
      </w:r>
    </w:p>
    <w:p w14:paraId="1028CD5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szCs w:val="28"/>
          <w:highlight w:val="none"/>
        </w:rPr>
        <w:t>其他服务资料</w:t>
      </w:r>
    </w:p>
    <w:p w14:paraId="5E72E6D4">
      <w:pPr>
        <w:snapToGrid w:val="0"/>
        <w:spacing w:line="400" w:lineRule="exact"/>
        <w:ind w:firstLine="482" w:firstLineChars="200"/>
        <w:outlineLvl w:val="0"/>
        <w:rPr>
          <w:rFonts w:hint="eastAsia" w:ascii="仿宋" w:hAnsi="仿宋" w:eastAsia="仿宋" w:cs="仿宋"/>
          <w:b/>
          <w:color w:val="auto"/>
          <w:sz w:val="24"/>
          <w:highlight w:val="none"/>
        </w:rPr>
      </w:pPr>
      <w:bookmarkStart w:id="392" w:name="_Toc28369"/>
      <w:bookmarkStart w:id="393" w:name="_Toc6061"/>
      <w:r>
        <w:rPr>
          <w:rFonts w:hint="eastAsia" w:ascii="仿宋" w:hAnsi="仿宋" w:eastAsia="仿宋" w:cs="仿宋"/>
          <w:b/>
          <w:color w:val="auto"/>
          <w:sz w:val="24"/>
          <w:highlight w:val="none"/>
        </w:rPr>
        <w:t>三、商务文件</w:t>
      </w:r>
      <w:bookmarkEnd w:id="392"/>
      <w:bookmarkEnd w:id="393"/>
    </w:p>
    <w:p w14:paraId="7A885E9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（一）竞选函（格式）</w:t>
      </w:r>
    </w:p>
    <w:p w14:paraId="508A983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（二）商务条款差异表</w:t>
      </w:r>
    </w:p>
    <w:p w14:paraId="117D279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（三）其他商务资料</w:t>
      </w:r>
    </w:p>
    <w:p w14:paraId="28AB19D9">
      <w:pPr>
        <w:tabs>
          <w:tab w:val="left" w:pos="1764"/>
        </w:tabs>
        <w:snapToGrid w:val="0"/>
        <w:spacing w:line="400" w:lineRule="exact"/>
        <w:ind w:firstLine="482" w:firstLineChars="200"/>
        <w:outlineLvl w:val="0"/>
        <w:rPr>
          <w:rFonts w:hint="eastAsia" w:ascii="仿宋" w:hAnsi="仿宋" w:eastAsia="仿宋" w:cs="仿宋"/>
          <w:b/>
          <w:color w:val="auto"/>
          <w:sz w:val="24"/>
          <w:highlight w:val="none"/>
        </w:rPr>
      </w:pPr>
      <w:bookmarkStart w:id="394" w:name="_Toc23028"/>
      <w:bookmarkStart w:id="395" w:name="_Toc19046"/>
      <w:r>
        <w:rPr>
          <w:rFonts w:hint="eastAsia" w:ascii="仿宋" w:hAnsi="仿宋" w:eastAsia="仿宋" w:cs="仿宋"/>
          <w:b/>
          <w:color w:val="auto"/>
          <w:sz w:val="24"/>
          <w:highlight w:val="none"/>
        </w:rPr>
        <w:t>四、其他</w:t>
      </w:r>
      <w:bookmarkEnd w:id="394"/>
      <w:bookmarkEnd w:id="395"/>
    </w:p>
    <w:p w14:paraId="407F41A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（一）其他与项目有关的资料（自附）</w:t>
      </w:r>
    </w:p>
    <w:p w14:paraId="231A0AA8">
      <w:pPr>
        <w:snapToGrid w:val="0"/>
        <w:spacing w:line="400" w:lineRule="exact"/>
        <w:ind w:firstLine="482" w:firstLineChars="200"/>
        <w:outlineLvl w:val="0"/>
        <w:rPr>
          <w:rFonts w:hint="eastAsia" w:ascii="仿宋" w:hAnsi="仿宋" w:eastAsia="仿宋" w:cs="仿宋"/>
          <w:b/>
          <w:color w:val="auto"/>
          <w:sz w:val="24"/>
          <w:highlight w:val="none"/>
        </w:rPr>
      </w:pPr>
      <w:bookmarkStart w:id="396" w:name="_Toc8453"/>
      <w:bookmarkStart w:id="397" w:name="_Toc16407"/>
      <w:r>
        <w:rPr>
          <w:rFonts w:hint="eastAsia" w:ascii="仿宋" w:hAnsi="仿宋" w:eastAsia="仿宋" w:cs="仿宋"/>
          <w:b/>
          <w:color w:val="auto"/>
          <w:sz w:val="24"/>
          <w:highlight w:val="none"/>
        </w:rPr>
        <w:t>五、资格文件</w:t>
      </w:r>
      <w:bookmarkEnd w:id="396"/>
      <w:bookmarkEnd w:id="397"/>
    </w:p>
    <w:p w14:paraId="1190EB3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（一）法人营业执照（副本）或事业单位法人证书（副本）或个体工商户营业执照或有效的自然人身份证明或社会团体法人登记证书复印件</w:t>
      </w:r>
    </w:p>
    <w:p w14:paraId="61692B5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（二）法定代表人身份证明书（格式）</w:t>
      </w:r>
    </w:p>
    <w:p w14:paraId="1B2EFB3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43E0F34">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（四）基本资格条件承诺函（格式）</w:t>
      </w:r>
    </w:p>
    <w:p w14:paraId="44E4998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（五）特定资格条件证书或证明文件</w:t>
      </w:r>
    </w:p>
    <w:p w14:paraId="147BD965">
      <w:pPr>
        <w:pStyle w:val="3"/>
        <w:pageBreakBefore/>
        <w:spacing w:line="500" w:lineRule="exact"/>
        <w:ind w:firstLine="562" w:firstLineChars="200"/>
        <w:rPr>
          <w:rFonts w:hint="eastAsia" w:ascii="仿宋" w:hAnsi="仿宋" w:eastAsia="仿宋" w:cs="仿宋"/>
          <w:b/>
          <w:color w:val="auto"/>
          <w:szCs w:val="28"/>
          <w:highlight w:val="none"/>
        </w:rPr>
      </w:pPr>
      <w:bookmarkStart w:id="398" w:name="_Toc31828"/>
      <w:bookmarkStart w:id="399" w:name="_Toc75793540"/>
      <w:bookmarkStart w:id="400" w:name="_Toc13547"/>
      <w:bookmarkStart w:id="401" w:name="_Toc21561"/>
      <w:bookmarkStart w:id="402" w:name="_Toc14568"/>
      <w:bookmarkStart w:id="403" w:name="_Toc429584884"/>
      <w:bookmarkStart w:id="404" w:name="_Toc13010"/>
      <w:bookmarkStart w:id="405" w:name="_Toc15893"/>
      <w:bookmarkStart w:id="406" w:name="_Toc27612"/>
      <w:bookmarkStart w:id="407" w:name="_Toc10124"/>
      <w:bookmarkStart w:id="408" w:name="_Toc106030417"/>
      <w:bookmarkStart w:id="409" w:name="_Toc18349"/>
      <w:bookmarkStart w:id="410" w:name="_Toc29821"/>
      <w:bookmarkStart w:id="411" w:name="_Toc31914"/>
      <w:bookmarkStart w:id="412" w:name="_Toc23361"/>
      <w:bookmarkStart w:id="413" w:name="_Toc25659"/>
      <w:bookmarkStart w:id="414" w:name="_Toc14552"/>
      <w:bookmarkStart w:id="415" w:name="_Toc27943"/>
      <w:r>
        <w:rPr>
          <w:rFonts w:hint="eastAsia" w:ascii="仿宋" w:hAnsi="仿宋" w:eastAsia="仿宋" w:cs="仿宋"/>
          <w:b/>
          <w:color w:val="auto"/>
          <w:szCs w:val="28"/>
          <w:highlight w:val="none"/>
        </w:rPr>
        <w:t>一、经济文件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290FA1E">
      <w:pPr>
        <w:snapToGrid w:val="0"/>
        <w:spacing w:line="500" w:lineRule="exact"/>
        <w:jc w:val="center"/>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（一）开标一览表</w:t>
      </w:r>
    </w:p>
    <w:p w14:paraId="7FBA3529">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比选项目名称：</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7331"/>
      </w:tblGrid>
      <w:tr w14:paraId="248A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297" w:type="dxa"/>
            <w:vAlign w:val="center"/>
          </w:tcPr>
          <w:p w14:paraId="22B70FE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7331" w:type="dxa"/>
            <w:vAlign w:val="center"/>
          </w:tcPr>
          <w:p w14:paraId="63299548">
            <w:pPr>
              <w:spacing w:line="500" w:lineRule="exact"/>
              <w:jc w:val="center"/>
              <w:rPr>
                <w:rFonts w:hint="eastAsia" w:ascii="仿宋" w:hAnsi="仿宋" w:eastAsia="仿宋" w:cs="仿宋"/>
                <w:color w:val="auto"/>
                <w:sz w:val="24"/>
                <w:szCs w:val="24"/>
                <w:highlight w:val="none"/>
              </w:rPr>
            </w:pPr>
          </w:p>
        </w:tc>
      </w:tr>
      <w:tr w14:paraId="3492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297" w:type="dxa"/>
            <w:vAlign w:val="center"/>
          </w:tcPr>
          <w:p w14:paraId="52DCD053">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7331" w:type="dxa"/>
            <w:shd w:val="clear" w:color="auto" w:fill="auto"/>
            <w:vAlign w:val="center"/>
          </w:tcPr>
          <w:p w14:paraId="4CCCAF4E">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暂定总价（小写）</w:t>
            </w:r>
          </w:p>
        </w:tc>
      </w:tr>
      <w:tr w14:paraId="07B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297" w:type="dxa"/>
            <w:tcBorders>
              <w:bottom w:val="single" w:color="auto" w:sz="4" w:space="0"/>
            </w:tcBorders>
            <w:vAlign w:val="center"/>
          </w:tcPr>
          <w:p w14:paraId="0ACA1E52">
            <w:pPr>
              <w:spacing w:line="500" w:lineRule="exact"/>
              <w:rPr>
                <w:rFonts w:hint="eastAsia" w:ascii="仿宋" w:hAnsi="仿宋" w:eastAsia="仿宋" w:cs="仿宋"/>
                <w:color w:val="auto"/>
                <w:sz w:val="24"/>
                <w:szCs w:val="24"/>
                <w:highlight w:val="none"/>
              </w:rPr>
            </w:pPr>
          </w:p>
        </w:tc>
        <w:tc>
          <w:tcPr>
            <w:tcW w:w="7331" w:type="dxa"/>
            <w:tcBorders>
              <w:bottom w:val="single" w:color="auto" w:sz="4" w:space="0"/>
            </w:tcBorders>
            <w:shd w:val="clear" w:color="auto" w:fill="auto"/>
            <w:vAlign w:val="top"/>
          </w:tcPr>
          <w:p w14:paraId="01355362">
            <w:pPr>
              <w:spacing w:line="500" w:lineRule="exact"/>
              <w:rPr>
                <w:rFonts w:hint="eastAsia" w:ascii="仿宋" w:hAnsi="仿宋" w:eastAsia="仿宋" w:cs="仿宋"/>
                <w:color w:val="auto"/>
                <w:sz w:val="24"/>
                <w:szCs w:val="24"/>
                <w:highlight w:val="none"/>
              </w:rPr>
            </w:pPr>
          </w:p>
        </w:tc>
      </w:tr>
      <w:tr w14:paraId="2274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2"/>
            <w:tcBorders>
              <w:bottom w:val="single" w:color="auto" w:sz="4" w:space="0"/>
            </w:tcBorders>
            <w:vAlign w:val="center"/>
          </w:tcPr>
          <w:p w14:paraId="4039AE7D">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暂定总价</w:t>
            </w:r>
            <w:r>
              <w:rPr>
                <w:rFonts w:hint="eastAsia" w:ascii="仿宋" w:hAnsi="仿宋" w:eastAsia="仿宋" w:cs="仿宋"/>
                <w:color w:val="auto"/>
                <w:sz w:val="24"/>
                <w:szCs w:val="24"/>
                <w:highlight w:val="none"/>
              </w:rPr>
              <w:t xml:space="preserve">（大写）：                           </w:t>
            </w:r>
          </w:p>
        </w:tc>
      </w:tr>
      <w:tr w14:paraId="412A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2"/>
            <w:vAlign w:val="center"/>
          </w:tcPr>
          <w:p w14:paraId="7CDDD7DD">
            <w:pPr>
              <w:pStyle w:val="35"/>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p>
        </w:tc>
      </w:tr>
    </w:tbl>
    <w:p w14:paraId="7773E87C">
      <w:pPr>
        <w:pStyle w:val="35"/>
        <w:spacing w:line="500" w:lineRule="exact"/>
        <w:rPr>
          <w:rFonts w:hint="eastAsia" w:ascii="仿宋" w:hAnsi="仿宋" w:eastAsia="仿宋" w:cs="仿宋"/>
          <w:color w:val="auto"/>
          <w:sz w:val="24"/>
          <w:szCs w:val="28"/>
          <w:highlight w:val="none"/>
        </w:rPr>
      </w:pPr>
    </w:p>
    <w:p w14:paraId="4F63685D">
      <w:pPr>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法定代表人（或法定代表人授权代表）或自然人：</w:t>
      </w:r>
    </w:p>
    <w:p w14:paraId="62364A8E">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（供应商公章）                               （签署或盖章）</w:t>
      </w:r>
    </w:p>
    <w:p w14:paraId="5FEF0108">
      <w:pPr>
        <w:spacing w:line="500" w:lineRule="exact"/>
        <w:rPr>
          <w:rFonts w:hint="eastAsia" w:ascii="仿宋" w:hAnsi="仿宋" w:eastAsia="仿宋" w:cs="仿宋"/>
          <w:color w:val="auto"/>
          <w:sz w:val="24"/>
          <w:szCs w:val="28"/>
          <w:highlight w:val="none"/>
        </w:rPr>
      </w:pPr>
    </w:p>
    <w:p w14:paraId="5CBAE30C">
      <w:pPr>
        <w:spacing w:line="500" w:lineRule="exact"/>
        <w:rPr>
          <w:rFonts w:hint="eastAsia" w:ascii="仿宋" w:hAnsi="仿宋" w:eastAsia="仿宋" w:cs="仿宋"/>
          <w:color w:val="auto"/>
          <w:sz w:val="24"/>
          <w:szCs w:val="28"/>
          <w:highlight w:val="none"/>
        </w:rPr>
      </w:pPr>
    </w:p>
    <w:p w14:paraId="609D8D55">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年     月     日</w:t>
      </w:r>
    </w:p>
    <w:p w14:paraId="682692AB">
      <w:pPr>
        <w:snapToGrid w:val="0"/>
        <w:spacing w:line="500" w:lineRule="exact"/>
        <w:ind w:firstLine="480" w:firstLineChars="200"/>
        <w:rPr>
          <w:rFonts w:hint="eastAsia" w:ascii="仿宋" w:hAnsi="仿宋" w:eastAsia="仿宋" w:cs="仿宋"/>
          <w:color w:val="auto"/>
          <w:sz w:val="24"/>
          <w:szCs w:val="28"/>
          <w:highlight w:val="none"/>
        </w:rPr>
      </w:pPr>
    </w:p>
    <w:p w14:paraId="48D5233B">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说明：</w:t>
      </w:r>
    </w:p>
    <w:p w14:paraId="743507F2">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1.开标一览表按格式填列；</w:t>
      </w:r>
    </w:p>
    <w:p w14:paraId="6E1B867F">
      <w:pPr>
        <w:snapToGrid w:val="0"/>
        <w:spacing w:line="500" w:lineRule="exact"/>
        <w:ind w:firstLine="480" w:firstLineChars="200"/>
        <w:rPr>
          <w:rFonts w:hint="eastAsia" w:ascii="仿宋" w:hAnsi="仿宋" w:eastAsia="仿宋" w:cs="仿宋"/>
          <w:color w:val="auto"/>
          <w:sz w:val="24"/>
          <w:szCs w:val="28"/>
          <w:highlight w:val="none"/>
        </w:rPr>
        <w:sectPr>
          <w:headerReference r:id="rId10" w:type="default"/>
          <w:footerReference r:id="rId11" w:type="default"/>
          <w:pgSz w:w="11906" w:h="16838"/>
          <w:pgMar w:top="2098" w:right="1474" w:bottom="1984" w:left="1587" w:header="850" w:footer="1587" w:gutter="0"/>
          <w:pgNumType w:fmt="decimal"/>
          <w:cols w:space="720" w:num="1"/>
          <w:docGrid w:type="lines" w:linePitch="435" w:charSpace="0"/>
        </w:sectPr>
      </w:pPr>
      <w:r>
        <w:rPr>
          <w:rFonts w:hint="eastAsia" w:ascii="仿宋" w:hAnsi="仿宋" w:eastAsia="仿宋" w:cs="仿宋"/>
          <w:color w:val="auto"/>
          <w:sz w:val="24"/>
          <w:szCs w:val="28"/>
          <w:highlight w:val="none"/>
        </w:rPr>
        <w:t>2.开标一览表在开标大会上当众宣读，务必填写清楚，准确无误；</w:t>
      </w:r>
    </w:p>
    <w:p w14:paraId="2D8BF8F2">
      <w:pPr>
        <w:pStyle w:val="3"/>
        <w:pageBreakBefore/>
        <w:spacing w:line="500" w:lineRule="exact"/>
        <w:rPr>
          <w:rFonts w:hint="default" w:ascii="仿宋" w:hAnsi="仿宋" w:eastAsia="仿宋" w:cs="仿宋"/>
          <w:b w:val="0"/>
          <w:bCs/>
          <w:color w:val="auto"/>
          <w:sz w:val="24"/>
          <w:szCs w:val="24"/>
          <w:highlight w:val="none"/>
          <w:lang w:val="en-US" w:eastAsia="zh-CN"/>
        </w:rPr>
      </w:pPr>
      <w:bookmarkStart w:id="416" w:name="_Toc1449"/>
      <w:bookmarkStart w:id="417" w:name="_Toc15573"/>
      <w:bookmarkStart w:id="418" w:name="_Toc106030418"/>
      <w:bookmarkStart w:id="419" w:name="_Toc3224"/>
      <w:bookmarkStart w:id="420" w:name="_Toc21779"/>
      <w:bookmarkStart w:id="421" w:name="_Toc23774"/>
      <w:bookmarkStart w:id="422" w:name="_Toc15891"/>
      <w:bookmarkStart w:id="423" w:name="_Toc2386"/>
      <w:bookmarkStart w:id="424" w:name="_Toc75793541"/>
      <w:bookmarkStart w:id="425" w:name="_Toc29441"/>
      <w:bookmarkStart w:id="426" w:name="_Toc14980"/>
      <w:bookmarkStart w:id="427" w:name="_Toc1842"/>
      <w:bookmarkStart w:id="428" w:name="_Toc7244"/>
      <w:bookmarkStart w:id="429" w:name="_Toc3836"/>
      <w:bookmarkStart w:id="430" w:name="_Toc11188"/>
      <w:bookmarkStart w:id="431" w:name="_Toc26723"/>
      <w:bookmarkStart w:id="432" w:name="_Toc31344"/>
      <w:bookmarkStart w:id="433" w:name="_Toc2784"/>
      <w:bookmarkStart w:id="434" w:name="_Toc493178790"/>
      <w:bookmarkStart w:id="435" w:name="_Toc5166"/>
      <w:bookmarkStart w:id="436" w:name="_Toc13820"/>
      <w:bookmarkStart w:id="437" w:name="_Toc21203"/>
      <w:r>
        <w:rPr>
          <w:rFonts w:hint="eastAsia" w:ascii="仿宋" w:hAnsi="仿宋" w:eastAsia="仿宋" w:cs="仿宋"/>
          <w:b w:val="0"/>
          <w:bCs/>
          <w:color w:val="auto"/>
          <w:sz w:val="24"/>
          <w:szCs w:val="24"/>
          <w:highlight w:val="none"/>
        </w:rPr>
        <w:t>（二）</w:t>
      </w:r>
      <w:r>
        <w:rPr>
          <w:rFonts w:hint="eastAsia" w:ascii="仿宋" w:hAnsi="仿宋" w:eastAsia="仿宋" w:cs="仿宋"/>
          <w:b w:val="0"/>
          <w:bCs/>
          <w:color w:val="auto"/>
          <w:sz w:val="24"/>
          <w:szCs w:val="24"/>
          <w:highlight w:val="none"/>
          <w:lang w:val="en-US" w:eastAsia="zh-CN"/>
        </w:rPr>
        <w:t>明细报价表</w:t>
      </w:r>
    </w:p>
    <w:tbl>
      <w:tblPr>
        <w:tblStyle w:val="6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572"/>
        <w:gridCol w:w="894"/>
        <w:gridCol w:w="1346"/>
        <w:gridCol w:w="1911"/>
        <w:gridCol w:w="781"/>
        <w:gridCol w:w="894"/>
        <w:gridCol w:w="668"/>
        <w:gridCol w:w="894"/>
      </w:tblGrid>
      <w:tr w14:paraId="4EF8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14:paraId="601A174E">
            <w:pPr>
              <w:snapToGrid w:val="0"/>
              <w:spacing w:line="400" w:lineRule="exact"/>
              <w:ind w:firstLine="480" w:firstLineChars="200"/>
              <w:rPr>
                <w:rFonts w:hint="eastAsia" w:ascii="仿宋" w:hAnsi="仿宋" w:eastAsia="仿宋" w:cs="仿宋"/>
                <w:i w:val="0"/>
                <w:iCs w:val="0"/>
                <w:color w:val="auto"/>
                <w:sz w:val="28"/>
                <w:szCs w:val="28"/>
                <w:highlight w:val="none"/>
                <w:u w:val="none"/>
              </w:rPr>
            </w:pPr>
            <w:r>
              <w:rPr>
                <w:rFonts w:hint="eastAsia" w:ascii="仿宋" w:hAnsi="仿宋" w:eastAsia="仿宋" w:cs="仿宋"/>
                <w:color w:val="auto"/>
                <w:sz w:val="24"/>
                <w:szCs w:val="28"/>
                <w:highlight w:val="none"/>
              </w:rPr>
              <w:t xml:space="preserve">比选项目名称： </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单位：</w:t>
            </w:r>
          </w:p>
        </w:tc>
      </w:tr>
      <w:tr w14:paraId="6938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88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13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品牌</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AE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类型</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C0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型号</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E3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设备编号</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D4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层数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22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限速</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F5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01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7170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9B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2E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85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F4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5C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48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BE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2C5E">
            <w:pPr>
              <w:jc w:val="center"/>
              <w:rPr>
                <w:rFonts w:hint="eastAsia" w:ascii="仿宋" w:hAnsi="仿宋" w:eastAsia="仿宋" w:cs="仿宋"/>
                <w:i w:val="0"/>
                <w:iCs w:val="0"/>
                <w:color w:val="auto"/>
                <w:sz w:val="24"/>
                <w:szCs w:val="24"/>
                <w:highlight w:val="none"/>
                <w:u w:val="none"/>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5D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每月两次维保，并按要求出具维保报告；2、重要接待需按要求蹲点值守；3、配合现场的检查及资料上传事宜；4、报价含所有年检费用（内检/外检）及所有的付费检测项；5、报价含300以内的配件免费更换（市场均价）。</w:t>
            </w:r>
          </w:p>
        </w:tc>
      </w:tr>
      <w:tr w14:paraId="0F8E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09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FF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6D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45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26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0F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3D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3CA4">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99B14">
            <w:pPr>
              <w:jc w:val="center"/>
              <w:rPr>
                <w:rFonts w:hint="eastAsia" w:ascii="仿宋" w:hAnsi="仿宋" w:eastAsia="仿宋" w:cs="仿宋"/>
                <w:i w:val="0"/>
                <w:iCs w:val="0"/>
                <w:color w:val="auto"/>
                <w:sz w:val="24"/>
                <w:szCs w:val="24"/>
                <w:highlight w:val="none"/>
                <w:u w:val="none"/>
              </w:rPr>
            </w:pPr>
          </w:p>
        </w:tc>
      </w:tr>
      <w:tr w14:paraId="1610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16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C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87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42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1F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0E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FF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C826">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1EA1">
            <w:pPr>
              <w:jc w:val="center"/>
              <w:rPr>
                <w:rFonts w:hint="eastAsia" w:ascii="仿宋" w:hAnsi="仿宋" w:eastAsia="仿宋" w:cs="仿宋"/>
                <w:i w:val="0"/>
                <w:iCs w:val="0"/>
                <w:color w:val="auto"/>
                <w:sz w:val="24"/>
                <w:szCs w:val="24"/>
                <w:highlight w:val="none"/>
                <w:u w:val="none"/>
              </w:rPr>
            </w:pPr>
          </w:p>
        </w:tc>
      </w:tr>
      <w:tr w14:paraId="582D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B0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7E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F8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E3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D4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388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C5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6443">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9A14">
            <w:pPr>
              <w:jc w:val="center"/>
              <w:rPr>
                <w:rFonts w:hint="eastAsia" w:ascii="仿宋" w:hAnsi="仿宋" w:eastAsia="仿宋" w:cs="仿宋"/>
                <w:i w:val="0"/>
                <w:iCs w:val="0"/>
                <w:color w:val="auto"/>
                <w:sz w:val="24"/>
                <w:szCs w:val="24"/>
                <w:highlight w:val="none"/>
                <w:u w:val="none"/>
              </w:rPr>
            </w:pPr>
          </w:p>
        </w:tc>
      </w:tr>
      <w:tr w14:paraId="2FDB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72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CE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D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5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3F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31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4F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28DF">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4D33">
            <w:pPr>
              <w:jc w:val="center"/>
              <w:rPr>
                <w:rFonts w:hint="eastAsia" w:ascii="仿宋" w:hAnsi="仿宋" w:eastAsia="仿宋" w:cs="仿宋"/>
                <w:i w:val="0"/>
                <w:iCs w:val="0"/>
                <w:color w:val="auto"/>
                <w:sz w:val="24"/>
                <w:szCs w:val="24"/>
                <w:highlight w:val="none"/>
                <w:u w:val="none"/>
              </w:rPr>
            </w:pPr>
          </w:p>
        </w:tc>
      </w:tr>
      <w:tr w14:paraId="03F2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EA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6E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52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FA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BB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BA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42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B6B3">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0668">
            <w:pPr>
              <w:jc w:val="center"/>
              <w:rPr>
                <w:rFonts w:hint="eastAsia" w:ascii="仿宋" w:hAnsi="仿宋" w:eastAsia="仿宋" w:cs="仿宋"/>
                <w:i w:val="0"/>
                <w:iCs w:val="0"/>
                <w:color w:val="auto"/>
                <w:sz w:val="24"/>
                <w:szCs w:val="24"/>
                <w:highlight w:val="none"/>
                <w:u w:val="none"/>
              </w:rPr>
            </w:pPr>
          </w:p>
        </w:tc>
      </w:tr>
      <w:tr w14:paraId="1324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DE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50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03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3E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80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2C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53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8FE0">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6ACC">
            <w:pPr>
              <w:jc w:val="center"/>
              <w:rPr>
                <w:rFonts w:hint="eastAsia" w:ascii="仿宋" w:hAnsi="仿宋" w:eastAsia="仿宋" w:cs="仿宋"/>
                <w:i w:val="0"/>
                <w:iCs w:val="0"/>
                <w:color w:val="auto"/>
                <w:sz w:val="24"/>
                <w:szCs w:val="24"/>
                <w:highlight w:val="none"/>
                <w:u w:val="none"/>
              </w:rPr>
            </w:pPr>
          </w:p>
        </w:tc>
      </w:tr>
      <w:tr w14:paraId="33E1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2D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C1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09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64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DD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FF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F6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5162">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1969">
            <w:pPr>
              <w:jc w:val="center"/>
              <w:rPr>
                <w:rFonts w:hint="eastAsia" w:ascii="仿宋" w:hAnsi="仿宋" w:eastAsia="仿宋" w:cs="仿宋"/>
                <w:i w:val="0"/>
                <w:iCs w:val="0"/>
                <w:color w:val="auto"/>
                <w:sz w:val="24"/>
                <w:szCs w:val="24"/>
                <w:highlight w:val="none"/>
                <w:u w:val="none"/>
              </w:rPr>
            </w:pPr>
          </w:p>
        </w:tc>
      </w:tr>
      <w:tr w14:paraId="6A3B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1B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B2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AA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52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44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L0MO-014631.009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CE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56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E23C">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E296">
            <w:pPr>
              <w:jc w:val="center"/>
              <w:rPr>
                <w:rFonts w:hint="eastAsia" w:ascii="仿宋" w:hAnsi="仿宋" w:eastAsia="仿宋" w:cs="仿宋"/>
                <w:i w:val="0"/>
                <w:iCs w:val="0"/>
                <w:color w:val="auto"/>
                <w:sz w:val="24"/>
                <w:szCs w:val="24"/>
                <w:highlight w:val="none"/>
                <w:u w:val="none"/>
              </w:rPr>
            </w:pPr>
          </w:p>
        </w:tc>
      </w:tr>
      <w:tr w14:paraId="344C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E2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3A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9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D9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A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79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B8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CD52">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9113">
            <w:pPr>
              <w:jc w:val="center"/>
              <w:rPr>
                <w:rFonts w:hint="eastAsia" w:ascii="仿宋" w:hAnsi="仿宋" w:eastAsia="仿宋" w:cs="仿宋"/>
                <w:i w:val="0"/>
                <w:iCs w:val="0"/>
                <w:color w:val="auto"/>
                <w:sz w:val="24"/>
                <w:szCs w:val="24"/>
                <w:highlight w:val="none"/>
                <w:u w:val="none"/>
              </w:rPr>
            </w:pPr>
          </w:p>
        </w:tc>
      </w:tr>
      <w:tr w14:paraId="492B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6C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48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BA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8A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31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AE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B5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67F1">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DBAC">
            <w:pPr>
              <w:jc w:val="center"/>
              <w:rPr>
                <w:rFonts w:hint="eastAsia" w:ascii="仿宋" w:hAnsi="仿宋" w:eastAsia="仿宋" w:cs="仿宋"/>
                <w:i w:val="0"/>
                <w:iCs w:val="0"/>
                <w:color w:val="auto"/>
                <w:sz w:val="24"/>
                <w:szCs w:val="24"/>
                <w:highlight w:val="none"/>
                <w:u w:val="none"/>
              </w:rPr>
            </w:pPr>
          </w:p>
        </w:tc>
      </w:tr>
      <w:tr w14:paraId="1AFA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B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91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71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24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89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E1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1FDD">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9F08C">
            <w:pPr>
              <w:jc w:val="center"/>
              <w:rPr>
                <w:rFonts w:hint="eastAsia" w:ascii="仿宋" w:hAnsi="仿宋" w:eastAsia="仿宋" w:cs="仿宋"/>
                <w:i w:val="0"/>
                <w:iCs w:val="0"/>
                <w:color w:val="auto"/>
                <w:sz w:val="24"/>
                <w:szCs w:val="24"/>
                <w:highlight w:val="none"/>
                <w:u w:val="none"/>
              </w:rPr>
            </w:pPr>
          </w:p>
        </w:tc>
      </w:tr>
      <w:tr w14:paraId="2CAB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E5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AD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46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5F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A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17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4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2EFC">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DE80A">
            <w:pPr>
              <w:jc w:val="center"/>
              <w:rPr>
                <w:rFonts w:hint="eastAsia" w:ascii="仿宋" w:hAnsi="仿宋" w:eastAsia="仿宋" w:cs="仿宋"/>
                <w:i w:val="0"/>
                <w:iCs w:val="0"/>
                <w:color w:val="auto"/>
                <w:sz w:val="24"/>
                <w:szCs w:val="24"/>
                <w:highlight w:val="none"/>
                <w:u w:val="none"/>
              </w:rPr>
            </w:pPr>
          </w:p>
        </w:tc>
      </w:tr>
      <w:tr w14:paraId="5C6D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3C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CA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11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75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72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D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CF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73C0">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11792">
            <w:pPr>
              <w:jc w:val="center"/>
              <w:rPr>
                <w:rFonts w:hint="eastAsia" w:ascii="仿宋" w:hAnsi="仿宋" w:eastAsia="仿宋" w:cs="仿宋"/>
                <w:i w:val="0"/>
                <w:iCs w:val="0"/>
                <w:color w:val="auto"/>
                <w:sz w:val="24"/>
                <w:szCs w:val="24"/>
                <w:highlight w:val="none"/>
                <w:u w:val="none"/>
              </w:rPr>
            </w:pPr>
          </w:p>
        </w:tc>
      </w:tr>
      <w:tr w14:paraId="786B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92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62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49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A3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C5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12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69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4208">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783D9">
            <w:pPr>
              <w:jc w:val="center"/>
              <w:rPr>
                <w:rFonts w:hint="eastAsia" w:ascii="仿宋" w:hAnsi="仿宋" w:eastAsia="仿宋" w:cs="仿宋"/>
                <w:i w:val="0"/>
                <w:iCs w:val="0"/>
                <w:color w:val="auto"/>
                <w:sz w:val="24"/>
                <w:szCs w:val="24"/>
                <w:highlight w:val="none"/>
                <w:u w:val="none"/>
              </w:rPr>
            </w:pPr>
          </w:p>
        </w:tc>
      </w:tr>
      <w:tr w14:paraId="0F56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02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4C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36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CA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19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AC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0E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CA2">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1CD7">
            <w:pPr>
              <w:jc w:val="center"/>
              <w:rPr>
                <w:rFonts w:hint="eastAsia" w:ascii="仿宋" w:hAnsi="仿宋" w:eastAsia="仿宋" w:cs="仿宋"/>
                <w:i w:val="0"/>
                <w:iCs w:val="0"/>
                <w:color w:val="auto"/>
                <w:sz w:val="24"/>
                <w:szCs w:val="24"/>
                <w:highlight w:val="none"/>
                <w:u w:val="none"/>
              </w:rPr>
            </w:pPr>
          </w:p>
        </w:tc>
      </w:tr>
      <w:tr w14:paraId="1A7B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0B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E1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2F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99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F4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F1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50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A787">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FB2A">
            <w:pPr>
              <w:jc w:val="center"/>
              <w:rPr>
                <w:rFonts w:hint="eastAsia" w:ascii="仿宋" w:hAnsi="仿宋" w:eastAsia="仿宋" w:cs="仿宋"/>
                <w:i w:val="0"/>
                <w:iCs w:val="0"/>
                <w:color w:val="auto"/>
                <w:sz w:val="24"/>
                <w:szCs w:val="24"/>
                <w:highlight w:val="none"/>
                <w:u w:val="none"/>
              </w:rPr>
            </w:pPr>
          </w:p>
        </w:tc>
      </w:tr>
      <w:tr w14:paraId="32E1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AF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2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E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C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88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B8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E8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6AB9">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5313F">
            <w:pPr>
              <w:jc w:val="center"/>
              <w:rPr>
                <w:rFonts w:hint="eastAsia" w:ascii="仿宋" w:hAnsi="仿宋" w:eastAsia="仿宋" w:cs="仿宋"/>
                <w:i w:val="0"/>
                <w:iCs w:val="0"/>
                <w:color w:val="auto"/>
                <w:sz w:val="24"/>
                <w:szCs w:val="24"/>
                <w:highlight w:val="none"/>
                <w:u w:val="none"/>
              </w:rPr>
            </w:pPr>
          </w:p>
        </w:tc>
      </w:tr>
      <w:tr w14:paraId="6CFD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C3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C0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06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A0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8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L0MO-014631.019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7D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7E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AB4A">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5018">
            <w:pPr>
              <w:jc w:val="center"/>
              <w:rPr>
                <w:rFonts w:hint="eastAsia" w:ascii="仿宋" w:hAnsi="仿宋" w:eastAsia="仿宋" w:cs="仿宋"/>
                <w:i w:val="0"/>
                <w:iCs w:val="0"/>
                <w:color w:val="auto"/>
                <w:sz w:val="24"/>
                <w:szCs w:val="24"/>
                <w:highlight w:val="none"/>
                <w:u w:val="none"/>
              </w:rPr>
            </w:pPr>
          </w:p>
        </w:tc>
      </w:tr>
      <w:tr w14:paraId="7CFF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47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F1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5C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E8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0A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2A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8C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B91C">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72308">
            <w:pPr>
              <w:jc w:val="center"/>
              <w:rPr>
                <w:rFonts w:hint="eastAsia" w:ascii="仿宋" w:hAnsi="仿宋" w:eastAsia="仿宋" w:cs="仿宋"/>
                <w:i w:val="0"/>
                <w:iCs w:val="0"/>
                <w:color w:val="auto"/>
                <w:sz w:val="24"/>
                <w:szCs w:val="24"/>
                <w:highlight w:val="none"/>
                <w:u w:val="none"/>
              </w:rPr>
            </w:pPr>
          </w:p>
        </w:tc>
      </w:tr>
      <w:tr w14:paraId="5D56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53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19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AF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96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59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55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55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88EF">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14FB">
            <w:pPr>
              <w:jc w:val="center"/>
              <w:rPr>
                <w:rFonts w:hint="eastAsia" w:ascii="仿宋" w:hAnsi="仿宋" w:eastAsia="仿宋" w:cs="仿宋"/>
                <w:i w:val="0"/>
                <w:iCs w:val="0"/>
                <w:color w:val="auto"/>
                <w:sz w:val="24"/>
                <w:szCs w:val="24"/>
                <w:highlight w:val="none"/>
                <w:u w:val="none"/>
              </w:rPr>
            </w:pPr>
          </w:p>
        </w:tc>
      </w:tr>
      <w:tr w14:paraId="69B9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A5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B5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F3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0E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B1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63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81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685F">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AB81">
            <w:pPr>
              <w:jc w:val="center"/>
              <w:rPr>
                <w:rFonts w:hint="eastAsia" w:ascii="仿宋" w:hAnsi="仿宋" w:eastAsia="仿宋" w:cs="仿宋"/>
                <w:i w:val="0"/>
                <w:iCs w:val="0"/>
                <w:color w:val="auto"/>
                <w:sz w:val="24"/>
                <w:szCs w:val="24"/>
                <w:highlight w:val="none"/>
                <w:u w:val="none"/>
              </w:rPr>
            </w:pPr>
          </w:p>
        </w:tc>
      </w:tr>
      <w:tr w14:paraId="38F4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0A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B9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22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CA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3B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C0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A3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C24D">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F2F40">
            <w:pPr>
              <w:jc w:val="center"/>
              <w:rPr>
                <w:rFonts w:hint="eastAsia" w:ascii="仿宋" w:hAnsi="仿宋" w:eastAsia="仿宋" w:cs="仿宋"/>
                <w:i w:val="0"/>
                <w:iCs w:val="0"/>
                <w:color w:val="auto"/>
                <w:sz w:val="24"/>
                <w:szCs w:val="24"/>
                <w:highlight w:val="none"/>
                <w:u w:val="none"/>
              </w:rPr>
            </w:pPr>
          </w:p>
        </w:tc>
      </w:tr>
      <w:tr w14:paraId="3D0B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3D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D4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10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4C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80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24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67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481">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2814">
            <w:pPr>
              <w:jc w:val="center"/>
              <w:rPr>
                <w:rFonts w:hint="eastAsia" w:ascii="仿宋" w:hAnsi="仿宋" w:eastAsia="仿宋" w:cs="仿宋"/>
                <w:i w:val="0"/>
                <w:iCs w:val="0"/>
                <w:color w:val="auto"/>
                <w:sz w:val="24"/>
                <w:szCs w:val="24"/>
                <w:highlight w:val="none"/>
                <w:u w:val="none"/>
              </w:rPr>
            </w:pPr>
          </w:p>
        </w:tc>
      </w:tr>
      <w:tr w14:paraId="41BB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E9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A0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蒂升电梯（中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国）有限公司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EA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05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meta200MRL</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EF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L0MO-014631.025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E5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57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BA1C">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1271E">
            <w:pPr>
              <w:jc w:val="center"/>
              <w:rPr>
                <w:rFonts w:hint="eastAsia" w:ascii="仿宋" w:hAnsi="仿宋" w:eastAsia="仿宋" w:cs="仿宋"/>
                <w:i w:val="0"/>
                <w:iCs w:val="0"/>
                <w:color w:val="auto"/>
                <w:sz w:val="24"/>
                <w:szCs w:val="24"/>
                <w:highlight w:val="none"/>
                <w:u w:val="none"/>
              </w:rPr>
            </w:pPr>
          </w:p>
        </w:tc>
      </w:tr>
      <w:tr w14:paraId="0FAF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B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A1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7F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4E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D7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6F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BD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34D6">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DAE4">
            <w:pPr>
              <w:jc w:val="center"/>
              <w:rPr>
                <w:rFonts w:hint="eastAsia" w:ascii="仿宋" w:hAnsi="仿宋" w:eastAsia="仿宋" w:cs="仿宋"/>
                <w:i w:val="0"/>
                <w:iCs w:val="0"/>
                <w:color w:val="auto"/>
                <w:sz w:val="24"/>
                <w:szCs w:val="24"/>
                <w:highlight w:val="none"/>
                <w:u w:val="none"/>
              </w:rPr>
            </w:pPr>
          </w:p>
        </w:tc>
      </w:tr>
      <w:tr w14:paraId="3EEC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97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40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4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FA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6B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D2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2E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EBEF">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67C3">
            <w:pPr>
              <w:jc w:val="center"/>
              <w:rPr>
                <w:rFonts w:hint="eastAsia" w:ascii="仿宋" w:hAnsi="仿宋" w:eastAsia="仿宋" w:cs="仿宋"/>
                <w:i w:val="0"/>
                <w:iCs w:val="0"/>
                <w:color w:val="auto"/>
                <w:sz w:val="24"/>
                <w:szCs w:val="24"/>
                <w:highlight w:val="none"/>
                <w:u w:val="none"/>
              </w:rPr>
            </w:pPr>
          </w:p>
        </w:tc>
      </w:tr>
      <w:tr w14:paraId="7A61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B9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D4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87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28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57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39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91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1D3E">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1276A">
            <w:pPr>
              <w:jc w:val="center"/>
              <w:rPr>
                <w:rFonts w:hint="eastAsia" w:ascii="仿宋" w:hAnsi="仿宋" w:eastAsia="仿宋" w:cs="仿宋"/>
                <w:i w:val="0"/>
                <w:iCs w:val="0"/>
                <w:color w:val="auto"/>
                <w:sz w:val="24"/>
                <w:szCs w:val="24"/>
                <w:highlight w:val="none"/>
                <w:u w:val="none"/>
              </w:rPr>
            </w:pPr>
          </w:p>
        </w:tc>
      </w:tr>
      <w:tr w14:paraId="35B3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EB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9A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A3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3B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FB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0E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88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74EE">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295F">
            <w:pPr>
              <w:jc w:val="center"/>
              <w:rPr>
                <w:rFonts w:hint="eastAsia" w:ascii="仿宋" w:hAnsi="仿宋" w:eastAsia="仿宋" w:cs="仿宋"/>
                <w:i w:val="0"/>
                <w:iCs w:val="0"/>
                <w:color w:val="auto"/>
                <w:sz w:val="24"/>
                <w:szCs w:val="24"/>
                <w:highlight w:val="none"/>
                <w:u w:val="none"/>
              </w:rPr>
            </w:pPr>
          </w:p>
        </w:tc>
      </w:tr>
      <w:tr w14:paraId="66BE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4E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CA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66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AF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83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19058219</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73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67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3F22">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3AF26">
            <w:pPr>
              <w:jc w:val="center"/>
              <w:rPr>
                <w:rFonts w:hint="eastAsia" w:ascii="仿宋" w:hAnsi="仿宋" w:eastAsia="仿宋" w:cs="仿宋"/>
                <w:i w:val="0"/>
                <w:iCs w:val="0"/>
                <w:color w:val="auto"/>
                <w:sz w:val="24"/>
                <w:szCs w:val="24"/>
                <w:highlight w:val="none"/>
                <w:u w:val="none"/>
              </w:rPr>
            </w:pPr>
          </w:p>
        </w:tc>
      </w:tr>
      <w:tr w14:paraId="3FAE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5C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EF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6B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5D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AF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56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A3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70B">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85E62">
            <w:pPr>
              <w:jc w:val="center"/>
              <w:rPr>
                <w:rFonts w:hint="eastAsia" w:ascii="仿宋" w:hAnsi="仿宋" w:eastAsia="仿宋" w:cs="仿宋"/>
                <w:i w:val="0"/>
                <w:iCs w:val="0"/>
                <w:color w:val="auto"/>
                <w:sz w:val="24"/>
                <w:szCs w:val="24"/>
                <w:highlight w:val="none"/>
                <w:u w:val="none"/>
              </w:rPr>
            </w:pPr>
          </w:p>
        </w:tc>
      </w:tr>
      <w:tr w14:paraId="672D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89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60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3E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CF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8C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6B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38F6">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CE644">
            <w:pPr>
              <w:jc w:val="center"/>
              <w:rPr>
                <w:rFonts w:hint="eastAsia" w:ascii="仿宋" w:hAnsi="仿宋" w:eastAsia="仿宋" w:cs="仿宋"/>
                <w:i w:val="0"/>
                <w:iCs w:val="0"/>
                <w:color w:val="auto"/>
                <w:sz w:val="24"/>
                <w:szCs w:val="24"/>
                <w:highlight w:val="none"/>
                <w:u w:val="none"/>
              </w:rPr>
            </w:pPr>
          </w:p>
        </w:tc>
      </w:tr>
      <w:tr w14:paraId="1198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E1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1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FA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9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AE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66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18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0FB3">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A245">
            <w:pPr>
              <w:jc w:val="center"/>
              <w:rPr>
                <w:rFonts w:hint="eastAsia" w:ascii="仿宋" w:hAnsi="仿宋" w:eastAsia="仿宋" w:cs="仿宋"/>
                <w:i w:val="0"/>
                <w:iCs w:val="0"/>
                <w:color w:val="auto"/>
                <w:sz w:val="24"/>
                <w:szCs w:val="24"/>
                <w:highlight w:val="none"/>
                <w:u w:val="none"/>
              </w:rPr>
            </w:pPr>
          </w:p>
        </w:tc>
      </w:tr>
      <w:tr w14:paraId="3EC7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2E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6A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36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6C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1D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A5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51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657C">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A116E">
            <w:pPr>
              <w:jc w:val="center"/>
              <w:rPr>
                <w:rFonts w:hint="eastAsia" w:ascii="仿宋" w:hAnsi="仿宋" w:eastAsia="仿宋" w:cs="仿宋"/>
                <w:i w:val="0"/>
                <w:iCs w:val="0"/>
                <w:color w:val="auto"/>
                <w:sz w:val="24"/>
                <w:szCs w:val="24"/>
                <w:highlight w:val="none"/>
                <w:u w:val="none"/>
              </w:rPr>
            </w:pPr>
          </w:p>
        </w:tc>
      </w:tr>
      <w:tr w14:paraId="7E02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EC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E7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6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69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BA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1C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24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F0E3">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D98A">
            <w:pPr>
              <w:jc w:val="center"/>
              <w:rPr>
                <w:rFonts w:hint="eastAsia" w:ascii="仿宋" w:hAnsi="仿宋" w:eastAsia="仿宋" w:cs="仿宋"/>
                <w:i w:val="0"/>
                <w:iCs w:val="0"/>
                <w:color w:val="auto"/>
                <w:sz w:val="24"/>
                <w:szCs w:val="24"/>
                <w:highlight w:val="none"/>
                <w:u w:val="none"/>
              </w:rPr>
            </w:pPr>
          </w:p>
        </w:tc>
      </w:tr>
      <w:tr w14:paraId="6CF7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16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BC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F1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F1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53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75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FB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2BE8">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3C85">
            <w:pPr>
              <w:jc w:val="center"/>
              <w:rPr>
                <w:rFonts w:hint="eastAsia" w:ascii="仿宋" w:hAnsi="仿宋" w:eastAsia="仿宋" w:cs="仿宋"/>
                <w:i w:val="0"/>
                <w:iCs w:val="0"/>
                <w:color w:val="auto"/>
                <w:sz w:val="24"/>
                <w:szCs w:val="24"/>
                <w:highlight w:val="none"/>
                <w:u w:val="none"/>
              </w:rPr>
            </w:pPr>
          </w:p>
        </w:tc>
      </w:tr>
      <w:tr w14:paraId="6C74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9B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C3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F9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0A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C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1F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5F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60FE">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998F">
            <w:pPr>
              <w:jc w:val="center"/>
              <w:rPr>
                <w:rFonts w:hint="eastAsia" w:ascii="仿宋" w:hAnsi="仿宋" w:eastAsia="仿宋" w:cs="仿宋"/>
                <w:i w:val="0"/>
                <w:iCs w:val="0"/>
                <w:color w:val="auto"/>
                <w:sz w:val="24"/>
                <w:szCs w:val="24"/>
                <w:highlight w:val="none"/>
                <w:u w:val="none"/>
              </w:rPr>
            </w:pPr>
          </w:p>
        </w:tc>
      </w:tr>
      <w:tr w14:paraId="2558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F6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0A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5E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3A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8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71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0C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2A14">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B635">
            <w:pPr>
              <w:jc w:val="center"/>
              <w:rPr>
                <w:rFonts w:hint="eastAsia" w:ascii="仿宋" w:hAnsi="仿宋" w:eastAsia="仿宋" w:cs="仿宋"/>
                <w:i w:val="0"/>
                <w:iCs w:val="0"/>
                <w:color w:val="auto"/>
                <w:sz w:val="24"/>
                <w:szCs w:val="24"/>
                <w:highlight w:val="none"/>
                <w:u w:val="none"/>
              </w:rPr>
            </w:pPr>
          </w:p>
        </w:tc>
      </w:tr>
      <w:tr w14:paraId="7F13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1F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4D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32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B5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CD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B6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05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0AAC">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2FF5">
            <w:pPr>
              <w:jc w:val="center"/>
              <w:rPr>
                <w:rFonts w:hint="eastAsia" w:ascii="仿宋" w:hAnsi="仿宋" w:eastAsia="仿宋" w:cs="仿宋"/>
                <w:i w:val="0"/>
                <w:iCs w:val="0"/>
                <w:color w:val="auto"/>
                <w:sz w:val="24"/>
                <w:szCs w:val="24"/>
                <w:highlight w:val="none"/>
                <w:u w:val="none"/>
              </w:rPr>
            </w:pPr>
          </w:p>
        </w:tc>
      </w:tr>
      <w:tr w14:paraId="72DA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CD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27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83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15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7C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19058229</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7A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C2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0F22">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A9B0">
            <w:pPr>
              <w:jc w:val="center"/>
              <w:rPr>
                <w:rFonts w:hint="eastAsia" w:ascii="仿宋" w:hAnsi="仿宋" w:eastAsia="仿宋" w:cs="仿宋"/>
                <w:i w:val="0"/>
                <w:iCs w:val="0"/>
                <w:color w:val="auto"/>
                <w:sz w:val="24"/>
                <w:szCs w:val="24"/>
                <w:highlight w:val="none"/>
                <w:u w:val="none"/>
              </w:rPr>
            </w:pPr>
          </w:p>
        </w:tc>
      </w:tr>
      <w:tr w14:paraId="66EA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E0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51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E5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FB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38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19058230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ED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9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C52E">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ADAE2">
            <w:pPr>
              <w:jc w:val="center"/>
              <w:rPr>
                <w:rFonts w:hint="eastAsia" w:ascii="仿宋" w:hAnsi="仿宋" w:eastAsia="仿宋" w:cs="仿宋"/>
                <w:i w:val="0"/>
                <w:iCs w:val="0"/>
                <w:color w:val="auto"/>
                <w:sz w:val="24"/>
                <w:szCs w:val="24"/>
                <w:highlight w:val="none"/>
                <w:u w:val="none"/>
              </w:rPr>
            </w:pPr>
          </w:p>
        </w:tc>
      </w:tr>
      <w:tr w14:paraId="0599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94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8B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72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88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0C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19076916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A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4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318E">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4D14">
            <w:pPr>
              <w:jc w:val="center"/>
              <w:rPr>
                <w:rFonts w:hint="eastAsia" w:ascii="仿宋" w:hAnsi="仿宋" w:eastAsia="仿宋" w:cs="仿宋"/>
                <w:i w:val="0"/>
                <w:iCs w:val="0"/>
                <w:color w:val="auto"/>
                <w:sz w:val="24"/>
                <w:szCs w:val="24"/>
                <w:highlight w:val="none"/>
                <w:u w:val="none"/>
              </w:rPr>
            </w:pPr>
          </w:p>
        </w:tc>
      </w:tr>
      <w:tr w14:paraId="4A94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D3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08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迅达（中国）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电梯有限公司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9A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电扶梯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CC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AA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19076917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D0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D3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0.5m/s</w:t>
            </w:r>
          </w:p>
        </w:tc>
        <w:tc>
          <w:tcPr>
            <w:tcW w:w="345" w:type="pct"/>
            <w:tcBorders>
              <w:top w:val="single" w:color="000000" w:sz="4" w:space="0"/>
              <w:left w:val="single" w:color="000000" w:sz="4" w:space="0"/>
              <w:right w:val="single" w:color="000000" w:sz="4" w:space="0"/>
            </w:tcBorders>
            <w:shd w:val="clear" w:color="auto" w:fill="auto"/>
            <w:noWrap/>
            <w:vAlign w:val="center"/>
          </w:tcPr>
          <w:p w14:paraId="74132FAF">
            <w:pPr>
              <w:jc w:val="center"/>
              <w:rPr>
                <w:rFonts w:hint="eastAsia" w:ascii="仿宋" w:hAnsi="仿宋" w:eastAsia="仿宋" w:cs="仿宋"/>
                <w:i w:val="0"/>
                <w:iCs w:val="0"/>
                <w:color w:val="auto"/>
                <w:sz w:val="24"/>
                <w:szCs w:val="24"/>
                <w:highlight w:val="none"/>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6B2C">
            <w:pPr>
              <w:jc w:val="center"/>
              <w:rPr>
                <w:rFonts w:hint="eastAsia" w:ascii="仿宋" w:hAnsi="仿宋" w:eastAsia="仿宋" w:cs="仿宋"/>
                <w:i w:val="0"/>
                <w:iCs w:val="0"/>
                <w:color w:val="auto"/>
                <w:sz w:val="24"/>
                <w:szCs w:val="24"/>
                <w:highlight w:val="none"/>
                <w:u w:val="none"/>
              </w:rPr>
            </w:pPr>
          </w:p>
        </w:tc>
      </w:tr>
    </w:tbl>
    <w:p w14:paraId="0FEEE4C3">
      <w:pPr>
        <w:snapToGrid w:val="0"/>
        <w:spacing w:line="500" w:lineRule="exact"/>
        <w:ind w:firstLine="480" w:firstLineChars="200"/>
        <w:rPr>
          <w:rFonts w:hint="eastAsia" w:ascii="仿宋" w:hAnsi="仿宋" w:eastAsia="仿宋" w:cs="仿宋"/>
          <w:color w:val="auto"/>
          <w:sz w:val="24"/>
          <w:szCs w:val="28"/>
          <w:highlight w:val="none"/>
        </w:rPr>
      </w:pPr>
    </w:p>
    <w:p w14:paraId="053B031C">
      <w:pPr>
        <w:snapToGrid w:val="0"/>
        <w:spacing w:line="500" w:lineRule="exact"/>
        <w:ind w:firstLine="480" w:firstLineChars="200"/>
        <w:rPr>
          <w:rFonts w:hint="eastAsia" w:ascii="仿宋" w:hAnsi="仿宋" w:eastAsia="仿宋" w:cs="仿宋"/>
          <w:color w:val="auto"/>
          <w:sz w:val="24"/>
          <w:szCs w:val="28"/>
          <w:highlight w:val="none"/>
        </w:rPr>
      </w:pPr>
    </w:p>
    <w:p w14:paraId="23E9DB7D">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法定代表人（或法定代表人授权代表）或自然人：</w:t>
      </w:r>
    </w:p>
    <w:p w14:paraId="11F5EBEE">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（供应商公章）                               （签署或盖章）</w:t>
      </w:r>
    </w:p>
    <w:p w14:paraId="607447B9">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年     月     日</w:t>
      </w:r>
    </w:p>
    <w:p w14:paraId="19884FF1">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w:t>
      </w:r>
    </w:p>
    <w:p w14:paraId="027FDEF3">
      <w:pPr>
        <w:numPr>
          <w:ilvl w:val="0"/>
          <w:numId w:val="19"/>
        </w:num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请供应商完整填写本表；</w:t>
      </w:r>
    </w:p>
    <w:p w14:paraId="67799F17">
      <w:pPr>
        <w:numPr>
          <w:ilvl w:val="0"/>
          <w:numId w:val="19"/>
        </w:num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该表可扩</w:t>
      </w:r>
      <w:r>
        <w:rPr>
          <w:rFonts w:hint="eastAsia" w:ascii="仿宋" w:hAnsi="仿宋" w:eastAsia="仿宋" w:cs="仿宋"/>
          <w:color w:val="auto"/>
          <w:sz w:val="24"/>
          <w:szCs w:val="28"/>
          <w:highlight w:val="none"/>
          <w:lang w:val="en-US" w:eastAsia="zh-CN"/>
        </w:rPr>
        <w:t>展</w:t>
      </w:r>
    </w:p>
    <w:p w14:paraId="00FCBBC1">
      <w:pPr>
        <w:pStyle w:val="3"/>
        <w:pageBreakBefore/>
        <w:spacing w:line="50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w:t>
      </w:r>
      <w:r>
        <w:rPr>
          <w:rFonts w:hint="eastAsia" w:ascii="仿宋" w:hAnsi="仿宋" w:eastAsia="仿宋" w:cs="仿宋"/>
          <w:b/>
          <w:color w:val="auto"/>
          <w:szCs w:val="28"/>
          <w:highlight w:val="none"/>
          <w:lang w:eastAsia="zh-CN"/>
        </w:rPr>
        <w:t>服务</w:t>
      </w:r>
      <w:r>
        <w:rPr>
          <w:rFonts w:hint="eastAsia" w:ascii="仿宋" w:hAnsi="仿宋" w:eastAsia="仿宋" w:cs="仿宋"/>
          <w:b/>
          <w:color w:val="auto"/>
          <w:szCs w:val="28"/>
          <w:highlight w:val="none"/>
        </w:rPr>
        <w:t>文件</w:t>
      </w:r>
      <w:bookmarkEnd w:id="416"/>
      <w:bookmarkEnd w:id="417"/>
      <w:bookmarkEnd w:id="418"/>
      <w:bookmarkEnd w:id="419"/>
      <w:bookmarkEnd w:id="420"/>
      <w:bookmarkEnd w:id="421"/>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4ED452F1">
      <w:pPr>
        <w:snapToGrid w:val="0"/>
        <w:spacing w:line="4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eastAsia="zh-CN"/>
        </w:rPr>
        <w:t>服务</w:t>
      </w:r>
      <w:r>
        <w:rPr>
          <w:rFonts w:hint="eastAsia" w:ascii="仿宋" w:hAnsi="仿宋" w:eastAsia="仿宋" w:cs="仿宋"/>
          <w:color w:val="auto"/>
          <w:szCs w:val="28"/>
          <w:highlight w:val="none"/>
        </w:rPr>
        <w:t>条款差异表</w:t>
      </w:r>
    </w:p>
    <w:p w14:paraId="71D342C6">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比选</w:t>
      </w:r>
      <w:r>
        <w:rPr>
          <w:rFonts w:hint="eastAsia" w:ascii="仿宋" w:hAnsi="仿宋" w:eastAsia="仿宋" w:cs="仿宋"/>
          <w:color w:val="auto"/>
          <w:sz w:val="24"/>
          <w:szCs w:val="28"/>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770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74B3AC0B">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38" w:name="_Toc25068"/>
            <w:bookmarkStart w:id="439" w:name="_Toc21001"/>
            <w:r>
              <w:rPr>
                <w:rFonts w:hint="eastAsia" w:ascii="仿宋" w:hAnsi="仿宋" w:eastAsia="仿宋" w:cs="仿宋"/>
                <w:color w:val="auto"/>
                <w:sz w:val="24"/>
                <w:szCs w:val="24"/>
                <w:highlight w:val="none"/>
              </w:rPr>
              <w:t>序号</w:t>
            </w:r>
            <w:bookmarkEnd w:id="438"/>
            <w:bookmarkEnd w:id="439"/>
          </w:p>
        </w:tc>
        <w:tc>
          <w:tcPr>
            <w:tcW w:w="2969" w:type="dxa"/>
            <w:vAlign w:val="center"/>
          </w:tcPr>
          <w:p w14:paraId="2C67215A">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40" w:name="_Toc19608"/>
            <w:bookmarkStart w:id="441" w:name="_Toc29759"/>
            <w:r>
              <w:rPr>
                <w:rFonts w:hint="eastAsia" w:ascii="仿宋" w:hAnsi="仿宋" w:eastAsia="仿宋" w:cs="仿宋"/>
                <w:color w:val="auto"/>
                <w:sz w:val="24"/>
                <w:szCs w:val="24"/>
                <w:highlight w:val="none"/>
              </w:rPr>
              <w:t>比选要求</w:t>
            </w:r>
            <w:bookmarkEnd w:id="440"/>
            <w:bookmarkEnd w:id="441"/>
          </w:p>
        </w:tc>
        <w:tc>
          <w:tcPr>
            <w:tcW w:w="3081" w:type="dxa"/>
            <w:vAlign w:val="center"/>
          </w:tcPr>
          <w:p w14:paraId="0AA0A3C4">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42" w:name="_Toc24609"/>
            <w:bookmarkStart w:id="443" w:name="_Toc10337"/>
            <w:r>
              <w:rPr>
                <w:rFonts w:hint="eastAsia" w:ascii="仿宋" w:hAnsi="仿宋" w:eastAsia="仿宋" w:cs="仿宋"/>
                <w:color w:val="auto"/>
                <w:sz w:val="24"/>
                <w:szCs w:val="24"/>
                <w:highlight w:val="none"/>
              </w:rPr>
              <w:t>竞选应答</w:t>
            </w:r>
            <w:bookmarkEnd w:id="442"/>
            <w:bookmarkEnd w:id="443"/>
          </w:p>
        </w:tc>
        <w:tc>
          <w:tcPr>
            <w:tcW w:w="2307" w:type="dxa"/>
            <w:vAlign w:val="center"/>
          </w:tcPr>
          <w:p w14:paraId="4302BB6A">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44" w:name="_Toc18964"/>
            <w:bookmarkStart w:id="445" w:name="_Toc25690"/>
            <w:r>
              <w:rPr>
                <w:rFonts w:hint="eastAsia" w:ascii="仿宋" w:hAnsi="仿宋" w:eastAsia="仿宋" w:cs="仿宋"/>
                <w:color w:val="auto"/>
                <w:sz w:val="24"/>
                <w:szCs w:val="24"/>
                <w:highlight w:val="none"/>
              </w:rPr>
              <w:t>差异说明</w:t>
            </w:r>
            <w:bookmarkEnd w:id="444"/>
            <w:bookmarkEnd w:id="445"/>
          </w:p>
        </w:tc>
      </w:tr>
      <w:tr w14:paraId="080D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16938CC">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5CA7A802">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464B38DF">
            <w:pPr>
              <w:tabs>
                <w:tab w:val="left" w:pos="6300"/>
              </w:tabs>
              <w:snapToGrid w:val="0"/>
              <w:spacing w:line="500" w:lineRule="exact"/>
              <w:outlineLvl w:val="0"/>
              <w:rPr>
                <w:rFonts w:hint="eastAsia" w:ascii="仿宋" w:hAnsi="仿宋" w:eastAsia="仿宋" w:cs="仿宋"/>
                <w:color w:val="auto"/>
                <w:sz w:val="24"/>
                <w:szCs w:val="24"/>
                <w:highlight w:val="none"/>
              </w:rPr>
            </w:pPr>
            <w:bookmarkStart w:id="446" w:name="_Toc21504"/>
            <w:bookmarkStart w:id="447" w:name="_Toc8786"/>
            <w:r>
              <w:rPr>
                <w:rFonts w:hint="eastAsia" w:ascii="仿宋" w:hAnsi="仿宋" w:eastAsia="仿宋" w:cs="仿宋"/>
                <w:color w:val="auto"/>
                <w:sz w:val="24"/>
                <w:szCs w:val="24"/>
                <w:highlight w:val="none"/>
              </w:rPr>
              <w:t>提醒：请注明具体内容以及响应文件中具体内容的位置（页码）</w:t>
            </w:r>
            <w:bookmarkEnd w:id="446"/>
            <w:bookmarkEnd w:id="447"/>
          </w:p>
        </w:tc>
        <w:tc>
          <w:tcPr>
            <w:tcW w:w="2307" w:type="dxa"/>
            <w:vAlign w:val="center"/>
          </w:tcPr>
          <w:p w14:paraId="4F1296EA">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497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467C68C">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5B55569E">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3D83EF74">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75E4C00F">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1F21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8675E99">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2A7A5FAD">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4F53478E">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571C7A80">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2960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3712121">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118FA2F8">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20AB2B0F">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5A624695">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605C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E7F3922">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3E6F9BF3">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77E411FF">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4612CD15">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7EB5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91A3CB6">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5EF7C532">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37FCCF12">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34A362A0">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4FC3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71" w:type="dxa"/>
            <w:vAlign w:val="center"/>
          </w:tcPr>
          <w:p w14:paraId="3AD08318">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5C7BAD30">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7BD09653">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2A1E89A3">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6A92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71" w:type="dxa"/>
            <w:vAlign w:val="center"/>
          </w:tcPr>
          <w:p w14:paraId="5474103C">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1E75AF83">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268992A2">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010DCB23">
            <w:pPr>
              <w:tabs>
                <w:tab w:val="left" w:pos="6300"/>
              </w:tabs>
              <w:snapToGrid w:val="0"/>
              <w:spacing w:line="500" w:lineRule="exact"/>
              <w:jc w:val="center"/>
              <w:rPr>
                <w:rFonts w:hint="eastAsia" w:ascii="仿宋" w:hAnsi="仿宋" w:eastAsia="仿宋" w:cs="仿宋"/>
                <w:color w:val="auto"/>
                <w:sz w:val="24"/>
                <w:szCs w:val="24"/>
                <w:highlight w:val="none"/>
              </w:rPr>
            </w:pPr>
          </w:p>
        </w:tc>
      </w:tr>
    </w:tbl>
    <w:p w14:paraId="1136C61F">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0D369D26">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3D7A8A8D">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038DEB1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07409796">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01B25D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1.本表即为对本项目“第二篇  项目服务需求”中所列条款进行比较和响应；</w:t>
      </w:r>
    </w:p>
    <w:p w14:paraId="7D66F36B">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2.本表可扩展；</w:t>
      </w:r>
    </w:p>
    <w:p w14:paraId="2E1C0F76">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3.可附相关服务支撑材料。（格式自定）</w:t>
      </w:r>
    </w:p>
    <w:p w14:paraId="4D62BDA3">
      <w:pPr>
        <w:tabs>
          <w:tab w:val="left" w:pos="6300"/>
        </w:tabs>
        <w:snapToGrid w:val="0"/>
        <w:spacing w:line="500" w:lineRule="exact"/>
        <w:ind w:firstLine="570"/>
        <w:rPr>
          <w:rFonts w:hint="eastAsia" w:ascii="仿宋" w:hAnsi="仿宋" w:eastAsia="仿宋" w:cs="仿宋"/>
          <w:color w:val="auto"/>
          <w:szCs w:val="24"/>
          <w:highlight w:val="none"/>
        </w:rPr>
      </w:pPr>
      <w:r>
        <w:rPr>
          <w:rFonts w:hint="eastAsia" w:ascii="仿宋" w:hAnsi="仿宋" w:eastAsia="仿宋" w:cs="仿宋"/>
          <w:color w:val="auto"/>
          <w:sz w:val="24"/>
          <w:szCs w:val="28"/>
          <w:highlight w:val="none"/>
        </w:rPr>
        <w:t>4.竞选应答栏中应当注明具体内容，且必须标注具体内容在响应文件中的位置（页码）。</w:t>
      </w:r>
    </w:p>
    <w:p w14:paraId="3AE91EDF">
      <w:pPr>
        <w:tabs>
          <w:tab w:val="left" w:pos="6300"/>
        </w:tabs>
        <w:snapToGrid w:val="0"/>
        <w:spacing w:line="50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4"/>
          <w:highlight w:val="none"/>
        </w:rPr>
        <w:br w:type="page"/>
      </w:r>
      <w:r>
        <w:rPr>
          <w:rFonts w:hint="eastAsia" w:ascii="仿宋" w:hAnsi="仿宋" w:eastAsia="仿宋" w:cs="仿宋"/>
          <w:color w:val="auto"/>
          <w:szCs w:val="28"/>
          <w:highlight w:val="none"/>
        </w:rPr>
        <w:t>（二）其他</w:t>
      </w:r>
      <w:r>
        <w:rPr>
          <w:rFonts w:hint="eastAsia" w:ascii="仿宋" w:hAnsi="仿宋" w:eastAsia="仿宋" w:cs="仿宋"/>
          <w:color w:val="auto"/>
          <w:szCs w:val="28"/>
          <w:highlight w:val="none"/>
          <w:lang w:eastAsia="zh-CN"/>
        </w:rPr>
        <w:t>服务</w:t>
      </w:r>
      <w:r>
        <w:rPr>
          <w:rFonts w:hint="eastAsia" w:ascii="仿宋" w:hAnsi="仿宋" w:eastAsia="仿宋" w:cs="仿宋"/>
          <w:color w:val="auto"/>
          <w:szCs w:val="28"/>
          <w:highlight w:val="none"/>
        </w:rPr>
        <w:t>资料</w:t>
      </w:r>
    </w:p>
    <w:p w14:paraId="777279D7">
      <w:pPr>
        <w:tabs>
          <w:tab w:val="left" w:pos="6300"/>
        </w:tabs>
        <w:snapToGrid w:val="0"/>
        <w:spacing w:line="500" w:lineRule="exact"/>
        <w:ind w:firstLine="570"/>
        <w:rPr>
          <w:rFonts w:hint="eastAsia" w:ascii="仿宋" w:hAnsi="仿宋" w:eastAsia="仿宋" w:cs="仿宋"/>
          <w:color w:val="auto"/>
          <w:szCs w:val="28"/>
          <w:highlight w:val="none"/>
        </w:rPr>
      </w:pPr>
    </w:p>
    <w:p w14:paraId="24F0FC82">
      <w:pPr>
        <w:snapToGrid w:val="0"/>
        <w:spacing w:line="500" w:lineRule="exact"/>
        <w:ind w:firstLine="480" w:firstLineChars="200"/>
        <w:rPr>
          <w:rFonts w:hint="eastAsia" w:ascii="仿宋" w:hAnsi="仿宋" w:eastAsia="仿宋" w:cs="仿宋"/>
          <w:color w:val="auto"/>
          <w:sz w:val="24"/>
          <w:szCs w:val="28"/>
          <w:highlight w:val="none"/>
        </w:rPr>
      </w:pPr>
    </w:p>
    <w:p w14:paraId="35879804">
      <w:pPr>
        <w:pStyle w:val="3"/>
        <w:pageBreakBefore/>
        <w:spacing w:line="500" w:lineRule="exact"/>
        <w:ind w:firstLine="562" w:firstLineChars="200"/>
        <w:rPr>
          <w:rFonts w:hint="eastAsia" w:ascii="仿宋" w:hAnsi="仿宋" w:eastAsia="仿宋" w:cs="仿宋"/>
          <w:b/>
          <w:color w:val="auto"/>
          <w:szCs w:val="28"/>
          <w:highlight w:val="none"/>
        </w:rPr>
      </w:pPr>
      <w:bookmarkStart w:id="448" w:name="_Toc8958"/>
      <w:bookmarkStart w:id="449" w:name="_Toc26494"/>
      <w:bookmarkStart w:id="450" w:name="_Toc17290"/>
      <w:bookmarkStart w:id="451" w:name="_Toc10372"/>
      <w:bookmarkStart w:id="452" w:name="_Toc18450"/>
      <w:bookmarkStart w:id="453" w:name="_Toc30496"/>
      <w:bookmarkStart w:id="454" w:name="_Toc75793542"/>
      <w:bookmarkStart w:id="455" w:name="_Toc23523"/>
      <w:bookmarkStart w:id="456" w:name="_Toc4362"/>
      <w:bookmarkStart w:id="457" w:name="_Toc493178791"/>
      <w:bookmarkStart w:id="458" w:name="_Toc28242"/>
      <w:bookmarkStart w:id="459" w:name="_Toc32670"/>
      <w:bookmarkStart w:id="460" w:name="_Toc106030419"/>
      <w:bookmarkStart w:id="461" w:name="_Toc5573"/>
      <w:bookmarkStart w:id="462" w:name="_Toc492721039"/>
      <w:bookmarkStart w:id="463" w:name="_Toc7069"/>
      <w:bookmarkStart w:id="464" w:name="_Toc6786"/>
      <w:bookmarkStart w:id="465" w:name="_Toc14954"/>
      <w:bookmarkStart w:id="466" w:name="_Toc22113"/>
      <w:r>
        <w:rPr>
          <w:rFonts w:hint="eastAsia" w:ascii="仿宋" w:hAnsi="仿宋" w:eastAsia="仿宋" w:cs="仿宋"/>
          <w:b/>
          <w:color w:val="auto"/>
          <w:szCs w:val="28"/>
          <w:highlight w:val="none"/>
        </w:rPr>
        <w:t>三、商务文件</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4493F76E">
      <w:pPr>
        <w:snapToGrid w:val="0"/>
        <w:spacing w:before="156" w:beforeLines="5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（一）竞选函（格式）</w:t>
      </w:r>
    </w:p>
    <w:p w14:paraId="493E3D7F">
      <w:pPr>
        <w:spacing w:line="500" w:lineRule="exact"/>
        <w:rPr>
          <w:rFonts w:hint="eastAsia" w:ascii="仿宋" w:hAnsi="仿宋" w:eastAsia="仿宋" w:cs="仿宋"/>
          <w:color w:val="auto"/>
          <w:sz w:val="24"/>
          <w:szCs w:val="28"/>
          <w:highlight w:val="none"/>
        </w:rPr>
      </w:pPr>
    </w:p>
    <w:p w14:paraId="0F91403A">
      <w:pPr>
        <w:spacing w:line="500" w:lineRule="exact"/>
        <w:ind w:firstLine="480" w:firstLineChars="200"/>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比选项目名称：</w:t>
      </w:r>
      <w:r>
        <w:rPr>
          <w:rFonts w:hint="eastAsia" w:ascii="仿宋" w:hAnsi="仿宋" w:eastAsia="仿宋" w:cs="仿宋"/>
          <w:color w:val="auto"/>
          <w:sz w:val="24"/>
          <w:szCs w:val="28"/>
          <w:highlight w:val="none"/>
          <w:u w:val="single"/>
        </w:rPr>
        <w:t xml:space="preserve">                                             </w:t>
      </w:r>
    </w:p>
    <w:p w14:paraId="218C3B6B">
      <w:pPr>
        <w:spacing w:line="500" w:lineRule="exact"/>
        <w:rPr>
          <w:rFonts w:hint="eastAsia" w:ascii="仿宋" w:hAnsi="仿宋" w:eastAsia="仿宋" w:cs="仿宋"/>
          <w:color w:val="auto"/>
          <w:sz w:val="24"/>
          <w:szCs w:val="28"/>
          <w:highlight w:val="none"/>
        </w:rPr>
      </w:pPr>
    </w:p>
    <w:p w14:paraId="048A286F">
      <w:pPr>
        <w:tabs>
          <w:tab w:val="left" w:pos="6300"/>
        </w:tabs>
        <w:snapToGrid w:val="0"/>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（采购代理机构名称）：</w:t>
      </w:r>
    </w:p>
    <w:p w14:paraId="54B59089">
      <w:pPr>
        <w:snapToGrid w:val="0"/>
        <w:spacing w:before="156" w:beforeLines="50"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（供应商名称）系中华人民共和国合法企业，注册地址：</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。我方就参加本次竞选有关事项郑重声明如下：</w:t>
      </w:r>
    </w:p>
    <w:p w14:paraId="276FB87F">
      <w:pPr>
        <w:tabs>
          <w:tab w:val="left" w:pos="6300"/>
        </w:tabs>
        <w:snapToGrid w:val="0"/>
        <w:spacing w:line="500" w:lineRule="exact"/>
        <w:ind w:firstLine="480" w:firstLineChars="200"/>
        <w:outlineLvl w:val="0"/>
        <w:rPr>
          <w:rFonts w:hint="eastAsia" w:ascii="仿宋" w:hAnsi="仿宋" w:eastAsia="仿宋" w:cs="仿宋"/>
          <w:color w:val="auto"/>
          <w:sz w:val="24"/>
          <w:szCs w:val="28"/>
          <w:highlight w:val="none"/>
        </w:rPr>
      </w:pPr>
      <w:bookmarkStart w:id="467" w:name="_Toc1667"/>
      <w:r>
        <w:rPr>
          <w:rFonts w:hint="eastAsia" w:ascii="仿宋" w:hAnsi="仿宋" w:eastAsia="仿宋" w:cs="仿宋"/>
          <w:color w:val="auto"/>
          <w:sz w:val="24"/>
          <w:szCs w:val="28"/>
          <w:highlight w:val="none"/>
        </w:rPr>
        <w:t>一、我方完全理解并接受该项目比选文件所有要求。</w:t>
      </w:r>
      <w:bookmarkEnd w:id="467"/>
    </w:p>
    <w:p w14:paraId="60CA454B">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二、我方提交的所有响应文件、资料都是准确和真实的，如有虚假或隐瞒，我方愿意承担一切法律责任。</w:t>
      </w:r>
    </w:p>
    <w:p w14:paraId="1603ACDF">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三、我方承诺按照比选文件要求，提供比选项目的技术（质量）服务。</w:t>
      </w:r>
    </w:p>
    <w:p w14:paraId="0F053ACA">
      <w:pPr>
        <w:tabs>
          <w:tab w:val="left" w:pos="6300"/>
        </w:tabs>
        <w:snapToGrid w:val="0"/>
        <w:spacing w:line="500" w:lineRule="exact"/>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四、我方按比选文件要求提交的</w:t>
      </w:r>
      <w:r>
        <w:rPr>
          <w:rFonts w:hint="eastAsia" w:ascii="仿宋" w:hAnsi="仿宋" w:eastAsia="仿宋" w:cs="仿宋"/>
          <w:color w:val="auto"/>
          <w:sz w:val="24"/>
          <w:szCs w:val="28"/>
          <w:highlight w:val="none"/>
          <w:lang w:val="en-US" w:eastAsia="zh-CN"/>
        </w:rPr>
        <w:t>纸质版</w:t>
      </w:r>
      <w:r>
        <w:rPr>
          <w:rFonts w:hint="eastAsia" w:ascii="仿宋" w:hAnsi="仿宋" w:eastAsia="仿宋" w:cs="仿宋"/>
          <w:color w:val="auto"/>
          <w:sz w:val="24"/>
          <w:szCs w:val="28"/>
          <w:highlight w:val="none"/>
        </w:rPr>
        <w:t>响应文件为：响应文件正本1份，副本</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份</w:t>
      </w:r>
      <w:r>
        <w:rPr>
          <w:rFonts w:hint="eastAsia" w:ascii="仿宋" w:hAnsi="仿宋" w:eastAsia="仿宋" w:cs="仿宋"/>
          <w:color w:val="auto"/>
          <w:sz w:val="24"/>
          <w:szCs w:val="28"/>
          <w:highlight w:val="none"/>
          <w:lang w:eastAsia="zh-CN"/>
        </w:rPr>
        <w:t>。</w:t>
      </w:r>
    </w:p>
    <w:p w14:paraId="198A4BA6">
      <w:pPr>
        <w:tabs>
          <w:tab w:val="left" w:pos="6300"/>
        </w:tabs>
        <w:snapToGrid w:val="0"/>
        <w:spacing w:line="500" w:lineRule="exact"/>
        <w:ind w:firstLine="480" w:firstLineChars="200"/>
        <w:outlineLvl w:val="0"/>
        <w:rPr>
          <w:rFonts w:hint="eastAsia" w:ascii="仿宋" w:hAnsi="仿宋" w:eastAsia="仿宋" w:cs="仿宋"/>
          <w:color w:val="auto"/>
          <w:sz w:val="24"/>
          <w:szCs w:val="28"/>
          <w:highlight w:val="none"/>
        </w:rPr>
      </w:pPr>
      <w:bookmarkStart w:id="468" w:name="_Toc29885"/>
      <w:r>
        <w:rPr>
          <w:rFonts w:hint="eastAsia" w:ascii="仿宋" w:hAnsi="仿宋" w:eastAsia="仿宋" w:cs="仿宋"/>
          <w:color w:val="auto"/>
          <w:sz w:val="24"/>
          <w:szCs w:val="28"/>
          <w:highlight w:val="none"/>
        </w:rPr>
        <w:t>五、我方承诺：本次竞选的投标有效期为</w:t>
      </w:r>
      <w:r>
        <w:rPr>
          <w:rFonts w:hint="eastAsia" w:ascii="仿宋" w:hAnsi="仿宋" w:eastAsia="仿宋" w:cs="仿宋"/>
          <w:color w:val="auto"/>
          <w:sz w:val="24"/>
          <w:szCs w:val="20"/>
          <w:highlight w:val="none"/>
        </w:rPr>
        <w:t>竞选截止时间</w:t>
      </w:r>
      <w:r>
        <w:rPr>
          <w:rFonts w:hint="eastAsia" w:ascii="仿宋" w:hAnsi="仿宋" w:eastAsia="仿宋" w:cs="仿宋"/>
          <w:color w:val="auto"/>
          <w:sz w:val="24"/>
          <w:szCs w:val="28"/>
          <w:highlight w:val="none"/>
        </w:rPr>
        <w:t>起90天。</w:t>
      </w:r>
      <w:bookmarkEnd w:id="468"/>
    </w:p>
    <w:p w14:paraId="3570389B">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六、我方竞选报价为闭口价。即在投标有效期和合同有效期内，该报价固定不变。</w:t>
      </w:r>
    </w:p>
    <w:p w14:paraId="43AF4A9D">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七、如果我方中标，我方将履行比选文件中规定的各项要求以及我方响应文件的各项承诺，按《中华人民共和国民法典》及合同约定条款承担我方责任。</w:t>
      </w:r>
    </w:p>
    <w:p w14:paraId="493D6A11">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八、我方未</w:t>
      </w:r>
      <w:r>
        <w:rPr>
          <w:rFonts w:hint="eastAsia" w:ascii="仿宋" w:hAnsi="仿宋" w:eastAsia="仿宋" w:cs="仿宋"/>
          <w:color w:val="auto"/>
          <w:sz w:val="24"/>
          <w:highlight w:val="none"/>
        </w:rPr>
        <w:t>为采购项目提供整体设计、规范编制或者项目管理、监理、检测等服务。</w:t>
      </w:r>
    </w:p>
    <w:p w14:paraId="4ACF0F96">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九、我方理解，最低报价不是中标的唯一条件。</w:t>
      </w:r>
    </w:p>
    <w:p w14:paraId="136C36C5">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十、我方同意按有关规定及比选文件要求，交纳足额比选保证金。</w:t>
      </w:r>
    </w:p>
    <w:p w14:paraId="7094F873">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十一、若我方中标，愿意按有关规定及比选文件要求缴纳比选代理服务费。</w:t>
      </w:r>
    </w:p>
    <w:p w14:paraId="3EDE2D4A">
      <w:pPr>
        <w:tabs>
          <w:tab w:val="left" w:pos="6300"/>
        </w:tabs>
        <w:snapToGrid w:val="0"/>
        <w:spacing w:line="500" w:lineRule="exact"/>
        <w:ind w:firstLine="570"/>
        <w:rPr>
          <w:rFonts w:hint="eastAsia" w:ascii="仿宋" w:hAnsi="仿宋" w:eastAsia="仿宋" w:cs="仿宋"/>
          <w:color w:val="auto"/>
          <w:sz w:val="24"/>
          <w:szCs w:val="28"/>
          <w:highlight w:val="none"/>
        </w:rPr>
      </w:pPr>
    </w:p>
    <w:p w14:paraId="1323E8BE">
      <w:pPr>
        <w:tabs>
          <w:tab w:val="left" w:pos="6300"/>
        </w:tabs>
        <w:snapToGrid w:val="0"/>
        <w:spacing w:line="500" w:lineRule="exact"/>
        <w:ind w:firstLine="0" w:firstLineChars="0"/>
        <w:jc w:val="righ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（供应商公章或自然人签署）</w:t>
      </w:r>
    </w:p>
    <w:p w14:paraId="2628DC7D">
      <w:pPr>
        <w:tabs>
          <w:tab w:val="left" w:pos="6300"/>
        </w:tabs>
        <w:snapToGrid w:val="0"/>
        <w:spacing w:line="500" w:lineRule="exact"/>
        <w:ind w:firstLine="5760" w:firstLineChars="2400"/>
        <w:rPr>
          <w:rFonts w:hint="eastAsia" w:ascii="仿宋" w:hAnsi="仿宋" w:eastAsia="仿宋" w:cs="仿宋"/>
          <w:color w:val="auto"/>
          <w:sz w:val="28"/>
          <w:szCs w:val="28"/>
          <w:highlight w:val="none"/>
        </w:rPr>
      </w:pPr>
      <w:r>
        <w:rPr>
          <w:rFonts w:hint="eastAsia" w:ascii="仿宋" w:hAnsi="仿宋" w:eastAsia="仿宋" w:cs="仿宋"/>
          <w:color w:val="auto"/>
          <w:sz w:val="24"/>
          <w:szCs w:val="28"/>
          <w:highlight w:val="none"/>
        </w:rPr>
        <w:t>年    月   日</w:t>
      </w:r>
    </w:p>
    <w:p w14:paraId="09D7FC51">
      <w:pPr>
        <w:tabs>
          <w:tab w:val="left" w:pos="6300"/>
        </w:tabs>
        <w:snapToGrid w:val="0"/>
        <w:spacing w:line="500" w:lineRule="exact"/>
        <w:ind w:firstLine="6720" w:firstLineChars="2400"/>
        <w:rPr>
          <w:rFonts w:hint="eastAsia" w:ascii="方正仿宋_GBK" w:hAnsi="仿宋" w:eastAsia="方正仿宋_GBK"/>
          <w:color w:val="auto"/>
          <w:szCs w:val="28"/>
          <w:highlight w:val="none"/>
        </w:rPr>
      </w:pPr>
    </w:p>
    <w:p w14:paraId="29CDD2E8">
      <w:pPr>
        <w:snapToGrid w:val="0"/>
        <w:spacing w:line="400" w:lineRule="exact"/>
        <w:ind w:firstLine="560" w:firstLineChars="200"/>
        <w:rPr>
          <w:rFonts w:hint="eastAsia" w:ascii="仿宋" w:hAnsi="仿宋" w:eastAsia="仿宋" w:cs="仿宋"/>
          <w:color w:val="auto"/>
          <w:szCs w:val="28"/>
          <w:highlight w:val="none"/>
        </w:rPr>
      </w:pPr>
    </w:p>
    <w:p w14:paraId="40B371F6">
      <w:pPr>
        <w:snapToGrid/>
        <w:spacing w:line="240" w:lineRule="auto"/>
        <w:ind w:firstLine="0" w:firstLineChars="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4D2D37AA">
      <w:pPr>
        <w:snapToGrid w:val="0"/>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t>（二）商务条款差异表</w:t>
      </w:r>
    </w:p>
    <w:p w14:paraId="041FE1E2">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比选</w:t>
      </w:r>
      <w:r>
        <w:rPr>
          <w:rFonts w:hint="eastAsia" w:ascii="仿宋" w:hAnsi="仿宋" w:eastAsia="仿宋" w:cs="仿宋"/>
          <w:color w:val="auto"/>
          <w:sz w:val="24"/>
          <w:szCs w:val="28"/>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3D14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649F783C">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69" w:type="dxa"/>
            <w:noWrap w:val="0"/>
            <w:vAlign w:val="center"/>
          </w:tcPr>
          <w:p w14:paraId="0550EB5A">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比选</w:t>
            </w:r>
            <w:r>
              <w:rPr>
                <w:rFonts w:hint="eastAsia" w:ascii="仿宋" w:hAnsi="仿宋" w:eastAsia="仿宋" w:cs="仿宋"/>
                <w:color w:val="auto"/>
                <w:sz w:val="21"/>
                <w:szCs w:val="21"/>
                <w:highlight w:val="none"/>
              </w:rPr>
              <w:t>商务要求</w:t>
            </w:r>
          </w:p>
        </w:tc>
        <w:tc>
          <w:tcPr>
            <w:tcW w:w="3081" w:type="dxa"/>
            <w:noWrap w:val="0"/>
            <w:vAlign w:val="center"/>
          </w:tcPr>
          <w:p w14:paraId="28ABEA37">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投标商务应答</w:t>
            </w:r>
          </w:p>
        </w:tc>
        <w:tc>
          <w:tcPr>
            <w:tcW w:w="2307" w:type="dxa"/>
            <w:noWrap w:val="0"/>
            <w:vAlign w:val="center"/>
          </w:tcPr>
          <w:p w14:paraId="66DE3981">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0CD6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EF80B8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134D457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1D7A22A3">
            <w:pPr>
              <w:tabs>
                <w:tab w:val="left" w:pos="6300"/>
              </w:tabs>
              <w:snapToGrid w:val="0"/>
              <w:spacing w:line="500" w:lineRule="exac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中具体内容的位置（页码）</w:t>
            </w:r>
          </w:p>
        </w:tc>
        <w:tc>
          <w:tcPr>
            <w:tcW w:w="2307" w:type="dxa"/>
            <w:noWrap w:val="0"/>
            <w:vAlign w:val="center"/>
          </w:tcPr>
          <w:p w14:paraId="0A2B572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038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B62F5B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7FC99C7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7976E41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3C34732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0B6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F08104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75B2EC3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642A922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30001D1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04CA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AA2959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33C3128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522DA86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5E41257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8A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26764D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3CE125D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740C529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30E09B3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C9F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DE5149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7AA267B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5BD4F94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64ECF94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3757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1196C2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27AF2A8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12B07666">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0138A63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3326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03A586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241A725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35F4897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5D8FC0D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14:paraId="1D1778A0">
      <w:pPr>
        <w:spacing w:line="500" w:lineRule="exact"/>
        <w:ind w:firstLine="600" w:firstLineChars="250"/>
        <w:rPr>
          <w:rFonts w:hint="eastAsia" w:ascii="仿宋" w:hAnsi="仿宋" w:eastAsia="仿宋" w:cs="仿宋"/>
          <w:color w:val="auto"/>
          <w:sz w:val="24"/>
          <w:szCs w:val="28"/>
          <w:highlight w:val="none"/>
        </w:rPr>
      </w:pPr>
    </w:p>
    <w:p w14:paraId="660AD369">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11A8E0C9">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15BF11F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F822C42">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AE8624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4C6A958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53C5388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3.投标应答栏中应当注明具体内容，且必须标注具体内容在</w:t>
      </w:r>
      <w:r>
        <w:rPr>
          <w:rFonts w:hint="eastAsia" w:ascii="仿宋" w:hAnsi="仿宋" w:eastAsia="仿宋" w:cs="仿宋"/>
          <w:color w:val="auto"/>
          <w:sz w:val="24"/>
          <w:szCs w:val="28"/>
          <w:highlight w:val="none"/>
          <w:lang w:eastAsia="zh-CN"/>
        </w:rPr>
        <w:t>响应文件</w:t>
      </w:r>
      <w:r>
        <w:rPr>
          <w:rFonts w:hint="eastAsia" w:ascii="仿宋" w:hAnsi="仿宋" w:eastAsia="仿宋" w:cs="仿宋"/>
          <w:color w:val="auto"/>
          <w:sz w:val="24"/>
          <w:szCs w:val="28"/>
          <w:highlight w:val="none"/>
        </w:rPr>
        <w:t>中的位置（页码）。</w:t>
      </w:r>
    </w:p>
    <w:p w14:paraId="046F1C24">
      <w:pPr>
        <w:snapToGrid w:val="0"/>
        <w:spacing w:line="400" w:lineRule="exact"/>
        <w:rPr>
          <w:rFonts w:hint="eastAsia" w:ascii="仿宋" w:hAnsi="仿宋" w:eastAsia="仿宋" w:cs="仿宋"/>
          <w:color w:val="auto"/>
          <w:sz w:val="24"/>
          <w:szCs w:val="28"/>
          <w:highlight w:val="none"/>
        </w:rPr>
      </w:pPr>
    </w:p>
    <w:p w14:paraId="002F054F">
      <w:pPr>
        <w:snapToGrid w:val="0"/>
        <w:spacing w:line="400" w:lineRule="exact"/>
        <w:rPr>
          <w:rFonts w:hint="eastAsia" w:ascii="仿宋" w:hAnsi="仿宋" w:eastAsia="仿宋" w:cs="仿宋"/>
          <w:color w:val="auto"/>
          <w:sz w:val="24"/>
          <w:szCs w:val="28"/>
          <w:highlight w:val="none"/>
        </w:rPr>
      </w:pPr>
    </w:p>
    <w:p w14:paraId="4F663777">
      <w:pPr>
        <w:snapToGrid w:val="0"/>
        <w:spacing w:line="400" w:lineRule="exact"/>
        <w:ind w:firstLine="560" w:firstLineChars="200"/>
        <w:rPr>
          <w:rFonts w:hint="eastAsia" w:ascii="仿宋" w:hAnsi="仿宋" w:eastAsia="仿宋" w:cs="仿宋"/>
          <w:color w:val="auto"/>
          <w:szCs w:val="28"/>
          <w:highlight w:val="none"/>
        </w:rPr>
      </w:pPr>
    </w:p>
    <w:p w14:paraId="0DAF9DC0">
      <w:pPr>
        <w:snapToGrid w:val="0"/>
        <w:spacing w:line="400" w:lineRule="exact"/>
        <w:ind w:firstLine="560" w:firstLineChars="200"/>
        <w:rPr>
          <w:rFonts w:hint="eastAsia" w:ascii="仿宋" w:hAnsi="仿宋" w:eastAsia="仿宋" w:cs="仿宋"/>
          <w:color w:val="auto"/>
          <w:szCs w:val="28"/>
          <w:highlight w:val="none"/>
        </w:rPr>
      </w:pPr>
    </w:p>
    <w:p w14:paraId="23CFF683">
      <w:pPr>
        <w:snapToGrid w:val="0"/>
        <w:spacing w:line="400" w:lineRule="exact"/>
        <w:ind w:firstLine="560" w:firstLineChars="200"/>
        <w:rPr>
          <w:rFonts w:hint="eastAsia" w:ascii="仿宋" w:hAnsi="仿宋" w:eastAsia="仿宋" w:cs="仿宋"/>
          <w:color w:val="auto"/>
          <w:szCs w:val="28"/>
          <w:highlight w:val="none"/>
        </w:rPr>
      </w:pPr>
    </w:p>
    <w:p w14:paraId="60B39D1C">
      <w:pPr>
        <w:snapToGrid w:val="0"/>
        <w:spacing w:line="400" w:lineRule="exact"/>
        <w:ind w:firstLine="560" w:firstLineChars="200"/>
        <w:rPr>
          <w:rFonts w:hint="eastAsia" w:ascii="仿宋" w:hAnsi="仿宋" w:eastAsia="仿宋" w:cs="仿宋"/>
          <w:color w:val="auto"/>
          <w:szCs w:val="28"/>
          <w:highlight w:val="none"/>
        </w:rPr>
      </w:pPr>
    </w:p>
    <w:p w14:paraId="4ABC5C18">
      <w:pPr>
        <w:snapToGrid w:val="0"/>
        <w:spacing w:line="400" w:lineRule="exact"/>
        <w:ind w:firstLine="560" w:firstLineChars="200"/>
        <w:rPr>
          <w:rFonts w:hint="eastAsia" w:ascii="仿宋" w:hAnsi="仿宋" w:eastAsia="仿宋" w:cs="仿宋"/>
          <w:color w:val="auto"/>
          <w:szCs w:val="28"/>
          <w:highlight w:val="none"/>
        </w:rPr>
      </w:pPr>
    </w:p>
    <w:p w14:paraId="5B76CDF7">
      <w:pPr>
        <w:snapToGrid w:val="0"/>
        <w:spacing w:line="400" w:lineRule="exact"/>
        <w:ind w:firstLine="480" w:firstLineChars="200"/>
        <w:rPr>
          <w:rFonts w:hint="eastAsia" w:ascii="仿宋" w:hAnsi="仿宋" w:eastAsia="仿宋" w:cs="仿宋"/>
          <w:color w:val="auto"/>
          <w:sz w:val="24"/>
          <w:szCs w:val="28"/>
          <w:highlight w:val="none"/>
        </w:rPr>
      </w:pPr>
    </w:p>
    <w:p w14:paraId="2E8EC10C">
      <w:pPr>
        <w:snapToGrid w:val="0"/>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4"/>
          <w:szCs w:val="28"/>
          <w:highlight w:val="none"/>
        </w:rPr>
        <w:t>（三）其他商务资料</w:t>
      </w:r>
    </w:p>
    <w:p w14:paraId="781F431A">
      <w:pPr>
        <w:snapToGrid w:val="0"/>
        <w:spacing w:line="400" w:lineRule="exact"/>
        <w:ind w:firstLine="480" w:firstLineChars="200"/>
        <w:rPr>
          <w:rFonts w:hint="eastAsia" w:ascii="仿宋" w:hAnsi="仿宋" w:eastAsia="仿宋" w:cs="仿宋"/>
          <w:color w:val="auto"/>
          <w:sz w:val="24"/>
          <w:szCs w:val="28"/>
          <w:highlight w:val="none"/>
        </w:rPr>
      </w:pPr>
    </w:p>
    <w:p w14:paraId="403CEAB4">
      <w:pPr>
        <w:tabs>
          <w:tab w:val="left" w:pos="6300"/>
        </w:tabs>
        <w:snapToGrid w:val="0"/>
        <w:spacing w:line="5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27469DA">
      <w:pPr>
        <w:pStyle w:val="3"/>
        <w:pageBreakBefore/>
        <w:spacing w:line="500" w:lineRule="exact"/>
        <w:ind w:firstLine="562" w:firstLineChars="200"/>
        <w:rPr>
          <w:rFonts w:hint="eastAsia" w:ascii="仿宋" w:hAnsi="仿宋" w:eastAsia="仿宋" w:cs="仿宋"/>
          <w:b/>
          <w:color w:val="auto"/>
          <w:szCs w:val="28"/>
          <w:highlight w:val="none"/>
        </w:rPr>
      </w:pPr>
      <w:bookmarkStart w:id="469" w:name="_Toc26469"/>
      <w:bookmarkStart w:id="470" w:name="_Toc27602"/>
      <w:bookmarkStart w:id="471" w:name="_Toc26812"/>
      <w:r>
        <w:rPr>
          <w:rFonts w:hint="eastAsia" w:ascii="仿宋" w:hAnsi="仿宋" w:eastAsia="仿宋" w:cs="仿宋"/>
          <w:b/>
          <w:color w:val="auto"/>
          <w:szCs w:val="28"/>
          <w:highlight w:val="none"/>
        </w:rPr>
        <w:t>四、其他</w:t>
      </w:r>
      <w:bookmarkEnd w:id="469"/>
      <w:bookmarkEnd w:id="470"/>
      <w:bookmarkEnd w:id="471"/>
    </w:p>
    <w:p w14:paraId="1C5597A1">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78080B9B">
      <w:pPr>
        <w:spacing w:line="400" w:lineRule="exact"/>
        <w:ind w:firstLine="480" w:firstLineChars="200"/>
        <w:rPr>
          <w:rFonts w:hint="eastAsia" w:ascii="仿宋" w:hAnsi="仿宋" w:eastAsia="仿宋" w:cs="仿宋"/>
          <w:color w:val="auto"/>
          <w:sz w:val="24"/>
          <w:szCs w:val="28"/>
          <w:highlight w:val="none"/>
        </w:rPr>
      </w:pPr>
    </w:p>
    <w:p w14:paraId="5BF3756E">
      <w:pPr>
        <w:pStyle w:val="3"/>
        <w:pageBreakBefore/>
        <w:spacing w:line="50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 xml:space="preserve"> </w:t>
      </w:r>
      <w:bookmarkStart w:id="472" w:name="_Toc21394"/>
      <w:bookmarkStart w:id="473" w:name="_Toc83"/>
      <w:bookmarkStart w:id="474" w:name="_Toc17663"/>
      <w:r>
        <w:rPr>
          <w:rFonts w:hint="eastAsia" w:ascii="仿宋" w:hAnsi="仿宋" w:eastAsia="仿宋" w:cs="仿宋"/>
          <w:b/>
          <w:color w:val="auto"/>
          <w:szCs w:val="28"/>
          <w:highlight w:val="none"/>
        </w:rPr>
        <w:t>五、资格文件</w:t>
      </w:r>
      <w:bookmarkEnd w:id="472"/>
      <w:bookmarkEnd w:id="473"/>
      <w:bookmarkEnd w:id="474"/>
    </w:p>
    <w:p w14:paraId="4968E1FC">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134D9207">
      <w:pPr>
        <w:tabs>
          <w:tab w:val="left" w:pos="6300"/>
        </w:tabs>
        <w:snapToGrid w:val="0"/>
        <w:spacing w:line="500" w:lineRule="exact"/>
        <w:ind w:firstLine="570"/>
        <w:rPr>
          <w:rFonts w:hint="eastAsia" w:ascii="仿宋" w:hAnsi="仿宋" w:eastAsia="仿宋" w:cs="仿宋"/>
          <w:color w:val="auto"/>
          <w:sz w:val="28"/>
          <w:szCs w:val="20"/>
          <w:highlight w:val="none"/>
        </w:rPr>
      </w:pPr>
    </w:p>
    <w:p w14:paraId="567B93A6">
      <w:pPr>
        <w:tabs>
          <w:tab w:val="left" w:pos="6300"/>
        </w:tabs>
        <w:snapToGrid w:val="0"/>
        <w:spacing w:line="500" w:lineRule="exact"/>
        <w:ind w:firstLine="570"/>
        <w:rPr>
          <w:rFonts w:hint="eastAsia" w:ascii="仿宋" w:hAnsi="仿宋" w:eastAsia="仿宋" w:cs="仿宋"/>
          <w:color w:val="auto"/>
          <w:sz w:val="28"/>
          <w:szCs w:val="20"/>
          <w:highlight w:val="none"/>
        </w:rPr>
      </w:pPr>
    </w:p>
    <w:p w14:paraId="0DB04F25">
      <w:pPr>
        <w:tabs>
          <w:tab w:val="left" w:pos="6300"/>
        </w:tabs>
        <w:snapToGrid w:val="0"/>
        <w:spacing w:line="500" w:lineRule="exact"/>
        <w:ind w:firstLine="570"/>
        <w:rPr>
          <w:rFonts w:hint="eastAsia" w:ascii="仿宋" w:hAnsi="仿宋" w:eastAsia="仿宋" w:cs="仿宋"/>
          <w:color w:val="auto"/>
          <w:sz w:val="28"/>
          <w:szCs w:val="20"/>
          <w:highlight w:val="none"/>
        </w:rPr>
      </w:pPr>
    </w:p>
    <w:p w14:paraId="2DF6365F">
      <w:pPr>
        <w:tabs>
          <w:tab w:val="left" w:pos="6300"/>
        </w:tabs>
        <w:snapToGrid w:val="0"/>
        <w:spacing w:line="500" w:lineRule="exact"/>
        <w:ind w:firstLine="570"/>
        <w:rPr>
          <w:rFonts w:hint="eastAsia" w:ascii="仿宋" w:hAnsi="仿宋" w:eastAsia="仿宋" w:cs="仿宋"/>
          <w:color w:val="auto"/>
          <w:sz w:val="28"/>
          <w:szCs w:val="20"/>
          <w:highlight w:val="none"/>
        </w:rPr>
      </w:pPr>
    </w:p>
    <w:p w14:paraId="3A51A77C">
      <w:pPr>
        <w:tabs>
          <w:tab w:val="left" w:pos="6300"/>
        </w:tabs>
        <w:snapToGrid w:val="0"/>
        <w:spacing w:line="500" w:lineRule="exact"/>
        <w:ind w:firstLine="570"/>
        <w:rPr>
          <w:rFonts w:hint="eastAsia" w:ascii="仿宋" w:hAnsi="仿宋" w:eastAsia="仿宋" w:cs="仿宋"/>
          <w:color w:val="auto"/>
          <w:sz w:val="28"/>
          <w:szCs w:val="20"/>
          <w:highlight w:val="none"/>
        </w:rPr>
      </w:pPr>
    </w:p>
    <w:p w14:paraId="1F7E0A2F">
      <w:pPr>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 w:val="28"/>
          <w:szCs w:val="20"/>
          <w:highlight w:val="none"/>
        </w:rPr>
        <w:br w:type="page"/>
      </w:r>
      <w:r>
        <w:rPr>
          <w:rFonts w:hint="eastAsia" w:ascii="仿宋" w:hAnsi="仿宋" w:eastAsia="仿宋" w:cs="仿宋"/>
          <w:color w:val="auto"/>
          <w:sz w:val="24"/>
          <w:szCs w:val="28"/>
          <w:highlight w:val="none"/>
        </w:rPr>
        <w:t>（二）法定代表人身份证明书（格式）</w:t>
      </w:r>
    </w:p>
    <w:p w14:paraId="54EB1CC4">
      <w:pPr>
        <w:tabs>
          <w:tab w:val="left" w:pos="6300"/>
        </w:tabs>
        <w:snapToGrid w:val="0"/>
        <w:spacing w:line="500" w:lineRule="exact"/>
        <w:ind w:firstLine="570"/>
        <w:rPr>
          <w:rFonts w:hint="eastAsia" w:ascii="仿宋" w:hAnsi="仿宋" w:eastAsia="仿宋" w:cs="仿宋"/>
          <w:color w:val="auto"/>
          <w:sz w:val="24"/>
          <w:szCs w:val="20"/>
          <w:highlight w:val="none"/>
        </w:rPr>
      </w:pPr>
    </w:p>
    <w:p w14:paraId="41AE1874">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比选项目名称：</w:t>
      </w:r>
      <w:r>
        <w:rPr>
          <w:rFonts w:hint="eastAsia" w:ascii="仿宋" w:hAnsi="仿宋" w:eastAsia="仿宋" w:cs="仿宋"/>
          <w:color w:val="auto"/>
          <w:sz w:val="24"/>
          <w:szCs w:val="20"/>
          <w:highlight w:val="none"/>
          <w:u w:val="single"/>
        </w:rPr>
        <w:t xml:space="preserve">                                                </w:t>
      </w:r>
    </w:p>
    <w:p w14:paraId="12D4C784">
      <w:pPr>
        <w:tabs>
          <w:tab w:val="left" w:pos="6300"/>
        </w:tabs>
        <w:snapToGrid w:val="0"/>
        <w:spacing w:line="500" w:lineRule="exact"/>
        <w:ind w:firstLine="570"/>
        <w:rPr>
          <w:rFonts w:hint="eastAsia" w:ascii="仿宋" w:hAnsi="仿宋" w:eastAsia="仿宋" w:cs="仿宋"/>
          <w:color w:val="auto"/>
          <w:sz w:val="24"/>
          <w:szCs w:val="20"/>
          <w:highlight w:val="none"/>
        </w:rPr>
      </w:pPr>
    </w:p>
    <w:p w14:paraId="29C7D2CF">
      <w:pPr>
        <w:tabs>
          <w:tab w:val="left" w:pos="6300"/>
        </w:tabs>
        <w:snapToGrid w:val="0"/>
        <w:spacing w:line="5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（采购代理机构名称）：</w:t>
      </w:r>
    </w:p>
    <w:p w14:paraId="3D1E30AB">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（法定代表人姓名）在</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（供应商名称）任</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（职务名称）职务，是（供应商名称）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w:t>
      </w:r>
    </w:p>
    <w:p w14:paraId="697B9BB8">
      <w:pPr>
        <w:tabs>
          <w:tab w:val="left" w:pos="6300"/>
        </w:tabs>
        <w:snapToGrid w:val="0"/>
        <w:spacing w:line="500" w:lineRule="exact"/>
        <w:ind w:firstLine="570"/>
        <w:rPr>
          <w:rFonts w:hint="eastAsia" w:ascii="仿宋" w:hAnsi="仿宋" w:eastAsia="仿宋" w:cs="仿宋"/>
          <w:color w:val="auto"/>
          <w:sz w:val="24"/>
          <w:szCs w:val="20"/>
          <w:highlight w:val="none"/>
        </w:rPr>
      </w:pPr>
    </w:p>
    <w:p w14:paraId="33BE6413">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特此证明。</w:t>
      </w:r>
    </w:p>
    <w:p w14:paraId="435D905E">
      <w:pPr>
        <w:tabs>
          <w:tab w:val="left" w:pos="6300"/>
        </w:tabs>
        <w:snapToGrid w:val="0"/>
        <w:spacing w:line="500" w:lineRule="exact"/>
        <w:ind w:firstLine="570"/>
        <w:rPr>
          <w:rFonts w:hint="eastAsia" w:ascii="仿宋" w:hAnsi="仿宋" w:eastAsia="仿宋" w:cs="仿宋"/>
          <w:color w:val="auto"/>
          <w:sz w:val="24"/>
          <w:szCs w:val="20"/>
          <w:highlight w:val="none"/>
        </w:rPr>
      </w:pPr>
    </w:p>
    <w:p w14:paraId="5F3BEEAE">
      <w:pPr>
        <w:tabs>
          <w:tab w:val="left" w:pos="6300"/>
        </w:tabs>
        <w:snapToGrid w:val="0"/>
        <w:spacing w:line="500" w:lineRule="exact"/>
        <w:ind w:firstLine="570"/>
        <w:rPr>
          <w:rFonts w:hint="eastAsia" w:ascii="仿宋" w:hAnsi="仿宋" w:eastAsia="仿宋" w:cs="仿宋"/>
          <w:color w:val="auto"/>
          <w:sz w:val="24"/>
          <w:szCs w:val="20"/>
          <w:highlight w:val="none"/>
        </w:rPr>
      </w:pPr>
    </w:p>
    <w:p w14:paraId="10028796">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供应商：</w:t>
      </w:r>
    </w:p>
    <w:p w14:paraId="15AE63A4">
      <w:pPr>
        <w:tabs>
          <w:tab w:val="left" w:pos="6300"/>
        </w:tabs>
        <w:snapToGrid w:val="0"/>
        <w:spacing w:line="500" w:lineRule="exact"/>
        <w:ind w:firstLine="5848" w:firstLineChars="243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（供应商公章）</w:t>
      </w:r>
    </w:p>
    <w:p w14:paraId="321D8DA4">
      <w:pPr>
        <w:tabs>
          <w:tab w:val="left" w:pos="6300"/>
        </w:tabs>
        <w:snapToGrid w:val="0"/>
        <w:spacing w:line="500" w:lineRule="exact"/>
        <w:ind w:firstLine="570"/>
        <w:rPr>
          <w:rFonts w:hint="eastAsia" w:ascii="仿宋" w:hAnsi="仿宋" w:eastAsia="仿宋" w:cs="仿宋"/>
          <w:color w:val="auto"/>
          <w:sz w:val="24"/>
          <w:szCs w:val="20"/>
          <w:highlight w:val="none"/>
        </w:rPr>
      </w:pPr>
    </w:p>
    <w:p w14:paraId="14664318">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年   月   日</w:t>
      </w:r>
    </w:p>
    <w:p w14:paraId="6538640C">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法定代表人电话：XXXXXXX      电子邮箱：XXXXXX@XXXXX（若授权他人办理并签署响应文件的可不填写）</w:t>
      </w:r>
    </w:p>
    <w:p w14:paraId="2E17141F">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（附：法定代表人身份证正反面复印件）</w:t>
      </w:r>
    </w:p>
    <w:p w14:paraId="111629EA">
      <w:pPr>
        <w:tabs>
          <w:tab w:val="left" w:pos="6300"/>
        </w:tabs>
        <w:snapToGrid w:val="0"/>
        <w:spacing w:line="500" w:lineRule="exact"/>
        <w:ind w:firstLine="570"/>
        <w:rPr>
          <w:rFonts w:hint="eastAsia" w:ascii="仿宋" w:hAnsi="仿宋" w:eastAsia="仿宋" w:cs="仿宋"/>
          <w:color w:val="auto"/>
          <w:sz w:val="24"/>
          <w:szCs w:val="20"/>
          <w:highlight w:val="none"/>
        </w:rPr>
      </w:pPr>
    </w:p>
    <w:p w14:paraId="145BEDDB">
      <w:pPr>
        <w:tabs>
          <w:tab w:val="left" w:pos="6300"/>
        </w:tabs>
        <w:snapToGrid w:val="0"/>
        <w:spacing w:line="500" w:lineRule="exact"/>
        <w:ind w:firstLine="570"/>
        <w:rPr>
          <w:rFonts w:hint="eastAsia" w:ascii="仿宋" w:hAnsi="仿宋" w:eastAsia="仿宋" w:cs="仿宋"/>
          <w:color w:val="auto"/>
          <w:sz w:val="24"/>
          <w:szCs w:val="20"/>
          <w:highlight w:val="none"/>
        </w:rPr>
      </w:pPr>
    </w:p>
    <w:p w14:paraId="098D597F">
      <w:pPr>
        <w:tabs>
          <w:tab w:val="left" w:pos="6300"/>
        </w:tabs>
        <w:snapToGrid w:val="0"/>
        <w:spacing w:line="500" w:lineRule="exact"/>
        <w:ind w:firstLine="570"/>
        <w:rPr>
          <w:rFonts w:hint="eastAsia" w:ascii="仿宋" w:hAnsi="仿宋" w:eastAsia="仿宋" w:cs="仿宋"/>
          <w:color w:val="auto"/>
          <w:sz w:val="24"/>
          <w:szCs w:val="20"/>
          <w:highlight w:val="none"/>
        </w:rPr>
      </w:pPr>
    </w:p>
    <w:p w14:paraId="099E4606">
      <w:pPr>
        <w:tabs>
          <w:tab w:val="left" w:pos="6300"/>
        </w:tabs>
        <w:snapToGrid w:val="0"/>
        <w:spacing w:line="500" w:lineRule="exact"/>
        <w:ind w:firstLine="570"/>
        <w:rPr>
          <w:rFonts w:hint="eastAsia" w:ascii="仿宋" w:hAnsi="仿宋" w:eastAsia="仿宋" w:cs="仿宋"/>
          <w:color w:val="auto"/>
          <w:sz w:val="24"/>
          <w:szCs w:val="20"/>
          <w:highlight w:val="none"/>
        </w:rPr>
      </w:pPr>
    </w:p>
    <w:p w14:paraId="6DF2E12E">
      <w:pPr>
        <w:tabs>
          <w:tab w:val="left" w:pos="6300"/>
        </w:tabs>
        <w:snapToGrid w:val="0"/>
        <w:spacing w:line="500" w:lineRule="exact"/>
        <w:ind w:firstLine="570"/>
        <w:rPr>
          <w:rFonts w:hint="eastAsia" w:ascii="仿宋" w:hAnsi="仿宋" w:eastAsia="仿宋" w:cs="仿宋"/>
          <w:color w:val="auto"/>
          <w:sz w:val="24"/>
          <w:szCs w:val="20"/>
          <w:highlight w:val="none"/>
        </w:rPr>
      </w:pPr>
    </w:p>
    <w:p w14:paraId="7071C391">
      <w:pPr>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 w:val="28"/>
          <w:szCs w:val="20"/>
          <w:highlight w:val="none"/>
        </w:rPr>
        <w:br w:type="column"/>
      </w:r>
      <w:r>
        <w:rPr>
          <w:rFonts w:hint="eastAsia" w:ascii="仿宋" w:hAnsi="仿宋" w:eastAsia="仿宋" w:cs="仿宋"/>
          <w:color w:val="auto"/>
          <w:sz w:val="24"/>
          <w:szCs w:val="28"/>
          <w:highlight w:val="none"/>
        </w:rPr>
        <w:t>（三）法定代表人授权委托书（格式）</w:t>
      </w:r>
    </w:p>
    <w:p w14:paraId="5F40F63C">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5CC17045">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8"/>
          <w:highlight w:val="none"/>
        </w:rPr>
        <w:t>比选项目名称</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p>
    <w:p w14:paraId="2B861BE6">
      <w:pPr>
        <w:tabs>
          <w:tab w:val="left" w:pos="6300"/>
        </w:tabs>
        <w:snapToGrid w:val="0"/>
        <w:spacing w:line="500" w:lineRule="exact"/>
        <w:ind w:firstLine="570"/>
        <w:rPr>
          <w:rFonts w:hint="eastAsia" w:ascii="仿宋" w:hAnsi="仿宋" w:eastAsia="仿宋" w:cs="仿宋"/>
          <w:color w:val="auto"/>
          <w:sz w:val="24"/>
          <w:szCs w:val="20"/>
          <w:highlight w:val="none"/>
        </w:rPr>
      </w:pPr>
    </w:p>
    <w:p w14:paraId="05BC663D">
      <w:pPr>
        <w:tabs>
          <w:tab w:val="left" w:pos="6300"/>
        </w:tabs>
        <w:snapToGrid w:val="0"/>
        <w:spacing w:line="5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（采购代理机构名称）：</w:t>
      </w:r>
    </w:p>
    <w:p w14:paraId="669ADBFC">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（供应商法定代表人名称）是</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（供应商名称）的法定代表人，特授权</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（被授权人姓名及身份证代码）代表我单位全权办理上述项目的竞选、谈判、签约等具体工作，并签署全部有关文件、协议及合同。</w:t>
      </w:r>
    </w:p>
    <w:p w14:paraId="18F3DC62">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我单位对被授权人的签署负全部责任。</w:t>
      </w:r>
    </w:p>
    <w:p w14:paraId="5666B9A4">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在撤消授权的书面通知以前，本授权书一直有效。被授权人在授权书有效期内签署的所有文件不因授权的撤消而失效。</w:t>
      </w:r>
    </w:p>
    <w:p w14:paraId="5110D0FB">
      <w:pPr>
        <w:tabs>
          <w:tab w:val="left" w:pos="6300"/>
        </w:tabs>
        <w:snapToGrid w:val="0"/>
        <w:spacing w:line="500" w:lineRule="exact"/>
        <w:ind w:firstLine="570"/>
        <w:rPr>
          <w:rFonts w:hint="eastAsia" w:ascii="仿宋" w:hAnsi="仿宋" w:eastAsia="仿宋" w:cs="仿宋"/>
          <w:color w:val="auto"/>
          <w:sz w:val="24"/>
          <w:szCs w:val="20"/>
          <w:highlight w:val="none"/>
        </w:rPr>
      </w:pPr>
    </w:p>
    <w:p w14:paraId="657598CE">
      <w:pPr>
        <w:tabs>
          <w:tab w:val="left" w:pos="6300"/>
        </w:tabs>
        <w:snapToGrid w:val="0"/>
        <w:spacing w:line="500" w:lineRule="exact"/>
        <w:ind w:firstLine="570"/>
        <w:rPr>
          <w:rFonts w:hint="eastAsia" w:ascii="仿宋" w:hAnsi="仿宋" w:eastAsia="仿宋" w:cs="仿宋"/>
          <w:color w:val="auto"/>
          <w:sz w:val="24"/>
          <w:szCs w:val="20"/>
          <w:highlight w:val="none"/>
        </w:rPr>
      </w:pPr>
    </w:p>
    <w:p w14:paraId="57F1D1EB">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被授权人：                                 供应商法定代表人：</w:t>
      </w:r>
    </w:p>
    <w:p w14:paraId="5C402492">
      <w:pPr>
        <w:tabs>
          <w:tab w:val="left" w:pos="6300"/>
        </w:tabs>
        <w:snapToGrid w:val="0"/>
        <w:spacing w:line="500" w:lineRule="exact"/>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3E541A83">
      <w:pPr>
        <w:tabs>
          <w:tab w:val="left" w:pos="6300"/>
        </w:tabs>
        <w:snapToGrid w:val="0"/>
        <w:spacing w:line="500" w:lineRule="exact"/>
        <w:ind w:firstLine="570"/>
        <w:rPr>
          <w:rFonts w:hint="eastAsia" w:ascii="仿宋" w:hAnsi="仿宋" w:eastAsia="仿宋" w:cs="仿宋"/>
          <w:color w:val="auto"/>
          <w:sz w:val="24"/>
          <w:szCs w:val="28"/>
          <w:highlight w:val="none"/>
        </w:rPr>
      </w:pPr>
    </w:p>
    <w:p w14:paraId="035C5772">
      <w:pPr>
        <w:tabs>
          <w:tab w:val="left" w:pos="6300"/>
        </w:tabs>
        <w:snapToGrid w:val="0"/>
        <w:spacing w:line="500" w:lineRule="exact"/>
        <w:ind w:firstLine="570"/>
        <w:rPr>
          <w:rFonts w:hint="eastAsia" w:ascii="仿宋" w:hAnsi="仿宋" w:eastAsia="仿宋" w:cs="仿宋"/>
          <w:color w:val="auto"/>
          <w:sz w:val="24"/>
          <w:szCs w:val="20"/>
          <w:highlight w:val="none"/>
        </w:rPr>
      </w:pPr>
    </w:p>
    <w:p w14:paraId="24F98F26">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（附：被授权人身份证正反面复印件）</w:t>
      </w:r>
    </w:p>
    <w:p w14:paraId="4EC81832">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0301344A">
      <w:pPr>
        <w:tabs>
          <w:tab w:val="left" w:pos="6300"/>
        </w:tabs>
        <w:snapToGrid w:val="0"/>
        <w:spacing w:line="500" w:lineRule="exact"/>
        <w:ind w:firstLine="570"/>
        <w:rPr>
          <w:rFonts w:hint="eastAsia" w:ascii="仿宋" w:hAnsi="仿宋" w:eastAsia="仿宋" w:cs="仿宋"/>
          <w:color w:val="auto"/>
          <w:sz w:val="24"/>
          <w:szCs w:val="20"/>
          <w:highlight w:val="none"/>
        </w:rPr>
      </w:pPr>
    </w:p>
    <w:p w14:paraId="2A6617FC">
      <w:pPr>
        <w:tabs>
          <w:tab w:val="left" w:pos="6300"/>
        </w:tabs>
        <w:snapToGrid w:val="0"/>
        <w:spacing w:line="500" w:lineRule="exact"/>
        <w:ind w:right="480" w:firstLine="57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（供应商公章）</w:t>
      </w:r>
    </w:p>
    <w:p w14:paraId="42CEFC66">
      <w:pPr>
        <w:tabs>
          <w:tab w:val="left" w:pos="6300"/>
        </w:tabs>
        <w:snapToGrid w:val="0"/>
        <w:spacing w:line="500" w:lineRule="exact"/>
        <w:ind w:right="480" w:firstLine="57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年   月   日</w:t>
      </w:r>
    </w:p>
    <w:p w14:paraId="6F9EC063">
      <w:pPr>
        <w:tabs>
          <w:tab w:val="left" w:pos="6300"/>
        </w:tabs>
        <w:snapToGrid w:val="0"/>
        <w:spacing w:line="500" w:lineRule="exact"/>
        <w:ind w:right="720" w:firstLine="570"/>
        <w:jc w:val="right"/>
        <w:rPr>
          <w:rFonts w:hint="eastAsia" w:ascii="仿宋" w:hAnsi="仿宋" w:eastAsia="仿宋" w:cs="仿宋"/>
          <w:color w:val="auto"/>
          <w:sz w:val="24"/>
          <w:szCs w:val="20"/>
          <w:highlight w:val="none"/>
        </w:rPr>
      </w:pPr>
    </w:p>
    <w:p w14:paraId="3D1C043D">
      <w:pPr>
        <w:tabs>
          <w:tab w:val="left" w:pos="6300"/>
        </w:tabs>
        <w:snapToGrid w:val="0"/>
        <w:spacing w:line="500" w:lineRule="exact"/>
        <w:ind w:right="480" w:firstLine="57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被授权人电话：XXXXXXX     电子邮箱：XXXXXX@XXXXX（若法定代表人办理并签署响应文件的可不填写）</w:t>
      </w:r>
    </w:p>
    <w:p w14:paraId="6A016EFA">
      <w:pPr>
        <w:tabs>
          <w:tab w:val="left" w:pos="6300"/>
        </w:tabs>
        <w:snapToGrid w:val="0"/>
        <w:spacing w:line="500" w:lineRule="exact"/>
        <w:ind w:right="480" w:firstLine="57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1592505A">
      <w:pPr>
        <w:tabs>
          <w:tab w:val="left" w:pos="6300"/>
        </w:tabs>
        <w:snapToGrid w:val="0"/>
        <w:spacing w:line="500" w:lineRule="exact"/>
        <w:ind w:right="480" w:firstLine="57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1.若为法定代表人办理并签署响应文件的，不提供此文件。</w:t>
      </w:r>
    </w:p>
    <w:p w14:paraId="7ACC33C7">
      <w:pPr>
        <w:spacing w:line="400" w:lineRule="exact"/>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B43A447">
      <w:pPr>
        <w:spacing w:line="400" w:lineRule="exact"/>
        <w:ind w:firstLine="480" w:firstLineChars="200"/>
        <w:jc w:val="left"/>
        <w:rPr>
          <w:rFonts w:hint="eastAsia" w:ascii="仿宋" w:hAnsi="仿宋" w:eastAsia="仿宋" w:cs="仿宋"/>
          <w:color w:val="auto"/>
          <w:sz w:val="24"/>
          <w:szCs w:val="20"/>
          <w:highlight w:val="none"/>
        </w:rPr>
      </w:pPr>
    </w:p>
    <w:p w14:paraId="7FF82FA8">
      <w:pPr>
        <w:spacing w:line="400" w:lineRule="exact"/>
        <w:ind w:firstLine="560" w:firstLineChars="200"/>
        <w:jc w:val="left"/>
        <w:rPr>
          <w:rFonts w:hint="eastAsia" w:ascii="仿宋" w:hAnsi="仿宋" w:eastAsia="仿宋" w:cs="仿宋"/>
          <w:color w:val="auto"/>
          <w:sz w:val="24"/>
          <w:highlight w:val="none"/>
        </w:rPr>
      </w:pPr>
      <w:r>
        <w:rPr>
          <w:rFonts w:hint="eastAsia" w:ascii="仿宋" w:hAnsi="仿宋" w:eastAsia="仿宋" w:cs="仿宋"/>
          <w:color w:val="auto"/>
          <w:sz w:val="28"/>
          <w:szCs w:val="20"/>
          <w:highlight w:val="none"/>
        </w:rPr>
        <w:t xml:space="preserve">  </w:t>
      </w:r>
      <w:r>
        <w:rPr>
          <w:rFonts w:hint="eastAsia" w:ascii="仿宋" w:hAnsi="仿宋" w:eastAsia="仿宋" w:cs="仿宋"/>
          <w:color w:val="auto"/>
          <w:sz w:val="24"/>
          <w:szCs w:val="28"/>
          <w:highlight w:val="none"/>
        </w:rPr>
        <w:t>（四）基本资格条件承诺函</w:t>
      </w:r>
    </w:p>
    <w:p w14:paraId="5A6E7F6A">
      <w:pPr>
        <w:tabs>
          <w:tab w:val="left" w:pos="6300"/>
        </w:tabs>
        <w:snapToGrid w:val="0"/>
        <w:spacing w:line="500" w:lineRule="exact"/>
        <w:ind w:firstLine="643" w:firstLineChars="200"/>
        <w:jc w:val="center"/>
        <w:outlineLvl w:val="0"/>
        <w:rPr>
          <w:rFonts w:hint="eastAsia" w:ascii="仿宋" w:hAnsi="仿宋" w:eastAsia="仿宋" w:cs="仿宋"/>
          <w:b/>
          <w:bCs/>
          <w:color w:val="auto"/>
          <w:sz w:val="32"/>
          <w:szCs w:val="32"/>
          <w:highlight w:val="none"/>
        </w:rPr>
      </w:pPr>
      <w:bookmarkStart w:id="475" w:name="_Toc24625"/>
      <w:bookmarkStart w:id="476" w:name="_Toc27135"/>
      <w:r>
        <w:rPr>
          <w:rFonts w:hint="eastAsia" w:ascii="仿宋" w:hAnsi="仿宋" w:eastAsia="仿宋" w:cs="仿宋"/>
          <w:b/>
          <w:bCs/>
          <w:color w:val="auto"/>
          <w:sz w:val="32"/>
          <w:szCs w:val="32"/>
          <w:highlight w:val="none"/>
        </w:rPr>
        <w:t>基本资格条件承诺函</w:t>
      </w:r>
      <w:bookmarkEnd w:id="475"/>
      <w:bookmarkEnd w:id="476"/>
    </w:p>
    <w:p w14:paraId="3D01F214">
      <w:pPr>
        <w:tabs>
          <w:tab w:val="left" w:pos="6300"/>
        </w:tabs>
        <w:snapToGrid w:val="0"/>
        <w:spacing w:line="530" w:lineRule="exact"/>
        <w:rPr>
          <w:rFonts w:hint="eastAsia" w:ascii="仿宋" w:hAnsi="仿宋" w:eastAsia="仿宋" w:cs="仿宋"/>
          <w:color w:val="auto"/>
          <w:sz w:val="24"/>
          <w:szCs w:val="20"/>
          <w:highlight w:val="none"/>
        </w:rPr>
      </w:pPr>
    </w:p>
    <w:p w14:paraId="3132FD9E">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（采购代理机构名称）：</w:t>
      </w:r>
    </w:p>
    <w:p w14:paraId="0F11AC56">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（供应商名称）郑重承诺：</w:t>
      </w:r>
    </w:p>
    <w:p w14:paraId="6AB8FC70">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1.我方具有良好的商业信誉和健全的财务会计制度，具有履行合同所必需的设备和专业技术能力，具</w:t>
      </w:r>
      <w:r>
        <w:rPr>
          <w:rFonts w:hint="eastAsia" w:ascii="仿宋" w:hAnsi="仿宋" w:eastAsia="仿宋" w:cs="仿宋"/>
          <w:color w:val="auto"/>
          <w:sz w:val="24"/>
          <w:szCs w:val="20"/>
          <w:highlight w:val="none"/>
          <w:lang w:val="zh-CN"/>
        </w:rPr>
        <w:t>有依法缴纳税收和社会保障金的良好记录</w:t>
      </w:r>
      <w:r>
        <w:rPr>
          <w:rFonts w:hint="eastAsia" w:ascii="仿宋" w:hAnsi="仿宋" w:eastAsia="仿宋" w:cs="仿宋"/>
          <w:color w:val="auto"/>
          <w:sz w:val="24"/>
          <w:szCs w:val="20"/>
          <w:highlight w:val="none"/>
        </w:rPr>
        <w:t>，参加本项目采购活动前三年内无重大违法活动记录。</w:t>
      </w:r>
    </w:p>
    <w:p w14:paraId="6AAB9549">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2.我方未列入在信用中国网站（www.creditchina.gov.cn）“失信被执行人”、“重大税收违法案件当事人名单”中。</w:t>
      </w:r>
    </w:p>
    <w:p w14:paraId="0E5003E0">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3.我方在采购项目评审（评标）环节结束后，随时接受采购人、采购代理机构的检查验证，配合提供相关证明材料，证明符合本项目规定的供应商资格条件。</w:t>
      </w:r>
    </w:p>
    <w:p w14:paraId="5C40DAF4">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我方对以上承诺负全部法律责任。</w:t>
      </w:r>
    </w:p>
    <w:p w14:paraId="4C8AE3EE">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特此承诺。</w:t>
      </w:r>
    </w:p>
    <w:p w14:paraId="00698AD6">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p>
    <w:p w14:paraId="69C9338D">
      <w:pPr>
        <w:tabs>
          <w:tab w:val="left" w:pos="6300"/>
        </w:tabs>
        <w:snapToGrid w:val="0"/>
        <w:spacing w:line="500" w:lineRule="exact"/>
        <w:ind w:firstLine="480" w:firstLineChars="20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（供应商公章）</w:t>
      </w:r>
    </w:p>
    <w:p w14:paraId="27D5CB1B">
      <w:pPr>
        <w:tabs>
          <w:tab w:val="left" w:pos="6300"/>
        </w:tabs>
        <w:snapToGrid w:val="0"/>
        <w:spacing w:line="500" w:lineRule="exact"/>
        <w:ind w:firstLine="480" w:firstLineChars="20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年   月   日</w:t>
      </w:r>
    </w:p>
    <w:p w14:paraId="5F10CAB6">
      <w:pPr>
        <w:snapToGrid w:val="0"/>
        <w:spacing w:line="440" w:lineRule="exact"/>
        <w:ind w:firstLine="480" w:firstLineChars="200"/>
        <w:rPr>
          <w:rFonts w:hint="eastAsia" w:ascii="仿宋" w:hAnsi="仿宋" w:eastAsia="仿宋" w:cs="仿宋"/>
          <w:color w:val="auto"/>
          <w:sz w:val="24"/>
          <w:highlight w:val="none"/>
        </w:rPr>
      </w:pPr>
    </w:p>
    <w:p w14:paraId="5E35BBF2">
      <w:pPr>
        <w:spacing w:line="400" w:lineRule="exact"/>
        <w:rPr>
          <w:rFonts w:hint="eastAsia" w:ascii="仿宋" w:hAnsi="仿宋" w:eastAsia="仿宋" w:cs="仿宋"/>
          <w:color w:val="auto"/>
          <w:sz w:val="28"/>
          <w:szCs w:val="20"/>
          <w:highlight w:val="none"/>
        </w:rPr>
      </w:pPr>
    </w:p>
    <w:p w14:paraId="646640E6">
      <w:pPr>
        <w:spacing w:line="400" w:lineRule="exact"/>
        <w:rPr>
          <w:rFonts w:hint="eastAsia" w:ascii="仿宋" w:hAnsi="仿宋" w:eastAsia="仿宋" w:cs="仿宋"/>
          <w:color w:val="auto"/>
          <w:sz w:val="28"/>
          <w:szCs w:val="20"/>
          <w:highlight w:val="none"/>
        </w:rPr>
      </w:pPr>
    </w:p>
    <w:p w14:paraId="1A7C51A5">
      <w:pPr>
        <w:spacing w:line="400" w:lineRule="exact"/>
        <w:rPr>
          <w:rFonts w:hint="eastAsia" w:ascii="仿宋" w:hAnsi="仿宋" w:eastAsia="仿宋" w:cs="仿宋"/>
          <w:color w:val="auto"/>
          <w:sz w:val="28"/>
          <w:szCs w:val="20"/>
          <w:highlight w:val="none"/>
        </w:rPr>
      </w:pPr>
    </w:p>
    <w:p w14:paraId="13A44F1F">
      <w:pPr>
        <w:spacing w:line="400" w:lineRule="exact"/>
        <w:rPr>
          <w:rFonts w:hint="eastAsia" w:ascii="仿宋" w:hAnsi="仿宋" w:eastAsia="仿宋" w:cs="仿宋"/>
          <w:color w:val="auto"/>
          <w:sz w:val="28"/>
          <w:szCs w:val="20"/>
          <w:highlight w:val="none"/>
        </w:rPr>
      </w:pPr>
    </w:p>
    <w:p w14:paraId="2115B2A4">
      <w:pPr>
        <w:spacing w:line="400" w:lineRule="exact"/>
        <w:rPr>
          <w:rFonts w:hint="eastAsia" w:ascii="仿宋" w:hAnsi="仿宋" w:eastAsia="仿宋" w:cs="仿宋"/>
          <w:color w:val="auto"/>
          <w:sz w:val="28"/>
          <w:szCs w:val="20"/>
          <w:highlight w:val="none"/>
        </w:rPr>
      </w:pPr>
    </w:p>
    <w:p w14:paraId="5993DDC6">
      <w:pPr>
        <w:spacing w:line="400" w:lineRule="exact"/>
        <w:rPr>
          <w:rFonts w:hint="eastAsia" w:ascii="仿宋" w:hAnsi="仿宋" w:eastAsia="仿宋" w:cs="仿宋"/>
          <w:color w:val="auto"/>
          <w:sz w:val="28"/>
          <w:szCs w:val="20"/>
          <w:highlight w:val="none"/>
        </w:rPr>
      </w:pPr>
    </w:p>
    <w:p w14:paraId="77756CC7">
      <w:pPr>
        <w:spacing w:line="400" w:lineRule="exact"/>
        <w:rPr>
          <w:rFonts w:hint="eastAsia" w:ascii="仿宋" w:hAnsi="仿宋" w:eastAsia="仿宋" w:cs="仿宋"/>
          <w:color w:val="auto"/>
          <w:sz w:val="28"/>
          <w:szCs w:val="20"/>
          <w:highlight w:val="none"/>
        </w:rPr>
      </w:pPr>
    </w:p>
    <w:p w14:paraId="579DA9CF">
      <w:pPr>
        <w:spacing w:line="400" w:lineRule="exact"/>
        <w:rPr>
          <w:rFonts w:hint="eastAsia" w:ascii="仿宋" w:hAnsi="仿宋" w:eastAsia="仿宋" w:cs="仿宋"/>
          <w:color w:val="auto"/>
          <w:sz w:val="28"/>
          <w:szCs w:val="20"/>
          <w:highlight w:val="none"/>
        </w:rPr>
      </w:pPr>
    </w:p>
    <w:p w14:paraId="405A6052">
      <w:pPr>
        <w:spacing w:line="400" w:lineRule="exact"/>
        <w:rPr>
          <w:rFonts w:hint="eastAsia" w:ascii="仿宋" w:hAnsi="仿宋" w:eastAsia="仿宋" w:cs="仿宋"/>
          <w:color w:val="auto"/>
          <w:sz w:val="28"/>
          <w:szCs w:val="20"/>
          <w:highlight w:val="none"/>
        </w:rPr>
      </w:pPr>
    </w:p>
    <w:p w14:paraId="23B69898">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6727ED04">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63104A7F">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17AEDB38">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（五）特定资格条件证书或证明文件</w:t>
      </w:r>
    </w:p>
    <w:p w14:paraId="3F506DD3">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5CC21593">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59C29D2">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04887BF6">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1E86D993">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EC4A916">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038274B7">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0B140C4A">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43685AA8">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20A47E98">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37C5E29D">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8ABCC75">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2E1AFE6B">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6A29C3F1">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5EE20C8">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4043D9F4">
      <w:pPr>
        <w:tabs>
          <w:tab w:val="left" w:pos="6300"/>
        </w:tabs>
        <w:snapToGrid w:val="0"/>
        <w:spacing w:line="500" w:lineRule="exact"/>
        <w:jc w:val="left"/>
        <w:rPr>
          <w:rFonts w:hint="eastAsia" w:ascii="仿宋" w:hAnsi="仿宋" w:eastAsia="仿宋" w:cs="仿宋"/>
          <w:color w:val="auto"/>
          <w:sz w:val="24"/>
          <w:szCs w:val="20"/>
          <w:highlight w:val="none"/>
        </w:rPr>
      </w:pPr>
    </w:p>
    <w:p w14:paraId="43509F44">
      <w:pPr>
        <w:tabs>
          <w:tab w:val="left" w:pos="6300"/>
        </w:tabs>
        <w:snapToGrid w:val="0"/>
        <w:spacing w:line="500" w:lineRule="exact"/>
        <w:ind w:firstLine="480" w:firstLineChars="200"/>
        <w:jc w:val="center"/>
        <w:outlineLvl w:val="0"/>
        <w:rPr>
          <w:rFonts w:hint="eastAsia" w:ascii="仿宋" w:hAnsi="仿宋" w:eastAsia="仿宋" w:cs="仿宋"/>
          <w:color w:val="auto"/>
          <w:sz w:val="24"/>
          <w:szCs w:val="20"/>
          <w:highlight w:val="none"/>
        </w:rPr>
      </w:pPr>
      <w:bookmarkStart w:id="477" w:name="_Toc7336"/>
      <w:bookmarkStart w:id="478" w:name="_Toc13384"/>
      <w:r>
        <w:rPr>
          <w:rFonts w:hint="eastAsia" w:ascii="仿宋" w:hAnsi="仿宋" w:eastAsia="仿宋" w:cs="仿宋"/>
          <w:color w:val="auto"/>
          <w:sz w:val="24"/>
          <w:szCs w:val="20"/>
          <w:highlight w:val="none"/>
        </w:rPr>
        <w:t>（结束）</w:t>
      </w:r>
      <w:bookmarkEnd w:id="477"/>
      <w:bookmarkEnd w:id="478"/>
    </w:p>
    <w:p w14:paraId="782C1749">
      <w:pPr>
        <w:rPr>
          <w:rFonts w:hint="eastAsia" w:ascii="仿宋" w:hAnsi="仿宋" w:eastAsia="仿宋" w:cs="仿宋"/>
          <w:color w:val="auto"/>
          <w:highlight w:val="none"/>
        </w:rPr>
      </w:pPr>
    </w:p>
    <w:p w14:paraId="167539F7">
      <w:pPr>
        <w:rPr>
          <w:rFonts w:hint="eastAsia" w:ascii="仿宋" w:hAnsi="仿宋" w:eastAsia="仿宋" w:cs="仿宋"/>
          <w:color w:val="auto"/>
          <w:highlight w:val="none"/>
        </w:rPr>
      </w:pPr>
    </w:p>
    <w:sectPr>
      <w:headerReference r:id="rId12" w:type="default"/>
      <w:pgSz w:w="11907" w:h="16840"/>
      <w:pgMar w:top="1134" w:right="1191" w:bottom="1134" w:left="1304" w:header="709" w:footer="992" w:gutter="0"/>
      <w:pgNumType w:fmt="decimal"/>
      <w:cols w:space="72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24E84D2-6EAE-4CED-9FCF-BCF12FC54745}"/>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2" w:fontKey="{25D6603A-7121-44F5-BAA2-59843F80113A}"/>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374AD2FC-FFDB-419A-AD78-FA6FB1774F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0FAF">
    <w:pPr>
      <w:pStyle w:val="38"/>
      <w:jc w:val="center"/>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B7C454">
                          <w:pPr>
                            <w:pStyle w:val="38"/>
                            <w:jc w:val="center"/>
                          </w:pPr>
                          <w:r>
                            <w:rPr>
                              <w:sz w:val="24"/>
                            </w:rPr>
                            <w:fldChar w:fldCharType="begin"/>
                          </w:r>
                          <w:r>
                            <w:rPr>
                              <w:rStyle w:val="64"/>
                              <w:sz w:val="24"/>
                            </w:rPr>
                            <w:instrText xml:space="preserve"> PAGE </w:instrText>
                          </w:r>
                          <w:r>
                            <w:rPr>
                              <w:sz w:val="24"/>
                            </w:rPr>
                            <w:fldChar w:fldCharType="separate"/>
                          </w:r>
                          <w:r>
                            <w:rPr>
                              <w:rStyle w:val="64"/>
                              <w:sz w:val="24"/>
                            </w:rPr>
                            <w:t>- 2 -</w:t>
                          </w:r>
                          <w:r>
                            <w:rPr>
                              <w:sz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06B7C454">
                    <w:pPr>
                      <w:pStyle w:val="38"/>
                      <w:jc w:val="center"/>
                    </w:pPr>
                    <w:r>
                      <w:rPr>
                        <w:sz w:val="24"/>
                      </w:rPr>
                      <w:fldChar w:fldCharType="begin"/>
                    </w:r>
                    <w:r>
                      <w:rPr>
                        <w:rStyle w:val="64"/>
                        <w:sz w:val="24"/>
                      </w:rPr>
                      <w:instrText xml:space="preserve"> PAGE </w:instrText>
                    </w:r>
                    <w:r>
                      <w:rPr>
                        <w:sz w:val="24"/>
                      </w:rPr>
                      <w:fldChar w:fldCharType="separate"/>
                    </w:r>
                    <w:r>
                      <w:rPr>
                        <w:rStyle w:val="64"/>
                        <w:sz w:val="24"/>
                      </w:rPr>
                      <w:t>- 2 -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E09E">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2C1C0009">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F35D">
    <w:pPr>
      <w:pStyle w:val="38"/>
      <w:jc w:val="center"/>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3A41C">
                          <w:pPr>
                            <w:pStyle w:val="3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3173A41C">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2183">
    <w:pPr>
      <w:pStyle w:val="38"/>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2271C">
                          <w:pPr>
                            <w:pStyle w:val="3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14:paraId="0152271C">
                    <w:pPr>
                      <w:pStyle w:val="3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5E12">
    <w:pPr>
      <w:pStyle w:val="38"/>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03635">
                          <w:pPr>
                            <w:pStyle w:val="3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yw9Et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jyw9EtAgAAWQQAAA4AAAAAAAAAAQAgAAAAHwEAAGRycy9lMm9Eb2MueG1sUEsFBgAAAAAG&#10;AAYAWQEAAL4FAAAAAA==&#10;">
              <v:fill on="f" focussize="0,0"/>
              <v:stroke on="f" weight="0.5pt"/>
              <v:imagedata o:title=""/>
              <o:lock v:ext="edit" aspectratio="f"/>
              <v:textbox inset="0mm,0mm,0mm,0mm" style="mso-fit-shape-to-text:t;">
                <w:txbxContent>
                  <w:p w14:paraId="66103635">
                    <w:pPr>
                      <w:pStyle w:val="3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983F">
    <w:pPr>
      <w:pStyle w:val="39"/>
      <w:pBdr>
        <w:bottom w:val="single" w:color="auto" w:sz="4" w:space="1"/>
      </w:pBdr>
      <w:jc w:val="both"/>
      <w:rPr>
        <w:rFonts w:hint="eastAsia" w:ascii="方正仿宋_GBK" w:eastAsia="方正仿宋_GBK"/>
        <w:sz w:val="21"/>
        <w:szCs w:val="24"/>
        <w:lang w:eastAsia="zh-CN"/>
      </w:rPr>
    </w:pPr>
    <w:r>
      <w:rPr>
        <w:rFonts w:ascii="方正仿宋_GBK" w:eastAsia="方正仿宋_GBK" w:cs="方正仿宋_GBK"/>
      </w:rPr>
      <w:drawing>
        <wp:inline distT="0" distB="0" distL="114300" distR="114300">
          <wp:extent cx="361315" cy="198120"/>
          <wp:effectExtent l="0" t="0" r="635" b="1905"/>
          <wp:docPr id="7" name="图片 1" descr="212947229164871979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129472291648719793885"/>
                  <pic:cNvPicPr>
                    <a:picLocks noChangeAspect="1"/>
                  </pic:cNvPicPr>
                </pic:nvPicPr>
                <pic:blipFill>
                  <a:blip r:embed="rId1"/>
                  <a:stretch>
                    <a:fillRect/>
                  </a:stretch>
                </pic:blipFill>
                <pic:spPr>
                  <a:xfrm>
                    <a:off x="0" y="0"/>
                    <a:ext cx="361315" cy="198120"/>
                  </a:xfrm>
                  <a:prstGeom prst="rect">
                    <a:avLst/>
                  </a:prstGeom>
                  <a:noFill/>
                  <a:ln>
                    <a:noFill/>
                  </a:ln>
                </pic:spPr>
              </pic:pic>
            </a:graphicData>
          </a:graphic>
        </wp:inline>
      </w:drawing>
    </w:r>
    <w:r>
      <w:rPr>
        <w:rFonts w:hint="eastAsia" w:ascii="方正仿宋_GBK" w:eastAsia="方正仿宋_GBK" w:cs="方正仿宋_GBK"/>
        <w:sz w:val="21"/>
        <w:szCs w:val="24"/>
        <w:lang w:eastAsia="zh-CN"/>
      </w:rPr>
      <w:t>重庆多杰数字科技咨询服务有限公司</w:t>
    </w:r>
    <w:r>
      <w:rPr>
        <w:rFonts w:hint="eastAsia" w:ascii="方正仿宋_GBK" w:eastAsia="方正仿宋_GBK"/>
        <w:sz w:val="21"/>
        <w:szCs w:val="24"/>
      </w:rPr>
      <w:t xml:space="preserve">                                                    </w:t>
    </w:r>
    <w:r>
      <w:rPr>
        <w:rFonts w:hint="eastAsia" w:ascii="方正仿宋_GBK" w:eastAsia="方正仿宋_GBK"/>
        <w:sz w:val="21"/>
        <w:szCs w:val="24"/>
        <w:lang w:eastAsia="zh-CN"/>
      </w:rPr>
      <w:t>竞争性比选文件</w:t>
    </w:r>
  </w:p>
  <w:p w14:paraId="1FD56F21">
    <w:pPr>
      <w:pStyle w:val="3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4F013">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0ED6">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ACDF">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4235">
    <w:pPr>
      <w:rPr>
        <w:rFonts w:hint="eastAsia" w:ascii="方正仿宋_GBK" w:eastAsia="方正仿宋_GBK"/>
        <w:sz w:val="21"/>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5D6AB"/>
    <w:multiLevelType w:val="singleLevel"/>
    <w:tmpl w:val="CD95D6AB"/>
    <w:lvl w:ilvl="0" w:tentative="0">
      <w:start w:val="1"/>
      <w:numFmt w:val="chineseCounting"/>
      <w:suff w:val="nothing"/>
      <w:lvlText w:val="%1、"/>
      <w:lvlJc w:val="left"/>
      <w:rPr>
        <w:rFonts w:hint="eastAsia"/>
      </w:rPr>
    </w:lvl>
  </w:abstractNum>
  <w:abstractNum w:abstractNumId="1">
    <w:nsid w:val="E21EE95B"/>
    <w:multiLevelType w:val="singleLevel"/>
    <w:tmpl w:val="E21EE95B"/>
    <w:lvl w:ilvl="0" w:tentative="0">
      <w:start w:val="1"/>
      <w:numFmt w:val="decimal"/>
      <w:lvlText w:val="%1."/>
      <w:lvlJc w:val="left"/>
      <w:pPr>
        <w:tabs>
          <w:tab w:val="left" w:pos="312"/>
        </w:tabs>
      </w:pPr>
    </w:lvl>
  </w:abstractNum>
  <w:abstractNum w:abstractNumId="2">
    <w:nsid w:val="EA532B53"/>
    <w:multiLevelType w:val="singleLevel"/>
    <w:tmpl w:val="EA532B53"/>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pStyle w:val="15"/>
      <w:lvlText w:val="%1."/>
      <w:lvlJc w:val="left"/>
      <w:pPr>
        <w:tabs>
          <w:tab w:val="left" w:pos="780"/>
        </w:tabs>
        <w:ind w:left="780" w:hanging="360"/>
      </w:pPr>
    </w:lvl>
  </w:abstractNum>
  <w:abstractNum w:abstractNumId="4">
    <w:nsid w:val="00000005"/>
    <w:multiLevelType w:val="multilevel"/>
    <w:tmpl w:val="00000005"/>
    <w:lvl w:ilvl="0" w:tentative="0">
      <w:start w:val="1"/>
      <w:numFmt w:val="bullet"/>
      <w:pStyle w:val="170"/>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00000006"/>
    <w:multiLevelType w:val="singleLevel"/>
    <w:tmpl w:val="00000006"/>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00000007"/>
    <w:multiLevelType w:val="multilevel"/>
    <w:tmpl w:val="00000007"/>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3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A"/>
    <w:multiLevelType w:val="multilevel"/>
    <w:tmpl w:val="0000000A"/>
    <w:lvl w:ilvl="0" w:tentative="0">
      <w:start w:val="8"/>
      <w:numFmt w:val="decimal"/>
      <w:pStyle w:val="248"/>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1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12"/>
    <w:multiLevelType w:val="singleLevel"/>
    <w:tmpl w:val="00000012"/>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3"/>
    <w:multiLevelType w:val="multilevel"/>
    <w:tmpl w:val="00000013"/>
    <w:lvl w:ilvl="0" w:tentative="0">
      <w:start w:val="1"/>
      <w:numFmt w:val="bullet"/>
      <w:pStyle w:val="15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5"/>
    <w:multiLevelType w:val="multilevel"/>
    <w:tmpl w:val="00000015"/>
    <w:lvl w:ilvl="0" w:tentative="0">
      <w:start w:val="1"/>
      <w:numFmt w:val="decimal"/>
      <w:pStyle w:val="158"/>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6"/>
    <w:multiLevelType w:val="singleLevel"/>
    <w:tmpl w:val="00000016"/>
    <w:lvl w:ilvl="0" w:tentative="0">
      <w:start w:val="1"/>
      <w:numFmt w:val="bullet"/>
      <w:pStyle w:val="178"/>
      <w:lvlText w:val=""/>
      <w:lvlJc w:val="left"/>
      <w:pPr>
        <w:tabs>
          <w:tab w:val="left" w:pos="360"/>
        </w:tabs>
        <w:ind w:left="360" w:hanging="360"/>
      </w:pPr>
      <w:rPr>
        <w:rFonts w:hint="default" w:ascii="Wingdings" w:hAnsi="Wingdings"/>
      </w:rPr>
    </w:lvl>
  </w:abstractNum>
  <w:abstractNum w:abstractNumId="14">
    <w:nsid w:val="00000017"/>
    <w:multiLevelType w:val="singleLevel"/>
    <w:tmpl w:val="00000017"/>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15">
    <w:nsid w:val="00000019"/>
    <w:multiLevelType w:val="singleLevel"/>
    <w:tmpl w:val="00000019"/>
    <w:lvl w:ilvl="0" w:tentative="0">
      <w:start w:val="1"/>
      <w:numFmt w:val="decimal"/>
      <w:pStyle w:val="175"/>
      <w:lvlText w:val="%1)"/>
      <w:lvlJc w:val="left"/>
      <w:pPr>
        <w:tabs>
          <w:tab w:val="left" w:pos="425"/>
        </w:tabs>
        <w:ind w:left="425" w:hanging="425"/>
      </w:pPr>
      <w:rPr>
        <w:rFonts w:hint="eastAsia"/>
      </w:rPr>
    </w:lvl>
  </w:abstractNum>
  <w:abstractNum w:abstractNumId="16">
    <w:nsid w:val="0000001A"/>
    <w:multiLevelType w:val="multilevel"/>
    <w:tmpl w:val="0000001A"/>
    <w:lvl w:ilvl="0" w:tentative="0">
      <w:start w:val="1"/>
      <w:numFmt w:val="decimal"/>
      <w:pStyle w:val="14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D"/>
    <w:multiLevelType w:val="multilevel"/>
    <w:tmpl w:val="0000001D"/>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A0145B2"/>
    <w:multiLevelType w:val="singleLevel"/>
    <w:tmpl w:val="4A0145B2"/>
    <w:lvl w:ilvl="0" w:tentative="0">
      <w:start w:val="1"/>
      <w:numFmt w:val="chineseCounting"/>
      <w:suff w:val="nothing"/>
      <w:lvlText w:val="（%1）"/>
      <w:lvlJc w:val="left"/>
      <w:rPr>
        <w:rFonts w:hint="eastAsia"/>
      </w:rPr>
    </w:lvl>
  </w:abstractNum>
  <w:num w:numId="1">
    <w:abstractNumId w:val="7"/>
  </w:num>
  <w:num w:numId="2">
    <w:abstractNumId w:val="3"/>
  </w:num>
  <w:num w:numId="3">
    <w:abstractNumId w:val="5"/>
  </w:num>
  <w:num w:numId="4">
    <w:abstractNumId w:val="14"/>
  </w:num>
  <w:num w:numId="5">
    <w:abstractNumId w:val="10"/>
  </w:num>
  <w:num w:numId="6">
    <w:abstractNumId w:val="17"/>
  </w:num>
  <w:num w:numId="7">
    <w:abstractNumId w:val="16"/>
  </w:num>
  <w:num w:numId="8">
    <w:abstractNumId w:val="11"/>
  </w:num>
  <w:num w:numId="9">
    <w:abstractNumId w:val="12"/>
  </w:num>
  <w:num w:numId="10">
    <w:abstractNumId w:val="4"/>
  </w:num>
  <w:num w:numId="11">
    <w:abstractNumId w:val="15"/>
  </w:num>
  <w:num w:numId="12">
    <w:abstractNumId w:val="13"/>
  </w:num>
  <w:num w:numId="13">
    <w:abstractNumId w:val="9"/>
  </w:num>
  <w:num w:numId="14">
    <w:abstractNumId w:val="6"/>
  </w:num>
  <w:num w:numId="15">
    <w:abstractNumId w:val="8"/>
  </w:num>
  <w:num w:numId="16">
    <w:abstractNumId w:val="0"/>
  </w:num>
  <w:num w:numId="17">
    <w:abstractNumId w:val="18"/>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YmQ0NTU2OWQ0MWM2MzkyZTUyNGRhMzkwNjVjNzQifQ=="/>
  </w:docVars>
  <w:rsids>
    <w:rsidRoot w:val="00172A27"/>
    <w:rsid w:val="000009FD"/>
    <w:rsid w:val="00000ED2"/>
    <w:rsid w:val="00003684"/>
    <w:rsid w:val="000072F0"/>
    <w:rsid w:val="00010A9A"/>
    <w:rsid w:val="000110F0"/>
    <w:rsid w:val="00011AF1"/>
    <w:rsid w:val="00012203"/>
    <w:rsid w:val="00012ACA"/>
    <w:rsid w:val="00021946"/>
    <w:rsid w:val="000266A1"/>
    <w:rsid w:val="0003075E"/>
    <w:rsid w:val="00030782"/>
    <w:rsid w:val="0003282A"/>
    <w:rsid w:val="00034A67"/>
    <w:rsid w:val="0003767C"/>
    <w:rsid w:val="000376BA"/>
    <w:rsid w:val="00037FAD"/>
    <w:rsid w:val="000408C5"/>
    <w:rsid w:val="000420C0"/>
    <w:rsid w:val="00042250"/>
    <w:rsid w:val="00043311"/>
    <w:rsid w:val="00047144"/>
    <w:rsid w:val="0005078E"/>
    <w:rsid w:val="00056058"/>
    <w:rsid w:val="00057565"/>
    <w:rsid w:val="00060807"/>
    <w:rsid w:val="00060F9F"/>
    <w:rsid w:val="00064EA7"/>
    <w:rsid w:val="0006572E"/>
    <w:rsid w:val="00075252"/>
    <w:rsid w:val="00075520"/>
    <w:rsid w:val="00075BA6"/>
    <w:rsid w:val="00082AC9"/>
    <w:rsid w:val="000857DB"/>
    <w:rsid w:val="000879D1"/>
    <w:rsid w:val="00087E2A"/>
    <w:rsid w:val="000908E7"/>
    <w:rsid w:val="0009136B"/>
    <w:rsid w:val="000946BD"/>
    <w:rsid w:val="00094D91"/>
    <w:rsid w:val="00094FBF"/>
    <w:rsid w:val="000A2FB3"/>
    <w:rsid w:val="000A3ABD"/>
    <w:rsid w:val="000A4BD7"/>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6371"/>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0F5FF0"/>
    <w:rsid w:val="001001A5"/>
    <w:rsid w:val="001035DF"/>
    <w:rsid w:val="00104A22"/>
    <w:rsid w:val="00104C5C"/>
    <w:rsid w:val="00107F21"/>
    <w:rsid w:val="001103D7"/>
    <w:rsid w:val="00110AA3"/>
    <w:rsid w:val="00111819"/>
    <w:rsid w:val="0011194D"/>
    <w:rsid w:val="00112524"/>
    <w:rsid w:val="001125BF"/>
    <w:rsid w:val="00112BB6"/>
    <w:rsid w:val="00113FC9"/>
    <w:rsid w:val="00117D87"/>
    <w:rsid w:val="00121660"/>
    <w:rsid w:val="0012297F"/>
    <w:rsid w:val="00122FAE"/>
    <w:rsid w:val="00124B08"/>
    <w:rsid w:val="00124B3D"/>
    <w:rsid w:val="00124E2D"/>
    <w:rsid w:val="001250D0"/>
    <w:rsid w:val="001254D3"/>
    <w:rsid w:val="00125E3E"/>
    <w:rsid w:val="001329C4"/>
    <w:rsid w:val="00132AB5"/>
    <w:rsid w:val="00135250"/>
    <w:rsid w:val="0014045A"/>
    <w:rsid w:val="001407F6"/>
    <w:rsid w:val="00143D04"/>
    <w:rsid w:val="00143E2B"/>
    <w:rsid w:val="0015271E"/>
    <w:rsid w:val="001528E5"/>
    <w:rsid w:val="001554C7"/>
    <w:rsid w:val="001578C2"/>
    <w:rsid w:val="00157C05"/>
    <w:rsid w:val="00161645"/>
    <w:rsid w:val="0016239E"/>
    <w:rsid w:val="00163AC1"/>
    <w:rsid w:val="00164405"/>
    <w:rsid w:val="00165AD0"/>
    <w:rsid w:val="00170376"/>
    <w:rsid w:val="0017268B"/>
    <w:rsid w:val="00173AC9"/>
    <w:rsid w:val="00174F15"/>
    <w:rsid w:val="00176391"/>
    <w:rsid w:val="001767A8"/>
    <w:rsid w:val="00176960"/>
    <w:rsid w:val="0018194D"/>
    <w:rsid w:val="00183E69"/>
    <w:rsid w:val="00183EEB"/>
    <w:rsid w:val="00185628"/>
    <w:rsid w:val="001864B0"/>
    <w:rsid w:val="00186A28"/>
    <w:rsid w:val="00187F68"/>
    <w:rsid w:val="00191EDB"/>
    <w:rsid w:val="00192A3E"/>
    <w:rsid w:val="00194E17"/>
    <w:rsid w:val="001960BE"/>
    <w:rsid w:val="001961B5"/>
    <w:rsid w:val="00197352"/>
    <w:rsid w:val="00197B98"/>
    <w:rsid w:val="001A0940"/>
    <w:rsid w:val="001A126D"/>
    <w:rsid w:val="001A648A"/>
    <w:rsid w:val="001B0FEE"/>
    <w:rsid w:val="001B4A20"/>
    <w:rsid w:val="001B539D"/>
    <w:rsid w:val="001B53C1"/>
    <w:rsid w:val="001B5E09"/>
    <w:rsid w:val="001C08B0"/>
    <w:rsid w:val="001C2080"/>
    <w:rsid w:val="001C3A07"/>
    <w:rsid w:val="001C54FE"/>
    <w:rsid w:val="001C6A1E"/>
    <w:rsid w:val="001D1258"/>
    <w:rsid w:val="001D1F52"/>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08C1"/>
    <w:rsid w:val="002213BF"/>
    <w:rsid w:val="00223B03"/>
    <w:rsid w:val="0022640C"/>
    <w:rsid w:val="0022711C"/>
    <w:rsid w:val="00227651"/>
    <w:rsid w:val="00230CE6"/>
    <w:rsid w:val="00233395"/>
    <w:rsid w:val="00233AFE"/>
    <w:rsid w:val="0023537E"/>
    <w:rsid w:val="00236969"/>
    <w:rsid w:val="00236E09"/>
    <w:rsid w:val="00237468"/>
    <w:rsid w:val="00237C42"/>
    <w:rsid w:val="002435D0"/>
    <w:rsid w:val="00243F8F"/>
    <w:rsid w:val="00245D2A"/>
    <w:rsid w:val="00246B99"/>
    <w:rsid w:val="002474A9"/>
    <w:rsid w:val="00251AB6"/>
    <w:rsid w:val="00251E45"/>
    <w:rsid w:val="00252167"/>
    <w:rsid w:val="00252999"/>
    <w:rsid w:val="0025308A"/>
    <w:rsid w:val="00255D5D"/>
    <w:rsid w:val="0025601D"/>
    <w:rsid w:val="00257FF1"/>
    <w:rsid w:val="00261D69"/>
    <w:rsid w:val="00262267"/>
    <w:rsid w:val="00262F6F"/>
    <w:rsid w:val="002635F4"/>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B02CF"/>
    <w:rsid w:val="002B26F0"/>
    <w:rsid w:val="002B31D4"/>
    <w:rsid w:val="002B370E"/>
    <w:rsid w:val="002B375E"/>
    <w:rsid w:val="002B5876"/>
    <w:rsid w:val="002B65F8"/>
    <w:rsid w:val="002C0316"/>
    <w:rsid w:val="002C1045"/>
    <w:rsid w:val="002C10FD"/>
    <w:rsid w:val="002C1B7A"/>
    <w:rsid w:val="002C5B74"/>
    <w:rsid w:val="002C6836"/>
    <w:rsid w:val="002C7F2B"/>
    <w:rsid w:val="002D2F75"/>
    <w:rsid w:val="002D5FAF"/>
    <w:rsid w:val="002E0FB6"/>
    <w:rsid w:val="002E1597"/>
    <w:rsid w:val="002E2816"/>
    <w:rsid w:val="002E3949"/>
    <w:rsid w:val="002E41DF"/>
    <w:rsid w:val="002E53CD"/>
    <w:rsid w:val="002E6DFA"/>
    <w:rsid w:val="002F1086"/>
    <w:rsid w:val="002F1557"/>
    <w:rsid w:val="002F4D62"/>
    <w:rsid w:val="002F5812"/>
    <w:rsid w:val="002F5EEF"/>
    <w:rsid w:val="002F62E5"/>
    <w:rsid w:val="003017D2"/>
    <w:rsid w:val="003055FB"/>
    <w:rsid w:val="00305F51"/>
    <w:rsid w:val="00306F4B"/>
    <w:rsid w:val="003075D9"/>
    <w:rsid w:val="003078AE"/>
    <w:rsid w:val="003131E0"/>
    <w:rsid w:val="00313530"/>
    <w:rsid w:val="00314EC1"/>
    <w:rsid w:val="00316847"/>
    <w:rsid w:val="00316C9A"/>
    <w:rsid w:val="003177D5"/>
    <w:rsid w:val="00317BBE"/>
    <w:rsid w:val="00321104"/>
    <w:rsid w:val="003220FF"/>
    <w:rsid w:val="003231A8"/>
    <w:rsid w:val="00325F74"/>
    <w:rsid w:val="00326131"/>
    <w:rsid w:val="00331597"/>
    <w:rsid w:val="00331AC1"/>
    <w:rsid w:val="00333506"/>
    <w:rsid w:val="00333E00"/>
    <w:rsid w:val="003340BB"/>
    <w:rsid w:val="00336B9E"/>
    <w:rsid w:val="00341803"/>
    <w:rsid w:val="00341CD5"/>
    <w:rsid w:val="003431D8"/>
    <w:rsid w:val="00343E1C"/>
    <w:rsid w:val="00344FF3"/>
    <w:rsid w:val="003454D6"/>
    <w:rsid w:val="0034652F"/>
    <w:rsid w:val="00347CE1"/>
    <w:rsid w:val="00350F6A"/>
    <w:rsid w:val="0035195C"/>
    <w:rsid w:val="00351A45"/>
    <w:rsid w:val="00352DEF"/>
    <w:rsid w:val="003540FC"/>
    <w:rsid w:val="00356617"/>
    <w:rsid w:val="0035698B"/>
    <w:rsid w:val="00357783"/>
    <w:rsid w:val="00357E3E"/>
    <w:rsid w:val="003607B2"/>
    <w:rsid w:val="003624B7"/>
    <w:rsid w:val="00362CFA"/>
    <w:rsid w:val="003657B2"/>
    <w:rsid w:val="00370BF4"/>
    <w:rsid w:val="0037133A"/>
    <w:rsid w:val="0037169E"/>
    <w:rsid w:val="00372DC7"/>
    <w:rsid w:val="00374AE7"/>
    <w:rsid w:val="003754CD"/>
    <w:rsid w:val="00375B89"/>
    <w:rsid w:val="00375E24"/>
    <w:rsid w:val="00381F76"/>
    <w:rsid w:val="00383C9F"/>
    <w:rsid w:val="003846F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21D1"/>
    <w:rsid w:val="003C3995"/>
    <w:rsid w:val="003D00D2"/>
    <w:rsid w:val="003D0992"/>
    <w:rsid w:val="003D1370"/>
    <w:rsid w:val="003D1857"/>
    <w:rsid w:val="003D1F4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3EC"/>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4B3D"/>
    <w:rsid w:val="0046550B"/>
    <w:rsid w:val="004668A0"/>
    <w:rsid w:val="00466D5A"/>
    <w:rsid w:val="004717A8"/>
    <w:rsid w:val="00475385"/>
    <w:rsid w:val="00475457"/>
    <w:rsid w:val="0047562B"/>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5230"/>
    <w:rsid w:val="004A7303"/>
    <w:rsid w:val="004B1497"/>
    <w:rsid w:val="004B159F"/>
    <w:rsid w:val="004B2831"/>
    <w:rsid w:val="004B4916"/>
    <w:rsid w:val="004B537E"/>
    <w:rsid w:val="004B6210"/>
    <w:rsid w:val="004B69BC"/>
    <w:rsid w:val="004B6CA6"/>
    <w:rsid w:val="004B7FE0"/>
    <w:rsid w:val="004C1305"/>
    <w:rsid w:val="004C133A"/>
    <w:rsid w:val="004C1FC5"/>
    <w:rsid w:val="004C2A6E"/>
    <w:rsid w:val="004C39A0"/>
    <w:rsid w:val="004C4F96"/>
    <w:rsid w:val="004D009E"/>
    <w:rsid w:val="004D154F"/>
    <w:rsid w:val="004D2588"/>
    <w:rsid w:val="004D32AF"/>
    <w:rsid w:val="004D433B"/>
    <w:rsid w:val="004D5994"/>
    <w:rsid w:val="004E0781"/>
    <w:rsid w:val="004E257E"/>
    <w:rsid w:val="004E32CB"/>
    <w:rsid w:val="004E3BD5"/>
    <w:rsid w:val="004E5C25"/>
    <w:rsid w:val="004F2721"/>
    <w:rsid w:val="004F2BA7"/>
    <w:rsid w:val="004F434B"/>
    <w:rsid w:val="00500E9B"/>
    <w:rsid w:val="005016D9"/>
    <w:rsid w:val="00501938"/>
    <w:rsid w:val="00501BE2"/>
    <w:rsid w:val="0050253D"/>
    <w:rsid w:val="00502629"/>
    <w:rsid w:val="00503149"/>
    <w:rsid w:val="00505C2A"/>
    <w:rsid w:val="0051021B"/>
    <w:rsid w:val="005102E2"/>
    <w:rsid w:val="00512491"/>
    <w:rsid w:val="00512C2F"/>
    <w:rsid w:val="00513CBD"/>
    <w:rsid w:val="005148B8"/>
    <w:rsid w:val="00514B93"/>
    <w:rsid w:val="00515415"/>
    <w:rsid w:val="005168BD"/>
    <w:rsid w:val="00516C3E"/>
    <w:rsid w:val="00516FFD"/>
    <w:rsid w:val="00521137"/>
    <w:rsid w:val="00521C37"/>
    <w:rsid w:val="00521ED6"/>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6C36"/>
    <w:rsid w:val="00550DF3"/>
    <w:rsid w:val="0055311C"/>
    <w:rsid w:val="0055575A"/>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6E5"/>
    <w:rsid w:val="005A7E4B"/>
    <w:rsid w:val="005B0FA4"/>
    <w:rsid w:val="005B1105"/>
    <w:rsid w:val="005B1829"/>
    <w:rsid w:val="005B5D00"/>
    <w:rsid w:val="005C00AC"/>
    <w:rsid w:val="005C215F"/>
    <w:rsid w:val="005C42CA"/>
    <w:rsid w:val="005C4345"/>
    <w:rsid w:val="005C43DA"/>
    <w:rsid w:val="005C466D"/>
    <w:rsid w:val="005C789B"/>
    <w:rsid w:val="005D135A"/>
    <w:rsid w:val="005D2F52"/>
    <w:rsid w:val="005D46F6"/>
    <w:rsid w:val="005D4964"/>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6EC6"/>
    <w:rsid w:val="00622BA2"/>
    <w:rsid w:val="00623C53"/>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677CA"/>
    <w:rsid w:val="00675735"/>
    <w:rsid w:val="00675E52"/>
    <w:rsid w:val="00680072"/>
    <w:rsid w:val="006800A2"/>
    <w:rsid w:val="00680CC4"/>
    <w:rsid w:val="00680EEC"/>
    <w:rsid w:val="0068128E"/>
    <w:rsid w:val="00682704"/>
    <w:rsid w:val="0068367F"/>
    <w:rsid w:val="00683887"/>
    <w:rsid w:val="00683DDF"/>
    <w:rsid w:val="00687999"/>
    <w:rsid w:val="00687CA2"/>
    <w:rsid w:val="00692203"/>
    <w:rsid w:val="00692295"/>
    <w:rsid w:val="00696EEA"/>
    <w:rsid w:val="00696FEF"/>
    <w:rsid w:val="006A0741"/>
    <w:rsid w:val="006A0B45"/>
    <w:rsid w:val="006A2E67"/>
    <w:rsid w:val="006A3DC1"/>
    <w:rsid w:val="006A5644"/>
    <w:rsid w:val="006A71EB"/>
    <w:rsid w:val="006B5846"/>
    <w:rsid w:val="006B5B45"/>
    <w:rsid w:val="006C1EAB"/>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5F7"/>
    <w:rsid w:val="00712A8E"/>
    <w:rsid w:val="007201FE"/>
    <w:rsid w:val="00721A8E"/>
    <w:rsid w:val="00726CCC"/>
    <w:rsid w:val="00727554"/>
    <w:rsid w:val="00727725"/>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2B56"/>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3596"/>
    <w:rsid w:val="007A4884"/>
    <w:rsid w:val="007A4D8F"/>
    <w:rsid w:val="007A6D2B"/>
    <w:rsid w:val="007A7855"/>
    <w:rsid w:val="007B08DC"/>
    <w:rsid w:val="007B12C5"/>
    <w:rsid w:val="007B1BA5"/>
    <w:rsid w:val="007B2AB1"/>
    <w:rsid w:val="007B346A"/>
    <w:rsid w:val="007B35CD"/>
    <w:rsid w:val="007B5F41"/>
    <w:rsid w:val="007B675F"/>
    <w:rsid w:val="007B6CDF"/>
    <w:rsid w:val="007C0815"/>
    <w:rsid w:val="007C7FA8"/>
    <w:rsid w:val="007D0A31"/>
    <w:rsid w:val="007D24C3"/>
    <w:rsid w:val="007D37E0"/>
    <w:rsid w:val="007D4361"/>
    <w:rsid w:val="007D5328"/>
    <w:rsid w:val="007D7A74"/>
    <w:rsid w:val="007E0353"/>
    <w:rsid w:val="007E0429"/>
    <w:rsid w:val="007E0FF7"/>
    <w:rsid w:val="007E2F17"/>
    <w:rsid w:val="007E3F23"/>
    <w:rsid w:val="007E5B91"/>
    <w:rsid w:val="007E5CB9"/>
    <w:rsid w:val="007E7604"/>
    <w:rsid w:val="007F13DC"/>
    <w:rsid w:val="007F2B6C"/>
    <w:rsid w:val="007F31E8"/>
    <w:rsid w:val="007F396F"/>
    <w:rsid w:val="007F3ED7"/>
    <w:rsid w:val="007F4318"/>
    <w:rsid w:val="007F6762"/>
    <w:rsid w:val="007F6E1F"/>
    <w:rsid w:val="00800A7E"/>
    <w:rsid w:val="00805E84"/>
    <w:rsid w:val="00805F43"/>
    <w:rsid w:val="00806E8B"/>
    <w:rsid w:val="00810596"/>
    <w:rsid w:val="00810FFE"/>
    <w:rsid w:val="008124F0"/>
    <w:rsid w:val="00813DB9"/>
    <w:rsid w:val="00813DCB"/>
    <w:rsid w:val="0082125B"/>
    <w:rsid w:val="00822DF5"/>
    <w:rsid w:val="00823323"/>
    <w:rsid w:val="0082401D"/>
    <w:rsid w:val="008243F8"/>
    <w:rsid w:val="00825E3B"/>
    <w:rsid w:val="0082654D"/>
    <w:rsid w:val="008266E0"/>
    <w:rsid w:val="00830EE4"/>
    <w:rsid w:val="00831DEF"/>
    <w:rsid w:val="00836907"/>
    <w:rsid w:val="00841A10"/>
    <w:rsid w:val="0084235F"/>
    <w:rsid w:val="008428AF"/>
    <w:rsid w:val="00843954"/>
    <w:rsid w:val="008467BB"/>
    <w:rsid w:val="00846FC1"/>
    <w:rsid w:val="00847436"/>
    <w:rsid w:val="00850495"/>
    <w:rsid w:val="00851796"/>
    <w:rsid w:val="00852CCF"/>
    <w:rsid w:val="008565D1"/>
    <w:rsid w:val="0086075E"/>
    <w:rsid w:val="0086079C"/>
    <w:rsid w:val="00860B96"/>
    <w:rsid w:val="00860FA0"/>
    <w:rsid w:val="00861DAB"/>
    <w:rsid w:val="00861F1F"/>
    <w:rsid w:val="00872CE0"/>
    <w:rsid w:val="00873855"/>
    <w:rsid w:val="00873C76"/>
    <w:rsid w:val="00875591"/>
    <w:rsid w:val="00877B25"/>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5B60"/>
    <w:rsid w:val="008A680F"/>
    <w:rsid w:val="008A6DB1"/>
    <w:rsid w:val="008B08AD"/>
    <w:rsid w:val="008B347B"/>
    <w:rsid w:val="008B3CF6"/>
    <w:rsid w:val="008B73D9"/>
    <w:rsid w:val="008C0317"/>
    <w:rsid w:val="008C1A74"/>
    <w:rsid w:val="008C2124"/>
    <w:rsid w:val="008C4238"/>
    <w:rsid w:val="008C54D0"/>
    <w:rsid w:val="008C5917"/>
    <w:rsid w:val="008C6391"/>
    <w:rsid w:val="008D29B0"/>
    <w:rsid w:val="008D2CD8"/>
    <w:rsid w:val="008D2FB6"/>
    <w:rsid w:val="008D4BC1"/>
    <w:rsid w:val="008D4EE8"/>
    <w:rsid w:val="008D5D99"/>
    <w:rsid w:val="008D6FBF"/>
    <w:rsid w:val="008D7515"/>
    <w:rsid w:val="008E19F1"/>
    <w:rsid w:val="008E4A4A"/>
    <w:rsid w:val="008F04E8"/>
    <w:rsid w:val="008F0CB3"/>
    <w:rsid w:val="008F1AA0"/>
    <w:rsid w:val="008F3BCA"/>
    <w:rsid w:val="008F5420"/>
    <w:rsid w:val="008F6B0B"/>
    <w:rsid w:val="008F7FC7"/>
    <w:rsid w:val="00902DB9"/>
    <w:rsid w:val="0090359C"/>
    <w:rsid w:val="00905B73"/>
    <w:rsid w:val="009060B1"/>
    <w:rsid w:val="00906A06"/>
    <w:rsid w:val="00906CF9"/>
    <w:rsid w:val="009075E7"/>
    <w:rsid w:val="00907D95"/>
    <w:rsid w:val="009111F7"/>
    <w:rsid w:val="00914050"/>
    <w:rsid w:val="00917164"/>
    <w:rsid w:val="0091768E"/>
    <w:rsid w:val="00917A39"/>
    <w:rsid w:val="00920905"/>
    <w:rsid w:val="0092098F"/>
    <w:rsid w:val="00923C4C"/>
    <w:rsid w:val="0092759C"/>
    <w:rsid w:val="00927881"/>
    <w:rsid w:val="00932194"/>
    <w:rsid w:val="00932299"/>
    <w:rsid w:val="00935773"/>
    <w:rsid w:val="00936515"/>
    <w:rsid w:val="00936BAD"/>
    <w:rsid w:val="0093772E"/>
    <w:rsid w:val="00937DE9"/>
    <w:rsid w:val="00940E4C"/>
    <w:rsid w:val="009431CE"/>
    <w:rsid w:val="00944EDB"/>
    <w:rsid w:val="00946ECC"/>
    <w:rsid w:val="00947D6F"/>
    <w:rsid w:val="009510D2"/>
    <w:rsid w:val="00951A22"/>
    <w:rsid w:val="00952A37"/>
    <w:rsid w:val="0095360A"/>
    <w:rsid w:val="00953E22"/>
    <w:rsid w:val="00954432"/>
    <w:rsid w:val="00954627"/>
    <w:rsid w:val="00955FF1"/>
    <w:rsid w:val="009604A2"/>
    <w:rsid w:val="0096296D"/>
    <w:rsid w:val="00963A1D"/>
    <w:rsid w:val="00964F91"/>
    <w:rsid w:val="00965D3C"/>
    <w:rsid w:val="009704E8"/>
    <w:rsid w:val="00970DDF"/>
    <w:rsid w:val="00970F1E"/>
    <w:rsid w:val="00972165"/>
    <w:rsid w:val="0097237A"/>
    <w:rsid w:val="00973FB8"/>
    <w:rsid w:val="00974407"/>
    <w:rsid w:val="00976C9F"/>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A7CB1"/>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F85"/>
    <w:rsid w:val="00A05776"/>
    <w:rsid w:val="00A07FD5"/>
    <w:rsid w:val="00A10642"/>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52466"/>
    <w:rsid w:val="00A52485"/>
    <w:rsid w:val="00A52858"/>
    <w:rsid w:val="00A60309"/>
    <w:rsid w:val="00A6188F"/>
    <w:rsid w:val="00A646A6"/>
    <w:rsid w:val="00A64C89"/>
    <w:rsid w:val="00A66086"/>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327B"/>
    <w:rsid w:val="00A96FAC"/>
    <w:rsid w:val="00A97379"/>
    <w:rsid w:val="00AA135C"/>
    <w:rsid w:val="00AA1511"/>
    <w:rsid w:val="00AA178F"/>
    <w:rsid w:val="00AA29D5"/>
    <w:rsid w:val="00AA3559"/>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B7A64"/>
    <w:rsid w:val="00AC0D4B"/>
    <w:rsid w:val="00AC34CB"/>
    <w:rsid w:val="00AC3EC5"/>
    <w:rsid w:val="00AC4D6E"/>
    <w:rsid w:val="00AC5DAD"/>
    <w:rsid w:val="00AC76E8"/>
    <w:rsid w:val="00AC7E13"/>
    <w:rsid w:val="00AD13BD"/>
    <w:rsid w:val="00AD5E85"/>
    <w:rsid w:val="00AD602F"/>
    <w:rsid w:val="00AE009D"/>
    <w:rsid w:val="00AE242B"/>
    <w:rsid w:val="00AE317A"/>
    <w:rsid w:val="00AE3828"/>
    <w:rsid w:val="00AE5610"/>
    <w:rsid w:val="00AE6D6B"/>
    <w:rsid w:val="00AE72F7"/>
    <w:rsid w:val="00AE7E8A"/>
    <w:rsid w:val="00AF0EB0"/>
    <w:rsid w:val="00AF34DE"/>
    <w:rsid w:val="00AF54C3"/>
    <w:rsid w:val="00AF6446"/>
    <w:rsid w:val="00AF6737"/>
    <w:rsid w:val="00AF6910"/>
    <w:rsid w:val="00AF7733"/>
    <w:rsid w:val="00B0025D"/>
    <w:rsid w:val="00B00575"/>
    <w:rsid w:val="00B00DDD"/>
    <w:rsid w:val="00B01DC4"/>
    <w:rsid w:val="00B0212D"/>
    <w:rsid w:val="00B03427"/>
    <w:rsid w:val="00B10447"/>
    <w:rsid w:val="00B1258F"/>
    <w:rsid w:val="00B15773"/>
    <w:rsid w:val="00B17150"/>
    <w:rsid w:val="00B20D2D"/>
    <w:rsid w:val="00B20DE3"/>
    <w:rsid w:val="00B22041"/>
    <w:rsid w:val="00B24A51"/>
    <w:rsid w:val="00B266BF"/>
    <w:rsid w:val="00B31094"/>
    <w:rsid w:val="00B332F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70BAA"/>
    <w:rsid w:val="00B718DB"/>
    <w:rsid w:val="00B7368D"/>
    <w:rsid w:val="00B744BA"/>
    <w:rsid w:val="00B74E30"/>
    <w:rsid w:val="00B82429"/>
    <w:rsid w:val="00B82C14"/>
    <w:rsid w:val="00B83E7A"/>
    <w:rsid w:val="00B86553"/>
    <w:rsid w:val="00B92BBF"/>
    <w:rsid w:val="00B92E0E"/>
    <w:rsid w:val="00B931E9"/>
    <w:rsid w:val="00B9347F"/>
    <w:rsid w:val="00B94513"/>
    <w:rsid w:val="00B94DDB"/>
    <w:rsid w:val="00B95CBD"/>
    <w:rsid w:val="00B964E1"/>
    <w:rsid w:val="00B966B5"/>
    <w:rsid w:val="00B972D6"/>
    <w:rsid w:val="00BA0493"/>
    <w:rsid w:val="00BA22E6"/>
    <w:rsid w:val="00BA2364"/>
    <w:rsid w:val="00BA23A2"/>
    <w:rsid w:val="00BA33A9"/>
    <w:rsid w:val="00BA4C26"/>
    <w:rsid w:val="00BA4E65"/>
    <w:rsid w:val="00BA6068"/>
    <w:rsid w:val="00BB33E0"/>
    <w:rsid w:val="00BB7EE0"/>
    <w:rsid w:val="00BC1092"/>
    <w:rsid w:val="00BC1F99"/>
    <w:rsid w:val="00BC2045"/>
    <w:rsid w:val="00BC4871"/>
    <w:rsid w:val="00BC4D5D"/>
    <w:rsid w:val="00BC6ACD"/>
    <w:rsid w:val="00BC7CD5"/>
    <w:rsid w:val="00BD1012"/>
    <w:rsid w:val="00BD2884"/>
    <w:rsid w:val="00BD39A0"/>
    <w:rsid w:val="00BD4EB2"/>
    <w:rsid w:val="00BD5097"/>
    <w:rsid w:val="00BD5761"/>
    <w:rsid w:val="00BD6D76"/>
    <w:rsid w:val="00BD7D77"/>
    <w:rsid w:val="00BE1321"/>
    <w:rsid w:val="00BE1950"/>
    <w:rsid w:val="00BE1DD6"/>
    <w:rsid w:val="00BE1ED6"/>
    <w:rsid w:val="00BE200A"/>
    <w:rsid w:val="00BE3C20"/>
    <w:rsid w:val="00BE3E6B"/>
    <w:rsid w:val="00BE4B8F"/>
    <w:rsid w:val="00BE7B06"/>
    <w:rsid w:val="00BF155C"/>
    <w:rsid w:val="00BF17DF"/>
    <w:rsid w:val="00BF312A"/>
    <w:rsid w:val="00BF4212"/>
    <w:rsid w:val="00BF7602"/>
    <w:rsid w:val="00C0434D"/>
    <w:rsid w:val="00C0541C"/>
    <w:rsid w:val="00C06066"/>
    <w:rsid w:val="00C067F0"/>
    <w:rsid w:val="00C10672"/>
    <w:rsid w:val="00C11047"/>
    <w:rsid w:val="00C11DF3"/>
    <w:rsid w:val="00C11EC1"/>
    <w:rsid w:val="00C12450"/>
    <w:rsid w:val="00C143C7"/>
    <w:rsid w:val="00C15C6F"/>
    <w:rsid w:val="00C165A1"/>
    <w:rsid w:val="00C22FB5"/>
    <w:rsid w:val="00C23C59"/>
    <w:rsid w:val="00C2583F"/>
    <w:rsid w:val="00C31834"/>
    <w:rsid w:val="00C33173"/>
    <w:rsid w:val="00C33D5D"/>
    <w:rsid w:val="00C35F43"/>
    <w:rsid w:val="00C36A5C"/>
    <w:rsid w:val="00C36D39"/>
    <w:rsid w:val="00C423BA"/>
    <w:rsid w:val="00C45ACD"/>
    <w:rsid w:val="00C46ED6"/>
    <w:rsid w:val="00C50D1D"/>
    <w:rsid w:val="00C527F8"/>
    <w:rsid w:val="00C53C69"/>
    <w:rsid w:val="00C54522"/>
    <w:rsid w:val="00C55164"/>
    <w:rsid w:val="00C558E6"/>
    <w:rsid w:val="00C56A16"/>
    <w:rsid w:val="00C56F90"/>
    <w:rsid w:val="00C62071"/>
    <w:rsid w:val="00C62A1C"/>
    <w:rsid w:val="00C63015"/>
    <w:rsid w:val="00C6671D"/>
    <w:rsid w:val="00C66820"/>
    <w:rsid w:val="00C71166"/>
    <w:rsid w:val="00C71788"/>
    <w:rsid w:val="00C73510"/>
    <w:rsid w:val="00C74BE1"/>
    <w:rsid w:val="00C74BE4"/>
    <w:rsid w:val="00C76777"/>
    <w:rsid w:val="00C778A3"/>
    <w:rsid w:val="00C7796A"/>
    <w:rsid w:val="00C815BF"/>
    <w:rsid w:val="00C826B3"/>
    <w:rsid w:val="00C82BDF"/>
    <w:rsid w:val="00C82C04"/>
    <w:rsid w:val="00C83DBD"/>
    <w:rsid w:val="00C85D31"/>
    <w:rsid w:val="00C870F5"/>
    <w:rsid w:val="00C92399"/>
    <w:rsid w:val="00C92F37"/>
    <w:rsid w:val="00C95622"/>
    <w:rsid w:val="00C96695"/>
    <w:rsid w:val="00C96B99"/>
    <w:rsid w:val="00C975D7"/>
    <w:rsid w:val="00CA1E5E"/>
    <w:rsid w:val="00CA35F2"/>
    <w:rsid w:val="00CA4768"/>
    <w:rsid w:val="00CA5C13"/>
    <w:rsid w:val="00CB0593"/>
    <w:rsid w:val="00CB06D1"/>
    <w:rsid w:val="00CB1039"/>
    <w:rsid w:val="00CB1B17"/>
    <w:rsid w:val="00CB2295"/>
    <w:rsid w:val="00CB3AC8"/>
    <w:rsid w:val="00CB6218"/>
    <w:rsid w:val="00CC416B"/>
    <w:rsid w:val="00CC658E"/>
    <w:rsid w:val="00CD07B0"/>
    <w:rsid w:val="00CD0F11"/>
    <w:rsid w:val="00CD27D6"/>
    <w:rsid w:val="00CD4831"/>
    <w:rsid w:val="00CD5E38"/>
    <w:rsid w:val="00CE0795"/>
    <w:rsid w:val="00CE4627"/>
    <w:rsid w:val="00CE5393"/>
    <w:rsid w:val="00CE69EB"/>
    <w:rsid w:val="00CE6A29"/>
    <w:rsid w:val="00CE7EBD"/>
    <w:rsid w:val="00CF77A4"/>
    <w:rsid w:val="00CF7D09"/>
    <w:rsid w:val="00D00074"/>
    <w:rsid w:val="00D004DE"/>
    <w:rsid w:val="00D00769"/>
    <w:rsid w:val="00D0392A"/>
    <w:rsid w:val="00D0447F"/>
    <w:rsid w:val="00D054B6"/>
    <w:rsid w:val="00D07D33"/>
    <w:rsid w:val="00D104E4"/>
    <w:rsid w:val="00D175E6"/>
    <w:rsid w:val="00D20D73"/>
    <w:rsid w:val="00D21407"/>
    <w:rsid w:val="00D23720"/>
    <w:rsid w:val="00D2387A"/>
    <w:rsid w:val="00D24053"/>
    <w:rsid w:val="00D24863"/>
    <w:rsid w:val="00D25D38"/>
    <w:rsid w:val="00D27B9A"/>
    <w:rsid w:val="00D32813"/>
    <w:rsid w:val="00D32E09"/>
    <w:rsid w:val="00D33903"/>
    <w:rsid w:val="00D33981"/>
    <w:rsid w:val="00D408A2"/>
    <w:rsid w:val="00D40C2F"/>
    <w:rsid w:val="00D40ED4"/>
    <w:rsid w:val="00D46AA8"/>
    <w:rsid w:val="00D521D5"/>
    <w:rsid w:val="00D52469"/>
    <w:rsid w:val="00D5598F"/>
    <w:rsid w:val="00D56691"/>
    <w:rsid w:val="00D57697"/>
    <w:rsid w:val="00D57A8C"/>
    <w:rsid w:val="00D61D7B"/>
    <w:rsid w:val="00D6264F"/>
    <w:rsid w:val="00D629C4"/>
    <w:rsid w:val="00D655D1"/>
    <w:rsid w:val="00D6744A"/>
    <w:rsid w:val="00D70362"/>
    <w:rsid w:val="00D70C99"/>
    <w:rsid w:val="00D72022"/>
    <w:rsid w:val="00D725D5"/>
    <w:rsid w:val="00D72A76"/>
    <w:rsid w:val="00D75720"/>
    <w:rsid w:val="00D771DD"/>
    <w:rsid w:val="00D805F6"/>
    <w:rsid w:val="00D81485"/>
    <w:rsid w:val="00D84383"/>
    <w:rsid w:val="00D937BB"/>
    <w:rsid w:val="00D93E8A"/>
    <w:rsid w:val="00D95EF5"/>
    <w:rsid w:val="00D96D4D"/>
    <w:rsid w:val="00D9797E"/>
    <w:rsid w:val="00DA1045"/>
    <w:rsid w:val="00DA23F0"/>
    <w:rsid w:val="00DA255D"/>
    <w:rsid w:val="00DA3ADA"/>
    <w:rsid w:val="00DA4329"/>
    <w:rsid w:val="00DA46EA"/>
    <w:rsid w:val="00DA473D"/>
    <w:rsid w:val="00DA5311"/>
    <w:rsid w:val="00DA5EE0"/>
    <w:rsid w:val="00DA65D9"/>
    <w:rsid w:val="00DB120C"/>
    <w:rsid w:val="00DB142F"/>
    <w:rsid w:val="00DB1DD6"/>
    <w:rsid w:val="00DB361F"/>
    <w:rsid w:val="00DB367D"/>
    <w:rsid w:val="00DB4665"/>
    <w:rsid w:val="00DB5171"/>
    <w:rsid w:val="00DB54D4"/>
    <w:rsid w:val="00DB5600"/>
    <w:rsid w:val="00DB7523"/>
    <w:rsid w:val="00DB7DF8"/>
    <w:rsid w:val="00DC16CA"/>
    <w:rsid w:val="00DC2DE1"/>
    <w:rsid w:val="00DC663A"/>
    <w:rsid w:val="00DC6E9C"/>
    <w:rsid w:val="00DC6F45"/>
    <w:rsid w:val="00DD0496"/>
    <w:rsid w:val="00DD0884"/>
    <w:rsid w:val="00DD10E8"/>
    <w:rsid w:val="00DD16EF"/>
    <w:rsid w:val="00DD3DE2"/>
    <w:rsid w:val="00DD4066"/>
    <w:rsid w:val="00DE13C5"/>
    <w:rsid w:val="00DE2684"/>
    <w:rsid w:val="00DE271A"/>
    <w:rsid w:val="00DE4196"/>
    <w:rsid w:val="00DE4E0A"/>
    <w:rsid w:val="00DE63D8"/>
    <w:rsid w:val="00DE699A"/>
    <w:rsid w:val="00DF1F97"/>
    <w:rsid w:val="00DF461B"/>
    <w:rsid w:val="00E0288B"/>
    <w:rsid w:val="00E03578"/>
    <w:rsid w:val="00E0374D"/>
    <w:rsid w:val="00E03A0F"/>
    <w:rsid w:val="00E059BE"/>
    <w:rsid w:val="00E070B4"/>
    <w:rsid w:val="00E1047D"/>
    <w:rsid w:val="00E12C8D"/>
    <w:rsid w:val="00E15AE5"/>
    <w:rsid w:val="00E204E5"/>
    <w:rsid w:val="00E209E7"/>
    <w:rsid w:val="00E20B5E"/>
    <w:rsid w:val="00E21BFF"/>
    <w:rsid w:val="00E271CA"/>
    <w:rsid w:val="00E306E5"/>
    <w:rsid w:val="00E30B66"/>
    <w:rsid w:val="00E36739"/>
    <w:rsid w:val="00E3738C"/>
    <w:rsid w:val="00E3776E"/>
    <w:rsid w:val="00E37AF0"/>
    <w:rsid w:val="00E411B5"/>
    <w:rsid w:val="00E45EEC"/>
    <w:rsid w:val="00E4796E"/>
    <w:rsid w:val="00E54008"/>
    <w:rsid w:val="00E604E8"/>
    <w:rsid w:val="00E60816"/>
    <w:rsid w:val="00E60B6E"/>
    <w:rsid w:val="00E61E33"/>
    <w:rsid w:val="00E626F9"/>
    <w:rsid w:val="00E63F89"/>
    <w:rsid w:val="00E665AA"/>
    <w:rsid w:val="00E70EA9"/>
    <w:rsid w:val="00E72280"/>
    <w:rsid w:val="00E74456"/>
    <w:rsid w:val="00E7514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275C"/>
    <w:rsid w:val="00EA5253"/>
    <w:rsid w:val="00EA6C9A"/>
    <w:rsid w:val="00EB0239"/>
    <w:rsid w:val="00EB0DCB"/>
    <w:rsid w:val="00EB5698"/>
    <w:rsid w:val="00EB640D"/>
    <w:rsid w:val="00EC272E"/>
    <w:rsid w:val="00EC4FAB"/>
    <w:rsid w:val="00EC531F"/>
    <w:rsid w:val="00EC53CC"/>
    <w:rsid w:val="00EC667E"/>
    <w:rsid w:val="00EC6822"/>
    <w:rsid w:val="00ED0E71"/>
    <w:rsid w:val="00ED17A2"/>
    <w:rsid w:val="00ED27C8"/>
    <w:rsid w:val="00ED4DE3"/>
    <w:rsid w:val="00ED51FD"/>
    <w:rsid w:val="00ED53B5"/>
    <w:rsid w:val="00EE3A96"/>
    <w:rsid w:val="00EE4B26"/>
    <w:rsid w:val="00EE50D3"/>
    <w:rsid w:val="00EE6FB0"/>
    <w:rsid w:val="00EE719A"/>
    <w:rsid w:val="00EF0CCD"/>
    <w:rsid w:val="00EF1FD9"/>
    <w:rsid w:val="00EF28AC"/>
    <w:rsid w:val="00EF316B"/>
    <w:rsid w:val="00EF7D65"/>
    <w:rsid w:val="00F028F2"/>
    <w:rsid w:val="00F03B5D"/>
    <w:rsid w:val="00F06FCC"/>
    <w:rsid w:val="00F07437"/>
    <w:rsid w:val="00F07AB9"/>
    <w:rsid w:val="00F11682"/>
    <w:rsid w:val="00F15861"/>
    <w:rsid w:val="00F15A69"/>
    <w:rsid w:val="00F15DD7"/>
    <w:rsid w:val="00F170A4"/>
    <w:rsid w:val="00F277B7"/>
    <w:rsid w:val="00F30399"/>
    <w:rsid w:val="00F30D73"/>
    <w:rsid w:val="00F311D0"/>
    <w:rsid w:val="00F32025"/>
    <w:rsid w:val="00F32D08"/>
    <w:rsid w:val="00F32D45"/>
    <w:rsid w:val="00F40CE1"/>
    <w:rsid w:val="00F419E7"/>
    <w:rsid w:val="00F41EB3"/>
    <w:rsid w:val="00F428FB"/>
    <w:rsid w:val="00F44B47"/>
    <w:rsid w:val="00F47D12"/>
    <w:rsid w:val="00F5023C"/>
    <w:rsid w:val="00F5045C"/>
    <w:rsid w:val="00F5092F"/>
    <w:rsid w:val="00F50EB8"/>
    <w:rsid w:val="00F51255"/>
    <w:rsid w:val="00F52093"/>
    <w:rsid w:val="00F53286"/>
    <w:rsid w:val="00F5378F"/>
    <w:rsid w:val="00F54177"/>
    <w:rsid w:val="00F556EF"/>
    <w:rsid w:val="00F5685E"/>
    <w:rsid w:val="00F60E28"/>
    <w:rsid w:val="00F626E3"/>
    <w:rsid w:val="00F636DF"/>
    <w:rsid w:val="00F65063"/>
    <w:rsid w:val="00F65F16"/>
    <w:rsid w:val="00F66E50"/>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25CF"/>
    <w:rsid w:val="00FC35DC"/>
    <w:rsid w:val="00FC44EC"/>
    <w:rsid w:val="00FC6A7B"/>
    <w:rsid w:val="00FD07BB"/>
    <w:rsid w:val="00FD3C88"/>
    <w:rsid w:val="00FD4E11"/>
    <w:rsid w:val="00FD5C43"/>
    <w:rsid w:val="00FD5F25"/>
    <w:rsid w:val="00FD6C3E"/>
    <w:rsid w:val="00FE21C0"/>
    <w:rsid w:val="00FE5B17"/>
    <w:rsid w:val="00FE76ED"/>
    <w:rsid w:val="00FF0245"/>
    <w:rsid w:val="00FF0FD8"/>
    <w:rsid w:val="00FF19E5"/>
    <w:rsid w:val="00FF2D68"/>
    <w:rsid w:val="00FF4EB9"/>
    <w:rsid w:val="00FF6A3A"/>
    <w:rsid w:val="00FF7EB1"/>
    <w:rsid w:val="00FF7ECD"/>
    <w:rsid w:val="012A2737"/>
    <w:rsid w:val="016C408C"/>
    <w:rsid w:val="016D6AC7"/>
    <w:rsid w:val="01714809"/>
    <w:rsid w:val="01814321"/>
    <w:rsid w:val="01891AF6"/>
    <w:rsid w:val="01994FCC"/>
    <w:rsid w:val="01B666C0"/>
    <w:rsid w:val="01B74444"/>
    <w:rsid w:val="01CC07BA"/>
    <w:rsid w:val="01E553AB"/>
    <w:rsid w:val="020D3A98"/>
    <w:rsid w:val="02371FC3"/>
    <w:rsid w:val="029F5038"/>
    <w:rsid w:val="02C74ADA"/>
    <w:rsid w:val="02F526D0"/>
    <w:rsid w:val="02FC45A7"/>
    <w:rsid w:val="03100052"/>
    <w:rsid w:val="03722333"/>
    <w:rsid w:val="03C10F15"/>
    <w:rsid w:val="03D472D2"/>
    <w:rsid w:val="03FB485E"/>
    <w:rsid w:val="042851FA"/>
    <w:rsid w:val="043479E9"/>
    <w:rsid w:val="0445680B"/>
    <w:rsid w:val="044F4C02"/>
    <w:rsid w:val="045E1B2E"/>
    <w:rsid w:val="046532FF"/>
    <w:rsid w:val="04B14F1D"/>
    <w:rsid w:val="04D53301"/>
    <w:rsid w:val="04DE0460"/>
    <w:rsid w:val="05103CF5"/>
    <w:rsid w:val="051536FE"/>
    <w:rsid w:val="053C696C"/>
    <w:rsid w:val="05510639"/>
    <w:rsid w:val="0578479B"/>
    <w:rsid w:val="057F6D1D"/>
    <w:rsid w:val="059C797B"/>
    <w:rsid w:val="05A54859"/>
    <w:rsid w:val="05C869C2"/>
    <w:rsid w:val="05D01ACC"/>
    <w:rsid w:val="05DB4947"/>
    <w:rsid w:val="060F45F1"/>
    <w:rsid w:val="062067FE"/>
    <w:rsid w:val="06345C69"/>
    <w:rsid w:val="066320A1"/>
    <w:rsid w:val="06820364"/>
    <w:rsid w:val="06E87D83"/>
    <w:rsid w:val="06F57A64"/>
    <w:rsid w:val="06FD7D7E"/>
    <w:rsid w:val="07DB478B"/>
    <w:rsid w:val="07E6312F"/>
    <w:rsid w:val="08512C9F"/>
    <w:rsid w:val="08564759"/>
    <w:rsid w:val="08596AC9"/>
    <w:rsid w:val="08A2799E"/>
    <w:rsid w:val="08C6543B"/>
    <w:rsid w:val="08C96827"/>
    <w:rsid w:val="08D10235"/>
    <w:rsid w:val="08E65ADD"/>
    <w:rsid w:val="08F23F7E"/>
    <w:rsid w:val="09023F99"/>
    <w:rsid w:val="091343F8"/>
    <w:rsid w:val="09251AC9"/>
    <w:rsid w:val="09970B85"/>
    <w:rsid w:val="09DE7F72"/>
    <w:rsid w:val="0A0622D1"/>
    <w:rsid w:val="0A4A1C71"/>
    <w:rsid w:val="0A4F1AF1"/>
    <w:rsid w:val="0A5B6057"/>
    <w:rsid w:val="0A636CB9"/>
    <w:rsid w:val="0A677AAB"/>
    <w:rsid w:val="0A8C0583"/>
    <w:rsid w:val="0AA51080"/>
    <w:rsid w:val="0AC534D0"/>
    <w:rsid w:val="0AC97464"/>
    <w:rsid w:val="0ADF27E4"/>
    <w:rsid w:val="0AE578F1"/>
    <w:rsid w:val="0B2B439D"/>
    <w:rsid w:val="0B3340CC"/>
    <w:rsid w:val="0B3F14D4"/>
    <w:rsid w:val="0B815649"/>
    <w:rsid w:val="0BA3485D"/>
    <w:rsid w:val="0BB7550F"/>
    <w:rsid w:val="0C170B26"/>
    <w:rsid w:val="0C1914C0"/>
    <w:rsid w:val="0C6C00A7"/>
    <w:rsid w:val="0C965124"/>
    <w:rsid w:val="0CA05FA3"/>
    <w:rsid w:val="0CA25F79"/>
    <w:rsid w:val="0CAE5839"/>
    <w:rsid w:val="0CD36378"/>
    <w:rsid w:val="0CDA7707"/>
    <w:rsid w:val="0CDF4D1D"/>
    <w:rsid w:val="0CE40585"/>
    <w:rsid w:val="0DB00467"/>
    <w:rsid w:val="0E8F1D2A"/>
    <w:rsid w:val="0EDD528C"/>
    <w:rsid w:val="0EFA4090"/>
    <w:rsid w:val="0F1F3AF7"/>
    <w:rsid w:val="0F213A71"/>
    <w:rsid w:val="0F3F1AA3"/>
    <w:rsid w:val="0F451083"/>
    <w:rsid w:val="0F583E21"/>
    <w:rsid w:val="0F670FFA"/>
    <w:rsid w:val="0F955B67"/>
    <w:rsid w:val="0FAB4227"/>
    <w:rsid w:val="0FC401FA"/>
    <w:rsid w:val="0FDB6A5B"/>
    <w:rsid w:val="0FE96496"/>
    <w:rsid w:val="0FFF2361"/>
    <w:rsid w:val="10233173"/>
    <w:rsid w:val="102D1592"/>
    <w:rsid w:val="10511938"/>
    <w:rsid w:val="10B97633"/>
    <w:rsid w:val="10DC1574"/>
    <w:rsid w:val="10E072B6"/>
    <w:rsid w:val="11163000"/>
    <w:rsid w:val="113F26D3"/>
    <w:rsid w:val="114A3F35"/>
    <w:rsid w:val="118D158F"/>
    <w:rsid w:val="11912F4F"/>
    <w:rsid w:val="11AC523D"/>
    <w:rsid w:val="11E64458"/>
    <w:rsid w:val="11F0177A"/>
    <w:rsid w:val="12244F80"/>
    <w:rsid w:val="12443874"/>
    <w:rsid w:val="124B075F"/>
    <w:rsid w:val="126C7F74"/>
    <w:rsid w:val="12751C80"/>
    <w:rsid w:val="13135720"/>
    <w:rsid w:val="132B4715"/>
    <w:rsid w:val="133D09EF"/>
    <w:rsid w:val="13445E00"/>
    <w:rsid w:val="1351173B"/>
    <w:rsid w:val="1363325A"/>
    <w:rsid w:val="137A434E"/>
    <w:rsid w:val="142851FC"/>
    <w:rsid w:val="143C2A55"/>
    <w:rsid w:val="14681A9C"/>
    <w:rsid w:val="14A3568A"/>
    <w:rsid w:val="15211C4B"/>
    <w:rsid w:val="15347BD0"/>
    <w:rsid w:val="155838BF"/>
    <w:rsid w:val="155F689F"/>
    <w:rsid w:val="157B52A8"/>
    <w:rsid w:val="157F52EF"/>
    <w:rsid w:val="15C64DAA"/>
    <w:rsid w:val="15F07F9B"/>
    <w:rsid w:val="160C465F"/>
    <w:rsid w:val="161A5018"/>
    <w:rsid w:val="162714E3"/>
    <w:rsid w:val="164B6AF4"/>
    <w:rsid w:val="164E081E"/>
    <w:rsid w:val="167D11D5"/>
    <w:rsid w:val="169E69FC"/>
    <w:rsid w:val="16A91EF8"/>
    <w:rsid w:val="16EB26A8"/>
    <w:rsid w:val="173D756E"/>
    <w:rsid w:val="17763530"/>
    <w:rsid w:val="17AD7DB9"/>
    <w:rsid w:val="180715CC"/>
    <w:rsid w:val="18092E78"/>
    <w:rsid w:val="180A5FEA"/>
    <w:rsid w:val="181B3B7B"/>
    <w:rsid w:val="18543886"/>
    <w:rsid w:val="18954E2A"/>
    <w:rsid w:val="18F356AC"/>
    <w:rsid w:val="191C4C03"/>
    <w:rsid w:val="19496F35"/>
    <w:rsid w:val="195D05F9"/>
    <w:rsid w:val="195E16BF"/>
    <w:rsid w:val="196565AA"/>
    <w:rsid w:val="19864ACE"/>
    <w:rsid w:val="198D1718"/>
    <w:rsid w:val="19927ED0"/>
    <w:rsid w:val="199B6470"/>
    <w:rsid w:val="19A266D6"/>
    <w:rsid w:val="19B94B48"/>
    <w:rsid w:val="1A02204B"/>
    <w:rsid w:val="1A057D8D"/>
    <w:rsid w:val="1A0E6C42"/>
    <w:rsid w:val="1A903124"/>
    <w:rsid w:val="1A982AE1"/>
    <w:rsid w:val="1ADF238C"/>
    <w:rsid w:val="1AE50086"/>
    <w:rsid w:val="1AE77CA6"/>
    <w:rsid w:val="1AE8045C"/>
    <w:rsid w:val="1B071E15"/>
    <w:rsid w:val="1B082566"/>
    <w:rsid w:val="1B126F34"/>
    <w:rsid w:val="1B4A3CA9"/>
    <w:rsid w:val="1B521088"/>
    <w:rsid w:val="1B9C2ED3"/>
    <w:rsid w:val="1BB06255"/>
    <w:rsid w:val="1BC02864"/>
    <w:rsid w:val="1BCC2910"/>
    <w:rsid w:val="1BD5333B"/>
    <w:rsid w:val="1BE7774A"/>
    <w:rsid w:val="1BF259E0"/>
    <w:rsid w:val="1C4F454D"/>
    <w:rsid w:val="1C5E01AD"/>
    <w:rsid w:val="1C7F1A0C"/>
    <w:rsid w:val="1CAC44F0"/>
    <w:rsid w:val="1CAF497B"/>
    <w:rsid w:val="1CC57360"/>
    <w:rsid w:val="1CD4523D"/>
    <w:rsid w:val="1CE6503D"/>
    <w:rsid w:val="1D2642A2"/>
    <w:rsid w:val="1D392AA4"/>
    <w:rsid w:val="1D682B0D"/>
    <w:rsid w:val="1D9456B0"/>
    <w:rsid w:val="1DB4473B"/>
    <w:rsid w:val="1DEF0B38"/>
    <w:rsid w:val="1DFD14A7"/>
    <w:rsid w:val="1E14234D"/>
    <w:rsid w:val="1E162569"/>
    <w:rsid w:val="1E3266BB"/>
    <w:rsid w:val="1E4E3AB1"/>
    <w:rsid w:val="1E682698"/>
    <w:rsid w:val="1E876FC3"/>
    <w:rsid w:val="1E9F430C"/>
    <w:rsid w:val="1EC72780"/>
    <w:rsid w:val="1EC9341E"/>
    <w:rsid w:val="1EF421C5"/>
    <w:rsid w:val="1EFA59E6"/>
    <w:rsid w:val="1F0665C8"/>
    <w:rsid w:val="1F422EEA"/>
    <w:rsid w:val="1F4B4494"/>
    <w:rsid w:val="1F51312D"/>
    <w:rsid w:val="1F5A6485"/>
    <w:rsid w:val="1F680BA2"/>
    <w:rsid w:val="1F6B6AE2"/>
    <w:rsid w:val="200404CA"/>
    <w:rsid w:val="202C4C50"/>
    <w:rsid w:val="20320091"/>
    <w:rsid w:val="204F0253"/>
    <w:rsid w:val="207E5F81"/>
    <w:rsid w:val="20892AE3"/>
    <w:rsid w:val="20AF17DC"/>
    <w:rsid w:val="20D858B3"/>
    <w:rsid w:val="20D9249F"/>
    <w:rsid w:val="20E34258"/>
    <w:rsid w:val="20E93F65"/>
    <w:rsid w:val="210B7957"/>
    <w:rsid w:val="211865F8"/>
    <w:rsid w:val="213B5E42"/>
    <w:rsid w:val="21453492"/>
    <w:rsid w:val="215A276C"/>
    <w:rsid w:val="21F82FAD"/>
    <w:rsid w:val="22314AB8"/>
    <w:rsid w:val="2271673A"/>
    <w:rsid w:val="228009BE"/>
    <w:rsid w:val="22A669DA"/>
    <w:rsid w:val="22AF46C9"/>
    <w:rsid w:val="22B42350"/>
    <w:rsid w:val="22D2250B"/>
    <w:rsid w:val="22D4654E"/>
    <w:rsid w:val="22F64717"/>
    <w:rsid w:val="2302130E"/>
    <w:rsid w:val="23530719"/>
    <w:rsid w:val="23700025"/>
    <w:rsid w:val="23BD1598"/>
    <w:rsid w:val="23CB16FF"/>
    <w:rsid w:val="23ED78C8"/>
    <w:rsid w:val="240E3574"/>
    <w:rsid w:val="24271168"/>
    <w:rsid w:val="24433A9F"/>
    <w:rsid w:val="24464B85"/>
    <w:rsid w:val="2453016B"/>
    <w:rsid w:val="246B3C37"/>
    <w:rsid w:val="24973CD7"/>
    <w:rsid w:val="24A93D08"/>
    <w:rsid w:val="24B71C84"/>
    <w:rsid w:val="24BB6333"/>
    <w:rsid w:val="256966EC"/>
    <w:rsid w:val="256C2A6E"/>
    <w:rsid w:val="257C53A7"/>
    <w:rsid w:val="262D48F3"/>
    <w:rsid w:val="263E08AF"/>
    <w:rsid w:val="265754CC"/>
    <w:rsid w:val="265A6D6B"/>
    <w:rsid w:val="2661634B"/>
    <w:rsid w:val="26740BF7"/>
    <w:rsid w:val="26B916BA"/>
    <w:rsid w:val="26DB7EAB"/>
    <w:rsid w:val="26F31213"/>
    <w:rsid w:val="26F62F37"/>
    <w:rsid w:val="26F70A5D"/>
    <w:rsid w:val="26FB225F"/>
    <w:rsid w:val="270642B1"/>
    <w:rsid w:val="27475541"/>
    <w:rsid w:val="274C0DA9"/>
    <w:rsid w:val="279F712B"/>
    <w:rsid w:val="27D05536"/>
    <w:rsid w:val="27D25FB7"/>
    <w:rsid w:val="27D33279"/>
    <w:rsid w:val="27E71959"/>
    <w:rsid w:val="28550131"/>
    <w:rsid w:val="286426BD"/>
    <w:rsid w:val="28754330"/>
    <w:rsid w:val="2894539E"/>
    <w:rsid w:val="28D177B8"/>
    <w:rsid w:val="28D32F12"/>
    <w:rsid w:val="28F458C0"/>
    <w:rsid w:val="290114EB"/>
    <w:rsid w:val="29064F88"/>
    <w:rsid w:val="294F2DD3"/>
    <w:rsid w:val="295F451E"/>
    <w:rsid w:val="29812FA2"/>
    <w:rsid w:val="29835E3F"/>
    <w:rsid w:val="299F1664"/>
    <w:rsid w:val="29A70519"/>
    <w:rsid w:val="2A070FB7"/>
    <w:rsid w:val="2A1C2CB5"/>
    <w:rsid w:val="2A2638D9"/>
    <w:rsid w:val="2A770981"/>
    <w:rsid w:val="2A8356C6"/>
    <w:rsid w:val="2AD74E2E"/>
    <w:rsid w:val="2ADF4FCB"/>
    <w:rsid w:val="2AEE0837"/>
    <w:rsid w:val="2B116EE2"/>
    <w:rsid w:val="2B4029D3"/>
    <w:rsid w:val="2B5D3585"/>
    <w:rsid w:val="2B5F0966"/>
    <w:rsid w:val="2B696F7B"/>
    <w:rsid w:val="2B6F2D72"/>
    <w:rsid w:val="2C0E2AD1"/>
    <w:rsid w:val="2C5D7AD8"/>
    <w:rsid w:val="2C6170A5"/>
    <w:rsid w:val="2C69726A"/>
    <w:rsid w:val="2C6E531E"/>
    <w:rsid w:val="2C772424"/>
    <w:rsid w:val="2CF9108B"/>
    <w:rsid w:val="2D210BD9"/>
    <w:rsid w:val="2D404F0C"/>
    <w:rsid w:val="2D6329A9"/>
    <w:rsid w:val="2D672635"/>
    <w:rsid w:val="2DBF0527"/>
    <w:rsid w:val="2DC07FE7"/>
    <w:rsid w:val="2DCF6290"/>
    <w:rsid w:val="2DDFF27A"/>
    <w:rsid w:val="2E3B56D4"/>
    <w:rsid w:val="2E4C78E1"/>
    <w:rsid w:val="2E563D77"/>
    <w:rsid w:val="2E67296D"/>
    <w:rsid w:val="2E6870B8"/>
    <w:rsid w:val="2EA80FBB"/>
    <w:rsid w:val="2ECE1457"/>
    <w:rsid w:val="2EE012FF"/>
    <w:rsid w:val="2EE6563F"/>
    <w:rsid w:val="2EF428F9"/>
    <w:rsid w:val="2F2D14C0"/>
    <w:rsid w:val="2F3E7229"/>
    <w:rsid w:val="2F48130B"/>
    <w:rsid w:val="2F484F44"/>
    <w:rsid w:val="2F9049FF"/>
    <w:rsid w:val="2F9E416C"/>
    <w:rsid w:val="2FB413A7"/>
    <w:rsid w:val="2FD63906"/>
    <w:rsid w:val="2FE53142"/>
    <w:rsid w:val="2FF3612B"/>
    <w:rsid w:val="2FF40230"/>
    <w:rsid w:val="2FF40519"/>
    <w:rsid w:val="3009624B"/>
    <w:rsid w:val="30B36C71"/>
    <w:rsid w:val="30EB1633"/>
    <w:rsid w:val="314E571E"/>
    <w:rsid w:val="315759A1"/>
    <w:rsid w:val="31644F41"/>
    <w:rsid w:val="316A69FC"/>
    <w:rsid w:val="31B40B66"/>
    <w:rsid w:val="31BB4978"/>
    <w:rsid w:val="31C17406"/>
    <w:rsid w:val="31C4634B"/>
    <w:rsid w:val="31EF7D2E"/>
    <w:rsid w:val="3220793C"/>
    <w:rsid w:val="322B21B4"/>
    <w:rsid w:val="32335040"/>
    <w:rsid w:val="32414840"/>
    <w:rsid w:val="32427031"/>
    <w:rsid w:val="326276D3"/>
    <w:rsid w:val="326762B2"/>
    <w:rsid w:val="32A62A65"/>
    <w:rsid w:val="32C1089D"/>
    <w:rsid w:val="32C63ABB"/>
    <w:rsid w:val="32EB1CCD"/>
    <w:rsid w:val="32ED336A"/>
    <w:rsid w:val="32FD11AA"/>
    <w:rsid w:val="331704BD"/>
    <w:rsid w:val="331A61FF"/>
    <w:rsid w:val="332B5D17"/>
    <w:rsid w:val="333D2877"/>
    <w:rsid w:val="33491F3E"/>
    <w:rsid w:val="335F00B6"/>
    <w:rsid w:val="337450C8"/>
    <w:rsid w:val="338143E2"/>
    <w:rsid w:val="33977661"/>
    <w:rsid w:val="33A76421"/>
    <w:rsid w:val="33B51A84"/>
    <w:rsid w:val="33D7637B"/>
    <w:rsid w:val="341E7629"/>
    <w:rsid w:val="34374726"/>
    <w:rsid w:val="343C5E8D"/>
    <w:rsid w:val="34645984"/>
    <w:rsid w:val="347656B7"/>
    <w:rsid w:val="34930017"/>
    <w:rsid w:val="34E02DCD"/>
    <w:rsid w:val="35003FC1"/>
    <w:rsid w:val="350C3926"/>
    <w:rsid w:val="353A66E5"/>
    <w:rsid w:val="35466E38"/>
    <w:rsid w:val="35702107"/>
    <w:rsid w:val="35CD6056"/>
    <w:rsid w:val="36266C69"/>
    <w:rsid w:val="367B571E"/>
    <w:rsid w:val="36B706C2"/>
    <w:rsid w:val="36BE6EA2"/>
    <w:rsid w:val="36C26992"/>
    <w:rsid w:val="36C546D4"/>
    <w:rsid w:val="36EA5C32"/>
    <w:rsid w:val="36F81D4F"/>
    <w:rsid w:val="372078A6"/>
    <w:rsid w:val="373830F8"/>
    <w:rsid w:val="373C066A"/>
    <w:rsid w:val="373F4487"/>
    <w:rsid w:val="375E586B"/>
    <w:rsid w:val="378C0D4E"/>
    <w:rsid w:val="381E6A08"/>
    <w:rsid w:val="382735A2"/>
    <w:rsid w:val="386340CE"/>
    <w:rsid w:val="38B92017"/>
    <w:rsid w:val="38CF5396"/>
    <w:rsid w:val="39225E0E"/>
    <w:rsid w:val="3958538C"/>
    <w:rsid w:val="395974E0"/>
    <w:rsid w:val="395F385F"/>
    <w:rsid w:val="397D3B97"/>
    <w:rsid w:val="39A607ED"/>
    <w:rsid w:val="39AE5977"/>
    <w:rsid w:val="39CB734E"/>
    <w:rsid w:val="39D30EB6"/>
    <w:rsid w:val="39E863EC"/>
    <w:rsid w:val="3A0948D8"/>
    <w:rsid w:val="3A137505"/>
    <w:rsid w:val="3A407A2E"/>
    <w:rsid w:val="3A791A5E"/>
    <w:rsid w:val="3AA27206"/>
    <w:rsid w:val="3AFB2473"/>
    <w:rsid w:val="3B083519"/>
    <w:rsid w:val="3B0D1C2F"/>
    <w:rsid w:val="3B1479D8"/>
    <w:rsid w:val="3B44206B"/>
    <w:rsid w:val="3B443EE2"/>
    <w:rsid w:val="3BA64AD4"/>
    <w:rsid w:val="3BA84748"/>
    <w:rsid w:val="3BCB0097"/>
    <w:rsid w:val="3BFA69D8"/>
    <w:rsid w:val="3C2D6FA3"/>
    <w:rsid w:val="3C5067EE"/>
    <w:rsid w:val="3C5A0F14"/>
    <w:rsid w:val="3C5E53AF"/>
    <w:rsid w:val="3C720E5A"/>
    <w:rsid w:val="3C7F0E81"/>
    <w:rsid w:val="3C820487"/>
    <w:rsid w:val="3C862210"/>
    <w:rsid w:val="3C9F32D2"/>
    <w:rsid w:val="3CA01523"/>
    <w:rsid w:val="3CA37266"/>
    <w:rsid w:val="3CC2593E"/>
    <w:rsid w:val="3CFD2897"/>
    <w:rsid w:val="3D3D03AD"/>
    <w:rsid w:val="3D4D7567"/>
    <w:rsid w:val="3D605157"/>
    <w:rsid w:val="3D8C5F4C"/>
    <w:rsid w:val="3DAB709B"/>
    <w:rsid w:val="3DAD26BA"/>
    <w:rsid w:val="3DCB6A74"/>
    <w:rsid w:val="3DD91947"/>
    <w:rsid w:val="3DF8478E"/>
    <w:rsid w:val="3E077380"/>
    <w:rsid w:val="3E3C1720"/>
    <w:rsid w:val="3E8A05C4"/>
    <w:rsid w:val="3E974BA8"/>
    <w:rsid w:val="3EC777C4"/>
    <w:rsid w:val="3ED5122D"/>
    <w:rsid w:val="3F0B4C4E"/>
    <w:rsid w:val="3F1C6E5B"/>
    <w:rsid w:val="3FB53538"/>
    <w:rsid w:val="3FE07E89"/>
    <w:rsid w:val="3FF01FC4"/>
    <w:rsid w:val="3FF64E99"/>
    <w:rsid w:val="3FFE23FE"/>
    <w:rsid w:val="400022D9"/>
    <w:rsid w:val="401144E6"/>
    <w:rsid w:val="40273D0A"/>
    <w:rsid w:val="40307062"/>
    <w:rsid w:val="40583EC3"/>
    <w:rsid w:val="4061546E"/>
    <w:rsid w:val="4081341A"/>
    <w:rsid w:val="40A9471F"/>
    <w:rsid w:val="40CE4185"/>
    <w:rsid w:val="40D519B8"/>
    <w:rsid w:val="4134048C"/>
    <w:rsid w:val="413B181B"/>
    <w:rsid w:val="414601C0"/>
    <w:rsid w:val="416074D3"/>
    <w:rsid w:val="41667411"/>
    <w:rsid w:val="417D62D7"/>
    <w:rsid w:val="417F1BE5"/>
    <w:rsid w:val="418238EE"/>
    <w:rsid w:val="41AF22C0"/>
    <w:rsid w:val="41B15F81"/>
    <w:rsid w:val="41B31CF9"/>
    <w:rsid w:val="41D34149"/>
    <w:rsid w:val="41F145CF"/>
    <w:rsid w:val="4255177A"/>
    <w:rsid w:val="42910CD9"/>
    <w:rsid w:val="42BA70B7"/>
    <w:rsid w:val="42E303BC"/>
    <w:rsid w:val="432864A3"/>
    <w:rsid w:val="433724B6"/>
    <w:rsid w:val="435968D0"/>
    <w:rsid w:val="437F7AFF"/>
    <w:rsid w:val="439E1EF9"/>
    <w:rsid w:val="43A713E9"/>
    <w:rsid w:val="43D864ED"/>
    <w:rsid w:val="44122331"/>
    <w:rsid w:val="443E2003"/>
    <w:rsid w:val="447F5EC2"/>
    <w:rsid w:val="45196317"/>
    <w:rsid w:val="452D16FC"/>
    <w:rsid w:val="458A2D7F"/>
    <w:rsid w:val="45A35BE1"/>
    <w:rsid w:val="45C53DA9"/>
    <w:rsid w:val="45CC15DB"/>
    <w:rsid w:val="45D64EAA"/>
    <w:rsid w:val="45DB4CC9"/>
    <w:rsid w:val="465C4B21"/>
    <w:rsid w:val="46CD5F37"/>
    <w:rsid w:val="46DA7D28"/>
    <w:rsid w:val="46E6047B"/>
    <w:rsid w:val="471072A6"/>
    <w:rsid w:val="472E3FF8"/>
    <w:rsid w:val="473D0B7E"/>
    <w:rsid w:val="475C7DB9"/>
    <w:rsid w:val="47862879"/>
    <w:rsid w:val="479C322F"/>
    <w:rsid w:val="479F062A"/>
    <w:rsid w:val="47CA1B4A"/>
    <w:rsid w:val="47D9AB82"/>
    <w:rsid w:val="47E0136E"/>
    <w:rsid w:val="47F71BDF"/>
    <w:rsid w:val="48036E0A"/>
    <w:rsid w:val="480476A8"/>
    <w:rsid w:val="4817039A"/>
    <w:rsid w:val="486C0E54"/>
    <w:rsid w:val="48854A87"/>
    <w:rsid w:val="489D1EC4"/>
    <w:rsid w:val="48A1650E"/>
    <w:rsid w:val="48AC2FFE"/>
    <w:rsid w:val="4941539E"/>
    <w:rsid w:val="49437E06"/>
    <w:rsid w:val="4957740E"/>
    <w:rsid w:val="49940662"/>
    <w:rsid w:val="4994730B"/>
    <w:rsid w:val="49A43A32"/>
    <w:rsid w:val="49A94CF2"/>
    <w:rsid w:val="49E6684A"/>
    <w:rsid w:val="4A2614A0"/>
    <w:rsid w:val="4A2D4613"/>
    <w:rsid w:val="4A677B24"/>
    <w:rsid w:val="4A7A7858"/>
    <w:rsid w:val="4A834C0C"/>
    <w:rsid w:val="4AA51036"/>
    <w:rsid w:val="4ABA00B9"/>
    <w:rsid w:val="4ABE526B"/>
    <w:rsid w:val="4AF91B85"/>
    <w:rsid w:val="4B307CE7"/>
    <w:rsid w:val="4B3317B5"/>
    <w:rsid w:val="4B5D654A"/>
    <w:rsid w:val="4B726781"/>
    <w:rsid w:val="4B99108D"/>
    <w:rsid w:val="4BAE5292"/>
    <w:rsid w:val="4BDD0278"/>
    <w:rsid w:val="4BF238D0"/>
    <w:rsid w:val="4C43011D"/>
    <w:rsid w:val="4C7002BE"/>
    <w:rsid w:val="4CAD5597"/>
    <w:rsid w:val="4CBB4158"/>
    <w:rsid w:val="4CF3569F"/>
    <w:rsid w:val="4D0441EF"/>
    <w:rsid w:val="4D07739D"/>
    <w:rsid w:val="4D7560B4"/>
    <w:rsid w:val="4D77007F"/>
    <w:rsid w:val="4D8713F0"/>
    <w:rsid w:val="4D907392"/>
    <w:rsid w:val="4DA370C6"/>
    <w:rsid w:val="4DBF7D0B"/>
    <w:rsid w:val="4DC4703C"/>
    <w:rsid w:val="4DCB3F26"/>
    <w:rsid w:val="4DDE7B2E"/>
    <w:rsid w:val="4DFD0F99"/>
    <w:rsid w:val="4E241889"/>
    <w:rsid w:val="4E3F7075"/>
    <w:rsid w:val="4E7E371B"/>
    <w:rsid w:val="4ED67027"/>
    <w:rsid w:val="4EDE5EDB"/>
    <w:rsid w:val="4EDF54FB"/>
    <w:rsid w:val="4F132029"/>
    <w:rsid w:val="4F1418FD"/>
    <w:rsid w:val="4F416B96"/>
    <w:rsid w:val="4F720929"/>
    <w:rsid w:val="4F9F16F8"/>
    <w:rsid w:val="4FA27CD4"/>
    <w:rsid w:val="5015592D"/>
    <w:rsid w:val="502344EE"/>
    <w:rsid w:val="502B0F52"/>
    <w:rsid w:val="50612746"/>
    <w:rsid w:val="50767E82"/>
    <w:rsid w:val="50843944"/>
    <w:rsid w:val="513D53C2"/>
    <w:rsid w:val="515801C7"/>
    <w:rsid w:val="51A7054C"/>
    <w:rsid w:val="51AF1BFF"/>
    <w:rsid w:val="51B916D6"/>
    <w:rsid w:val="51D57A6A"/>
    <w:rsid w:val="52214195"/>
    <w:rsid w:val="522D1654"/>
    <w:rsid w:val="52374280"/>
    <w:rsid w:val="524372C0"/>
    <w:rsid w:val="525F7594"/>
    <w:rsid w:val="528D4AEA"/>
    <w:rsid w:val="530A54F1"/>
    <w:rsid w:val="53815038"/>
    <w:rsid w:val="53B156BF"/>
    <w:rsid w:val="53B84F4D"/>
    <w:rsid w:val="53E97D7F"/>
    <w:rsid w:val="54280325"/>
    <w:rsid w:val="542B571F"/>
    <w:rsid w:val="542E16B3"/>
    <w:rsid w:val="54301CB7"/>
    <w:rsid w:val="548A07DF"/>
    <w:rsid w:val="54AF3819"/>
    <w:rsid w:val="54C618EB"/>
    <w:rsid w:val="54FF7F2E"/>
    <w:rsid w:val="5516017D"/>
    <w:rsid w:val="551D485B"/>
    <w:rsid w:val="55200E9C"/>
    <w:rsid w:val="55242126"/>
    <w:rsid w:val="554E781B"/>
    <w:rsid w:val="556737EB"/>
    <w:rsid w:val="55681078"/>
    <w:rsid w:val="556A0BED"/>
    <w:rsid w:val="557650C0"/>
    <w:rsid w:val="559D77EF"/>
    <w:rsid w:val="55D3606E"/>
    <w:rsid w:val="55E73EE9"/>
    <w:rsid w:val="55FD30EB"/>
    <w:rsid w:val="55FF3496"/>
    <w:rsid w:val="56064695"/>
    <w:rsid w:val="56106E2D"/>
    <w:rsid w:val="561F7990"/>
    <w:rsid w:val="569A3030"/>
    <w:rsid w:val="56AD68BF"/>
    <w:rsid w:val="56B7B8D7"/>
    <w:rsid w:val="56CF0F2B"/>
    <w:rsid w:val="57174680"/>
    <w:rsid w:val="57282925"/>
    <w:rsid w:val="57850F3D"/>
    <w:rsid w:val="57A002EA"/>
    <w:rsid w:val="57A440C2"/>
    <w:rsid w:val="57BE68AA"/>
    <w:rsid w:val="57DA75C4"/>
    <w:rsid w:val="57DA7B88"/>
    <w:rsid w:val="585B1DFE"/>
    <w:rsid w:val="58CC74EF"/>
    <w:rsid w:val="58FB7309"/>
    <w:rsid w:val="59107F31"/>
    <w:rsid w:val="591C33CD"/>
    <w:rsid w:val="59307938"/>
    <w:rsid w:val="59617E35"/>
    <w:rsid w:val="598B6C60"/>
    <w:rsid w:val="59AD6BD6"/>
    <w:rsid w:val="59B508FD"/>
    <w:rsid w:val="5A0233C6"/>
    <w:rsid w:val="5A581238"/>
    <w:rsid w:val="5A92474A"/>
    <w:rsid w:val="5AD55411"/>
    <w:rsid w:val="5AD57D5E"/>
    <w:rsid w:val="5ADC59C5"/>
    <w:rsid w:val="5B002EE1"/>
    <w:rsid w:val="5B6A2FD1"/>
    <w:rsid w:val="5BF3671B"/>
    <w:rsid w:val="5C533A65"/>
    <w:rsid w:val="5C5A1297"/>
    <w:rsid w:val="5C812FA5"/>
    <w:rsid w:val="5CAE513F"/>
    <w:rsid w:val="5CBF734C"/>
    <w:rsid w:val="5D0D4295"/>
    <w:rsid w:val="5D7E2F89"/>
    <w:rsid w:val="5D9F06BF"/>
    <w:rsid w:val="5DCD7847"/>
    <w:rsid w:val="5DE52AF4"/>
    <w:rsid w:val="5E1216FE"/>
    <w:rsid w:val="5E333019"/>
    <w:rsid w:val="5E591A42"/>
    <w:rsid w:val="5E9C2734"/>
    <w:rsid w:val="5EA94901"/>
    <w:rsid w:val="5EC647D8"/>
    <w:rsid w:val="5EF77271"/>
    <w:rsid w:val="5EFA7176"/>
    <w:rsid w:val="5F132EA1"/>
    <w:rsid w:val="5F334D48"/>
    <w:rsid w:val="5F6C40E2"/>
    <w:rsid w:val="5F8B79B9"/>
    <w:rsid w:val="5F9940E9"/>
    <w:rsid w:val="5FFC3C1C"/>
    <w:rsid w:val="601636F4"/>
    <w:rsid w:val="603B13E0"/>
    <w:rsid w:val="60551168"/>
    <w:rsid w:val="60780305"/>
    <w:rsid w:val="60883196"/>
    <w:rsid w:val="608C1C3B"/>
    <w:rsid w:val="60915F48"/>
    <w:rsid w:val="60A056E7"/>
    <w:rsid w:val="60BB7E2A"/>
    <w:rsid w:val="60C07B37"/>
    <w:rsid w:val="60CC7F3D"/>
    <w:rsid w:val="60D81A5B"/>
    <w:rsid w:val="61383450"/>
    <w:rsid w:val="61581B1D"/>
    <w:rsid w:val="6160117F"/>
    <w:rsid w:val="61706E67"/>
    <w:rsid w:val="61880654"/>
    <w:rsid w:val="61E57855"/>
    <w:rsid w:val="61FE26C5"/>
    <w:rsid w:val="6208709F"/>
    <w:rsid w:val="62127A35"/>
    <w:rsid w:val="62323D11"/>
    <w:rsid w:val="624E43B0"/>
    <w:rsid w:val="626423D3"/>
    <w:rsid w:val="62A21FF1"/>
    <w:rsid w:val="62C3746A"/>
    <w:rsid w:val="62DA4EE0"/>
    <w:rsid w:val="62E60942"/>
    <w:rsid w:val="630E6937"/>
    <w:rsid w:val="633060D9"/>
    <w:rsid w:val="6345244F"/>
    <w:rsid w:val="63811F2C"/>
    <w:rsid w:val="6381535B"/>
    <w:rsid w:val="639808F7"/>
    <w:rsid w:val="63BA00A5"/>
    <w:rsid w:val="63BF5E84"/>
    <w:rsid w:val="63E1229E"/>
    <w:rsid w:val="63F5112D"/>
    <w:rsid w:val="644D63C1"/>
    <w:rsid w:val="64616F3B"/>
    <w:rsid w:val="64925C9C"/>
    <w:rsid w:val="64AB4466"/>
    <w:rsid w:val="64AC58A8"/>
    <w:rsid w:val="64C73242"/>
    <w:rsid w:val="64C86FBA"/>
    <w:rsid w:val="65066CFC"/>
    <w:rsid w:val="651144BD"/>
    <w:rsid w:val="65295CAB"/>
    <w:rsid w:val="65297A59"/>
    <w:rsid w:val="65305110"/>
    <w:rsid w:val="653603C7"/>
    <w:rsid w:val="654C1999"/>
    <w:rsid w:val="65532DD4"/>
    <w:rsid w:val="659F738C"/>
    <w:rsid w:val="65A2586C"/>
    <w:rsid w:val="65CC6636"/>
    <w:rsid w:val="65D11F6C"/>
    <w:rsid w:val="660869EE"/>
    <w:rsid w:val="66432D9C"/>
    <w:rsid w:val="664545A7"/>
    <w:rsid w:val="66B4718E"/>
    <w:rsid w:val="66BC66AA"/>
    <w:rsid w:val="66F81DD8"/>
    <w:rsid w:val="670039F6"/>
    <w:rsid w:val="67177D85"/>
    <w:rsid w:val="67192DDF"/>
    <w:rsid w:val="672F50CE"/>
    <w:rsid w:val="6732696D"/>
    <w:rsid w:val="6760172C"/>
    <w:rsid w:val="678A0557"/>
    <w:rsid w:val="68093B71"/>
    <w:rsid w:val="68256A61"/>
    <w:rsid w:val="683706DE"/>
    <w:rsid w:val="684150B9"/>
    <w:rsid w:val="68550B65"/>
    <w:rsid w:val="68A1024E"/>
    <w:rsid w:val="68BC67E4"/>
    <w:rsid w:val="68EE53C3"/>
    <w:rsid w:val="68EF0709"/>
    <w:rsid w:val="69230C63"/>
    <w:rsid w:val="692F13B6"/>
    <w:rsid w:val="6933534A"/>
    <w:rsid w:val="69482A5D"/>
    <w:rsid w:val="694D7A8E"/>
    <w:rsid w:val="695D1299"/>
    <w:rsid w:val="69610136"/>
    <w:rsid w:val="69DB32EB"/>
    <w:rsid w:val="6A107439"/>
    <w:rsid w:val="6A1B4AB6"/>
    <w:rsid w:val="6A975464"/>
    <w:rsid w:val="6AA52CCD"/>
    <w:rsid w:val="6AB04778"/>
    <w:rsid w:val="6AB06526"/>
    <w:rsid w:val="6AF61DA3"/>
    <w:rsid w:val="6B3B3F0B"/>
    <w:rsid w:val="6B476E8A"/>
    <w:rsid w:val="6B6C142A"/>
    <w:rsid w:val="6B9B23C7"/>
    <w:rsid w:val="6BD1009F"/>
    <w:rsid w:val="6C296590"/>
    <w:rsid w:val="6C3311BD"/>
    <w:rsid w:val="6C4B3E34"/>
    <w:rsid w:val="6C520B2D"/>
    <w:rsid w:val="6C5D623A"/>
    <w:rsid w:val="6CB3500C"/>
    <w:rsid w:val="6CB56076"/>
    <w:rsid w:val="6CCB3B06"/>
    <w:rsid w:val="6CD910D3"/>
    <w:rsid w:val="6CDA788A"/>
    <w:rsid w:val="6CDB4D32"/>
    <w:rsid w:val="6D5616A5"/>
    <w:rsid w:val="6D6476CF"/>
    <w:rsid w:val="6D6830E8"/>
    <w:rsid w:val="6D6F607C"/>
    <w:rsid w:val="6D793547"/>
    <w:rsid w:val="6D8C3D39"/>
    <w:rsid w:val="6DBE0F5A"/>
    <w:rsid w:val="6DCF3167"/>
    <w:rsid w:val="6DE9247B"/>
    <w:rsid w:val="6DEC4CDF"/>
    <w:rsid w:val="6E22773B"/>
    <w:rsid w:val="6E4070DE"/>
    <w:rsid w:val="6E8B1784"/>
    <w:rsid w:val="6EDA1DC4"/>
    <w:rsid w:val="6EF45966"/>
    <w:rsid w:val="6EFB435E"/>
    <w:rsid w:val="6F005402"/>
    <w:rsid w:val="6F0F6619"/>
    <w:rsid w:val="6F1A6664"/>
    <w:rsid w:val="6F395430"/>
    <w:rsid w:val="6F7038FD"/>
    <w:rsid w:val="6FAC3D02"/>
    <w:rsid w:val="6FB15B81"/>
    <w:rsid w:val="700E77D2"/>
    <w:rsid w:val="70147557"/>
    <w:rsid w:val="70207CAA"/>
    <w:rsid w:val="703A5210"/>
    <w:rsid w:val="705F07D2"/>
    <w:rsid w:val="707D6EC0"/>
    <w:rsid w:val="7088009F"/>
    <w:rsid w:val="70AA23EC"/>
    <w:rsid w:val="70BB2D6B"/>
    <w:rsid w:val="70CD7E32"/>
    <w:rsid w:val="70EB023E"/>
    <w:rsid w:val="70F250FA"/>
    <w:rsid w:val="710A3615"/>
    <w:rsid w:val="712D6B22"/>
    <w:rsid w:val="71310F80"/>
    <w:rsid w:val="71600CA6"/>
    <w:rsid w:val="71662034"/>
    <w:rsid w:val="719C15B2"/>
    <w:rsid w:val="71B7463E"/>
    <w:rsid w:val="71B96608"/>
    <w:rsid w:val="71C45F7E"/>
    <w:rsid w:val="72404633"/>
    <w:rsid w:val="727C3822"/>
    <w:rsid w:val="72AF1664"/>
    <w:rsid w:val="72C012B3"/>
    <w:rsid w:val="72DE6D0B"/>
    <w:rsid w:val="72E03B0E"/>
    <w:rsid w:val="72F422D6"/>
    <w:rsid w:val="73B777F9"/>
    <w:rsid w:val="73C117A4"/>
    <w:rsid w:val="73D90A10"/>
    <w:rsid w:val="73EB05CF"/>
    <w:rsid w:val="73F153E4"/>
    <w:rsid w:val="7419338E"/>
    <w:rsid w:val="74382A7E"/>
    <w:rsid w:val="74471CA9"/>
    <w:rsid w:val="747131CA"/>
    <w:rsid w:val="747468C7"/>
    <w:rsid w:val="74784C17"/>
    <w:rsid w:val="748B17DC"/>
    <w:rsid w:val="74C23A26"/>
    <w:rsid w:val="74D04400"/>
    <w:rsid w:val="74D074ED"/>
    <w:rsid w:val="74D35F20"/>
    <w:rsid w:val="7507768A"/>
    <w:rsid w:val="75157FF9"/>
    <w:rsid w:val="751D0C5C"/>
    <w:rsid w:val="7535244A"/>
    <w:rsid w:val="75662AAE"/>
    <w:rsid w:val="75752846"/>
    <w:rsid w:val="757D13DF"/>
    <w:rsid w:val="758B206A"/>
    <w:rsid w:val="75A1363B"/>
    <w:rsid w:val="75B710B1"/>
    <w:rsid w:val="75F97D2E"/>
    <w:rsid w:val="75FE283B"/>
    <w:rsid w:val="75FF4CDF"/>
    <w:rsid w:val="76641BD7"/>
    <w:rsid w:val="767B20DE"/>
    <w:rsid w:val="76C047DD"/>
    <w:rsid w:val="76DD06A3"/>
    <w:rsid w:val="77091498"/>
    <w:rsid w:val="7709593C"/>
    <w:rsid w:val="77200C8C"/>
    <w:rsid w:val="772F7570"/>
    <w:rsid w:val="776E0665"/>
    <w:rsid w:val="778B00FF"/>
    <w:rsid w:val="78533A41"/>
    <w:rsid w:val="78CC4E73"/>
    <w:rsid w:val="78E0447A"/>
    <w:rsid w:val="79212061"/>
    <w:rsid w:val="79E47AFE"/>
    <w:rsid w:val="7A100D8F"/>
    <w:rsid w:val="7A1A7DE2"/>
    <w:rsid w:val="7A21641A"/>
    <w:rsid w:val="7A4A24F3"/>
    <w:rsid w:val="7A6335B5"/>
    <w:rsid w:val="7AA15E8B"/>
    <w:rsid w:val="7B0322EF"/>
    <w:rsid w:val="7B362A78"/>
    <w:rsid w:val="7B4C5DF7"/>
    <w:rsid w:val="7B931C78"/>
    <w:rsid w:val="7BA63759"/>
    <w:rsid w:val="7BA774D1"/>
    <w:rsid w:val="7BC60085"/>
    <w:rsid w:val="7BED1CFB"/>
    <w:rsid w:val="7C4A67DB"/>
    <w:rsid w:val="7C5B064D"/>
    <w:rsid w:val="7C5E1137"/>
    <w:rsid w:val="7C886EA4"/>
    <w:rsid w:val="7CB02A7B"/>
    <w:rsid w:val="7CBD4374"/>
    <w:rsid w:val="7CF95B0B"/>
    <w:rsid w:val="7D007086"/>
    <w:rsid w:val="7D050953"/>
    <w:rsid w:val="7D056BA5"/>
    <w:rsid w:val="7D060A96"/>
    <w:rsid w:val="7D2F3C22"/>
    <w:rsid w:val="7D382AD7"/>
    <w:rsid w:val="7D3B282B"/>
    <w:rsid w:val="7D580A83"/>
    <w:rsid w:val="7D8A162F"/>
    <w:rsid w:val="7D9003CE"/>
    <w:rsid w:val="7DC51E91"/>
    <w:rsid w:val="7DE17BC0"/>
    <w:rsid w:val="7E0E55E6"/>
    <w:rsid w:val="7E1D3A7B"/>
    <w:rsid w:val="7E2D3F0A"/>
    <w:rsid w:val="7E332273"/>
    <w:rsid w:val="7E665422"/>
    <w:rsid w:val="7E696CC0"/>
    <w:rsid w:val="7E7D6206"/>
    <w:rsid w:val="7E86524B"/>
    <w:rsid w:val="7EA12D80"/>
    <w:rsid w:val="7EB44968"/>
    <w:rsid w:val="7ECD36F3"/>
    <w:rsid w:val="7EE06F82"/>
    <w:rsid w:val="7F772787"/>
    <w:rsid w:val="7F7734BA"/>
    <w:rsid w:val="7FB26301"/>
    <w:rsid w:val="7FE44850"/>
    <w:rsid w:val="7FFFB353"/>
    <w:rsid w:val="DD6E53DD"/>
    <w:rsid w:val="DFBF2941"/>
    <w:rsid w:val="F3F5320D"/>
    <w:rsid w:val="F7F7408B"/>
    <w:rsid w:val="F7FE95D1"/>
    <w:rsid w:val="F8FB2E5D"/>
    <w:rsid w:val="FAF7476B"/>
    <w:rsid w:val="FDBDAD2D"/>
    <w:rsid w:val="FFB599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9"/>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4"/>
    <w:link w:val="78"/>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link w:val="105"/>
    <w:qFormat/>
    <w:uiPriority w:val="0"/>
    <w:pPr>
      <w:keepNext/>
      <w:keepLines/>
      <w:spacing w:before="260" w:beforeLines="0" w:beforeAutospacing="0" w:after="260" w:afterLines="0" w:afterAutospacing="0" w:line="413" w:lineRule="auto"/>
      <w:jc w:val="center"/>
      <w:outlineLvl w:val="2"/>
    </w:pPr>
    <w:rPr>
      <w:b/>
      <w:sz w:val="44"/>
    </w:rPr>
  </w:style>
  <w:style w:type="paragraph" w:styleId="7">
    <w:name w:val="heading 4"/>
    <w:basedOn w:val="1"/>
    <w:next w:val="1"/>
    <w:link w:val="8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8">
    <w:name w:val="heading 5"/>
    <w:basedOn w:val="1"/>
    <w:next w:val="1"/>
    <w:link w:val="82"/>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link w:val="83"/>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link w:val="84"/>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link w:val="85"/>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link w:val="86"/>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unhideWhenUsed/>
    <w:qFormat/>
    <w:uiPriority w:val="99"/>
    <w:tblPr>
      <w:tblCellMar>
        <w:top w:w="0" w:type="dxa"/>
        <w:left w:w="108" w:type="dxa"/>
        <w:bottom w:w="0" w:type="dxa"/>
        <w:right w:w="108" w:type="dxa"/>
      </w:tblCellMar>
    </w:tblPr>
  </w:style>
  <w:style w:type="paragraph" w:customStyle="1" w:styleId="4">
    <w:name w:val="标准正文"/>
    <w:basedOn w:val="5"/>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5">
    <w:name w:val="Body Text Indent1"/>
    <w:basedOn w:val="1"/>
    <w:qFormat/>
    <w:uiPriority w:val="0"/>
    <w:pPr>
      <w:spacing w:line="700" w:lineRule="exact"/>
      <w:ind w:left="960"/>
    </w:pPr>
    <w:rPr>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2"/>
      </w:numPr>
      <w:spacing w:line="360" w:lineRule="auto"/>
    </w:pPr>
    <w:rPr>
      <w:sz w:val="24"/>
    </w:rPr>
  </w:style>
  <w:style w:type="paragraph" w:styleId="16">
    <w:name w:val="table of authorities"/>
    <w:basedOn w:val="1"/>
    <w:next w:val="1"/>
    <w:unhideWhenUsed/>
    <w:qFormat/>
    <w:uiPriority w:val="99"/>
    <w:pPr>
      <w:ind w:left="420" w:leftChars="200"/>
    </w:pPr>
  </w:style>
  <w:style w:type="paragraph" w:styleId="17">
    <w:name w:val="List Bullet 4"/>
    <w:basedOn w:val="1"/>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8">
    <w:name w:val="Normal Indent"/>
    <w:basedOn w:val="1"/>
    <w:next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87"/>
    <w:qFormat/>
    <w:uiPriority w:val="0"/>
    <w:pPr>
      <w:shd w:val="clear" w:color="auto" w:fill="000080"/>
    </w:pPr>
  </w:style>
  <w:style w:type="paragraph" w:styleId="21">
    <w:name w:val="toa heading"/>
    <w:basedOn w:val="1"/>
    <w:next w:val="1"/>
    <w:qFormat/>
    <w:uiPriority w:val="0"/>
    <w:pPr>
      <w:spacing w:before="120" w:beforeLines="0" w:beforeAutospacing="0"/>
    </w:pPr>
    <w:rPr>
      <w:rFonts w:ascii="Arial" w:hAnsi="Arial"/>
      <w:sz w:val="24"/>
    </w:rPr>
  </w:style>
  <w:style w:type="paragraph" w:styleId="22">
    <w:name w:val="annotation text"/>
    <w:basedOn w:val="1"/>
    <w:link w:val="8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3">
    <w:name w:val="Body Text 3"/>
    <w:basedOn w:val="1"/>
    <w:link w:val="89"/>
    <w:qFormat/>
    <w:uiPriority w:val="0"/>
    <w:pPr>
      <w:adjustRightInd w:val="0"/>
      <w:snapToGrid w:val="0"/>
      <w:spacing w:after="120" w:afterLines="0" w:afterAutospacing="0" w:line="360" w:lineRule="auto"/>
    </w:pPr>
    <w:rPr>
      <w:sz w:val="16"/>
    </w:rPr>
  </w:style>
  <w:style w:type="paragraph" w:styleId="24">
    <w:name w:val="List Bullet 3"/>
    <w:basedOn w:val="1"/>
    <w:qFormat/>
    <w:uiPriority w:val="0"/>
    <w:pPr>
      <w:numPr>
        <w:ilvl w:val="0"/>
        <w:numId w:val="4"/>
      </w:numPr>
      <w:adjustRightInd w:val="0"/>
      <w:snapToGrid w:val="0"/>
      <w:spacing w:line="360" w:lineRule="auto"/>
    </w:pPr>
    <w:rPr>
      <w:sz w:val="24"/>
    </w:rPr>
  </w:style>
  <w:style w:type="paragraph" w:styleId="25">
    <w:name w:val="Body Text"/>
    <w:basedOn w:val="1"/>
    <w:next w:val="1"/>
    <w:link w:val="90"/>
    <w:qFormat/>
    <w:uiPriority w:val="99"/>
    <w:rPr>
      <w:rFonts w:ascii="仿宋_GB2312" w:eastAsia="仿宋_GB2312"/>
      <w:kern w:val="2"/>
      <w:sz w:val="32"/>
    </w:rPr>
  </w:style>
  <w:style w:type="paragraph" w:styleId="26">
    <w:name w:val="Body Text Indent"/>
    <w:basedOn w:val="1"/>
    <w:link w:val="91"/>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5"/>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link w:val="92"/>
    <w:qFormat/>
    <w:uiPriority w:val="0"/>
    <w:pPr>
      <w:adjustRightInd w:val="0"/>
      <w:snapToGrid w:val="0"/>
      <w:spacing w:line="360" w:lineRule="auto"/>
    </w:pPr>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93"/>
    <w:qFormat/>
    <w:uiPriority w:val="0"/>
  </w:style>
  <w:style w:type="paragraph" w:styleId="36">
    <w:name w:val="Body Text Indent 2"/>
    <w:basedOn w:val="1"/>
    <w:link w:val="94"/>
    <w:qFormat/>
    <w:uiPriority w:val="0"/>
    <w:pPr>
      <w:snapToGrid w:val="0"/>
      <w:spacing w:line="440" w:lineRule="atLeast"/>
      <w:ind w:firstLine="570"/>
    </w:pPr>
    <w:rPr>
      <w:rFonts w:ascii="宋体"/>
    </w:rPr>
  </w:style>
  <w:style w:type="paragraph" w:styleId="37">
    <w:name w:val="Balloon Text"/>
    <w:basedOn w:val="1"/>
    <w:link w:val="95"/>
    <w:qFormat/>
    <w:uiPriority w:val="0"/>
    <w:rPr>
      <w:sz w:val="18"/>
    </w:rPr>
  </w:style>
  <w:style w:type="paragraph" w:styleId="38">
    <w:name w:val="footer"/>
    <w:basedOn w:val="1"/>
    <w:link w:val="96"/>
    <w:qFormat/>
    <w:uiPriority w:val="0"/>
    <w:pPr>
      <w:tabs>
        <w:tab w:val="center" w:pos="4153"/>
        <w:tab w:val="right" w:pos="8306"/>
      </w:tabs>
      <w:snapToGrid w:val="0"/>
      <w:jc w:val="left"/>
    </w:pPr>
    <w:rPr>
      <w:rFonts w:eastAsia="宋体"/>
      <w:kern w:val="2"/>
      <w:sz w:val="18"/>
      <w:lang w:val="en-US" w:eastAsia="zh-CN"/>
    </w:rPr>
  </w:style>
  <w:style w:type="paragraph" w:styleId="39">
    <w:name w:val="header"/>
    <w:basedOn w:val="1"/>
    <w:link w:val="97"/>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40">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98"/>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link w:val="99"/>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tabs>
        <w:tab w:val="right" w:leader="dot" w:pos="8400"/>
      </w:tabs>
      <w:spacing w:line="440" w:lineRule="exact"/>
      <w:ind w:left="280" w:leftChars="100" w:rightChars="-91"/>
    </w:pPr>
  </w:style>
  <w:style w:type="paragraph" w:styleId="49">
    <w:name w:val="toc 9"/>
    <w:basedOn w:val="1"/>
    <w:next w:val="1"/>
    <w:qFormat/>
    <w:uiPriority w:val="0"/>
    <w:pPr>
      <w:ind w:left="3360" w:leftChars="1600"/>
    </w:pPr>
  </w:style>
  <w:style w:type="paragraph" w:styleId="50">
    <w:name w:val="Body Text 2"/>
    <w:basedOn w:val="1"/>
    <w:link w:val="100"/>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link w:val="10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7">
    <w:name w:val="annotation subject"/>
    <w:basedOn w:val="22"/>
    <w:next w:val="22"/>
    <w:link w:val="102"/>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8">
    <w:name w:val="Body Text First Indent"/>
    <w:basedOn w:val="25"/>
    <w:next w:val="59"/>
    <w:link w:val="103"/>
    <w:qFormat/>
    <w:uiPriority w:val="99"/>
    <w:pPr>
      <w:spacing w:line="360" w:lineRule="auto"/>
      <w:ind w:firstLine="420"/>
    </w:pPr>
    <w:rPr>
      <w:rFonts w:ascii="宋体" w:hAnsi="宋体"/>
      <w:sz w:val="24"/>
    </w:rPr>
  </w:style>
  <w:style w:type="paragraph" w:styleId="59">
    <w:name w:val="Body Text First Indent 2"/>
    <w:basedOn w:val="26"/>
    <w:next w:val="1"/>
    <w:link w:val="104"/>
    <w:qFormat/>
    <w:uiPriority w:val="0"/>
    <w:pPr>
      <w:spacing w:after="120" w:afterLines="0" w:afterAutospacing="0" w:line="240" w:lineRule="auto"/>
      <w:ind w:left="420" w:leftChars="200" w:firstLine="420" w:firstLineChars="20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basedOn w:val="62"/>
    <w:qFormat/>
    <w:uiPriority w:val="99"/>
    <w:rPr>
      <w:color w:val="800080"/>
      <w:u w:val="none"/>
    </w:rPr>
  </w:style>
  <w:style w:type="character" w:styleId="66">
    <w:name w:val="Emphasis"/>
    <w:qFormat/>
    <w:uiPriority w:val="0"/>
    <w:rPr>
      <w:i/>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99"/>
    <w:rPr>
      <w:color w:val="0000FF"/>
      <w:u w:val="none"/>
    </w:rPr>
  </w:style>
  <w:style w:type="character" w:styleId="72">
    <w:name w:val="HTML Code"/>
    <w:basedOn w:val="62"/>
    <w:unhideWhenUsed/>
    <w:qFormat/>
    <w:uiPriority w:val="99"/>
    <w:rPr>
      <w:rFonts w:hint="default" w:ascii="monospace" w:hAnsi="monospace" w:eastAsia="monospace" w:cs="monospace"/>
      <w:sz w:val="20"/>
    </w:rPr>
  </w:style>
  <w:style w:type="character" w:styleId="73">
    <w:name w:val="annotation reference"/>
    <w:qFormat/>
    <w:uiPriority w:val="0"/>
    <w:rPr>
      <w:sz w:val="21"/>
    </w:rPr>
  </w:style>
  <w:style w:type="character" w:styleId="74">
    <w:name w:val="HTML Cite"/>
    <w:basedOn w:val="62"/>
    <w:unhideWhenUsed/>
    <w:qFormat/>
    <w:uiPriority w:val="99"/>
  </w:style>
  <w:style w:type="character" w:styleId="75">
    <w:name w:val="footnote reference"/>
    <w:qFormat/>
    <w:uiPriority w:val="0"/>
    <w:rPr>
      <w:position w:val="6"/>
      <w:sz w:val="14"/>
      <w:vertAlign w:val="superscript"/>
    </w:rPr>
  </w:style>
  <w:style w:type="character" w:styleId="76">
    <w:name w:val="HTML Keyboard"/>
    <w:basedOn w:val="62"/>
    <w:unhideWhenUsed/>
    <w:qFormat/>
    <w:uiPriority w:val="99"/>
    <w:rPr>
      <w:rFonts w:hint="default" w:ascii="monospace" w:hAnsi="monospace" w:eastAsia="monospace" w:cs="monospace"/>
      <w:sz w:val="20"/>
    </w:rPr>
  </w:style>
  <w:style w:type="character" w:styleId="77">
    <w:name w:val="HTML Sample"/>
    <w:basedOn w:val="62"/>
    <w:unhideWhenUsed/>
    <w:qFormat/>
    <w:uiPriority w:val="99"/>
    <w:rPr>
      <w:rFonts w:ascii="monospace" w:hAnsi="monospace" w:eastAsia="monospace" w:cs="monospace"/>
    </w:rPr>
  </w:style>
  <w:style w:type="character" w:customStyle="1" w:styleId="78">
    <w:name w:val="标题 2 字符"/>
    <w:link w:val="3"/>
    <w:qFormat/>
    <w:uiPriority w:val="0"/>
    <w:rPr>
      <w:rFonts w:ascii="宋体" w:hAnsi="宋体"/>
      <w:kern w:val="2"/>
      <w:sz w:val="28"/>
    </w:rPr>
  </w:style>
  <w:style w:type="character" w:customStyle="1" w:styleId="79">
    <w:name w:val="标题 1 字符"/>
    <w:link w:val="2"/>
    <w:qFormat/>
    <w:uiPriority w:val="0"/>
    <w:rPr>
      <w:rFonts w:eastAsia="黑体"/>
      <w:kern w:val="2"/>
      <w:sz w:val="44"/>
    </w:rPr>
  </w:style>
  <w:style w:type="character" w:customStyle="1" w:styleId="80">
    <w:name w:val="标题 3 Char"/>
    <w:link w:val="6"/>
    <w:qFormat/>
    <w:uiPriority w:val="0"/>
    <w:rPr>
      <w:b/>
    </w:rPr>
  </w:style>
  <w:style w:type="character" w:customStyle="1" w:styleId="81">
    <w:name w:val="标题 4 字符"/>
    <w:link w:val="7"/>
    <w:qFormat/>
    <w:uiPriority w:val="0"/>
    <w:rPr>
      <w:rFonts w:ascii="Arial" w:hAnsi="Arial" w:eastAsia="黑体"/>
      <w:b/>
      <w:kern w:val="2"/>
      <w:sz w:val="28"/>
    </w:rPr>
  </w:style>
  <w:style w:type="character" w:customStyle="1" w:styleId="82">
    <w:name w:val="标题 5 字符"/>
    <w:link w:val="8"/>
    <w:qFormat/>
    <w:uiPriority w:val="0"/>
    <w:rPr>
      <w:b/>
      <w:kern w:val="2"/>
      <w:sz w:val="28"/>
    </w:rPr>
  </w:style>
  <w:style w:type="character" w:customStyle="1" w:styleId="83">
    <w:name w:val="标题 6 字符"/>
    <w:link w:val="9"/>
    <w:qFormat/>
    <w:uiPriority w:val="0"/>
    <w:rPr>
      <w:rFonts w:ascii="Arial" w:hAnsi="Arial" w:eastAsia="黑体"/>
      <w:b/>
      <w:kern w:val="2"/>
      <w:sz w:val="24"/>
    </w:rPr>
  </w:style>
  <w:style w:type="character" w:customStyle="1" w:styleId="84">
    <w:name w:val="标题 7 字符"/>
    <w:link w:val="10"/>
    <w:qFormat/>
    <w:uiPriority w:val="0"/>
    <w:rPr>
      <w:rFonts w:ascii="Arial" w:hAnsi="Arial" w:eastAsia="黑体"/>
      <w:b/>
      <w:kern w:val="2"/>
      <w:sz w:val="24"/>
    </w:rPr>
  </w:style>
  <w:style w:type="character" w:customStyle="1" w:styleId="85">
    <w:name w:val="标题 8 字符"/>
    <w:link w:val="11"/>
    <w:qFormat/>
    <w:uiPriority w:val="0"/>
    <w:rPr>
      <w:rFonts w:ascii="Arial" w:hAnsi="Arial" w:eastAsia="黑体"/>
      <w:b/>
      <w:kern w:val="2"/>
      <w:sz w:val="24"/>
    </w:rPr>
  </w:style>
  <w:style w:type="character" w:customStyle="1" w:styleId="86">
    <w:name w:val="标题 9 字符"/>
    <w:link w:val="12"/>
    <w:qFormat/>
    <w:uiPriority w:val="0"/>
    <w:rPr>
      <w:rFonts w:ascii="Arial" w:hAnsi="Arial" w:eastAsia="黑体"/>
      <w:b/>
      <w:kern w:val="2"/>
      <w:sz w:val="24"/>
    </w:rPr>
  </w:style>
  <w:style w:type="character" w:customStyle="1" w:styleId="87">
    <w:name w:val="文档结构图 字符"/>
    <w:link w:val="20"/>
    <w:qFormat/>
    <w:uiPriority w:val="0"/>
    <w:rPr>
      <w:kern w:val="2"/>
      <w:sz w:val="28"/>
      <w:shd w:val="clear" w:color="auto" w:fill="000080"/>
    </w:rPr>
  </w:style>
  <w:style w:type="character" w:customStyle="1" w:styleId="88">
    <w:name w:val="批注文字 字符"/>
    <w:link w:val="22"/>
    <w:qFormat/>
    <w:uiPriority w:val="0"/>
    <w:rPr>
      <w:rFonts w:eastAsia="PMingLiU"/>
      <w:sz w:val="24"/>
      <w:lang w:eastAsia="zh-TW"/>
    </w:rPr>
  </w:style>
  <w:style w:type="character" w:customStyle="1" w:styleId="89">
    <w:name w:val="正文文本 3 字符"/>
    <w:link w:val="23"/>
    <w:qFormat/>
    <w:uiPriority w:val="0"/>
    <w:rPr>
      <w:kern w:val="2"/>
      <w:sz w:val="16"/>
    </w:rPr>
  </w:style>
  <w:style w:type="character" w:customStyle="1" w:styleId="90">
    <w:name w:val="正文文本 字符"/>
    <w:link w:val="25"/>
    <w:qFormat/>
    <w:uiPriority w:val="99"/>
    <w:rPr>
      <w:rFonts w:ascii="仿宋_GB2312" w:eastAsia="仿宋_GB2312"/>
      <w:kern w:val="2"/>
      <w:sz w:val="32"/>
    </w:rPr>
  </w:style>
  <w:style w:type="character" w:customStyle="1" w:styleId="91">
    <w:name w:val="正文文本缩进 字符"/>
    <w:link w:val="26"/>
    <w:qFormat/>
    <w:uiPriority w:val="0"/>
    <w:rPr>
      <w:kern w:val="2"/>
      <w:sz w:val="44"/>
    </w:rPr>
  </w:style>
  <w:style w:type="character" w:customStyle="1" w:styleId="92">
    <w:name w:val="纯文本 字符"/>
    <w:link w:val="33"/>
    <w:qFormat/>
    <w:uiPriority w:val="0"/>
    <w:rPr>
      <w:rFonts w:ascii="宋体" w:hAnsi="Courier New"/>
      <w:kern w:val="2"/>
      <w:sz w:val="21"/>
    </w:rPr>
  </w:style>
  <w:style w:type="character" w:customStyle="1" w:styleId="93">
    <w:name w:val="日期 字符"/>
    <w:link w:val="35"/>
    <w:qFormat/>
    <w:uiPriority w:val="0"/>
    <w:rPr>
      <w:kern w:val="2"/>
      <w:sz w:val="28"/>
    </w:rPr>
  </w:style>
  <w:style w:type="character" w:customStyle="1" w:styleId="94">
    <w:name w:val="正文文本缩进 2 字符"/>
    <w:link w:val="36"/>
    <w:qFormat/>
    <w:uiPriority w:val="0"/>
    <w:rPr>
      <w:rFonts w:ascii="宋体"/>
      <w:kern w:val="2"/>
      <w:sz w:val="28"/>
    </w:rPr>
  </w:style>
  <w:style w:type="character" w:customStyle="1" w:styleId="95">
    <w:name w:val="批注框文本 字符"/>
    <w:link w:val="37"/>
    <w:qFormat/>
    <w:uiPriority w:val="0"/>
    <w:rPr>
      <w:kern w:val="2"/>
      <w:sz w:val="18"/>
    </w:rPr>
  </w:style>
  <w:style w:type="character" w:customStyle="1" w:styleId="96">
    <w:name w:val="页脚 字符"/>
    <w:link w:val="38"/>
    <w:qFormat/>
    <w:uiPriority w:val="0"/>
    <w:rPr>
      <w:kern w:val="2"/>
      <w:sz w:val="18"/>
    </w:rPr>
  </w:style>
  <w:style w:type="character" w:customStyle="1" w:styleId="97">
    <w:name w:val="页眉 字符"/>
    <w:link w:val="39"/>
    <w:qFormat/>
    <w:uiPriority w:val="0"/>
    <w:rPr>
      <w:kern w:val="2"/>
      <w:sz w:val="18"/>
    </w:rPr>
  </w:style>
  <w:style w:type="character" w:customStyle="1" w:styleId="98">
    <w:name w:val="脚注文本 字符"/>
    <w:link w:val="43"/>
    <w:qFormat/>
    <w:uiPriority w:val="0"/>
    <w:rPr>
      <w:kern w:val="2"/>
      <w:sz w:val="18"/>
    </w:rPr>
  </w:style>
  <w:style w:type="character" w:customStyle="1" w:styleId="99">
    <w:name w:val="正文文本缩进 3 字符"/>
    <w:link w:val="46"/>
    <w:qFormat/>
    <w:uiPriority w:val="0"/>
    <w:rPr>
      <w:rFonts w:ascii="黑体" w:eastAsia="黑体"/>
      <w:kern w:val="2"/>
      <w:sz w:val="28"/>
    </w:rPr>
  </w:style>
  <w:style w:type="character" w:customStyle="1" w:styleId="100">
    <w:name w:val="正文文本 2 字符"/>
    <w:link w:val="50"/>
    <w:qFormat/>
    <w:uiPriority w:val="0"/>
    <w:rPr>
      <w:kern w:val="2"/>
      <w:sz w:val="24"/>
    </w:rPr>
  </w:style>
  <w:style w:type="character" w:customStyle="1" w:styleId="101">
    <w:name w:val="标题 字符"/>
    <w:link w:val="56"/>
    <w:qFormat/>
    <w:uiPriority w:val="0"/>
    <w:rPr>
      <w:rFonts w:ascii="Arial" w:hAnsi="Arial"/>
      <w:b/>
      <w:smallCaps/>
      <w:kern w:val="28"/>
      <w:sz w:val="36"/>
      <w:lang w:eastAsia="en-US"/>
    </w:rPr>
  </w:style>
  <w:style w:type="character" w:customStyle="1" w:styleId="102">
    <w:name w:val="批注主题 字符"/>
    <w:link w:val="57"/>
    <w:qFormat/>
    <w:uiPriority w:val="0"/>
    <w:rPr>
      <w:b/>
      <w:kern w:val="2"/>
      <w:sz w:val="21"/>
    </w:rPr>
  </w:style>
  <w:style w:type="character" w:customStyle="1" w:styleId="103">
    <w:name w:val="正文文本首行缩进 字符"/>
    <w:link w:val="58"/>
    <w:qFormat/>
    <w:uiPriority w:val="99"/>
    <w:rPr>
      <w:rFonts w:ascii="宋体" w:hAnsi="宋体" w:eastAsia="仿宋_GB2312"/>
      <w:kern w:val="2"/>
      <w:sz w:val="24"/>
    </w:rPr>
  </w:style>
  <w:style w:type="character" w:customStyle="1" w:styleId="104">
    <w:name w:val="正文文本首行缩进 2 字符"/>
    <w:link w:val="59"/>
    <w:qFormat/>
    <w:uiPriority w:val="0"/>
    <w:rPr>
      <w:kern w:val="2"/>
      <w:sz w:val="21"/>
    </w:rPr>
  </w:style>
  <w:style w:type="character" w:customStyle="1" w:styleId="105">
    <w:name w:val="标题 3 字符"/>
    <w:link w:val="6"/>
    <w:qFormat/>
    <w:uiPriority w:val="0"/>
    <w:rPr>
      <w:b/>
      <w:kern w:val="2"/>
      <w:sz w:val="44"/>
    </w:rPr>
  </w:style>
  <w:style w:type="paragraph" w:customStyle="1" w:styleId="106">
    <w:name w:val="目录 71"/>
    <w:basedOn w:val="1"/>
    <w:next w:val="1"/>
    <w:qFormat/>
    <w:uiPriority w:val="0"/>
    <w:pPr>
      <w:ind w:left="2520"/>
    </w:pPr>
  </w:style>
  <w:style w:type="paragraph" w:styleId="107">
    <w:name w:val="Quote"/>
    <w:next w:val="1"/>
    <w:link w:val="108"/>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08">
    <w:name w:val="引用 字符"/>
    <w:link w:val="107"/>
    <w:qFormat/>
    <w:uiPriority w:val="0"/>
    <w:rPr>
      <w:i/>
      <w:sz w:val="21"/>
    </w:rPr>
  </w:style>
  <w:style w:type="character" w:customStyle="1" w:styleId="109">
    <w:name w:val="content-white1"/>
    <w:qFormat/>
    <w:uiPriority w:val="0"/>
    <w:rPr>
      <w:rFonts w:ascii="_x000B__x000C_" w:hAnsi="_x000B__x000C_"/>
      <w:color w:val="auto"/>
      <w:sz w:val="18"/>
      <w:u w:val="none"/>
    </w:rPr>
  </w:style>
  <w:style w:type="character" w:customStyle="1" w:styleId="110">
    <w:name w:val="Table Text Char Char Char Char"/>
    <w:qFormat/>
    <w:uiPriority w:val="0"/>
    <w:rPr>
      <w:rFonts w:ascii="Arial" w:hAnsi="Arial"/>
      <w:kern w:val="2"/>
      <w:sz w:val="18"/>
      <w:lang w:val="en-US" w:eastAsia="zh-CN" w:bidi="ar-SA"/>
    </w:rPr>
  </w:style>
  <w:style w:type="character" w:customStyle="1" w:styleId="111">
    <w:name w:val="NormalCharacter"/>
    <w:qFormat/>
    <w:uiPriority w:val="0"/>
    <w:rPr>
      <w:rFonts w:ascii="Calibri" w:hAnsi="Calibri" w:eastAsia="宋体" w:cs="Times New Roman"/>
      <w:kern w:val="2"/>
      <w:sz w:val="21"/>
      <w:szCs w:val="22"/>
      <w:lang w:val="en-US" w:eastAsia="zh-CN" w:bidi="ar-SA"/>
    </w:rPr>
  </w:style>
  <w:style w:type="character" w:customStyle="1" w:styleId="112">
    <w:name w:val=" Char Char"/>
    <w:qFormat/>
    <w:uiPriority w:val="0"/>
    <w:rPr>
      <w:rFonts w:ascii="宋体" w:hAnsi="宋体" w:eastAsia="宋体"/>
      <w:kern w:val="2"/>
      <w:sz w:val="24"/>
      <w:lang w:val="en-US" w:eastAsia="zh-CN" w:bidi="ar-SA"/>
    </w:rPr>
  </w:style>
  <w:style w:type="character" w:customStyle="1" w:styleId="113">
    <w:name w:val="未命名11"/>
    <w:qFormat/>
    <w:uiPriority w:val="0"/>
    <w:rPr>
      <w:color w:val="77FFFF"/>
      <w:sz w:val="24"/>
    </w:rPr>
  </w:style>
  <w:style w:type="character" w:customStyle="1" w:styleId="114">
    <w:name w:val="标书正文:  0.74 厘米 Char1"/>
    <w:qFormat/>
    <w:uiPriority w:val="0"/>
    <w:rPr>
      <w:rFonts w:eastAsia="宋体"/>
      <w:kern w:val="2"/>
      <w:sz w:val="24"/>
      <w:lang w:val="en-US" w:eastAsia="zh-CN"/>
    </w:rPr>
  </w:style>
  <w:style w:type="character" w:customStyle="1" w:styleId="115">
    <w:name w:val="crowed11"/>
    <w:qFormat/>
    <w:uiPriority w:val="0"/>
    <w:rPr>
      <w:rFonts w:hint="default" w:ascii="_x000B__x000C_" w:hAnsi="_x000B__x000C_"/>
      <w:sz w:val="24"/>
    </w:rPr>
  </w:style>
  <w:style w:type="character" w:customStyle="1" w:styleId="116">
    <w:name w:val="Table Text Char"/>
    <w:qFormat/>
    <w:uiPriority w:val="0"/>
    <w:rPr>
      <w:rFonts w:ascii="Arial" w:hAnsi="Arial"/>
      <w:kern w:val="2"/>
      <w:sz w:val="18"/>
      <w:lang w:val="en-US" w:eastAsia="zh-CN" w:bidi="ar-SA"/>
    </w:rPr>
  </w:style>
  <w:style w:type="character" w:customStyle="1" w:styleId="117">
    <w:name w:val="v151"/>
    <w:qFormat/>
    <w:uiPriority w:val="0"/>
    <w:rPr>
      <w:sz w:val="18"/>
    </w:rPr>
  </w:style>
  <w:style w:type="character" w:customStyle="1" w:styleId="118">
    <w:name w:val="Table Heading Char Char"/>
    <w:qFormat/>
    <w:uiPriority w:val="0"/>
    <w:rPr>
      <w:rFonts w:ascii="Arial" w:hAnsi="Arial" w:eastAsia="黑体"/>
      <w:kern w:val="2"/>
      <w:sz w:val="18"/>
      <w:lang w:val="en-US" w:eastAsia="zh-CN"/>
    </w:rPr>
  </w:style>
  <w:style w:type="character" w:customStyle="1" w:styleId="119">
    <w:name w:val="正文 + 三号 Char"/>
    <w:qFormat/>
    <w:uiPriority w:val="0"/>
    <w:rPr>
      <w:rFonts w:eastAsia="宋体"/>
      <w:kern w:val="2"/>
      <w:sz w:val="21"/>
      <w:lang w:val="en-US" w:eastAsia="zh-CN"/>
    </w:rPr>
  </w:style>
  <w:style w:type="character" w:customStyle="1" w:styleId="120">
    <w:name w:val=" Char Char5"/>
    <w:qFormat/>
    <w:uiPriority w:val="0"/>
    <w:rPr>
      <w:rFonts w:ascii="Arial" w:hAnsi="Arial" w:eastAsia="宋体"/>
      <w:b/>
      <w:smallCaps/>
      <w:kern w:val="28"/>
      <w:sz w:val="36"/>
      <w:lang w:val="en-US" w:eastAsia="en-US"/>
    </w:rPr>
  </w:style>
  <w:style w:type="character" w:customStyle="1" w:styleId="121">
    <w:name w:val=" Char Char2"/>
    <w:qFormat/>
    <w:uiPriority w:val="0"/>
    <w:rPr>
      <w:rFonts w:eastAsia="宋体"/>
      <w:kern w:val="2"/>
      <w:sz w:val="18"/>
      <w:lang w:val="en-US" w:eastAsia="zh-CN"/>
    </w:rPr>
  </w:style>
  <w:style w:type="character" w:customStyle="1" w:styleId="122">
    <w:name w:val="批注文字 Char1"/>
    <w:qFormat/>
    <w:uiPriority w:val="0"/>
    <w:rPr>
      <w:rFonts w:eastAsia="PMingLiU"/>
      <w:sz w:val="24"/>
      <w:lang w:eastAsia="zh-TW"/>
    </w:rPr>
  </w:style>
  <w:style w:type="character" w:customStyle="1" w:styleId="123">
    <w:name w:val="top-det1"/>
    <w:qFormat/>
    <w:uiPriority w:val="0"/>
    <w:rPr>
      <w:b/>
      <w:color w:val="000000"/>
    </w:rPr>
  </w:style>
  <w:style w:type="character" w:customStyle="1" w:styleId="124">
    <w:name w:val=" Char Char6"/>
    <w:qFormat/>
    <w:uiPriority w:val="0"/>
    <w:rPr>
      <w:rFonts w:ascii="仿宋_GB2312" w:eastAsia="仿宋_GB2312"/>
      <w:kern w:val="2"/>
      <w:sz w:val="32"/>
    </w:rPr>
  </w:style>
  <w:style w:type="character" w:customStyle="1" w:styleId="125">
    <w:name w:val="font1"/>
    <w:qFormat/>
    <w:uiPriority w:val="0"/>
    <w:rPr>
      <w:color w:val="000000"/>
      <w:sz w:val="18"/>
    </w:rPr>
  </w:style>
  <w:style w:type="character" w:customStyle="1" w:styleId="126">
    <w:name w:val=" Char Char7"/>
    <w:qFormat/>
    <w:uiPriority w:val="0"/>
    <w:rPr>
      <w:rFonts w:ascii="宋体" w:hAnsi="宋体" w:eastAsia="宋体"/>
      <w:kern w:val="2"/>
      <w:sz w:val="28"/>
    </w:rPr>
  </w:style>
  <w:style w:type="character" w:customStyle="1" w:styleId="127">
    <w:name w:val="文字 Char"/>
    <w:link w:val="128"/>
    <w:qFormat/>
    <w:uiPriority w:val="0"/>
    <w:rPr>
      <w:rFonts w:ascii="宋体" w:eastAsia="宋体"/>
      <w:kern w:val="2"/>
      <w:sz w:val="28"/>
      <w:lang w:val="en-US" w:eastAsia="zh-CN" w:bidi="ar-SA"/>
    </w:rPr>
  </w:style>
  <w:style w:type="paragraph" w:customStyle="1" w:styleId="128">
    <w:name w:val="文字"/>
    <w:basedOn w:val="1"/>
    <w:link w:val="127"/>
    <w:qFormat/>
    <w:uiPriority w:val="0"/>
    <w:pPr>
      <w:tabs>
        <w:tab w:val="left" w:pos="8520"/>
      </w:tabs>
      <w:spacing w:line="312" w:lineRule="auto"/>
      <w:ind w:right="-210" w:firstLine="556"/>
    </w:pPr>
    <w:rPr>
      <w:rFonts w:ascii="宋体"/>
    </w:rPr>
  </w:style>
  <w:style w:type="character" w:customStyle="1" w:styleId="129">
    <w:name w:val=" Char Char4"/>
    <w:qFormat/>
    <w:uiPriority w:val="0"/>
    <w:rPr>
      <w:rFonts w:eastAsia="宋体"/>
      <w:b/>
      <w:kern w:val="2"/>
      <w:sz w:val="21"/>
      <w:lang w:val="en-US" w:eastAsia="zh-CN"/>
    </w:rPr>
  </w:style>
  <w:style w:type="character" w:customStyle="1" w:styleId="130">
    <w:name w:val="小 Char"/>
    <w:qFormat/>
    <w:uiPriority w:val="0"/>
    <w:rPr>
      <w:rFonts w:ascii="宋体" w:hAnsi="Courier New" w:eastAsia="宋体"/>
      <w:kern w:val="2"/>
      <w:sz w:val="21"/>
      <w:lang w:val="en-US" w:eastAsia="zh-CN" w:bidi="ar-SA"/>
    </w:rPr>
  </w:style>
  <w:style w:type="character" w:customStyle="1" w:styleId="131">
    <w:name w:val="Table Text Char1 Char"/>
    <w:qFormat/>
    <w:uiPriority w:val="0"/>
    <w:rPr>
      <w:rFonts w:ascii="Arial" w:hAnsi="Arial"/>
      <w:kern w:val="2"/>
      <w:sz w:val="18"/>
      <w:lang w:val="en-US" w:eastAsia="zh-CN" w:bidi="ar-SA"/>
    </w:rPr>
  </w:style>
  <w:style w:type="character" w:customStyle="1" w:styleId="132">
    <w:name w:val=" Char Char3"/>
    <w:qFormat/>
    <w:uiPriority w:val="0"/>
    <w:rPr>
      <w:rFonts w:eastAsia="宋体"/>
      <w:kern w:val="2"/>
      <w:sz w:val="18"/>
      <w:lang w:val="en-US" w:eastAsia="zh-CN"/>
    </w:rPr>
  </w:style>
  <w:style w:type="character" w:customStyle="1" w:styleId="133">
    <w:name w:val="样式 宋体"/>
    <w:qFormat/>
    <w:uiPriority w:val="0"/>
    <w:rPr>
      <w:rFonts w:ascii="宋体" w:hAnsi="宋体" w:eastAsia="宋体"/>
      <w:sz w:val="28"/>
    </w:rPr>
  </w:style>
  <w:style w:type="paragraph" w:customStyle="1" w:styleId="1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7">
    <w:name w:val="样式2"/>
    <w:basedOn w:val="7"/>
    <w:qFormat/>
    <w:uiPriority w:val="0"/>
    <w:pPr>
      <w:numPr>
        <w:ilvl w:val="0"/>
        <w:numId w:val="6"/>
      </w:numPr>
      <w:spacing w:line="400" w:lineRule="exact"/>
      <w:jc w:val="center"/>
      <w:outlineLvl w:val="0"/>
    </w:pPr>
    <w:rPr>
      <w:b w:val="0"/>
      <w:sz w:val="44"/>
    </w:rPr>
  </w:style>
  <w:style w:type="paragraph" w:customStyle="1" w:styleId="138">
    <w:name w:val="Title - Revision"/>
    <w:basedOn w:val="56"/>
    <w:qFormat/>
    <w:uiPriority w:val="0"/>
    <w:pPr>
      <w:spacing w:before="720" w:beforeLines="0" w:beforeAutospacing="0"/>
    </w:p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样式1xz"/>
    <w:basedOn w:val="1"/>
    <w:qFormat/>
    <w:uiPriority w:val="0"/>
    <w:pPr>
      <w:tabs>
        <w:tab w:val="left" w:pos="1050"/>
        <w:tab w:val="right" w:leader="dot" w:pos="8296"/>
      </w:tabs>
    </w:pPr>
    <w:rPr>
      <w:caps/>
      <w:spacing w:val="20"/>
      <w:sz w:val="24"/>
    </w:rPr>
  </w:style>
  <w:style w:type="paragraph" w:customStyle="1" w:styleId="1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43">
    <w:name w:val=" Char1 Char Char Char"/>
    <w:basedOn w:val="1"/>
    <w:qFormat/>
    <w:uiPriority w:val="0"/>
    <w:rPr>
      <w:rFonts w:ascii="Tahoma" w:hAnsi="Tahoma"/>
      <w:sz w:val="24"/>
    </w:rPr>
  </w:style>
  <w:style w:type="paragraph" w:customStyle="1" w:styleId="14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5">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4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7">
    <w:name w:val="编号正文"/>
    <w:basedOn w:val="148"/>
    <w:qFormat/>
    <w:uiPriority w:val="0"/>
    <w:pPr>
      <w:snapToGrid/>
      <w:spacing w:line="360" w:lineRule="auto"/>
      <w:ind w:left="1407" w:hanging="1047"/>
      <w:jc w:val="left"/>
    </w:pPr>
    <w:rPr>
      <w:rFonts w:eastAsia="仿宋_GB2312"/>
    </w:rPr>
  </w:style>
  <w:style w:type="paragraph" w:customStyle="1" w:styleId="14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9">
    <w:name w:val=" Char1"/>
    <w:basedOn w:val="1"/>
    <w:qFormat/>
    <w:uiPriority w:val="0"/>
    <w:rPr>
      <w:sz w:val="21"/>
    </w:rPr>
  </w:style>
  <w:style w:type="paragraph" w:customStyle="1" w:styleId="15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3">
    <w:name w:val="Body Text Indent 2"/>
    <w:basedOn w:val="1"/>
    <w:qFormat/>
    <w:uiPriority w:val="0"/>
    <w:pPr>
      <w:adjustRightInd w:val="0"/>
      <w:spacing w:before="120" w:beforeLines="0" w:beforeAutospacing="0"/>
      <w:ind w:firstLine="420"/>
      <w:textAlignment w:val="baseline"/>
    </w:pPr>
    <w:rPr>
      <w:sz w:val="24"/>
    </w:rPr>
  </w:style>
  <w:style w:type="paragraph" w:customStyle="1" w:styleId="154">
    <w:name w:val="Title - Date"/>
    <w:basedOn w:val="56"/>
    <w:next w:val="1"/>
    <w:qFormat/>
    <w:uiPriority w:val="0"/>
    <w:pPr>
      <w:spacing w:before="240" w:beforeLines="0" w:beforeAutospacing="0" w:after="720" w:afterLines="0" w:afterAutospacing="0"/>
    </w:pPr>
    <w:rPr>
      <w:sz w:val="28"/>
    </w:rPr>
  </w:style>
  <w:style w:type="paragraph" w:customStyle="1" w:styleId="155">
    <w:name w:val="图片文字"/>
    <w:basedOn w:val="1"/>
    <w:qFormat/>
    <w:uiPriority w:val="0"/>
    <w:pPr>
      <w:spacing w:line="240" w:lineRule="atLeast"/>
      <w:jc w:val="center"/>
    </w:pPr>
    <w:rPr>
      <w:sz w:val="21"/>
    </w:rPr>
  </w:style>
  <w:style w:type="paragraph" w:customStyle="1" w:styleId="15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7">
    <w:name w:val=" Char Char 字元 字元 字元 Char Char Char Char"/>
    <w:basedOn w:val="1"/>
    <w:qFormat/>
    <w:uiPriority w:val="0"/>
    <w:pPr>
      <w:adjustRightInd w:val="0"/>
      <w:spacing w:line="360" w:lineRule="auto"/>
    </w:pPr>
    <w:rPr>
      <w:kern w:val="0"/>
      <w:sz w:val="24"/>
    </w:rPr>
  </w:style>
  <w:style w:type="paragraph" w:customStyle="1" w:styleId="158">
    <w:name w:val="Item Step in Table"/>
    <w:qFormat/>
    <w:uiPriority w:val="0"/>
    <w:pPr>
      <w:numPr>
        <w:ilvl w:val="0"/>
        <w:numId w:val="9"/>
      </w:numPr>
      <w:spacing w:before="40" w:after="40"/>
      <w:jc w:val="both"/>
    </w:pPr>
    <w:rPr>
      <w:rFonts w:ascii="Arial" w:hAnsi="Arial" w:eastAsia="宋体" w:cs="Times New Roman"/>
      <w:sz w:val="18"/>
      <w:lang w:val="en-US" w:eastAsia="zh-CN" w:bidi="ar-SA"/>
    </w:rPr>
  </w:style>
  <w:style w:type="paragraph" w:customStyle="1" w:styleId="159">
    <w:name w:val="首行缩进"/>
    <w:basedOn w:val="1"/>
    <w:qFormat/>
    <w:uiPriority w:val="0"/>
    <w:pPr>
      <w:spacing w:line="360" w:lineRule="auto"/>
      <w:ind w:firstLine="420" w:firstLineChars="200"/>
    </w:pPr>
    <w:rPr>
      <w:sz w:val="21"/>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Char1 Char Char Char"/>
    <w:basedOn w:val="1"/>
    <w:qFormat/>
    <w:uiPriority w:val="0"/>
    <w:rPr>
      <w:rFonts w:ascii="Tahoma" w:hAnsi="Tahoma"/>
      <w:sz w:val="21"/>
    </w:rPr>
  </w:style>
  <w:style w:type="paragraph" w:customStyle="1" w:styleId="163">
    <w:name w:val="IN Feature"/>
    <w:next w:val="14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5">
    <w:name w:val="1"/>
    <w:basedOn w:val="1"/>
    <w:qFormat/>
    <w:uiPriority w:val="0"/>
    <w:rPr>
      <w:rFonts w:ascii="Tahoma" w:hAnsi="Tahoma"/>
      <w:sz w:val="24"/>
    </w:rPr>
  </w:style>
  <w:style w:type="paragraph" w:customStyle="1" w:styleId="166">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67">
    <w:name w:val="简单回函地址"/>
    <w:basedOn w:val="1"/>
    <w:qFormat/>
    <w:uiPriority w:val="0"/>
    <w:pPr>
      <w:adjustRightInd w:val="0"/>
      <w:snapToGrid w:val="0"/>
      <w:spacing w:line="360" w:lineRule="auto"/>
    </w:pPr>
    <w:rPr>
      <w:sz w:val="24"/>
    </w:rPr>
  </w:style>
  <w:style w:type="paragraph" w:customStyle="1" w:styleId="16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69">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70">
    <w:name w:val="列表项目"/>
    <w:basedOn w:val="1"/>
    <w:qFormat/>
    <w:uiPriority w:val="0"/>
    <w:pPr>
      <w:numPr>
        <w:ilvl w:val="0"/>
        <w:numId w:val="10"/>
      </w:numPr>
      <w:tabs>
        <w:tab w:val="left" w:pos="420"/>
        <w:tab w:val="clear" w:pos="980"/>
      </w:tabs>
      <w:spacing w:line="288" w:lineRule="auto"/>
      <w:ind w:left="840" w:leftChars="200" w:hanging="420" w:hangingChars="200"/>
    </w:pPr>
    <w:rPr>
      <w:sz w:val="21"/>
    </w:rPr>
  </w:style>
  <w:style w:type="paragraph" w:customStyle="1" w:styleId="171">
    <w:name w:val="正文1"/>
    <w:basedOn w:val="1"/>
    <w:qFormat/>
    <w:uiPriority w:val="0"/>
    <w:pPr>
      <w:spacing w:line="300" w:lineRule="auto"/>
      <w:ind w:firstLine="200" w:firstLineChars="200"/>
    </w:pPr>
    <w:rPr>
      <w:sz w:val="24"/>
    </w:rPr>
  </w:style>
  <w:style w:type="paragraph" w:customStyle="1" w:styleId="17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73">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默认段落字体 Para Char Char Char Char Char Char Char"/>
    <w:basedOn w:val="1"/>
    <w:qFormat/>
    <w:uiPriority w:val="0"/>
    <w:rPr>
      <w:rFonts w:ascii="Tahoma" w:hAnsi="Tahoma"/>
      <w:sz w:val="24"/>
    </w:rPr>
  </w:style>
  <w:style w:type="paragraph" w:customStyle="1" w:styleId="175">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7">
    <w:name w:val="内容标题"/>
    <w:basedOn w:val="20"/>
    <w:qFormat/>
    <w:uiPriority w:val="0"/>
    <w:rPr>
      <w:rFonts w:ascii="Tahoma" w:hAnsi="Tahoma"/>
      <w:sz w:val="24"/>
    </w:rPr>
  </w:style>
  <w:style w:type="paragraph" w:customStyle="1" w:styleId="178">
    <w:name w:val="表号"/>
    <w:basedOn w:val="1"/>
    <w:qFormat/>
    <w:uiPriority w:val="0"/>
    <w:pPr>
      <w:numPr>
        <w:ilvl w:val="0"/>
        <w:numId w:val="12"/>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9">
    <w:name w:val="1.正文"/>
    <w:basedOn w:val="1"/>
    <w:qFormat/>
    <w:uiPriority w:val="0"/>
    <w:pPr>
      <w:spacing w:line="360" w:lineRule="auto"/>
      <w:ind w:left="540" w:leftChars="225" w:firstLine="540" w:firstLineChars="225"/>
    </w:pPr>
    <w:rPr>
      <w:sz w:val="24"/>
    </w:rPr>
  </w:style>
  <w:style w:type="paragraph" w:customStyle="1" w:styleId="180">
    <w:name w:val="关键词"/>
    <w:basedOn w:val="1"/>
    <w:next w:val="1"/>
    <w:qFormat/>
    <w:uiPriority w:val="0"/>
    <w:pPr>
      <w:spacing w:line="360" w:lineRule="auto"/>
    </w:pPr>
    <w:rPr>
      <w:rFonts w:eastAsia="黑体"/>
      <w:sz w:val="20"/>
    </w:rPr>
  </w:style>
  <w:style w:type="paragraph" w:customStyle="1" w:styleId="181">
    <w:name w:val="表头文本"/>
    <w:qFormat/>
    <w:uiPriority w:val="0"/>
    <w:pPr>
      <w:jc w:val="center"/>
    </w:pPr>
    <w:rPr>
      <w:rFonts w:ascii="Arial" w:hAnsi="Arial" w:eastAsia="宋体" w:cs="Times New Roman"/>
      <w:b/>
      <w:sz w:val="21"/>
      <w:lang w:val="en-US" w:eastAsia="zh-CN" w:bidi="ar-SA"/>
    </w:rPr>
  </w:style>
  <w:style w:type="paragraph" w:customStyle="1" w:styleId="182">
    <w:name w:val="二级列表"/>
    <w:basedOn w:val="183"/>
    <w:next w:val="183"/>
    <w:qFormat/>
    <w:uiPriority w:val="0"/>
    <w:pPr>
      <w:tabs>
        <w:tab w:val="left" w:pos="2120"/>
      </w:tabs>
      <w:ind w:firstLine="0" w:firstLineChars="0"/>
    </w:pPr>
    <w:rPr>
      <w:b/>
    </w:rPr>
  </w:style>
  <w:style w:type="paragraph" w:customStyle="1" w:styleId="18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4">
    <w:name w:val="样式 首行缩进:  0.74 厘米"/>
    <w:basedOn w:val="1"/>
    <w:qFormat/>
    <w:uiPriority w:val="0"/>
    <w:pPr>
      <w:spacing w:line="360" w:lineRule="auto"/>
      <w:ind w:firstLine="420"/>
    </w:pPr>
    <w:rPr>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可研正文"/>
    <w:basedOn w:val="25"/>
    <w:qFormat/>
    <w:uiPriority w:val="0"/>
    <w:pPr>
      <w:adjustRightInd w:val="0"/>
      <w:snapToGrid w:val="0"/>
      <w:spacing w:line="440" w:lineRule="exact"/>
      <w:ind w:firstLine="567"/>
    </w:pPr>
    <w:rPr>
      <w:sz w:val="28"/>
    </w:rPr>
  </w:style>
  <w:style w:type="paragraph" w:customStyle="1" w:styleId="187">
    <w:name w:val="附录4"/>
    <w:basedOn w:val="1"/>
    <w:next w:val="1"/>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88">
    <w:name w:val="_Style 186"/>
    <w:qFormat/>
    <w:uiPriority w:val="0"/>
    <w:rPr>
      <w:rFonts w:ascii="Times New Roman" w:hAnsi="Times New Roman" w:eastAsia="宋体" w:cs="Times New Roman"/>
      <w:kern w:val="2"/>
      <w:sz w:val="21"/>
      <w:lang w:val="en-US" w:eastAsia="zh-CN" w:bidi="ar-SA"/>
    </w:rPr>
  </w:style>
  <w:style w:type="paragraph" w:customStyle="1" w:styleId="18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0">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91">
    <w:name w:val="摘要"/>
    <w:basedOn w:val="1"/>
    <w:next w:val="3"/>
    <w:qFormat/>
    <w:uiPriority w:val="0"/>
    <w:pPr>
      <w:spacing w:line="360" w:lineRule="auto"/>
    </w:pPr>
    <w:rPr>
      <w:rFonts w:eastAsia="黑体"/>
      <w:sz w:val="20"/>
    </w:rPr>
  </w:style>
  <w:style w:type="paragraph" w:customStyle="1" w:styleId="19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 Char"/>
    <w:basedOn w:val="1"/>
    <w:qFormat/>
    <w:uiPriority w:val="0"/>
    <w:pPr>
      <w:spacing w:line="240" w:lineRule="atLeast"/>
      <w:ind w:left="420" w:firstLine="420"/>
    </w:pPr>
    <w:rPr>
      <w:kern w:val="0"/>
      <w:sz w:val="21"/>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7">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9">
    <w:name w:val="样式 行距: 1.5 倍行距1"/>
    <w:basedOn w:val="1"/>
    <w:qFormat/>
    <w:uiPriority w:val="0"/>
    <w:pPr>
      <w:snapToGrid w:val="0"/>
    </w:pPr>
    <w:rPr>
      <w:sz w:val="21"/>
    </w:rPr>
  </w:style>
  <w:style w:type="paragraph" w:customStyle="1" w:styleId="200">
    <w:name w:val="bt"/>
    <w:basedOn w:val="1"/>
    <w:next w:val="25"/>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04">
    <w:name w:val="表文字"/>
    <w:qFormat/>
    <w:uiPriority w:val="0"/>
    <w:rPr>
      <w:rFonts w:ascii="宋体" w:hAnsi="Times New Roman" w:eastAsia="宋体" w:cs="Times New Roman"/>
      <w:kern w:val="2"/>
      <w:lang w:val="en-US" w:eastAsia="zh-CN" w:bidi="ar-SA"/>
    </w:rPr>
  </w:style>
  <w:style w:type="paragraph" w:customStyle="1" w:styleId="20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07">
    <w:name w:val="标题2"/>
    <w:basedOn w:val="3"/>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208">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209">
    <w:name w:val="表格文本"/>
    <w:qFormat/>
    <w:uiPriority w:val="0"/>
    <w:pPr>
      <w:tabs>
        <w:tab w:val="decimal" w:pos="0"/>
      </w:tabs>
    </w:pPr>
    <w:rPr>
      <w:rFonts w:ascii="Arial" w:hAnsi="Arial" w:eastAsia="宋体" w:cs="Times New Roman"/>
      <w:sz w:val="21"/>
      <w:lang w:val="en-US" w:eastAsia="zh-CN" w:bidi="ar-SA"/>
    </w:rPr>
  </w:style>
  <w:style w:type="paragraph" w:customStyle="1" w:styleId="210">
    <w:name w:val="表格内文字"/>
    <w:basedOn w:val="33"/>
    <w:qFormat/>
    <w:uiPriority w:val="0"/>
    <w:pPr>
      <w:snapToGrid/>
      <w:spacing w:line="240" w:lineRule="auto"/>
    </w:pPr>
    <w:rPr>
      <w:color w:val="000000"/>
      <w:lang w:val="en-GB"/>
    </w:rPr>
  </w:style>
  <w:style w:type="paragraph" w:customStyle="1" w:styleId="211">
    <w:name w:val="Table Contents"/>
    <w:basedOn w:val="25"/>
    <w:qFormat/>
    <w:uiPriority w:val="0"/>
    <w:pPr>
      <w:suppressAutoHyphens/>
      <w:jc w:val="left"/>
    </w:pPr>
    <w:rPr>
      <w:rFonts w:ascii="Times New Roman" w:eastAsia="Times New Roman"/>
      <w:kern w:val="0"/>
      <w:sz w:val="24"/>
    </w:rPr>
  </w:style>
  <w:style w:type="paragraph" w:customStyle="1" w:styleId="21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3">
    <w:name w:val="Style Heading 3h3Heading 3 - oldLevel 3 HeadH3level_3PIM 3se..."/>
    <w:basedOn w:val="6"/>
    <w:qFormat/>
    <w:uiPriority w:val="0"/>
    <w:pPr>
      <w:numPr>
        <w:ilvl w:val="2"/>
        <w:numId w:val="13"/>
      </w:numPr>
      <w:jc w:val="both"/>
    </w:pPr>
    <w:rPr>
      <w:sz w:val="32"/>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21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7">
    <w:name w:val="标题无"/>
    <w:basedOn w:val="1"/>
    <w:qFormat/>
    <w:uiPriority w:val="0"/>
    <w:pPr>
      <w:spacing w:line="360" w:lineRule="auto"/>
    </w:pPr>
    <w:rPr>
      <w:sz w:val="24"/>
    </w:rPr>
  </w:style>
  <w:style w:type="paragraph" w:customStyle="1" w:styleId="218">
    <w:name w:val="样式 正文首行缩进 2 + 首行缩进:  2 字符"/>
    <w:basedOn w:val="1"/>
    <w:qFormat/>
    <w:uiPriority w:val="0"/>
    <w:pPr>
      <w:numPr>
        <w:ilvl w:val="0"/>
        <w:numId w:val="14"/>
      </w:numPr>
      <w:adjustRightInd w:val="0"/>
      <w:snapToGrid w:val="0"/>
      <w:spacing w:line="360" w:lineRule="auto"/>
    </w:pPr>
    <w:rPr>
      <w:rFonts w:ascii="Arial" w:hAnsi="Arial"/>
      <w:b/>
      <w:sz w:val="24"/>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1">
    <w:name w:val="Note"/>
    <w:basedOn w:val="1"/>
    <w:qFormat/>
    <w:uiPriority w:val="0"/>
    <w:pPr>
      <w:pBdr>
        <w:top w:val="single" w:color="auto" w:sz="12" w:space="3"/>
        <w:bottom w:val="single" w:color="auto" w:sz="12" w:space="3"/>
      </w:pBdr>
      <w:spacing w:line="360" w:lineRule="auto"/>
    </w:pPr>
    <w:rPr>
      <w:sz w:val="24"/>
    </w:rPr>
  </w:style>
  <w:style w:type="paragraph" w:customStyle="1" w:styleId="22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3">
    <w:name w:val="文本1"/>
    <w:basedOn w:val="1"/>
    <w:qFormat/>
    <w:uiPriority w:val="0"/>
    <w:pPr>
      <w:adjustRightInd w:val="0"/>
      <w:spacing w:line="312" w:lineRule="atLeast"/>
      <w:jc w:val="center"/>
      <w:textAlignment w:val="baseline"/>
    </w:pPr>
    <w:rPr>
      <w:kern w:val="0"/>
      <w:sz w:val="18"/>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正文表格"/>
    <w:basedOn w:val="1"/>
    <w:qFormat/>
    <w:uiPriority w:val="0"/>
    <w:pPr>
      <w:adjustRightInd w:val="0"/>
      <w:spacing w:before="40" w:beforeLines="0" w:beforeAutospacing="0" w:after="40" w:afterLines="0" w:afterAutospacing="0"/>
    </w:pPr>
    <w:rPr>
      <w:sz w:val="24"/>
    </w:rPr>
  </w:style>
  <w:style w:type="paragraph" w:customStyle="1" w:styleId="2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8">
    <w:name w:val="样式 宋体 五号 行距: 单倍行距"/>
    <w:basedOn w:val="1"/>
    <w:qFormat/>
    <w:uiPriority w:val="0"/>
    <w:pPr>
      <w:adjustRightInd w:val="0"/>
      <w:jc w:val="left"/>
    </w:pPr>
    <w:rPr>
      <w:rFonts w:ascii="宋体" w:hAnsi="宋体"/>
      <w:kern w:val="0"/>
      <w:sz w:val="21"/>
    </w:rPr>
  </w:style>
  <w:style w:type="paragraph" w:customStyle="1" w:styleId="22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3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1">
    <w:name w:val="文章正文"/>
    <w:basedOn w:val="1"/>
    <w:qFormat/>
    <w:uiPriority w:val="0"/>
    <w:pPr>
      <w:ind w:firstLine="560" w:firstLineChars="200"/>
    </w:pPr>
    <w:rPr>
      <w:rFonts w:ascii="仿宋_GB2312" w:hAnsi="宋体" w:eastAsia="仿宋_GB2312"/>
      <w:color w:val="000000"/>
    </w:rPr>
  </w:style>
  <w:style w:type="paragraph" w:customStyle="1" w:styleId="232">
    <w:name w:val="标题3——2"/>
    <w:basedOn w:val="6"/>
    <w:next w:val="58"/>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233">
    <w:name w:val="章标题"/>
    <w:next w:val="1"/>
    <w:qFormat/>
    <w:uiPriority w:val="0"/>
    <w:pPr>
      <w:numPr>
        <w:ilvl w:val="1"/>
        <w:numId w:val="1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34">
    <w:name w:val="样式3"/>
    <w:basedOn w:val="2"/>
    <w:next w:val="2"/>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235">
    <w:name w:val="样式 标题 6第五层条 + 三号 段前: 0.5 行"/>
    <w:basedOn w:val="9"/>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236">
    <w:name w:val="Char Char Char Char Char Char Char"/>
    <w:basedOn w:val="20"/>
    <w:qFormat/>
    <w:uiPriority w:val="0"/>
    <w:rPr>
      <w:rFonts w:ascii="宋体" w:hAnsi="Tahoma"/>
    </w:rPr>
  </w:style>
  <w:style w:type="paragraph" w:customStyle="1" w:styleId="237">
    <w:name w:val="样式 正文缩进正文（首行缩进两字）表正文正文非缩进特点标题4段1 + 首行缩进:  2 字符"/>
    <w:basedOn w:val="18"/>
    <w:qFormat/>
    <w:uiPriority w:val="0"/>
    <w:pPr>
      <w:ind w:firstLine="480" w:firstLineChars="200"/>
    </w:pPr>
  </w:style>
  <w:style w:type="paragraph" w:customStyle="1" w:styleId="238">
    <w:name w:val=" Char Char Char"/>
    <w:basedOn w:val="1"/>
    <w:qFormat/>
    <w:uiPriority w:val="0"/>
    <w:rPr>
      <w:rFonts w:ascii="Tahoma" w:hAnsi="Tahoma"/>
      <w:sz w:val="24"/>
    </w:rPr>
  </w:style>
  <w:style w:type="paragraph" w:customStyle="1" w:styleId="239">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24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1">
    <w:name w:val="Char"/>
    <w:basedOn w:val="1"/>
    <w:qFormat/>
    <w:uiPriority w:val="0"/>
    <w:pPr>
      <w:widowControl/>
      <w:spacing w:line="400" w:lineRule="exact"/>
      <w:jc w:val="center"/>
    </w:pPr>
    <w:rPr>
      <w:sz w:val="24"/>
    </w:rPr>
  </w:style>
  <w:style w:type="paragraph" w:customStyle="1" w:styleId="24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3">
    <w:name w:val="正文 + 三号"/>
    <w:basedOn w:val="1"/>
    <w:qFormat/>
    <w:uiPriority w:val="0"/>
    <w:rPr>
      <w:rFonts w:eastAsia="宋体"/>
      <w:kern w:val="2"/>
      <w:sz w:val="21"/>
      <w:lang w:val="en-US" w:eastAsia="zh-CN"/>
    </w:rPr>
  </w:style>
  <w:style w:type="paragraph" w:customStyle="1" w:styleId="244">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4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 Char Char1 Char"/>
    <w:basedOn w:val="1"/>
    <w:qFormat/>
    <w:uiPriority w:val="0"/>
    <w:rPr>
      <w:rFonts w:ascii="Tahoma" w:hAnsi="Tahoma"/>
      <w:sz w:val="24"/>
      <w:szCs w:val="24"/>
    </w:rPr>
  </w:style>
  <w:style w:type="paragraph" w:customStyle="1" w:styleId="248">
    <w:name w:val=" Char Char Char Char Char"/>
    <w:basedOn w:val="1"/>
    <w:qFormat/>
    <w:uiPriority w:val="0"/>
    <w:pPr>
      <w:numPr>
        <w:ilvl w:val="0"/>
        <w:numId w:val="13"/>
      </w:numPr>
    </w:pPr>
    <w:rPr>
      <w:rFonts w:ascii="Tahoma" w:hAnsi="Tahoma"/>
      <w:sz w:val="24"/>
    </w:rPr>
  </w:style>
  <w:style w:type="paragraph" w:customStyle="1" w:styleId="249">
    <w:name w:val="样式 标题 1 + 居中 段前: 6 磅 段后: 6 磅 行距: 1.5 倍行距"/>
    <w:basedOn w:val="2"/>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250">
    <w:name w:val="默认段落字体 Para Char Char Char Char Char Char Char Char Char1 Char Char Char Char"/>
    <w:basedOn w:val="1"/>
    <w:qFormat/>
    <w:uiPriority w:val="0"/>
    <w:rPr>
      <w:rFonts w:ascii="Tahoma" w:hAnsi="Tahoma"/>
      <w:sz w:val="24"/>
    </w:rPr>
  </w:style>
  <w:style w:type="paragraph" w:customStyle="1" w:styleId="251">
    <w:name w:val="样式4"/>
    <w:basedOn w:val="7"/>
    <w:qFormat/>
    <w:uiPriority w:val="0"/>
    <w:pPr>
      <w:numPr>
        <w:ilvl w:val="0"/>
        <w:numId w:val="0"/>
      </w:numPr>
      <w:adjustRightInd w:val="0"/>
      <w:snapToGrid w:val="0"/>
      <w:spacing w:before="280" w:beforeLines="0" w:beforeAutospacing="0" w:line="372" w:lineRule="auto"/>
    </w:pPr>
  </w:style>
  <w:style w:type="paragraph" w:customStyle="1" w:styleId="25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53">
    <w:name w:val="样式1"/>
    <w:basedOn w:val="7"/>
    <w:qFormat/>
    <w:uiPriority w:val="0"/>
    <w:pPr>
      <w:spacing w:before="500" w:beforeLines="0" w:after="260" w:afterLines="0" w:line="560" w:lineRule="atLeast"/>
    </w:pPr>
  </w:style>
  <w:style w:type="paragraph" w:customStyle="1" w:styleId="254">
    <w:name w:val="首行缩进 1"/>
    <w:basedOn w:val="1"/>
    <w:qFormat/>
    <w:uiPriority w:val="0"/>
    <w:pPr>
      <w:spacing w:after="120" w:afterLines="0" w:afterAutospacing="0" w:line="360" w:lineRule="auto"/>
      <w:ind w:firstLine="200" w:firstLineChars="200"/>
    </w:pPr>
    <w:rPr>
      <w:sz w:val="24"/>
    </w:rPr>
  </w:style>
  <w:style w:type="paragraph" w:customStyle="1" w:styleId="25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6">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8">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9">
    <w:name w:val="xl67"/>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260">
    <w:name w:val="xl68"/>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61">
    <w:name w:val="xl69"/>
    <w:basedOn w:val="1"/>
    <w:qFormat/>
    <w:uiPriority w:val="0"/>
    <w:pPr>
      <w:widowControl/>
      <w:spacing w:before="100" w:beforeAutospacing="1" w:after="100" w:afterAutospacing="1"/>
      <w:jc w:val="center"/>
      <w:textAlignment w:val="bottom"/>
    </w:pPr>
    <w:rPr>
      <w:rFonts w:ascii="宋体" w:hAnsi="宋体" w:cs="宋体"/>
      <w:kern w:val="0"/>
      <w:sz w:val="24"/>
      <w:szCs w:val="24"/>
    </w:rPr>
  </w:style>
  <w:style w:type="paragraph" w:customStyle="1" w:styleId="262">
    <w:name w:val="xl7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center"/>
    </w:pPr>
    <w:rPr>
      <w:rFonts w:ascii="宋体" w:hAnsi="宋体" w:cs="宋体"/>
      <w:kern w:val="0"/>
      <w:sz w:val="18"/>
      <w:szCs w:val="18"/>
    </w:rPr>
  </w:style>
  <w:style w:type="paragraph" w:customStyle="1" w:styleId="27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center"/>
    </w:pPr>
    <w:rPr>
      <w:rFonts w:ascii="宋体" w:hAnsi="宋体" w:cs="宋体"/>
      <w:kern w:val="0"/>
      <w:sz w:val="18"/>
      <w:szCs w:val="18"/>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paragraph" w:customStyle="1" w:styleId="27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paragraph" w:customStyle="1" w:styleId="2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24"/>
      <w:szCs w:val="24"/>
    </w:rPr>
  </w:style>
  <w:style w:type="paragraph" w:customStyle="1" w:styleId="274">
    <w:name w:val="xl8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center"/>
    </w:pPr>
    <w:rPr>
      <w:rFonts w:ascii="宋体" w:hAnsi="宋体" w:cs="宋体"/>
      <w:kern w:val="0"/>
      <w:sz w:val="24"/>
      <w:szCs w:val="24"/>
    </w:rPr>
  </w:style>
  <w:style w:type="paragraph" w:customStyle="1" w:styleId="276">
    <w:name w:val="xl84"/>
    <w:basedOn w:val="1"/>
    <w:qFormat/>
    <w:uiPriority w:val="0"/>
    <w:pPr>
      <w:widowControl/>
      <w:shd w:val="clear" w:color="000000" w:fill="FEE796"/>
      <w:spacing w:before="100" w:beforeAutospacing="1" w:after="100" w:afterAutospacing="1"/>
      <w:jc w:val="left"/>
      <w:textAlignment w:val="bottom"/>
    </w:pPr>
    <w:rPr>
      <w:rFonts w:ascii="宋体" w:hAnsi="宋体" w:cs="宋体"/>
      <w:kern w:val="0"/>
      <w:sz w:val="24"/>
      <w:szCs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paragraph" w:customStyle="1" w:styleId="278">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9">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8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character" w:customStyle="1" w:styleId="281">
    <w:name w:val="font21"/>
    <w:basedOn w:val="62"/>
    <w:qFormat/>
    <w:uiPriority w:val="0"/>
    <w:rPr>
      <w:rFonts w:hint="eastAsia" w:ascii="宋体" w:hAnsi="宋体" w:eastAsia="宋体" w:cs="宋体"/>
      <w:color w:val="000000"/>
      <w:sz w:val="24"/>
      <w:szCs w:val="24"/>
      <w:u w:val="none"/>
    </w:rPr>
  </w:style>
  <w:style w:type="character" w:customStyle="1" w:styleId="282">
    <w:name w:val="font51"/>
    <w:basedOn w:val="62"/>
    <w:qFormat/>
    <w:uiPriority w:val="0"/>
    <w:rPr>
      <w:rFonts w:ascii="楷体_GB2312" w:eastAsia="楷体_GB2312" w:cs="楷体_GB2312"/>
      <w:color w:val="000000"/>
      <w:sz w:val="24"/>
      <w:szCs w:val="24"/>
      <w:u w:val="none"/>
    </w:rPr>
  </w:style>
  <w:style w:type="character" w:customStyle="1" w:styleId="283">
    <w:name w:val="font101"/>
    <w:basedOn w:val="62"/>
    <w:qFormat/>
    <w:uiPriority w:val="0"/>
    <w:rPr>
      <w:rFonts w:ascii="Calibri" w:hAnsi="Calibri" w:cs="Calibri"/>
      <w:color w:val="000000"/>
      <w:sz w:val="24"/>
      <w:szCs w:val="24"/>
      <w:u w:val="none"/>
    </w:rPr>
  </w:style>
  <w:style w:type="character" w:customStyle="1" w:styleId="284">
    <w:name w:val="font41"/>
    <w:basedOn w:val="62"/>
    <w:qFormat/>
    <w:uiPriority w:val="0"/>
    <w:rPr>
      <w:rFonts w:hint="default" w:ascii="Times New Roman" w:hAnsi="Times New Roman" w:cs="Times New Roman"/>
      <w:color w:val="000000"/>
      <w:sz w:val="24"/>
      <w:szCs w:val="24"/>
      <w:u w:val="none"/>
    </w:rPr>
  </w:style>
  <w:style w:type="character" w:customStyle="1" w:styleId="285">
    <w:name w:val="font71"/>
    <w:basedOn w:val="62"/>
    <w:qFormat/>
    <w:uiPriority w:val="0"/>
    <w:rPr>
      <w:rFonts w:hint="default" w:ascii="Calibri" w:hAnsi="Calibri" w:cs="Calibri"/>
      <w:color w:val="000000"/>
      <w:sz w:val="21"/>
      <w:szCs w:val="21"/>
      <w:u w:val="none"/>
    </w:rPr>
  </w:style>
  <w:style w:type="character" w:customStyle="1" w:styleId="286">
    <w:name w:val="font111"/>
    <w:basedOn w:val="62"/>
    <w:qFormat/>
    <w:uiPriority w:val="0"/>
    <w:rPr>
      <w:rFonts w:hint="default" w:ascii="楷体_GB2312" w:eastAsia="楷体_GB2312" w:cs="楷体_GB2312"/>
      <w:color w:val="000000"/>
      <w:sz w:val="21"/>
      <w:szCs w:val="21"/>
      <w:u w:val="none"/>
    </w:rPr>
  </w:style>
  <w:style w:type="character" w:customStyle="1" w:styleId="287">
    <w:name w:val="font122"/>
    <w:basedOn w:val="62"/>
    <w:qFormat/>
    <w:uiPriority w:val="0"/>
    <w:rPr>
      <w:rFonts w:ascii="Arial" w:hAnsi="Arial" w:cs="Arial"/>
      <w:color w:val="000000"/>
      <w:sz w:val="24"/>
      <w:szCs w:val="24"/>
      <w:u w:val="none"/>
    </w:rPr>
  </w:style>
  <w:style w:type="paragraph" w:customStyle="1" w:styleId="288">
    <w:name w:val="Default Text"/>
    <w:qFormat/>
    <w:uiPriority w:val="0"/>
    <w:pPr>
      <w:overflowPunct w:val="0"/>
      <w:autoSpaceDE w:val="0"/>
      <w:autoSpaceDN w:val="0"/>
      <w:adjustRightInd w:val="0"/>
      <w:textAlignment w:val="baseline"/>
    </w:pPr>
    <w:rPr>
      <w:rFonts w:ascii="Times New Roman" w:hAnsi="Times New Roman" w:eastAsia="宋体" w:cs="Times New Roman"/>
      <w:sz w:val="24"/>
      <w:lang w:val="en-US" w:eastAsia="zh-CN" w:bidi="ar-SA"/>
    </w:rPr>
  </w:style>
  <w:style w:type="character" w:customStyle="1" w:styleId="289">
    <w:name w:val="font61"/>
    <w:basedOn w:val="62"/>
    <w:qFormat/>
    <w:uiPriority w:val="0"/>
    <w:rPr>
      <w:rFonts w:ascii="方正仿宋_GBK" w:hAnsi="方正仿宋_GBK" w:eastAsia="方正仿宋_GBK" w:cs="方正仿宋_GBK"/>
      <w:color w:val="000000"/>
      <w:sz w:val="24"/>
      <w:szCs w:val="24"/>
      <w:u w:val="none"/>
    </w:rPr>
  </w:style>
  <w:style w:type="character" w:customStyle="1" w:styleId="290">
    <w:name w:val="无"/>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11754</Words>
  <Characters>13567</Characters>
  <Lines>507</Lines>
  <Paragraphs>142</Paragraphs>
  <TotalTime>11</TotalTime>
  <ScaleCrop>false</ScaleCrop>
  <LinksUpToDate>false</LinksUpToDate>
  <CharactersWithSpaces>13856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2024-03-11T19:15:00Z</dcterms:created>
  <dc:creator>admin</dc:creator>
  <cp:lastModifiedBy>Administrator</cp:lastModifiedBy>
  <cp:lastPrinted>2024-09-25T23:30:00Z</cp:lastPrinted>
  <dcterms:modified xsi:type="dcterms:W3CDTF">2025-05-19T08:31:11Z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9021B6924691469A962A45CB1CBFCA4E_13</vt:lpwstr>
  </property>
  <property fmtid="{D5CDD505-2E9C-101B-9397-08002B2CF9AE}" pid="4" name="KSOTemplateDocerSaveRecord">
    <vt:lpwstr>eyJoZGlkIjoiNDAzMGQ0NGNlMjJlYTFjNjc5NDQ2ZTAxMmYzMmQ2YmYiLCJ1c2VySWQiOiIzMjEwNzgyOTkifQ==</vt:lpwstr>
  </property>
</Properties>
</file>