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102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pacing w:val="80"/>
          <w:sz w:val="96"/>
          <w:szCs w:val="96"/>
        </w:rPr>
      </w:pPr>
      <w:bookmarkStart w:id="0" w:name="_Toc108545948"/>
      <w:bookmarkStart w:id="1" w:name="_Toc7408"/>
      <w:bookmarkStart w:id="2" w:name="_Toc16779"/>
      <w:bookmarkStart w:id="3" w:name="_Toc19609"/>
      <w:bookmarkStart w:id="4" w:name="_Toc17591"/>
    </w:p>
    <w:p w14:paraId="51CD4AC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pacing w:val="80"/>
          <w:sz w:val="96"/>
          <w:szCs w:val="96"/>
        </w:rPr>
      </w:pPr>
      <w:bookmarkStart w:id="5" w:name="_Toc3011"/>
      <w:bookmarkStart w:id="6" w:name="_Toc3706"/>
      <w:bookmarkStart w:id="7" w:name="_Toc15370"/>
      <w:r>
        <w:rPr>
          <w:rFonts w:hint="eastAsia" w:ascii="仿宋" w:hAnsi="仿宋" w:eastAsia="仿宋" w:cs="仿宋"/>
          <w:b/>
          <w:bCs/>
          <w:color w:val="auto"/>
          <w:spacing w:val="80"/>
          <w:sz w:val="96"/>
          <w:szCs w:val="96"/>
        </w:rPr>
        <w:t>竞争性比选</w:t>
      </w:r>
      <w:bookmarkEnd w:id="0"/>
      <w:bookmarkStart w:id="8" w:name="_Toc108545949"/>
      <w:r>
        <w:rPr>
          <w:rFonts w:hint="eastAsia" w:ascii="仿宋" w:hAnsi="仿宋" w:eastAsia="仿宋" w:cs="仿宋"/>
          <w:b/>
          <w:bCs/>
          <w:color w:val="auto"/>
          <w:spacing w:val="80"/>
          <w:sz w:val="96"/>
          <w:szCs w:val="96"/>
        </w:rPr>
        <w:t>文件</w:t>
      </w:r>
      <w:bookmarkEnd w:id="1"/>
      <w:bookmarkEnd w:id="2"/>
      <w:bookmarkEnd w:id="3"/>
      <w:bookmarkEnd w:id="4"/>
      <w:bookmarkEnd w:id="5"/>
      <w:bookmarkEnd w:id="6"/>
      <w:bookmarkEnd w:id="7"/>
      <w:bookmarkEnd w:id="8"/>
    </w:p>
    <w:p w14:paraId="354A7A1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pacing w:val="80"/>
          <w:sz w:val="44"/>
          <w:szCs w:val="44"/>
        </w:rPr>
      </w:pPr>
    </w:p>
    <w:p w14:paraId="489257A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pacing w:val="80"/>
          <w:sz w:val="44"/>
          <w:szCs w:val="44"/>
        </w:rPr>
      </w:pPr>
    </w:p>
    <w:p w14:paraId="54A37D3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052037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8"/>
          <w:szCs w:val="28"/>
          <w:lang w:val="en-US" w:eastAsia="zh-CN"/>
        </w:rPr>
      </w:pPr>
    </w:p>
    <w:p w14:paraId="7EF089A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32"/>
          <w:szCs w:val="32"/>
        </w:rPr>
      </w:pPr>
    </w:p>
    <w:p w14:paraId="1F8BBC49">
      <w:pPr>
        <w:keepNext w:val="0"/>
        <w:keepLines w:val="0"/>
        <w:pageBreakBefore w:val="0"/>
        <w:kinsoku/>
        <w:overflowPunct/>
        <w:topLinePunct w:val="0"/>
        <w:autoSpaceDE/>
        <w:autoSpaceDN/>
        <w:bidi w:val="0"/>
        <w:adjustRightInd/>
        <w:snapToGrid w:val="0"/>
        <w:spacing w:line="360" w:lineRule="auto"/>
        <w:ind w:firstLine="904" w:firstLineChars="300"/>
        <w:jc w:val="both"/>
        <w:textAlignment w:val="auto"/>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t>项目编号：</w:t>
      </w:r>
      <w:r>
        <w:rPr>
          <w:rFonts w:hint="eastAsia" w:ascii="仿宋" w:hAnsi="仿宋" w:eastAsia="仿宋" w:cs="仿宋"/>
          <w:color w:val="auto"/>
          <w:sz w:val="32"/>
          <w:szCs w:val="32"/>
          <w:highlight w:val="none"/>
          <w:shd w:val="clear" w:color="auto" w:fill="auto"/>
          <w:lang w:eastAsia="zh-CN"/>
        </w:rPr>
        <w:t>CQYB-ZB-【202</w:t>
      </w:r>
      <w:r>
        <w:rPr>
          <w:rFonts w:hint="eastAsia" w:ascii="仿宋" w:hAnsi="仿宋" w:eastAsia="仿宋" w:cs="仿宋"/>
          <w:color w:val="auto"/>
          <w:sz w:val="32"/>
          <w:szCs w:val="32"/>
          <w:highlight w:val="none"/>
          <w:shd w:val="clear" w:color="auto" w:fill="auto"/>
          <w:lang w:val="en-US" w:eastAsia="zh-CN"/>
        </w:rPr>
        <w:t>5</w:t>
      </w:r>
      <w:r>
        <w:rPr>
          <w:rFonts w:hint="eastAsia" w:ascii="仿宋" w:hAnsi="仿宋" w:eastAsia="仿宋" w:cs="仿宋"/>
          <w:color w:val="auto"/>
          <w:sz w:val="32"/>
          <w:szCs w:val="32"/>
          <w:highlight w:val="none"/>
          <w:shd w:val="clear" w:color="auto" w:fill="auto"/>
          <w:lang w:eastAsia="zh-CN"/>
        </w:rPr>
        <w:t>】第</w:t>
      </w:r>
      <w:r>
        <w:rPr>
          <w:rFonts w:hint="eastAsia" w:ascii="仿宋" w:hAnsi="仿宋" w:eastAsia="仿宋" w:cs="仿宋"/>
          <w:color w:val="auto"/>
          <w:sz w:val="32"/>
          <w:szCs w:val="32"/>
          <w:highlight w:val="none"/>
          <w:shd w:val="clear" w:color="auto" w:fill="auto"/>
          <w:lang w:val="en-US" w:eastAsia="zh-CN"/>
        </w:rPr>
        <w:t xml:space="preserve"> 48 </w:t>
      </w:r>
      <w:r>
        <w:rPr>
          <w:rFonts w:hint="eastAsia" w:ascii="仿宋" w:hAnsi="仿宋" w:eastAsia="仿宋" w:cs="仿宋"/>
          <w:color w:val="auto"/>
          <w:sz w:val="32"/>
          <w:szCs w:val="32"/>
          <w:highlight w:val="none"/>
          <w:shd w:val="clear" w:color="auto" w:fill="auto"/>
          <w:lang w:eastAsia="zh-CN"/>
        </w:rPr>
        <w:t>号</w:t>
      </w:r>
    </w:p>
    <w:p w14:paraId="6700E84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eastAsia="zh-CN"/>
        </w:rPr>
        <w:t>重庆市大足区希望小学扩建工程（一标段）电梯</w:t>
      </w:r>
    </w:p>
    <w:p w14:paraId="4D92E97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2"/>
          <w:szCs w:val="22"/>
        </w:rPr>
      </w:pPr>
    </w:p>
    <w:p w14:paraId="63C79E6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kern w:val="2"/>
          <w:sz w:val="32"/>
          <w:szCs w:val="32"/>
        </w:rPr>
      </w:pPr>
    </w:p>
    <w:p w14:paraId="71BC299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kern w:val="2"/>
          <w:sz w:val="32"/>
          <w:szCs w:val="32"/>
        </w:rPr>
      </w:pPr>
    </w:p>
    <w:p w14:paraId="294E5A9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kern w:val="2"/>
          <w:sz w:val="32"/>
          <w:szCs w:val="32"/>
          <w:lang w:eastAsia="zh-CN"/>
        </w:rPr>
      </w:pP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b/>
          <w:bCs/>
          <w:color w:val="auto"/>
          <w:kern w:val="2"/>
          <w:sz w:val="32"/>
          <w:szCs w:val="32"/>
        </w:rPr>
        <w:t>采</w:t>
      </w: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b/>
          <w:bCs/>
          <w:color w:val="auto"/>
          <w:kern w:val="2"/>
          <w:sz w:val="32"/>
          <w:szCs w:val="32"/>
        </w:rPr>
        <w:t>购</w:t>
      </w: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b/>
          <w:bCs/>
          <w:color w:val="auto"/>
          <w:kern w:val="2"/>
          <w:sz w:val="32"/>
          <w:szCs w:val="32"/>
        </w:rPr>
        <w:t>人：</w:t>
      </w:r>
      <w:r>
        <w:rPr>
          <w:rFonts w:hint="eastAsia" w:ascii="仿宋" w:hAnsi="仿宋" w:eastAsia="仿宋" w:cs="仿宋"/>
          <w:b/>
          <w:bCs/>
          <w:color w:val="auto"/>
          <w:sz w:val="32"/>
          <w:szCs w:val="32"/>
          <w:lang w:eastAsia="zh-CN"/>
        </w:rPr>
        <w:t>重庆大足实业发展集团有限公司</w:t>
      </w:r>
    </w:p>
    <w:p w14:paraId="5DC08AC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8"/>
          <w:szCs w:val="28"/>
          <w:lang w:eastAsia="zh-CN"/>
        </w:rPr>
      </w:pPr>
      <w:r>
        <w:rPr>
          <w:rFonts w:hint="eastAsia" w:ascii="仿宋" w:hAnsi="仿宋" w:eastAsia="仿宋" w:cs="仿宋"/>
          <w:b/>
          <w:bCs/>
          <w:color w:val="auto"/>
          <w:sz w:val="32"/>
          <w:szCs w:val="32"/>
        </w:rPr>
        <w:t>采购代理机构：</w:t>
      </w:r>
      <w:r>
        <w:rPr>
          <w:rFonts w:hint="eastAsia" w:ascii="仿宋" w:hAnsi="仿宋" w:eastAsia="仿宋" w:cs="仿宋"/>
          <w:b/>
          <w:bCs/>
          <w:color w:val="auto"/>
          <w:sz w:val="32"/>
          <w:szCs w:val="32"/>
          <w:lang w:eastAsia="zh-CN"/>
        </w:rPr>
        <w:t>重庆翊博项目管理有限公司</w:t>
      </w:r>
    </w:p>
    <w:p w14:paraId="1B10067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32"/>
          <w:szCs w:val="32"/>
        </w:rPr>
      </w:pPr>
    </w:p>
    <w:p w14:paraId="6CB494E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32"/>
          <w:szCs w:val="32"/>
        </w:rPr>
      </w:pPr>
    </w:p>
    <w:p w14:paraId="04B903B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2025</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12</w:t>
      </w:r>
      <w:r>
        <w:rPr>
          <w:rFonts w:hint="eastAsia" w:ascii="仿宋" w:hAnsi="仿宋" w:eastAsia="仿宋" w:cs="仿宋"/>
          <w:b/>
          <w:bCs/>
          <w:color w:val="auto"/>
          <w:sz w:val="32"/>
          <w:szCs w:val="32"/>
        </w:rPr>
        <w:t>月</w:t>
      </w:r>
    </w:p>
    <w:p w14:paraId="7D3A4E63">
      <w:pPr>
        <w:keepNext w:val="0"/>
        <w:keepLines w:val="0"/>
        <w:pageBreakBefore w:val="0"/>
        <w:tabs>
          <w:tab w:val="left" w:pos="1185"/>
          <w:tab w:val="center" w:pos="4156"/>
          <w:tab w:val="left" w:pos="7095"/>
        </w:tabs>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2"/>
          <w:szCs w:val="22"/>
        </w:rPr>
        <w:sectPr>
          <w:headerReference r:id="rId3" w:type="default"/>
          <w:footerReference r:id="rId5" w:type="default"/>
          <w:headerReference r:id="rId4" w:type="even"/>
          <w:footerReference r:id="rId6" w:type="even"/>
          <w:pgSz w:w="11907" w:h="16840"/>
          <w:pgMar w:top="1418" w:right="1134" w:bottom="1418" w:left="1134" w:header="454" w:footer="567" w:gutter="0"/>
          <w:pgNumType w:fmt="numberInDash" w:start="1"/>
          <w:cols w:space="720" w:num="1"/>
          <w:titlePg/>
          <w:docGrid w:type="lines" w:linePitch="381" w:charSpace="-5735"/>
        </w:sectPr>
      </w:pPr>
    </w:p>
    <w:p w14:paraId="7A5D8153">
      <w:pPr>
        <w:keepNext w:val="0"/>
        <w:keepLines w:val="0"/>
        <w:pageBreakBefore w:val="0"/>
        <w:tabs>
          <w:tab w:val="left" w:pos="1185"/>
          <w:tab w:val="center" w:pos="4156"/>
          <w:tab w:val="left" w:pos="7095"/>
        </w:tabs>
        <w:kinsoku/>
        <w:overflowPunct/>
        <w:topLinePunct w:val="0"/>
        <w:autoSpaceDE/>
        <w:autoSpaceDN/>
        <w:bidi w:val="0"/>
        <w:adjustRightInd/>
        <w:snapToGrid w:val="0"/>
        <w:spacing w:line="380" w:lineRule="exact"/>
        <w:jc w:val="center"/>
        <w:textAlignment w:val="auto"/>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目  录</w:t>
      </w:r>
    </w:p>
    <w:p w14:paraId="73DF783D">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color w:val="auto"/>
        </w:rPr>
        <w:instrText xml:space="preserve">TOC \o "1-2" \h \u </w:instrText>
      </w:r>
      <w:r>
        <w:rPr>
          <w:rFonts w:hint="eastAsia" w:ascii="仿宋" w:hAnsi="仿宋" w:eastAsia="仿宋" w:cs="仿宋"/>
          <w:color w:val="auto"/>
        </w:rPr>
        <w:fldChar w:fldCharType="separate"/>
      </w:r>
      <w:r>
        <w:rPr>
          <w:rFonts w:hint="eastAsia" w:ascii="仿宋" w:hAnsi="仿宋" w:eastAsia="仿宋" w:cs="仿宋"/>
          <w:color w:val="auto"/>
        </w:rPr>
        <w:fldChar w:fldCharType="begin"/>
      </w:r>
      <w:r>
        <w:rPr>
          <w:rFonts w:hint="eastAsia" w:ascii="仿宋" w:hAnsi="仿宋" w:eastAsia="仿宋" w:cs="仿宋"/>
        </w:rPr>
        <w:instrText xml:space="preserve"> HYPERLINK \l _Toc2979 </w:instrText>
      </w:r>
      <w:r>
        <w:rPr>
          <w:rFonts w:hint="eastAsia" w:ascii="仿宋" w:hAnsi="仿宋" w:eastAsia="仿宋" w:cs="仿宋"/>
        </w:rPr>
        <w:fldChar w:fldCharType="separate"/>
      </w:r>
      <w:r>
        <w:rPr>
          <w:rFonts w:hint="eastAsia" w:ascii="仿宋" w:hAnsi="仿宋" w:eastAsia="仿宋" w:cs="仿宋"/>
          <w:bCs/>
          <w:szCs w:val="36"/>
        </w:rPr>
        <w:t>第一篇  比选邀请书</w:t>
      </w:r>
      <w:r>
        <w:tab/>
      </w:r>
      <w:r>
        <w:fldChar w:fldCharType="begin"/>
      </w:r>
      <w:r>
        <w:instrText xml:space="preserve"> PAGEREF _Toc2979 \h </w:instrText>
      </w:r>
      <w:r>
        <w:fldChar w:fldCharType="separate"/>
      </w:r>
      <w:r>
        <w:t>- 3 -</w:t>
      </w:r>
      <w:r>
        <w:fldChar w:fldCharType="end"/>
      </w:r>
      <w:r>
        <w:rPr>
          <w:rFonts w:hint="eastAsia" w:ascii="仿宋" w:hAnsi="仿宋" w:eastAsia="仿宋" w:cs="仿宋"/>
          <w:color w:val="auto"/>
        </w:rPr>
        <w:fldChar w:fldCharType="end"/>
      </w:r>
    </w:p>
    <w:p w14:paraId="7E85B88A">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_Toc27652 </w:instrText>
      </w:r>
      <w:r>
        <w:rPr>
          <w:rFonts w:hint="eastAsia" w:ascii="仿宋" w:hAnsi="仿宋" w:eastAsia="仿宋" w:cs="仿宋"/>
        </w:rPr>
        <w:fldChar w:fldCharType="separate"/>
      </w:r>
      <w:r>
        <w:rPr>
          <w:rFonts w:hint="eastAsia" w:ascii="仿宋" w:hAnsi="仿宋" w:eastAsia="仿宋" w:cs="仿宋"/>
          <w:bCs/>
        </w:rPr>
        <w:t>一、比选项目内容</w:t>
      </w:r>
      <w:r>
        <w:tab/>
      </w:r>
      <w:r>
        <w:fldChar w:fldCharType="begin"/>
      </w:r>
      <w:r>
        <w:instrText xml:space="preserve"> PAGEREF _Toc27652 \h </w:instrText>
      </w:r>
      <w:r>
        <w:fldChar w:fldCharType="separate"/>
      </w:r>
      <w:r>
        <w:t>- 3 -</w:t>
      </w:r>
      <w:r>
        <w:fldChar w:fldCharType="end"/>
      </w:r>
      <w:r>
        <w:rPr>
          <w:rFonts w:hint="eastAsia" w:ascii="仿宋" w:hAnsi="仿宋" w:eastAsia="仿宋" w:cs="仿宋"/>
          <w:color w:val="auto"/>
        </w:rPr>
        <w:fldChar w:fldCharType="end"/>
      </w:r>
    </w:p>
    <w:p w14:paraId="53ADA6FA">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_Toc29395 </w:instrText>
      </w:r>
      <w:r>
        <w:rPr>
          <w:rFonts w:hint="eastAsia" w:ascii="仿宋" w:hAnsi="仿宋" w:eastAsia="仿宋" w:cs="仿宋"/>
        </w:rPr>
        <w:fldChar w:fldCharType="separate"/>
      </w:r>
      <w:r>
        <w:rPr>
          <w:rFonts w:hint="eastAsia" w:ascii="仿宋" w:hAnsi="仿宋" w:eastAsia="仿宋" w:cs="仿宋"/>
          <w:bCs/>
        </w:rPr>
        <w:t>二、资金来源</w:t>
      </w:r>
      <w:r>
        <w:tab/>
      </w:r>
      <w:r>
        <w:fldChar w:fldCharType="begin"/>
      </w:r>
      <w:r>
        <w:instrText xml:space="preserve"> PAGEREF _Toc29395 \h </w:instrText>
      </w:r>
      <w:r>
        <w:fldChar w:fldCharType="separate"/>
      </w:r>
      <w:r>
        <w:t>- 3 -</w:t>
      </w:r>
      <w:r>
        <w:fldChar w:fldCharType="end"/>
      </w:r>
      <w:r>
        <w:rPr>
          <w:rFonts w:hint="eastAsia" w:ascii="仿宋" w:hAnsi="仿宋" w:eastAsia="仿宋" w:cs="仿宋"/>
          <w:color w:val="auto"/>
        </w:rPr>
        <w:fldChar w:fldCharType="end"/>
      </w:r>
    </w:p>
    <w:p w14:paraId="468A63FC">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_Toc15936 </w:instrText>
      </w:r>
      <w:r>
        <w:rPr>
          <w:rFonts w:hint="eastAsia" w:ascii="仿宋" w:hAnsi="仿宋" w:eastAsia="仿宋" w:cs="仿宋"/>
        </w:rPr>
        <w:fldChar w:fldCharType="separate"/>
      </w:r>
      <w:r>
        <w:rPr>
          <w:rFonts w:hint="eastAsia" w:ascii="仿宋" w:hAnsi="仿宋" w:eastAsia="仿宋" w:cs="仿宋"/>
          <w:bCs/>
        </w:rPr>
        <w:t>三、资格要求</w:t>
      </w:r>
      <w:r>
        <w:tab/>
      </w:r>
      <w:r>
        <w:fldChar w:fldCharType="begin"/>
      </w:r>
      <w:r>
        <w:instrText xml:space="preserve"> PAGEREF _Toc15936 \h </w:instrText>
      </w:r>
      <w:r>
        <w:fldChar w:fldCharType="separate"/>
      </w:r>
      <w:r>
        <w:t>- 3 -</w:t>
      </w:r>
      <w:r>
        <w:fldChar w:fldCharType="end"/>
      </w:r>
      <w:r>
        <w:rPr>
          <w:rFonts w:hint="eastAsia" w:ascii="仿宋" w:hAnsi="仿宋" w:eastAsia="仿宋" w:cs="仿宋"/>
          <w:color w:val="auto"/>
        </w:rPr>
        <w:fldChar w:fldCharType="end"/>
      </w:r>
    </w:p>
    <w:p w14:paraId="177FD556">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_Toc30044 </w:instrText>
      </w:r>
      <w:r>
        <w:rPr>
          <w:rFonts w:hint="eastAsia" w:ascii="仿宋" w:hAnsi="仿宋" w:eastAsia="仿宋" w:cs="仿宋"/>
        </w:rPr>
        <w:fldChar w:fldCharType="separate"/>
      </w:r>
      <w:r>
        <w:rPr>
          <w:rFonts w:hint="eastAsia" w:ascii="仿宋" w:hAnsi="仿宋" w:eastAsia="仿宋" w:cs="仿宋"/>
          <w:bCs/>
        </w:rPr>
        <w:t>四、比选有关说明</w:t>
      </w:r>
      <w:r>
        <w:tab/>
      </w:r>
      <w:r>
        <w:fldChar w:fldCharType="begin"/>
      </w:r>
      <w:r>
        <w:instrText xml:space="preserve"> PAGEREF _Toc30044 \h </w:instrText>
      </w:r>
      <w:r>
        <w:fldChar w:fldCharType="separate"/>
      </w:r>
      <w:r>
        <w:t>- 4 -</w:t>
      </w:r>
      <w:r>
        <w:fldChar w:fldCharType="end"/>
      </w:r>
      <w:r>
        <w:rPr>
          <w:rFonts w:hint="eastAsia" w:ascii="仿宋" w:hAnsi="仿宋" w:eastAsia="仿宋" w:cs="仿宋"/>
          <w:color w:val="auto"/>
        </w:rPr>
        <w:fldChar w:fldCharType="end"/>
      </w:r>
    </w:p>
    <w:p w14:paraId="74B0355F">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_Toc6413 </w:instrText>
      </w:r>
      <w:r>
        <w:rPr>
          <w:rFonts w:hint="eastAsia" w:ascii="仿宋" w:hAnsi="仿宋" w:eastAsia="仿宋" w:cs="仿宋"/>
        </w:rPr>
        <w:fldChar w:fldCharType="separate"/>
      </w:r>
      <w:r>
        <w:rPr>
          <w:rFonts w:hint="eastAsia" w:ascii="仿宋" w:hAnsi="仿宋" w:eastAsia="仿宋" w:cs="仿宋"/>
          <w:bCs/>
        </w:rPr>
        <w:t>五、比选保证金</w:t>
      </w:r>
      <w:r>
        <w:tab/>
      </w:r>
      <w:r>
        <w:fldChar w:fldCharType="begin"/>
      </w:r>
      <w:r>
        <w:instrText xml:space="preserve"> PAGEREF _Toc6413 \h </w:instrText>
      </w:r>
      <w:r>
        <w:fldChar w:fldCharType="separate"/>
      </w:r>
      <w:r>
        <w:t>- 5 -</w:t>
      </w:r>
      <w:r>
        <w:fldChar w:fldCharType="end"/>
      </w:r>
      <w:r>
        <w:rPr>
          <w:rFonts w:hint="eastAsia" w:ascii="仿宋" w:hAnsi="仿宋" w:eastAsia="仿宋" w:cs="仿宋"/>
          <w:color w:val="auto"/>
        </w:rPr>
        <w:fldChar w:fldCharType="end"/>
      </w:r>
    </w:p>
    <w:p w14:paraId="6EC2250B">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_Toc21340 </w:instrText>
      </w:r>
      <w:r>
        <w:rPr>
          <w:rFonts w:hint="eastAsia" w:ascii="仿宋" w:hAnsi="仿宋" w:eastAsia="仿宋" w:cs="仿宋"/>
        </w:rPr>
        <w:fldChar w:fldCharType="separate"/>
      </w:r>
      <w:r>
        <w:rPr>
          <w:rFonts w:hint="eastAsia" w:ascii="仿宋" w:hAnsi="仿宋" w:eastAsia="仿宋" w:cs="仿宋"/>
          <w:bCs/>
        </w:rPr>
        <w:t>六、比选有关规定</w:t>
      </w:r>
      <w:r>
        <w:tab/>
      </w:r>
      <w:r>
        <w:fldChar w:fldCharType="begin"/>
      </w:r>
      <w:r>
        <w:instrText xml:space="preserve"> PAGEREF _Toc21340 \h </w:instrText>
      </w:r>
      <w:r>
        <w:fldChar w:fldCharType="separate"/>
      </w:r>
      <w:r>
        <w:t>- 6 -</w:t>
      </w:r>
      <w:r>
        <w:fldChar w:fldCharType="end"/>
      </w:r>
      <w:r>
        <w:rPr>
          <w:rFonts w:hint="eastAsia" w:ascii="仿宋" w:hAnsi="仿宋" w:eastAsia="仿宋" w:cs="仿宋"/>
          <w:color w:val="auto"/>
        </w:rPr>
        <w:fldChar w:fldCharType="end"/>
      </w:r>
    </w:p>
    <w:p w14:paraId="7363BD19">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_Toc29438 </w:instrText>
      </w:r>
      <w:r>
        <w:rPr>
          <w:rFonts w:hint="eastAsia" w:ascii="仿宋" w:hAnsi="仿宋" w:eastAsia="仿宋" w:cs="仿宋"/>
        </w:rPr>
        <w:fldChar w:fldCharType="separate"/>
      </w:r>
      <w:r>
        <w:rPr>
          <w:rFonts w:hint="eastAsia" w:ascii="仿宋" w:hAnsi="仿宋" w:eastAsia="仿宋" w:cs="仿宋"/>
          <w:bCs/>
        </w:rPr>
        <w:t>七、联系方式</w:t>
      </w:r>
      <w:r>
        <w:tab/>
      </w:r>
      <w:r>
        <w:fldChar w:fldCharType="begin"/>
      </w:r>
      <w:r>
        <w:instrText xml:space="preserve"> PAGEREF _Toc29438 \h </w:instrText>
      </w:r>
      <w:r>
        <w:fldChar w:fldCharType="separate"/>
      </w:r>
      <w:r>
        <w:t>- 6 -</w:t>
      </w:r>
      <w:r>
        <w:fldChar w:fldCharType="end"/>
      </w:r>
      <w:r>
        <w:rPr>
          <w:rFonts w:hint="eastAsia" w:ascii="仿宋" w:hAnsi="仿宋" w:eastAsia="仿宋" w:cs="仿宋"/>
          <w:color w:val="auto"/>
        </w:rPr>
        <w:fldChar w:fldCharType="end"/>
      </w:r>
    </w:p>
    <w:p w14:paraId="5963F8B1">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_Toc11352 </w:instrText>
      </w:r>
      <w:r>
        <w:rPr>
          <w:rFonts w:hint="eastAsia" w:ascii="仿宋" w:hAnsi="仿宋" w:eastAsia="仿宋" w:cs="仿宋"/>
        </w:rPr>
        <w:fldChar w:fldCharType="separate"/>
      </w:r>
      <w:r>
        <w:rPr>
          <w:rFonts w:hint="eastAsia" w:ascii="仿宋" w:hAnsi="仿宋" w:eastAsia="仿宋" w:cs="仿宋"/>
          <w:bCs/>
          <w:szCs w:val="32"/>
        </w:rPr>
        <w:t>第二篇  项目技术需求</w:t>
      </w:r>
      <w:r>
        <w:tab/>
      </w:r>
      <w:r>
        <w:fldChar w:fldCharType="begin"/>
      </w:r>
      <w:r>
        <w:instrText xml:space="preserve"> PAGEREF _Toc11352 \h </w:instrText>
      </w:r>
      <w:r>
        <w:fldChar w:fldCharType="separate"/>
      </w:r>
      <w:r>
        <w:t>- 8 -</w:t>
      </w:r>
      <w:r>
        <w:fldChar w:fldCharType="end"/>
      </w:r>
      <w:r>
        <w:rPr>
          <w:rFonts w:hint="eastAsia" w:ascii="仿宋" w:hAnsi="仿宋" w:eastAsia="仿宋" w:cs="仿宋"/>
          <w:color w:val="auto"/>
        </w:rPr>
        <w:fldChar w:fldCharType="end"/>
      </w:r>
    </w:p>
    <w:p w14:paraId="4BE135BD">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_Toc27579 </w:instrText>
      </w:r>
      <w:r>
        <w:rPr>
          <w:rFonts w:hint="eastAsia" w:ascii="仿宋" w:hAnsi="仿宋" w:eastAsia="仿宋" w:cs="仿宋"/>
        </w:rPr>
        <w:fldChar w:fldCharType="separate"/>
      </w:r>
      <w:r>
        <w:rPr>
          <w:rFonts w:hint="eastAsia" w:ascii="仿宋" w:hAnsi="仿宋" w:eastAsia="仿宋" w:cs="仿宋"/>
          <w:bCs/>
        </w:rPr>
        <w:t>一、项目基本概况介绍</w:t>
      </w:r>
      <w:r>
        <w:tab/>
      </w:r>
      <w:r>
        <w:fldChar w:fldCharType="begin"/>
      </w:r>
      <w:r>
        <w:instrText xml:space="preserve"> PAGEREF _Toc27579 \h </w:instrText>
      </w:r>
      <w:r>
        <w:fldChar w:fldCharType="separate"/>
      </w:r>
      <w:r>
        <w:t>- 8 -</w:t>
      </w:r>
      <w:r>
        <w:fldChar w:fldCharType="end"/>
      </w:r>
      <w:r>
        <w:rPr>
          <w:rFonts w:hint="eastAsia" w:ascii="仿宋" w:hAnsi="仿宋" w:eastAsia="仿宋" w:cs="仿宋"/>
          <w:color w:val="auto"/>
        </w:rPr>
        <w:fldChar w:fldCharType="end"/>
      </w:r>
    </w:p>
    <w:p w14:paraId="0AF9B8C4">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_Toc3757 </w:instrText>
      </w:r>
      <w:r>
        <w:rPr>
          <w:rFonts w:hint="eastAsia" w:ascii="仿宋" w:hAnsi="仿宋" w:eastAsia="仿宋" w:cs="仿宋"/>
        </w:rPr>
        <w:fldChar w:fldCharType="separate"/>
      </w:r>
      <w:r>
        <w:rPr>
          <w:rFonts w:hint="eastAsia" w:ascii="仿宋" w:hAnsi="仿宋" w:eastAsia="仿宋" w:cs="仿宋"/>
          <w:bCs/>
        </w:rPr>
        <w:t>二、技术要求</w:t>
      </w:r>
      <w:r>
        <w:tab/>
      </w:r>
      <w:r>
        <w:fldChar w:fldCharType="begin"/>
      </w:r>
      <w:r>
        <w:instrText xml:space="preserve"> PAGEREF _Toc3757 \h </w:instrText>
      </w:r>
      <w:r>
        <w:fldChar w:fldCharType="separate"/>
      </w:r>
      <w:r>
        <w:t>- 8 -</w:t>
      </w:r>
      <w:r>
        <w:fldChar w:fldCharType="end"/>
      </w:r>
      <w:r>
        <w:rPr>
          <w:rFonts w:hint="eastAsia" w:ascii="仿宋" w:hAnsi="仿宋" w:eastAsia="仿宋" w:cs="仿宋"/>
          <w:color w:val="auto"/>
        </w:rPr>
        <w:fldChar w:fldCharType="end"/>
      </w:r>
    </w:p>
    <w:p w14:paraId="5FFD25FD">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_Toc22584 </w:instrText>
      </w:r>
      <w:r>
        <w:rPr>
          <w:rFonts w:hint="eastAsia" w:ascii="仿宋" w:hAnsi="仿宋" w:eastAsia="仿宋" w:cs="仿宋"/>
        </w:rPr>
        <w:fldChar w:fldCharType="separate"/>
      </w:r>
      <w:r>
        <w:rPr>
          <w:rFonts w:hint="eastAsia" w:ascii="仿宋" w:hAnsi="仿宋" w:eastAsia="仿宋" w:cs="仿宋"/>
          <w:bCs/>
          <w:szCs w:val="32"/>
        </w:rPr>
        <w:t>第三篇  项目商务需求</w:t>
      </w:r>
      <w:r>
        <w:tab/>
      </w:r>
      <w:r>
        <w:fldChar w:fldCharType="begin"/>
      </w:r>
      <w:r>
        <w:instrText xml:space="preserve"> PAGEREF _Toc22584 \h </w:instrText>
      </w:r>
      <w:r>
        <w:fldChar w:fldCharType="separate"/>
      </w:r>
      <w:r>
        <w:t>- 11 -</w:t>
      </w:r>
      <w:r>
        <w:fldChar w:fldCharType="end"/>
      </w:r>
      <w:r>
        <w:rPr>
          <w:rFonts w:hint="eastAsia" w:ascii="仿宋" w:hAnsi="仿宋" w:eastAsia="仿宋" w:cs="仿宋"/>
          <w:color w:val="auto"/>
        </w:rPr>
        <w:fldChar w:fldCharType="end"/>
      </w:r>
    </w:p>
    <w:p w14:paraId="3C2A77BA">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_Toc9056 </w:instrText>
      </w:r>
      <w:r>
        <w:rPr>
          <w:rFonts w:hint="eastAsia" w:ascii="仿宋" w:hAnsi="仿宋" w:eastAsia="仿宋" w:cs="仿宋"/>
        </w:rPr>
        <w:fldChar w:fldCharType="separate"/>
      </w:r>
      <w:r>
        <w:rPr>
          <w:rFonts w:hint="eastAsia" w:ascii="仿宋" w:hAnsi="仿宋" w:eastAsia="仿宋" w:cs="仿宋"/>
          <w:bCs/>
        </w:rPr>
        <w:t>一、</w:t>
      </w:r>
      <w:r>
        <w:rPr>
          <w:rFonts w:hint="eastAsia" w:ascii="仿宋" w:hAnsi="仿宋" w:eastAsia="仿宋" w:cs="仿宋"/>
          <w:bCs/>
          <w:lang w:eastAsia="zh-CN"/>
        </w:rPr>
        <w:t>供货期、供货地点及验收方式</w:t>
      </w:r>
      <w:r>
        <w:tab/>
      </w:r>
      <w:r>
        <w:fldChar w:fldCharType="begin"/>
      </w:r>
      <w:r>
        <w:instrText xml:space="preserve"> PAGEREF _Toc9056 \h </w:instrText>
      </w:r>
      <w:r>
        <w:fldChar w:fldCharType="separate"/>
      </w:r>
      <w:r>
        <w:t>- 11 -</w:t>
      </w:r>
      <w:r>
        <w:fldChar w:fldCharType="end"/>
      </w:r>
      <w:r>
        <w:rPr>
          <w:rFonts w:hint="eastAsia" w:ascii="仿宋" w:hAnsi="仿宋" w:eastAsia="仿宋" w:cs="仿宋"/>
          <w:color w:val="auto"/>
        </w:rPr>
        <w:fldChar w:fldCharType="end"/>
      </w:r>
    </w:p>
    <w:p w14:paraId="2D6CEBDD">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_Toc19906 </w:instrText>
      </w:r>
      <w:r>
        <w:rPr>
          <w:rFonts w:hint="eastAsia" w:ascii="仿宋" w:hAnsi="仿宋" w:eastAsia="仿宋" w:cs="仿宋"/>
        </w:rPr>
        <w:fldChar w:fldCharType="separate"/>
      </w:r>
      <w:r>
        <w:rPr>
          <w:rFonts w:hint="eastAsia" w:ascii="仿宋" w:hAnsi="仿宋" w:eastAsia="仿宋" w:cs="仿宋"/>
          <w:bCs/>
        </w:rPr>
        <w:t>二、比选报价要求</w:t>
      </w:r>
      <w:r>
        <w:tab/>
      </w:r>
      <w:r>
        <w:fldChar w:fldCharType="begin"/>
      </w:r>
      <w:r>
        <w:instrText xml:space="preserve"> PAGEREF _Toc19906 \h </w:instrText>
      </w:r>
      <w:r>
        <w:fldChar w:fldCharType="separate"/>
      </w:r>
      <w:r>
        <w:t>- 12 -</w:t>
      </w:r>
      <w:r>
        <w:fldChar w:fldCharType="end"/>
      </w:r>
      <w:r>
        <w:rPr>
          <w:rFonts w:hint="eastAsia" w:ascii="仿宋" w:hAnsi="仿宋" w:eastAsia="仿宋" w:cs="仿宋"/>
          <w:color w:val="auto"/>
        </w:rPr>
        <w:fldChar w:fldCharType="end"/>
      </w:r>
    </w:p>
    <w:p w14:paraId="32F09220">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_Toc24954 </w:instrText>
      </w:r>
      <w:r>
        <w:rPr>
          <w:rFonts w:hint="eastAsia" w:ascii="仿宋" w:hAnsi="仿宋" w:eastAsia="仿宋" w:cs="仿宋"/>
        </w:rPr>
        <w:fldChar w:fldCharType="separate"/>
      </w:r>
      <w:r>
        <w:rPr>
          <w:rFonts w:hint="eastAsia" w:ascii="仿宋" w:hAnsi="仿宋" w:eastAsia="仿宋" w:cs="仿宋"/>
          <w:bCs/>
        </w:rPr>
        <w:t>三、质量保证及售后服务</w:t>
      </w:r>
      <w:r>
        <w:tab/>
      </w:r>
      <w:r>
        <w:fldChar w:fldCharType="begin"/>
      </w:r>
      <w:r>
        <w:instrText xml:space="preserve"> PAGEREF _Toc24954 \h </w:instrText>
      </w:r>
      <w:r>
        <w:fldChar w:fldCharType="separate"/>
      </w:r>
      <w:r>
        <w:t>- 12 -</w:t>
      </w:r>
      <w:r>
        <w:fldChar w:fldCharType="end"/>
      </w:r>
      <w:r>
        <w:rPr>
          <w:rFonts w:hint="eastAsia" w:ascii="仿宋" w:hAnsi="仿宋" w:eastAsia="仿宋" w:cs="仿宋"/>
          <w:color w:val="auto"/>
        </w:rPr>
        <w:fldChar w:fldCharType="end"/>
      </w:r>
    </w:p>
    <w:p w14:paraId="6F1E9857">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_Toc2660 </w:instrText>
      </w:r>
      <w:r>
        <w:rPr>
          <w:rFonts w:hint="eastAsia" w:ascii="仿宋" w:hAnsi="仿宋" w:eastAsia="仿宋" w:cs="仿宋"/>
        </w:rPr>
        <w:fldChar w:fldCharType="separate"/>
      </w:r>
      <w:r>
        <w:rPr>
          <w:rFonts w:hint="eastAsia" w:ascii="仿宋" w:hAnsi="仿宋" w:eastAsia="仿宋" w:cs="仿宋"/>
          <w:bCs/>
        </w:rPr>
        <w:t>四、付款方式</w:t>
      </w:r>
      <w:r>
        <w:tab/>
      </w:r>
      <w:r>
        <w:fldChar w:fldCharType="begin"/>
      </w:r>
      <w:r>
        <w:instrText xml:space="preserve"> PAGEREF _Toc2660 \h </w:instrText>
      </w:r>
      <w:r>
        <w:fldChar w:fldCharType="separate"/>
      </w:r>
      <w:r>
        <w:t>- 13 -</w:t>
      </w:r>
      <w:r>
        <w:fldChar w:fldCharType="end"/>
      </w:r>
      <w:r>
        <w:rPr>
          <w:rFonts w:hint="eastAsia" w:ascii="仿宋" w:hAnsi="仿宋" w:eastAsia="仿宋" w:cs="仿宋"/>
          <w:color w:val="auto"/>
        </w:rPr>
        <w:fldChar w:fldCharType="end"/>
      </w:r>
    </w:p>
    <w:p w14:paraId="23070ECE">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_Toc19810 </w:instrText>
      </w:r>
      <w:r>
        <w:rPr>
          <w:rFonts w:hint="eastAsia" w:ascii="仿宋" w:hAnsi="仿宋" w:eastAsia="仿宋" w:cs="仿宋"/>
        </w:rPr>
        <w:fldChar w:fldCharType="separate"/>
      </w:r>
      <w:r>
        <w:rPr>
          <w:rFonts w:hint="eastAsia" w:ascii="仿宋" w:hAnsi="仿宋" w:eastAsia="仿宋" w:cs="仿宋"/>
          <w:bCs/>
        </w:rPr>
        <w:t>五、知识产权</w:t>
      </w:r>
      <w:r>
        <w:tab/>
      </w:r>
      <w:r>
        <w:fldChar w:fldCharType="begin"/>
      </w:r>
      <w:r>
        <w:instrText xml:space="preserve"> PAGEREF _Toc19810 \h </w:instrText>
      </w:r>
      <w:r>
        <w:fldChar w:fldCharType="separate"/>
      </w:r>
      <w:r>
        <w:t>- 13 -</w:t>
      </w:r>
      <w:r>
        <w:fldChar w:fldCharType="end"/>
      </w:r>
      <w:r>
        <w:rPr>
          <w:rFonts w:hint="eastAsia" w:ascii="仿宋" w:hAnsi="仿宋" w:eastAsia="仿宋" w:cs="仿宋"/>
          <w:color w:val="auto"/>
        </w:rPr>
        <w:fldChar w:fldCharType="end"/>
      </w:r>
    </w:p>
    <w:p w14:paraId="12275B69">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_Toc19816 </w:instrText>
      </w:r>
      <w:r>
        <w:rPr>
          <w:rFonts w:hint="eastAsia" w:ascii="仿宋" w:hAnsi="仿宋" w:eastAsia="仿宋" w:cs="仿宋"/>
        </w:rPr>
        <w:fldChar w:fldCharType="separate"/>
      </w:r>
      <w:r>
        <w:rPr>
          <w:rFonts w:hint="eastAsia" w:ascii="仿宋" w:hAnsi="仿宋" w:eastAsia="仿宋" w:cs="仿宋"/>
          <w:bCs/>
        </w:rPr>
        <w:t>六、培训</w:t>
      </w:r>
      <w:r>
        <w:tab/>
      </w:r>
      <w:r>
        <w:fldChar w:fldCharType="begin"/>
      </w:r>
      <w:r>
        <w:instrText xml:space="preserve"> PAGEREF _Toc19816 \h </w:instrText>
      </w:r>
      <w:r>
        <w:fldChar w:fldCharType="separate"/>
      </w:r>
      <w:r>
        <w:t>- 13 -</w:t>
      </w:r>
      <w:r>
        <w:fldChar w:fldCharType="end"/>
      </w:r>
      <w:r>
        <w:rPr>
          <w:rFonts w:hint="eastAsia" w:ascii="仿宋" w:hAnsi="仿宋" w:eastAsia="仿宋" w:cs="仿宋"/>
          <w:color w:val="auto"/>
        </w:rPr>
        <w:fldChar w:fldCharType="end"/>
      </w:r>
    </w:p>
    <w:p w14:paraId="6A2A36E8">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_Toc11205 </w:instrText>
      </w:r>
      <w:r>
        <w:rPr>
          <w:rFonts w:hint="eastAsia" w:ascii="仿宋" w:hAnsi="仿宋" w:eastAsia="仿宋" w:cs="仿宋"/>
        </w:rPr>
        <w:fldChar w:fldCharType="separate"/>
      </w:r>
      <w:r>
        <w:rPr>
          <w:rFonts w:hint="eastAsia" w:ascii="仿宋" w:hAnsi="仿宋" w:eastAsia="仿宋" w:cs="仿宋"/>
          <w:bCs/>
        </w:rPr>
        <w:t>七、附件、图纸及包装要求</w:t>
      </w:r>
      <w:r>
        <w:tab/>
      </w:r>
      <w:r>
        <w:fldChar w:fldCharType="begin"/>
      </w:r>
      <w:r>
        <w:instrText xml:space="preserve"> PAGEREF _Toc11205 \h </w:instrText>
      </w:r>
      <w:r>
        <w:fldChar w:fldCharType="separate"/>
      </w:r>
      <w:r>
        <w:t>- 13 -</w:t>
      </w:r>
      <w:r>
        <w:fldChar w:fldCharType="end"/>
      </w:r>
      <w:r>
        <w:rPr>
          <w:rFonts w:hint="eastAsia" w:ascii="仿宋" w:hAnsi="仿宋" w:eastAsia="仿宋" w:cs="仿宋"/>
          <w:color w:val="auto"/>
        </w:rPr>
        <w:fldChar w:fldCharType="end"/>
      </w:r>
    </w:p>
    <w:p w14:paraId="1E532C96">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_Toc2315 </w:instrText>
      </w:r>
      <w:r>
        <w:rPr>
          <w:rFonts w:hint="eastAsia" w:ascii="仿宋" w:hAnsi="仿宋" w:eastAsia="仿宋" w:cs="仿宋"/>
        </w:rPr>
        <w:fldChar w:fldCharType="separate"/>
      </w:r>
      <w:r>
        <w:rPr>
          <w:rFonts w:hint="eastAsia" w:ascii="仿宋" w:hAnsi="仿宋" w:eastAsia="仿宋" w:cs="仿宋"/>
          <w:bCs/>
          <w:szCs w:val="32"/>
        </w:rPr>
        <w:t>第四篇  比选程序、评审标准、无效响应及比选终止</w:t>
      </w:r>
      <w:r>
        <w:tab/>
      </w:r>
      <w:r>
        <w:fldChar w:fldCharType="begin"/>
      </w:r>
      <w:r>
        <w:instrText xml:space="preserve"> PAGEREF _Toc2315 \h </w:instrText>
      </w:r>
      <w:r>
        <w:fldChar w:fldCharType="separate"/>
      </w:r>
      <w:r>
        <w:t>- 14 -</w:t>
      </w:r>
      <w:r>
        <w:fldChar w:fldCharType="end"/>
      </w:r>
      <w:r>
        <w:rPr>
          <w:rFonts w:hint="eastAsia" w:ascii="仿宋" w:hAnsi="仿宋" w:eastAsia="仿宋" w:cs="仿宋"/>
          <w:color w:val="auto"/>
        </w:rPr>
        <w:fldChar w:fldCharType="end"/>
      </w:r>
    </w:p>
    <w:p w14:paraId="5981F70D">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_Toc3350 </w:instrText>
      </w:r>
      <w:r>
        <w:rPr>
          <w:rFonts w:hint="eastAsia" w:ascii="仿宋" w:hAnsi="仿宋" w:eastAsia="仿宋" w:cs="仿宋"/>
        </w:rPr>
        <w:fldChar w:fldCharType="separate"/>
      </w:r>
      <w:r>
        <w:rPr>
          <w:rFonts w:hint="eastAsia" w:ascii="仿宋" w:hAnsi="仿宋" w:eastAsia="仿宋" w:cs="仿宋"/>
          <w:bCs/>
        </w:rPr>
        <w:t>一、比选程序及方法</w:t>
      </w:r>
      <w:r>
        <w:tab/>
      </w:r>
      <w:r>
        <w:fldChar w:fldCharType="begin"/>
      </w:r>
      <w:r>
        <w:instrText xml:space="preserve"> PAGEREF _Toc3350 \h </w:instrText>
      </w:r>
      <w:r>
        <w:fldChar w:fldCharType="separate"/>
      </w:r>
      <w:r>
        <w:t>- 14 -</w:t>
      </w:r>
      <w:r>
        <w:fldChar w:fldCharType="end"/>
      </w:r>
      <w:r>
        <w:rPr>
          <w:rFonts w:hint="eastAsia" w:ascii="仿宋" w:hAnsi="仿宋" w:eastAsia="仿宋" w:cs="仿宋"/>
          <w:color w:val="auto"/>
        </w:rPr>
        <w:fldChar w:fldCharType="end"/>
      </w:r>
    </w:p>
    <w:p w14:paraId="79773EAD">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_Toc24213 </w:instrText>
      </w:r>
      <w:r>
        <w:rPr>
          <w:rFonts w:hint="eastAsia" w:ascii="仿宋" w:hAnsi="仿宋" w:eastAsia="仿宋" w:cs="仿宋"/>
        </w:rPr>
        <w:fldChar w:fldCharType="separate"/>
      </w:r>
      <w:r>
        <w:rPr>
          <w:rFonts w:hint="eastAsia" w:ascii="仿宋" w:hAnsi="仿宋" w:eastAsia="仿宋" w:cs="仿宋"/>
          <w:bCs/>
        </w:rPr>
        <w:t>二、评审标准</w:t>
      </w:r>
      <w:r>
        <w:tab/>
      </w:r>
      <w:r>
        <w:fldChar w:fldCharType="begin"/>
      </w:r>
      <w:r>
        <w:instrText xml:space="preserve"> PAGEREF _Toc24213 \h </w:instrText>
      </w:r>
      <w:r>
        <w:fldChar w:fldCharType="separate"/>
      </w:r>
      <w:r>
        <w:t>- 16 -</w:t>
      </w:r>
      <w:r>
        <w:fldChar w:fldCharType="end"/>
      </w:r>
      <w:r>
        <w:rPr>
          <w:rFonts w:hint="eastAsia" w:ascii="仿宋" w:hAnsi="仿宋" w:eastAsia="仿宋" w:cs="仿宋"/>
          <w:color w:val="auto"/>
        </w:rPr>
        <w:fldChar w:fldCharType="end"/>
      </w:r>
    </w:p>
    <w:p w14:paraId="5C05BB87">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_Toc32165 </w:instrText>
      </w:r>
      <w:r>
        <w:rPr>
          <w:rFonts w:hint="eastAsia" w:ascii="仿宋" w:hAnsi="仿宋" w:eastAsia="仿宋" w:cs="仿宋"/>
        </w:rPr>
        <w:fldChar w:fldCharType="separate"/>
      </w:r>
      <w:r>
        <w:rPr>
          <w:rFonts w:hint="eastAsia" w:ascii="仿宋" w:hAnsi="仿宋" w:eastAsia="仿宋" w:cs="仿宋"/>
          <w:bCs/>
        </w:rPr>
        <w:t>三、无效响应</w:t>
      </w:r>
      <w:r>
        <w:tab/>
      </w:r>
      <w:r>
        <w:fldChar w:fldCharType="begin"/>
      </w:r>
      <w:r>
        <w:instrText xml:space="preserve"> PAGEREF _Toc32165 \h </w:instrText>
      </w:r>
      <w:r>
        <w:fldChar w:fldCharType="separate"/>
      </w:r>
      <w:r>
        <w:t>- 17 -</w:t>
      </w:r>
      <w:r>
        <w:fldChar w:fldCharType="end"/>
      </w:r>
      <w:r>
        <w:rPr>
          <w:rFonts w:hint="eastAsia" w:ascii="仿宋" w:hAnsi="仿宋" w:eastAsia="仿宋" w:cs="仿宋"/>
          <w:color w:val="auto"/>
        </w:rPr>
        <w:fldChar w:fldCharType="end"/>
      </w:r>
    </w:p>
    <w:p w14:paraId="26FE7635">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_Toc8314 </w:instrText>
      </w:r>
      <w:r>
        <w:rPr>
          <w:rFonts w:hint="eastAsia" w:ascii="仿宋" w:hAnsi="仿宋" w:eastAsia="仿宋" w:cs="仿宋"/>
        </w:rPr>
        <w:fldChar w:fldCharType="separate"/>
      </w:r>
      <w:r>
        <w:rPr>
          <w:rFonts w:hint="eastAsia" w:ascii="仿宋" w:hAnsi="仿宋" w:eastAsia="仿宋" w:cs="仿宋"/>
          <w:bCs/>
        </w:rPr>
        <w:t>四、比选终止</w:t>
      </w:r>
      <w:r>
        <w:tab/>
      </w:r>
      <w:r>
        <w:fldChar w:fldCharType="begin"/>
      </w:r>
      <w:r>
        <w:instrText xml:space="preserve"> PAGEREF _Toc8314 \h </w:instrText>
      </w:r>
      <w:r>
        <w:fldChar w:fldCharType="separate"/>
      </w:r>
      <w:r>
        <w:t>- 18 -</w:t>
      </w:r>
      <w:r>
        <w:fldChar w:fldCharType="end"/>
      </w:r>
      <w:r>
        <w:rPr>
          <w:rFonts w:hint="eastAsia" w:ascii="仿宋" w:hAnsi="仿宋" w:eastAsia="仿宋" w:cs="仿宋"/>
          <w:color w:val="auto"/>
        </w:rPr>
        <w:fldChar w:fldCharType="end"/>
      </w:r>
    </w:p>
    <w:p w14:paraId="510AF69A">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_Toc18400 </w:instrText>
      </w:r>
      <w:r>
        <w:rPr>
          <w:rFonts w:hint="eastAsia" w:ascii="仿宋" w:hAnsi="仿宋" w:eastAsia="仿宋" w:cs="仿宋"/>
        </w:rPr>
        <w:fldChar w:fldCharType="separate"/>
      </w:r>
      <w:r>
        <w:rPr>
          <w:rFonts w:hint="eastAsia" w:ascii="仿宋" w:hAnsi="仿宋" w:eastAsia="仿宋" w:cs="仿宋"/>
          <w:szCs w:val="32"/>
        </w:rPr>
        <w:t>第五篇  供应商须知</w:t>
      </w:r>
      <w:r>
        <w:tab/>
      </w:r>
      <w:r>
        <w:fldChar w:fldCharType="begin"/>
      </w:r>
      <w:r>
        <w:instrText xml:space="preserve"> PAGEREF _Toc18400 \h </w:instrText>
      </w:r>
      <w:r>
        <w:fldChar w:fldCharType="separate"/>
      </w:r>
      <w:r>
        <w:t>- 19 -</w:t>
      </w:r>
      <w:r>
        <w:fldChar w:fldCharType="end"/>
      </w:r>
      <w:r>
        <w:rPr>
          <w:rFonts w:hint="eastAsia" w:ascii="仿宋" w:hAnsi="仿宋" w:eastAsia="仿宋" w:cs="仿宋"/>
          <w:color w:val="auto"/>
        </w:rPr>
        <w:fldChar w:fldCharType="end"/>
      </w:r>
    </w:p>
    <w:p w14:paraId="6544027C">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_Toc12842 </w:instrText>
      </w:r>
      <w:r>
        <w:rPr>
          <w:rFonts w:hint="eastAsia" w:ascii="仿宋" w:hAnsi="仿宋" w:eastAsia="仿宋" w:cs="仿宋"/>
        </w:rPr>
        <w:fldChar w:fldCharType="separate"/>
      </w:r>
      <w:r>
        <w:rPr>
          <w:rFonts w:hint="eastAsia" w:ascii="仿宋" w:hAnsi="仿宋" w:eastAsia="仿宋" w:cs="仿宋"/>
        </w:rPr>
        <w:t>一、比选费用</w:t>
      </w:r>
      <w:r>
        <w:tab/>
      </w:r>
      <w:r>
        <w:fldChar w:fldCharType="begin"/>
      </w:r>
      <w:r>
        <w:instrText xml:space="preserve"> PAGEREF _Toc12842 \h </w:instrText>
      </w:r>
      <w:r>
        <w:fldChar w:fldCharType="separate"/>
      </w:r>
      <w:r>
        <w:t>- 19 -</w:t>
      </w:r>
      <w:r>
        <w:fldChar w:fldCharType="end"/>
      </w:r>
      <w:r>
        <w:rPr>
          <w:rFonts w:hint="eastAsia" w:ascii="仿宋" w:hAnsi="仿宋" w:eastAsia="仿宋" w:cs="仿宋"/>
          <w:color w:val="auto"/>
        </w:rPr>
        <w:fldChar w:fldCharType="end"/>
      </w:r>
    </w:p>
    <w:p w14:paraId="7DEA9ACA">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_Toc24901 </w:instrText>
      </w:r>
      <w:r>
        <w:rPr>
          <w:rFonts w:hint="eastAsia" w:ascii="仿宋" w:hAnsi="仿宋" w:eastAsia="仿宋" w:cs="仿宋"/>
        </w:rPr>
        <w:fldChar w:fldCharType="separate"/>
      </w:r>
      <w:r>
        <w:rPr>
          <w:rFonts w:hint="eastAsia" w:ascii="仿宋" w:hAnsi="仿宋" w:eastAsia="仿宋" w:cs="仿宋"/>
        </w:rPr>
        <w:t>二、竞争性比选文件</w:t>
      </w:r>
      <w:r>
        <w:tab/>
      </w:r>
      <w:r>
        <w:fldChar w:fldCharType="begin"/>
      </w:r>
      <w:r>
        <w:instrText xml:space="preserve"> PAGEREF _Toc24901 \h </w:instrText>
      </w:r>
      <w:r>
        <w:fldChar w:fldCharType="separate"/>
      </w:r>
      <w:r>
        <w:t>- 19 -</w:t>
      </w:r>
      <w:r>
        <w:fldChar w:fldCharType="end"/>
      </w:r>
      <w:r>
        <w:rPr>
          <w:rFonts w:hint="eastAsia" w:ascii="仿宋" w:hAnsi="仿宋" w:eastAsia="仿宋" w:cs="仿宋"/>
          <w:color w:val="auto"/>
        </w:rPr>
        <w:fldChar w:fldCharType="end"/>
      </w:r>
    </w:p>
    <w:p w14:paraId="08DBC113">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_Toc7099 </w:instrText>
      </w:r>
      <w:r>
        <w:rPr>
          <w:rFonts w:hint="eastAsia" w:ascii="仿宋" w:hAnsi="仿宋" w:eastAsia="仿宋" w:cs="仿宋"/>
        </w:rPr>
        <w:fldChar w:fldCharType="separate"/>
      </w:r>
      <w:r>
        <w:rPr>
          <w:rFonts w:hint="eastAsia" w:ascii="仿宋" w:hAnsi="仿宋" w:eastAsia="仿宋" w:cs="仿宋"/>
        </w:rPr>
        <w:t>三、比选要求</w:t>
      </w:r>
      <w:r>
        <w:tab/>
      </w:r>
      <w:r>
        <w:fldChar w:fldCharType="begin"/>
      </w:r>
      <w:r>
        <w:instrText xml:space="preserve"> PAGEREF _Toc7099 \h </w:instrText>
      </w:r>
      <w:r>
        <w:fldChar w:fldCharType="separate"/>
      </w:r>
      <w:r>
        <w:t>- 19 -</w:t>
      </w:r>
      <w:r>
        <w:fldChar w:fldCharType="end"/>
      </w:r>
      <w:r>
        <w:rPr>
          <w:rFonts w:hint="eastAsia" w:ascii="仿宋" w:hAnsi="仿宋" w:eastAsia="仿宋" w:cs="仿宋"/>
          <w:color w:val="auto"/>
        </w:rPr>
        <w:fldChar w:fldCharType="end"/>
      </w:r>
    </w:p>
    <w:p w14:paraId="304DB137">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_Toc8185 </w:instrText>
      </w:r>
      <w:r>
        <w:rPr>
          <w:rFonts w:hint="eastAsia" w:ascii="仿宋" w:hAnsi="仿宋" w:eastAsia="仿宋" w:cs="仿宋"/>
        </w:rPr>
        <w:fldChar w:fldCharType="separate"/>
      </w:r>
      <w:r>
        <w:rPr>
          <w:rFonts w:hint="eastAsia" w:ascii="仿宋" w:hAnsi="仿宋" w:eastAsia="仿宋" w:cs="仿宋"/>
          <w:bCs/>
          <w:szCs w:val="32"/>
          <w:lang w:val="en-US" w:eastAsia="zh-CN"/>
        </w:rPr>
        <w:t>第六篇  技术图纸</w:t>
      </w:r>
      <w:r>
        <w:tab/>
      </w:r>
      <w:r>
        <w:fldChar w:fldCharType="begin"/>
      </w:r>
      <w:r>
        <w:instrText xml:space="preserve"> PAGEREF _Toc8185 \h </w:instrText>
      </w:r>
      <w:r>
        <w:fldChar w:fldCharType="separate"/>
      </w:r>
      <w:r>
        <w:t>- 23 -</w:t>
      </w:r>
      <w:r>
        <w:fldChar w:fldCharType="end"/>
      </w:r>
      <w:r>
        <w:rPr>
          <w:rFonts w:hint="eastAsia" w:ascii="仿宋" w:hAnsi="仿宋" w:eastAsia="仿宋" w:cs="仿宋"/>
          <w:color w:val="auto"/>
        </w:rPr>
        <w:fldChar w:fldCharType="end"/>
      </w:r>
    </w:p>
    <w:p w14:paraId="5D9747DB">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_Toc6036 </w:instrText>
      </w:r>
      <w:r>
        <w:rPr>
          <w:rFonts w:hint="eastAsia" w:ascii="仿宋" w:hAnsi="仿宋" w:eastAsia="仿宋" w:cs="仿宋"/>
        </w:rPr>
        <w:fldChar w:fldCharType="separate"/>
      </w:r>
      <w:r>
        <w:rPr>
          <w:rFonts w:hint="eastAsia" w:ascii="仿宋" w:hAnsi="仿宋" w:eastAsia="仿宋" w:cs="仿宋"/>
          <w:bCs/>
          <w:szCs w:val="32"/>
        </w:rPr>
        <w:t>第</w:t>
      </w:r>
      <w:r>
        <w:rPr>
          <w:rFonts w:hint="eastAsia" w:ascii="仿宋" w:hAnsi="仿宋" w:eastAsia="仿宋" w:cs="仿宋"/>
          <w:bCs/>
          <w:szCs w:val="32"/>
          <w:lang w:val="en-US" w:eastAsia="zh-CN"/>
        </w:rPr>
        <w:t>七</w:t>
      </w:r>
      <w:r>
        <w:rPr>
          <w:rFonts w:hint="eastAsia" w:ascii="仿宋" w:hAnsi="仿宋" w:eastAsia="仿宋" w:cs="仿宋"/>
          <w:bCs/>
          <w:szCs w:val="32"/>
        </w:rPr>
        <w:t xml:space="preserve">篇  </w:t>
      </w:r>
      <w:r>
        <w:rPr>
          <w:rFonts w:hint="eastAsia" w:ascii="仿宋" w:hAnsi="仿宋" w:eastAsia="仿宋" w:cs="仿宋"/>
          <w:bCs/>
          <w:szCs w:val="32"/>
          <w:lang w:val="en-US" w:eastAsia="zh-CN"/>
        </w:rPr>
        <w:t>合同草案条款</w:t>
      </w:r>
      <w:r>
        <w:tab/>
      </w:r>
      <w:r>
        <w:fldChar w:fldCharType="begin"/>
      </w:r>
      <w:r>
        <w:instrText xml:space="preserve"> PAGEREF _Toc6036 \h </w:instrText>
      </w:r>
      <w:r>
        <w:fldChar w:fldCharType="separate"/>
      </w:r>
      <w:r>
        <w:t>- 24 -</w:t>
      </w:r>
      <w:r>
        <w:fldChar w:fldCharType="end"/>
      </w:r>
      <w:r>
        <w:rPr>
          <w:rFonts w:hint="eastAsia" w:ascii="仿宋" w:hAnsi="仿宋" w:eastAsia="仿宋" w:cs="仿宋"/>
          <w:color w:val="auto"/>
        </w:rPr>
        <w:fldChar w:fldCharType="end"/>
      </w:r>
    </w:p>
    <w:p w14:paraId="48D30160">
      <w:pPr>
        <w:pStyle w:val="18"/>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_Toc1583 </w:instrText>
      </w:r>
      <w:r>
        <w:rPr>
          <w:rFonts w:hint="eastAsia" w:ascii="仿宋" w:hAnsi="仿宋" w:eastAsia="仿宋" w:cs="仿宋"/>
        </w:rPr>
        <w:fldChar w:fldCharType="separate"/>
      </w:r>
      <w:r>
        <w:rPr>
          <w:rFonts w:hint="eastAsia" w:ascii="仿宋" w:hAnsi="仿宋" w:eastAsia="仿宋" w:cs="仿宋"/>
          <w:bCs/>
          <w:szCs w:val="32"/>
          <w:lang w:eastAsia="zh-CN"/>
        </w:rPr>
        <w:t>第八篇</w:t>
      </w:r>
      <w:r>
        <w:rPr>
          <w:rFonts w:hint="eastAsia" w:ascii="仿宋" w:hAnsi="仿宋" w:eastAsia="仿宋" w:cs="仿宋"/>
          <w:bCs/>
          <w:szCs w:val="32"/>
        </w:rPr>
        <w:t xml:space="preserve">  响应文件格式要求</w:t>
      </w:r>
      <w:r>
        <w:tab/>
      </w:r>
      <w:r>
        <w:fldChar w:fldCharType="begin"/>
      </w:r>
      <w:r>
        <w:instrText xml:space="preserve"> PAGEREF _Toc1583 \h </w:instrText>
      </w:r>
      <w:r>
        <w:fldChar w:fldCharType="separate"/>
      </w:r>
      <w:r>
        <w:t>- 26 -</w:t>
      </w:r>
      <w:r>
        <w:fldChar w:fldCharType="end"/>
      </w:r>
      <w:r>
        <w:rPr>
          <w:rFonts w:hint="eastAsia" w:ascii="仿宋" w:hAnsi="仿宋" w:eastAsia="仿宋" w:cs="仿宋"/>
          <w:color w:val="auto"/>
        </w:rPr>
        <w:fldChar w:fldCharType="end"/>
      </w:r>
    </w:p>
    <w:p w14:paraId="1434E1FB">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_Toc21187 </w:instrText>
      </w:r>
      <w:r>
        <w:rPr>
          <w:rFonts w:hint="eastAsia" w:ascii="仿宋" w:hAnsi="仿宋" w:eastAsia="仿宋" w:cs="仿宋"/>
        </w:rPr>
        <w:fldChar w:fldCharType="separate"/>
      </w:r>
      <w:r>
        <w:rPr>
          <w:rFonts w:hint="eastAsia" w:ascii="仿宋" w:hAnsi="仿宋" w:eastAsia="仿宋" w:cs="仿宋"/>
          <w:bCs/>
        </w:rPr>
        <w:t>一、经济部分</w:t>
      </w:r>
      <w:r>
        <w:tab/>
      </w:r>
      <w:r>
        <w:fldChar w:fldCharType="begin"/>
      </w:r>
      <w:r>
        <w:instrText xml:space="preserve"> PAGEREF _Toc21187 \h </w:instrText>
      </w:r>
      <w:r>
        <w:fldChar w:fldCharType="separate"/>
      </w:r>
      <w:r>
        <w:t>- 29 -</w:t>
      </w:r>
      <w:r>
        <w:fldChar w:fldCharType="end"/>
      </w:r>
      <w:r>
        <w:rPr>
          <w:rFonts w:hint="eastAsia" w:ascii="仿宋" w:hAnsi="仿宋" w:eastAsia="仿宋" w:cs="仿宋"/>
          <w:color w:val="auto"/>
        </w:rPr>
        <w:fldChar w:fldCharType="end"/>
      </w:r>
    </w:p>
    <w:p w14:paraId="53E7519A">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_Toc6602 </w:instrText>
      </w:r>
      <w:r>
        <w:rPr>
          <w:rFonts w:hint="eastAsia" w:ascii="仿宋" w:hAnsi="仿宋" w:eastAsia="仿宋" w:cs="仿宋"/>
        </w:rPr>
        <w:fldChar w:fldCharType="separate"/>
      </w:r>
      <w:r>
        <w:rPr>
          <w:rFonts w:hint="eastAsia" w:ascii="仿宋" w:hAnsi="仿宋" w:eastAsia="仿宋" w:cs="仿宋"/>
          <w:bCs/>
        </w:rPr>
        <w:t>二、技术服务部分</w:t>
      </w:r>
      <w:r>
        <w:tab/>
      </w:r>
      <w:r>
        <w:fldChar w:fldCharType="begin"/>
      </w:r>
      <w:r>
        <w:instrText xml:space="preserve"> PAGEREF _Toc6602 \h </w:instrText>
      </w:r>
      <w:r>
        <w:fldChar w:fldCharType="separate"/>
      </w:r>
      <w:r>
        <w:t>- 31 -</w:t>
      </w:r>
      <w:r>
        <w:fldChar w:fldCharType="end"/>
      </w:r>
      <w:r>
        <w:rPr>
          <w:rFonts w:hint="eastAsia" w:ascii="仿宋" w:hAnsi="仿宋" w:eastAsia="仿宋" w:cs="仿宋"/>
          <w:color w:val="auto"/>
        </w:rPr>
        <w:fldChar w:fldCharType="end"/>
      </w:r>
    </w:p>
    <w:p w14:paraId="56E40B69">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_Toc7329 </w:instrText>
      </w:r>
      <w:r>
        <w:rPr>
          <w:rFonts w:hint="eastAsia" w:ascii="仿宋" w:hAnsi="仿宋" w:eastAsia="仿宋" w:cs="仿宋"/>
        </w:rPr>
        <w:fldChar w:fldCharType="separate"/>
      </w:r>
      <w:r>
        <w:rPr>
          <w:rFonts w:hint="eastAsia" w:ascii="仿宋" w:hAnsi="仿宋" w:eastAsia="仿宋" w:cs="仿宋"/>
          <w:bCs/>
        </w:rPr>
        <w:t>三、商务部分</w:t>
      </w:r>
      <w:r>
        <w:tab/>
      </w:r>
      <w:r>
        <w:fldChar w:fldCharType="begin"/>
      </w:r>
      <w:r>
        <w:instrText xml:space="preserve"> PAGEREF _Toc7329 \h </w:instrText>
      </w:r>
      <w:r>
        <w:fldChar w:fldCharType="separate"/>
      </w:r>
      <w:r>
        <w:t>- 33 -</w:t>
      </w:r>
      <w:r>
        <w:fldChar w:fldCharType="end"/>
      </w:r>
      <w:r>
        <w:rPr>
          <w:rFonts w:hint="eastAsia" w:ascii="仿宋" w:hAnsi="仿宋" w:eastAsia="仿宋" w:cs="仿宋"/>
          <w:color w:val="auto"/>
        </w:rPr>
        <w:fldChar w:fldCharType="end"/>
      </w:r>
    </w:p>
    <w:p w14:paraId="587EAD04">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_Toc12747 </w:instrText>
      </w:r>
      <w:r>
        <w:rPr>
          <w:rFonts w:hint="eastAsia" w:ascii="仿宋" w:hAnsi="仿宋" w:eastAsia="仿宋" w:cs="仿宋"/>
        </w:rPr>
        <w:fldChar w:fldCharType="separate"/>
      </w:r>
      <w:r>
        <w:rPr>
          <w:rFonts w:hint="eastAsia" w:ascii="仿宋" w:hAnsi="仿宋" w:eastAsia="仿宋" w:cs="仿宋"/>
          <w:bCs/>
        </w:rPr>
        <w:t>四、资格条件及其他</w:t>
      </w:r>
      <w:r>
        <w:tab/>
      </w:r>
      <w:r>
        <w:fldChar w:fldCharType="begin"/>
      </w:r>
      <w:r>
        <w:instrText xml:space="preserve"> PAGEREF _Toc12747 \h </w:instrText>
      </w:r>
      <w:r>
        <w:fldChar w:fldCharType="separate"/>
      </w:r>
      <w:r>
        <w:t>- 35 -</w:t>
      </w:r>
      <w:r>
        <w:fldChar w:fldCharType="end"/>
      </w:r>
      <w:r>
        <w:rPr>
          <w:rFonts w:hint="eastAsia" w:ascii="仿宋" w:hAnsi="仿宋" w:eastAsia="仿宋" w:cs="仿宋"/>
          <w:color w:val="auto"/>
        </w:rPr>
        <w:fldChar w:fldCharType="end"/>
      </w:r>
    </w:p>
    <w:p w14:paraId="143E4F87">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_Toc26861 </w:instrText>
      </w:r>
      <w:r>
        <w:rPr>
          <w:rFonts w:hint="eastAsia" w:ascii="仿宋" w:hAnsi="仿宋" w:eastAsia="仿宋" w:cs="仿宋"/>
        </w:rPr>
        <w:fldChar w:fldCharType="separate"/>
      </w:r>
      <w:r>
        <w:rPr>
          <w:rFonts w:hint="eastAsia" w:ascii="仿宋" w:hAnsi="仿宋" w:eastAsia="仿宋" w:cs="仿宋"/>
          <w:bCs/>
        </w:rPr>
        <w:t>五、其他应提供的资料</w:t>
      </w:r>
      <w:r>
        <w:tab/>
      </w:r>
      <w:r>
        <w:fldChar w:fldCharType="begin"/>
      </w:r>
      <w:r>
        <w:instrText xml:space="preserve"> PAGEREF _Toc26861 \h </w:instrText>
      </w:r>
      <w:r>
        <w:fldChar w:fldCharType="separate"/>
      </w:r>
      <w:r>
        <w:t>- 39 -</w:t>
      </w:r>
      <w:r>
        <w:fldChar w:fldCharType="end"/>
      </w:r>
      <w:r>
        <w:rPr>
          <w:rFonts w:hint="eastAsia" w:ascii="仿宋" w:hAnsi="仿宋" w:eastAsia="仿宋" w:cs="仿宋"/>
          <w:color w:val="auto"/>
        </w:rPr>
        <w:fldChar w:fldCharType="end"/>
      </w:r>
    </w:p>
    <w:p w14:paraId="08EFC050">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_Toc12440 </w:instrText>
      </w:r>
      <w:r>
        <w:rPr>
          <w:rFonts w:hint="eastAsia" w:ascii="仿宋" w:hAnsi="仿宋" w:eastAsia="仿宋" w:cs="仿宋"/>
        </w:rPr>
        <w:fldChar w:fldCharType="separate"/>
      </w:r>
      <w:r>
        <w:rPr>
          <w:rFonts w:hint="eastAsia" w:ascii="仿宋" w:hAnsi="仿宋" w:eastAsia="仿宋" w:cs="仿宋"/>
          <w:szCs w:val="24"/>
        </w:rPr>
        <w:t>附件：</w:t>
      </w:r>
      <w:r>
        <w:tab/>
      </w:r>
      <w:r>
        <w:fldChar w:fldCharType="begin"/>
      </w:r>
      <w:r>
        <w:instrText xml:space="preserve"> PAGEREF _Toc12440 \h </w:instrText>
      </w:r>
      <w:r>
        <w:fldChar w:fldCharType="separate"/>
      </w:r>
      <w:r>
        <w:t>- 40 -</w:t>
      </w:r>
      <w:r>
        <w:fldChar w:fldCharType="end"/>
      </w:r>
      <w:r>
        <w:rPr>
          <w:rFonts w:hint="eastAsia" w:ascii="仿宋" w:hAnsi="仿宋" w:eastAsia="仿宋" w:cs="仿宋"/>
          <w:color w:val="auto"/>
        </w:rPr>
        <w:fldChar w:fldCharType="end"/>
      </w:r>
    </w:p>
    <w:p w14:paraId="3A832737">
      <w:pPr>
        <w:pStyle w:val="19"/>
        <w:tabs>
          <w:tab w:val="right" w:leader="dot" w:pos="9747"/>
          <w:tab w:val="clear" w:pos="8303"/>
        </w:tabs>
      </w:pPr>
      <w:r>
        <w:rPr>
          <w:rFonts w:hint="eastAsia" w:ascii="仿宋" w:hAnsi="仿宋" w:eastAsia="仿宋" w:cs="仿宋"/>
          <w:color w:val="auto"/>
        </w:rPr>
        <w:fldChar w:fldCharType="begin"/>
      </w:r>
      <w:r>
        <w:rPr>
          <w:rFonts w:hint="eastAsia" w:ascii="仿宋" w:hAnsi="仿宋" w:eastAsia="仿宋" w:cs="仿宋"/>
        </w:rPr>
        <w:instrText xml:space="preserve"> HYPERLINK \l _Toc24466 </w:instrText>
      </w:r>
      <w:r>
        <w:rPr>
          <w:rFonts w:hint="eastAsia" w:ascii="仿宋" w:hAnsi="仿宋" w:eastAsia="仿宋" w:cs="仿宋"/>
        </w:rPr>
        <w:fldChar w:fldCharType="separate"/>
      </w:r>
      <w:r>
        <w:rPr>
          <w:rFonts w:hint="eastAsia" w:ascii="仿宋" w:hAnsi="仿宋" w:eastAsia="仿宋" w:cs="仿宋"/>
          <w:szCs w:val="22"/>
          <w:highlight w:val="none"/>
        </w:rPr>
        <w:t>采购文件发售登记表</w:t>
      </w:r>
      <w:r>
        <w:tab/>
      </w:r>
      <w:r>
        <w:fldChar w:fldCharType="begin"/>
      </w:r>
      <w:r>
        <w:instrText xml:space="preserve"> PAGEREF _Toc24466 \h </w:instrText>
      </w:r>
      <w:r>
        <w:fldChar w:fldCharType="separate"/>
      </w:r>
      <w:r>
        <w:t>- 40 -</w:t>
      </w:r>
      <w:r>
        <w:fldChar w:fldCharType="end"/>
      </w:r>
      <w:r>
        <w:rPr>
          <w:rFonts w:hint="eastAsia" w:ascii="仿宋" w:hAnsi="仿宋" w:eastAsia="仿宋" w:cs="仿宋"/>
          <w:color w:val="auto"/>
        </w:rPr>
        <w:fldChar w:fldCharType="end"/>
      </w:r>
    </w:p>
    <w:p w14:paraId="68E83359">
      <w:pPr>
        <w:keepNext w:val="0"/>
        <w:keepLines w:val="0"/>
        <w:pageBreakBefore w:val="0"/>
        <w:kinsoku/>
        <w:overflowPunct/>
        <w:topLinePunct w:val="0"/>
        <w:autoSpaceDE/>
        <w:autoSpaceDN/>
        <w:bidi w:val="0"/>
        <w:adjustRightInd/>
        <w:snapToGrid w:val="0"/>
        <w:spacing w:line="380" w:lineRule="exact"/>
        <w:textAlignment w:val="auto"/>
        <w:outlineLvl w:val="9"/>
        <w:rPr>
          <w:rFonts w:hint="eastAsia" w:ascii="仿宋" w:hAnsi="仿宋" w:eastAsia="仿宋" w:cs="仿宋"/>
          <w:color w:val="auto"/>
        </w:rPr>
        <w:sectPr>
          <w:footerReference r:id="rId9" w:type="first"/>
          <w:headerReference r:id="rId7" w:type="default"/>
          <w:footerReference r:id="rId8" w:type="default"/>
          <w:pgSz w:w="11907" w:h="16840"/>
          <w:pgMar w:top="1440" w:right="1080" w:bottom="1440" w:left="1080" w:header="454" w:footer="567" w:gutter="0"/>
          <w:pgNumType w:fmt="numberInDash" w:start="1"/>
          <w:cols w:space="720" w:num="1"/>
          <w:titlePg/>
          <w:docGrid w:type="lines" w:linePitch="381" w:charSpace="-5735"/>
        </w:sectPr>
      </w:pPr>
      <w:r>
        <w:rPr>
          <w:rFonts w:hint="eastAsia" w:ascii="仿宋" w:hAnsi="仿宋" w:eastAsia="仿宋" w:cs="仿宋"/>
          <w:color w:val="auto"/>
        </w:rPr>
        <w:fldChar w:fldCharType="end"/>
      </w:r>
    </w:p>
    <w:p w14:paraId="1F2E0657">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0"/>
        <w:rPr>
          <w:rFonts w:hint="eastAsia" w:ascii="仿宋" w:hAnsi="仿宋" w:eastAsia="仿宋" w:cs="仿宋"/>
          <w:color w:val="auto"/>
          <w:sz w:val="36"/>
          <w:szCs w:val="36"/>
        </w:rPr>
      </w:pPr>
      <w:bookmarkStart w:id="9" w:name="_Toc30747"/>
      <w:bookmarkStart w:id="10" w:name="_Toc152480139"/>
      <w:bookmarkStart w:id="11" w:name="_Toc22066"/>
      <w:bookmarkStart w:id="12" w:name="_Toc24981"/>
      <w:bookmarkStart w:id="13" w:name="_Toc108545950"/>
      <w:bookmarkStart w:id="14" w:name="_Toc2979"/>
      <w:bookmarkStart w:id="15" w:name="_Toc12789052"/>
      <w:bookmarkStart w:id="16" w:name="OLE_LINK74"/>
      <w:bookmarkStart w:id="17" w:name="OLE_LINK75"/>
      <w:bookmarkStart w:id="18" w:name="_Toc11641050"/>
      <w:bookmarkStart w:id="19" w:name="_Toc128744981"/>
      <w:bookmarkStart w:id="20" w:name="OLE_LINK73"/>
      <w:r>
        <w:rPr>
          <w:rFonts w:hint="eastAsia" w:ascii="仿宋" w:hAnsi="仿宋" w:eastAsia="仿宋" w:cs="仿宋"/>
          <w:b/>
          <w:bCs/>
          <w:color w:val="auto"/>
          <w:sz w:val="36"/>
          <w:szCs w:val="36"/>
        </w:rPr>
        <w:t>第一篇  比选邀请书</w:t>
      </w:r>
      <w:bookmarkEnd w:id="9"/>
      <w:bookmarkEnd w:id="10"/>
      <w:bookmarkEnd w:id="11"/>
      <w:bookmarkEnd w:id="12"/>
      <w:bookmarkEnd w:id="13"/>
      <w:bookmarkEnd w:id="14"/>
    </w:p>
    <w:p w14:paraId="47797EFB">
      <w:pPr>
        <w:keepNext w:val="0"/>
        <w:keepLines w:val="0"/>
        <w:pageBreakBefore w:val="0"/>
        <w:kinsoku/>
        <w:overflowPunct/>
        <w:topLinePunct w:val="0"/>
        <w:autoSpaceDE/>
        <w:autoSpaceDN/>
        <w:bidi w:val="0"/>
        <w:adjustRightInd/>
        <w:snapToGrid w:val="0"/>
        <w:spacing w:line="500" w:lineRule="exact"/>
        <w:textAlignment w:val="auto"/>
        <w:outlineLvl w:val="9"/>
        <w:rPr>
          <w:rFonts w:hint="eastAsia" w:ascii="仿宋" w:hAnsi="仿宋" w:eastAsia="仿宋" w:cs="仿宋"/>
          <w:color w:val="auto"/>
        </w:rPr>
      </w:pPr>
    </w:p>
    <w:p w14:paraId="17034FF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bookmarkStart w:id="21" w:name="_Toc379619850"/>
      <w:r>
        <w:rPr>
          <w:rFonts w:hint="eastAsia" w:ascii="仿宋" w:hAnsi="仿宋" w:eastAsia="仿宋" w:cs="仿宋"/>
          <w:color w:val="auto"/>
        </w:rPr>
        <w:t>受</w:t>
      </w:r>
      <w:r>
        <w:rPr>
          <w:rFonts w:hint="eastAsia" w:ascii="仿宋" w:hAnsi="仿宋" w:eastAsia="仿宋" w:cs="仿宋"/>
          <w:color w:val="auto"/>
          <w:u w:val="single"/>
          <w:lang w:eastAsia="zh-CN"/>
        </w:rPr>
        <w:t>重庆大足实业发展集团有限公司</w:t>
      </w:r>
      <w:r>
        <w:rPr>
          <w:rFonts w:hint="eastAsia" w:ascii="仿宋" w:hAnsi="仿宋" w:eastAsia="仿宋" w:cs="仿宋"/>
          <w:color w:val="auto"/>
        </w:rPr>
        <w:t>的委托，</w:t>
      </w:r>
      <w:r>
        <w:rPr>
          <w:rFonts w:hint="eastAsia" w:ascii="仿宋" w:hAnsi="仿宋" w:eastAsia="仿宋" w:cs="仿宋"/>
          <w:color w:val="auto"/>
          <w:lang w:eastAsia="zh-CN"/>
        </w:rPr>
        <w:t>重庆翊博项目管理有限公司</w:t>
      </w:r>
      <w:r>
        <w:rPr>
          <w:rFonts w:hint="eastAsia" w:ascii="仿宋" w:hAnsi="仿宋" w:eastAsia="仿宋" w:cs="仿宋"/>
          <w:color w:val="auto"/>
        </w:rPr>
        <w:t>组织对</w:t>
      </w:r>
      <w:r>
        <w:rPr>
          <w:rFonts w:hint="eastAsia" w:ascii="仿宋" w:hAnsi="仿宋" w:eastAsia="仿宋" w:cs="仿宋"/>
          <w:color w:val="auto"/>
          <w:u w:val="single"/>
        </w:rPr>
        <w:t xml:space="preserve"> </w:t>
      </w:r>
      <w:r>
        <w:rPr>
          <w:rFonts w:hint="eastAsia" w:ascii="仿宋" w:hAnsi="仿宋" w:eastAsia="仿宋" w:cs="仿宋"/>
          <w:color w:val="auto"/>
          <w:u w:val="single"/>
          <w:lang w:eastAsia="zh-CN"/>
        </w:rPr>
        <w:t>重庆市大足区希望小学扩建工程（一标段）电梯</w:t>
      </w:r>
      <w:r>
        <w:rPr>
          <w:rFonts w:hint="eastAsia" w:ascii="仿宋" w:hAnsi="仿宋" w:eastAsia="仿宋" w:cs="仿宋"/>
          <w:color w:val="auto"/>
          <w:u w:val="single"/>
        </w:rPr>
        <w:t xml:space="preserve"> </w:t>
      </w:r>
      <w:r>
        <w:rPr>
          <w:rFonts w:hint="eastAsia" w:ascii="仿宋" w:hAnsi="仿宋" w:eastAsia="仿宋" w:cs="仿宋"/>
          <w:color w:val="auto"/>
        </w:rPr>
        <w:t>进行比选采购。欢迎具备相关资质的供应商参加。</w:t>
      </w:r>
    </w:p>
    <w:p w14:paraId="2B1475D0">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22" w:name="_Toc108545951"/>
      <w:bookmarkStart w:id="23" w:name="_Toc27172"/>
      <w:bookmarkStart w:id="24" w:name="_Toc219"/>
      <w:bookmarkStart w:id="25" w:name="_Toc27652"/>
      <w:r>
        <w:rPr>
          <w:rFonts w:hint="eastAsia" w:ascii="仿宋" w:hAnsi="仿宋" w:eastAsia="仿宋" w:cs="仿宋"/>
          <w:b/>
          <w:bCs/>
          <w:color w:val="auto"/>
        </w:rPr>
        <w:t>一、比选项目内容</w:t>
      </w:r>
      <w:bookmarkEnd w:id="21"/>
      <w:bookmarkEnd w:id="22"/>
      <w:bookmarkEnd w:id="23"/>
      <w:bookmarkEnd w:id="24"/>
      <w:bookmarkEnd w:id="25"/>
    </w:p>
    <w:tbl>
      <w:tblPr>
        <w:tblStyle w:val="25"/>
        <w:tblW w:w="47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4"/>
        <w:gridCol w:w="2628"/>
        <w:gridCol w:w="1441"/>
        <w:gridCol w:w="2060"/>
      </w:tblGrid>
      <w:tr w14:paraId="5A3B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72" w:type="pct"/>
            <w:vAlign w:val="center"/>
          </w:tcPr>
          <w:p w14:paraId="4F93706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bookmarkStart w:id="26" w:name="_Toc378251877"/>
            <w:bookmarkStart w:id="27" w:name="_Toc152480140"/>
            <w:r>
              <w:rPr>
                <w:rFonts w:hint="eastAsia" w:ascii="仿宋" w:hAnsi="仿宋" w:eastAsia="仿宋" w:cs="仿宋"/>
                <w:b/>
                <w:bCs/>
                <w:color w:val="auto"/>
              </w:rPr>
              <w:t>项目名称</w:t>
            </w:r>
          </w:p>
        </w:tc>
        <w:tc>
          <w:tcPr>
            <w:tcW w:w="1384" w:type="pct"/>
            <w:vAlign w:val="center"/>
          </w:tcPr>
          <w:p w14:paraId="78921B8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最高限价</w:t>
            </w:r>
          </w:p>
          <w:p w14:paraId="2B188DB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（元）</w:t>
            </w:r>
          </w:p>
        </w:tc>
        <w:tc>
          <w:tcPr>
            <w:tcW w:w="759" w:type="pct"/>
            <w:vAlign w:val="center"/>
          </w:tcPr>
          <w:p w14:paraId="6F8FF3C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lang w:val="en-US" w:eastAsia="zh-CN"/>
              </w:rPr>
              <w:t>投标</w:t>
            </w:r>
            <w:r>
              <w:rPr>
                <w:rFonts w:hint="eastAsia" w:ascii="仿宋" w:hAnsi="仿宋" w:eastAsia="仿宋" w:cs="仿宋"/>
                <w:b/>
                <w:bCs/>
                <w:color w:val="auto"/>
              </w:rPr>
              <w:t>保证金（元）</w:t>
            </w:r>
          </w:p>
        </w:tc>
        <w:tc>
          <w:tcPr>
            <w:tcW w:w="1085" w:type="pct"/>
            <w:vAlign w:val="center"/>
          </w:tcPr>
          <w:p w14:paraId="628F681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成交供应商数量</w:t>
            </w:r>
            <w:r>
              <w:rPr>
                <w:rFonts w:hint="eastAsia" w:ascii="仿宋" w:hAnsi="仿宋" w:eastAsia="仿宋" w:cs="仿宋"/>
                <w:b/>
                <w:bCs/>
                <w:color w:val="auto"/>
                <w:lang w:eastAsia="zh-CN"/>
              </w:rPr>
              <w:t>（</w:t>
            </w:r>
            <w:r>
              <w:rPr>
                <w:rFonts w:hint="eastAsia" w:ascii="仿宋" w:hAnsi="仿宋" w:eastAsia="仿宋" w:cs="仿宋"/>
                <w:b/>
                <w:bCs/>
                <w:color w:val="auto"/>
              </w:rPr>
              <w:t>名）</w:t>
            </w:r>
          </w:p>
        </w:tc>
      </w:tr>
      <w:tr w14:paraId="7B68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772" w:type="pct"/>
            <w:vAlign w:val="center"/>
          </w:tcPr>
          <w:p w14:paraId="229084C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lang w:eastAsia="zh-CN"/>
              </w:rPr>
            </w:pPr>
            <w:r>
              <w:rPr>
                <w:rFonts w:hint="eastAsia" w:ascii="仿宋" w:hAnsi="仿宋" w:eastAsia="仿宋" w:cs="仿宋"/>
                <w:color w:val="auto"/>
                <w:lang w:eastAsia="zh-CN"/>
              </w:rPr>
              <w:t>重庆市大足区希望小学扩建工程（一标段）电梯</w:t>
            </w:r>
          </w:p>
        </w:tc>
        <w:tc>
          <w:tcPr>
            <w:tcW w:w="1384" w:type="pct"/>
            <w:vAlign w:val="center"/>
          </w:tcPr>
          <w:p w14:paraId="550F2D6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default" w:ascii="仿宋" w:hAnsi="仿宋" w:eastAsia="仿宋" w:cs="仿宋"/>
                <w:color w:val="auto"/>
                <w:lang w:val="en-US"/>
              </w:rPr>
            </w:pPr>
            <w:r>
              <w:rPr>
                <w:rFonts w:hint="eastAsia" w:ascii="仿宋" w:hAnsi="仿宋" w:eastAsia="仿宋" w:cs="仿宋"/>
                <w:color w:val="auto"/>
                <w:lang w:val="en-US" w:eastAsia="zh-CN"/>
              </w:rPr>
              <w:t>249923.41</w:t>
            </w:r>
          </w:p>
        </w:tc>
        <w:tc>
          <w:tcPr>
            <w:tcW w:w="759" w:type="pct"/>
            <w:vAlign w:val="center"/>
          </w:tcPr>
          <w:p w14:paraId="13A28DB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5000.00</w:t>
            </w:r>
          </w:p>
        </w:tc>
        <w:tc>
          <w:tcPr>
            <w:tcW w:w="1085" w:type="pct"/>
            <w:vAlign w:val="center"/>
          </w:tcPr>
          <w:p w14:paraId="52AAA3B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1</w:t>
            </w:r>
          </w:p>
        </w:tc>
      </w:tr>
    </w:tbl>
    <w:p w14:paraId="7B1B6D23">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28" w:name="_Toc2277"/>
      <w:bookmarkStart w:id="29" w:name="_Toc108545952"/>
      <w:bookmarkStart w:id="30" w:name="_Toc29395"/>
      <w:bookmarkStart w:id="31" w:name="_Toc27304"/>
      <w:r>
        <w:rPr>
          <w:rFonts w:hint="eastAsia" w:ascii="仿宋" w:hAnsi="仿宋" w:eastAsia="仿宋" w:cs="仿宋"/>
          <w:b/>
          <w:bCs/>
          <w:color w:val="auto"/>
        </w:rPr>
        <w:t>二、资金来源</w:t>
      </w:r>
      <w:bookmarkEnd w:id="26"/>
      <w:bookmarkEnd w:id="28"/>
      <w:bookmarkEnd w:id="29"/>
      <w:bookmarkEnd w:id="30"/>
      <w:bookmarkEnd w:id="31"/>
    </w:p>
    <w:p w14:paraId="7807FED9">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资金来源为业主自筹资</w:t>
      </w:r>
      <w:r>
        <w:rPr>
          <w:rFonts w:hint="eastAsia" w:ascii="仿宋" w:hAnsi="仿宋" w:eastAsia="仿宋" w:cs="仿宋"/>
          <w:color w:val="auto"/>
        </w:rPr>
        <w:t>。</w:t>
      </w:r>
    </w:p>
    <w:p w14:paraId="129F5D9A">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32" w:name="_Toc15936"/>
      <w:bookmarkStart w:id="33" w:name="_Toc13412"/>
      <w:bookmarkStart w:id="34" w:name="_Toc2482"/>
      <w:bookmarkStart w:id="35" w:name="_Toc108545953"/>
      <w:r>
        <w:rPr>
          <w:rFonts w:hint="eastAsia" w:ascii="仿宋" w:hAnsi="仿宋" w:eastAsia="仿宋" w:cs="仿宋"/>
          <w:b/>
          <w:bCs/>
          <w:color w:val="auto"/>
        </w:rPr>
        <w:t>三、资格要求</w:t>
      </w:r>
      <w:bookmarkEnd w:id="32"/>
      <w:bookmarkEnd w:id="33"/>
      <w:bookmarkEnd w:id="34"/>
      <w:bookmarkEnd w:id="35"/>
    </w:p>
    <w:p w14:paraId="5A8B5E20">
      <w:pPr>
        <w:keepNext w:val="0"/>
        <w:keepLines w:val="0"/>
        <w:pageBreakBefore w:val="0"/>
        <w:kinsoku/>
        <w:overflowPunct/>
        <w:topLinePunct w:val="0"/>
        <w:autoSpaceDE/>
        <w:autoSpaceDN/>
        <w:bidi w:val="0"/>
        <w:adjustRightInd/>
        <w:snapToGrid w:val="0"/>
        <w:spacing w:line="440" w:lineRule="exact"/>
        <w:ind w:firstLine="482" w:firstLineChars="200"/>
        <w:textAlignment w:val="auto"/>
        <w:outlineLvl w:val="9"/>
        <w:rPr>
          <w:rFonts w:hint="eastAsia" w:ascii="仿宋" w:hAnsi="仿宋" w:eastAsia="仿宋" w:cs="仿宋"/>
          <w:b/>
          <w:bCs/>
          <w:color w:val="auto"/>
        </w:rPr>
      </w:pPr>
      <w:bookmarkStart w:id="36" w:name="_Toc487204774"/>
      <w:bookmarkStart w:id="37" w:name="_Toc1359"/>
      <w:r>
        <w:rPr>
          <w:rFonts w:hint="eastAsia" w:ascii="仿宋" w:hAnsi="仿宋" w:eastAsia="仿宋" w:cs="仿宋"/>
          <w:b/>
          <w:bCs/>
          <w:color w:val="auto"/>
        </w:rPr>
        <w:t>（一）基本资格条件</w:t>
      </w:r>
    </w:p>
    <w:p w14:paraId="6A7FE93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 具有独立承担民事责任的能力。</w:t>
      </w:r>
    </w:p>
    <w:p w14:paraId="0E133E1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 具有良好的商业信誉和健全的财务会计制度。</w:t>
      </w:r>
    </w:p>
    <w:p w14:paraId="28C266E8">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 具有履行合同所必需的设备和专业技术能力。</w:t>
      </w:r>
    </w:p>
    <w:p w14:paraId="2CBBB2D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 具有依法缴纳税收和社会保障资金的良好记录。</w:t>
      </w:r>
    </w:p>
    <w:p w14:paraId="5E8D528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5. 参加本次比选活动前三年内，在经营活动中无重大违法记录。</w:t>
      </w:r>
    </w:p>
    <w:p w14:paraId="5DE863AD">
      <w:pPr>
        <w:keepNext w:val="0"/>
        <w:keepLines w:val="0"/>
        <w:pageBreakBefore w:val="0"/>
        <w:kinsoku/>
        <w:overflowPunct/>
        <w:topLinePunct w:val="0"/>
        <w:autoSpaceDE/>
        <w:autoSpaceDN/>
        <w:bidi w:val="0"/>
        <w:adjustRightInd/>
        <w:snapToGrid w:val="0"/>
        <w:spacing w:line="440" w:lineRule="exact"/>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（二）特定资格条件</w:t>
      </w:r>
    </w:p>
    <w:p w14:paraId="19F7CDA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bookmarkStart w:id="38" w:name="_Toc108545954"/>
      <w:r>
        <w:rPr>
          <w:rFonts w:hint="eastAsia" w:ascii="仿宋" w:hAnsi="仿宋" w:eastAsia="仿宋" w:cs="仿宋"/>
          <w:color w:val="auto"/>
          <w:lang w:val="en-US" w:eastAsia="zh-CN"/>
        </w:rPr>
        <w:t>1.</w:t>
      </w:r>
      <w:r>
        <w:rPr>
          <w:rFonts w:hint="eastAsia" w:ascii="仿宋" w:hAnsi="仿宋" w:eastAsia="仿宋" w:cs="仿宋"/>
          <w:color w:val="auto"/>
        </w:rPr>
        <w:t>本次竞争性比选实行资格后审。制造商或授权的代理商均可参加本次竞选，竞选人应满足下列资格条件：</w:t>
      </w:r>
    </w:p>
    <w:p w14:paraId="2E48316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.1 制造商参加竞选的必须具备以下资格：</w:t>
      </w:r>
    </w:p>
    <w:p w14:paraId="50539309">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.1.1 制造商须为在中华人民共和国境内工商登记注册的电梯制造企业法人，具备合法有效的营业执照。</w:t>
      </w:r>
    </w:p>
    <w:p w14:paraId="27FAC97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.1.2 应满足以下A、B两项要求中的任意一项：</w:t>
      </w:r>
    </w:p>
    <w:p w14:paraId="141C41A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A.制造商具有有效的《中华人民共和国特种设备生产许可证》【具备曳引驱动乘客电梯A级资质】。</w:t>
      </w:r>
    </w:p>
    <w:p w14:paraId="20087F0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B.制造商具有有效的《中华人民共和国特种设备生产许可证》，型式试验证书产品范围应覆盖本次比选内容电梯，具体许可项目如下：</w:t>
      </w:r>
    </w:p>
    <w:tbl>
      <w:tblPr>
        <w:tblStyle w:val="25"/>
        <w:tblW w:w="92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3368"/>
        <w:gridCol w:w="3856"/>
        <w:gridCol w:w="2034"/>
      </w:tblGrid>
      <w:tr w14:paraId="040E20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6" w:hRule="atLeast"/>
          <w:jc w:val="center"/>
        </w:trPr>
        <w:tc>
          <w:tcPr>
            <w:tcW w:w="3368"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88B6C2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许可项目</w:t>
            </w:r>
          </w:p>
        </w:tc>
        <w:tc>
          <w:tcPr>
            <w:tcW w:w="3856"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3274D54">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许可证项目</w:t>
            </w:r>
          </w:p>
        </w:tc>
        <w:tc>
          <w:tcPr>
            <w:tcW w:w="2034"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DE39F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许可参数</w:t>
            </w:r>
          </w:p>
        </w:tc>
      </w:tr>
      <w:tr w14:paraId="051A5A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3" w:hRule="atLeast"/>
          <w:jc w:val="center"/>
        </w:trPr>
        <w:tc>
          <w:tcPr>
            <w:tcW w:w="336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7B69C3">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color w:val="auto"/>
              </w:rPr>
            </w:pPr>
            <w:r>
              <w:rPr>
                <w:rFonts w:hint="eastAsia" w:ascii="仿宋" w:hAnsi="仿宋" w:eastAsia="仿宋" w:cs="仿宋"/>
                <w:color w:val="auto"/>
              </w:rPr>
              <w:t>电梯制造（含安装、修理、改造）</w:t>
            </w:r>
          </w:p>
        </w:tc>
        <w:tc>
          <w:tcPr>
            <w:tcW w:w="3856"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D1AC735">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color w:val="auto"/>
              </w:rPr>
            </w:pPr>
            <w:r>
              <w:rPr>
                <w:rFonts w:hint="eastAsia" w:ascii="仿宋" w:hAnsi="仿宋" w:eastAsia="仿宋" w:cs="仿宋"/>
                <w:color w:val="auto"/>
              </w:rPr>
              <w:t>曳引驱动乘客电梯（含消防员电梯）</w:t>
            </w:r>
          </w:p>
        </w:tc>
        <w:tc>
          <w:tcPr>
            <w:tcW w:w="2034"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55F60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≤6m/s</w:t>
            </w:r>
          </w:p>
        </w:tc>
      </w:tr>
    </w:tbl>
    <w:p w14:paraId="552213C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.1.3 制造商可以委托其它单位进行设备安装，若委托其他单位进行设备安装，该单位应具有中华人民共和国境内工商登记注册的企业法人，具备合法有效的营业执照，竞选文件中必须提供授权安装书（或委托安装协议）；并且被委托单位具有《中华人民共和国特种设备安装改造维修许可证》或《中华人民共和国特种设备安装改造修理许可证》资质【乘客电梯或曳引驱动乘客电梯的安装类资质为A级资质】。</w:t>
      </w:r>
    </w:p>
    <w:p w14:paraId="2260D08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 代理商参加竞选的应具备以下资格：</w:t>
      </w:r>
    </w:p>
    <w:p w14:paraId="06F3B3AA">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.2.1 代理商须为在中华人民共和国境内工商登记注册的企业法人，具备合法有效的营业执照。</w:t>
      </w:r>
    </w:p>
    <w:p w14:paraId="4A053BD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.2.2 应满足以下A、B两项要求中的任意一项：</w:t>
      </w:r>
    </w:p>
    <w:p w14:paraId="0190EE5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A.代理商具有有效的《中华人民共和国特种设备安装改造维修许可证》或《中华人民共和国特种设备安装改造修理许可证》[乘客电梯或曳引驱动乘客电梯的安装、改造、维修（修理）资质均为A级资质。</w:t>
      </w:r>
    </w:p>
    <w:p w14:paraId="0D9FEB74">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B.代理商具有有效的《中华人民共和国特种设备生产许可证》，型式试验证书产品范围应覆盖本次比选内容电梯，具体许可项目如下：</w:t>
      </w:r>
    </w:p>
    <w:tbl>
      <w:tblPr>
        <w:tblStyle w:val="25"/>
        <w:tblW w:w="92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3368"/>
        <w:gridCol w:w="3856"/>
        <w:gridCol w:w="2034"/>
      </w:tblGrid>
      <w:tr w14:paraId="168FA4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6" w:hRule="atLeast"/>
          <w:jc w:val="center"/>
        </w:trPr>
        <w:tc>
          <w:tcPr>
            <w:tcW w:w="3368"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4F3103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许可项目</w:t>
            </w:r>
          </w:p>
        </w:tc>
        <w:tc>
          <w:tcPr>
            <w:tcW w:w="3856"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085364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许可证项目</w:t>
            </w:r>
          </w:p>
        </w:tc>
        <w:tc>
          <w:tcPr>
            <w:tcW w:w="2034"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881FBC9">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许可参数</w:t>
            </w:r>
          </w:p>
        </w:tc>
      </w:tr>
      <w:tr w14:paraId="410762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3" w:hRule="atLeast"/>
          <w:jc w:val="center"/>
        </w:trPr>
        <w:tc>
          <w:tcPr>
            <w:tcW w:w="336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9DF88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电梯安装（含修理）</w:t>
            </w:r>
          </w:p>
        </w:tc>
        <w:tc>
          <w:tcPr>
            <w:tcW w:w="3856"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424FFB">
            <w:pPr>
              <w:keepNext w:val="0"/>
              <w:keepLines w:val="0"/>
              <w:pageBreakBefore w:val="0"/>
              <w:kinsoku/>
              <w:overflowPunct/>
              <w:topLinePunct w:val="0"/>
              <w:autoSpaceDE/>
              <w:autoSpaceDN/>
              <w:bidi w:val="0"/>
              <w:adjustRightInd/>
              <w:snapToGrid w:val="0"/>
              <w:spacing w:line="440" w:lineRule="exact"/>
              <w:textAlignment w:val="auto"/>
              <w:outlineLvl w:val="9"/>
              <w:rPr>
                <w:rFonts w:hint="eastAsia" w:ascii="仿宋" w:hAnsi="仿宋" w:eastAsia="仿宋" w:cs="仿宋"/>
                <w:color w:val="auto"/>
              </w:rPr>
            </w:pPr>
            <w:r>
              <w:rPr>
                <w:rFonts w:hint="eastAsia" w:ascii="仿宋" w:hAnsi="仿宋" w:eastAsia="仿宋" w:cs="仿宋"/>
                <w:color w:val="auto"/>
              </w:rPr>
              <w:t>曳引驱动乘客电梯(含消防员电梯）</w:t>
            </w:r>
          </w:p>
        </w:tc>
        <w:tc>
          <w:tcPr>
            <w:tcW w:w="2034"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205998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≤6m/s</w:t>
            </w:r>
          </w:p>
        </w:tc>
      </w:tr>
    </w:tbl>
    <w:p w14:paraId="0DFB61BF">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.2.3 代理商必须取得电梯制造商对本项目的唯一销售授权书。</w:t>
      </w:r>
    </w:p>
    <w:p w14:paraId="01822AFF">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39" w:name="_Toc7556"/>
      <w:bookmarkStart w:id="40" w:name="_Toc30044"/>
      <w:bookmarkStart w:id="41" w:name="_Toc18304"/>
      <w:r>
        <w:rPr>
          <w:rFonts w:hint="eastAsia" w:ascii="仿宋" w:hAnsi="仿宋" w:eastAsia="仿宋" w:cs="仿宋"/>
          <w:b/>
          <w:bCs/>
          <w:color w:val="auto"/>
        </w:rPr>
        <w:t>四、比选有关说明</w:t>
      </w:r>
      <w:bookmarkEnd w:id="36"/>
      <w:bookmarkEnd w:id="37"/>
      <w:bookmarkEnd w:id="38"/>
      <w:bookmarkEnd w:id="39"/>
      <w:bookmarkEnd w:id="40"/>
      <w:bookmarkEnd w:id="41"/>
    </w:p>
    <w:p w14:paraId="1A49BEAE">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（一）凡有意参加比选的供应商，请于公告发布之日起至提交响应文件截止时间之前，在“行采家(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）”上下载或到采购代理机构领取本项目比选文件以及图纸、补遗等比选前公布的所有项目资料。无论供应商下载或领取与否，均视为已知晓所有比选实质性要求内容。</w:t>
      </w:r>
    </w:p>
    <w:p w14:paraId="1BB8F8D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（二）比选文件公告期限：自比选公告发布之日起三个工作日。</w:t>
      </w:r>
    </w:p>
    <w:p w14:paraId="6515C9E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（三）比选文件发售期限及报名方式</w:t>
      </w:r>
    </w:p>
    <w:p w14:paraId="66B2672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 比选文件发售期：2025年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23</w:t>
      </w:r>
      <w:r>
        <w:rPr>
          <w:rFonts w:hint="eastAsia" w:ascii="仿宋" w:hAnsi="仿宋" w:eastAsia="仿宋" w:cs="仿宋"/>
          <w:color w:val="auto"/>
        </w:rPr>
        <w:t>日至2025年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26</w:t>
      </w:r>
      <w:r>
        <w:rPr>
          <w:rFonts w:hint="eastAsia" w:ascii="仿宋" w:hAnsi="仿宋" w:eastAsia="仿宋" w:cs="仿宋"/>
          <w:color w:val="auto"/>
        </w:rPr>
        <w:t>日</w:t>
      </w:r>
      <w:r>
        <w:rPr>
          <w:rFonts w:hint="eastAsia" w:ascii="仿宋" w:hAnsi="仿宋" w:eastAsia="仿宋" w:cs="仿宋"/>
          <w:color w:val="auto"/>
          <w:lang w:val="en-US" w:eastAsia="zh-CN"/>
        </w:rPr>
        <w:t>17</w:t>
      </w:r>
      <w:r>
        <w:rPr>
          <w:rFonts w:hint="eastAsia" w:ascii="仿宋" w:hAnsi="仿宋" w:eastAsia="仿宋" w:cs="仿宋"/>
          <w:color w:val="auto"/>
        </w:rPr>
        <w:t>时</w:t>
      </w:r>
      <w:r>
        <w:rPr>
          <w:rFonts w:hint="eastAsia" w:ascii="仿宋" w:hAnsi="仿宋" w:eastAsia="仿宋" w:cs="仿宋"/>
          <w:color w:val="auto"/>
          <w:lang w:val="en-US" w:eastAsia="zh-CN"/>
        </w:rPr>
        <w:t>00</w:t>
      </w:r>
      <w:r>
        <w:rPr>
          <w:rFonts w:hint="eastAsia" w:ascii="仿宋" w:hAnsi="仿宋" w:eastAsia="仿宋" w:cs="仿宋"/>
          <w:color w:val="auto"/>
        </w:rPr>
        <w:t>分。</w:t>
      </w:r>
    </w:p>
    <w:p w14:paraId="69A37177">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 报名方式：</w:t>
      </w:r>
    </w:p>
    <w:p w14:paraId="2EB7FDF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（1）在</w:t>
      </w:r>
      <w:bookmarkStart w:id="42" w:name="OLE_LINK2"/>
      <w:r>
        <w:rPr>
          <w:rFonts w:hint="eastAsia" w:ascii="仿宋" w:hAnsi="仿宋" w:eastAsia="仿宋" w:cs="仿宋"/>
          <w:color w:val="auto"/>
        </w:rPr>
        <w:t>竞争性</w:t>
      </w:r>
      <w:bookmarkEnd w:id="42"/>
      <w:r>
        <w:rPr>
          <w:rFonts w:hint="eastAsia" w:ascii="仿宋" w:hAnsi="仿宋" w:eastAsia="仿宋" w:cs="仿宋"/>
          <w:color w:val="auto"/>
        </w:rPr>
        <w:t>比选文件发售期内，参选供应商将《竞争性比选文件发售登记表》（填写完整并加盖供应商公章）扫描后发送至邮箱（</w:t>
      </w:r>
      <w:r>
        <w:rPr>
          <w:rFonts w:hint="eastAsia" w:ascii="仿宋" w:hAnsi="仿宋" w:eastAsia="仿宋" w:cs="仿宋"/>
          <w:color w:val="auto"/>
          <w:lang w:eastAsia="zh-CN"/>
        </w:rPr>
        <w:t>1287383615@qq.com</w:t>
      </w:r>
      <w:r>
        <w:rPr>
          <w:rFonts w:hint="eastAsia" w:ascii="仿宋" w:hAnsi="仿宋" w:eastAsia="仿宋" w:cs="仿宋"/>
          <w:color w:val="auto"/>
        </w:rPr>
        <w:t>）进行报名。</w:t>
      </w:r>
    </w:p>
    <w:p w14:paraId="7100FF64">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2</w:t>
      </w:r>
      <w:r>
        <w:rPr>
          <w:rFonts w:hint="eastAsia" w:ascii="仿宋" w:hAnsi="仿宋" w:eastAsia="仿宋" w:cs="仿宋"/>
          <w:color w:val="auto"/>
        </w:rPr>
        <w:t>）在竞争性比选文件发售期内报名并购买了竞争性比选文件的供应商，其响应文件方被接收。</w:t>
      </w:r>
    </w:p>
    <w:p w14:paraId="404E0CC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 竞争性比选文件售价：人民币</w:t>
      </w:r>
      <w:r>
        <w:rPr>
          <w:rFonts w:hint="eastAsia" w:ascii="仿宋" w:hAnsi="仿宋" w:eastAsia="仿宋" w:cs="仿宋"/>
          <w:color w:val="auto"/>
          <w:lang w:val="en-US" w:eastAsia="zh-CN"/>
        </w:rPr>
        <w:t>3</w:t>
      </w:r>
      <w:r>
        <w:rPr>
          <w:rFonts w:hint="eastAsia" w:ascii="仿宋" w:hAnsi="仿宋" w:eastAsia="仿宋" w:cs="仿宋"/>
          <w:color w:val="auto"/>
        </w:rPr>
        <w:t>00元/套，售后不退。报名时缴纳。</w:t>
      </w:r>
    </w:p>
    <w:p w14:paraId="3D48A3A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 文件费收款码</w:t>
      </w:r>
    </w:p>
    <w:p w14:paraId="1149F85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bCs/>
          <w:color w:val="auto"/>
        </w:rPr>
      </w:pPr>
      <w:r>
        <w:rPr>
          <w:rFonts w:hint="eastAsia" w:ascii="仿宋" w:hAnsi="仿宋" w:eastAsia="仿宋" w:cs="仿宋"/>
          <w:color w:val="auto"/>
          <w:sz w:val="24"/>
          <w:szCs w:val="24"/>
        </w:rPr>
        <w:drawing>
          <wp:inline distT="0" distB="0" distL="114300" distR="114300">
            <wp:extent cx="2049145" cy="2034540"/>
            <wp:effectExtent l="0" t="0" r="0" b="3810"/>
            <wp:docPr id="4" name="图片 2" descr="39408438de8f3dd3c1c537fced37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39408438de8f3dd3c1c537fced3714b"/>
                    <pic:cNvPicPr>
                      <a:picLocks noChangeAspect="1"/>
                    </pic:cNvPicPr>
                  </pic:nvPicPr>
                  <pic:blipFill>
                    <a:blip r:embed="rId15"/>
                    <a:srcRect r="-7002" b="1567"/>
                    <a:stretch>
                      <a:fillRect/>
                    </a:stretch>
                  </pic:blipFill>
                  <pic:spPr>
                    <a:xfrm>
                      <a:off x="0" y="0"/>
                      <a:ext cx="2049145" cy="2034540"/>
                    </a:xfrm>
                    <a:prstGeom prst="rect">
                      <a:avLst/>
                    </a:prstGeom>
                    <a:noFill/>
                    <a:ln>
                      <a:noFill/>
                    </a:ln>
                  </pic:spPr>
                </pic:pic>
              </a:graphicData>
            </a:graphic>
          </wp:inline>
        </w:drawing>
      </w:r>
    </w:p>
    <w:p w14:paraId="6E732B17">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（四）响应文件递交</w:t>
      </w:r>
    </w:p>
    <w:p w14:paraId="55CCFF8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本项目采用线下</w:t>
      </w:r>
      <w:r>
        <w:rPr>
          <w:rFonts w:hint="eastAsia" w:ascii="仿宋" w:hAnsi="仿宋" w:eastAsia="仿宋" w:cs="仿宋"/>
          <w:color w:val="auto"/>
          <w:lang w:val="en-US" w:eastAsia="zh-CN"/>
        </w:rPr>
        <w:t>比选</w:t>
      </w:r>
      <w:r>
        <w:rPr>
          <w:rFonts w:hint="eastAsia" w:ascii="仿宋" w:hAnsi="仿宋" w:eastAsia="仿宋" w:cs="仿宋"/>
          <w:color w:val="auto"/>
        </w:rPr>
        <w:t>的方式，请各供应商按如下要求参与：</w:t>
      </w:r>
    </w:p>
    <w:p w14:paraId="25CE98C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rPr>
        <w:t>1. 线下递交纸质响应文件</w:t>
      </w:r>
      <w:r>
        <w:rPr>
          <w:rFonts w:hint="eastAsia" w:ascii="仿宋" w:hAnsi="仿宋" w:eastAsia="仿宋" w:cs="仿宋"/>
          <w:color w:val="auto"/>
          <w:lang w:val="en-US" w:eastAsia="zh-CN"/>
        </w:rPr>
        <w:t>时间及地点</w:t>
      </w:r>
    </w:p>
    <w:p w14:paraId="5D763C07">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递交开始时间：2025年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30</w:t>
      </w:r>
      <w:r>
        <w:rPr>
          <w:rFonts w:hint="eastAsia" w:ascii="仿宋" w:hAnsi="仿宋" w:eastAsia="仿宋" w:cs="仿宋"/>
          <w:color w:val="auto"/>
        </w:rPr>
        <w:t>日</w:t>
      </w:r>
      <w:r>
        <w:rPr>
          <w:rFonts w:hint="eastAsia" w:ascii="仿宋" w:hAnsi="仿宋" w:eastAsia="仿宋" w:cs="仿宋"/>
          <w:color w:val="auto"/>
          <w:lang w:val="en-US" w:eastAsia="zh-CN"/>
        </w:rPr>
        <w:t>9</w:t>
      </w:r>
      <w:r>
        <w:rPr>
          <w:rFonts w:hint="eastAsia" w:ascii="仿宋" w:hAnsi="仿宋" w:eastAsia="仿宋" w:cs="仿宋"/>
          <w:color w:val="auto"/>
        </w:rPr>
        <w:t>时</w:t>
      </w:r>
      <w:r>
        <w:rPr>
          <w:rFonts w:hint="eastAsia" w:ascii="仿宋" w:hAnsi="仿宋" w:eastAsia="仿宋" w:cs="仿宋"/>
          <w:color w:val="auto"/>
          <w:lang w:val="en-US" w:eastAsia="zh-CN"/>
        </w:rPr>
        <w:t>00</w:t>
      </w:r>
      <w:r>
        <w:rPr>
          <w:rFonts w:hint="eastAsia" w:ascii="仿宋" w:hAnsi="仿宋" w:eastAsia="仿宋" w:cs="仿宋"/>
          <w:color w:val="auto"/>
        </w:rPr>
        <w:t>分。</w:t>
      </w:r>
    </w:p>
    <w:p w14:paraId="4A369BA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递交截止时间：2025年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30</w:t>
      </w:r>
      <w:r>
        <w:rPr>
          <w:rFonts w:hint="eastAsia" w:ascii="仿宋" w:hAnsi="仿宋" w:eastAsia="仿宋" w:cs="仿宋"/>
          <w:color w:val="auto"/>
        </w:rPr>
        <w:t>日</w:t>
      </w:r>
      <w:r>
        <w:rPr>
          <w:rFonts w:hint="eastAsia" w:ascii="仿宋" w:hAnsi="仿宋" w:eastAsia="仿宋" w:cs="仿宋"/>
          <w:color w:val="auto"/>
          <w:lang w:val="en-US" w:eastAsia="zh-CN"/>
        </w:rPr>
        <w:t>9</w:t>
      </w:r>
      <w:r>
        <w:rPr>
          <w:rFonts w:hint="eastAsia" w:ascii="仿宋" w:hAnsi="仿宋" w:eastAsia="仿宋" w:cs="仿宋"/>
          <w:color w:val="auto"/>
        </w:rPr>
        <w:t>时</w:t>
      </w:r>
      <w:r>
        <w:rPr>
          <w:rFonts w:hint="eastAsia" w:ascii="仿宋" w:hAnsi="仿宋" w:eastAsia="仿宋" w:cs="仿宋"/>
          <w:color w:val="auto"/>
          <w:lang w:val="en-US" w:eastAsia="zh-CN"/>
        </w:rPr>
        <w:t>30</w:t>
      </w:r>
      <w:r>
        <w:rPr>
          <w:rFonts w:hint="eastAsia" w:ascii="仿宋" w:hAnsi="仿宋" w:eastAsia="仿宋" w:cs="仿宋"/>
          <w:color w:val="auto"/>
        </w:rPr>
        <w:t>分。</w:t>
      </w:r>
    </w:p>
    <w:p w14:paraId="363E5F8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递交地点：</w:t>
      </w:r>
      <w:r>
        <w:rPr>
          <w:rFonts w:hint="eastAsia" w:ascii="仿宋" w:hAnsi="仿宋" w:eastAsia="仿宋" w:cs="仿宋"/>
          <w:color w:val="auto"/>
          <w:lang w:eastAsia="zh-CN"/>
        </w:rPr>
        <w:t>重庆翊博项目管理有限公司（重庆市大足区棠香街道棠凤路409号2-12）</w:t>
      </w:r>
      <w:r>
        <w:rPr>
          <w:rFonts w:hint="eastAsia" w:ascii="仿宋" w:hAnsi="仿宋" w:eastAsia="仿宋" w:cs="仿宋"/>
          <w:color w:val="auto"/>
        </w:rPr>
        <w:t>。</w:t>
      </w:r>
    </w:p>
    <w:p w14:paraId="0F9869F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逾期送达或未送达指定地点的响应文件，采购人或采购代理机构不予受理。</w:t>
      </w:r>
    </w:p>
    <w:p w14:paraId="06BC0C9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 比选</w:t>
      </w:r>
      <w:bookmarkStart w:id="43" w:name="OLE_LINK88"/>
      <w:bookmarkStart w:id="44" w:name="OLE_LINK89"/>
      <w:r>
        <w:rPr>
          <w:rFonts w:hint="eastAsia" w:ascii="仿宋" w:hAnsi="仿宋" w:eastAsia="仿宋" w:cs="仿宋"/>
          <w:color w:val="auto"/>
        </w:rPr>
        <w:t>（开启）会议</w:t>
      </w:r>
      <w:bookmarkEnd w:id="43"/>
      <w:bookmarkEnd w:id="44"/>
      <w:r>
        <w:rPr>
          <w:rFonts w:hint="eastAsia" w:ascii="仿宋" w:hAnsi="仿宋" w:eastAsia="仿宋" w:cs="仿宋"/>
          <w:color w:val="auto"/>
        </w:rPr>
        <w:t>时间：2025年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30</w:t>
      </w:r>
      <w:r>
        <w:rPr>
          <w:rFonts w:hint="eastAsia" w:ascii="仿宋" w:hAnsi="仿宋" w:eastAsia="仿宋" w:cs="仿宋"/>
          <w:color w:val="auto"/>
        </w:rPr>
        <w:t>日</w:t>
      </w:r>
      <w:r>
        <w:rPr>
          <w:rFonts w:hint="eastAsia" w:ascii="仿宋" w:hAnsi="仿宋" w:eastAsia="仿宋" w:cs="仿宋"/>
          <w:color w:val="auto"/>
          <w:lang w:val="en-US" w:eastAsia="zh-CN"/>
        </w:rPr>
        <w:t>9</w:t>
      </w:r>
      <w:r>
        <w:rPr>
          <w:rFonts w:hint="eastAsia" w:ascii="仿宋" w:hAnsi="仿宋" w:eastAsia="仿宋" w:cs="仿宋"/>
          <w:color w:val="auto"/>
        </w:rPr>
        <w:t>时</w:t>
      </w:r>
      <w:r>
        <w:rPr>
          <w:rFonts w:hint="eastAsia" w:ascii="仿宋" w:hAnsi="仿宋" w:eastAsia="仿宋" w:cs="仿宋"/>
          <w:color w:val="auto"/>
          <w:lang w:val="en-US" w:eastAsia="zh-CN"/>
        </w:rPr>
        <w:t>30</w:t>
      </w:r>
      <w:r>
        <w:rPr>
          <w:rFonts w:hint="eastAsia" w:ascii="仿宋" w:hAnsi="仿宋" w:eastAsia="仿宋" w:cs="仿宋"/>
          <w:color w:val="auto"/>
        </w:rPr>
        <w:t>分。</w:t>
      </w:r>
    </w:p>
    <w:p w14:paraId="400307D4">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 比选（开启）会议地点：</w:t>
      </w:r>
      <w:r>
        <w:rPr>
          <w:rFonts w:hint="eastAsia" w:ascii="仿宋" w:hAnsi="仿宋" w:eastAsia="仿宋" w:cs="仿宋"/>
          <w:color w:val="auto"/>
          <w:lang w:val="en-US" w:eastAsia="zh-CN"/>
        </w:rPr>
        <w:t>重庆翊博项目管理有限公司</w:t>
      </w:r>
      <w:r>
        <w:rPr>
          <w:rStyle w:val="83"/>
          <w:rFonts w:hint="eastAsia" w:ascii="仿宋" w:hAnsi="仿宋" w:eastAsia="仿宋" w:cs="仿宋"/>
          <w:b w:val="0"/>
          <w:i w:val="0"/>
          <w:caps w:val="0"/>
          <w:color w:val="auto"/>
          <w:spacing w:val="0"/>
          <w:w w:val="100"/>
          <w:kern w:val="0"/>
          <w:sz w:val="21"/>
          <w:szCs w:val="21"/>
          <w:highlight w:val="none"/>
          <w:lang w:val="en-US" w:eastAsia="zh-CN" w:bidi="ar-SA"/>
        </w:rPr>
        <w:t>（</w:t>
      </w:r>
      <w:r>
        <w:rPr>
          <w:rFonts w:hint="eastAsia" w:ascii="仿宋" w:hAnsi="仿宋" w:eastAsia="仿宋" w:cs="仿宋"/>
          <w:color w:val="auto"/>
          <w:lang w:eastAsia="zh-CN"/>
        </w:rPr>
        <w:t>重庆市大足区棠香街道棠凤路409号2-12</w:t>
      </w:r>
      <w:r>
        <w:rPr>
          <w:rStyle w:val="83"/>
          <w:rFonts w:hint="eastAsia" w:ascii="仿宋" w:hAnsi="仿宋" w:eastAsia="仿宋" w:cs="仿宋"/>
          <w:b w:val="0"/>
          <w:i w:val="0"/>
          <w:caps w:val="0"/>
          <w:color w:val="auto"/>
          <w:spacing w:val="0"/>
          <w:w w:val="100"/>
          <w:kern w:val="0"/>
          <w:sz w:val="21"/>
          <w:szCs w:val="21"/>
          <w:highlight w:val="none"/>
          <w:lang w:val="en-US" w:eastAsia="zh-CN" w:bidi="ar-SA"/>
        </w:rPr>
        <w:t>）</w:t>
      </w:r>
      <w:r>
        <w:rPr>
          <w:rFonts w:hint="eastAsia" w:ascii="仿宋" w:hAnsi="仿宋" w:eastAsia="仿宋" w:cs="仿宋"/>
          <w:color w:val="auto"/>
        </w:rPr>
        <w:t>。</w:t>
      </w:r>
    </w:p>
    <w:p w14:paraId="5EF9AD7E">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 xml:space="preserve">4. </w:t>
      </w:r>
      <w:r>
        <w:rPr>
          <w:rFonts w:hint="eastAsia" w:ascii="仿宋" w:hAnsi="仿宋" w:eastAsia="仿宋" w:cs="仿宋"/>
          <w:color w:val="auto"/>
        </w:rPr>
        <w:t>供应商须同时满足以下条件，其响应文件方被接受：</w:t>
      </w:r>
    </w:p>
    <w:p w14:paraId="150C73B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按比选文件要求按时报名成功</w:t>
      </w:r>
      <w:r>
        <w:rPr>
          <w:rFonts w:hint="eastAsia" w:ascii="仿宋" w:hAnsi="仿宋" w:eastAsia="仿宋" w:cs="仿宋"/>
          <w:color w:val="auto"/>
        </w:rPr>
        <w:t>。</w:t>
      </w:r>
    </w:p>
    <w:p w14:paraId="6EB566D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（2）按时线下递交密封完好的纸质响应文件。</w:t>
      </w:r>
    </w:p>
    <w:p w14:paraId="01C6CB8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（3）已按比选文件要求足额缴纳比选保证金。</w:t>
      </w:r>
    </w:p>
    <w:p w14:paraId="31CCA541">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45" w:name="_Toc22356"/>
      <w:bookmarkStart w:id="46" w:name="_Toc22316"/>
      <w:bookmarkStart w:id="47" w:name="_Toc6413"/>
      <w:bookmarkStart w:id="48" w:name="_Toc27669"/>
      <w:bookmarkStart w:id="49" w:name="_Toc487204775"/>
      <w:bookmarkStart w:id="50" w:name="_Toc108545955"/>
      <w:r>
        <w:rPr>
          <w:rFonts w:hint="eastAsia" w:ascii="仿宋" w:hAnsi="仿宋" w:eastAsia="仿宋" w:cs="仿宋"/>
          <w:b/>
          <w:bCs/>
          <w:color w:val="auto"/>
        </w:rPr>
        <w:t>五、比选保证金</w:t>
      </w:r>
      <w:bookmarkEnd w:id="45"/>
      <w:bookmarkEnd w:id="46"/>
      <w:bookmarkEnd w:id="47"/>
      <w:bookmarkEnd w:id="48"/>
      <w:bookmarkEnd w:id="49"/>
      <w:bookmarkEnd w:id="50"/>
    </w:p>
    <w:p w14:paraId="0FA5B76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val="en-US" w:eastAsia="zh-CN"/>
        </w:rPr>
      </w:pPr>
      <w:bookmarkStart w:id="51" w:name="_Toc108545956"/>
      <w:bookmarkStart w:id="52" w:name="_Toc24666"/>
      <w:bookmarkStart w:id="53" w:name="_Toc487204776"/>
      <w:bookmarkStart w:id="54" w:name="_Toc13069"/>
      <w:bookmarkStart w:id="55" w:name="_Toc18572"/>
      <w:r>
        <w:rPr>
          <w:rFonts w:hint="eastAsia" w:ascii="仿宋" w:hAnsi="仿宋" w:eastAsia="仿宋" w:cs="仿宋"/>
          <w:color w:val="auto"/>
          <w:lang w:val="en-US" w:eastAsia="zh-CN"/>
        </w:rPr>
        <w:t>（一）保证金递交</w:t>
      </w:r>
    </w:p>
    <w:p w14:paraId="2264588A">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投标保证金金额：</w:t>
      </w:r>
      <w:r>
        <w:rPr>
          <w:rFonts w:hint="eastAsia" w:ascii="仿宋" w:hAnsi="仿宋" w:eastAsia="仿宋" w:cs="仿宋"/>
          <w:color w:val="000000" w:themeColor="text1"/>
          <w:highlight w:val="none"/>
          <w:lang w:val="en-US" w:eastAsia="zh-CN"/>
          <w14:textFill>
            <w14:solidFill>
              <w14:schemeClr w14:val="tx1"/>
            </w14:solidFill>
          </w14:textFill>
        </w:rPr>
        <w:t>5000.00</w:t>
      </w:r>
      <w:r>
        <w:rPr>
          <w:rFonts w:hint="eastAsia" w:ascii="仿宋" w:hAnsi="仿宋" w:eastAsia="仿宋" w:cs="仿宋"/>
          <w:color w:val="000000" w:themeColor="text1"/>
          <w:highlight w:val="none"/>
          <w14:textFill>
            <w14:solidFill>
              <w14:schemeClr w14:val="tx1"/>
            </w14:solidFill>
          </w14:textFill>
        </w:rPr>
        <w:t>元（大写：</w:t>
      </w:r>
      <w:r>
        <w:rPr>
          <w:rFonts w:hint="eastAsia" w:ascii="仿宋" w:hAnsi="仿宋" w:eastAsia="仿宋" w:cs="仿宋"/>
          <w:color w:val="000000" w:themeColor="text1"/>
          <w:highlight w:val="none"/>
          <w:lang w:val="en-US" w:eastAsia="zh-CN"/>
          <w14:textFill>
            <w14:solidFill>
              <w14:schemeClr w14:val="tx1"/>
            </w14:solidFill>
          </w14:textFill>
        </w:rPr>
        <w:t>伍仟元整</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auto"/>
        </w:rPr>
        <w:t>，投标人从企业的基本账户（开户行）在投标保证金到账截止前通过转账支票直接划付或以电汇方式直接划付至下面指定的投标保证金账户。不满足上述要求的投标保证金视为无效。投标人自行考虑汇入时间风险，如同城汇入、异地汇入、跨行汇入的时间要求。投标人必须在付款凭证备注栏中注明是“</w:t>
      </w:r>
      <w:r>
        <w:rPr>
          <w:rFonts w:hint="eastAsia" w:ascii="仿宋" w:hAnsi="仿宋" w:eastAsia="仿宋" w:cs="仿宋"/>
          <w:color w:val="auto"/>
          <w:lang w:eastAsia="zh-CN"/>
        </w:rPr>
        <w:t>重庆市大足区希望小学扩建工程（一标段）电梯</w:t>
      </w:r>
      <w:r>
        <w:rPr>
          <w:rFonts w:hint="eastAsia" w:ascii="仿宋" w:hAnsi="仿宋" w:eastAsia="仿宋" w:cs="仿宋"/>
          <w:color w:val="auto"/>
        </w:rPr>
        <w:t>”。项目名称可简写成：</w:t>
      </w:r>
      <w:r>
        <w:rPr>
          <w:rFonts w:hint="eastAsia" w:ascii="仿宋" w:hAnsi="仿宋" w:eastAsia="仿宋" w:cs="仿宋"/>
          <w:color w:val="auto"/>
          <w:lang w:val="en-US" w:eastAsia="zh-CN"/>
        </w:rPr>
        <w:t>希望小学电梯</w:t>
      </w:r>
      <w:r>
        <w:rPr>
          <w:rFonts w:hint="eastAsia" w:ascii="仿宋" w:hAnsi="仿宋" w:eastAsia="仿宋" w:cs="仿宋"/>
          <w:color w:val="auto"/>
        </w:rPr>
        <w:t xml:space="preserve">。 </w:t>
      </w:r>
    </w:p>
    <w:p w14:paraId="12FFCCB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投标保证金账户: 重庆翊博项目管理有限公司</w:t>
      </w:r>
    </w:p>
    <w:p w14:paraId="3FCFD55E">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银行名称:中国建设银行大足支行</w:t>
      </w:r>
    </w:p>
    <w:p w14:paraId="74785249">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银行账号:5005 0100 4341 0000 0924</w:t>
      </w:r>
    </w:p>
    <w:p w14:paraId="27F015FF">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投标保证金到账截止时间：同投标报价截止时间。各投标人在银行转账（电汇）时，须充分考虑银行转账（电汇）的时间差风险，如同城转账、异地转账或汇款、跨行转账或电汇的时间要求。</w:t>
      </w:r>
    </w:p>
    <w:p w14:paraId="4717336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（二）保证金退还方式</w:t>
      </w:r>
    </w:p>
    <w:p w14:paraId="29BD3BB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1.未中标投标人的保证金，比选代理机构在</w:t>
      </w:r>
      <w:r>
        <w:rPr>
          <w:rFonts w:hint="eastAsia" w:ascii="仿宋" w:hAnsi="仿宋" w:eastAsia="仿宋" w:cs="仿宋"/>
          <w:color w:val="auto"/>
        </w:rPr>
        <w:t>结果公示期结束后五个工作日</w:t>
      </w:r>
      <w:r>
        <w:rPr>
          <w:rFonts w:hint="eastAsia" w:ascii="仿宋" w:hAnsi="仿宋" w:eastAsia="仿宋" w:cs="仿宋"/>
          <w:color w:val="auto"/>
          <w:lang w:val="en-US" w:eastAsia="zh-CN"/>
        </w:rPr>
        <w:t>内退还。</w:t>
      </w:r>
    </w:p>
    <w:p w14:paraId="521CC39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2.中标人的保证金，在中标人与比选人签订合同后退还。</w:t>
      </w:r>
    </w:p>
    <w:p w14:paraId="184A7780">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56" w:name="_Toc21340"/>
      <w:r>
        <w:rPr>
          <w:rFonts w:hint="eastAsia" w:ascii="仿宋" w:hAnsi="仿宋" w:eastAsia="仿宋" w:cs="仿宋"/>
          <w:b/>
          <w:bCs/>
          <w:color w:val="auto"/>
        </w:rPr>
        <w:t>六、比选有关规定</w:t>
      </w:r>
      <w:bookmarkEnd w:id="51"/>
      <w:bookmarkEnd w:id="52"/>
      <w:bookmarkEnd w:id="53"/>
      <w:bookmarkEnd w:id="54"/>
      <w:bookmarkEnd w:id="55"/>
      <w:bookmarkEnd w:id="56"/>
    </w:p>
    <w:p w14:paraId="0719A9B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（一）单位负责人为同一人或者存在直接控股、管理关系的不同供应商，不得参加同一合同项下的采购活动，否则均为无效响应。</w:t>
      </w:r>
    </w:p>
    <w:p w14:paraId="34D6B8A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（二）为采购项目提供整体设计、规范编制或者项目管理、监理、检测等服务的供应商，不得再参加该采购项目的其他采购活动，否则均为无效响应。</w:t>
      </w:r>
    </w:p>
    <w:p w14:paraId="084C8B0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（三）同一项目的货物，制造商参与比选的，不得再委托代理商参与比选，否则均为无效响应。</w:t>
      </w:r>
    </w:p>
    <w:p w14:paraId="32CD866F">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（四）本项目的补遗文件（如果有）一律在“行采家(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）”上发布，请各供应商注意下载。无论供应商下载与否，均视同供应商已知晓相关内容。</w:t>
      </w:r>
    </w:p>
    <w:p w14:paraId="23818E0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（五）超过响应文件截止时间递交的响应文件，恕不接收。</w:t>
      </w:r>
    </w:p>
    <w:p w14:paraId="60101E5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（六）比选费用：无论比选结果如何，供应商参与本项目比选的所有费用均应由供应商自行承担。</w:t>
      </w:r>
    </w:p>
    <w:p w14:paraId="2ED77F4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七）供应商有下列情况之一的，其响应将被拒绝：在本项目响应文件递交截止日前三年内被列入失信被执行人、重大税收违法失信主体名单；被列入政府采购严重违法失信行为记录名单且在处罚期内的；其他不符合《中华人民共和国政府采购法》第二十二条规定条件的。</w:t>
      </w:r>
    </w:p>
    <w:p w14:paraId="6CD5A666">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hint="eastAsia" w:ascii="仿宋" w:hAnsi="仿宋" w:eastAsia="仿宋" w:cs="仿宋"/>
          <w:b/>
          <w:bCs/>
          <w:color w:val="auto"/>
        </w:rPr>
      </w:pPr>
      <w:bookmarkStart w:id="57" w:name="_Toc76462321"/>
      <w:bookmarkStart w:id="58" w:name="_Toc373860294"/>
      <w:bookmarkStart w:id="59" w:name="_Toc26803"/>
      <w:bookmarkStart w:id="60" w:name="_Toc29438"/>
      <w:bookmarkStart w:id="61" w:name="_Toc3146"/>
      <w:bookmarkStart w:id="62" w:name="_Toc108545957"/>
      <w:r>
        <w:rPr>
          <w:rFonts w:hint="eastAsia" w:ascii="仿宋" w:hAnsi="仿宋" w:eastAsia="仿宋" w:cs="仿宋"/>
          <w:b/>
          <w:bCs/>
          <w:color w:val="auto"/>
        </w:rPr>
        <w:t>七</w:t>
      </w:r>
      <w:bookmarkEnd w:id="57"/>
      <w:bookmarkEnd w:id="58"/>
      <w:r>
        <w:rPr>
          <w:rFonts w:hint="eastAsia" w:ascii="仿宋" w:hAnsi="仿宋" w:eastAsia="仿宋" w:cs="仿宋"/>
          <w:b/>
          <w:bCs/>
          <w:color w:val="auto"/>
        </w:rPr>
        <w:t>、联系方式</w:t>
      </w:r>
      <w:bookmarkEnd w:id="59"/>
      <w:bookmarkEnd w:id="60"/>
      <w:bookmarkEnd w:id="61"/>
      <w:bookmarkEnd w:id="62"/>
    </w:p>
    <w:p w14:paraId="0624ACE9">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（一）采购人：</w:t>
      </w:r>
      <w:r>
        <w:rPr>
          <w:rFonts w:hint="eastAsia" w:ascii="仿宋" w:hAnsi="仿宋" w:eastAsia="仿宋" w:cs="仿宋"/>
          <w:color w:val="auto"/>
          <w:lang w:eastAsia="zh-CN"/>
        </w:rPr>
        <w:t>重庆大足实业发展集团有限公司</w:t>
      </w:r>
    </w:p>
    <w:p w14:paraId="7DB0FA97">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联系人：</w:t>
      </w:r>
      <w:r>
        <w:rPr>
          <w:rFonts w:hint="eastAsia" w:ascii="仿宋" w:hAnsi="仿宋" w:eastAsia="仿宋" w:cs="仿宋"/>
          <w:color w:val="auto"/>
          <w:lang w:eastAsia="zh-CN"/>
        </w:rPr>
        <w:t>胡老师</w:t>
      </w:r>
    </w:p>
    <w:p w14:paraId="5FDC005E">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rPr>
        <w:t>联系电话：</w:t>
      </w:r>
      <w:r>
        <w:rPr>
          <w:rFonts w:hint="eastAsia" w:ascii="仿宋" w:hAnsi="仿宋" w:eastAsia="仿宋" w:cs="仿宋"/>
          <w:color w:val="auto"/>
          <w:lang w:val="en-US" w:eastAsia="zh-CN"/>
        </w:rPr>
        <w:t>43778966</w:t>
      </w:r>
    </w:p>
    <w:p w14:paraId="27780707">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lang w:eastAsia="zh-CN"/>
        </w:rPr>
        <w:t>重庆市大足区广电大厦</w:t>
      </w:r>
      <w:r>
        <w:rPr>
          <w:rFonts w:hint="eastAsia" w:ascii="仿宋" w:hAnsi="仿宋" w:eastAsia="仿宋" w:cs="仿宋"/>
          <w:color w:val="auto"/>
          <w:lang w:val="en-US" w:eastAsia="zh-CN"/>
        </w:rPr>
        <w:t>18</w:t>
      </w:r>
      <w:r>
        <w:rPr>
          <w:rFonts w:hint="eastAsia" w:ascii="仿宋" w:hAnsi="仿宋" w:eastAsia="仿宋" w:cs="仿宋"/>
          <w:color w:val="auto"/>
          <w:lang w:eastAsia="zh-CN"/>
        </w:rPr>
        <w:t>楼</w:t>
      </w:r>
      <w:r>
        <w:rPr>
          <w:rFonts w:hint="eastAsia" w:ascii="仿宋" w:hAnsi="仿宋" w:eastAsia="仿宋" w:cs="仿宋"/>
          <w:color w:val="auto"/>
        </w:rPr>
        <w:t>。</w:t>
      </w:r>
    </w:p>
    <w:p w14:paraId="7F5EACE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（二）采购代理机构：</w:t>
      </w:r>
      <w:r>
        <w:rPr>
          <w:rFonts w:hint="eastAsia" w:ascii="仿宋" w:hAnsi="仿宋" w:eastAsia="仿宋" w:cs="仿宋"/>
          <w:color w:val="auto"/>
          <w:lang w:eastAsia="zh-CN"/>
        </w:rPr>
        <w:t>重庆翊博项目管理有限公司</w:t>
      </w:r>
    </w:p>
    <w:p w14:paraId="41D28ED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联系人：</w:t>
      </w:r>
      <w:r>
        <w:rPr>
          <w:rFonts w:hint="eastAsia" w:ascii="仿宋" w:hAnsi="仿宋" w:eastAsia="仿宋" w:cs="仿宋"/>
          <w:color w:val="auto"/>
          <w:lang w:eastAsia="zh-CN"/>
        </w:rPr>
        <w:t>雷老师</w:t>
      </w:r>
    </w:p>
    <w:p w14:paraId="41734FB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电  话：</w:t>
      </w:r>
      <w:r>
        <w:rPr>
          <w:rFonts w:hint="eastAsia" w:ascii="仿宋" w:hAnsi="仿宋" w:eastAsia="仿宋" w:cs="仿宋"/>
          <w:color w:val="auto"/>
          <w:lang w:eastAsia="zh-CN"/>
        </w:rPr>
        <w:t>19946872240</w:t>
      </w:r>
    </w:p>
    <w:p w14:paraId="1D383B2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地  址：</w:t>
      </w:r>
      <w:bookmarkEnd w:id="27"/>
      <w:bookmarkStart w:id="63" w:name="_Toc102227313"/>
      <w:bookmarkStart w:id="64" w:name="_Toc376349875"/>
      <w:bookmarkStart w:id="65" w:name="_Toc152480141"/>
      <w:r>
        <w:rPr>
          <w:rFonts w:hint="eastAsia" w:ascii="仿宋" w:hAnsi="仿宋" w:eastAsia="仿宋" w:cs="仿宋"/>
          <w:color w:val="auto"/>
          <w:lang w:eastAsia="zh-CN"/>
        </w:rPr>
        <w:t>重庆市大足区棠香街道棠凤路409号2-12</w:t>
      </w:r>
      <w:r>
        <w:rPr>
          <w:rFonts w:hint="eastAsia" w:ascii="仿宋" w:hAnsi="仿宋" w:eastAsia="仿宋" w:cs="仿宋"/>
          <w:color w:val="auto"/>
        </w:rPr>
        <w:t>。</w:t>
      </w:r>
      <w:bookmarkEnd w:id="15"/>
      <w:bookmarkEnd w:id="16"/>
      <w:bookmarkEnd w:id="17"/>
      <w:bookmarkEnd w:id="18"/>
      <w:bookmarkEnd w:id="19"/>
      <w:bookmarkEnd w:id="63"/>
      <w:bookmarkEnd w:id="64"/>
      <w:bookmarkEnd w:id="65"/>
      <w:bookmarkStart w:id="66" w:name="_Toc128744991"/>
      <w:bookmarkStart w:id="67" w:name="_Toc27407"/>
      <w:bookmarkStart w:id="68" w:name="_Toc25510"/>
      <w:bookmarkStart w:id="69" w:name="_Toc108545968"/>
    </w:p>
    <w:p w14:paraId="7B50C271">
      <w:pPr>
        <w:keepNext w:val="0"/>
        <w:keepLines w:val="0"/>
        <w:pageBreakBefore w:val="0"/>
        <w:kinsoku/>
        <w:overflowPunct/>
        <w:topLinePunct w:val="0"/>
        <w:autoSpaceDE/>
        <w:autoSpaceDN/>
        <w:bidi w:val="0"/>
        <w:adjustRightInd/>
        <w:textAlignment w:val="auto"/>
        <w:outlineLvl w:val="9"/>
        <w:rPr>
          <w:rFonts w:hint="eastAsia" w:ascii="仿宋" w:hAnsi="仿宋" w:eastAsia="仿宋" w:cs="仿宋"/>
          <w:b/>
          <w:bCs/>
          <w:color w:val="auto"/>
          <w:sz w:val="32"/>
          <w:szCs w:val="32"/>
        </w:rPr>
      </w:pPr>
      <w:bookmarkStart w:id="70" w:name="OLE_LINK77"/>
      <w:bookmarkStart w:id="71" w:name="OLE_LINK76"/>
    </w:p>
    <w:p w14:paraId="6CA73F37">
      <w:pPr>
        <w:keepNext w:val="0"/>
        <w:keepLines w:val="0"/>
        <w:pageBreakBefore w:val="0"/>
        <w:widowControl/>
        <w:kinsoku/>
        <w:wordWrap/>
        <w:overflowPunct/>
        <w:topLinePunct w:val="0"/>
        <w:autoSpaceDE/>
        <w:autoSpaceDN/>
        <w:bidi w:val="0"/>
        <w:adjustRightInd/>
        <w:snapToGrid w:val="0"/>
        <w:spacing w:line="440" w:lineRule="exact"/>
        <w:jc w:val="center"/>
        <w:textAlignment w:val="auto"/>
        <w:outlineLvl w:val="0"/>
        <w:rPr>
          <w:rFonts w:hint="eastAsia" w:ascii="仿宋" w:hAnsi="仿宋" w:eastAsia="仿宋" w:cs="仿宋"/>
          <w:b/>
          <w:bCs/>
          <w:color w:val="auto"/>
          <w:sz w:val="32"/>
          <w:szCs w:val="32"/>
        </w:rPr>
      </w:pPr>
      <w:bookmarkStart w:id="72" w:name="_Toc11352"/>
      <w:r>
        <w:rPr>
          <w:rFonts w:hint="eastAsia" w:ascii="仿宋" w:hAnsi="仿宋" w:eastAsia="仿宋" w:cs="仿宋"/>
          <w:b/>
          <w:bCs/>
          <w:color w:val="auto"/>
          <w:sz w:val="32"/>
          <w:szCs w:val="32"/>
        </w:rPr>
        <w:t xml:space="preserve">第二篇  </w:t>
      </w:r>
      <w:bookmarkEnd w:id="66"/>
      <w:r>
        <w:rPr>
          <w:rFonts w:hint="eastAsia" w:ascii="仿宋" w:hAnsi="仿宋" w:eastAsia="仿宋" w:cs="仿宋"/>
          <w:b/>
          <w:bCs/>
          <w:color w:val="auto"/>
          <w:sz w:val="32"/>
          <w:szCs w:val="32"/>
        </w:rPr>
        <w:t>项目技术需求</w:t>
      </w:r>
      <w:bookmarkEnd w:id="67"/>
      <w:bookmarkEnd w:id="68"/>
      <w:bookmarkEnd w:id="69"/>
      <w:bookmarkEnd w:id="72"/>
    </w:p>
    <w:p w14:paraId="7516574A">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bookmarkStart w:id="73" w:name="_Toc28982"/>
      <w:bookmarkStart w:id="74" w:name="_Toc30534"/>
      <w:bookmarkStart w:id="75" w:name="_Toc83805584"/>
      <w:bookmarkStart w:id="76" w:name="_Toc54879125"/>
      <w:bookmarkStart w:id="77" w:name="_Toc91171606"/>
      <w:bookmarkStart w:id="78" w:name="_Toc9220"/>
      <w:bookmarkStart w:id="79" w:name="_Toc78793920"/>
      <w:bookmarkStart w:id="80" w:name="_Toc37860275"/>
      <w:bookmarkStart w:id="81" w:name="_Toc11115"/>
      <w:bookmarkStart w:id="82" w:name="_Toc108545970"/>
      <w:bookmarkStart w:id="83" w:name="_Toc55403966"/>
      <w:bookmarkStart w:id="84" w:name="_Toc128744993"/>
      <w:bookmarkStart w:id="85" w:name="_Toc12789058"/>
    </w:p>
    <w:p w14:paraId="767814DB">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86" w:name="_Toc27579"/>
      <w:r>
        <w:rPr>
          <w:rFonts w:hint="eastAsia" w:ascii="仿宋" w:hAnsi="仿宋" w:eastAsia="仿宋" w:cs="仿宋"/>
          <w:b/>
          <w:bCs/>
          <w:color w:val="auto"/>
        </w:rPr>
        <w:t>一、</w:t>
      </w:r>
      <w:bookmarkStart w:id="87" w:name="_Toc106030879"/>
      <w:r>
        <w:rPr>
          <w:rFonts w:hint="eastAsia" w:ascii="仿宋" w:hAnsi="仿宋" w:eastAsia="仿宋" w:cs="仿宋"/>
          <w:b/>
          <w:bCs/>
          <w:color w:val="auto"/>
        </w:rPr>
        <w:t>项目基本概况介绍</w:t>
      </w:r>
      <w:bookmarkEnd w:id="73"/>
      <w:bookmarkEnd w:id="74"/>
      <w:bookmarkEnd w:id="86"/>
      <w:bookmarkEnd w:id="87"/>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2334"/>
        <w:gridCol w:w="1949"/>
        <w:gridCol w:w="4333"/>
      </w:tblGrid>
      <w:tr w14:paraId="438F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4" w:type="pct"/>
            <w:vAlign w:val="center"/>
          </w:tcPr>
          <w:p w14:paraId="1FB256F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序号</w:t>
            </w:r>
          </w:p>
        </w:tc>
        <w:tc>
          <w:tcPr>
            <w:tcW w:w="1171" w:type="pct"/>
            <w:vAlign w:val="center"/>
          </w:tcPr>
          <w:p w14:paraId="2BE05C5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设备名称</w:t>
            </w:r>
          </w:p>
        </w:tc>
        <w:tc>
          <w:tcPr>
            <w:tcW w:w="978" w:type="pct"/>
            <w:vAlign w:val="center"/>
          </w:tcPr>
          <w:p w14:paraId="13A8EEE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数量/单位</w:t>
            </w:r>
          </w:p>
        </w:tc>
        <w:tc>
          <w:tcPr>
            <w:tcW w:w="2174" w:type="pct"/>
            <w:vAlign w:val="center"/>
          </w:tcPr>
          <w:p w14:paraId="06BF81D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备注</w:t>
            </w:r>
          </w:p>
        </w:tc>
      </w:tr>
      <w:tr w14:paraId="0618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4" w:type="pct"/>
            <w:vAlign w:val="center"/>
          </w:tcPr>
          <w:p w14:paraId="70D33E31">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171" w:type="pct"/>
            <w:vAlign w:val="center"/>
          </w:tcPr>
          <w:p w14:paraId="008B8535">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电梯</w:t>
            </w:r>
          </w:p>
        </w:tc>
        <w:tc>
          <w:tcPr>
            <w:tcW w:w="978" w:type="pct"/>
            <w:vAlign w:val="center"/>
          </w:tcPr>
          <w:p w14:paraId="3E7F872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台</w:t>
            </w:r>
          </w:p>
        </w:tc>
        <w:tc>
          <w:tcPr>
            <w:tcW w:w="2174" w:type="pct"/>
            <w:vAlign w:val="center"/>
          </w:tcPr>
          <w:p w14:paraId="5343488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default" w:ascii="仿宋" w:hAnsi="仿宋" w:eastAsia="仿宋" w:cs="仿宋"/>
                <w:color w:val="auto"/>
                <w:lang w:val="en-US" w:eastAsia="zh-CN"/>
              </w:rPr>
            </w:pPr>
            <w:r>
              <w:rPr>
                <w:rFonts w:hint="eastAsia" w:ascii="仿宋" w:hAnsi="仿宋" w:eastAsia="仿宋" w:cs="仿宋"/>
                <w:color w:val="auto"/>
                <w:sz w:val="22"/>
                <w:szCs w:val="22"/>
                <w:lang w:val="en-US" w:eastAsia="zh-CN"/>
              </w:rPr>
              <w:t>电梯安装</w:t>
            </w:r>
          </w:p>
        </w:tc>
      </w:tr>
    </w:tbl>
    <w:p w14:paraId="7D16036D">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88" w:name="_Toc106030880"/>
      <w:bookmarkStart w:id="89" w:name="_Toc3757"/>
      <w:bookmarkStart w:id="90" w:name="_Toc22014"/>
      <w:bookmarkStart w:id="91" w:name="_Toc26233"/>
      <w:r>
        <w:rPr>
          <w:rFonts w:hint="eastAsia" w:ascii="仿宋" w:hAnsi="仿宋" w:eastAsia="仿宋" w:cs="仿宋"/>
          <w:b/>
          <w:bCs/>
          <w:color w:val="auto"/>
        </w:rPr>
        <w:t>二、</w:t>
      </w:r>
      <w:bookmarkEnd w:id="88"/>
      <w:r>
        <w:rPr>
          <w:rFonts w:hint="eastAsia" w:ascii="仿宋" w:hAnsi="仿宋" w:eastAsia="仿宋" w:cs="仿宋"/>
          <w:b/>
          <w:bCs/>
          <w:color w:val="auto"/>
        </w:rPr>
        <w:t>技术要求</w:t>
      </w:r>
      <w:bookmarkEnd w:id="89"/>
      <w:bookmarkEnd w:id="90"/>
      <w:bookmarkEnd w:id="91"/>
    </w:p>
    <w:p w14:paraId="1F10E3D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（一）项目概况</w:t>
      </w:r>
    </w:p>
    <w:p w14:paraId="149A334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1．项目规模：</w:t>
      </w:r>
      <w:r>
        <w:rPr>
          <w:rFonts w:hint="eastAsia" w:ascii="仿宋" w:hAnsi="仿宋" w:eastAsia="仿宋" w:cs="仿宋"/>
          <w:color w:val="auto"/>
          <w:lang w:val="en-US" w:eastAsia="zh-CN"/>
        </w:rPr>
        <w:t>1</w:t>
      </w:r>
      <w:r>
        <w:rPr>
          <w:rFonts w:hint="eastAsia" w:ascii="仿宋" w:hAnsi="仿宋" w:eastAsia="仿宋" w:cs="仿宋"/>
          <w:color w:val="auto"/>
        </w:rPr>
        <w:t>台电梯。</w:t>
      </w:r>
    </w:p>
    <w:p w14:paraId="757B069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2．比选范围：</w:t>
      </w:r>
      <w:r>
        <w:rPr>
          <w:rFonts w:hint="eastAsia" w:ascii="仿宋" w:hAnsi="仿宋" w:eastAsia="仿宋" w:cs="仿宋"/>
          <w:color w:val="auto"/>
          <w:lang w:val="en-US" w:eastAsia="zh-CN"/>
        </w:rPr>
        <w:t>1</w:t>
      </w:r>
      <w:r>
        <w:rPr>
          <w:rFonts w:hint="eastAsia" w:ascii="仿宋" w:hAnsi="仿宋" w:eastAsia="仿宋" w:cs="仿宋"/>
          <w:color w:val="auto"/>
        </w:rPr>
        <w:t>台电梯设备采购、安装工程以及其中涉及的所有工程内容相关工作。包括但不限于设备供货（含备品、备件、装配、出厂前测试和检测、检验、包装、运输、保险费）；设备安装（安装开工申报、设备起吊、调试、试运行、质监检验费、安装完毕检测申报、人员安全技术培训、技术资料提交）、安全文明施工专项费用、增值税、5方通话安装；电梯外附属项目包括但不限于电梯主机</w:t>
      </w:r>
      <w:r>
        <w:rPr>
          <w:rFonts w:hint="eastAsia" w:ascii="仿宋" w:hAnsi="仿宋" w:eastAsia="仿宋" w:cs="仿宋"/>
          <w:color w:val="auto"/>
          <w:lang w:val="en-US" w:eastAsia="zh-CN"/>
        </w:rPr>
        <w:t>到</w:t>
      </w:r>
      <w:r>
        <w:rPr>
          <w:rFonts w:hint="eastAsia" w:ascii="仿宋" w:hAnsi="仿宋" w:eastAsia="仿宋" w:cs="仿宋"/>
          <w:color w:val="auto"/>
        </w:rPr>
        <w:t>电梯控制柜的电缆等。</w:t>
      </w:r>
    </w:p>
    <w:p w14:paraId="06C124C1">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（二）技术参数</w:t>
      </w:r>
    </w:p>
    <w:p w14:paraId="59969C77">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★1、电梯参数</w:t>
      </w:r>
    </w:p>
    <w:tbl>
      <w:tblPr>
        <w:tblStyle w:val="25"/>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870"/>
        <w:gridCol w:w="913"/>
        <w:gridCol w:w="902"/>
        <w:gridCol w:w="855"/>
        <w:gridCol w:w="1245"/>
        <w:gridCol w:w="885"/>
        <w:gridCol w:w="1305"/>
        <w:gridCol w:w="1285"/>
        <w:gridCol w:w="1006"/>
      </w:tblGrid>
      <w:tr w14:paraId="7C6A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122" w:type="dxa"/>
            <w:vMerge w:val="restart"/>
            <w:tcBorders>
              <w:top w:val="thinThickSmallGap" w:color="auto" w:sz="12" w:space="0"/>
              <w:left w:val="thinThickSmallGap" w:color="auto" w:sz="12" w:space="0"/>
            </w:tcBorders>
            <w:vAlign w:val="center"/>
          </w:tcPr>
          <w:p w14:paraId="0520EFA0">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楼栋</w:t>
            </w:r>
          </w:p>
        </w:tc>
        <w:tc>
          <w:tcPr>
            <w:tcW w:w="870" w:type="dxa"/>
            <w:vMerge w:val="restart"/>
            <w:tcBorders>
              <w:top w:val="thinThickSmallGap" w:color="auto" w:sz="12" w:space="0"/>
              <w:left w:val="single" w:color="auto" w:sz="4" w:space="0"/>
            </w:tcBorders>
            <w:vAlign w:val="center"/>
          </w:tcPr>
          <w:p w14:paraId="62B1CBEF">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有无机房</w:t>
            </w:r>
          </w:p>
        </w:tc>
        <w:tc>
          <w:tcPr>
            <w:tcW w:w="913" w:type="dxa"/>
            <w:vMerge w:val="restart"/>
            <w:tcBorders>
              <w:top w:val="thinThickSmallGap" w:color="auto" w:sz="12" w:space="0"/>
            </w:tcBorders>
            <w:vAlign w:val="center"/>
          </w:tcPr>
          <w:p w14:paraId="41B11A89">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产品名称</w:t>
            </w:r>
          </w:p>
        </w:tc>
        <w:tc>
          <w:tcPr>
            <w:tcW w:w="3002" w:type="dxa"/>
            <w:gridSpan w:val="3"/>
            <w:tcBorders>
              <w:top w:val="thinThickSmallGap" w:color="auto" w:sz="12" w:space="0"/>
            </w:tcBorders>
            <w:vAlign w:val="center"/>
          </w:tcPr>
          <w:p w14:paraId="683B3BF5">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规格</w:t>
            </w:r>
          </w:p>
        </w:tc>
        <w:tc>
          <w:tcPr>
            <w:tcW w:w="885" w:type="dxa"/>
            <w:vMerge w:val="restart"/>
            <w:tcBorders>
              <w:top w:val="thinThickSmallGap" w:color="auto" w:sz="12" w:space="0"/>
            </w:tcBorders>
            <w:vAlign w:val="center"/>
          </w:tcPr>
          <w:p w14:paraId="3099CF29">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数量</w:t>
            </w:r>
          </w:p>
          <w:p w14:paraId="381B61EB">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305" w:type="dxa"/>
            <w:vMerge w:val="restart"/>
            <w:tcBorders>
              <w:top w:val="thinThickSmallGap" w:color="auto" w:sz="12" w:space="0"/>
            </w:tcBorders>
            <w:vAlign w:val="center"/>
          </w:tcPr>
          <w:p w14:paraId="550D3AF2">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顶层高度(mm)</w:t>
            </w:r>
          </w:p>
        </w:tc>
        <w:tc>
          <w:tcPr>
            <w:tcW w:w="1285" w:type="dxa"/>
            <w:vMerge w:val="restart"/>
            <w:tcBorders>
              <w:top w:val="thinThickSmallGap" w:color="auto" w:sz="12" w:space="0"/>
            </w:tcBorders>
            <w:vAlign w:val="center"/>
          </w:tcPr>
          <w:p w14:paraId="083D24BE">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底坑深度(mm)</w:t>
            </w:r>
          </w:p>
        </w:tc>
        <w:tc>
          <w:tcPr>
            <w:tcW w:w="1006" w:type="dxa"/>
            <w:vMerge w:val="restart"/>
            <w:tcBorders>
              <w:top w:val="thinThickSmallGap" w:color="auto" w:sz="12" w:space="0"/>
              <w:right w:val="thickThinSmallGap" w:color="auto" w:sz="12" w:space="0"/>
            </w:tcBorders>
            <w:vAlign w:val="center"/>
          </w:tcPr>
          <w:p w14:paraId="31313CA4">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5781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122" w:type="dxa"/>
            <w:vMerge w:val="continue"/>
            <w:tcBorders>
              <w:left w:val="thinThickSmallGap" w:color="auto" w:sz="12" w:space="0"/>
            </w:tcBorders>
            <w:vAlign w:val="center"/>
          </w:tcPr>
          <w:p w14:paraId="0CF850AB">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870" w:type="dxa"/>
            <w:vMerge w:val="continue"/>
            <w:tcBorders>
              <w:left w:val="single" w:color="auto" w:sz="4" w:space="0"/>
            </w:tcBorders>
            <w:vAlign w:val="center"/>
          </w:tcPr>
          <w:p w14:paraId="226E83F9">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913" w:type="dxa"/>
            <w:vMerge w:val="continue"/>
            <w:vAlign w:val="center"/>
          </w:tcPr>
          <w:p w14:paraId="014291DA">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902" w:type="dxa"/>
            <w:tcBorders>
              <w:top w:val="single" w:color="auto" w:sz="4" w:space="0"/>
            </w:tcBorders>
            <w:vAlign w:val="center"/>
          </w:tcPr>
          <w:p w14:paraId="7B9B7777">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载重</w:t>
            </w:r>
          </w:p>
          <w:p w14:paraId="1C6093C7">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(kg)</w:t>
            </w:r>
          </w:p>
        </w:tc>
        <w:tc>
          <w:tcPr>
            <w:tcW w:w="855" w:type="dxa"/>
            <w:tcBorders>
              <w:top w:val="single" w:color="auto" w:sz="4" w:space="0"/>
            </w:tcBorders>
            <w:vAlign w:val="center"/>
          </w:tcPr>
          <w:p w14:paraId="24FCCF88">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速度</w:t>
            </w:r>
          </w:p>
          <w:p w14:paraId="3022AF6D">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(m/s)</w:t>
            </w:r>
          </w:p>
        </w:tc>
        <w:tc>
          <w:tcPr>
            <w:tcW w:w="1245" w:type="dxa"/>
            <w:tcBorders>
              <w:top w:val="single" w:color="auto" w:sz="4" w:space="0"/>
            </w:tcBorders>
            <w:vAlign w:val="center"/>
          </w:tcPr>
          <w:p w14:paraId="530F3CF7">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层/站/门</w:t>
            </w:r>
          </w:p>
        </w:tc>
        <w:tc>
          <w:tcPr>
            <w:tcW w:w="885" w:type="dxa"/>
            <w:vMerge w:val="continue"/>
            <w:vAlign w:val="center"/>
          </w:tcPr>
          <w:p w14:paraId="06619D86">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1305" w:type="dxa"/>
            <w:vMerge w:val="continue"/>
            <w:vAlign w:val="center"/>
          </w:tcPr>
          <w:p w14:paraId="354D94E4">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1285" w:type="dxa"/>
            <w:vMerge w:val="continue"/>
            <w:vAlign w:val="center"/>
          </w:tcPr>
          <w:p w14:paraId="5141DD9C">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c>
          <w:tcPr>
            <w:tcW w:w="1006" w:type="dxa"/>
            <w:vMerge w:val="continue"/>
            <w:tcBorders>
              <w:right w:val="thickThinSmallGap" w:color="auto" w:sz="12" w:space="0"/>
            </w:tcBorders>
            <w:vAlign w:val="center"/>
          </w:tcPr>
          <w:p w14:paraId="46558E6E">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p>
        </w:tc>
      </w:tr>
      <w:tr w14:paraId="21A7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122" w:type="dxa"/>
            <w:tcBorders>
              <w:left w:val="thinThickSmallGap" w:color="auto" w:sz="12" w:space="0"/>
            </w:tcBorders>
            <w:vAlign w:val="center"/>
          </w:tcPr>
          <w:p w14:paraId="0192005A">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综合楼</w:t>
            </w:r>
          </w:p>
        </w:tc>
        <w:tc>
          <w:tcPr>
            <w:tcW w:w="870" w:type="dxa"/>
            <w:tcBorders>
              <w:left w:val="single" w:color="auto" w:sz="4" w:space="0"/>
            </w:tcBorders>
            <w:vAlign w:val="center"/>
          </w:tcPr>
          <w:p w14:paraId="71DC5543">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无</w:t>
            </w:r>
          </w:p>
        </w:tc>
        <w:tc>
          <w:tcPr>
            <w:tcW w:w="913" w:type="dxa"/>
            <w:vAlign w:val="center"/>
          </w:tcPr>
          <w:p w14:paraId="21A77C6F">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乘客电梯</w:t>
            </w:r>
          </w:p>
        </w:tc>
        <w:tc>
          <w:tcPr>
            <w:tcW w:w="902" w:type="dxa"/>
            <w:vAlign w:val="center"/>
          </w:tcPr>
          <w:p w14:paraId="7799360E">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1050</w:t>
            </w:r>
          </w:p>
        </w:tc>
        <w:tc>
          <w:tcPr>
            <w:tcW w:w="855" w:type="dxa"/>
            <w:vAlign w:val="center"/>
          </w:tcPr>
          <w:p w14:paraId="55E8C44C">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245" w:type="dxa"/>
            <w:vAlign w:val="center"/>
          </w:tcPr>
          <w:p w14:paraId="5B961173">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5/5/5</w:t>
            </w:r>
          </w:p>
        </w:tc>
        <w:tc>
          <w:tcPr>
            <w:tcW w:w="885" w:type="dxa"/>
            <w:vAlign w:val="center"/>
          </w:tcPr>
          <w:p w14:paraId="3591246E">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240" w:firstLineChars="100"/>
              <w:jc w:val="both"/>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05" w:type="dxa"/>
            <w:vAlign w:val="center"/>
          </w:tcPr>
          <w:p w14:paraId="71479977">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4400</w:t>
            </w:r>
          </w:p>
        </w:tc>
        <w:tc>
          <w:tcPr>
            <w:tcW w:w="1285" w:type="dxa"/>
            <w:vAlign w:val="center"/>
          </w:tcPr>
          <w:p w14:paraId="0C6807A9">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w:t>
            </w:r>
          </w:p>
        </w:tc>
        <w:tc>
          <w:tcPr>
            <w:tcW w:w="1006" w:type="dxa"/>
            <w:tcBorders>
              <w:right w:val="thickThinSmallGap" w:color="auto" w:sz="12" w:space="0"/>
            </w:tcBorders>
            <w:vAlign w:val="center"/>
          </w:tcPr>
          <w:p w14:paraId="0E8A2FB5">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default" w:ascii="仿宋" w:hAnsi="仿宋" w:eastAsia="仿宋" w:cs="仿宋"/>
                <w:color w:val="auto"/>
                <w:sz w:val="24"/>
                <w:szCs w:val="24"/>
                <w:lang w:val="en-US"/>
              </w:rPr>
            </w:pPr>
          </w:p>
        </w:tc>
      </w:tr>
      <w:tr w14:paraId="43E6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662" w:type="dxa"/>
            <w:gridSpan w:val="5"/>
            <w:tcBorders>
              <w:left w:val="thinThickSmallGap" w:color="auto" w:sz="12" w:space="0"/>
            </w:tcBorders>
            <w:vAlign w:val="center"/>
          </w:tcPr>
          <w:p w14:paraId="068E8315">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井道尺寸</w:t>
            </w:r>
          </w:p>
        </w:tc>
        <w:tc>
          <w:tcPr>
            <w:tcW w:w="5726" w:type="dxa"/>
            <w:gridSpan w:val="5"/>
            <w:tcBorders>
              <w:right w:val="thickThinSmallGap" w:color="auto" w:sz="12" w:space="0"/>
            </w:tcBorders>
            <w:vAlign w:val="center"/>
          </w:tcPr>
          <w:p w14:paraId="5760B80A">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default" w:ascii="仿宋" w:hAnsi="仿宋" w:eastAsia="仿宋" w:cs="仿宋"/>
                <w:color w:val="auto"/>
                <w:sz w:val="24"/>
                <w:szCs w:val="24"/>
                <w:lang w:val="en-US"/>
              </w:rPr>
            </w:pPr>
            <w:r>
              <w:rPr>
                <w:rFonts w:hint="eastAsia" w:ascii="仿宋" w:hAnsi="仿宋" w:eastAsia="仿宋" w:cs="仿宋"/>
                <w:color w:val="auto"/>
                <w:sz w:val="24"/>
                <w:szCs w:val="24"/>
              </w:rPr>
              <w:t>轿厢尺寸</w:t>
            </w:r>
          </w:p>
        </w:tc>
      </w:tr>
      <w:tr w14:paraId="5CC6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662" w:type="dxa"/>
            <w:gridSpan w:val="5"/>
            <w:tcBorders>
              <w:left w:val="thinThickSmallGap" w:color="auto" w:sz="12" w:space="0"/>
            </w:tcBorders>
            <w:vAlign w:val="center"/>
          </w:tcPr>
          <w:p w14:paraId="095B4B18">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（净宽）</w:t>
            </w:r>
            <w:r>
              <w:rPr>
                <w:rFonts w:hint="eastAsia" w:ascii="仿宋" w:hAnsi="仿宋" w:eastAsia="仿宋" w:cs="仿宋"/>
                <w:color w:val="auto"/>
                <w:sz w:val="24"/>
                <w:szCs w:val="24"/>
                <w:u w:val="single"/>
                <w:lang w:val="en-US" w:eastAsia="zh-CN"/>
              </w:rPr>
              <w:t>2200</w:t>
            </w:r>
            <w:r>
              <w:rPr>
                <w:rFonts w:hint="eastAsia" w:ascii="仿宋" w:hAnsi="仿宋" w:eastAsia="仿宋" w:cs="仿宋"/>
                <w:color w:val="auto"/>
                <w:sz w:val="24"/>
                <w:szCs w:val="24"/>
              </w:rPr>
              <w:t>mm（净深）</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2200</w:t>
            </w:r>
            <w:r>
              <w:rPr>
                <w:rFonts w:hint="eastAsia" w:ascii="仿宋" w:hAnsi="仿宋" w:eastAsia="仿宋" w:cs="仿宋"/>
                <w:color w:val="auto"/>
                <w:sz w:val="24"/>
                <w:szCs w:val="24"/>
              </w:rPr>
              <w:t>mm</w:t>
            </w:r>
          </w:p>
        </w:tc>
        <w:tc>
          <w:tcPr>
            <w:tcW w:w="5726" w:type="dxa"/>
            <w:gridSpan w:val="5"/>
            <w:tcBorders>
              <w:right w:val="thickThinSmallGap" w:color="auto" w:sz="12" w:space="0"/>
            </w:tcBorders>
            <w:vAlign w:val="center"/>
          </w:tcPr>
          <w:p w14:paraId="583EF7FB">
            <w:pPr>
              <w:keepNext w:val="0"/>
              <w:keepLines w:val="0"/>
              <w:pageBreakBefore w:val="0"/>
              <w:widowControl w:val="0"/>
              <w:tabs>
                <w:tab w:val="right" w:leader="dot" w:pos="8820"/>
              </w:tabs>
              <w:kinsoku/>
              <w:overflowPunct/>
              <w:topLinePunct w:val="0"/>
              <w:autoSpaceDE/>
              <w:autoSpaceDN/>
              <w:bidi w:val="0"/>
              <w:adjustRightInd/>
              <w:snapToGrid w:val="0"/>
              <w:spacing w:line="240" w:lineRule="auto"/>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（净宽）</w:t>
            </w:r>
            <w:r>
              <w:rPr>
                <w:rFonts w:hint="eastAsia" w:ascii="仿宋" w:hAnsi="仿宋" w:eastAsia="仿宋" w:cs="仿宋"/>
                <w:color w:val="auto"/>
                <w:sz w:val="24"/>
                <w:szCs w:val="24"/>
                <w:u w:val="single"/>
                <w:lang w:val="en-US" w:eastAsia="zh-CN"/>
              </w:rPr>
              <w:t>1300</w:t>
            </w:r>
            <w:r>
              <w:rPr>
                <w:rFonts w:hint="eastAsia" w:ascii="仿宋" w:hAnsi="仿宋" w:eastAsia="仿宋" w:cs="仿宋"/>
                <w:color w:val="auto"/>
                <w:sz w:val="24"/>
                <w:szCs w:val="24"/>
                <w:u w:val="none"/>
              </w:rPr>
              <w:t>mm</w:t>
            </w:r>
            <w:r>
              <w:rPr>
                <w:rFonts w:hint="eastAsia" w:ascii="仿宋" w:hAnsi="仿宋" w:eastAsia="仿宋" w:cs="仿宋"/>
                <w:color w:val="auto"/>
                <w:sz w:val="24"/>
                <w:szCs w:val="24"/>
              </w:rPr>
              <w:t>（净深）</w:t>
            </w:r>
            <w:r>
              <w:rPr>
                <w:rFonts w:hint="eastAsia" w:ascii="仿宋" w:hAnsi="仿宋" w:eastAsia="仿宋" w:cs="仿宋"/>
                <w:color w:val="auto"/>
                <w:sz w:val="24"/>
                <w:szCs w:val="24"/>
                <w:u w:val="single"/>
                <w:lang w:val="en-US" w:eastAsia="zh-CN"/>
              </w:rPr>
              <w:t xml:space="preserve">1800 </w:t>
            </w:r>
            <w:r>
              <w:rPr>
                <w:rFonts w:hint="eastAsia" w:ascii="仿宋" w:hAnsi="仿宋" w:eastAsia="仿宋" w:cs="仿宋"/>
                <w:color w:val="auto"/>
                <w:sz w:val="24"/>
                <w:szCs w:val="24"/>
              </w:rPr>
              <w:t>mm（净高）</w:t>
            </w:r>
            <w:r>
              <w:rPr>
                <w:rFonts w:hint="eastAsia" w:ascii="仿宋" w:hAnsi="仿宋" w:eastAsia="仿宋" w:cs="仿宋"/>
                <w:color w:val="auto"/>
                <w:sz w:val="24"/>
                <w:szCs w:val="24"/>
                <w:u w:val="single"/>
                <w:lang w:val="en-US" w:eastAsia="zh-CN"/>
              </w:rPr>
              <w:t xml:space="preserve">2400 </w:t>
            </w:r>
            <w:r>
              <w:rPr>
                <w:rFonts w:hint="eastAsia" w:ascii="仿宋" w:hAnsi="仿宋" w:eastAsia="仿宋" w:cs="仿宋"/>
                <w:color w:val="auto"/>
                <w:sz w:val="24"/>
                <w:szCs w:val="24"/>
              </w:rPr>
              <w:t>mm</w:t>
            </w:r>
          </w:p>
        </w:tc>
      </w:tr>
      <w:tr w14:paraId="5221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4662" w:type="dxa"/>
            <w:gridSpan w:val="5"/>
            <w:tcBorders>
              <w:left w:val="thinThickSmallGap" w:color="auto" w:sz="12" w:space="0"/>
              <w:right w:val="single" w:color="auto" w:sz="4" w:space="0"/>
            </w:tcBorders>
            <w:vAlign w:val="center"/>
          </w:tcPr>
          <w:p w14:paraId="386A25F0">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开门尺寸</w:t>
            </w:r>
          </w:p>
        </w:tc>
        <w:tc>
          <w:tcPr>
            <w:tcW w:w="5726" w:type="dxa"/>
            <w:gridSpan w:val="5"/>
            <w:tcBorders>
              <w:left w:val="single" w:color="auto" w:sz="4" w:space="0"/>
              <w:right w:val="thickThinSmallGap" w:color="auto" w:sz="12" w:space="0"/>
            </w:tcBorders>
            <w:vAlign w:val="center"/>
          </w:tcPr>
          <w:p w14:paraId="0477FF11">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开门方式</w:t>
            </w:r>
          </w:p>
        </w:tc>
      </w:tr>
      <w:tr w14:paraId="271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662" w:type="dxa"/>
            <w:gridSpan w:val="5"/>
            <w:tcBorders>
              <w:left w:val="thinThickSmallGap" w:color="auto" w:sz="12" w:space="0"/>
              <w:bottom w:val="thickThinSmallGap" w:color="auto" w:sz="12" w:space="0"/>
              <w:right w:val="single" w:color="auto" w:sz="4" w:space="0"/>
            </w:tcBorders>
          </w:tcPr>
          <w:p w14:paraId="231638E3">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（净宽）</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lang w:val="en-US" w:eastAsia="zh-CN"/>
              </w:rPr>
              <w:t>900</w:t>
            </w:r>
            <w:r>
              <w:rPr>
                <w:rFonts w:hint="eastAsia" w:ascii="仿宋" w:hAnsi="仿宋" w:eastAsia="仿宋" w:cs="仿宋"/>
                <w:color w:val="auto"/>
                <w:sz w:val="24"/>
                <w:szCs w:val="24"/>
              </w:rPr>
              <w:t>mm（净高）</w:t>
            </w:r>
            <w:r>
              <w:rPr>
                <w:rFonts w:hint="eastAsia" w:ascii="仿宋" w:hAnsi="仿宋" w:eastAsia="仿宋" w:cs="仿宋"/>
                <w:color w:val="auto"/>
                <w:sz w:val="24"/>
                <w:szCs w:val="24"/>
                <w:u w:val="single"/>
                <w:lang w:val="en-US" w:eastAsia="zh-CN"/>
              </w:rPr>
              <w:t>2100</w:t>
            </w:r>
            <w:r>
              <w:rPr>
                <w:rFonts w:hint="eastAsia" w:ascii="仿宋" w:hAnsi="仿宋" w:eastAsia="仿宋" w:cs="仿宋"/>
                <w:color w:val="auto"/>
                <w:sz w:val="24"/>
                <w:szCs w:val="24"/>
              </w:rPr>
              <w:t>mm</w:t>
            </w:r>
          </w:p>
        </w:tc>
        <w:tc>
          <w:tcPr>
            <w:tcW w:w="5726" w:type="dxa"/>
            <w:gridSpan w:val="5"/>
            <w:tcBorders>
              <w:left w:val="single" w:color="auto" w:sz="4" w:space="0"/>
              <w:bottom w:val="thickThinSmallGap" w:color="auto" w:sz="12" w:space="0"/>
              <w:right w:val="thickThinSmallGap" w:color="auto" w:sz="12" w:space="0"/>
            </w:tcBorders>
            <w:vAlign w:val="center"/>
          </w:tcPr>
          <w:p w14:paraId="4A41FED5">
            <w:pPr>
              <w:keepNext w:val="0"/>
              <w:keepLines w:val="0"/>
              <w:pageBreakBefore w:val="0"/>
              <w:widowControl w:val="0"/>
              <w:tabs>
                <w:tab w:val="right" w:leader="dot" w:pos="8820"/>
              </w:tabs>
              <w:kinsoku/>
              <w:overflowPunct/>
              <w:topLinePunct w:val="0"/>
              <w:autoSpaceDE/>
              <w:autoSpaceDN/>
              <w:bidi w:val="0"/>
              <w:adjustRightInd/>
              <w:snapToGrid w:val="0"/>
              <w:spacing w:line="240" w:lineRule="auto"/>
              <w:ind w:firstLine="480" w:firstLineChars="200"/>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中分</w:t>
            </w:r>
            <w:r>
              <w:rPr>
                <w:rFonts w:hint="eastAsia" w:ascii="仿宋" w:hAnsi="仿宋" w:eastAsia="仿宋" w:cs="仿宋"/>
                <w:color w:val="auto"/>
                <w:sz w:val="24"/>
                <w:szCs w:val="24"/>
                <w:lang w:val="en-US" w:eastAsia="zh-CN"/>
              </w:rPr>
              <w:t>/单通</w:t>
            </w:r>
          </w:p>
        </w:tc>
      </w:tr>
    </w:tbl>
    <w:p w14:paraId="2338E1F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default" w:ascii="仿宋" w:hAnsi="仿宋" w:eastAsia="仿宋" w:cs="仿宋"/>
          <w:color w:val="auto"/>
          <w:lang w:val="en-US" w:eastAsia="zh-CN"/>
        </w:rPr>
        <w:t>2、</w:t>
      </w:r>
      <w:r>
        <w:rPr>
          <w:rFonts w:hint="eastAsia" w:ascii="仿宋" w:hAnsi="仿宋" w:eastAsia="仿宋" w:cs="仿宋"/>
          <w:color w:val="auto"/>
          <w:highlight w:val="none"/>
        </w:rPr>
        <w:t>停站顺序号：</w:t>
      </w:r>
      <w:r>
        <w:rPr>
          <w:rFonts w:hint="eastAsia" w:ascii="仿宋" w:hAnsi="仿宋" w:eastAsia="仿宋" w:cs="仿宋"/>
          <w:color w:val="auto"/>
          <w:highlight w:val="none"/>
          <w:lang w:val="en-US" w:eastAsia="zh-CN"/>
        </w:rPr>
        <w:t xml:space="preserve">  -1-4F  </w:t>
      </w:r>
      <w:r>
        <w:rPr>
          <w:rFonts w:hint="eastAsia" w:ascii="仿宋" w:hAnsi="仿宋" w:eastAsia="仿宋" w:cs="仿宋"/>
          <w:color w:val="auto"/>
          <w:lang w:val="en-US" w:eastAsia="zh-CN"/>
        </w:rPr>
        <w:t xml:space="preserve">      </w:t>
      </w:r>
    </w:p>
    <w:p w14:paraId="2FB96D2C">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3、运行  方式：单控</w:t>
      </w:r>
    </w:p>
    <w:p w14:paraId="29A1DD3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4、召唤盒形式：单体</w:t>
      </w:r>
    </w:p>
    <w:p w14:paraId="5510731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w:t>
      </w:r>
      <w:r>
        <w:rPr>
          <w:rFonts w:hint="eastAsia" w:ascii="仿宋" w:hAnsi="仿宋" w:eastAsia="仿宋" w:cs="仿宋"/>
          <w:color w:val="auto"/>
        </w:rPr>
        <w:t>5、召  唤  盒：</w:t>
      </w:r>
      <w:r>
        <w:rPr>
          <w:rFonts w:hint="eastAsia" w:ascii="仿宋" w:hAnsi="仿宋" w:eastAsia="仿宋" w:cs="仿宋"/>
          <w:color w:val="auto"/>
          <w:lang w:val="en-US" w:eastAsia="zh-CN"/>
        </w:rPr>
        <w:t>壁挂式，发纹</w:t>
      </w:r>
      <w:r>
        <w:rPr>
          <w:rFonts w:hint="eastAsia" w:ascii="仿宋" w:hAnsi="仿宋" w:eastAsia="仿宋" w:cs="仿宋"/>
          <w:color w:val="auto"/>
        </w:rPr>
        <w:t>不锈钢面板，带数字显示器和方向指示器</w:t>
      </w:r>
    </w:p>
    <w:p w14:paraId="401D33B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w:t>
      </w:r>
      <w:r>
        <w:rPr>
          <w:rFonts w:hint="eastAsia" w:ascii="仿宋" w:hAnsi="仿宋" w:eastAsia="仿宋" w:cs="仿宋"/>
          <w:color w:val="auto"/>
        </w:rPr>
        <w:t>6、操  纵  箱：不锈钢面板，带</w:t>
      </w:r>
      <w:r>
        <w:rPr>
          <w:rFonts w:hint="eastAsia" w:ascii="仿宋" w:hAnsi="仿宋" w:eastAsia="仿宋" w:cs="仿宋"/>
          <w:color w:val="auto"/>
          <w:lang w:val="en-US" w:eastAsia="zh-CN"/>
        </w:rPr>
        <w:t>彩色</w:t>
      </w:r>
      <w:r>
        <w:rPr>
          <w:rFonts w:hint="eastAsia" w:ascii="仿宋" w:hAnsi="仿宋" w:eastAsia="仿宋" w:cs="仿宋"/>
          <w:color w:val="auto"/>
        </w:rPr>
        <w:t>数字显示器和方向指示器</w:t>
      </w:r>
    </w:p>
    <w:p w14:paraId="5F96A3B5">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highlight w:val="yellow"/>
        </w:rPr>
      </w:pPr>
      <w:r>
        <w:rPr>
          <w:rFonts w:hint="eastAsia" w:ascii="仿宋" w:hAnsi="仿宋" w:eastAsia="仿宋" w:cs="仿宋"/>
          <w:color w:val="auto"/>
          <w:lang w:val="en-US" w:eastAsia="zh-CN"/>
        </w:rPr>
        <w:t>★</w:t>
      </w:r>
      <w:r>
        <w:rPr>
          <w:rFonts w:hint="eastAsia" w:ascii="仿宋" w:hAnsi="仿宋" w:eastAsia="仿宋" w:cs="仿宋"/>
          <w:color w:val="auto"/>
        </w:rPr>
        <w:t>7、厅门装饰材质：</w:t>
      </w:r>
      <w:r>
        <w:rPr>
          <w:rFonts w:hint="eastAsia" w:ascii="仿宋" w:hAnsi="仿宋" w:eastAsia="仿宋" w:cs="仿宋"/>
          <w:color w:val="auto"/>
          <w:lang w:val="en-US" w:eastAsia="zh-CN"/>
        </w:rPr>
        <w:t>层层</w:t>
      </w:r>
      <w:r>
        <w:rPr>
          <w:rFonts w:hint="eastAsia" w:ascii="仿宋" w:hAnsi="仿宋" w:eastAsia="仿宋" w:cs="仿宋"/>
          <w:color w:val="auto"/>
        </w:rPr>
        <w:t>发纹不锈钢</w:t>
      </w:r>
      <w:r>
        <w:rPr>
          <w:rFonts w:hint="eastAsia" w:ascii="仿宋" w:hAnsi="仿宋" w:eastAsia="仿宋" w:cs="仿宋"/>
          <w:color w:val="auto"/>
          <w:lang w:eastAsia="zh-CN"/>
        </w:rPr>
        <w:t>，</w:t>
      </w:r>
      <w:r>
        <w:rPr>
          <w:rFonts w:hint="eastAsia" w:ascii="仿宋" w:hAnsi="仿宋" w:eastAsia="仿宋" w:cs="仿宋"/>
          <w:color w:val="auto"/>
        </w:rPr>
        <w:t>颜色：皱纹灰</w:t>
      </w:r>
    </w:p>
    <w:p w14:paraId="2FED0987">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8</w:t>
      </w:r>
      <w:r>
        <w:rPr>
          <w:rFonts w:hint="eastAsia" w:ascii="仿宋" w:hAnsi="仿宋" w:eastAsia="仿宋" w:cs="仿宋"/>
          <w:color w:val="auto"/>
        </w:rPr>
        <w:t>、厅门 踏板：铝合金</w:t>
      </w:r>
    </w:p>
    <w:p w14:paraId="4354458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★9</w:t>
      </w:r>
      <w:r>
        <w:rPr>
          <w:rFonts w:hint="eastAsia" w:ascii="仿宋" w:hAnsi="仿宋" w:eastAsia="仿宋" w:cs="仿宋"/>
          <w:color w:val="auto"/>
        </w:rPr>
        <w:t>、轿壁装饰材质：发纹不锈钢</w:t>
      </w:r>
    </w:p>
    <w:p w14:paraId="55BAC31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10、</w:t>
      </w:r>
      <w:r>
        <w:rPr>
          <w:rFonts w:hint="eastAsia" w:ascii="仿宋" w:hAnsi="仿宋" w:eastAsia="仿宋" w:cs="仿宋"/>
          <w:color w:val="auto"/>
        </w:rPr>
        <w:t>轿厢通风系统：低噪音轴流风机</w:t>
      </w:r>
    </w:p>
    <w:p w14:paraId="3E78A86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w:t>
      </w:r>
      <w:r>
        <w:rPr>
          <w:rFonts w:hint="eastAsia" w:ascii="仿宋" w:hAnsi="仿宋" w:eastAsia="仿宋" w:cs="仿宋"/>
          <w:color w:val="auto"/>
        </w:rPr>
        <w:t>11、轿门装饰材质：发纹不锈钢</w:t>
      </w:r>
    </w:p>
    <w:p w14:paraId="2C1D5AF3">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12、轿门  踏板：铝合金</w:t>
      </w:r>
    </w:p>
    <w:p w14:paraId="5DB1429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w:t>
      </w:r>
      <w:r>
        <w:rPr>
          <w:rFonts w:hint="eastAsia" w:ascii="仿宋" w:hAnsi="仿宋" w:eastAsia="仿宋" w:cs="仿宋"/>
          <w:color w:val="auto"/>
        </w:rPr>
        <w:t>13、轿底装饰材质：</w:t>
      </w:r>
      <w:r>
        <w:rPr>
          <w:rFonts w:hint="eastAsia" w:ascii="仿宋" w:hAnsi="仿宋" w:eastAsia="仿宋" w:cs="仿宋"/>
          <w:color w:val="auto"/>
          <w:lang w:val="en-US" w:eastAsia="zh-CN"/>
        </w:rPr>
        <w:t>石材</w:t>
      </w:r>
    </w:p>
    <w:p w14:paraId="481423AA">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w:t>
      </w:r>
      <w:r>
        <w:rPr>
          <w:rFonts w:hint="eastAsia" w:ascii="仿宋" w:hAnsi="仿宋" w:eastAsia="仿宋" w:cs="仿宋"/>
          <w:color w:val="auto"/>
        </w:rPr>
        <w:t>14、轿厢天花板：不锈钢面板+亚克力透光板+LED</w:t>
      </w:r>
      <w:r>
        <w:rPr>
          <w:rFonts w:hint="eastAsia" w:ascii="仿宋" w:hAnsi="仿宋" w:eastAsia="仿宋" w:cs="仿宋"/>
          <w:color w:val="auto"/>
          <w:lang w:val="en-US" w:eastAsia="zh-CN"/>
        </w:rPr>
        <w:t xml:space="preserve">  </w:t>
      </w:r>
    </w:p>
    <w:p w14:paraId="3E80281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w:t>
      </w:r>
      <w:r>
        <w:rPr>
          <w:rFonts w:hint="eastAsia" w:ascii="仿宋" w:hAnsi="仿宋" w:eastAsia="仿宋" w:cs="仿宋"/>
          <w:color w:val="auto"/>
        </w:rPr>
        <w:t>15、轿厢 照明：LED节能型照明</w:t>
      </w:r>
    </w:p>
    <w:p w14:paraId="078E002D">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w:t>
      </w:r>
      <w:r>
        <w:rPr>
          <w:rFonts w:hint="eastAsia" w:ascii="仿宋" w:hAnsi="仿宋" w:eastAsia="仿宋" w:cs="仿宋"/>
          <w:color w:val="auto"/>
        </w:rPr>
        <w:t>16、控制系统：交流变压变频控制（VVVF）</w:t>
      </w:r>
    </w:p>
    <w:p w14:paraId="3BD6777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★17、</w:t>
      </w:r>
      <w:r>
        <w:rPr>
          <w:rFonts w:hint="eastAsia" w:ascii="仿宋" w:hAnsi="仿宋" w:eastAsia="仿宋" w:cs="仿宋"/>
          <w:color w:val="auto"/>
        </w:rPr>
        <w:t>曳引系统：永磁同步无齿轮曳引机</w:t>
      </w:r>
    </w:p>
    <w:p w14:paraId="1191282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lang w:val="en-US" w:eastAsia="zh-CN"/>
        </w:rPr>
        <w:t>18、</w:t>
      </w:r>
      <w:r>
        <w:rPr>
          <w:rFonts w:hint="eastAsia" w:ascii="仿宋" w:hAnsi="仿宋" w:eastAsia="仿宋" w:cs="仿宋"/>
          <w:color w:val="auto"/>
        </w:rPr>
        <w:t>操作系统：32位全电脑控制；</w:t>
      </w:r>
    </w:p>
    <w:p w14:paraId="246276C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19、</w:t>
      </w:r>
      <w:r>
        <w:rPr>
          <w:rFonts w:hint="eastAsia" w:ascii="仿宋" w:hAnsi="仿宋" w:eastAsia="仿宋" w:cs="仿宋"/>
          <w:color w:val="auto"/>
        </w:rPr>
        <w:t>电源：</w:t>
      </w:r>
      <w:r>
        <w:rPr>
          <w:rFonts w:hint="eastAsia" w:ascii="仿宋" w:hAnsi="仿宋" w:eastAsia="仿宋" w:cs="仿宋"/>
          <w:color w:val="auto"/>
          <w:lang w:val="en-US" w:eastAsia="zh-CN"/>
        </w:rPr>
        <w:t>动力</w:t>
      </w:r>
      <w:r>
        <w:rPr>
          <w:rFonts w:hint="eastAsia" w:ascii="仿宋" w:hAnsi="仿宋" w:eastAsia="仿宋" w:cs="仿宋"/>
          <w:color w:val="auto"/>
        </w:rPr>
        <w:t>A.</w:t>
      </w:r>
      <w:r>
        <w:rPr>
          <w:rFonts w:hint="eastAsia" w:ascii="仿宋" w:hAnsi="仿宋" w:eastAsia="仿宋" w:cs="仿宋"/>
          <w:color w:val="auto"/>
          <w:lang w:val="en-US" w:eastAsia="zh-CN"/>
        </w:rPr>
        <w:t xml:space="preserve">C </w:t>
      </w:r>
      <w:r>
        <w:rPr>
          <w:rFonts w:hint="eastAsia" w:ascii="仿宋" w:hAnsi="仿宋" w:eastAsia="仿宋" w:cs="仿宋"/>
          <w:color w:val="auto"/>
        </w:rPr>
        <w:t>3-380V 50Hz三相五线制</w:t>
      </w:r>
      <w:r>
        <w:rPr>
          <w:rFonts w:hint="eastAsia" w:ascii="仿宋" w:hAnsi="仿宋" w:eastAsia="仿宋" w:cs="仿宋"/>
          <w:color w:val="auto"/>
          <w:lang w:val="en-US" w:eastAsia="zh-CN"/>
        </w:rPr>
        <w:t xml:space="preserve">  容量≥15KW   电缆≥RVV3×10+2×6mm²</w:t>
      </w:r>
    </w:p>
    <w:p w14:paraId="3FCF14C3">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lang w:val="en-US" w:eastAsia="zh-CN"/>
        </w:rPr>
        <w:t>★</w:t>
      </w:r>
      <w:r>
        <w:rPr>
          <w:rFonts w:hint="eastAsia" w:ascii="仿宋" w:hAnsi="仿宋" w:eastAsia="仿宋" w:cs="仿宋"/>
          <w:color w:val="auto"/>
        </w:rPr>
        <w:t>（三）</w:t>
      </w:r>
      <w:r>
        <w:rPr>
          <w:rFonts w:hint="eastAsia" w:ascii="仿宋" w:hAnsi="仿宋" w:eastAsia="仿宋" w:cs="仿宋"/>
          <w:color w:val="auto"/>
          <w:lang w:eastAsia="zh-CN"/>
        </w:rPr>
        <w:t>电梯功能</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23"/>
        <w:gridCol w:w="4111"/>
      </w:tblGrid>
      <w:tr w14:paraId="3329A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top w:val="thinThickSmallGap" w:color="auto" w:sz="12" w:space="0"/>
              <w:left w:val="thinThickSmallGap" w:color="auto" w:sz="12" w:space="0"/>
            </w:tcBorders>
          </w:tcPr>
          <w:p w14:paraId="40E2E2F1">
            <w:pPr>
              <w:spacing w:line="360" w:lineRule="auto"/>
              <w:rPr>
                <w:rFonts w:hint="eastAsia" w:ascii="仿宋" w:hAnsi="仿宋" w:eastAsia="仿宋" w:cs="仿宋"/>
                <w:szCs w:val="21"/>
              </w:rPr>
            </w:pPr>
            <w:r>
              <w:rPr>
                <w:rFonts w:hint="eastAsia" w:ascii="仿宋" w:hAnsi="仿宋" w:eastAsia="仿宋" w:cs="仿宋"/>
                <w:szCs w:val="21"/>
              </w:rPr>
              <w:t>1.有/无司机控制</w:t>
            </w:r>
          </w:p>
        </w:tc>
        <w:tc>
          <w:tcPr>
            <w:tcW w:w="4111" w:type="dxa"/>
            <w:tcBorders>
              <w:top w:val="thinThickSmallGap" w:color="auto" w:sz="12" w:space="0"/>
              <w:right w:val="thickThinSmallGap" w:color="auto" w:sz="12" w:space="0"/>
            </w:tcBorders>
          </w:tcPr>
          <w:p w14:paraId="1CD7008E">
            <w:pPr>
              <w:spacing w:line="360" w:lineRule="auto"/>
              <w:rPr>
                <w:rFonts w:hint="eastAsia" w:ascii="仿宋" w:hAnsi="仿宋" w:eastAsia="仿宋" w:cs="仿宋"/>
                <w:szCs w:val="21"/>
              </w:rPr>
            </w:pPr>
            <w:r>
              <w:rPr>
                <w:rFonts w:hint="eastAsia" w:ascii="仿宋" w:hAnsi="仿宋" w:eastAsia="仿宋" w:cs="仿宋"/>
                <w:szCs w:val="21"/>
              </w:rPr>
              <w:t>2.行驶方向与到达楼层显示</w:t>
            </w:r>
          </w:p>
        </w:tc>
      </w:tr>
      <w:tr w14:paraId="2226D1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3AB5FB33">
            <w:pPr>
              <w:spacing w:line="360" w:lineRule="auto"/>
              <w:rPr>
                <w:rFonts w:hint="eastAsia" w:ascii="仿宋" w:hAnsi="仿宋" w:eastAsia="仿宋" w:cs="仿宋"/>
                <w:szCs w:val="21"/>
              </w:rPr>
            </w:pPr>
            <w:r>
              <w:rPr>
                <w:rFonts w:hint="eastAsia" w:ascii="仿宋" w:hAnsi="仿宋" w:eastAsia="仿宋" w:cs="仿宋"/>
                <w:szCs w:val="21"/>
              </w:rPr>
              <w:t>3.轿厢自动平层</w:t>
            </w:r>
          </w:p>
        </w:tc>
        <w:tc>
          <w:tcPr>
            <w:tcW w:w="4111" w:type="dxa"/>
            <w:tcBorders>
              <w:right w:val="thickThinSmallGap" w:color="auto" w:sz="12" w:space="0"/>
            </w:tcBorders>
          </w:tcPr>
          <w:p w14:paraId="3806E287">
            <w:pPr>
              <w:spacing w:line="360" w:lineRule="auto"/>
              <w:rPr>
                <w:rFonts w:hint="eastAsia" w:ascii="仿宋" w:hAnsi="仿宋" w:eastAsia="仿宋" w:cs="仿宋"/>
                <w:szCs w:val="21"/>
              </w:rPr>
            </w:pPr>
            <w:r>
              <w:rPr>
                <w:rFonts w:hint="eastAsia" w:ascii="仿宋" w:hAnsi="仿宋" w:eastAsia="仿宋" w:cs="仿宋"/>
                <w:szCs w:val="21"/>
              </w:rPr>
              <w:t>4.自动开关门</w:t>
            </w:r>
          </w:p>
        </w:tc>
      </w:tr>
      <w:tr w14:paraId="66E1F7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7BCDEBB">
            <w:pPr>
              <w:spacing w:line="360" w:lineRule="auto"/>
              <w:rPr>
                <w:rFonts w:hint="eastAsia" w:ascii="仿宋" w:hAnsi="仿宋" w:eastAsia="仿宋" w:cs="仿宋"/>
                <w:szCs w:val="21"/>
              </w:rPr>
            </w:pPr>
            <w:r>
              <w:rPr>
                <w:rFonts w:hint="eastAsia" w:ascii="仿宋" w:hAnsi="仿宋" w:eastAsia="仿宋" w:cs="仿宋"/>
                <w:szCs w:val="21"/>
              </w:rPr>
              <w:t>5.消防功能</w:t>
            </w:r>
          </w:p>
        </w:tc>
        <w:tc>
          <w:tcPr>
            <w:tcW w:w="4111" w:type="dxa"/>
            <w:tcBorders>
              <w:right w:val="thickThinSmallGap" w:color="auto" w:sz="12" w:space="0"/>
            </w:tcBorders>
          </w:tcPr>
          <w:p w14:paraId="2554A23D">
            <w:pPr>
              <w:spacing w:line="360" w:lineRule="auto"/>
              <w:rPr>
                <w:rFonts w:hint="eastAsia" w:ascii="仿宋" w:hAnsi="仿宋" w:eastAsia="仿宋" w:cs="仿宋"/>
                <w:szCs w:val="21"/>
              </w:rPr>
            </w:pPr>
            <w:r>
              <w:rPr>
                <w:rFonts w:hint="eastAsia" w:ascii="仿宋" w:hAnsi="仿宋" w:eastAsia="仿宋" w:cs="仿宋"/>
                <w:szCs w:val="21"/>
              </w:rPr>
              <w:t>6.并联运行</w:t>
            </w:r>
          </w:p>
        </w:tc>
      </w:tr>
      <w:tr w14:paraId="7E06EB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0F2A382B">
            <w:pPr>
              <w:spacing w:line="360" w:lineRule="auto"/>
              <w:rPr>
                <w:rFonts w:hint="eastAsia" w:ascii="仿宋" w:hAnsi="仿宋" w:eastAsia="仿宋" w:cs="仿宋"/>
                <w:szCs w:val="21"/>
              </w:rPr>
            </w:pPr>
            <w:r>
              <w:rPr>
                <w:rFonts w:hint="eastAsia" w:ascii="仿宋" w:hAnsi="仿宋" w:eastAsia="仿宋" w:cs="仿宋"/>
                <w:szCs w:val="21"/>
              </w:rPr>
              <w:t>7.防捣乱功能</w:t>
            </w:r>
          </w:p>
        </w:tc>
        <w:tc>
          <w:tcPr>
            <w:tcW w:w="4111" w:type="dxa"/>
            <w:tcBorders>
              <w:right w:val="thickThinSmallGap" w:color="auto" w:sz="12" w:space="0"/>
            </w:tcBorders>
          </w:tcPr>
          <w:p w14:paraId="294780CD">
            <w:pPr>
              <w:spacing w:line="360" w:lineRule="auto"/>
              <w:rPr>
                <w:rFonts w:hint="eastAsia" w:ascii="仿宋" w:hAnsi="仿宋" w:eastAsia="仿宋" w:cs="仿宋"/>
                <w:szCs w:val="21"/>
              </w:rPr>
            </w:pPr>
            <w:r>
              <w:rPr>
                <w:rFonts w:hint="eastAsia" w:ascii="仿宋" w:hAnsi="仿宋" w:eastAsia="仿宋" w:cs="仿宋"/>
                <w:szCs w:val="21"/>
              </w:rPr>
              <w:t>8.自动关门的起始时间控制</w:t>
            </w:r>
          </w:p>
        </w:tc>
      </w:tr>
      <w:tr w14:paraId="1B10D9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682F7B3">
            <w:pPr>
              <w:spacing w:line="360" w:lineRule="auto"/>
              <w:rPr>
                <w:rFonts w:hint="eastAsia" w:ascii="仿宋" w:hAnsi="仿宋" w:eastAsia="仿宋" w:cs="仿宋"/>
                <w:szCs w:val="21"/>
              </w:rPr>
            </w:pPr>
            <w:r>
              <w:rPr>
                <w:rFonts w:hint="eastAsia" w:ascii="仿宋" w:hAnsi="仿宋" w:eastAsia="仿宋" w:cs="仿宋"/>
                <w:szCs w:val="21"/>
              </w:rPr>
              <w:t>9.停泊基站可选择</w:t>
            </w:r>
          </w:p>
        </w:tc>
        <w:tc>
          <w:tcPr>
            <w:tcW w:w="4111" w:type="dxa"/>
            <w:tcBorders>
              <w:right w:val="thickThinSmallGap" w:color="auto" w:sz="12" w:space="0"/>
            </w:tcBorders>
          </w:tcPr>
          <w:p w14:paraId="5AE8A1C8">
            <w:pPr>
              <w:spacing w:line="360" w:lineRule="auto"/>
              <w:rPr>
                <w:rFonts w:hint="eastAsia" w:ascii="仿宋" w:hAnsi="仿宋" w:eastAsia="仿宋" w:cs="仿宋"/>
                <w:szCs w:val="21"/>
              </w:rPr>
            </w:pPr>
            <w:r>
              <w:rPr>
                <w:rFonts w:hint="eastAsia" w:ascii="仿宋" w:hAnsi="仿宋" w:eastAsia="仿宋" w:cs="仿宋"/>
                <w:szCs w:val="21"/>
              </w:rPr>
              <w:t>10.无召唤自动关门，照明自动控制功能</w:t>
            </w:r>
          </w:p>
        </w:tc>
      </w:tr>
      <w:tr w14:paraId="406457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B98C11A">
            <w:pPr>
              <w:spacing w:line="360" w:lineRule="auto"/>
              <w:rPr>
                <w:rFonts w:hint="eastAsia" w:ascii="仿宋" w:hAnsi="仿宋" w:eastAsia="仿宋" w:cs="仿宋"/>
                <w:szCs w:val="21"/>
              </w:rPr>
            </w:pPr>
            <w:r>
              <w:rPr>
                <w:rFonts w:hint="eastAsia" w:ascii="仿宋" w:hAnsi="仿宋" w:eastAsia="仿宋" w:cs="仿宋"/>
                <w:szCs w:val="21"/>
              </w:rPr>
              <w:t>11.重复关门</w:t>
            </w:r>
          </w:p>
        </w:tc>
        <w:tc>
          <w:tcPr>
            <w:tcW w:w="4111" w:type="dxa"/>
            <w:tcBorders>
              <w:right w:val="thickThinSmallGap" w:color="auto" w:sz="12" w:space="0"/>
            </w:tcBorders>
          </w:tcPr>
          <w:p w14:paraId="37EEC7AF">
            <w:pPr>
              <w:spacing w:line="360" w:lineRule="auto"/>
              <w:rPr>
                <w:rFonts w:hint="eastAsia" w:ascii="仿宋" w:hAnsi="仿宋" w:eastAsia="仿宋" w:cs="仿宋"/>
                <w:szCs w:val="21"/>
              </w:rPr>
            </w:pPr>
            <w:r>
              <w:rPr>
                <w:rFonts w:hint="eastAsia" w:ascii="仿宋" w:hAnsi="仿宋" w:eastAsia="仿宋" w:cs="仿宋"/>
                <w:szCs w:val="21"/>
              </w:rPr>
              <w:t>12.磁角度自学习功能</w:t>
            </w:r>
          </w:p>
        </w:tc>
      </w:tr>
      <w:tr w14:paraId="214432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5376AF81">
            <w:pPr>
              <w:spacing w:line="360" w:lineRule="auto"/>
              <w:rPr>
                <w:rFonts w:hint="eastAsia" w:ascii="仿宋" w:hAnsi="仿宋" w:eastAsia="仿宋" w:cs="仿宋"/>
                <w:szCs w:val="21"/>
              </w:rPr>
            </w:pPr>
            <w:r>
              <w:rPr>
                <w:rFonts w:hint="eastAsia" w:ascii="仿宋" w:hAnsi="仿宋" w:eastAsia="仿宋" w:cs="仿宋"/>
                <w:szCs w:val="21"/>
              </w:rPr>
              <w:t>13.独立运行</w:t>
            </w:r>
          </w:p>
        </w:tc>
        <w:tc>
          <w:tcPr>
            <w:tcW w:w="4111" w:type="dxa"/>
            <w:tcBorders>
              <w:right w:val="thickThinSmallGap" w:color="auto" w:sz="12" w:space="0"/>
            </w:tcBorders>
          </w:tcPr>
          <w:p w14:paraId="5B01383F">
            <w:pPr>
              <w:spacing w:line="360" w:lineRule="auto"/>
              <w:rPr>
                <w:rFonts w:hint="eastAsia" w:ascii="仿宋" w:hAnsi="仿宋" w:eastAsia="仿宋" w:cs="仿宋"/>
                <w:szCs w:val="21"/>
              </w:rPr>
            </w:pPr>
            <w:r>
              <w:rPr>
                <w:rFonts w:hint="eastAsia" w:ascii="仿宋" w:hAnsi="仿宋" w:eastAsia="仿宋" w:cs="仿宋"/>
                <w:szCs w:val="21"/>
              </w:rPr>
              <w:t>14.应急照明</w:t>
            </w:r>
          </w:p>
        </w:tc>
      </w:tr>
      <w:tr w14:paraId="3762D0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682B1EF4">
            <w:pPr>
              <w:spacing w:line="360" w:lineRule="auto"/>
              <w:rPr>
                <w:rFonts w:hint="eastAsia" w:ascii="仿宋" w:hAnsi="仿宋" w:eastAsia="仿宋" w:cs="仿宋"/>
                <w:szCs w:val="21"/>
              </w:rPr>
            </w:pPr>
            <w:r>
              <w:rPr>
                <w:rFonts w:hint="eastAsia" w:ascii="仿宋" w:hAnsi="仿宋" w:eastAsia="仿宋" w:cs="仿宋"/>
                <w:szCs w:val="21"/>
              </w:rPr>
              <w:t>15.防冲顶/蹲底保护功能</w:t>
            </w:r>
          </w:p>
        </w:tc>
        <w:tc>
          <w:tcPr>
            <w:tcW w:w="4111" w:type="dxa"/>
            <w:tcBorders>
              <w:right w:val="thickThinSmallGap" w:color="auto" w:sz="12" w:space="0"/>
            </w:tcBorders>
          </w:tcPr>
          <w:p w14:paraId="7DAD32CF">
            <w:pPr>
              <w:spacing w:line="360" w:lineRule="auto"/>
              <w:rPr>
                <w:rFonts w:hint="eastAsia" w:ascii="仿宋" w:hAnsi="仿宋" w:eastAsia="仿宋" w:cs="仿宋"/>
                <w:szCs w:val="21"/>
              </w:rPr>
            </w:pPr>
            <w:r>
              <w:rPr>
                <w:rFonts w:hint="eastAsia" w:ascii="仿宋" w:hAnsi="仿宋" w:eastAsia="仿宋" w:cs="仿宋"/>
                <w:szCs w:val="21"/>
              </w:rPr>
              <w:t>16.逆向运行显示</w:t>
            </w:r>
          </w:p>
        </w:tc>
      </w:tr>
      <w:tr w14:paraId="459EB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16CB5CEA">
            <w:pPr>
              <w:spacing w:line="360" w:lineRule="auto"/>
              <w:rPr>
                <w:rFonts w:hint="eastAsia" w:ascii="仿宋" w:hAnsi="仿宋" w:eastAsia="仿宋" w:cs="仿宋"/>
                <w:szCs w:val="21"/>
              </w:rPr>
            </w:pPr>
            <w:r>
              <w:rPr>
                <w:rFonts w:hint="eastAsia" w:ascii="仿宋" w:hAnsi="仿宋" w:eastAsia="仿宋" w:cs="仿宋"/>
                <w:szCs w:val="21"/>
              </w:rPr>
              <w:t>17.全集选控制</w:t>
            </w:r>
          </w:p>
        </w:tc>
        <w:tc>
          <w:tcPr>
            <w:tcW w:w="4111" w:type="dxa"/>
            <w:tcBorders>
              <w:right w:val="thickThinSmallGap" w:color="auto" w:sz="12" w:space="0"/>
            </w:tcBorders>
          </w:tcPr>
          <w:p w14:paraId="58D5FD63">
            <w:pPr>
              <w:spacing w:line="360" w:lineRule="auto"/>
              <w:rPr>
                <w:rFonts w:hint="eastAsia" w:ascii="仿宋" w:hAnsi="仿宋" w:eastAsia="仿宋" w:cs="仿宋"/>
                <w:szCs w:val="21"/>
              </w:rPr>
            </w:pPr>
            <w:r>
              <w:rPr>
                <w:rFonts w:hint="eastAsia" w:ascii="仿宋" w:hAnsi="仿宋" w:eastAsia="仿宋" w:cs="仿宋"/>
                <w:szCs w:val="21"/>
              </w:rPr>
              <w:t>18.检修运行方式</w:t>
            </w:r>
          </w:p>
        </w:tc>
      </w:tr>
      <w:tr w14:paraId="04DE8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3FEC09D2">
            <w:pPr>
              <w:spacing w:line="360" w:lineRule="auto"/>
              <w:rPr>
                <w:rFonts w:hint="eastAsia" w:ascii="仿宋" w:hAnsi="仿宋" w:eastAsia="仿宋" w:cs="仿宋"/>
                <w:szCs w:val="21"/>
              </w:rPr>
            </w:pPr>
            <w:r>
              <w:rPr>
                <w:rFonts w:hint="eastAsia" w:ascii="仿宋" w:hAnsi="仿宋" w:eastAsia="仿宋" w:cs="仿宋"/>
                <w:szCs w:val="21"/>
              </w:rPr>
              <w:t>19.召唤功能</w:t>
            </w:r>
          </w:p>
        </w:tc>
        <w:tc>
          <w:tcPr>
            <w:tcW w:w="4111" w:type="dxa"/>
            <w:tcBorders>
              <w:right w:val="thickThinSmallGap" w:color="auto" w:sz="12" w:space="0"/>
            </w:tcBorders>
          </w:tcPr>
          <w:p w14:paraId="522E6C7C">
            <w:pPr>
              <w:spacing w:line="360" w:lineRule="auto"/>
              <w:rPr>
                <w:rFonts w:hint="eastAsia" w:ascii="仿宋" w:hAnsi="仿宋" w:eastAsia="仿宋" w:cs="仿宋"/>
                <w:szCs w:val="21"/>
              </w:rPr>
            </w:pPr>
            <w:r>
              <w:rPr>
                <w:rFonts w:hint="eastAsia" w:ascii="仿宋" w:hAnsi="仿宋" w:eastAsia="仿宋" w:cs="仿宋"/>
                <w:szCs w:val="21"/>
              </w:rPr>
              <w:t>20.故障显示</w:t>
            </w:r>
          </w:p>
        </w:tc>
      </w:tr>
      <w:tr w14:paraId="72BDA7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517C8D23">
            <w:pPr>
              <w:spacing w:line="360" w:lineRule="auto"/>
              <w:rPr>
                <w:rFonts w:hint="eastAsia" w:ascii="仿宋" w:hAnsi="仿宋" w:eastAsia="仿宋" w:cs="仿宋"/>
                <w:szCs w:val="21"/>
              </w:rPr>
            </w:pPr>
            <w:r>
              <w:rPr>
                <w:rFonts w:hint="eastAsia" w:ascii="仿宋" w:hAnsi="仿宋" w:eastAsia="仿宋" w:cs="仿宋"/>
                <w:szCs w:val="21"/>
              </w:rPr>
              <w:t>21.</w:t>
            </w:r>
            <w:r>
              <w:rPr>
                <w:rFonts w:hint="eastAsia" w:ascii="仿宋" w:hAnsi="仿宋" w:eastAsia="仿宋" w:cs="仿宋"/>
                <w:color w:val="000000" w:themeColor="text1"/>
                <w:szCs w:val="21"/>
                <w14:textFill>
                  <w14:solidFill>
                    <w14:schemeClr w14:val="tx1"/>
                  </w14:solidFill>
                </w14:textFill>
              </w:rPr>
              <w:t>五方对讲通讯</w:t>
            </w:r>
          </w:p>
        </w:tc>
        <w:tc>
          <w:tcPr>
            <w:tcW w:w="4111" w:type="dxa"/>
            <w:tcBorders>
              <w:right w:val="thickThinSmallGap" w:color="auto" w:sz="12" w:space="0"/>
            </w:tcBorders>
          </w:tcPr>
          <w:p w14:paraId="3308AC93">
            <w:pPr>
              <w:spacing w:line="360" w:lineRule="auto"/>
              <w:rPr>
                <w:rFonts w:hint="eastAsia" w:ascii="仿宋" w:hAnsi="仿宋" w:eastAsia="仿宋" w:cs="仿宋"/>
                <w:szCs w:val="21"/>
              </w:rPr>
            </w:pPr>
            <w:r>
              <w:rPr>
                <w:rFonts w:hint="eastAsia" w:ascii="仿宋" w:hAnsi="仿宋" w:eastAsia="仿宋" w:cs="仿宋"/>
                <w:szCs w:val="21"/>
              </w:rPr>
              <w:t>22.关门按钮提前关门</w:t>
            </w:r>
          </w:p>
        </w:tc>
      </w:tr>
      <w:tr w14:paraId="04D8E0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58653A63">
            <w:pPr>
              <w:spacing w:line="360" w:lineRule="auto"/>
              <w:rPr>
                <w:rFonts w:hint="eastAsia" w:ascii="仿宋" w:hAnsi="仿宋" w:eastAsia="仿宋" w:cs="仿宋"/>
                <w:szCs w:val="21"/>
              </w:rPr>
            </w:pPr>
            <w:r>
              <w:rPr>
                <w:rFonts w:hint="eastAsia" w:ascii="仿宋" w:hAnsi="仿宋" w:eastAsia="仿宋" w:cs="仿宋"/>
                <w:szCs w:val="21"/>
              </w:rPr>
              <w:t>23.开门按钮开门</w:t>
            </w:r>
          </w:p>
        </w:tc>
        <w:tc>
          <w:tcPr>
            <w:tcW w:w="4111" w:type="dxa"/>
            <w:tcBorders>
              <w:right w:val="thickThinSmallGap" w:color="auto" w:sz="12" w:space="0"/>
            </w:tcBorders>
          </w:tcPr>
          <w:p w14:paraId="13609F25">
            <w:pPr>
              <w:spacing w:line="360" w:lineRule="auto"/>
              <w:rPr>
                <w:rFonts w:hint="eastAsia" w:ascii="仿宋" w:hAnsi="仿宋" w:eastAsia="仿宋" w:cs="仿宋"/>
                <w:szCs w:val="21"/>
              </w:rPr>
            </w:pPr>
            <w:r>
              <w:rPr>
                <w:rFonts w:hint="eastAsia" w:ascii="仿宋" w:hAnsi="仿宋" w:eastAsia="仿宋" w:cs="仿宋"/>
                <w:szCs w:val="21"/>
              </w:rPr>
              <w:t>24.故障重开门</w:t>
            </w:r>
          </w:p>
        </w:tc>
      </w:tr>
      <w:tr w14:paraId="1AC462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360CAE81">
            <w:pPr>
              <w:spacing w:line="360" w:lineRule="auto"/>
              <w:rPr>
                <w:rFonts w:hint="eastAsia" w:ascii="仿宋" w:hAnsi="仿宋" w:eastAsia="仿宋" w:cs="仿宋"/>
                <w:szCs w:val="21"/>
              </w:rPr>
            </w:pPr>
            <w:r>
              <w:rPr>
                <w:rFonts w:hint="eastAsia" w:ascii="仿宋" w:hAnsi="仿宋" w:eastAsia="仿宋" w:cs="仿宋"/>
                <w:szCs w:val="21"/>
              </w:rPr>
              <w:t>25.起动补偿</w:t>
            </w:r>
          </w:p>
        </w:tc>
        <w:tc>
          <w:tcPr>
            <w:tcW w:w="4111" w:type="dxa"/>
            <w:tcBorders>
              <w:right w:val="thickThinSmallGap" w:color="auto" w:sz="12" w:space="0"/>
            </w:tcBorders>
          </w:tcPr>
          <w:p w14:paraId="7CF5B861">
            <w:pPr>
              <w:spacing w:line="360" w:lineRule="auto"/>
              <w:rPr>
                <w:rFonts w:hint="eastAsia" w:ascii="仿宋" w:hAnsi="仿宋" w:eastAsia="仿宋" w:cs="仿宋"/>
                <w:szCs w:val="21"/>
              </w:rPr>
            </w:pPr>
            <w:r>
              <w:rPr>
                <w:rFonts w:hint="eastAsia" w:ascii="仿宋" w:hAnsi="仿宋" w:eastAsia="仿宋" w:cs="仿宋"/>
                <w:szCs w:val="21"/>
              </w:rPr>
              <w:t>26.满载直驶</w:t>
            </w:r>
          </w:p>
        </w:tc>
      </w:tr>
      <w:tr w14:paraId="1E89FE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2E936E7">
            <w:pPr>
              <w:spacing w:line="360" w:lineRule="auto"/>
              <w:rPr>
                <w:rFonts w:hint="eastAsia" w:ascii="仿宋" w:hAnsi="仿宋" w:eastAsia="仿宋" w:cs="仿宋"/>
                <w:szCs w:val="21"/>
              </w:rPr>
            </w:pPr>
            <w:r>
              <w:rPr>
                <w:rFonts w:hint="eastAsia" w:ascii="仿宋" w:hAnsi="仿宋" w:eastAsia="仿宋" w:cs="仿宋"/>
                <w:szCs w:val="21"/>
              </w:rPr>
              <w:t>27.错误指令取消</w:t>
            </w:r>
          </w:p>
        </w:tc>
        <w:tc>
          <w:tcPr>
            <w:tcW w:w="4111" w:type="dxa"/>
            <w:tcBorders>
              <w:right w:val="thickThinSmallGap" w:color="auto" w:sz="12" w:space="0"/>
            </w:tcBorders>
          </w:tcPr>
          <w:p w14:paraId="4A445269">
            <w:pPr>
              <w:spacing w:line="360" w:lineRule="auto"/>
              <w:rPr>
                <w:rFonts w:hint="eastAsia" w:ascii="仿宋" w:hAnsi="仿宋" w:eastAsia="仿宋" w:cs="仿宋"/>
                <w:szCs w:val="21"/>
              </w:rPr>
            </w:pPr>
            <w:r>
              <w:rPr>
                <w:rFonts w:hint="eastAsia" w:ascii="仿宋" w:hAnsi="仿宋" w:eastAsia="仿宋" w:cs="仿宋"/>
                <w:szCs w:val="21"/>
              </w:rPr>
              <w:t>28.故障历史记录</w:t>
            </w:r>
          </w:p>
        </w:tc>
      </w:tr>
      <w:tr w14:paraId="339366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07C7D5A1">
            <w:pPr>
              <w:spacing w:line="360" w:lineRule="auto"/>
              <w:rPr>
                <w:rFonts w:hint="eastAsia" w:ascii="仿宋" w:hAnsi="仿宋" w:eastAsia="仿宋" w:cs="仿宋"/>
                <w:szCs w:val="21"/>
              </w:rPr>
            </w:pPr>
            <w:r>
              <w:rPr>
                <w:rFonts w:hint="eastAsia" w:ascii="仿宋" w:hAnsi="仿宋" w:eastAsia="仿宋" w:cs="仿宋"/>
                <w:szCs w:val="21"/>
              </w:rPr>
              <w:t>29.井道层数数据自学习</w:t>
            </w:r>
          </w:p>
        </w:tc>
        <w:tc>
          <w:tcPr>
            <w:tcW w:w="4111" w:type="dxa"/>
            <w:tcBorders>
              <w:right w:val="thickThinSmallGap" w:color="auto" w:sz="12" w:space="0"/>
            </w:tcBorders>
          </w:tcPr>
          <w:p w14:paraId="021AE04D">
            <w:pPr>
              <w:spacing w:line="360" w:lineRule="auto"/>
              <w:rPr>
                <w:rFonts w:hint="eastAsia" w:ascii="仿宋" w:hAnsi="仿宋" w:eastAsia="仿宋" w:cs="仿宋"/>
                <w:szCs w:val="21"/>
              </w:rPr>
            </w:pPr>
            <w:r>
              <w:rPr>
                <w:rFonts w:hint="eastAsia" w:ascii="仿宋" w:hAnsi="仿宋" w:eastAsia="仿宋" w:cs="仿宋"/>
                <w:szCs w:val="21"/>
              </w:rPr>
              <w:t>30.层楼位置信号的自动修正</w:t>
            </w:r>
          </w:p>
        </w:tc>
      </w:tr>
      <w:tr w14:paraId="2F35F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66208471">
            <w:pPr>
              <w:spacing w:line="360" w:lineRule="auto"/>
              <w:rPr>
                <w:rFonts w:hint="eastAsia" w:ascii="仿宋" w:hAnsi="仿宋" w:eastAsia="仿宋" w:cs="仿宋"/>
                <w:szCs w:val="21"/>
              </w:rPr>
            </w:pPr>
            <w:r>
              <w:rPr>
                <w:rFonts w:hint="eastAsia" w:ascii="仿宋" w:hAnsi="仿宋" w:eastAsia="仿宋" w:cs="仿宋"/>
                <w:szCs w:val="21"/>
              </w:rPr>
              <w:t>31.泊梯</w:t>
            </w:r>
          </w:p>
        </w:tc>
        <w:tc>
          <w:tcPr>
            <w:tcW w:w="4111" w:type="dxa"/>
            <w:tcBorders>
              <w:right w:val="thickThinSmallGap" w:color="auto" w:sz="12" w:space="0"/>
            </w:tcBorders>
          </w:tcPr>
          <w:p w14:paraId="3822EEA3">
            <w:pPr>
              <w:spacing w:line="360" w:lineRule="auto"/>
              <w:rPr>
                <w:rFonts w:hint="eastAsia" w:ascii="仿宋" w:hAnsi="仿宋" w:eastAsia="仿宋" w:cs="仿宋"/>
                <w:szCs w:val="21"/>
              </w:rPr>
            </w:pPr>
            <w:r>
              <w:rPr>
                <w:rFonts w:hint="eastAsia" w:ascii="仿宋" w:hAnsi="仿宋" w:eastAsia="仿宋" w:cs="仿宋"/>
                <w:szCs w:val="21"/>
              </w:rPr>
              <w:t>32.反向时自动消指令</w:t>
            </w:r>
          </w:p>
        </w:tc>
      </w:tr>
      <w:tr w14:paraId="25F462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33B689D4">
            <w:pPr>
              <w:spacing w:line="360" w:lineRule="auto"/>
              <w:rPr>
                <w:rFonts w:hint="eastAsia" w:ascii="仿宋" w:hAnsi="仿宋" w:eastAsia="仿宋" w:cs="仿宋"/>
                <w:szCs w:val="21"/>
              </w:rPr>
            </w:pPr>
            <w:r>
              <w:rPr>
                <w:rFonts w:hint="eastAsia" w:ascii="仿宋" w:hAnsi="仿宋" w:eastAsia="仿宋" w:cs="仿宋"/>
                <w:szCs w:val="21"/>
              </w:rPr>
              <w:t>33.门区外不能开门保护措施</w:t>
            </w:r>
          </w:p>
        </w:tc>
        <w:tc>
          <w:tcPr>
            <w:tcW w:w="4111" w:type="dxa"/>
            <w:tcBorders>
              <w:right w:val="thickThinSmallGap" w:color="auto" w:sz="12" w:space="0"/>
            </w:tcBorders>
          </w:tcPr>
          <w:p w14:paraId="656470BB">
            <w:pPr>
              <w:spacing w:line="360" w:lineRule="auto"/>
              <w:rPr>
                <w:rFonts w:hint="eastAsia" w:ascii="仿宋" w:hAnsi="仿宋" w:eastAsia="仿宋" w:cs="仿宋"/>
                <w:szCs w:val="21"/>
              </w:rPr>
            </w:pPr>
            <w:r>
              <w:rPr>
                <w:rFonts w:hint="eastAsia" w:ascii="仿宋" w:hAnsi="仿宋" w:eastAsia="仿宋" w:cs="仿宋"/>
                <w:szCs w:val="21"/>
              </w:rPr>
              <w:t>34.光幕保护</w:t>
            </w:r>
          </w:p>
        </w:tc>
      </w:tr>
      <w:tr w14:paraId="2FF563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75144B3B">
            <w:pPr>
              <w:spacing w:line="360" w:lineRule="auto"/>
              <w:rPr>
                <w:rFonts w:hint="eastAsia" w:ascii="仿宋" w:hAnsi="仿宋" w:eastAsia="仿宋" w:cs="仿宋"/>
                <w:szCs w:val="21"/>
              </w:rPr>
            </w:pPr>
            <w:r>
              <w:rPr>
                <w:rFonts w:hint="eastAsia" w:ascii="仿宋" w:hAnsi="仿宋" w:eastAsia="仿宋" w:cs="仿宋"/>
                <w:szCs w:val="21"/>
              </w:rPr>
              <w:t>35.开关门受阻保护装置</w:t>
            </w:r>
          </w:p>
        </w:tc>
        <w:tc>
          <w:tcPr>
            <w:tcW w:w="4111" w:type="dxa"/>
            <w:tcBorders>
              <w:right w:val="thickThinSmallGap" w:color="auto" w:sz="12" w:space="0"/>
            </w:tcBorders>
          </w:tcPr>
          <w:p w14:paraId="43C4D5CC">
            <w:pPr>
              <w:spacing w:line="360" w:lineRule="auto"/>
              <w:rPr>
                <w:rFonts w:hint="eastAsia" w:ascii="仿宋" w:hAnsi="仿宋" w:eastAsia="仿宋" w:cs="仿宋"/>
                <w:szCs w:val="21"/>
              </w:rPr>
            </w:pPr>
            <w:r>
              <w:rPr>
                <w:rFonts w:hint="eastAsia" w:ascii="仿宋" w:hAnsi="仿宋" w:eastAsia="仿宋" w:cs="仿宋"/>
                <w:szCs w:val="21"/>
              </w:rPr>
              <w:t>36.超载保护</w:t>
            </w:r>
          </w:p>
        </w:tc>
      </w:tr>
      <w:tr w14:paraId="6D075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6435E94F">
            <w:pPr>
              <w:spacing w:line="360" w:lineRule="auto"/>
              <w:rPr>
                <w:rFonts w:hint="eastAsia" w:ascii="仿宋" w:hAnsi="仿宋" w:eastAsia="仿宋" w:cs="仿宋"/>
                <w:szCs w:val="21"/>
              </w:rPr>
            </w:pPr>
            <w:r>
              <w:rPr>
                <w:rFonts w:hint="eastAsia" w:ascii="仿宋" w:hAnsi="仿宋" w:eastAsia="仿宋" w:cs="仿宋"/>
                <w:szCs w:val="21"/>
              </w:rPr>
              <w:t>37.超速保护</w:t>
            </w:r>
          </w:p>
        </w:tc>
        <w:tc>
          <w:tcPr>
            <w:tcW w:w="4111" w:type="dxa"/>
            <w:tcBorders>
              <w:right w:val="thickThinSmallGap" w:color="auto" w:sz="12" w:space="0"/>
            </w:tcBorders>
          </w:tcPr>
          <w:p w14:paraId="0E4EBCC1">
            <w:pPr>
              <w:spacing w:line="360" w:lineRule="auto"/>
              <w:rPr>
                <w:rFonts w:hint="eastAsia" w:ascii="仿宋" w:hAnsi="仿宋" w:eastAsia="仿宋" w:cs="仿宋"/>
                <w:szCs w:val="21"/>
              </w:rPr>
            </w:pPr>
            <w:r>
              <w:rPr>
                <w:rFonts w:hint="eastAsia" w:ascii="仿宋" w:hAnsi="仿宋" w:eastAsia="仿宋" w:cs="仿宋"/>
                <w:szCs w:val="21"/>
              </w:rPr>
              <w:t>38.运行超时保护</w:t>
            </w:r>
          </w:p>
        </w:tc>
      </w:tr>
      <w:tr w14:paraId="62FD5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0868C0A0">
            <w:pPr>
              <w:spacing w:line="360" w:lineRule="auto"/>
              <w:rPr>
                <w:rFonts w:hint="eastAsia" w:ascii="仿宋" w:hAnsi="仿宋" w:eastAsia="仿宋" w:cs="仿宋"/>
                <w:szCs w:val="21"/>
              </w:rPr>
            </w:pPr>
            <w:r>
              <w:rPr>
                <w:rFonts w:hint="eastAsia" w:ascii="仿宋" w:hAnsi="仿宋" w:eastAsia="仿宋" w:cs="仿宋"/>
                <w:szCs w:val="21"/>
              </w:rPr>
              <w:t>39.防遛车保护</w:t>
            </w:r>
          </w:p>
        </w:tc>
        <w:tc>
          <w:tcPr>
            <w:tcW w:w="4111" w:type="dxa"/>
            <w:tcBorders>
              <w:right w:val="thickThinSmallGap" w:color="auto" w:sz="12" w:space="0"/>
            </w:tcBorders>
          </w:tcPr>
          <w:p w14:paraId="0D8350C9">
            <w:pPr>
              <w:spacing w:line="360" w:lineRule="auto"/>
              <w:rPr>
                <w:rFonts w:hint="eastAsia" w:ascii="仿宋" w:hAnsi="仿宋" w:eastAsia="仿宋" w:cs="仿宋"/>
                <w:szCs w:val="21"/>
              </w:rPr>
            </w:pPr>
            <w:r>
              <w:rPr>
                <w:rFonts w:hint="eastAsia" w:ascii="仿宋" w:hAnsi="仿宋" w:eastAsia="仿宋" w:cs="仿宋"/>
                <w:szCs w:val="21"/>
              </w:rPr>
              <w:t>40.防终端越程保护</w:t>
            </w:r>
          </w:p>
        </w:tc>
      </w:tr>
      <w:tr w14:paraId="38B5E8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5A2F9405">
            <w:pPr>
              <w:spacing w:line="360" w:lineRule="auto"/>
              <w:rPr>
                <w:rFonts w:hint="eastAsia" w:ascii="仿宋" w:hAnsi="仿宋" w:eastAsia="仿宋" w:cs="仿宋"/>
                <w:szCs w:val="21"/>
              </w:rPr>
            </w:pPr>
            <w:r>
              <w:rPr>
                <w:rFonts w:hint="eastAsia" w:ascii="仿宋" w:hAnsi="仿宋" w:eastAsia="仿宋" w:cs="仿宋"/>
                <w:szCs w:val="21"/>
              </w:rPr>
              <w:t>41.安全接触器触点检测保护</w:t>
            </w:r>
          </w:p>
        </w:tc>
        <w:tc>
          <w:tcPr>
            <w:tcW w:w="4111" w:type="dxa"/>
            <w:tcBorders>
              <w:right w:val="thickThinSmallGap" w:color="auto" w:sz="12" w:space="0"/>
            </w:tcBorders>
          </w:tcPr>
          <w:p w14:paraId="6700F4FE">
            <w:pPr>
              <w:spacing w:line="360" w:lineRule="auto"/>
              <w:rPr>
                <w:rFonts w:hint="eastAsia" w:ascii="仿宋" w:hAnsi="仿宋" w:eastAsia="仿宋" w:cs="仿宋"/>
                <w:szCs w:val="21"/>
              </w:rPr>
            </w:pPr>
            <w:r>
              <w:rPr>
                <w:rFonts w:hint="eastAsia" w:ascii="仿宋" w:hAnsi="仿宋" w:eastAsia="仿宋" w:cs="仿宋"/>
                <w:szCs w:val="21"/>
              </w:rPr>
              <w:t>42.变频器多重保护</w:t>
            </w:r>
          </w:p>
        </w:tc>
      </w:tr>
      <w:tr w14:paraId="462A6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B680946">
            <w:pPr>
              <w:spacing w:line="360" w:lineRule="auto"/>
              <w:rPr>
                <w:rFonts w:hint="eastAsia" w:ascii="仿宋" w:hAnsi="仿宋" w:eastAsia="仿宋" w:cs="仿宋"/>
                <w:szCs w:val="21"/>
              </w:rPr>
            </w:pPr>
            <w:r>
              <w:rPr>
                <w:rFonts w:hint="eastAsia" w:ascii="仿宋" w:hAnsi="仿宋" w:eastAsia="仿宋" w:cs="仿宋"/>
                <w:szCs w:val="21"/>
              </w:rPr>
              <w:t>43.电梯运行次数显示</w:t>
            </w:r>
          </w:p>
        </w:tc>
        <w:tc>
          <w:tcPr>
            <w:tcW w:w="4111" w:type="dxa"/>
            <w:tcBorders>
              <w:right w:val="thickThinSmallGap" w:color="auto" w:sz="12" w:space="0"/>
            </w:tcBorders>
          </w:tcPr>
          <w:p w14:paraId="3D8E805B">
            <w:pPr>
              <w:spacing w:line="360" w:lineRule="auto"/>
              <w:rPr>
                <w:rFonts w:hint="eastAsia" w:ascii="仿宋" w:hAnsi="仿宋" w:eastAsia="仿宋" w:cs="仿宋"/>
                <w:szCs w:val="21"/>
              </w:rPr>
            </w:pPr>
            <w:r>
              <w:rPr>
                <w:rFonts w:hint="eastAsia" w:ascii="仿宋" w:hAnsi="仿宋" w:eastAsia="仿宋" w:cs="仿宋"/>
                <w:szCs w:val="21"/>
              </w:rPr>
              <w:t>44.欠压保护</w:t>
            </w:r>
          </w:p>
        </w:tc>
      </w:tr>
      <w:tr w14:paraId="430025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0CE4FF80">
            <w:pPr>
              <w:spacing w:line="360" w:lineRule="auto"/>
              <w:rPr>
                <w:rFonts w:hint="eastAsia" w:ascii="仿宋" w:hAnsi="仿宋" w:eastAsia="仿宋" w:cs="仿宋"/>
                <w:szCs w:val="21"/>
              </w:rPr>
            </w:pPr>
            <w:r>
              <w:rPr>
                <w:rFonts w:hint="eastAsia" w:ascii="仿宋" w:hAnsi="仿宋" w:eastAsia="仿宋" w:cs="仿宋"/>
                <w:szCs w:val="21"/>
              </w:rPr>
              <w:t>45.欠相保护</w:t>
            </w:r>
          </w:p>
        </w:tc>
        <w:tc>
          <w:tcPr>
            <w:tcW w:w="4111" w:type="dxa"/>
            <w:tcBorders>
              <w:right w:val="thickThinSmallGap" w:color="auto" w:sz="12" w:space="0"/>
            </w:tcBorders>
          </w:tcPr>
          <w:p w14:paraId="04D4B655">
            <w:pPr>
              <w:spacing w:line="360" w:lineRule="auto"/>
              <w:rPr>
                <w:rFonts w:hint="eastAsia" w:ascii="仿宋" w:hAnsi="仿宋" w:eastAsia="仿宋" w:cs="仿宋"/>
                <w:szCs w:val="21"/>
              </w:rPr>
            </w:pPr>
            <w:r>
              <w:rPr>
                <w:rFonts w:hint="eastAsia" w:ascii="仿宋" w:hAnsi="仿宋" w:eastAsia="仿宋" w:cs="仿宋"/>
                <w:szCs w:val="21"/>
              </w:rPr>
              <w:t>46.停电照明功能</w:t>
            </w:r>
          </w:p>
        </w:tc>
      </w:tr>
      <w:tr w14:paraId="7AAAB8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2CB04757">
            <w:pPr>
              <w:spacing w:line="360" w:lineRule="auto"/>
              <w:rPr>
                <w:rFonts w:hint="eastAsia" w:ascii="仿宋" w:hAnsi="仿宋" w:eastAsia="仿宋" w:cs="仿宋"/>
                <w:szCs w:val="21"/>
              </w:rPr>
            </w:pPr>
            <w:r>
              <w:rPr>
                <w:rFonts w:hint="eastAsia" w:ascii="仿宋" w:hAnsi="仿宋" w:eastAsia="仿宋" w:cs="仿宋"/>
                <w:szCs w:val="21"/>
              </w:rPr>
              <w:t>47.防门锁短接</w:t>
            </w:r>
          </w:p>
        </w:tc>
        <w:tc>
          <w:tcPr>
            <w:tcW w:w="4111" w:type="dxa"/>
            <w:tcBorders>
              <w:right w:val="thickThinSmallGap" w:color="auto" w:sz="12" w:space="0"/>
            </w:tcBorders>
          </w:tcPr>
          <w:p w14:paraId="6E6FFEC7">
            <w:pPr>
              <w:spacing w:line="360" w:lineRule="auto"/>
              <w:rPr>
                <w:rFonts w:hint="eastAsia" w:ascii="仿宋" w:hAnsi="仿宋" w:eastAsia="仿宋" w:cs="仿宋"/>
                <w:szCs w:val="21"/>
              </w:rPr>
            </w:pPr>
            <w:r>
              <w:rPr>
                <w:rFonts w:hint="eastAsia" w:ascii="仿宋" w:hAnsi="仿宋" w:eastAsia="仿宋" w:cs="仿宋"/>
                <w:szCs w:val="21"/>
              </w:rPr>
              <w:t>48.开门故障时换站停靠</w:t>
            </w:r>
          </w:p>
        </w:tc>
      </w:tr>
      <w:tr w14:paraId="0E5D9B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exact"/>
          <w:jc w:val="center"/>
        </w:trPr>
        <w:tc>
          <w:tcPr>
            <w:tcW w:w="4223" w:type="dxa"/>
            <w:tcBorders>
              <w:left w:val="thinThickSmallGap" w:color="auto" w:sz="12" w:space="0"/>
            </w:tcBorders>
          </w:tcPr>
          <w:p w14:paraId="0C5300D5">
            <w:pPr>
              <w:spacing w:line="360" w:lineRule="auto"/>
              <w:rPr>
                <w:rFonts w:hint="eastAsia" w:ascii="仿宋" w:hAnsi="仿宋" w:eastAsia="仿宋" w:cs="仿宋"/>
                <w:szCs w:val="21"/>
              </w:rPr>
            </w:pPr>
            <w:r>
              <w:rPr>
                <w:rFonts w:hint="eastAsia" w:ascii="仿宋" w:hAnsi="仿宋" w:eastAsia="仿宋" w:cs="仿宋"/>
                <w:szCs w:val="21"/>
              </w:rPr>
              <w:t>49.轿厢意外移动保护</w:t>
            </w:r>
          </w:p>
        </w:tc>
        <w:tc>
          <w:tcPr>
            <w:tcW w:w="4111" w:type="dxa"/>
            <w:tcBorders>
              <w:right w:val="thickThinSmallGap" w:color="auto" w:sz="12" w:space="0"/>
            </w:tcBorders>
          </w:tcPr>
          <w:p w14:paraId="010FB1CD">
            <w:pPr>
              <w:spacing w:line="360" w:lineRule="auto"/>
              <w:rPr>
                <w:rFonts w:hint="eastAsia" w:ascii="仿宋" w:hAnsi="仿宋" w:eastAsia="仿宋" w:cs="仿宋"/>
                <w:szCs w:val="21"/>
              </w:rPr>
            </w:pPr>
            <w:r>
              <w:rPr>
                <w:rFonts w:hint="eastAsia" w:ascii="仿宋" w:hAnsi="仿宋" w:eastAsia="仿宋" w:cs="仿宋"/>
                <w:szCs w:val="21"/>
              </w:rPr>
              <w:t>50.提前开门功能</w:t>
            </w:r>
          </w:p>
        </w:tc>
      </w:tr>
      <w:tr w14:paraId="67FCC5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3" w:hRule="exact"/>
          <w:jc w:val="center"/>
        </w:trPr>
        <w:tc>
          <w:tcPr>
            <w:tcW w:w="4223" w:type="dxa"/>
            <w:tcBorders>
              <w:left w:val="thinThickSmallGap" w:color="auto" w:sz="12" w:space="0"/>
            </w:tcBorders>
          </w:tcPr>
          <w:p w14:paraId="15BFFF47">
            <w:pPr>
              <w:spacing w:line="360" w:lineRule="auto"/>
              <w:rPr>
                <w:rFonts w:hint="eastAsia" w:ascii="仿宋" w:hAnsi="仿宋" w:eastAsia="仿宋" w:cs="仿宋"/>
                <w:szCs w:val="21"/>
              </w:rPr>
            </w:pPr>
            <w:r>
              <w:rPr>
                <w:rFonts w:hint="eastAsia" w:ascii="仿宋" w:hAnsi="仿宋" w:eastAsia="仿宋" w:cs="仿宋"/>
                <w:szCs w:val="21"/>
              </w:rPr>
              <w:t>51.抱闸开关检测</w:t>
            </w:r>
          </w:p>
        </w:tc>
        <w:tc>
          <w:tcPr>
            <w:tcW w:w="4111" w:type="dxa"/>
            <w:tcBorders>
              <w:right w:val="thickThinSmallGap" w:color="auto" w:sz="12" w:space="0"/>
            </w:tcBorders>
          </w:tcPr>
          <w:p w14:paraId="059CACF2">
            <w:pPr>
              <w:spacing w:line="360" w:lineRule="auto"/>
              <w:rPr>
                <w:rFonts w:hint="eastAsia" w:ascii="仿宋" w:hAnsi="仿宋" w:eastAsia="仿宋" w:cs="仿宋"/>
                <w:szCs w:val="21"/>
              </w:rPr>
            </w:pPr>
            <w:r>
              <w:rPr>
                <w:rFonts w:hint="eastAsia" w:ascii="仿宋" w:hAnsi="仿宋" w:eastAsia="仿宋" w:cs="仿宋"/>
                <w:szCs w:val="21"/>
              </w:rPr>
              <w:t>52.制动力矩周期性检测</w:t>
            </w:r>
          </w:p>
        </w:tc>
      </w:tr>
      <w:tr w14:paraId="3EF66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 w:hRule="exact"/>
          <w:jc w:val="center"/>
        </w:trPr>
        <w:tc>
          <w:tcPr>
            <w:tcW w:w="4223" w:type="dxa"/>
            <w:tcBorders>
              <w:left w:val="thinThickSmallGap" w:color="auto" w:sz="12" w:space="0"/>
            </w:tcBorders>
          </w:tcPr>
          <w:p w14:paraId="6706C6D8">
            <w:pPr>
              <w:spacing w:line="360" w:lineRule="auto"/>
              <w:rPr>
                <w:rFonts w:hint="eastAsia" w:ascii="仿宋" w:hAnsi="仿宋" w:eastAsia="仿宋" w:cs="仿宋"/>
                <w:szCs w:val="21"/>
              </w:rPr>
            </w:pPr>
            <w:r>
              <w:rPr>
                <w:rFonts w:hint="eastAsia" w:ascii="仿宋" w:hAnsi="仿宋" w:eastAsia="仿宋" w:cs="仿宋"/>
                <w:szCs w:val="21"/>
              </w:rPr>
              <w:t>53.电子到站钟</w:t>
            </w:r>
          </w:p>
        </w:tc>
        <w:tc>
          <w:tcPr>
            <w:tcW w:w="4111" w:type="dxa"/>
            <w:tcBorders>
              <w:right w:val="thickThinSmallGap" w:color="auto" w:sz="12" w:space="0"/>
            </w:tcBorders>
          </w:tcPr>
          <w:p w14:paraId="69B41A75">
            <w:pPr>
              <w:spacing w:line="360" w:lineRule="auto"/>
              <w:rPr>
                <w:rFonts w:hint="eastAsia" w:ascii="仿宋" w:hAnsi="仿宋" w:eastAsia="仿宋" w:cs="仿宋"/>
                <w:szCs w:val="21"/>
              </w:rPr>
            </w:pPr>
            <w:r>
              <w:rPr>
                <w:rFonts w:hint="eastAsia" w:ascii="仿宋" w:hAnsi="仿宋" w:eastAsia="仿宋" w:cs="仿宋"/>
                <w:szCs w:val="21"/>
              </w:rPr>
              <w:t>54.厅门轿门锁安全保护</w:t>
            </w:r>
          </w:p>
        </w:tc>
      </w:tr>
      <w:tr w14:paraId="5560D4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2" w:hRule="exact"/>
          <w:jc w:val="center"/>
        </w:trPr>
        <w:tc>
          <w:tcPr>
            <w:tcW w:w="4223" w:type="dxa"/>
            <w:tcBorders>
              <w:left w:val="thinThickSmallGap" w:color="auto" w:sz="12" w:space="0"/>
            </w:tcBorders>
          </w:tcPr>
          <w:p w14:paraId="413B90F9">
            <w:pPr>
              <w:spacing w:line="360" w:lineRule="auto"/>
              <w:rPr>
                <w:rFonts w:hint="eastAsia" w:ascii="仿宋" w:hAnsi="仿宋" w:eastAsia="仿宋" w:cs="仿宋"/>
                <w:szCs w:val="21"/>
              </w:rPr>
            </w:pPr>
            <w:r>
              <w:rPr>
                <w:rFonts w:hint="eastAsia" w:ascii="仿宋" w:hAnsi="仿宋" w:eastAsia="仿宋" w:cs="仿宋"/>
                <w:szCs w:val="21"/>
              </w:rPr>
              <w:t>55.电梯上下限位安全保护</w:t>
            </w:r>
          </w:p>
        </w:tc>
        <w:tc>
          <w:tcPr>
            <w:tcW w:w="4111" w:type="dxa"/>
            <w:tcBorders>
              <w:right w:val="thickThinSmallGap" w:color="auto" w:sz="12" w:space="0"/>
            </w:tcBorders>
          </w:tcPr>
          <w:p w14:paraId="468A0C8A">
            <w:pPr>
              <w:spacing w:line="360" w:lineRule="auto"/>
              <w:rPr>
                <w:rFonts w:hint="eastAsia" w:ascii="仿宋" w:hAnsi="仿宋" w:eastAsia="仿宋" w:cs="仿宋"/>
                <w:szCs w:val="21"/>
              </w:rPr>
            </w:pPr>
            <w:r>
              <w:rPr>
                <w:rFonts w:hint="eastAsia" w:ascii="仿宋" w:hAnsi="仿宋" w:eastAsia="仿宋" w:cs="仿宋"/>
                <w:szCs w:val="21"/>
              </w:rPr>
              <w:t>56.旁路功能声光报警提示</w:t>
            </w:r>
          </w:p>
        </w:tc>
      </w:tr>
      <w:tr w14:paraId="0F0ED2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4223" w:type="dxa"/>
            <w:tcBorders>
              <w:left w:val="thinThickSmallGap" w:color="auto" w:sz="12" w:space="0"/>
            </w:tcBorders>
          </w:tcPr>
          <w:p w14:paraId="19EAF35D">
            <w:pPr>
              <w:spacing w:line="360" w:lineRule="auto"/>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57.轿厢内摄像功能</w:t>
            </w:r>
          </w:p>
          <w:p w14:paraId="15B38F6E">
            <w:pPr>
              <w:spacing w:line="360" w:lineRule="auto"/>
              <w:rPr>
                <w:rFonts w:hint="eastAsia" w:ascii="仿宋" w:hAnsi="仿宋" w:eastAsia="仿宋" w:cs="仿宋"/>
                <w:color w:val="000000" w:themeColor="text1"/>
                <w:szCs w:val="21"/>
                <w:lang w:val="en-US" w:eastAsia="zh-CN"/>
                <w14:textFill>
                  <w14:solidFill>
                    <w14:schemeClr w14:val="tx1"/>
                  </w14:solidFill>
                </w14:textFill>
              </w:rPr>
            </w:pPr>
          </w:p>
        </w:tc>
        <w:tc>
          <w:tcPr>
            <w:tcW w:w="4111" w:type="dxa"/>
            <w:tcBorders>
              <w:right w:val="thickThinSmallGap" w:color="auto" w:sz="12" w:space="0"/>
            </w:tcBorders>
          </w:tcPr>
          <w:p w14:paraId="72DE6B30">
            <w:pPr>
              <w:spacing w:line="360" w:lineRule="auto"/>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58、停电应急平层</w:t>
            </w:r>
          </w:p>
        </w:tc>
      </w:tr>
      <w:tr w14:paraId="7200F4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8334" w:type="dxa"/>
            <w:gridSpan w:val="2"/>
            <w:tcBorders>
              <w:left w:val="thinThickSmallGap" w:color="auto" w:sz="12" w:space="0"/>
              <w:bottom w:val="thickThinSmallGap" w:color="auto" w:sz="12" w:space="0"/>
              <w:right w:val="thickThinSmallGap" w:color="auto" w:sz="12" w:space="0"/>
            </w:tcBorders>
          </w:tcPr>
          <w:p w14:paraId="630472EB">
            <w:pPr>
              <w:spacing w:line="360" w:lineRule="auto"/>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备注：</w:t>
            </w:r>
          </w:p>
        </w:tc>
      </w:tr>
    </w:tbl>
    <w:p w14:paraId="6239A04C">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★（四）配置电梯专用无水空调</w:t>
      </w:r>
    </w:p>
    <w:p w14:paraId="7023E0F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五</w:t>
      </w:r>
      <w:r>
        <w:rPr>
          <w:rFonts w:hint="eastAsia" w:ascii="仿宋" w:hAnsi="仿宋" w:eastAsia="仿宋" w:cs="仿宋"/>
          <w:color w:val="auto"/>
        </w:rPr>
        <w:t>）施工标准</w:t>
      </w:r>
    </w:p>
    <w:p w14:paraId="2971213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参选供应商所提供电梯设备的设计、制造、产品性能、材料的选择和材料的检验、产品的测试等，都应按国内外通行的现行标准和相应的技术标准执行。技术标准为合同签字日为止最新公布发行的标准和技术标准。</w:t>
      </w:r>
    </w:p>
    <w:bookmarkEnd w:id="70"/>
    <w:bookmarkEnd w:id="71"/>
    <w:bookmarkEnd w:id="75"/>
    <w:bookmarkEnd w:id="76"/>
    <w:bookmarkEnd w:id="77"/>
    <w:bookmarkEnd w:id="78"/>
    <w:bookmarkEnd w:id="79"/>
    <w:bookmarkEnd w:id="80"/>
    <w:bookmarkEnd w:id="81"/>
    <w:bookmarkEnd w:id="82"/>
    <w:bookmarkEnd w:id="83"/>
    <w:p w14:paraId="63641E3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bookmarkStart w:id="92" w:name="_Toc108545974"/>
      <w:bookmarkStart w:id="93" w:name="_Toc29973"/>
      <w:bookmarkStart w:id="94" w:name="_Toc9498"/>
    </w:p>
    <w:p w14:paraId="7483C98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3C8E0ECB">
      <w:pPr>
        <w:rPr>
          <w:rFonts w:hint="eastAsia" w:ascii="仿宋" w:hAnsi="仿宋" w:eastAsia="仿宋" w:cs="仿宋"/>
          <w:b/>
          <w:bCs/>
          <w:color w:val="auto"/>
          <w:sz w:val="32"/>
          <w:szCs w:val="32"/>
        </w:rPr>
      </w:pPr>
      <w:bookmarkStart w:id="95" w:name="OLE_LINK79"/>
      <w:bookmarkStart w:id="96" w:name="OLE_LINK78"/>
      <w:r>
        <w:rPr>
          <w:rFonts w:hint="eastAsia" w:ascii="仿宋" w:hAnsi="仿宋" w:eastAsia="仿宋" w:cs="仿宋"/>
          <w:b/>
          <w:bCs/>
          <w:color w:val="auto"/>
          <w:sz w:val="32"/>
          <w:szCs w:val="32"/>
        </w:rPr>
        <w:br w:type="page"/>
      </w:r>
    </w:p>
    <w:p w14:paraId="73A55919">
      <w:pPr>
        <w:keepNext w:val="0"/>
        <w:keepLines w:val="0"/>
        <w:pageBreakBefore w:val="0"/>
        <w:widowControl/>
        <w:kinsoku/>
        <w:wordWrap/>
        <w:overflowPunct/>
        <w:topLinePunct w:val="0"/>
        <w:autoSpaceDE/>
        <w:autoSpaceDN/>
        <w:bidi w:val="0"/>
        <w:adjustRightInd/>
        <w:snapToGrid w:val="0"/>
        <w:spacing w:line="440" w:lineRule="exact"/>
        <w:jc w:val="center"/>
        <w:textAlignment w:val="auto"/>
        <w:outlineLvl w:val="0"/>
        <w:rPr>
          <w:rFonts w:hint="eastAsia" w:ascii="仿宋" w:hAnsi="仿宋" w:eastAsia="仿宋" w:cs="仿宋"/>
          <w:b/>
          <w:bCs/>
          <w:color w:val="auto"/>
          <w:sz w:val="32"/>
          <w:szCs w:val="32"/>
        </w:rPr>
      </w:pPr>
      <w:bookmarkStart w:id="97" w:name="_Toc22584"/>
      <w:r>
        <w:rPr>
          <w:rFonts w:hint="eastAsia" w:ascii="仿宋" w:hAnsi="仿宋" w:eastAsia="仿宋" w:cs="仿宋"/>
          <w:b/>
          <w:bCs/>
          <w:color w:val="auto"/>
          <w:sz w:val="32"/>
          <w:szCs w:val="32"/>
        </w:rPr>
        <w:t xml:space="preserve">第三篇  </w:t>
      </w:r>
      <w:bookmarkEnd w:id="92"/>
      <w:r>
        <w:rPr>
          <w:rFonts w:hint="eastAsia" w:ascii="仿宋" w:hAnsi="仿宋" w:eastAsia="仿宋" w:cs="仿宋"/>
          <w:b/>
          <w:bCs/>
          <w:color w:val="auto"/>
          <w:sz w:val="32"/>
          <w:szCs w:val="32"/>
        </w:rPr>
        <w:t>项目商务需求</w:t>
      </w:r>
      <w:bookmarkEnd w:id="93"/>
      <w:bookmarkEnd w:id="94"/>
      <w:bookmarkEnd w:id="97"/>
    </w:p>
    <w:p w14:paraId="6726E03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bookmarkStart w:id="98" w:name="_Toc76462328"/>
      <w:bookmarkStart w:id="99" w:name="_Toc106030883"/>
      <w:bookmarkStart w:id="100" w:name="_Toc21982"/>
      <w:bookmarkStart w:id="101" w:name="_Toc25940"/>
      <w:bookmarkStart w:id="102" w:name="_Toc344475120"/>
      <w:bookmarkStart w:id="103" w:name="_Toc62484881"/>
      <w:bookmarkStart w:id="104" w:name="_Toc108545975"/>
      <w:bookmarkStart w:id="105" w:name="_Toc487204790"/>
      <w:bookmarkStart w:id="106" w:name="_Toc22463"/>
      <w:bookmarkStart w:id="107" w:name="_Toc344475121"/>
    </w:p>
    <w:p w14:paraId="2379E5F5">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lang w:eastAsia="zh-CN"/>
        </w:rPr>
      </w:pPr>
      <w:bookmarkStart w:id="108" w:name="_Toc9056"/>
      <w:r>
        <w:rPr>
          <w:rFonts w:hint="eastAsia" w:ascii="仿宋" w:hAnsi="仿宋" w:eastAsia="仿宋" w:cs="仿宋"/>
          <w:b/>
          <w:bCs/>
          <w:color w:val="auto"/>
        </w:rPr>
        <w:t>一、</w:t>
      </w:r>
      <w:bookmarkEnd w:id="98"/>
      <w:bookmarkEnd w:id="99"/>
      <w:bookmarkEnd w:id="100"/>
      <w:bookmarkEnd w:id="101"/>
      <w:r>
        <w:rPr>
          <w:rFonts w:hint="eastAsia" w:ascii="仿宋" w:hAnsi="仿宋" w:eastAsia="仿宋" w:cs="仿宋"/>
          <w:b/>
          <w:bCs/>
          <w:color w:val="auto"/>
          <w:lang w:eastAsia="zh-CN"/>
        </w:rPr>
        <w:t>供货期、供货地点及验收方式</w:t>
      </w:r>
      <w:bookmarkEnd w:id="108"/>
    </w:p>
    <w:p w14:paraId="3971E181">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w:t>
      </w:r>
      <w:r>
        <w:rPr>
          <w:rFonts w:hint="eastAsia" w:ascii="仿宋" w:hAnsi="仿宋" w:eastAsia="仿宋" w:cs="仿宋"/>
          <w:color w:val="auto"/>
          <w:lang w:val="en-US" w:eastAsia="zh-CN"/>
        </w:rPr>
        <w:t>供货期</w:t>
      </w:r>
      <w:r>
        <w:rPr>
          <w:rFonts w:hint="eastAsia" w:ascii="仿宋" w:hAnsi="仿宋" w:eastAsia="仿宋" w:cs="仿宋"/>
          <w:color w:val="auto"/>
        </w:rPr>
        <w:t>要求</w:t>
      </w:r>
    </w:p>
    <w:p w14:paraId="5D00829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合同签订后</w:t>
      </w:r>
      <w:r>
        <w:rPr>
          <w:rFonts w:hint="eastAsia" w:ascii="仿宋" w:hAnsi="仿宋" w:eastAsia="仿宋" w:cs="仿宋"/>
          <w:color w:val="auto"/>
          <w:lang w:eastAsia="zh-CN"/>
        </w:rPr>
        <w:t>，待现场土建部分完成后30</w:t>
      </w:r>
      <w:r>
        <w:rPr>
          <w:rFonts w:hint="eastAsia" w:ascii="仿宋" w:hAnsi="仿宋" w:eastAsia="仿宋" w:cs="仿宋"/>
          <w:color w:val="auto"/>
          <w:lang w:val="en-US" w:eastAsia="zh-CN"/>
        </w:rPr>
        <w:t>日历天</w:t>
      </w:r>
      <w:bookmarkStart w:id="341" w:name="_GoBack"/>
      <w:bookmarkEnd w:id="341"/>
      <w:r>
        <w:rPr>
          <w:rFonts w:hint="eastAsia" w:ascii="仿宋" w:hAnsi="仿宋" w:eastAsia="仿宋" w:cs="仿宋"/>
          <w:color w:val="auto"/>
        </w:rPr>
        <w:t>安装调试完成、通过验收合格（由</w:t>
      </w:r>
      <w:r>
        <w:rPr>
          <w:rFonts w:hint="eastAsia" w:ascii="仿宋" w:hAnsi="仿宋" w:eastAsia="仿宋" w:cs="仿宋"/>
          <w:color w:val="auto"/>
          <w:lang w:val="en-US" w:eastAsia="zh-CN"/>
        </w:rPr>
        <w:t>相关部门验收合格</w:t>
      </w:r>
      <w:r>
        <w:rPr>
          <w:rFonts w:hint="eastAsia" w:ascii="仿宋" w:hAnsi="仿宋" w:eastAsia="仿宋" w:cs="仿宋"/>
          <w:color w:val="auto"/>
        </w:rPr>
        <w:t>，并出具检验合格报告）交付采购人使用。安装应对施工井道和机房进行有效的物理隔离，分阶段、分系统按施工方案进行。</w:t>
      </w:r>
    </w:p>
    <w:p w14:paraId="696C9F93">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w:t>
      </w:r>
      <w:r>
        <w:rPr>
          <w:rFonts w:hint="eastAsia" w:ascii="仿宋" w:hAnsi="仿宋" w:eastAsia="仿宋" w:cs="仿宋"/>
          <w:color w:val="auto"/>
          <w:lang w:val="en-US" w:eastAsia="zh-CN"/>
        </w:rPr>
        <w:t>供货</w:t>
      </w:r>
      <w:r>
        <w:rPr>
          <w:rFonts w:hint="eastAsia" w:ascii="仿宋" w:hAnsi="仿宋" w:eastAsia="仿宋" w:cs="仿宋"/>
          <w:color w:val="auto"/>
        </w:rPr>
        <w:t>地点</w:t>
      </w:r>
    </w:p>
    <w:p w14:paraId="7C3D04BD">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rPr>
        <w:t>交货地点：</w:t>
      </w:r>
      <w:r>
        <w:rPr>
          <w:rFonts w:hint="eastAsia" w:ascii="仿宋" w:hAnsi="仿宋" w:eastAsia="仿宋" w:cs="仿宋"/>
          <w:color w:val="auto"/>
          <w:lang w:val="en-US" w:eastAsia="zh-CN"/>
        </w:rPr>
        <w:t>重庆市大足区希望小学</w:t>
      </w:r>
    </w:p>
    <w:p w14:paraId="58686AC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（三）验收方式</w:t>
      </w:r>
    </w:p>
    <w:p w14:paraId="415BCF45">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109" w:name="OLE_LINK168"/>
      <w:r>
        <w:rPr>
          <w:rFonts w:hint="eastAsia" w:ascii="仿宋" w:hAnsi="仿宋" w:eastAsia="仿宋" w:cs="仿宋"/>
          <w:color w:val="auto"/>
        </w:rPr>
        <w:t>．</w:t>
      </w:r>
      <w:bookmarkEnd w:id="109"/>
      <w:r>
        <w:rPr>
          <w:rFonts w:hint="eastAsia" w:ascii="仿宋" w:hAnsi="仿宋" w:eastAsia="仿宋" w:cs="仿宋"/>
          <w:color w:val="auto"/>
        </w:rPr>
        <w:t>电梯设备验收</w:t>
      </w:r>
    </w:p>
    <w:p w14:paraId="1D69D3E7">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（1）电梯质量检验标准和验收规范依据为</w:t>
      </w:r>
      <w:bookmarkStart w:id="110" w:name="OLE_LINK204"/>
      <w:bookmarkStart w:id="111" w:name="OLE_LINK205"/>
      <w:r>
        <w:rPr>
          <w:rFonts w:hint="eastAsia" w:ascii="仿宋" w:hAnsi="仿宋" w:eastAsia="仿宋" w:cs="仿宋"/>
          <w:color w:val="auto"/>
        </w:rPr>
        <w:t>执行国家最新规定，包括但不限于《电梯安全技术规范》</w:t>
      </w:r>
      <w:bookmarkStart w:id="112" w:name="OLE_LINK207"/>
      <w:bookmarkStart w:id="113" w:name="OLE_LINK206"/>
      <w:r>
        <w:rPr>
          <w:rFonts w:hint="eastAsia" w:ascii="仿宋" w:hAnsi="仿宋" w:eastAsia="仿宋" w:cs="仿宋"/>
          <w:color w:val="auto"/>
        </w:rPr>
        <w:t>《电梯监督检验和定期检验规则》</w:t>
      </w:r>
      <w:bookmarkEnd w:id="112"/>
      <w:bookmarkEnd w:id="113"/>
      <w:r>
        <w:rPr>
          <w:rFonts w:hint="eastAsia" w:ascii="仿宋" w:hAnsi="仿宋" w:eastAsia="仿宋" w:cs="仿宋"/>
          <w:color w:val="auto"/>
        </w:rPr>
        <w:t>等。</w:t>
      </w:r>
    </w:p>
    <w:bookmarkEnd w:id="110"/>
    <w:bookmarkEnd w:id="111"/>
    <w:p w14:paraId="19BD8FFA">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（2）产品的验收应以采购人认可的产品品牌、数量、规格、型号及施工图纸、设备说明书、有关变更的书面文件、国家颁布的验收规范和质量检验标准为依据。</w:t>
      </w:r>
    </w:p>
    <w:p w14:paraId="527A216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（3）成交</w:t>
      </w:r>
      <w:bookmarkStart w:id="114" w:name="OLE_LINK167"/>
      <w:bookmarkStart w:id="115" w:name="OLE_LINK166"/>
      <w:r>
        <w:rPr>
          <w:rFonts w:hint="eastAsia" w:ascii="仿宋" w:hAnsi="仿宋" w:eastAsia="仿宋" w:cs="仿宋"/>
          <w:color w:val="auto"/>
        </w:rPr>
        <w:t>中选人</w:t>
      </w:r>
      <w:bookmarkEnd w:id="114"/>
      <w:bookmarkEnd w:id="115"/>
      <w:r>
        <w:rPr>
          <w:rFonts w:hint="eastAsia" w:ascii="仿宋" w:hAnsi="仿宋" w:eastAsia="仿宋" w:cs="仿宋"/>
          <w:color w:val="auto"/>
        </w:rPr>
        <w:t>在采购人要求时间内将产品运到指定地点后应立即知会采购人，由采购人对照订货单与有关设计文件对产品的品牌、数量、型号、规格、外观等进行开箱验收，核对无误后设备方可进场安装。在开箱验收时，成交供应商应提供产品出厂合格证、装箱单、型试验合格证、操作维护手册、技术说明书、“三包”保修卡、产品及相关材料的国际、国内安全产品认定书和质量保证书等交采购人确认。整机为进口产品的，还应出具、海关报关证明，保证达到双方确认的设计方案中的功能。进口产品的外文资料成交中标人应提供原生产厂家所附的或经公证处公证的中文翻译资料。</w:t>
      </w:r>
    </w:p>
    <w:p w14:paraId="0BA8946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（4）如果在验收中产生纠纷，</w:t>
      </w:r>
      <w:r>
        <w:rPr>
          <w:rFonts w:hint="eastAsia" w:ascii="仿宋" w:hAnsi="仿宋" w:eastAsia="仿宋" w:cs="仿宋"/>
          <w:color w:val="000000" w:themeColor="text1"/>
          <w14:textFill>
            <w14:solidFill>
              <w14:schemeClr w14:val="tx1"/>
            </w14:solidFill>
          </w14:textFill>
        </w:rPr>
        <w:t>由</w:t>
      </w:r>
      <w:r>
        <w:rPr>
          <w:rFonts w:hint="eastAsia" w:ascii="仿宋" w:hAnsi="仿宋" w:eastAsia="仿宋" w:cs="仿宋"/>
          <w:color w:val="000000" w:themeColor="text1"/>
          <w:lang w:val="en-US" w:eastAsia="zh-CN"/>
          <w14:textFill>
            <w14:solidFill>
              <w14:schemeClr w14:val="tx1"/>
            </w14:solidFill>
          </w14:textFill>
        </w:rPr>
        <w:t>相关</w:t>
      </w:r>
      <w:r>
        <w:rPr>
          <w:rFonts w:hint="eastAsia" w:ascii="仿宋" w:hAnsi="仿宋" w:eastAsia="仿宋" w:cs="仿宋"/>
          <w:color w:val="000000" w:themeColor="text1"/>
          <w14:textFill>
            <w14:solidFill>
              <w14:schemeClr w14:val="tx1"/>
            </w14:solidFill>
          </w14:textFill>
        </w:rPr>
        <w:t>质量监督部门检测</w:t>
      </w:r>
      <w:r>
        <w:rPr>
          <w:rFonts w:hint="eastAsia" w:ascii="仿宋" w:hAnsi="仿宋" w:eastAsia="仿宋" w:cs="仿宋"/>
          <w:color w:val="auto"/>
        </w:rPr>
        <w:t>，检验费等相关费用由责任方承担。</w:t>
      </w:r>
    </w:p>
    <w:p w14:paraId="7D660CC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bookmarkStart w:id="116" w:name="OLE_LINK177"/>
      <w:bookmarkStart w:id="117" w:name="OLE_LINK176"/>
      <w:r>
        <w:rPr>
          <w:rFonts w:hint="eastAsia" w:ascii="仿宋" w:hAnsi="仿宋" w:eastAsia="仿宋" w:cs="仿宋"/>
          <w:color w:val="auto"/>
        </w:rPr>
        <w:t>2</w:t>
      </w:r>
      <w:bookmarkStart w:id="118" w:name="OLE_LINK172"/>
      <w:bookmarkStart w:id="119" w:name="OLE_LINK173"/>
      <w:r>
        <w:rPr>
          <w:rFonts w:hint="eastAsia" w:ascii="仿宋" w:hAnsi="仿宋" w:eastAsia="仿宋" w:cs="仿宋"/>
          <w:color w:val="auto"/>
        </w:rPr>
        <w:t>．</w:t>
      </w:r>
      <w:bookmarkEnd w:id="116"/>
      <w:bookmarkEnd w:id="117"/>
      <w:bookmarkEnd w:id="118"/>
      <w:bookmarkEnd w:id="119"/>
      <w:r>
        <w:rPr>
          <w:rFonts w:hint="eastAsia" w:ascii="仿宋" w:hAnsi="仿宋" w:eastAsia="仿宋" w:cs="仿宋"/>
          <w:color w:val="auto"/>
        </w:rPr>
        <w:t>安装验收</w:t>
      </w:r>
    </w:p>
    <w:p w14:paraId="43CC446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电梯安装、调试工作完成后，采购人应按成交供应商通知，派代表会同成交中选人根据买卖合同书规定的条款、技术数据、施工图纸以及国家最新的《电梯监督检验和定期检验规则》规定的相关规定标准进行验收。</w:t>
      </w:r>
    </w:p>
    <w:p w14:paraId="2A7A509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w:t>
      </w:r>
      <w:bookmarkStart w:id="120" w:name="OLE_LINK169"/>
      <w:r>
        <w:rPr>
          <w:rFonts w:hint="eastAsia" w:ascii="仿宋" w:hAnsi="仿宋" w:eastAsia="仿宋" w:cs="仿宋"/>
          <w:color w:val="auto"/>
        </w:rPr>
        <w:t>成交中选人应负责按《中华人民共和国</w:t>
      </w:r>
      <w:bookmarkStart w:id="121" w:name="OLE_LINK170"/>
      <w:bookmarkStart w:id="122" w:name="OLE_LINK171"/>
      <w:r>
        <w:rPr>
          <w:rFonts w:hint="eastAsia" w:ascii="仿宋" w:hAnsi="仿宋" w:eastAsia="仿宋" w:cs="仿宋"/>
          <w:color w:val="auto"/>
        </w:rPr>
        <w:t>特种设备安全</w:t>
      </w:r>
      <w:bookmarkEnd w:id="121"/>
      <w:bookmarkEnd w:id="122"/>
      <w:r>
        <w:rPr>
          <w:rFonts w:hint="eastAsia" w:ascii="仿宋" w:hAnsi="仿宋" w:eastAsia="仿宋" w:cs="仿宋"/>
          <w:color w:val="auto"/>
        </w:rPr>
        <w:t>法》及设备安装地特种设备安全监督管理部门的规定，完成电梯的监督检验工作，并取得《特种设备使用登记证》。监督检验费用、办理登记所产生的一切费用均已包含在合同总价中，采购人提供必要的配合</w:t>
      </w:r>
      <w:bookmarkEnd w:id="120"/>
      <w:r>
        <w:rPr>
          <w:rFonts w:hint="eastAsia" w:ascii="仿宋" w:hAnsi="仿宋" w:eastAsia="仿宋" w:cs="仿宋"/>
          <w:color w:val="auto"/>
        </w:rPr>
        <w:t>与文件盖章支持。</w:t>
      </w:r>
      <w:bookmarkStart w:id="123" w:name="_Toc76462329"/>
      <w:bookmarkStart w:id="124" w:name="_Toc106030884"/>
    </w:p>
    <w:p w14:paraId="43B82726">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25" w:name="_Toc19906"/>
      <w:bookmarkStart w:id="126" w:name="_Toc31844"/>
      <w:bookmarkStart w:id="127" w:name="_Toc6227"/>
      <w:r>
        <w:rPr>
          <w:rFonts w:hint="eastAsia" w:ascii="仿宋" w:hAnsi="仿宋" w:eastAsia="仿宋" w:cs="仿宋"/>
          <w:b/>
          <w:bCs/>
          <w:color w:val="auto"/>
        </w:rPr>
        <w:t>二、比选报价要求</w:t>
      </w:r>
      <w:bookmarkEnd w:id="123"/>
      <w:bookmarkEnd w:id="124"/>
      <w:bookmarkEnd w:id="125"/>
      <w:bookmarkEnd w:id="126"/>
      <w:bookmarkEnd w:id="127"/>
    </w:p>
    <w:p w14:paraId="050842D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（一）所有比选报价均以人民币报价。比选总价应为完成本工程所需的全部费用，包括但不限于：新电梯设备供货、运输、安装、调试、报检、验收直至取得《特种设备使用登记证》</w:t>
      </w:r>
      <w:r>
        <w:rPr>
          <w:rFonts w:hint="eastAsia" w:ascii="仿宋" w:hAnsi="仿宋" w:eastAsia="仿宋" w:cs="仿宋"/>
          <w:color w:val="auto"/>
          <w:lang w:eastAsia="zh-CN"/>
        </w:rPr>
        <w:t>、</w:t>
      </w:r>
      <w:r>
        <w:rPr>
          <w:rFonts w:hint="eastAsia" w:ascii="仿宋" w:hAnsi="仿宋" w:eastAsia="仿宋" w:cs="仿宋"/>
          <w:color w:val="auto"/>
        </w:rPr>
        <w:t>中标服务费</w:t>
      </w:r>
      <w:r>
        <w:rPr>
          <w:rFonts w:hint="eastAsia" w:ascii="仿宋" w:hAnsi="仿宋" w:eastAsia="仿宋" w:cs="仿宋"/>
          <w:color w:val="auto"/>
          <w:lang w:val="en-US" w:eastAsia="zh-CN"/>
        </w:rPr>
        <w:t>等</w:t>
      </w:r>
      <w:r>
        <w:rPr>
          <w:rFonts w:hint="eastAsia" w:ascii="仿宋" w:hAnsi="仿宋" w:eastAsia="仿宋" w:cs="仿宋"/>
          <w:color w:val="auto"/>
        </w:rPr>
        <w:t>。除非另有说明，报价应被视为已包含为完成本项目所发生的一切费用、风险和责任。</w:t>
      </w:r>
    </w:p>
    <w:p w14:paraId="6B83E77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（二）参选供应商应根据采购人提供的竞争性比选文件、比选要求、工程环境因素和工程特点及风险，结合企业自身经济实力自主报价。</w:t>
      </w:r>
    </w:p>
    <w:p w14:paraId="351CF5A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（三）采购人不接受任何选择报价，对每一种比选申请方案只允许有一个报价。</w:t>
      </w:r>
    </w:p>
    <w:p w14:paraId="374D301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（四）本项目的报价及结算均按照国家现行的增值税相关政策法规执行。</w:t>
      </w:r>
    </w:p>
    <w:p w14:paraId="5F294ED7">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28" w:name="_Toc29821"/>
      <w:bookmarkStart w:id="129" w:name="_Toc15206"/>
      <w:bookmarkStart w:id="130" w:name="_Toc24954"/>
      <w:bookmarkStart w:id="131" w:name="_Toc76462330"/>
      <w:bookmarkStart w:id="132" w:name="_Toc344475122"/>
      <w:bookmarkStart w:id="133" w:name="_Toc106030885"/>
      <w:r>
        <w:rPr>
          <w:rFonts w:hint="eastAsia" w:ascii="仿宋" w:hAnsi="仿宋" w:eastAsia="仿宋" w:cs="仿宋"/>
          <w:b/>
          <w:bCs/>
          <w:color w:val="auto"/>
        </w:rPr>
        <w:t>三、质量保证及售后服务</w:t>
      </w:r>
      <w:bookmarkEnd w:id="128"/>
      <w:bookmarkEnd w:id="129"/>
      <w:bookmarkEnd w:id="130"/>
      <w:bookmarkEnd w:id="131"/>
      <w:bookmarkEnd w:id="132"/>
      <w:bookmarkEnd w:id="133"/>
    </w:p>
    <w:p w14:paraId="1F22117C">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w:t>
      </w:r>
      <w:bookmarkStart w:id="134" w:name="OLE_LINK3"/>
      <w:bookmarkStart w:id="135" w:name="OLE_LINK4"/>
      <w:r>
        <w:rPr>
          <w:rFonts w:hint="eastAsia" w:ascii="仿宋" w:hAnsi="仿宋" w:eastAsia="仿宋" w:cs="仿宋"/>
          <w:color w:val="auto"/>
        </w:rPr>
        <w:t>产品质量保证期</w:t>
      </w:r>
    </w:p>
    <w:p w14:paraId="38F27258">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136" w:name="OLE_LINK191"/>
      <w:r>
        <w:rPr>
          <w:rFonts w:hint="eastAsia" w:ascii="仿宋" w:hAnsi="仿宋" w:eastAsia="仿宋" w:cs="仿宋"/>
          <w:color w:val="auto"/>
        </w:rPr>
        <w:t>．</w:t>
      </w:r>
      <w:bookmarkEnd w:id="136"/>
      <w:bookmarkStart w:id="137" w:name="OLE_LINK187"/>
      <w:bookmarkStart w:id="138" w:name="OLE_LINK188"/>
      <w:bookmarkStart w:id="139" w:name="OLE_LINK189"/>
      <w:bookmarkStart w:id="140" w:name="OLE_LINK190"/>
      <w:r>
        <w:rPr>
          <w:rFonts w:hint="eastAsia" w:ascii="仿宋" w:hAnsi="仿宋" w:eastAsia="仿宋" w:cs="仿宋"/>
          <w:color w:val="auto"/>
        </w:rPr>
        <w:t>质保期自</w:t>
      </w:r>
      <w:bookmarkStart w:id="141" w:name="OLE_LINK185"/>
      <w:bookmarkStart w:id="142" w:name="OLE_LINK186"/>
      <w:r>
        <w:rPr>
          <w:rFonts w:hint="eastAsia" w:ascii="仿宋" w:hAnsi="仿宋" w:eastAsia="仿宋" w:cs="仿宋"/>
          <w:color w:val="auto"/>
        </w:rPr>
        <w:t>电梯监督检验合格之日起</w:t>
      </w:r>
      <w:bookmarkEnd w:id="141"/>
      <w:bookmarkEnd w:id="142"/>
      <w:r>
        <w:rPr>
          <w:rFonts w:hint="eastAsia" w:ascii="仿宋" w:hAnsi="仿宋" w:eastAsia="仿宋" w:cs="仿宋"/>
          <w:color w:val="auto"/>
        </w:rPr>
        <w:t>计算，</w:t>
      </w:r>
      <w:bookmarkEnd w:id="137"/>
      <w:bookmarkEnd w:id="138"/>
      <w:bookmarkEnd w:id="139"/>
      <w:bookmarkEnd w:id="140"/>
      <w:r>
        <w:rPr>
          <w:rFonts w:hint="eastAsia" w:ascii="仿宋" w:hAnsi="仿宋" w:eastAsia="仿宋" w:cs="仿宋"/>
          <w:color w:val="auto"/>
          <w:lang w:val="en-US" w:eastAsia="zh-CN"/>
        </w:rPr>
        <w:t>质量保证期</w:t>
      </w:r>
      <w:r>
        <w:rPr>
          <w:rFonts w:hint="eastAsia" w:ascii="仿宋" w:hAnsi="仿宋" w:eastAsia="仿宋" w:cs="仿宋"/>
          <w:color w:val="auto"/>
        </w:rPr>
        <w:t>：</w:t>
      </w:r>
      <w:r>
        <w:rPr>
          <w:rFonts w:hint="eastAsia" w:ascii="仿宋" w:hAnsi="仿宋" w:eastAsia="仿宋" w:cs="仿宋"/>
          <w:color w:val="auto"/>
          <w:lang w:val="en-US" w:eastAsia="zh-CN"/>
        </w:rPr>
        <w:t>12</w:t>
      </w:r>
      <w:r>
        <w:rPr>
          <w:rFonts w:hint="eastAsia" w:ascii="仿宋" w:hAnsi="仿宋" w:eastAsia="仿宋" w:cs="仿宋"/>
          <w:color w:val="auto"/>
        </w:rPr>
        <w:t>个月</w:t>
      </w:r>
      <w:r>
        <w:rPr>
          <w:rFonts w:hint="eastAsia" w:ascii="仿宋" w:hAnsi="仿宋" w:eastAsia="仿宋" w:cs="仿宋"/>
          <w:color w:val="auto"/>
          <w:lang w:val="en-US" w:eastAsia="zh-CN"/>
        </w:rPr>
        <w:t>,免费维保期：12个月</w:t>
      </w:r>
      <w:r>
        <w:rPr>
          <w:rFonts w:hint="eastAsia" w:ascii="仿宋" w:hAnsi="仿宋" w:eastAsia="仿宋" w:cs="仿宋"/>
          <w:color w:val="auto"/>
        </w:rPr>
        <w:t>。</w:t>
      </w:r>
    </w:p>
    <w:p w14:paraId="6BBD448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w:t>
      </w:r>
      <w:bookmarkStart w:id="143" w:name="OLE_LINK194"/>
      <w:bookmarkStart w:id="144" w:name="OLE_LINK193"/>
      <w:bookmarkStart w:id="145" w:name="OLE_LINK192"/>
      <w:r>
        <w:rPr>
          <w:rFonts w:hint="eastAsia" w:ascii="仿宋" w:hAnsi="仿宋" w:eastAsia="仿宋" w:cs="仿宋"/>
          <w:color w:val="auto"/>
        </w:rPr>
        <w:t>比选申请</w:t>
      </w:r>
      <w:bookmarkEnd w:id="143"/>
      <w:r>
        <w:rPr>
          <w:rFonts w:hint="eastAsia" w:ascii="仿宋" w:hAnsi="仿宋" w:eastAsia="仿宋" w:cs="仿宋"/>
          <w:color w:val="auto"/>
        </w:rPr>
        <w:t>产品</w:t>
      </w:r>
      <w:bookmarkEnd w:id="144"/>
      <w:bookmarkEnd w:id="145"/>
      <w:r>
        <w:rPr>
          <w:rFonts w:hint="eastAsia" w:ascii="仿宋" w:hAnsi="仿宋" w:eastAsia="仿宋" w:cs="仿宋"/>
          <w:color w:val="auto"/>
        </w:rPr>
        <w:t>属于国家规定“三包”范围的，其产品质量保证期不得低于“三包”规定。</w:t>
      </w:r>
    </w:p>
    <w:p w14:paraId="23E9B80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3．供应商的质量保证期承诺优于国家“三包”规定的，按供应商实际承诺执行。</w:t>
      </w:r>
    </w:p>
    <w:p w14:paraId="3682EAF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w:t>
      </w:r>
      <w:bookmarkStart w:id="146" w:name="OLE_LINK249"/>
      <w:bookmarkStart w:id="147" w:name="OLE_LINK195"/>
      <w:r>
        <w:rPr>
          <w:rFonts w:hint="eastAsia" w:ascii="仿宋" w:hAnsi="仿宋" w:eastAsia="仿宋" w:cs="仿宋"/>
          <w:color w:val="auto"/>
        </w:rPr>
        <w:t>．</w:t>
      </w:r>
      <w:bookmarkEnd w:id="146"/>
      <w:bookmarkEnd w:id="147"/>
      <w:bookmarkStart w:id="148" w:name="OLE_LINK196"/>
      <w:bookmarkStart w:id="149" w:name="OLE_LINK197"/>
      <w:r>
        <w:rPr>
          <w:rFonts w:hint="eastAsia" w:ascii="仿宋" w:hAnsi="仿宋" w:eastAsia="仿宋" w:cs="仿宋"/>
          <w:color w:val="auto"/>
        </w:rPr>
        <w:t>比选申请</w:t>
      </w:r>
      <w:bookmarkEnd w:id="148"/>
      <w:bookmarkEnd w:id="149"/>
      <w:r>
        <w:rPr>
          <w:rFonts w:hint="eastAsia" w:ascii="仿宋" w:hAnsi="仿宋" w:eastAsia="仿宋" w:cs="仿宋"/>
          <w:color w:val="auto"/>
        </w:rPr>
        <w:t>产品由制造商负责标准售后服务的，应当在比选响应文件中予以明确说明，并附参选供应商售后服务承诺。</w:t>
      </w:r>
      <w:bookmarkEnd w:id="134"/>
      <w:bookmarkEnd w:id="135"/>
    </w:p>
    <w:p w14:paraId="5BE84D35">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（二）售后服务内容</w:t>
      </w:r>
    </w:p>
    <w:p w14:paraId="0472F3B8">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1．供应商在质保期和免保期内应当为采购人提供以下技术支持和服务：</w:t>
      </w:r>
    </w:p>
    <w:p w14:paraId="460D553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（1）电话咨询。成交中选人应当为采购人提供24小时技术援助电话和应急值班电话，解答采购人在使用中遇到的问题，及时为采购人提出解决问题的建议。</w:t>
      </w:r>
    </w:p>
    <w:p w14:paraId="5AC97B3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（2）现场响应。采购人遇到使用及技术问题，电话咨询不能解决的，成交中选人应在30分钟内到达现场进行处理，确保产品正常工作。无法在8小时内解决的，应在24小时内提供备用产品，使采购人能够正常使用。</w:t>
      </w:r>
    </w:p>
    <w:p w14:paraId="6F37FA8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（3）成交中选人应当按电梯特种设备管理相关规定，提供不低于其要求标准的专业维保服务。</w:t>
      </w:r>
    </w:p>
    <w:p w14:paraId="0CA8CF0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w:t>
      </w:r>
      <w:bookmarkStart w:id="150" w:name="OLE_LINK252"/>
      <w:bookmarkStart w:id="151" w:name="OLE_LINK253"/>
      <w:bookmarkStart w:id="152" w:name="OLE_LINK16"/>
      <w:r>
        <w:rPr>
          <w:rFonts w:hint="eastAsia" w:ascii="仿宋" w:hAnsi="仿宋" w:eastAsia="仿宋" w:cs="仿宋"/>
          <w:color w:val="auto"/>
        </w:rPr>
        <w:t>．</w:t>
      </w:r>
      <w:bookmarkEnd w:id="150"/>
      <w:bookmarkEnd w:id="151"/>
      <w:bookmarkEnd w:id="152"/>
      <w:r>
        <w:rPr>
          <w:rFonts w:hint="eastAsia" w:ascii="仿宋" w:hAnsi="仿宋" w:eastAsia="仿宋" w:cs="仿宋"/>
          <w:color w:val="auto"/>
        </w:rPr>
        <w:t>质保期外服务要求</w:t>
      </w:r>
    </w:p>
    <w:p w14:paraId="4F69835D">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（1）质保期过后，成交中选人应同样提供免费电话咨询服务，并应承诺提供产品终身上门维护维修服务。</w:t>
      </w:r>
    </w:p>
    <w:p w14:paraId="78E5BDF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（2）质保期过后，采购人需要继续由原成交中选人提供售后服务的，该成交中选人应以优惠价格提供售后服务。</w:t>
      </w:r>
    </w:p>
    <w:p w14:paraId="5603038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（3）质保期过后，</w:t>
      </w:r>
      <w:bookmarkStart w:id="153" w:name="OLE_LINK198"/>
      <w:bookmarkStart w:id="154" w:name="OLE_LINK199"/>
      <w:r>
        <w:rPr>
          <w:rFonts w:hint="eastAsia" w:ascii="仿宋" w:hAnsi="仿宋" w:eastAsia="仿宋" w:cs="仿宋"/>
          <w:color w:val="auto"/>
        </w:rPr>
        <w:t>成交</w:t>
      </w:r>
      <w:bookmarkEnd w:id="153"/>
      <w:bookmarkEnd w:id="154"/>
      <w:r>
        <w:rPr>
          <w:rFonts w:hint="eastAsia" w:ascii="仿宋" w:hAnsi="仿宋" w:eastAsia="仿宋" w:cs="仿宋"/>
          <w:color w:val="auto"/>
        </w:rPr>
        <w:t>中选人应当以优惠价格提供终身零配件供给。</w:t>
      </w:r>
    </w:p>
    <w:p w14:paraId="2D9DEB51">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55" w:name="_Toc344475124"/>
      <w:bookmarkStart w:id="156" w:name="_Toc3296"/>
      <w:bookmarkStart w:id="157" w:name="_Toc2660"/>
      <w:bookmarkStart w:id="158" w:name="_Toc76462331"/>
      <w:bookmarkStart w:id="159" w:name="_Toc15703"/>
      <w:bookmarkStart w:id="160" w:name="_Toc106030886"/>
      <w:r>
        <w:rPr>
          <w:rFonts w:hint="eastAsia" w:ascii="仿宋" w:hAnsi="仿宋" w:eastAsia="仿宋" w:cs="仿宋"/>
          <w:b/>
          <w:bCs/>
          <w:color w:val="auto"/>
        </w:rPr>
        <w:t>四、</w:t>
      </w:r>
      <w:bookmarkEnd w:id="155"/>
      <w:bookmarkStart w:id="161" w:name="_Toc344475125"/>
      <w:r>
        <w:rPr>
          <w:rFonts w:hint="eastAsia" w:ascii="仿宋" w:hAnsi="仿宋" w:eastAsia="仿宋" w:cs="仿宋"/>
          <w:b/>
          <w:bCs/>
          <w:color w:val="auto"/>
        </w:rPr>
        <w:t>付款方式</w:t>
      </w:r>
      <w:bookmarkEnd w:id="156"/>
      <w:bookmarkEnd w:id="157"/>
      <w:bookmarkEnd w:id="158"/>
      <w:bookmarkEnd w:id="159"/>
      <w:bookmarkEnd w:id="160"/>
    </w:p>
    <w:bookmarkEnd w:id="161"/>
    <w:p w14:paraId="2C902046">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bookmarkStart w:id="162" w:name="_Toc19104"/>
      <w:bookmarkStart w:id="163" w:name="_Toc27063"/>
      <w:r>
        <w:rPr>
          <w:rFonts w:hint="eastAsia" w:ascii="仿宋" w:hAnsi="仿宋" w:eastAsia="仿宋" w:cs="仿宋"/>
          <w:color w:val="auto"/>
          <w:lang w:eastAsia="zh-CN"/>
        </w:rPr>
        <w:t>合同签订后10个工作日内支付合同总金额30%，电梯发货前10个工作日内支付合同总金额的50%作为排产款，电梯安装调试完成、经采购人验收合格后电梯及资料移交前支付合同总金额的17%作为验收款，剩余总金额的3%作为质保金，质保期满后一次性支付。</w:t>
      </w:r>
    </w:p>
    <w:p w14:paraId="04653ED4">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64" w:name="_Toc19810"/>
      <w:r>
        <w:rPr>
          <w:rFonts w:hint="eastAsia" w:ascii="仿宋" w:hAnsi="仿宋" w:eastAsia="仿宋" w:cs="仿宋"/>
          <w:b/>
          <w:bCs/>
          <w:color w:val="auto"/>
        </w:rPr>
        <w:t>五、知识产权</w:t>
      </w:r>
      <w:bookmarkEnd w:id="162"/>
      <w:bookmarkEnd w:id="163"/>
      <w:bookmarkEnd w:id="164"/>
    </w:p>
    <w:p w14:paraId="0B07E838">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采购人在中华人民共和国境内使用供应商提供的货物及服务时免受第三方提出的侵犯其专利权或其它知识产权的起诉。如果第三方提出侵权指控，</w:t>
      </w:r>
      <w:bookmarkStart w:id="165" w:name="OLE_LINK213"/>
      <w:bookmarkStart w:id="166" w:name="OLE_LINK212"/>
      <w:r>
        <w:rPr>
          <w:rFonts w:hint="eastAsia" w:ascii="仿宋" w:hAnsi="仿宋" w:eastAsia="仿宋" w:cs="仿宋"/>
          <w:color w:val="auto"/>
        </w:rPr>
        <w:t>成交中选人</w:t>
      </w:r>
      <w:bookmarkEnd w:id="165"/>
      <w:bookmarkEnd w:id="166"/>
      <w:r>
        <w:rPr>
          <w:rFonts w:hint="eastAsia" w:ascii="仿宋" w:hAnsi="仿宋" w:eastAsia="仿宋" w:cs="仿宋"/>
          <w:color w:val="auto"/>
        </w:rPr>
        <w:t>应承担由此而引起的一切法律责任和费用。</w:t>
      </w:r>
    </w:p>
    <w:p w14:paraId="097EE117">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67" w:name="_Toc19816"/>
      <w:bookmarkStart w:id="168" w:name="_Toc13035"/>
      <w:bookmarkStart w:id="169" w:name="_Toc8666"/>
      <w:r>
        <w:rPr>
          <w:rFonts w:hint="eastAsia" w:ascii="仿宋" w:hAnsi="仿宋" w:eastAsia="仿宋" w:cs="仿宋"/>
          <w:b/>
          <w:bCs/>
          <w:color w:val="auto"/>
        </w:rPr>
        <w:t>六、培训</w:t>
      </w:r>
      <w:bookmarkEnd w:id="167"/>
      <w:bookmarkEnd w:id="168"/>
      <w:bookmarkEnd w:id="169"/>
    </w:p>
    <w:p w14:paraId="0B393A0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成交中选人对其提供产品的使用和操作以及安全技术，应尽免费培训义务。</w:t>
      </w:r>
      <w:bookmarkStart w:id="170" w:name="_Toc48646099"/>
      <w:bookmarkStart w:id="171" w:name="_Toc18799"/>
      <w:bookmarkStart w:id="172" w:name="_Toc55473270"/>
    </w:p>
    <w:p w14:paraId="74805F2D">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73" w:name="_Toc32135"/>
      <w:bookmarkStart w:id="174" w:name="_Toc15151"/>
      <w:bookmarkStart w:id="175" w:name="_Toc11205"/>
      <w:r>
        <w:rPr>
          <w:rFonts w:hint="eastAsia" w:ascii="仿宋" w:hAnsi="仿宋" w:eastAsia="仿宋" w:cs="仿宋"/>
          <w:b/>
          <w:bCs/>
          <w:color w:val="auto"/>
        </w:rPr>
        <w:t>七、附件、图纸及包装要求</w:t>
      </w:r>
      <w:bookmarkEnd w:id="170"/>
      <w:bookmarkEnd w:id="171"/>
      <w:bookmarkEnd w:id="172"/>
      <w:bookmarkEnd w:id="173"/>
      <w:bookmarkEnd w:id="174"/>
      <w:bookmarkEnd w:id="175"/>
    </w:p>
    <w:p w14:paraId="521DA81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所有设备按照制造商规定的产品包装和随机标准附件为准。</w:t>
      </w:r>
    </w:p>
    <w:bookmarkEnd w:id="95"/>
    <w:bookmarkEnd w:id="96"/>
    <w:p w14:paraId="00B70E0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4CAF6565">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122B09D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br w:type="page"/>
      </w:r>
    </w:p>
    <w:bookmarkEnd w:id="102"/>
    <w:bookmarkEnd w:id="103"/>
    <w:bookmarkEnd w:id="104"/>
    <w:p w14:paraId="7386D3BA">
      <w:pPr>
        <w:pStyle w:val="7"/>
        <w:keepNext w:val="0"/>
        <w:keepLines w:val="0"/>
        <w:pageBreakBefore w:val="0"/>
        <w:widowControl/>
        <w:kinsoku/>
        <w:wordWrap/>
        <w:overflowPunct/>
        <w:topLinePunct w:val="0"/>
        <w:autoSpaceDE/>
        <w:autoSpaceDN/>
        <w:bidi w:val="0"/>
        <w:adjustRightInd/>
        <w:snapToGrid w:val="0"/>
        <w:spacing w:after="0" w:line="360" w:lineRule="auto"/>
        <w:jc w:val="center"/>
        <w:textAlignment w:val="auto"/>
        <w:outlineLvl w:val="0"/>
        <w:rPr>
          <w:rFonts w:hint="eastAsia" w:ascii="仿宋" w:hAnsi="仿宋" w:eastAsia="仿宋" w:cs="仿宋"/>
          <w:b/>
          <w:bCs/>
          <w:color w:val="auto"/>
          <w:sz w:val="32"/>
          <w:szCs w:val="32"/>
        </w:rPr>
      </w:pPr>
      <w:bookmarkStart w:id="176" w:name="_Toc27641"/>
      <w:bookmarkStart w:id="177" w:name="_Toc14202"/>
      <w:bookmarkStart w:id="178" w:name="_Toc7915"/>
      <w:bookmarkStart w:id="179" w:name="_Toc24788"/>
      <w:bookmarkStart w:id="180" w:name="_Toc26318"/>
      <w:bookmarkStart w:id="181" w:name="_Toc2315"/>
      <w:bookmarkStart w:id="182" w:name="OLE_LINK81"/>
      <w:bookmarkStart w:id="183" w:name="OLE_LINK80"/>
      <w:r>
        <w:rPr>
          <w:rFonts w:hint="eastAsia" w:ascii="仿宋" w:hAnsi="仿宋" w:eastAsia="仿宋" w:cs="仿宋"/>
          <w:b/>
          <w:bCs/>
          <w:color w:val="auto"/>
          <w:sz w:val="32"/>
          <w:szCs w:val="32"/>
        </w:rPr>
        <w:t xml:space="preserve">第四篇  </w:t>
      </w:r>
      <w:bookmarkStart w:id="184" w:name="OLE_LINK68"/>
      <w:bookmarkStart w:id="185" w:name="OLE_LINK27"/>
      <w:bookmarkStart w:id="186" w:name="OLE_LINK25"/>
      <w:r>
        <w:rPr>
          <w:rFonts w:hint="eastAsia" w:ascii="仿宋" w:hAnsi="仿宋" w:eastAsia="仿宋" w:cs="仿宋"/>
          <w:b/>
          <w:bCs/>
          <w:color w:val="auto"/>
          <w:sz w:val="32"/>
          <w:szCs w:val="32"/>
        </w:rPr>
        <w:t>比选程序、评审标准、无效响应</w:t>
      </w:r>
      <w:bookmarkEnd w:id="176"/>
      <w:bookmarkEnd w:id="177"/>
      <w:bookmarkEnd w:id="178"/>
      <w:bookmarkEnd w:id="179"/>
      <w:bookmarkEnd w:id="184"/>
      <w:bookmarkEnd w:id="185"/>
      <w:bookmarkEnd w:id="186"/>
      <w:r>
        <w:rPr>
          <w:rFonts w:hint="eastAsia" w:ascii="仿宋" w:hAnsi="仿宋" w:eastAsia="仿宋" w:cs="仿宋"/>
          <w:b/>
          <w:bCs/>
          <w:color w:val="auto"/>
          <w:sz w:val="32"/>
          <w:szCs w:val="32"/>
        </w:rPr>
        <w:t>及比选终止</w:t>
      </w:r>
      <w:bookmarkEnd w:id="180"/>
      <w:bookmarkEnd w:id="181"/>
    </w:p>
    <w:p w14:paraId="3FC203EB">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87" w:name="_Toc12773"/>
      <w:bookmarkStart w:id="188" w:name="_Toc22269"/>
      <w:bookmarkStart w:id="189" w:name="_Toc28394"/>
      <w:bookmarkStart w:id="190" w:name="_Toc30577"/>
      <w:bookmarkStart w:id="191" w:name="_Toc3350"/>
      <w:r>
        <w:rPr>
          <w:rFonts w:hint="eastAsia" w:ascii="仿宋" w:hAnsi="仿宋" w:eastAsia="仿宋" w:cs="仿宋"/>
          <w:b/>
          <w:bCs/>
          <w:color w:val="auto"/>
        </w:rPr>
        <w:t>一、比选程序及方法</w:t>
      </w:r>
      <w:bookmarkEnd w:id="187"/>
      <w:bookmarkEnd w:id="188"/>
      <w:bookmarkEnd w:id="189"/>
      <w:bookmarkEnd w:id="190"/>
      <w:bookmarkEnd w:id="191"/>
    </w:p>
    <w:p w14:paraId="66BFD2A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（一）比选按竞争性比选文件规定的时间和地点进行。</w:t>
      </w:r>
    </w:p>
    <w:p w14:paraId="38AF477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（二）比选评审小组对各供应商的资格条件、响应文件的有效性、完整性和响应程度进行审查。</w:t>
      </w:r>
    </w:p>
    <w:p w14:paraId="584506E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192" w:name="OLE_LINK18"/>
      <w:bookmarkStart w:id="193" w:name="OLE_LINK17"/>
      <w:r>
        <w:rPr>
          <w:rFonts w:hint="eastAsia" w:ascii="仿宋" w:hAnsi="仿宋" w:eastAsia="仿宋" w:cs="仿宋"/>
          <w:color w:val="auto"/>
        </w:rPr>
        <w:t>．</w:t>
      </w:r>
      <w:bookmarkEnd w:id="192"/>
      <w:bookmarkEnd w:id="193"/>
      <w:r>
        <w:rPr>
          <w:rFonts w:hint="eastAsia" w:ascii="仿宋" w:hAnsi="仿宋" w:eastAsia="仿宋" w:cs="仿宋"/>
          <w:color w:val="auto"/>
        </w:rPr>
        <w:t>资格性审查。依据法律法规和竞争性比选文件的规定，对响应文件中的资格证明等进行审查。资格性审查资料表如下：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001"/>
        <w:gridCol w:w="4242"/>
      </w:tblGrid>
      <w:tr w14:paraId="04B0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6" w:type="dxa"/>
            <w:vAlign w:val="center"/>
          </w:tcPr>
          <w:p w14:paraId="7B26E83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序号</w:t>
            </w:r>
          </w:p>
        </w:tc>
        <w:tc>
          <w:tcPr>
            <w:tcW w:w="4710" w:type="dxa"/>
            <w:gridSpan w:val="2"/>
            <w:vAlign w:val="center"/>
          </w:tcPr>
          <w:p w14:paraId="0C75E53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检查因素</w:t>
            </w:r>
          </w:p>
        </w:tc>
        <w:tc>
          <w:tcPr>
            <w:tcW w:w="4242" w:type="dxa"/>
            <w:vAlign w:val="center"/>
          </w:tcPr>
          <w:p w14:paraId="17B2BFD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检查内容</w:t>
            </w:r>
          </w:p>
        </w:tc>
      </w:tr>
      <w:tr w14:paraId="4F18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676" w:type="dxa"/>
            <w:vMerge w:val="restart"/>
            <w:vAlign w:val="center"/>
          </w:tcPr>
          <w:p w14:paraId="0AFA418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1</w:t>
            </w:r>
          </w:p>
        </w:tc>
        <w:tc>
          <w:tcPr>
            <w:tcW w:w="709" w:type="dxa"/>
            <w:vMerge w:val="restart"/>
            <w:vAlign w:val="center"/>
          </w:tcPr>
          <w:p w14:paraId="1CD9362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参选供应商</w:t>
            </w:r>
            <w:r>
              <w:rPr>
                <w:rFonts w:hint="eastAsia" w:ascii="仿宋" w:hAnsi="仿宋" w:eastAsia="仿宋" w:cs="仿宋"/>
                <w:color w:val="auto"/>
                <w:lang w:val="zh-CN"/>
              </w:rPr>
              <w:t>应符合的基本资格条件</w:t>
            </w:r>
          </w:p>
        </w:tc>
        <w:tc>
          <w:tcPr>
            <w:tcW w:w="4001" w:type="dxa"/>
            <w:vAlign w:val="center"/>
          </w:tcPr>
          <w:p w14:paraId="347DC13F">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（1）具有独立承担民事责任的能力</w:t>
            </w:r>
          </w:p>
        </w:tc>
        <w:tc>
          <w:tcPr>
            <w:tcW w:w="4242" w:type="dxa"/>
            <w:vAlign w:val="center"/>
          </w:tcPr>
          <w:p w14:paraId="464FEBCF">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 xml:space="preserve">1. 供应商法人营业执照（副本）或事业单位法人证书（副本）或个体工商户营业执照或有效的自然人身份证明或社会团体法人登记证书（提供复印件）。 </w:t>
            </w:r>
          </w:p>
          <w:p w14:paraId="1496041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2. 供应商法定代表人身份证明和法定代表人授权代表委托书。</w:t>
            </w:r>
          </w:p>
        </w:tc>
      </w:tr>
      <w:tr w14:paraId="683B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676" w:type="dxa"/>
            <w:vMerge w:val="continue"/>
            <w:vAlign w:val="center"/>
          </w:tcPr>
          <w:p w14:paraId="235630A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41ABCB0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5D876DB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lang w:val="zh-CN"/>
              </w:rPr>
              <w:t>（2）</w:t>
            </w:r>
            <w:r>
              <w:rPr>
                <w:rFonts w:hint="eastAsia" w:ascii="仿宋" w:hAnsi="仿宋" w:eastAsia="仿宋" w:cs="仿宋"/>
                <w:color w:val="auto"/>
              </w:rPr>
              <w:t>具有良好的商业信誉和健全的财务会计制度</w:t>
            </w:r>
          </w:p>
        </w:tc>
        <w:tc>
          <w:tcPr>
            <w:tcW w:w="4242" w:type="dxa"/>
            <w:vMerge w:val="restart"/>
            <w:vAlign w:val="center"/>
          </w:tcPr>
          <w:p w14:paraId="69A11149">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供应商提供“基本资格条件承诺函”（见格式文件）。</w:t>
            </w:r>
          </w:p>
        </w:tc>
      </w:tr>
      <w:tr w14:paraId="35F9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6" w:type="dxa"/>
            <w:vMerge w:val="continue"/>
            <w:vAlign w:val="center"/>
          </w:tcPr>
          <w:p w14:paraId="762255E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427BB16E">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3E21EB2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r>
              <w:rPr>
                <w:rFonts w:hint="eastAsia" w:ascii="仿宋" w:hAnsi="仿宋" w:eastAsia="仿宋" w:cs="仿宋"/>
                <w:color w:val="auto"/>
                <w:lang w:val="zh-CN"/>
              </w:rPr>
              <w:t>（3）具有履行合同所必需的设备和专业技术能力</w:t>
            </w:r>
          </w:p>
        </w:tc>
        <w:tc>
          <w:tcPr>
            <w:tcW w:w="4242" w:type="dxa"/>
            <w:vMerge w:val="continue"/>
            <w:vAlign w:val="center"/>
          </w:tcPr>
          <w:p w14:paraId="4E3444D1">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tc>
      </w:tr>
      <w:tr w14:paraId="51B3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676" w:type="dxa"/>
            <w:vMerge w:val="continue"/>
            <w:vAlign w:val="center"/>
          </w:tcPr>
          <w:p w14:paraId="1FA02D8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731A4149">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0EC8BDA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r>
              <w:rPr>
                <w:rFonts w:hint="eastAsia" w:ascii="仿宋" w:hAnsi="仿宋" w:eastAsia="仿宋" w:cs="仿宋"/>
                <w:color w:val="auto"/>
                <w:lang w:val="zh-CN"/>
              </w:rPr>
              <w:t>（4）有依法缴纳税收和社会保障资金的良好记录</w:t>
            </w:r>
          </w:p>
        </w:tc>
        <w:tc>
          <w:tcPr>
            <w:tcW w:w="4242" w:type="dxa"/>
            <w:vMerge w:val="continue"/>
            <w:vAlign w:val="center"/>
          </w:tcPr>
          <w:p w14:paraId="2724FC5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tc>
      </w:tr>
      <w:tr w14:paraId="772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676" w:type="dxa"/>
            <w:vMerge w:val="continue"/>
            <w:vAlign w:val="center"/>
          </w:tcPr>
          <w:p w14:paraId="64899DE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2644B44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3964980B">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（5）参加政府采购活动前三年内，在经营活动中没有重大违法记录</w:t>
            </w:r>
          </w:p>
        </w:tc>
        <w:tc>
          <w:tcPr>
            <w:tcW w:w="4242" w:type="dxa"/>
            <w:vMerge w:val="continue"/>
            <w:vAlign w:val="center"/>
          </w:tcPr>
          <w:p w14:paraId="21B5F26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tc>
      </w:tr>
      <w:tr w14:paraId="25A0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76" w:type="dxa"/>
            <w:vMerge w:val="continue"/>
            <w:vAlign w:val="center"/>
          </w:tcPr>
          <w:p w14:paraId="27E84F1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402D5877">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0236A5A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6</w:t>
            </w:r>
            <w:r>
              <w:rPr>
                <w:rFonts w:hint="eastAsia" w:ascii="仿宋" w:hAnsi="仿宋" w:eastAsia="仿宋" w:cs="仿宋"/>
                <w:color w:val="auto"/>
              </w:rPr>
              <w:t>）法律、行政法规规定的其他条件</w:t>
            </w:r>
          </w:p>
        </w:tc>
        <w:tc>
          <w:tcPr>
            <w:tcW w:w="4242" w:type="dxa"/>
            <w:vMerge w:val="continue"/>
            <w:vAlign w:val="center"/>
          </w:tcPr>
          <w:p w14:paraId="6B80CE1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tc>
      </w:tr>
      <w:tr w14:paraId="0D93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76" w:type="dxa"/>
            <w:vMerge w:val="continue"/>
            <w:vAlign w:val="center"/>
          </w:tcPr>
          <w:p w14:paraId="1838411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tc>
        <w:tc>
          <w:tcPr>
            <w:tcW w:w="709" w:type="dxa"/>
            <w:vMerge w:val="continue"/>
            <w:vAlign w:val="center"/>
          </w:tcPr>
          <w:p w14:paraId="752BED05">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lang w:val="zh-CN"/>
              </w:rPr>
            </w:pPr>
          </w:p>
        </w:tc>
        <w:tc>
          <w:tcPr>
            <w:tcW w:w="4001" w:type="dxa"/>
            <w:vAlign w:val="center"/>
          </w:tcPr>
          <w:p w14:paraId="2866CF8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7</w:t>
            </w:r>
            <w:r>
              <w:rPr>
                <w:rFonts w:hint="eastAsia" w:ascii="仿宋" w:hAnsi="仿宋" w:eastAsia="仿宋" w:cs="仿宋"/>
                <w:color w:val="auto"/>
              </w:rPr>
              <w:t>）本项目的特定资格要求</w:t>
            </w:r>
          </w:p>
        </w:tc>
        <w:tc>
          <w:tcPr>
            <w:tcW w:w="4242" w:type="dxa"/>
            <w:vAlign w:val="center"/>
          </w:tcPr>
          <w:p w14:paraId="560E911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按“第一篇三、资格要求（二）特定资格条件”的要求提交。</w:t>
            </w:r>
          </w:p>
        </w:tc>
      </w:tr>
    </w:tbl>
    <w:p w14:paraId="141B025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注：</w:t>
      </w:r>
    </w:p>
    <w:p w14:paraId="2F39872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根据《中华人民共和国政府采购法实施条例》第十九条“参加政府采购活动前三年内，在经营活动中没有重大违法记录”中“重大违法记录”，是指参选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参选截止日期前通过 “信用中国”网站(www.creditchina.gov.cn)、"中国政府采购网"(www.ccgp.gov.cn)等渠道查询信用记录。</w:t>
      </w:r>
    </w:p>
    <w:p w14:paraId="3DB52C5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w:t>
      </w:r>
      <w:bookmarkStart w:id="194" w:name="OLE_LINK39"/>
      <w:bookmarkStart w:id="195" w:name="OLE_LINK28"/>
      <w:r>
        <w:rPr>
          <w:rFonts w:hint="eastAsia" w:ascii="仿宋" w:hAnsi="仿宋" w:eastAsia="仿宋" w:cs="仿宋"/>
          <w:color w:val="auto"/>
        </w:rPr>
        <w:t>．</w:t>
      </w:r>
      <w:bookmarkEnd w:id="194"/>
      <w:bookmarkEnd w:id="195"/>
      <w:r>
        <w:rPr>
          <w:rFonts w:hint="eastAsia" w:ascii="仿宋" w:hAnsi="仿宋" w:eastAsia="仿宋" w:cs="仿宋"/>
          <w:color w:val="auto"/>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1FCA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Align w:val="center"/>
          </w:tcPr>
          <w:p w14:paraId="705ACB45">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序号</w:t>
            </w:r>
          </w:p>
        </w:tc>
        <w:tc>
          <w:tcPr>
            <w:tcW w:w="3734" w:type="dxa"/>
            <w:gridSpan w:val="2"/>
            <w:vAlign w:val="center"/>
          </w:tcPr>
          <w:p w14:paraId="24632837">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评审因素</w:t>
            </w:r>
          </w:p>
        </w:tc>
        <w:tc>
          <w:tcPr>
            <w:tcW w:w="5156" w:type="dxa"/>
            <w:vAlign w:val="center"/>
          </w:tcPr>
          <w:p w14:paraId="517D1D80">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评审标准</w:t>
            </w:r>
          </w:p>
        </w:tc>
      </w:tr>
      <w:tr w14:paraId="0B11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38" w:type="dxa"/>
            <w:vMerge w:val="restart"/>
            <w:vAlign w:val="center"/>
          </w:tcPr>
          <w:p w14:paraId="38816A1E">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1</w:t>
            </w:r>
          </w:p>
        </w:tc>
        <w:tc>
          <w:tcPr>
            <w:tcW w:w="1497" w:type="dxa"/>
            <w:vMerge w:val="restart"/>
            <w:vAlign w:val="center"/>
          </w:tcPr>
          <w:p w14:paraId="6243DEB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有效性审查</w:t>
            </w:r>
          </w:p>
        </w:tc>
        <w:tc>
          <w:tcPr>
            <w:tcW w:w="2237" w:type="dxa"/>
            <w:vAlign w:val="center"/>
          </w:tcPr>
          <w:p w14:paraId="2977801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响应文件签署</w:t>
            </w:r>
          </w:p>
        </w:tc>
        <w:tc>
          <w:tcPr>
            <w:tcW w:w="5156" w:type="dxa"/>
            <w:vAlign w:val="center"/>
          </w:tcPr>
          <w:p w14:paraId="180F7525">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响应文件上法定代表人（或其授权代表）或自然人的签字齐全。</w:t>
            </w:r>
          </w:p>
        </w:tc>
      </w:tr>
      <w:tr w14:paraId="6C07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8" w:type="dxa"/>
            <w:vMerge w:val="continue"/>
            <w:vAlign w:val="center"/>
          </w:tcPr>
          <w:p w14:paraId="3F6726AF">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p>
        </w:tc>
        <w:tc>
          <w:tcPr>
            <w:tcW w:w="1497" w:type="dxa"/>
            <w:vMerge w:val="continue"/>
            <w:vAlign w:val="center"/>
          </w:tcPr>
          <w:p w14:paraId="1503230E">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p>
        </w:tc>
        <w:tc>
          <w:tcPr>
            <w:tcW w:w="2237" w:type="dxa"/>
            <w:vAlign w:val="center"/>
          </w:tcPr>
          <w:p w14:paraId="037F40EC">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法定代表人身份证明及授权委托书</w:t>
            </w:r>
          </w:p>
        </w:tc>
        <w:tc>
          <w:tcPr>
            <w:tcW w:w="5156" w:type="dxa"/>
            <w:vAlign w:val="center"/>
          </w:tcPr>
          <w:p w14:paraId="4C759E4D">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法定代表人身份证明及授权委托书有效，符合竞争性比选文件规定的格式，签字或盖章齐全。</w:t>
            </w:r>
          </w:p>
        </w:tc>
      </w:tr>
      <w:tr w14:paraId="30C5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8" w:type="dxa"/>
            <w:vMerge w:val="continue"/>
            <w:vAlign w:val="center"/>
          </w:tcPr>
          <w:p w14:paraId="17BCE58F">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p>
        </w:tc>
        <w:tc>
          <w:tcPr>
            <w:tcW w:w="1497" w:type="dxa"/>
            <w:vMerge w:val="continue"/>
            <w:vAlign w:val="center"/>
          </w:tcPr>
          <w:p w14:paraId="6F6E5787">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p>
        </w:tc>
        <w:tc>
          <w:tcPr>
            <w:tcW w:w="2237" w:type="dxa"/>
            <w:vAlign w:val="center"/>
          </w:tcPr>
          <w:p w14:paraId="33BA66FD">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响应</w:t>
            </w:r>
            <w:r>
              <w:rPr>
                <w:rFonts w:hint="eastAsia" w:ascii="仿宋" w:hAnsi="仿宋" w:eastAsia="仿宋" w:cs="仿宋"/>
                <w:color w:val="auto"/>
                <w:lang w:val="zh-CN"/>
              </w:rPr>
              <w:t>方案</w:t>
            </w:r>
          </w:p>
        </w:tc>
        <w:tc>
          <w:tcPr>
            <w:tcW w:w="5156" w:type="dxa"/>
            <w:vAlign w:val="center"/>
          </w:tcPr>
          <w:p w14:paraId="65525450">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lang w:val="zh-CN"/>
              </w:rPr>
              <w:t>每个包只能有一个</w:t>
            </w:r>
            <w:r>
              <w:rPr>
                <w:rFonts w:hint="eastAsia" w:ascii="仿宋" w:hAnsi="仿宋" w:eastAsia="仿宋" w:cs="仿宋"/>
                <w:color w:val="auto"/>
              </w:rPr>
              <w:t>响应</w:t>
            </w:r>
            <w:r>
              <w:rPr>
                <w:rFonts w:hint="eastAsia" w:ascii="仿宋" w:hAnsi="仿宋" w:eastAsia="仿宋" w:cs="仿宋"/>
                <w:color w:val="auto"/>
                <w:lang w:val="zh-CN"/>
              </w:rPr>
              <w:t>方案。</w:t>
            </w:r>
          </w:p>
        </w:tc>
      </w:tr>
      <w:tr w14:paraId="3AC9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8" w:type="dxa"/>
            <w:vMerge w:val="continue"/>
            <w:vAlign w:val="center"/>
          </w:tcPr>
          <w:p w14:paraId="00B4BCCC">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p>
        </w:tc>
        <w:tc>
          <w:tcPr>
            <w:tcW w:w="1497" w:type="dxa"/>
            <w:vMerge w:val="continue"/>
            <w:vAlign w:val="center"/>
          </w:tcPr>
          <w:p w14:paraId="0D3C33BE">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p>
        </w:tc>
        <w:tc>
          <w:tcPr>
            <w:tcW w:w="2237" w:type="dxa"/>
            <w:vAlign w:val="center"/>
          </w:tcPr>
          <w:p w14:paraId="22515755">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报价唯一</w:t>
            </w:r>
          </w:p>
        </w:tc>
        <w:tc>
          <w:tcPr>
            <w:tcW w:w="5156" w:type="dxa"/>
            <w:vAlign w:val="center"/>
          </w:tcPr>
          <w:p w14:paraId="044E87DD">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lang w:val="zh-CN"/>
              </w:rPr>
              <w:t>只能在采购预算范围内报价，</w:t>
            </w:r>
            <w:r>
              <w:rPr>
                <w:rFonts w:hint="eastAsia" w:ascii="仿宋" w:hAnsi="仿宋" w:eastAsia="仿宋" w:cs="仿宋"/>
                <w:color w:val="auto"/>
              </w:rPr>
              <w:t>只能有一个有效报价，不得提交选择性报价。</w:t>
            </w:r>
          </w:p>
        </w:tc>
      </w:tr>
      <w:tr w14:paraId="5E54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8" w:type="dxa"/>
            <w:vAlign w:val="center"/>
          </w:tcPr>
          <w:p w14:paraId="26932DB6">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2</w:t>
            </w:r>
          </w:p>
        </w:tc>
        <w:tc>
          <w:tcPr>
            <w:tcW w:w="1497" w:type="dxa"/>
            <w:vAlign w:val="center"/>
          </w:tcPr>
          <w:p w14:paraId="0905F041">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完整性审查</w:t>
            </w:r>
          </w:p>
        </w:tc>
        <w:tc>
          <w:tcPr>
            <w:tcW w:w="2237" w:type="dxa"/>
            <w:vAlign w:val="center"/>
          </w:tcPr>
          <w:p w14:paraId="4ED83F7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响应文件</w:t>
            </w:r>
            <w:r>
              <w:rPr>
                <w:rFonts w:hint="eastAsia" w:ascii="仿宋" w:hAnsi="仿宋" w:eastAsia="仿宋" w:cs="仿宋"/>
                <w:color w:val="auto"/>
                <w:lang w:val="zh-CN"/>
              </w:rPr>
              <w:t>份数</w:t>
            </w:r>
          </w:p>
        </w:tc>
        <w:tc>
          <w:tcPr>
            <w:tcW w:w="5156" w:type="dxa"/>
            <w:vAlign w:val="center"/>
          </w:tcPr>
          <w:p w14:paraId="620ABFA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响应文件</w:t>
            </w:r>
            <w:r>
              <w:rPr>
                <w:rFonts w:hint="eastAsia" w:ascii="仿宋" w:hAnsi="仿宋" w:eastAsia="仿宋" w:cs="仿宋"/>
                <w:color w:val="auto"/>
                <w:lang w:val="zh-CN"/>
              </w:rPr>
              <w:t>正、副本数量（含电子文档）符合</w:t>
            </w:r>
            <w:r>
              <w:rPr>
                <w:rFonts w:hint="eastAsia" w:ascii="仿宋" w:hAnsi="仿宋" w:eastAsia="仿宋" w:cs="仿宋"/>
                <w:color w:val="auto"/>
              </w:rPr>
              <w:t>竞争性比选</w:t>
            </w:r>
            <w:r>
              <w:rPr>
                <w:rFonts w:hint="eastAsia" w:ascii="仿宋" w:hAnsi="仿宋" w:eastAsia="仿宋" w:cs="仿宋"/>
                <w:color w:val="auto"/>
                <w:lang w:val="zh-CN"/>
              </w:rPr>
              <w:t>文件要求。</w:t>
            </w:r>
          </w:p>
        </w:tc>
      </w:tr>
      <w:tr w14:paraId="04EE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Merge w:val="restart"/>
            <w:vAlign w:val="center"/>
          </w:tcPr>
          <w:p w14:paraId="71605584">
            <w:pPr>
              <w:keepNext w:val="0"/>
              <w:keepLines w:val="0"/>
              <w:pageBreakBefore w:val="0"/>
              <w:widowControl/>
              <w:kinsoku/>
              <w:wordWrap/>
              <w:overflowPunct/>
              <w:topLinePunct w:val="0"/>
              <w:autoSpaceDE/>
              <w:autoSpaceDN/>
              <w:bidi w:val="0"/>
              <w:adjustRightInd/>
              <w:snapToGrid w:val="0"/>
              <w:spacing w:line="336"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3</w:t>
            </w:r>
          </w:p>
        </w:tc>
        <w:tc>
          <w:tcPr>
            <w:tcW w:w="1497" w:type="dxa"/>
            <w:vMerge w:val="restart"/>
            <w:vAlign w:val="center"/>
          </w:tcPr>
          <w:p w14:paraId="2B80844D">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lang w:val="zh-CN"/>
              </w:rPr>
            </w:pPr>
            <w:r>
              <w:rPr>
                <w:rFonts w:hint="eastAsia" w:ascii="仿宋" w:hAnsi="仿宋" w:eastAsia="仿宋" w:cs="仿宋"/>
                <w:color w:val="auto"/>
              </w:rPr>
              <w:t>竞争性比选文件的响应程度审查</w:t>
            </w:r>
          </w:p>
        </w:tc>
        <w:tc>
          <w:tcPr>
            <w:tcW w:w="2237" w:type="dxa"/>
            <w:vAlign w:val="center"/>
          </w:tcPr>
          <w:p w14:paraId="77D0A7C3">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响应文件内容</w:t>
            </w:r>
          </w:p>
        </w:tc>
        <w:tc>
          <w:tcPr>
            <w:tcW w:w="5156" w:type="dxa"/>
            <w:vAlign w:val="center"/>
          </w:tcPr>
          <w:p w14:paraId="4336EB0F">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对竞争性比选文件第二篇、第三篇中的内容进行实质响应。</w:t>
            </w:r>
          </w:p>
        </w:tc>
      </w:tr>
      <w:tr w14:paraId="70DE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8" w:type="dxa"/>
            <w:vMerge w:val="continue"/>
            <w:vAlign w:val="center"/>
          </w:tcPr>
          <w:p w14:paraId="4FCE28B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p>
        </w:tc>
        <w:tc>
          <w:tcPr>
            <w:tcW w:w="1497" w:type="dxa"/>
            <w:vMerge w:val="continue"/>
            <w:vAlign w:val="center"/>
          </w:tcPr>
          <w:p w14:paraId="56D7296C">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lang w:val="zh-CN"/>
              </w:rPr>
            </w:pPr>
          </w:p>
        </w:tc>
        <w:tc>
          <w:tcPr>
            <w:tcW w:w="2237" w:type="dxa"/>
            <w:vAlign w:val="center"/>
          </w:tcPr>
          <w:p w14:paraId="5473EE60">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竞选有效期</w:t>
            </w:r>
          </w:p>
        </w:tc>
        <w:tc>
          <w:tcPr>
            <w:tcW w:w="5156" w:type="dxa"/>
            <w:vAlign w:val="center"/>
          </w:tcPr>
          <w:p w14:paraId="42288D22">
            <w:pPr>
              <w:keepNext w:val="0"/>
              <w:keepLines w:val="0"/>
              <w:pageBreakBefore w:val="0"/>
              <w:widowControl/>
              <w:kinsoku/>
              <w:wordWrap/>
              <w:overflowPunct/>
              <w:topLinePunct w:val="0"/>
              <w:autoSpaceDE/>
              <w:autoSpaceDN/>
              <w:bidi w:val="0"/>
              <w:adjustRightInd/>
              <w:snapToGrid w:val="0"/>
              <w:spacing w:line="336" w:lineRule="auto"/>
              <w:textAlignment w:val="auto"/>
              <w:outlineLvl w:val="9"/>
              <w:rPr>
                <w:rFonts w:hint="eastAsia" w:ascii="仿宋" w:hAnsi="仿宋" w:eastAsia="仿宋" w:cs="仿宋"/>
                <w:color w:val="auto"/>
              </w:rPr>
            </w:pPr>
            <w:r>
              <w:rPr>
                <w:rFonts w:hint="eastAsia" w:ascii="仿宋" w:hAnsi="仿宋" w:eastAsia="仿宋" w:cs="仿宋"/>
                <w:color w:val="auto"/>
              </w:rPr>
              <w:t>响应文件及有关承诺文件有效期为提交响应文件截止时间起90天。</w:t>
            </w:r>
          </w:p>
        </w:tc>
      </w:tr>
    </w:tbl>
    <w:p w14:paraId="20F9F83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三）澄清有关问题。竞争性比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5F346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竞争性比选评审小组要求供应商澄清、说明或者更正响应文件应当以书面形式作出。供应商的澄清、说明或者更正应当由法定代表人（或其授权代表）或自然人（供应商为自然人）签字或者加盖公章。由授权代表签字的，应当附法定代表人授权书。供应商为自然人的，应当由本人签字并附身份证明。</w:t>
      </w:r>
    </w:p>
    <w:p w14:paraId="3FF1658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五）竞争性比选评审小组采用综合评分法对供应商的响应文件和报价进行综合评分。综合评分法，是指响应文件满足竞争性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33B8856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六）竞争性比选评审小组各成员独立对每个有效响应（通过资格性、符合性审查的供应商）的文件进行评价、打分，然后汇总每个参选供应商每项评分因素的得分，并根据综合评分情况按照评审得分由高到低顺序推荐3名成交候选供应商，排名第一的为第一成交候选供应商。评审得分且报价相同的，按照</w:t>
      </w:r>
      <w:r>
        <w:rPr>
          <w:rFonts w:hint="eastAsia" w:ascii="仿宋" w:hAnsi="仿宋" w:eastAsia="仿宋" w:cs="仿宋"/>
          <w:color w:val="auto"/>
          <w:lang w:val="en-US" w:eastAsia="zh-CN"/>
        </w:rPr>
        <w:t>技术</w:t>
      </w:r>
      <w:r>
        <w:rPr>
          <w:rFonts w:hint="eastAsia" w:ascii="仿宋" w:hAnsi="仿宋" w:eastAsia="仿宋" w:cs="仿宋"/>
          <w:color w:val="auto"/>
        </w:rPr>
        <w:t>部分得分优劣顺序排列推荐。以上都相同的，按商务部分得分的优劣顺序排列推荐。</w:t>
      </w:r>
    </w:p>
    <w:p w14:paraId="50A926C7">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196" w:name="_Toc30615"/>
      <w:bookmarkStart w:id="197" w:name="_Toc24213"/>
      <w:bookmarkStart w:id="198" w:name="_Toc82"/>
      <w:bookmarkStart w:id="199" w:name="_Toc3022"/>
      <w:bookmarkStart w:id="200" w:name="_Toc14209"/>
      <w:bookmarkStart w:id="201" w:name="_Toc102227320"/>
      <w:bookmarkStart w:id="202" w:name="_Toc342913394"/>
      <w:r>
        <w:rPr>
          <w:rFonts w:hint="eastAsia" w:ascii="仿宋" w:hAnsi="仿宋" w:eastAsia="仿宋" w:cs="仿宋"/>
          <w:b/>
          <w:bCs/>
          <w:color w:val="auto"/>
        </w:rPr>
        <w:t>二、评审标准</w:t>
      </w:r>
      <w:bookmarkEnd w:id="196"/>
      <w:bookmarkEnd w:id="197"/>
      <w:bookmarkEnd w:id="198"/>
      <w:bookmarkEnd w:id="199"/>
      <w:bookmarkEnd w:id="200"/>
    </w:p>
    <w:tbl>
      <w:tblPr>
        <w:tblStyle w:val="25"/>
        <w:tblW w:w="1016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567"/>
        <w:gridCol w:w="850"/>
        <w:gridCol w:w="1013"/>
        <w:gridCol w:w="6878"/>
      </w:tblGrid>
      <w:tr w14:paraId="6A46D5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2BB4A538">
            <w:pPr>
              <w:jc w:val="center"/>
              <w:rPr>
                <w:rFonts w:hint="eastAsia" w:ascii="仿宋" w:hAnsi="仿宋" w:eastAsia="仿宋" w:cs="仿宋"/>
                <w:b/>
                <w:kern w:val="0"/>
                <w:sz w:val="24"/>
                <w:szCs w:val="24"/>
              </w:rPr>
            </w:pPr>
            <w:bookmarkStart w:id="203" w:name="_Toc21279"/>
            <w:bookmarkStart w:id="204" w:name="_Toc30355"/>
            <w:bookmarkStart w:id="205" w:name="_Toc23783"/>
            <w:bookmarkStart w:id="206" w:name="_Toc27661"/>
            <w:r>
              <w:rPr>
                <w:rFonts w:hint="eastAsia" w:ascii="仿宋" w:hAnsi="仿宋" w:eastAsia="仿宋" w:cs="仿宋"/>
                <w:b/>
                <w:kern w:val="0"/>
                <w:sz w:val="24"/>
                <w:szCs w:val="24"/>
              </w:rPr>
              <w:t>条款号</w:t>
            </w:r>
          </w:p>
        </w:tc>
        <w:tc>
          <w:tcPr>
            <w:tcW w:w="1863" w:type="dxa"/>
            <w:gridSpan w:val="2"/>
            <w:vAlign w:val="center"/>
          </w:tcPr>
          <w:p w14:paraId="4283E6AC">
            <w:pPr>
              <w:jc w:val="center"/>
              <w:rPr>
                <w:rFonts w:hint="eastAsia" w:ascii="仿宋" w:hAnsi="仿宋" w:eastAsia="仿宋" w:cs="仿宋"/>
                <w:b/>
                <w:kern w:val="0"/>
                <w:sz w:val="24"/>
                <w:szCs w:val="24"/>
              </w:rPr>
            </w:pPr>
            <w:r>
              <w:rPr>
                <w:rFonts w:hint="eastAsia" w:ascii="仿宋" w:hAnsi="仿宋" w:eastAsia="仿宋" w:cs="仿宋"/>
                <w:b/>
                <w:kern w:val="0"/>
                <w:sz w:val="24"/>
                <w:szCs w:val="24"/>
              </w:rPr>
              <w:t>评审因素</w:t>
            </w:r>
          </w:p>
        </w:tc>
        <w:tc>
          <w:tcPr>
            <w:tcW w:w="6878" w:type="dxa"/>
            <w:vAlign w:val="center"/>
          </w:tcPr>
          <w:p w14:paraId="73B5DE1E">
            <w:pPr>
              <w:jc w:val="center"/>
              <w:rPr>
                <w:rFonts w:hint="eastAsia" w:ascii="仿宋" w:hAnsi="仿宋" w:eastAsia="仿宋" w:cs="仿宋"/>
                <w:b/>
                <w:kern w:val="0"/>
                <w:sz w:val="24"/>
                <w:szCs w:val="24"/>
              </w:rPr>
            </w:pPr>
            <w:r>
              <w:rPr>
                <w:rFonts w:hint="eastAsia" w:ascii="仿宋" w:hAnsi="仿宋" w:eastAsia="仿宋" w:cs="仿宋"/>
                <w:b/>
                <w:kern w:val="0"/>
                <w:sz w:val="24"/>
                <w:szCs w:val="24"/>
              </w:rPr>
              <w:t>评审标准</w:t>
            </w:r>
          </w:p>
        </w:tc>
      </w:tr>
      <w:tr w14:paraId="7FAC7A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27DFB203">
            <w:pPr>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p>
        </w:tc>
        <w:tc>
          <w:tcPr>
            <w:tcW w:w="1863" w:type="dxa"/>
            <w:gridSpan w:val="2"/>
            <w:vAlign w:val="center"/>
          </w:tcPr>
          <w:p w14:paraId="2EE723E5">
            <w:pPr>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评标办法</w:t>
            </w:r>
          </w:p>
        </w:tc>
        <w:tc>
          <w:tcPr>
            <w:tcW w:w="6878" w:type="dxa"/>
            <w:vAlign w:val="center"/>
          </w:tcPr>
          <w:p w14:paraId="17421BE6">
            <w:pPr>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本次评标采用综合评估法。</w:t>
            </w:r>
          </w:p>
        </w:tc>
      </w:tr>
      <w:tr w14:paraId="75F54F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3D026687">
            <w:pPr>
              <w:ind w:firstLine="480" w:firstLineChars="200"/>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p>
        </w:tc>
        <w:tc>
          <w:tcPr>
            <w:tcW w:w="1863" w:type="dxa"/>
            <w:gridSpan w:val="2"/>
            <w:vAlign w:val="center"/>
          </w:tcPr>
          <w:p w14:paraId="715BB0EE">
            <w:pPr>
              <w:tabs>
                <w:tab w:val="left" w:pos="1875"/>
              </w:tabs>
              <w:jc w:val="center"/>
              <w:rPr>
                <w:rFonts w:hint="eastAsia" w:ascii="仿宋" w:hAnsi="仿宋" w:eastAsia="仿宋" w:cs="仿宋"/>
                <w:kern w:val="0"/>
                <w:sz w:val="24"/>
                <w:szCs w:val="24"/>
              </w:rPr>
            </w:pPr>
            <w:r>
              <w:rPr>
                <w:rFonts w:hint="eastAsia" w:ascii="仿宋" w:hAnsi="仿宋" w:eastAsia="仿宋" w:cs="仿宋"/>
                <w:kern w:val="0"/>
                <w:sz w:val="24"/>
                <w:szCs w:val="24"/>
              </w:rPr>
              <w:t>分值构成</w:t>
            </w:r>
          </w:p>
          <w:p w14:paraId="667D7593">
            <w:pPr>
              <w:tabs>
                <w:tab w:val="left" w:pos="1875"/>
              </w:tabs>
              <w:jc w:val="center"/>
              <w:rPr>
                <w:rFonts w:hint="eastAsia" w:ascii="仿宋" w:hAnsi="仿宋" w:eastAsia="仿宋" w:cs="仿宋"/>
                <w:kern w:val="0"/>
                <w:sz w:val="24"/>
                <w:szCs w:val="24"/>
              </w:rPr>
            </w:pPr>
            <w:r>
              <w:rPr>
                <w:rFonts w:hint="eastAsia" w:ascii="仿宋" w:hAnsi="仿宋" w:eastAsia="仿宋" w:cs="仿宋"/>
                <w:kern w:val="0"/>
                <w:sz w:val="24"/>
                <w:szCs w:val="24"/>
              </w:rPr>
              <w:t>（总分100分）</w:t>
            </w:r>
          </w:p>
        </w:tc>
        <w:tc>
          <w:tcPr>
            <w:tcW w:w="6878" w:type="dxa"/>
            <w:vAlign w:val="center"/>
          </w:tcPr>
          <w:p w14:paraId="3CDCD4BC">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1.技术部分：</w:t>
            </w:r>
            <w:r>
              <w:rPr>
                <w:rFonts w:hint="eastAsia" w:ascii="仿宋" w:hAnsi="仿宋" w:eastAsia="仿宋" w:cs="仿宋"/>
                <w:kern w:val="0"/>
                <w:sz w:val="24"/>
                <w:szCs w:val="24"/>
                <w:lang w:val="en-US" w:eastAsia="zh-CN"/>
              </w:rPr>
              <w:t>55</w:t>
            </w:r>
            <w:r>
              <w:rPr>
                <w:rFonts w:hint="eastAsia" w:ascii="仿宋" w:hAnsi="仿宋" w:eastAsia="仿宋" w:cs="仿宋"/>
                <w:kern w:val="0"/>
                <w:sz w:val="24"/>
                <w:szCs w:val="24"/>
              </w:rPr>
              <w:t>分；</w:t>
            </w:r>
          </w:p>
          <w:p w14:paraId="439FA7D1">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2.商务部分：</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分；</w:t>
            </w:r>
          </w:p>
          <w:p w14:paraId="14853658">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3.竞选总报价：30分。</w:t>
            </w:r>
          </w:p>
        </w:tc>
      </w:tr>
      <w:tr w14:paraId="248CA7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422" w:type="dxa"/>
            <w:gridSpan w:val="2"/>
            <w:vAlign w:val="center"/>
          </w:tcPr>
          <w:p w14:paraId="1192A4ED">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p>
        </w:tc>
        <w:tc>
          <w:tcPr>
            <w:tcW w:w="1863" w:type="dxa"/>
            <w:gridSpan w:val="2"/>
            <w:vAlign w:val="center"/>
          </w:tcPr>
          <w:p w14:paraId="7FF43DF8">
            <w:pPr>
              <w:jc w:val="center"/>
              <w:rPr>
                <w:rFonts w:hint="eastAsia" w:ascii="仿宋" w:hAnsi="仿宋" w:eastAsia="仿宋" w:cs="仿宋"/>
                <w:kern w:val="0"/>
                <w:sz w:val="24"/>
                <w:szCs w:val="24"/>
              </w:rPr>
            </w:pPr>
            <w:r>
              <w:rPr>
                <w:rFonts w:hint="eastAsia" w:ascii="仿宋" w:hAnsi="仿宋" w:eastAsia="仿宋" w:cs="仿宋"/>
                <w:kern w:val="0"/>
                <w:sz w:val="24"/>
                <w:szCs w:val="24"/>
              </w:rPr>
              <w:t>评标基准价计算方法</w:t>
            </w:r>
          </w:p>
        </w:tc>
        <w:tc>
          <w:tcPr>
            <w:tcW w:w="6878" w:type="dxa"/>
          </w:tcPr>
          <w:p w14:paraId="252D682C">
            <w:pPr>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所有通过初步评审合格的竞选人</w:t>
            </w:r>
            <w:r>
              <w:rPr>
                <w:rFonts w:hint="eastAsia" w:ascii="仿宋" w:hAnsi="仿宋" w:eastAsia="仿宋" w:cs="仿宋"/>
                <w:sz w:val="24"/>
                <w:szCs w:val="24"/>
              </w:rPr>
              <w:t>的竞选总报</w:t>
            </w:r>
            <w:r>
              <w:rPr>
                <w:rFonts w:hint="eastAsia" w:ascii="仿宋" w:hAnsi="仿宋" w:eastAsia="仿宋" w:cs="仿宋"/>
                <w:kern w:val="0"/>
                <w:sz w:val="24"/>
                <w:szCs w:val="24"/>
              </w:rPr>
              <w:t>价中去掉六分之一（不能整除的按小数点前整数取整，不足六家报价则不去掉）的最低价和相同家数的最高价后的算术平均值，即为本项目的竞选总报价的评标基准价。</w:t>
            </w:r>
          </w:p>
          <w:p w14:paraId="5DB07018">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评标基准价计算的最终结果取小数点后两位，第三位四舍五入。</w:t>
            </w:r>
          </w:p>
          <w:p w14:paraId="2016F690">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在评标基准价计算完成后（除计算错误外），在后续的评审中不得再对其做出调整。</w:t>
            </w:r>
          </w:p>
        </w:tc>
      </w:tr>
      <w:tr w14:paraId="473BB5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4A7A3C5C">
            <w:pPr>
              <w:ind w:firstLine="480" w:firstLineChars="200"/>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3.1</w:t>
            </w:r>
          </w:p>
        </w:tc>
        <w:tc>
          <w:tcPr>
            <w:tcW w:w="1863" w:type="dxa"/>
            <w:gridSpan w:val="2"/>
            <w:vAlign w:val="center"/>
          </w:tcPr>
          <w:p w14:paraId="03FC3BAE">
            <w:pPr>
              <w:jc w:val="center"/>
              <w:rPr>
                <w:rFonts w:hint="eastAsia" w:ascii="仿宋" w:hAnsi="仿宋" w:eastAsia="仿宋" w:cs="仿宋"/>
                <w:kern w:val="0"/>
                <w:sz w:val="24"/>
                <w:szCs w:val="24"/>
              </w:rPr>
            </w:pPr>
            <w:r>
              <w:rPr>
                <w:rFonts w:hint="eastAsia" w:ascii="仿宋" w:hAnsi="仿宋" w:eastAsia="仿宋" w:cs="仿宋"/>
                <w:kern w:val="0"/>
                <w:sz w:val="24"/>
                <w:szCs w:val="24"/>
              </w:rPr>
              <w:t>竞选总报价偏差率计算</w:t>
            </w:r>
          </w:p>
        </w:tc>
        <w:tc>
          <w:tcPr>
            <w:tcW w:w="6878" w:type="dxa"/>
            <w:vAlign w:val="center"/>
          </w:tcPr>
          <w:p w14:paraId="4159F8F6">
            <w:pPr>
              <w:jc w:val="left"/>
              <w:rPr>
                <w:rFonts w:hint="eastAsia" w:ascii="仿宋" w:hAnsi="仿宋" w:eastAsia="仿宋" w:cs="仿宋"/>
                <w:kern w:val="0"/>
                <w:sz w:val="24"/>
                <w:szCs w:val="24"/>
              </w:rPr>
            </w:pPr>
            <w:r>
              <w:rPr>
                <w:rFonts w:hint="eastAsia" w:ascii="仿宋" w:hAnsi="仿宋" w:eastAsia="仿宋" w:cs="仿宋"/>
                <w:kern w:val="0"/>
                <w:sz w:val="24"/>
                <w:szCs w:val="24"/>
              </w:rPr>
              <w:t>偏差率=100％×（竞选人报价一评标基准价）／评标基准价</w:t>
            </w:r>
          </w:p>
          <w:p w14:paraId="11FDF265">
            <w:pPr>
              <w:jc w:val="left"/>
              <w:rPr>
                <w:rFonts w:hint="eastAsia" w:ascii="仿宋" w:hAnsi="仿宋" w:eastAsia="仿宋" w:cs="仿宋"/>
                <w:kern w:val="0"/>
                <w:sz w:val="24"/>
                <w:szCs w:val="24"/>
              </w:rPr>
            </w:pPr>
            <w:r>
              <w:rPr>
                <w:rFonts w:hint="eastAsia" w:ascii="仿宋" w:hAnsi="仿宋" w:eastAsia="仿宋" w:cs="仿宋"/>
                <w:kern w:val="0"/>
                <w:sz w:val="24"/>
                <w:szCs w:val="24"/>
              </w:rPr>
              <w:t>偏差率计算的最终结果取小数点后两位，小数点后第三位“四舍五入”。</w:t>
            </w:r>
          </w:p>
        </w:tc>
      </w:tr>
      <w:tr w14:paraId="52D55B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1422" w:type="dxa"/>
            <w:gridSpan w:val="2"/>
            <w:vAlign w:val="center"/>
          </w:tcPr>
          <w:p w14:paraId="7FF272E6">
            <w:pPr>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3.2</w:t>
            </w:r>
            <w:r>
              <w:rPr>
                <w:rFonts w:hint="eastAsia" w:ascii="仿宋" w:hAnsi="仿宋" w:eastAsia="仿宋" w:cs="仿宋"/>
                <w:kern w:val="0"/>
                <w:sz w:val="24"/>
                <w:szCs w:val="24"/>
              </w:rPr>
              <w:t>（1）</w:t>
            </w:r>
          </w:p>
        </w:tc>
        <w:tc>
          <w:tcPr>
            <w:tcW w:w="1863" w:type="dxa"/>
            <w:gridSpan w:val="2"/>
            <w:vAlign w:val="center"/>
          </w:tcPr>
          <w:p w14:paraId="76FB2567">
            <w:pPr>
              <w:jc w:val="center"/>
              <w:rPr>
                <w:rFonts w:hint="eastAsia" w:ascii="仿宋" w:hAnsi="仿宋" w:eastAsia="仿宋" w:cs="仿宋"/>
                <w:kern w:val="0"/>
                <w:sz w:val="24"/>
                <w:szCs w:val="24"/>
              </w:rPr>
            </w:pPr>
            <w:r>
              <w:rPr>
                <w:rFonts w:hint="eastAsia" w:ascii="仿宋" w:hAnsi="仿宋" w:eastAsia="仿宋" w:cs="仿宋"/>
                <w:kern w:val="0"/>
                <w:sz w:val="24"/>
                <w:szCs w:val="24"/>
              </w:rPr>
              <w:t>技术部分评分标准（</w:t>
            </w:r>
            <w:r>
              <w:rPr>
                <w:rFonts w:hint="eastAsia" w:ascii="仿宋" w:hAnsi="仿宋" w:eastAsia="仿宋" w:cs="仿宋"/>
                <w:kern w:val="0"/>
                <w:sz w:val="24"/>
                <w:szCs w:val="24"/>
                <w:lang w:val="en-US" w:eastAsia="zh-CN"/>
              </w:rPr>
              <w:t>55</w:t>
            </w:r>
            <w:r>
              <w:rPr>
                <w:rFonts w:hint="eastAsia" w:ascii="仿宋" w:hAnsi="仿宋" w:eastAsia="仿宋" w:cs="仿宋"/>
                <w:kern w:val="0"/>
                <w:sz w:val="24"/>
                <w:szCs w:val="24"/>
              </w:rPr>
              <w:t>分）</w:t>
            </w:r>
          </w:p>
        </w:tc>
        <w:tc>
          <w:tcPr>
            <w:tcW w:w="6878" w:type="dxa"/>
            <w:vAlign w:val="center"/>
          </w:tcPr>
          <w:p w14:paraId="3EB2C16F">
            <w:pPr>
              <w:ind w:firstLine="200"/>
              <w:rPr>
                <w:rFonts w:hint="eastAsia" w:ascii="仿宋" w:hAnsi="仿宋" w:eastAsia="仿宋" w:cs="仿宋"/>
                <w:sz w:val="24"/>
                <w:szCs w:val="24"/>
              </w:rPr>
            </w:pPr>
            <w:r>
              <w:rPr>
                <w:rFonts w:hint="eastAsia" w:ascii="仿宋" w:hAnsi="仿宋" w:eastAsia="仿宋" w:cs="仿宋"/>
                <w:sz w:val="24"/>
                <w:szCs w:val="24"/>
              </w:rPr>
              <w:t>技术参数部分（</w:t>
            </w:r>
            <w:r>
              <w:rPr>
                <w:rFonts w:hint="eastAsia" w:ascii="仿宋" w:hAnsi="仿宋" w:eastAsia="仿宋" w:cs="仿宋"/>
                <w:sz w:val="24"/>
                <w:szCs w:val="24"/>
                <w:lang w:val="en-US" w:eastAsia="zh-CN"/>
              </w:rPr>
              <w:t>55</w:t>
            </w:r>
            <w:r>
              <w:rPr>
                <w:rFonts w:hint="eastAsia" w:ascii="仿宋" w:hAnsi="仿宋" w:eastAsia="仿宋" w:cs="仿宋"/>
                <w:sz w:val="24"/>
                <w:szCs w:val="24"/>
              </w:rPr>
              <w:t>分）</w:t>
            </w:r>
          </w:p>
          <w:p w14:paraId="13EEE016">
            <w:pPr>
              <w:numPr>
                <w:ilvl w:val="0"/>
                <w:numId w:val="2"/>
              </w:numPr>
              <w:ind w:firstLine="200"/>
              <w:rPr>
                <w:rFonts w:hint="eastAsia" w:ascii="仿宋" w:hAnsi="仿宋" w:eastAsia="仿宋" w:cs="仿宋"/>
                <w:sz w:val="24"/>
                <w:szCs w:val="24"/>
              </w:rPr>
            </w:pPr>
            <w:r>
              <w:rPr>
                <w:rFonts w:hint="eastAsia" w:ascii="仿宋" w:hAnsi="仿宋" w:eastAsia="仿宋" w:cs="仿宋"/>
                <w:sz w:val="24"/>
                <w:szCs w:val="24"/>
                <w:lang w:eastAsia="zh-CN"/>
              </w:rPr>
              <w:t>满足“技术标准及要求”的</w:t>
            </w:r>
            <w:r>
              <w:rPr>
                <w:rFonts w:hint="eastAsia" w:ascii="仿宋" w:hAnsi="仿宋" w:eastAsia="仿宋" w:cs="仿宋"/>
                <w:sz w:val="24"/>
                <w:szCs w:val="24"/>
                <w:lang w:val="en-US" w:eastAsia="zh-CN"/>
              </w:rPr>
              <w:t>得16分</w:t>
            </w:r>
            <w:r>
              <w:rPr>
                <w:rFonts w:hint="eastAsia" w:ascii="仿宋" w:hAnsi="仿宋" w:eastAsia="仿宋" w:cs="仿宋"/>
                <w:sz w:val="24"/>
                <w:szCs w:val="24"/>
                <w:lang w:eastAsia="zh-CN"/>
              </w:rPr>
              <w:t>，技术参数达不到</w:t>
            </w:r>
            <w:r>
              <w:rPr>
                <w:rFonts w:hint="eastAsia" w:ascii="仿宋" w:hAnsi="仿宋" w:eastAsia="仿宋" w:cs="仿宋"/>
                <w:sz w:val="24"/>
                <w:szCs w:val="24"/>
                <w:lang w:val="en-US" w:eastAsia="zh-CN"/>
              </w:rPr>
              <w:t>比选</w:t>
            </w:r>
            <w:r>
              <w:rPr>
                <w:rFonts w:hint="eastAsia" w:ascii="仿宋" w:hAnsi="仿宋" w:eastAsia="仿宋" w:cs="仿宋"/>
                <w:sz w:val="24"/>
                <w:szCs w:val="24"/>
                <w:lang w:eastAsia="zh-CN"/>
              </w:rPr>
              <w:t>文件要求的，每负偏离一条从起评分中扣除2分，大于</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条的技术部分得分为0分。</w:t>
            </w:r>
          </w:p>
          <w:p w14:paraId="4FDA0426">
            <w:pPr>
              <w:ind w:firstLine="200"/>
              <w:rPr>
                <w:rFonts w:hint="eastAsia" w:ascii="仿宋" w:hAnsi="仿宋" w:eastAsia="仿宋" w:cs="仿宋"/>
                <w:sz w:val="24"/>
                <w:szCs w:val="24"/>
              </w:rPr>
            </w:pPr>
            <w:r>
              <w:rPr>
                <w:rFonts w:hint="eastAsia" w:ascii="仿宋" w:hAnsi="仿宋" w:eastAsia="仿宋" w:cs="仿宋"/>
                <w:sz w:val="24"/>
                <w:szCs w:val="24"/>
              </w:rPr>
              <w:t>【提供技术响应偏离表并加盖竞选人单位公章】</w:t>
            </w:r>
          </w:p>
          <w:p w14:paraId="21F9F973">
            <w:pPr>
              <w:ind w:firstLine="200"/>
              <w:rPr>
                <w:rFonts w:hint="eastAsia" w:ascii="仿宋" w:hAnsi="仿宋" w:eastAsia="仿宋" w:cs="仿宋"/>
                <w:sz w:val="24"/>
                <w:szCs w:val="24"/>
              </w:rPr>
            </w:pPr>
            <w:r>
              <w:rPr>
                <w:rFonts w:hint="eastAsia" w:ascii="仿宋" w:hAnsi="仿宋" w:eastAsia="仿宋" w:cs="仿宋"/>
                <w:sz w:val="24"/>
                <w:szCs w:val="24"/>
              </w:rPr>
              <w:t>2、电梯部件要求：曳引机、控制柜、限速器、安全钳、门机、缓冲器、光幕、编码器、上行超速保护装置、轿厢意外移动装置、电动车</w:t>
            </w:r>
            <w:r>
              <w:rPr>
                <w:rFonts w:hint="eastAsia" w:ascii="仿宋" w:hAnsi="仿宋" w:eastAsia="仿宋" w:cs="仿宋"/>
                <w:sz w:val="24"/>
                <w:szCs w:val="24"/>
                <w:lang w:val="en-US" w:eastAsia="zh-CN"/>
              </w:rPr>
              <w:t>禁</w:t>
            </w:r>
            <w:r>
              <w:rPr>
                <w:rFonts w:hint="eastAsia" w:ascii="仿宋" w:hAnsi="仿宋" w:eastAsia="仿宋" w:cs="仿宋"/>
                <w:sz w:val="24"/>
                <w:szCs w:val="24"/>
              </w:rPr>
              <w:t>入电梯系统报告均为原厂</w:t>
            </w:r>
            <w:r>
              <w:rPr>
                <w:rFonts w:hint="eastAsia" w:ascii="仿宋" w:hAnsi="仿宋" w:eastAsia="仿宋" w:cs="仿宋"/>
                <w:sz w:val="24"/>
                <w:szCs w:val="24"/>
                <w:lang w:val="en-US" w:eastAsia="zh-CN"/>
              </w:rPr>
              <w:t>配件</w:t>
            </w:r>
            <w:r>
              <w:rPr>
                <w:rFonts w:hint="eastAsia" w:ascii="仿宋" w:hAnsi="仿宋" w:eastAsia="仿宋" w:cs="仿宋"/>
                <w:sz w:val="24"/>
                <w:szCs w:val="24"/>
              </w:rPr>
              <w:t>得</w:t>
            </w:r>
            <w:r>
              <w:rPr>
                <w:rFonts w:hint="eastAsia" w:ascii="仿宋" w:hAnsi="仿宋" w:eastAsia="仿宋" w:cs="仿宋"/>
                <w:sz w:val="24"/>
                <w:szCs w:val="24"/>
                <w:lang w:val="en-US" w:eastAsia="zh-CN"/>
              </w:rPr>
              <w:t>15</w:t>
            </w:r>
            <w:r>
              <w:rPr>
                <w:rFonts w:hint="eastAsia" w:ascii="仿宋" w:hAnsi="仿宋" w:eastAsia="仿宋" w:cs="仿宋"/>
                <w:sz w:val="24"/>
                <w:szCs w:val="24"/>
              </w:rPr>
              <w:t>分；在此基础上，若有一项不满足的扣</w:t>
            </w:r>
            <w:r>
              <w:rPr>
                <w:rFonts w:hint="eastAsia" w:ascii="仿宋" w:hAnsi="仿宋" w:eastAsia="仿宋" w:cs="仿宋"/>
                <w:sz w:val="24"/>
                <w:szCs w:val="24"/>
                <w:lang w:val="en-US" w:eastAsia="zh-CN"/>
              </w:rPr>
              <w:t>5</w:t>
            </w:r>
            <w:r>
              <w:rPr>
                <w:rFonts w:hint="eastAsia" w:ascii="仿宋" w:hAnsi="仿宋" w:eastAsia="仿宋" w:cs="仿宋"/>
                <w:sz w:val="24"/>
                <w:szCs w:val="24"/>
              </w:rPr>
              <w:t>分，三项以上不满足的本项得0分。</w:t>
            </w:r>
          </w:p>
          <w:p w14:paraId="7F8714F4">
            <w:pPr>
              <w:ind w:firstLine="200"/>
              <w:rPr>
                <w:rFonts w:hint="eastAsia" w:ascii="仿宋" w:hAnsi="仿宋" w:eastAsia="仿宋" w:cs="仿宋"/>
                <w:sz w:val="24"/>
                <w:szCs w:val="24"/>
              </w:rPr>
            </w:pPr>
            <w:r>
              <w:rPr>
                <w:rFonts w:hint="eastAsia" w:ascii="仿宋" w:hAnsi="仿宋" w:eastAsia="仿宋" w:cs="仿宋"/>
                <w:sz w:val="24"/>
                <w:szCs w:val="24"/>
              </w:rPr>
              <w:t>【提供原厂型号电梯型式试验报告复印件并加盖竞选人单位公章】</w:t>
            </w:r>
          </w:p>
          <w:p w14:paraId="01A5F049">
            <w:pPr>
              <w:ind w:firstLine="468" w:firstLineChars="195"/>
              <w:rPr>
                <w:rFonts w:hint="eastAsia" w:ascii="仿宋" w:hAnsi="仿宋" w:eastAsia="仿宋" w:cs="仿宋"/>
                <w:sz w:val="24"/>
                <w:szCs w:val="24"/>
              </w:rPr>
            </w:pPr>
            <w:r>
              <w:rPr>
                <w:rFonts w:hint="eastAsia" w:ascii="仿宋" w:hAnsi="仿宋" w:eastAsia="仿宋" w:cs="仿宋"/>
                <w:sz w:val="24"/>
                <w:szCs w:val="24"/>
              </w:rPr>
              <w:t>3、认证证书</w:t>
            </w:r>
          </w:p>
          <w:p w14:paraId="6688CF10">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所投品牌制造商具有职业健康安全管理体系认证证书得1分、具有质量管理体系认证证书得1分、具有环境管理体系认证证书得1分。最多得3分。</w:t>
            </w:r>
          </w:p>
          <w:p w14:paraId="52B6D54E">
            <w:pPr>
              <w:ind w:firstLine="200"/>
              <w:rPr>
                <w:rFonts w:hint="eastAsia" w:ascii="仿宋" w:hAnsi="仿宋" w:eastAsia="仿宋" w:cs="仿宋"/>
                <w:sz w:val="24"/>
                <w:szCs w:val="24"/>
              </w:rPr>
            </w:pPr>
            <w:r>
              <w:rPr>
                <w:rFonts w:hint="eastAsia" w:ascii="仿宋" w:hAnsi="仿宋" w:eastAsia="仿宋" w:cs="仿宋"/>
                <w:sz w:val="24"/>
                <w:szCs w:val="24"/>
              </w:rPr>
              <w:t>【提供相关证书复印件并加盖竞选人单位公章】</w:t>
            </w:r>
          </w:p>
          <w:p w14:paraId="53C3537B">
            <w:pPr>
              <w:numPr>
                <w:ilvl w:val="0"/>
                <w:numId w:val="3"/>
              </w:numPr>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荣获</w:t>
            </w:r>
            <w:r>
              <w:rPr>
                <w:rFonts w:hint="eastAsia" w:ascii="仿宋" w:hAnsi="仿宋" w:eastAsia="仿宋" w:cs="仿宋"/>
                <w:sz w:val="24"/>
                <w:szCs w:val="24"/>
                <w:lang w:val="en-US" w:eastAsia="zh-CN"/>
              </w:rPr>
              <w:t>国家</w:t>
            </w:r>
            <w:r>
              <w:rPr>
                <w:rFonts w:hint="eastAsia" w:ascii="仿宋" w:hAnsi="仿宋" w:eastAsia="仿宋" w:cs="仿宋"/>
                <w:sz w:val="24"/>
                <w:szCs w:val="24"/>
              </w:rPr>
              <w:t>高新技术企业证书的得</w:t>
            </w:r>
            <w:r>
              <w:rPr>
                <w:rFonts w:hint="eastAsia" w:ascii="仿宋" w:hAnsi="仿宋" w:eastAsia="仿宋" w:cs="仿宋"/>
                <w:sz w:val="24"/>
                <w:szCs w:val="24"/>
                <w:lang w:val="en-US" w:eastAsia="zh-CN"/>
              </w:rPr>
              <w:t>3</w:t>
            </w:r>
            <w:r>
              <w:rPr>
                <w:rFonts w:hint="eastAsia" w:ascii="仿宋" w:hAnsi="仿宋" w:eastAsia="仿宋" w:cs="仿宋"/>
                <w:sz w:val="24"/>
                <w:szCs w:val="24"/>
              </w:rPr>
              <w:t>分，没有计0分。</w:t>
            </w:r>
          </w:p>
          <w:p w14:paraId="7F103628">
            <w:pPr>
              <w:ind w:firstLine="200"/>
              <w:rPr>
                <w:rFonts w:hint="eastAsia" w:ascii="仿宋" w:hAnsi="仿宋" w:eastAsia="仿宋" w:cs="仿宋"/>
                <w:sz w:val="24"/>
                <w:szCs w:val="24"/>
              </w:rPr>
            </w:pPr>
            <w:r>
              <w:rPr>
                <w:rFonts w:hint="eastAsia" w:ascii="仿宋" w:hAnsi="仿宋" w:eastAsia="仿宋" w:cs="仿宋"/>
                <w:sz w:val="24"/>
                <w:szCs w:val="24"/>
              </w:rPr>
              <w:t>【提供相关证书复印件并加盖竞选人单位公章】</w:t>
            </w:r>
          </w:p>
          <w:p w14:paraId="2919F3C6">
            <w:pPr>
              <w:numPr>
                <w:ilvl w:val="0"/>
                <w:numId w:val="4"/>
              </w:numPr>
              <w:ind w:firstLine="468" w:firstLineChars="195"/>
              <w:rPr>
                <w:rFonts w:hint="eastAsia" w:ascii="仿宋" w:hAnsi="仿宋" w:eastAsia="仿宋" w:cs="仿宋"/>
                <w:sz w:val="24"/>
                <w:szCs w:val="24"/>
              </w:rPr>
            </w:pPr>
            <w:r>
              <w:rPr>
                <w:rFonts w:hint="eastAsia" w:ascii="仿宋" w:hAnsi="仿宋" w:eastAsia="仿宋" w:cs="仿宋"/>
                <w:sz w:val="24"/>
                <w:szCs w:val="24"/>
              </w:rPr>
              <w:t>电梯能量效率</w:t>
            </w:r>
          </w:p>
          <w:p w14:paraId="5F12D9F4">
            <w:pPr>
              <w:ind w:firstLine="480" w:firstLineChars="200"/>
              <w:rPr>
                <w:rFonts w:hint="eastAsia" w:ascii="仿宋" w:hAnsi="仿宋" w:eastAsia="仿宋" w:cs="仿宋"/>
                <w:sz w:val="24"/>
                <w:szCs w:val="24"/>
              </w:rPr>
            </w:pPr>
            <w:r>
              <w:rPr>
                <w:rFonts w:hint="eastAsia" w:ascii="仿宋" w:hAnsi="仿宋" w:eastAsia="仿宋" w:cs="仿宋"/>
                <w:sz w:val="24"/>
                <w:szCs w:val="24"/>
              </w:rPr>
              <w:t>竞选产品达到A级能量效率得3分，达到B级能量效率得1分，达到C级能量效率得0分，本项不重叠加分，最多得3分。</w:t>
            </w:r>
          </w:p>
          <w:p w14:paraId="32520E5B">
            <w:pPr>
              <w:ind w:firstLine="200"/>
              <w:rPr>
                <w:rFonts w:hint="eastAsia" w:ascii="仿宋" w:hAnsi="仿宋" w:eastAsia="仿宋" w:cs="仿宋"/>
                <w:sz w:val="24"/>
                <w:szCs w:val="24"/>
              </w:rPr>
            </w:pPr>
            <w:r>
              <w:rPr>
                <w:rFonts w:hint="eastAsia" w:ascii="仿宋" w:hAnsi="仿宋" w:eastAsia="仿宋" w:cs="仿宋"/>
                <w:sz w:val="24"/>
                <w:szCs w:val="24"/>
              </w:rPr>
              <w:t>【提供能量效率证书告复印件并加盖竞选人单位公章】</w:t>
            </w:r>
          </w:p>
          <w:p w14:paraId="5AFCE4A5">
            <w:pPr>
              <w:ind w:firstLine="480" w:firstLineChars="200"/>
              <w:rPr>
                <w:rFonts w:hint="eastAsia" w:ascii="仿宋" w:hAnsi="仿宋" w:eastAsia="仿宋" w:cs="仿宋"/>
                <w:sz w:val="24"/>
                <w:szCs w:val="24"/>
              </w:rPr>
            </w:pPr>
            <w:r>
              <w:rPr>
                <w:rFonts w:hint="eastAsia" w:ascii="仿宋" w:hAnsi="仿宋" w:eastAsia="仿宋" w:cs="仿宋"/>
                <w:sz w:val="24"/>
                <w:szCs w:val="24"/>
              </w:rPr>
              <w:t>6、施工方案（</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14:paraId="06D996C6">
            <w:pPr>
              <w:ind w:firstLine="480" w:firstLineChars="200"/>
              <w:rPr>
                <w:rFonts w:hint="eastAsia" w:ascii="仿宋" w:hAnsi="仿宋" w:eastAsia="仿宋" w:cs="仿宋"/>
                <w:sz w:val="24"/>
                <w:szCs w:val="24"/>
              </w:rPr>
            </w:pPr>
            <w:r>
              <w:rPr>
                <w:rFonts w:hint="eastAsia" w:ascii="仿宋" w:hAnsi="仿宋" w:eastAsia="仿宋" w:cs="仿宋"/>
                <w:sz w:val="24"/>
                <w:szCs w:val="24"/>
              </w:rPr>
              <w:t>方案内容包含：</w:t>
            </w:r>
            <w:r>
              <w:rPr>
                <w:rFonts w:hint="eastAsia" w:ascii="仿宋" w:hAnsi="仿宋" w:eastAsia="仿宋" w:cs="仿宋"/>
                <w:sz w:val="24"/>
                <w:szCs w:val="24"/>
                <w:lang w:val="en-US" w:eastAsia="zh-CN"/>
              </w:rPr>
              <w:t>安装施工方案；施工进度计划及措施；质量保证措施；施工安全保障措施；文明施工安全措施；环境保护措施；售后维修服务保障等，加盖供应商公章。按方案优劣进行评比得分。</w:t>
            </w:r>
          </w:p>
        </w:tc>
      </w:tr>
      <w:tr w14:paraId="6B34CA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1422" w:type="dxa"/>
            <w:gridSpan w:val="2"/>
            <w:tcBorders>
              <w:left w:val="single" w:color="auto" w:sz="4" w:space="0"/>
            </w:tcBorders>
            <w:vAlign w:val="center"/>
          </w:tcPr>
          <w:p w14:paraId="4A731BCF">
            <w:pPr>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3.2</w:t>
            </w:r>
            <w:r>
              <w:rPr>
                <w:rFonts w:hint="eastAsia" w:ascii="仿宋" w:hAnsi="仿宋" w:eastAsia="仿宋" w:cs="仿宋"/>
                <w:kern w:val="0"/>
                <w:sz w:val="24"/>
                <w:szCs w:val="24"/>
              </w:rPr>
              <w:t>（2）</w:t>
            </w:r>
          </w:p>
        </w:tc>
        <w:tc>
          <w:tcPr>
            <w:tcW w:w="1863" w:type="dxa"/>
            <w:gridSpan w:val="2"/>
            <w:vAlign w:val="center"/>
          </w:tcPr>
          <w:p w14:paraId="00DB1421">
            <w:pPr>
              <w:spacing w:after="48" w:afterLines="20"/>
              <w:jc w:val="center"/>
              <w:rPr>
                <w:rFonts w:hint="eastAsia" w:ascii="仿宋" w:hAnsi="仿宋" w:eastAsia="仿宋" w:cs="仿宋"/>
                <w:kern w:val="0"/>
                <w:sz w:val="24"/>
                <w:szCs w:val="24"/>
              </w:rPr>
            </w:pPr>
            <w:r>
              <w:rPr>
                <w:rFonts w:hint="eastAsia" w:ascii="仿宋" w:hAnsi="仿宋" w:eastAsia="仿宋" w:cs="仿宋"/>
                <w:kern w:val="0"/>
                <w:sz w:val="24"/>
                <w:szCs w:val="24"/>
              </w:rPr>
              <w:t>商务部分评分标准（</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分）</w:t>
            </w:r>
          </w:p>
        </w:tc>
        <w:tc>
          <w:tcPr>
            <w:tcW w:w="6878" w:type="dxa"/>
            <w:vAlign w:val="center"/>
          </w:tcPr>
          <w:p w14:paraId="3ED1909C">
            <w:pPr>
              <w:widowControl/>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、制造商营业执照注册时间至今≥</w:t>
            </w:r>
            <w:r>
              <w:rPr>
                <w:rFonts w:hint="eastAsia" w:ascii="仿宋" w:hAnsi="仿宋" w:eastAsia="仿宋" w:cs="仿宋"/>
                <w:sz w:val="24"/>
                <w:szCs w:val="24"/>
                <w:lang w:val="en-US" w:eastAsia="zh-CN"/>
              </w:rPr>
              <w:t>15</w:t>
            </w:r>
            <w:r>
              <w:rPr>
                <w:rFonts w:hint="eastAsia" w:ascii="仿宋" w:hAnsi="仿宋" w:eastAsia="仿宋" w:cs="仿宋"/>
                <w:sz w:val="24"/>
                <w:szCs w:val="24"/>
              </w:rPr>
              <w:t>年得1分，≥2</w:t>
            </w:r>
            <w:r>
              <w:rPr>
                <w:rFonts w:hint="eastAsia" w:ascii="仿宋" w:hAnsi="仿宋" w:eastAsia="仿宋" w:cs="仿宋"/>
                <w:sz w:val="24"/>
                <w:szCs w:val="24"/>
                <w:lang w:val="en-US" w:eastAsia="zh-CN"/>
              </w:rPr>
              <w:t>0</w:t>
            </w:r>
            <w:r>
              <w:rPr>
                <w:rFonts w:hint="eastAsia" w:ascii="仿宋" w:hAnsi="仿宋" w:eastAsia="仿宋" w:cs="仿宋"/>
                <w:sz w:val="24"/>
                <w:szCs w:val="24"/>
              </w:rPr>
              <w:t>年得</w:t>
            </w:r>
            <w:r>
              <w:rPr>
                <w:rFonts w:hint="eastAsia" w:ascii="仿宋" w:hAnsi="仿宋" w:eastAsia="仿宋" w:cs="仿宋"/>
                <w:sz w:val="24"/>
                <w:szCs w:val="24"/>
                <w:lang w:val="en-US" w:eastAsia="zh-CN"/>
              </w:rPr>
              <w:t>2</w:t>
            </w:r>
            <w:r>
              <w:rPr>
                <w:rFonts w:hint="eastAsia" w:ascii="仿宋" w:hAnsi="仿宋" w:eastAsia="仿宋" w:cs="仿宋"/>
                <w:sz w:val="24"/>
                <w:szCs w:val="24"/>
              </w:rPr>
              <w:t>分,≥2</w:t>
            </w:r>
            <w:r>
              <w:rPr>
                <w:rFonts w:hint="eastAsia" w:ascii="仿宋" w:hAnsi="仿宋" w:eastAsia="仿宋" w:cs="仿宋"/>
                <w:sz w:val="24"/>
                <w:szCs w:val="24"/>
                <w:lang w:val="en-US" w:eastAsia="zh-CN"/>
              </w:rPr>
              <w:t>5</w:t>
            </w:r>
            <w:r>
              <w:rPr>
                <w:rFonts w:hint="eastAsia" w:ascii="仿宋" w:hAnsi="仿宋" w:eastAsia="仿宋" w:cs="仿宋"/>
                <w:sz w:val="24"/>
                <w:szCs w:val="24"/>
              </w:rPr>
              <w:t>年得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14:paraId="5A123B4B">
            <w:pPr>
              <w:ind w:firstLine="200"/>
              <w:rPr>
                <w:rFonts w:hint="eastAsia" w:ascii="仿宋" w:hAnsi="仿宋" w:eastAsia="仿宋" w:cs="仿宋"/>
                <w:sz w:val="24"/>
                <w:szCs w:val="24"/>
              </w:rPr>
            </w:pPr>
            <w:r>
              <w:rPr>
                <w:rFonts w:hint="eastAsia" w:ascii="仿宋" w:hAnsi="仿宋" w:eastAsia="仿宋" w:cs="仿宋"/>
                <w:sz w:val="24"/>
                <w:szCs w:val="24"/>
              </w:rPr>
              <w:t>【提供相关证书复印件并加盖竞选人单位公章】</w:t>
            </w:r>
          </w:p>
          <w:p w14:paraId="6E43C895">
            <w:pPr>
              <w:adjustRightInd w:val="0"/>
              <w:snapToGrid w:val="0"/>
              <w:ind w:left="480" w:left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、制造商在重庆设有生产基地的得5分，没有计0分。</w:t>
            </w:r>
          </w:p>
          <w:p w14:paraId="2833FC44">
            <w:pPr>
              <w:ind w:firstLine="200"/>
              <w:rPr>
                <w:rFonts w:hint="eastAsia" w:ascii="仿宋" w:hAnsi="仿宋" w:eastAsia="仿宋" w:cs="仿宋"/>
                <w:sz w:val="24"/>
                <w:szCs w:val="24"/>
              </w:rPr>
            </w:pPr>
            <w:r>
              <w:rPr>
                <w:rFonts w:hint="eastAsia" w:ascii="仿宋" w:hAnsi="仿宋" w:eastAsia="仿宋" w:cs="仿宋"/>
                <w:sz w:val="24"/>
                <w:szCs w:val="24"/>
              </w:rPr>
              <w:t>【提供相关证书复印件并加盖竞选人单位公章】</w:t>
            </w:r>
          </w:p>
          <w:p w14:paraId="752A92AD">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3、提供电梯</w:t>
            </w:r>
            <w:r>
              <w:rPr>
                <w:rFonts w:hint="eastAsia" w:ascii="仿宋" w:hAnsi="仿宋" w:eastAsia="仿宋" w:cs="仿宋"/>
                <w:sz w:val="24"/>
                <w:szCs w:val="24"/>
              </w:rPr>
              <w:t>业绩合同，</w:t>
            </w:r>
            <w:r>
              <w:rPr>
                <w:rFonts w:hint="eastAsia" w:ascii="仿宋" w:hAnsi="仿宋" w:eastAsia="仿宋" w:cs="仿宋"/>
                <w:sz w:val="24"/>
                <w:szCs w:val="24"/>
                <w:lang w:val="en-US" w:eastAsia="zh-CN"/>
              </w:rPr>
              <w:t>每</w:t>
            </w:r>
            <w:r>
              <w:rPr>
                <w:rFonts w:hint="eastAsia" w:ascii="仿宋" w:hAnsi="仿宋" w:eastAsia="仿宋" w:cs="仿宋"/>
                <w:sz w:val="24"/>
                <w:szCs w:val="24"/>
              </w:rPr>
              <w:t>提供</w:t>
            </w:r>
            <w:r>
              <w:rPr>
                <w:rFonts w:hint="eastAsia" w:ascii="仿宋" w:hAnsi="仿宋" w:eastAsia="仿宋" w:cs="仿宋"/>
                <w:sz w:val="24"/>
                <w:szCs w:val="24"/>
                <w:lang w:val="en-US" w:eastAsia="zh-CN"/>
              </w:rPr>
              <w:t>一</w:t>
            </w:r>
            <w:r>
              <w:rPr>
                <w:rFonts w:hint="eastAsia" w:ascii="仿宋" w:hAnsi="仿宋" w:eastAsia="仿宋" w:cs="仿宋"/>
                <w:sz w:val="24"/>
                <w:szCs w:val="24"/>
              </w:rPr>
              <w:t>个项目合同的得</w:t>
            </w:r>
            <w:r>
              <w:rPr>
                <w:rFonts w:hint="eastAsia" w:ascii="仿宋" w:hAnsi="仿宋" w:eastAsia="仿宋" w:cs="仿宋"/>
                <w:sz w:val="24"/>
                <w:szCs w:val="24"/>
                <w:lang w:val="en-US" w:eastAsia="zh-CN"/>
              </w:rPr>
              <w:t>2</w:t>
            </w:r>
            <w:r>
              <w:rPr>
                <w:rFonts w:hint="eastAsia" w:ascii="仿宋" w:hAnsi="仿宋" w:eastAsia="仿宋" w:cs="仿宋"/>
                <w:sz w:val="24"/>
                <w:szCs w:val="24"/>
              </w:rPr>
              <w:t>分，以此类推，最多的</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631B340D">
            <w:pPr>
              <w:ind w:firstLine="200"/>
              <w:rPr>
                <w:rFonts w:hint="eastAsia" w:ascii="仿宋" w:hAnsi="仿宋" w:eastAsia="仿宋" w:cs="仿宋"/>
                <w:sz w:val="24"/>
                <w:szCs w:val="24"/>
              </w:rPr>
            </w:pPr>
            <w:r>
              <w:rPr>
                <w:rFonts w:hint="eastAsia" w:ascii="仿宋" w:hAnsi="仿宋" w:eastAsia="仿宋" w:cs="仿宋"/>
                <w:sz w:val="24"/>
                <w:szCs w:val="24"/>
              </w:rPr>
              <w:t>【提供相关合同</w:t>
            </w:r>
            <w:r>
              <w:rPr>
                <w:rFonts w:hint="eastAsia" w:ascii="仿宋" w:hAnsi="仿宋" w:eastAsia="仿宋" w:cs="仿宋"/>
                <w:sz w:val="24"/>
                <w:szCs w:val="24"/>
                <w:lang w:val="en-US" w:eastAsia="zh-CN"/>
              </w:rPr>
              <w:t>关键页</w:t>
            </w:r>
            <w:r>
              <w:rPr>
                <w:rFonts w:hint="eastAsia" w:ascii="仿宋" w:hAnsi="仿宋" w:eastAsia="仿宋" w:cs="仿宋"/>
                <w:sz w:val="24"/>
                <w:szCs w:val="24"/>
              </w:rPr>
              <w:t>复印件并加盖竞选人单位公章】</w:t>
            </w:r>
          </w:p>
        </w:tc>
      </w:tr>
      <w:tr w14:paraId="3B5483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5" w:type="dxa"/>
            <w:vAlign w:val="center"/>
          </w:tcPr>
          <w:p w14:paraId="6CCAE54D">
            <w:pPr>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p w14:paraId="057AEEFF">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17" w:type="dxa"/>
            <w:gridSpan w:val="2"/>
            <w:vAlign w:val="center"/>
          </w:tcPr>
          <w:p w14:paraId="14AB0051">
            <w:pPr>
              <w:jc w:val="center"/>
              <w:rPr>
                <w:rFonts w:hint="eastAsia" w:ascii="仿宋" w:hAnsi="仿宋" w:eastAsia="仿宋" w:cs="仿宋"/>
                <w:sz w:val="24"/>
                <w:szCs w:val="24"/>
              </w:rPr>
            </w:pPr>
            <w:r>
              <w:rPr>
                <w:rFonts w:hint="eastAsia" w:ascii="仿宋" w:hAnsi="仿宋" w:eastAsia="仿宋" w:cs="仿宋"/>
                <w:sz w:val="24"/>
                <w:szCs w:val="24"/>
              </w:rPr>
              <w:t>技术部分</w:t>
            </w:r>
            <w:r>
              <w:rPr>
                <w:rFonts w:hint="eastAsia" w:ascii="仿宋" w:hAnsi="仿宋" w:eastAsia="仿宋" w:cs="仿宋"/>
                <w:kern w:val="0"/>
                <w:sz w:val="24"/>
                <w:szCs w:val="24"/>
              </w:rPr>
              <w:t>得分</w:t>
            </w:r>
            <w:r>
              <w:rPr>
                <w:rFonts w:hint="eastAsia" w:ascii="仿宋" w:hAnsi="仿宋" w:eastAsia="仿宋" w:cs="仿宋"/>
                <w:spacing w:val="-4"/>
                <w:sz w:val="24"/>
                <w:szCs w:val="24"/>
              </w:rPr>
              <w:t>（A）</w:t>
            </w:r>
          </w:p>
        </w:tc>
        <w:tc>
          <w:tcPr>
            <w:tcW w:w="1013" w:type="dxa"/>
            <w:tcBorders>
              <w:bottom w:val="single" w:color="auto" w:sz="4" w:space="0"/>
            </w:tcBorders>
            <w:vAlign w:val="center"/>
          </w:tcPr>
          <w:p w14:paraId="2449C96A">
            <w:pPr>
              <w:jc w:val="center"/>
              <w:rPr>
                <w:rFonts w:hint="eastAsia" w:ascii="仿宋" w:hAnsi="仿宋" w:eastAsia="仿宋" w:cs="仿宋"/>
                <w:sz w:val="24"/>
                <w:szCs w:val="24"/>
              </w:rPr>
            </w:pPr>
            <w:r>
              <w:rPr>
                <w:rFonts w:hint="eastAsia" w:ascii="仿宋" w:hAnsi="仿宋" w:eastAsia="仿宋" w:cs="仿宋"/>
                <w:sz w:val="24"/>
                <w:szCs w:val="24"/>
              </w:rPr>
              <w:t>技术部分评分</w:t>
            </w:r>
          </w:p>
        </w:tc>
        <w:tc>
          <w:tcPr>
            <w:tcW w:w="6878" w:type="dxa"/>
            <w:tcBorders>
              <w:bottom w:val="single" w:color="auto" w:sz="4" w:space="0"/>
            </w:tcBorders>
            <w:vAlign w:val="center"/>
          </w:tcPr>
          <w:p w14:paraId="2F5BEA97">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按本附表各评审因素设定的分值评分。以上计算取小数点后两位，第三位四舍五入。</w:t>
            </w:r>
          </w:p>
        </w:tc>
      </w:tr>
      <w:tr w14:paraId="70E4B0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5" w:type="dxa"/>
            <w:vAlign w:val="center"/>
          </w:tcPr>
          <w:p w14:paraId="78C00854">
            <w:pPr>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p w14:paraId="6A50880F">
            <w:pPr>
              <w:jc w:val="center"/>
              <w:rPr>
                <w:rFonts w:hint="eastAsia" w:ascii="仿宋" w:hAnsi="仿宋" w:eastAsia="仿宋" w:cs="仿宋"/>
                <w:sz w:val="24"/>
                <w:szCs w:val="24"/>
              </w:rPr>
            </w:pPr>
            <w:r>
              <w:rPr>
                <w:rFonts w:hint="eastAsia" w:ascii="仿宋" w:hAnsi="仿宋" w:eastAsia="仿宋" w:cs="仿宋"/>
                <w:sz w:val="24"/>
                <w:szCs w:val="24"/>
              </w:rPr>
              <w:t>（2）</w:t>
            </w:r>
          </w:p>
        </w:tc>
        <w:tc>
          <w:tcPr>
            <w:tcW w:w="1417" w:type="dxa"/>
            <w:gridSpan w:val="2"/>
            <w:vAlign w:val="center"/>
          </w:tcPr>
          <w:p w14:paraId="42196A30">
            <w:pPr>
              <w:jc w:val="center"/>
              <w:rPr>
                <w:rFonts w:hint="eastAsia" w:ascii="仿宋" w:hAnsi="仿宋" w:eastAsia="仿宋" w:cs="仿宋"/>
                <w:sz w:val="24"/>
                <w:szCs w:val="24"/>
              </w:rPr>
            </w:pPr>
            <w:r>
              <w:rPr>
                <w:rFonts w:hint="eastAsia" w:ascii="仿宋" w:hAnsi="仿宋" w:eastAsia="仿宋" w:cs="仿宋"/>
                <w:sz w:val="24"/>
                <w:szCs w:val="24"/>
              </w:rPr>
              <w:t>商务部分得分</w:t>
            </w:r>
            <w:r>
              <w:rPr>
                <w:rFonts w:hint="eastAsia" w:ascii="仿宋" w:hAnsi="仿宋" w:eastAsia="仿宋" w:cs="仿宋"/>
                <w:spacing w:val="-8"/>
                <w:sz w:val="24"/>
                <w:szCs w:val="24"/>
              </w:rPr>
              <w:t>（B）</w:t>
            </w:r>
          </w:p>
        </w:tc>
        <w:tc>
          <w:tcPr>
            <w:tcW w:w="1013" w:type="dxa"/>
            <w:tcBorders>
              <w:top w:val="single" w:color="auto" w:sz="4" w:space="0"/>
            </w:tcBorders>
            <w:vAlign w:val="center"/>
          </w:tcPr>
          <w:p w14:paraId="3376DF9D">
            <w:pPr>
              <w:jc w:val="center"/>
              <w:rPr>
                <w:rFonts w:hint="eastAsia" w:ascii="仿宋" w:hAnsi="仿宋" w:eastAsia="仿宋" w:cs="仿宋"/>
                <w:sz w:val="24"/>
                <w:szCs w:val="24"/>
              </w:rPr>
            </w:pPr>
            <w:r>
              <w:rPr>
                <w:rFonts w:hint="eastAsia" w:ascii="仿宋" w:hAnsi="仿宋" w:eastAsia="仿宋" w:cs="仿宋"/>
                <w:sz w:val="24"/>
                <w:szCs w:val="24"/>
              </w:rPr>
              <w:t>商务部分评分</w:t>
            </w:r>
          </w:p>
        </w:tc>
        <w:tc>
          <w:tcPr>
            <w:tcW w:w="6878" w:type="dxa"/>
            <w:vAlign w:val="center"/>
          </w:tcPr>
          <w:p w14:paraId="11D42AA8">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按本附表各评审因素设定的分值评分。以上计算取小数点后两位，第三位四舍五入。</w:t>
            </w:r>
          </w:p>
        </w:tc>
      </w:tr>
      <w:tr w14:paraId="396695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5E627F53">
            <w:pPr>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p w14:paraId="3339380A">
            <w:pPr>
              <w:jc w:val="center"/>
              <w:rPr>
                <w:rFonts w:hint="eastAsia" w:ascii="仿宋" w:hAnsi="仿宋" w:eastAsia="仿宋" w:cs="仿宋"/>
                <w:sz w:val="24"/>
                <w:szCs w:val="24"/>
              </w:rPr>
            </w:pPr>
            <w:r>
              <w:rPr>
                <w:rFonts w:hint="eastAsia" w:ascii="仿宋" w:hAnsi="仿宋" w:eastAsia="仿宋" w:cs="仿宋"/>
                <w:sz w:val="24"/>
                <w:szCs w:val="24"/>
              </w:rPr>
              <w:t>（3）</w:t>
            </w:r>
          </w:p>
        </w:tc>
        <w:tc>
          <w:tcPr>
            <w:tcW w:w="1417" w:type="dxa"/>
            <w:gridSpan w:val="2"/>
            <w:vAlign w:val="center"/>
          </w:tcPr>
          <w:p w14:paraId="288FA4E7">
            <w:pPr>
              <w:jc w:val="center"/>
              <w:rPr>
                <w:rFonts w:hint="eastAsia" w:ascii="仿宋" w:hAnsi="仿宋" w:eastAsia="仿宋" w:cs="仿宋"/>
                <w:sz w:val="24"/>
                <w:szCs w:val="24"/>
              </w:rPr>
            </w:pPr>
            <w:r>
              <w:rPr>
                <w:rFonts w:hint="eastAsia" w:ascii="仿宋" w:hAnsi="仿宋" w:eastAsia="仿宋" w:cs="仿宋"/>
                <w:sz w:val="24"/>
                <w:szCs w:val="24"/>
              </w:rPr>
              <w:t>竞选报价得分（C）</w:t>
            </w:r>
          </w:p>
        </w:tc>
        <w:tc>
          <w:tcPr>
            <w:tcW w:w="1013" w:type="dxa"/>
            <w:vAlign w:val="center"/>
          </w:tcPr>
          <w:p w14:paraId="2A4C5679">
            <w:pPr>
              <w:jc w:val="center"/>
              <w:rPr>
                <w:rFonts w:hint="eastAsia" w:ascii="仿宋" w:hAnsi="仿宋" w:eastAsia="仿宋" w:cs="仿宋"/>
                <w:sz w:val="24"/>
                <w:szCs w:val="24"/>
              </w:rPr>
            </w:pPr>
            <w:r>
              <w:rPr>
                <w:rFonts w:hint="eastAsia" w:ascii="仿宋" w:hAnsi="仿宋" w:eastAsia="仿宋" w:cs="仿宋"/>
                <w:sz w:val="24"/>
                <w:szCs w:val="24"/>
              </w:rPr>
              <w:t>竞选总报价</w:t>
            </w:r>
          </w:p>
        </w:tc>
        <w:tc>
          <w:tcPr>
            <w:tcW w:w="6878" w:type="dxa"/>
            <w:vAlign w:val="center"/>
          </w:tcPr>
          <w:p w14:paraId="58EE50C9">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所有通过初步评审的竞选人，竞选报价得本附表第2项规定分值的满分</w:t>
            </w:r>
            <w:r>
              <w:rPr>
                <w:rFonts w:hint="eastAsia" w:ascii="仿宋" w:hAnsi="仿宋" w:eastAsia="仿宋" w:cs="仿宋"/>
                <w:kern w:val="0"/>
                <w:sz w:val="24"/>
                <w:szCs w:val="24"/>
                <w:u w:val="single"/>
              </w:rPr>
              <w:t>30</w:t>
            </w:r>
            <w:r>
              <w:rPr>
                <w:rFonts w:hint="eastAsia" w:ascii="仿宋" w:hAnsi="仿宋" w:eastAsia="仿宋" w:cs="仿宋"/>
                <w:kern w:val="0"/>
                <w:sz w:val="24"/>
                <w:szCs w:val="24"/>
              </w:rPr>
              <w:t>分。在此基础上，竞选总报价与评标基准价相比，每增加1%扣</w:t>
            </w:r>
            <w:r>
              <w:rPr>
                <w:rFonts w:hint="eastAsia" w:ascii="仿宋" w:hAnsi="仿宋" w:eastAsia="仿宋" w:cs="仿宋"/>
                <w:kern w:val="0"/>
                <w:sz w:val="24"/>
                <w:szCs w:val="24"/>
                <w:u w:val="single"/>
              </w:rPr>
              <w:t>1</w:t>
            </w:r>
            <w:r>
              <w:rPr>
                <w:rFonts w:hint="eastAsia" w:ascii="仿宋" w:hAnsi="仿宋" w:eastAsia="仿宋" w:cs="仿宋"/>
                <w:kern w:val="0"/>
                <w:sz w:val="24"/>
                <w:szCs w:val="24"/>
              </w:rPr>
              <w:t>分，每减少1%扣</w:t>
            </w:r>
            <w:r>
              <w:rPr>
                <w:rFonts w:hint="eastAsia" w:ascii="仿宋" w:hAnsi="仿宋" w:eastAsia="仿宋" w:cs="仿宋"/>
                <w:kern w:val="0"/>
                <w:sz w:val="24"/>
                <w:szCs w:val="24"/>
                <w:u w:val="single"/>
              </w:rPr>
              <w:t>0.5</w:t>
            </w:r>
            <w:r>
              <w:rPr>
                <w:rFonts w:hint="eastAsia" w:ascii="仿宋" w:hAnsi="仿宋" w:eastAsia="仿宋" w:cs="仿宋"/>
                <w:kern w:val="0"/>
                <w:sz w:val="24"/>
                <w:szCs w:val="24"/>
              </w:rPr>
              <w:t>分，扣完为止。</w:t>
            </w:r>
          </w:p>
          <w:p w14:paraId="352F3E77">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按插入法计算得分。</w:t>
            </w:r>
          </w:p>
          <w:p w14:paraId="0D4A6CF3">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未参与评标基准价计算的竞选报价，仍应参加计算相应分值。</w:t>
            </w:r>
          </w:p>
          <w:p w14:paraId="4D8FFEF9">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竞选总报价得分最终结果取小数点后两位，第三位四舍五入。</w:t>
            </w:r>
          </w:p>
        </w:tc>
      </w:tr>
      <w:tr w14:paraId="0D1D9D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272" w:type="dxa"/>
            <w:gridSpan w:val="3"/>
            <w:vAlign w:val="center"/>
          </w:tcPr>
          <w:p w14:paraId="05BC8422">
            <w:pPr>
              <w:ind w:firstLine="21" w:firstLineChars="9"/>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1</w:t>
            </w:r>
          </w:p>
        </w:tc>
        <w:tc>
          <w:tcPr>
            <w:tcW w:w="1013" w:type="dxa"/>
            <w:vAlign w:val="center"/>
          </w:tcPr>
          <w:p w14:paraId="2E184D92">
            <w:pPr>
              <w:ind w:firstLine="21" w:firstLineChars="9"/>
              <w:jc w:val="center"/>
              <w:rPr>
                <w:rFonts w:hint="eastAsia" w:ascii="仿宋" w:hAnsi="仿宋" w:eastAsia="仿宋" w:cs="仿宋"/>
                <w:sz w:val="24"/>
                <w:szCs w:val="24"/>
              </w:rPr>
            </w:pPr>
            <w:r>
              <w:rPr>
                <w:rFonts w:hint="eastAsia" w:ascii="仿宋" w:hAnsi="仿宋" w:eastAsia="仿宋" w:cs="仿宋"/>
                <w:sz w:val="24"/>
                <w:szCs w:val="24"/>
              </w:rPr>
              <w:t>竞选人得分</w:t>
            </w:r>
          </w:p>
        </w:tc>
        <w:tc>
          <w:tcPr>
            <w:tcW w:w="6878" w:type="dxa"/>
            <w:vAlign w:val="center"/>
          </w:tcPr>
          <w:p w14:paraId="663EA21E">
            <w:pPr>
              <w:jc w:val="left"/>
              <w:rPr>
                <w:rFonts w:hint="eastAsia" w:ascii="仿宋" w:hAnsi="仿宋" w:eastAsia="仿宋" w:cs="仿宋"/>
                <w:sz w:val="24"/>
                <w:szCs w:val="24"/>
              </w:rPr>
            </w:pPr>
            <w:r>
              <w:rPr>
                <w:rFonts w:hint="eastAsia" w:ascii="仿宋" w:hAnsi="仿宋" w:eastAsia="仿宋" w:cs="仿宋"/>
                <w:sz w:val="24"/>
                <w:szCs w:val="24"/>
              </w:rPr>
              <w:t>竞选人得分=A+B+C</w:t>
            </w:r>
          </w:p>
        </w:tc>
      </w:tr>
    </w:tbl>
    <w:p w14:paraId="55A0AA28">
      <w:pPr>
        <w:keepNext w:val="0"/>
        <w:keepLines w:val="0"/>
        <w:pageBreakBefore w:val="0"/>
        <w:widowControl w:val="0"/>
        <w:tabs>
          <w:tab w:val="right" w:leader="dot" w:pos="8820"/>
        </w:tabs>
        <w:kinsoku/>
        <w:wordWrap/>
        <w:overflowPunct/>
        <w:topLinePunct w:val="0"/>
        <w:autoSpaceDE/>
        <w:autoSpaceDN/>
        <w:bidi w:val="0"/>
        <w:adjustRightInd/>
        <w:snapToGrid w:val="0"/>
        <w:spacing w:line="336" w:lineRule="auto"/>
        <w:ind w:firstLine="482" w:firstLineChars="200"/>
        <w:textAlignment w:val="auto"/>
        <w:outlineLvl w:val="1"/>
        <w:rPr>
          <w:rFonts w:hint="eastAsia" w:ascii="仿宋" w:hAnsi="仿宋" w:eastAsia="仿宋" w:cs="仿宋"/>
          <w:b/>
          <w:bCs/>
          <w:color w:val="auto"/>
        </w:rPr>
      </w:pPr>
      <w:bookmarkStart w:id="207" w:name="_Toc32165"/>
      <w:r>
        <w:rPr>
          <w:rFonts w:hint="eastAsia" w:ascii="仿宋" w:hAnsi="仿宋" w:eastAsia="仿宋" w:cs="仿宋"/>
          <w:b/>
          <w:bCs/>
          <w:color w:val="auto"/>
        </w:rPr>
        <w:t>三、无效</w:t>
      </w:r>
      <w:bookmarkEnd w:id="203"/>
      <w:bookmarkEnd w:id="204"/>
      <w:bookmarkEnd w:id="205"/>
      <w:bookmarkEnd w:id="206"/>
      <w:r>
        <w:rPr>
          <w:rFonts w:hint="eastAsia" w:ascii="仿宋" w:hAnsi="仿宋" w:eastAsia="仿宋" w:cs="仿宋"/>
          <w:b/>
          <w:bCs/>
          <w:color w:val="auto"/>
        </w:rPr>
        <w:t>响应</w:t>
      </w:r>
      <w:bookmarkEnd w:id="207"/>
    </w:p>
    <w:p w14:paraId="0D3F6BF1">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（一）供应商不符合规定的基本资格条件或特定资格条件。</w:t>
      </w:r>
    </w:p>
    <w:p w14:paraId="4068F0AD">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（二）供应商的法定代表人（或其授权代表）或自然人未参加竞选；</w:t>
      </w:r>
    </w:p>
    <w:p w14:paraId="66B8CC32">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（三）供应商所提交的响应文件不按</w:t>
      </w:r>
      <w:r>
        <w:rPr>
          <w:rFonts w:hint="eastAsia" w:ascii="仿宋" w:hAnsi="仿宋" w:eastAsia="仿宋" w:cs="仿宋"/>
          <w:color w:val="auto"/>
          <w:lang w:eastAsia="zh-CN"/>
        </w:rPr>
        <w:t>第八篇</w:t>
      </w:r>
      <w:r>
        <w:rPr>
          <w:rFonts w:hint="eastAsia" w:ascii="仿宋" w:hAnsi="仿宋" w:eastAsia="仿宋" w:cs="仿宋"/>
          <w:color w:val="auto"/>
        </w:rPr>
        <w:t>“响应文件编制要求”规定签字、盖章。</w:t>
      </w:r>
    </w:p>
    <w:p w14:paraId="51374D73">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（四）供应商的比选报价超过采购预算或最高限价。</w:t>
      </w:r>
    </w:p>
    <w:p w14:paraId="4800F156">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（五）法定代表人为同一个人的两个及两个以上法人，母公司、全资子公司及其控股公司，在同一项目采购中同时参与比选。</w:t>
      </w:r>
    </w:p>
    <w:p w14:paraId="2E5BCB20">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（六）单位负责人为同一人或者存在直接控股、管理关系的不同供应商，参加同一合同项下的采购活动。</w:t>
      </w:r>
    </w:p>
    <w:p w14:paraId="04F92900">
      <w:pPr>
        <w:keepNext w:val="0"/>
        <w:keepLines w:val="0"/>
        <w:pageBreakBefore w:val="0"/>
        <w:kinsoku/>
        <w:wordWrap/>
        <w:overflowPunct/>
        <w:topLinePunct w:val="0"/>
        <w:autoSpaceDE/>
        <w:autoSpaceDN/>
        <w:bidi w:val="0"/>
        <w:adjustRightInd/>
        <w:snapToGrid w:val="0"/>
        <w:spacing w:line="336"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（七）为采购项目提供整体设计、规范编制或者项目管理、监理、检测等服务的供应商，再参加该采购项目的其他采购活动。</w:t>
      </w:r>
    </w:p>
    <w:p w14:paraId="05D79D37">
      <w:pPr>
        <w:keepNext w:val="0"/>
        <w:keepLines w:val="0"/>
        <w:pageBreakBefore w:val="0"/>
        <w:kinsoku/>
        <w:wordWrap/>
        <w:overflowPunct/>
        <w:topLinePunct w:val="0"/>
        <w:autoSpaceDE/>
        <w:autoSpaceDN/>
        <w:bidi w:val="0"/>
        <w:adjustRightInd/>
        <w:snapToGrid w:val="0"/>
        <w:spacing w:line="336"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（八）供应商的服务时间、质量保证期及比选有效期不满足竞争性比选文件要求。</w:t>
      </w:r>
    </w:p>
    <w:p w14:paraId="2FBAE8E9">
      <w:pPr>
        <w:keepNext w:val="0"/>
        <w:keepLines w:val="0"/>
        <w:pageBreakBefore w:val="0"/>
        <w:kinsoku/>
        <w:wordWrap/>
        <w:overflowPunct/>
        <w:topLinePunct w:val="0"/>
        <w:autoSpaceDE/>
        <w:autoSpaceDN/>
        <w:bidi w:val="0"/>
        <w:adjustRightInd/>
        <w:snapToGrid w:val="0"/>
        <w:spacing w:line="336"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（九）响应文件内容有与国家现行法律法规相违背的内容，或附有采购人无法接受的条件。</w:t>
      </w:r>
    </w:p>
    <w:p w14:paraId="614819F1">
      <w:pPr>
        <w:keepNext w:val="0"/>
        <w:keepLines w:val="0"/>
        <w:pageBreakBefore w:val="0"/>
        <w:kinsoku/>
        <w:wordWrap/>
        <w:overflowPunct/>
        <w:topLinePunct w:val="0"/>
        <w:autoSpaceDE/>
        <w:autoSpaceDN/>
        <w:bidi w:val="0"/>
        <w:adjustRightInd/>
        <w:snapToGrid w:val="0"/>
        <w:spacing w:line="336"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（十）供应商以联合体形式参与比选。</w:t>
      </w:r>
    </w:p>
    <w:p w14:paraId="3E3689FE">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（十一）供应商进行合同分包。</w:t>
      </w:r>
    </w:p>
    <w:p w14:paraId="4FB9FDB4">
      <w:pPr>
        <w:keepNext w:val="0"/>
        <w:keepLines w:val="0"/>
        <w:pageBreakBefore w:val="0"/>
        <w:widowControl w:val="0"/>
        <w:tabs>
          <w:tab w:val="right" w:leader="dot" w:pos="8820"/>
        </w:tabs>
        <w:kinsoku/>
        <w:wordWrap/>
        <w:overflowPunct/>
        <w:topLinePunct w:val="0"/>
        <w:autoSpaceDE/>
        <w:autoSpaceDN/>
        <w:bidi w:val="0"/>
        <w:adjustRightInd/>
        <w:snapToGrid w:val="0"/>
        <w:spacing w:line="336" w:lineRule="auto"/>
        <w:ind w:firstLine="482" w:firstLineChars="200"/>
        <w:textAlignment w:val="auto"/>
        <w:outlineLvl w:val="1"/>
        <w:rPr>
          <w:rFonts w:hint="eastAsia" w:ascii="仿宋" w:hAnsi="仿宋" w:eastAsia="仿宋" w:cs="仿宋"/>
          <w:b/>
          <w:bCs/>
          <w:color w:val="auto"/>
        </w:rPr>
      </w:pPr>
      <w:bookmarkStart w:id="208" w:name="_Toc8314"/>
      <w:bookmarkStart w:id="209" w:name="_Toc2274"/>
      <w:bookmarkStart w:id="210" w:name="_Toc1927"/>
      <w:bookmarkStart w:id="211" w:name="_Toc14777"/>
      <w:bookmarkStart w:id="212" w:name="_Toc11482"/>
      <w:r>
        <w:rPr>
          <w:rFonts w:hint="eastAsia" w:ascii="仿宋" w:hAnsi="仿宋" w:eastAsia="仿宋" w:cs="仿宋"/>
          <w:b/>
          <w:bCs/>
          <w:color w:val="auto"/>
        </w:rPr>
        <w:t>四、</w:t>
      </w:r>
      <w:bookmarkEnd w:id="201"/>
      <w:bookmarkEnd w:id="202"/>
      <w:r>
        <w:rPr>
          <w:rFonts w:hint="eastAsia" w:ascii="仿宋" w:hAnsi="仿宋" w:eastAsia="仿宋" w:cs="仿宋"/>
          <w:b/>
          <w:bCs/>
          <w:color w:val="auto"/>
        </w:rPr>
        <w:t>比选终止</w:t>
      </w:r>
      <w:bookmarkEnd w:id="208"/>
      <w:bookmarkEnd w:id="209"/>
      <w:bookmarkEnd w:id="210"/>
      <w:bookmarkEnd w:id="211"/>
      <w:bookmarkEnd w:id="212"/>
    </w:p>
    <w:p w14:paraId="3ECF57B2">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出现下列情形之一的，采购人或者比选代理机构应当终止竞争性比选活动，发布项目终止公告并说明原因，重新开展采购活动：</w:t>
      </w:r>
    </w:p>
    <w:p w14:paraId="4CB8245C">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（一）因情况变化，不再符合规定的竞争性比选方式适用情形的。</w:t>
      </w:r>
    </w:p>
    <w:p w14:paraId="44372164">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（二）出现影响采购公正的违法、违规行为的。</w:t>
      </w:r>
    </w:p>
    <w:p w14:paraId="7834C4F1">
      <w:pPr>
        <w:keepNext w:val="0"/>
        <w:keepLines w:val="0"/>
        <w:pageBreakBefore w:val="0"/>
        <w:kinsoku/>
        <w:wordWrap/>
        <w:overflowPunct/>
        <w:topLinePunct w:val="0"/>
        <w:autoSpaceDE/>
        <w:autoSpaceDN/>
        <w:bidi w:val="0"/>
        <w:adjustRightInd/>
        <w:snapToGrid w:val="0"/>
        <w:spacing w:line="336" w:lineRule="auto"/>
        <w:ind w:firstLine="465"/>
        <w:textAlignment w:val="auto"/>
        <w:outlineLvl w:val="9"/>
        <w:rPr>
          <w:rFonts w:hint="eastAsia" w:ascii="仿宋" w:hAnsi="仿宋" w:eastAsia="仿宋" w:cs="仿宋"/>
          <w:color w:val="auto"/>
        </w:rPr>
      </w:pPr>
      <w:r>
        <w:rPr>
          <w:rFonts w:hint="eastAsia" w:ascii="仿宋" w:hAnsi="仿宋" w:eastAsia="仿宋" w:cs="仿宋"/>
          <w:color w:val="auto"/>
        </w:rPr>
        <w:t>（三）在采购过程中符合要求的供应商或者报价未超过采购预算的供应商不足3家的。</w:t>
      </w:r>
    </w:p>
    <w:bookmarkEnd w:id="182"/>
    <w:bookmarkEnd w:id="183"/>
    <w:p w14:paraId="523A419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br w:type="page"/>
      </w:r>
    </w:p>
    <w:p w14:paraId="76151CB5">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643" w:firstLineChars="200"/>
        <w:jc w:val="center"/>
        <w:textAlignment w:val="auto"/>
        <w:outlineLvl w:val="0"/>
        <w:rPr>
          <w:rFonts w:hint="eastAsia" w:ascii="仿宋" w:hAnsi="仿宋" w:eastAsia="仿宋" w:cs="仿宋"/>
          <w:b/>
          <w:bCs/>
          <w:color w:val="auto"/>
          <w:sz w:val="32"/>
          <w:szCs w:val="32"/>
        </w:rPr>
      </w:pPr>
      <w:bookmarkStart w:id="213" w:name="_Toc32158"/>
      <w:bookmarkStart w:id="214" w:name="_Toc108545958"/>
      <w:bookmarkStart w:id="215" w:name="_Toc6453"/>
      <w:bookmarkStart w:id="216" w:name="_Toc21347"/>
      <w:bookmarkStart w:id="217" w:name="_Toc487204778"/>
      <w:bookmarkStart w:id="218" w:name="_Toc18400"/>
      <w:bookmarkStart w:id="219" w:name="OLE_LINK82"/>
      <w:bookmarkStart w:id="220" w:name="OLE_LINK83"/>
      <w:r>
        <w:rPr>
          <w:rFonts w:hint="eastAsia" w:ascii="仿宋" w:hAnsi="仿宋" w:eastAsia="仿宋" w:cs="仿宋"/>
          <w:b/>
          <w:color w:val="auto"/>
          <w:sz w:val="32"/>
          <w:szCs w:val="32"/>
        </w:rPr>
        <w:t>第五篇  供应商须知</w:t>
      </w:r>
      <w:bookmarkEnd w:id="213"/>
      <w:bookmarkEnd w:id="214"/>
      <w:bookmarkEnd w:id="215"/>
      <w:bookmarkEnd w:id="216"/>
      <w:bookmarkEnd w:id="217"/>
      <w:bookmarkEnd w:id="218"/>
    </w:p>
    <w:p w14:paraId="0E2C2372">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color w:val="auto"/>
        </w:rPr>
      </w:pPr>
      <w:bookmarkStart w:id="221" w:name="_Toc108545959"/>
      <w:bookmarkStart w:id="222" w:name="_Toc487204779"/>
      <w:bookmarkStart w:id="223" w:name="_Toc13415"/>
      <w:bookmarkStart w:id="224" w:name="_Toc12842"/>
      <w:bookmarkStart w:id="225" w:name="_Toc17328"/>
      <w:bookmarkStart w:id="226" w:name="_Toc342913389"/>
      <w:bookmarkStart w:id="227" w:name="_Toc20643"/>
      <w:bookmarkStart w:id="228" w:name="_Toc426965630"/>
      <w:r>
        <w:rPr>
          <w:rFonts w:hint="eastAsia" w:ascii="仿宋" w:hAnsi="仿宋" w:eastAsia="仿宋" w:cs="仿宋"/>
          <w:b/>
          <w:color w:val="auto"/>
        </w:rPr>
        <w:t>一、比选费用</w:t>
      </w:r>
      <w:bookmarkEnd w:id="221"/>
      <w:bookmarkEnd w:id="222"/>
      <w:bookmarkEnd w:id="223"/>
      <w:bookmarkEnd w:id="224"/>
      <w:bookmarkEnd w:id="225"/>
      <w:bookmarkEnd w:id="226"/>
      <w:bookmarkEnd w:id="227"/>
      <w:bookmarkEnd w:id="228"/>
    </w:p>
    <w:p w14:paraId="25C841F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参与比选的供应商应承担其编制响应文件与递交响应文件所涉及的一切费用，不论比选结果如何，采购人和采购代理机构在任何情况下无义务也无责任承担这些费用。</w:t>
      </w:r>
      <w:r>
        <w:rPr>
          <w:rFonts w:hint="eastAsia" w:ascii="仿宋" w:hAnsi="仿宋" w:eastAsia="仿宋" w:cs="仿宋"/>
          <w:color w:val="auto"/>
        </w:rPr>
        <w:tab/>
      </w:r>
    </w:p>
    <w:p w14:paraId="14153249">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color w:val="auto"/>
        </w:rPr>
      </w:pPr>
      <w:bookmarkStart w:id="229" w:name="_Toc24901"/>
      <w:bookmarkStart w:id="230" w:name="_Toc5114"/>
      <w:bookmarkStart w:id="231" w:name="_Toc2508"/>
      <w:r>
        <w:rPr>
          <w:rFonts w:hint="eastAsia" w:ascii="仿宋" w:hAnsi="仿宋" w:eastAsia="仿宋" w:cs="仿宋"/>
          <w:b/>
          <w:color w:val="auto"/>
        </w:rPr>
        <w:t>二、竞争性比选文件</w:t>
      </w:r>
      <w:bookmarkEnd w:id="229"/>
      <w:bookmarkEnd w:id="230"/>
      <w:bookmarkEnd w:id="231"/>
    </w:p>
    <w:p w14:paraId="70ADF18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（一）竞争性比选文件由竞争性比选邀请书，项目技术需求，项目商务需求，比选程序、评审标准及无效响应，供应商须知，</w:t>
      </w:r>
      <w:r>
        <w:rPr>
          <w:rFonts w:hint="eastAsia" w:ascii="仿宋" w:hAnsi="仿宋" w:eastAsia="仿宋" w:cs="仿宋"/>
          <w:color w:val="auto"/>
          <w:lang w:val="en-US" w:eastAsia="zh-CN"/>
        </w:rPr>
        <w:t>技术图纸，</w:t>
      </w:r>
      <w:r>
        <w:rPr>
          <w:rFonts w:hint="eastAsia" w:ascii="仿宋" w:hAnsi="仿宋" w:eastAsia="仿宋" w:cs="仿宋"/>
          <w:color w:val="auto"/>
        </w:rPr>
        <w:t>合同草案条款和格式合同，电子响应文件编制要求</w:t>
      </w:r>
      <w:r>
        <w:rPr>
          <w:rFonts w:hint="eastAsia" w:ascii="仿宋" w:hAnsi="仿宋" w:eastAsia="仿宋" w:cs="仿宋"/>
          <w:color w:val="auto"/>
          <w:lang w:val="en-US" w:eastAsia="zh-CN"/>
        </w:rPr>
        <w:t>八</w:t>
      </w:r>
      <w:r>
        <w:rPr>
          <w:rFonts w:hint="eastAsia" w:ascii="仿宋" w:hAnsi="仿宋" w:eastAsia="仿宋" w:cs="仿宋"/>
          <w:color w:val="auto"/>
        </w:rPr>
        <w:t>部分组成。</w:t>
      </w:r>
    </w:p>
    <w:p w14:paraId="2DAC5E7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（二）采购人（或采购代理机构）所作的一切有效的书面通知、修改及补充，都是竞争性比选文件不可分割的部分。</w:t>
      </w:r>
    </w:p>
    <w:p w14:paraId="64E2BB7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（三）竞争性比选文件的解释</w:t>
      </w:r>
    </w:p>
    <w:p w14:paraId="6DEDC32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参选供应商如对竞争性比选文件有疑问，必须以书面形式在提交响应文件截止时间1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28520BF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（四）评审的依据为竞争性比选文件和响应文件（含有效的书面承诺）。评审小组判断响应文件对竞争性比选文件的响应，仅基于响应文件本身而不靠外部证据。</w:t>
      </w:r>
    </w:p>
    <w:p w14:paraId="168C92F3">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color w:val="auto"/>
        </w:rPr>
      </w:pPr>
      <w:bookmarkStart w:id="232" w:name="_Toc7099"/>
      <w:bookmarkStart w:id="233" w:name="_Toc342913392"/>
      <w:bookmarkStart w:id="234" w:name="_Toc102227318"/>
      <w:bookmarkStart w:id="235" w:name="_Toc26774"/>
      <w:bookmarkStart w:id="236" w:name="_Toc11240"/>
      <w:bookmarkStart w:id="237" w:name="_Toc7966"/>
      <w:bookmarkStart w:id="238" w:name="_Toc179714297"/>
      <w:bookmarkStart w:id="239" w:name="_Toc108545961"/>
      <w:bookmarkStart w:id="240" w:name="_Toc487204781"/>
      <w:bookmarkStart w:id="241" w:name="_Toc426965632"/>
      <w:r>
        <w:rPr>
          <w:rFonts w:hint="eastAsia" w:ascii="仿宋" w:hAnsi="仿宋" w:eastAsia="仿宋" w:cs="仿宋"/>
          <w:b/>
          <w:color w:val="auto"/>
        </w:rPr>
        <w:t>三、比选要求</w:t>
      </w:r>
      <w:bookmarkEnd w:id="232"/>
      <w:bookmarkEnd w:id="233"/>
      <w:bookmarkEnd w:id="234"/>
      <w:bookmarkEnd w:id="235"/>
      <w:bookmarkEnd w:id="236"/>
      <w:bookmarkEnd w:id="237"/>
      <w:bookmarkEnd w:id="238"/>
      <w:bookmarkEnd w:id="239"/>
      <w:bookmarkEnd w:id="240"/>
      <w:bookmarkEnd w:id="241"/>
    </w:p>
    <w:p w14:paraId="74BFCC4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（一）响应文件</w:t>
      </w:r>
    </w:p>
    <w:p w14:paraId="4A0C018A">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供应商应当按照比选文件的要求编制响应文件，并对比选文件提出的要求和条件作出实质性响应，响应文件原则上采用软面订本。</w:t>
      </w:r>
    </w:p>
    <w:p w14:paraId="609D092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242" w:name="OLE_LINK42"/>
      <w:bookmarkStart w:id="243" w:name="OLE_LINK43"/>
      <w:r>
        <w:rPr>
          <w:rFonts w:hint="eastAsia" w:ascii="仿宋" w:hAnsi="仿宋" w:eastAsia="仿宋" w:cs="仿宋"/>
          <w:color w:val="auto"/>
        </w:rPr>
        <w:t>．</w:t>
      </w:r>
      <w:bookmarkEnd w:id="242"/>
      <w:bookmarkEnd w:id="243"/>
      <w:r>
        <w:rPr>
          <w:rFonts w:hint="eastAsia" w:ascii="仿宋" w:hAnsi="仿宋" w:eastAsia="仿宋" w:cs="仿宋"/>
          <w:color w:val="auto"/>
        </w:rPr>
        <w:t>响应文件组成</w:t>
      </w:r>
    </w:p>
    <w:p w14:paraId="41F81D5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响应文件由</w:t>
      </w:r>
      <w:r>
        <w:rPr>
          <w:rFonts w:hint="eastAsia" w:ascii="仿宋" w:hAnsi="仿宋" w:eastAsia="仿宋" w:cs="仿宋"/>
          <w:color w:val="auto"/>
          <w:lang w:eastAsia="zh-CN"/>
        </w:rPr>
        <w:t>第八篇</w:t>
      </w:r>
      <w:r>
        <w:rPr>
          <w:rFonts w:hint="eastAsia" w:ascii="仿宋" w:hAnsi="仿宋" w:eastAsia="仿宋" w:cs="仿宋"/>
          <w:color w:val="auto"/>
        </w:rPr>
        <w:t>“响应文件格式要求”规定的部分和供应商所作的一切有效补充、修改和承诺等文件组成，供应商应按照</w:t>
      </w:r>
      <w:r>
        <w:rPr>
          <w:rFonts w:hint="eastAsia" w:ascii="仿宋" w:hAnsi="仿宋" w:eastAsia="仿宋" w:cs="仿宋"/>
          <w:color w:val="auto"/>
          <w:lang w:eastAsia="zh-CN"/>
        </w:rPr>
        <w:t>第八篇</w:t>
      </w:r>
      <w:r>
        <w:rPr>
          <w:rFonts w:hint="eastAsia" w:ascii="仿宋" w:hAnsi="仿宋" w:eastAsia="仿宋" w:cs="仿宋"/>
          <w:color w:val="auto"/>
        </w:rPr>
        <w:t>“响应文件格式”规定的目录顺序组织编写和装订，也可在基本格式基础上对表格进行扩展，未规定格式的由供应商自定格式。</w:t>
      </w:r>
    </w:p>
    <w:p w14:paraId="1CABA62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w:t>
      </w:r>
      <w:bookmarkStart w:id="244" w:name="OLE_LINK40"/>
      <w:bookmarkStart w:id="245" w:name="OLE_LINK41"/>
      <w:r>
        <w:rPr>
          <w:rFonts w:hint="eastAsia" w:ascii="仿宋" w:hAnsi="仿宋" w:eastAsia="仿宋" w:cs="仿宋"/>
          <w:color w:val="auto"/>
        </w:rPr>
        <w:t>．</w:t>
      </w:r>
      <w:bookmarkEnd w:id="244"/>
      <w:bookmarkEnd w:id="245"/>
      <w:r>
        <w:rPr>
          <w:rFonts w:hint="eastAsia" w:ascii="仿宋" w:hAnsi="仿宋" w:eastAsia="仿宋" w:cs="仿宋"/>
          <w:color w:val="auto"/>
        </w:rPr>
        <w:t>联合体</w:t>
      </w:r>
    </w:p>
    <w:p w14:paraId="0128872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本项目不接受联合体</w:t>
      </w:r>
      <w:bookmarkStart w:id="246" w:name="OLE_LINK52"/>
      <w:bookmarkStart w:id="247" w:name="OLE_LINK51"/>
      <w:r>
        <w:rPr>
          <w:rFonts w:hint="eastAsia" w:ascii="仿宋" w:hAnsi="仿宋" w:eastAsia="仿宋" w:cs="仿宋"/>
          <w:color w:val="auto"/>
        </w:rPr>
        <w:t>参与比选</w:t>
      </w:r>
      <w:bookmarkEnd w:id="246"/>
      <w:bookmarkEnd w:id="247"/>
      <w:r>
        <w:rPr>
          <w:rFonts w:hint="eastAsia" w:ascii="仿宋" w:hAnsi="仿宋" w:eastAsia="仿宋" w:cs="仿宋"/>
          <w:color w:val="auto"/>
        </w:rPr>
        <w:t>。</w:t>
      </w:r>
    </w:p>
    <w:p w14:paraId="32829D8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3．比选有效期：响应文件及有关承诺文件有效期为比选开始时间起90天。</w:t>
      </w:r>
    </w:p>
    <w:p w14:paraId="5869F178">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（二）保证金</w:t>
      </w:r>
    </w:p>
    <w:p w14:paraId="2DC2D47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248" w:name="OLE_LINK45"/>
      <w:bookmarkStart w:id="249" w:name="OLE_LINK44"/>
      <w:r>
        <w:rPr>
          <w:rFonts w:hint="eastAsia" w:ascii="仿宋" w:hAnsi="仿宋" w:eastAsia="仿宋" w:cs="仿宋"/>
          <w:color w:val="auto"/>
        </w:rPr>
        <w:t>．</w:t>
      </w:r>
      <w:bookmarkEnd w:id="248"/>
      <w:bookmarkEnd w:id="249"/>
      <w:r>
        <w:rPr>
          <w:rFonts w:hint="eastAsia" w:ascii="仿宋" w:hAnsi="仿宋" w:eastAsia="仿宋" w:cs="仿宋"/>
          <w:color w:val="auto"/>
        </w:rPr>
        <w:t>供应商提交保证金金额和方式详见“第一篇”。</w:t>
      </w:r>
    </w:p>
    <w:p w14:paraId="586145B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2．发生以下情况之一者，保证金不予退还：</w:t>
      </w:r>
    </w:p>
    <w:p w14:paraId="64179441">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（1）供应商在提交响应文件截止时间后撤回响应文件的。</w:t>
      </w:r>
    </w:p>
    <w:p w14:paraId="2480A78E">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（2）供应商在响应文件中提供虚假材料的。</w:t>
      </w:r>
    </w:p>
    <w:p w14:paraId="4B4BA819">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（3）除因不可抗力或比选文件认可的情形以外，成交供应商不与采购人签订合同的。</w:t>
      </w:r>
    </w:p>
    <w:p w14:paraId="4E2658F2">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（4）供应商与采购人、其他供应商或者采购代理机构恶意串通的。</w:t>
      </w:r>
    </w:p>
    <w:p w14:paraId="5D3F6470">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（5）比选文件规定的其他情形。</w:t>
      </w:r>
    </w:p>
    <w:p w14:paraId="5D77FAE8">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hint="eastAsia" w:ascii="仿宋" w:hAnsi="仿宋" w:eastAsia="仿宋" w:cs="仿宋"/>
          <w:color w:val="auto"/>
        </w:rPr>
      </w:pPr>
      <w:r>
        <w:rPr>
          <w:rFonts w:hint="eastAsia" w:ascii="仿宋" w:hAnsi="仿宋" w:eastAsia="仿宋" w:cs="仿宋"/>
          <w:color w:val="auto"/>
        </w:rPr>
        <w:t>（三）报价要求</w:t>
      </w:r>
    </w:p>
    <w:p w14:paraId="7F3778A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供应商需综合考虑完成本项目所需的服务费、人工费、材料费、机械费、管理费、利润、税金、风险费、组织措施费、档案编制费、安全文明施工费及提供服务所需的设备等所有费用进行综合报价。因中选人自身原因造成漏报、少报皆由其自行承担责任，采购人不再补偿。</w:t>
      </w:r>
    </w:p>
    <w:p w14:paraId="73FC548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（四）修正错误</w:t>
      </w:r>
    </w:p>
    <w:p w14:paraId="63D6A90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若响应文件出现计算或表达上的错误，修正错误的原则如下：</w:t>
      </w:r>
    </w:p>
    <w:p w14:paraId="1A3160F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1．响应文件中报价函的内容与响应文件中相应内容不一致的，以报价函为准。</w:t>
      </w:r>
    </w:p>
    <w:p w14:paraId="501B59C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14:paraId="04E76B2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3．单价金额小数点或者百分比有明显错位的，以报价函总价为准，并修改单价。</w:t>
      </w:r>
    </w:p>
    <w:p w14:paraId="7959F8B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w:t>
      </w:r>
      <w:bookmarkStart w:id="250" w:name="OLE_LINK46"/>
      <w:bookmarkStart w:id="251" w:name="OLE_LINK50"/>
      <w:r>
        <w:rPr>
          <w:rFonts w:hint="eastAsia" w:ascii="仿宋" w:hAnsi="仿宋" w:eastAsia="仿宋" w:cs="仿宋"/>
          <w:color w:val="auto"/>
        </w:rPr>
        <w:t>．</w:t>
      </w:r>
      <w:bookmarkEnd w:id="250"/>
      <w:bookmarkEnd w:id="251"/>
      <w:r>
        <w:rPr>
          <w:rFonts w:hint="eastAsia" w:ascii="仿宋" w:hAnsi="仿宋" w:eastAsia="仿宋" w:cs="仿宋"/>
          <w:color w:val="auto"/>
        </w:rPr>
        <w:t>总价金额与按单价汇总金额不一致的，以单价金额计算结果为准。</w:t>
      </w:r>
    </w:p>
    <w:p w14:paraId="72E38C9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响应将作为无效响应处理。</w:t>
      </w:r>
    </w:p>
    <w:p w14:paraId="6907F4E8">
      <w:pPr>
        <w:keepNext w:val="0"/>
        <w:keepLines w:val="0"/>
        <w:pageBreakBefore w:val="0"/>
        <w:numPr>
          <w:ilvl w:val="0"/>
          <w:numId w:val="5"/>
        </w:numPr>
        <w:kinsoku/>
        <w:overflowPunct/>
        <w:topLinePunct w:val="0"/>
        <w:autoSpaceDE/>
        <w:autoSpaceDN/>
        <w:bidi w:val="0"/>
        <w:adjustRightInd/>
        <w:snapToGrid w:val="0"/>
        <w:spacing w:line="360" w:lineRule="auto"/>
        <w:ind w:firstLine="360" w:firstLineChars="150"/>
        <w:textAlignment w:val="auto"/>
        <w:outlineLvl w:val="9"/>
        <w:rPr>
          <w:rFonts w:hint="eastAsia" w:ascii="仿宋" w:hAnsi="仿宋" w:eastAsia="仿宋" w:cs="仿宋"/>
          <w:color w:val="auto"/>
        </w:rPr>
      </w:pPr>
      <w:r>
        <w:rPr>
          <w:rFonts w:hint="eastAsia" w:ascii="仿宋" w:hAnsi="仿宋" w:eastAsia="仿宋" w:cs="仿宋"/>
          <w:color w:val="auto"/>
        </w:rPr>
        <w:t>提交响应文件的份数和签署和递交</w:t>
      </w:r>
    </w:p>
    <w:p w14:paraId="5CA6560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响应文件提交规则：</w:t>
      </w:r>
    </w:p>
    <w:p w14:paraId="18405A6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1．响应文件一式</w:t>
      </w:r>
      <w:r>
        <w:rPr>
          <w:rFonts w:hint="eastAsia" w:ascii="仿宋" w:hAnsi="仿宋" w:eastAsia="仿宋" w:cs="仿宋"/>
          <w:color w:val="auto"/>
          <w:lang w:val="en-US" w:eastAsia="zh-CN"/>
        </w:rPr>
        <w:t>三</w:t>
      </w:r>
      <w:r>
        <w:rPr>
          <w:rFonts w:hint="eastAsia" w:ascii="仿宋" w:hAnsi="仿宋" w:eastAsia="仿宋" w:cs="仿宋"/>
          <w:color w:val="auto"/>
        </w:rPr>
        <w:t>份，其中正本一份，副本</w:t>
      </w:r>
      <w:r>
        <w:rPr>
          <w:rFonts w:hint="eastAsia" w:ascii="仿宋" w:hAnsi="仿宋" w:eastAsia="仿宋" w:cs="仿宋"/>
          <w:color w:val="auto"/>
          <w:lang w:val="en-US" w:eastAsia="zh-CN"/>
        </w:rPr>
        <w:t>二</w:t>
      </w:r>
      <w:r>
        <w:rPr>
          <w:rFonts w:hint="eastAsia" w:ascii="仿宋" w:hAnsi="仿宋" w:eastAsia="仿宋" w:cs="仿宋"/>
          <w:color w:val="auto"/>
        </w:rPr>
        <w:t>份</w:t>
      </w:r>
      <w:r>
        <w:rPr>
          <w:rFonts w:hint="eastAsia" w:ascii="仿宋" w:hAnsi="仿宋" w:eastAsia="仿宋" w:cs="仿宋"/>
          <w:color w:val="auto"/>
          <w:lang w:eastAsia="zh-CN"/>
        </w:rPr>
        <w:t>（</w:t>
      </w:r>
      <w:r>
        <w:rPr>
          <w:rStyle w:val="83"/>
          <w:rFonts w:hint="eastAsia" w:ascii="仿宋" w:hAnsi="仿宋" w:eastAsia="仿宋" w:cs="仿宋"/>
          <w:color w:val="auto"/>
          <w:szCs w:val="21"/>
          <w:highlight w:val="none"/>
        </w:rPr>
        <w:t>电子</w:t>
      </w:r>
      <w:r>
        <w:rPr>
          <w:rStyle w:val="83"/>
          <w:rFonts w:hint="eastAsia" w:ascii="仿宋" w:hAnsi="仿宋" w:eastAsia="仿宋" w:cs="仿宋"/>
          <w:color w:val="auto"/>
          <w:szCs w:val="21"/>
          <w:highlight w:val="none"/>
          <w:lang w:val="en-US" w:eastAsia="zh-CN"/>
        </w:rPr>
        <w:t>档文件一份（光盘或U盘均可）</w:t>
      </w:r>
      <w:r>
        <w:rPr>
          <w:rStyle w:val="83"/>
          <w:rFonts w:hint="eastAsia" w:ascii="仿宋" w:hAnsi="仿宋" w:eastAsia="仿宋" w:cs="仿宋"/>
          <w:color w:val="auto"/>
          <w:szCs w:val="21"/>
          <w:highlight w:val="none"/>
          <w:lang w:eastAsia="zh-CN"/>
        </w:rPr>
        <w:t>注：</w:t>
      </w:r>
      <w:r>
        <w:rPr>
          <w:rStyle w:val="83"/>
          <w:rFonts w:hint="eastAsia" w:ascii="仿宋" w:hAnsi="仿宋" w:eastAsia="仿宋" w:cs="仿宋"/>
          <w:color w:val="auto"/>
          <w:szCs w:val="21"/>
          <w:highlight w:val="none"/>
        </w:rPr>
        <w:t>电子</w:t>
      </w:r>
      <w:r>
        <w:rPr>
          <w:rStyle w:val="83"/>
          <w:rFonts w:hint="eastAsia" w:ascii="仿宋" w:hAnsi="仿宋" w:eastAsia="仿宋" w:cs="仿宋"/>
          <w:color w:val="auto"/>
          <w:szCs w:val="21"/>
          <w:highlight w:val="none"/>
          <w:lang w:val="en-US" w:eastAsia="zh-CN"/>
        </w:rPr>
        <w:t>档文件</w:t>
      </w:r>
      <w:r>
        <w:rPr>
          <w:rStyle w:val="83"/>
          <w:rFonts w:hint="eastAsia" w:ascii="仿宋" w:hAnsi="仿宋" w:eastAsia="仿宋" w:cs="仿宋"/>
          <w:color w:val="auto"/>
          <w:szCs w:val="21"/>
          <w:highlight w:val="none"/>
          <w:lang w:eastAsia="zh-CN"/>
        </w:rPr>
        <w:t>须提供完整</w:t>
      </w:r>
      <w:r>
        <w:rPr>
          <w:rStyle w:val="83"/>
          <w:rFonts w:hint="eastAsia" w:ascii="仿宋" w:hAnsi="仿宋" w:eastAsia="仿宋" w:cs="仿宋"/>
          <w:color w:val="auto"/>
          <w:szCs w:val="21"/>
          <w:highlight w:val="none"/>
          <w:lang w:val="en-US" w:eastAsia="zh-CN"/>
        </w:rPr>
        <w:t>的投标资料电子版，</w:t>
      </w:r>
      <w:r>
        <w:rPr>
          <w:rStyle w:val="83"/>
          <w:rFonts w:hint="eastAsia" w:ascii="仿宋" w:hAnsi="仿宋" w:eastAsia="仿宋" w:cs="仿宋"/>
          <w:color w:val="000000" w:themeColor="text1"/>
          <w:szCs w:val="21"/>
          <w:highlight w:val="none"/>
          <w:lang w:val="en-US" w:eastAsia="zh-CN"/>
          <w14:textFill>
            <w14:solidFill>
              <w14:schemeClr w14:val="tx1"/>
            </w14:solidFill>
          </w14:textFill>
        </w:rPr>
        <w:t>应与正本一致，若不一致以正本为准</w:t>
      </w:r>
      <w:r>
        <w:rPr>
          <w:rFonts w:hint="eastAsia" w:ascii="仿宋" w:hAnsi="仿宋" w:eastAsia="仿宋" w:cs="仿宋"/>
          <w:color w:val="auto"/>
          <w:lang w:eastAsia="zh-CN"/>
        </w:rPr>
        <w:t>）</w:t>
      </w:r>
      <w:r>
        <w:rPr>
          <w:rFonts w:hint="eastAsia" w:ascii="仿宋" w:hAnsi="仿宋" w:eastAsia="仿宋" w:cs="仿宋"/>
          <w:color w:val="auto"/>
        </w:rPr>
        <w:t>；</w:t>
      </w:r>
      <w:r>
        <w:rPr>
          <w:rFonts w:hint="eastAsia" w:ascii="仿宋" w:hAnsi="仿宋" w:eastAsia="仿宋" w:cs="仿宋"/>
          <w:color w:val="auto"/>
          <w:lang w:val="en-US" w:eastAsia="zh-CN"/>
        </w:rPr>
        <w:t>上传的投标资料电子版必须与电子版文件一致。</w:t>
      </w:r>
      <w:r>
        <w:rPr>
          <w:rFonts w:hint="eastAsia" w:ascii="仿宋" w:hAnsi="仿宋" w:eastAsia="仿宋" w:cs="仿宋"/>
          <w:color w:val="auto"/>
        </w:rPr>
        <w:t>副本可为正本的复印件，应与正本一致，如出现不一致情况以正本为准。</w:t>
      </w:r>
    </w:p>
    <w:p w14:paraId="5B45942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2．在响应文件正本中，比选文件</w:t>
      </w:r>
      <w:r>
        <w:rPr>
          <w:rFonts w:hint="eastAsia" w:ascii="仿宋" w:hAnsi="仿宋" w:eastAsia="仿宋" w:cs="仿宋"/>
          <w:color w:val="auto"/>
          <w:lang w:eastAsia="zh-CN"/>
        </w:rPr>
        <w:t>第八篇</w:t>
      </w:r>
      <w:r>
        <w:rPr>
          <w:rFonts w:hint="eastAsia" w:ascii="仿宋" w:hAnsi="仿宋" w:eastAsia="仿宋" w:cs="仿宋"/>
          <w:color w:val="auto"/>
        </w:rPr>
        <w:t>响应文件格式中规定签字、盖章的地方必须按其规定签字、盖章。</w:t>
      </w:r>
    </w:p>
    <w:p w14:paraId="617E2BA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3．响应文件的密封与标记</w:t>
      </w:r>
    </w:p>
    <w:p w14:paraId="587F838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响应文件的正本、副本均应密封送达比选地点，应在封套上注明项目名称、供应商名称。若正本、副本分别进行密封的，还应在封套上注明“正本”、“副本”字样。</w:t>
      </w:r>
    </w:p>
    <w:p w14:paraId="2947A12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4．如果未按上述规定进行密封的，采购人、采购代理机构将拒收其响应文件。</w:t>
      </w:r>
    </w:p>
    <w:p w14:paraId="012F06E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5．响应文件投递截止时间：见比选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5F64BC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（六）响应文件语言：简体中文</w:t>
      </w:r>
    </w:p>
    <w:p w14:paraId="67CA060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（七）供应商参与人员</w:t>
      </w:r>
    </w:p>
    <w:p w14:paraId="354C766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各参选供应商可派1-2名代表参与比选，至少1人应为法定代表人或具有法定代表人授权委托书的授权代表。</w:t>
      </w:r>
    </w:p>
    <w:p w14:paraId="3905C08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（八）无效响应</w:t>
      </w:r>
    </w:p>
    <w:p w14:paraId="217E19B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供应商发生以下条款情况之一者，视为无效响应，其响应文件将被拒绝：</w:t>
      </w:r>
    </w:p>
    <w:p w14:paraId="03B18F9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1．供应商不符合资格要求的。</w:t>
      </w:r>
    </w:p>
    <w:p w14:paraId="21DC060A">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2．供应商未按照比选文件的要求缴纳保证金的。</w:t>
      </w:r>
    </w:p>
    <w:p w14:paraId="09197B5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3．供应商所提交的响应文件不按规定签字、盖章的。</w:t>
      </w:r>
    </w:p>
    <w:p w14:paraId="2CF3AC3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4．供应商的报价超过采购预算（若有采购预算单价，则含采购预算单价）的。</w:t>
      </w:r>
    </w:p>
    <w:p w14:paraId="2687F85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5．供应商响应文件附有采购人无法接受的条件的。</w:t>
      </w:r>
    </w:p>
    <w:p w14:paraId="464BD88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6．供应商串通投标的。</w:t>
      </w:r>
    </w:p>
    <w:p w14:paraId="4338DF3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7．供应商组成联合体参与比选的。</w:t>
      </w:r>
    </w:p>
    <w:p w14:paraId="315CF18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8．法律、法规和比选文件规定的其他无效情形。</w:t>
      </w:r>
      <w:bookmarkStart w:id="252" w:name="_Toc493506302"/>
      <w:bookmarkStart w:id="253" w:name="_Toc492721019"/>
    </w:p>
    <w:p w14:paraId="0D79F28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（九）废标条款</w:t>
      </w:r>
      <w:bookmarkEnd w:id="252"/>
      <w:bookmarkEnd w:id="253"/>
    </w:p>
    <w:p w14:paraId="5D0D30B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出现下列情形之一的，采购人或者采购代理机构应当终止比选采购活动，发布项目终止公告并说明原因，重新开展采购活动：</w:t>
      </w:r>
    </w:p>
    <w:p w14:paraId="6138714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w:t>
      </w:r>
      <w:bookmarkStart w:id="254" w:name="OLE_LINK58"/>
      <w:bookmarkStart w:id="255" w:name="OLE_LINK55"/>
      <w:r>
        <w:rPr>
          <w:rFonts w:hint="eastAsia" w:ascii="仿宋" w:hAnsi="仿宋" w:eastAsia="仿宋" w:cs="仿宋"/>
          <w:color w:val="auto"/>
        </w:rPr>
        <w:t>．</w:t>
      </w:r>
      <w:bookmarkEnd w:id="254"/>
      <w:bookmarkEnd w:id="255"/>
      <w:r>
        <w:rPr>
          <w:rFonts w:hint="eastAsia" w:ascii="仿宋" w:hAnsi="仿宋" w:eastAsia="仿宋" w:cs="仿宋"/>
          <w:color w:val="auto"/>
        </w:rPr>
        <w:t>因情况变化，不再符合规定的比选采购方式适用情形的。</w:t>
      </w:r>
    </w:p>
    <w:p w14:paraId="14A4CBD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2．出现影响采购公正的违法、违规行为的。</w:t>
      </w:r>
    </w:p>
    <w:p w14:paraId="5FFDE7E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3．在采购过程中符合竞争要求的供应商或者报价未超过采购预算的供应商不足2家的。</w:t>
      </w:r>
    </w:p>
    <w:p w14:paraId="38CBB30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废标后，除采购任务取消情形外，应当重新组织采购。</w:t>
      </w:r>
    </w:p>
    <w:p w14:paraId="703EB05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（十）采购代理服务费</w:t>
      </w:r>
    </w:p>
    <w:p w14:paraId="6BB5C63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采购代理服务费金额：</w:t>
      </w:r>
      <w:r>
        <w:rPr>
          <w:rFonts w:hint="eastAsia" w:ascii="仿宋" w:hAnsi="仿宋" w:eastAsia="仿宋" w:cs="仿宋"/>
          <w:color w:val="auto"/>
          <w:lang w:val="en-US" w:eastAsia="zh-CN"/>
        </w:rPr>
        <w:t>5</w:t>
      </w:r>
      <w:r>
        <w:rPr>
          <w:rFonts w:hint="eastAsia" w:ascii="仿宋" w:hAnsi="仿宋" w:eastAsia="仿宋" w:cs="仿宋"/>
          <w:color w:val="auto"/>
        </w:rPr>
        <w:t>000.00元，项目比选完成后，由中选单位在领取中选通知书时一次性支付。</w:t>
      </w:r>
    </w:p>
    <w:p w14:paraId="7999F94E">
      <w:pPr>
        <w:rPr>
          <w:rFonts w:hint="eastAsia" w:ascii="仿宋" w:hAnsi="仿宋" w:eastAsia="仿宋" w:cs="仿宋"/>
          <w:color w:val="auto"/>
        </w:rPr>
      </w:pPr>
      <w:r>
        <w:rPr>
          <w:rFonts w:hint="eastAsia" w:ascii="仿宋" w:hAnsi="仿宋" w:eastAsia="仿宋" w:cs="仿宋"/>
          <w:color w:val="auto"/>
        </w:rPr>
        <w:br w:type="page"/>
      </w:r>
    </w:p>
    <w:p w14:paraId="21EB6A83">
      <w:pPr>
        <w:pStyle w:val="36"/>
        <w:rPr>
          <w:rFonts w:hint="eastAsia"/>
        </w:rPr>
      </w:pPr>
    </w:p>
    <w:bookmarkEnd w:id="219"/>
    <w:bookmarkEnd w:id="220"/>
    <w:p w14:paraId="56FC5199">
      <w:pPr>
        <w:rPr>
          <w:rFonts w:hint="eastAsia" w:ascii="仿宋" w:hAnsi="仿宋" w:eastAsia="仿宋" w:cs="仿宋"/>
          <w:color w:val="auto"/>
        </w:rPr>
      </w:pPr>
    </w:p>
    <w:p w14:paraId="55BFF45A">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640" w:firstLineChars="200"/>
        <w:jc w:val="center"/>
        <w:textAlignment w:val="auto"/>
        <w:outlineLvl w:val="0"/>
        <w:rPr>
          <w:rFonts w:hint="default" w:ascii="仿宋" w:hAnsi="仿宋" w:eastAsia="仿宋" w:cs="仿宋"/>
          <w:bCs/>
          <w:color w:val="auto"/>
          <w:sz w:val="32"/>
          <w:szCs w:val="32"/>
          <w:lang w:val="en-US" w:eastAsia="zh-CN"/>
        </w:rPr>
      </w:pPr>
      <w:bookmarkStart w:id="256" w:name="_Toc8185"/>
      <w:r>
        <w:rPr>
          <w:rFonts w:hint="eastAsia" w:ascii="仿宋" w:hAnsi="仿宋" w:eastAsia="仿宋" w:cs="仿宋"/>
          <w:bCs/>
          <w:color w:val="auto"/>
          <w:sz w:val="32"/>
          <w:szCs w:val="32"/>
          <w:lang w:val="en-US" w:eastAsia="zh-CN"/>
        </w:rPr>
        <w:t>第六篇  技术图纸</w:t>
      </w:r>
      <w:bookmarkEnd w:id="256"/>
    </w:p>
    <w:p w14:paraId="2603F321">
      <w:pPr>
        <w:rPr>
          <w:rFonts w:hint="eastAsia"/>
          <w:lang w:val="en-US" w:eastAsia="zh-CN"/>
        </w:rPr>
      </w:pPr>
      <w:r>
        <w:rPr>
          <w:rFonts w:hint="eastAsia" w:ascii="仿宋" w:hAnsi="仿宋" w:eastAsia="仿宋" w:cs="仿宋"/>
          <w:lang w:val="en-US" w:eastAsia="zh-CN"/>
        </w:rPr>
        <w:t>详：附件</w:t>
      </w:r>
      <w:r>
        <w:rPr>
          <w:rFonts w:hint="eastAsia"/>
          <w:lang w:val="en-US" w:eastAsia="zh-CN"/>
        </w:rPr>
        <w:br w:type="page"/>
      </w:r>
    </w:p>
    <w:p w14:paraId="58A1D2DB">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Cs/>
          <w:color w:val="auto"/>
          <w:sz w:val="32"/>
          <w:szCs w:val="32"/>
          <w:lang w:val="en-US" w:eastAsia="zh-CN"/>
        </w:rPr>
      </w:pPr>
      <w:bookmarkStart w:id="257" w:name="_Toc14554"/>
      <w:bookmarkStart w:id="258" w:name="_Toc108545981"/>
      <w:bookmarkStart w:id="259" w:name="_Toc25126"/>
      <w:bookmarkStart w:id="260" w:name="_Toc6036"/>
      <w:bookmarkStart w:id="261" w:name="OLE_LINK84"/>
      <w:bookmarkStart w:id="262" w:name="OLE_LINK85"/>
      <w:r>
        <w:rPr>
          <w:rFonts w:hint="eastAsia" w:ascii="仿宋" w:hAnsi="仿宋" w:eastAsia="仿宋" w:cs="仿宋"/>
          <w:bCs/>
          <w:color w:val="auto"/>
          <w:sz w:val="32"/>
          <w:szCs w:val="32"/>
        </w:rPr>
        <w:t>第</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rPr>
        <w:t xml:space="preserve">篇  </w:t>
      </w:r>
      <w:bookmarkEnd w:id="257"/>
      <w:bookmarkEnd w:id="258"/>
      <w:bookmarkEnd w:id="259"/>
      <w:r>
        <w:rPr>
          <w:rFonts w:hint="eastAsia" w:ascii="仿宋" w:hAnsi="仿宋" w:eastAsia="仿宋" w:cs="仿宋"/>
          <w:bCs/>
          <w:color w:val="auto"/>
          <w:sz w:val="32"/>
          <w:szCs w:val="32"/>
          <w:lang w:val="en-US" w:eastAsia="zh-CN"/>
        </w:rPr>
        <w:t>合同草案条款</w:t>
      </w:r>
      <w:bookmarkEnd w:id="260"/>
    </w:p>
    <w:p w14:paraId="66B25F17">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注：（合同格式的最终版以签订合同时采购人提供的版本为准）</w:t>
      </w:r>
    </w:p>
    <w:p w14:paraId="236CD262">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640" w:firstLineChars="200"/>
        <w:jc w:val="center"/>
        <w:textAlignment w:val="auto"/>
        <w:outlineLvl w:val="0"/>
        <w:rPr>
          <w:rFonts w:hint="eastAsia" w:ascii="仿宋" w:hAnsi="仿宋" w:eastAsia="仿宋" w:cs="仿宋"/>
          <w:bCs/>
          <w:color w:val="auto"/>
          <w:sz w:val="32"/>
          <w:szCs w:val="32"/>
        </w:rPr>
      </w:pPr>
    </w:p>
    <w:p w14:paraId="40CF07A1">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采购合同</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参考样本</w:t>
      </w:r>
      <w:r>
        <w:rPr>
          <w:rFonts w:hint="eastAsia" w:ascii="仿宋" w:hAnsi="仿宋" w:eastAsia="仿宋" w:cs="仿宋"/>
          <w:bCs/>
          <w:color w:val="auto"/>
          <w:sz w:val="32"/>
          <w:szCs w:val="32"/>
          <w:lang w:eastAsia="zh-CN"/>
        </w:rPr>
        <w:t>）</w:t>
      </w:r>
    </w:p>
    <w:p w14:paraId="453192E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（项目号：     ）</w:t>
      </w:r>
    </w:p>
    <w:p w14:paraId="675B478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甲方（需方）：</w:t>
      </w:r>
      <w:r>
        <w:rPr>
          <w:rFonts w:hint="eastAsia" w:ascii="仿宋" w:hAnsi="仿宋" w:eastAsia="仿宋" w:cs="仿宋"/>
          <w:color w:val="auto"/>
          <w:u w:val="single"/>
        </w:rPr>
        <w:t xml:space="preserve"> </w:t>
      </w:r>
      <w:r>
        <w:rPr>
          <w:rFonts w:hint="eastAsia" w:ascii="仿宋" w:hAnsi="仿宋" w:eastAsia="仿宋" w:cs="仿宋"/>
          <w:color w:val="auto"/>
          <w:u w:val="single"/>
          <w:lang w:eastAsia="zh-CN"/>
        </w:rPr>
        <w:t>重庆大足实业发展集团有限公司</w:t>
      </w:r>
      <w:r>
        <w:rPr>
          <w:rFonts w:hint="eastAsia" w:ascii="仿宋" w:hAnsi="仿宋" w:eastAsia="仿宋" w:cs="仿宋"/>
          <w:color w:val="auto"/>
          <w:u w:val="single"/>
        </w:rPr>
        <w:t xml:space="preserve">   </w:t>
      </w:r>
      <w:r>
        <w:rPr>
          <w:rFonts w:hint="eastAsia" w:ascii="仿宋" w:hAnsi="仿宋" w:eastAsia="仿宋" w:cs="仿宋"/>
          <w:color w:val="auto"/>
        </w:rPr>
        <w:t xml:space="preserve">     计价单位：____________</w:t>
      </w:r>
    </w:p>
    <w:p w14:paraId="5E614AB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乙方（供方）：___________________________      计量单位：_____________</w:t>
      </w:r>
    </w:p>
    <w:p w14:paraId="2F9E8E7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0B0EA6DB">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经双方协商一致，达成以下购销合同：</w:t>
      </w:r>
    </w:p>
    <w:tbl>
      <w:tblPr>
        <w:tblStyle w:val="2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4649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349C2F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商品名称</w:t>
            </w:r>
          </w:p>
        </w:tc>
        <w:tc>
          <w:tcPr>
            <w:tcW w:w="1741" w:type="dxa"/>
            <w:vAlign w:val="center"/>
          </w:tcPr>
          <w:p w14:paraId="105339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规格型号</w:t>
            </w:r>
          </w:p>
        </w:tc>
        <w:tc>
          <w:tcPr>
            <w:tcW w:w="984" w:type="dxa"/>
            <w:vAlign w:val="center"/>
          </w:tcPr>
          <w:p w14:paraId="18C5E21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298" w:type="dxa"/>
            <w:gridSpan w:val="2"/>
            <w:vAlign w:val="center"/>
          </w:tcPr>
          <w:p w14:paraId="0BDCFED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综合单价</w:t>
            </w:r>
          </w:p>
        </w:tc>
        <w:tc>
          <w:tcPr>
            <w:tcW w:w="1134" w:type="dxa"/>
            <w:vAlign w:val="center"/>
          </w:tcPr>
          <w:p w14:paraId="41897DD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总价</w:t>
            </w:r>
          </w:p>
        </w:tc>
        <w:tc>
          <w:tcPr>
            <w:tcW w:w="1559" w:type="dxa"/>
            <w:vAlign w:val="center"/>
          </w:tcPr>
          <w:p w14:paraId="31D7FC5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交货时间</w:t>
            </w:r>
          </w:p>
        </w:tc>
        <w:tc>
          <w:tcPr>
            <w:tcW w:w="1567" w:type="dxa"/>
            <w:vAlign w:val="center"/>
          </w:tcPr>
          <w:p w14:paraId="111C7E1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r>
      <w:tr w14:paraId="5096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63A69F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60225B4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2009551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47EB66A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581ADA6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7AA881F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62B29EE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7D1B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9EF62E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5843524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5E1D53E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1E48CB3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12DF220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5EFDC96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6B908A1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5D71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C905A4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7F6591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3161020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4083D1A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7ECBEA1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5C27285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1AF84D9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26B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33B2B8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48721BA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6D54180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36E2BB7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7F9F9B7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035376B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0E9376B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17D7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43C609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2BA6A4F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08804E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4EC3670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3B692BB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0E533E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792A730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5E2D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9DE6EB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484421E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00D822F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7ED299D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4AC2519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14DE34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6D79605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5022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406F3F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7141382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401973E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262186E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0C4D8EB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20B6126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1C5F131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DFF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A6F3FE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741" w:type="dxa"/>
            <w:vAlign w:val="center"/>
          </w:tcPr>
          <w:p w14:paraId="2EADF9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984" w:type="dxa"/>
            <w:vAlign w:val="center"/>
          </w:tcPr>
          <w:p w14:paraId="4394127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98" w:type="dxa"/>
            <w:gridSpan w:val="2"/>
            <w:vAlign w:val="center"/>
          </w:tcPr>
          <w:p w14:paraId="2E93DB6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34" w:type="dxa"/>
            <w:vAlign w:val="center"/>
          </w:tcPr>
          <w:p w14:paraId="135E342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59" w:type="dxa"/>
            <w:vAlign w:val="center"/>
          </w:tcPr>
          <w:p w14:paraId="3C0186C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67" w:type="dxa"/>
            <w:vAlign w:val="center"/>
          </w:tcPr>
          <w:p w14:paraId="2C4302D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022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39DC98E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51BD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23D987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54A8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34F0FD1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一、质量要求和技术标准。乙方提供的商品必须是全新的，完全符合国家有关技术标准及本比选文件规定的所有技术要求，乙方的质量保证及售后服务承诺如下：</w:t>
            </w:r>
          </w:p>
          <w:p w14:paraId="43055664">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263" w:name="OLE_LINK60"/>
            <w:bookmarkStart w:id="264" w:name="OLE_LINK59"/>
            <w:r>
              <w:rPr>
                <w:rFonts w:hint="eastAsia" w:ascii="仿宋" w:hAnsi="仿宋" w:eastAsia="仿宋" w:cs="仿宋"/>
                <w:color w:val="auto"/>
                <w:highlight w:val="none"/>
              </w:rPr>
              <w:t>．</w:t>
            </w:r>
            <w:bookmarkEnd w:id="263"/>
            <w:bookmarkEnd w:id="264"/>
            <w:r>
              <w:rPr>
                <w:rFonts w:hint="eastAsia" w:ascii="仿宋" w:hAnsi="仿宋" w:eastAsia="仿宋" w:cs="仿宋"/>
                <w:color w:val="auto"/>
                <w:sz w:val="21"/>
                <w:szCs w:val="21"/>
                <w:highlight w:val="none"/>
              </w:rPr>
              <w:t>质保期限：</w:t>
            </w:r>
          </w:p>
          <w:p w14:paraId="2DE3244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highlight w:val="none"/>
              </w:rPr>
              <w:t>．</w:t>
            </w:r>
            <w:r>
              <w:rPr>
                <w:rFonts w:hint="eastAsia" w:ascii="仿宋" w:hAnsi="仿宋" w:eastAsia="仿宋" w:cs="仿宋"/>
                <w:color w:val="auto"/>
                <w:sz w:val="21"/>
                <w:szCs w:val="21"/>
                <w:highlight w:val="none"/>
              </w:rPr>
              <w:t>免费专业维保期：</w:t>
            </w:r>
          </w:p>
          <w:p w14:paraId="075676B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rPr>
              <w:t>．</w:t>
            </w:r>
            <w:r>
              <w:rPr>
                <w:rFonts w:hint="eastAsia" w:ascii="仿宋" w:hAnsi="仿宋" w:eastAsia="仿宋" w:cs="仿宋"/>
                <w:color w:val="auto"/>
                <w:sz w:val="21"/>
                <w:szCs w:val="21"/>
              </w:rPr>
              <w:t>服务措施：</w:t>
            </w:r>
          </w:p>
          <w:p w14:paraId="60D3C8D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rPr>
              <w:t>．</w:t>
            </w:r>
            <w:r>
              <w:rPr>
                <w:rFonts w:hint="eastAsia" w:ascii="仿宋" w:hAnsi="仿宋" w:eastAsia="仿宋" w:cs="仿宋"/>
                <w:color w:val="auto"/>
                <w:sz w:val="21"/>
                <w:szCs w:val="21"/>
              </w:rPr>
              <w:t>质保期后服务：</w:t>
            </w:r>
          </w:p>
        </w:tc>
      </w:tr>
      <w:tr w14:paraId="0C72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297D04E4">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二、随机备品、附件、工具数量及供应方法</w:t>
            </w:r>
          </w:p>
          <w:p w14:paraId="6FE24209">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按制造商标准配置及比选文件要求提供。</w:t>
            </w:r>
          </w:p>
        </w:tc>
      </w:tr>
      <w:tr w14:paraId="0840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12038344">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三、交提货方式</w:t>
            </w:r>
          </w:p>
          <w:p w14:paraId="09D63788">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乙方负责运输至甲方指定地点：</w:t>
            </w:r>
            <w:r>
              <w:rPr>
                <w:rFonts w:hint="eastAsia" w:ascii="仿宋" w:hAnsi="仿宋" w:eastAsia="仿宋" w:cs="仿宋"/>
                <w:color w:val="auto"/>
                <w:sz w:val="21"/>
                <w:szCs w:val="21"/>
                <w:lang w:eastAsia="zh-CN"/>
              </w:rPr>
              <w:t>重庆市大足区希望小学</w:t>
            </w:r>
            <w:r>
              <w:rPr>
                <w:rFonts w:hint="eastAsia" w:ascii="仿宋" w:hAnsi="仿宋" w:eastAsia="仿宋" w:cs="仿宋"/>
                <w:color w:val="auto"/>
                <w:sz w:val="21"/>
                <w:szCs w:val="21"/>
              </w:rPr>
              <w:t>。</w:t>
            </w:r>
          </w:p>
        </w:tc>
      </w:tr>
      <w:tr w14:paraId="250D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64D03887">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四、验收标准、方法</w:t>
            </w:r>
          </w:p>
          <w:p w14:paraId="34662DA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按本比选文件第三篇第一条第（三）款执行。如有异议，请于7日内提出。</w:t>
            </w:r>
          </w:p>
        </w:tc>
      </w:tr>
      <w:tr w14:paraId="6483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253E70E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五、付款方式</w:t>
            </w:r>
          </w:p>
          <w:p w14:paraId="7A0D249F">
            <w:pPr>
              <w:pStyle w:val="13"/>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按本比选文件第三篇第四条执行。</w:t>
            </w:r>
          </w:p>
        </w:tc>
      </w:tr>
      <w:tr w14:paraId="3DAE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0243F77F">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六、违约责任</w:t>
            </w:r>
          </w:p>
          <w:p w14:paraId="198898E4">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按《中华人民共和国民法典》《中华人民共和国政府采购法》执行，或按双方约定。（采购人应按项目实际情况完整填写）</w:t>
            </w:r>
          </w:p>
        </w:tc>
      </w:tr>
      <w:tr w14:paraId="7B0A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0E5F6CB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七、其他约定事项</w:t>
            </w:r>
          </w:p>
          <w:p w14:paraId="668D3CE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bookmarkStart w:id="265" w:name="OLE_LINK63"/>
            <w:bookmarkStart w:id="266" w:name="OLE_LINK62"/>
            <w:r>
              <w:rPr>
                <w:rFonts w:hint="eastAsia" w:ascii="仿宋" w:hAnsi="仿宋" w:eastAsia="仿宋" w:cs="仿宋"/>
                <w:color w:val="auto"/>
              </w:rPr>
              <w:t>．</w:t>
            </w:r>
            <w:bookmarkEnd w:id="265"/>
            <w:bookmarkEnd w:id="266"/>
            <w:r>
              <w:rPr>
                <w:rFonts w:hint="eastAsia" w:ascii="仿宋" w:hAnsi="仿宋" w:eastAsia="仿宋" w:cs="仿宋"/>
                <w:color w:val="auto"/>
                <w:sz w:val="21"/>
                <w:szCs w:val="21"/>
              </w:rPr>
              <w:t>比选文件及其澄清文件、响应文件和承诺是本合同不可分割的部分。</w:t>
            </w:r>
          </w:p>
          <w:p w14:paraId="4854621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rPr>
              <w:t>．</w:t>
            </w:r>
            <w:r>
              <w:rPr>
                <w:rFonts w:hint="eastAsia" w:ascii="仿宋" w:hAnsi="仿宋" w:eastAsia="仿宋" w:cs="仿宋"/>
                <w:color w:val="auto"/>
                <w:sz w:val="21"/>
                <w:szCs w:val="21"/>
              </w:rPr>
              <w:t>本合同如发生争议由双方协商解决，协商不成，任何一方均有权将争议提交重庆仲裁委员会，按照其现行有效的仲裁规则进行仲裁。仲裁裁决是终局的，对双方均有约束力。</w:t>
            </w:r>
          </w:p>
          <w:p w14:paraId="7E53395C">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rPr>
              <w:t>．</w:t>
            </w:r>
            <w:r>
              <w:rPr>
                <w:rFonts w:hint="eastAsia" w:ascii="仿宋" w:hAnsi="仿宋" w:eastAsia="仿宋" w:cs="仿宋"/>
                <w:color w:val="auto"/>
                <w:sz w:val="21"/>
                <w:szCs w:val="21"/>
              </w:rPr>
              <w:t>本合同一式陆份， 甲方执叁份，乙方执贰份，采购代理机构执壹份，具备同等法律效力。</w:t>
            </w:r>
          </w:p>
          <w:p w14:paraId="5A328C1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rPr>
              <w:t>．</w:t>
            </w:r>
            <w:r>
              <w:rPr>
                <w:rFonts w:hint="eastAsia" w:ascii="仿宋" w:hAnsi="仿宋" w:eastAsia="仿宋" w:cs="仿宋"/>
                <w:color w:val="auto"/>
                <w:sz w:val="21"/>
                <w:szCs w:val="21"/>
              </w:rPr>
              <w:t>其他：无。</w:t>
            </w:r>
          </w:p>
        </w:tc>
      </w:tr>
      <w:tr w14:paraId="3D39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2EAD559D">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lang w:eastAsia="zh-CN"/>
              </w:rPr>
            </w:pPr>
            <w:r>
              <w:rPr>
                <w:rFonts w:hint="eastAsia" w:ascii="仿宋" w:hAnsi="仿宋" w:eastAsia="仿宋" w:cs="仿宋"/>
                <w:color w:val="auto"/>
                <w:sz w:val="21"/>
                <w:szCs w:val="21"/>
              </w:rPr>
              <w:t>甲方：</w:t>
            </w:r>
            <w:r>
              <w:rPr>
                <w:rFonts w:hint="eastAsia" w:ascii="仿宋" w:hAnsi="仿宋" w:eastAsia="仿宋" w:cs="仿宋"/>
                <w:color w:val="auto"/>
                <w:sz w:val="21"/>
                <w:szCs w:val="21"/>
                <w:lang w:eastAsia="zh-CN"/>
              </w:rPr>
              <w:t>重庆大足实业发展集团有限公司</w:t>
            </w:r>
          </w:p>
          <w:p w14:paraId="4FE6E308">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1C9753BE">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596B740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5125" w:type="dxa"/>
            <w:gridSpan w:val="5"/>
          </w:tcPr>
          <w:p w14:paraId="2C97AB4F">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乙方：</w:t>
            </w:r>
          </w:p>
          <w:p w14:paraId="4AA1652C">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0EB3161F">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444C807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37C65F8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4020C8B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2E1DA299">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46893B4B">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483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32A376F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备注：</w:t>
            </w:r>
          </w:p>
          <w:p w14:paraId="0B96E0E1">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p>
          <w:p w14:paraId="56F8D936">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p>
        </w:tc>
      </w:tr>
    </w:tbl>
    <w:p w14:paraId="2078184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lang w:eastAsia="zh-CN"/>
        </w:rPr>
      </w:pPr>
      <w:r>
        <w:rPr>
          <w:rFonts w:hint="eastAsia" w:ascii="仿宋" w:hAnsi="仿宋" w:eastAsia="仿宋" w:cs="仿宋"/>
          <w:color w:val="auto"/>
        </w:rPr>
        <w:t>签约时间：2025年  月  日    签约地点：</w:t>
      </w:r>
      <w:r>
        <w:rPr>
          <w:rFonts w:hint="eastAsia" w:ascii="仿宋" w:hAnsi="仿宋" w:eastAsia="仿宋" w:cs="仿宋"/>
          <w:color w:val="auto"/>
          <w:lang w:val="en-US" w:eastAsia="zh-CN"/>
        </w:rPr>
        <w:t>重庆市大足区</w:t>
      </w:r>
    </w:p>
    <w:bookmarkEnd w:id="20"/>
    <w:bookmarkEnd w:id="261"/>
    <w:bookmarkEnd w:id="262"/>
    <w:p w14:paraId="537DC5C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52050C3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3FE14FB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5E5343B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auto"/>
        <w:outlineLvl w:val="0"/>
        <w:rPr>
          <w:rFonts w:hint="eastAsia" w:ascii="仿宋" w:hAnsi="仿宋" w:eastAsia="仿宋" w:cs="仿宋"/>
          <w:color w:val="auto"/>
        </w:rPr>
      </w:pPr>
      <w:r>
        <w:rPr>
          <w:rFonts w:hint="eastAsia" w:ascii="仿宋" w:hAnsi="仿宋" w:eastAsia="仿宋" w:cs="仿宋"/>
          <w:color w:val="auto"/>
        </w:rPr>
        <w:br w:type="page"/>
      </w:r>
      <w:bookmarkEnd w:id="84"/>
      <w:bookmarkEnd w:id="85"/>
      <w:bookmarkEnd w:id="105"/>
      <w:bookmarkEnd w:id="106"/>
      <w:bookmarkEnd w:id="107"/>
      <w:bookmarkStart w:id="267" w:name="_Toc8770"/>
      <w:bookmarkStart w:id="268" w:name="_Toc27070"/>
      <w:bookmarkStart w:id="269" w:name="_Toc12942"/>
      <w:bookmarkStart w:id="270" w:name="_Toc108545982"/>
      <w:bookmarkStart w:id="271" w:name="_Toc487204796"/>
    </w:p>
    <w:p w14:paraId="01A719A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auto"/>
        <w:outlineLvl w:val="0"/>
        <w:rPr>
          <w:rFonts w:hint="eastAsia" w:ascii="仿宋" w:hAnsi="仿宋" w:eastAsia="仿宋" w:cs="仿宋"/>
          <w:color w:val="auto"/>
        </w:rPr>
      </w:pPr>
    </w:p>
    <w:p w14:paraId="1C2B214C">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center"/>
        <w:textAlignment w:val="auto"/>
        <w:outlineLvl w:val="0"/>
        <w:rPr>
          <w:rFonts w:hint="eastAsia" w:ascii="仿宋" w:hAnsi="仿宋" w:eastAsia="仿宋" w:cs="仿宋"/>
          <w:bCs/>
          <w:color w:val="auto"/>
          <w:sz w:val="32"/>
          <w:szCs w:val="32"/>
        </w:rPr>
      </w:pPr>
      <w:bookmarkStart w:id="272" w:name="_Toc1583"/>
      <w:r>
        <w:rPr>
          <w:rFonts w:hint="eastAsia" w:ascii="仿宋" w:hAnsi="仿宋" w:eastAsia="仿宋" w:cs="仿宋"/>
          <w:bCs/>
          <w:color w:val="auto"/>
          <w:sz w:val="32"/>
          <w:szCs w:val="32"/>
          <w:lang w:eastAsia="zh-CN"/>
        </w:rPr>
        <w:t>第八篇</w:t>
      </w:r>
      <w:r>
        <w:rPr>
          <w:rFonts w:hint="eastAsia" w:ascii="仿宋" w:hAnsi="仿宋" w:eastAsia="仿宋" w:cs="仿宋"/>
          <w:bCs/>
          <w:color w:val="auto"/>
          <w:sz w:val="32"/>
          <w:szCs w:val="32"/>
        </w:rPr>
        <w:t xml:space="preserve">  响应文件格式要求</w:t>
      </w:r>
      <w:bookmarkEnd w:id="267"/>
      <w:bookmarkEnd w:id="268"/>
      <w:bookmarkEnd w:id="269"/>
      <w:bookmarkEnd w:id="270"/>
      <w:bookmarkEnd w:id="271"/>
      <w:bookmarkEnd w:id="272"/>
    </w:p>
    <w:p w14:paraId="7DD984A9">
      <w:pPr>
        <w:snapToGrid w:val="0"/>
        <w:ind w:firstLine="971" w:firstLineChars="403"/>
        <w:rPr>
          <w:rStyle w:val="83"/>
          <w:rFonts w:hint="eastAsia" w:ascii="仿宋" w:hAnsi="仿宋" w:eastAsia="仿宋" w:cs="仿宋"/>
          <w:b/>
          <w:color w:val="auto"/>
          <w:kern w:val="0"/>
          <w:sz w:val="40"/>
          <w:szCs w:val="30"/>
          <w:highlight w:val="none"/>
          <w:u w:val="single" w:color="000000"/>
        </w:rPr>
      </w:pPr>
      <w:r>
        <w:rPr>
          <w:rFonts w:hint="eastAsia" w:ascii="仿宋" w:hAnsi="仿宋" w:eastAsia="仿宋" w:cs="仿宋"/>
          <w:b/>
          <w:bCs/>
          <w:color w:val="auto"/>
        </w:rPr>
        <w:br w:type="page"/>
      </w:r>
      <w:r>
        <w:rPr>
          <w:rStyle w:val="83"/>
          <w:rFonts w:hint="eastAsia" w:ascii="仿宋" w:hAnsi="仿宋" w:eastAsia="仿宋" w:cs="仿宋"/>
          <w:b/>
          <w:color w:val="auto"/>
          <w:kern w:val="0"/>
          <w:sz w:val="28"/>
          <w:highlight w:val="none"/>
          <w:u w:val="single" w:color="000000"/>
        </w:rPr>
        <w:tab/>
      </w:r>
      <w:r>
        <w:rPr>
          <w:rStyle w:val="83"/>
          <w:rFonts w:hint="eastAsia" w:ascii="仿宋" w:hAnsi="仿宋" w:eastAsia="仿宋" w:cs="仿宋"/>
          <w:b/>
          <w:color w:val="auto"/>
          <w:kern w:val="0"/>
          <w:sz w:val="28"/>
          <w:highlight w:val="none"/>
          <w:u w:val="single" w:color="000000"/>
        </w:rPr>
        <w:t xml:space="preserve">                               </w:t>
      </w:r>
      <w:r>
        <w:rPr>
          <w:rStyle w:val="83"/>
          <w:rFonts w:hint="eastAsia" w:ascii="仿宋" w:hAnsi="仿宋" w:eastAsia="仿宋" w:cs="仿宋"/>
          <w:b/>
          <w:color w:val="auto"/>
          <w:w w:val="99"/>
          <w:kern w:val="0"/>
          <w:sz w:val="28"/>
          <w:highlight w:val="none"/>
          <w:u w:val="single" w:color="000000"/>
        </w:rPr>
        <w:t>（项目名称</w:t>
      </w:r>
      <w:r>
        <w:rPr>
          <w:rStyle w:val="83"/>
          <w:rFonts w:hint="eastAsia" w:ascii="仿宋" w:hAnsi="仿宋" w:eastAsia="仿宋" w:cs="仿宋"/>
          <w:b/>
          <w:color w:val="auto"/>
          <w:spacing w:val="1"/>
          <w:w w:val="99"/>
          <w:kern w:val="0"/>
          <w:sz w:val="28"/>
          <w:highlight w:val="none"/>
          <w:u w:val="single" w:color="000000"/>
        </w:rPr>
        <w:t>）</w:t>
      </w:r>
    </w:p>
    <w:p w14:paraId="08133FD3">
      <w:pPr>
        <w:snapToGrid w:val="0"/>
        <w:spacing w:line="360" w:lineRule="auto"/>
        <w:jc w:val="left"/>
        <w:rPr>
          <w:rStyle w:val="83"/>
          <w:rFonts w:hint="eastAsia" w:ascii="仿宋" w:hAnsi="仿宋" w:eastAsia="仿宋" w:cs="仿宋"/>
          <w:b/>
          <w:color w:val="auto"/>
          <w:kern w:val="0"/>
          <w:szCs w:val="21"/>
          <w:highlight w:val="none"/>
        </w:rPr>
      </w:pPr>
    </w:p>
    <w:p w14:paraId="02852E8A">
      <w:pPr>
        <w:snapToGrid w:val="0"/>
        <w:spacing w:line="360" w:lineRule="auto"/>
        <w:jc w:val="left"/>
        <w:rPr>
          <w:rStyle w:val="83"/>
          <w:rFonts w:hint="eastAsia" w:ascii="仿宋" w:hAnsi="仿宋" w:eastAsia="仿宋" w:cs="仿宋"/>
          <w:b/>
          <w:color w:val="auto"/>
          <w:kern w:val="0"/>
          <w:szCs w:val="21"/>
          <w:highlight w:val="none"/>
        </w:rPr>
      </w:pPr>
    </w:p>
    <w:p w14:paraId="190BC946">
      <w:pPr>
        <w:snapToGrid w:val="0"/>
        <w:spacing w:line="360" w:lineRule="auto"/>
        <w:jc w:val="left"/>
        <w:rPr>
          <w:rStyle w:val="83"/>
          <w:rFonts w:hint="eastAsia" w:ascii="仿宋" w:hAnsi="仿宋" w:eastAsia="仿宋" w:cs="仿宋"/>
          <w:b/>
          <w:color w:val="auto"/>
          <w:kern w:val="0"/>
          <w:szCs w:val="21"/>
          <w:highlight w:val="none"/>
        </w:rPr>
      </w:pPr>
    </w:p>
    <w:p w14:paraId="1E3CC981">
      <w:pPr>
        <w:snapToGrid w:val="0"/>
        <w:spacing w:line="360" w:lineRule="auto"/>
        <w:jc w:val="left"/>
        <w:rPr>
          <w:rStyle w:val="83"/>
          <w:rFonts w:hint="eastAsia" w:ascii="仿宋" w:hAnsi="仿宋" w:eastAsia="仿宋" w:cs="仿宋"/>
          <w:b/>
          <w:color w:val="auto"/>
          <w:kern w:val="0"/>
          <w:szCs w:val="21"/>
          <w:highlight w:val="none"/>
        </w:rPr>
      </w:pPr>
    </w:p>
    <w:p w14:paraId="37326EB1">
      <w:pPr>
        <w:snapToGrid w:val="0"/>
        <w:spacing w:line="360" w:lineRule="auto"/>
        <w:jc w:val="left"/>
        <w:rPr>
          <w:rStyle w:val="83"/>
          <w:rFonts w:hint="eastAsia" w:ascii="仿宋" w:hAnsi="仿宋" w:eastAsia="仿宋" w:cs="仿宋"/>
          <w:b/>
          <w:color w:val="auto"/>
          <w:kern w:val="0"/>
          <w:szCs w:val="21"/>
          <w:highlight w:val="none"/>
        </w:rPr>
      </w:pPr>
    </w:p>
    <w:p w14:paraId="61F58307">
      <w:pPr>
        <w:snapToGrid w:val="0"/>
        <w:spacing w:line="360" w:lineRule="auto"/>
        <w:jc w:val="left"/>
        <w:rPr>
          <w:rStyle w:val="83"/>
          <w:rFonts w:hint="eastAsia" w:ascii="仿宋" w:hAnsi="仿宋" w:eastAsia="仿宋" w:cs="仿宋"/>
          <w:b/>
          <w:color w:val="auto"/>
          <w:kern w:val="0"/>
          <w:szCs w:val="21"/>
          <w:highlight w:val="none"/>
        </w:rPr>
      </w:pPr>
    </w:p>
    <w:p w14:paraId="2191D180">
      <w:pPr>
        <w:snapToGrid w:val="0"/>
        <w:spacing w:line="360" w:lineRule="auto"/>
        <w:jc w:val="left"/>
        <w:rPr>
          <w:rStyle w:val="83"/>
          <w:rFonts w:hint="eastAsia" w:ascii="仿宋" w:hAnsi="仿宋" w:eastAsia="仿宋" w:cs="仿宋"/>
          <w:b/>
          <w:color w:val="auto"/>
          <w:kern w:val="0"/>
          <w:szCs w:val="21"/>
          <w:highlight w:val="none"/>
        </w:rPr>
      </w:pPr>
    </w:p>
    <w:p w14:paraId="21A3E553">
      <w:pPr>
        <w:tabs>
          <w:tab w:val="left" w:pos="3600"/>
          <w:tab w:val="left" w:pos="4480"/>
          <w:tab w:val="left" w:pos="5360"/>
        </w:tabs>
        <w:snapToGrid w:val="0"/>
        <w:spacing w:line="360" w:lineRule="auto"/>
        <w:jc w:val="center"/>
        <w:rPr>
          <w:rStyle w:val="83"/>
          <w:rFonts w:hint="eastAsia" w:ascii="仿宋" w:hAnsi="仿宋" w:eastAsia="仿宋" w:cs="仿宋"/>
          <w:b/>
          <w:color w:val="auto"/>
          <w:kern w:val="0"/>
          <w:sz w:val="84"/>
          <w:szCs w:val="84"/>
          <w:highlight w:val="none"/>
        </w:rPr>
      </w:pPr>
      <w:r>
        <w:rPr>
          <w:rStyle w:val="83"/>
          <w:rFonts w:hint="eastAsia" w:ascii="仿宋" w:hAnsi="仿宋" w:eastAsia="仿宋" w:cs="仿宋"/>
          <w:b/>
          <w:color w:val="auto"/>
          <w:kern w:val="0"/>
          <w:sz w:val="84"/>
          <w:szCs w:val="84"/>
          <w:highlight w:val="none"/>
        </w:rPr>
        <w:t>投标文件</w:t>
      </w:r>
    </w:p>
    <w:p w14:paraId="16423A26">
      <w:pPr>
        <w:snapToGrid w:val="0"/>
        <w:spacing w:line="360" w:lineRule="auto"/>
        <w:jc w:val="left"/>
        <w:rPr>
          <w:rStyle w:val="83"/>
          <w:rFonts w:hint="eastAsia" w:ascii="仿宋" w:hAnsi="仿宋" w:eastAsia="仿宋" w:cs="仿宋"/>
          <w:color w:val="auto"/>
          <w:kern w:val="0"/>
          <w:sz w:val="16"/>
          <w:szCs w:val="16"/>
          <w:highlight w:val="none"/>
        </w:rPr>
      </w:pPr>
    </w:p>
    <w:p w14:paraId="01667507">
      <w:pPr>
        <w:snapToGrid w:val="0"/>
        <w:spacing w:line="360" w:lineRule="auto"/>
        <w:jc w:val="left"/>
        <w:rPr>
          <w:rStyle w:val="83"/>
          <w:rFonts w:hint="eastAsia" w:ascii="仿宋" w:hAnsi="仿宋" w:eastAsia="仿宋" w:cs="仿宋"/>
          <w:b/>
          <w:color w:val="auto"/>
          <w:kern w:val="0"/>
          <w:szCs w:val="21"/>
          <w:highlight w:val="none"/>
        </w:rPr>
      </w:pPr>
    </w:p>
    <w:p w14:paraId="535AD12A">
      <w:pPr>
        <w:snapToGrid w:val="0"/>
        <w:spacing w:line="360" w:lineRule="auto"/>
        <w:jc w:val="left"/>
        <w:rPr>
          <w:rStyle w:val="83"/>
          <w:rFonts w:hint="eastAsia" w:ascii="仿宋" w:hAnsi="仿宋" w:eastAsia="仿宋" w:cs="仿宋"/>
          <w:b/>
          <w:color w:val="auto"/>
          <w:kern w:val="0"/>
          <w:szCs w:val="21"/>
          <w:highlight w:val="none"/>
        </w:rPr>
      </w:pPr>
    </w:p>
    <w:p w14:paraId="5287AAB6">
      <w:pPr>
        <w:snapToGrid w:val="0"/>
        <w:spacing w:line="360" w:lineRule="auto"/>
        <w:jc w:val="left"/>
        <w:rPr>
          <w:rStyle w:val="83"/>
          <w:rFonts w:hint="eastAsia" w:ascii="仿宋" w:hAnsi="仿宋" w:eastAsia="仿宋" w:cs="仿宋"/>
          <w:b/>
          <w:color w:val="auto"/>
          <w:kern w:val="0"/>
          <w:szCs w:val="21"/>
          <w:highlight w:val="none"/>
        </w:rPr>
      </w:pPr>
    </w:p>
    <w:p w14:paraId="36F90DD7">
      <w:pPr>
        <w:snapToGrid w:val="0"/>
        <w:spacing w:line="360" w:lineRule="auto"/>
        <w:jc w:val="left"/>
        <w:rPr>
          <w:rStyle w:val="83"/>
          <w:rFonts w:hint="eastAsia" w:ascii="仿宋" w:hAnsi="仿宋" w:eastAsia="仿宋" w:cs="仿宋"/>
          <w:b/>
          <w:color w:val="auto"/>
          <w:kern w:val="0"/>
          <w:szCs w:val="21"/>
          <w:highlight w:val="none"/>
        </w:rPr>
      </w:pPr>
    </w:p>
    <w:p w14:paraId="31775E89">
      <w:pPr>
        <w:snapToGrid w:val="0"/>
        <w:spacing w:line="360" w:lineRule="auto"/>
        <w:jc w:val="left"/>
        <w:rPr>
          <w:rStyle w:val="83"/>
          <w:rFonts w:hint="eastAsia" w:ascii="仿宋" w:hAnsi="仿宋" w:eastAsia="仿宋" w:cs="仿宋"/>
          <w:b/>
          <w:color w:val="auto"/>
          <w:kern w:val="0"/>
          <w:szCs w:val="21"/>
          <w:highlight w:val="none"/>
        </w:rPr>
      </w:pPr>
    </w:p>
    <w:p w14:paraId="19DECE92">
      <w:pPr>
        <w:snapToGrid w:val="0"/>
        <w:spacing w:line="360" w:lineRule="auto"/>
        <w:jc w:val="left"/>
        <w:rPr>
          <w:rStyle w:val="83"/>
          <w:rFonts w:hint="eastAsia" w:ascii="仿宋" w:hAnsi="仿宋" w:eastAsia="仿宋" w:cs="仿宋"/>
          <w:b/>
          <w:color w:val="auto"/>
          <w:kern w:val="0"/>
          <w:szCs w:val="21"/>
          <w:highlight w:val="none"/>
        </w:rPr>
      </w:pPr>
    </w:p>
    <w:p w14:paraId="7A827CE1">
      <w:pPr>
        <w:snapToGrid w:val="0"/>
        <w:spacing w:line="360" w:lineRule="auto"/>
        <w:jc w:val="left"/>
        <w:rPr>
          <w:rStyle w:val="83"/>
          <w:rFonts w:hint="eastAsia" w:ascii="仿宋" w:hAnsi="仿宋" w:eastAsia="仿宋" w:cs="仿宋"/>
          <w:b/>
          <w:color w:val="auto"/>
          <w:kern w:val="0"/>
          <w:szCs w:val="21"/>
          <w:highlight w:val="none"/>
        </w:rPr>
      </w:pPr>
    </w:p>
    <w:p w14:paraId="4D3536B4">
      <w:pPr>
        <w:snapToGrid w:val="0"/>
        <w:spacing w:line="360" w:lineRule="auto"/>
        <w:jc w:val="left"/>
        <w:rPr>
          <w:rStyle w:val="83"/>
          <w:rFonts w:hint="eastAsia" w:ascii="仿宋" w:hAnsi="仿宋" w:eastAsia="仿宋" w:cs="仿宋"/>
          <w:b/>
          <w:color w:val="auto"/>
          <w:kern w:val="0"/>
          <w:szCs w:val="21"/>
          <w:highlight w:val="none"/>
        </w:rPr>
      </w:pPr>
    </w:p>
    <w:p w14:paraId="277E84F0">
      <w:pPr>
        <w:snapToGrid w:val="0"/>
        <w:spacing w:line="360" w:lineRule="auto"/>
        <w:jc w:val="left"/>
        <w:rPr>
          <w:rStyle w:val="83"/>
          <w:rFonts w:hint="eastAsia" w:ascii="仿宋" w:hAnsi="仿宋" w:eastAsia="仿宋" w:cs="仿宋"/>
          <w:b/>
          <w:color w:val="auto"/>
          <w:kern w:val="0"/>
          <w:szCs w:val="21"/>
          <w:highlight w:val="none"/>
        </w:rPr>
      </w:pPr>
    </w:p>
    <w:p w14:paraId="4E71BCAC">
      <w:pPr>
        <w:snapToGrid w:val="0"/>
        <w:spacing w:line="360" w:lineRule="auto"/>
        <w:jc w:val="left"/>
        <w:rPr>
          <w:rStyle w:val="83"/>
          <w:rFonts w:hint="eastAsia" w:ascii="仿宋" w:hAnsi="仿宋" w:eastAsia="仿宋" w:cs="仿宋"/>
          <w:b/>
          <w:color w:val="auto"/>
          <w:kern w:val="0"/>
          <w:szCs w:val="21"/>
          <w:highlight w:val="none"/>
        </w:rPr>
      </w:pPr>
    </w:p>
    <w:p w14:paraId="6F3BE3C7">
      <w:pPr>
        <w:tabs>
          <w:tab w:val="left" w:pos="6080"/>
          <w:tab w:val="left" w:pos="6640"/>
        </w:tabs>
        <w:snapToGrid w:val="0"/>
        <w:spacing w:line="360" w:lineRule="auto"/>
        <w:jc w:val="center"/>
        <w:outlineLvl w:val="2"/>
        <w:rPr>
          <w:rStyle w:val="83"/>
          <w:rFonts w:hint="eastAsia" w:ascii="仿宋" w:hAnsi="仿宋" w:eastAsia="仿宋" w:cs="仿宋"/>
          <w:b/>
          <w:color w:val="auto"/>
          <w:w w:val="99"/>
          <w:kern w:val="0"/>
          <w:sz w:val="28"/>
          <w:szCs w:val="28"/>
          <w:highlight w:val="none"/>
        </w:rPr>
      </w:pPr>
      <w:r>
        <w:rPr>
          <w:rStyle w:val="83"/>
          <w:rFonts w:hint="eastAsia" w:ascii="仿宋" w:hAnsi="仿宋" w:eastAsia="仿宋" w:cs="仿宋"/>
          <w:b/>
          <w:color w:val="auto"/>
          <w:w w:val="99"/>
          <w:kern w:val="0"/>
          <w:sz w:val="28"/>
          <w:szCs w:val="28"/>
          <w:highlight w:val="none"/>
        </w:rPr>
        <w:t>投标人</w:t>
      </w:r>
      <w:r>
        <w:rPr>
          <w:rStyle w:val="83"/>
          <w:rFonts w:hint="eastAsia" w:ascii="仿宋" w:hAnsi="仿宋" w:eastAsia="仿宋" w:cs="仿宋"/>
          <w:b/>
          <w:color w:val="auto"/>
          <w:spacing w:val="1"/>
          <w:w w:val="99"/>
          <w:kern w:val="0"/>
          <w:sz w:val="28"/>
          <w:szCs w:val="28"/>
          <w:highlight w:val="none"/>
        </w:rPr>
        <w:t>：</w:t>
      </w:r>
      <w:r>
        <w:rPr>
          <w:rStyle w:val="83"/>
          <w:rFonts w:hint="eastAsia" w:ascii="仿宋" w:hAnsi="仿宋" w:eastAsia="仿宋" w:cs="仿宋"/>
          <w:b/>
          <w:color w:val="auto"/>
          <w:w w:val="198"/>
          <w:kern w:val="0"/>
          <w:sz w:val="28"/>
          <w:szCs w:val="28"/>
          <w:highlight w:val="none"/>
          <w:u w:val="single" w:color="000000"/>
        </w:rPr>
        <w:t>　　　　　　</w:t>
      </w:r>
      <w:r>
        <w:rPr>
          <w:rStyle w:val="83"/>
          <w:rFonts w:hint="eastAsia" w:ascii="仿宋" w:hAnsi="仿宋" w:eastAsia="仿宋" w:cs="仿宋"/>
          <w:b/>
          <w:color w:val="auto"/>
          <w:w w:val="99"/>
          <w:kern w:val="0"/>
          <w:sz w:val="28"/>
          <w:szCs w:val="28"/>
          <w:highlight w:val="none"/>
        </w:rPr>
        <w:t>（盖单位章）</w:t>
      </w:r>
    </w:p>
    <w:p w14:paraId="7D8E7C43">
      <w:pPr>
        <w:tabs>
          <w:tab w:val="left" w:pos="6080"/>
          <w:tab w:val="left" w:pos="6640"/>
        </w:tabs>
        <w:snapToGrid w:val="0"/>
        <w:spacing w:line="360" w:lineRule="auto"/>
        <w:jc w:val="center"/>
        <w:rPr>
          <w:rStyle w:val="83"/>
          <w:rFonts w:hint="eastAsia" w:ascii="仿宋" w:hAnsi="仿宋" w:eastAsia="仿宋" w:cs="仿宋"/>
          <w:b/>
          <w:color w:val="auto"/>
          <w:kern w:val="0"/>
          <w:sz w:val="28"/>
          <w:szCs w:val="28"/>
          <w:highlight w:val="none"/>
        </w:rPr>
      </w:pPr>
      <w:r>
        <w:rPr>
          <w:rStyle w:val="83"/>
          <w:rFonts w:hint="eastAsia" w:ascii="仿宋" w:hAnsi="仿宋" w:eastAsia="仿宋" w:cs="仿宋"/>
          <w:b/>
          <w:color w:val="auto"/>
          <w:w w:val="99"/>
          <w:kern w:val="0"/>
          <w:sz w:val="28"/>
          <w:szCs w:val="28"/>
          <w:highlight w:val="none"/>
        </w:rPr>
        <w:t>法定代表人或其委托代理人：</w:t>
      </w:r>
      <w:r>
        <w:rPr>
          <w:rStyle w:val="83"/>
          <w:rFonts w:hint="eastAsia" w:ascii="仿宋" w:hAnsi="仿宋" w:eastAsia="仿宋" w:cs="仿宋"/>
          <w:b/>
          <w:color w:val="auto"/>
          <w:w w:val="198"/>
          <w:kern w:val="0"/>
          <w:sz w:val="28"/>
          <w:szCs w:val="28"/>
          <w:highlight w:val="none"/>
          <w:u w:val="single" w:color="000000"/>
        </w:rPr>
        <w:t>　　　</w:t>
      </w:r>
      <w:r>
        <w:rPr>
          <w:rStyle w:val="83"/>
          <w:rFonts w:hint="eastAsia" w:ascii="仿宋" w:hAnsi="仿宋" w:eastAsia="仿宋" w:cs="仿宋"/>
          <w:b/>
          <w:color w:val="auto"/>
          <w:w w:val="99"/>
          <w:kern w:val="0"/>
          <w:sz w:val="28"/>
          <w:szCs w:val="28"/>
          <w:highlight w:val="none"/>
        </w:rPr>
        <w:t>（签字或盖章）</w:t>
      </w:r>
    </w:p>
    <w:p w14:paraId="5008671E">
      <w:pPr>
        <w:tabs>
          <w:tab w:val="left" w:pos="3280"/>
          <w:tab w:val="left" w:pos="4680"/>
          <w:tab w:val="left" w:pos="6080"/>
        </w:tabs>
        <w:snapToGrid w:val="0"/>
        <w:spacing w:line="360" w:lineRule="auto"/>
        <w:jc w:val="center"/>
        <w:rPr>
          <w:rStyle w:val="83"/>
          <w:rFonts w:hint="eastAsia" w:ascii="仿宋" w:hAnsi="仿宋" w:eastAsia="仿宋" w:cs="仿宋"/>
          <w:color w:val="auto"/>
          <w:sz w:val="24"/>
          <w:highlight w:val="none"/>
        </w:rPr>
      </w:pPr>
      <w:r>
        <w:rPr>
          <w:rStyle w:val="83"/>
          <w:rFonts w:hint="eastAsia" w:ascii="仿宋" w:hAnsi="仿宋" w:eastAsia="仿宋" w:cs="仿宋"/>
          <w:color w:val="auto"/>
          <w:w w:val="99"/>
          <w:kern w:val="0"/>
          <w:sz w:val="28"/>
          <w:szCs w:val="28"/>
          <w:highlight w:val="none"/>
          <w:u w:val="single" w:color="000000"/>
        </w:rPr>
        <w:t xml:space="preserve">　   </w:t>
      </w:r>
      <w:r>
        <w:rPr>
          <w:rStyle w:val="83"/>
          <w:rFonts w:hint="eastAsia" w:ascii="仿宋" w:hAnsi="仿宋" w:eastAsia="仿宋" w:cs="仿宋"/>
          <w:b/>
          <w:color w:val="auto"/>
          <w:w w:val="99"/>
          <w:kern w:val="0"/>
          <w:sz w:val="28"/>
          <w:szCs w:val="28"/>
          <w:highlight w:val="none"/>
        </w:rPr>
        <w:t>年</w:t>
      </w:r>
      <w:r>
        <w:rPr>
          <w:rStyle w:val="83"/>
          <w:rFonts w:hint="eastAsia" w:ascii="仿宋" w:hAnsi="仿宋" w:eastAsia="仿宋" w:cs="仿宋"/>
          <w:color w:val="auto"/>
          <w:w w:val="99"/>
          <w:kern w:val="0"/>
          <w:sz w:val="28"/>
          <w:szCs w:val="28"/>
          <w:highlight w:val="none"/>
          <w:u w:val="single" w:color="000000"/>
        </w:rPr>
        <w:t xml:space="preserve">　 </w:t>
      </w:r>
      <w:r>
        <w:rPr>
          <w:rStyle w:val="83"/>
          <w:rFonts w:hint="eastAsia" w:ascii="仿宋" w:hAnsi="仿宋" w:eastAsia="仿宋" w:cs="仿宋"/>
          <w:b/>
          <w:color w:val="auto"/>
          <w:w w:val="99"/>
          <w:kern w:val="0"/>
          <w:sz w:val="28"/>
          <w:szCs w:val="28"/>
          <w:highlight w:val="none"/>
        </w:rPr>
        <w:t>月</w:t>
      </w:r>
      <w:r>
        <w:rPr>
          <w:rStyle w:val="83"/>
          <w:rFonts w:hint="eastAsia" w:ascii="仿宋" w:hAnsi="仿宋" w:eastAsia="仿宋" w:cs="仿宋"/>
          <w:color w:val="auto"/>
          <w:w w:val="99"/>
          <w:kern w:val="0"/>
          <w:sz w:val="28"/>
          <w:szCs w:val="28"/>
          <w:highlight w:val="none"/>
          <w:u w:val="single" w:color="000000"/>
        </w:rPr>
        <w:t xml:space="preserve">　 </w:t>
      </w:r>
      <w:r>
        <w:rPr>
          <w:rStyle w:val="83"/>
          <w:rFonts w:hint="eastAsia" w:ascii="仿宋" w:hAnsi="仿宋" w:eastAsia="仿宋" w:cs="仿宋"/>
          <w:b/>
          <w:color w:val="auto"/>
          <w:w w:val="99"/>
          <w:kern w:val="0"/>
          <w:sz w:val="28"/>
          <w:szCs w:val="28"/>
          <w:highlight w:val="none"/>
        </w:rPr>
        <w:t>日</w:t>
      </w:r>
    </w:p>
    <w:p w14:paraId="22AEB29C">
      <w:pPr>
        <w:rPr>
          <w:rFonts w:hint="eastAsia" w:ascii="仿宋" w:hAnsi="仿宋" w:eastAsia="仿宋" w:cs="仿宋"/>
          <w:b/>
          <w:bCs/>
          <w:color w:val="auto"/>
        </w:rPr>
      </w:pPr>
    </w:p>
    <w:p w14:paraId="78585AD1">
      <w:pPr>
        <w:rPr>
          <w:rFonts w:hint="eastAsia"/>
        </w:rPr>
      </w:pPr>
      <w:r>
        <w:rPr>
          <w:rFonts w:hint="eastAsia"/>
        </w:rPr>
        <w:br w:type="page"/>
      </w:r>
    </w:p>
    <w:p w14:paraId="305B639B">
      <w:pPr>
        <w:tabs>
          <w:tab w:val="left" w:pos="4610"/>
          <w:tab w:val="left" w:pos="5940"/>
        </w:tabs>
        <w:snapToGrid w:val="0"/>
        <w:spacing w:line="360" w:lineRule="auto"/>
        <w:jc w:val="center"/>
        <w:rPr>
          <w:rStyle w:val="83"/>
          <w:rFonts w:hint="eastAsia" w:ascii="仿宋" w:hAnsi="仿宋" w:eastAsia="仿宋" w:cs="仿宋"/>
          <w:b/>
          <w:bCs/>
          <w:color w:val="auto"/>
          <w:sz w:val="36"/>
          <w:szCs w:val="36"/>
          <w:highlight w:val="none"/>
        </w:rPr>
      </w:pPr>
      <w:r>
        <w:rPr>
          <w:rStyle w:val="83"/>
          <w:rFonts w:hint="eastAsia" w:ascii="仿宋" w:hAnsi="仿宋" w:eastAsia="仿宋" w:cs="仿宋"/>
          <w:b/>
          <w:bCs/>
          <w:color w:val="auto"/>
          <w:sz w:val="36"/>
          <w:szCs w:val="36"/>
          <w:highlight w:val="none"/>
        </w:rPr>
        <w:t>目    录</w:t>
      </w:r>
    </w:p>
    <w:p w14:paraId="4A1A78EA">
      <w:pPr>
        <w:pStyle w:val="36"/>
        <w:rPr>
          <w:rFonts w:hint="eastAsia"/>
        </w:rPr>
      </w:pPr>
    </w:p>
    <w:p w14:paraId="63F1E9C7">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一、经济部分</w:t>
      </w:r>
    </w:p>
    <w:p w14:paraId="50A6493E">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二、技术部分</w:t>
      </w:r>
    </w:p>
    <w:p w14:paraId="2CC2CCA2">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三、商务部分</w:t>
      </w:r>
    </w:p>
    <w:p w14:paraId="15C2F333">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四、资格条件及其他</w:t>
      </w:r>
    </w:p>
    <w:p w14:paraId="6D4D4CBD">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rPr>
      </w:pPr>
      <w:r>
        <w:rPr>
          <w:rFonts w:hint="eastAsia" w:ascii="仿宋" w:hAnsi="仿宋" w:eastAsia="仿宋" w:cs="仿宋"/>
          <w:b/>
          <w:bCs/>
          <w:color w:val="auto"/>
        </w:rPr>
        <w:t>五、其他应提供的资料</w:t>
      </w:r>
    </w:p>
    <w:p w14:paraId="3F7C5965">
      <w:pPr>
        <w:rPr>
          <w:rFonts w:hint="eastAsia" w:ascii="仿宋" w:hAnsi="仿宋" w:eastAsia="仿宋" w:cs="仿宋"/>
          <w:b/>
          <w:bCs/>
          <w:color w:val="auto"/>
        </w:rPr>
      </w:pPr>
      <w:bookmarkStart w:id="273" w:name="_Toc486608277"/>
      <w:bookmarkStart w:id="274" w:name="_Toc20421"/>
      <w:bookmarkStart w:id="275" w:name="_Toc486585240"/>
      <w:bookmarkStart w:id="276" w:name="_Toc3607"/>
      <w:bookmarkStart w:id="277" w:name="_Toc108545983"/>
      <w:bookmarkStart w:id="278" w:name="_Toc14854"/>
      <w:bookmarkStart w:id="279" w:name="_Toc487204797"/>
      <w:r>
        <w:rPr>
          <w:rFonts w:hint="eastAsia" w:ascii="仿宋" w:hAnsi="仿宋" w:eastAsia="仿宋" w:cs="仿宋"/>
          <w:b/>
          <w:bCs/>
          <w:color w:val="auto"/>
        </w:rPr>
        <w:br w:type="page"/>
      </w:r>
    </w:p>
    <w:p w14:paraId="57ABC993">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280" w:name="_Toc21187"/>
      <w:r>
        <w:rPr>
          <w:rFonts w:hint="eastAsia" w:ascii="仿宋" w:hAnsi="仿宋" w:eastAsia="仿宋" w:cs="仿宋"/>
          <w:b/>
          <w:bCs/>
          <w:color w:val="auto"/>
        </w:rPr>
        <w:t>一、经济部分</w:t>
      </w:r>
      <w:bookmarkEnd w:id="273"/>
      <w:bookmarkEnd w:id="274"/>
      <w:bookmarkEnd w:id="275"/>
      <w:bookmarkEnd w:id="276"/>
      <w:bookmarkEnd w:id="277"/>
      <w:bookmarkEnd w:id="278"/>
      <w:bookmarkEnd w:id="279"/>
      <w:bookmarkEnd w:id="280"/>
    </w:p>
    <w:p w14:paraId="64FE6A0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（一）报价函</w:t>
      </w:r>
    </w:p>
    <w:p w14:paraId="455BBD9A">
      <w:pPr>
        <w:keepNext w:val="0"/>
        <w:keepLines w:val="0"/>
        <w:pageBreakBefore w:val="0"/>
        <w:tabs>
          <w:tab w:val="left" w:pos="6300"/>
        </w:tabs>
        <w:kinsoku/>
        <w:overflowPunct/>
        <w:topLinePunct w:val="0"/>
        <w:autoSpaceDE/>
        <w:autoSpaceDN/>
        <w:bidi w:val="0"/>
        <w:adjustRightInd/>
        <w:snapToGrid w:val="0"/>
        <w:spacing w:line="360" w:lineRule="auto"/>
        <w:ind w:firstLine="482" w:firstLineChars="200"/>
        <w:jc w:val="center"/>
        <w:textAlignment w:val="auto"/>
        <w:outlineLvl w:val="9"/>
        <w:rPr>
          <w:rFonts w:hint="eastAsia" w:ascii="仿宋" w:hAnsi="仿宋" w:eastAsia="仿宋" w:cs="仿宋"/>
          <w:b/>
          <w:color w:val="auto"/>
        </w:rPr>
      </w:pPr>
      <w:r>
        <w:rPr>
          <w:rFonts w:hint="eastAsia" w:ascii="仿宋" w:hAnsi="仿宋" w:eastAsia="仿宋" w:cs="仿宋"/>
          <w:b/>
          <w:color w:val="auto"/>
        </w:rPr>
        <w:t>报价函</w:t>
      </w:r>
    </w:p>
    <w:p w14:paraId="67DEBB66">
      <w:pPr>
        <w:keepNext w:val="0"/>
        <w:keepLines w:val="0"/>
        <w:pageBreakBefore w:val="0"/>
        <w:tabs>
          <w:tab w:val="left" w:pos="6300"/>
        </w:tabs>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u w:val="single"/>
        </w:rPr>
        <w:t xml:space="preserve">                  （采购人名称）</w:t>
      </w:r>
      <w:r>
        <w:rPr>
          <w:rFonts w:hint="eastAsia" w:ascii="仿宋" w:hAnsi="仿宋" w:eastAsia="仿宋" w:cs="仿宋"/>
          <w:color w:val="auto"/>
        </w:rPr>
        <w:t>：</w:t>
      </w:r>
    </w:p>
    <w:p w14:paraId="2CF0FD4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我方收到____________________________（比选项目名称）的竞争性比选文件，经详细研究，决定参加该项目的比选。</w:t>
      </w:r>
    </w:p>
    <w:p w14:paraId="528D0668">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1．愿意按照竞争性比选文件中的一切要求，提供本项目的服务，报价为人民币大写：</w:t>
      </w:r>
    </w:p>
    <w:p w14:paraId="438AAD8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元整；人民币小写：</w:t>
      </w:r>
      <w:r>
        <w:rPr>
          <w:rFonts w:hint="eastAsia" w:ascii="仿宋" w:hAnsi="仿宋" w:eastAsia="仿宋" w:cs="仿宋"/>
          <w:color w:val="auto"/>
          <w:u w:val="single"/>
        </w:rPr>
        <w:t xml:space="preserve">     </w:t>
      </w:r>
      <w:r>
        <w:rPr>
          <w:rFonts w:hint="eastAsia" w:ascii="仿宋" w:hAnsi="仿宋" w:eastAsia="仿宋" w:cs="仿宋"/>
          <w:color w:val="auto"/>
        </w:rPr>
        <w:t>元，工期为：</w:t>
      </w:r>
      <w:r>
        <w:rPr>
          <w:rFonts w:hint="eastAsia" w:ascii="仿宋" w:hAnsi="仿宋" w:eastAsia="仿宋" w:cs="仿宋"/>
          <w:color w:val="auto"/>
          <w:u w:val="single"/>
        </w:rPr>
        <w:t xml:space="preserve">   </w:t>
      </w:r>
      <w:r>
        <w:rPr>
          <w:rFonts w:hint="eastAsia" w:ascii="仿宋" w:hAnsi="仿宋" w:eastAsia="仿宋" w:cs="仿宋"/>
          <w:color w:val="auto"/>
        </w:rPr>
        <w:t>日历天，</w:t>
      </w:r>
      <w:r>
        <w:rPr>
          <w:rFonts w:hint="eastAsia" w:ascii="仿宋" w:hAnsi="仿宋" w:eastAsia="仿宋" w:cs="仿宋"/>
          <w:color w:val="auto"/>
          <w:lang w:val="en-US" w:eastAsia="zh-CN"/>
        </w:rPr>
        <w:t>拟投电梯品牌为：</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lang w:val="en-US" w:eastAsia="zh-CN"/>
        </w:rPr>
        <w:t>，</w:t>
      </w:r>
      <w:r>
        <w:rPr>
          <w:rFonts w:hint="eastAsia" w:ascii="仿宋" w:hAnsi="仿宋" w:eastAsia="仿宋" w:cs="仿宋"/>
          <w:color w:val="auto"/>
        </w:rPr>
        <w:t>工程质量：达到竞争性比选文件的要求。</w:t>
      </w:r>
    </w:p>
    <w:p w14:paraId="60001C4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2．我方现提交的响应文件为：响应文件正本</w:t>
      </w:r>
      <w:r>
        <w:rPr>
          <w:rFonts w:hint="eastAsia" w:ascii="仿宋" w:hAnsi="仿宋" w:eastAsia="仿宋" w:cs="仿宋"/>
          <w:color w:val="auto"/>
          <w:u w:val="single"/>
        </w:rPr>
        <w:t xml:space="preserve">   </w:t>
      </w:r>
      <w:r>
        <w:rPr>
          <w:rFonts w:hint="eastAsia" w:ascii="仿宋" w:hAnsi="仿宋" w:eastAsia="仿宋" w:cs="仿宋"/>
          <w:color w:val="auto"/>
        </w:rPr>
        <w:t>份，副本</w:t>
      </w:r>
      <w:r>
        <w:rPr>
          <w:rFonts w:hint="eastAsia" w:ascii="仿宋" w:hAnsi="仿宋" w:eastAsia="仿宋" w:cs="仿宋"/>
          <w:color w:val="auto"/>
          <w:u w:val="single"/>
        </w:rPr>
        <w:t xml:space="preserve">   </w:t>
      </w:r>
      <w:r>
        <w:rPr>
          <w:rFonts w:hint="eastAsia" w:ascii="仿宋" w:hAnsi="仿宋" w:eastAsia="仿宋" w:cs="仿宋"/>
          <w:color w:val="auto"/>
        </w:rPr>
        <w:t>份。</w:t>
      </w:r>
    </w:p>
    <w:p w14:paraId="30E0B29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3．我方承诺：本次比选的有效期为90天。</w:t>
      </w:r>
    </w:p>
    <w:p w14:paraId="59A0DC29">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4．我方完全理解和接受贵方竞争性比选文件的一切规定和要求及比选评审办法。</w:t>
      </w:r>
    </w:p>
    <w:p w14:paraId="461F413F">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5．在整个比选过程中，我方若有违规行为，接受按照《中华人民共和国政府采购法》和《竞争性比选文件》之规定给予惩罚。</w:t>
      </w:r>
    </w:p>
    <w:p w14:paraId="32E97CD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33D4CB0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7．我方同意按竞争性比选文件规定，交纳竞争性比选文件要求的保证金。如果我方成为成交供应商，保证在接到成交通知书后，向采购代理机构交纳比选文件规定的采购代理服务费。</w:t>
      </w:r>
    </w:p>
    <w:p w14:paraId="036ECCB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8</w:t>
      </w:r>
      <w:bookmarkStart w:id="281" w:name="OLE_LINK65"/>
      <w:bookmarkStart w:id="282" w:name="OLE_LINK64"/>
      <w:r>
        <w:rPr>
          <w:rFonts w:hint="eastAsia" w:ascii="仿宋" w:hAnsi="仿宋" w:eastAsia="仿宋" w:cs="仿宋"/>
          <w:color w:val="auto"/>
        </w:rPr>
        <w:t>．</w:t>
      </w:r>
      <w:bookmarkEnd w:id="281"/>
      <w:bookmarkEnd w:id="282"/>
      <w:r>
        <w:rPr>
          <w:rFonts w:hint="eastAsia" w:ascii="仿宋" w:hAnsi="仿宋" w:eastAsia="仿宋" w:cs="仿宋"/>
          <w:color w:val="auto"/>
        </w:rPr>
        <w:t>我方未为采购项目提供整体设计、规范编制或者项目管理、监理、检测等服务。</w:t>
      </w:r>
    </w:p>
    <w:p w14:paraId="29AF50BA">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D52B68E">
      <w:pPr>
        <w:keepNext w:val="0"/>
        <w:keepLines w:val="0"/>
        <w:pageBreakBefore w:val="0"/>
        <w:tabs>
          <w:tab w:val="left" w:pos="6300"/>
        </w:tabs>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0B2F641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0092082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供应商（公章）：</w:t>
      </w:r>
    </w:p>
    <w:p w14:paraId="23121E46">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地址：</w:t>
      </w:r>
    </w:p>
    <w:p w14:paraId="77FD2A0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电话：                   传真：</w:t>
      </w:r>
    </w:p>
    <w:p w14:paraId="36025A1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网址：                   邮编：</w:t>
      </w:r>
    </w:p>
    <w:p w14:paraId="0C89160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联系人：</w:t>
      </w:r>
    </w:p>
    <w:p w14:paraId="5CDEB85B">
      <w:pPr>
        <w:keepNext w:val="0"/>
        <w:keepLines w:val="0"/>
        <w:pageBreakBefore w:val="0"/>
        <w:kinsoku/>
        <w:overflowPunct/>
        <w:topLinePunct w:val="0"/>
        <w:autoSpaceDE/>
        <w:autoSpaceDN/>
        <w:bidi w:val="0"/>
        <w:adjustRightInd/>
        <w:snapToGrid w:val="0"/>
        <w:spacing w:line="360" w:lineRule="auto"/>
        <w:ind w:right="480"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40AB0D6C">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sectPr>
          <w:headerReference r:id="rId10" w:type="default"/>
          <w:footerReference r:id="rId11" w:type="default"/>
          <w:pgSz w:w="11907" w:h="16840"/>
          <w:pgMar w:top="1440" w:right="1080" w:bottom="1440" w:left="1080" w:header="454" w:footer="567" w:gutter="0"/>
          <w:pgNumType w:fmt="numberInDash"/>
          <w:cols w:space="720" w:num="1"/>
          <w:docGrid w:linePitch="326" w:charSpace="0"/>
        </w:sectPr>
      </w:pPr>
    </w:p>
    <w:p w14:paraId="6EEFCDAB">
      <w:pPr>
        <w:keepNext w:val="0"/>
        <w:keepLines w:val="0"/>
        <w:pageBreakBefore w:val="0"/>
        <w:tabs>
          <w:tab w:val="left" w:pos="2895"/>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（二）明细报价表</w:t>
      </w:r>
    </w:p>
    <w:p w14:paraId="6A353D4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明细报价表</w:t>
      </w:r>
    </w:p>
    <w:p w14:paraId="652AF4B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项目名称：                                           单位：元</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966"/>
        <w:gridCol w:w="2560"/>
        <w:gridCol w:w="1285"/>
        <w:gridCol w:w="1285"/>
        <w:gridCol w:w="967"/>
        <w:gridCol w:w="967"/>
        <w:gridCol w:w="967"/>
      </w:tblGrid>
      <w:tr w14:paraId="445D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vAlign w:val="center"/>
          </w:tcPr>
          <w:p w14:paraId="1748BDA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485" w:type="pct"/>
            <w:vAlign w:val="center"/>
          </w:tcPr>
          <w:p w14:paraId="56F4596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名称</w:t>
            </w:r>
          </w:p>
        </w:tc>
        <w:tc>
          <w:tcPr>
            <w:tcW w:w="1285" w:type="pct"/>
            <w:vAlign w:val="center"/>
          </w:tcPr>
          <w:p w14:paraId="178515A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品牌、规格型号</w:t>
            </w:r>
          </w:p>
        </w:tc>
        <w:tc>
          <w:tcPr>
            <w:tcW w:w="645" w:type="pct"/>
            <w:vAlign w:val="center"/>
          </w:tcPr>
          <w:p w14:paraId="2A2F89F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制造商</w:t>
            </w:r>
          </w:p>
        </w:tc>
        <w:tc>
          <w:tcPr>
            <w:tcW w:w="645" w:type="pct"/>
            <w:vAlign w:val="center"/>
          </w:tcPr>
          <w:p w14:paraId="32B3A09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生产地</w:t>
            </w:r>
          </w:p>
        </w:tc>
        <w:tc>
          <w:tcPr>
            <w:tcW w:w="485" w:type="pct"/>
            <w:vAlign w:val="center"/>
          </w:tcPr>
          <w:p w14:paraId="2D39455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数量</w:t>
            </w:r>
          </w:p>
        </w:tc>
        <w:tc>
          <w:tcPr>
            <w:tcW w:w="485" w:type="pct"/>
            <w:vAlign w:val="center"/>
          </w:tcPr>
          <w:p w14:paraId="48E9C3A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单价</w:t>
            </w:r>
          </w:p>
        </w:tc>
        <w:tc>
          <w:tcPr>
            <w:tcW w:w="485" w:type="pct"/>
            <w:vAlign w:val="center"/>
          </w:tcPr>
          <w:p w14:paraId="66AF3B4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sz w:val="21"/>
                <w:szCs w:val="21"/>
              </w:rPr>
            </w:pPr>
            <w:r>
              <w:rPr>
                <w:rFonts w:hint="eastAsia" w:ascii="仿宋" w:hAnsi="仿宋" w:eastAsia="仿宋" w:cs="仿宋"/>
                <w:b/>
                <w:bCs/>
                <w:color w:val="auto"/>
                <w:sz w:val="21"/>
                <w:szCs w:val="21"/>
              </w:rPr>
              <w:t>合计</w:t>
            </w:r>
          </w:p>
        </w:tc>
      </w:tr>
      <w:tr w14:paraId="7C5A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2FC07D1">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3" w:name="_Toc372"/>
            <w:r>
              <w:rPr>
                <w:rFonts w:hint="eastAsia" w:ascii="仿宋" w:hAnsi="仿宋" w:eastAsia="仿宋" w:cs="仿宋"/>
                <w:color w:val="auto"/>
                <w:sz w:val="21"/>
                <w:szCs w:val="21"/>
              </w:rPr>
              <w:t>1</w:t>
            </w:r>
            <w:bookmarkEnd w:id="283"/>
          </w:p>
        </w:tc>
        <w:tc>
          <w:tcPr>
            <w:tcW w:w="485" w:type="pct"/>
            <w:vAlign w:val="center"/>
          </w:tcPr>
          <w:p w14:paraId="0CB9ECC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76B131B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4144C13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74D0850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62A326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261C654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50AD3F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42E2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0E556FD8">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4" w:name="_Toc13778"/>
            <w:r>
              <w:rPr>
                <w:rFonts w:hint="eastAsia" w:ascii="仿宋" w:hAnsi="仿宋" w:eastAsia="仿宋" w:cs="仿宋"/>
                <w:color w:val="auto"/>
                <w:sz w:val="21"/>
                <w:szCs w:val="21"/>
              </w:rPr>
              <w:t>2</w:t>
            </w:r>
            <w:bookmarkEnd w:id="284"/>
          </w:p>
        </w:tc>
        <w:tc>
          <w:tcPr>
            <w:tcW w:w="485" w:type="pct"/>
            <w:vAlign w:val="center"/>
          </w:tcPr>
          <w:p w14:paraId="589DC07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1E0C902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0DC0215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45C916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6548D01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3A1C25D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2D59683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2CA4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23CDFC4">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5" w:name="_Toc7746"/>
            <w:r>
              <w:rPr>
                <w:rFonts w:hint="eastAsia" w:ascii="仿宋" w:hAnsi="仿宋" w:eastAsia="仿宋" w:cs="仿宋"/>
                <w:color w:val="auto"/>
                <w:sz w:val="21"/>
                <w:szCs w:val="21"/>
              </w:rPr>
              <w:t>3</w:t>
            </w:r>
            <w:bookmarkEnd w:id="285"/>
          </w:p>
        </w:tc>
        <w:tc>
          <w:tcPr>
            <w:tcW w:w="485" w:type="pct"/>
            <w:vAlign w:val="center"/>
          </w:tcPr>
          <w:p w14:paraId="46DE3F0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0C3CC83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F25916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719279D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5BE923D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CB587C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1E2AC97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288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EE4B7BA">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6" w:name="_Toc390"/>
            <w:r>
              <w:rPr>
                <w:rFonts w:hint="eastAsia" w:ascii="仿宋" w:hAnsi="仿宋" w:eastAsia="仿宋" w:cs="仿宋"/>
                <w:color w:val="auto"/>
                <w:sz w:val="21"/>
                <w:szCs w:val="21"/>
              </w:rPr>
              <w:t>4</w:t>
            </w:r>
            <w:bookmarkEnd w:id="286"/>
          </w:p>
        </w:tc>
        <w:tc>
          <w:tcPr>
            <w:tcW w:w="485" w:type="pct"/>
            <w:vAlign w:val="center"/>
          </w:tcPr>
          <w:p w14:paraId="6991F88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711A40A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35372B2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A68B52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51CD311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2FFC4EA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D9D9F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4AC7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58C1CC5">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7" w:name="_Toc14961"/>
            <w:r>
              <w:rPr>
                <w:rFonts w:hint="eastAsia" w:ascii="仿宋" w:hAnsi="仿宋" w:eastAsia="仿宋" w:cs="仿宋"/>
                <w:color w:val="auto"/>
                <w:sz w:val="21"/>
                <w:szCs w:val="21"/>
              </w:rPr>
              <w:t>5</w:t>
            </w:r>
            <w:bookmarkEnd w:id="287"/>
          </w:p>
        </w:tc>
        <w:tc>
          <w:tcPr>
            <w:tcW w:w="485" w:type="pct"/>
            <w:vAlign w:val="center"/>
          </w:tcPr>
          <w:p w14:paraId="787C2C2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60168C9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E5C579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062D52E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0DDED0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0B99930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5B65952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262A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63BD832">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8" w:name="_Toc32317"/>
            <w:r>
              <w:rPr>
                <w:rFonts w:hint="eastAsia" w:ascii="仿宋" w:hAnsi="仿宋" w:eastAsia="仿宋" w:cs="仿宋"/>
                <w:color w:val="auto"/>
                <w:sz w:val="21"/>
                <w:szCs w:val="21"/>
              </w:rPr>
              <w:t>6</w:t>
            </w:r>
            <w:bookmarkEnd w:id="288"/>
          </w:p>
        </w:tc>
        <w:tc>
          <w:tcPr>
            <w:tcW w:w="485" w:type="pct"/>
            <w:vAlign w:val="center"/>
          </w:tcPr>
          <w:p w14:paraId="5C5A333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24951BA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A86DDF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85F5EC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07583FB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1A5400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0CB7C7D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5F6B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312B58D">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89" w:name="_Toc25375"/>
            <w:r>
              <w:rPr>
                <w:rFonts w:hint="eastAsia" w:ascii="仿宋" w:hAnsi="仿宋" w:eastAsia="仿宋" w:cs="仿宋"/>
                <w:color w:val="auto"/>
                <w:sz w:val="21"/>
                <w:szCs w:val="21"/>
              </w:rPr>
              <w:t>7</w:t>
            </w:r>
            <w:bookmarkEnd w:id="289"/>
          </w:p>
        </w:tc>
        <w:tc>
          <w:tcPr>
            <w:tcW w:w="485" w:type="pct"/>
            <w:vAlign w:val="center"/>
          </w:tcPr>
          <w:p w14:paraId="7626635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0A90E49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35FAA1B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B6C64E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7FF6A2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6F3E9E4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1412A76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B92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C7DF9A0">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90" w:name="_Toc28634"/>
            <w:r>
              <w:rPr>
                <w:rFonts w:hint="eastAsia" w:ascii="仿宋" w:hAnsi="仿宋" w:eastAsia="仿宋" w:cs="仿宋"/>
                <w:color w:val="auto"/>
                <w:sz w:val="21"/>
                <w:szCs w:val="21"/>
              </w:rPr>
              <w:t>8</w:t>
            </w:r>
            <w:bookmarkEnd w:id="290"/>
          </w:p>
        </w:tc>
        <w:tc>
          <w:tcPr>
            <w:tcW w:w="485" w:type="pct"/>
            <w:vAlign w:val="center"/>
          </w:tcPr>
          <w:p w14:paraId="4BFE628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4726CD2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52FBFF8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6E92651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19DDC78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485" w:type="pct"/>
          </w:tcPr>
          <w:p w14:paraId="06872A0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82543D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3B91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183DA9E">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91" w:name="_Toc29433"/>
            <w:r>
              <w:rPr>
                <w:rFonts w:hint="eastAsia" w:ascii="仿宋" w:hAnsi="仿宋" w:eastAsia="仿宋" w:cs="仿宋"/>
                <w:color w:val="auto"/>
                <w:sz w:val="21"/>
                <w:szCs w:val="21"/>
              </w:rPr>
              <w:t>9</w:t>
            </w:r>
            <w:bookmarkEnd w:id="291"/>
          </w:p>
        </w:tc>
        <w:tc>
          <w:tcPr>
            <w:tcW w:w="485" w:type="pct"/>
            <w:vAlign w:val="center"/>
          </w:tcPr>
          <w:p w14:paraId="0D2B7FE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41D9093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6196CE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3E9E9A9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1093B88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485" w:type="pct"/>
          </w:tcPr>
          <w:p w14:paraId="022904D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73B670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2900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9749333">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92" w:name="_Toc7004"/>
            <w:r>
              <w:rPr>
                <w:rFonts w:hint="eastAsia" w:ascii="仿宋" w:hAnsi="仿宋" w:eastAsia="仿宋" w:cs="仿宋"/>
                <w:color w:val="auto"/>
                <w:sz w:val="21"/>
                <w:szCs w:val="21"/>
              </w:rPr>
              <w:t>10</w:t>
            </w:r>
            <w:bookmarkEnd w:id="292"/>
          </w:p>
        </w:tc>
        <w:tc>
          <w:tcPr>
            <w:tcW w:w="485" w:type="pct"/>
            <w:vAlign w:val="center"/>
          </w:tcPr>
          <w:p w14:paraId="63E21F0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5" w:type="pct"/>
          </w:tcPr>
          <w:p w14:paraId="7DF87EF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2EAE28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3CEA9AC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3024087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485" w:type="pct"/>
          </w:tcPr>
          <w:p w14:paraId="6EDCBB6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54141B4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5103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0F9938A">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93" w:name="_Toc17375"/>
            <w:r>
              <w:rPr>
                <w:rFonts w:hint="eastAsia" w:ascii="仿宋" w:hAnsi="仿宋" w:eastAsia="仿宋" w:cs="仿宋"/>
                <w:color w:val="auto"/>
                <w:sz w:val="21"/>
                <w:szCs w:val="21"/>
              </w:rPr>
              <w:t>11</w:t>
            </w:r>
            <w:bookmarkEnd w:id="293"/>
          </w:p>
        </w:tc>
        <w:tc>
          <w:tcPr>
            <w:tcW w:w="485" w:type="pct"/>
            <w:vAlign w:val="center"/>
          </w:tcPr>
          <w:p w14:paraId="15C2ECB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1285" w:type="pct"/>
          </w:tcPr>
          <w:p w14:paraId="4B79543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1387FBA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645" w:type="pct"/>
          </w:tcPr>
          <w:p w14:paraId="6755C0E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vAlign w:val="center"/>
          </w:tcPr>
          <w:p w14:paraId="248B00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485" w:type="pct"/>
          </w:tcPr>
          <w:p w14:paraId="44CC5B8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485" w:type="pct"/>
          </w:tcPr>
          <w:p w14:paraId="3F72B6F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7089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C5971BA">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hint="eastAsia" w:ascii="仿宋" w:hAnsi="仿宋" w:eastAsia="仿宋" w:cs="仿宋"/>
                <w:color w:val="auto"/>
                <w:sz w:val="21"/>
                <w:szCs w:val="21"/>
              </w:rPr>
            </w:pPr>
            <w:bookmarkStart w:id="294" w:name="_Toc128"/>
            <w:r>
              <w:rPr>
                <w:rFonts w:hint="eastAsia" w:ascii="仿宋" w:hAnsi="仿宋" w:eastAsia="仿宋" w:cs="仿宋"/>
                <w:color w:val="auto"/>
                <w:sz w:val="21"/>
                <w:szCs w:val="21"/>
              </w:rPr>
              <w:t>12</w:t>
            </w:r>
            <w:bookmarkEnd w:id="294"/>
          </w:p>
        </w:tc>
        <w:tc>
          <w:tcPr>
            <w:tcW w:w="485" w:type="pct"/>
            <w:vAlign w:val="center"/>
          </w:tcPr>
          <w:p w14:paraId="318B88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总计</w:t>
            </w:r>
          </w:p>
        </w:tc>
        <w:tc>
          <w:tcPr>
            <w:tcW w:w="4030" w:type="pct"/>
            <w:gridSpan w:val="6"/>
          </w:tcPr>
          <w:p w14:paraId="4479772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1"/>
                <w:szCs w:val="21"/>
              </w:rPr>
            </w:pPr>
          </w:p>
        </w:tc>
      </w:tr>
    </w:tbl>
    <w:p w14:paraId="166EAA8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7F9F1C59">
      <w:pPr>
        <w:keepNext w:val="0"/>
        <w:keepLines w:val="0"/>
        <w:pageBreakBefore w:val="0"/>
        <w:kinsoku/>
        <w:overflowPunct/>
        <w:topLinePunct w:val="0"/>
        <w:autoSpaceDE/>
        <w:autoSpaceDN/>
        <w:bidi w:val="0"/>
        <w:adjustRightInd/>
        <w:snapToGrid w:val="0"/>
        <w:spacing w:line="360" w:lineRule="auto"/>
        <w:ind w:firstLine="600" w:firstLineChars="250"/>
        <w:textAlignment w:val="auto"/>
        <w:outlineLvl w:val="9"/>
        <w:rPr>
          <w:rFonts w:hint="eastAsia" w:ascii="仿宋" w:hAnsi="仿宋" w:eastAsia="仿宋" w:cs="仿宋"/>
          <w:color w:val="auto"/>
        </w:rPr>
      </w:pPr>
      <w:r>
        <w:rPr>
          <w:rFonts w:hint="eastAsia" w:ascii="仿宋" w:hAnsi="仿宋" w:eastAsia="仿宋" w:cs="仿宋"/>
          <w:color w:val="auto"/>
        </w:rPr>
        <w:t>供应商：                       法定代表人（或法定代表人授权代表）或自然人：</w:t>
      </w:r>
    </w:p>
    <w:p w14:paraId="4BC12B15">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r>
        <w:rPr>
          <w:rFonts w:hint="eastAsia" w:ascii="仿宋" w:hAnsi="仿宋" w:eastAsia="仿宋" w:cs="仿宋"/>
          <w:color w:val="auto"/>
        </w:rPr>
        <w:t xml:space="preserve">  （公章）                               （签署或盖章）</w:t>
      </w:r>
    </w:p>
    <w:p w14:paraId="290C668E">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66E6A852">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2AD1626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1ED1D77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2C5AD0C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注：</w:t>
      </w:r>
    </w:p>
    <w:p w14:paraId="43AA777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1．请参选人完整填写本表。</w:t>
      </w:r>
    </w:p>
    <w:p w14:paraId="58875E4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2．该表可扩展。</w:t>
      </w:r>
    </w:p>
    <w:p w14:paraId="22A5CB58">
      <w:pPr>
        <w:keepNext w:val="0"/>
        <w:keepLines w:val="0"/>
        <w:pageBreakBefore w:val="0"/>
        <w:kinsoku/>
        <w:overflowPunct/>
        <w:topLinePunct w:val="0"/>
        <w:autoSpaceDE/>
        <w:autoSpaceDN/>
        <w:bidi w:val="0"/>
        <w:adjustRightInd/>
        <w:snapToGrid w:val="0"/>
        <w:spacing w:line="360" w:lineRule="auto"/>
        <w:ind w:right="480" w:firstLine="6480" w:firstLineChars="2700"/>
        <w:textAlignment w:val="auto"/>
        <w:outlineLvl w:val="9"/>
        <w:rPr>
          <w:rFonts w:hint="eastAsia" w:ascii="仿宋" w:hAnsi="仿宋" w:eastAsia="仿宋" w:cs="仿宋"/>
          <w:color w:val="auto"/>
        </w:rPr>
      </w:pPr>
    </w:p>
    <w:p w14:paraId="4A533F40">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bdr w:val="single" w:color="auto" w:sz="4" w:space="0"/>
        </w:rPr>
      </w:pPr>
    </w:p>
    <w:p w14:paraId="207E8A3A">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bdr w:val="single" w:color="auto" w:sz="4" w:space="0"/>
        </w:rPr>
      </w:pPr>
    </w:p>
    <w:p w14:paraId="11CED903">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bdr w:val="single" w:color="auto" w:sz="4" w:space="0"/>
        </w:rPr>
        <w:sectPr>
          <w:pgSz w:w="11907" w:h="16840"/>
          <w:pgMar w:top="1440" w:right="1080" w:bottom="1440" w:left="1080" w:header="850" w:footer="992" w:gutter="0"/>
          <w:pgNumType w:fmt="numberInDash"/>
          <w:cols w:space="720" w:num="1"/>
          <w:docGrid w:linePitch="326" w:charSpace="0"/>
        </w:sectPr>
      </w:pPr>
    </w:p>
    <w:p w14:paraId="0545B7B6">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hint="eastAsia" w:ascii="仿宋" w:hAnsi="仿宋" w:eastAsia="仿宋" w:cs="仿宋"/>
          <w:b/>
          <w:bCs/>
          <w:color w:val="auto"/>
        </w:rPr>
      </w:pPr>
      <w:bookmarkStart w:id="295" w:name="_Toc8555"/>
      <w:bookmarkStart w:id="296" w:name="_Toc6602"/>
      <w:bookmarkStart w:id="297" w:name="_Toc3192"/>
      <w:bookmarkStart w:id="298" w:name="_Toc5777"/>
      <w:bookmarkStart w:id="299" w:name="_Toc487204798"/>
      <w:bookmarkStart w:id="300" w:name="_Toc486585241"/>
      <w:bookmarkStart w:id="301" w:name="_Toc486608278"/>
      <w:bookmarkStart w:id="302" w:name="_Toc108545984"/>
      <w:r>
        <w:rPr>
          <w:rFonts w:hint="eastAsia" w:ascii="仿宋" w:hAnsi="仿宋" w:eastAsia="仿宋" w:cs="仿宋"/>
          <w:b/>
          <w:bCs/>
          <w:color w:val="auto"/>
        </w:rPr>
        <w:t>二、技术服务部分</w:t>
      </w:r>
      <w:bookmarkEnd w:id="295"/>
      <w:bookmarkEnd w:id="296"/>
      <w:bookmarkEnd w:id="297"/>
      <w:bookmarkEnd w:id="298"/>
      <w:bookmarkEnd w:id="299"/>
      <w:bookmarkEnd w:id="300"/>
      <w:bookmarkEnd w:id="301"/>
      <w:bookmarkEnd w:id="302"/>
    </w:p>
    <w:p w14:paraId="343A99D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hAnsi="仿宋" w:eastAsia="仿宋" w:cs="仿宋"/>
          <w:color w:val="auto"/>
          <w:highlight w:val="none"/>
          <w:lang w:val="en-US" w:eastAsia="zh-CN"/>
        </w:rPr>
        <w:t>技术</w:t>
      </w:r>
      <w:r>
        <w:rPr>
          <w:rFonts w:hint="eastAsia" w:ascii="仿宋" w:hAnsi="仿宋" w:eastAsia="仿宋" w:cs="仿宋"/>
          <w:color w:val="auto"/>
          <w:highlight w:val="none"/>
        </w:rPr>
        <w:t>方案（格式自拟）</w:t>
      </w:r>
    </w:p>
    <w:p w14:paraId="65B06BF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0AFDB821">
      <w:pPr>
        <w:keepNext w:val="0"/>
        <w:keepLines w:val="0"/>
        <w:pageBreakBefore w:val="0"/>
        <w:kinsoku/>
        <w:overflowPunct/>
        <w:topLinePunct w:val="0"/>
        <w:autoSpaceDE/>
        <w:autoSpaceDN/>
        <w:bidi w:val="0"/>
        <w:adjustRightInd/>
        <w:textAlignment w:val="auto"/>
        <w:outlineLvl w:val="9"/>
        <w:rPr>
          <w:rFonts w:hint="eastAsia" w:ascii="仿宋" w:hAnsi="仿宋" w:eastAsia="仿宋" w:cs="仿宋"/>
          <w:color w:val="auto"/>
        </w:rPr>
      </w:pPr>
      <w:r>
        <w:rPr>
          <w:rFonts w:hint="eastAsia" w:ascii="仿宋" w:hAnsi="仿宋" w:eastAsia="仿宋" w:cs="仿宋"/>
          <w:color w:val="auto"/>
        </w:rPr>
        <w:br w:type="page"/>
      </w:r>
    </w:p>
    <w:p w14:paraId="6A4A334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（二）技术响应偏离表</w:t>
      </w:r>
    </w:p>
    <w:p w14:paraId="236A384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项目名称：</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3071"/>
        <w:gridCol w:w="3188"/>
        <w:gridCol w:w="2387"/>
      </w:tblGrid>
      <w:tr w14:paraId="1ECF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59" w:type="pct"/>
            <w:vAlign w:val="center"/>
          </w:tcPr>
          <w:p w14:paraId="2E90984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序号</w:t>
            </w:r>
          </w:p>
        </w:tc>
        <w:tc>
          <w:tcPr>
            <w:tcW w:w="1541" w:type="pct"/>
            <w:vAlign w:val="center"/>
          </w:tcPr>
          <w:p w14:paraId="64831F2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jc w:val="center"/>
              <w:textAlignment w:val="auto"/>
              <w:outlineLvl w:val="9"/>
              <w:rPr>
                <w:rFonts w:hint="eastAsia" w:ascii="仿宋" w:hAnsi="仿宋" w:eastAsia="仿宋" w:cs="仿宋"/>
                <w:color w:val="auto"/>
              </w:rPr>
            </w:pPr>
            <w:r>
              <w:rPr>
                <w:rFonts w:hint="eastAsia" w:ascii="仿宋" w:hAnsi="仿宋" w:eastAsia="仿宋" w:cs="仿宋"/>
                <w:color w:val="auto"/>
              </w:rPr>
              <w:t>项目需求</w:t>
            </w:r>
          </w:p>
        </w:tc>
        <w:tc>
          <w:tcPr>
            <w:tcW w:w="1600" w:type="pct"/>
            <w:vAlign w:val="center"/>
          </w:tcPr>
          <w:p w14:paraId="12DFF5DC">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jc w:val="center"/>
              <w:textAlignment w:val="auto"/>
              <w:outlineLvl w:val="9"/>
              <w:rPr>
                <w:rFonts w:hint="eastAsia" w:ascii="仿宋" w:hAnsi="仿宋" w:eastAsia="仿宋" w:cs="仿宋"/>
                <w:color w:val="auto"/>
              </w:rPr>
            </w:pPr>
            <w:r>
              <w:rPr>
                <w:rFonts w:hint="eastAsia" w:ascii="仿宋" w:hAnsi="仿宋" w:eastAsia="仿宋" w:cs="仿宋"/>
                <w:color w:val="auto"/>
              </w:rPr>
              <w:t>响应情况</w:t>
            </w:r>
          </w:p>
        </w:tc>
        <w:tc>
          <w:tcPr>
            <w:tcW w:w="1198" w:type="pct"/>
            <w:vAlign w:val="center"/>
          </w:tcPr>
          <w:p w14:paraId="7AAA7A0B">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jc w:val="center"/>
              <w:textAlignment w:val="auto"/>
              <w:outlineLvl w:val="9"/>
              <w:rPr>
                <w:rFonts w:hint="eastAsia" w:ascii="仿宋" w:hAnsi="仿宋" w:eastAsia="仿宋" w:cs="仿宋"/>
                <w:color w:val="auto"/>
              </w:rPr>
            </w:pPr>
            <w:r>
              <w:rPr>
                <w:rFonts w:hint="eastAsia" w:ascii="仿宋" w:hAnsi="仿宋" w:eastAsia="仿宋" w:cs="仿宋"/>
                <w:color w:val="auto"/>
              </w:rPr>
              <w:t>差异说明</w:t>
            </w:r>
          </w:p>
        </w:tc>
      </w:tr>
      <w:tr w14:paraId="266B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188CFA5">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1E53D45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5CB8049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1BF211EA">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A95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754FA5A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7D58EEC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3DA63D4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48BA73AE">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1E1A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13453DE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1D0D9863">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431AA07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10EDA1AC">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43CF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7171148E">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2438B0D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4CB6731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45FBCFB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4B8B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1C10A09D">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7AC098D5">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4E241AB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0B608A0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2D5B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E95F79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71992B6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0F48E91D">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717C7A3E">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4995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50FAECA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541" w:type="pct"/>
            <w:vAlign w:val="center"/>
          </w:tcPr>
          <w:p w14:paraId="1BB250BC">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00" w:type="pct"/>
            <w:vAlign w:val="center"/>
          </w:tcPr>
          <w:p w14:paraId="38CC81B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198" w:type="pct"/>
            <w:vAlign w:val="center"/>
          </w:tcPr>
          <w:p w14:paraId="736E25D9">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bl>
    <w:p w14:paraId="732FA256">
      <w:pPr>
        <w:keepNext w:val="0"/>
        <w:keepLines w:val="0"/>
        <w:pageBreakBefore w:val="0"/>
        <w:kinsoku/>
        <w:overflowPunct/>
        <w:topLinePunct w:val="0"/>
        <w:autoSpaceDE/>
        <w:autoSpaceDN/>
        <w:bidi w:val="0"/>
        <w:adjustRightInd/>
        <w:snapToGrid w:val="0"/>
        <w:spacing w:line="360" w:lineRule="auto"/>
        <w:ind w:firstLine="600" w:firstLineChars="250"/>
        <w:textAlignment w:val="auto"/>
        <w:outlineLvl w:val="9"/>
        <w:rPr>
          <w:rFonts w:hint="eastAsia" w:ascii="仿宋" w:hAnsi="仿宋" w:eastAsia="仿宋" w:cs="仿宋"/>
          <w:color w:val="auto"/>
        </w:rPr>
      </w:pPr>
      <w:r>
        <w:rPr>
          <w:rFonts w:hint="eastAsia" w:ascii="仿宋" w:hAnsi="仿宋" w:eastAsia="仿宋" w:cs="仿宋"/>
          <w:color w:val="auto"/>
        </w:rPr>
        <w:t>供应商：                                      法定代表人授权代表：</w:t>
      </w:r>
    </w:p>
    <w:p w14:paraId="53AEE6C9">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798DC9A2">
      <w:pPr>
        <w:keepNext w:val="0"/>
        <w:keepLines w:val="0"/>
        <w:pageBreakBefore w:val="0"/>
        <w:kinsoku/>
        <w:overflowPunct/>
        <w:topLinePunct w:val="0"/>
        <w:autoSpaceDE/>
        <w:autoSpaceDN/>
        <w:bidi w:val="0"/>
        <w:adjustRightInd/>
        <w:snapToGrid w:val="0"/>
        <w:spacing w:line="360" w:lineRule="auto"/>
        <w:ind w:firstLine="720" w:firstLineChars="300"/>
        <w:textAlignment w:val="auto"/>
        <w:outlineLvl w:val="9"/>
        <w:rPr>
          <w:rFonts w:hint="eastAsia" w:ascii="仿宋" w:hAnsi="仿宋" w:eastAsia="仿宋" w:cs="仿宋"/>
          <w:color w:val="auto"/>
        </w:rPr>
      </w:pPr>
      <w:r>
        <w:rPr>
          <w:rFonts w:hint="eastAsia" w:ascii="仿宋" w:hAnsi="仿宋" w:eastAsia="仿宋" w:cs="仿宋"/>
          <w:color w:val="auto"/>
        </w:rPr>
        <w:t>（供应商公章）                               （签字或盖章）</w:t>
      </w:r>
    </w:p>
    <w:p w14:paraId="2FE75AE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5C41939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注：</w:t>
      </w:r>
    </w:p>
    <w:p w14:paraId="7F82DF5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1．该表即为对本项目“第二篇  项目技术需求”中所列技术要求进行比较和响应。</w:t>
      </w:r>
    </w:p>
    <w:p w14:paraId="17692B8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2．该表必须按照比选文件要求逐条如实填写，根据响应情况在“差异说明”项填写正偏离或负偏离及原因，完全符合的填写“无差异”。</w:t>
      </w:r>
    </w:p>
    <w:p w14:paraId="48DDA66F">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3．该表可扩展，并逐页签字或盖章。</w:t>
      </w:r>
    </w:p>
    <w:p w14:paraId="2E02A0A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4</w:t>
      </w:r>
      <w:bookmarkStart w:id="303" w:name="OLE_LINK67"/>
      <w:bookmarkStart w:id="304" w:name="OLE_LINK66"/>
      <w:r>
        <w:rPr>
          <w:rFonts w:hint="eastAsia" w:ascii="仿宋" w:hAnsi="仿宋" w:eastAsia="仿宋" w:cs="仿宋"/>
          <w:color w:val="auto"/>
        </w:rPr>
        <w:t>．</w:t>
      </w:r>
      <w:bookmarkEnd w:id="303"/>
      <w:bookmarkEnd w:id="304"/>
      <w:r>
        <w:rPr>
          <w:rFonts w:hint="eastAsia" w:ascii="仿宋" w:hAnsi="仿宋" w:eastAsia="仿宋" w:cs="仿宋"/>
          <w:color w:val="auto"/>
        </w:rPr>
        <w:t>可附相关技术支撑材料。（格式自定）</w:t>
      </w:r>
    </w:p>
    <w:p w14:paraId="033B43E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160F021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eastAsia" w:ascii="仿宋" w:hAnsi="仿宋" w:eastAsia="仿宋" w:cs="仿宋"/>
          <w:b/>
          <w:bCs/>
          <w:color w:val="auto"/>
        </w:rPr>
      </w:pPr>
      <w:r>
        <w:rPr>
          <w:rFonts w:hint="eastAsia" w:ascii="仿宋" w:hAnsi="仿宋" w:eastAsia="仿宋" w:cs="仿宋"/>
          <w:color w:val="auto"/>
        </w:rPr>
        <w:br w:type="page"/>
      </w:r>
      <w:bookmarkStart w:id="305" w:name="_Toc486585242"/>
      <w:bookmarkStart w:id="306" w:name="_Toc17029"/>
      <w:bookmarkStart w:id="307" w:name="_Toc487204799"/>
      <w:bookmarkStart w:id="308" w:name="_Toc7329"/>
      <w:bookmarkStart w:id="309" w:name="_Toc108545985"/>
      <w:bookmarkStart w:id="310" w:name="_Toc486608279"/>
      <w:bookmarkStart w:id="311" w:name="_Toc29399"/>
      <w:bookmarkStart w:id="312" w:name="_Toc25904"/>
      <w:r>
        <w:rPr>
          <w:rFonts w:hint="eastAsia" w:ascii="仿宋" w:hAnsi="仿宋" w:eastAsia="仿宋" w:cs="仿宋"/>
          <w:b/>
          <w:bCs/>
          <w:color w:val="auto"/>
        </w:rPr>
        <w:t>三、商务部分</w:t>
      </w:r>
      <w:bookmarkEnd w:id="305"/>
      <w:bookmarkEnd w:id="306"/>
      <w:bookmarkEnd w:id="307"/>
      <w:bookmarkEnd w:id="308"/>
      <w:bookmarkEnd w:id="309"/>
      <w:bookmarkEnd w:id="310"/>
      <w:bookmarkEnd w:id="311"/>
      <w:bookmarkEnd w:id="312"/>
    </w:p>
    <w:p w14:paraId="3C67C3D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Cs/>
          <w:color w:val="auto"/>
        </w:rPr>
      </w:pPr>
      <w:r>
        <w:rPr>
          <w:rFonts w:hint="eastAsia" w:ascii="仿宋" w:hAnsi="仿宋" w:eastAsia="仿宋" w:cs="仿宋"/>
          <w:bCs/>
          <w:color w:val="auto"/>
        </w:rPr>
        <w:t>（一）商务响应偏离表</w:t>
      </w:r>
    </w:p>
    <w:p w14:paraId="49CAC68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color w:val="auto"/>
        </w:rPr>
      </w:pPr>
      <w:r>
        <w:rPr>
          <w:rFonts w:hint="eastAsia" w:ascii="仿宋" w:hAnsi="仿宋" w:eastAsia="仿宋" w:cs="仿宋"/>
          <w:b/>
          <w:bCs/>
          <w:color w:val="auto"/>
        </w:rPr>
        <w:t>商务响应偏离表</w:t>
      </w:r>
    </w:p>
    <w:tbl>
      <w:tblPr>
        <w:tblStyle w:val="25"/>
        <w:tblpPr w:leftFromText="180" w:rightFromText="180" w:vertAnchor="text" w:horzAnchor="page" w:tblpX="1372" w:tblpY="48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3341"/>
        <w:gridCol w:w="2558"/>
        <w:gridCol w:w="2474"/>
      </w:tblGrid>
      <w:tr w14:paraId="640F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96" w:type="pct"/>
            <w:vAlign w:val="center"/>
          </w:tcPr>
          <w:p w14:paraId="310AC9D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序号</w:t>
            </w:r>
          </w:p>
        </w:tc>
        <w:tc>
          <w:tcPr>
            <w:tcW w:w="1677" w:type="pct"/>
            <w:vAlign w:val="center"/>
          </w:tcPr>
          <w:p w14:paraId="5557DA8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项目需求</w:t>
            </w:r>
          </w:p>
        </w:tc>
        <w:tc>
          <w:tcPr>
            <w:tcW w:w="1284" w:type="pct"/>
            <w:vAlign w:val="center"/>
          </w:tcPr>
          <w:p w14:paraId="6EA0E4A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响应情况</w:t>
            </w:r>
          </w:p>
        </w:tc>
        <w:tc>
          <w:tcPr>
            <w:tcW w:w="1242" w:type="pct"/>
            <w:vAlign w:val="center"/>
          </w:tcPr>
          <w:p w14:paraId="030F3FC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偏离说明</w:t>
            </w:r>
          </w:p>
        </w:tc>
      </w:tr>
      <w:tr w14:paraId="5C0D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07643ED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3D8A44F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42AC4B9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6D1B4F2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0B01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4AFC253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623F8E5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232EBB1F">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7F9D490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1E54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7410399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16E4EB2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42754AD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72DBDDCF">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6376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253C851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393ACB33">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4472E46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01132D6B">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3CCB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7D8CD00C">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4B9C266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2E300223">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7259374D">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r w14:paraId="1D43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4B05FD1B">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677" w:type="pct"/>
            <w:vAlign w:val="center"/>
          </w:tcPr>
          <w:p w14:paraId="032C7B3B">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84" w:type="pct"/>
            <w:vAlign w:val="center"/>
          </w:tcPr>
          <w:p w14:paraId="6DF372A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c>
          <w:tcPr>
            <w:tcW w:w="1242" w:type="pct"/>
            <w:vAlign w:val="center"/>
          </w:tcPr>
          <w:p w14:paraId="1A9D377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1"/>
                <w:szCs w:val="21"/>
              </w:rPr>
            </w:pPr>
          </w:p>
        </w:tc>
      </w:tr>
    </w:tbl>
    <w:p w14:paraId="75D63041">
      <w:pPr>
        <w:keepNext w:val="0"/>
        <w:keepLines w:val="0"/>
        <w:pageBreakBefore w:val="0"/>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35882CDE">
      <w:pPr>
        <w:keepNext w:val="0"/>
        <w:keepLines w:val="0"/>
        <w:pageBreakBefore w:val="0"/>
        <w:kinsoku/>
        <w:overflowPunct/>
        <w:topLinePunct w:val="0"/>
        <w:autoSpaceDE/>
        <w:autoSpaceDN/>
        <w:bidi w:val="0"/>
        <w:adjustRightInd/>
        <w:snapToGrid w:val="0"/>
        <w:spacing w:line="360" w:lineRule="auto"/>
        <w:ind w:firstLine="600" w:firstLineChars="250"/>
        <w:textAlignment w:val="auto"/>
        <w:outlineLvl w:val="9"/>
        <w:rPr>
          <w:rFonts w:hint="eastAsia" w:ascii="仿宋" w:hAnsi="仿宋" w:eastAsia="仿宋" w:cs="仿宋"/>
          <w:color w:val="auto"/>
        </w:rPr>
      </w:pPr>
      <w:r>
        <w:rPr>
          <w:rFonts w:hint="eastAsia" w:ascii="仿宋" w:hAnsi="仿宋" w:eastAsia="仿宋" w:cs="仿宋"/>
          <w:color w:val="auto"/>
        </w:rPr>
        <w:t>供应商：                                      法定代表人授权代表：</w:t>
      </w:r>
    </w:p>
    <w:p w14:paraId="75FE315D">
      <w:pPr>
        <w:keepNext w:val="0"/>
        <w:keepLines w:val="0"/>
        <w:pageBreakBefore w:val="0"/>
        <w:kinsoku/>
        <w:overflowPunct/>
        <w:topLinePunct w:val="0"/>
        <w:autoSpaceDE/>
        <w:autoSpaceDN/>
        <w:bidi w:val="0"/>
        <w:adjustRightInd/>
        <w:snapToGrid w:val="0"/>
        <w:spacing w:line="360" w:lineRule="auto"/>
        <w:ind w:firstLine="360" w:firstLineChars="150"/>
        <w:textAlignment w:val="auto"/>
        <w:outlineLvl w:val="9"/>
        <w:rPr>
          <w:rFonts w:hint="eastAsia" w:ascii="仿宋" w:hAnsi="仿宋" w:eastAsia="仿宋" w:cs="仿宋"/>
          <w:color w:val="auto"/>
        </w:rPr>
      </w:pPr>
      <w:r>
        <w:rPr>
          <w:rFonts w:hint="eastAsia" w:ascii="仿宋" w:hAnsi="仿宋" w:eastAsia="仿宋" w:cs="仿宋"/>
          <w:color w:val="auto"/>
        </w:rPr>
        <w:t>（供应商公章）                                 （签字或盖章）</w:t>
      </w:r>
    </w:p>
    <w:p w14:paraId="18BEC23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06D17B5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注：</w:t>
      </w:r>
    </w:p>
    <w:p w14:paraId="6C4334C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1．该表即为对本项目“第三篇 项目商务需求”中所列服务要求进行比较和响应。</w:t>
      </w:r>
    </w:p>
    <w:p w14:paraId="6D78206C">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2．该表必须按照比选要求逐条如实填写，根据响应情况在“差异说明”项填写正偏离或负偏离及原因，完全符合的填写“无差异”。</w:t>
      </w:r>
    </w:p>
    <w:p w14:paraId="54CBF75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3．该表可扩展，并逐页签字或盖章。</w:t>
      </w:r>
    </w:p>
    <w:p w14:paraId="7922B7E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10CDC2B9">
      <w:pPr>
        <w:keepNext w:val="0"/>
        <w:keepLines w:val="0"/>
        <w:pageBreakBefore w:val="0"/>
        <w:kinsoku/>
        <w:overflowPunct/>
        <w:topLinePunct w:val="0"/>
        <w:autoSpaceDE/>
        <w:autoSpaceDN/>
        <w:bidi w:val="0"/>
        <w:adjustRightInd/>
        <w:textAlignment w:val="auto"/>
        <w:outlineLvl w:val="9"/>
        <w:rPr>
          <w:rFonts w:hint="eastAsia" w:ascii="仿宋" w:hAnsi="仿宋" w:eastAsia="仿宋" w:cs="仿宋"/>
          <w:color w:val="auto"/>
        </w:rPr>
      </w:pPr>
      <w:r>
        <w:rPr>
          <w:rFonts w:hint="eastAsia" w:ascii="仿宋" w:hAnsi="仿宋" w:eastAsia="仿宋" w:cs="仿宋"/>
          <w:color w:val="auto"/>
        </w:rPr>
        <w:br w:type="page"/>
      </w:r>
    </w:p>
    <w:p w14:paraId="2756F97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（二）其它优惠承诺（如有）</w:t>
      </w:r>
    </w:p>
    <w:p w14:paraId="24D1361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eastAsia" w:ascii="仿宋" w:hAnsi="仿宋" w:eastAsia="仿宋" w:cs="仿宋"/>
          <w:b/>
          <w:bCs/>
          <w:color w:val="auto"/>
        </w:rPr>
      </w:pPr>
      <w:r>
        <w:rPr>
          <w:rFonts w:hint="eastAsia" w:ascii="仿宋" w:hAnsi="仿宋" w:eastAsia="仿宋" w:cs="仿宋"/>
          <w:color w:val="auto"/>
        </w:rPr>
        <w:br w:type="page"/>
      </w:r>
      <w:bookmarkStart w:id="313" w:name="_Toc486585243"/>
      <w:bookmarkStart w:id="314" w:name="_Toc23557"/>
      <w:bookmarkStart w:id="315" w:name="_Toc8290"/>
      <w:bookmarkStart w:id="316" w:name="_Toc487204800"/>
      <w:bookmarkStart w:id="317" w:name="_Toc486608280"/>
      <w:bookmarkStart w:id="318" w:name="_Toc108545986"/>
      <w:bookmarkStart w:id="319" w:name="_Toc10450"/>
      <w:bookmarkStart w:id="320" w:name="_Toc27815"/>
      <w:bookmarkStart w:id="321" w:name="_Toc12747"/>
      <w:r>
        <w:rPr>
          <w:rFonts w:hint="eastAsia" w:ascii="仿宋" w:hAnsi="仿宋" w:eastAsia="仿宋" w:cs="仿宋"/>
          <w:b/>
          <w:bCs/>
          <w:color w:val="auto"/>
        </w:rPr>
        <w:t>四、资格条件及其他</w:t>
      </w:r>
      <w:bookmarkEnd w:id="313"/>
      <w:bookmarkEnd w:id="314"/>
      <w:bookmarkEnd w:id="315"/>
      <w:bookmarkEnd w:id="316"/>
      <w:bookmarkEnd w:id="317"/>
      <w:bookmarkEnd w:id="318"/>
      <w:bookmarkEnd w:id="319"/>
      <w:bookmarkEnd w:id="320"/>
      <w:bookmarkEnd w:id="321"/>
    </w:p>
    <w:p w14:paraId="0A257E1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rPr>
        <w:t>（一）</w:t>
      </w:r>
      <w:r>
        <w:rPr>
          <w:rFonts w:hint="eastAsia" w:ascii="仿宋" w:hAnsi="仿宋" w:eastAsia="仿宋" w:cs="仿宋"/>
          <w:color w:val="auto"/>
          <w:lang w:val="en-US" w:eastAsia="zh-CN"/>
        </w:rPr>
        <w:t>详比选文件</w:t>
      </w:r>
    </w:p>
    <w:p w14:paraId="129E866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47EF0D08">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4311778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54441E9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661CADE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250FCB67">
      <w:pPr>
        <w:keepNext w:val="0"/>
        <w:keepLines w:val="0"/>
        <w:pageBreakBefore w:val="0"/>
        <w:kinsoku/>
        <w:overflowPunct/>
        <w:topLinePunct w:val="0"/>
        <w:autoSpaceDE/>
        <w:autoSpaceDN/>
        <w:bidi w:val="0"/>
        <w:adjustRightInd/>
        <w:textAlignment w:val="auto"/>
        <w:outlineLvl w:val="9"/>
        <w:rPr>
          <w:rFonts w:hint="eastAsia" w:ascii="仿宋" w:hAnsi="仿宋" w:eastAsia="仿宋" w:cs="仿宋"/>
          <w:color w:val="auto"/>
        </w:rPr>
      </w:pPr>
      <w:r>
        <w:rPr>
          <w:rFonts w:hint="eastAsia" w:ascii="仿宋" w:hAnsi="仿宋" w:eastAsia="仿宋" w:cs="仿宋"/>
          <w:color w:val="auto"/>
        </w:rPr>
        <w:br w:type="page"/>
      </w:r>
    </w:p>
    <w:p w14:paraId="5F7913DA">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（二）法定代表人身份证明书（格式）</w:t>
      </w:r>
    </w:p>
    <w:p w14:paraId="11831F4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FB5D3D0">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项目名称：</w:t>
      </w:r>
    </w:p>
    <w:p w14:paraId="7CF5160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23466E0">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4E9330A6">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u w:val="single"/>
        </w:rPr>
        <w:t>（法定代表人姓名）</w:t>
      </w:r>
      <w:r>
        <w:rPr>
          <w:rFonts w:hint="eastAsia" w:ascii="仿宋" w:hAnsi="仿宋" w:eastAsia="仿宋" w:cs="仿宋"/>
          <w:color w:val="auto"/>
        </w:rPr>
        <w:t>在</w:t>
      </w:r>
      <w:r>
        <w:rPr>
          <w:rFonts w:hint="eastAsia" w:ascii="仿宋" w:hAnsi="仿宋" w:eastAsia="仿宋" w:cs="仿宋"/>
          <w:color w:val="auto"/>
          <w:u w:val="single"/>
        </w:rPr>
        <w:t>（供应商名称）</w:t>
      </w:r>
      <w:r>
        <w:rPr>
          <w:rFonts w:hint="eastAsia" w:ascii="仿宋" w:hAnsi="仿宋" w:eastAsia="仿宋" w:cs="仿宋"/>
          <w:color w:val="auto"/>
        </w:rPr>
        <w:t>任</w:t>
      </w:r>
      <w:r>
        <w:rPr>
          <w:rFonts w:hint="eastAsia" w:ascii="仿宋" w:hAnsi="仿宋" w:eastAsia="仿宋" w:cs="仿宋"/>
          <w:color w:val="auto"/>
          <w:u w:val="single"/>
        </w:rPr>
        <w:t>（职务名称）</w:t>
      </w:r>
      <w:r>
        <w:rPr>
          <w:rFonts w:hint="eastAsia" w:ascii="仿宋" w:hAnsi="仿宋" w:eastAsia="仿宋" w:cs="仿宋"/>
          <w:color w:val="auto"/>
        </w:rPr>
        <w:t>职务，是</w:t>
      </w:r>
      <w:r>
        <w:rPr>
          <w:rFonts w:hint="eastAsia" w:ascii="仿宋" w:hAnsi="仿宋" w:eastAsia="仿宋" w:cs="仿宋"/>
          <w:color w:val="auto"/>
          <w:u w:val="single"/>
        </w:rPr>
        <w:t>（供应商名称）</w:t>
      </w:r>
      <w:r>
        <w:rPr>
          <w:rFonts w:hint="eastAsia" w:ascii="仿宋" w:hAnsi="仿宋" w:eastAsia="仿宋" w:cs="仿宋"/>
          <w:color w:val="auto"/>
        </w:rPr>
        <w:t>的法定代表人。</w:t>
      </w:r>
    </w:p>
    <w:p w14:paraId="19E8A4D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04CD59E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特此证明。</w:t>
      </w:r>
    </w:p>
    <w:p w14:paraId="5EA3B3C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8982709">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E932FF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82E6197">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 xml:space="preserve">                                             （供应商公章）</w:t>
      </w:r>
    </w:p>
    <w:p w14:paraId="0FD58626">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763C28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6EEC772E">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633B11C">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（附：法定代表人身份证正反面复印件）</w:t>
      </w:r>
    </w:p>
    <w:p w14:paraId="5F305A2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02214443">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028AFD63">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F384C7C">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2C5E16B4">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2FBA60C0">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0E57B72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6C31F421">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D8473A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项目名称：</w:t>
      </w:r>
    </w:p>
    <w:p w14:paraId="32F78B1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5EFE608A">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64BCE93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u w:val="single"/>
        </w:rPr>
        <w:t>（供应商法定代表人名称）</w:t>
      </w:r>
      <w:r>
        <w:rPr>
          <w:rFonts w:hint="eastAsia" w:ascii="仿宋" w:hAnsi="仿宋" w:eastAsia="仿宋" w:cs="仿宋"/>
          <w:color w:val="auto"/>
        </w:rPr>
        <w:t>是</w:t>
      </w:r>
      <w:r>
        <w:rPr>
          <w:rFonts w:hint="eastAsia" w:ascii="仿宋" w:hAnsi="仿宋" w:eastAsia="仿宋" w:cs="仿宋"/>
          <w:color w:val="auto"/>
          <w:u w:val="single"/>
        </w:rPr>
        <w:t>（供应商名称）</w:t>
      </w:r>
      <w:r>
        <w:rPr>
          <w:rFonts w:hint="eastAsia" w:ascii="仿宋" w:hAnsi="仿宋" w:eastAsia="仿宋" w:cs="仿宋"/>
          <w:color w:val="auto"/>
        </w:rPr>
        <w:t>的法定代表人，特授权</w:t>
      </w:r>
      <w:r>
        <w:rPr>
          <w:rFonts w:hint="eastAsia" w:ascii="仿宋" w:hAnsi="仿宋" w:eastAsia="仿宋" w:cs="仿宋"/>
          <w:color w:val="auto"/>
          <w:u w:val="single"/>
        </w:rPr>
        <w:t>（被授权人姓名及身份证代码）</w:t>
      </w:r>
      <w:r>
        <w:rPr>
          <w:rFonts w:hint="eastAsia" w:ascii="仿宋" w:hAnsi="仿宋" w:eastAsia="仿宋" w:cs="仿宋"/>
          <w:color w:val="auto"/>
        </w:rPr>
        <w:t>代表我单位全权办理上述项目的比选、签约等具体工作，并签署全部有关文件、协议及合同。</w:t>
      </w:r>
    </w:p>
    <w:p w14:paraId="5E4FDB31">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我单位对被授权人的签字负全部责任。</w:t>
      </w:r>
    </w:p>
    <w:p w14:paraId="243BEE8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在撤消授权的书面通知以前，本授权书一直有效。被授权人在授权书有效期内签署的所有文件不因授权的撤消而失效。</w:t>
      </w:r>
    </w:p>
    <w:p w14:paraId="667C40C4">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2DBF8BA7">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444C172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被授权人：                                   供应商法定代表人：</w:t>
      </w:r>
    </w:p>
    <w:p w14:paraId="0DF4993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（签字或盖章）                              （签字或盖章）</w:t>
      </w:r>
    </w:p>
    <w:p w14:paraId="68BB7274">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48D014C1">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742B4B0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t>（附：被授权人身份证正反面复印件）</w:t>
      </w:r>
    </w:p>
    <w:p w14:paraId="5985EB9C">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1292797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155E3B6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p>
    <w:p w14:paraId="3686DA59">
      <w:pPr>
        <w:keepNext w:val="0"/>
        <w:keepLines w:val="0"/>
        <w:pageBreakBefore w:val="0"/>
        <w:tabs>
          <w:tab w:val="left" w:pos="6300"/>
        </w:tabs>
        <w:kinsoku/>
        <w:overflowPunct/>
        <w:topLinePunct w:val="0"/>
        <w:autoSpaceDE/>
        <w:autoSpaceDN/>
        <w:bidi w:val="0"/>
        <w:adjustRightInd/>
        <w:snapToGrid w:val="0"/>
        <w:spacing w:line="360" w:lineRule="auto"/>
        <w:ind w:right="480" w:firstLine="570"/>
        <w:jc w:val="right"/>
        <w:textAlignment w:val="auto"/>
        <w:outlineLvl w:val="9"/>
        <w:rPr>
          <w:rFonts w:hint="eastAsia" w:ascii="仿宋" w:hAnsi="仿宋" w:eastAsia="仿宋" w:cs="仿宋"/>
          <w:color w:val="auto"/>
        </w:rPr>
      </w:pPr>
      <w:r>
        <w:rPr>
          <w:rFonts w:hint="eastAsia" w:ascii="仿宋" w:hAnsi="仿宋" w:eastAsia="仿宋" w:cs="仿宋"/>
          <w:color w:val="auto"/>
        </w:rPr>
        <w:t>（供应商公章）</w:t>
      </w:r>
    </w:p>
    <w:p w14:paraId="2BC05AB4">
      <w:pPr>
        <w:keepNext w:val="0"/>
        <w:keepLines w:val="0"/>
        <w:pageBreakBefore w:val="0"/>
        <w:tabs>
          <w:tab w:val="left" w:pos="6300"/>
        </w:tabs>
        <w:kinsoku/>
        <w:overflowPunct/>
        <w:topLinePunct w:val="0"/>
        <w:autoSpaceDE/>
        <w:autoSpaceDN/>
        <w:bidi w:val="0"/>
        <w:adjustRightInd/>
        <w:snapToGrid w:val="0"/>
        <w:spacing w:line="360" w:lineRule="auto"/>
        <w:ind w:right="480" w:firstLine="570"/>
        <w:jc w:val="right"/>
        <w:textAlignment w:val="auto"/>
        <w:outlineLvl w:val="9"/>
        <w:rPr>
          <w:rFonts w:hint="eastAsia" w:ascii="仿宋" w:hAnsi="仿宋" w:eastAsia="仿宋" w:cs="仿宋"/>
          <w:color w:val="auto"/>
        </w:rPr>
      </w:pPr>
      <w:r>
        <w:rPr>
          <w:rFonts w:hint="eastAsia" w:ascii="仿宋" w:hAnsi="仿宋" w:eastAsia="仿宋" w:cs="仿宋"/>
          <w:color w:val="auto"/>
        </w:rPr>
        <w:t>年   月   日</w:t>
      </w:r>
    </w:p>
    <w:p w14:paraId="4FE6B255">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（四）基本资格条件承诺函</w:t>
      </w:r>
    </w:p>
    <w:p w14:paraId="0287C407">
      <w:pPr>
        <w:keepNext w:val="0"/>
        <w:keepLines w:val="0"/>
        <w:pageBreakBefore w:val="0"/>
        <w:tabs>
          <w:tab w:val="left" w:pos="6300"/>
        </w:tabs>
        <w:kinsoku/>
        <w:overflowPunct/>
        <w:topLinePunct w:val="0"/>
        <w:autoSpaceDE/>
        <w:autoSpaceDN/>
        <w:bidi w:val="0"/>
        <w:adjustRightInd/>
        <w:snapToGrid w:val="0"/>
        <w:spacing w:line="360" w:lineRule="auto"/>
        <w:textAlignment w:val="auto"/>
        <w:outlineLvl w:val="9"/>
        <w:rPr>
          <w:rFonts w:hint="eastAsia" w:ascii="仿宋" w:hAnsi="仿宋" w:eastAsia="仿宋" w:cs="仿宋"/>
          <w:color w:val="auto"/>
        </w:rPr>
      </w:pPr>
    </w:p>
    <w:p w14:paraId="25865BD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sz w:val="32"/>
          <w:szCs w:val="32"/>
        </w:rPr>
        <w:t>基本资格条件承诺函</w:t>
      </w:r>
    </w:p>
    <w:p w14:paraId="2D7A7213">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致 </w:t>
      </w:r>
    </w:p>
    <w:p w14:paraId="1AFBC310">
      <w:pPr>
        <w:keepNext w:val="0"/>
        <w:keepLines w:val="0"/>
        <w:pageBreakBefore w:val="0"/>
        <w:tabs>
          <w:tab w:val="left" w:pos="6300"/>
        </w:tabs>
        <w:kinsoku/>
        <w:overflowPunct/>
        <w:topLinePunct w:val="0"/>
        <w:autoSpaceDE/>
        <w:autoSpaceDN/>
        <w:bidi w:val="0"/>
        <w:adjustRightInd/>
        <w:snapToGrid w:val="0"/>
        <w:spacing w:line="360" w:lineRule="auto"/>
        <w:ind w:firstLine="720" w:firstLineChars="300"/>
        <w:textAlignment w:val="auto"/>
        <w:outlineLvl w:val="9"/>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 xml:space="preserve">（采购人名称）： </w:t>
      </w:r>
    </w:p>
    <w:p w14:paraId="75332973">
      <w:pPr>
        <w:keepNext w:val="0"/>
        <w:keepLines w:val="0"/>
        <w:pageBreakBefore w:val="0"/>
        <w:tabs>
          <w:tab w:val="left" w:pos="6300"/>
        </w:tabs>
        <w:kinsoku/>
        <w:overflowPunct/>
        <w:topLinePunct w:val="0"/>
        <w:autoSpaceDE/>
        <w:autoSpaceDN/>
        <w:bidi w:val="0"/>
        <w:adjustRightInd/>
        <w:snapToGrid w:val="0"/>
        <w:spacing w:line="360" w:lineRule="auto"/>
        <w:ind w:firstLine="720" w:firstLineChars="300"/>
        <w:textAlignment w:val="auto"/>
        <w:outlineLvl w:val="9"/>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 xml:space="preserve">（供应商名称）郑重承诺： </w:t>
      </w:r>
    </w:p>
    <w:p w14:paraId="4370719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highlight w:val="yellow"/>
          <w:lang w:val="en-US" w:eastAsia="zh-CN"/>
        </w:rPr>
      </w:pPr>
      <w:r>
        <w:rPr>
          <w:rFonts w:hint="eastAsia" w:ascii="仿宋" w:hAnsi="仿宋" w:eastAsia="仿宋" w:cs="仿宋"/>
          <w:color w:val="auto"/>
        </w:rPr>
        <w:t>1.我方具有良好的商业信誉和健全的财务会计制度；具有履行合同所必需的设备和专业技术能力；具有依法缴纳税收和社会保障金的良好记录；参加本项目采购活动前三年内无重大违法活动记录</w:t>
      </w:r>
      <w:r>
        <w:rPr>
          <w:rFonts w:hint="eastAsia" w:ascii="仿宋" w:hAnsi="仿宋" w:eastAsia="仿宋" w:cs="仿宋"/>
          <w:color w:val="auto"/>
          <w:lang w:eastAsia="zh-CN"/>
        </w:rPr>
        <w:t>。</w:t>
      </w:r>
    </w:p>
    <w:p w14:paraId="01676CF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2.我方未列入在信用中国网站（www.creditchina.gov.cn）“失信被执行人”、“重大税收违法案件当事人名单”中，也未列入中国政府采购网（www.ccgp.gov.cn）“政府采购严重违法失信行为记录名单”中。 </w:t>
      </w:r>
    </w:p>
    <w:p w14:paraId="4CFF08FB">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55ED1921">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hint="eastAsia" w:ascii="仿宋" w:hAnsi="仿宋" w:eastAsia="仿宋" w:cs="仿宋"/>
          <w:color w:val="auto"/>
        </w:rPr>
      </w:pPr>
    </w:p>
    <w:p w14:paraId="02E2DB37">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                                               （供应商公章） </w:t>
      </w:r>
    </w:p>
    <w:p w14:paraId="0805DBF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 xml:space="preserve">                                              年     月      日</w:t>
      </w:r>
    </w:p>
    <w:p w14:paraId="37159C3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eastAsia" w:ascii="仿宋" w:hAnsi="仿宋" w:eastAsia="仿宋" w:cs="仿宋"/>
          <w:b/>
          <w:bCs/>
          <w:color w:val="auto"/>
        </w:rPr>
      </w:pPr>
      <w:r>
        <w:rPr>
          <w:rFonts w:hint="eastAsia" w:ascii="仿宋" w:hAnsi="仿宋" w:eastAsia="仿宋" w:cs="仿宋"/>
          <w:color w:val="auto"/>
        </w:rPr>
        <w:br w:type="page"/>
      </w:r>
      <w:bookmarkStart w:id="322" w:name="_Toc486608281"/>
      <w:bookmarkStart w:id="323" w:name="_Toc26861"/>
      <w:bookmarkStart w:id="324" w:name="_Toc108545987"/>
      <w:bookmarkStart w:id="325" w:name="_Toc29032"/>
      <w:bookmarkStart w:id="326" w:name="_Toc12652"/>
      <w:bookmarkStart w:id="327" w:name="_Toc11824"/>
      <w:bookmarkStart w:id="328" w:name="_Toc27033"/>
      <w:bookmarkStart w:id="329" w:name="_Toc486585244"/>
      <w:bookmarkStart w:id="330" w:name="_Toc487204801"/>
      <w:r>
        <w:rPr>
          <w:rFonts w:hint="eastAsia" w:ascii="仿宋" w:hAnsi="仿宋" w:eastAsia="仿宋" w:cs="仿宋"/>
          <w:b/>
          <w:bCs/>
          <w:color w:val="auto"/>
        </w:rPr>
        <w:t>五、其他应提供的资料</w:t>
      </w:r>
      <w:bookmarkEnd w:id="322"/>
      <w:bookmarkEnd w:id="323"/>
      <w:bookmarkEnd w:id="324"/>
      <w:bookmarkEnd w:id="325"/>
      <w:bookmarkEnd w:id="326"/>
      <w:bookmarkEnd w:id="327"/>
      <w:bookmarkEnd w:id="328"/>
      <w:bookmarkEnd w:id="329"/>
      <w:bookmarkEnd w:id="330"/>
    </w:p>
    <w:p w14:paraId="2673DC3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（一）其他与项目有关的资料（如有）</w:t>
      </w:r>
    </w:p>
    <w:p w14:paraId="00820D6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r>
        <w:rPr>
          <w:rFonts w:hint="eastAsia" w:ascii="仿宋" w:hAnsi="仿宋" w:eastAsia="仿宋" w:cs="仿宋"/>
          <w:color w:val="auto"/>
        </w:rPr>
        <w:t>其他与项目有关的资料（自附）：其他与本项目有关的资料等。</w:t>
      </w:r>
    </w:p>
    <w:p w14:paraId="479D9DF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4880FDF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46E7609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6AAE048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rPr>
      </w:pPr>
    </w:p>
    <w:p w14:paraId="4A6C7A0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30D014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4488CD6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4B6CB4D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6465CBE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6456467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45649D6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p>
    <w:p w14:paraId="6BC1E6C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rPr>
      </w:pPr>
      <w:r>
        <w:rPr>
          <w:rFonts w:hint="eastAsia" w:ascii="仿宋" w:hAnsi="仿宋" w:eastAsia="仿宋" w:cs="仿宋"/>
          <w:color w:val="auto"/>
        </w:rPr>
        <w:t>（结束）</w:t>
      </w:r>
    </w:p>
    <w:p w14:paraId="16E0688E">
      <w:pPr>
        <w:rPr>
          <w:rFonts w:hint="eastAsia" w:ascii="仿宋" w:hAnsi="仿宋" w:eastAsia="仿宋" w:cs="仿宋"/>
          <w:color w:val="auto"/>
        </w:rPr>
      </w:pPr>
      <w:r>
        <w:rPr>
          <w:rFonts w:hint="eastAsia" w:ascii="仿宋" w:hAnsi="仿宋" w:eastAsia="仿宋" w:cs="仿宋"/>
          <w:color w:val="auto"/>
        </w:rPr>
        <w:br w:type="page"/>
      </w:r>
    </w:p>
    <w:p w14:paraId="09EBE4A8">
      <w:pPr>
        <w:pStyle w:val="78"/>
        <w:ind w:firstLine="480"/>
        <w:jc w:val="left"/>
        <w:outlineLvl w:val="1"/>
        <w:rPr>
          <w:rFonts w:hint="eastAsia" w:ascii="仿宋" w:hAnsi="仿宋" w:eastAsia="仿宋" w:cs="仿宋"/>
          <w:b w:val="0"/>
          <w:bCs w:val="0"/>
          <w:sz w:val="24"/>
          <w:szCs w:val="24"/>
        </w:rPr>
      </w:pPr>
      <w:bookmarkStart w:id="331" w:name="_Toc267261701"/>
      <w:bookmarkStart w:id="332" w:name="_Toc12440"/>
      <w:r>
        <w:rPr>
          <w:rFonts w:hint="eastAsia" w:ascii="仿宋" w:hAnsi="仿宋" w:eastAsia="仿宋" w:cs="仿宋"/>
          <w:sz w:val="24"/>
          <w:szCs w:val="24"/>
        </w:rPr>
        <w:t>附</w:t>
      </w:r>
      <w:bookmarkStart w:id="333" w:name="_Toc296503231"/>
      <w:bookmarkStart w:id="334" w:name="_Toc296346732"/>
      <w:bookmarkStart w:id="335" w:name="_Toc296891059"/>
      <w:bookmarkStart w:id="336" w:name="_Toc296944570"/>
      <w:bookmarkStart w:id="337" w:name="_Toc296891271"/>
      <w:bookmarkStart w:id="338" w:name="_Toc296347230"/>
      <w:r>
        <w:rPr>
          <w:rFonts w:hint="eastAsia" w:ascii="仿宋" w:hAnsi="仿宋" w:eastAsia="仿宋" w:cs="仿宋"/>
          <w:sz w:val="24"/>
          <w:szCs w:val="24"/>
        </w:rPr>
        <w:t>件：</w:t>
      </w:r>
      <w:bookmarkEnd w:id="331"/>
      <w:bookmarkEnd w:id="332"/>
      <w:bookmarkEnd w:id="333"/>
      <w:bookmarkEnd w:id="334"/>
      <w:bookmarkEnd w:id="335"/>
      <w:bookmarkEnd w:id="336"/>
      <w:bookmarkEnd w:id="337"/>
      <w:bookmarkEnd w:id="338"/>
    </w:p>
    <w:p w14:paraId="2D8DDD2D">
      <w:pPr>
        <w:pStyle w:val="78"/>
        <w:ind w:firstLine="480"/>
        <w:jc w:val="center"/>
        <w:outlineLvl w:val="1"/>
        <w:rPr>
          <w:rFonts w:hint="eastAsia" w:ascii="仿宋" w:hAnsi="仿宋" w:eastAsia="仿宋" w:cs="仿宋"/>
          <w:color w:val="auto"/>
          <w:sz w:val="32"/>
          <w:szCs w:val="21"/>
          <w:highlight w:val="none"/>
        </w:rPr>
      </w:pPr>
      <w:bookmarkStart w:id="339" w:name="_Toc1047"/>
      <w:bookmarkStart w:id="340" w:name="_Toc24466"/>
      <w:r>
        <w:rPr>
          <w:rFonts w:hint="eastAsia" w:ascii="仿宋" w:hAnsi="仿宋" w:eastAsia="仿宋" w:cs="仿宋"/>
          <w:color w:val="auto"/>
          <w:szCs w:val="22"/>
          <w:highlight w:val="none"/>
        </w:rPr>
        <w:t>采购文件发售登记表</w:t>
      </w:r>
      <w:bookmarkEnd w:id="339"/>
      <w:bookmarkEnd w:id="340"/>
    </w:p>
    <w:p w14:paraId="07A83B1E">
      <w:pPr>
        <w:ind w:firstLine="480"/>
        <w:jc w:val="center"/>
        <w:outlineLvl w:val="1"/>
        <w:rPr>
          <w:rFonts w:hint="eastAsia" w:ascii="仿宋" w:hAnsi="仿宋" w:eastAsia="仿宋" w:cs="仿宋"/>
          <w:b/>
          <w:color w:val="auto"/>
          <w:sz w:val="24"/>
          <w:highlight w:val="none"/>
        </w:rPr>
      </w:pPr>
    </w:p>
    <w:tbl>
      <w:tblPr>
        <w:tblStyle w:val="25"/>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255"/>
        <w:gridCol w:w="991"/>
        <w:gridCol w:w="3745"/>
      </w:tblGrid>
      <w:tr w14:paraId="0142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728" w:type="dxa"/>
            <w:noWrap/>
            <w:vAlign w:val="center"/>
          </w:tcPr>
          <w:p w14:paraId="402F933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编号</w:t>
            </w:r>
          </w:p>
        </w:tc>
        <w:tc>
          <w:tcPr>
            <w:tcW w:w="6991" w:type="dxa"/>
            <w:gridSpan w:val="3"/>
            <w:noWrap/>
            <w:vAlign w:val="center"/>
          </w:tcPr>
          <w:p w14:paraId="1BE1AC7F">
            <w:pPr>
              <w:jc w:val="center"/>
              <w:rPr>
                <w:rFonts w:hint="eastAsia" w:ascii="仿宋" w:hAnsi="仿宋" w:eastAsia="仿宋" w:cs="仿宋"/>
                <w:color w:val="auto"/>
                <w:sz w:val="24"/>
                <w:szCs w:val="24"/>
                <w:highlight w:val="none"/>
              </w:rPr>
            </w:pPr>
          </w:p>
        </w:tc>
      </w:tr>
      <w:tr w14:paraId="1176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728" w:type="dxa"/>
            <w:noWrap/>
            <w:vAlign w:val="center"/>
          </w:tcPr>
          <w:p w14:paraId="66500C1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991" w:type="dxa"/>
            <w:gridSpan w:val="3"/>
            <w:noWrap/>
            <w:vAlign w:val="center"/>
          </w:tcPr>
          <w:p w14:paraId="4F524EC6">
            <w:pPr>
              <w:jc w:val="center"/>
              <w:rPr>
                <w:rFonts w:hint="eastAsia" w:ascii="仿宋" w:hAnsi="仿宋" w:eastAsia="仿宋" w:cs="仿宋"/>
                <w:color w:val="auto"/>
                <w:sz w:val="24"/>
                <w:szCs w:val="24"/>
                <w:highlight w:val="none"/>
              </w:rPr>
            </w:pPr>
          </w:p>
        </w:tc>
      </w:tr>
      <w:tr w14:paraId="5AB2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728" w:type="dxa"/>
            <w:noWrap/>
            <w:vAlign w:val="center"/>
          </w:tcPr>
          <w:p w14:paraId="26CDCC6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6991" w:type="dxa"/>
            <w:gridSpan w:val="3"/>
            <w:noWrap/>
            <w:vAlign w:val="center"/>
          </w:tcPr>
          <w:p w14:paraId="7A874C5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tc>
      </w:tr>
      <w:tr w14:paraId="50DE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728" w:type="dxa"/>
            <w:noWrap/>
            <w:vAlign w:val="center"/>
          </w:tcPr>
          <w:p w14:paraId="46D548F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255" w:type="dxa"/>
            <w:noWrap/>
            <w:vAlign w:val="center"/>
          </w:tcPr>
          <w:p w14:paraId="1A57B89A">
            <w:pPr>
              <w:jc w:val="center"/>
              <w:rPr>
                <w:rFonts w:hint="eastAsia" w:ascii="仿宋" w:hAnsi="仿宋" w:eastAsia="仿宋" w:cs="仿宋"/>
                <w:color w:val="auto"/>
                <w:sz w:val="24"/>
                <w:szCs w:val="24"/>
                <w:highlight w:val="none"/>
              </w:rPr>
            </w:pPr>
          </w:p>
        </w:tc>
        <w:tc>
          <w:tcPr>
            <w:tcW w:w="991" w:type="dxa"/>
            <w:noWrap/>
            <w:vAlign w:val="center"/>
          </w:tcPr>
          <w:p w14:paraId="40AB98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w:t>
            </w:r>
          </w:p>
        </w:tc>
        <w:tc>
          <w:tcPr>
            <w:tcW w:w="3745" w:type="dxa"/>
            <w:noWrap/>
            <w:vAlign w:val="center"/>
          </w:tcPr>
          <w:p w14:paraId="28D7B3E7">
            <w:pPr>
              <w:jc w:val="center"/>
              <w:rPr>
                <w:rFonts w:hint="eastAsia" w:ascii="仿宋" w:hAnsi="仿宋" w:eastAsia="仿宋" w:cs="仿宋"/>
                <w:color w:val="auto"/>
                <w:sz w:val="24"/>
                <w:szCs w:val="24"/>
                <w:highlight w:val="none"/>
              </w:rPr>
            </w:pPr>
          </w:p>
        </w:tc>
      </w:tr>
      <w:tr w14:paraId="1979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28" w:type="dxa"/>
            <w:noWrap/>
            <w:vAlign w:val="center"/>
          </w:tcPr>
          <w:p w14:paraId="2C88BA1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办公电话</w:t>
            </w:r>
          </w:p>
        </w:tc>
        <w:tc>
          <w:tcPr>
            <w:tcW w:w="2255" w:type="dxa"/>
            <w:noWrap/>
            <w:vAlign w:val="center"/>
          </w:tcPr>
          <w:p w14:paraId="1D752F82">
            <w:pPr>
              <w:jc w:val="center"/>
              <w:rPr>
                <w:rFonts w:hint="eastAsia" w:ascii="仿宋" w:hAnsi="仿宋" w:eastAsia="仿宋" w:cs="仿宋"/>
                <w:color w:val="auto"/>
                <w:sz w:val="24"/>
                <w:szCs w:val="24"/>
                <w:highlight w:val="none"/>
              </w:rPr>
            </w:pPr>
          </w:p>
        </w:tc>
        <w:tc>
          <w:tcPr>
            <w:tcW w:w="991" w:type="dxa"/>
            <w:noWrap/>
            <w:vAlign w:val="center"/>
          </w:tcPr>
          <w:p w14:paraId="6869D08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745" w:type="dxa"/>
            <w:noWrap/>
            <w:vAlign w:val="center"/>
          </w:tcPr>
          <w:p w14:paraId="0CD4B4BD">
            <w:pPr>
              <w:jc w:val="center"/>
              <w:rPr>
                <w:rFonts w:hint="eastAsia" w:ascii="仿宋" w:hAnsi="仿宋" w:eastAsia="仿宋" w:cs="仿宋"/>
                <w:color w:val="auto"/>
                <w:sz w:val="24"/>
                <w:szCs w:val="24"/>
                <w:highlight w:val="none"/>
              </w:rPr>
            </w:pPr>
          </w:p>
        </w:tc>
      </w:tr>
      <w:tr w14:paraId="2D46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728" w:type="dxa"/>
            <w:noWrap/>
            <w:vAlign w:val="center"/>
          </w:tcPr>
          <w:p w14:paraId="1258C1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E-mail</w:t>
            </w:r>
          </w:p>
        </w:tc>
        <w:tc>
          <w:tcPr>
            <w:tcW w:w="6991" w:type="dxa"/>
            <w:gridSpan w:val="3"/>
            <w:noWrap/>
            <w:vAlign w:val="center"/>
          </w:tcPr>
          <w:p w14:paraId="48505ADF">
            <w:pPr>
              <w:jc w:val="center"/>
              <w:rPr>
                <w:rFonts w:hint="eastAsia" w:ascii="仿宋" w:hAnsi="仿宋" w:eastAsia="仿宋" w:cs="仿宋"/>
                <w:color w:val="auto"/>
                <w:sz w:val="24"/>
                <w:szCs w:val="24"/>
                <w:highlight w:val="none"/>
              </w:rPr>
            </w:pPr>
          </w:p>
        </w:tc>
      </w:tr>
      <w:tr w14:paraId="4432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728" w:type="dxa"/>
            <w:noWrap/>
            <w:vAlign w:val="center"/>
          </w:tcPr>
          <w:p w14:paraId="0D4F8D7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tc>
        <w:tc>
          <w:tcPr>
            <w:tcW w:w="6991" w:type="dxa"/>
            <w:gridSpan w:val="3"/>
            <w:noWrap/>
            <w:vAlign w:val="center"/>
          </w:tcPr>
          <w:p w14:paraId="7F43D7D4">
            <w:pPr>
              <w:jc w:val="center"/>
              <w:rPr>
                <w:rFonts w:hint="eastAsia" w:ascii="仿宋" w:hAnsi="仿宋" w:eastAsia="仿宋" w:cs="仿宋"/>
                <w:color w:val="auto"/>
                <w:sz w:val="24"/>
                <w:szCs w:val="24"/>
                <w:highlight w:val="none"/>
              </w:rPr>
            </w:pPr>
          </w:p>
        </w:tc>
      </w:tr>
    </w:tbl>
    <w:p w14:paraId="52D44939">
      <w:pPr>
        <w:spacing w:line="360" w:lineRule="auto"/>
        <w:ind w:firstLine="48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代理机构：</w:t>
      </w:r>
      <w:r>
        <w:rPr>
          <w:rFonts w:hint="eastAsia" w:ascii="仿宋" w:hAnsi="仿宋" w:eastAsia="仿宋" w:cs="仿宋"/>
          <w:color w:val="auto"/>
          <w:sz w:val="24"/>
          <w:szCs w:val="24"/>
          <w:highlight w:val="none"/>
          <w:lang w:eastAsia="zh-CN"/>
        </w:rPr>
        <w:t>重庆翊博项目管理有限公司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4DF45DFB">
      <w:pPr>
        <w:keepNext w:val="0"/>
        <w:keepLines w:val="0"/>
        <w:pageBreakBefore w:val="0"/>
        <w:kinsoku/>
        <w:overflowPunct/>
        <w:topLinePunct w:val="0"/>
        <w:autoSpaceDE/>
        <w:autoSpaceDN/>
        <w:bidi w:val="0"/>
        <w:adjustRightInd/>
        <w:textAlignment w:val="auto"/>
        <w:outlineLvl w:val="9"/>
        <w:rPr>
          <w:rFonts w:hint="eastAsia" w:ascii="仿宋" w:hAnsi="仿宋" w:eastAsia="仿宋" w:cs="仿宋"/>
          <w:color w:val="auto"/>
        </w:rPr>
      </w:pPr>
    </w:p>
    <w:sectPr>
      <w:headerReference r:id="rId12" w:type="default"/>
      <w:footerReference r:id="rId13" w:type="default"/>
      <w:pgSz w:w="11907" w:h="16840"/>
      <w:pgMar w:top="1440" w:right="1080" w:bottom="1440" w:left="1080"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Monaco">
    <w:altName w:val="Courier New"/>
    <w:panose1 w:val="00000000000000000000"/>
    <w:charset w:val="00"/>
    <w:family w:val="auto"/>
    <w:pitch w:val="default"/>
    <w:sig w:usb0="00000000" w:usb1="00000000" w:usb2="00000000" w:usb3="00000000" w:csb0="0000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54E2">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40FE">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1A34">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6FB2">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B4F0">
    <w:pPr>
      <w:pStyle w:val="16"/>
      <w:jc w:val="center"/>
      <w:rPr>
        <w:sz w:val="21"/>
        <w:szCs w:val="21"/>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wps:spPr>
                    <wps:txbx>
                      <w:txbxContent>
                        <w:p w14:paraId="7C2ED8F6"/>
                      </w:txbxContent>
                    </wps:txbx>
                    <wps:bodyPr wrap="none" lIns="0" tIns="0" rIns="0" bIns="0"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6+Rr0QAAAAMBAAAPAAAAAAAAAAEAIAAAACIAAABkcnMvZG93bnJldi54&#10;bWxQSwECFAAUAAAACACHTuJAW08HB8gBAACNAwAADgAAAAAAAAABACAAAAAgAQAAZHJzL2Uyb0Rv&#10;Yy54bWxQSwUGAAAAAAYABgBZAQAAWgUAAAAA&#10;">
              <v:fill on="f" focussize="0,0"/>
              <v:stroke on="f"/>
              <v:imagedata o:title=""/>
              <o:lock v:ext="edit" aspectratio="f"/>
              <v:textbox inset="0mm,0mm,0mm,0mm" style="mso-fit-shape-to-text:t;">
                <w:txbxContent>
                  <w:p w14:paraId="7C2ED8F6"/>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1947">
    <w:pPr>
      <w:pStyle w:val="16"/>
      <w:jc w:val="center"/>
      <w:rPr>
        <w:sz w:val="21"/>
        <w:szCs w:val="21"/>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3" name="4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bodyPr wrap="none" upright="1"/>
                  </wps:wsp>
                </a:graphicData>
              </a:graphic>
            </wp:anchor>
          </w:drawing>
        </mc:Choice>
        <mc:Fallback>
          <w:pict>
            <v:shape id="4100"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tJ4bVAAAAAwEAAA8AAAAAAAAAAQAgAAAAIgAAAGRycy9kb3ducmV2LnhtbFBLAQIUABQA&#10;AAAIAIdO4kDadE7BugEAAIIDAAAOAAAAAAAAAAEAIAAAACQBAABkcnMvZTJvRG9jLnhtbFBLBQYA&#10;AAAABgAGAFkBAABQBQAAAAA=&#10;">
              <v:fill on="f" focussize="0,0"/>
              <v:stroke on="f"/>
              <v:imagedata o:title=""/>
              <o:lock v:ext="edit" text="t" aspectratio="t"/>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89BE">
    <w:pPr>
      <w:pStyle w:val="17"/>
      <w:pBdr>
        <w:bottom w:val="none" w:color="auto" w:sz="0" w:space="0"/>
      </w:pBdr>
      <w:jc w:val="left"/>
    </w:pPr>
    <w:r>
      <w:rPr>
        <w:rFonts w:ascii="仿宋" w:hAnsi="仿宋" w:eastAsia="仿宋" w:cs="仿宋"/>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375D">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BD7A">
    <w:pPr>
      <w:pStyle w:val="17"/>
      <w:pBdr>
        <w:bottom w:val="none" w:color="auto" w:sz="0" w:space="0"/>
      </w:pBdr>
      <w:jc w:val="left"/>
    </w:pPr>
    <w:r>
      <w:rPr>
        <w:rFonts w:ascii="仿宋" w:hAnsi="仿宋" w:eastAsia="仿宋" w:cs="仿宋"/>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3BFF1">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99D1">
    <w:pPr>
      <w:pStyle w:val="17"/>
      <w:pBdr>
        <w:bottom w:val="none" w:color="auto" w:sz="0" w:space="0"/>
      </w:pBdr>
      <w:jc w:val="left"/>
    </w:pPr>
    <w:r>
      <w:rPr>
        <w:rFonts w:ascii="仿宋" w:hAnsi="仿宋" w:eastAsia="仿宋" w:cs="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7CB20"/>
    <w:multiLevelType w:val="singleLevel"/>
    <w:tmpl w:val="B287CB20"/>
    <w:lvl w:ilvl="0" w:tentative="0">
      <w:start w:val="5"/>
      <w:numFmt w:val="decimal"/>
      <w:suff w:val="nothing"/>
      <w:lvlText w:val="%1、"/>
      <w:lvlJc w:val="left"/>
    </w:lvl>
  </w:abstractNum>
  <w:abstractNum w:abstractNumId="1">
    <w:nsid w:val="F18A59F6"/>
    <w:multiLevelType w:val="singleLevel"/>
    <w:tmpl w:val="F18A59F6"/>
    <w:lvl w:ilvl="0" w:tentative="0">
      <w:start w:val="4"/>
      <w:numFmt w:val="decimal"/>
      <w:suff w:val="nothing"/>
      <w:lvlText w:val="%1、"/>
      <w:lvlJc w:val="left"/>
    </w:lvl>
  </w:abstractNum>
  <w:abstractNum w:abstractNumId="2">
    <w:nsid w:val="00000001"/>
    <w:multiLevelType w:val="multilevel"/>
    <w:tmpl w:val="00000001"/>
    <w:lvl w:ilvl="0" w:tentative="0">
      <w:start w:val="1"/>
      <w:numFmt w:val="decimal"/>
      <w:pStyle w:val="82"/>
      <w:lvlText w:val="（%1）"/>
      <w:lvlJc w:val="left"/>
      <w:pPr>
        <w:tabs>
          <w:tab w:val="left" w:pos="1230"/>
        </w:tabs>
        <w:ind w:firstLine="510"/>
      </w:pPr>
      <w:rPr>
        <w:rFonts w:hint="default" w:ascii="Arial" w:hAnsi="Arial" w:cs="Arial"/>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3505E2C"/>
    <w:multiLevelType w:val="singleLevel"/>
    <w:tmpl w:val="23505E2C"/>
    <w:lvl w:ilvl="0" w:tentative="0">
      <w:start w:val="5"/>
      <w:numFmt w:val="chineseCounting"/>
      <w:suff w:val="nothing"/>
      <w:lvlText w:val="（%1）"/>
      <w:lvlJc w:val="left"/>
      <w:rPr>
        <w:rFonts w:hint="eastAsia"/>
      </w:rPr>
    </w:lvl>
  </w:abstractNum>
  <w:abstractNum w:abstractNumId="4">
    <w:nsid w:val="77032538"/>
    <w:multiLevelType w:val="singleLevel"/>
    <w:tmpl w:val="77032538"/>
    <w:lvl w:ilvl="0" w:tentative="0">
      <w:start w:val="1"/>
      <w:numFmt w:val="decimal"/>
      <w:suff w:val="nothing"/>
      <w:lvlText w:val="%1、"/>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D8"/>
    <w:rsid w:val="00000478"/>
    <w:rsid w:val="000053C4"/>
    <w:rsid w:val="00014C65"/>
    <w:rsid w:val="000160DB"/>
    <w:rsid w:val="00020228"/>
    <w:rsid w:val="00030512"/>
    <w:rsid w:val="00052FCC"/>
    <w:rsid w:val="000545DF"/>
    <w:rsid w:val="000669C7"/>
    <w:rsid w:val="00070E74"/>
    <w:rsid w:val="00080B66"/>
    <w:rsid w:val="00083A1C"/>
    <w:rsid w:val="000B1D6F"/>
    <w:rsid w:val="000C15B5"/>
    <w:rsid w:val="000D18F8"/>
    <w:rsid w:val="000E75B3"/>
    <w:rsid w:val="000F7F11"/>
    <w:rsid w:val="001373A7"/>
    <w:rsid w:val="001619C6"/>
    <w:rsid w:val="00170B9D"/>
    <w:rsid w:val="00185142"/>
    <w:rsid w:val="001A539B"/>
    <w:rsid w:val="001C783F"/>
    <w:rsid w:val="001D2FC1"/>
    <w:rsid w:val="001E66B9"/>
    <w:rsid w:val="002207A3"/>
    <w:rsid w:val="00233D69"/>
    <w:rsid w:val="00266AD7"/>
    <w:rsid w:val="002758CB"/>
    <w:rsid w:val="002B364E"/>
    <w:rsid w:val="002C24C3"/>
    <w:rsid w:val="002C45F1"/>
    <w:rsid w:val="002C4BF6"/>
    <w:rsid w:val="002E61B6"/>
    <w:rsid w:val="002F047E"/>
    <w:rsid w:val="002F2C4D"/>
    <w:rsid w:val="0030350C"/>
    <w:rsid w:val="003037F8"/>
    <w:rsid w:val="00304B74"/>
    <w:rsid w:val="003129AC"/>
    <w:rsid w:val="003160C7"/>
    <w:rsid w:val="00317CC3"/>
    <w:rsid w:val="00323675"/>
    <w:rsid w:val="00351E7B"/>
    <w:rsid w:val="0036204F"/>
    <w:rsid w:val="0039407C"/>
    <w:rsid w:val="003945F4"/>
    <w:rsid w:val="003E4BFD"/>
    <w:rsid w:val="00455B3C"/>
    <w:rsid w:val="00476C31"/>
    <w:rsid w:val="004863D4"/>
    <w:rsid w:val="004B10A4"/>
    <w:rsid w:val="004B58E3"/>
    <w:rsid w:val="004C33F9"/>
    <w:rsid w:val="00505D82"/>
    <w:rsid w:val="00527187"/>
    <w:rsid w:val="00560A38"/>
    <w:rsid w:val="00567C96"/>
    <w:rsid w:val="00573524"/>
    <w:rsid w:val="005A7091"/>
    <w:rsid w:val="005A7D1D"/>
    <w:rsid w:val="005E35FA"/>
    <w:rsid w:val="005F3142"/>
    <w:rsid w:val="005F65CD"/>
    <w:rsid w:val="006239F4"/>
    <w:rsid w:val="006276C3"/>
    <w:rsid w:val="00666425"/>
    <w:rsid w:val="00684F56"/>
    <w:rsid w:val="00685366"/>
    <w:rsid w:val="00697ABE"/>
    <w:rsid w:val="006A2416"/>
    <w:rsid w:val="006A53E5"/>
    <w:rsid w:val="006F072F"/>
    <w:rsid w:val="006F644A"/>
    <w:rsid w:val="00702B43"/>
    <w:rsid w:val="0073427B"/>
    <w:rsid w:val="00736B0B"/>
    <w:rsid w:val="00737B00"/>
    <w:rsid w:val="00747487"/>
    <w:rsid w:val="00754B5B"/>
    <w:rsid w:val="00770923"/>
    <w:rsid w:val="007722FB"/>
    <w:rsid w:val="00777DD8"/>
    <w:rsid w:val="00785619"/>
    <w:rsid w:val="00785985"/>
    <w:rsid w:val="007A38EE"/>
    <w:rsid w:val="008306D7"/>
    <w:rsid w:val="00832AF3"/>
    <w:rsid w:val="008372CB"/>
    <w:rsid w:val="0085720B"/>
    <w:rsid w:val="0088463F"/>
    <w:rsid w:val="008866BE"/>
    <w:rsid w:val="00893AF8"/>
    <w:rsid w:val="008A0F05"/>
    <w:rsid w:val="008C5649"/>
    <w:rsid w:val="008D21A7"/>
    <w:rsid w:val="008D4A84"/>
    <w:rsid w:val="008E67B8"/>
    <w:rsid w:val="008F1B72"/>
    <w:rsid w:val="009061FD"/>
    <w:rsid w:val="009137E3"/>
    <w:rsid w:val="00917593"/>
    <w:rsid w:val="00932AC9"/>
    <w:rsid w:val="00947A74"/>
    <w:rsid w:val="00952FD2"/>
    <w:rsid w:val="009562A7"/>
    <w:rsid w:val="009577BE"/>
    <w:rsid w:val="009775E2"/>
    <w:rsid w:val="0098142A"/>
    <w:rsid w:val="00996C4A"/>
    <w:rsid w:val="009A50C9"/>
    <w:rsid w:val="009A6CF4"/>
    <w:rsid w:val="009B228A"/>
    <w:rsid w:val="009B5B30"/>
    <w:rsid w:val="009C23D1"/>
    <w:rsid w:val="009C597C"/>
    <w:rsid w:val="009C7280"/>
    <w:rsid w:val="009D39D7"/>
    <w:rsid w:val="009E32DF"/>
    <w:rsid w:val="009E499B"/>
    <w:rsid w:val="009F44EB"/>
    <w:rsid w:val="00A01EB1"/>
    <w:rsid w:val="00A05D4D"/>
    <w:rsid w:val="00A20287"/>
    <w:rsid w:val="00A224D3"/>
    <w:rsid w:val="00A47A05"/>
    <w:rsid w:val="00A521E4"/>
    <w:rsid w:val="00A67B8E"/>
    <w:rsid w:val="00A7174A"/>
    <w:rsid w:val="00A869AB"/>
    <w:rsid w:val="00AA5C18"/>
    <w:rsid w:val="00AA690F"/>
    <w:rsid w:val="00AB3E96"/>
    <w:rsid w:val="00AD4347"/>
    <w:rsid w:val="00AE4C27"/>
    <w:rsid w:val="00AF6343"/>
    <w:rsid w:val="00B0326F"/>
    <w:rsid w:val="00B070A3"/>
    <w:rsid w:val="00B133FE"/>
    <w:rsid w:val="00B154A0"/>
    <w:rsid w:val="00B4187D"/>
    <w:rsid w:val="00B45C35"/>
    <w:rsid w:val="00B51E50"/>
    <w:rsid w:val="00B55D7D"/>
    <w:rsid w:val="00B65435"/>
    <w:rsid w:val="00B7023F"/>
    <w:rsid w:val="00B732B0"/>
    <w:rsid w:val="00B9047C"/>
    <w:rsid w:val="00BB450C"/>
    <w:rsid w:val="00C07259"/>
    <w:rsid w:val="00C07786"/>
    <w:rsid w:val="00C264AD"/>
    <w:rsid w:val="00C33E64"/>
    <w:rsid w:val="00C37EAF"/>
    <w:rsid w:val="00C47B84"/>
    <w:rsid w:val="00C54FF7"/>
    <w:rsid w:val="00C65194"/>
    <w:rsid w:val="00C91F4C"/>
    <w:rsid w:val="00CA2730"/>
    <w:rsid w:val="00CA5E2D"/>
    <w:rsid w:val="00CB4951"/>
    <w:rsid w:val="00CC5802"/>
    <w:rsid w:val="00CD5CFF"/>
    <w:rsid w:val="00CF1936"/>
    <w:rsid w:val="00D01D6E"/>
    <w:rsid w:val="00D17E31"/>
    <w:rsid w:val="00D22C19"/>
    <w:rsid w:val="00D51B04"/>
    <w:rsid w:val="00D71178"/>
    <w:rsid w:val="00D722FB"/>
    <w:rsid w:val="00D72CA6"/>
    <w:rsid w:val="00DA6701"/>
    <w:rsid w:val="00DD7813"/>
    <w:rsid w:val="00DE31D5"/>
    <w:rsid w:val="00DE6169"/>
    <w:rsid w:val="00DE6997"/>
    <w:rsid w:val="00E605FD"/>
    <w:rsid w:val="00E65E10"/>
    <w:rsid w:val="00E9788B"/>
    <w:rsid w:val="00ED240C"/>
    <w:rsid w:val="00ED515A"/>
    <w:rsid w:val="00EE1BDB"/>
    <w:rsid w:val="00EF1EDC"/>
    <w:rsid w:val="00EF4417"/>
    <w:rsid w:val="00F03B70"/>
    <w:rsid w:val="00F05333"/>
    <w:rsid w:val="00F209AA"/>
    <w:rsid w:val="00F3319E"/>
    <w:rsid w:val="00F42115"/>
    <w:rsid w:val="00FC7A21"/>
    <w:rsid w:val="00FF2FD5"/>
    <w:rsid w:val="039D53CC"/>
    <w:rsid w:val="06D62FFC"/>
    <w:rsid w:val="09ED6C7C"/>
    <w:rsid w:val="0A971379"/>
    <w:rsid w:val="0DB539BB"/>
    <w:rsid w:val="0FE318DB"/>
    <w:rsid w:val="12F44D60"/>
    <w:rsid w:val="1AB25504"/>
    <w:rsid w:val="1ABE55EE"/>
    <w:rsid w:val="1CF55E97"/>
    <w:rsid w:val="26AF56A2"/>
    <w:rsid w:val="2DF5699F"/>
    <w:rsid w:val="2EFB51B4"/>
    <w:rsid w:val="336244FF"/>
    <w:rsid w:val="34CE04B2"/>
    <w:rsid w:val="38602FFA"/>
    <w:rsid w:val="38E44532"/>
    <w:rsid w:val="3C625EF2"/>
    <w:rsid w:val="41CB0C69"/>
    <w:rsid w:val="44D06F44"/>
    <w:rsid w:val="4659369F"/>
    <w:rsid w:val="47D12ED9"/>
    <w:rsid w:val="48A71559"/>
    <w:rsid w:val="497E2BC4"/>
    <w:rsid w:val="4A8E6560"/>
    <w:rsid w:val="4C0A34CE"/>
    <w:rsid w:val="4D6B2423"/>
    <w:rsid w:val="4F2935FA"/>
    <w:rsid w:val="51A0391C"/>
    <w:rsid w:val="55767535"/>
    <w:rsid w:val="587F2CC7"/>
    <w:rsid w:val="5FD01870"/>
    <w:rsid w:val="6274302A"/>
    <w:rsid w:val="66807B4C"/>
    <w:rsid w:val="6B3B04E6"/>
    <w:rsid w:val="6BD562D0"/>
    <w:rsid w:val="6F143527"/>
    <w:rsid w:val="6F2963B2"/>
    <w:rsid w:val="6FAA0837"/>
    <w:rsid w:val="77670DF2"/>
    <w:rsid w:val="77BE74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7"/>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8"/>
    <w:qFormat/>
    <w:uiPriority w:val="99"/>
    <w:pPr>
      <w:keepNext/>
      <w:keepLines/>
      <w:spacing w:before="260" w:after="260" w:line="415" w:lineRule="auto"/>
      <w:outlineLvl w:val="1"/>
    </w:pPr>
    <w:rPr>
      <w:rFonts w:ascii="Cambria" w:hAnsi="Cambria" w:cs="Cambria"/>
      <w:b/>
      <w:bCs/>
      <w:sz w:val="32"/>
      <w:szCs w:val="32"/>
      <w:lang w:val="zh-CN"/>
    </w:rPr>
  </w:style>
  <w:style w:type="paragraph" w:styleId="4">
    <w:name w:val="heading 3"/>
    <w:basedOn w:val="1"/>
    <w:next w:val="1"/>
    <w:link w:val="39"/>
    <w:qFormat/>
    <w:uiPriority w:val="99"/>
    <w:pPr>
      <w:keepNext/>
      <w:keepLines/>
      <w:spacing w:before="260" w:after="260" w:line="415" w:lineRule="auto"/>
      <w:outlineLvl w:val="2"/>
    </w:pPr>
    <w:rPr>
      <w:rFonts w:ascii="Times New Roman" w:hAnsi="Times New Roman" w:cs="Times New Roman"/>
      <w:b/>
      <w:bCs/>
      <w:sz w:val="32"/>
      <w:szCs w:val="32"/>
      <w:lang w:val="zh-CN"/>
    </w:rPr>
  </w:style>
  <w:style w:type="paragraph" w:styleId="5">
    <w:name w:val="heading 4"/>
    <w:basedOn w:val="1"/>
    <w:next w:val="1"/>
    <w:link w:val="40"/>
    <w:qFormat/>
    <w:uiPriority w:val="99"/>
    <w:pPr>
      <w:keepNext/>
      <w:keepLines/>
      <w:spacing w:before="280" w:after="290" w:line="372" w:lineRule="auto"/>
      <w:outlineLvl w:val="3"/>
    </w:pPr>
    <w:rPr>
      <w:rFonts w:ascii="Arial" w:hAnsi="Arial" w:eastAsia="黑体" w:cs="Arial"/>
      <w:b/>
      <w:bC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adjustRightInd w:val="0"/>
      <w:snapToGrid w:val="0"/>
      <w:spacing w:line="360" w:lineRule="auto"/>
      <w:ind w:firstLine="420"/>
    </w:pPr>
  </w:style>
  <w:style w:type="paragraph" w:styleId="7">
    <w:name w:val="Body Text"/>
    <w:basedOn w:val="1"/>
    <w:next w:val="1"/>
    <w:link w:val="41"/>
    <w:qFormat/>
    <w:uiPriority w:val="99"/>
    <w:pPr>
      <w:spacing w:after="120"/>
    </w:pPr>
    <w:rPr>
      <w:rFonts w:ascii="Times New Roman" w:hAnsi="Times New Roman" w:cs="Times New Roman"/>
      <w:kern w:val="2"/>
      <w:sz w:val="28"/>
      <w:szCs w:val="28"/>
      <w:lang w:val="zh-CN"/>
    </w:rPr>
  </w:style>
  <w:style w:type="paragraph" w:styleId="8">
    <w:name w:val="Document Map"/>
    <w:basedOn w:val="1"/>
    <w:link w:val="42"/>
    <w:semiHidden/>
    <w:qFormat/>
    <w:uiPriority w:val="99"/>
    <w:pPr>
      <w:shd w:val="clear" w:color="auto" w:fill="000080"/>
    </w:pPr>
    <w:rPr>
      <w:rFonts w:ascii="Times New Roman" w:hAnsi="Times New Roman" w:cs="Times New Roman"/>
      <w:sz w:val="2"/>
      <w:szCs w:val="2"/>
      <w:lang w:val="zh-CN"/>
    </w:rPr>
  </w:style>
  <w:style w:type="paragraph" w:styleId="9">
    <w:name w:val="annotation text"/>
    <w:basedOn w:val="1"/>
    <w:link w:val="43"/>
    <w:semiHidden/>
    <w:qFormat/>
    <w:uiPriority w:val="99"/>
    <w:rPr>
      <w:rFonts w:ascii="Times New Roman" w:hAnsi="Times New Roman" w:cs="Times New Roman"/>
      <w:kern w:val="2"/>
      <w:sz w:val="28"/>
      <w:szCs w:val="28"/>
      <w:lang w:val="zh-CN"/>
    </w:rPr>
  </w:style>
  <w:style w:type="paragraph" w:styleId="10">
    <w:name w:val="Body Text Indent"/>
    <w:basedOn w:val="1"/>
    <w:link w:val="44"/>
    <w:qFormat/>
    <w:uiPriority w:val="99"/>
    <w:pPr>
      <w:spacing w:line="700" w:lineRule="exact"/>
      <w:ind w:left="960"/>
    </w:pPr>
    <w:rPr>
      <w:rFonts w:ascii="Times New Roman" w:hAnsi="Times New Roman" w:cs="Times New Roman"/>
      <w:sz w:val="20"/>
      <w:szCs w:val="20"/>
      <w:lang w:val="zh-CN"/>
    </w:rPr>
  </w:style>
  <w:style w:type="paragraph" w:styleId="11">
    <w:name w:val="toc 3"/>
    <w:basedOn w:val="1"/>
    <w:next w:val="1"/>
    <w:autoRedefine/>
    <w:semiHidden/>
    <w:qFormat/>
    <w:uiPriority w:val="99"/>
    <w:pPr>
      <w:tabs>
        <w:tab w:val="right" w:leader="dot" w:pos="8303"/>
      </w:tabs>
      <w:spacing w:line="540" w:lineRule="exact"/>
      <w:ind w:left="1120" w:leftChars="400"/>
    </w:pPr>
  </w:style>
  <w:style w:type="paragraph" w:styleId="12">
    <w:name w:val="Plain Text"/>
    <w:basedOn w:val="1"/>
    <w:link w:val="45"/>
    <w:qFormat/>
    <w:uiPriority w:val="99"/>
    <w:rPr>
      <w:rFonts w:hAnsi="Courier New"/>
      <w:sz w:val="21"/>
      <w:szCs w:val="21"/>
      <w:lang w:val="zh-CN"/>
    </w:rPr>
  </w:style>
  <w:style w:type="paragraph" w:styleId="13">
    <w:name w:val="Date"/>
    <w:basedOn w:val="1"/>
    <w:next w:val="1"/>
    <w:link w:val="46"/>
    <w:qFormat/>
    <w:uiPriority w:val="99"/>
    <w:rPr>
      <w:rFonts w:ascii="Times New Roman" w:hAnsi="Times New Roman" w:cs="Times New Roman"/>
      <w:sz w:val="20"/>
      <w:szCs w:val="20"/>
      <w:lang w:val="zh-CN"/>
    </w:rPr>
  </w:style>
  <w:style w:type="paragraph" w:styleId="14">
    <w:name w:val="Body Text Indent 2"/>
    <w:basedOn w:val="1"/>
    <w:link w:val="47"/>
    <w:qFormat/>
    <w:uiPriority w:val="99"/>
    <w:pPr>
      <w:spacing w:after="120" w:line="480" w:lineRule="auto"/>
      <w:ind w:left="420" w:leftChars="200"/>
    </w:pPr>
    <w:rPr>
      <w:rFonts w:ascii="Times New Roman" w:hAnsi="Times New Roman" w:cs="Times New Roman"/>
      <w:kern w:val="2"/>
      <w:sz w:val="28"/>
      <w:szCs w:val="28"/>
      <w:lang w:val="zh-CN"/>
    </w:rPr>
  </w:style>
  <w:style w:type="paragraph" w:styleId="15">
    <w:name w:val="Balloon Text"/>
    <w:basedOn w:val="1"/>
    <w:link w:val="48"/>
    <w:semiHidden/>
    <w:qFormat/>
    <w:uiPriority w:val="99"/>
    <w:rPr>
      <w:rFonts w:ascii="Times New Roman" w:hAnsi="Times New Roman" w:cs="Times New Roman"/>
      <w:sz w:val="2"/>
      <w:szCs w:val="2"/>
      <w:lang w:val="zh-CN"/>
    </w:rPr>
  </w:style>
  <w:style w:type="paragraph" w:styleId="16">
    <w:name w:val="footer"/>
    <w:basedOn w:val="1"/>
    <w:link w:val="49"/>
    <w:qFormat/>
    <w:uiPriority w:val="99"/>
    <w:pPr>
      <w:tabs>
        <w:tab w:val="center" w:pos="4153"/>
        <w:tab w:val="right" w:pos="8306"/>
      </w:tabs>
      <w:snapToGrid w:val="0"/>
    </w:pPr>
    <w:rPr>
      <w:rFonts w:ascii="Times New Roman" w:hAnsi="Times New Roman" w:cs="Times New Roman"/>
      <w:sz w:val="18"/>
      <w:szCs w:val="18"/>
      <w:lang w:val="zh-CN"/>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8">
    <w:name w:val="toc 1"/>
    <w:basedOn w:val="1"/>
    <w:next w:val="1"/>
    <w:autoRedefine/>
    <w:semiHidden/>
    <w:qFormat/>
    <w:uiPriority w:val="99"/>
    <w:pPr>
      <w:tabs>
        <w:tab w:val="right" w:leader="dot" w:pos="8303"/>
      </w:tabs>
      <w:spacing w:line="300" w:lineRule="exact"/>
    </w:pPr>
    <w:rPr>
      <w:rFonts w:ascii="仿宋_GB2312" w:hAnsi="华文中宋" w:eastAsia="仿宋_GB2312" w:cs="仿宋_GB2312"/>
      <w:b/>
      <w:bCs/>
    </w:rPr>
  </w:style>
  <w:style w:type="paragraph" w:styleId="19">
    <w:name w:val="toc 2"/>
    <w:basedOn w:val="1"/>
    <w:next w:val="1"/>
    <w:autoRedefine/>
    <w:semiHidden/>
    <w:qFormat/>
    <w:uiPriority w:val="9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51"/>
    <w:qFormat/>
    <w:uiPriority w:val="99"/>
    <w:pPr>
      <w:spacing w:after="120" w:line="480" w:lineRule="auto"/>
    </w:pPr>
    <w:rPr>
      <w:lang w:val="zh-CN"/>
    </w:rPr>
  </w:style>
  <w:style w:type="paragraph" w:styleId="21">
    <w:name w:val="Message Header"/>
    <w:basedOn w:val="1"/>
    <w:next w:val="7"/>
    <w:link w:val="52"/>
    <w:qFormat/>
    <w:uiPriority w:val="99"/>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rPr>
  </w:style>
  <w:style w:type="paragraph" w:styleId="22">
    <w:name w:val="Normal (Web)"/>
    <w:basedOn w:val="1"/>
    <w:qFormat/>
    <w:uiPriority w:val="99"/>
    <w:pPr>
      <w:spacing w:before="100" w:beforeAutospacing="1" w:after="100" w:afterAutospacing="1"/>
    </w:pPr>
    <w:rPr>
      <w:color w:val="000000"/>
    </w:rPr>
  </w:style>
  <w:style w:type="paragraph" w:styleId="23">
    <w:name w:val="annotation subject"/>
    <w:basedOn w:val="9"/>
    <w:next w:val="9"/>
    <w:link w:val="53"/>
    <w:semiHidden/>
    <w:qFormat/>
    <w:uiPriority w:val="99"/>
    <w:rPr>
      <w:b/>
      <w:bCs/>
    </w:rPr>
  </w:style>
  <w:style w:type="paragraph" w:styleId="24">
    <w:name w:val="Body Text First Indent"/>
    <w:basedOn w:val="1"/>
    <w:link w:val="54"/>
    <w:qFormat/>
    <w:uiPriority w:val="99"/>
    <w:pPr>
      <w:ind w:firstLine="420"/>
    </w:pPr>
  </w:style>
  <w:style w:type="table" w:styleId="26">
    <w:name w:val="Table Grid"/>
    <w:basedOn w:val="25"/>
    <w:qFormat/>
    <w:uiPriority w:val="99"/>
    <w:pPr>
      <w:widowControl w:val="0"/>
      <w:jc w:val="both"/>
    </w:pPr>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b/>
      <w:bCs/>
    </w:rPr>
  </w:style>
  <w:style w:type="character" w:styleId="29">
    <w:name w:val="page number"/>
    <w:basedOn w:val="27"/>
    <w:qFormat/>
    <w:uiPriority w:val="99"/>
  </w:style>
  <w:style w:type="character" w:styleId="30">
    <w:name w:val="FollowedHyperlink"/>
    <w:basedOn w:val="27"/>
    <w:qFormat/>
    <w:uiPriority w:val="99"/>
    <w:rPr>
      <w:color w:val="000000"/>
      <w:u w:val="none"/>
    </w:rPr>
  </w:style>
  <w:style w:type="character" w:styleId="31">
    <w:name w:val="Emphasis"/>
    <w:basedOn w:val="27"/>
    <w:qFormat/>
    <w:uiPriority w:val="99"/>
    <w:rPr>
      <w:i/>
      <w:iCs/>
    </w:rPr>
  </w:style>
  <w:style w:type="character" w:styleId="32">
    <w:name w:val="Hyperlink"/>
    <w:basedOn w:val="27"/>
    <w:qFormat/>
    <w:uiPriority w:val="99"/>
    <w:rPr>
      <w:color w:val="0000FF"/>
      <w:u w:val="single"/>
    </w:rPr>
  </w:style>
  <w:style w:type="character" w:styleId="33">
    <w:name w:val="HTML Code"/>
    <w:basedOn w:val="27"/>
    <w:qFormat/>
    <w:uiPriority w:val="99"/>
    <w:rPr>
      <w:rFonts w:ascii="Monaco" w:hAnsi="Monaco" w:eastAsia="Times New Roman" w:cs="Monaco"/>
      <w:color w:val="auto"/>
      <w:sz w:val="15"/>
      <w:szCs w:val="15"/>
      <w:bdr w:val="single" w:color="auto" w:sz="6" w:space="0"/>
      <w:shd w:val="clear" w:color="auto" w:fill="auto"/>
    </w:rPr>
  </w:style>
  <w:style w:type="character" w:styleId="34">
    <w:name w:val="annotation reference"/>
    <w:basedOn w:val="27"/>
    <w:semiHidden/>
    <w:qFormat/>
    <w:uiPriority w:val="99"/>
    <w:rPr>
      <w:sz w:val="21"/>
      <w:szCs w:val="21"/>
    </w:rPr>
  </w:style>
  <w:style w:type="character" w:styleId="35">
    <w:name w:val="HTML Cite"/>
    <w:basedOn w:val="27"/>
    <w:qFormat/>
    <w:uiPriority w:val="99"/>
  </w:style>
  <w:style w:type="paragraph" w:customStyle="1" w:styleId="36">
    <w:name w:val="无间隔2"/>
    <w:basedOn w:val="1"/>
    <w:autoRedefine/>
    <w:qFormat/>
    <w:uiPriority w:val="0"/>
    <w:pPr>
      <w:spacing w:line="400" w:lineRule="exact"/>
    </w:pPr>
    <w:rPr>
      <w:sz w:val="24"/>
    </w:rPr>
  </w:style>
  <w:style w:type="character" w:customStyle="1" w:styleId="37">
    <w:name w:val="标题 1 Char"/>
    <w:basedOn w:val="27"/>
    <w:link w:val="2"/>
    <w:qFormat/>
    <w:locked/>
    <w:uiPriority w:val="99"/>
    <w:rPr>
      <w:rFonts w:ascii="Times New Roman" w:hAnsi="Times New Roman" w:eastAsia="宋体" w:cs="Times New Roman"/>
      <w:b/>
      <w:bCs/>
      <w:kern w:val="44"/>
      <w:sz w:val="44"/>
      <w:szCs w:val="44"/>
      <w:lang w:val="zh-CN" w:eastAsia="zh-CN"/>
    </w:rPr>
  </w:style>
  <w:style w:type="character" w:customStyle="1" w:styleId="38">
    <w:name w:val="标题 2 Char"/>
    <w:basedOn w:val="27"/>
    <w:link w:val="3"/>
    <w:qFormat/>
    <w:locked/>
    <w:uiPriority w:val="99"/>
    <w:rPr>
      <w:rFonts w:ascii="Cambria" w:hAnsi="Cambria" w:eastAsia="宋体" w:cs="Cambria"/>
      <w:b/>
      <w:bCs/>
      <w:kern w:val="0"/>
      <w:sz w:val="32"/>
      <w:szCs w:val="32"/>
      <w:lang w:val="zh-CN" w:eastAsia="zh-CN"/>
    </w:rPr>
  </w:style>
  <w:style w:type="character" w:customStyle="1" w:styleId="39">
    <w:name w:val="标题 3 Char"/>
    <w:basedOn w:val="27"/>
    <w:link w:val="4"/>
    <w:qFormat/>
    <w:locked/>
    <w:uiPriority w:val="99"/>
    <w:rPr>
      <w:rFonts w:ascii="Times New Roman" w:hAnsi="Times New Roman" w:eastAsia="宋体" w:cs="Times New Roman"/>
      <w:b/>
      <w:bCs/>
      <w:kern w:val="0"/>
      <w:sz w:val="32"/>
      <w:szCs w:val="32"/>
      <w:lang w:val="zh-CN" w:eastAsia="zh-CN"/>
    </w:rPr>
  </w:style>
  <w:style w:type="character" w:customStyle="1" w:styleId="40">
    <w:name w:val="标题 4 Char"/>
    <w:basedOn w:val="27"/>
    <w:link w:val="5"/>
    <w:semiHidden/>
    <w:qFormat/>
    <w:uiPriority w:val="9"/>
    <w:rPr>
      <w:rFonts w:ascii="Cambria" w:hAnsi="Cambria" w:eastAsia="宋体" w:cs="Times New Roman"/>
      <w:b/>
      <w:bCs/>
      <w:kern w:val="0"/>
      <w:sz w:val="28"/>
      <w:szCs w:val="28"/>
    </w:rPr>
  </w:style>
  <w:style w:type="character" w:customStyle="1" w:styleId="41">
    <w:name w:val="正文文本 Char"/>
    <w:basedOn w:val="27"/>
    <w:link w:val="7"/>
    <w:qFormat/>
    <w:locked/>
    <w:uiPriority w:val="99"/>
    <w:rPr>
      <w:rFonts w:ascii="Times New Roman" w:hAnsi="Times New Roman" w:eastAsia="宋体" w:cs="Times New Roman"/>
      <w:sz w:val="28"/>
      <w:szCs w:val="28"/>
      <w:lang w:val="zh-CN" w:eastAsia="zh-CN"/>
    </w:rPr>
  </w:style>
  <w:style w:type="character" w:customStyle="1" w:styleId="42">
    <w:name w:val="文档结构图 Char"/>
    <w:basedOn w:val="27"/>
    <w:link w:val="8"/>
    <w:qFormat/>
    <w:locked/>
    <w:uiPriority w:val="99"/>
    <w:rPr>
      <w:rFonts w:ascii="Times New Roman" w:hAnsi="Times New Roman" w:eastAsia="宋体" w:cs="Times New Roman"/>
      <w:kern w:val="0"/>
      <w:sz w:val="2"/>
      <w:szCs w:val="2"/>
      <w:shd w:val="clear" w:color="auto" w:fill="000080"/>
      <w:lang w:val="zh-CN" w:eastAsia="zh-CN"/>
    </w:rPr>
  </w:style>
  <w:style w:type="character" w:customStyle="1" w:styleId="43">
    <w:name w:val="批注文字 Char"/>
    <w:basedOn w:val="27"/>
    <w:link w:val="9"/>
    <w:qFormat/>
    <w:locked/>
    <w:uiPriority w:val="99"/>
    <w:rPr>
      <w:rFonts w:ascii="Times New Roman" w:hAnsi="Times New Roman" w:eastAsia="宋体" w:cs="Times New Roman"/>
      <w:sz w:val="28"/>
      <w:szCs w:val="28"/>
      <w:lang w:val="zh-CN" w:eastAsia="zh-CN"/>
    </w:rPr>
  </w:style>
  <w:style w:type="character" w:customStyle="1" w:styleId="44">
    <w:name w:val="正文文本缩进 Char"/>
    <w:basedOn w:val="27"/>
    <w:link w:val="10"/>
    <w:qFormat/>
    <w:locked/>
    <w:uiPriority w:val="99"/>
    <w:rPr>
      <w:rFonts w:ascii="Times New Roman" w:hAnsi="Times New Roman" w:eastAsia="宋体" w:cs="Times New Roman"/>
      <w:kern w:val="0"/>
      <w:sz w:val="20"/>
      <w:szCs w:val="20"/>
      <w:lang w:val="zh-CN" w:eastAsia="zh-CN"/>
    </w:rPr>
  </w:style>
  <w:style w:type="character" w:customStyle="1" w:styleId="45">
    <w:name w:val="纯文本 Char"/>
    <w:basedOn w:val="27"/>
    <w:link w:val="12"/>
    <w:qFormat/>
    <w:locked/>
    <w:uiPriority w:val="99"/>
    <w:rPr>
      <w:rFonts w:ascii="宋体" w:hAnsi="Courier New" w:eastAsia="宋体" w:cs="宋体"/>
      <w:kern w:val="0"/>
      <w:sz w:val="21"/>
      <w:szCs w:val="21"/>
      <w:lang w:val="zh-CN" w:eastAsia="zh-CN"/>
    </w:rPr>
  </w:style>
  <w:style w:type="character" w:customStyle="1" w:styleId="46">
    <w:name w:val="日期 Char"/>
    <w:basedOn w:val="27"/>
    <w:link w:val="13"/>
    <w:qFormat/>
    <w:locked/>
    <w:uiPriority w:val="99"/>
    <w:rPr>
      <w:rFonts w:ascii="Times New Roman" w:hAnsi="Times New Roman" w:eastAsia="宋体" w:cs="Times New Roman"/>
      <w:kern w:val="0"/>
      <w:sz w:val="20"/>
      <w:szCs w:val="20"/>
      <w:lang w:val="zh-CN" w:eastAsia="zh-CN"/>
    </w:rPr>
  </w:style>
  <w:style w:type="character" w:customStyle="1" w:styleId="47">
    <w:name w:val="正文文本缩进 2 Char"/>
    <w:basedOn w:val="27"/>
    <w:link w:val="14"/>
    <w:qFormat/>
    <w:locked/>
    <w:uiPriority w:val="99"/>
    <w:rPr>
      <w:rFonts w:ascii="Times New Roman" w:hAnsi="Times New Roman" w:eastAsia="宋体" w:cs="Times New Roman"/>
      <w:sz w:val="28"/>
      <w:szCs w:val="28"/>
      <w:lang w:val="zh-CN" w:eastAsia="zh-CN"/>
    </w:rPr>
  </w:style>
  <w:style w:type="character" w:customStyle="1" w:styleId="48">
    <w:name w:val="批注框文本 Char"/>
    <w:basedOn w:val="27"/>
    <w:link w:val="15"/>
    <w:qFormat/>
    <w:locked/>
    <w:uiPriority w:val="99"/>
    <w:rPr>
      <w:rFonts w:ascii="Times New Roman" w:hAnsi="Times New Roman" w:eastAsia="宋体" w:cs="Times New Roman"/>
      <w:kern w:val="0"/>
      <w:sz w:val="2"/>
      <w:szCs w:val="2"/>
      <w:lang w:val="zh-CN" w:eastAsia="zh-CN"/>
    </w:rPr>
  </w:style>
  <w:style w:type="character" w:customStyle="1" w:styleId="49">
    <w:name w:val="页脚 Char"/>
    <w:basedOn w:val="27"/>
    <w:link w:val="16"/>
    <w:qFormat/>
    <w:locked/>
    <w:uiPriority w:val="99"/>
    <w:rPr>
      <w:rFonts w:ascii="Times New Roman" w:hAnsi="Times New Roman" w:eastAsia="宋体" w:cs="Times New Roman"/>
      <w:kern w:val="0"/>
      <w:sz w:val="18"/>
      <w:szCs w:val="18"/>
      <w:lang w:val="zh-CN" w:eastAsia="zh-CN"/>
    </w:rPr>
  </w:style>
  <w:style w:type="character" w:customStyle="1" w:styleId="50">
    <w:name w:val="页眉 Char"/>
    <w:basedOn w:val="27"/>
    <w:link w:val="17"/>
    <w:qFormat/>
    <w:locked/>
    <w:uiPriority w:val="99"/>
    <w:rPr>
      <w:rFonts w:ascii="Times New Roman" w:hAnsi="Times New Roman" w:eastAsia="宋体" w:cs="Times New Roman"/>
      <w:kern w:val="0"/>
      <w:sz w:val="18"/>
      <w:szCs w:val="18"/>
      <w:lang w:val="zh-CN" w:eastAsia="zh-CN"/>
    </w:rPr>
  </w:style>
  <w:style w:type="character" w:customStyle="1" w:styleId="51">
    <w:name w:val="正文文本 2 Char"/>
    <w:basedOn w:val="27"/>
    <w:link w:val="20"/>
    <w:qFormat/>
    <w:locked/>
    <w:uiPriority w:val="99"/>
    <w:rPr>
      <w:rFonts w:ascii="宋体" w:hAnsi="宋体" w:eastAsia="宋体" w:cs="宋体"/>
      <w:kern w:val="0"/>
      <w:sz w:val="24"/>
      <w:szCs w:val="24"/>
      <w:lang w:val="zh-CN" w:eastAsia="zh-CN"/>
    </w:rPr>
  </w:style>
  <w:style w:type="character" w:customStyle="1" w:styleId="52">
    <w:name w:val="信息标题 Char"/>
    <w:basedOn w:val="27"/>
    <w:link w:val="21"/>
    <w:semiHidden/>
    <w:qFormat/>
    <w:uiPriority w:val="99"/>
    <w:rPr>
      <w:rFonts w:ascii="Cambria" w:hAnsi="Cambria" w:eastAsia="宋体" w:cs="Times New Roman"/>
      <w:kern w:val="0"/>
      <w:sz w:val="24"/>
      <w:szCs w:val="24"/>
      <w:shd w:val="pct20" w:color="auto" w:fill="auto"/>
    </w:rPr>
  </w:style>
  <w:style w:type="character" w:customStyle="1" w:styleId="53">
    <w:name w:val="批注主题 Char"/>
    <w:basedOn w:val="43"/>
    <w:link w:val="23"/>
    <w:qFormat/>
    <w:locked/>
    <w:uiPriority w:val="99"/>
    <w:rPr>
      <w:b/>
      <w:bCs/>
    </w:rPr>
  </w:style>
  <w:style w:type="character" w:customStyle="1" w:styleId="54">
    <w:name w:val="正文首行缩进 Char"/>
    <w:basedOn w:val="41"/>
    <w:link w:val="24"/>
    <w:qFormat/>
    <w:locked/>
    <w:uiPriority w:val="99"/>
    <w:rPr>
      <w:rFonts w:ascii="宋体" w:hAnsi="宋体" w:cs="宋体"/>
      <w:kern w:val="0"/>
    </w:rPr>
  </w:style>
  <w:style w:type="paragraph" w:customStyle="1" w:styleId="55">
    <w:name w:val="Default"/>
    <w:next w:val="5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表格文字"/>
    <w:basedOn w:val="1"/>
    <w:qFormat/>
    <w:uiPriority w:val="99"/>
    <w:pPr>
      <w:spacing w:line="420" w:lineRule="atLeast"/>
      <w:textAlignment w:val="baseline"/>
    </w:pPr>
  </w:style>
  <w:style w:type="paragraph" w:customStyle="1" w:styleId="57">
    <w:name w:val="标书正文1"/>
    <w:basedOn w:val="1"/>
    <w:qFormat/>
    <w:uiPriority w:val="99"/>
    <w:pPr>
      <w:spacing w:line="520" w:lineRule="exact"/>
      <w:ind w:firstLine="640" w:firstLineChars="200"/>
    </w:pPr>
  </w:style>
  <w:style w:type="paragraph" w:customStyle="1" w:styleId="58">
    <w:name w:val="正文文本 21"/>
    <w:basedOn w:val="1"/>
    <w:qFormat/>
    <w:uiPriority w:val="99"/>
    <w:pPr>
      <w:snapToGrid w:val="0"/>
      <w:spacing w:line="540" w:lineRule="exact"/>
    </w:pPr>
    <w:rPr>
      <w:rFonts w:eastAsia="方正仿宋_GBK"/>
      <w:color w:val="000000"/>
    </w:rPr>
  </w:style>
  <w:style w:type="paragraph" w:customStyle="1" w:styleId="59">
    <w:name w:val="引用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character" w:customStyle="1" w:styleId="60">
    <w:name w:val="emphasizedtitle1"/>
    <w:qFormat/>
    <w:uiPriority w:val="99"/>
    <w:rPr>
      <w:rFonts w:ascii="Arial" w:hAnsi="Arial" w:cs="Arial"/>
      <w:b/>
      <w:bCs/>
      <w:sz w:val="27"/>
      <w:szCs w:val="27"/>
    </w:rPr>
  </w:style>
  <w:style w:type="character" w:customStyle="1" w:styleId="61">
    <w:name w:val="font21"/>
    <w:qFormat/>
    <w:uiPriority w:val="99"/>
    <w:rPr>
      <w:rFonts w:ascii="宋体" w:eastAsia="宋体" w:cs="宋体"/>
      <w:color w:val="000000"/>
      <w:sz w:val="20"/>
      <w:szCs w:val="20"/>
      <w:u w:val="none"/>
    </w:rPr>
  </w:style>
  <w:style w:type="character" w:customStyle="1" w:styleId="62">
    <w:name w:val="apple-converted-space"/>
    <w:qFormat/>
    <w:uiPriority w:val="99"/>
  </w:style>
  <w:style w:type="character" w:customStyle="1" w:styleId="63">
    <w:name w:val="active"/>
    <w:qFormat/>
    <w:uiPriority w:val="99"/>
    <w:rPr>
      <w:shd w:val="clear" w:color="auto" w:fill="auto"/>
    </w:rPr>
  </w:style>
  <w:style w:type="character" w:customStyle="1" w:styleId="64">
    <w:name w:val="样式 (中文) 仿宋_GB2312 小四 行距: 固定值 22 磅 Char"/>
    <w:link w:val="65"/>
    <w:qFormat/>
    <w:locked/>
    <w:uiPriority w:val="99"/>
    <w:rPr>
      <w:rFonts w:eastAsia="仿宋_GB2312"/>
      <w:sz w:val="24"/>
      <w:szCs w:val="24"/>
    </w:rPr>
  </w:style>
  <w:style w:type="paragraph" w:customStyle="1" w:styleId="65">
    <w:name w:val="样式 (中文) 仿宋_GB2312 小四 行距: 固定值 22 磅"/>
    <w:basedOn w:val="1"/>
    <w:link w:val="64"/>
    <w:qFormat/>
    <w:uiPriority w:val="99"/>
    <w:pPr>
      <w:spacing w:line="400" w:lineRule="exact"/>
      <w:ind w:firstLine="150" w:firstLineChars="150"/>
    </w:pPr>
    <w:rPr>
      <w:rFonts w:ascii="Times New Roman" w:hAnsi="Times New Roman" w:eastAsia="仿宋_GB2312" w:cs="Times New Roman"/>
    </w:rPr>
  </w:style>
  <w:style w:type="character" w:customStyle="1" w:styleId="66">
    <w:name w:val="maincontenttable"/>
    <w:qFormat/>
    <w:uiPriority w:val="99"/>
  </w:style>
  <w:style w:type="paragraph" w:customStyle="1" w:styleId="67">
    <w:name w:val="Char1 Char Char Char"/>
    <w:basedOn w:val="1"/>
    <w:qFormat/>
    <w:uiPriority w:val="99"/>
    <w:rPr>
      <w:rFonts w:ascii="Tahoma" w:hAnsi="Tahoma" w:cs="Tahoma"/>
      <w:sz w:val="30"/>
      <w:szCs w:val="30"/>
    </w:rPr>
  </w:style>
  <w:style w:type="paragraph" w:customStyle="1" w:styleId="68">
    <w:name w:val="Char Char Char Char Char Char Char Char Char Char"/>
    <w:basedOn w:val="1"/>
    <w:qFormat/>
    <w:uiPriority w:val="99"/>
    <w:pPr>
      <w:tabs>
        <w:tab w:val="left" w:pos="360"/>
      </w:tabs>
      <w:ind w:left="360" w:hanging="360" w:hangingChars="200"/>
    </w:pPr>
  </w:style>
  <w:style w:type="paragraph" w:customStyle="1" w:styleId="69">
    <w:name w:val="op_exactqa_s_prop"/>
    <w:basedOn w:val="1"/>
    <w:qFormat/>
    <w:uiPriority w:val="99"/>
  </w:style>
  <w:style w:type="paragraph" w:customStyle="1" w:styleId="70">
    <w:name w:val="Char"/>
    <w:basedOn w:val="1"/>
    <w:qFormat/>
    <w:uiPriority w:val="99"/>
    <w:pPr>
      <w:spacing w:after="160" w:line="240" w:lineRule="exact"/>
    </w:pPr>
    <w:rPr>
      <w:rFonts w:ascii="Verdana" w:hAnsi="Verdana" w:eastAsia="仿宋_GB2312" w:cs="Verdana"/>
      <w:lang w:eastAsia="en-US"/>
    </w:rPr>
  </w:style>
  <w:style w:type="paragraph" w:customStyle="1" w:styleId="71">
    <w:name w:val="图例"/>
    <w:basedOn w:val="1"/>
    <w:qFormat/>
    <w:uiPriority w:val="99"/>
    <w:pPr>
      <w:spacing w:before="120" w:after="120" w:line="360" w:lineRule="auto"/>
      <w:jc w:val="center"/>
    </w:pPr>
    <w:rPr>
      <w:rFonts w:eastAsia="仿宋_GB2312"/>
      <w:b/>
      <w:bCs/>
    </w:rPr>
  </w:style>
  <w:style w:type="paragraph" w:customStyle="1" w:styleId="72">
    <w:name w:val="Char Char Char Char"/>
    <w:basedOn w:val="1"/>
    <w:qFormat/>
    <w:uiPriority w:val="99"/>
    <w:pPr>
      <w:spacing w:after="160" w:line="240" w:lineRule="exact"/>
    </w:pPr>
    <w:rPr>
      <w:rFonts w:ascii="Verdana" w:hAnsi="Verdana" w:cs="Verdana"/>
      <w:sz w:val="20"/>
      <w:szCs w:val="20"/>
      <w:lang w:eastAsia="en-US"/>
    </w:rPr>
  </w:style>
  <w:style w:type="paragraph" w:customStyle="1" w:styleId="73">
    <w:name w:val="_Style 7"/>
    <w:basedOn w:val="1"/>
    <w:qFormat/>
    <w:uiPriority w:val="99"/>
    <w:pPr>
      <w:ind w:firstLine="200" w:firstLineChars="200"/>
    </w:pPr>
    <w:rPr>
      <w:rFonts w:ascii="等线" w:eastAsia="等线" w:cs="等线"/>
      <w:sz w:val="21"/>
      <w:szCs w:val="21"/>
    </w:rPr>
  </w:style>
  <w:style w:type="paragraph" w:customStyle="1" w:styleId="74">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5">
    <w:name w:val="列表段落1"/>
    <w:basedOn w:val="1"/>
    <w:qFormat/>
    <w:uiPriority w:val="99"/>
    <w:pPr>
      <w:ind w:firstLine="420" w:firstLineChars="200"/>
    </w:pPr>
  </w:style>
  <w:style w:type="paragraph" w:customStyle="1" w:styleId="76">
    <w:name w:val="1"/>
    <w:basedOn w:val="1"/>
    <w:next w:val="12"/>
    <w:qFormat/>
    <w:uiPriority w:val="99"/>
    <w:rPr>
      <w:rFonts w:hAnsi="Courier New"/>
      <w:sz w:val="21"/>
      <w:szCs w:val="21"/>
    </w:rPr>
  </w:style>
  <w:style w:type="paragraph" w:customStyle="1" w:styleId="77">
    <w:name w:val="列出段落2"/>
    <w:basedOn w:val="1"/>
    <w:qFormat/>
    <w:uiPriority w:val="99"/>
    <w:pPr>
      <w:ind w:firstLine="420" w:firstLineChars="200"/>
    </w:pPr>
  </w:style>
  <w:style w:type="paragraph" w:customStyle="1" w:styleId="78">
    <w:name w:val="附件"/>
    <w:next w:val="1"/>
    <w:qFormat/>
    <w:uiPriority w:val="99"/>
    <w:pPr>
      <w:tabs>
        <w:tab w:val="right" w:leader="dot" w:pos="9402"/>
      </w:tabs>
      <w:spacing w:line="400" w:lineRule="exact"/>
      <w:jc w:val="center"/>
      <w:outlineLvl w:val="0"/>
    </w:pPr>
    <w:rPr>
      <w:rFonts w:ascii="Times New Roman" w:hAnsi="Times New Roman" w:eastAsia="方正黑体_GBK" w:cs="Times New Roman"/>
      <w:b/>
      <w:bCs/>
      <w:smallCaps/>
      <w:kern w:val="2"/>
      <w:sz w:val="28"/>
      <w:szCs w:val="28"/>
      <w:lang w:val="en-US" w:eastAsia="zh-CN" w:bidi="ar-SA"/>
    </w:rPr>
  </w:style>
  <w:style w:type="paragraph" w:customStyle="1" w:styleId="79">
    <w:name w:val="列出段落1"/>
    <w:basedOn w:val="1"/>
    <w:qFormat/>
    <w:uiPriority w:val="99"/>
    <w:pPr>
      <w:ind w:firstLine="420" w:firstLineChars="200"/>
    </w:pPr>
    <w:rPr>
      <w:rFonts w:ascii="Calibri" w:hAnsi="Calibri" w:cs="Calibri"/>
      <w:sz w:val="21"/>
      <w:szCs w:val="21"/>
    </w:rPr>
  </w:style>
  <w:style w:type="paragraph" w:customStyle="1" w:styleId="80">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标题 5（有编号）（绿盟科技）"/>
    <w:basedOn w:val="1"/>
    <w:next w:val="1"/>
    <w:qFormat/>
    <w:uiPriority w:val="99"/>
    <w:pPr>
      <w:keepNext/>
      <w:keepLines/>
      <w:numPr>
        <w:ilvl w:val="4"/>
        <w:numId w:val="1"/>
      </w:numPr>
      <w:spacing w:before="280" w:after="156" w:line="377" w:lineRule="auto"/>
      <w:outlineLvl w:val="4"/>
    </w:pPr>
    <w:rPr>
      <w:rFonts w:ascii="Arial" w:hAnsi="Arial" w:eastAsia="黑体" w:cs="Arial"/>
      <w:b/>
      <w:bCs/>
    </w:rPr>
  </w:style>
  <w:style w:type="paragraph" w:customStyle="1" w:styleId="82">
    <w:name w:val="样式 样式 首行缩进:  2 字符 + 首行缩进:  2 字符"/>
    <w:basedOn w:val="1"/>
    <w:qFormat/>
    <w:uiPriority w:val="99"/>
    <w:pPr>
      <w:numPr>
        <w:ilvl w:val="0"/>
        <w:numId w:val="1"/>
      </w:numPr>
      <w:tabs>
        <w:tab w:val="clear" w:pos="1230"/>
      </w:tabs>
      <w:spacing w:line="360" w:lineRule="auto"/>
      <w:ind w:firstLine="480" w:firstLineChars="200"/>
    </w:pPr>
  </w:style>
  <w:style w:type="character" w:customStyle="1" w:styleId="83">
    <w:name w:val="NormalCharacter"/>
    <w:qFormat/>
    <w:uiPriority w:val="99"/>
    <w:rPr>
      <w:rFonts w:ascii="Calibri" w:hAnsi="Calibri" w:eastAsia="宋体" w:cs="Calibri"/>
    </w:rPr>
  </w:style>
  <w:style w:type="paragraph" w:styleId="84">
    <w:name w:val="List Paragraph"/>
    <w:basedOn w:val="1"/>
    <w:qFormat/>
    <w:uiPriority w:val="99"/>
    <w:pPr>
      <w:widowControl w:val="0"/>
      <w:ind w:firstLine="420" w:firstLineChars="200"/>
      <w:jc w:val="both"/>
    </w:pPr>
    <w:rPr>
      <w:rFonts w:ascii="Calibri" w:hAnsi="Calibri" w:cs="Calibri"/>
      <w:kern w:val="2"/>
      <w:sz w:val="21"/>
      <w:szCs w:val="21"/>
    </w:rPr>
  </w:style>
  <w:style w:type="paragraph" w:customStyle="1" w:styleId="85">
    <w:name w:val="Normal_6b1eb2b1-915e-4520-a4ad-e896fdd76176"/>
    <w:next w:val="2"/>
    <w:qFormat/>
    <w:uiPriority w:val="99"/>
    <w:rPr>
      <w:rFonts w:ascii="Times New Roman" w:hAnsi="Times New Roman" w:eastAsia="宋体" w:cs="Times New Roman"/>
      <w:sz w:val="21"/>
      <w:szCs w:val="21"/>
      <w:lang w:val="en-US" w:eastAsia="zh-CN" w:bidi="ar-SA"/>
    </w:rPr>
  </w:style>
  <w:style w:type="character" w:customStyle="1" w:styleId="86">
    <w:name w:val="active7"/>
    <w:basedOn w:val="27"/>
    <w:qFormat/>
    <w:uiPriority w:val="99"/>
    <w:rPr>
      <w:color w:val="FFFFFF"/>
      <w:shd w:val="clear" w:color="auto" w:fill="auto"/>
    </w:rPr>
  </w:style>
  <w:style w:type="character" w:customStyle="1" w:styleId="87">
    <w:name w:val="active6"/>
    <w:basedOn w:val="27"/>
    <w:qFormat/>
    <w:uiPriority w:val="99"/>
    <w:rPr>
      <w:color w:val="FFFFFF"/>
      <w:shd w:val="clear" w:color="auto" w:fill="auto"/>
    </w:rPr>
  </w:style>
  <w:style w:type="paragraph" w:customStyle="1" w:styleId="88">
    <w:name w:val="pa-34"/>
    <w:basedOn w:val="1"/>
    <w:qFormat/>
    <w:uiPriority w:val="99"/>
    <w:pPr>
      <w:spacing w:line="360" w:lineRule="atLeast"/>
      <w:ind w:firstLine="420"/>
    </w:pPr>
  </w:style>
  <w:style w:type="paragraph" w:customStyle="1" w:styleId="89">
    <w:name w:val="正文-表格内文字"/>
    <w:basedOn w:val="1"/>
    <w:qFormat/>
    <w:uiPriority w:val="99"/>
    <w:pPr>
      <w:spacing w:line="264" w:lineRule="auto"/>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3C7E8-48D1-4129-AE9F-7B51713C372F}">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40</Pages>
  <Words>10585</Words>
  <Characters>11154</Characters>
  <Lines>151</Lines>
  <Paragraphs>42</Paragraphs>
  <TotalTime>47</TotalTime>
  <ScaleCrop>false</ScaleCrop>
  <LinksUpToDate>false</LinksUpToDate>
  <CharactersWithSpaces>11386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十二(17)</cp:lastModifiedBy>
  <dcterms:modified xsi:type="dcterms:W3CDTF">2025-12-26T07:52:50Z</dcterms:modified>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E453861BC16041D19A6B057F1B133F59_13</vt:lpwstr>
  </property>
  <property fmtid="{D5CDD505-2E9C-101B-9397-08002B2CF9AE}" pid="4" name="KSOTemplateDocerSaveRecord">
    <vt:lpwstr>eyJoZGlkIjoiZTczNTVkMTJhOGNjYjY0OTRlZjI3ODg2MjVmYjZlOTciLCJ1c2VySWQiOiI5NDU0OTM1MzYifQ==</vt:lpwstr>
  </property>
</Properties>
</file>