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1DF901">
      <w:pPr>
        <w:jc w:val="center"/>
        <w:rPr>
          <w:rFonts w:hint="eastAsia" w:ascii="微软雅黑" w:hAnsi="微软雅黑" w:eastAsia="微软雅黑" w:cs="微软雅黑"/>
          <w:color w:val="auto"/>
        </w:rPr>
      </w:pPr>
      <w:r>
        <w:rPr>
          <w:rFonts w:hint="eastAsia" w:ascii="微软雅黑" w:hAnsi="微软雅黑" w:eastAsia="微软雅黑" w:cs="微软雅黑"/>
          <w:color w:val="auto"/>
        </w:rPr>
        <w:t xml:space="preserve">  </w:t>
      </w:r>
    </w:p>
    <w:p w14:paraId="1CE68850">
      <w:pPr>
        <w:jc w:val="center"/>
        <w:rPr>
          <w:rFonts w:hint="eastAsia" w:ascii="微软雅黑" w:hAnsi="微软雅黑" w:eastAsia="微软雅黑" w:cs="微软雅黑"/>
          <w:color w:val="auto"/>
        </w:rPr>
      </w:pPr>
    </w:p>
    <w:p w14:paraId="53081C95">
      <w:pPr>
        <w:jc w:val="center"/>
        <w:outlineLvl w:val="0"/>
        <w:rPr>
          <w:rFonts w:hint="eastAsia"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竞争性磋商</w:t>
      </w:r>
    </w:p>
    <w:p w14:paraId="793D70D1">
      <w:pPr>
        <w:jc w:val="center"/>
        <w:outlineLvl w:val="0"/>
        <w:rPr>
          <w:rFonts w:hint="eastAsia"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文件</w:t>
      </w:r>
    </w:p>
    <w:p w14:paraId="451E0952">
      <w:pPr>
        <w:spacing w:line="700" w:lineRule="exact"/>
        <w:rPr>
          <w:rFonts w:hint="eastAsia" w:ascii="微软雅黑" w:hAnsi="微软雅黑" w:eastAsia="微软雅黑" w:cs="微软雅黑"/>
          <w:color w:val="auto"/>
          <w:sz w:val="32"/>
        </w:rPr>
      </w:pPr>
    </w:p>
    <w:p w14:paraId="2C587152">
      <w:pPr>
        <w:spacing w:line="700" w:lineRule="exact"/>
        <w:rPr>
          <w:rFonts w:hint="eastAsia" w:ascii="微软雅黑" w:hAnsi="微软雅黑" w:eastAsia="微软雅黑" w:cs="微软雅黑"/>
          <w:color w:val="auto"/>
          <w:sz w:val="32"/>
        </w:rPr>
      </w:pPr>
    </w:p>
    <w:p w14:paraId="58002B28">
      <w:pPr>
        <w:spacing w:line="700" w:lineRule="exact"/>
        <w:rPr>
          <w:rFonts w:hint="eastAsia" w:ascii="微软雅黑" w:hAnsi="微软雅黑" w:eastAsia="微软雅黑" w:cs="微软雅黑"/>
          <w:color w:val="auto"/>
          <w:sz w:val="32"/>
        </w:rPr>
      </w:pPr>
    </w:p>
    <w:p w14:paraId="19848B9B">
      <w:pPr>
        <w:spacing w:line="700" w:lineRule="exact"/>
        <w:ind w:firstLine="1080" w:firstLineChars="300"/>
        <w:rPr>
          <w:rFonts w:hint="default" w:ascii="微软雅黑" w:hAnsi="微软雅黑" w:eastAsia="微软雅黑" w:cs="微软雅黑"/>
          <w:color w:val="auto"/>
          <w:sz w:val="36"/>
          <w:szCs w:val="30"/>
          <w:lang w:val="en-US" w:eastAsia="zh-CN"/>
        </w:rPr>
      </w:pPr>
      <w:r>
        <w:rPr>
          <w:rFonts w:hint="eastAsia" w:ascii="微软雅黑" w:hAnsi="微软雅黑" w:eastAsia="微软雅黑" w:cs="微软雅黑"/>
          <w:color w:val="auto"/>
          <w:sz w:val="36"/>
          <w:szCs w:val="30"/>
        </w:rPr>
        <w:t>项  目   号：</w:t>
      </w:r>
      <w:r>
        <w:rPr>
          <w:rFonts w:hint="eastAsia" w:ascii="微软雅黑" w:hAnsi="微软雅黑" w:eastAsia="微软雅黑" w:cs="微软雅黑"/>
          <w:color w:val="auto"/>
          <w:sz w:val="36"/>
          <w:szCs w:val="30"/>
        </w:rPr>
        <w:t>2025MDX0</w:t>
      </w:r>
      <w:r>
        <w:rPr>
          <w:rFonts w:hint="eastAsia" w:ascii="微软雅黑" w:hAnsi="微软雅黑" w:eastAsia="微软雅黑" w:cs="微软雅黑"/>
          <w:color w:val="auto"/>
          <w:sz w:val="36"/>
          <w:szCs w:val="30"/>
          <w:lang w:val="en-US" w:eastAsia="zh-CN"/>
        </w:rPr>
        <w:t>51</w:t>
      </w:r>
    </w:p>
    <w:p w14:paraId="0CEC6645">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项 目 名 称：</w:t>
      </w:r>
      <w:bookmarkStart w:id="167" w:name="_GoBack"/>
      <w:r>
        <w:rPr>
          <w:rFonts w:hint="eastAsia" w:ascii="微软雅黑" w:hAnsi="微软雅黑" w:eastAsia="微软雅黑" w:cs="微软雅黑"/>
          <w:color w:val="auto"/>
          <w:sz w:val="36"/>
          <w:szCs w:val="30"/>
        </w:rPr>
        <w:t>无人机智能交通巡检系统部署技术支撑</w:t>
      </w:r>
      <w:bookmarkEnd w:id="167"/>
    </w:p>
    <w:p w14:paraId="641C17F1">
      <w:pPr>
        <w:spacing w:line="700" w:lineRule="exact"/>
        <w:rPr>
          <w:rFonts w:hint="eastAsia" w:ascii="微软雅黑" w:hAnsi="微软雅黑" w:eastAsia="微软雅黑" w:cs="微软雅黑"/>
          <w:color w:val="auto"/>
          <w:sz w:val="36"/>
          <w:szCs w:val="30"/>
        </w:rPr>
      </w:pPr>
    </w:p>
    <w:p w14:paraId="24CF5F34">
      <w:pPr>
        <w:spacing w:line="700" w:lineRule="exact"/>
        <w:ind w:firstLine="1749" w:firstLineChars="486"/>
        <w:rPr>
          <w:rFonts w:hint="eastAsia" w:ascii="微软雅黑" w:hAnsi="微软雅黑" w:eastAsia="微软雅黑" w:cs="微软雅黑"/>
          <w:color w:val="auto"/>
          <w:sz w:val="36"/>
          <w:szCs w:val="30"/>
        </w:rPr>
      </w:pPr>
    </w:p>
    <w:p w14:paraId="623F4414">
      <w:pPr>
        <w:spacing w:line="700" w:lineRule="exact"/>
        <w:ind w:firstLine="1749" w:firstLineChars="486"/>
        <w:rPr>
          <w:rFonts w:hint="eastAsia" w:ascii="微软雅黑" w:hAnsi="微软雅黑" w:eastAsia="微软雅黑" w:cs="微软雅黑"/>
          <w:color w:val="auto"/>
          <w:sz w:val="36"/>
          <w:szCs w:val="30"/>
        </w:rPr>
      </w:pPr>
    </w:p>
    <w:p w14:paraId="55AC0E50">
      <w:pPr>
        <w:spacing w:line="700" w:lineRule="exact"/>
        <w:ind w:firstLine="1749" w:firstLineChars="486"/>
        <w:rPr>
          <w:rFonts w:hint="eastAsia" w:ascii="微软雅黑" w:hAnsi="微软雅黑" w:eastAsia="微软雅黑" w:cs="微软雅黑"/>
          <w:color w:val="auto"/>
          <w:sz w:val="36"/>
          <w:szCs w:val="30"/>
        </w:rPr>
      </w:pPr>
    </w:p>
    <w:p w14:paraId="50BCB122">
      <w:pPr>
        <w:spacing w:line="700" w:lineRule="exact"/>
        <w:ind w:firstLine="1749" w:firstLineChars="486"/>
        <w:rPr>
          <w:rFonts w:hint="eastAsia" w:ascii="微软雅黑" w:hAnsi="微软雅黑" w:eastAsia="微软雅黑" w:cs="微软雅黑"/>
          <w:color w:val="auto"/>
          <w:sz w:val="36"/>
          <w:szCs w:val="30"/>
        </w:rPr>
      </w:pPr>
    </w:p>
    <w:p w14:paraId="428421E3">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   购   人：重庆市交通规划研究院</w:t>
      </w:r>
    </w:p>
    <w:p w14:paraId="6214CCB1">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采购代理机构：重庆麦迪逊招投标代理有限公司</w:t>
      </w:r>
    </w:p>
    <w:p w14:paraId="52FD8A3A">
      <w:pPr>
        <w:spacing w:line="720" w:lineRule="exact"/>
        <w:jc w:val="center"/>
        <w:outlineLvl w:val="0"/>
        <w:rPr>
          <w:rFonts w:hint="eastAsia" w:ascii="微软雅黑" w:hAnsi="微软雅黑" w:eastAsia="微软雅黑" w:cs="微软雅黑"/>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 w:val="48"/>
          <w:szCs w:val="32"/>
        </w:rPr>
        <w:t>二〇二五年八月</w:t>
      </w:r>
    </w:p>
    <w:p w14:paraId="63ACAA6F">
      <w:pPr>
        <w:spacing w:line="480" w:lineRule="exact"/>
        <w:jc w:val="center"/>
        <w:outlineLvl w:val="0"/>
        <w:rPr>
          <w:rFonts w:hint="eastAsia" w:ascii="微软雅黑" w:hAnsi="微软雅黑" w:eastAsia="微软雅黑" w:cs="微软雅黑"/>
          <w:color w:val="auto"/>
          <w:sz w:val="44"/>
          <w:szCs w:val="28"/>
        </w:rPr>
        <w:sectPr>
          <w:footerReference r:id="rId7" w:type="default"/>
          <w:pgSz w:w="11907" w:h="16840"/>
          <w:pgMar w:top="1134" w:right="1191" w:bottom="1134" w:left="1304" w:header="851" w:footer="992" w:gutter="0"/>
          <w:pgNumType w:fmt="numberInDash" w:start="1"/>
          <w:cols w:space="720" w:num="1"/>
          <w:docGrid w:linePitch="380" w:charSpace="-5735"/>
        </w:sectPr>
      </w:pPr>
    </w:p>
    <w:p w14:paraId="72135C95">
      <w:pPr>
        <w:spacing w:line="480" w:lineRule="exact"/>
        <w:jc w:val="center"/>
        <w:outlineLvl w:val="0"/>
        <w:rPr>
          <w:rFonts w:hint="eastAsia" w:ascii="微软雅黑" w:hAnsi="微软雅黑" w:eastAsia="微软雅黑" w:cs="微软雅黑"/>
          <w:color w:val="auto"/>
          <w:sz w:val="44"/>
          <w:szCs w:val="28"/>
        </w:rPr>
      </w:pPr>
      <w:r>
        <w:rPr>
          <w:rFonts w:hint="eastAsia" w:ascii="微软雅黑" w:hAnsi="微软雅黑" w:eastAsia="微软雅黑" w:cs="微软雅黑"/>
          <w:color w:val="auto"/>
          <w:sz w:val="44"/>
          <w:szCs w:val="28"/>
        </w:rPr>
        <w:t>目   录</w:t>
      </w:r>
    </w:p>
    <w:p w14:paraId="3754B92A">
      <w:pPr>
        <w:pStyle w:val="48"/>
        <w:tabs>
          <w:tab w:val="right" w:leader="dot" w:pos="9412"/>
        </w:tabs>
      </w:pP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TOC \o "1-3" \h \z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_Toc18969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采购邀请书</w:t>
      </w:r>
      <w:r>
        <w:tab/>
      </w:r>
      <w:r>
        <w:fldChar w:fldCharType="begin"/>
      </w:r>
      <w:r>
        <w:instrText xml:space="preserve"> PAGEREF _Toc18969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56B6B5C3">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_Toc28087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一、竞争性磋商内容</w:t>
      </w:r>
      <w:r>
        <w:tab/>
      </w:r>
      <w:r>
        <w:fldChar w:fldCharType="begin"/>
      </w:r>
      <w:r>
        <w:instrText xml:space="preserve"> PAGEREF _Toc28087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573997BF">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_Toc3664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二、资金来源</w:t>
      </w:r>
      <w:r>
        <w:tab/>
      </w:r>
      <w:r>
        <w:fldChar w:fldCharType="begin"/>
      </w:r>
      <w:r>
        <w:instrText xml:space="preserve"> PAGEREF _Toc3664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425FCE6B">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_Toc17051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_Toc17051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50644661">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_Toc31271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四、磋商有关说明</w:t>
      </w:r>
      <w:r>
        <w:tab/>
      </w:r>
      <w:r>
        <w:fldChar w:fldCharType="begin"/>
      </w:r>
      <w:r>
        <w:instrText xml:space="preserve"> PAGEREF _Toc31271 \h </w:instrText>
      </w:r>
      <w:r>
        <w:fldChar w:fldCharType="separate"/>
      </w:r>
      <w:r>
        <w:t>- 1 -</w:t>
      </w:r>
      <w:r>
        <w:fldChar w:fldCharType="end"/>
      </w:r>
      <w:r>
        <w:rPr>
          <w:rFonts w:hint="eastAsia" w:ascii="微软雅黑" w:hAnsi="微软雅黑" w:eastAsia="微软雅黑" w:cs="微软雅黑"/>
          <w:color w:val="auto"/>
          <w:szCs w:val="21"/>
        </w:rPr>
        <w:fldChar w:fldCharType="end"/>
      </w:r>
    </w:p>
    <w:p w14:paraId="36510F48">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_Toc21033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五、采购项目需落实的政府采购政策</w:t>
      </w:r>
      <w:r>
        <w:tab/>
      </w:r>
      <w:r>
        <w:fldChar w:fldCharType="begin"/>
      </w:r>
      <w:r>
        <w:instrText xml:space="preserve"> PAGEREF _Toc21033 \h </w:instrText>
      </w:r>
      <w:r>
        <w:fldChar w:fldCharType="separate"/>
      </w:r>
      <w:r>
        <w:t>- 2 -</w:t>
      </w:r>
      <w:r>
        <w:fldChar w:fldCharType="end"/>
      </w:r>
      <w:r>
        <w:rPr>
          <w:rFonts w:hint="eastAsia" w:ascii="微软雅黑" w:hAnsi="微软雅黑" w:eastAsia="微软雅黑" w:cs="微软雅黑"/>
          <w:color w:val="auto"/>
          <w:szCs w:val="21"/>
        </w:rPr>
        <w:fldChar w:fldCharType="end"/>
      </w:r>
    </w:p>
    <w:p w14:paraId="2532A52E">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_Toc6756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六、其它有关规定</w:t>
      </w:r>
      <w:r>
        <w:tab/>
      </w:r>
      <w:r>
        <w:fldChar w:fldCharType="begin"/>
      </w:r>
      <w:r>
        <w:instrText xml:space="preserve"> PAGEREF _Toc6756 \h </w:instrText>
      </w:r>
      <w:r>
        <w:fldChar w:fldCharType="separate"/>
      </w:r>
      <w:r>
        <w:t>- 2 -</w:t>
      </w:r>
      <w:r>
        <w:fldChar w:fldCharType="end"/>
      </w:r>
      <w:r>
        <w:rPr>
          <w:rFonts w:hint="eastAsia" w:ascii="微软雅黑" w:hAnsi="微软雅黑" w:eastAsia="微软雅黑" w:cs="微软雅黑"/>
          <w:color w:val="auto"/>
          <w:szCs w:val="21"/>
        </w:rPr>
        <w:fldChar w:fldCharType="end"/>
      </w:r>
    </w:p>
    <w:p w14:paraId="35F63443">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_Toc11361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七、联系方式</w:t>
      </w:r>
      <w:r>
        <w:tab/>
      </w:r>
      <w:r>
        <w:fldChar w:fldCharType="begin"/>
      </w:r>
      <w:r>
        <w:instrText xml:space="preserve"> PAGEREF _Toc11361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4327B3A3">
      <w:pPr>
        <w:pStyle w:val="48"/>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_Toc25612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采购服务需求</w:t>
      </w:r>
      <w:r>
        <w:tab/>
      </w:r>
      <w:r>
        <w:fldChar w:fldCharType="begin"/>
      </w:r>
      <w:r>
        <w:instrText xml:space="preserve"> PAGEREF _Toc25612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75492006">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_Toc11032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一、项目基本概况介绍</w:t>
      </w:r>
      <w:r>
        <w:tab/>
      </w:r>
      <w:r>
        <w:fldChar w:fldCharType="begin"/>
      </w:r>
      <w:r>
        <w:instrText xml:space="preserve"> PAGEREF _Toc11032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51F8CC2A">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_Toc9982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二、服务及质量要求</w:t>
      </w:r>
      <w:r>
        <w:tab/>
      </w:r>
      <w:r>
        <w:fldChar w:fldCharType="begin"/>
      </w:r>
      <w:r>
        <w:instrText xml:space="preserve"> PAGEREF _Toc9982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22699D17">
      <w:pPr>
        <w:pStyle w:val="48"/>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_Toc11937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采购商务需求</w:t>
      </w:r>
      <w:r>
        <w:tab/>
      </w:r>
      <w:r>
        <w:fldChar w:fldCharType="begin"/>
      </w:r>
      <w:r>
        <w:instrText xml:space="preserve"> PAGEREF _Toc11937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3564897A">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_Toc6759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一、服务期、地点、验收方式</w:t>
      </w:r>
      <w:r>
        <w:tab/>
      </w:r>
      <w:r>
        <w:fldChar w:fldCharType="begin"/>
      </w:r>
      <w:r>
        <w:instrText xml:space="preserve"> PAGEREF _Toc6759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1471C023">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_Toc12532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二、报价要求</w:t>
      </w:r>
      <w:r>
        <w:tab/>
      </w:r>
      <w:r>
        <w:fldChar w:fldCharType="begin"/>
      </w:r>
      <w:r>
        <w:instrText xml:space="preserve"> PAGEREF _Toc12532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2FB51AED">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_Toc31195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三、质量保证</w:t>
      </w:r>
      <w:r>
        <w:tab/>
      </w:r>
      <w:r>
        <w:fldChar w:fldCharType="begin"/>
      </w:r>
      <w:r>
        <w:instrText xml:space="preserve"> PAGEREF _Toc31195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7550D2D9">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_Toc27376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四、付款方式</w:t>
      </w:r>
      <w:r>
        <w:tab/>
      </w:r>
      <w:r>
        <w:fldChar w:fldCharType="begin"/>
      </w:r>
      <w:r>
        <w:instrText xml:space="preserve"> PAGEREF _Toc27376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2B1C7A5A">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_Toc8203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五、知识产权</w:t>
      </w:r>
      <w:r>
        <w:tab/>
      </w:r>
      <w:r>
        <w:fldChar w:fldCharType="begin"/>
      </w:r>
      <w:r>
        <w:instrText xml:space="preserve"> PAGEREF _Toc8203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554E777C">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_Toc25753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六、其他</w:t>
      </w:r>
      <w:r>
        <w:tab/>
      </w:r>
      <w:r>
        <w:fldChar w:fldCharType="begin"/>
      </w:r>
      <w:r>
        <w:instrText xml:space="preserve"> PAGEREF _Toc25753 \h </w:instrText>
      </w:r>
      <w:r>
        <w:fldChar w:fldCharType="separate"/>
      </w:r>
      <w:r>
        <w:t>- 7 -</w:t>
      </w:r>
      <w:r>
        <w:fldChar w:fldCharType="end"/>
      </w:r>
      <w:r>
        <w:rPr>
          <w:rFonts w:hint="eastAsia" w:ascii="微软雅黑" w:hAnsi="微软雅黑" w:eastAsia="微软雅黑" w:cs="微软雅黑"/>
          <w:color w:val="auto"/>
          <w:szCs w:val="21"/>
        </w:rPr>
        <w:fldChar w:fldCharType="end"/>
      </w:r>
    </w:p>
    <w:p w14:paraId="5B5F9F6D">
      <w:pPr>
        <w:pStyle w:val="48"/>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_Toc13437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tab/>
      </w:r>
      <w:r>
        <w:fldChar w:fldCharType="begin"/>
      </w:r>
      <w:r>
        <w:instrText xml:space="preserve"> PAGEREF _Toc13437 \h </w:instrText>
      </w:r>
      <w:r>
        <w:fldChar w:fldCharType="separate"/>
      </w:r>
      <w:r>
        <w:t>- 8 -</w:t>
      </w:r>
      <w:r>
        <w:fldChar w:fldCharType="end"/>
      </w:r>
      <w:r>
        <w:rPr>
          <w:rFonts w:hint="eastAsia" w:ascii="微软雅黑" w:hAnsi="微软雅黑" w:eastAsia="微软雅黑" w:cs="微软雅黑"/>
          <w:color w:val="auto"/>
          <w:szCs w:val="21"/>
        </w:rPr>
        <w:fldChar w:fldCharType="end"/>
      </w:r>
    </w:p>
    <w:p w14:paraId="2144516E">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_Toc20629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一、磋商程序及方法</w:t>
      </w:r>
      <w:r>
        <w:tab/>
      </w:r>
      <w:r>
        <w:fldChar w:fldCharType="begin"/>
      </w:r>
      <w:r>
        <w:instrText xml:space="preserve"> PAGEREF _Toc20629 \h </w:instrText>
      </w:r>
      <w:r>
        <w:fldChar w:fldCharType="separate"/>
      </w:r>
      <w:r>
        <w:t>- 8 -</w:t>
      </w:r>
      <w:r>
        <w:fldChar w:fldCharType="end"/>
      </w:r>
      <w:r>
        <w:rPr>
          <w:rFonts w:hint="eastAsia" w:ascii="微软雅黑" w:hAnsi="微软雅黑" w:eastAsia="微软雅黑" w:cs="微软雅黑"/>
          <w:color w:val="auto"/>
          <w:szCs w:val="21"/>
        </w:rPr>
        <w:fldChar w:fldCharType="end"/>
      </w:r>
    </w:p>
    <w:p w14:paraId="0190C62E">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_Toc27568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二、评审标准</w:t>
      </w:r>
      <w:r>
        <w:tab/>
      </w:r>
      <w:r>
        <w:fldChar w:fldCharType="begin"/>
      </w:r>
      <w:r>
        <w:instrText xml:space="preserve"> PAGEREF _Toc27568 \h </w:instrText>
      </w:r>
      <w:r>
        <w:fldChar w:fldCharType="separate"/>
      </w:r>
      <w:r>
        <w:t>- 10 -</w:t>
      </w:r>
      <w:r>
        <w:fldChar w:fldCharType="end"/>
      </w:r>
      <w:r>
        <w:rPr>
          <w:rFonts w:hint="eastAsia" w:ascii="微软雅黑" w:hAnsi="微软雅黑" w:eastAsia="微软雅黑" w:cs="微软雅黑"/>
          <w:color w:val="auto"/>
          <w:szCs w:val="21"/>
        </w:rPr>
        <w:fldChar w:fldCharType="end"/>
      </w:r>
    </w:p>
    <w:p w14:paraId="5BF10FCD">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_Toc21548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tab/>
      </w:r>
      <w:r>
        <w:fldChar w:fldCharType="begin"/>
      </w:r>
      <w:r>
        <w:instrText xml:space="preserve"> PAGEREF _Toc21548 \h </w:instrText>
      </w:r>
      <w:r>
        <w:fldChar w:fldCharType="separate"/>
      </w:r>
      <w:r>
        <w:t>- 11 -</w:t>
      </w:r>
      <w:r>
        <w:fldChar w:fldCharType="end"/>
      </w:r>
      <w:r>
        <w:rPr>
          <w:rFonts w:hint="eastAsia" w:ascii="微软雅黑" w:hAnsi="微软雅黑" w:eastAsia="微软雅黑" w:cs="微软雅黑"/>
          <w:color w:val="auto"/>
          <w:szCs w:val="21"/>
        </w:rPr>
        <w:fldChar w:fldCharType="end"/>
      </w:r>
    </w:p>
    <w:p w14:paraId="03A68423">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_Toc5505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tab/>
      </w:r>
      <w:r>
        <w:fldChar w:fldCharType="begin"/>
      </w:r>
      <w:r>
        <w:instrText xml:space="preserve"> PAGEREF _Toc5505 \h </w:instrText>
      </w:r>
      <w:r>
        <w:fldChar w:fldCharType="separate"/>
      </w:r>
      <w:r>
        <w:t>- 11 -</w:t>
      </w:r>
      <w:r>
        <w:fldChar w:fldCharType="end"/>
      </w:r>
      <w:r>
        <w:rPr>
          <w:rFonts w:hint="eastAsia" w:ascii="微软雅黑" w:hAnsi="微软雅黑" w:eastAsia="微软雅黑" w:cs="微软雅黑"/>
          <w:color w:val="auto"/>
          <w:szCs w:val="21"/>
        </w:rPr>
        <w:fldChar w:fldCharType="end"/>
      </w:r>
    </w:p>
    <w:p w14:paraId="55BED1BB">
      <w:pPr>
        <w:pStyle w:val="48"/>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_Toc10384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_Toc10384 \h </w:instrText>
      </w:r>
      <w:r>
        <w:fldChar w:fldCharType="separate"/>
      </w:r>
      <w:r>
        <w:t>- 13 -</w:t>
      </w:r>
      <w:r>
        <w:fldChar w:fldCharType="end"/>
      </w:r>
      <w:r>
        <w:rPr>
          <w:rFonts w:hint="eastAsia" w:ascii="微软雅黑" w:hAnsi="微软雅黑" w:eastAsia="微软雅黑" w:cs="微软雅黑"/>
          <w:color w:val="auto"/>
          <w:szCs w:val="21"/>
        </w:rPr>
        <w:fldChar w:fldCharType="end"/>
      </w:r>
    </w:p>
    <w:p w14:paraId="5CEA0F21">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_Toc21480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一、磋商费用</w:t>
      </w:r>
      <w:r>
        <w:tab/>
      </w:r>
      <w:r>
        <w:fldChar w:fldCharType="begin"/>
      </w:r>
      <w:r>
        <w:instrText xml:space="preserve"> PAGEREF _Toc21480 \h </w:instrText>
      </w:r>
      <w:r>
        <w:fldChar w:fldCharType="separate"/>
      </w:r>
      <w:r>
        <w:t>- 13 -</w:t>
      </w:r>
      <w:r>
        <w:fldChar w:fldCharType="end"/>
      </w:r>
      <w:r>
        <w:rPr>
          <w:rFonts w:hint="eastAsia" w:ascii="微软雅黑" w:hAnsi="微软雅黑" w:eastAsia="微软雅黑" w:cs="微软雅黑"/>
          <w:color w:val="auto"/>
          <w:szCs w:val="21"/>
        </w:rPr>
        <w:fldChar w:fldCharType="end"/>
      </w:r>
    </w:p>
    <w:p w14:paraId="6E7AA48C">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_Toc10054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二、竞争性磋商文件</w:t>
      </w:r>
      <w:r>
        <w:tab/>
      </w:r>
      <w:r>
        <w:fldChar w:fldCharType="begin"/>
      </w:r>
      <w:r>
        <w:instrText xml:space="preserve"> PAGEREF _Toc10054 \h </w:instrText>
      </w:r>
      <w:r>
        <w:fldChar w:fldCharType="separate"/>
      </w:r>
      <w:r>
        <w:t>- 13 -</w:t>
      </w:r>
      <w:r>
        <w:fldChar w:fldCharType="end"/>
      </w:r>
      <w:r>
        <w:rPr>
          <w:rFonts w:hint="eastAsia" w:ascii="微软雅黑" w:hAnsi="微软雅黑" w:eastAsia="微软雅黑" w:cs="微软雅黑"/>
          <w:color w:val="auto"/>
          <w:szCs w:val="21"/>
        </w:rPr>
        <w:fldChar w:fldCharType="end"/>
      </w:r>
    </w:p>
    <w:p w14:paraId="20C349AB">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_Toc25646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三、磋商要求</w:t>
      </w:r>
      <w:r>
        <w:tab/>
      </w:r>
      <w:r>
        <w:fldChar w:fldCharType="begin"/>
      </w:r>
      <w:r>
        <w:instrText xml:space="preserve"> PAGEREF _Toc25646 \h </w:instrText>
      </w:r>
      <w:r>
        <w:fldChar w:fldCharType="separate"/>
      </w:r>
      <w:r>
        <w:t>- 13 -</w:t>
      </w:r>
      <w:r>
        <w:fldChar w:fldCharType="end"/>
      </w:r>
      <w:r>
        <w:rPr>
          <w:rFonts w:hint="eastAsia" w:ascii="微软雅黑" w:hAnsi="微软雅黑" w:eastAsia="微软雅黑" w:cs="微软雅黑"/>
          <w:color w:val="auto"/>
          <w:szCs w:val="21"/>
        </w:rPr>
        <w:fldChar w:fldCharType="end"/>
      </w:r>
    </w:p>
    <w:p w14:paraId="442F5705">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_Toc8924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_Toc8924 \h </w:instrText>
      </w:r>
      <w:r>
        <w:fldChar w:fldCharType="separate"/>
      </w:r>
      <w:r>
        <w:t>- 14 -</w:t>
      </w:r>
      <w:r>
        <w:fldChar w:fldCharType="end"/>
      </w:r>
      <w:r>
        <w:rPr>
          <w:rFonts w:hint="eastAsia" w:ascii="微软雅黑" w:hAnsi="微软雅黑" w:eastAsia="微软雅黑" w:cs="微软雅黑"/>
          <w:color w:val="auto"/>
          <w:szCs w:val="21"/>
        </w:rPr>
        <w:fldChar w:fldCharType="end"/>
      </w:r>
    </w:p>
    <w:p w14:paraId="75E387DF">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_Toc30548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tab/>
      </w:r>
      <w:r>
        <w:fldChar w:fldCharType="begin"/>
      </w:r>
      <w:r>
        <w:instrText xml:space="preserve"> PAGEREF _Toc30548 \h </w:instrText>
      </w:r>
      <w:r>
        <w:fldChar w:fldCharType="separate"/>
      </w:r>
      <w:r>
        <w:t>- 14 -</w:t>
      </w:r>
      <w:r>
        <w:fldChar w:fldCharType="end"/>
      </w:r>
      <w:r>
        <w:rPr>
          <w:rFonts w:hint="eastAsia" w:ascii="微软雅黑" w:hAnsi="微软雅黑" w:eastAsia="微软雅黑" w:cs="微软雅黑"/>
          <w:color w:val="auto"/>
          <w:szCs w:val="21"/>
        </w:rPr>
        <w:fldChar w:fldCharType="end"/>
      </w:r>
    </w:p>
    <w:p w14:paraId="137DCD38">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_Toc13909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_Toc13909 \h </w:instrText>
      </w:r>
      <w:r>
        <w:fldChar w:fldCharType="separate"/>
      </w:r>
      <w:r>
        <w:t>- 15 -</w:t>
      </w:r>
      <w:r>
        <w:fldChar w:fldCharType="end"/>
      </w:r>
      <w:r>
        <w:rPr>
          <w:rFonts w:hint="eastAsia" w:ascii="微软雅黑" w:hAnsi="微软雅黑" w:eastAsia="微软雅黑" w:cs="微软雅黑"/>
          <w:color w:val="auto"/>
          <w:szCs w:val="21"/>
        </w:rPr>
        <w:fldChar w:fldCharType="end"/>
      </w:r>
    </w:p>
    <w:p w14:paraId="089C917D">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_Toc14922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七、招标代理服务费</w:t>
      </w:r>
      <w:r>
        <w:tab/>
      </w:r>
      <w:r>
        <w:fldChar w:fldCharType="begin"/>
      </w:r>
      <w:r>
        <w:instrText xml:space="preserve"> PAGEREF _Toc14922 \h </w:instrText>
      </w:r>
      <w:r>
        <w:fldChar w:fldCharType="separate"/>
      </w:r>
      <w:r>
        <w:t>- 16 -</w:t>
      </w:r>
      <w:r>
        <w:fldChar w:fldCharType="end"/>
      </w:r>
      <w:r>
        <w:rPr>
          <w:rFonts w:hint="eastAsia" w:ascii="微软雅黑" w:hAnsi="微软雅黑" w:eastAsia="微软雅黑" w:cs="微软雅黑"/>
          <w:color w:val="auto"/>
          <w:szCs w:val="21"/>
        </w:rPr>
        <w:fldChar w:fldCharType="end"/>
      </w:r>
    </w:p>
    <w:p w14:paraId="673784F8">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_Toc18674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八、签订合同</w:t>
      </w:r>
      <w:r>
        <w:tab/>
      </w:r>
      <w:r>
        <w:fldChar w:fldCharType="begin"/>
      </w:r>
      <w:r>
        <w:instrText xml:space="preserve"> PAGEREF _Toc18674 \h </w:instrText>
      </w:r>
      <w:r>
        <w:fldChar w:fldCharType="separate"/>
      </w:r>
      <w:r>
        <w:t>- 17 -</w:t>
      </w:r>
      <w:r>
        <w:fldChar w:fldCharType="end"/>
      </w:r>
      <w:r>
        <w:rPr>
          <w:rFonts w:hint="eastAsia" w:ascii="微软雅黑" w:hAnsi="微软雅黑" w:eastAsia="微软雅黑" w:cs="微软雅黑"/>
          <w:color w:val="auto"/>
          <w:szCs w:val="21"/>
        </w:rPr>
        <w:fldChar w:fldCharType="end"/>
      </w:r>
    </w:p>
    <w:p w14:paraId="48970265">
      <w:pPr>
        <w:pStyle w:val="48"/>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_Toc29975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第六篇  合同主要条款和格式合同（样本）</w:t>
      </w:r>
      <w:r>
        <w:tab/>
      </w:r>
      <w:r>
        <w:fldChar w:fldCharType="begin"/>
      </w:r>
      <w:r>
        <w:instrText xml:space="preserve"> PAGEREF _Toc29975 \h </w:instrText>
      </w:r>
      <w:r>
        <w:fldChar w:fldCharType="separate"/>
      </w:r>
      <w:r>
        <w:t>- 18 -</w:t>
      </w:r>
      <w:r>
        <w:fldChar w:fldCharType="end"/>
      </w:r>
      <w:r>
        <w:rPr>
          <w:rFonts w:hint="eastAsia" w:ascii="微软雅黑" w:hAnsi="微软雅黑" w:eastAsia="微软雅黑" w:cs="微软雅黑"/>
          <w:color w:val="auto"/>
          <w:szCs w:val="21"/>
        </w:rPr>
        <w:fldChar w:fldCharType="end"/>
      </w:r>
    </w:p>
    <w:p w14:paraId="5424A441">
      <w:pPr>
        <w:pStyle w:val="48"/>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_Toc12607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_Toc12607 \h </w:instrText>
      </w:r>
      <w:r>
        <w:fldChar w:fldCharType="separate"/>
      </w:r>
      <w:r>
        <w:t>- 20 -</w:t>
      </w:r>
      <w:r>
        <w:fldChar w:fldCharType="end"/>
      </w:r>
      <w:r>
        <w:rPr>
          <w:rFonts w:hint="eastAsia" w:ascii="微软雅黑" w:hAnsi="微软雅黑" w:eastAsia="微软雅黑" w:cs="微软雅黑"/>
          <w:color w:val="auto"/>
          <w:szCs w:val="21"/>
        </w:rPr>
        <w:fldChar w:fldCharType="end"/>
      </w:r>
    </w:p>
    <w:p w14:paraId="0D3EBE81">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_Toc8241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tab/>
      </w:r>
      <w:r>
        <w:fldChar w:fldCharType="begin"/>
      </w:r>
      <w:r>
        <w:instrText xml:space="preserve"> PAGEREF _Toc8241 \h </w:instrText>
      </w:r>
      <w:r>
        <w:fldChar w:fldCharType="separate"/>
      </w:r>
      <w:r>
        <w:t>- 21 -</w:t>
      </w:r>
      <w:r>
        <w:fldChar w:fldCharType="end"/>
      </w:r>
      <w:r>
        <w:rPr>
          <w:rFonts w:hint="eastAsia" w:ascii="微软雅黑" w:hAnsi="微软雅黑" w:eastAsia="微软雅黑" w:cs="微软雅黑"/>
          <w:color w:val="auto"/>
          <w:szCs w:val="21"/>
        </w:rPr>
        <w:fldChar w:fldCharType="end"/>
      </w:r>
    </w:p>
    <w:p w14:paraId="4AB09F67">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_Toc31118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tab/>
      </w:r>
      <w:r>
        <w:fldChar w:fldCharType="begin"/>
      </w:r>
      <w:r>
        <w:instrText xml:space="preserve"> PAGEREF _Toc31118 \h </w:instrText>
      </w:r>
      <w:r>
        <w:fldChar w:fldCharType="separate"/>
      </w:r>
      <w:r>
        <w:t>- 23 -</w:t>
      </w:r>
      <w:r>
        <w:fldChar w:fldCharType="end"/>
      </w:r>
      <w:r>
        <w:rPr>
          <w:rFonts w:hint="eastAsia" w:ascii="微软雅黑" w:hAnsi="微软雅黑" w:eastAsia="微软雅黑" w:cs="微软雅黑"/>
          <w:color w:val="auto"/>
          <w:szCs w:val="21"/>
        </w:rPr>
        <w:fldChar w:fldCharType="end"/>
      </w:r>
    </w:p>
    <w:p w14:paraId="75EF6D93">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_Toc2443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tab/>
      </w:r>
      <w:r>
        <w:fldChar w:fldCharType="begin"/>
      </w:r>
      <w:r>
        <w:instrText xml:space="preserve"> PAGEREF _Toc2443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62C5CE10">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_Toc6472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_Toc6472 \h </w:instrText>
      </w:r>
      <w:r>
        <w:fldChar w:fldCharType="separate"/>
      </w:r>
      <w:r>
        <w:t>- 27 -</w:t>
      </w:r>
      <w:r>
        <w:fldChar w:fldCharType="end"/>
      </w:r>
      <w:r>
        <w:rPr>
          <w:rFonts w:hint="eastAsia" w:ascii="微软雅黑" w:hAnsi="微软雅黑" w:eastAsia="微软雅黑" w:cs="微软雅黑"/>
          <w:color w:val="auto"/>
          <w:szCs w:val="21"/>
        </w:rPr>
        <w:fldChar w:fldCharType="end"/>
      </w:r>
    </w:p>
    <w:p w14:paraId="5FA94F6F">
      <w:pPr>
        <w:pStyle w:val="31"/>
        <w:tabs>
          <w:tab w:val="right" w:leader="dot" w:pos="9412"/>
        </w:tabs>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_Toc12072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五、其他应提供的资料</w:t>
      </w:r>
      <w:r>
        <w:tab/>
      </w:r>
      <w:r>
        <w:fldChar w:fldCharType="begin"/>
      </w:r>
      <w:r>
        <w:instrText xml:space="preserve"> PAGEREF _Toc12072 \h </w:instrText>
      </w:r>
      <w:r>
        <w:fldChar w:fldCharType="separate"/>
      </w:r>
      <w:r>
        <w:t>- 32 -</w:t>
      </w:r>
      <w:r>
        <w:fldChar w:fldCharType="end"/>
      </w:r>
      <w:r>
        <w:rPr>
          <w:rFonts w:hint="eastAsia" w:ascii="微软雅黑" w:hAnsi="微软雅黑" w:eastAsia="微软雅黑" w:cs="微软雅黑"/>
          <w:color w:val="auto"/>
          <w:szCs w:val="21"/>
        </w:rPr>
        <w:fldChar w:fldCharType="end"/>
      </w:r>
    </w:p>
    <w:p w14:paraId="3DEC123D">
      <w:pPr>
        <w:pStyle w:val="48"/>
        <w:tabs>
          <w:tab w:val="right" w:leader="dot" w:pos="9402"/>
        </w:tabs>
        <w:spacing w:line="480" w:lineRule="exact"/>
        <w:ind w:left="560"/>
        <w:jc w:val="center"/>
        <w:rPr>
          <w:rFonts w:hint="eastAsia" w:ascii="微软雅黑" w:hAnsi="微软雅黑" w:eastAsia="微软雅黑" w:cs="微软雅黑"/>
          <w:color w:val="auto"/>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Cs w:val="21"/>
        </w:rPr>
        <w:fldChar w:fldCharType="end"/>
      </w:r>
    </w:p>
    <w:p w14:paraId="248481EF">
      <w:pPr>
        <w:pStyle w:val="3"/>
        <w:spacing w:line="360" w:lineRule="auto"/>
        <w:jc w:val="center"/>
        <w:rPr>
          <w:rFonts w:hint="eastAsia" w:ascii="微软雅黑" w:hAnsi="微软雅黑" w:eastAsia="微软雅黑" w:cs="微软雅黑"/>
          <w:b w:val="0"/>
          <w:color w:val="auto"/>
          <w:szCs w:val="30"/>
        </w:rPr>
      </w:pPr>
      <w:bookmarkStart w:id="0" w:name="_Toc11641050"/>
      <w:bookmarkStart w:id="1" w:name="_Toc8176"/>
      <w:bookmarkStart w:id="2" w:name="_Toc12789052"/>
      <w:bookmarkStart w:id="3" w:name="_Toc18969"/>
      <w:r>
        <w:rPr>
          <w:rFonts w:hint="eastAsia" w:ascii="微软雅黑" w:hAnsi="微软雅黑" w:eastAsia="微软雅黑" w:cs="微软雅黑"/>
          <w:b w:val="0"/>
          <w:color w:val="auto"/>
          <w:sz w:val="36"/>
          <w:szCs w:val="30"/>
        </w:rPr>
        <w:t>第一篇  采购邀请书</w:t>
      </w:r>
      <w:bookmarkEnd w:id="0"/>
      <w:bookmarkEnd w:id="1"/>
      <w:bookmarkEnd w:id="2"/>
      <w:bookmarkEnd w:id="3"/>
    </w:p>
    <w:p w14:paraId="0A79642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重庆麦迪逊招投标代理有限公司接受重庆市交通规划研究院的委托，对“无人机智能交通巡检系统部署技术支撑</w:t>
      </w:r>
      <w:r>
        <w:rPr>
          <w:rFonts w:hint="eastAsia" w:ascii="微软雅黑" w:hAnsi="微软雅黑" w:eastAsia="微软雅黑" w:cs="微软雅黑"/>
          <w:color w:val="auto"/>
          <w:sz w:val="24"/>
          <w:szCs w:val="24"/>
        </w:rPr>
        <w:t>”进行竞争性磋商采购。欢迎有资格的供应商前来参与磋商。（说明，本次采购为意向性采购，若甲方未中标，则此次采购无效）</w:t>
      </w:r>
    </w:p>
    <w:p w14:paraId="6E03D3BA">
      <w:pPr>
        <w:pStyle w:val="4"/>
        <w:spacing w:before="0" w:after="0" w:line="400" w:lineRule="exact"/>
        <w:rPr>
          <w:rFonts w:hint="eastAsia" w:ascii="微软雅黑" w:hAnsi="微软雅黑" w:eastAsia="微软雅黑" w:cs="微软雅黑"/>
          <w:color w:val="auto"/>
          <w:sz w:val="24"/>
          <w:szCs w:val="24"/>
        </w:rPr>
      </w:pPr>
      <w:bookmarkStart w:id="4" w:name="_Toc7816"/>
      <w:bookmarkStart w:id="5" w:name="_Toc317775175"/>
      <w:bookmarkStart w:id="6" w:name="_Toc313893526"/>
      <w:bookmarkStart w:id="7" w:name="_Toc28087"/>
      <w:r>
        <w:rPr>
          <w:rFonts w:hint="eastAsia" w:ascii="微软雅黑" w:hAnsi="微软雅黑" w:eastAsia="微软雅黑" w:cs="微软雅黑"/>
          <w:color w:val="auto"/>
          <w:sz w:val="24"/>
          <w:szCs w:val="24"/>
        </w:rPr>
        <w:t>一、竞争性磋商内容</w:t>
      </w:r>
      <w:bookmarkEnd w:id="4"/>
      <w:bookmarkEnd w:id="5"/>
      <w:bookmarkEnd w:id="6"/>
      <w:bookmarkEnd w:id="7"/>
    </w:p>
    <w:tbl>
      <w:tblPr>
        <w:tblStyle w:val="6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559"/>
        <w:gridCol w:w="1403"/>
        <w:gridCol w:w="2642"/>
      </w:tblGrid>
      <w:tr w14:paraId="5160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2" w:type="dxa"/>
            <w:vAlign w:val="center"/>
          </w:tcPr>
          <w:p w14:paraId="23DE832E">
            <w:pPr>
              <w:pStyle w:val="24"/>
              <w:spacing w:line="240" w:lineRule="atLeast"/>
              <w:ind w:left="0"/>
              <w:jc w:val="center"/>
              <w:outlineLvl w:val="0"/>
              <w:rPr>
                <w:rFonts w:hint="eastAsia" w:ascii="微软雅黑" w:hAnsi="微软雅黑" w:eastAsia="微软雅黑" w:cs="微软雅黑"/>
                <w:b/>
                <w:bCs/>
                <w:color w:val="auto"/>
                <w:sz w:val="24"/>
                <w:szCs w:val="24"/>
              </w:rPr>
            </w:pPr>
            <w:bookmarkStart w:id="8" w:name="_Toc373860293"/>
            <w:bookmarkStart w:id="9" w:name="_Toc317775178"/>
            <w:r>
              <w:rPr>
                <w:rFonts w:hint="eastAsia" w:ascii="微软雅黑" w:hAnsi="微软雅黑" w:eastAsia="微软雅黑" w:cs="微软雅黑"/>
                <w:b/>
                <w:bCs/>
                <w:color w:val="auto"/>
                <w:sz w:val="24"/>
                <w:szCs w:val="24"/>
              </w:rPr>
              <w:t>名称</w:t>
            </w:r>
          </w:p>
        </w:tc>
        <w:tc>
          <w:tcPr>
            <w:tcW w:w="1559" w:type="dxa"/>
            <w:vAlign w:val="center"/>
          </w:tcPr>
          <w:p w14:paraId="2A5B31E3">
            <w:pPr>
              <w:pStyle w:val="24"/>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采购预算</w:t>
            </w:r>
          </w:p>
          <w:p w14:paraId="07959175">
            <w:pPr>
              <w:pStyle w:val="24"/>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（万元）</w:t>
            </w:r>
          </w:p>
        </w:tc>
        <w:tc>
          <w:tcPr>
            <w:tcW w:w="1403" w:type="dxa"/>
            <w:vAlign w:val="center"/>
          </w:tcPr>
          <w:p w14:paraId="0FF9EDA1">
            <w:pPr>
              <w:pStyle w:val="24"/>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成交供应商数量</w:t>
            </w:r>
          </w:p>
        </w:tc>
        <w:tc>
          <w:tcPr>
            <w:tcW w:w="2642" w:type="dxa"/>
            <w:vAlign w:val="center"/>
          </w:tcPr>
          <w:p w14:paraId="021DEED7">
            <w:pPr>
              <w:pStyle w:val="24"/>
              <w:spacing w:line="240" w:lineRule="auto"/>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采购标的对应的中小企业划分标准所属行业</w:t>
            </w:r>
          </w:p>
        </w:tc>
      </w:tr>
      <w:tr w14:paraId="1B28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622" w:type="dxa"/>
            <w:vAlign w:val="center"/>
          </w:tcPr>
          <w:p w14:paraId="7B6F4D13">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无人机智能交通巡检系统部署技术支撑</w:t>
            </w:r>
          </w:p>
        </w:tc>
        <w:tc>
          <w:tcPr>
            <w:tcW w:w="1559" w:type="dxa"/>
            <w:vAlign w:val="center"/>
          </w:tcPr>
          <w:p w14:paraId="77ECC07E">
            <w:pPr>
              <w:pStyle w:val="15"/>
              <w:spacing w:line="400" w:lineRule="exact"/>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37</w:t>
            </w:r>
          </w:p>
        </w:tc>
        <w:tc>
          <w:tcPr>
            <w:tcW w:w="1403" w:type="dxa"/>
            <w:vAlign w:val="center"/>
          </w:tcPr>
          <w:p w14:paraId="50A1A5DF">
            <w:pPr>
              <w:pStyle w:val="15"/>
              <w:spacing w:line="400" w:lineRule="exact"/>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1</w:t>
            </w:r>
          </w:p>
        </w:tc>
        <w:tc>
          <w:tcPr>
            <w:tcW w:w="2642" w:type="dxa"/>
            <w:vAlign w:val="center"/>
          </w:tcPr>
          <w:p w14:paraId="64653ED7">
            <w:pPr>
              <w:pStyle w:val="15"/>
              <w:spacing w:line="240" w:lineRule="auto"/>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其他未列明行业</w:t>
            </w:r>
          </w:p>
        </w:tc>
      </w:tr>
    </w:tbl>
    <w:p w14:paraId="02B569EC">
      <w:pPr>
        <w:pStyle w:val="4"/>
        <w:spacing w:before="0" w:after="0" w:line="400" w:lineRule="exact"/>
        <w:rPr>
          <w:rFonts w:hint="eastAsia" w:ascii="微软雅黑" w:hAnsi="微软雅黑" w:eastAsia="微软雅黑" w:cs="微软雅黑"/>
          <w:color w:val="auto"/>
          <w:sz w:val="24"/>
          <w:szCs w:val="24"/>
        </w:rPr>
      </w:pPr>
      <w:bookmarkStart w:id="10" w:name="_Toc6218"/>
      <w:bookmarkStart w:id="11" w:name="_Toc3664"/>
      <w:r>
        <w:rPr>
          <w:rFonts w:hint="eastAsia" w:ascii="微软雅黑" w:hAnsi="微软雅黑" w:eastAsia="微软雅黑" w:cs="微软雅黑"/>
          <w:color w:val="auto"/>
          <w:sz w:val="24"/>
          <w:szCs w:val="24"/>
        </w:rPr>
        <w:t>二、资金来源</w:t>
      </w:r>
      <w:bookmarkEnd w:id="10"/>
      <w:bookmarkEnd w:id="11"/>
    </w:p>
    <w:p w14:paraId="04AD3132">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财政资金，预算金额为37万元。</w:t>
      </w:r>
    </w:p>
    <w:p w14:paraId="0344EFF6">
      <w:pPr>
        <w:pStyle w:val="4"/>
        <w:spacing w:before="0" w:after="0" w:line="400" w:lineRule="exact"/>
        <w:rPr>
          <w:rFonts w:hint="eastAsia" w:ascii="微软雅黑" w:hAnsi="微软雅黑" w:eastAsia="微软雅黑" w:cs="微软雅黑"/>
          <w:color w:val="auto"/>
          <w:sz w:val="24"/>
          <w:szCs w:val="24"/>
        </w:rPr>
      </w:pPr>
      <w:bookmarkStart w:id="12" w:name="_Toc29970"/>
      <w:bookmarkStart w:id="13" w:name="_Toc17051"/>
      <w:r>
        <w:rPr>
          <w:rFonts w:hint="eastAsia" w:ascii="微软雅黑" w:hAnsi="微软雅黑" w:eastAsia="微软雅黑" w:cs="微软雅黑"/>
          <w:color w:val="auto"/>
          <w:sz w:val="24"/>
          <w:szCs w:val="24"/>
        </w:rPr>
        <w:t>三、供应商资格条件</w:t>
      </w:r>
      <w:bookmarkEnd w:id="12"/>
      <w:bookmarkEnd w:id="13"/>
    </w:p>
    <w:p w14:paraId="06B65B98">
      <w:pPr>
        <w:spacing w:line="380" w:lineRule="exact"/>
        <w:ind w:firstLine="480" w:firstLineChars="200"/>
        <w:rPr>
          <w:rFonts w:hint="eastAsia" w:ascii="微软雅黑" w:hAnsi="微软雅黑" w:eastAsia="微软雅黑" w:cs="微软雅黑"/>
          <w:color w:val="auto"/>
          <w:sz w:val="24"/>
          <w:szCs w:val="24"/>
        </w:rPr>
      </w:pPr>
      <w:bookmarkStart w:id="14" w:name="_Hlk37688792"/>
      <w:r>
        <w:rPr>
          <w:rFonts w:hint="eastAsia" w:ascii="微软雅黑" w:hAnsi="微软雅黑" w:eastAsia="微软雅黑" w:cs="微软雅黑"/>
          <w:color w:val="auto"/>
          <w:sz w:val="24"/>
          <w:szCs w:val="24"/>
        </w:rPr>
        <w:t>（一）满足《中华人民共和国政府采购法》第二十二条规定；</w:t>
      </w:r>
    </w:p>
    <w:p w14:paraId="1CE49963">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（二）落实政府采购政策需满足的资格要求：本项目专门面向小微企业。</w:t>
      </w:r>
    </w:p>
    <w:p w14:paraId="08DD334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（三）本项目的特定资格要求：无。</w:t>
      </w:r>
    </w:p>
    <w:bookmarkEnd w:id="14"/>
    <w:p w14:paraId="29040AD3">
      <w:pPr>
        <w:pStyle w:val="4"/>
        <w:spacing w:before="0" w:after="0" w:line="480" w:lineRule="exact"/>
        <w:rPr>
          <w:rFonts w:hint="eastAsia" w:ascii="微软雅黑" w:hAnsi="微软雅黑" w:eastAsia="微软雅黑" w:cs="微软雅黑"/>
          <w:color w:val="auto"/>
          <w:sz w:val="24"/>
          <w:szCs w:val="24"/>
        </w:rPr>
      </w:pPr>
      <w:bookmarkStart w:id="15" w:name="_Toc16508"/>
      <w:bookmarkStart w:id="16" w:name="_Toc31271"/>
      <w:r>
        <w:rPr>
          <w:rFonts w:hint="eastAsia" w:ascii="微软雅黑" w:hAnsi="微软雅黑" w:eastAsia="微软雅黑" w:cs="微软雅黑"/>
          <w:color w:val="auto"/>
          <w:sz w:val="24"/>
          <w:szCs w:val="24"/>
        </w:rPr>
        <w:t>四、磋商有关说明</w:t>
      </w:r>
      <w:bookmarkEnd w:id="8"/>
      <w:bookmarkEnd w:id="15"/>
      <w:bookmarkEnd w:id="16"/>
    </w:p>
    <w:bookmarkEnd w:id="9"/>
    <w:p w14:paraId="1B1FFBB3">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（一）凡有意参加磋商的供应商，请于公告发布之日（2025年</w:t>
      </w:r>
      <w:r>
        <w:rPr>
          <w:rFonts w:hint="eastAsia" w:ascii="微软雅黑" w:hAnsi="微软雅黑" w:eastAsia="微软雅黑" w:cs="微软雅黑"/>
          <w:color w:val="auto"/>
          <w:sz w:val="24"/>
          <w:szCs w:val="24"/>
          <w:lang w:val="en-US" w:eastAsia="zh-CN"/>
        </w:rPr>
        <w:t>08</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26</w:t>
      </w:r>
      <w:r>
        <w:rPr>
          <w:rFonts w:hint="eastAsia" w:ascii="微软雅黑" w:hAnsi="微软雅黑" w:eastAsia="微软雅黑" w:cs="微软雅黑"/>
          <w:color w:val="auto"/>
          <w:sz w:val="24"/>
          <w:szCs w:val="24"/>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3507BA99">
      <w:pPr>
        <w:spacing w:line="380" w:lineRule="exact"/>
        <w:ind w:firstLine="480" w:firstLineChars="200"/>
        <w:rPr>
          <w:rFonts w:hint="eastAsia" w:ascii="微软雅黑" w:hAnsi="微软雅黑" w:eastAsia="微软雅黑" w:cs="微软雅黑"/>
          <w:color w:val="auto"/>
          <w:sz w:val="24"/>
          <w:szCs w:val="24"/>
        </w:rPr>
      </w:pPr>
      <w:bookmarkStart w:id="17" w:name="_Toc460146763"/>
      <w:bookmarkStart w:id="18" w:name="_Toc373860294"/>
      <w:bookmarkStart w:id="19" w:name="_Toc499131150"/>
      <w:bookmarkStart w:id="20" w:name="_Toc499216279"/>
      <w:r>
        <w:rPr>
          <w:rFonts w:hint="eastAsia" w:ascii="微软雅黑" w:hAnsi="微软雅黑" w:eastAsia="微软雅黑" w:cs="微软雅黑"/>
          <w:color w:val="auto"/>
          <w:sz w:val="24"/>
          <w:szCs w:val="24"/>
        </w:rPr>
        <w:t>（二）报名及竞争性磋商文件的购买方式</w:t>
      </w:r>
    </w:p>
    <w:p w14:paraId="048E5EBF">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1.现场报名及购买竞争性磋商文件：凡有意参加磋商的供应商，请于2025年</w:t>
      </w:r>
      <w:r>
        <w:rPr>
          <w:rFonts w:hint="eastAsia" w:ascii="微软雅黑" w:hAnsi="微软雅黑" w:eastAsia="微软雅黑" w:cs="微软雅黑"/>
          <w:color w:val="auto"/>
          <w:sz w:val="24"/>
          <w:szCs w:val="24"/>
          <w:lang w:val="en-US" w:eastAsia="zh-CN"/>
        </w:rPr>
        <w:t>08</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27</w:t>
      </w:r>
      <w:r>
        <w:rPr>
          <w:rFonts w:hint="eastAsia" w:ascii="微软雅黑" w:hAnsi="微软雅黑" w:eastAsia="微软雅黑" w:cs="微软雅黑"/>
          <w:color w:val="auto"/>
          <w:sz w:val="24"/>
          <w:szCs w:val="24"/>
        </w:rPr>
        <w:t>日至2025年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02</w:t>
      </w:r>
      <w:r>
        <w:rPr>
          <w:rFonts w:hint="eastAsia" w:ascii="微软雅黑" w:hAnsi="微软雅黑" w:eastAsia="微软雅黑" w:cs="微软雅黑"/>
          <w:color w:val="auto"/>
          <w:sz w:val="24"/>
          <w:szCs w:val="24"/>
        </w:rPr>
        <w:t>日上午9：00时至12：00时，下午14：00至17：00时（法定公休日、法定节假日除外）携带《磋商文件发售登记表》（加盖供应商公章）到重庆麦迪逊招投标代理有限公司（重庆市江北区海尔路金科廊桥水岸4号附46号）报名。</w:t>
      </w:r>
    </w:p>
    <w:p w14:paraId="64D56CB9">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6AB8DCE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（三）竞争性磋商文件售价300元/份（售后不退）。此费由供应商在报名时缴纳，否则采购人和采购代理机构有权拒收其响应文件。</w:t>
      </w:r>
    </w:p>
    <w:p w14:paraId="50FF991B">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（四）供应商须满足以下两种要件，其响应文件才被接受：</w:t>
      </w:r>
    </w:p>
    <w:p w14:paraId="78A17F1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1、按时递交了响应文件；</w:t>
      </w:r>
    </w:p>
    <w:p w14:paraId="66949C5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2、按时报名签到。</w:t>
      </w:r>
    </w:p>
    <w:p w14:paraId="6E3ECED5">
      <w:pPr>
        <w:snapToGrid w:val="0"/>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（五）递交响应文件地点：重庆市交通规划研究院1302会议室</w:t>
      </w:r>
    </w:p>
    <w:p w14:paraId="7A91ACA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（六）响应文件递交截止时间：2025年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08</w:t>
      </w:r>
      <w:r>
        <w:rPr>
          <w:rFonts w:hint="eastAsia" w:ascii="微软雅黑" w:hAnsi="微软雅黑" w:eastAsia="微软雅黑" w:cs="微软雅黑"/>
          <w:color w:val="auto"/>
          <w:sz w:val="24"/>
          <w:szCs w:val="24"/>
        </w:rPr>
        <w:t>日北京时间14:30</w:t>
      </w:r>
    </w:p>
    <w:p w14:paraId="419A46E2">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（七）响应文件开启时间：2025年</w:t>
      </w:r>
      <w:r>
        <w:rPr>
          <w:rFonts w:hint="eastAsia" w:ascii="微软雅黑" w:hAnsi="微软雅黑" w:eastAsia="微软雅黑" w:cs="微软雅黑"/>
          <w:color w:val="auto"/>
          <w:sz w:val="24"/>
          <w:szCs w:val="24"/>
          <w:lang w:val="en-US" w:eastAsia="zh-CN"/>
        </w:rPr>
        <w:t>09</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08</w:t>
      </w:r>
      <w:r>
        <w:rPr>
          <w:rFonts w:hint="eastAsia" w:ascii="微软雅黑" w:hAnsi="微软雅黑" w:eastAsia="微软雅黑" w:cs="微软雅黑"/>
          <w:color w:val="auto"/>
          <w:sz w:val="24"/>
          <w:szCs w:val="24"/>
        </w:rPr>
        <w:t>日北京时间14:30</w:t>
      </w:r>
    </w:p>
    <w:p w14:paraId="569E247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（八）磋商地点：同递交响应文件地点</w:t>
      </w:r>
      <w:bookmarkEnd w:id="17"/>
      <w:bookmarkEnd w:id="18"/>
      <w:bookmarkEnd w:id="19"/>
      <w:bookmarkEnd w:id="20"/>
      <w:bookmarkStart w:id="21" w:name="_Toc17290279"/>
    </w:p>
    <w:p w14:paraId="0BE8E2D0">
      <w:pPr>
        <w:pStyle w:val="4"/>
        <w:spacing w:before="0" w:after="0" w:line="380" w:lineRule="exact"/>
        <w:rPr>
          <w:rFonts w:hint="eastAsia" w:ascii="微软雅黑" w:hAnsi="微软雅黑" w:eastAsia="微软雅黑" w:cs="微软雅黑"/>
          <w:color w:val="auto"/>
          <w:sz w:val="24"/>
          <w:szCs w:val="24"/>
        </w:rPr>
      </w:pPr>
      <w:bookmarkStart w:id="22" w:name="_Toc14631"/>
      <w:bookmarkStart w:id="23" w:name="_Toc21033"/>
      <w:r>
        <w:rPr>
          <w:rFonts w:hint="eastAsia" w:ascii="微软雅黑" w:hAnsi="微软雅黑" w:eastAsia="微软雅黑" w:cs="微软雅黑"/>
          <w:color w:val="auto"/>
          <w:sz w:val="24"/>
          <w:szCs w:val="24"/>
        </w:rPr>
        <w:t>五、</w:t>
      </w:r>
      <w:bookmarkStart w:id="24" w:name="_Toc480466698"/>
      <w:bookmarkStart w:id="25" w:name="_Toc479668114"/>
      <w:r>
        <w:rPr>
          <w:rFonts w:hint="eastAsia" w:ascii="微软雅黑" w:hAnsi="微软雅黑" w:eastAsia="微软雅黑" w:cs="微软雅黑"/>
          <w:color w:val="auto"/>
          <w:sz w:val="24"/>
          <w:szCs w:val="24"/>
        </w:rPr>
        <w:t>采购项目需落实的政府采购政策</w:t>
      </w:r>
      <w:bookmarkEnd w:id="21"/>
      <w:bookmarkEnd w:id="22"/>
      <w:bookmarkEnd w:id="23"/>
      <w:bookmarkEnd w:id="24"/>
      <w:bookmarkEnd w:id="25"/>
    </w:p>
    <w:p w14:paraId="0051FE4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494FD4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（二）按照《财政部 工业和信息化部关于印发&lt;政府采购促进中小企业发展暂行办法&gt;的通知》（财库〔2011〕181号）的规定，落实促进中小企业发展政策。</w:t>
      </w:r>
    </w:p>
    <w:p w14:paraId="42C46C1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（三）按照《财政部、司法部关于政府采购支持监狱企业发展有关问题的通知》（财库〔2014〕68号）的规定，落实支持监狱企业发展政策。</w:t>
      </w:r>
    </w:p>
    <w:p w14:paraId="0472E56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（四）按照《三部门联合发布关于促进残疾人就业政府采购政策的通知》（财库〔2017〕 141号）的规定，落实支持残疾人福利性单位发展政策。</w:t>
      </w:r>
    </w:p>
    <w:p w14:paraId="46D670DC">
      <w:pPr>
        <w:pStyle w:val="4"/>
        <w:spacing w:before="0" w:after="0" w:line="380" w:lineRule="exact"/>
        <w:rPr>
          <w:rFonts w:hint="eastAsia" w:ascii="微软雅黑" w:hAnsi="微软雅黑" w:eastAsia="微软雅黑" w:cs="微软雅黑"/>
          <w:color w:val="auto"/>
          <w:sz w:val="24"/>
          <w:szCs w:val="24"/>
        </w:rPr>
      </w:pPr>
      <w:bookmarkStart w:id="26" w:name="_Toc499131151"/>
      <w:bookmarkStart w:id="27" w:name="_Toc499216280"/>
      <w:bookmarkStart w:id="28" w:name="_Toc32219"/>
      <w:bookmarkStart w:id="29" w:name="_Toc457584285"/>
      <w:bookmarkStart w:id="30" w:name="_Toc6756"/>
      <w:r>
        <w:rPr>
          <w:rFonts w:hint="eastAsia" w:ascii="微软雅黑" w:hAnsi="微软雅黑" w:eastAsia="微软雅黑" w:cs="微软雅黑"/>
          <w:color w:val="auto"/>
          <w:sz w:val="24"/>
          <w:szCs w:val="24"/>
        </w:rPr>
        <w:t>六、其它有关规定</w:t>
      </w:r>
      <w:bookmarkEnd w:id="26"/>
      <w:bookmarkEnd w:id="27"/>
      <w:bookmarkEnd w:id="28"/>
      <w:bookmarkEnd w:id="29"/>
      <w:bookmarkEnd w:id="30"/>
    </w:p>
    <w:p w14:paraId="2BB491B9">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（一）单位负责人为同一人或者存在直接控股、管理关系的不同供应商，不得参加同一合同项下的采购活动，否则均为无效响应。</w:t>
      </w:r>
    </w:p>
    <w:p w14:paraId="49472BF7">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（二）为采购项目提供整体设计、规范编制或者项目管理、监理、检测等服务的供应商，不得再参加该采购项目的其他采购活动，否则均为无效响应。</w:t>
      </w:r>
    </w:p>
    <w:p w14:paraId="4A6E80B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在响应文件提交截止时间前发布的竞争性磋商文件及补遗文件（如果有）一律在“行采家”（http://www.gec123.com）上发布，请各供应商注意下载；无论供应商下载与否，均视同供应商已知晓本项目竞争性磋商文件、补遗文件（如果有）的内容。</w:t>
      </w:r>
    </w:p>
    <w:p w14:paraId="0C4BD79A">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（四）超过响应文件截止时间递交的响应文件为无效文件，恕不接收。</w:t>
      </w:r>
    </w:p>
    <w:p w14:paraId="549AE57E">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（五）磋商费用：无论磋商结果如何，供应商参与本项目磋商的所有费用均应由供应商自行承担。</w:t>
      </w:r>
    </w:p>
    <w:p w14:paraId="5562F59A">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（六）列入失信被执行人、重大税收违法案件当事人名单、政府采购严重违法失信行为记录名单及其他不符合《中华人民共和国政府采购法》第二十二条规定条件的供应商，将拒绝其参与政府采购活动。</w:t>
      </w:r>
    </w:p>
    <w:p w14:paraId="5075053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1.供应商可通过信用中国网站（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微软雅黑" w:hAnsi="微软雅黑" w:eastAsia="微软雅黑" w:cs="微软雅黑"/>
          <w:color w:val="auto"/>
          <w:sz w:val="24"/>
          <w:szCs w:val="24"/>
        </w:rPr>
        <w:t>www.creditchina.gov.cn</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）查询以下内容</w:t>
      </w:r>
    </w:p>
    <w:p w14:paraId="3454E006">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1.1“失信被执行人”；</w:t>
      </w:r>
    </w:p>
    <w:p w14:paraId="37231B0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1.2“重大税收违法案件当事人名单”；</w:t>
      </w:r>
    </w:p>
    <w:p w14:paraId="58CF9A27">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2.供应商可通过中国政府采购网（www.ccgp.gov.cn）查询“政府采购严重违法失信行为记录名单”</w:t>
      </w:r>
    </w:p>
    <w:p w14:paraId="2F59AB2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（七）本项目不接受联合体磋商，否则按无效处理。</w:t>
      </w:r>
    </w:p>
    <w:p w14:paraId="1E06C61D">
      <w:pPr>
        <w:snapToGrid w:val="0"/>
        <w:spacing w:line="380" w:lineRule="exact"/>
        <w:ind w:firstLine="480" w:firstLineChars="200"/>
        <w:rPr>
          <w:rFonts w:hint="eastAsia" w:ascii="微软雅黑" w:hAnsi="微软雅黑" w:eastAsia="微软雅黑" w:cs="微软雅黑"/>
          <w:strike/>
          <w:color w:val="auto"/>
          <w:sz w:val="24"/>
          <w:szCs w:val="24"/>
        </w:rPr>
      </w:pPr>
      <w:r>
        <w:rPr>
          <w:rFonts w:hint="eastAsia" w:ascii="微软雅黑" w:hAnsi="微软雅黑" w:eastAsia="微软雅黑" w:cs="微软雅黑"/>
          <w:color w:val="auto"/>
          <w:sz w:val="24"/>
          <w:szCs w:val="24"/>
        </w:rPr>
        <w:t>（八）本项目不接受合同分包，否则按无效处理。</w:t>
      </w:r>
    </w:p>
    <w:p w14:paraId="04EB1810">
      <w:pPr>
        <w:pStyle w:val="4"/>
        <w:spacing w:before="0" w:after="0" w:line="380" w:lineRule="exact"/>
        <w:rPr>
          <w:rFonts w:hint="eastAsia" w:ascii="微软雅黑" w:hAnsi="微软雅黑" w:eastAsia="微软雅黑" w:cs="微软雅黑"/>
          <w:color w:val="auto"/>
          <w:sz w:val="24"/>
          <w:szCs w:val="24"/>
        </w:rPr>
      </w:pPr>
      <w:bookmarkStart w:id="31" w:name="_Toc499131152"/>
      <w:bookmarkStart w:id="32" w:name="_Toc9554"/>
      <w:bookmarkStart w:id="33" w:name="_Toc499216281"/>
      <w:bookmarkStart w:id="34" w:name="_Toc11361"/>
      <w:r>
        <w:rPr>
          <w:rFonts w:hint="eastAsia" w:ascii="微软雅黑" w:hAnsi="微软雅黑" w:eastAsia="微软雅黑" w:cs="微软雅黑"/>
          <w:color w:val="auto"/>
          <w:sz w:val="24"/>
          <w:szCs w:val="24"/>
        </w:rPr>
        <w:t>七、联系方式</w:t>
      </w:r>
      <w:bookmarkEnd w:id="31"/>
      <w:bookmarkEnd w:id="32"/>
      <w:bookmarkEnd w:id="33"/>
      <w:bookmarkEnd w:id="34"/>
    </w:p>
    <w:p w14:paraId="4A06C2E7">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（一）采购代理机构：重庆麦迪逊招投标代理有限公司</w:t>
      </w:r>
    </w:p>
    <w:p w14:paraId="006FEE64">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联系人：张申</w:t>
      </w:r>
    </w:p>
    <w:p w14:paraId="611916F7">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w:t>
      </w:r>
      <w:bookmarkStart w:id="35" w:name="OLE_LINK7"/>
      <w:r>
        <w:rPr>
          <w:rFonts w:hint="eastAsia" w:ascii="微软雅黑" w:hAnsi="微软雅黑" w:eastAsia="微软雅黑" w:cs="微软雅黑"/>
          <w:color w:val="auto"/>
          <w:sz w:val="24"/>
          <w:szCs w:val="24"/>
        </w:rPr>
        <w:t xml:space="preserve">67631626  </w:t>
      </w:r>
      <w:bookmarkEnd w:id="35"/>
      <w:r>
        <w:rPr>
          <w:rFonts w:hint="eastAsia" w:ascii="微软雅黑" w:hAnsi="微软雅黑" w:eastAsia="微软雅黑" w:cs="微软雅黑"/>
          <w:color w:val="auto"/>
          <w:sz w:val="24"/>
          <w:szCs w:val="24"/>
        </w:rPr>
        <w:t>17830565948</w:t>
      </w:r>
    </w:p>
    <w:p w14:paraId="1A92FB1E">
      <w:pPr>
        <w:spacing w:line="380" w:lineRule="exact"/>
        <w:ind w:firstLine="48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4"/>
          <w:szCs w:val="24"/>
        </w:rPr>
        <w:t>地</w:t>
      </w:r>
      <w:r>
        <w:rPr>
          <w:rFonts w:hint="eastAsia" w:ascii="微软雅黑" w:hAnsi="微软雅黑" w:eastAsia="微软雅黑" w:cs="微软雅黑"/>
          <w:color w:val="auto"/>
          <w:sz w:val="21"/>
          <w:szCs w:val="21"/>
        </w:rPr>
        <w:t xml:space="preserve">  址：重庆市江北区海尔路金科廊桥水岸4号附46号</w:t>
      </w:r>
    </w:p>
    <w:p w14:paraId="13B876BB">
      <w:pPr>
        <w:spacing w:line="380" w:lineRule="exact"/>
        <w:ind w:firstLine="42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1"/>
          <w:szCs w:val="21"/>
        </w:rPr>
        <w:t>（二）采购人：</w:t>
      </w:r>
      <w:r>
        <w:rPr>
          <w:rFonts w:hint="eastAsia" w:ascii="微软雅黑" w:hAnsi="微软雅黑" w:eastAsia="微软雅黑" w:cs="微软雅黑"/>
          <w:color w:val="auto"/>
          <w:sz w:val="24"/>
          <w:szCs w:val="24"/>
        </w:rPr>
        <w:t>重庆市交通规划研究院</w:t>
      </w:r>
    </w:p>
    <w:p w14:paraId="26AFACB1">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联系人：吴老师</w:t>
      </w:r>
    </w:p>
    <w:p w14:paraId="3C80C417">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w:t>
      </w:r>
      <w:r>
        <w:rPr>
          <w:rFonts w:hint="eastAsia" w:ascii="微软雅黑" w:hAnsi="微软雅黑" w:eastAsia="微软雅黑" w:cs="微软雅黑"/>
          <w:color w:val="auto"/>
          <w:sz w:val="24"/>
          <w:szCs w:val="24"/>
        </w:rPr>
        <w:t>--67002393</w:t>
      </w:r>
    </w:p>
    <w:p w14:paraId="32EF6C44">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址：重庆市渝北区龙山街道龙山大道3</w:t>
      </w:r>
      <w:r>
        <w:rPr>
          <w:rFonts w:hint="eastAsia" w:ascii="微软雅黑" w:hAnsi="微软雅黑" w:eastAsia="微软雅黑" w:cs="微软雅黑"/>
          <w:color w:val="auto"/>
          <w:sz w:val="24"/>
          <w:szCs w:val="24"/>
        </w:rPr>
        <w:t>39号规划测绘创新基地2号楼</w:t>
      </w:r>
    </w:p>
    <w:p w14:paraId="2619323D">
      <w:pPr>
        <w:snapToGrid w:val="0"/>
        <w:spacing w:line="360" w:lineRule="auto"/>
        <w:rPr>
          <w:rFonts w:hint="eastAsia" w:ascii="微软雅黑" w:hAnsi="微软雅黑" w:eastAsia="微软雅黑" w:cs="微软雅黑"/>
          <w:b/>
          <w:color w:val="auto"/>
          <w:sz w:val="24"/>
          <w:szCs w:val="24"/>
        </w:rPr>
        <w:sectPr>
          <w:headerReference r:id="rId8" w:type="default"/>
          <w:footerReference r:id="rId9" w:type="default"/>
          <w:pgSz w:w="11907" w:h="16840"/>
          <w:pgMar w:top="1134" w:right="1418" w:bottom="1134" w:left="1418" w:header="964" w:footer="992" w:gutter="0"/>
          <w:pgNumType w:fmt="numberInDash" w:start="1"/>
          <w:cols w:space="720" w:num="1"/>
          <w:docGrid w:linePitch="312" w:charSpace="0"/>
        </w:sectPr>
      </w:pPr>
    </w:p>
    <w:p w14:paraId="2FA91737">
      <w:pPr>
        <w:pStyle w:val="3"/>
        <w:spacing w:before="0" w:after="0" w:line="360" w:lineRule="auto"/>
        <w:jc w:val="center"/>
        <w:rPr>
          <w:rFonts w:hint="eastAsia" w:ascii="微软雅黑" w:hAnsi="微软雅黑" w:eastAsia="微软雅黑" w:cs="微软雅黑"/>
          <w:b w:val="0"/>
          <w:color w:val="auto"/>
          <w:sz w:val="30"/>
          <w:szCs w:val="30"/>
        </w:rPr>
      </w:pPr>
      <w:bookmarkStart w:id="36" w:name="_Toc2345"/>
      <w:bookmarkStart w:id="37" w:name="_Toc25612"/>
      <w:r>
        <w:rPr>
          <w:rFonts w:hint="eastAsia" w:ascii="微软雅黑" w:hAnsi="微软雅黑" w:eastAsia="微软雅黑" w:cs="微软雅黑"/>
          <w:b w:val="0"/>
          <w:color w:val="auto"/>
          <w:sz w:val="36"/>
          <w:szCs w:val="30"/>
        </w:rPr>
        <w:t>第二篇  采购服务需求</w:t>
      </w:r>
      <w:bookmarkEnd w:id="36"/>
      <w:bookmarkEnd w:id="37"/>
    </w:p>
    <w:p w14:paraId="04EC76A5">
      <w:pPr>
        <w:pStyle w:val="4"/>
        <w:spacing w:before="0" w:after="0" w:line="400" w:lineRule="exact"/>
        <w:rPr>
          <w:rFonts w:hint="eastAsia" w:ascii="微软雅黑" w:hAnsi="微软雅黑" w:eastAsia="微软雅黑" w:cs="微软雅黑"/>
          <w:color w:val="auto"/>
          <w:sz w:val="24"/>
          <w:szCs w:val="24"/>
        </w:rPr>
      </w:pPr>
      <w:bookmarkStart w:id="38" w:name="_Toc24101"/>
      <w:bookmarkStart w:id="39" w:name="_Toc11032"/>
      <w:bookmarkStart w:id="40" w:name="_Toc12789058"/>
      <w:r>
        <w:rPr>
          <w:rFonts w:hint="eastAsia" w:ascii="微软雅黑" w:hAnsi="微软雅黑" w:eastAsia="微软雅黑" w:cs="微软雅黑"/>
          <w:color w:val="auto"/>
          <w:sz w:val="24"/>
          <w:szCs w:val="24"/>
        </w:rPr>
        <w:t>一、项目基本概况介绍</w:t>
      </w:r>
      <w:bookmarkEnd w:id="38"/>
      <w:bookmarkEnd w:id="39"/>
    </w:p>
    <w:tbl>
      <w:tblPr>
        <w:tblStyle w:val="6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376"/>
        <w:gridCol w:w="4464"/>
      </w:tblGrid>
      <w:tr w14:paraId="0CDB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97" w:type="dxa"/>
            <w:tcBorders>
              <w:top w:val="single" w:color="auto" w:sz="4" w:space="0"/>
              <w:left w:val="single" w:color="auto" w:sz="4" w:space="0"/>
              <w:right w:val="single" w:color="auto" w:sz="4" w:space="0"/>
            </w:tcBorders>
            <w:vAlign w:val="center"/>
          </w:tcPr>
          <w:p w14:paraId="7E904D5D">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名称</w:t>
            </w:r>
          </w:p>
        </w:tc>
        <w:tc>
          <w:tcPr>
            <w:tcW w:w="2376" w:type="dxa"/>
            <w:tcBorders>
              <w:top w:val="single" w:color="auto" w:sz="4" w:space="0"/>
              <w:left w:val="single" w:color="auto" w:sz="4" w:space="0"/>
              <w:right w:val="single" w:color="auto" w:sz="4" w:space="0"/>
            </w:tcBorders>
            <w:vAlign w:val="center"/>
          </w:tcPr>
          <w:p w14:paraId="00F4D62F">
            <w:pPr>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数量/单位</w:t>
            </w:r>
          </w:p>
        </w:tc>
        <w:tc>
          <w:tcPr>
            <w:tcW w:w="4464" w:type="dxa"/>
            <w:tcBorders>
              <w:top w:val="single" w:color="auto" w:sz="4" w:space="0"/>
              <w:left w:val="single" w:color="auto" w:sz="4" w:space="0"/>
              <w:right w:val="single" w:color="auto" w:sz="4" w:space="0"/>
            </w:tcBorders>
            <w:vAlign w:val="center"/>
          </w:tcPr>
          <w:p w14:paraId="4BC9840B">
            <w:pPr>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备注</w:t>
            </w:r>
          </w:p>
        </w:tc>
      </w:tr>
      <w:tr w14:paraId="33BF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97" w:type="dxa"/>
            <w:tcBorders>
              <w:top w:val="single" w:color="auto" w:sz="4" w:space="0"/>
              <w:left w:val="single" w:color="auto" w:sz="4" w:space="0"/>
              <w:bottom w:val="single" w:color="auto" w:sz="4" w:space="0"/>
              <w:right w:val="single" w:color="auto" w:sz="4" w:space="0"/>
            </w:tcBorders>
            <w:vAlign w:val="center"/>
          </w:tcPr>
          <w:p w14:paraId="59AFD91C">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无人机智能交通巡检系统部署技术支撑</w:t>
            </w:r>
          </w:p>
        </w:tc>
        <w:tc>
          <w:tcPr>
            <w:tcW w:w="2376" w:type="dxa"/>
            <w:tcBorders>
              <w:top w:val="single" w:color="auto" w:sz="4" w:space="0"/>
              <w:left w:val="single" w:color="auto" w:sz="4" w:space="0"/>
              <w:bottom w:val="single" w:color="auto" w:sz="4" w:space="0"/>
              <w:right w:val="single" w:color="auto" w:sz="4" w:space="0"/>
            </w:tcBorders>
            <w:vAlign w:val="center"/>
          </w:tcPr>
          <w:p w14:paraId="4A28F2D8">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1项</w:t>
            </w:r>
          </w:p>
        </w:tc>
        <w:tc>
          <w:tcPr>
            <w:tcW w:w="4464" w:type="dxa"/>
            <w:tcBorders>
              <w:top w:val="single" w:color="auto" w:sz="4" w:space="0"/>
              <w:left w:val="single" w:color="auto" w:sz="4" w:space="0"/>
              <w:bottom w:val="single" w:color="auto" w:sz="4" w:space="0"/>
              <w:right w:val="single" w:color="auto" w:sz="4" w:space="0"/>
            </w:tcBorders>
            <w:vAlign w:val="center"/>
          </w:tcPr>
          <w:p w14:paraId="1FF922FC">
            <w:pPr>
              <w:widowControl/>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本项目属于《市域重大交通项目动态跟踪、重要交通专项规划数图内容维护及客货运交通出行特征监测》工作的一部分</w:t>
            </w:r>
          </w:p>
        </w:tc>
      </w:tr>
    </w:tbl>
    <w:p w14:paraId="632F88EA">
      <w:pPr>
        <w:pStyle w:val="4"/>
        <w:spacing w:before="0" w:after="0" w:line="240" w:lineRule="auto"/>
        <w:rPr>
          <w:rFonts w:hint="eastAsia" w:ascii="微软雅黑" w:hAnsi="微软雅黑" w:eastAsia="微软雅黑" w:cs="微软雅黑"/>
          <w:color w:val="auto"/>
          <w:sz w:val="24"/>
          <w:szCs w:val="24"/>
        </w:rPr>
      </w:pPr>
      <w:bookmarkStart w:id="41" w:name="_Toc344475116"/>
      <w:bookmarkStart w:id="42" w:name="_Toc28698"/>
      <w:bookmarkStart w:id="43" w:name="_Toc313536013"/>
      <w:bookmarkStart w:id="44" w:name="_Toc9982"/>
      <w:r>
        <w:rPr>
          <w:rFonts w:hint="eastAsia" w:ascii="微软雅黑" w:hAnsi="微软雅黑" w:eastAsia="微软雅黑" w:cs="微软雅黑"/>
          <w:color w:val="auto"/>
          <w:sz w:val="24"/>
          <w:szCs w:val="24"/>
        </w:rPr>
        <w:t>二、服务及质量要求</w:t>
      </w:r>
      <w:bookmarkEnd w:id="41"/>
      <w:bookmarkEnd w:id="42"/>
      <w:bookmarkEnd w:id="43"/>
      <w:bookmarkEnd w:id="44"/>
    </w:p>
    <w:p w14:paraId="31A470F8">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总体目标是基于重庆市重点区域的三维可视化地理数据，结合5G、物联网、大数据、人工智能、区块链、三维GIS技术，将各类地理信息数据、二三维建模数据、无人机及机巢相关设备的动态数据相融合，针对各类无人机交通巡检场景，实现基础数据处理服务、无人机飞行控制服务、实时图像传输服务等服务能力。</w:t>
      </w:r>
      <w:bookmarkStart w:id="45" w:name="_Toc4140"/>
    </w:p>
    <w:p w14:paraId="0C8EAC85">
      <w:pPr>
        <w:snapToGrid w:val="0"/>
        <w:spacing w:line="380" w:lineRule="exact"/>
        <w:ind w:firstLine="480" w:firstLineChars="200"/>
        <w:rPr>
          <w:rFonts w:hint="eastAsia" w:ascii="微软雅黑" w:hAnsi="微软雅黑" w:eastAsia="微软雅黑" w:cs="微软雅黑"/>
          <w:color w:val="auto"/>
          <w:sz w:val="24"/>
          <w:szCs w:val="24"/>
        </w:rPr>
      </w:pPr>
      <w:bookmarkStart w:id="46" w:name="_Hlk204765850"/>
      <w:r>
        <w:rPr>
          <w:rFonts w:hint="eastAsia" w:ascii="微软雅黑" w:hAnsi="微软雅黑" w:eastAsia="微软雅黑" w:cs="微软雅黑"/>
          <w:color w:val="auto"/>
          <w:sz w:val="24"/>
          <w:szCs w:val="24"/>
        </w:rPr>
        <w:t>1、基础数据处理服务</w:t>
      </w:r>
    </w:p>
    <w:p w14:paraId="587D164C">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（1）地理数据接入服务</w:t>
      </w:r>
    </w:p>
    <w:p w14:paraId="51CD535A">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接入多种地理数据源（如卫星遥感影像、数字高程模型（DEM）、激光雷达点云（LiDAR）、GIS地图、CAD图纸等）；支持对原始地理数据进行去噪、配准、裁剪、坐标转换（如WGS84到局部坐标系）等处理；支持提供巡检区域的高分辨率地图（如正射影像图、三维地形模型），支持定期更新以反映环境变化。</w:t>
      </w:r>
    </w:p>
    <w:p w14:paraId="4D037332">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（2）无人机接入服务</w:t>
      </w:r>
    </w:p>
    <w:p w14:paraId="1867144B">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支持多类主流无人机厂商的通信协议，实现异构机型的统一接入；支持实时接入飞控数据、无人机负载设备数据等。</w:t>
      </w:r>
    </w:p>
    <w:p w14:paraId="45822D87">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（3）机库接入服务</w:t>
      </w:r>
    </w:p>
    <w:p w14:paraId="2E197B4C">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支持按照统一格式，接入多品牌机库数据；支持远程启停机库设备，确保无人机存储环境稳定；实时监测机库运行状态，异常时触发告警。</w:t>
      </w:r>
    </w:p>
    <w:p w14:paraId="229BD1A0">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（4）数据归一化处理服务</w:t>
      </w:r>
    </w:p>
    <w:p w14:paraId="4EC5B7BF">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对无人机各类传输数据进行时间与空间校准对齐处理，对各种类型、各种结构数据存储和处理，支持数据之间互通共享，保证高效存储和查询数据；支持抓取视频、图像、飞控等有效数据并清洗，自动添加多种类标签。</w:t>
      </w:r>
    </w:p>
    <w:p w14:paraId="12270550">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2、无人机飞行控制服务</w:t>
      </w:r>
    </w:p>
    <w:p w14:paraId="7E038941">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（1）任务管理</w:t>
      </w:r>
    </w:p>
    <w:p w14:paraId="68B56F7B">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按照设定航线对飞行任务进行定时设置，并能设置飞行策略，定时飞行任务能在多类型时间段内自定义设置重复飞行频率；支持基于设定的航线，及时手动执行飞行任务，并基于三维地图实时展示任务信息及无人机飞行状态信息。</w:t>
      </w:r>
    </w:p>
    <w:p w14:paraId="1382BF0B">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（2）航线规划</w:t>
      </w:r>
    </w:p>
    <w:p w14:paraId="19E7B80E">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以三维GIS地图为基础规划航点，设置起飞策略和返航策略，以航点为基础生成飞行航线，设置航点时支持设置飞行动作、负载动作；在线划设的飞行航线直接生成可使用的航线文件，支持航线文件导入与导出；基于遥控器遥控无人机产生的航线可一键导入系统，后续可复用。</w:t>
      </w:r>
    </w:p>
    <w:p w14:paraId="698CA742">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（3）智能飞行</w:t>
      </w:r>
    </w:p>
    <w:p w14:paraId="53F97554">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支持选择任意点位自动规划航线，支持无人机根据航线执行飞行作业任务，支持无人机飞行作业中随时人工实时接管控制；通过毫米波雷达、双目视觉、超声波检测障碍物，触发绕行、悬停或紧急返航。</w:t>
      </w:r>
    </w:p>
    <w:p w14:paraId="2416F601">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（4）飞行控制</w:t>
      </w:r>
    </w:p>
    <w:p w14:paraId="1FE839B7">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联接机库直接指令控制无人机；支持在三维GIS下，通过点击地图生成目标点位，改变飞行航线；无人机自动飞行过程中，可直接手动接管，通过键盘或飞行遥杆进行实时控制；支持申请、抢夺与释放无人机机库控制权。</w:t>
      </w:r>
    </w:p>
    <w:p w14:paraId="2AFAE18C">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（5）失控保护</w:t>
      </w:r>
    </w:p>
    <w:p w14:paraId="75AB76F2">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支持无人机异常失控时可进行策略保护，包括返航、悬停、原地降落，默认为自动返航。</w:t>
      </w:r>
    </w:p>
    <w:p w14:paraId="4DFF1FDE">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3、实时图像传输服务</w:t>
      </w:r>
    </w:p>
    <w:p w14:paraId="4F766E86">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（1）飞行态势监视</w:t>
      </w:r>
    </w:p>
    <w:p w14:paraId="0D7AF395">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针对多架无人机，可选择任意无人机显示其实时图传画面，并显示其飞控信息，包括飞行姿态、飞行状态等信息，形成航迹航线进行展示；支持在三维GIS中，实时叠加无人机飞行过程中航迹与飞行姿态、状态数据等。</w:t>
      </w:r>
    </w:p>
    <w:p w14:paraId="40DF59FE">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（2）多路实时图传</w:t>
      </w:r>
    </w:p>
    <w:p w14:paraId="538C4E52">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实时同步展示多路无人机飞行图传画面，能对单个画面进行满屏展示，并支持多通道图传画面的切换。</w:t>
      </w:r>
    </w:p>
    <w:p w14:paraId="48A592F4">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（3）历史记录查询</w:t>
      </w:r>
    </w:p>
    <w:p w14:paraId="13037B73">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支持对历史飞行记录进行分类标注和筛选，可支持权限管理；可在三维GIS下完整仿真复现飞行历史数据。</w:t>
      </w:r>
    </w:p>
    <w:p w14:paraId="07A3B855">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4、设备维护管理服务</w:t>
      </w:r>
    </w:p>
    <w:p w14:paraId="2EE34848">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（1）设备登记管理</w:t>
      </w:r>
    </w:p>
    <w:p w14:paraId="6058BCDC">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支持按无人机（机库）、负载、通信等类型区分设备，并能对其进行信息登记管理，可查看设备状态及在线情况，能够根据组织、设备名称等查询设备信息。</w:t>
      </w:r>
    </w:p>
    <w:p w14:paraId="4752216F">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（2）设备维护管理</w:t>
      </w:r>
    </w:p>
    <w:p w14:paraId="34D96D2D">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详细展示机库设备的实时状态和已设置的相关参数，支持在线单步调试机库设备，支持下载查看机库设备运行过程中的产生的日志，支持在线对机库设备进行OTA固件版本的升级。</w:t>
      </w:r>
    </w:p>
    <w:p w14:paraId="143E26A0">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（3）组织结构管理</w:t>
      </w:r>
    </w:p>
    <w:p w14:paraId="2F5C8258">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支持划分组织结构，能根据组织级别对个人用户人员进行分组管理；各用户之间逻辑关系独立，可按角色对功能模块的使用权限分配。</w:t>
      </w:r>
    </w:p>
    <w:p w14:paraId="0B0148FB">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（4）飞手管理</w:t>
      </w:r>
    </w:p>
    <w:p w14:paraId="4B5984F2">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按组织单位管理飞手执照，对飞手标签进行管理，可查询组织单位名下飞手，页面以列表形式排列展示飞手信息；未在系统中登记的飞手及非飞手无法通过遥控器连接系统平台。</w:t>
      </w:r>
    </w:p>
    <w:bookmarkEnd w:id="46"/>
    <w:p w14:paraId="444E27DB">
      <w:pPr>
        <w:snapToGrid w:val="0"/>
        <w:spacing w:line="380" w:lineRule="exact"/>
        <w:ind w:firstLine="480" w:firstLineChars="200"/>
        <w:rPr>
          <w:rFonts w:hint="eastAsia" w:ascii="微软雅黑" w:hAnsi="微软雅黑" w:eastAsia="微软雅黑" w:cs="微软雅黑"/>
          <w:color w:val="auto"/>
          <w:sz w:val="24"/>
          <w:szCs w:val="24"/>
        </w:rPr>
        <w:sectPr>
          <w:footerReference r:id="rId10" w:type="default"/>
          <w:pgSz w:w="11907" w:h="16840"/>
          <w:pgMar w:top="1134" w:right="1191" w:bottom="1134" w:left="1304" w:header="964" w:footer="992" w:gutter="0"/>
          <w:pgNumType w:fmt="numberInDash"/>
          <w:cols w:space="720" w:num="1"/>
          <w:docGrid w:linePitch="312" w:charSpace="0"/>
        </w:sectPr>
      </w:pPr>
    </w:p>
    <w:p w14:paraId="055BE4A3">
      <w:pPr>
        <w:pStyle w:val="3"/>
        <w:spacing w:before="0" w:after="0" w:line="360" w:lineRule="auto"/>
        <w:jc w:val="center"/>
        <w:rPr>
          <w:rFonts w:hint="eastAsia" w:ascii="微软雅黑" w:hAnsi="微软雅黑" w:eastAsia="微软雅黑" w:cs="微软雅黑"/>
          <w:b w:val="0"/>
          <w:color w:val="auto"/>
          <w:sz w:val="36"/>
          <w:szCs w:val="30"/>
        </w:rPr>
      </w:pPr>
      <w:bookmarkStart w:id="47" w:name="_Toc11937"/>
      <w:r>
        <w:rPr>
          <w:rFonts w:hint="eastAsia" w:ascii="微软雅黑" w:hAnsi="微软雅黑" w:eastAsia="微软雅黑" w:cs="微软雅黑"/>
          <w:b w:val="0"/>
          <w:color w:val="auto"/>
          <w:sz w:val="36"/>
          <w:szCs w:val="30"/>
        </w:rPr>
        <w:t>第三篇  采购商务需求</w:t>
      </w:r>
      <w:bookmarkEnd w:id="40"/>
      <w:bookmarkEnd w:id="45"/>
      <w:bookmarkEnd w:id="47"/>
    </w:p>
    <w:p w14:paraId="315F0028">
      <w:pPr>
        <w:pStyle w:val="4"/>
        <w:spacing w:before="0" w:after="0" w:line="440" w:lineRule="exact"/>
        <w:rPr>
          <w:rFonts w:hint="eastAsia" w:ascii="微软雅黑" w:hAnsi="微软雅黑" w:eastAsia="微软雅黑" w:cs="微软雅黑"/>
          <w:color w:val="auto"/>
          <w:sz w:val="24"/>
          <w:szCs w:val="24"/>
        </w:rPr>
      </w:pPr>
      <w:bookmarkStart w:id="48" w:name="_Toc344475120"/>
      <w:bookmarkStart w:id="49" w:name="_Toc21524"/>
      <w:bookmarkStart w:id="50" w:name="_Toc6759"/>
      <w:r>
        <w:rPr>
          <w:rFonts w:hint="eastAsia" w:ascii="微软雅黑" w:hAnsi="微软雅黑" w:eastAsia="微软雅黑" w:cs="微软雅黑"/>
          <w:color w:val="auto"/>
          <w:sz w:val="24"/>
          <w:szCs w:val="24"/>
        </w:rPr>
        <w:t>一、服务期</w:t>
      </w:r>
      <w:bookmarkEnd w:id="48"/>
      <w:r>
        <w:rPr>
          <w:rFonts w:hint="eastAsia" w:ascii="微软雅黑" w:hAnsi="微软雅黑" w:eastAsia="微软雅黑" w:cs="微软雅黑"/>
          <w:color w:val="auto"/>
          <w:sz w:val="24"/>
          <w:szCs w:val="24"/>
        </w:rPr>
        <w:t>、地点、验收方式</w:t>
      </w:r>
      <w:bookmarkEnd w:id="49"/>
      <w:bookmarkEnd w:id="50"/>
    </w:p>
    <w:p w14:paraId="2495C830">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（一）服务期：合同签订之日（起）至2025年12月31日（止）。</w:t>
      </w:r>
    </w:p>
    <w:p w14:paraId="212DA21F">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（二）服务地点：重庆市交通规划研究院同意或指定地点。</w:t>
      </w:r>
    </w:p>
    <w:p w14:paraId="6EB13A14">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（三）验收方式：通过采购人组织的验收。</w:t>
      </w:r>
    </w:p>
    <w:p w14:paraId="200E01A9">
      <w:pPr>
        <w:pStyle w:val="4"/>
        <w:spacing w:before="0" w:after="0" w:line="400" w:lineRule="exact"/>
        <w:rPr>
          <w:rFonts w:hint="eastAsia" w:ascii="微软雅黑" w:hAnsi="微软雅黑" w:eastAsia="微软雅黑" w:cs="微软雅黑"/>
          <w:color w:val="auto"/>
          <w:sz w:val="24"/>
          <w:szCs w:val="24"/>
        </w:rPr>
      </w:pPr>
      <w:bookmarkStart w:id="51" w:name="_Toc344475121"/>
      <w:bookmarkStart w:id="52" w:name="_Toc32341"/>
      <w:bookmarkStart w:id="53" w:name="_Toc27187"/>
      <w:bookmarkStart w:id="54" w:name="_Toc12532"/>
      <w:r>
        <w:rPr>
          <w:rFonts w:hint="eastAsia" w:ascii="微软雅黑" w:hAnsi="微软雅黑" w:eastAsia="微软雅黑" w:cs="微软雅黑"/>
          <w:color w:val="auto"/>
          <w:sz w:val="24"/>
          <w:szCs w:val="24"/>
        </w:rPr>
        <w:t>二、</w:t>
      </w:r>
      <w:bookmarkEnd w:id="51"/>
      <w:bookmarkEnd w:id="52"/>
      <w:r>
        <w:rPr>
          <w:rFonts w:hint="eastAsia" w:ascii="微软雅黑" w:hAnsi="微软雅黑" w:eastAsia="微软雅黑" w:cs="微软雅黑"/>
          <w:color w:val="auto"/>
          <w:sz w:val="24"/>
          <w:szCs w:val="24"/>
        </w:rPr>
        <w:t>报价要求</w:t>
      </w:r>
      <w:bookmarkEnd w:id="53"/>
      <w:bookmarkEnd w:id="54"/>
    </w:p>
    <w:p w14:paraId="5462758D">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本次报价须为人民币报价,磋商报价包括完成本项目所需的服务费、人工费及提供服务所需的其他费用及各种应纳的税费。因成交供应商自身原因造成漏报、少报皆由其自行承担责任，采购人不再补偿。</w:t>
      </w:r>
    </w:p>
    <w:p w14:paraId="60449529">
      <w:pPr>
        <w:pStyle w:val="4"/>
        <w:spacing w:before="0" w:after="0" w:line="400" w:lineRule="exact"/>
        <w:rPr>
          <w:rFonts w:hint="eastAsia" w:ascii="微软雅黑" w:hAnsi="微软雅黑" w:eastAsia="微软雅黑" w:cs="微软雅黑"/>
          <w:color w:val="auto"/>
          <w:sz w:val="24"/>
          <w:szCs w:val="24"/>
        </w:rPr>
      </w:pPr>
      <w:bookmarkStart w:id="55" w:name="_Toc22466"/>
      <w:bookmarkStart w:id="56" w:name="_Toc22548"/>
      <w:bookmarkStart w:id="57" w:name="_Toc21464"/>
      <w:bookmarkStart w:id="58" w:name="_Toc31195"/>
      <w:r>
        <w:rPr>
          <w:rFonts w:hint="eastAsia" w:ascii="微软雅黑" w:hAnsi="微软雅黑" w:eastAsia="微软雅黑" w:cs="微软雅黑"/>
          <w:color w:val="auto"/>
          <w:sz w:val="24"/>
          <w:szCs w:val="24"/>
        </w:rPr>
        <w:t>三、</w:t>
      </w:r>
      <w:bookmarkStart w:id="59" w:name="_Toc398650620"/>
      <w:r>
        <w:rPr>
          <w:rFonts w:hint="eastAsia" w:ascii="微软雅黑" w:hAnsi="微软雅黑" w:eastAsia="微软雅黑" w:cs="微软雅黑"/>
          <w:color w:val="auto"/>
          <w:sz w:val="24"/>
          <w:szCs w:val="24"/>
        </w:rPr>
        <w:t>质量保证</w:t>
      </w:r>
      <w:bookmarkEnd w:id="55"/>
      <w:bookmarkEnd w:id="56"/>
      <w:bookmarkEnd w:id="57"/>
      <w:bookmarkEnd w:id="58"/>
      <w:bookmarkEnd w:id="59"/>
    </w:p>
    <w:p w14:paraId="421B3829">
      <w:pPr>
        <w:spacing w:line="400" w:lineRule="exact"/>
        <w:ind w:firstLine="480" w:firstLineChars="200"/>
        <w:rPr>
          <w:rFonts w:hint="eastAsia" w:ascii="微软雅黑" w:hAnsi="微软雅黑" w:eastAsia="微软雅黑" w:cs="微软雅黑"/>
          <w:color w:val="auto"/>
          <w:sz w:val="24"/>
          <w:szCs w:val="24"/>
        </w:rPr>
      </w:pPr>
      <w:bookmarkStart w:id="60" w:name="_Hlk71535758"/>
      <w:r>
        <w:rPr>
          <w:rFonts w:hint="eastAsia" w:ascii="微软雅黑" w:hAnsi="微软雅黑" w:eastAsia="微软雅黑" w:cs="微软雅黑"/>
          <w:color w:val="auto"/>
          <w:sz w:val="24"/>
          <w:szCs w:val="24"/>
        </w:rPr>
        <w:t>（一）成交供应商应保证在规定的时间内完成本项目服务；</w:t>
      </w:r>
    </w:p>
    <w:p w14:paraId="294656C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（二）在项目实施过程中提供必要的技术服务。</w:t>
      </w:r>
    </w:p>
    <w:bookmarkEnd w:id="60"/>
    <w:p w14:paraId="0A7D1BD8">
      <w:pPr>
        <w:pStyle w:val="4"/>
        <w:spacing w:before="0" w:after="0" w:line="400" w:lineRule="exact"/>
        <w:rPr>
          <w:rFonts w:hint="eastAsia" w:ascii="微软雅黑" w:hAnsi="微软雅黑" w:eastAsia="微软雅黑" w:cs="微软雅黑"/>
          <w:color w:val="auto"/>
          <w:sz w:val="24"/>
          <w:szCs w:val="24"/>
        </w:rPr>
      </w:pPr>
      <w:bookmarkStart w:id="61" w:name="_Toc17234"/>
      <w:bookmarkStart w:id="62" w:name="_Toc18305"/>
      <w:bookmarkStart w:id="63" w:name="_Toc344475122"/>
      <w:bookmarkStart w:id="64" w:name="_Toc16127"/>
      <w:bookmarkStart w:id="65" w:name="_Toc27376"/>
      <w:r>
        <w:rPr>
          <w:rFonts w:hint="eastAsia" w:ascii="微软雅黑" w:hAnsi="微软雅黑" w:eastAsia="微软雅黑" w:cs="微软雅黑"/>
          <w:color w:val="auto"/>
          <w:sz w:val="24"/>
          <w:szCs w:val="24"/>
        </w:rPr>
        <w:t>四、付款方式</w:t>
      </w:r>
      <w:bookmarkEnd w:id="61"/>
      <w:bookmarkEnd w:id="62"/>
      <w:bookmarkEnd w:id="63"/>
      <w:bookmarkEnd w:id="64"/>
      <w:bookmarkEnd w:id="65"/>
    </w:p>
    <w:p w14:paraId="7CA1DC5F">
      <w:pPr>
        <w:snapToGrid w:val="0"/>
        <w:spacing w:line="400" w:lineRule="exact"/>
        <w:ind w:firstLine="540"/>
        <w:rPr>
          <w:rFonts w:hint="eastAsia" w:ascii="微软雅黑" w:hAnsi="微软雅黑" w:eastAsia="微软雅黑" w:cs="微软雅黑"/>
          <w:color w:val="auto"/>
          <w:sz w:val="24"/>
          <w:szCs w:val="24"/>
        </w:rPr>
      </w:pPr>
      <w:bookmarkStart w:id="66" w:name="_Toc27478"/>
      <w:bookmarkStart w:id="67" w:name="_Toc344475123"/>
      <w:r>
        <w:rPr>
          <w:rFonts w:hint="eastAsia" w:ascii="微软雅黑" w:hAnsi="微软雅黑" w:eastAsia="微软雅黑" w:cs="微软雅黑"/>
          <w:color w:val="auto"/>
          <w:sz w:val="24"/>
          <w:szCs w:val="24"/>
        </w:rPr>
        <w:t>由采购人支付该项目合同款项，付款方式如下：</w:t>
      </w:r>
    </w:p>
    <w:p w14:paraId="68901D79">
      <w:pPr>
        <w:snapToGrid w:val="0"/>
        <w:spacing w:line="400" w:lineRule="exact"/>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（一）项目合同签订后10个工作日内，成交供应商向采购人提供经采购人确认的工作方案或工作计划并开具正式发票，采购人以转帐方式支付合同总金额的75%。</w:t>
      </w:r>
    </w:p>
    <w:p w14:paraId="7BC7999F">
      <w:pPr>
        <w:snapToGrid w:val="0"/>
        <w:spacing w:line="400" w:lineRule="exact"/>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（二）按照工作要求，成交供应商提供经采购人验收合格的工作成果并开具正式发票，采购人在10个工作日内以转帐方式支付合同总金额剩余的25%。</w:t>
      </w:r>
    </w:p>
    <w:p w14:paraId="335D73D4">
      <w:pPr>
        <w:pStyle w:val="4"/>
        <w:spacing w:before="0" w:after="0" w:line="400" w:lineRule="exact"/>
        <w:rPr>
          <w:rFonts w:hint="eastAsia" w:ascii="微软雅黑" w:hAnsi="微软雅黑" w:eastAsia="微软雅黑" w:cs="微软雅黑"/>
          <w:color w:val="auto"/>
          <w:sz w:val="24"/>
          <w:szCs w:val="24"/>
        </w:rPr>
      </w:pPr>
      <w:bookmarkStart w:id="68" w:name="_Toc13293"/>
      <w:bookmarkStart w:id="69" w:name="_Toc31351"/>
      <w:bookmarkStart w:id="70" w:name="_Toc8203"/>
      <w:r>
        <w:rPr>
          <w:rFonts w:hint="eastAsia" w:ascii="微软雅黑" w:hAnsi="微软雅黑" w:eastAsia="微软雅黑" w:cs="微软雅黑"/>
          <w:color w:val="auto"/>
          <w:sz w:val="24"/>
          <w:szCs w:val="24"/>
        </w:rPr>
        <w:t>五、知识产权</w:t>
      </w:r>
      <w:bookmarkEnd w:id="66"/>
      <w:bookmarkEnd w:id="67"/>
      <w:bookmarkEnd w:id="68"/>
      <w:bookmarkEnd w:id="69"/>
      <w:bookmarkEnd w:id="70"/>
    </w:p>
    <w:p w14:paraId="23316AA7">
      <w:pPr>
        <w:snapToGrid w:val="0"/>
        <w:spacing w:line="400" w:lineRule="exact"/>
        <w:ind w:firstLine="54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9D54BF4">
      <w:pPr>
        <w:pStyle w:val="4"/>
        <w:spacing w:before="0" w:after="0" w:line="400" w:lineRule="exact"/>
        <w:rPr>
          <w:rFonts w:hint="eastAsia" w:ascii="微软雅黑" w:hAnsi="微软雅黑" w:eastAsia="微软雅黑" w:cs="微软雅黑"/>
          <w:color w:val="auto"/>
          <w:sz w:val="24"/>
          <w:szCs w:val="24"/>
        </w:rPr>
      </w:pPr>
      <w:bookmarkStart w:id="71" w:name="_Toc344475124"/>
      <w:bookmarkStart w:id="72" w:name="_Toc31870"/>
      <w:bookmarkStart w:id="73" w:name="_Toc12447"/>
      <w:bookmarkStart w:id="74" w:name="_Toc12726"/>
      <w:bookmarkStart w:id="75" w:name="_Toc25753"/>
      <w:r>
        <w:rPr>
          <w:rFonts w:hint="eastAsia" w:ascii="微软雅黑" w:hAnsi="微软雅黑" w:eastAsia="微软雅黑" w:cs="微软雅黑"/>
          <w:color w:val="auto"/>
          <w:sz w:val="24"/>
          <w:szCs w:val="24"/>
        </w:rPr>
        <w:t>六、</w:t>
      </w:r>
      <w:bookmarkEnd w:id="71"/>
      <w:bookmarkStart w:id="76" w:name="_Toc344475125"/>
      <w:r>
        <w:rPr>
          <w:rFonts w:hint="eastAsia" w:ascii="微软雅黑" w:hAnsi="微软雅黑" w:eastAsia="微软雅黑" w:cs="微软雅黑"/>
          <w:color w:val="auto"/>
          <w:sz w:val="24"/>
          <w:szCs w:val="24"/>
        </w:rPr>
        <w:t>其他</w:t>
      </w:r>
      <w:bookmarkEnd w:id="72"/>
      <w:bookmarkEnd w:id="73"/>
      <w:bookmarkEnd w:id="74"/>
      <w:bookmarkEnd w:id="75"/>
    </w:p>
    <w:bookmarkEnd w:id="76"/>
    <w:p w14:paraId="46CFADD3">
      <w:pPr>
        <w:snapToGrid w:val="0"/>
        <w:spacing w:line="400" w:lineRule="exact"/>
        <w:ind w:firstLine="480" w:firstLineChars="200"/>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（一）供应商必须在响应文件中对以上条款和服务承诺明确列出，承诺内容必须达到本篇及竞争性磋商文件其他条款的要求。</w:t>
      </w:r>
    </w:p>
    <w:p w14:paraId="284C5DDB">
      <w:pPr>
        <w:snapToGrid w:val="0"/>
        <w:spacing w:line="40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rPr>
        <w:t>（二）其他未尽事宜由供需双方在采购合同中详细约定</w:t>
      </w:r>
      <w:r>
        <w:rPr>
          <w:rFonts w:hint="eastAsia" w:ascii="微软雅黑" w:hAnsi="微软雅黑" w:eastAsia="微软雅黑" w:cs="微软雅黑"/>
          <w:color w:val="auto"/>
          <w:kern w:val="0"/>
          <w:sz w:val="24"/>
          <w:szCs w:val="24"/>
        </w:rPr>
        <w:t>。</w:t>
      </w:r>
    </w:p>
    <w:p w14:paraId="14B96B1C">
      <w:pPr>
        <w:snapToGrid w:val="0"/>
        <w:spacing w:line="400" w:lineRule="exact"/>
        <w:ind w:firstLine="480" w:firstLineChars="200"/>
        <w:rPr>
          <w:rFonts w:hint="eastAsia" w:ascii="微软雅黑" w:hAnsi="微软雅黑" w:eastAsia="微软雅黑" w:cs="微软雅黑"/>
          <w:color w:val="auto"/>
          <w:kern w:val="0"/>
          <w:sz w:val="24"/>
          <w:szCs w:val="24"/>
        </w:rPr>
      </w:pPr>
    </w:p>
    <w:p w14:paraId="284ECEC4">
      <w:pPr>
        <w:pStyle w:val="23"/>
        <w:adjustRightInd w:val="0"/>
        <w:snapToGrid w:val="0"/>
        <w:spacing w:line="240" w:lineRule="auto"/>
        <w:ind w:firstLine="0"/>
        <w:rPr>
          <w:rFonts w:hint="eastAsia" w:ascii="微软雅黑" w:hAnsi="微软雅黑" w:eastAsia="微软雅黑" w:cs="微软雅黑"/>
          <w:color w:val="auto"/>
          <w:szCs w:val="24"/>
        </w:rPr>
      </w:pPr>
    </w:p>
    <w:p w14:paraId="725EF484">
      <w:pPr>
        <w:pStyle w:val="23"/>
        <w:adjustRightInd w:val="0"/>
        <w:snapToGrid w:val="0"/>
        <w:spacing w:line="240" w:lineRule="auto"/>
        <w:ind w:firstLine="0"/>
        <w:rPr>
          <w:rFonts w:hint="eastAsia" w:ascii="微软雅黑" w:hAnsi="微软雅黑" w:eastAsia="微软雅黑" w:cs="微软雅黑"/>
          <w:color w:val="auto"/>
          <w:szCs w:val="24"/>
        </w:rPr>
      </w:pPr>
    </w:p>
    <w:p w14:paraId="3FD75873">
      <w:pPr>
        <w:snapToGrid w:val="0"/>
        <w:spacing w:line="400" w:lineRule="exact"/>
        <w:rPr>
          <w:rFonts w:hint="eastAsia" w:ascii="微软雅黑" w:hAnsi="微软雅黑" w:eastAsia="微软雅黑" w:cs="微软雅黑"/>
          <w:color w:val="auto"/>
          <w:kern w:val="0"/>
          <w:sz w:val="24"/>
          <w:szCs w:val="24"/>
        </w:rPr>
      </w:pPr>
    </w:p>
    <w:p w14:paraId="43690E37">
      <w:pPr>
        <w:pStyle w:val="3"/>
        <w:spacing w:before="0" w:after="0" w:line="360" w:lineRule="auto"/>
        <w:jc w:val="center"/>
        <w:rPr>
          <w:rFonts w:hint="eastAsia" w:ascii="微软雅黑" w:hAnsi="微软雅黑" w:eastAsia="微软雅黑" w:cs="微软雅黑"/>
          <w:b w:val="0"/>
          <w:color w:val="auto"/>
          <w:sz w:val="36"/>
          <w:szCs w:val="30"/>
        </w:rPr>
      </w:pPr>
      <w:bookmarkStart w:id="77" w:name="_Toc22387"/>
      <w:bookmarkStart w:id="78" w:name="_Toc13437"/>
      <w:r>
        <w:rPr>
          <w:rFonts w:hint="eastAsia" w:ascii="微软雅黑" w:hAnsi="微软雅黑" w:eastAsia="微软雅黑" w:cs="微软雅黑"/>
          <w:b w:val="0"/>
          <w:color w:val="auto"/>
          <w:sz w:val="36"/>
          <w:szCs w:val="30"/>
        </w:rPr>
        <w:t>第四篇  磋商程序及方法、评审标准、无效响应和</w:t>
      </w:r>
      <w:r>
        <w:rPr>
          <w:rFonts w:hint="eastAsia" w:ascii="微软雅黑" w:hAnsi="微软雅黑" w:eastAsia="微软雅黑" w:cs="微软雅黑"/>
          <w:b w:val="0"/>
          <w:color w:val="auto"/>
          <w:sz w:val="36"/>
          <w:szCs w:val="36"/>
        </w:rPr>
        <w:t>采购终止</w:t>
      </w:r>
      <w:bookmarkEnd w:id="77"/>
      <w:bookmarkEnd w:id="78"/>
    </w:p>
    <w:p w14:paraId="30533709">
      <w:pPr>
        <w:pStyle w:val="4"/>
        <w:spacing w:before="0" w:after="0" w:line="440" w:lineRule="exact"/>
        <w:rPr>
          <w:rFonts w:hint="eastAsia" w:ascii="微软雅黑" w:hAnsi="微软雅黑" w:eastAsia="微软雅黑" w:cs="微软雅黑"/>
          <w:color w:val="auto"/>
          <w:sz w:val="24"/>
          <w:szCs w:val="24"/>
        </w:rPr>
      </w:pPr>
      <w:bookmarkStart w:id="79" w:name="_Toc10878"/>
      <w:bookmarkStart w:id="80" w:name="_Toc20629"/>
      <w:r>
        <w:rPr>
          <w:rFonts w:hint="eastAsia" w:ascii="微软雅黑" w:hAnsi="微软雅黑" w:eastAsia="微软雅黑" w:cs="微软雅黑"/>
          <w:color w:val="auto"/>
          <w:sz w:val="24"/>
          <w:szCs w:val="24"/>
        </w:rPr>
        <w:t>一、磋商程序及方法</w:t>
      </w:r>
      <w:bookmarkEnd w:id="79"/>
      <w:bookmarkEnd w:id="80"/>
    </w:p>
    <w:p w14:paraId="0373330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757A714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（二）磋商小组对各供应商的资格条件、响应文件的有效性、完整性和响应程度进行审查。各供应商只有在完全符合要求的前提下，才能参与正式磋商。</w:t>
      </w:r>
    </w:p>
    <w:p w14:paraId="7559B9A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901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E33AF9C">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FE49DDB">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3088BE84">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检查内容</w:t>
            </w:r>
          </w:p>
        </w:tc>
      </w:tr>
      <w:tr w14:paraId="1940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B9B15F1">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w:t>
            </w:r>
          </w:p>
        </w:tc>
        <w:tc>
          <w:tcPr>
            <w:tcW w:w="709" w:type="dxa"/>
            <w:vMerge w:val="restart"/>
            <w:vAlign w:val="center"/>
          </w:tcPr>
          <w:p w14:paraId="27A590C0">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《中华人民共和国政府采购法》第二十二条规定</w:t>
            </w:r>
          </w:p>
        </w:tc>
        <w:tc>
          <w:tcPr>
            <w:tcW w:w="3118" w:type="dxa"/>
            <w:vAlign w:val="center"/>
          </w:tcPr>
          <w:p w14:paraId="15AED332">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1.具有独立承担民事责任的能力</w:t>
            </w:r>
          </w:p>
        </w:tc>
        <w:tc>
          <w:tcPr>
            <w:tcW w:w="4984" w:type="dxa"/>
            <w:vAlign w:val="center"/>
          </w:tcPr>
          <w:p w14:paraId="6EE8D68A">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1.供应商法人营业执照（副本）或事业单位法人证书（副本）或个体工商户营业执照或有效的自然人身份证明或社会团体法人登记证书（提供复印件）。 </w:t>
            </w:r>
          </w:p>
          <w:p w14:paraId="757B60DE">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2.供应商法定代表人身份证明和法定代表人授权代表委托书。</w:t>
            </w:r>
          </w:p>
        </w:tc>
      </w:tr>
      <w:tr w14:paraId="459B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CD290F1">
            <w:pPr>
              <w:jc w:val="center"/>
              <w:rPr>
                <w:rFonts w:hint="eastAsia" w:ascii="微软雅黑" w:hAnsi="微软雅黑" w:eastAsia="微软雅黑" w:cs="微软雅黑"/>
                <w:color w:val="auto"/>
                <w:sz w:val="21"/>
                <w:szCs w:val="21"/>
              </w:rPr>
            </w:pPr>
          </w:p>
        </w:tc>
        <w:tc>
          <w:tcPr>
            <w:tcW w:w="709" w:type="dxa"/>
            <w:vMerge w:val="continue"/>
            <w:vAlign w:val="center"/>
          </w:tcPr>
          <w:p w14:paraId="450F4DE9">
            <w:pPr>
              <w:rPr>
                <w:rFonts w:hint="eastAsia" w:ascii="微软雅黑" w:hAnsi="微软雅黑" w:eastAsia="微软雅黑" w:cs="微软雅黑"/>
                <w:color w:val="auto"/>
                <w:sz w:val="21"/>
                <w:szCs w:val="21"/>
                <w:lang w:val="zh-CN"/>
              </w:rPr>
            </w:pPr>
          </w:p>
        </w:tc>
        <w:tc>
          <w:tcPr>
            <w:tcW w:w="3118" w:type="dxa"/>
            <w:vAlign w:val="center"/>
          </w:tcPr>
          <w:p w14:paraId="772CADBF">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zh-CN"/>
              </w:rPr>
              <w:t>2.</w:t>
            </w:r>
            <w:r>
              <w:rPr>
                <w:rFonts w:hint="eastAsia" w:ascii="微软雅黑" w:hAnsi="微软雅黑" w:eastAsia="微软雅黑" w:cs="微软雅黑"/>
                <w:color w:val="auto"/>
                <w:sz w:val="21"/>
                <w:szCs w:val="21"/>
              </w:rPr>
              <w:t>具有良好的商业信誉和健全的财务会计制度</w:t>
            </w:r>
          </w:p>
        </w:tc>
        <w:tc>
          <w:tcPr>
            <w:tcW w:w="4984" w:type="dxa"/>
            <w:vMerge w:val="restart"/>
            <w:vAlign w:val="center"/>
          </w:tcPr>
          <w:p w14:paraId="08126AE2">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4"/>
                <w:szCs w:val="24"/>
              </w:rPr>
              <w:t>供应商提供承诺函（见格式文件）</w:t>
            </w:r>
          </w:p>
        </w:tc>
      </w:tr>
      <w:tr w14:paraId="7639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6B00470">
            <w:pPr>
              <w:jc w:val="center"/>
              <w:rPr>
                <w:rFonts w:hint="eastAsia" w:ascii="微软雅黑" w:hAnsi="微软雅黑" w:eastAsia="微软雅黑" w:cs="微软雅黑"/>
                <w:color w:val="auto"/>
                <w:sz w:val="21"/>
                <w:szCs w:val="21"/>
              </w:rPr>
            </w:pPr>
          </w:p>
        </w:tc>
        <w:tc>
          <w:tcPr>
            <w:tcW w:w="709" w:type="dxa"/>
            <w:vMerge w:val="continue"/>
            <w:vAlign w:val="center"/>
          </w:tcPr>
          <w:p w14:paraId="09A73972">
            <w:pPr>
              <w:rPr>
                <w:rFonts w:hint="eastAsia" w:ascii="微软雅黑" w:hAnsi="微软雅黑" w:eastAsia="微软雅黑" w:cs="微软雅黑"/>
                <w:color w:val="auto"/>
                <w:sz w:val="21"/>
                <w:szCs w:val="21"/>
                <w:lang w:val="zh-CN"/>
              </w:rPr>
            </w:pPr>
          </w:p>
        </w:tc>
        <w:tc>
          <w:tcPr>
            <w:tcW w:w="3118" w:type="dxa"/>
            <w:vAlign w:val="center"/>
          </w:tcPr>
          <w:p w14:paraId="6F538E72">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3.具有履行合同所必需的设备和专业技术能力</w:t>
            </w:r>
          </w:p>
        </w:tc>
        <w:tc>
          <w:tcPr>
            <w:tcW w:w="4984" w:type="dxa"/>
            <w:vMerge w:val="continue"/>
            <w:vAlign w:val="center"/>
          </w:tcPr>
          <w:p w14:paraId="738CA8EB">
            <w:pPr>
              <w:rPr>
                <w:rFonts w:hint="eastAsia" w:ascii="微软雅黑" w:hAnsi="微软雅黑" w:eastAsia="微软雅黑" w:cs="微软雅黑"/>
                <w:color w:val="auto"/>
                <w:sz w:val="21"/>
                <w:szCs w:val="21"/>
              </w:rPr>
            </w:pPr>
          </w:p>
        </w:tc>
      </w:tr>
      <w:tr w14:paraId="547E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F8EDD0">
            <w:pPr>
              <w:jc w:val="center"/>
              <w:rPr>
                <w:rFonts w:hint="eastAsia" w:ascii="微软雅黑" w:hAnsi="微软雅黑" w:eastAsia="微软雅黑" w:cs="微软雅黑"/>
                <w:color w:val="auto"/>
                <w:sz w:val="21"/>
                <w:szCs w:val="21"/>
              </w:rPr>
            </w:pPr>
          </w:p>
        </w:tc>
        <w:tc>
          <w:tcPr>
            <w:tcW w:w="709" w:type="dxa"/>
            <w:vMerge w:val="continue"/>
            <w:vAlign w:val="center"/>
          </w:tcPr>
          <w:p w14:paraId="50C80839">
            <w:pPr>
              <w:rPr>
                <w:rFonts w:hint="eastAsia" w:ascii="微软雅黑" w:hAnsi="微软雅黑" w:eastAsia="微软雅黑" w:cs="微软雅黑"/>
                <w:color w:val="auto"/>
                <w:sz w:val="21"/>
                <w:szCs w:val="21"/>
                <w:lang w:val="zh-CN"/>
              </w:rPr>
            </w:pPr>
          </w:p>
        </w:tc>
        <w:tc>
          <w:tcPr>
            <w:tcW w:w="3118" w:type="dxa"/>
            <w:vAlign w:val="center"/>
          </w:tcPr>
          <w:p w14:paraId="24F04D5F">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4.有依法缴纳税收和社会保障金的良好记录</w:t>
            </w:r>
          </w:p>
        </w:tc>
        <w:tc>
          <w:tcPr>
            <w:tcW w:w="4984" w:type="dxa"/>
            <w:vMerge w:val="continue"/>
            <w:vAlign w:val="center"/>
          </w:tcPr>
          <w:p w14:paraId="31D5071C">
            <w:pPr>
              <w:rPr>
                <w:rFonts w:hint="eastAsia" w:ascii="微软雅黑" w:hAnsi="微软雅黑" w:eastAsia="微软雅黑" w:cs="微软雅黑"/>
                <w:color w:val="auto"/>
                <w:sz w:val="21"/>
                <w:szCs w:val="21"/>
              </w:rPr>
            </w:pPr>
          </w:p>
        </w:tc>
      </w:tr>
      <w:tr w14:paraId="74F2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6578C91">
            <w:pPr>
              <w:jc w:val="center"/>
              <w:rPr>
                <w:rFonts w:hint="eastAsia" w:ascii="微软雅黑" w:hAnsi="微软雅黑" w:eastAsia="微软雅黑" w:cs="微软雅黑"/>
                <w:color w:val="auto"/>
                <w:sz w:val="21"/>
                <w:szCs w:val="21"/>
              </w:rPr>
            </w:pPr>
          </w:p>
        </w:tc>
        <w:tc>
          <w:tcPr>
            <w:tcW w:w="709" w:type="dxa"/>
            <w:vMerge w:val="continue"/>
            <w:vAlign w:val="center"/>
          </w:tcPr>
          <w:p w14:paraId="37B8620E">
            <w:pPr>
              <w:rPr>
                <w:rFonts w:hint="eastAsia" w:ascii="微软雅黑" w:hAnsi="微软雅黑" w:eastAsia="微软雅黑" w:cs="微软雅黑"/>
                <w:color w:val="auto"/>
                <w:sz w:val="21"/>
                <w:szCs w:val="21"/>
                <w:lang w:val="zh-CN"/>
              </w:rPr>
            </w:pPr>
          </w:p>
        </w:tc>
        <w:tc>
          <w:tcPr>
            <w:tcW w:w="3118" w:type="dxa"/>
            <w:vAlign w:val="center"/>
          </w:tcPr>
          <w:p w14:paraId="37968296">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rPr>
              <w:t>5.参加政府采购活动前三年内，在经营活动中没有重大违法记录（注）</w:t>
            </w:r>
          </w:p>
        </w:tc>
        <w:tc>
          <w:tcPr>
            <w:tcW w:w="4984" w:type="dxa"/>
            <w:vMerge w:val="continue"/>
            <w:vAlign w:val="center"/>
          </w:tcPr>
          <w:p w14:paraId="241C839E">
            <w:pPr>
              <w:rPr>
                <w:rFonts w:hint="eastAsia" w:ascii="微软雅黑" w:hAnsi="微软雅黑" w:eastAsia="微软雅黑" w:cs="微软雅黑"/>
                <w:b/>
                <w:color w:val="auto"/>
                <w:sz w:val="21"/>
                <w:szCs w:val="21"/>
              </w:rPr>
            </w:pPr>
          </w:p>
        </w:tc>
      </w:tr>
      <w:tr w14:paraId="5A6C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6AE840">
            <w:pPr>
              <w:jc w:val="center"/>
              <w:rPr>
                <w:rFonts w:hint="eastAsia" w:ascii="微软雅黑" w:hAnsi="微软雅黑" w:eastAsia="微软雅黑" w:cs="微软雅黑"/>
                <w:color w:val="auto"/>
                <w:sz w:val="21"/>
                <w:szCs w:val="21"/>
              </w:rPr>
            </w:pPr>
          </w:p>
        </w:tc>
        <w:tc>
          <w:tcPr>
            <w:tcW w:w="709" w:type="dxa"/>
            <w:vMerge w:val="continue"/>
            <w:vAlign w:val="center"/>
          </w:tcPr>
          <w:p w14:paraId="4E5C9E6A">
            <w:pPr>
              <w:rPr>
                <w:rFonts w:hint="eastAsia" w:ascii="微软雅黑" w:hAnsi="微软雅黑" w:eastAsia="微软雅黑" w:cs="微软雅黑"/>
                <w:color w:val="auto"/>
                <w:sz w:val="21"/>
                <w:szCs w:val="21"/>
              </w:rPr>
            </w:pPr>
          </w:p>
        </w:tc>
        <w:tc>
          <w:tcPr>
            <w:tcW w:w="3118" w:type="dxa"/>
            <w:vAlign w:val="center"/>
          </w:tcPr>
          <w:p w14:paraId="52362711">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6.法律、行政法规规定的其他条件</w:t>
            </w:r>
          </w:p>
        </w:tc>
        <w:tc>
          <w:tcPr>
            <w:tcW w:w="4984" w:type="dxa"/>
            <w:vAlign w:val="center"/>
          </w:tcPr>
          <w:p w14:paraId="028599DC">
            <w:pPr>
              <w:rPr>
                <w:rFonts w:hint="eastAsia" w:ascii="微软雅黑" w:hAnsi="微软雅黑" w:eastAsia="微软雅黑" w:cs="微软雅黑"/>
                <w:color w:val="auto"/>
                <w:sz w:val="21"/>
                <w:szCs w:val="21"/>
              </w:rPr>
            </w:pPr>
          </w:p>
        </w:tc>
      </w:tr>
      <w:tr w14:paraId="27DA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7342C1E">
            <w:pPr>
              <w:jc w:val="center"/>
              <w:rPr>
                <w:rFonts w:hint="eastAsia" w:ascii="微软雅黑" w:hAnsi="微软雅黑" w:eastAsia="微软雅黑" w:cs="微软雅黑"/>
                <w:color w:val="auto"/>
                <w:sz w:val="21"/>
                <w:szCs w:val="21"/>
              </w:rPr>
            </w:pPr>
          </w:p>
        </w:tc>
        <w:tc>
          <w:tcPr>
            <w:tcW w:w="709" w:type="dxa"/>
            <w:vMerge w:val="continue"/>
            <w:vAlign w:val="center"/>
          </w:tcPr>
          <w:p w14:paraId="778D3F9B">
            <w:pPr>
              <w:rPr>
                <w:rFonts w:hint="eastAsia" w:ascii="微软雅黑" w:hAnsi="微软雅黑" w:eastAsia="微软雅黑" w:cs="微软雅黑"/>
                <w:color w:val="auto"/>
                <w:sz w:val="21"/>
                <w:szCs w:val="21"/>
              </w:rPr>
            </w:pPr>
          </w:p>
        </w:tc>
        <w:tc>
          <w:tcPr>
            <w:tcW w:w="3118" w:type="dxa"/>
            <w:vAlign w:val="center"/>
          </w:tcPr>
          <w:p w14:paraId="00CE0CCE">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7.本项目的特定资格要求</w:t>
            </w:r>
          </w:p>
        </w:tc>
        <w:tc>
          <w:tcPr>
            <w:tcW w:w="4984" w:type="dxa"/>
            <w:vAlign w:val="center"/>
          </w:tcPr>
          <w:p w14:paraId="7BCDF919">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按“第一篇三、供应商资格要求（三）本项目的特定资格要求”的要求提交（如果有）。</w:t>
            </w:r>
          </w:p>
        </w:tc>
      </w:tr>
      <w:tr w14:paraId="35D7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8C1557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w:t>
            </w:r>
          </w:p>
        </w:tc>
        <w:tc>
          <w:tcPr>
            <w:tcW w:w="3827" w:type="dxa"/>
            <w:gridSpan w:val="2"/>
            <w:vAlign w:val="center"/>
          </w:tcPr>
          <w:p w14:paraId="2BF92C72">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落实政府采购政策需满足的资格要求</w:t>
            </w:r>
          </w:p>
        </w:tc>
        <w:tc>
          <w:tcPr>
            <w:tcW w:w="4984" w:type="dxa"/>
            <w:vAlign w:val="center"/>
          </w:tcPr>
          <w:p w14:paraId="112AE676">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按“第一篇三、供应商资格要求（二）落实政府采购政策需满足的资格要求”的要求提交（如果有）。</w:t>
            </w:r>
          </w:p>
        </w:tc>
      </w:tr>
    </w:tbl>
    <w:p w14:paraId="391AC6E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534D8EE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A3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16FAE26">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3544" w:type="dxa"/>
            <w:gridSpan w:val="2"/>
            <w:vAlign w:val="center"/>
          </w:tcPr>
          <w:p w14:paraId="1478C22C">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评审因素</w:t>
            </w:r>
          </w:p>
        </w:tc>
        <w:tc>
          <w:tcPr>
            <w:tcW w:w="5409" w:type="dxa"/>
            <w:vAlign w:val="center"/>
          </w:tcPr>
          <w:p w14:paraId="77BDC7B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评审标准</w:t>
            </w:r>
          </w:p>
        </w:tc>
      </w:tr>
      <w:tr w14:paraId="1BF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1E71D3F">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560" w:type="dxa"/>
            <w:vMerge w:val="restart"/>
            <w:vAlign w:val="center"/>
          </w:tcPr>
          <w:p w14:paraId="1A59ACFE">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有效性审查</w:t>
            </w:r>
          </w:p>
        </w:tc>
        <w:tc>
          <w:tcPr>
            <w:tcW w:w="1984" w:type="dxa"/>
            <w:vAlign w:val="center"/>
          </w:tcPr>
          <w:p w14:paraId="7D4E3B1A">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响应文件签署</w:t>
            </w:r>
          </w:p>
        </w:tc>
        <w:tc>
          <w:tcPr>
            <w:tcW w:w="5409" w:type="dxa"/>
            <w:vAlign w:val="center"/>
          </w:tcPr>
          <w:p w14:paraId="3D3E5972">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响应文件上法定代表人或其授权代表人的签字齐全。</w:t>
            </w:r>
          </w:p>
        </w:tc>
      </w:tr>
      <w:tr w14:paraId="1B84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7BAEA15">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08B309B7">
            <w:pPr>
              <w:spacing w:line="240" w:lineRule="exact"/>
              <w:rPr>
                <w:rFonts w:hint="eastAsia" w:ascii="微软雅黑" w:hAnsi="微软雅黑" w:eastAsia="微软雅黑" w:cs="微软雅黑"/>
                <w:color w:val="auto"/>
                <w:sz w:val="21"/>
                <w:szCs w:val="21"/>
              </w:rPr>
            </w:pPr>
          </w:p>
        </w:tc>
        <w:tc>
          <w:tcPr>
            <w:tcW w:w="1984" w:type="dxa"/>
            <w:vAlign w:val="center"/>
          </w:tcPr>
          <w:p w14:paraId="57885C0A">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w:t>
            </w:r>
          </w:p>
        </w:tc>
        <w:tc>
          <w:tcPr>
            <w:tcW w:w="5409" w:type="dxa"/>
            <w:vAlign w:val="center"/>
          </w:tcPr>
          <w:p w14:paraId="253FCC11">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法定代表人身份证明及授权委托书有效，符合竞争性磋商文件规定的格式，签字或盖章齐全。</w:t>
            </w:r>
          </w:p>
        </w:tc>
      </w:tr>
      <w:tr w14:paraId="7281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42C5442">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73A930CE">
            <w:pPr>
              <w:spacing w:line="240" w:lineRule="exact"/>
              <w:rPr>
                <w:rFonts w:hint="eastAsia" w:ascii="微软雅黑" w:hAnsi="微软雅黑" w:eastAsia="微软雅黑" w:cs="微软雅黑"/>
                <w:color w:val="auto"/>
                <w:sz w:val="21"/>
                <w:szCs w:val="21"/>
              </w:rPr>
            </w:pPr>
          </w:p>
        </w:tc>
        <w:tc>
          <w:tcPr>
            <w:tcW w:w="1984" w:type="dxa"/>
            <w:vAlign w:val="center"/>
          </w:tcPr>
          <w:p w14:paraId="3CC23DF5">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响应方案</w:t>
            </w:r>
          </w:p>
        </w:tc>
        <w:tc>
          <w:tcPr>
            <w:tcW w:w="5409" w:type="dxa"/>
            <w:vAlign w:val="center"/>
          </w:tcPr>
          <w:p w14:paraId="02CFA1DF">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每个分包只能有一个响应方案。</w:t>
            </w:r>
          </w:p>
        </w:tc>
      </w:tr>
      <w:tr w14:paraId="6F2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F459275">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5B1072EF">
            <w:pPr>
              <w:spacing w:line="240" w:lineRule="exact"/>
              <w:rPr>
                <w:rFonts w:hint="eastAsia" w:ascii="微软雅黑" w:hAnsi="微软雅黑" w:eastAsia="微软雅黑" w:cs="微软雅黑"/>
                <w:color w:val="auto"/>
                <w:sz w:val="21"/>
                <w:szCs w:val="21"/>
              </w:rPr>
            </w:pPr>
          </w:p>
        </w:tc>
        <w:tc>
          <w:tcPr>
            <w:tcW w:w="1984" w:type="dxa"/>
            <w:vAlign w:val="center"/>
          </w:tcPr>
          <w:p w14:paraId="21163256">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报价唯一</w:t>
            </w:r>
          </w:p>
        </w:tc>
        <w:tc>
          <w:tcPr>
            <w:tcW w:w="5409" w:type="dxa"/>
            <w:vAlign w:val="center"/>
          </w:tcPr>
          <w:p w14:paraId="6B95DC37">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只能在采购预算范围内报价，只能有一个有效报价，不得提交选择性报价。</w:t>
            </w:r>
          </w:p>
        </w:tc>
      </w:tr>
      <w:tr w14:paraId="164C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55EA834A">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560" w:type="dxa"/>
            <w:vMerge w:val="restart"/>
            <w:vAlign w:val="center"/>
          </w:tcPr>
          <w:p w14:paraId="20BB998F">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完整性审查</w:t>
            </w:r>
          </w:p>
        </w:tc>
        <w:tc>
          <w:tcPr>
            <w:tcW w:w="1984" w:type="dxa"/>
            <w:vAlign w:val="center"/>
          </w:tcPr>
          <w:p w14:paraId="57FEB719">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响应文件份数</w:t>
            </w:r>
          </w:p>
        </w:tc>
        <w:tc>
          <w:tcPr>
            <w:tcW w:w="5409" w:type="dxa"/>
            <w:vAlign w:val="center"/>
          </w:tcPr>
          <w:p w14:paraId="61C3241B">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响应文件正、副本数量（含电子文档）符合竞争性磋商文件要求。</w:t>
            </w:r>
          </w:p>
        </w:tc>
      </w:tr>
      <w:tr w14:paraId="7B2D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231C58E">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560" w:type="dxa"/>
            <w:vMerge w:val="restart"/>
            <w:vAlign w:val="center"/>
          </w:tcPr>
          <w:p w14:paraId="6A74AB01">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竞争性磋商文件的响应程度审查</w:t>
            </w:r>
          </w:p>
        </w:tc>
        <w:tc>
          <w:tcPr>
            <w:tcW w:w="1984" w:type="dxa"/>
            <w:vAlign w:val="center"/>
          </w:tcPr>
          <w:p w14:paraId="18D13E13">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响应文件内容</w:t>
            </w:r>
          </w:p>
        </w:tc>
        <w:tc>
          <w:tcPr>
            <w:tcW w:w="5409" w:type="dxa"/>
            <w:vAlign w:val="center"/>
          </w:tcPr>
          <w:p w14:paraId="2E472A48">
            <w:pPr>
              <w:pStyle w:val="34"/>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对竞争性磋商文件第二、三篇规定的磋商内容作出响应。</w:t>
            </w:r>
          </w:p>
        </w:tc>
      </w:tr>
      <w:tr w14:paraId="26F3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9508B28">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11F7502E">
            <w:pPr>
              <w:spacing w:line="240" w:lineRule="exact"/>
              <w:rPr>
                <w:rFonts w:hint="eastAsia" w:ascii="微软雅黑" w:hAnsi="微软雅黑" w:eastAsia="微软雅黑" w:cs="微软雅黑"/>
                <w:color w:val="auto"/>
                <w:sz w:val="21"/>
                <w:szCs w:val="21"/>
              </w:rPr>
            </w:pPr>
          </w:p>
        </w:tc>
        <w:tc>
          <w:tcPr>
            <w:tcW w:w="1984" w:type="dxa"/>
            <w:vAlign w:val="center"/>
          </w:tcPr>
          <w:p w14:paraId="57CBB599">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5409" w:type="dxa"/>
            <w:vAlign w:val="center"/>
          </w:tcPr>
          <w:p w14:paraId="3D0293F6">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满足磋商文件规定。</w:t>
            </w:r>
          </w:p>
        </w:tc>
      </w:tr>
    </w:tbl>
    <w:p w14:paraId="567918D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EBA84E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8AB1B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67CFD0A7">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（五）在磋商过程中磋商的任何一方不得向他人透露与磋商有关的技术资料、价格或其他信息。</w:t>
      </w:r>
    </w:p>
    <w:p w14:paraId="2A849273">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AF32250">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（七）供应商在磋商时作出的所有书面承诺须由法定代表人或其授权代表签字。</w:t>
      </w:r>
    </w:p>
    <w:p w14:paraId="1C783D6B">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4BD8E9FE">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5B9590FC">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13E7F9FA">
      <w:pPr>
        <w:pStyle w:val="4"/>
        <w:spacing w:before="0" w:after="0" w:line="440" w:lineRule="exact"/>
        <w:rPr>
          <w:rFonts w:hint="eastAsia" w:ascii="微软雅黑" w:hAnsi="微软雅黑" w:eastAsia="微软雅黑" w:cs="微软雅黑"/>
          <w:color w:val="auto"/>
          <w:sz w:val="24"/>
          <w:szCs w:val="24"/>
        </w:rPr>
      </w:pPr>
      <w:bookmarkStart w:id="81" w:name="_Toc12424"/>
      <w:bookmarkStart w:id="82" w:name="_Toc27568"/>
      <w:r>
        <w:rPr>
          <w:rFonts w:hint="eastAsia" w:ascii="微软雅黑" w:hAnsi="微软雅黑" w:eastAsia="微软雅黑" w:cs="微软雅黑"/>
          <w:color w:val="auto"/>
          <w:sz w:val="24"/>
          <w:szCs w:val="24"/>
        </w:rPr>
        <w:t>二、评审标准</w:t>
      </w:r>
      <w:bookmarkEnd w:id="81"/>
      <w:bookmarkEnd w:id="82"/>
      <w:bookmarkStart w:id="83" w:name="_Toc32029"/>
      <w:bookmarkStart w:id="84" w:name="_Toc102227320"/>
      <w:bookmarkStart w:id="85" w:name="_Toc342913394"/>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91"/>
        <w:gridCol w:w="940"/>
        <w:gridCol w:w="4796"/>
        <w:gridCol w:w="2020"/>
      </w:tblGrid>
      <w:tr w14:paraId="0C6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456DAAE9">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序号</w:t>
            </w:r>
          </w:p>
        </w:tc>
        <w:tc>
          <w:tcPr>
            <w:tcW w:w="618" w:type="pct"/>
            <w:vAlign w:val="center"/>
          </w:tcPr>
          <w:p w14:paraId="1B42843D">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评价因素及权值</w:t>
            </w:r>
          </w:p>
        </w:tc>
        <w:tc>
          <w:tcPr>
            <w:tcW w:w="488" w:type="pct"/>
            <w:vAlign w:val="center"/>
          </w:tcPr>
          <w:p w14:paraId="61D7D899">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分值</w:t>
            </w:r>
          </w:p>
        </w:tc>
        <w:tc>
          <w:tcPr>
            <w:tcW w:w="2490" w:type="pct"/>
            <w:vAlign w:val="center"/>
          </w:tcPr>
          <w:p w14:paraId="309D478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评分标准</w:t>
            </w:r>
          </w:p>
        </w:tc>
        <w:tc>
          <w:tcPr>
            <w:tcW w:w="1049" w:type="pct"/>
            <w:vAlign w:val="center"/>
          </w:tcPr>
          <w:p w14:paraId="1CCD55F1">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w:t>
            </w:r>
          </w:p>
        </w:tc>
      </w:tr>
      <w:tr w14:paraId="2E33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D01AE9B">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p>
        </w:tc>
        <w:tc>
          <w:tcPr>
            <w:tcW w:w="618" w:type="pct"/>
            <w:vAlign w:val="center"/>
          </w:tcPr>
          <w:p w14:paraId="249465B9">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磋商报价（10%）</w:t>
            </w:r>
          </w:p>
        </w:tc>
        <w:tc>
          <w:tcPr>
            <w:tcW w:w="488" w:type="pct"/>
            <w:vAlign w:val="center"/>
          </w:tcPr>
          <w:p w14:paraId="6C0F35E2">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10分</w:t>
            </w:r>
          </w:p>
        </w:tc>
        <w:tc>
          <w:tcPr>
            <w:tcW w:w="2490" w:type="pct"/>
            <w:vAlign w:val="center"/>
          </w:tcPr>
          <w:p w14:paraId="1E930A7A">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满足资格要求且最后报价最低的供应商的价格为磋商基准价，按照下列公式计算每个供应商的磋商报价得分。</w:t>
            </w:r>
          </w:p>
          <w:p w14:paraId="0A05A90A">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磋商报价得分=（磋商基准价/最后磋商报价）×价格权值×100</w:t>
            </w:r>
          </w:p>
        </w:tc>
        <w:tc>
          <w:tcPr>
            <w:tcW w:w="1049" w:type="pct"/>
            <w:vAlign w:val="center"/>
          </w:tcPr>
          <w:p w14:paraId="16329963">
            <w:pPr>
              <w:spacing w:line="400" w:lineRule="exact"/>
              <w:ind w:firstLine="480" w:firstLineChars="200"/>
              <w:rPr>
                <w:rFonts w:hint="eastAsia" w:ascii="微软雅黑" w:hAnsi="微软雅黑" w:eastAsia="微软雅黑" w:cs="微软雅黑"/>
                <w:color w:val="auto"/>
                <w:sz w:val="24"/>
                <w:szCs w:val="24"/>
              </w:rPr>
            </w:pPr>
          </w:p>
        </w:tc>
      </w:tr>
      <w:tr w14:paraId="57C4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restart"/>
            <w:vAlign w:val="center"/>
          </w:tcPr>
          <w:p w14:paraId="796BAEFF">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p>
        </w:tc>
        <w:tc>
          <w:tcPr>
            <w:tcW w:w="618" w:type="pct"/>
            <w:vMerge w:val="restart"/>
            <w:vAlign w:val="center"/>
          </w:tcPr>
          <w:p w14:paraId="33256798">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服务</w:t>
            </w:r>
            <w:r>
              <w:rPr>
                <w:rFonts w:hint="eastAsia" w:ascii="微软雅黑" w:hAnsi="微软雅黑" w:eastAsia="微软雅黑" w:cs="微软雅黑"/>
                <w:color w:val="auto"/>
                <w:sz w:val="24"/>
                <w:szCs w:val="24"/>
              </w:rPr>
              <w:t>部分（70%）</w:t>
            </w:r>
          </w:p>
        </w:tc>
        <w:tc>
          <w:tcPr>
            <w:tcW w:w="488" w:type="pct"/>
            <w:vAlign w:val="center"/>
          </w:tcPr>
          <w:p w14:paraId="3D040EE8">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1.项目需求理解（15分）</w:t>
            </w:r>
          </w:p>
        </w:tc>
        <w:tc>
          <w:tcPr>
            <w:tcW w:w="2490" w:type="pct"/>
            <w:vAlign w:val="center"/>
          </w:tcPr>
          <w:p w14:paraId="5FBCA83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对项目需求的理解，阐述分析项目的重点、难点问题，并提出项目合理化建议等内容进行综合评分。</w:t>
            </w:r>
          </w:p>
          <w:p w14:paraId="638DCF7F">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①技术方案不存在瑕疵，得15分；</w:t>
            </w:r>
          </w:p>
          <w:p w14:paraId="525E1799">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②存在1处瑕疵，得12分；</w:t>
            </w:r>
          </w:p>
          <w:p w14:paraId="7EBC27F6">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③存在2处瑕疵，得9分；</w:t>
            </w:r>
          </w:p>
          <w:p w14:paraId="13561157">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 4 \* GB3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④</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存在3处及以上瑕疵或未提供，得0分。</w:t>
            </w:r>
          </w:p>
        </w:tc>
        <w:tc>
          <w:tcPr>
            <w:tcW w:w="1049" w:type="pct"/>
            <w:vMerge w:val="restart"/>
            <w:vAlign w:val="center"/>
          </w:tcPr>
          <w:p w14:paraId="67E3EB9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1.供应商根据项目要求内容自行编制方案（格式自拟）。</w:t>
            </w:r>
          </w:p>
          <w:p w14:paraId="2DD176B7">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14:paraId="1DC6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continue"/>
            <w:vAlign w:val="center"/>
          </w:tcPr>
          <w:p w14:paraId="19C67A11">
            <w:pPr>
              <w:spacing w:line="400" w:lineRule="exact"/>
              <w:ind w:firstLine="480" w:firstLineChars="200"/>
              <w:jc w:val="left"/>
              <w:rPr>
                <w:rFonts w:hint="eastAsia" w:ascii="微软雅黑" w:hAnsi="微软雅黑" w:eastAsia="微软雅黑" w:cs="微软雅黑"/>
                <w:color w:val="auto"/>
                <w:sz w:val="24"/>
                <w:szCs w:val="24"/>
              </w:rPr>
            </w:pPr>
          </w:p>
        </w:tc>
        <w:tc>
          <w:tcPr>
            <w:tcW w:w="618" w:type="pct"/>
            <w:vMerge w:val="continue"/>
            <w:vAlign w:val="center"/>
          </w:tcPr>
          <w:p w14:paraId="6E45B038">
            <w:pPr>
              <w:spacing w:line="400" w:lineRule="exact"/>
              <w:ind w:firstLine="480" w:firstLineChars="200"/>
              <w:rPr>
                <w:rFonts w:hint="eastAsia" w:ascii="微软雅黑" w:hAnsi="微软雅黑" w:eastAsia="微软雅黑" w:cs="微软雅黑"/>
                <w:color w:val="auto"/>
                <w:sz w:val="24"/>
                <w:szCs w:val="24"/>
              </w:rPr>
            </w:pPr>
          </w:p>
        </w:tc>
        <w:tc>
          <w:tcPr>
            <w:tcW w:w="488" w:type="pct"/>
            <w:vAlign w:val="center"/>
          </w:tcPr>
          <w:p w14:paraId="0286509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2.项目整体建设方案（20分）</w:t>
            </w:r>
          </w:p>
        </w:tc>
        <w:tc>
          <w:tcPr>
            <w:tcW w:w="2490" w:type="pct"/>
            <w:vAlign w:val="center"/>
          </w:tcPr>
          <w:p w14:paraId="75CDF788">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w:t>
            </w:r>
            <w:r>
              <w:rPr>
                <w:rFonts w:hint="eastAsia" w:ascii="微软雅黑" w:hAnsi="微软雅黑" w:eastAsia="微软雅黑" w:cs="微软雅黑"/>
                <w:color w:val="auto"/>
                <w:sz w:val="24"/>
                <w:szCs w:val="24"/>
                <w:lang w:val="en-US" w:eastAsia="zh-CN"/>
              </w:rPr>
              <w:t>供应商对</w:t>
            </w:r>
            <w:r>
              <w:rPr>
                <w:rFonts w:hint="eastAsia" w:ascii="微软雅黑" w:hAnsi="微软雅黑" w:eastAsia="微软雅黑" w:cs="微软雅黑"/>
                <w:color w:val="auto"/>
                <w:sz w:val="24"/>
                <w:szCs w:val="24"/>
              </w:rPr>
              <w:t>项目整体建设方案的先进性、合理性、适用性、可行性和经济性等内容进行综合评分。</w:t>
            </w:r>
          </w:p>
          <w:p w14:paraId="799E1E55">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①技术方案不存在瑕疵，得20分；</w:t>
            </w:r>
          </w:p>
          <w:p w14:paraId="41FE9273">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②存在1处瑕疵，得15分；</w:t>
            </w:r>
          </w:p>
          <w:p w14:paraId="5E450B16">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③存在2处瑕疵，得10分；</w:t>
            </w:r>
          </w:p>
          <w:p w14:paraId="19C72582">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 4 \* GB3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④</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存在3处及以上瑕疵或未提供，得0分。</w:t>
            </w:r>
          </w:p>
        </w:tc>
        <w:tc>
          <w:tcPr>
            <w:tcW w:w="1049" w:type="pct"/>
            <w:vMerge w:val="continue"/>
            <w:vAlign w:val="center"/>
          </w:tcPr>
          <w:p w14:paraId="07F6AFE4">
            <w:pPr>
              <w:spacing w:line="400" w:lineRule="exact"/>
              <w:ind w:firstLine="480" w:firstLineChars="200"/>
              <w:rPr>
                <w:rFonts w:hint="eastAsia" w:ascii="微软雅黑" w:hAnsi="微软雅黑" w:eastAsia="微软雅黑" w:cs="微软雅黑"/>
                <w:color w:val="auto"/>
                <w:sz w:val="24"/>
                <w:szCs w:val="24"/>
              </w:rPr>
            </w:pPr>
          </w:p>
        </w:tc>
      </w:tr>
      <w:tr w14:paraId="2819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continue"/>
            <w:vAlign w:val="center"/>
          </w:tcPr>
          <w:p w14:paraId="61152D95">
            <w:pPr>
              <w:spacing w:line="400" w:lineRule="exact"/>
              <w:ind w:firstLine="480" w:firstLineChars="200"/>
              <w:jc w:val="left"/>
              <w:rPr>
                <w:rFonts w:hint="eastAsia" w:ascii="微软雅黑" w:hAnsi="微软雅黑" w:eastAsia="微软雅黑" w:cs="微软雅黑"/>
                <w:color w:val="auto"/>
                <w:sz w:val="24"/>
                <w:szCs w:val="24"/>
              </w:rPr>
            </w:pPr>
          </w:p>
        </w:tc>
        <w:tc>
          <w:tcPr>
            <w:tcW w:w="618" w:type="pct"/>
            <w:vMerge w:val="continue"/>
            <w:vAlign w:val="center"/>
          </w:tcPr>
          <w:p w14:paraId="0482A5EB">
            <w:pPr>
              <w:spacing w:line="400" w:lineRule="exact"/>
              <w:ind w:firstLine="480" w:firstLineChars="200"/>
              <w:rPr>
                <w:rFonts w:hint="eastAsia" w:ascii="微软雅黑" w:hAnsi="微软雅黑" w:eastAsia="微软雅黑" w:cs="微软雅黑"/>
                <w:color w:val="auto"/>
                <w:sz w:val="24"/>
                <w:szCs w:val="24"/>
              </w:rPr>
            </w:pPr>
          </w:p>
        </w:tc>
        <w:tc>
          <w:tcPr>
            <w:tcW w:w="488" w:type="pct"/>
            <w:vAlign w:val="center"/>
          </w:tcPr>
          <w:p w14:paraId="2323D45B">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3.系统功能设计方案（20分）</w:t>
            </w:r>
          </w:p>
        </w:tc>
        <w:tc>
          <w:tcPr>
            <w:tcW w:w="2490" w:type="pct"/>
            <w:vAlign w:val="center"/>
          </w:tcPr>
          <w:p w14:paraId="30967270">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提供的系统功能设计方案，包括系统功能设计、软件功能模块、系统框架图等方面进行综合打分。</w:t>
            </w:r>
          </w:p>
          <w:p w14:paraId="16B10230">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①技术方案不存在瑕疵，得20分；</w:t>
            </w:r>
          </w:p>
          <w:p w14:paraId="1FADBA90">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②存在1处瑕疵，得15分；</w:t>
            </w:r>
          </w:p>
          <w:p w14:paraId="66DAF8F5">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③存在2处瑕疵，得10分；</w:t>
            </w:r>
          </w:p>
          <w:p w14:paraId="798DB640">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 4 \* GB3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④</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存在3处及以上瑕疵或未提供，得0分。</w:t>
            </w:r>
          </w:p>
        </w:tc>
        <w:tc>
          <w:tcPr>
            <w:tcW w:w="1049" w:type="pct"/>
            <w:vMerge w:val="continue"/>
            <w:vAlign w:val="center"/>
          </w:tcPr>
          <w:p w14:paraId="4C95C0FE">
            <w:pPr>
              <w:spacing w:line="400" w:lineRule="exact"/>
              <w:ind w:firstLine="480" w:firstLineChars="200"/>
              <w:rPr>
                <w:rFonts w:hint="eastAsia" w:ascii="微软雅黑" w:hAnsi="微软雅黑" w:eastAsia="微软雅黑" w:cs="微软雅黑"/>
                <w:color w:val="auto"/>
                <w:sz w:val="24"/>
                <w:szCs w:val="24"/>
              </w:rPr>
            </w:pPr>
          </w:p>
        </w:tc>
      </w:tr>
      <w:tr w14:paraId="047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Merge w:val="continue"/>
            <w:vAlign w:val="center"/>
          </w:tcPr>
          <w:p w14:paraId="7A413BFB">
            <w:pPr>
              <w:spacing w:line="400" w:lineRule="exact"/>
              <w:ind w:firstLine="480" w:firstLineChars="200"/>
              <w:jc w:val="left"/>
              <w:rPr>
                <w:rFonts w:hint="eastAsia" w:ascii="微软雅黑" w:hAnsi="微软雅黑" w:eastAsia="微软雅黑" w:cs="微软雅黑"/>
                <w:color w:val="auto"/>
                <w:sz w:val="24"/>
                <w:szCs w:val="24"/>
              </w:rPr>
            </w:pPr>
          </w:p>
        </w:tc>
        <w:tc>
          <w:tcPr>
            <w:tcW w:w="618" w:type="pct"/>
            <w:vMerge w:val="continue"/>
            <w:vAlign w:val="center"/>
          </w:tcPr>
          <w:p w14:paraId="33A70FFC">
            <w:pPr>
              <w:spacing w:line="400" w:lineRule="exact"/>
              <w:ind w:firstLine="480" w:firstLineChars="200"/>
              <w:rPr>
                <w:rFonts w:hint="eastAsia" w:ascii="微软雅黑" w:hAnsi="微软雅黑" w:eastAsia="微软雅黑" w:cs="微软雅黑"/>
                <w:color w:val="auto"/>
                <w:sz w:val="24"/>
                <w:szCs w:val="24"/>
              </w:rPr>
            </w:pPr>
          </w:p>
        </w:tc>
        <w:tc>
          <w:tcPr>
            <w:tcW w:w="488" w:type="pct"/>
            <w:vAlign w:val="center"/>
          </w:tcPr>
          <w:p w14:paraId="2B1CFD81">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4.项目整体运维方案（15分）</w:t>
            </w:r>
          </w:p>
        </w:tc>
        <w:tc>
          <w:tcPr>
            <w:tcW w:w="2490" w:type="pct"/>
            <w:vAlign w:val="center"/>
          </w:tcPr>
          <w:p w14:paraId="1236183B">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提供的项目整体运维方案，包括运维保障计划、响应时间、驻场服务等内容进行综合评分。</w:t>
            </w:r>
          </w:p>
          <w:p w14:paraId="404C4528">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①技术方案不存在瑕疵，得15分；</w:t>
            </w:r>
          </w:p>
          <w:p w14:paraId="4905F270">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②存在1处瑕疵，得12分；</w:t>
            </w:r>
          </w:p>
          <w:p w14:paraId="0432838A">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③存在2处瑕疵，得9分；</w:t>
            </w:r>
          </w:p>
          <w:p w14:paraId="20ECF83C">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 4 \* GB3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④</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存在3处及以上瑕疵或未提供，得0分。</w:t>
            </w:r>
          </w:p>
        </w:tc>
        <w:tc>
          <w:tcPr>
            <w:tcW w:w="1049" w:type="pct"/>
            <w:vMerge w:val="continue"/>
            <w:vAlign w:val="center"/>
          </w:tcPr>
          <w:p w14:paraId="3DFBEAFE">
            <w:pPr>
              <w:spacing w:line="400" w:lineRule="exact"/>
              <w:ind w:firstLine="480" w:firstLineChars="200"/>
              <w:rPr>
                <w:rFonts w:hint="eastAsia" w:ascii="微软雅黑" w:hAnsi="微软雅黑" w:eastAsia="微软雅黑" w:cs="微软雅黑"/>
                <w:color w:val="auto"/>
                <w:sz w:val="24"/>
                <w:szCs w:val="24"/>
              </w:rPr>
            </w:pPr>
          </w:p>
        </w:tc>
      </w:tr>
      <w:tr w14:paraId="6D42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451E65A2">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p>
        </w:tc>
        <w:tc>
          <w:tcPr>
            <w:tcW w:w="618" w:type="pct"/>
            <w:vAlign w:val="center"/>
          </w:tcPr>
          <w:p w14:paraId="3A2DD537">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商务部分（20%）</w:t>
            </w:r>
          </w:p>
        </w:tc>
        <w:tc>
          <w:tcPr>
            <w:tcW w:w="488" w:type="pct"/>
            <w:vAlign w:val="center"/>
          </w:tcPr>
          <w:p w14:paraId="0B595EE6">
            <w:pPr>
              <w:spacing w:line="400" w:lineRule="exact"/>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业绩（20分）</w:t>
            </w:r>
          </w:p>
        </w:tc>
        <w:tc>
          <w:tcPr>
            <w:tcW w:w="2490" w:type="pct"/>
            <w:vAlign w:val="center"/>
          </w:tcPr>
          <w:p w14:paraId="7E9A4EB4">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自2020年1月</w:t>
            </w:r>
            <w:r>
              <w:rPr>
                <w:rFonts w:hint="eastAsia" w:ascii="微软雅黑" w:hAnsi="微软雅黑" w:eastAsia="微软雅黑" w:cs="微软雅黑"/>
                <w:color w:val="auto"/>
                <w:sz w:val="24"/>
                <w:szCs w:val="24"/>
                <w:lang w:val="en-US" w:eastAsia="zh-CN"/>
              </w:rPr>
              <w:t>1日（以合同签订的时间为准）</w:t>
            </w:r>
            <w:r>
              <w:rPr>
                <w:rFonts w:hint="eastAsia" w:ascii="微软雅黑" w:hAnsi="微软雅黑" w:eastAsia="微软雅黑" w:cs="微软雅黑"/>
                <w:color w:val="auto"/>
                <w:sz w:val="24"/>
                <w:szCs w:val="24"/>
              </w:rPr>
              <w:t>以来类似项目经验和业绩，有一个得10分，最多得20分。</w:t>
            </w:r>
          </w:p>
        </w:tc>
        <w:tc>
          <w:tcPr>
            <w:tcW w:w="1049" w:type="pct"/>
            <w:vAlign w:val="center"/>
          </w:tcPr>
          <w:p w14:paraId="00CA5597">
            <w:pPr>
              <w:spacing w:line="40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供应商需提供合同复印件</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合同需体现项目名称或项目内容、签约双方、签订时间</w:t>
            </w:r>
            <w:r>
              <w:rPr>
                <w:rFonts w:hint="eastAsia" w:ascii="微软雅黑" w:hAnsi="微软雅黑" w:eastAsia="微软雅黑" w:cs="微软雅黑"/>
                <w:color w:val="auto"/>
                <w:sz w:val="24"/>
                <w:szCs w:val="24"/>
                <w:lang w:val="en-US" w:eastAsia="zh-CN"/>
              </w:rPr>
              <w:t>等</w:t>
            </w:r>
            <w:r>
              <w:rPr>
                <w:rFonts w:hint="eastAsia" w:ascii="微软雅黑" w:hAnsi="微软雅黑" w:eastAsia="微软雅黑" w:cs="微软雅黑"/>
                <w:color w:val="auto"/>
                <w:sz w:val="24"/>
                <w:szCs w:val="24"/>
              </w:rPr>
              <w:t>关键签章页</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w:t>
            </w:r>
          </w:p>
        </w:tc>
      </w:tr>
    </w:tbl>
    <w:p w14:paraId="18B70F39">
      <w:pPr>
        <w:pStyle w:val="4"/>
        <w:spacing w:before="0" w:after="0" w:line="400" w:lineRule="exact"/>
        <w:rPr>
          <w:rFonts w:hint="eastAsia" w:ascii="微软雅黑" w:hAnsi="微软雅黑" w:eastAsia="微软雅黑" w:cs="微软雅黑"/>
          <w:color w:val="auto"/>
          <w:sz w:val="24"/>
          <w:szCs w:val="24"/>
        </w:rPr>
      </w:pPr>
      <w:bookmarkStart w:id="86" w:name="_Toc21548"/>
      <w:r>
        <w:rPr>
          <w:rFonts w:hint="eastAsia" w:ascii="微软雅黑" w:hAnsi="微软雅黑" w:eastAsia="微软雅黑" w:cs="微软雅黑"/>
          <w:color w:val="auto"/>
          <w:sz w:val="24"/>
          <w:szCs w:val="24"/>
        </w:rPr>
        <w:t>三、无效响应</w:t>
      </w:r>
      <w:bookmarkEnd w:id="83"/>
      <w:bookmarkEnd w:id="86"/>
    </w:p>
    <w:p w14:paraId="41CFBB99">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供应商发生以下条款情况之一者，视为无效响应，其响应文件将被拒绝：</w:t>
      </w:r>
    </w:p>
    <w:p w14:paraId="595CB7C5">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（一）供应商不符合规定的基本资格条件或特定资格条件的；</w:t>
      </w:r>
    </w:p>
    <w:p w14:paraId="5502DC94">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（二）供应商的法定代表人或其授权代表未参加磋商；</w:t>
      </w:r>
    </w:p>
    <w:p w14:paraId="69D4F5B3">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（三）供应商所提交的响应文件不按第七篇“响应文件编制要求”规定签字、盖章；</w:t>
      </w:r>
    </w:p>
    <w:p w14:paraId="29E2CF5C">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（四）供应商的最后报价超过采购预算的；</w:t>
      </w:r>
    </w:p>
    <w:p w14:paraId="7D39D582">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（五）法定代表人为同一个人的两个及两个以上法人，母公司、全资子公司及其控股公司，在同一分包采购中同时参与磋商；</w:t>
      </w:r>
    </w:p>
    <w:p w14:paraId="2EC0DB4E">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（六）单位负责人为同一人或者存在直接控股、管理关系的不同供应商，参加同一合同项下的政府采购活动的；</w:t>
      </w:r>
    </w:p>
    <w:p w14:paraId="37AA1B93">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（七）为采购项目提供整体设计、规范编制或者项目管理、监理、检测等服务的供应商，再参加该采购项目的其他采购活动；</w:t>
      </w:r>
    </w:p>
    <w:p w14:paraId="13F0A0E2">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（八）供应商的服务期、质量保证期及磋商有效期不满足竞争性磋商文件要求的；</w:t>
      </w:r>
    </w:p>
    <w:p w14:paraId="1158C6B6">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（九）供应商响应文件内容有与国家现行法律法规相违背的内容，或附有采购人无法接受的条件。</w:t>
      </w:r>
    </w:p>
    <w:p w14:paraId="15CBE7F8">
      <w:pPr>
        <w:pStyle w:val="4"/>
        <w:spacing w:before="0" w:after="0" w:line="400" w:lineRule="exact"/>
        <w:rPr>
          <w:rFonts w:hint="eastAsia" w:ascii="微软雅黑" w:hAnsi="微软雅黑" w:eastAsia="微软雅黑" w:cs="微软雅黑"/>
          <w:color w:val="auto"/>
          <w:sz w:val="24"/>
          <w:szCs w:val="24"/>
        </w:rPr>
      </w:pPr>
      <w:bookmarkStart w:id="87" w:name="_Toc9907"/>
      <w:bookmarkStart w:id="88" w:name="_Toc5505"/>
      <w:r>
        <w:rPr>
          <w:rFonts w:hint="eastAsia" w:ascii="微软雅黑" w:hAnsi="微软雅黑" w:eastAsia="微软雅黑" w:cs="微软雅黑"/>
          <w:color w:val="auto"/>
          <w:sz w:val="24"/>
          <w:szCs w:val="24"/>
        </w:rPr>
        <w:t>四、</w:t>
      </w:r>
      <w:bookmarkEnd w:id="84"/>
      <w:bookmarkEnd w:id="85"/>
      <w:r>
        <w:rPr>
          <w:rFonts w:hint="eastAsia" w:ascii="微软雅黑" w:hAnsi="微软雅黑" w:eastAsia="微软雅黑" w:cs="微软雅黑"/>
          <w:color w:val="auto"/>
          <w:sz w:val="24"/>
          <w:szCs w:val="24"/>
        </w:rPr>
        <w:t>采购终止</w:t>
      </w:r>
      <w:bookmarkEnd w:id="87"/>
      <w:bookmarkEnd w:id="88"/>
    </w:p>
    <w:p w14:paraId="4A8EE33E">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出现下列情形之一的，采购人或者采购代理机构应当终止竞争性磋商采购活动，发布项目终止公告并说明原因，重新开展采购活动：</w:t>
      </w:r>
    </w:p>
    <w:p w14:paraId="66B0ACAB">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（一）因情况变化，不再符合规定的竞争性磋商采购方式适用情形的；</w:t>
      </w:r>
    </w:p>
    <w:p w14:paraId="22DD1296">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（二）出现影响采购公正的违法、违规行为的；</w:t>
      </w:r>
    </w:p>
    <w:p w14:paraId="161EBEA4">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34844B42">
      <w:pPr>
        <w:spacing w:line="360" w:lineRule="auto"/>
        <w:rPr>
          <w:rFonts w:hint="eastAsia" w:ascii="微软雅黑" w:hAnsi="微软雅黑" w:eastAsia="微软雅黑" w:cs="微软雅黑"/>
          <w:color w:val="auto"/>
          <w:sz w:val="24"/>
          <w:szCs w:val="24"/>
        </w:rPr>
        <w:sectPr>
          <w:pgSz w:w="11907" w:h="16840"/>
          <w:pgMar w:top="1134" w:right="1191" w:bottom="1134" w:left="1304" w:header="964" w:footer="992" w:gutter="0"/>
          <w:pgNumType w:fmt="numberInDash"/>
          <w:cols w:space="720" w:num="1"/>
          <w:docGrid w:linePitch="312" w:charSpace="0"/>
        </w:sectPr>
      </w:pPr>
    </w:p>
    <w:p w14:paraId="5247E6DC">
      <w:pPr>
        <w:pStyle w:val="3"/>
        <w:spacing w:line="240" w:lineRule="auto"/>
        <w:jc w:val="center"/>
        <w:rPr>
          <w:rFonts w:hint="eastAsia" w:ascii="微软雅黑" w:hAnsi="微软雅黑" w:eastAsia="微软雅黑" w:cs="微软雅黑"/>
          <w:b w:val="0"/>
          <w:color w:val="auto"/>
          <w:szCs w:val="30"/>
        </w:rPr>
      </w:pPr>
      <w:bookmarkStart w:id="89" w:name="_Toc102227313"/>
      <w:bookmarkStart w:id="90" w:name="_Toc14757"/>
      <w:bookmarkStart w:id="91" w:name="_Toc10384"/>
      <w:r>
        <w:rPr>
          <w:rFonts w:hint="eastAsia" w:ascii="微软雅黑" w:hAnsi="微软雅黑" w:eastAsia="微软雅黑" w:cs="微软雅黑"/>
          <w:b w:val="0"/>
          <w:color w:val="auto"/>
          <w:sz w:val="36"/>
          <w:szCs w:val="30"/>
        </w:rPr>
        <w:t>第五篇  供应商须知</w:t>
      </w:r>
      <w:bookmarkEnd w:id="89"/>
      <w:bookmarkEnd w:id="90"/>
      <w:bookmarkEnd w:id="91"/>
    </w:p>
    <w:p w14:paraId="2B70757E">
      <w:pPr>
        <w:pStyle w:val="4"/>
        <w:spacing w:before="0" w:after="0" w:line="240" w:lineRule="auto"/>
        <w:rPr>
          <w:rFonts w:hint="eastAsia" w:ascii="微软雅黑" w:hAnsi="微软雅黑" w:eastAsia="微软雅黑" w:cs="微软雅黑"/>
          <w:color w:val="auto"/>
          <w:sz w:val="24"/>
          <w:szCs w:val="24"/>
        </w:rPr>
      </w:pPr>
      <w:bookmarkStart w:id="92" w:name="_Toc342913389"/>
      <w:bookmarkStart w:id="93" w:name="_Toc22686"/>
      <w:bookmarkStart w:id="94" w:name="_Toc21480"/>
      <w:r>
        <w:rPr>
          <w:rFonts w:hint="eastAsia" w:ascii="微软雅黑" w:hAnsi="微软雅黑" w:eastAsia="微软雅黑" w:cs="微软雅黑"/>
          <w:color w:val="auto"/>
          <w:sz w:val="24"/>
          <w:szCs w:val="24"/>
        </w:rPr>
        <w:t>一、磋商</w:t>
      </w:r>
      <w:bookmarkEnd w:id="92"/>
      <w:r>
        <w:rPr>
          <w:rFonts w:hint="eastAsia" w:ascii="微软雅黑" w:hAnsi="微软雅黑" w:eastAsia="微软雅黑" w:cs="微软雅黑"/>
          <w:color w:val="auto"/>
          <w:sz w:val="24"/>
          <w:szCs w:val="24"/>
        </w:rPr>
        <w:t>费用</w:t>
      </w:r>
      <w:bookmarkEnd w:id="93"/>
      <w:bookmarkEnd w:id="94"/>
    </w:p>
    <w:p w14:paraId="14582803">
      <w:pPr>
        <w:pStyle w:val="163"/>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参与磋商的供应商应承担其编制响应文件与递交响应文件所涉及的一切费用，不论磋商结果如何，采购人在任何情况下无义务也无责任承担这些费用。</w:t>
      </w:r>
    </w:p>
    <w:p w14:paraId="1503A846">
      <w:pPr>
        <w:pStyle w:val="4"/>
        <w:tabs>
          <w:tab w:val="left" w:pos="2640"/>
        </w:tabs>
        <w:spacing w:before="0" w:after="0" w:line="400" w:lineRule="exact"/>
        <w:rPr>
          <w:rFonts w:hint="eastAsia" w:ascii="微软雅黑" w:hAnsi="微软雅黑" w:eastAsia="微软雅黑" w:cs="微软雅黑"/>
          <w:color w:val="auto"/>
          <w:sz w:val="24"/>
          <w:szCs w:val="24"/>
        </w:rPr>
      </w:pPr>
      <w:bookmarkStart w:id="95" w:name="_Toc342913391"/>
      <w:bookmarkStart w:id="96" w:name="_Toc499131167"/>
      <w:bookmarkStart w:id="97" w:name="_Toc8049"/>
      <w:bookmarkStart w:id="98" w:name="_Toc499216297"/>
      <w:bookmarkStart w:id="99" w:name="_Toc10054"/>
      <w:r>
        <w:rPr>
          <w:rFonts w:hint="eastAsia" w:ascii="微软雅黑" w:hAnsi="微软雅黑" w:eastAsia="微软雅黑" w:cs="微软雅黑"/>
          <w:color w:val="auto"/>
          <w:sz w:val="24"/>
          <w:szCs w:val="24"/>
        </w:rPr>
        <w:t>二、竞争性磋商文件</w:t>
      </w:r>
      <w:bookmarkEnd w:id="95"/>
      <w:bookmarkEnd w:id="96"/>
      <w:bookmarkEnd w:id="97"/>
      <w:bookmarkEnd w:id="98"/>
      <w:bookmarkEnd w:id="99"/>
    </w:p>
    <w:p w14:paraId="485B4D36">
      <w:pPr>
        <w:pStyle w:val="163"/>
        <w:spacing w:line="400" w:lineRule="exact"/>
        <w:ind w:firstLine="480" w:firstLineChars="200"/>
        <w:rPr>
          <w:rFonts w:hint="eastAsia" w:ascii="微软雅黑" w:hAnsi="微软雅黑" w:eastAsia="微软雅黑" w:cs="微软雅黑"/>
          <w:color w:val="auto"/>
          <w:sz w:val="24"/>
          <w:szCs w:val="24"/>
        </w:rPr>
      </w:pPr>
      <w:bookmarkStart w:id="100" w:name="_Toc318166429"/>
      <w:bookmarkStart w:id="101" w:name="_Toc318159349"/>
      <w:bookmarkStart w:id="102" w:name="_Toc318159160"/>
      <w:bookmarkStart w:id="103" w:name="_Toc318159780"/>
      <w:r>
        <w:rPr>
          <w:rFonts w:hint="eastAsia" w:ascii="微软雅黑" w:hAnsi="微软雅黑" w:eastAsia="微软雅黑" w:cs="微软雅黑"/>
          <w:color w:val="auto"/>
          <w:sz w:val="24"/>
          <w:szCs w:val="24"/>
        </w:rPr>
        <w:t>（一）竞争性磋商文件由采购邀请书；采购服务需求；采购商务需求；磋商程序及方法、评审标准、无效响应和采购终止；供应商须知；合同草案条款；响应文件编制要求七部分组成。</w:t>
      </w:r>
    </w:p>
    <w:p w14:paraId="71ADEAE7">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（二）采购人所作的一切有效的书面通知、修改及补充，都是竞争性磋商文件不可分割的部分。</w:t>
      </w:r>
    </w:p>
    <w:p w14:paraId="38199B67">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（三）竞争性磋商文件的解释</w:t>
      </w:r>
    </w:p>
    <w:p w14:paraId="496B7F1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BF7191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（四）本竞争性磋商文件中，磋商小组根据与供应商进行磋商可能实质性变动的内容为竞争性磋商文件第二、三、六篇全部内容。</w:t>
      </w:r>
    </w:p>
    <w:p w14:paraId="118AD76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（五）评审的依据为竞争性磋商文件和响应文件（含有效的书面承诺）。磋商小组判断响应文件对竞争性磋商文件的响应，仅基于响应文件本身而不靠外部证据。</w:t>
      </w:r>
    </w:p>
    <w:bookmarkEnd w:id="100"/>
    <w:bookmarkEnd w:id="101"/>
    <w:bookmarkEnd w:id="102"/>
    <w:bookmarkEnd w:id="103"/>
    <w:p w14:paraId="167780C3">
      <w:pPr>
        <w:pStyle w:val="4"/>
        <w:spacing w:before="0" w:after="0" w:line="400" w:lineRule="exact"/>
        <w:rPr>
          <w:rFonts w:hint="eastAsia" w:ascii="微软雅黑" w:hAnsi="微软雅黑" w:eastAsia="微软雅黑" w:cs="微软雅黑"/>
          <w:color w:val="auto"/>
          <w:sz w:val="24"/>
          <w:szCs w:val="24"/>
        </w:rPr>
      </w:pPr>
      <w:bookmarkStart w:id="104" w:name="_Toc102227318"/>
      <w:bookmarkStart w:id="105" w:name="_Toc7730"/>
      <w:bookmarkStart w:id="106" w:name="_Toc342913392"/>
      <w:bookmarkStart w:id="107" w:name="_Toc499131168"/>
      <w:bookmarkStart w:id="108" w:name="_Toc179714297"/>
      <w:bookmarkStart w:id="109" w:name="_Toc499216298"/>
      <w:bookmarkStart w:id="110" w:name="_Toc25646"/>
      <w:r>
        <w:rPr>
          <w:rFonts w:hint="eastAsia" w:ascii="微软雅黑" w:hAnsi="微软雅黑" w:eastAsia="微软雅黑" w:cs="微软雅黑"/>
          <w:color w:val="auto"/>
          <w:sz w:val="24"/>
          <w:szCs w:val="24"/>
        </w:rPr>
        <w:t>三、磋商要求</w:t>
      </w:r>
      <w:bookmarkEnd w:id="104"/>
      <w:bookmarkEnd w:id="105"/>
      <w:bookmarkEnd w:id="106"/>
      <w:bookmarkEnd w:id="107"/>
      <w:bookmarkEnd w:id="108"/>
      <w:bookmarkEnd w:id="109"/>
      <w:bookmarkEnd w:id="110"/>
    </w:p>
    <w:p w14:paraId="01937E9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（一）响应文件</w:t>
      </w:r>
    </w:p>
    <w:p w14:paraId="126C918C">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A1852C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2、响应文件组成</w:t>
      </w:r>
    </w:p>
    <w:p w14:paraId="422D1E2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7EAD5F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（二）联合体</w:t>
      </w:r>
    </w:p>
    <w:p w14:paraId="671F8B72">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本项目不接受联合体投标。</w:t>
      </w:r>
    </w:p>
    <w:p w14:paraId="4035740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（三）磋商有效期：响应文件及有关承诺文件有效期为提交响应文件截止时间起90天。</w:t>
      </w:r>
    </w:p>
    <w:p w14:paraId="5DB0DB5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（四）修正错误</w:t>
      </w:r>
    </w:p>
    <w:p w14:paraId="64DAF47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1、若供应商所递交的响应文件或最后报价中的价格出现大写金额和小写金额不一致的错误，以大写金额修正为准。</w:t>
      </w:r>
    </w:p>
    <w:p w14:paraId="3EE24A7C">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A50402E">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（五）提交响应文件的份数和签署</w:t>
      </w:r>
    </w:p>
    <w:p w14:paraId="43BAE2F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3A2687C">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2、在响应文件正本中，竞争性磋商文件第七篇响应文件编制要求中规定签字、盖章的地方必须按其规定签字、盖章。</w:t>
      </w:r>
    </w:p>
    <w:p w14:paraId="388F4AD1">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（六）响应文件的递交</w:t>
      </w:r>
    </w:p>
    <w:p w14:paraId="6C3611C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 响应文件的密封</w:t>
      </w:r>
    </w:p>
    <w:p w14:paraId="715622E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108565D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1.2封套的封口处应加盖供应商公章或由法定代表人授权代表签字。</w:t>
      </w:r>
    </w:p>
    <w:p w14:paraId="68A18B7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2.如果未按上述规定进行密封，采购代理机构对响应文件误投、丢失或提前拆封不负责任。</w:t>
      </w:r>
    </w:p>
    <w:p w14:paraId="186FB58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（七）供应商参与人员</w:t>
      </w:r>
    </w:p>
    <w:p w14:paraId="10932A4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各个供应商应当派1-2名代表参与磋商，至少1人应为法定代表人或具有法定代表人授权委托书的授权代表。</w:t>
      </w:r>
    </w:p>
    <w:p w14:paraId="78CA78ED">
      <w:pPr>
        <w:pStyle w:val="4"/>
        <w:spacing w:before="0" w:after="0" w:line="400" w:lineRule="exact"/>
        <w:rPr>
          <w:rFonts w:hint="eastAsia" w:ascii="微软雅黑" w:hAnsi="微软雅黑" w:eastAsia="微软雅黑" w:cs="微软雅黑"/>
          <w:color w:val="auto"/>
          <w:sz w:val="24"/>
          <w:szCs w:val="24"/>
        </w:rPr>
      </w:pPr>
      <w:bookmarkStart w:id="111" w:name="_Toc11507"/>
      <w:bookmarkStart w:id="112" w:name="_Toc499216299"/>
      <w:bookmarkStart w:id="113" w:name="_Toc499131169"/>
      <w:bookmarkStart w:id="114" w:name="_Toc8924"/>
      <w:r>
        <w:rPr>
          <w:rFonts w:hint="eastAsia" w:ascii="微软雅黑" w:hAnsi="微软雅黑" w:eastAsia="微软雅黑" w:cs="微软雅黑"/>
          <w:color w:val="auto"/>
          <w:sz w:val="24"/>
          <w:szCs w:val="24"/>
        </w:rPr>
        <w:t>四、成交供应商的确认和变更</w:t>
      </w:r>
      <w:bookmarkEnd w:id="111"/>
      <w:bookmarkEnd w:id="112"/>
      <w:bookmarkEnd w:id="113"/>
      <w:bookmarkEnd w:id="114"/>
    </w:p>
    <w:p w14:paraId="0A8E1BB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（一）成交供应商的确认</w:t>
      </w:r>
    </w:p>
    <w:p w14:paraId="08C988C2">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6902F1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（二）成交供应商的变更</w:t>
      </w:r>
    </w:p>
    <w:p w14:paraId="546AD95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成交供应商拒绝与采购人签订合同的，采购人可以按照评标报告推荐的成交候选供应商顺序，确定排名下一位的候选人为成交供应商，也可以重新开展政府采购活动。</w:t>
      </w:r>
    </w:p>
    <w:p w14:paraId="2221F9D0">
      <w:pPr>
        <w:pStyle w:val="4"/>
        <w:spacing w:before="0" w:after="0" w:line="400" w:lineRule="exact"/>
        <w:rPr>
          <w:rFonts w:hint="eastAsia" w:ascii="微软雅黑" w:hAnsi="微软雅黑" w:eastAsia="微软雅黑" w:cs="微软雅黑"/>
          <w:color w:val="auto"/>
          <w:sz w:val="24"/>
          <w:szCs w:val="24"/>
        </w:rPr>
      </w:pPr>
      <w:bookmarkStart w:id="115" w:name="_Toc4502"/>
      <w:bookmarkStart w:id="116" w:name="_Toc342913395"/>
      <w:bookmarkStart w:id="117" w:name="_Toc499216300"/>
      <w:bookmarkStart w:id="118" w:name="_Toc499131170"/>
      <w:bookmarkStart w:id="119" w:name="_Toc102227321"/>
      <w:bookmarkStart w:id="120" w:name="_Toc30548"/>
      <w:r>
        <w:rPr>
          <w:rFonts w:hint="eastAsia" w:ascii="微软雅黑" w:hAnsi="微软雅黑" w:eastAsia="微软雅黑" w:cs="微软雅黑"/>
          <w:color w:val="auto"/>
          <w:sz w:val="24"/>
          <w:szCs w:val="24"/>
        </w:rPr>
        <w:t>五、成交通知</w:t>
      </w:r>
      <w:bookmarkEnd w:id="115"/>
      <w:bookmarkEnd w:id="116"/>
      <w:bookmarkEnd w:id="117"/>
      <w:bookmarkEnd w:id="118"/>
      <w:bookmarkEnd w:id="119"/>
      <w:bookmarkEnd w:id="120"/>
    </w:p>
    <w:p w14:paraId="0C79746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（一）成交供应商确定后，采购代理机构将在</w:t>
      </w:r>
      <w:r>
        <w:rPr>
          <w:rFonts w:hint="eastAsia" w:ascii="微软雅黑" w:hAnsi="微软雅黑" w:eastAsia="微软雅黑" w:cs="微软雅黑"/>
          <w:color w:val="auto"/>
          <w:sz w:val="24"/>
        </w:rPr>
        <w:t>“行采家”（http://www.gec123.com）网</w:t>
      </w:r>
      <w:r>
        <w:rPr>
          <w:rFonts w:hint="eastAsia" w:ascii="微软雅黑" w:hAnsi="微软雅黑" w:eastAsia="微软雅黑" w:cs="微软雅黑"/>
          <w:color w:val="auto"/>
          <w:sz w:val="24"/>
          <w:szCs w:val="24"/>
        </w:rPr>
        <w:t>上发布成交结果公告。</w:t>
      </w:r>
    </w:p>
    <w:p w14:paraId="2A739D70">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（二）结果公告发出同时，采购代理机构将以书面形式发出《成交通知书》。《成交通知书》一经发出即发生法律效力。</w:t>
      </w:r>
    </w:p>
    <w:p w14:paraId="306B9B7E">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（三）《成交通知书》将作为签订合同的依据。</w:t>
      </w:r>
    </w:p>
    <w:p w14:paraId="2B39076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（四）如有供应商对成交结果提出质疑的，在质疑处理完毕后发出成交通知书。</w:t>
      </w:r>
    </w:p>
    <w:p w14:paraId="45DD6045">
      <w:pPr>
        <w:pStyle w:val="4"/>
        <w:spacing w:before="0" w:after="0" w:line="400" w:lineRule="exact"/>
        <w:rPr>
          <w:rFonts w:hint="eastAsia" w:ascii="微软雅黑" w:hAnsi="微软雅黑" w:eastAsia="微软雅黑" w:cs="微软雅黑"/>
          <w:color w:val="auto"/>
          <w:sz w:val="24"/>
          <w:szCs w:val="24"/>
        </w:rPr>
      </w:pPr>
      <w:bookmarkStart w:id="121" w:name="_Toc499216301"/>
      <w:bookmarkStart w:id="122" w:name="_Toc499131171"/>
      <w:bookmarkStart w:id="123" w:name="_Toc23341"/>
      <w:bookmarkStart w:id="124" w:name="_Toc13909"/>
      <w:r>
        <w:rPr>
          <w:rFonts w:hint="eastAsia" w:ascii="微软雅黑" w:hAnsi="微软雅黑" w:eastAsia="微软雅黑" w:cs="微软雅黑"/>
          <w:color w:val="auto"/>
          <w:sz w:val="24"/>
          <w:szCs w:val="24"/>
        </w:rPr>
        <w:t>六、关于质疑和投诉</w:t>
      </w:r>
      <w:bookmarkEnd w:id="121"/>
      <w:bookmarkEnd w:id="122"/>
      <w:bookmarkEnd w:id="123"/>
      <w:bookmarkEnd w:id="124"/>
    </w:p>
    <w:p w14:paraId="58C301D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w:t>
      </w:r>
    </w:p>
    <w:p w14:paraId="4C2A9FF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供应商认为采购文件、采购过程和成交结果使自己的权益收到伤害的，可向采购人或采购代理机构以书面形式提出质疑。</w:t>
      </w:r>
    </w:p>
    <w:p w14:paraId="1A46F70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提出质疑的应当是参与所质疑项目采购活动的供应商。 </w:t>
      </w:r>
    </w:p>
    <w:p w14:paraId="2F7ED760">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1.质疑时限、内容</w:t>
      </w:r>
    </w:p>
    <w:p w14:paraId="30195AF0">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供应商认为采购文件、采购过程、成交结果使自己的权益受到损害的，可以在知道或者应知其权益受到损害之日起7个工作日内，以书面形式向采购人、采购代理机构提出质疑。</w:t>
      </w:r>
    </w:p>
    <w:p w14:paraId="57C27397">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1.2供应商提出质疑应当提交质疑函和必要的证明材料，质疑函应当包括下列内容：</w:t>
      </w:r>
    </w:p>
    <w:p w14:paraId="59D94FDB">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1.2.1供应商的姓名或者名称、地址、邮编、联系人及联系电话；</w:t>
      </w:r>
    </w:p>
    <w:p w14:paraId="00D962E6">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1.2.2质疑项目的名称、项目号以及采购执行编号；</w:t>
      </w:r>
    </w:p>
    <w:p w14:paraId="2EB3B8F8">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1.2.3具体、明确的质疑事项和与质疑事项相关的请求；</w:t>
      </w:r>
    </w:p>
    <w:p w14:paraId="3FCBCA67">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1.2.4事实依据；</w:t>
      </w:r>
    </w:p>
    <w:p w14:paraId="08209B43">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1.2.5必要的法律依据；</w:t>
      </w:r>
    </w:p>
    <w:p w14:paraId="65F12038">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1.2.6提出质疑的日期；</w:t>
      </w:r>
    </w:p>
    <w:p w14:paraId="6E6DFE1A">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1.2.7营业执照（或事业单位法人证书，或个体工商户营业执照或有效的自然人身份证明）复印件；</w:t>
      </w:r>
    </w:p>
    <w:p w14:paraId="0CBA0BA8">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1.2.8法定代表人授权委托书原件、法定代表人身份证复印件和其授权代表的身份证复印件（供应商为自然人的提供自然人身份证复印件）；</w:t>
      </w:r>
    </w:p>
    <w:p w14:paraId="585DE833">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1.3供应商为自然人的，质疑函应当由本人签字；供应商为法人或者其他组织的，质疑函应当由法定代表人、主要负责人，或者其授权代表签字或者盖章，并加盖公章。</w:t>
      </w:r>
    </w:p>
    <w:p w14:paraId="25A1C0E6">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2.质疑答复</w:t>
      </w:r>
    </w:p>
    <w:p w14:paraId="4971FF43">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采购人、采购代理机构应当在收到供应商的书面质疑后七个工作日内作出答复，并以书面形式通知质疑供应商和其他有关供应商。</w:t>
      </w:r>
    </w:p>
    <w:p w14:paraId="355A80A9">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3.其他</w:t>
      </w:r>
    </w:p>
    <w:p w14:paraId="6C06ACA2">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3.1供应商应按照《政府采购质疑和投诉办法》（财政部令第94号）及相关法律法规要求，在法定质疑期内一次性提出针对同一采购程序环节的质疑。</w:t>
      </w:r>
    </w:p>
    <w:p w14:paraId="5719A981">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3.2质疑函范本可在财政部门户网站和中国政府采购网下载。</w:t>
      </w:r>
    </w:p>
    <w:p w14:paraId="0E888E03">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（二）投诉</w:t>
      </w:r>
    </w:p>
    <w:p w14:paraId="27BCBBE5">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1.供应商对采购人、采购代理机构的答复不满意，或者采购人、采购代理机构未在规定时间内作出答复的，可以在答复期满后15个工作日内按照相关法律法规向财政部门提起投诉。</w:t>
      </w:r>
    </w:p>
    <w:p w14:paraId="0E80F984">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2.供应商应按照《政府采购质疑和投诉办法》（财政部令第94号）及相关法律法规要求递交投诉书和必要的证明材料。投诉书范本可在财政部门户网站和中国政府采购网下载。</w:t>
      </w:r>
    </w:p>
    <w:p w14:paraId="04F0EEB6">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A02609C">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color w:val="auto"/>
          <w:sz w:val="24"/>
          <w:szCs w:val="24"/>
        </w:rPr>
        <w:t>。</w:t>
      </w:r>
    </w:p>
    <w:p w14:paraId="384105C2">
      <w:pPr>
        <w:pStyle w:val="4"/>
        <w:spacing w:before="0" w:after="0" w:line="400" w:lineRule="exact"/>
        <w:rPr>
          <w:rFonts w:hint="eastAsia" w:ascii="微软雅黑" w:hAnsi="微软雅黑" w:eastAsia="微软雅黑" w:cs="微软雅黑"/>
          <w:color w:val="auto"/>
          <w:sz w:val="24"/>
          <w:szCs w:val="24"/>
        </w:rPr>
      </w:pPr>
      <w:bookmarkStart w:id="125" w:name="_Toc22866"/>
      <w:bookmarkStart w:id="126" w:name="_Toc14922"/>
      <w:r>
        <w:rPr>
          <w:rFonts w:hint="eastAsia" w:ascii="微软雅黑" w:hAnsi="微软雅黑" w:eastAsia="微软雅黑" w:cs="微软雅黑"/>
          <w:color w:val="auto"/>
          <w:sz w:val="24"/>
          <w:szCs w:val="24"/>
        </w:rPr>
        <w:t>七、招标代理服务费</w:t>
      </w:r>
      <w:bookmarkEnd w:id="125"/>
      <w:bookmarkEnd w:id="126"/>
    </w:p>
    <w:p w14:paraId="3186A916">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（1）供应商成交后向采购代理机构缴纳采购代理服务费，采购代理服务费的收取标准按照以下标准执行（不足叁仟圆，按照叁仟圆收取）。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302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16118105">
            <w:pPr>
              <w:ind w:firstLine="1680" w:firstLineChars="8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rPr>
              <w:t>采购类型</w:t>
            </w:r>
          </w:p>
          <w:p w14:paraId="388F4FFE">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成交金额（万元）</w:t>
            </w:r>
          </w:p>
        </w:tc>
        <w:tc>
          <w:tcPr>
            <w:tcW w:w="2273" w:type="dxa"/>
            <w:vAlign w:val="center"/>
          </w:tcPr>
          <w:p w14:paraId="6CFC9F6F">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货物采购</w:t>
            </w:r>
          </w:p>
        </w:tc>
        <w:tc>
          <w:tcPr>
            <w:tcW w:w="2273" w:type="dxa"/>
            <w:vAlign w:val="center"/>
          </w:tcPr>
          <w:p w14:paraId="327D4F3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服务采购</w:t>
            </w:r>
          </w:p>
        </w:tc>
        <w:tc>
          <w:tcPr>
            <w:tcW w:w="2272" w:type="dxa"/>
            <w:vAlign w:val="center"/>
          </w:tcPr>
          <w:p w14:paraId="0C54245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工程采购</w:t>
            </w:r>
          </w:p>
        </w:tc>
      </w:tr>
      <w:tr w14:paraId="2DE3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63A7BCB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100以下</w:t>
            </w:r>
          </w:p>
        </w:tc>
        <w:tc>
          <w:tcPr>
            <w:tcW w:w="2273" w:type="dxa"/>
            <w:vAlign w:val="center"/>
          </w:tcPr>
          <w:p w14:paraId="34FF1F28">
            <w:pPr>
              <w:ind w:right="42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1.5%</w:t>
            </w:r>
          </w:p>
        </w:tc>
        <w:tc>
          <w:tcPr>
            <w:tcW w:w="2273" w:type="dxa"/>
            <w:vAlign w:val="center"/>
          </w:tcPr>
          <w:p w14:paraId="3A5B0C3C">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w:t>
            </w:r>
          </w:p>
        </w:tc>
        <w:tc>
          <w:tcPr>
            <w:tcW w:w="2272" w:type="dxa"/>
            <w:vAlign w:val="center"/>
          </w:tcPr>
          <w:p w14:paraId="51F1374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r>
      <w:tr w14:paraId="6CFD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106CB38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100-500</w:t>
            </w:r>
          </w:p>
        </w:tc>
        <w:tc>
          <w:tcPr>
            <w:tcW w:w="2273" w:type="dxa"/>
            <w:vAlign w:val="center"/>
          </w:tcPr>
          <w:p w14:paraId="352EEFB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2273" w:type="dxa"/>
            <w:vAlign w:val="center"/>
          </w:tcPr>
          <w:p w14:paraId="64AF44D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2" w:type="dxa"/>
            <w:vAlign w:val="center"/>
          </w:tcPr>
          <w:p w14:paraId="32F1455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0.7%</w:t>
            </w:r>
          </w:p>
        </w:tc>
      </w:tr>
      <w:tr w14:paraId="4DFD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4C28D00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500-1000</w:t>
            </w:r>
          </w:p>
        </w:tc>
        <w:tc>
          <w:tcPr>
            <w:tcW w:w="2273" w:type="dxa"/>
            <w:vAlign w:val="center"/>
          </w:tcPr>
          <w:p w14:paraId="54C0C21B">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3" w:type="dxa"/>
            <w:vAlign w:val="center"/>
          </w:tcPr>
          <w:p w14:paraId="01E3567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0.45%</w:t>
            </w:r>
          </w:p>
        </w:tc>
        <w:tc>
          <w:tcPr>
            <w:tcW w:w="2272" w:type="dxa"/>
            <w:vAlign w:val="center"/>
          </w:tcPr>
          <w:p w14:paraId="0977A4E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0.55%</w:t>
            </w:r>
          </w:p>
        </w:tc>
      </w:tr>
      <w:tr w14:paraId="2564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0A7F57E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1000-5000</w:t>
            </w:r>
          </w:p>
        </w:tc>
        <w:tc>
          <w:tcPr>
            <w:tcW w:w="2273" w:type="dxa"/>
            <w:vAlign w:val="center"/>
          </w:tcPr>
          <w:p w14:paraId="525BD11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w:t>
            </w:r>
          </w:p>
        </w:tc>
        <w:tc>
          <w:tcPr>
            <w:tcW w:w="2273" w:type="dxa"/>
            <w:vAlign w:val="center"/>
          </w:tcPr>
          <w:p w14:paraId="27725F71">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2" w:type="dxa"/>
            <w:vAlign w:val="center"/>
          </w:tcPr>
          <w:p w14:paraId="69C428F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0.35%</w:t>
            </w:r>
          </w:p>
        </w:tc>
      </w:tr>
      <w:tr w14:paraId="0F58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23EAB5D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5000-10000</w:t>
            </w:r>
          </w:p>
        </w:tc>
        <w:tc>
          <w:tcPr>
            <w:tcW w:w="2273" w:type="dxa"/>
            <w:vAlign w:val="center"/>
          </w:tcPr>
          <w:p w14:paraId="7E4ED89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3" w:type="dxa"/>
            <w:vAlign w:val="center"/>
          </w:tcPr>
          <w:p w14:paraId="31D6F5E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0.1%</w:t>
            </w:r>
          </w:p>
        </w:tc>
        <w:tc>
          <w:tcPr>
            <w:tcW w:w="2272" w:type="dxa"/>
            <w:vAlign w:val="center"/>
          </w:tcPr>
          <w:p w14:paraId="1EA3DCC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w:t>
            </w:r>
          </w:p>
        </w:tc>
      </w:tr>
      <w:tr w14:paraId="2207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5C3366D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10000-100000</w:t>
            </w:r>
          </w:p>
        </w:tc>
        <w:tc>
          <w:tcPr>
            <w:tcW w:w="2273" w:type="dxa"/>
            <w:vAlign w:val="center"/>
          </w:tcPr>
          <w:p w14:paraId="3AFCE13B">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3" w:type="dxa"/>
            <w:vAlign w:val="center"/>
          </w:tcPr>
          <w:p w14:paraId="125964D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2" w:type="dxa"/>
            <w:vAlign w:val="center"/>
          </w:tcPr>
          <w:p w14:paraId="0A7E156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r>
      <w:tr w14:paraId="5B96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1C35996C">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100000以上</w:t>
            </w:r>
          </w:p>
        </w:tc>
        <w:tc>
          <w:tcPr>
            <w:tcW w:w="2273" w:type="dxa"/>
            <w:vAlign w:val="center"/>
          </w:tcPr>
          <w:p w14:paraId="4F4B7F5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3" w:type="dxa"/>
            <w:vAlign w:val="center"/>
          </w:tcPr>
          <w:p w14:paraId="1E61859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2" w:type="dxa"/>
            <w:vAlign w:val="center"/>
          </w:tcPr>
          <w:p w14:paraId="1E4F199F">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r>
    </w:tbl>
    <w:p w14:paraId="3FF113EC">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注：采购代理服务收费按差额定率累进法计算。例如：某工程采购代理业务成交金额为6000万元，计算采购代理服务收费额如下：</w:t>
      </w:r>
    </w:p>
    <w:p w14:paraId="1E9618F5">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100万元×1.0%=1万元</w:t>
      </w:r>
    </w:p>
    <w:p w14:paraId="7F4828C5">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（500-100）万元×0.7%=2.8万元</w:t>
      </w:r>
    </w:p>
    <w:p w14:paraId="0E510F7F">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（1000-500）×0.55%=2.75万元</w:t>
      </w:r>
    </w:p>
    <w:p w14:paraId="56CC2D6A">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（5000-1000）×0.35%=14万元</w:t>
      </w:r>
    </w:p>
    <w:p w14:paraId="71F710C6">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（6000-5000）×0.2%=2万元</w:t>
      </w:r>
    </w:p>
    <w:p w14:paraId="2E4B70E5">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合计收费=1+2.8+2.75+14+2=22.55（万元）</w:t>
      </w:r>
    </w:p>
    <w:p w14:paraId="1F36C980">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（2）服务费以现金、支票或汇票支付。</w:t>
      </w:r>
    </w:p>
    <w:p w14:paraId="13DCF1D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（二）招标代理服务费缴纳账号：</w:t>
      </w:r>
    </w:p>
    <w:p w14:paraId="1E36A3BE">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户  名：重庆麦迪逊招投标代理有限公司</w:t>
      </w:r>
    </w:p>
    <w:p w14:paraId="3134734F">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开户行：中信银行上清寺支行</w:t>
      </w:r>
    </w:p>
    <w:p w14:paraId="44387BE2">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账  号：7421910182600037951</w:t>
      </w:r>
    </w:p>
    <w:p w14:paraId="45F5734E">
      <w:pPr>
        <w:pStyle w:val="4"/>
        <w:spacing w:before="0" w:after="0" w:line="400" w:lineRule="exact"/>
        <w:rPr>
          <w:rFonts w:hint="eastAsia" w:ascii="微软雅黑" w:hAnsi="微软雅黑" w:eastAsia="微软雅黑" w:cs="微软雅黑"/>
          <w:color w:val="auto"/>
          <w:sz w:val="24"/>
          <w:szCs w:val="24"/>
        </w:rPr>
      </w:pPr>
      <w:bookmarkStart w:id="127" w:name="_Toc102227322"/>
      <w:bookmarkStart w:id="128" w:name="_Toc18899"/>
      <w:bookmarkStart w:id="129" w:name="_Toc342913396"/>
      <w:bookmarkStart w:id="130" w:name="_Toc18674"/>
      <w:bookmarkStart w:id="131" w:name="_Toc12789059"/>
      <w:bookmarkStart w:id="132" w:name="_Toc11641055"/>
      <w:r>
        <w:rPr>
          <w:rFonts w:hint="eastAsia" w:ascii="微软雅黑" w:hAnsi="微软雅黑" w:eastAsia="微软雅黑" w:cs="微软雅黑"/>
          <w:color w:val="auto"/>
          <w:sz w:val="24"/>
          <w:szCs w:val="24"/>
        </w:rPr>
        <w:t>八、签订</w:t>
      </w:r>
      <w:bookmarkEnd w:id="127"/>
      <w:r>
        <w:rPr>
          <w:rFonts w:hint="eastAsia" w:ascii="微软雅黑" w:hAnsi="微软雅黑" w:eastAsia="微软雅黑" w:cs="微软雅黑"/>
          <w:color w:val="auto"/>
          <w:sz w:val="24"/>
          <w:szCs w:val="24"/>
        </w:rPr>
        <w:t>合同</w:t>
      </w:r>
      <w:bookmarkEnd w:id="128"/>
      <w:bookmarkEnd w:id="129"/>
      <w:bookmarkEnd w:id="130"/>
    </w:p>
    <w:p w14:paraId="745547E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（一）采购人与成交供应商应当在成交通知书发出之日起</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0日内，按照采购文件确定的合同文本以及采购标的、规格型号、采购金额、采购数量、技术和服务要求等事项签订政府采购合同。</w:t>
      </w:r>
    </w:p>
    <w:p w14:paraId="06B38D0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（二）竞争性磋商文件、成交供应商的响应文件及有效承诺文件等，均为签订合同的依据。</w:t>
      </w:r>
    </w:p>
    <w:p w14:paraId="313737E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（三）如成交供应商放弃成交项目或在签订合同时擅自改变成交状态的，采购人将按照相关法律法规处理。</w:t>
      </w:r>
    </w:p>
    <w:p w14:paraId="2E68E014">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08693177">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（五）除不可抗力等因素外，成交通知书发出后，采购人改变成交结果，或者成交供应商拒绝签订政府采购合同的，应当承担相应的法律责任。</w:t>
      </w:r>
    </w:p>
    <w:bookmarkEnd w:id="131"/>
    <w:bookmarkEnd w:id="132"/>
    <w:p w14:paraId="469B5FAC">
      <w:pPr>
        <w:pStyle w:val="3"/>
        <w:spacing w:line="240" w:lineRule="auto"/>
        <w:jc w:val="center"/>
        <w:rPr>
          <w:rFonts w:hint="eastAsia" w:ascii="微软雅黑" w:hAnsi="微软雅黑" w:eastAsia="微软雅黑" w:cs="微软雅黑"/>
          <w:b w:val="0"/>
          <w:color w:val="auto"/>
          <w:sz w:val="36"/>
          <w:szCs w:val="30"/>
        </w:rPr>
      </w:pPr>
    </w:p>
    <w:p w14:paraId="51B2213A">
      <w:pPr>
        <w:pStyle w:val="3"/>
        <w:spacing w:line="240" w:lineRule="auto"/>
        <w:rPr>
          <w:rFonts w:hint="eastAsia" w:ascii="微软雅黑" w:hAnsi="微软雅黑" w:eastAsia="微软雅黑" w:cs="微软雅黑"/>
          <w:b w:val="0"/>
          <w:color w:val="auto"/>
          <w:sz w:val="36"/>
          <w:szCs w:val="30"/>
        </w:rPr>
      </w:pPr>
    </w:p>
    <w:p w14:paraId="39B17C72">
      <w:pPr>
        <w:pStyle w:val="3"/>
        <w:spacing w:line="240" w:lineRule="auto"/>
        <w:jc w:val="center"/>
        <w:rPr>
          <w:rFonts w:hint="eastAsia" w:ascii="微软雅黑" w:hAnsi="微软雅黑" w:eastAsia="微软雅黑" w:cs="微软雅黑"/>
          <w:b w:val="0"/>
          <w:color w:val="auto"/>
          <w:sz w:val="36"/>
          <w:szCs w:val="30"/>
        </w:rPr>
      </w:pPr>
    </w:p>
    <w:p w14:paraId="68FFFB1A">
      <w:pPr>
        <w:pStyle w:val="3"/>
        <w:spacing w:line="240" w:lineRule="auto"/>
        <w:jc w:val="center"/>
        <w:rPr>
          <w:rFonts w:hint="eastAsia" w:ascii="微软雅黑" w:hAnsi="微软雅黑" w:eastAsia="微软雅黑" w:cs="微软雅黑"/>
          <w:b w:val="0"/>
          <w:color w:val="auto"/>
          <w:sz w:val="36"/>
          <w:szCs w:val="30"/>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3F50FE8B">
      <w:pPr>
        <w:pStyle w:val="3"/>
        <w:spacing w:line="240" w:lineRule="auto"/>
        <w:jc w:val="center"/>
        <w:rPr>
          <w:rFonts w:hint="eastAsia" w:ascii="微软雅黑" w:hAnsi="微软雅黑" w:eastAsia="微软雅黑" w:cs="微软雅黑"/>
          <w:color w:val="auto"/>
          <w:szCs w:val="30"/>
        </w:rPr>
      </w:pPr>
      <w:bookmarkStart w:id="133" w:name="_Toc1141"/>
      <w:bookmarkStart w:id="134" w:name="_Toc29975"/>
      <w:r>
        <w:rPr>
          <w:rFonts w:hint="eastAsia" w:ascii="微软雅黑" w:hAnsi="微软雅黑" w:eastAsia="微软雅黑" w:cs="微软雅黑"/>
          <w:b w:val="0"/>
          <w:color w:val="auto"/>
          <w:sz w:val="36"/>
          <w:szCs w:val="30"/>
        </w:rPr>
        <w:t>第六篇  合同主要条款和格式合同（样本）</w:t>
      </w:r>
      <w:bookmarkEnd w:id="133"/>
      <w:bookmarkEnd w:id="134"/>
    </w:p>
    <w:p w14:paraId="2141FC21">
      <w:pPr>
        <w:snapToGrid w:val="0"/>
        <w:ind w:right="-568" w:rightChars="-203" w:firstLine="883"/>
        <w:jc w:val="center"/>
        <w:rPr>
          <w:rFonts w:hint="eastAsia" w:ascii="微软雅黑" w:hAnsi="微软雅黑" w:eastAsia="微软雅黑" w:cs="微软雅黑"/>
          <w:b/>
          <w:color w:val="auto"/>
          <w:sz w:val="44"/>
        </w:rPr>
      </w:pPr>
      <w:bookmarkStart w:id="135" w:name="_Toc12789072"/>
      <w:r>
        <w:rPr>
          <w:rFonts w:hint="eastAsia" w:ascii="微软雅黑" w:hAnsi="微软雅黑" w:eastAsia="微软雅黑" w:cs="微软雅黑"/>
          <w:b/>
          <w:color w:val="auto"/>
          <w:sz w:val="44"/>
        </w:rPr>
        <w:t>重庆市政府采购合同</w:t>
      </w:r>
    </w:p>
    <w:p w14:paraId="7B724B76">
      <w:pPr>
        <w:snapToGrid w:val="0"/>
        <w:ind w:right="-568" w:rightChars="-203"/>
        <w:jc w:val="center"/>
        <w:rPr>
          <w:rFonts w:hint="eastAsia" w:ascii="微软雅黑" w:hAnsi="微软雅黑" w:eastAsia="微软雅黑" w:cs="微软雅黑"/>
          <w:b/>
          <w:color w:val="auto"/>
          <w:sz w:val="44"/>
        </w:rPr>
      </w:pPr>
      <w:r>
        <w:rPr>
          <w:rFonts w:hint="eastAsia" w:ascii="微软雅黑" w:hAnsi="微软雅黑" w:eastAsia="微软雅黑" w:cs="微软雅黑"/>
          <w:bCs/>
          <w:color w:val="auto"/>
          <w:sz w:val="32"/>
          <w:szCs w:val="32"/>
        </w:rPr>
        <w:t>（最终以实际签订合同格式为准）</w:t>
      </w:r>
    </w:p>
    <w:p w14:paraId="6AC5E706">
      <w:pPr>
        <w:spacing w:line="500" w:lineRule="exact"/>
        <w:ind w:firstLine="640"/>
        <w:jc w:val="center"/>
        <w:outlineLvl w:val="1"/>
        <w:rPr>
          <w:rFonts w:hint="eastAsia" w:ascii="微软雅黑" w:hAnsi="微软雅黑" w:eastAsia="微软雅黑" w:cs="微软雅黑"/>
          <w:color w:val="auto"/>
        </w:rPr>
      </w:pPr>
      <w:r>
        <w:rPr>
          <w:rFonts w:hint="eastAsia" w:ascii="微软雅黑" w:hAnsi="微软雅黑" w:eastAsia="微软雅黑" w:cs="微软雅黑"/>
          <w:color w:val="auto"/>
        </w:rPr>
        <w:t>（项目号：     ）</w:t>
      </w:r>
    </w:p>
    <w:p w14:paraId="453CC671">
      <w:pPr>
        <w:spacing w:line="500" w:lineRule="exact"/>
        <w:ind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甲方（需方）：___________________________      计价单位：____________</w:t>
      </w:r>
    </w:p>
    <w:p w14:paraId="4795C13B">
      <w:pPr>
        <w:spacing w:line="500" w:lineRule="exact"/>
        <w:ind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乙方（供方）：___________________________      计量单位：_____________</w:t>
      </w:r>
    </w:p>
    <w:p w14:paraId="5722C8A7">
      <w:pPr>
        <w:spacing w:line="500" w:lineRule="exact"/>
        <w:ind w:firstLine="480"/>
        <w:rPr>
          <w:rFonts w:hint="eastAsia" w:ascii="微软雅黑" w:hAnsi="微软雅黑" w:eastAsia="微软雅黑" w:cs="微软雅黑"/>
          <w:color w:val="auto"/>
          <w:sz w:val="24"/>
        </w:rPr>
      </w:pPr>
    </w:p>
    <w:p w14:paraId="6C788ECC">
      <w:pPr>
        <w:spacing w:line="500" w:lineRule="exact"/>
        <w:ind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6E4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80B2A08">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项目名称</w:t>
            </w:r>
          </w:p>
        </w:tc>
        <w:tc>
          <w:tcPr>
            <w:tcW w:w="984" w:type="dxa"/>
            <w:vAlign w:val="center"/>
          </w:tcPr>
          <w:p w14:paraId="0F5873EA">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数量</w:t>
            </w:r>
          </w:p>
        </w:tc>
        <w:tc>
          <w:tcPr>
            <w:tcW w:w="1298" w:type="dxa"/>
            <w:gridSpan w:val="2"/>
            <w:vAlign w:val="center"/>
          </w:tcPr>
          <w:p w14:paraId="4F6386EA">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综合单价</w:t>
            </w:r>
          </w:p>
        </w:tc>
        <w:tc>
          <w:tcPr>
            <w:tcW w:w="1134" w:type="dxa"/>
            <w:vAlign w:val="center"/>
          </w:tcPr>
          <w:p w14:paraId="383B8D9C">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总价</w:t>
            </w:r>
          </w:p>
        </w:tc>
        <w:tc>
          <w:tcPr>
            <w:tcW w:w="1559" w:type="dxa"/>
            <w:vAlign w:val="center"/>
          </w:tcPr>
          <w:p w14:paraId="5FB461E7">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服务时间</w:t>
            </w:r>
          </w:p>
        </w:tc>
        <w:tc>
          <w:tcPr>
            <w:tcW w:w="1567" w:type="dxa"/>
            <w:vAlign w:val="center"/>
          </w:tcPr>
          <w:p w14:paraId="261CB8A8">
            <w:pPr>
              <w:spacing w:line="240" w:lineRule="atLeas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服务地点</w:t>
            </w:r>
          </w:p>
        </w:tc>
      </w:tr>
      <w:tr w14:paraId="5F88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DD3583">
            <w:pPr>
              <w:spacing w:line="240" w:lineRule="atLeast"/>
              <w:jc w:val="center"/>
              <w:rPr>
                <w:rFonts w:hint="eastAsia" w:ascii="微软雅黑" w:hAnsi="微软雅黑" w:eastAsia="微软雅黑" w:cs="微软雅黑"/>
                <w:color w:val="auto"/>
                <w:szCs w:val="21"/>
              </w:rPr>
            </w:pPr>
          </w:p>
        </w:tc>
        <w:tc>
          <w:tcPr>
            <w:tcW w:w="984" w:type="dxa"/>
            <w:vAlign w:val="center"/>
          </w:tcPr>
          <w:p w14:paraId="415A9DEF">
            <w:pPr>
              <w:spacing w:line="240" w:lineRule="atLeast"/>
              <w:jc w:val="center"/>
              <w:rPr>
                <w:rFonts w:hint="eastAsia" w:ascii="微软雅黑" w:hAnsi="微软雅黑" w:eastAsia="微软雅黑" w:cs="微软雅黑"/>
                <w:color w:val="auto"/>
                <w:szCs w:val="21"/>
              </w:rPr>
            </w:pPr>
          </w:p>
        </w:tc>
        <w:tc>
          <w:tcPr>
            <w:tcW w:w="1298" w:type="dxa"/>
            <w:gridSpan w:val="2"/>
            <w:vAlign w:val="center"/>
          </w:tcPr>
          <w:p w14:paraId="4C69AE45">
            <w:pPr>
              <w:spacing w:line="240" w:lineRule="atLeast"/>
              <w:jc w:val="center"/>
              <w:rPr>
                <w:rFonts w:hint="eastAsia" w:ascii="微软雅黑" w:hAnsi="微软雅黑" w:eastAsia="微软雅黑" w:cs="微软雅黑"/>
                <w:color w:val="auto"/>
                <w:szCs w:val="21"/>
              </w:rPr>
            </w:pPr>
          </w:p>
        </w:tc>
        <w:tc>
          <w:tcPr>
            <w:tcW w:w="1134" w:type="dxa"/>
            <w:vAlign w:val="center"/>
          </w:tcPr>
          <w:p w14:paraId="0D4F6735">
            <w:pPr>
              <w:spacing w:line="240" w:lineRule="atLeast"/>
              <w:jc w:val="center"/>
              <w:rPr>
                <w:rFonts w:hint="eastAsia" w:ascii="微软雅黑" w:hAnsi="微软雅黑" w:eastAsia="微软雅黑" w:cs="微软雅黑"/>
                <w:color w:val="auto"/>
                <w:szCs w:val="21"/>
              </w:rPr>
            </w:pPr>
          </w:p>
        </w:tc>
        <w:tc>
          <w:tcPr>
            <w:tcW w:w="1559" w:type="dxa"/>
            <w:vAlign w:val="center"/>
          </w:tcPr>
          <w:p w14:paraId="3A372370">
            <w:pPr>
              <w:spacing w:line="240" w:lineRule="atLeast"/>
              <w:jc w:val="center"/>
              <w:rPr>
                <w:rFonts w:hint="eastAsia" w:ascii="微软雅黑" w:hAnsi="微软雅黑" w:eastAsia="微软雅黑" w:cs="微软雅黑"/>
                <w:color w:val="auto"/>
                <w:szCs w:val="21"/>
              </w:rPr>
            </w:pPr>
          </w:p>
        </w:tc>
        <w:tc>
          <w:tcPr>
            <w:tcW w:w="1567" w:type="dxa"/>
            <w:vAlign w:val="center"/>
          </w:tcPr>
          <w:p w14:paraId="70574897">
            <w:pPr>
              <w:spacing w:line="240" w:lineRule="atLeast"/>
              <w:jc w:val="center"/>
              <w:rPr>
                <w:rFonts w:hint="eastAsia" w:ascii="微软雅黑" w:hAnsi="微软雅黑" w:eastAsia="微软雅黑" w:cs="微软雅黑"/>
                <w:color w:val="auto"/>
                <w:szCs w:val="21"/>
              </w:rPr>
            </w:pPr>
          </w:p>
        </w:tc>
      </w:tr>
      <w:tr w14:paraId="42BC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120795">
            <w:pPr>
              <w:spacing w:line="240" w:lineRule="atLeast"/>
              <w:jc w:val="center"/>
              <w:rPr>
                <w:rFonts w:hint="eastAsia" w:ascii="微软雅黑" w:hAnsi="微软雅黑" w:eastAsia="微软雅黑" w:cs="微软雅黑"/>
                <w:color w:val="auto"/>
                <w:szCs w:val="21"/>
              </w:rPr>
            </w:pPr>
          </w:p>
        </w:tc>
        <w:tc>
          <w:tcPr>
            <w:tcW w:w="984" w:type="dxa"/>
            <w:vAlign w:val="center"/>
          </w:tcPr>
          <w:p w14:paraId="7AB9A569">
            <w:pPr>
              <w:spacing w:line="240" w:lineRule="atLeast"/>
              <w:jc w:val="center"/>
              <w:rPr>
                <w:rFonts w:hint="eastAsia" w:ascii="微软雅黑" w:hAnsi="微软雅黑" w:eastAsia="微软雅黑" w:cs="微软雅黑"/>
                <w:color w:val="auto"/>
                <w:szCs w:val="21"/>
              </w:rPr>
            </w:pPr>
          </w:p>
        </w:tc>
        <w:tc>
          <w:tcPr>
            <w:tcW w:w="1298" w:type="dxa"/>
            <w:gridSpan w:val="2"/>
            <w:vAlign w:val="center"/>
          </w:tcPr>
          <w:p w14:paraId="3F0B9585">
            <w:pPr>
              <w:spacing w:line="240" w:lineRule="atLeast"/>
              <w:jc w:val="center"/>
              <w:rPr>
                <w:rFonts w:hint="eastAsia" w:ascii="微软雅黑" w:hAnsi="微软雅黑" w:eastAsia="微软雅黑" w:cs="微软雅黑"/>
                <w:color w:val="auto"/>
                <w:szCs w:val="21"/>
              </w:rPr>
            </w:pPr>
          </w:p>
        </w:tc>
        <w:tc>
          <w:tcPr>
            <w:tcW w:w="1134" w:type="dxa"/>
            <w:vAlign w:val="center"/>
          </w:tcPr>
          <w:p w14:paraId="3A73EA35">
            <w:pPr>
              <w:spacing w:line="240" w:lineRule="atLeast"/>
              <w:jc w:val="center"/>
              <w:rPr>
                <w:rFonts w:hint="eastAsia" w:ascii="微软雅黑" w:hAnsi="微软雅黑" w:eastAsia="微软雅黑" w:cs="微软雅黑"/>
                <w:color w:val="auto"/>
                <w:szCs w:val="21"/>
              </w:rPr>
            </w:pPr>
          </w:p>
        </w:tc>
        <w:tc>
          <w:tcPr>
            <w:tcW w:w="1559" w:type="dxa"/>
            <w:vAlign w:val="center"/>
          </w:tcPr>
          <w:p w14:paraId="0BECB365">
            <w:pPr>
              <w:spacing w:line="240" w:lineRule="atLeast"/>
              <w:jc w:val="center"/>
              <w:rPr>
                <w:rFonts w:hint="eastAsia" w:ascii="微软雅黑" w:hAnsi="微软雅黑" w:eastAsia="微软雅黑" w:cs="微软雅黑"/>
                <w:color w:val="auto"/>
                <w:szCs w:val="21"/>
              </w:rPr>
            </w:pPr>
          </w:p>
        </w:tc>
        <w:tc>
          <w:tcPr>
            <w:tcW w:w="1567" w:type="dxa"/>
            <w:vAlign w:val="center"/>
          </w:tcPr>
          <w:p w14:paraId="12AAEFC1">
            <w:pPr>
              <w:spacing w:line="240" w:lineRule="atLeast"/>
              <w:jc w:val="center"/>
              <w:rPr>
                <w:rFonts w:hint="eastAsia" w:ascii="微软雅黑" w:hAnsi="微软雅黑" w:eastAsia="微软雅黑" w:cs="微软雅黑"/>
                <w:color w:val="auto"/>
                <w:szCs w:val="21"/>
              </w:rPr>
            </w:pPr>
          </w:p>
        </w:tc>
      </w:tr>
      <w:tr w14:paraId="30AB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190878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合计人民币（小写）：</w:t>
            </w:r>
          </w:p>
        </w:tc>
      </w:tr>
      <w:tr w14:paraId="0141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B7FCF50">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合计人民币（大写）：</w:t>
            </w:r>
          </w:p>
        </w:tc>
      </w:tr>
      <w:tr w14:paraId="4BE4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9A6B7C0">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一、服务要求</w:t>
            </w:r>
          </w:p>
        </w:tc>
      </w:tr>
      <w:tr w14:paraId="719C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90DCDCC">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二、考核方式</w:t>
            </w:r>
          </w:p>
        </w:tc>
      </w:tr>
      <w:tr w14:paraId="51A2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2503554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三、付款方式：</w:t>
            </w:r>
          </w:p>
          <w:p w14:paraId="0BEB016D">
            <w:pPr>
              <w:rPr>
                <w:rFonts w:hint="eastAsia" w:ascii="微软雅黑" w:hAnsi="微软雅黑" w:eastAsia="微软雅黑" w:cs="微软雅黑"/>
                <w:color w:val="auto"/>
              </w:rPr>
            </w:pPr>
          </w:p>
        </w:tc>
      </w:tr>
      <w:tr w14:paraId="2E39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D32E41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四、违约责任：</w:t>
            </w:r>
          </w:p>
          <w:p w14:paraId="0464E887">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按《中华人民共和国民法典》、《中华人民共和国政府采购法》执行，或按双方约定。</w:t>
            </w:r>
          </w:p>
        </w:tc>
      </w:tr>
      <w:tr w14:paraId="2BAF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2F0695E">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五、其他约定事项：</w:t>
            </w:r>
          </w:p>
          <w:p w14:paraId="3C0725EC">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1.采购文件及其澄清文件、响应文件和承诺是本合同不可分割的部分。</w:t>
            </w:r>
          </w:p>
          <w:p w14:paraId="7946A25A">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2.本合同如发生争议由双方协商解决，协商不成向需方所在人民法院提请诉讼。</w:t>
            </w:r>
          </w:p>
          <w:p w14:paraId="25CF4BCF">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3.本合同一式__份， 需方__份，供方__份，具同等法律效力。</w:t>
            </w:r>
          </w:p>
          <w:p w14:paraId="1C9C1A72">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4.其他：</w:t>
            </w:r>
          </w:p>
        </w:tc>
      </w:tr>
      <w:tr w14:paraId="5054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CD7A9F8">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需方：</w:t>
            </w:r>
          </w:p>
          <w:p w14:paraId="78A0980F">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地址：</w:t>
            </w:r>
          </w:p>
          <w:p w14:paraId="43F67926">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联系电话：</w:t>
            </w:r>
          </w:p>
          <w:p w14:paraId="619290D4">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授权代表：</w:t>
            </w:r>
          </w:p>
        </w:tc>
        <w:tc>
          <w:tcPr>
            <w:tcW w:w="4984" w:type="dxa"/>
            <w:gridSpan w:val="5"/>
          </w:tcPr>
          <w:p w14:paraId="4ECAEFAE">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供方：</w:t>
            </w:r>
          </w:p>
          <w:p w14:paraId="5A59B7CE">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地址：</w:t>
            </w:r>
          </w:p>
          <w:p w14:paraId="3EED529F">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电话：</w:t>
            </w:r>
          </w:p>
          <w:p w14:paraId="3187701C">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传真：</w:t>
            </w:r>
          </w:p>
          <w:p w14:paraId="33E4AD8D">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开户银行：</w:t>
            </w:r>
          </w:p>
          <w:p w14:paraId="66E2C9B8">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账号：</w:t>
            </w:r>
          </w:p>
          <w:p w14:paraId="25618D55">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授权代表：</w:t>
            </w:r>
          </w:p>
          <w:p w14:paraId="2A77C887">
            <w:pPr>
              <w:widowControl/>
              <w:spacing w:line="240" w:lineRule="atLeast"/>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（本栏请用计算机打印以便于准确付款）</w:t>
            </w:r>
          </w:p>
        </w:tc>
      </w:tr>
      <w:tr w14:paraId="6B89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A21C6D6">
            <w:pPr>
              <w:spacing w:line="240" w:lineRule="atLeas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备注：</w:t>
            </w:r>
          </w:p>
          <w:p w14:paraId="5CD5F6BA">
            <w:pPr>
              <w:spacing w:line="240" w:lineRule="atLeast"/>
              <w:rPr>
                <w:rFonts w:hint="eastAsia" w:ascii="微软雅黑" w:hAnsi="微软雅黑" w:eastAsia="微软雅黑" w:cs="微软雅黑"/>
                <w:color w:val="auto"/>
                <w:szCs w:val="21"/>
              </w:rPr>
            </w:pPr>
          </w:p>
          <w:p w14:paraId="1767287F">
            <w:pPr>
              <w:spacing w:line="240" w:lineRule="atLeast"/>
              <w:rPr>
                <w:rFonts w:hint="eastAsia" w:ascii="微软雅黑" w:hAnsi="微软雅黑" w:eastAsia="微软雅黑" w:cs="微软雅黑"/>
                <w:color w:val="auto"/>
                <w:szCs w:val="21"/>
              </w:rPr>
            </w:pPr>
          </w:p>
        </w:tc>
      </w:tr>
    </w:tbl>
    <w:p w14:paraId="0D1BC264">
      <w:pPr>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签约时间：           年   月   日      签约地点：</w:t>
      </w:r>
    </w:p>
    <w:p w14:paraId="7CFD26F4">
      <w:pPr>
        <w:ind w:firstLine="480" w:firstLineChars="200"/>
        <w:rPr>
          <w:rFonts w:hint="eastAsia" w:ascii="微软雅黑" w:hAnsi="微软雅黑" w:eastAsia="微软雅黑" w:cs="微软雅黑"/>
          <w:b/>
          <w:bCs/>
          <w:color w:val="auto"/>
          <w:sz w:val="24"/>
          <w:szCs w:val="24"/>
        </w:rPr>
      </w:pPr>
    </w:p>
    <w:p w14:paraId="16CC5A6D">
      <w:pPr>
        <w:rPr>
          <w:rFonts w:hint="eastAsia" w:ascii="微软雅黑" w:hAnsi="微软雅黑" w:eastAsia="微软雅黑" w:cs="微软雅黑"/>
          <w:color w:val="auto"/>
        </w:rPr>
      </w:pPr>
    </w:p>
    <w:p w14:paraId="38B5BDC6">
      <w:pPr>
        <w:rPr>
          <w:rFonts w:hint="eastAsia" w:ascii="微软雅黑" w:hAnsi="微软雅黑" w:eastAsia="微软雅黑" w:cs="微软雅黑"/>
          <w:color w:val="auto"/>
        </w:rPr>
      </w:pPr>
    </w:p>
    <w:p w14:paraId="2F3E14EB">
      <w:pPr>
        <w:rPr>
          <w:rFonts w:hint="eastAsia" w:ascii="微软雅黑" w:hAnsi="微软雅黑" w:eastAsia="微软雅黑" w:cs="微软雅黑"/>
          <w:color w:val="auto"/>
        </w:rPr>
      </w:pPr>
    </w:p>
    <w:p w14:paraId="7BB559DA">
      <w:pPr>
        <w:rPr>
          <w:rFonts w:hint="eastAsia" w:ascii="微软雅黑" w:hAnsi="微软雅黑" w:eastAsia="微软雅黑" w:cs="微软雅黑"/>
          <w:color w:val="auto"/>
        </w:rPr>
      </w:pPr>
    </w:p>
    <w:p w14:paraId="77450245">
      <w:pPr>
        <w:rPr>
          <w:rFonts w:hint="eastAsia" w:ascii="微软雅黑" w:hAnsi="微软雅黑" w:eastAsia="微软雅黑" w:cs="微软雅黑"/>
          <w:color w:val="auto"/>
        </w:rPr>
      </w:pPr>
    </w:p>
    <w:p w14:paraId="2D74F77F">
      <w:pPr>
        <w:rPr>
          <w:rFonts w:hint="eastAsia" w:ascii="微软雅黑" w:hAnsi="微软雅黑" w:eastAsia="微软雅黑" w:cs="微软雅黑"/>
          <w:color w:val="auto"/>
        </w:rPr>
      </w:pPr>
    </w:p>
    <w:p w14:paraId="7B47824C">
      <w:pPr>
        <w:pStyle w:val="3"/>
        <w:spacing w:before="0" w:after="0" w:line="360" w:lineRule="auto"/>
        <w:jc w:val="center"/>
        <w:rPr>
          <w:rFonts w:hint="eastAsia" w:ascii="微软雅黑" w:hAnsi="微软雅黑" w:eastAsia="微软雅黑" w:cs="微软雅黑"/>
          <w:b w:val="0"/>
          <w:color w:val="auto"/>
          <w:sz w:val="36"/>
          <w:szCs w:val="30"/>
        </w:rPr>
        <w:sectPr>
          <w:footerReference r:id="rId13" w:type="default"/>
          <w:pgSz w:w="11907" w:h="16840"/>
          <w:pgMar w:top="1134" w:right="1191" w:bottom="1134" w:left="1304" w:header="851" w:footer="992" w:gutter="0"/>
          <w:pgNumType w:fmt="numberInDash"/>
          <w:cols w:space="720" w:num="1"/>
          <w:docGrid w:linePitch="380" w:charSpace="-5735"/>
        </w:sectPr>
      </w:pPr>
    </w:p>
    <w:p w14:paraId="015EA289">
      <w:pPr>
        <w:pStyle w:val="3"/>
        <w:spacing w:before="0" w:after="0" w:line="360" w:lineRule="auto"/>
        <w:jc w:val="center"/>
        <w:rPr>
          <w:rFonts w:hint="eastAsia" w:ascii="微软雅黑" w:hAnsi="微软雅黑" w:eastAsia="微软雅黑" w:cs="微软雅黑"/>
          <w:b w:val="0"/>
          <w:color w:val="auto"/>
          <w:sz w:val="36"/>
          <w:szCs w:val="30"/>
        </w:rPr>
      </w:pPr>
      <w:bookmarkStart w:id="136" w:name="_Toc2385"/>
      <w:bookmarkStart w:id="137" w:name="_Toc12607"/>
      <w:r>
        <w:rPr>
          <w:rFonts w:hint="eastAsia" w:ascii="微软雅黑" w:hAnsi="微软雅黑" w:eastAsia="微软雅黑" w:cs="微软雅黑"/>
          <w:b w:val="0"/>
          <w:color w:val="auto"/>
          <w:sz w:val="36"/>
          <w:szCs w:val="30"/>
        </w:rPr>
        <w:t xml:space="preserve">第七篇  </w:t>
      </w:r>
      <w:bookmarkEnd w:id="135"/>
      <w:r>
        <w:rPr>
          <w:rFonts w:hint="eastAsia" w:ascii="微软雅黑" w:hAnsi="微软雅黑" w:eastAsia="微软雅黑" w:cs="微软雅黑"/>
          <w:b w:val="0"/>
          <w:color w:val="auto"/>
          <w:sz w:val="36"/>
          <w:szCs w:val="30"/>
        </w:rPr>
        <w:t>响应文件编制要求</w:t>
      </w:r>
      <w:bookmarkEnd w:id="136"/>
      <w:bookmarkEnd w:id="137"/>
    </w:p>
    <w:p w14:paraId="268E1E3D">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一、经济部分</w:t>
      </w:r>
    </w:p>
    <w:p w14:paraId="352AD40B">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47156CB8">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1BF8B250">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二、服务部分</w:t>
      </w:r>
    </w:p>
    <w:p w14:paraId="2EDD7297">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w:t>
      </w:r>
    </w:p>
    <w:p w14:paraId="0081E84C">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（二）服务响应偏离表</w:t>
      </w:r>
    </w:p>
    <w:p w14:paraId="12B94C22">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三、商务部分</w:t>
      </w:r>
    </w:p>
    <w:p w14:paraId="69AA616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（一）商务响应偏离表</w:t>
      </w:r>
    </w:p>
    <w:p w14:paraId="4866D850">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（二）其它优惠服务承诺（格式自定）</w:t>
      </w:r>
    </w:p>
    <w:p w14:paraId="2C853FD8">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四、资格条件及其他</w:t>
      </w:r>
    </w:p>
    <w:p w14:paraId="0EEEFF9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01CFE73A">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（二）法定代表人身份证明书（格式）</w:t>
      </w:r>
    </w:p>
    <w:p w14:paraId="1FE6455C">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（三）法定代表人授权委托书（格式）</w:t>
      </w:r>
    </w:p>
    <w:p w14:paraId="5FFF911F">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（四）基本资格条件承诺函（格式）</w:t>
      </w:r>
    </w:p>
    <w:p w14:paraId="6A6F33AB">
      <w:pPr>
        <w:pStyle w:val="22"/>
        <w:ind w:firstLine="480" w:firstLineChars="20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（五）特定资格条件</w:t>
      </w:r>
    </w:p>
    <w:p w14:paraId="471E060E">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五、其他应提供的资料</w:t>
      </w:r>
    </w:p>
    <w:p w14:paraId="65DB263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23570C97">
      <w:pPr>
        <w:snapToGrid w:val="0"/>
        <w:spacing w:line="400" w:lineRule="exact"/>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（二）其他与项目有关的资料</w:t>
      </w:r>
    </w:p>
    <w:p w14:paraId="5D8ABE31">
      <w:pPr>
        <w:pStyle w:val="4"/>
        <w:spacing w:before="0" w:after="0" w:line="360" w:lineRule="auto"/>
        <w:rPr>
          <w:rFonts w:hint="eastAsia" w:ascii="微软雅黑" w:hAnsi="微软雅黑" w:eastAsia="微软雅黑" w:cs="微软雅黑"/>
          <w:color w:val="auto"/>
          <w:sz w:val="24"/>
          <w:szCs w:val="24"/>
        </w:rPr>
      </w:pPr>
      <w:bookmarkStart w:id="138" w:name="_Toc313888360"/>
      <w:bookmarkStart w:id="139" w:name="_Toc313008356"/>
      <w:bookmarkStart w:id="140" w:name="_Toc4326"/>
      <w:bookmarkStart w:id="141" w:name="_Toc342913419"/>
      <w:bookmarkStart w:id="142" w:name="_Toc8241"/>
      <w:bookmarkStart w:id="143" w:name="_Toc12789073"/>
      <w:bookmarkStart w:id="144" w:name="_Toc283382454"/>
      <w:r>
        <w:rPr>
          <w:rFonts w:hint="eastAsia" w:ascii="微软雅黑" w:hAnsi="微软雅黑" w:eastAsia="微软雅黑" w:cs="微软雅黑"/>
          <w:color w:val="auto"/>
          <w:sz w:val="24"/>
          <w:szCs w:val="24"/>
        </w:rPr>
        <w:t>一、经济部分</w:t>
      </w:r>
      <w:bookmarkEnd w:id="138"/>
      <w:bookmarkEnd w:id="139"/>
      <w:bookmarkEnd w:id="140"/>
      <w:bookmarkEnd w:id="141"/>
      <w:bookmarkEnd w:id="142"/>
    </w:p>
    <w:bookmarkEnd w:id="143"/>
    <w:bookmarkEnd w:id="144"/>
    <w:p w14:paraId="2EAF46A0">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15354663">
      <w:pPr>
        <w:tabs>
          <w:tab w:val="left" w:pos="6300"/>
        </w:tabs>
        <w:snapToGrid w:val="0"/>
        <w:spacing w:line="480" w:lineRule="exact"/>
        <w:jc w:val="center"/>
        <w:outlineLvl w:val="0"/>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t>竞争性磋商报价函</w:t>
      </w:r>
    </w:p>
    <w:p w14:paraId="37DA0AC6">
      <w:pPr>
        <w:tabs>
          <w:tab w:val="left" w:pos="6300"/>
        </w:tabs>
        <w:snapToGri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（采购代理机构名称）</w:t>
      </w:r>
      <w:r>
        <w:rPr>
          <w:rFonts w:hint="eastAsia" w:ascii="微软雅黑" w:hAnsi="微软雅黑" w:eastAsia="微软雅黑" w:cs="微软雅黑"/>
          <w:color w:val="auto"/>
          <w:sz w:val="24"/>
          <w:szCs w:val="24"/>
        </w:rPr>
        <w:t>：</w:t>
      </w:r>
    </w:p>
    <w:p w14:paraId="42DC1A5B">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我方收到____________________________（磋商项目名称）的竞争性磋商文件，经详细研究，决定参加该项目的磋商。</w:t>
      </w:r>
    </w:p>
    <w:p w14:paraId="10EBF964">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1、愿意按照竞争性磋商文件中的一切要求，提供本项目的技术服务，初始报价为人民币大写：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元整；人民币小写：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元。以我公司最后报价为准。</w:t>
      </w:r>
    </w:p>
    <w:p w14:paraId="47CB2D1F">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2、我方现提交的响应文件为：响应文件正本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份，副本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份，电子文档</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w:t>
      </w:r>
    </w:p>
    <w:p w14:paraId="588ED627">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3、我方承诺：本次磋商的有效期为90天。</w:t>
      </w:r>
    </w:p>
    <w:p w14:paraId="7ABA727A">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4、我方完全理解和接受贵方竞争性磋商文件的一切规定和要求及评审办法。</w:t>
      </w:r>
    </w:p>
    <w:p w14:paraId="5DC6AA21">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5、在整个竞争性磋商过程中，我方若有违规行为，接受按照《中华人民共和国政府采购法》及其实施条例等规定给予惩罚。</w:t>
      </w:r>
    </w:p>
    <w:p w14:paraId="29799EEA">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6、我方若成为成交供应商，将按照最终磋商结果签订合同，并且严格履行合同义务。本承诺函将成为合同不可分割的一部分，与合同具有同等的法律效力。</w:t>
      </w:r>
    </w:p>
    <w:p w14:paraId="39D23234">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8"/>
        </w:rPr>
        <w:t>我方理解，最低报价不是成交的唯一条件。</w:t>
      </w:r>
    </w:p>
    <w:p w14:paraId="4FDCBB66">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8、我方同意按竞争性磋商文件规定。如果我方成为成交供应商，保证在接到成交通知书后，向采购代理机构交纳竞争性磋商文件规定的采购代理服务费。</w:t>
      </w:r>
    </w:p>
    <w:p w14:paraId="620E0EF8">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8"/>
        </w:rPr>
        <w:t>我方未</w:t>
      </w:r>
      <w:r>
        <w:rPr>
          <w:rFonts w:hint="eastAsia" w:ascii="微软雅黑" w:hAnsi="微软雅黑" w:eastAsia="微软雅黑" w:cs="微软雅黑"/>
          <w:color w:val="auto"/>
          <w:sz w:val="24"/>
          <w:szCs w:val="24"/>
        </w:rPr>
        <w:t>为采购项目提供整体设计、规范编制或者项目管理、监理、检测等服务。</w:t>
      </w:r>
    </w:p>
    <w:p w14:paraId="506134E8">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3C3788F0">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398D452A">
      <w:pPr>
        <w:tabs>
          <w:tab w:val="left" w:pos="6300"/>
        </w:tabs>
        <w:snapToGrid w:val="0"/>
        <w:spacing w:line="312" w:lineRule="auto"/>
        <w:ind w:firstLine="570"/>
        <w:rPr>
          <w:rFonts w:hint="eastAsia" w:ascii="微软雅黑" w:hAnsi="微软雅黑" w:eastAsia="微软雅黑" w:cs="微软雅黑"/>
          <w:color w:val="auto"/>
          <w:sz w:val="24"/>
          <w:szCs w:val="24"/>
        </w:rPr>
      </w:pPr>
    </w:p>
    <w:p w14:paraId="7BA33E43">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地址：  </w:t>
      </w:r>
    </w:p>
    <w:p w14:paraId="409880A8">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                                             传真：</w:t>
      </w:r>
    </w:p>
    <w:p w14:paraId="358C91A9">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网址：                                             邮编：</w:t>
      </w:r>
    </w:p>
    <w:p w14:paraId="6CBCD80F">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p>
    <w:p w14:paraId="23B9A539">
      <w:pPr>
        <w:snapToGrid w:val="0"/>
        <w:spacing w:line="312" w:lineRule="auto"/>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 xml:space="preserve">                                                  年   月   日</w:t>
      </w:r>
    </w:p>
    <w:p w14:paraId="2404333B">
      <w:pPr>
        <w:tabs>
          <w:tab w:val="left" w:pos="2895"/>
        </w:tabs>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502E28C3">
      <w:pPr>
        <w:jc w:val="center"/>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t>明细报价表</w:t>
      </w:r>
    </w:p>
    <w:p w14:paraId="15DEA1E0">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18F4CA78">
      <w:pPr>
        <w:spacing w:line="360" w:lineRule="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165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02082B00">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695" w:type="dxa"/>
            <w:vAlign w:val="center"/>
          </w:tcPr>
          <w:p w14:paraId="0E664478">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名称</w:t>
            </w:r>
          </w:p>
        </w:tc>
        <w:tc>
          <w:tcPr>
            <w:tcW w:w="3404" w:type="dxa"/>
            <w:vAlign w:val="center"/>
          </w:tcPr>
          <w:p w14:paraId="045D5C2F">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相关信息</w:t>
            </w:r>
          </w:p>
        </w:tc>
        <w:tc>
          <w:tcPr>
            <w:tcW w:w="1344" w:type="dxa"/>
            <w:vAlign w:val="center"/>
          </w:tcPr>
          <w:p w14:paraId="0CA61E1E">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数量</w:t>
            </w:r>
          </w:p>
        </w:tc>
        <w:tc>
          <w:tcPr>
            <w:tcW w:w="1344" w:type="dxa"/>
            <w:vAlign w:val="center"/>
          </w:tcPr>
          <w:p w14:paraId="5BDE0A5C">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单价</w:t>
            </w:r>
          </w:p>
        </w:tc>
        <w:tc>
          <w:tcPr>
            <w:tcW w:w="1344" w:type="dxa"/>
            <w:vAlign w:val="center"/>
          </w:tcPr>
          <w:p w14:paraId="704064BA">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合计</w:t>
            </w:r>
          </w:p>
        </w:tc>
      </w:tr>
      <w:tr w14:paraId="1771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2F01FB5">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695" w:type="dxa"/>
            <w:vAlign w:val="center"/>
          </w:tcPr>
          <w:p w14:paraId="60FD42E3">
            <w:pPr>
              <w:jc w:val="center"/>
              <w:rPr>
                <w:rFonts w:hint="eastAsia" w:ascii="微软雅黑" w:hAnsi="微软雅黑" w:eastAsia="微软雅黑" w:cs="微软雅黑"/>
                <w:color w:val="auto"/>
                <w:sz w:val="21"/>
                <w:szCs w:val="21"/>
              </w:rPr>
            </w:pPr>
          </w:p>
        </w:tc>
        <w:tc>
          <w:tcPr>
            <w:tcW w:w="3404" w:type="dxa"/>
          </w:tcPr>
          <w:p w14:paraId="6EFBDA06">
            <w:pPr>
              <w:jc w:val="center"/>
              <w:rPr>
                <w:rFonts w:hint="eastAsia" w:ascii="微软雅黑" w:hAnsi="微软雅黑" w:eastAsia="微软雅黑" w:cs="微软雅黑"/>
                <w:color w:val="auto"/>
                <w:sz w:val="21"/>
                <w:szCs w:val="21"/>
              </w:rPr>
            </w:pPr>
          </w:p>
        </w:tc>
        <w:tc>
          <w:tcPr>
            <w:tcW w:w="1344" w:type="dxa"/>
            <w:vAlign w:val="center"/>
          </w:tcPr>
          <w:p w14:paraId="4EE81708">
            <w:pPr>
              <w:jc w:val="center"/>
              <w:rPr>
                <w:rFonts w:hint="eastAsia" w:ascii="微软雅黑" w:hAnsi="微软雅黑" w:eastAsia="微软雅黑" w:cs="微软雅黑"/>
                <w:color w:val="auto"/>
                <w:sz w:val="21"/>
                <w:szCs w:val="21"/>
              </w:rPr>
            </w:pPr>
          </w:p>
        </w:tc>
        <w:tc>
          <w:tcPr>
            <w:tcW w:w="1344" w:type="dxa"/>
          </w:tcPr>
          <w:p w14:paraId="38C87BAD">
            <w:pPr>
              <w:jc w:val="center"/>
              <w:rPr>
                <w:rFonts w:hint="eastAsia" w:ascii="微软雅黑" w:hAnsi="微软雅黑" w:eastAsia="微软雅黑" w:cs="微软雅黑"/>
                <w:color w:val="auto"/>
                <w:sz w:val="21"/>
                <w:szCs w:val="21"/>
              </w:rPr>
            </w:pPr>
          </w:p>
        </w:tc>
        <w:tc>
          <w:tcPr>
            <w:tcW w:w="1344" w:type="dxa"/>
          </w:tcPr>
          <w:p w14:paraId="7E3D79A8">
            <w:pPr>
              <w:jc w:val="center"/>
              <w:rPr>
                <w:rFonts w:hint="eastAsia" w:ascii="微软雅黑" w:hAnsi="微软雅黑" w:eastAsia="微软雅黑" w:cs="微软雅黑"/>
                <w:color w:val="auto"/>
                <w:sz w:val="21"/>
                <w:szCs w:val="21"/>
              </w:rPr>
            </w:pPr>
          </w:p>
        </w:tc>
      </w:tr>
      <w:tr w14:paraId="6E7E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DCD057">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695" w:type="dxa"/>
            <w:vAlign w:val="center"/>
          </w:tcPr>
          <w:p w14:paraId="403182A8">
            <w:pPr>
              <w:jc w:val="center"/>
              <w:rPr>
                <w:rFonts w:hint="eastAsia" w:ascii="微软雅黑" w:hAnsi="微软雅黑" w:eastAsia="微软雅黑" w:cs="微软雅黑"/>
                <w:color w:val="auto"/>
                <w:sz w:val="21"/>
                <w:szCs w:val="21"/>
              </w:rPr>
            </w:pPr>
          </w:p>
        </w:tc>
        <w:tc>
          <w:tcPr>
            <w:tcW w:w="3404" w:type="dxa"/>
          </w:tcPr>
          <w:p w14:paraId="466E33D5">
            <w:pPr>
              <w:jc w:val="center"/>
              <w:rPr>
                <w:rFonts w:hint="eastAsia" w:ascii="微软雅黑" w:hAnsi="微软雅黑" w:eastAsia="微软雅黑" w:cs="微软雅黑"/>
                <w:color w:val="auto"/>
                <w:sz w:val="21"/>
                <w:szCs w:val="21"/>
              </w:rPr>
            </w:pPr>
          </w:p>
        </w:tc>
        <w:tc>
          <w:tcPr>
            <w:tcW w:w="1344" w:type="dxa"/>
            <w:vAlign w:val="center"/>
          </w:tcPr>
          <w:p w14:paraId="0CC75331">
            <w:pPr>
              <w:jc w:val="center"/>
              <w:rPr>
                <w:rFonts w:hint="eastAsia" w:ascii="微软雅黑" w:hAnsi="微软雅黑" w:eastAsia="微软雅黑" w:cs="微软雅黑"/>
                <w:color w:val="auto"/>
                <w:sz w:val="21"/>
                <w:szCs w:val="21"/>
              </w:rPr>
            </w:pPr>
          </w:p>
        </w:tc>
        <w:tc>
          <w:tcPr>
            <w:tcW w:w="1344" w:type="dxa"/>
          </w:tcPr>
          <w:p w14:paraId="55CF25FD">
            <w:pPr>
              <w:jc w:val="center"/>
              <w:rPr>
                <w:rFonts w:hint="eastAsia" w:ascii="微软雅黑" w:hAnsi="微软雅黑" w:eastAsia="微软雅黑" w:cs="微软雅黑"/>
                <w:color w:val="auto"/>
                <w:sz w:val="21"/>
                <w:szCs w:val="21"/>
              </w:rPr>
            </w:pPr>
          </w:p>
        </w:tc>
        <w:tc>
          <w:tcPr>
            <w:tcW w:w="1344" w:type="dxa"/>
          </w:tcPr>
          <w:p w14:paraId="06F134AE">
            <w:pPr>
              <w:jc w:val="center"/>
              <w:rPr>
                <w:rFonts w:hint="eastAsia" w:ascii="微软雅黑" w:hAnsi="微软雅黑" w:eastAsia="微软雅黑" w:cs="微软雅黑"/>
                <w:color w:val="auto"/>
                <w:sz w:val="21"/>
                <w:szCs w:val="21"/>
              </w:rPr>
            </w:pPr>
          </w:p>
        </w:tc>
      </w:tr>
      <w:tr w14:paraId="4EA2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A224DBD">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695" w:type="dxa"/>
            <w:vAlign w:val="center"/>
          </w:tcPr>
          <w:p w14:paraId="610CF325">
            <w:pPr>
              <w:jc w:val="center"/>
              <w:rPr>
                <w:rFonts w:hint="eastAsia" w:ascii="微软雅黑" w:hAnsi="微软雅黑" w:eastAsia="微软雅黑" w:cs="微软雅黑"/>
                <w:color w:val="auto"/>
                <w:sz w:val="21"/>
                <w:szCs w:val="21"/>
              </w:rPr>
            </w:pPr>
          </w:p>
        </w:tc>
        <w:tc>
          <w:tcPr>
            <w:tcW w:w="3404" w:type="dxa"/>
          </w:tcPr>
          <w:p w14:paraId="48D8C814">
            <w:pPr>
              <w:jc w:val="center"/>
              <w:rPr>
                <w:rFonts w:hint="eastAsia" w:ascii="微软雅黑" w:hAnsi="微软雅黑" w:eastAsia="微软雅黑" w:cs="微软雅黑"/>
                <w:color w:val="auto"/>
                <w:sz w:val="21"/>
                <w:szCs w:val="21"/>
              </w:rPr>
            </w:pPr>
          </w:p>
        </w:tc>
        <w:tc>
          <w:tcPr>
            <w:tcW w:w="1344" w:type="dxa"/>
            <w:vAlign w:val="center"/>
          </w:tcPr>
          <w:p w14:paraId="3F8087D9">
            <w:pPr>
              <w:jc w:val="center"/>
              <w:rPr>
                <w:rFonts w:hint="eastAsia" w:ascii="微软雅黑" w:hAnsi="微软雅黑" w:eastAsia="微软雅黑" w:cs="微软雅黑"/>
                <w:color w:val="auto"/>
                <w:sz w:val="21"/>
                <w:szCs w:val="21"/>
              </w:rPr>
            </w:pPr>
          </w:p>
        </w:tc>
        <w:tc>
          <w:tcPr>
            <w:tcW w:w="1344" w:type="dxa"/>
          </w:tcPr>
          <w:p w14:paraId="40E86ED7">
            <w:pPr>
              <w:jc w:val="center"/>
              <w:rPr>
                <w:rFonts w:hint="eastAsia" w:ascii="微软雅黑" w:hAnsi="微软雅黑" w:eastAsia="微软雅黑" w:cs="微软雅黑"/>
                <w:color w:val="auto"/>
                <w:sz w:val="21"/>
                <w:szCs w:val="21"/>
              </w:rPr>
            </w:pPr>
          </w:p>
        </w:tc>
        <w:tc>
          <w:tcPr>
            <w:tcW w:w="1344" w:type="dxa"/>
          </w:tcPr>
          <w:p w14:paraId="2FF1143C">
            <w:pPr>
              <w:jc w:val="center"/>
              <w:rPr>
                <w:rFonts w:hint="eastAsia" w:ascii="微软雅黑" w:hAnsi="微软雅黑" w:eastAsia="微软雅黑" w:cs="微软雅黑"/>
                <w:color w:val="auto"/>
                <w:sz w:val="21"/>
                <w:szCs w:val="21"/>
              </w:rPr>
            </w:pPr>
          </w:p>
        </w:tc>
      </w:tr>
      <w:tr w14:paraId="1FFD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99B49F3">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695" w:type="dxa"/>
            <w:vAlign w:val="center"/>
          </w:tcPr>
          <w:p w14:paraId="1570D495">
            <w:pPr>
              <w:jc w:val="center"/>
              <w:rPr>
                <w:rFonts w:hint="eastAsia" w:ascii="微软雅黑" w:hAnsi="微软雅黑" w:eastAsia="微软雅黑" w:cs="微软雅黑"/>
                <w:color w:val="auto"/>
                <w:sz w:val="21"/>
                <w:szCs w:val="21"/>
              </w:rPr>
            </w:pPr>
          </w:p>
        </w:tc>
        <w:tc>
          <w:tcPr>
            <w:tcW w:w="3404" w:type="dxa"/>
          </w:tcPr>
          <w:p w14:paraId="249821C9">
            <w:pPr>
              <w:jc w:val="center"/>
              <w:rPr>
                <w:rFonts w:hint="eastAsia" w:ascii="微软雅黑" w:hAnsi="微软雅黑" w:eastAsia="微软雅黑" w:cs="微软雅黑"/>
                <w:color w:val="auto"/>
                <w:sz w:val="21"/>
                <w:szCs w:val="21"/>
              </w:rPr>
            </w:pPr>
          </w:p>
        </w:tc>
        <w:tc>
          <w:tcPr>
            <w:tcW w:w="1344" w:type="dxa"/>
            <w:vAlign w:val="center"/>
          </w:tcPr>
          <w:p w14:paraId="7B54E4B2">
            <w:pPr>
              <w:jc w:val="center"/>
              <w:rPr>
                <w:rFonts w:hint="eastAsia" w:ascii="微软雅黑" w:hAnsi="微软雅黑" w:eastAsia="微软雅黑" w:cs="微软雅黑"/>
                <w:color w:val="auto"/>
                <w:sz w:val="21"/>
                <w:szCs w:val="21"/>
              </w:rPr>
            </w:pPr>
          </w:p>
        </w:tc>
        <w:tc>
          <w:tcPr>
            <w:tcW w:w="1344" w:type="dxa"/>
          </w:tcPr>
          <w:p w14:paraId="02D68837">
            <w:pPr>
              <w:jc w:val="center"/>
              <w:rPr>
                <w:rFonts w:hint="eastAsia" w:ascii="微软雅黑" w:hAnsi="微软雅黑" w:eastAsia="微软雅黑" w:cs="微软雅黑"/>
                <w:color w:val="auto"/>
                <w:sz w:val="21"/>
                <w:szCs w:val="21"/>
              </w:rPr>
            </w:pPr>
          </w:p>
        </w:tc>
        <w:tc>
          <w:tcPr>
            <w:tcW w:w="1344" w:type="dxa"/>
          </w:tcPr>
          <w:p w14:paraId="7B3449B8">
            <w:pPr>
              <w:jc w:val="center"/>
              <w:rPr>
                <w:rFonts w:hint="eastAsia" w:ascii="微软雅黑" w:hAnsi="微软雅黑" w:eastAsia="微软雅黑" w:cs="微软雅黑"/>
                <w:color w:val="auto"/>
                <w:sz w:val="21"/>
                <w:szCs w:val="21"/>
              </w:rPr>
            </w:pPr>
          </w:p>
        </w:tc>
      </w:tr>
      <w:tr w14:paraId="72E4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8264C7">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695" w:type="dxa"/>
            <w:vAlign w:val="center"/>
          </w:tcPr>
          <w:p w14:paraId="2A60F079">
            <w:pPr>
              <w:jc w:val="center"/>
              <w:rPr>
                <w:rFonts w:hint="eastAsia" w:ascii="微软雅黑" w:hAnsi="微软雅黑" w:eastAsia="微软雅黑" w:cs="微软雅黑"/>
                <w:color w:val="auto"/>
                <w:sz w:val="21"/>
                <w:szCs w:val="21"/>
              </w:rPr>
            </w:pPr>
          </w:p>
        </w:tc>
        <w:tc>
          <w:tcPr>
            <w:tcW w:w="3404" w:type="dxa"/>
          </w:tcPr>
          <w:p w14:paraId="63F6250D">
            <w:pPr>
              <w:jc w:val="center"/>
              <w:rPr>
                <w:rFonts w:hint="eastAsia" w:ascii="微软雅黑" w:hAnsi="微软雅黑" w:eastAsia="微软雅黑" w:cs="微软雅黑"/>
                <w:color w:val="auto"/>
                <w:sz w:val="21"/>
                <w:szCs w:val="21"/>
              </w:rPr>
            </w:pPr>
          </w:p>
        </w:tc>
        <w:tc>
          <w:tcPr>
            <w:tcW w:w="1344" w:type="dxa"/>
            <w:vAlign w:val="center"/>
          </w:tcPr>
          <w:p w14:paraId="74F84E6B">
            <w:pPr>
              <w:jc w:val="center"/>
              <w:rPr>
                <w:rFonts w:hint="eastAsia" w:ascii="微软雅黑" w:hAnsi="微软雅黑" w:eastAsia="微软雅黑" w:cs="微软雅黑"/>
                <w:color w:val="auto"/>
                <w:sz w:val="21"/>
                <w:szCs w:val="21"/>
              </w:rPr>
            </w:pPr>
          </w:p>
        </w:tc>
        <w:tc>
          <w:tcPr>
            <w:tcW w:w="1344" w:type="dxa"/>
          </w:tcPr>
          <w:p w14:paraId="74E551E2">
            <w:pPr>
              <w:jc w:val="center"/>
              <w:rPr>
                <w:rFonts w:hint="eastAsia" w:ascii="微软雅黑" w:hAnsi="微软雅黑" w:eastAsia="微软雅黑" w:cs="微软雅黑"/>
                <w:color w:val="auto"/>
                <w:sz w:val="21"/>
                <w:szCs w:val="21"/>
              </w:rPr>
            </w:pPr>
          </w:p>
        </w:tc>
        <w:tc>
          <w:tcPr>
            <w:tcW w:w="1344" w:type="dxa"/>
          </w:tcPr>
          <w:p w14:paraId="1C83446A">
            <w:pPr>
              <w:jc w:val="center"/>
              <w:rPr>
                <w:rFonts w:hint="eastAsia" w:ascii="微软雅黑" w:hAnsi="微软雅黑" w:eastAsia="微软雅黑" w:cs="微软雅黑"/>
                <w:color w:val="auto"/>
                <w:sz w:val="21"/>
                <w:szCs w:val="21"/>
              </w:rPr>
            </w:pPr>
          </w:p>
        </w:tc>
      </w:tr>
      <w:tr w14:paraId="6557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6A150C">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1695" w:type="dxa"/>
            <w:vAlign w:val="center"/>
          </w:tcPr>
          <w:p w14:paraId="6FB63B82">
            <w:pPr>
              <w:jc w:val="center"/>
              <w:rPr>
                <w:rFonts w:hint="eastAsia" w:ascii="微软雅黑" w:hAnsi="微软雅黑" w:eastAsia="微软雅黑" w:cs="微软雅黑"/>
                <w:color w:val="auto"/>
                <w:sz w:val="21"/>
                <w:szCs w:val="21"/>
              </w:rPr>
            </w:pPr>
          </w:p>
        </w:tc>
        <w:tc>
          <w:tcPr>
            <w:tcW w:w="3404" w:type="dxa"/>
          </w:tcPr>
          <w:p w14:paraId="3D15D560">
            <w:pPr>
              <w:jc w:val="center"/>
              <w:rPr>
                <w:rFonts w:hint="eastAsia" w:ascii="微软雅黑" w:hAnsi="微软雅黑" w:eastAsia="微软雅黑" w:cs="微软雅黑"/>
                <w:color w:val="auto"/>
                <w:sz w:val="21"/>
                <w:szCs w:val="21"/>
              </w:rPr>
            </w:pPr>
          </w:p>
        </w:tc>
        <w:tc>
          <w:tcPr>
            <w:tcW w:w="1344" w:type="dxa"/>
            <w:vAlign w:val="center"/>
          </w:tcPr>
          <w:p w14:paraId="09A79420">
            <w:pPr>
              <w:jc w:val="center"/>
              <w:rPr>
                <w:rFonts w:hint="eastAsia" w:ascii="微软雅黑" w:hAnsi="微软雅黑" w:eastAsia="微软雅黑" w:cs="微软雅黑"/>
                <w:color w:val="auto"/>
                <w:sz w:val="21"/>
                <w:szCs w:val="21"/>
              </w:rPr>
            </w:pPr>
          </w:p>
        </w:tc>
        <w:tc>
          <w:tcPr>
            <w:tcW w:w="1344" w:type="dxa"/>
          </w:tcPr>
          <w:p w14:paraId="7CEA57B4">
            <w:pPr>
              <w:jc w:val="center"/>
              <w:rPr>
                <w:rFonts w:hint="eastAsia" w:ascii="微软雅黑" w:hAnsi="微软雅黑" w:eastAsia="微软雅黑" w:cs="微软雅黑"/>
                <w:color w:val="auto"/>
                <w:sz w:val="21"/>
                <w:szCs w:val="21"/>
              </w:rPr>
            </w:pPr>
          </w:p>
        </w:tc>
        <w:tc>
          <w:tcPr>
            <w:tcW w:w="1344" w:type="dxa"/>
          </w:tcPr>
          <w:p w14:paraId="45338A8D">
            <w:pPr>
              <w:jc w:val="center"/>
              <w:rPr>
                <w:rFonts w:hint="eastAsia" w:ascii="微软雅黑" w:hAnsi="微软雅黑" w:eastAsia="微软雅黑" w:cs="微软雅黑"/>
                <w:color w:val="auto"/>
                <w:sz w:val="21"/>
                <w:szCs w:val="21"/>
              </w:rPr>
            </w:pPr>
          </w:p>
        </w:tc>
      </w:tr>
      <w:tr w14:paraId="1422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C97E2BD">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1695" w:type="dxa"/>
            <w:vAlign w:val="center"/>
          </w:tcPr>
          <w:p w14:paraId="49E2514A">
            <w:pPr>
              <w:jc w:val="center"/>
              <w:rPr>
                <w:rFonts w:hint="eastAsia" w:ascii="微软雅黑" w:hAnsi="微软雅黑" w:eastAsia="微软雅黑" w:cs="微软雅黑"/>
                <w:color w:val="auto"/>
                <w:sz w:val="21"/>
                <w:szCs w:val="21"/>
              </w:rPr>
            </w:pPr>
          </w:p>
        </w:tc>
        <w:tc>
          <w:tcPr>
            <w:tcW w:w="3404" w:type="dxa"/>
          </w:tcPr>
          <w:p w14:paraId="0A555B8D">
            <w:pPr>
              <w:jc w:val="center"/>
              <w:rPr>
                <w:rFonts w:hint="eastAsia" w:ascii="微软雅黑" w:hAnsi="微软雅黑" w:eastAsia="微软雅黑" w:cs="微软雅黑"/>
                <w:color w:val="auto"/>
                <w:sz w:val="21"/>
                <w:szCs w:val="21"/>
              </w:rPr>
            </w:pPr>
          </w:p>
        </w:tc>
        <w:tc>
          <w:tcPr>
            <w:tcW w:w="1344" w:type="dxa"/>
            <w:vAlign w:val="center"/>
          </w:tcPr>
          <w:p w14:paraId="07A5F7A2">
            <w:pPr>
              <w:jc w:val="center"/>
              <w:rPr>
                <w:rFonts w:hint="eastAsia" w:ascii="微软雅黑" w:hAnsi="微软雅黑" w:eastAsia="微软雅黑" w:cs="微软雅黑"/>
                <w:color w:val="auto"/>
                <w:sz w:val="21"/>
                <w:szCs w:val="21"/>
              </w:rPr>
            </w:pPr>
          </w:p>
        </w:tc>
        <w:tc>
          <w:tcPr>
            <w:tcW w:w="1344" w:type="dxa"/>
          </w:tcPr>
          <w:p w14:paraId="0519B94D">
            <w:pPr>
              <w:jc w:val="center"/>
              <w:rPr>
                <w:rFonts w:hint="eastAsia" w:ascii="微软雅黑" w:hAnsi="微软雅黑" w:eastAsia="微软雅黑" w:cs="微软雅黑"/>
                <w:color w:val="auto"/>
                <w:sz w:val="21"/>
                <w:szCs w:val="21"/>
              </w:rPr>
            </w:pPr>
          </w:p>
        </w:tc>
        <w:tc>
          <w:tcPr>
            <w:tcW w:w="1344" w:type="dxa"/>
          </w:tcPr>
          <w:p w14:paraId="46E68255">
            <w:pPr>
              <w:jc w:val="center"/>
              <w:rPr>
                <w:rFonts w:hint="eastAsia" w:ascii="微软雅黑" w:hAnsi="微软雅黑" w:eastAsia="微软雅黑" w:cs="微软雅黑"/>
                <w:color w:val="auto"/>
                <w:sz w:val="21"/>
                <w:szCs w:val="21"/>
              </w:rPr>
            </w:pPr>
          </w:p>
        </w:tc>
      </w:tr>
      <w:tr w14:paraId="5973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86000FD">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1695" w:type="dxa"/>
            <w:vAlign w:val="center"/>
          </w:tcPr>
          <w:p w14:paraId="3612BAD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人工费</w:t>
            </w:r>
          </w:p>
        </w:tc>
        <w:tc>
          <w:tcPr>
            <w:tcW w:w="3404" w:type="dxa"/>
          </w:tcPr>
          <w:p w14:paraId="07965DD1">
            <w:pPr>
              <w:jc w:val="center"/>
              <w:rPr>
                <w:rFonts w:hint="eastAsia" w:ascii="微软雅黑" w:hAnsi="微软雅黑" w:eastAsia="微软雅黑" w:cs="微软雅黑"/>
                <w:color w:val="auto"/>
                <w:sz w:val="21"/>
                <w:szCs w:val="21"/>
              </w:rPr>
            </w:pPr>
          </w:p>
        </w:tc>
        <w:tc>
          <w:tcPr>
            <w:tcW w:w="1344" w:type="dxa"/>
            <w:vAlign w:val="center"/>
          </w:tcPr>
          <w:p w14:paraId="2E99C5A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5C3FC638">
            <w:pPr>
              <w:jc w:val="center"/>
              <w:rPr>
                <w:rFonts w:hint="eastAsia" w:ascii="微软雅黑" w:hAnsi="微软雅黑" w:eastAsia="微软雅黑" w:cs="微软雅黑"/>
                <w:color w:val="auto"/>
                <w:sz w:val="21"/>
                <w:szCs w:val="21"/>
              </w:rPr>
            </w:pPr>
          </w:p>
        </w:tc>
        <w:tc>
          <w:tcPr>
            <w:tcW w:w="1344" w:type="dxa"/>
          </w:tcPr>
          <w:p w14:paraId="15A4418A">
            <w:pPr>
              <w:jc w:val="center"/>
              <w:rPr>
                <w:rFonts w:hint="eastAsia" w:ascii="微软雅黑" w:hAnsi="微软雅黑" w:eastAsia="微软雅黑" w:cs="微软雅黑"/>
                <w:color w:val="auto"/>
                <w:sz w:val="21"/>
                <w:szCs w:val="21"/>
              </w:rPr>
            </w:pPr>
          </w:p>
        </w:tc>
      </w:tr>
      <w:tr w14:paraId="3C55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ECED39E">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1695" w:type="dxa"/>
            <w:vAlign w:val="center"/>
          </w:tcPr>
          <w:p w14:paraId="4F991A4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运输费</w:t>
            </w:r>
          </w:p>
        </w:tc>
        <w:tc>
          <w:tcPr>
            <w:tcW w:w="3404" w:type="dxa"/>
          </w:tcPr>
          <w:p w14:paraId="3F930E3C">
            <w:pPr>
              <w:jc w:val="center"/>
              <w:rPr>
                <w:rFonts w:hint="eastAsia" w:ascii="微软雅黑" w:hAnsi="微软雅黑" w:eastAsia="微软雅黑" w:cs="微软雅黑"/>
                <w:color w:val="auto"/>
                <w:sz w:val="21"/>
                <w:szCs w:val="21"/>
              </w:rPr>
            </w:pPr>
          </w:p>
        </w:tc>
        <w:tc>
          <w:tcPr>
            <w:tcW w:w="1344" w:type="dxa"/>
            <w:vAlign w:val="center"/>
          </w:tcPr>
          <w:p w14:paraId="0795DCDB">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1B4674DC">
            <w:pPr>
              <w:jc w:val="center"/>
              <w:rPr>
                <w:rFonts w:hint="eastAsia" w:ascii="微软雅黑" w:hAnsi="微软雅黑" w:eastAsia="微软雅黑" w:cs="微软雅黑"/>
                <w:color w:val="auto"/>
                <w:sz w:val="21"/>
                <w:szCs w:val="21"/>
              </w:rPr>
            </w:pPr>
          </w:p>
        </w:tc>
        <w:tc>
          <w:tcPr>
            <w:tcW w:w="1344" w:type="dxa"/>
          </w:tcPr>
          <w:p w14:paraId="78FDD158">
            <w:pPr>
              <w:jc w:val="center"/>
              <w:rPr>
                <w:rFonts w:hint="eastAsia" w:ascii="微软雅黑" w:hAnsi="微软雅黑" w:eastAsia="微软雅黑" w:cs="微软雅黑"/>
                <w:color w:val="auto"/>
                <w:sz w:val="21"/>
                <w:szCs w:val="21"/>
              </w:rPr>
            </w:pPr>
          </w:p>
        </w:tc>
      </w:tr>
      <w:tr w14:paraId="1A90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57B731E">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c>
          <w:tcPr>
            <w:tcW w:w="1695" w:type="dxa"/>
            <w:vAlign w:val="center"/>
          </w:tcPr>
          <w:p w14:paraId="0BFC1DD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其他费用</w:t>
            </w:r>
          </w:p>
        </w:tc>
        <w:tc>
          <w:tcPr>
            <w:tcW w:w="3404" w:type="dxa"/>
          </w:tcPr>
          <w:p w14:paraId="62128A90">
            <w:pPr>
              <w:jc w:val="center"/>
              <w:rPr>
                <w:rFonts w:hint="eastAsia" w:ascii="微软雅黑" w:hAnsi="微软雅黑" w:eastAsia="微软雅黑" w:cs="微软雅黑"/>
                <w:color w:val="auto"/>
                <w:sz w:val="21"/>
                <w:szCs w:val="21"/>
              </w:rPr>
            </w:pPr>
          </w:p>
        </w:tc>
        <w:tc>
          <w:tcPr>
            <w:tcW w:w="1344" w:type="dxa"/>
            <w:vAlign w:val="center"/>
          </w:tcPr>
          <w:p w14:paraId="7C5AAA0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3D38AD39">
            <w:pPr>
              <w:jc w:val="center"/>
              <w:rPr>
                <w:rFonts w:hint="eastAsia" w:ascii="微软雅黑" w:hAnsi="微软雅黑" w:eastAsia="微软雅黑" w:cs="微软雅黑"/>
                <w:color w:val="auto"/>
                <w:sz w:val="21"/>
                <w:szCs w:val="21"/>
              </w:rPr>
            </w:pPr>
          </w:p>
        </w:tc>
        <w:tc>
          <w:tcPr>
            <w:tcW w:w="1344" w:type="dxa"/>
          </w:tcPr>
          <w:p w14:paraId="425A3AD9">
            <w:pPr>
              <w:jc w:val="center"/>
              <w:rPr>
                <w:rFonts w:hint="eastAsia" w:ascii="微软雅黑" w:hAnsi="微软雅黑" w:eastAsia="微软雅黑" w:cs="微软雅黑"/>
                <w:color w:val="auto"/>
                <w:sz w:val="21"/>
                <w:szCs w:val="21"/>
              </w:rPr>
            </w:pPr>
          </w:p>
        </w:tc>
      </w:tr>
      <w:tr w14:paraId="3CA1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AC57BC">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1695" w:type="dxa"/>
            <w:vAlign w:val="center"/>
          </w:tcPr>
          <w:p w14:paraId="75AE880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3404" w:type="dxa"/>
          </w:tcPr>
          <w:p w14:paraId="43A598B6">
            <w:pPr>
              <w:jc w:val="center"/>
              <w:rPr>
                <w:rFonts w:hint="eastAsia" w:ascii="微软雅黑" w:hAnsi="微软雅黑" w:eastAsia="微软雅黑" w:cs="微软雅黑"/>
                <w:color w:val="auto"/>
                <w:sz w:val="21"/>
                <w:szCs w:val="21"/>
              </w:rPr>
            </w:pPr>
          </w:p>
        </w:tc>
        <w:tc>
          <w:tcPr>
            <w:tcW w:w="1344" w:type="dxa"/>
            <w:vAlign w:val="center"/>
          </w:tcPr>
          <w:p w14:paraId="42E0570F">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3378A53B">
            <w:pPr>
              <w:jc w:val="center"/>
              <w:rPr>
                <w:rFonts w:hint="eastAsia" w:ascii="微软雅黑" w:hAnsi="微软雅黑" w:eastAsia="微软雅黑" w:cs="微软雅黑"/>
                <w:color w:val="auto"/>
                <w:sz w:val="21"/>
                <w:szCs w:val="21"/>
              </w:rPr>
            </w:pPr>
          </w:p>
        </w:tc>
        <w:tc>
          <w:tcPr>
            <w:tcW w:w="1344" w:type="dxa"/>
          </w:tcPr>
          <w:p w14:paraId="3667868D">
            <w:pPr>
              <w:jc w:val="center"/>
              <w:rPr>
                <w:rFonts w:hint="eastAsia" w:ascii="微软雅黑" w:hAnsi="微软雅黑" w:eastAsia="微软雅黑" w:cs="微软雅黑"/>
                <w:color w:val="auto"/>
                <w:sz w:val="21"/>
                <w:szCs w:val="21"/>
              </w:rPr>
            </w:pPr>
          </w:p>
        </w:tc>
      </w:tr>
      <w:tr w14:paraId="443F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E75984B">
            <w:pPr>
              <w:pStyle w:val="24"/>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w:t>
            </w:r>
          </w:p>
        </w:tc>
        <w:tc>
          <w:tcPr>
            <w:tcW w:w="1695" w:type="dxa"/>
            <w:vAlign w:val="center"/>
          </w:tcPr>
          <w:p w14:paraId="20602BF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总计</w:t>
            </w:r>
          </w:p>
        </w:tc>
        <w:tc>
          <w:tcPr>
            <w:tcW w:w="7436" w:type="dxa"/>
            <w:gridSpan w:val="4"/>
          </w:tcPr>
          <w:p w14:paraId="2482AD52">
            <w:pPr>
              <w:rPr>
                <w:rFonts w:hint="eastAsia" w:ascii="微软雅黑" w:hAnsi="微软雅黑" w:eastAsia="微软雅黑" w:cs="微软雅黑"/>
                <w:color w:val="auto"/>
                <w:sz w:val="21"/>
                <w:szCs w:val="21"/>
              </w:rPr>
            </w:pPr>
          </w:p>
        </w:tc>
      </w:tr>
    </w:tbl>
    <w:p w14:paraId="622B07EE">
      <w:pPr>
        <w:snapToGrid w:val="0"/>
        <w:spacing w:line="500" w:lineRule="exact"/>
        <w:ind w:firstLine="480" w:firstLineChars="200"/>
        <w:rPr>
          <w:rFonts w:hint="eastAsia" w:ascii="微软雅黑" w:hAnsi="微软雅黑" w:eastAsia="微软雅黑" w:cs="微软雅黑"/>
          <w:color w:val="auto"/>
          <w:sz w:val="24"/>
          <w:szCs w:val="28"/>
        </w:rPr>
      </w:pPr>
    </w:p>
    <w:p w14:paraId="27DC299A">
      <w:pPr>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注：1、请供应商完整填写本表。</w:t>
      </w:r>
    </w:p>
    <w:p w14:paraId="4434C140">
      <w:pPr>
        <w:snapToGrid w:val="0"/>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2、该表可扩展</w:t>
      </w:r>
      <w:bookmarkStart w:id="145" w:name="OLE_LINK1"/>
      <w:bookmarkStart w:id="146" w:name="OLE_LINK2"/>
      <w:r>
        <w:rPr>
          <w:rFonts w:hint="eastAsia" w:ascii="微软雅黑" w:hAnsi="微软雅黑" w:eastAsia="微软雅黑" w:cs="微软雅黑"/>
          <w:color w:val="auto"/>
          <w:sz w:val="24"/>
          <w:szCs w:val="28"/>
        </w:rPr>
        <w:t>，并逐页签字或盖章。</w:t>
      </w:r>
      <w:bookmarkEnd w:id="145"/>
      <w:bookmarkEnd w:id="146"/>
    </w:p>
    <w:p w14:paraId="36E698F4">
      <w:pPr>
        <w:snapToGrid w:val="0"/>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3、该表可根据项目实际情况调整。</w:t>
      </w:r>
    </w:p>
    <w:p w14:paraId="4786A746">
      <w:pPr>
        <w:pStyle w:val="39"/>
        <w:spacing w:line="360" w:lineRule="auto"/>
        <w:rPr>
          <w:rFonts w:hint="eastAsia" w:ascii="微软雅黑" w:hAnsi="微软雅黑" w:eastAsia="微软雅黑" w:cs="微软雅黑"/>
          <w:color w:val="auto"/>
          <w:sz w:val="24"/>
          <w:szCs w:val="24"/>
        </w:rPr>
      </w:pPr>
    </w:p>
    <w:p w14:paraId="13CC1215">
      <w:pPr>
        <w:pStyle w:val="39"/>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16DE6774">
      <w:pPr>
        <w:rPr>
          <w:rFonts w:hint="eastAsia" w:ascii="微软雅黑" w:hAnsi="微软雅黑" w:eastAsia="微软雅黑" w:cs="微软雅黑"/>
          <w:color w:val="auto"/>
        </w:rPr>
      </w:pPr>
    </w:p>
    <w:p w14:paraId="6D338CFA">
      <w:pPr>
        <w:rPr>
          <w:rFonts w:hint="eastAsia" w:ascii="微软雅黑" w:hAnsi="微软雅黑" w:eastAsia="微软雅黑" w:cs="微软雅黑"/>
          <w:color w:val="auto"/>
        </w:rPr>
      </w:pPr>
    </w:p>
    <w:p w14:paraId="6DB449BB">
      <w:pPr>
        <w:spacing w:line="360" w:lineRule="auto"/>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 xml:space="preserve">                                                 供应商名称（公章）或自然人签署：</w:t>
      </w:r>
    </w:p>
    <w:p w14:paraId="387D6EF7">
      <w:pPr>
        <w:spacing w:line="360" w:lineRule="auto"/>
        <w:ind w:right="480" w:firstLine="6480" w:firstLineChars="27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3F16C017">
      <w:pPr>
        <w:snapToGrid w:val="0"/>
        <w:spacing w:line="360" w:lineRule="auto"/>
        <w:ind w:firstLine="480" w:firstLineChars="200"/>
        <w:rPr>
          <w:rFonts w:hint="eastAsia" w:ascii="微软雅黑" w:hAnsi="微软雅黑" w:eastAsia="微软雅黑" w:cs="微软雅黑"/>
          <w:color w:val="auto"/>
          <w:sz w:val="24"/>
          <w:szCs w:val="24"/>
          <w:bdr w:val="single" w:color="auto" w:sz="4" w:space="0"/>
        </w:rPr>
        <w:sectPr>
          <w:headerReference r:id="rId14" w:type="default"/>
          <w:pgSz w:w="11907" w:h="16840"/>
          <w:pgMar w:top="1134" w:right="1191" w:bottom="1134" w:left="1304" w:header="851" w:footer="992" w:gutter="0"/>
          <w:pgNumType w:fmt="numberInDash"/>
          <w:cols w:space="720" w:num="1"/>
          <w:docGrid w:linePitch="380" w:charSpace="-5735"/>
        </w:sectPr>
      </w:pPr>
    </w:p>
    <w:p w14:paraId="66D3FB55">
      <w:pPr>
        <w:pStyle w:val="4"/>
        <w:spacing w:before="0" w:after="0" w:line="360" w:lineRule="auto"/>
        <w:rPr>
          <w:rFonts w:hint="eastAsia" w:ascii="微软雅黑" w:hAnsi="微软雅黑" w:eastAsia="微软雅黑" w:cs="微软雅黑"/>
          <w:color w:val="auto"/>
          <w:sz w:val="24"/>
          <w:szCs w:val="24"/>
        </w:rPr>
      </w:pPr>
      <w:bookmarkStart w:id="147" w:name="_Toc23131"/>
      <w:bookmarkStart w:id="148" w:name="_Toc313888361"/>
      <w:bookmarkStart w:id="149" w:name="_Toc342913420"/>
      <w:bookmarkStart w:id="150" w:name="_Toc313008357"/>
      <w:bookmarkStart w:id="151" w:name="_Toc31118"/>
      <w:r>
        <w:rPr>
          <w:rFonts w:hint="eastAsia" w:ascii="微软雅黑" w:hAnsi="微软雅黑" w:eastAsia="微软雅黑" w:cs="微软雅黑"/>
          <w:color w:val="auto"/>
          <w:sz w:val="24"/>
          <w:szCs w:val="24"/>
        </w:rPr>
        <w:t>二、服务部分</w:t>
      </w:r>
      <w:bookmarkEnd w:id="147"/>
      <w:bookmarkEnd w:id="148"/>
      <w:bookmarkEnd w:id="149"/>
      <w:bookmarkEnd w:id="150"/>
      <w:bookmarkEnd w:id="151"/>
    </w:p>
    <w:p w14:paraId="6D5DE8EF">
      <w:pPr>
        <w:snapToGrid w:val="0"/>
        <w:spacing w:line="360" w:lineRule="auto"/>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（一）服务方案（格式自定）</w:t>
      </w:r>
    </w:p>
    <w:p w14:paraId="46BDF8BB">
      <w:pPr>
        <w:tabs>
          <w:tab w:val="left" w:pos="6300"/>
        </w:tabs>
        <w:snapToGrid w:val="0"/>
        <w:spacing w:line="500" w:lineRule="exact"/>
        <w:ind w:firstLine="57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br w:type="page"/>
      </w:r>
      <w:r>
        <w:rPr>
          <w:rFonts w:hint="eastAsia" w:ascii="微软雅黑" w:hAnsi="微软雅黑" w:eastAsia="微软雅黑" w:cs="微软雅黑"/>
          <w:color w:val="auto"/>
          <w:sz w:val="24"/>
          <w:szCs w:val="24"/>
        </w:rPr>
        <w:t>（二）服务响应偏离表</w:t>
      </w:r>
    </w:p>
    <w:p w14:paraId="00FC0AF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603D177E">
      <w:pPr>
        <w:pStyle w:val="34"/>
        <w:tabs>
          <w:tab w:val="left" w:pos="6300"/>
        </w:tabs>
        <w:snapToGrid w:val="0"/>
        <w:spacing w:line="500" w:lineRule="exact"/>
        <w:ind w:firstLine="480" w:firstLineChars="200"/>
        <w:outlineLvl w:val="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磋商项目名称</w:t>
      </w:r>
      <w:r>
        <w:rPr>
          <w:rFonts w:hint="eastAsia" w:ascii="微软雅黑" w:hAnsi="微软雅黑" w:eastAsia="微软雅黑" w:cs="微软雅黑"/>
          <w:color w:val="auto"/>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CF9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2BB295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2658" w:type="dxa"/>
            <w:vAlign w:val="center"/>
          </w:tcPr>
          <w:p w14:paraId="012E01D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采购需求</w:t>
            </w:r>
          </w:p>
        </w:tc>
        <w:tc>
          <w:tcPr>
            <w:tcW w:w="2759" w:type="dxa"/>
            <w:vAlign w:val="center"/>
          </w:tcPr>
          <w:p w14:paraId="5D096C0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响应情况</w:t>
            </w:r>
          </w:p>
        </w:tc>
        <w:tc>
          <w:tcPr>
            <w:tcW w:w="2067" w:type="dxa"/>
            <w:vAlign w:val="center"/>
          </w:tcPr>
          <w:p w14:paraId="4D81F0A1">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差异说明</w:t>
            </w:r>
          </w:p>
        </w:tc>
      </w:tr>
      <w:tr w14:paraId="75AD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970AA2">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D7FBA2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81520B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1D94EF5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4020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F7902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7761639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E3729C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554B2D9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E56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37262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DBF328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B02641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65C7D57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EF5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C6BAC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0FF8B19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52C208B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78D5D914">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533C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6F222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207E112E">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1F65D17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2021FEE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32D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AAF6C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31CA936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43859F1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7835634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349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9F7E7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75C31B14">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58F2C08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73D0FB64">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7946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F5281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6D10FC3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3FA974D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62F55837">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38B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82FE5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6630AE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0A6BAA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7752837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5D87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75EFB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3C7AA151">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478B65E2">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49D0778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bl>
    <w:p w14:paraId="286287C7">
      <w:pPr>
        <w:spacing w:line="500" w:lineRule="exact"/>
        <w:ind w:firstLine="600" w:firstLineChars="2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r>
        <w:rPr>
          <w:rFonts w:hint="eastAsia" w:ascii="微软雅黑" w:hAnsi="微软雅黑" w:eastAsia="微软雅黑" w:cs="微软雅黑"/>
          <w:color w:val="auto"/>
          <w:sz w:val="24"/>
          <w:szCs w:val="28"/>
        </w:rPr>
        <w:t>：</w:t>
      </w:r>
    </w:p>
    <w:p w14:paraId="66FFA7D8">
      <w:pPr>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78D6FF67">
      <w:pPr>
        <w:spacing w:line="500" w:lineRule="exact"/>
        <w:ind w:firstLine="720" w:firstLineChars="3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（签字或盖章）</w:t>
      </w:r>
    </w:p>
    <w:p w14:paraId="6B110EDF">
      <w:pPr>
        <w:tabs>
          <w:tab w:val="left" w:pos="6300"/>
        </w:tabs>
        <w:snapToGrid w:val="0"/>
        <w:spacing w:line="500" w:lineRule="exact"/>
        <w:ind w:firstLine="57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087475FA">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76DEC020">
      <w:pPr>
        <w:tabs>
          <w:tab w:val="left" w:pos="6300"/>
        </w:tabs>
        <w:snapToGrid w:val="0"/>
        <w:spacing w:line="500" w:lineRule="exact"/>
        <w:ind w:firstLine="480" w:firstLineChars="200"/>
        <w:rPr>
          <w:rFonts w:hint="eastAsia" w:ascii="微软雅黑" w:hAnsi="微软雅黑" w:eastAsia="微软雅黑" w:cs="微软雅黑"/>
          <w:color w:val="auto"/>
          <w:sz w:val="24"/>
        </w:rPr>
      </w:pPr>
      <w:bookmarkStart w:id="152" w:name="_Toc342913421"/>
      <w:bookmarkStart w:id="153" w:name="_Toc313888362"/>
      <w:bookmarkStart w:id="154" w:name="_Toc313008358"/>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本表即为对本项目“第二篇  项目服务需求”中所列条款进行比较和响应；</w:t>
      </w:r>
    </w:p>
    <w:p w14:paraId="5A7D7054">
      <w:pPr>
        <w:snapToGrid w:val="0"/>
        <w:spacing w:line="400" w:lineRule="exact"/>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2.本表可扩展。</w:t>
      </w:r>
    </w:p>
    <w:p w14:paraId="194B2527">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72DD0C73">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25339C54">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4801026E">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69C70D7A">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145CE128">
      <w:pPr>
        <w:pStyle w:val="4"/>
        <w:spacing w:before="0" w:after="0" w:line="360" w:lineRule="auto"/>
        <w:rPr>
          <w:rFonts w:hint="eastAsia" w:ascii="微软雅黑" w:hAnsi="微软雅黑" w:eastAsia="微软雅黑" w:cs="微软雅黑"/>
          <w:color w:val="auto"/>
          <w:sz w:val="24"/>
          <w:szCs w:val="24"/>
        </w:rPr>
      </w:pPr>
      <w:bookmarkStart w:id="155" w:name="_Toc13646"/>
      <w:bookmarkStart w:id="156" w:name="_Toc2443"/>
      <w:r>
        <w:rPr>
          <w:rFonts w:hint="eastAsia" w:ascii="微软雅黑" w:hAnsi="微软雅黑" w:eastAsia="微软雅黑" w:cs="微软雅黑"/>
          <w:color w:val="auto"/>
          <w:sz w:val="24"/>
          <w:szCs w:val="24"/>
        </w:rPr>
        <w:t>三、商务部分</w:t>
      </w:r>
      <w:bookmarkEnd w:id="152"/>
      <w:bookmarkEnd w:id="153"/>
      <w:bookmarkEnd w:id="154"/>
      <w:bookmarkEnd w:id="155"/>
      <w:bookmarkEnd w:id="156"/>
    </w:p>
    <w:p w14:paraId="4A367B38">
      <w:pPr>
        <w:snapToGrid w:val="0"/>
        <w:spacing w:line="400" w:lineRule="exact"/>
        <w:ind w:firstLine="480" w:firstLineChars="200"/>
        <w:rPr>
          <w:rFonts w:hint="eastAsia" w:ascii="微软雅黑" w:hAnsi="微软雅黑" w:eastAsia="微软雅黑" w:cs="微软雅黑"/>
          <w:color w:val="auto"/>
          <w:sz w:val="24"/>
          <w:szCs w:val="24"/>
        </w:rPr>
      </w:pPr>
      <w:bookmarkStart w:id="157" w:name="_Toc283382459"/>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szCs w:val="24"/>
        </w:rPr>
        <w:t>商务响应偏离表</w:t>
      </w:r>
    </w:p>
    <w:p w14:paraId="2721FC52">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5DD99B9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CCB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03407B2">
            <w:pPr>
              <w:snapToGrid w:val="0"/>
              <w:spacing w:line="360" w:lineRule="auto"/>
              <w:ind w:firstLine="465"/>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序号</w:t>
            </w:r>
          </w:p>
        </w:tc>
        <w:tc>
          <w:tcPr>
            <w:tcW w:w="3179" w:type="dxa"/>
            <w:vAlign w:val="center"/>
          </w:tcPr>
          <w:p w14:paraId="6717DE7A">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磋商项目商务需求</w:t>
            </w:r>
          </w:p>
        </w:tc>
        <w:tc>
          <w:tcPr>
            <w:tcW w:w="2434" w:type="dxa"/>
            <w:vAlign w:val="center"/>
          </w:tcPr>
          <w:p w14:paraId="19BECB9C">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响应情况</w:t>
            </w:r>
          </w:p>
        </w:tc>
        <w:tc>
          <w:tcPr>
            <w:tcW w:w="2355" w:type="dxa"/>
            <w:vAlign w:val="center"/>
          </w:tcPr>
          <w:p w14:paraId="4795E701">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偏离说明</w:t>
            </w:r>
          </w:p>
        </w:tc>
      </w:tr>
      <w:tr w14:paraId="483C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59800BD">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03611114">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3DD8EB81">
            <w:pPr>
              <w:tabs>
                <w:tab w:val="left" w:pos="6300"/>
              </w:tabs>
              <w:snapToGrid w:val="0"/>
              <w:spacing w:line="360" w:lineRule="auto"/>
              <w:outlineLvl w:val="0"/>
              <w:rPr>
                <w:rFonts w:hint="eastAsia" w:ascii="微软雅黑" w:hAnsi="微软雅黑" w:eastAsia="微软雅黑" w:cs="微软雅黑"/>
                <w:color w:val="auto"/>
                <w:sz w:val="21"/>
                <w:szCs w:val="24"/>
              </w:rPr>
            </w:pPr>
          </w:p>
        </w:tc>
        <w:tc>
          <w:tcPr>
            <w:tcW w:w="2355" w:type="dxa"/>
            <w:vAlign w:val="center"/>
          </w:tcPr>
          <w:p w14:paraId="45CF9964">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2F63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9D3A25">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17CC7FC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1B4DA838">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0D3B1A0E">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5B4F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3EB92E">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5D52CB16">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4C45FFBB">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347082A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77C5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E4948E">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4D23D91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734B0D9B">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2155E88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03CF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66A7CD">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17404781">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1803E626">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68A101D0">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3356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E3F731">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038F0359">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20801A11">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6D74C282">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bl>
    <w:p w14:paraId="28186579">
      <w:pPr>
        <w:snapToGrid w:val="0"/>
        <w:spacing w:line="360" w:lineRule="auto"/>
        <w:ind w:firstLine="465"/>
        <w:rPr>
          <w:rFonts w:hint="eastAsia" w:ascii="微软雅黑" w:hAnsi="微软雅黑" w:eastAsia="微软雅黑" w:cs="微软雅黑"/>
          <w:color w:val="auto"/>
          <w:sz w:val="24"/>
          <w:szCs w:val="24"/>
        </w:rPr>
      </w:pPr>
    </w:p>
    <w:p w14:paraId="4AF9895B">
      <w:pPr>
        <w:spacing w:line="500" w:lineRule="exact"/>
        <w:ind w:firstLine="600" w:firstLineChars="2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p>
    <w:p w14:paraId="62173CF3">
      <w:pPr>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308A2EC3">
      <w:pPr>
        <w:spacing w:line="500" w:lineRule="exact"/>
        <w:ind w:firstLine="360" w:firstLineChars="1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（签署或盖章）</w:t>
      </w:r>
    </w:p>
    <w:p w14:paraId="4030CBAD">
      <w:pPr>
        <w:tabs>
          <w:tab w:val="left" w:pos="6300"/>
        </w:tabs>
        <w:snapToGrid w:val="0"/>
        <w:spacing w:line="500" w:lineRule="exact"/>
        <w:ind w:firstLine="57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2B0287B6">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1B1D1F1F">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本表即为对本项目“第三篇  项目商务需求”中所列条款进行比较和响应；</w:t>
      </w:r>
    </w:p>
    <w:p w14:paraId="473F9F1C">
      <w:pPr>
        <w:snapToGrid w:val="0"/>
        <w:spacing w:line="400" w:lineRule="exact"/>
        <w:ind w:firstLine="480" w:firstLineChars="200"/>
        <w:rPr>
          <w:rFonts w:hint="eastAsia" w:ascii="微软雅黑" w:hAnsi="微软雅黑" w:eastAsia="微软雅黑" w:cs="微软雅黑"/>
          <w:b/>
          <w:color w:val="auto"/>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rPr>
        <w:t>2.本表可扩展。</w:t>
      </w:r>
    </w:p>
    <w:p w14:paraId="6EC7CD83">
      <w:pPr>
        <w:spacing w:line="360" w:lineRule="auto"/>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（二）其它优惠承诺（格式自定）</w:t>
      </w:r>
    </w:p>
    <w:p w14:paraId="0223FA5A">
      <w:pPr>
        <w:spacing w:line="360" w:lineRule="auto"/>
        <w:ind w:firstLine="480" w:firstLineChars="200"/>
        <w:rPr>
          <w:rFonts w:hint="eastAsia" w:ascii="微软雅黑" w:hAnsi="微软雅黑" w:eastAsia="微软雅黑" w:cs="微软雅黑"/>
          <w:color w:val="auto"/>
          <w:sz w:val="24"/>
        </w:rPr>
      </w:pPr>
    </w:p>
    <w:p w14:paraId="39480791">
      <w:pPr>
        <w:spacing w:line="360" w:lineRule="auto"/>
        <w:ind w:firstLine="480" w:firstLineChars="200"/>
        <w:rPr>
          <w:rFonts w:hint="eastAsia" w:ascii="微软雅黑" w:hAnsi="微软雅黑" w:eastAsia="微软雅黑" w:cs="微软雅黑"/>
          <w:color w:val="auto"/>
          <w:sz w:val="24"/>
        </w:rPr>
      </w:pPr>
    </w:p>
    <w:p w14:paraId="1B571A5A">
      <w:pPr>
        <w:spacing w:line="360" w:lineRule="auto"/>
        <w:ind w:firstLine="480" w:firstLineChars="200"/>
        <w:rPr>
          <w:rFonts w:hint="eastAsia" w:ascii="微软雅黑" w:hAnsi="微软雅黑" w:eastAsia="微软雅黑" w:cs="微软雅黑"/>
          <w:color w:val="auto"/>
          <w:sz w:val="24"/>
        </w:rPr>
      </w:pPr>
    </w:p>
    <w:p w14:paraId="779A9C8C">
      <w:pPr>
        <w:spacing w:line="360" w:lineRule="auto"/>
        <w:ind w:firstLine="480" w:firstLineChars="200"/>
        <w:rPr>
          <w:rFonts w:hint="eastAsia" w:ascii="微软雅黑" w:hAnsi="微软雅黑" w:eastAsia="微软雅黑" w:cs="微软雅黑"/>
          <w:color w:val="auto"/>
          <w:sz w:val="24"/>
        </w:rPr>
      </w:pPr>
    </w:p>
    <w:p w14:paraId="0174AD5C">
      <w:pPr>
        <w:spacing w:line="360" w:lineRule="auto"/>
        <w:ind w:firstLine="480" w:firstLineChars="200"/>
        <w:rPr>
          <w:rFonts w:hint="eastAsia" w:ascii="微软雅黑" w:hAnsi="微软雅黑" w:eastAsia="微软雅黑" w:cs="微软雅黑"/>
          <w:color w:val="auto"/>
          <w:sz w:val="24"/>
        </w:rPr>
      </w:pPr>
    </w:p>
    <w:p w14:paraId="742B57B1">
      <w:pPr>
        <w:spacing w:line="360" w:lineRule="auto"/>
        <w:ind w:firstLine="480" w:firstLineChars="200"/>
        <w:rPr>
          <w:rFonts w:hint="eastAsia" w:ascii="微软雅黑" w:hAnsi="微软雅黑" w:eastAsia="微软雅黑" w:cs="微软雅黑"/>
          <w:color w:val="auto"/>
          <w:sz w:val="24"/>
        </w:rPr>
      </w:pPr>
    </w:p>
    <w:p w14:paraId="3DD02720">
      <w:pPr>
        <w:spacing w:line="360" w:lineRule="auto"/>
        <w:ind w:firstLine="480" w:firstLineChars="200"/>
        <w:rPr>
          <w:rFonts w:hint="eastAsia" w:ascii="微软雅黑" w:hAnsi="微软雅黑" w:eastAsia="微软雅黑" w:cs="微软雅黑"/>
          <w:color w:val="auto"/>
          <w:sz w:val="24"/>
        </w:rPr>
      </w:pPr>
    </w:p>
    <w:p w14:paraId="7579C55F">
      <w:pPr>
        <w:spacing w:line="360" w:lineRule="auto"/>
        <w:ind w:firstLine="480" w:firstLineChars="200"/>
        <w:rPr>
          <w:rFonts w:hint="eastAsia" w:ascii="微软雅黑" w:hAnsi="微软雅黑" w:eastAsia="微软雅黑" w:cs="微软雅黑"/>
          <w:color w:val="auto"/>
          <w:sz w:val="24"/>
        </w:rPr>
      </w:pPr>
    </w:p>
    <w:p w14:paraId="5B95CA0B">
      <w:pPr>
        <w:spacing w:line="360" w:lineRule="auto"/>
        <w:ind w:firstLine="480" w:firstLineChars="200"/>
        <w:rPr>
          <w:rFonts w:hint="eastAsia" w:ascii="微软雅黑" w:hAnsi="微软雅黑" w:eastAsia="微软雅黑" w:cs="微软雅黑"/>
          <w:color w:val="auto"/>
          <w:sz w:val="24"/>
        </w:rPr>
      </w:pPr>
    </w:p>
    <w:p w14:paraId="1C74DDA4">
      <w:pPr>
        <w:spacing w:line="360" w:lineRule="auto"/>
        <w:ind w:firstLine="480" w:firstLineChars="200"/>
        <w:rPr>
          <w:rFonts w:hint="eastAsia" w:ascii="微软雅黑" w:hAnsi="微软雅黑" w:eastAsia="微软雅黑" w:cs="微软雅黑"/>
          <w:color w:val="auto"/>
          <w:sz w:val="24"/>
        </w:rPr>
      </w:pPr>
    </w:p>
    <w:p w14:paraId="4A67A7A8">
      <w:pPr>
        <w:spacing w:line="360" w:lineRule="auto"/>
        <w:ind w:firstLine="480" w:firstLineChars="200"/>
        <w:rPr>
          <w:rFonts w:hint="eastAsia" w:ascii="微软雅黑" w:hAnsi="微软雅黑" w:eastAsia="微软雅黑" w:cs="微软雅黑"/>
          <w:color w:val="auto"/>
          <w:sz w:val="24"/>
        </w:rPr>
      </w:pPr>
    </w:p>
    <w:p w14:paraId="0597B206">
      <w:pPr>
        <w:spacing w:line="360" w:lineRule="auto"/>
        <w:ind w:firstLine="480" w:firstLineChars="200"/>
        <w:rPr>
          <w:rFonts w:hint="eastAsia" w:ascii="微软雅黑" w:hAnsi="微软雅黑" w:eastAsia="微软雅黑" w:cs="微软雅黑"/>
          <w:color w:val="auto"/>
          <w:sz w:val="24"/>
        </w:rPr>
      </w:pPr>
    </w:p>
    <w:p w14:paraId="2795496D">
      <w:pPr>
        <w:spacing w:line="360" w:lineRule="auto"/>
        <w:ind w:firstLine="480" w:firstLineChars="200"/>
        <w:rPr>
          <w:rFonts w:hint="eastAsia" w:ascii="微软雅黑" w:hAnsi="微软雅黑" w:eastAsia="微软雅黑" w:cs="微软雅黑"/>
          <w:color w:val="auto"/>
          <w:sz w:val="24"/>
        </w:rPr>
      </w:pPr>
    </w:p>
    <w:p w14:paraId="252EABBF">
      <w:pPr>
        <w:spacing w:line="360" w:lineRule="auto"/>
        <w:ind w:firstLine="480" w:firstLineChars="200"/>
        <w:rPr>
          <w:rFonts w:hint="eastAsia" w:ascii="微软雅黑" w:hAnsi="微软雅黑" w:eastAsia="微软雅黑" w:cs="微软雅黑"/>
          <w:color w:val="auto"/>
          <w:sz w:val="24"/>
        </w:rPr>
      </w:pPr>
    </w:p>
    <w:p w14:paraId="0A7F8D5D">
      <w:pPr>
        <w:spacing w:line="360" w:lineRule="auto"/>
        <w:ind w:firstLine="480" w:firstLineChars="200"/>
        <w:rPr>
          <w:rFonts w:hint="eastAsia" w:ascii="微软雅黑" w:hAnsi="微软雅黑" w:eastAsia="微软雅黑" w:cs="微软雅黑"/>
          <w:color w:val="auto"/>
          <w:sz w:val="24"/>
        </w:rPr>
      </w:pPr>
    </w:p>
    <w:p w14:paraId="5A5EED7E">
      <w:pPr>
        <w:spacing w:line="360" w:lineRule="auto"/>
        <w:ind w:firstLine="480" w:firstLineChars="200"/>
        <w:rPr>
          <w:rFonts w:hint="eastAsia" w:ascii="微软雅黑" w:hAnsi="微软雅黑" w:eastAsia="微软雅黑" w:cs="微软雅黑"/>
          <w:color w:val="auto"/>
          <w:sz w:val="24"/>
        </w:rPr>
      </w:pPr>
    </w:p>
    <w:p w14:paraId="06C9EA45">
      <w:pPr>
        <w:spacing w:line="360" w:lineRule="auto"/>
        <w:ind w:firstLine="480" w:firstLineChars="200"/>
        <w:rPr>
          <w:rFonts w:hint="eastAsia" w:ascii="微软雅黑" w:hAnsi="微软雅黑" w:eastAsia="微软雅黑" w:cs="微软雅黑"/>
          <w:color w:val="auto"/>
          <w:sz w:val="24"/>
        </w:rPr>
      </w:pPr>
    </w:p>
    <w:p w14:paraId="0B2D1756">
      <w:pPr>
        <w:spacing w:line="360" w:lineRule="auto"/>
        <w:ind w:firstLine="480" w:firstLineChars="200"/>
        <w:rPr>
          <w:rFonts w:hint="eastAsia" w:ascii="微软雅黑" w:hAnsi="微软雅黑" w:eastAsia="微软雅黑" w:cs="微软雅黑"/>
          <w:color w:val="auto"/>
          <w:sz w:val="24"/>
        </w:rPr>
      </w:pPr>
    </w:p>
    <w:p w14:paraId="5BE4EF8B">
      <w:pPr>
        <w:spacing w:line="360" w:lineRule="auto"/>
        <w:ind w:firstLine="480" w:firstLineChars="200"/>
        <w:rPr>
          <w:rFonts w:hint="eastAsia" w:ascii="微软雅黑" w:hAnsi="微软雅黑" w:eastAsia="微软雅黑" w:cs="微软雅黑"/>
          <w:color w:val="auto"/>
          <w:sz w:val="24"/>
        </w:rPr>
      </w:pPr>
    </w:p>
    <w:p w14:paraId="78C69543">
      <w:pPr>
        <w:spacing w:line="360" w:lineRule="auto"/>
        <w:ind w:firstLine="480" w:firstLineChars="200"/>
        <w:rPr>
          <w:rFonts w:hint="eastAsia" w:ascii="微软雅黑" w:hAnsi="微软雅黑" w:eastAsia="微软雅黑" w:cs="微软雅黑"/>
          <w:color w:val="auto"/>
          <w:sz w:val="24"/>
        </w:rPr>
      </w:pPr>
    </w:p>
    <w:p w14:paraId="75592F83">
      <w:pPr>
        <w:spacing w:line="360" w:lineRule="auto"/>
        <w:ind w:firstLine="480" w:firstLineChars="200"/>
        <w:rPr>
          <w:rFonts w:hint="eastAsia" w:ascii="微软雅黑" w:hAnsi="微软雅黑" w:eastAsia="微软雅黑" w:cs="微软雅黑"/>
          <w:color w:val="auto"/>
          <w:sz w:val="24"/>
        </w:rPr>
      </w:pPr>
    </w:p>
    <w:p w14:paraId="79809E4F">
      <w:pPr>
        <w:spacing w:line="360" w:lineRule="auto"/>
        <w:rPr>
          <w:rFonts w:hint="eastAsia" w:ascii="微软雅黑" w:hAnsi="微软雅黑" w:eastAsia="微软雅黑" w:cs="微软雅黑"/>
          <w:color w:val="auto"/>
          <w:sz w:val="24"/>
        </w:rPr>
      </w:pPr>
    </w:p>
    <w:bookmarkEnd w:id="157"/>
    <w:p w14:paraId="5646484A">
      <w:pPr>
        <w:pStyle w:val="4"/>
        <w:spacing w:before="0" w:after="0" w:line="360" w:lineRule="auto"/>
        <w:rPr>
          <w:rFonts w:hint="eastAsia" w:ascii="微软雅黑" w:hAnsi="微软雅黑" w:eastAsia="微软雅黑" w:cs="微软雅黑"/>
          <w:color w:val="auto"/>
        </w:rPr>
      </w:pPr>
      <w:bookmarkStart w:id="158" w:name="_Toc14002"/>
      <w:bookmarkStart w:id="159" w:name="_Toc313008359"/>
      <w:bookmarkStart w:id="160" w:name="_Toc313888363"/>
      <w:bookmarkStart w:id="161" w:name="_Toc342913422"/>
      <w:bookmarkStart w:id="162" w:name="_Toc6472"/>
      <w:r>
        <w:rPr>
          <w:rFonts w:hint="eastAsia" w:ascii="微软雅黑" w:hAnsi="微软雅黑" w:eastAsia="微软雅黑" w:cs="微软雅黑"/>
          <w:color w:val="auto"/>
          <w:sz w:val="24"/>
          <w:szCs w:val="24"/>
        </w:rPr>
        <w:t>四、资格条件及其他</w:t>
      </w:r>
      <w:bookmarkEnd w:id="158"/>
      <w:bookmarkEnd w:id="159"/>
      <w:bookmarkEnd w:id="160"/>
      <w:bookmarkEnd w:id="161"/>
      <w:bookmarkEnd w:id="162"/>
    </w:p>
    <w:p w14:paraId="61502801">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5B1BA87F">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F1BECD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D59289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0768C02">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EE60543">
      <w:pPr>
        <w:widowControl/>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（二）法定代表人身份证明书（格式）</w:t>
      </w:r>
    </w:p>
    <w:p w14:paraId="1964C1B2">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96781C9">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22EAD7BC">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663075D">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401E39E0">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（法定代表人姓名）在</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（供应商名称）任</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（职务名称）职务，是（供应商名称）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的法定代表人。</w:t>
      </w:r>
    </w:p>
    <w:p w14:paraId="629F1DF7">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D4D7389">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特此证明。</w:t>
      </w:r>
    </w:p>
    <w:p w14:paraId="6F560A56">
      <w:pPr>
        <w:tabs>
          <w:tab w:val="left" w:pos="6300"/>
        </w:tabs>
        <w:snapToGrid w:val="0"/>
        <w:spacing w:line="500" w:lineRule="exact"/>
        <w:ind w:firstLine="570"/>
        <w:rPr>
          <w:rFonts w:hint="eastAsia" w:ascii="微软雅黑" w:hAnsi="微软雅黑" w:eastAsia="微软雅黑" w:cs="微软雅黑"/>
          <w:color w:val="auto"/>
          <w:sz w:val="24"/>
          <w:szCs w:val="24"/>
        </w:rPr>
      </w:pPr>
    </w:p>
    <w:p w14:paraId="52D76E97">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DBA7FA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6C11478">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183B2CC4">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13127A2">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年   月   日</w:t>
      </w:r>
    </w:p>
    <w:p w14:paraId="45CA2FD1">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法定代表人电话：XXXXXXX      电子邮箱：XXXXXX@XXXXX（若授权他人办理并签署响应文件的可不填写）</w:t>
      </w:r>
    </w:p>
    <w:p w14:paraId="78994714">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（附：法定代表人身份证正反面复印件）</w:t>
      </w:r>
    </w:p>
    <w:p w14:paraId="2B48C88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24172B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3DA3BC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6353491">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22E5346">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63D91E7">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3130CDB">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 w:val="24"/>
          <w:szCs w:val="24"/>
        </w:rPr>
        <w:t>（三）法定代表人授权委托书（格式）</w:t>
      </w:r>
    </w:p>
    <w:p w14:paraId="2CE10168">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4EFFB012">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421292B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5D93005F">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6B821573">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（供应商法定代表人名称）是</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（供应商名称）的法定代表人，特授权</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（被授权人姓名及身份证代码）代表我单位全权办理上述项目的磋商、签约等具体工作，并签署全部有关文件、协议及合同。</w:t>
      </w:r>
    </w:p>
    <w:p w14:paraId="787DCDEA">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我单位对被授权人的签字负全部责任。</w:t>
      </w:r>
    </w:p>
    <w:p w14:paraId="0D519501">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在撤消授权的书面通知以前，本授权书一直有效。被授权人在授权书有效期内签署的所有文件不因授权的撤消而失效。</w:t>
      </w:r>
    </w:p>
    <w:p w14:paraId="0DCDF8BF">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1CC5F66">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874A5BF">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被授权人：                                 供应商法定代表人：</w:t>
      </w:r>
    </w:p>
    <w:p w14:paraId="7E07541E">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（签字或盖章）                                （签字或盖章）</w:t>
      </w:r>
    </w:p>
    <w:p w14:paraId="7A330AE4">
      <w:pPr>
        <w:tabs>
          <w:tab w:val="left" w:pos="6300"/>
        </w:tabs>
        <w:snapToGrid w:val="0"/>
        <w:spacing w:line="500" w:lineRule="exact"/>
        <w:ind w:firstLine="570"/>
        <w:rPr>
          <w:rFonts w:hint="eastAsia" w:ascii="微软雅黑" w:hAnsi="微软雅黑" w:eastAsia="微软雅黑" w:cs="微软雅黑"/>
          <w:color w:val="auto"/>
          <w:sz w:val="24"/>
          <w:szCs w:val="24"/>
        </w:rPr>
      </w:pPr>
    </w:p>
    <w:p w14:paraId="1335C0BF">
      <w:pPr>
        <w:tabs>
          <w:tab w:val="left" w:pos="6300"/>
        </w:tabs>
        <w:snapToGrid w:val="0"/>
        <w:spacing w:line="500" w:lineRule="exact"/>
        <w:ind w:firstLine="570"/>
        <w:rPr>
          <w:rFonts w:hint="eastAsia" w:ascii="微软雅黑" w:hAnsi="微软雅黑" w:eastAsia="微软雅黑" w:cs="微软雅黑"/>
          <w:color w:val="auto"/>
          <w:sz w:val="24"/>
          <w:szCs w:val="24"/>
        </w:rPr>
      </w:pPr>
    </w:p>
    <w:p w14:paraId="103012DE">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（附：被授权人身份证正反面复印件）</w:t>
      </w:r>
    </w:p>
    <w:p w14:paraId="1F5079F6">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6D638564">
      <w:pPr>
        <w:tabs>
          <w:tab w:val="left" w:pos="6300"/>
        </w:tabs>
        <w:snapToGrid w:val="0"/>
        <w:spacing w:line="500" w:lineRule="exact"/>
        <w:ind w:firstLine="570"/>
        <w:rPr>
          <w:rFonts w:hint="eastAsia" w:ascii="微软雅黑" w:hAnsi="微软雅黑" w:eastAsia="微软雅黑" w:cs="微软雅黑"/>
          <w:color w:val="auto"/>
          <w:sz w:val="24"/>
          <w:szCs w:val="24"/>
        </w:rPr>
      </w:pPr>
    </w:p>
    <w:p w14:paraId="1E0141EB">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14AA020">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16EDB79B">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38A96FD4">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p>
    <w:p w14:paraId="5733EC89">
      <w:pPr>
        <w:tabs>
          <w:tab w:val="left" w:pos="6300"/>
        </w:tabs>
        <w:snapToGrid w:val="0"/>
        <w:spacing w:line="500" w:lineRule="exact"/>
        <w:ind w:right="480" w:firstLine="57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被授权人电话：XXXXXXX     电子邮箱：XXXXXX@XXXXX（若法定代表人办理并签署响应文件的可不填写）</w:t>
      </w:r>
    </w:p>
    <w:p w14:paraId="7E061969">
      <w:pPr>
        <w:tabs>
          <w:tab w:val="left" w:pos="6300"/>
        </w:tabs>
        <w:snapToGrid w:val="0"/>
        <w:spacing w:line="500" w:lineRule="exact"/>
        <w:ind w:right="480" w:firstLine="57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注：若为联合体参与磋商的，法定代表人授权委托书由联合体主办方</w:t>
      </w:r>
      <w:r>
        <w:rPr>
          <w:rFonts w:hint="eastAsia" w:ascii="微软雅黑" w:hAnsi="微软雅黑" w:eastAsia="微软雅黑" w:cs="微软雅黑"/>
          <w:color w:val="auto"/>
          <w:kern w:val="0"/>
          <w:sz w:val="24"/>
          <w:szCs w:val="24"/>
        </w:rPr>
        <w:t>（主体）</w:t>
      </w:r>
      <w:r>
        <w:rPr>
          <w:rFonts w:hint="eastAsia" w:ascii="微软雅黑" w:hAnsi="微软雅黑" w:eastAsia="微软雅黑" w:cs="微软雅黑"/>
          <w:color w:val="auto"/>
          <w:sz w:val="24"/>
          <w:szCs w:val="24"/>
        </w:rPr>
        <w:t>出具。</w:t>
      </w:r>
    </w:p>
    <w:p w14:paraId="4B09C296">
      <w:pPr>
        <w:tabs>
          <w:tab w:val="left" w:pos="6300"/>
        </w:tabs>
        <w:snapToGrid w:val="0"/>
        <w:spacing w:line="500" w:lineRule="exact"/>
        <w:ind w:firstLine="57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Cs w:val="22"/>
        </w:rPr>
        <w:t>（四）基本资格条件承诺函</w:t>
      </w:r>
    </w:p>
    <w:p w14:paraId="507ACEA1">
      <w:pPr>
        <w:spacing w:line="530" w:lineRule="exact"/>
        <w:ind w:firstLine="720" w:firstLineChars="200"/>
        <w:jc w:val="center"/>
        <w:outlineLvl w:val="0"/>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基本资格条件承诺函</w:t>
      </w:r>
    </w:p>
    <w:p w14:paraId="1255E409">
      <w:pPr>
        <w:tabs>
          <w:tab w:val="left" w:pos="6300"/>
        </w:tabs>
        <w:snapToGrid w:val="0"/>
        <w:spacing w:line="530" w:lineRule="exact"/>
        <w:rPr>
          <w:rFonts w:hint="eastAsia" w:ascii="微软雅黑" w:hAnsi="微软雅黑" w:eastAsia="微软雅黑" w:cs="微软雅黑"/>
          <w:color w:val="auto"/>
          <w:sz w:val="24"/>
        </w:rPr>
      </w:pPr>
    </w:p>
    <w:p w14:paraId="0419F62E">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致</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（采购代理机构名称）：</w:t>
      </w:r>
    </w:p>
    <w:p w14:paraId="7305EC12">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 xml:space="preserve">   </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（投标人名称）郑重承诺：</w:t>
      </w:r>
    </w:p>
    <w:p w14:paraId="453E5291">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2"/>
          <w:lang w:val="zh-CN"/>
        </w:rPr>
        <w:t>有依法缴纳税收和社会保障金的良好记录</w:t>
      </w:r>
      <w:r>
        <w:rPr>
          <w:rFonts w:hint="eastAsia" w:ascii="微软雅黑" w:hAnsi="微软雅黑" w:eastAsia="微软雅黑" w:cs="微软雅黑"/>
          <w:color w:val="auto"/>
          <w:sz w:val="24"/>
          <w:szCs w:val="22"/>
        </w:rPr>
        <w:t>，参加本项目采购活动前三年内无重大违法活动记录。</w:t>
      </w:r>
    </w:p>
    <w:p w14:paraId="02F27167">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2.我方未列入在信用中国网站（www.creditchina.gov.cn）“失信被执行人”、“重大税收违法案件当事人名单”中，也未列入中国政府采购网（www.ccgp.gov.cn）“政府采购严重违法失信行为记录名单”中。</w:t>
      </w:r>
    </w:p>
    <w:p w14:paraId="29F51F09">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3.我方在采购项目评审（评标）环节结束后，随时接受采购人、采购代理机构的检查验证，配合提供相关证明材料，证明符合《中华人民共和国政府采购法》规定的投标人基本资格条件。</w:t>
      </w:r>
    </w:p>
    <w:p w14:paraId="3BB472F7">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我方对以上承诺负全部法律责任。</w:t>
      </w:r>
    </w:p>
    <w:p w14:paraId="14AB3E48">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特此承诺。</w:t>
      </w:r>
    </w:p>
    <w:p w14:paraId="08810DC0">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p>
    <w:p w14:paraId="59F93E10">
      <w:pPr>
        <w:tabs>
          <w:tab w:val="left" w:pos="6300"/>
        </w:tabs>
        <w:snapToGrid w:val="0"/>
        <w:spacing w:line="500" w:lineRule="exact"/>
        <w:ind w:firstLine="480" w:firstLineChars="200"/>
        <w:jc w:val="right"/>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（供应商公章）</w:t>
      </w:r>
    </w:p>
    <w:p w14:paraId="49CED84F">
      <w:pPr>
        <w:tabs>
          <w:tab w:val="left" w:pos="6300"/>
        </w:tabs>
        <w:snapToGrid w:val="0"/>
        <w:spacing w:line="500" w:lineRule="exact"/>
        <w:ind w:firstLine="480" w:firstLineChars="200"/>
        <w:jc w:val="right"/>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年   月   日</w:t>
      </w:r>
    </w:p>
    <w:p w14:paraId="1F4D2924">
      <w:pPr>
        <w:pStyle w:val="22"/>
        <w:rPr>
          <w:rFonts w:hint="eastAsia" w:ascii="微软雅黑" w:hAnsi="微软雅黑" w:eastAsia="微软雅黑" w:cs="微软雅黑"/>
          <w:color w:val="auto"/>
          <w:sz w:val="24"/>
          <w:szCs w:val="22"/>
        </w:rPr>
      </w:pPr>
    </w:p>
    <w:p w14:paraId="6E3006C4">
      <w:pPr>
        <w:pStyle w:val="22"/>
        <w:rPr>
          <w:rFonts w:hint="eastAsia" w:ascii="微软雅黑" w:hAnsi="微软雅黑" w:eastAsia="微软雅黑" w:cs="微软雅黑"/>
          <w:color w:val="auto"/>
          <w:sz w:val="24"/>
          <w:szCs w:val="22"/>
        </w:rPr>
      </w:pPr>
    </w:p>
    <w:p w14:paraId="4380925A">
      <w:pPr>
        <w:pStyle w:val="22"/>
        <w:rPr>
          <w:rFonts w:hint="eastAsia" w:ascii="微软雅黑" w:hAnsi="微软雅黑" w:eastAsia="微软雅黑" w:cs="微软雅黑"/>
          <w:color w:val="auto"/>
          <w:sz w:val="24"/>
          <w:szCs w:val="22"/>
        </w:rPr>
      </w:pPr>
    </w:p>
    <w:p w14:paraId="367B57FE">
      <w:pPr>
        <w:pStyle w:val="22"/>
        <w:rPr>
          <w:rFonts w:hint="eastAsia" w:ascii="微软雅黑" w:hAnsi="微软雅黑" w:eastAsia="微软雅黑" w:cs="微软雅黑"/>
          <w:color w:val="auto"/>
          <w:sz w:val="24"/>
          <w:szCs w:val="22"/>
        </w:rPr>
      </w:pPr>
    </w:p>
    <w:p w14:paraId="34EB882F">
      <w:pPr>
        <w:pStyle w:val="22"/>
        <w:rPr>
          <w:rFonts w:hint="eastAsia" w:ascii="微软雅黑" w:hAnsi="微软雅黑" w:eastAsia="微软雅黑" w:cs="微软雅黑"/>
          <w:color w:val="auto"/>
          <w:sz w:val="24"/>
          <w:szCs w:val="22"/>
        </w:rPr>
      </w:pPr>
    </w:p>
    <w:p w14:paraId="4AD455E8">
      <w:pPr>
        <w:pStyle w:val="22"/>
        <w:rPr>
          <w:rFonts w:hint="eastAsia" w:ascii="微软雅黑" w:hAnsi="微软雅黑" w:eastAsia="微软雅黑" w:cs="微软雅黑"/>
          <w:color w:val="auto"/>
          <w:sz w:val="24"/>
          <w:szCs w:val="22"/>
        </w:rPr>
      </w:pPr>
    </w:p>
    <w:p w14:paraId="4EF06F29">
      <w:pPr>
        <w:pStyle w:val="22"/>
        <w:rPr>
          <w:rFonts w:hint="eastAsia" w:ascii="微软雅黑" w:hAnsi="微软雅黑" w:eastAsia="微软雅黑" w:cs="微软雅黑"/>
          <w:color w:val="auto"/>
          <w:sz w:val="24"/>
          <w:szCs w:val="22"/>
        </w:rPr>
      </w:pPr>
    </w:p>
    <w:p w14:paraId="78E5557A">
      <w:pPr>
        <w:pStyle w:val="22"/>
        <w:rPr>
          <w:rFonts w:hint="eastAsia" w:ascii="微软雅黑" w:hAnsi="微软雅黑" w:eastAsia="微软雅黑" w:cs="微软雅黑"/>
          <w:color w:val="auto"/>
          <w:sz w:val="24"/>
          <w:szCs w:val="22"/>
        </w:rPr>
      </w:pPr>
    </w:p>
    <w:p w14:paraId="110D2481">
      <w:pPr>
        <w:pStyle w:val="22"/>
        <w:rPr>
          <w:rFonts w:hint="eastAsia" w:ascii="微软雅黑" w:hAnsi="微软雅黑" w:eastAsia="微软雅黑" w:cs="微软雅黑"/>
          <w:color w:val="auto"/>
          <w:sz w:val="24"/>
          <w:szCs w:val="22"/>
        </w:rPr>
      </w:pPr>
    </w:p>
    <w:p w14:paraId="403E3404">
      <w:pPr>
        <w:pStyle w:val="22"/>
        <w:rPr>
          <w:rFonts w:hint="eastAsia" w:ascii="微软雅黑" w:hAnsi="微软雅黑" w:eastAsia="微软雅黑" w:cs="微软雅黑"/>
          <w:color w:val="auto"/>
          <w:sz w:val="24"/>
          <w:szCs w:val="22"/>
        </w:rPr>
      </w:pPr>
    </w:p>
    <w:p w14:paraId="2D5E5E69">
      <w:pPr>
        <w:pStyle w:val="22"/>
        <w:rPr>
          <w:rFonts w:hint="eastAsia" w:ascii="微软雅黑" w:hAnsi="微软雅黑" w:eastAsia="微软雅黑" w:cs="微软雅黑"/>
          <w:color w:val="auto"/>
          <w:sz w:val="24"/>
          <w:szCs w:val="22"/>
        </w:rPr>
      </w:pPr>
    </w:p>
    <w:p w14:paraId="1858BDA2">
      <w:pPr>
        <w:pStyle w:val="22"/>
        <w:rPr>
          <w:rFonts w:hint="eastAsia" w:ascii="微软雅黑" w:hAnsi="微软雅黑" w:eastAsia="微软雅黑" w:cs="微软雅黑"/>
          <w:color w:val="auto"/>
        </w:rPr>
      </w:pPr>
      <w:r>
        <w:rPr>
          <w:rFonts w:hint="eastAsia" w:ascii="微软雅黑" w:hAnsi="微软雅黑" w:eastAsia="微软雅黑" w:cs="微软雅黑"/>
          <w:color w:val="auto"/>
          <w:sz w:val="24"/>
          <w:szCs w:val="22"/>
        </w:rPr>
        <w:t>（五）特定资格条件</w:t>
      </w:r>
    </w:p>
    <w:p w14:paraId="1F6FC160">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1D5A4B55">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2C08ABF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63BAAD8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0BA0CD3F">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32EEA741">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08933964">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130D5D77">
      <w:pPr>
        <w:tabs>
          <w:tab w:val="left" w:pos="6300"/>
        </w:tabs>
        <w:snapToGrid w:val="0"/>
        <w:spacing w:line="360" w:lineRule="auto"/>
        <w:rPr>
          <w:rFonts w:hint="eastAsia" w:ascii="微软雅黑" w:hAnsi="微软雅黑" w:eastAsia="微软雅黑" w:cs="微软雅黑"/>
          <w:color w:val="auto"/>
          <w:sz w:val="24"/>
          <w:szCs w:val="24"/>
        </w:rPr>
      </w:pPr>
    </w:p>
    <w:p w14:paraId="02C75130">
      <w:pPr>
        <w:pStyle w:val="22"/>
        <w:rPr>
          <w:rFonts w:hint="eastAsia" w:ascii="微软雅黑" w:hAnsi="微软雅黑" w:eastAsia="微软雅黑" w:cs="微软雅黑"/>
          <w:color w:val="auto"/>
          <w:sz w:val="24"/>
          <w:szCs w:val="24"/>
        </w:rPr>
      </w:pPr>
    </w:p>
    <w:p w14:paraId="33823F55">
      <w:pPr>
        <w:rPr>
          <w:rFonts w:hint="eastAsia" w:ascii="微软雅黑" w:hAnsi="微软雅黑" w:eastAsia="微软雅黑" w:cs="微软雅黑"/>
          <w:color w:val="auto"/>
          <w:sz w:val="24"/>
          <w:szCs w:val="24"/>
        </w:rPr>
      </w:pPr>
    </w:p>
    <w:p w14:paraId="26C46FC2">
      <w:pPr>
        <w:pStyle w:val="22"/>
        <w:rPr>
          <w:rFonts w:hint="eastAsia" w:ascii="微软雅黑" w:hAnsi="微软雅黑" w:eastAsia="微软雅黑" w:cs="微软雅黑"/>
          <w:color w:val="auto"/>
          <w:sz w:val="24"/>
          <w:szCs w:val="24"/>
        </w:rPr>
      </w:pPr>
    </w:p>
    <w:p w14:paraId="590021B8">
      <w:pPr>
        <w:rPr>
          <w:rFonts w:hint="eastAsia" w:ascii="微软雅黑" w:hAnsi="微软雅黑" w:eastAsia="微软雅黑" w:cs="微软雅黑"/>
          <w:color w:val="auto"/>
          <w:sz w:val="24"/>
          <w:szCs w:val="24"/>
        </w:rPr>
      </w:pPr>
    </w:p>
    <w:p w14:paraId="751A6B2E">
      <w:pPr>
        <w:pStyle w:val="22"/>
        <w:rPr>
          <w:rFonts w:hint="eastAsia" w:ascii="微软雅黑" w:hAnsi="微软雅黑" w:eastAsia="微软雅黑" w:cs="微软雅黑"/>
          <w:color w:val="auto"/>
          <w:sz w:val="24"/>
          <w:szCs w:val="24"/>
        </w:rPr>
      </w:pPr>
    </w:p>
    <w:p w14:paraId="118EADAA">
      <w:pPr>
        <w:rPr>
          <w:rFonts w:hint="eastAsia" w:ascii="微软雅黑" w:hAnsi="微软雅黑" w:eastAsia="微软雅黑" w:cs="微软雅黑"/>
          <w:color w:val="auto"/>
          <w:sz w:val="24"/>
          <w:szCs w:val="24"/>
        </w:rPr>
      </w:pPr>
    </w:p>
    <w:p w14:paraId="29A9003E">
      <w:pPr>
        <w:pStyle w:val="22"/>
        <w:rPr>
          <w:rFonts w:hint="eastAsia" w:ascii="微软雅黑" w:hAnsi="微软雅黑" w:eastAsia="微软雅黑" w:cs="微软雅黑"/>
          <w:color w:val="auto"/>
          <w:sz w:val="24"/>
          <w:szCs w:val="24"/>
        </w:rPr>
      </w:pPr>
    </w:p>
    <w:p w14:paraId="537B07D0">
      <w:pPr>
        <w:rPr>
          <w:rFonts w:hint="eastAsia" w:ascii="微软雅黑" w:hAnsi="微软雅黑" w:eastAsia="微软雅黑" w:cs="微软雅黑"/>
          <w:color w:val="auto"/>
          <w:sz w:val="24"/>
          <w:szCs w:val="24"/>
        </w:rPr>
      </w:pPr>
    </w:p>
    <w:p w14:paraId="31E7A6BB">
      <w:pPr>
        <w:pStyle w:val="22"/>
        <w:rPr>
          <w:rFonts w:hint="eastAsia" w:ascii="微软雅黑" w:hAnsi="微软雅黑" w:eastAsia="微软雅黑" w:cs="微软雅黑"/>
          <w:color w:val="auto"/>
          <w:sz w:val="24"/>
          <w:szCs w:val="24"/>
        </w:rPr>
      </w:pPr>
    </w:p>
    <w:p w14:paraId="1EF42A8E">
      <w:pPr>
        <w:rPr>
          <w:rFonts w:hint="eastAsia" w:ascii="微软雅黑" w:hAnsi="微软雅黑" w:eastAsia="微软雅黑" w:cs="微软雅黑"/>
          <w:color w:val="auto"/>
          <w:sz w:val="24"/>
          <w:szCs w:val="24"/>
        </w:rPr>
      </w:pPr>
    </w:p>
    <w:p w14:paraId="18113C2A">
      <w:pPr>
        <w:pStyle w:val="22"/>
        <w:rPr>
          <w:rFonts w:hint="eastAsia" w:ascii="微软雅黑" w:hAnsi="微软雅黑" w:eastAsia="微软雅黑" w:cs="微软雅黑"/>
          <w:color w:val="auto"/>
          <w:sz w:val="24"/>
          <w:szCs w:val="24"/>
        </w:rPr>
      </w:pPr>
    </w:p>
    <w:p w14:paraId="683DE209">
      <w:pPr>
        <w:rPr>
          <w:rFonts w:hint="eastAsia" w:ascii="微软雅黑" w:hAnsi="微软雅黑" w:eastAsia="微软雅黑" w:cs="微软雅黑"/>
          <w:color w:val="auto"/>
          <w:sz w:val="24"/>
          <w:szCs w:val="24"/>
        </w:rPr>
      </w:pPr>
    </w:p>
    <w:p w14:paraId="291557C0">
      <w:pPr>
        <w:pStyle w:val="22"/>
        <w:rPr>
          <w:rFonts w:hint="eastAsia" w:ascii="微软雅黑" w:hAnsi="微软雅黑" w:eastAsia="微软雅黑" w:cs="微软雅黑"/>
          <w:color w:val="auto"/>
          <w:sz w:val="24"/>
          <w:szCs w:val="24"/>
        </w:rPr>
      </w:pPr>
    </w:p>
    <w:p w14:paraId="32D42A7B">
      <w:pPr>
        <w:rPr>
          <w:rFonts w:hint="eastAsia" w:ascii="微软雅黑" w:hAnsi="微软雅黑" w:eastAsia="微软雅黑" w:cs="微软雅黑"/>
          <w:color w:val="auto"/>
          <w:sz w:val="24"/>
          <w:szCs w:val="24"/>
        </w:rPr>
      </w:pPr>
    </w:p>
    <w:p w14:paraId="106E8056">
      <w:pPr>
        <w:pStyle w:val="22"/>
        <w:rPr>
          <w:rFonts w:hint="eastAsia" w:ascii="微软雅黑" w:hAnsi="微软雅黑" w:eastAsia="微软雅黑" w:cs="微软雅黑"/>
          <w:color w:val="auto"/>
          <w:sz w:val="24"/>
          <w:szCs w:val="24"/>
        </w:rPr>
      </w:pPr>
    </w:p>
    <w:p w14:paraId="7A3E19F0">
      <w:pPr>
        <w:rPr>
          <w:rFonts w:hint="eastAsia" w:ascii="微软雅黑" w:hAnsi="微软雅黑" w:eastAsia="微软雅黑" w:cs="微软雅黑"/>
          <w:color w:val="auto"/>
          <w:sz w:val="24"/>
          <w:szCs w:val="24"/>
        </w:rPr>
      </w:pPr>
    </w:p>
    <w:p w14:paraId="3B75FCF5">
      <w:pPr>
        <w:pStyle w:val="22"/>
        <w:rPr>
          <w:rFonts w:hint="eastAsia" w:ascii="微软雅黑" w:hAnsi="微软雅黑" w:eastAsia="微软雅黑" w:cs="微软雅黑"/>
          <w:color w:val="auto"/>
          <w:sz w:val="24"/>
          <w:szCs w:val="24"/>
        </w:rPr>
      </w:pPr>
    </w:p>
    <w:p w14:paraId="387604B8">
      <w:pPr>
        <w:rPr>
          <w:rFonts w:hint="eastAsia" w:ascii="微软雅黑" w:hAnsi="微软雅黑" w:eastAsia="微软雅黑" w:cs="微软雅黑"/>
          <w:color w:val="auto"/>
          <w:sz w:val="24"/>
          <w:szCs w:val="24"/>
        </w:rPr>
      </w:pPr>
    </w:p>
    <w:p w14:paraId="229FC5C9">
      <w:pPr>
        <w:pStyle w:val="22"/>
        <w:rPr>
          <w:rFonts w:hint="eastAsia" w:ascii="微软雅黑" w:hAnsi="微软雅黑" w:eastAsia="微软雅黑" w:cs="微软雅黑"/>
          <w:color w:val="auto"/>
          <w:sz w:val="24"/>
          <w:szCs w:val="24"/>
        </w:rPr>
      </w:pPr>
    </w:p>
    <w:p w14:paraId="667379AC">
      <w:pPr>
        <w:rPr>
          <w:rFonts w:hint="eastAsia" w:ascii="微软雅黑" w:hAnsi="微软雅黑" w:eastAsia="微软雅黑" w:cs="微软雅黑"/>
          <w:color w:val="auto"/>
          <w:sz w:val="24"/>
          <w:szCs w:val="24"/>
        </w:rPr>
      </w:pPr>
    </w:p>
    <w:p w14:paraId="770FAA86">
      <w:pPr>
        <w:rPr>
          <w:rFonts w:hint="eastAsia" w:ascii="微软雅黑" w:hAnsi="微软雅黑" w:eastAsia="微软雅黑" w:cs="微软雅黑"/>
          <w:color w:val="auto"/>
        </w:rPr>
      </w:pPr>
    </w:p>
    <w:p w14:paraId="2F0DDE3A">
      <w:pPr>
        <w:pStyle w:val="4"/>
        <w:spacing w:before="0" w:after="0" w:line="360" w:lineRule="auto"/>
        <w:rPr>
          <w:rFonts w:hint="eastAsia" w:ascii="微软雅黑" w:hAnsi="微软雅黑" w:eastAsia="微软雅黑" w:cs="微软雅黑"/>
          <w:color w:val="auto"/>
          <w:sz w:val="24"/>
          <w:szCs w:val="24"/>
        </w:rPr>
      </w:pPr>
      <w:bookmarkStart w:id="163" w:name="_Toc22950"/>
      <w:bookmarkStart w:id="164" w:name="_Toc4922"/>
      <w:bookmarkStart w:id="165" w:name="_Toc14422"/>
      <w:bookmarkStart w:id="166" w:name="_Toc12072"/>
      <w:r>
        <w:rPr>
          <w:rFonts w:hint="eastAsia" w:ascii="微软雅黑" w:hAnsi="微软雅黑" w:eastAsia="微软雅黑" w:cs="微软雅黑"/>
          <w:color w:val="auto"/>
          <w:sz w:val="24"/>
          <w:szCs w:val="24"/>
        </w:rPr>
        <w:t>五、其他应提供的资料</w:t>
      </w:r>
      <w:bookmarkEnd w:id="163"/>
      <w:bookmarkEnd w:id="164"/>
      <w:bookmarkEnd w:id="165"/>
      <w:bookmarkEnd w:id="166"/>
    </w:p>
    <w:p w14:paraId="4213212D">
      <w:pPr>
        <w:tabs>
          <w:tab w:val="left" w:pos="6300"/>
        </w:tabs>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（一）小企业声明函、监狱企业证明文件、残疾人福利性单位声明函</w:t>
      </w:r>
    </w:p>
    <w:p w14:paraId="72EC8779">
      <w:pPr>
        <w:tabs>
          <w:tab w:val="left" w:pos="6300"/>
        </w:tabs>
        <w:snapToGrid w:val="0"/>
        <w:spacing w:line="500" w:lineRule="exact"/>
        <w:ind w:firstLine="56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rPr>
        <w:t>小微企业声明函</w:t>
      </w:r>
    </w:p>
    <w:p w14:paraId="77161BC6">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本公司（联合体）郑重声明，根据《政府采购促进中小企业发展管理办法》（</w:t>
      </w:r>
      <w:r>
        <w:rPr>
          <w:rFonts w:hint="eastAsia" w:ascii="微软雅黑" w:hAnsi="微软雅黑" w:eastAsia="微软雅黑" w:cs="微软雅黑"/>
          <w:color w:val="auto"/>
          <w:sz w:val="24"/>
          <w:szCs w:val="24"/>
        </w:rPr>
        <w:t>财库〔2020〕46号</w:t>
      </w:r>
      <w:r>
        <w:rPr>
          <w:rFonts w:hint="eastAsia" w:ascii="微软雅黑" w:hAnsi="微软雅黑" w:eastAsia="微软雅黑" w:cs="微软雅黑"/>
          <w:color w:val="auto"/>
          <w:sz w:val="24"/>
          <w:szCs w:val="28"/>
        </w:rPr>
        <w:t>）的规定，本公司（联合体）参加</w:t>
      </w:r>
      <w:r>
        <w:rPr>
          <w:rFonts w:hint="eastAsia" w:ascii="微软雅黑" w:hAnsi="微软雅黑" w:eastAsia="微软雅黑" w:cs="微软雅黑"/>
          <w:i/>
          <w:color w:val="auto"/>
          <w:sz w:val="24"/>
          <w:szCs w:val="28"/>
          <w:u w:val="single"/>
        </w:rPr>
        <w:t>（单位名称）</w:t>
      </w:r>
      <w:r>
        <w:rPr>
          <w:rFonts w:hint="eastAsia" w:ascii="微软雅黑" w:hAnsi="微软雅黑" w:eastAsia="微软雅黑" w:cs="微软雅黑"/>
          <w:color w:val="auto"/>
          <w:sz w:val="24"/>
          <w:szCs w:val="28"/>
        </w:rPr>
        <w:t>的</w:t>
      </w:r>
      <w:r>
        <w:rPr>
          <w:rFonts w:hint="eastAsia" w:ascii="微软雅黑" w:hAnsi="微软雅黑" w:eastAsia="微软雅黑" w:cs="微软雅黑"/>
          <w:i/>
          <w:color w:val="auto"/>
          <w:sz w:val="24"/>
          <w:szCs w:val="28"/>
          <w:u w:val="single"/>
        </w:rPr>
        <w:t>（项目名称）</w:t>
      </w:r>
      <w:r>
        <w:rPr>
          <w:rFonts w:hint="eastAsia" w:ascii="微软雅黑" w:hAnsi="微软雅黑" w:eastAsia="微软雅黑" w:cs="微软雅黑"/>
          <w:color w:val="auto"/>
          <w:sz w:val="24"/>
          <w:szCs w:val="28"/>
        </w:rPr>
        <w:t>采购活动，服务全部由符合政策要求的中小企业承接。相关企业（含联合体中的中小企业、签订分包意向协议的中小企业）的具体情况如下：</w:t>
      </w:r>
    </w:p>
    <w:p w14:paraId="26346DA6">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w:t>
      </w:r>
      <w:r>
        <w:rPr>
          <w:rFonts w:hint="eastAsia" w:ascii="微软雅黑" w:hAnsi="微软雅黑" w:eastAsia="微软雅黑" w:cs="微软雅黑"/>
          <w:i/>
          <w:color w:val="auto"/>
          <w:sz w:val="24"/>
          <w:szCs w:val="28"/>
          <w:u w:val="single"/>
        </w:rPr>
        <w:t>（标的名称）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（小型企业、微型企业）</w:t>
      </w:r>
      <w:r>
        <w:rPr>
          <w:rFonts w:hint="eastAsia" w:ascii="微软雅黑" w:hAnsi="微软雅黑" w:eastAsia="微软雅黑" w:cs="微软雅黑"/>
          <w:color w:val="auto"/>
          <w:sz w:val="24"/>
          <w:szCs w:val="28"/>
        </w:rPr>
        <w:t>；</w:t>
      </w:r>
    </w:p>
    <w:p w14:paraId="445F3061">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12CFC020">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w:t>
      </w:r>
      <w:r>
        <w:rPr>
          <w:rFonts w:hint="eastAsia" w:ascii="微软雅黑" w:hAnsi="微软雅黑" w:eastAsia="微软雅黑" w:cs="微软雅黑"/>
          <w:i/>
          <w:color w:val="auto"/>
          <w:sz w:val="24"/>
          <w:szCs w:val="28"/>
          <w:u w:val="single"/>
        </w:rPr>
        <w:t xml:space="preserve"> （标的名称）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（小型企业、微型企业）</w:t>
      </w:r>
      <w:r>
        <w:rPr>
          <w:rFonts w:hint="eastAsia" w:ascii="微软雅黑" w:hAnsi="微软雅黑" w:eastAsia="微软雅黑" w:cs="微软雅黑"/>
          <w:color w:val="auto"/>
          <w:sz w:val="24"/>
          <w:szCs w:val="28"/>
        </w:rPr>
        <w:t>；</w:t>
      </w:r>
    </w:p>
    <w:p w14:paraId="470A38A8">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6E2C653D">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w:t>
      </w:r>
    </w:p>
    <w:p w14:paraId="3834B7B1">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以上企业，不属于大企业的分支机构，不存在控股股东为大企业的情形，也不存在与大企业的负责人为同一人的情形。</w:t>
      </w:r>
    </w:p>
    <w:p w14:paraId="5977D5BE">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本企业对上述声明内容的真实性负责。如有虚假，将依法承担相应责任。</w:t>
      </w:r>
    </w:p>
    <w:p w14:paraId="654FCF0F">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41C76803">
      <w:pPr>
        <w:tabs>
          <w:tab w:val="left" w:pos="6300"/>
        </w:tabs>
        <w:snapToGrid w:val="0"/>
        <w:spacing w:line="500" w:lineRule="exact"/>
        <w:ind w:firstLine="6120" w:firstLineChars="25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企业名称（盖章）： </w:t>
      </w:r>
    </w:p>
    <w:p w14:paraId="19EE14B5">
      <w:pPr>
        <w:tabs>
          <w:tab w:val="left" w:pos="6300"/>
        </w:tabs>
        <w:snapToGrid w:val="0"/>
        <w:spacing w:line="500" w:lineRule="exact"/>
        <w:ind w:right="784" w:firstLine="6120" w:firstLineChars="255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日期：</w:t>
      </w:r>
    </w:p>
    <w:p w14:paraId="5D9D2085">
      <w:pPr>
        <w:tabs>
          <w:tab w:val="left" w:pos="6300"/>
        </w:tabs>
        <w:snapToGrid w:val="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填写时应注意以下事项：</w:t>
      </w:r>
    </w:p>
    <w:p w14:paraId="6FF57411">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1.从业人员、营业收入、资产总额填报上一年度数据，无上一年度数据的新成立企业可不填报。</w:t>
      </w:r>
    </w:p>
    <w:p w14:paraId="3672A3A4">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2.中小企业应当按照《中小企业划型标准规定》（工信部联企业〔2011〕300号），如实填写并提交《中小企业声明函》。</w:t>
      </w:r>
    </w:p>
    <w:p w14:paraId="66FCA0F8">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3.供应商填写《中小企业声明函》中所属行业时，应与采购文件第一篇“采购标的对应的中小企业划分标准所属行业”中填写的所属行业一致。</w:t>
      </w:r>
    </w:p>
    <w:p w14:paraId="04B8347F">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4.本声明函“企业名称（盖章）”处为供应商盖章。</w:t>
      </w:r>
    </w:p>
    <w:p w14:paraId="29C29CEB">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注：各行业划型标准：</w:t>
      </w:r>
    </w:p>
    <w:p w14:paraId="2A0AA05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74B6E414">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58BA5E">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F27F98">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159CB9">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B2A2905">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74670E">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A24D70">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81BB39">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F84529">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20C5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A2116C9">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741667">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8C5126">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11EF95">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20D344">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79558AA7">
      <w:pPr>
        <w:tabs>
          <w:tab w:val="left" w:pos="6300"/>
        </w:tabs>
        <w:snapToGrid w:val="0"/>
        <w:spacing w:line="500" w:lineRule="exact"/>
        <w:ind w:firstLine="48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rPr>
        <w:t>监狱企业证明文件</w:t>
      </w:r>
    </w:p>
    <w:p w14:paraId="61B51649">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以省级以上监狱管理局、戒毒管理局（含新疆生产建设兵团）出具的属于监狱企业的证明文件为准。</w:t>
      </w:r>
    </w:p>
    <w:p w14:paraId="7B24E4D4">
      <w:pPr>
        <w:tabs>
          <w:tab w:val="left" w:pos="6300"/>
        </w:tabs>
        <w:snapToGrid w:val="0"/>
        <w:spacing w:line="500" w:lineRule="exact"/>
        <w:ind w:firstLine="48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sz w:val="24"/>
        </w:rPr>
        <w:br w:type="page"/>
      </w:r>
      <w:r>
        <w:rPr>
          <w:rFonts w:hint="eastAsia" w:ascii="微软雅黑" w:hAnsi="微软雅黑" w:eastAsia="微软雅黑" w:cs="微软雅黑"/>
          <w:color w:val="auto"/>
        </w:rPr>
        <w:t>残疾人福利性单位声明函</w:t>
      </w:r>
    </w:p>
    <w:p w14:paraId="516B91F3">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CAF7B6">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本单位对上述声明的真实性负责。如有虚假，将依法承担相应责任。</w:t>
      </w:r>
    </w:p>
    <w:p w14:paraId="538DD230">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02C569D0">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6A78F307">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供应商名称（盖章）：</w:t>
      </w:r>
    </w:p>
    <w:p w14:paraId="3D1042AA">
      <w:pPr>
        <w:snapToGrid w:val="0"/>
        <w:spacing w:line="44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日  期：</w:t>
      </w:r>
    </w:p>
    <w:p w14:paraId="33DA4C8D">
      <w:pPr>
        <w:snapToGrid w:val="0"/>
        <w:spacing w:line="440" w:lineRule="exact"/>
        <w:ind w:firstLine="480" w:firstLineChars="200"/>
        <w:rPr>
          <w:rFonts w:hint="eastAsia" w:ascii="微软雅黑" w:hAnsi="微软雅黑" w:eastAsia="微软雅黑" w:cs="微软雅黑"/>
          <w:color w:val="auto"/>
          <w:sz w:val="24"/>
        </w:rPr>
      </w:pPr>
    </w:p>
    <w:p w14:paraId="58B77A10">
      <w:pPr>
        <w:snapToGrid w:val="0"/>
        <w:spacing w:line="440" w:lineRule="exact"/>
        <w:ind w:firstLine="480" w:firstLineChars="200"/>
        <w:rPr>
          <w:rFonts w:hint="eastAsia" w:ascii="微软雅黑" w:hAnsi="微软雅黑" w:eastAsia="微软雅黑" w:cs="微软雅黑"/>
          <w:color w:val="auto"/>
          <w:sz w:val="24"/>
        </w:rPr>
      </w:pPr>
    </w:p>
    <w:p w14:paraId="11D2A489">
      <w:pPr>
        <w:snapToGrid w:val="0"/>
        <w:spacing w:line="440" w:lineRule="exact"/>
        <w:ind w:firstLine="480" w:firstLineChars="200"/>
        <w:rPr>
          <w:rFonts w:hint="eastAsia" w:ascii="微软雅黑" w:hAnsi="微软雅黑" w:eastAsia="微软雅黑" w:cs="微软雅黑"/>
          <w:color w:val="auto"/>
          <w:sz w:val="24"/>
        </w:rPr>
      </w:pPr>
    </w:p>
    <w:p w14:paraId="58FEE4C0">
      <w:pPr>
        <w:snapToGrid w:val="0"/>
        <w:spacing w:line="440" w:lineRule="exact"/>
        <w:ind w:firstLine="480" w:firstLineChars="200"/>
        <w:rPr>
          <w:rFonts w:hint="eastAsia" w:ascii="微软雅黑" w:hAnsi="微软雅黑" w:eastAsia="微软雅黑" w:cs="微软雅黑"/>
          <w:color w:val="auto"/>
          <w:sz w:val="24"/>
        </w:rPr>
      </w:pPr>
    </w:p>
    <w:p w14:paraId="459A7071">
      <w:pPr>
        <w:snapToGrid w:val="0"/>
        <w:spacing w:line="440" w:lineRule="exact"/>
        <w:ind w:firstLine="480" w:firstLineChars="200"/>
        <w:rPr>
          <w:rFonts w:hint="eastAsia" w:ascii="微软雅黑" w:hAnsi="微软雅黑" w:eastAsia="微软雅黑" w:cs="微软雅黑"/>
          <w:color w:val="auto"/>
          <w:sz w:val="24"/>
        </w:rPr>
      </w:pPr>
    </w:p>
    <w:p w14:paraId="50D87EF5">
      <w:pPr>
        <w:snapToGrid w:val="0"/>
        <w:spacing w:line="440" w:lineRule="exact"/>
        <w:ind w:firstLine="480" w:firstLineChars="200"/>
        <w:rPr>
          <w:rFonts w:hint="eastAsia" w:ascii="微软雅黑" w:hAnsi="微软雅黑" w:eastAsia="微软雅黑" w:cs="微软雅黑"/>
          <w:color w:val="auto"/>
          <w:sz w:val="24"/>
        </w:rPr>
      </w:pPr>
    </w:p>
    <w:p w14:paraId="1C8B6A07">
      <w:pPr>
        <w:snapToGrid w:val="0"/>
        <w:spacing w:line="440" w:lineRule="exact"/>
        <w:ind w:firstLine="480" w:firstLineChars="200"/>
        <w:rPr>
          <w:rFonts w:hint="eastAsia" w:ascii="微软雅黑" w:hAnsi="微软雅黑" w:eastAsia="微软雅黑" w:cs="微软雅黑"/>
          <w:color w:val="auto"/>
          <w:sz w:val="24"/>
        </w:rPr>
      </w:pPr>
    </w:p>
    <w:p w14:paraId="2B6F4D09">
      <w:pPr>
        <w:snapToGrid w:val="0"/>
        <w:spacing w:line="440" w:lineRule="exact"/>
        <w:ind w:firstLine="480" w:firstLineChars="200"/>
        <w:rPr>
          <w:rFonts w:hint="eastAsia" w:ascii="微软雅黑" w:hAnsi="微软雅黑" w:eastAsia="微软雅黑" w:cs="微软雅黑"/>
          <w:color w:val="auto"/>
          <w:sz w:val="24"/>
        </w:rPr>
      </w:pPr>
    </w:p>
    <w:p w14:paraId="67EB187A">
      <w:pPr>
        <w:snapToGrid w:val="0"/>
        <w:spacing w:line="440" w:lineRule="exact"/>
        <w:ind w:firstLine="480" w:firstLineChars="200"/>
        <w:rPr>
          <w:rFonts w:hint="eastAsia" w:ascii="微软雅黑" w:hAnsi="微软雅黑" w:eastAsia="微软雅黑" w:cs="微软雅黑"/>
          <w:color w:val="auto"/>
          <w:sz w:val="24"/>
        </w:rPr>
      </w:pPr>
    </w:p>
    <w:p w14:paraId="4116E1BA">
      <w:pPr>
        <w:snapToGrid w:val="0"/>
        <w:spacing w:line="440" w:lineRule="exact"/>
        <w:ind w:firstLine="480" w:firstLineChars="200"/>
        <w:rPr>
          <w:rFonts w:hint="eastAsia" w:ascii="微软雅黑" w:hAnsi="微软雅黑" w:eastAsia="微软雅黑" w:cs="微软雅黑"/>
          <w:color w:val="auto"/>
          <w:sz w:val="24"/>
        </w:rPr>
      </w:pPr>
    </w:p>
    <w:p w14:paraId="25DE7B82">
      <w:pPr>
        <w:snapToGrid w:val="0"/>
        <w:spacing w:line="440" w:lineRule="exact"/>
        <w:ind w:firstLine="480" w:firstLineChars="200"/>
        <w:rPr>
          <w:rFonts w:hint="eastAsia" w:ascii="微软雅黑" w:hAnsi="微软雅黑" w:eastAsia="微软雅黑" w:cs="微软雅黑"/>
          <w:color w:val="auto"/>
          <w:sz w:val="24"/>
        </w:rPr>
      </w:pPr>
    </w:p>
    <w:p w14:paraId="6334E305">
      <w:pPr>
        <w:snapToGrid w:val="0"/>
        <w:spacing w:line="440" w:lineRule="exact"/>
        <w:ind w:firstLine="480" w:firstLineChars="200"/>
        <w:rPr>
          <w:rFonts w:hint="eastAsia" w:ascii="微软雅黑" w:hAnsi="微软雅黑" w:eastAsia="微软雅黑" w:cs="微软雅黑"/>
          <w:color w:val="auto"/>
          <w:sz w:val="24"/>
        </w:rPr>
      </w:pPr>
    </w:p>
    <w:p w14:paraId="7EF62AE0">
      <w:pPr>
        <w:snapToGrid w:val="0"/>
        <w:spacing w:line="44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若成交供应商为残疾人福利性单位的，将在结果公告时公告其《残疾人福利性单位声明函》。</w:t>
      </w:r>
    </w:p>
    <w:p w14:paraId="44D7E170">
      <w:pPr>
        <w:snapToGrid w:val="0"/>
        <w:spacing w:line="440" w:lineRule="exact"/>
        <w:ind w:firstLine="480" w:firstLineChars="200"/>
        <w:rPr>
          <w:rFonts w:hint="eastAsia" w:ascii="微软雅黑" w:hAnsi="微软雅黑" w:eastAsia="微软雅黑" w:cs="微软雅黑"/>
          <w:color w:val="auto"/>
          <w:sz w:val="24"/>
        </w:rPr>
      </w:pPr>
    </w:p>
    <w:p w14:paraId="28F06E8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（二）其他与项目有关的资料</w:t>
      </w:r>
    </w:p>
    <w:p w14:paraId="2ACC75D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其他与项目有关的资料（自附）：供应商总体情况介绍、其他与本项目有关的资料等。</w:t>
      </w:r>
    </w:p>
    <w:p w14:paraId="00D1F302">
      <w:pPr>
        <w:spacing w:line="360" w:lineRule="auto"/>
        <w:ind w:firstLine="480" w:firstLineChars="200"/>
        <w:rPr>
          <w:rFonts w:hint="eastAsia" w:ascii="微软雅黑" w:hAnsi="微软雅黑" w:eastAsia="微软雅黑" w:cs="微软雅黑"/>
          <w:color w:val="auto"/>
          <w:sz w:val="24"/>
          <w:szCs w:val="24"/>
        </w:rPr>
      </w:pPr>
    </w:p>
    <w:p w14:paraId="116439CB">
      <w:pPr>
        <w:spacing w:line="360" w:lineRule="auto"/>
        <w:ind w:firstLine="480" w:firstLineChars="200"/>
        <w:jc w:val="center"/>
        <w:rPr>
          <w:rFonts w:hint="eastAsia" w:ascii="微软雅黑" w:hAnsi="微软雅黑" w:eastAsia="微软雅黑" w:cs="微软雅黑"/>
          <w:color w:val="auto"/>
          <w:sz w:val="24"/>
          <w:szCs w:val="24"/>
        </w:rPr>
      </w:pPr>
    </w:p>
    <w:p w14:paraId="4D09DEB6">
      <w:pPr>
        <w:spacing w:line="360" w:lineRule="auto"/>
        <w:ind w:firstLine="480" w:firstLineChars="200"/>
        <w:jc w:val="center"/>
        <w:rPr>
          <w:rFonts w:hint="eastAsia" w:ascii="微软雅黑" w:hAnsi="微软雅黑" w:eastAsia="微软雅黑" w:cs="微软雅黑"/>
          <w:color w:val="auto"/>
          <w:sz w:val="24"/>
          <w:szCs w:val="24"/>
        </w:rPr>
      </w:pPr>
    </w:p>
    <w:p w14:paraId="0EB1D9C7">
      <w:pPr>
        <w:spacing w:line="360" w:lineRule="auto"/>
        <w:ind w:firstLine="480" w:firstLineChars="200"/>
        <w:jc w:val="center"/>
        <w:rPr>
          <w:rFonts w:hint="eastAsia" w:ascii="微软雅黑" w:hAnsi="微软雅黑" w:eastAsia="微软雅黑" w:cs="微软雅黑"/>
          <w:color w:val="auto"/>
          <w:sz w:val="24"/>
          <w:szCs w:val="24"/>
        </w:rPr>
      </w:pPr>
    </w:p>
    <w:p w14:paraId="57FC676E">
      <w:pPr>
        <w:spacing w:line="360" w:lineRule="auto"/>
        <w:ind w:firstLine="480" w:firstLineChars="200"/>
        <w:jc w:val="center"/>
        <w:rPr>
          <w:rFonts w:hint="eastAsia" w:ascii="微软雅黑" w:hAnsi="微软雅黑" w:eastAsia="微软雅黑" w:cs="微软雅黑"/>
          <w:color w:val="auto"/>
          <w:sz w:val="24"/>
          <w:szCs w:val="24"/>
        </w:rPr>
      </w:pPr>
    </w:p>
    <w:p w14:paraId="0918D363">
      <w:pPr>
        <w:spacing w:line="360" w:lineRule="auto"/>
        <w:ind w:firstLine="480" w:firstLineChars="200"/>
        <w:jc w:val="center"/>
        <w:rPr>
          <w:rFonts w:hint="eastAsia" w:ascii="微软雅黑" w:hAnsi="微软雅黑" w:eastAsia="微软雅黑" w:cs="微软雅黑"/>
          <w:color w:val="auto"/>
          <w:sz w:val="24"/>
          <w:szCs w:val="24"/>
        </w:rPr>
      </w:pPr>
    </w:p>
    <w:p w14:paraId="18722A13">
      <w:pPr>
        <w:spacing w:line="360" w:lineRule="auto"/>
        <w:ind w:firstLine="480" w:firstLineChars="200"/>
        <w:jc w:val="center"/>
        <w:rPr>
          <w:rFonts w:hint="eastAsia" w:ascii="微软雅黑" w:hAnsi="微软雅黑" w:eastAsia="微软雅黑" w:cs="微软雅黑"/>
          <w:color w:val="auto"/>
          <w:sz w:val="24"/>
          <w:szCs w:val="24"/>
        </w:rPr>
      </w:pPr>
    </w:p>
    <w:p w14:paraId="6EC4DBB6">
      <w:pPr>
        <w:spacing w:line="360" w:lineRule="auto"/>
        <w:ind w:firstLine="480" w:firstLineChars="200"/>
        <w:jc w:val="center"/>
        <w:rPr>
          <w:rFonts w:hint="eastAsia" w:ascii="微软雅黑" w:hAnsi="微软雅黑" w:eastAsia="微软雅黑" w:cs="微软雅黑"/>
          <w:color w:val="auto"/>
          <w:sz w:val="24"/>
          <w:szCs w:val="24"/>
        </w:rPr>
      </w:pPr>
    </w:p>
    <w:p w14:paraId="112DD9E5">
      <w:pPr>
        <w:spacing w:line="360" w:lineRule="auto"/>
        <w:ind w:firstLine="480" w:firstLineChars="200"/>
        <w:jc w:val="center"/>
        <w:rPr>
          <w:rFonts w:hint="eastAsia" w:ascii="微软雅黑" w:hAnsi="微软雅黑" w:eastAsia="微软雅黑" w:cs="微软雅黑"/>
          <w:color w:val="auto"/>
          <w:sz w:val="24"/>
          <w:szCs w:val="24"/>
        </w:rPr>
      </w:pPr>
    </w:p>
    <w:p w14:paraId="270CD493">
      <w:pPr>
        <w:spacing w:line="360" w:lineRule="auto"/>
        <w:ind w:firstLine="480" w:firstLineChars="200"/>
        <w:jc w:val="center"/>
        <w:rPr>
          <w:rFonts w:hint="eastAsia" w:ascii="微软雅黑" w:hAnsi="微软雅黑" w:eastAsia="微软雅黑" w:cs="微软雅黑"/>
          <w:color w:val="auto"/>
          <w:sz w:val="24"/>
          <w:szCs w:val="24"/>
        </w:rPr>
      </w:pPr>
    </w:p>
    <w:p w14:paraId="3243CF97">
      <w:pPr>
        <w:spacing w:line="360" w:lineRule="auto"/>
        <w:ind w:firstLine="480" w:firstLineChars="200"/>
        <w:jc w:val="center"/>
        <w:rPr>
          <w:rFonts w:hint="eastAsia" w:ascii="微软雅黑" w:hAnsi="微软雅黑" w:eastAsia="微软雅黑" w:cs="微软雅黑"/>
          <w:color w:val="auto"/>
          <w:sz w:val="24"/>
          <w:szCs w:val="24"/>
        </w:rPr>
      </w:pPr>
    </w:p>
    <w:p w14:paraId="6E7F9291">
      <w:pPr>
        <w:spacing w:line="360" w:lineRule="auto"/>
        <w:ind w:firstLine="480" w:firstLineChars="200"/>
        <w:jc w:val="center"/>
        <w:rPr>
          <w:rFonts w:hint="eastAsia" w:ascii="微软雅黑" w:hAnsi="微软雅黑" w:eastAsia="微软雅黑" w:cs="微软雅黑"/>
          <w:color w:val="auto"/>
          <w:sz w:val="24"/>
          <w:szCs w:val="24"/>
        </w:rPr>
      </w:pPr>
    </w:p>
    <w:p w14:paraId="2F26C627">
      <w:pPr>
        <w:spacing w:line="360" w:lineRule="auto"/>
        <w:ind w:firstLine="480" w:firstLineChars="200"/>
        <w:jc w:val="center"/>
        <w:rPr>
          <w:rFonts w:hint="eastAsia" w:ascii="微软雅黑" w:hAnsi="微软雅黑" w:eastAsia="微软雅黑" w:cs="微软雅黑"/>
          <w:color w:val="auto"/>
          <w:sz w:val="24"/>
          <w:szCs w:val="24"/>
        </w:rPr>
      </w:pPr>
    </w:p>
    <w:p w14:paraId="7D8C9B35">
      <w:pPr>
        <w:spacing w:line="360" w:lineRule="auto"/>
        <w:ind w:firstLine="480" w:firstLineChars="200"/>
        <w:jc w:val="center"/>
        <w:rPr>
          <w:rFonts w:hint="eastAsia" w:ascii="微软雅黑" w:hAnsi="微软雅黑" w:eastAsia="微软雅黑" w:cs="微软雅黑"/>
          <w:color w:val="auto"/>
          <w:sz w:val="24"/>
          <w:szCs w:val="24"/>
        </w:rPr>
      </w:pPr>
    </w:p>
    <w:p w14:paraId="162B46AE">
      <w:pPr>
        <w:spacing w:line="360" w:lineRule="auto"/>
        <w:ind w:firstLine="480" w:firstLineChars="200"/>
        <w:jc w:val="center"/>
        <w:rPr>
          <w:rFonts w:hint="eastAsia" w:ascii="微软雅黑" w:hAnsi="微软雅黑" w:eastAsia="微软雅黑" w:cs="微软雅黑"/>
          <w:color w:val="auto"/>
          <w:sz w:val="24"/>
          <w:szCs w:val="24"/>
        </w:rPr>
      </w:pPr>
    </w:p>
    <w:p w14:paraId="15432F98">
      <w:pPr>
        <w:spacing w:line="360" w:lineRule="auto"/>
        <w:ind w:firstLine="480" w:firstLineChars="200"/>
        <w:jc w:val="center"/>
        <w:rPr>
          <w:rFonts w:hint="eastAsia" w:ascii="微软雅黑" w:hAnsi="微软雅黑" w:eastAsia="微软雅黑" w:cs="微软雅黑"/>
          <w:color w:val="auto"/>
          <w:sz w:val="24"/>
          <w:szCs w:val="24"/>
        </w:rPr>
      </w:pPr>
    </w:p>
    <w:p w14:paraId="4D859E67">
      <w:pPr>
        <w:spacing w:line="360" w:lineRule="auto"/>
        <w:ind w:firstLine="480" w:firstLineChars="200"/>
        <w:jc w:val="center"/>
        <w:outlineLvl w:val="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（结束）</w:t>
      </w:r>
    </w:p>
    <w:p w14:paraId="1A1ABA80">
      <w:pPr>
        <w:snapToGrid w:val="0"/>
        <w:spacing w:line="440" w:lineRule="exact"/>
        <w:ind w:firstLine="480" w:firstLineChars="200"/>
        <w:jc w:val="center"/>
        <w:rPr>
          <w:rFonts w:hint="eastAsia" w:ascii="微软雅黑" w:hAnsi="微软雅黑" w:eastAsia="微软雅黑" w:cs="微软雅黑"/>
          <w:color w:val="auto"/>
          <w:sz w:val="24"/>
        </w:rPr>
      </w:pPr>
    </w:p>
    <w:sectPr>
      <w:headerReference r:id="rId1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7EBB6C6E-1709-448D-B757-BB843682EA55}"/>
  </w:font>
  <w:font w:name="方正仿宋_GBK">
    <w:panose1 w:val="03000509000000000000"/>
    <w:charset w:val="86"/>
    <w:family w:val="script"/>
    <w:pitch w:val="default"/>
    <w:sig w:usb0="00000001" w:usb1="080E0000" w:usb2="00000000" w:usb3="00000000" w:csb0="00040000" w:csb1="00000000"/>
    <w:embedRegular r:id="rId2" w:fontKey="{243A5C97-7F27-407F-A466-FC617F9F919C}"/>
  </w:font>
  <w:font w:name="WPSEMBED1">
    <w:panose1 w:val="03000509000000000000"/>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D2CA">
    <w:pPr>
      <w:pStyle w:val="37"/>
      <w:framePr w:wrap="around" w:vAnchor="text" w:hAnchor="margin" w:xAlign="center" w:y="1"/>
      <w:rPr>
        <w:rStyle w:val="63"/>
      </w:rPr>
    </w:pPr>
    <w:r>
      <w:fldChar w:fldCharType="begin"/>
    </w:r>
    <w:r>
      <w:rPr>
        <w:rStyle w:val="63"/>
      </w:rPr>
      <w:instrText xml:space="preserve">PAGE  </w:instrText>
    </w:r>
    <w:r>
      <w:fldChar w:fldCharType="end"/>
    </w:r>
  </w:p>
  <w:p w14:paraId="5A855271">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650E">
    <w:pPr>
      <w:pStyle w:val="37"/>
      <w:framePr w:wrap="around" w:vAnchor="text" w:hAnchor="margin" w:xAlign="center" w:y="1"/>
      <w:rPr>
        <w:rStyle w:val="63"/>
      </w:rPr>
    </w:pPr>
  </w:p>
  <w:p w14:paraId="2872C738">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CD34">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0A8F4">
    <w:pPr>
      <w:pStyle w:val="37"/>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076E69F1">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16E9">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8F90">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- 17 -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5A33">
    <w:pPr>
      <w:pStyle w:val="37"/>
      <w:framePr w:wrap="around" w:vAnchor="text" w:hAnchor="margin" w:xAlign="center" w:y="1"/>
      <w:rPr>
        <w:rStyle w:val="63"/>
      </w:rPr>
    </w:pPr>
    <w:r>
      <w:fldChar w:fldCharType="begin"/>
    </w:r>
    <w:r>
      <w:rPr>
        <w:rStyle w:val="63"/>
      </w:rPr>
      <w:instrText xml:space="preserve">PAGE  </w:instrText>
    </w:r>
    <w:r>
      <w:fldChar w:fldCharType="end"/>
    </w:r>
  </w:p>
  <w:p w14:paraId="27C4395C">
    <w:pPr>
      <w:pStyle w:val="3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91B9">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- 37 -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6DC9">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C80D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5D64">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33F6">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1728">
    <w:pPr>
      <w:pStyle w:val="38"/>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10"/>
  </w:num>
  <w:num w:numId="5">
    <w:abstractNumId w:val="0"/>
  </w:num>
  <w:num w:numId="6">
    <w:abstractNumId w:val="5"/>
  </w:num>
  <w:num w:numId="7">
    <w:abstractNumId w:val="9"/>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zVmM2IzODAxOWRlZDdiNTIxM2FiYTczMGM0OTkifQ=="/>
  </w:docVars>
  <w:rsids>
    <w:rsidRoot w:val="00172A27"/>
    <w:rsid w:val="000040DE"/>
    <w:rsid w:val="000059C1"/>
    <w:rsid w:val="000075E8"/>
    <w:rsid w:val="00007FA2"/>
    <w:rsid w:val="00011B4B"/>
    <w:rsid w:val="00015708"/>
    <w:rsid w:val="00016B79"/>
    <w:rsid w:val="00017816"/>
    <w:rsid w:val="000266D5"/>
    <w:rsid w:val="00027708"/>
    <w:rsid w:val="0003632F"/>
    <w:rsid w:val="00036C88"/>
    <w:rsid w:val="0004286B"/>
    <w:rsid w:val="0004789B"/>
    <w:rsid w:val="0005298B"/>
    <w:rsid w:val="0005417C"/>
    <w:rsid w:val="000553B6"/>
    <w:rsid w:val="00056012"/>
    <w:rsid w:val="000576E1"/>
    <w:rsid w:val="00063981"/>
    <w:rsid w:val="00063F67"/>
    <w:rsid w:val="00067325"/>
    <w:rsid w:val="00067AFD"/>
    <w:rsid w:val="0008040E"/>
    <w:rsid w:val="000811E5"/>
    <w:rsid w:val="00090C5A"/>
    <w:rsid w:val="00091B1C"/>
    <w:rsid w:val="00094414"/>
    <w:rsid w:val="0009618A"/>
    <w:rsid w:val="000A164E"/>
    <w:rsid w:val="000A7A1B"/>
    <w:rsid w:val="000B42F4"/>
    <w:rsid w:val="000B625D"/>
    <w:rsid w:val="000B7377"/>
    <w:rsid w:val="000B7F54"/>
    <w:rsid w:val="000C5DE9"/>
    <w:rsid w:val="000C6A03"/>
    <w:rsid w:val="000D5D73"/>
    <w:rsid w:val="000E01C9"/>
    <w:rsid w:val="000E0A99"/>
    <w:rsid w:val="000E3259"/>
    <w:rsid w:val="000F01B8"/>
    <w:rsid w:val="000F1EAB"/>
    <w:rsid w:val="000F5463"/>
    <w:rsid w:val="000F5BBB"/>
    <w:rsid w:val="000F6F90"/>
    <w:rsid w:val="000F7DBF"/>
    <w:rsid w:val="0010014A"/>
    <w:rsid w:val="00100639"/>
    <w:rsid w:val="00102123"/>
    <w:rsid w:val="00103CA4"/>
    <w:rsid w:val="0010750E"/>
    <w:rsid w:val="00115489"/>
    <w:rsid w:val="00116856"/>
    <w:rsid w:val="00120259"/>
    <w:rsid w:val="001266BF"/>
    <w:rsid w:val="0013175C"/>
    <w:rsid w:val="00133D16"/>
    <w:rsid w:val="00134D29"/>
    <w:rsid w:val="00144004"/>
    <w:rsid w:val="0014434C"/>
    <w:rsid w:val="001447A6"/>
    <w:rsid w:val="00145043"/>
    <w:rsid w:val="00147792"/>
    <w:rsid w:val="00147FB4"/>
    <w:rsid w:val="0015011C"/>
    <w:rsid w:val="00150429"/>
    <w:rsid w:val="001572BD"/>
    <w:rsid w:val="001605D3"/>
    <w:rsid w:val="00172A27"/>
    <w:rsid w:val="00174748"/>
    <w:rsid w:val="0017764B"/>
    <w:rsid w:val="00177859"/>
    <w:rsid w:val="00177975"/>
    <w:rsid w:val="00180ACB"/>
    <w:rsid w:val="001834AA"/>
    <w:rsid w:val="0018435C"/>
    <w:rsid w:val="00184A56"/>
    <w:rsid w:val="00186623"/>
    <w:rsid w:val="00187754"/>
    <w:rsid w:val="001879FD"/>
    <w:rsid w:val="00197DB3"/>
    <w:rsid w:val="001A6DCC"/>
    <w:rsid w:val="001B3248"/>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100EE"/>
    <w:rsid w:val="00210DC9"/>
    <w:rsid w:val="00212401"/>
    <w:rsid w:val="00214955"/>
    <w:rsid w:val="0021704D"/>
    <w:rsid w:val="00222097"/>
    <w:rsid w:val="00231ED2"/>
    <w:rsid w:val="002348E0"/>
    <w:rsid w:val="00234CF9"/>
    <w:rsid w:val="002352F2"/>
    <w:rsid w:val="00235C2F"/>
    <w:rsid w:val="002405C7"/>
    <w:rsid w:val="00250E69"/>
    <w:rsid w:val="002643C1"/>
    <w:rsid w:val="00265203"/>
    <w:rsid w:val="00265DE8"/>
    <w:rsid w:val="00271D47"/>
    <w:rsid w:val="002721EA"/>
    <w:rsid w:val="00276295"/>
    <w:rsid w:val="00277F62"/>
    <w:rsid w:val="00280E8A"/>
    <w:rsid w:val="00281FB1"/>
    <w:rsid w:val="00285164"/>
    <w:rsid w:val="002859AD"/>
    <w:rsid w:val="002905E7"/>
    <w:rsid w:val="00291DB8"/>
    <w:rsid w:val="00294873"/>
    <w:rsid w:val="002A14DA"/>
    <w:rsid w:val="002A4956"/>
    <w:rsid w:val="002A6710"/>
    <w:rsid w:val="002B7904"/>
    <w:rsid w:val="002C2507"/>
    <w:rsid w:val="002C2E6E"/>
    <w:rsid w:val="002C45CE"/>
    <w:rsid w:val="002D2A9A"/>
    <w:rsid w:val="002D541D"/>
    <w:rsid w:val="002D7725"/>
    <w:rsid w:val="002E25C8"/>
    <w:rsid w:val="002E6F8D"/>
    <w:rsid w:val="002F3DE3"/>
    <w:rsid w:val="002F632E"/>
    <w:rsid w:val="00310AF9"/>
    <w:rsid w:val="00310DDE"/>
    <w:rsid w:val="00311291"/>
    <w:rsid w:val="003126FE"/>
    <w:rsid w:val="00312C54"/>
    <w:rsid w:val="0031465E"/>
    <w:rsid w:val="00315742"/>
    <w:rsid w:val="003163B3"/>
    <w:rsid w:val="00322A7A"/>
    <w:rsid w:val="00324505"/>
    <w:rsid w:val="00332C62"/>
    <w:rsid w:val="00340CF8"/>
    <w:rsid w:val="00341DEB"/>
    <w:rsid w:val="003434CB"/>
    <w:rsid w:val="00346A3D"/>
    <w:rsid w:val="00350C20"/>
    <w:rsid w:val="003548FA"/>
    <w:rsid w:val="00355A74"/>
    <w:rsid w:val="003564A8"/>
    <w:rsid w:val="0036037C"/>
    <w:rsid w:val="003608BC"/>
    <w:rsid w:val="00361427"/>
    <w:rsid w:val="00361B09"/>
    <w:rsid w:val="00362A65"/>
    <w:rsid w:val="00363B1B"/>
    <w:rsid w:val="0036458B"/>
    <w:rsid w:val="003712DE"/>
    <w:rsid w:val="00371D2F"/>
    <w:rsid w:val="0038033A"/>
    <w:rsid w:val="00384161"/>
    <w:rsid w:val="00387610"/>
    <w:rsid w:val="00395C2F"/>
    <w:rsid w:val="003973D3"/>
    <w:rsid w:val="003A0892"/>
    <w:rsid w:val="003A449E"/>
    <w:rsid w:val="003A71F3"/>
    <w:rsid w:val="003B19F5"/>
    <w:rsid w:val="003C4B53"/>
    <w:rsid w:val="003D0E0A"/>
    <w:rsid w:val="003D1495"/>
    <w:rsid w:val="003D3B22"/>
    <w:rsid w:val="003E2343"/>
    <w:rsid w:val="003E4961"/>
    <w:rsid w:val="003F3398"/>
    <w:rsid w:val="00401EB1"/>
    <w:rsid w:val="00402B32"/>
    <w:rsid w:val="00403E9F"/>
    <w:rsid w:val="00410C93"/>
    <w:rsid w:val="00410F37"/>
    <w:rsid w:val="00411B4A"/>
    <w:rsid w:val="00417E99"/>
    <w:rsid w:val="00420063"/>
    <w:rsid w:val="00421719"/>
    <w:rsid w:val="00424C3B"/>
    <w:rsid w:val="00426680"/>
    <w:rsid w:val="00427935"/>
    <w:rsid w:val="0043516A"/>
    <w:rsid w:val="00436B53"/>
    <w:rsid w:val="00436FB9"/>
    <w:rsid w:val="004450B2"/>
    <w:rsid w:val="0044695E"/>
    <w:rsid w:val="00450385"/>
    <w:rsid w:val="00450E17"/>
    <w:rsid w:val="00453CE3"/>
    <w:rsid w:val="00460393"/>
    <w:rsid w:val="00460DBE"/>
    <w:rsid w:val="00462878"/>
    <w:rsid w:val="00463EEB"/>
    <w:rsid w:val="00465B7A"/>
    <w:rsid w:val="00472285"/>
    <w:rsid w:val="00472AA2"/>
    <w:rsid w:val="004760D1"/>
    <w:rsid w:val="00476443"/>
    <w:rsid w:val="00486477"/>
    <w:rsid w:val="00492BEA"/>
    <w:rsid w:val="00493769"/>
    <w:rsid w:val="004953EC"/>
    <w:rsid w:val="00495813"/>
    <w:rsid w:val="0049687D"/>
    <w:rsid w:val="004A0D29"/>
    <w:rsid w:val="004A0DE1"/>
    <w:rsid w:val="004A2410"/>
    <w:rsid w:val="004A27AC"/>
    <w:rsid w:val="004A27FB"/>
    <w:rsid w:val="004B176E"/>
    <w:rsid w:val="004C1DD0"/>
    <w:rsid w:val="004C4E79"/>
    <w:rsid w:val="004C64E4"/>
    <w:rsid w:val="004D287A"/>
    <w:rsid w:val="004D7F78"/>
    <w:rsid w:val="004E156F"/>
    <w:rsid w:val="004E3D35"/>
    <w:rsid w:val="004E55DB"/>
    <w:rsid w:val="004E7464"/>
    <w:rsid w:val="004F161C"/>
    <w:rsid w:val="004F1D05"/>
    <w:rsid w:val="004F4F7F"/>
    <w:rsid w:val="004F68B2"/>
    <w:rsid w:val="00501A6B"/>
    <w:rsid w:val="00502B2F"/>
    <w:rsid w:val="00512D00"/>
    <w:rsid w:val="00514179"/>
    <w:rsid w:val="00524D15"/>
    <w:rsid w:val="00544BEA"/>
    <w:rsid w:val="00546089"/>
    <w:rsid w:val="005460D5"/>
    <w:rsid w:val="0055072B"/>
    <w:rsid w:val="00566A85"/>
    <w:rsid w:val="00573563"/>
    <w:rsid w:val="00573AE3"/>
    <w:rsid w:val="005760FC"/>
    <w:rsid w:val="00580FCB"/>
    <w:rsid w:val="005813CB"/>
    <w:rsid w:val="00584D76"/>
    <w:rsid w:val="005865EB"/>
    <w:rsid w:val="00586747"/>
    <w:rsid w:val="005902D9"/>
    <w:rsid w:val="00596AB7"/>
    <w:rsid w:val="005A1EA7"/>
    <w:rsid w:val="005A3F94"/>
    <w:rsid w:val="005A5FAF"/>
    <w:rsid w:val="005B0724"/>
    <w:rsid w:val="005B0D3B"/>
    <w:rsid w:val="005B1E46"/>
    <w:rsid w:val="005B244A"/>
    <w:rsid w:val="005C1B86"/>
    <w:rsid w:val="005C3034"/>
    <w:rsid w:val="005C42AC"/>
    <w:rsid w:val="005C4F84"/>
    <w:rsid w:val="005D007B"/>
    <w:rsid w:val="005D37D0"/>
    <w:rsid w:val="005D5E93"/>
    <w:rsid w:val="005D703E"/>
    <w:rsid w:val="005E4A48"/>
    <w:rsid w:val="005E5525"/>
    <w:rsid w:val="005F0202"/>
    <w:rsid w:val="005F3B5B"/>
    <w:rsid w:val="00601B93"/>
    <w:rsid w:val="00605D32"/>
    <w:rsid w:val="00613410"/>
    <w:rsid w:val="0061771F"/>
    <w:rsid w:val="00617986"/>
    <w:rsid w:val="00620429"/>
    <w:rsid w:val="00631B3A"/>
    <w:rsid w:val="0064583B"/>
    <w:rsid w:val="00645D87"/>
    <w:rsid w:val="00654A48"/>
    <w:rsid w:val="0065651B"/>
    <w:rsid w:val="006607ED"/>
    <w:rsid w:val="00664607"/>
    <w:rsid w:val="006665C4"/>
    <w:rsid w:val="00670089"/>
    <w:rsid w:val="006709FC"/>
    <w:rsid w:val="00672738"/>
    <w:rsid w:val="00674DC6"/>
    <w:rsid w:val="00680AE4"/>
    <w:rsid w:val="006814EA"/>
    <w:rsid w:val="00684E51"/>
    <w:rsid w:val="00687669"/>
    <w:rsid w:val="00690F4F"/>
    <w:rsid w:val="00692B16"/>
    <w:rsid w:val="006934DC"/>
    <w:rsid w:val="00695313"/>
    <w:rsid w:val="006969AF"/>
    <w:rsid w:val="006A022D"/>
    <w:rsid w:val="006A100B"/>
    <w:rsid w:val="006A1321"/>
    <w:rsid w:val="006A143A"/>
    <w:rsid w:val="006A1E48"/>
    <w:rsid w:val="006A3285"/>
    <w:rsid w:val="006B175D"/>
    <w:rsid w:val="006B5758"/>
    <w:rsid w:val="006B72DE"/>
    <w:rsid w:val="006C28D5"/>
    <w:rsid w:val="006C5FC1"/>
    <w:rsid w:val="006D3E38"/>
    <w:rsid w:val="006D44E1"/>
    <w:rsid w:val="006E14C4"/>
    <w:rsid w:val="006E21FA"/>
    <w:rsid w:val="006E3DD7"/>
    <w:rsid w:val="006F0D8B"/>
    <w:rsid w:val="006F0FB7"/>
    <w:rsid w:val="006F2111"/>
    <w:rsid w:val="006F7DCF"/>
    <w:rsid w:val="00704E5D"/>
    <w:rsid w:val="00705739"/>
    <w:rsid w:val="00715FB5"/>
    <w:rsid w:val="007171A6"/>
    <w:rsid w:val="0071799D"/>
    <w:rsid w:val="00725F63"/>
    <w:rsid w:val="00726088"/>
    <w:rsid w:val="00730B6A"/>
    <w:rsid w:val="00736D88"/>
    <w:rsid w:val="00736DD2"/>
    <w:rsid w:val="00737A25"/>
    <w:rsid w:val="00740462"/>
    <w:rsid w:val="007461A7"/>
    <w:rsid w:val="0074681C"/>
    <w:rsid w:val="00746EC2"/>
    <w:rsid w:val="007537A2"/>
    <w:rsid w:val="00765050"/>
    <w:rsid w:val="007654E2"/>
    <w:rsid w:val="0076555E"/>
    <w:rsid w:val="00766551"/>
    <w:rsid w:val="00771E46"/>
    <w:rsid w:val="007823AE"/>
    <w:rsid w:val="007847D0"/>
    <w:rsid w:val="00791915"/>
    <w:rsid w:val="00792A3C"/>
    <w:rsid w:val="007959AC"/>
    <w:rsid w:val="007A20E0"/>
    <w:rsid w:val="007A3739"/>
    <w:rsid w:val="007B2204"/>
    <w:rsid w:val="007B4B60"/>
    <w:rsid w:val="007C1500"/>
    <w:rsid w:val="007C4793"/>
    <w:rsid w:val="007D7E65"/>
    <w:rsid w:val="007E19E0"/>
    <w:rsid w:val="007F04B5"/>
    <w:rsid w:val="007F0EC1"/>
    <w:rsid w:val="007F7FBB"/>
    <w:rsid w:val="008041D4"/>
    <w:rsid w:val="0080517B"/>
    <w:rsid w:val="00805933"/>
    <w:rsid w:val="008110EC"/>
    <w:rsid w:val="0081156A"/>
    <w:rsid w:val="00811D97"/>
    <w:rsid w:val="00814B88"/>
    <w:rsid w:val="0081510B"/>
    <w:rsid w:val="00827398"/>
    <w:rsid w:val="00842974"/>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A4DF4"/>
    <w:rsid w:val="008B5345"/>
    <w:rsid w:val="008C083D"/>
    <w:rsid w:val="008C510F"/>
    <w:rsid w:val="008E66B8"/>
    <w:rsid w:val="008E6A1D"/>
    <w:rsid w:val="008F1988"/>
    <w:rsid w:val="008F1E3D"/>
    <w:rsid w:val="008F6252"/>
    <w:rsid w:val="009023F3"/>
    <w:rsid w:val="009026EE"/>
    <w:rsid w:val="00903540"/>
    <w:rsid w:val="0090383C"/>
    <w:rsid w:val="00912132"/>
    <w:rsid w:val="00915390"/>
    <w:rsid w:val="009211CD"/>
    <w:rsid w:val="00922FAD"/>
    <w:rsid w:val="00924F0A"/>
    <w:rsid w:val="0092708B"/>
    <w:rsid w:val="0092751A"/>
    <w:rsid w:val="0093049D"/>
    <w:rsid w:val="00930640"/>
    <w:rsid w:val="00934DEC"/>
    <w:rsid w:val="00937713"/>
    <w:rsid w:val="00944CC5"/>
    <w:rsid w:val="0094660F"/>
    <w:rsid w:val="0094759E"/>
    <w:rsid w:val="00963016"/>
    <w:rsid w:val="00966820"/>
    <w:rsid w:val="009702E8"/>
    <w:rsid w:val="00971E57"/>
    <w:rsid w:val="009723CF"/>
    <w:rsid w:val="00980037"/>
    <w:rsid w:val="00983B43"/>
    <w:rsid w:val="00991B37"/>
    <w:rsid w:val="009938C9"/>
    <w:rsid w:val="009A0AF8"/>
    <w:rsid w:val="009A5F56"/>
    <w:rsid w:val="009B6096"/>
    <w:rsid w:val="009C3034"/>
    <w:rsid w:val="009D3162"/>
    <w:rsid w:val="009D3181"/>
    <w:rsid w:val="009E348B"/>
    <w:rsid w:val="009E737D"/>
    <w:rsid w:val="009F2896"/>
    <w:rsid w:val="00A03977"/>
    <w:rsid w:val="00A053AD"/>
    <w:rsid w:val="00A214ED"/>
    <w:rsid w:val="00A22467"/>
    <w:rsid w:val="00A26FF7"/>
    <w:rsid w:val="00A42803"/>
    <w:rsid w:val="00A445DC"/>
    <w:rsid w:val="00A44BEA"/>
    <w:rsid w:val="00A47655"/>
    <w:rsid w:val="00A52D1B"/>
    <w:rsid w:val="00A569E8"/>
    <w:rsid w:val="00A668DA"/>
    <w:rsid w:val="00A711C6"/>
    <w:rsid w:val="00A72D85"/>
    <w:rsid w:val="00A72F4E"/>
    <w:rsid w:val="00A75A98"/>
    <w:rsid w:val="00A81327"/>
    <w:rsid w:val="00A84863"/>
    <w:rsid w:val="00A87AD4"/>
    <w:rsid w:val="00A9245E"/>
    <w:rsid w:val="00A95D95"/>
    <w:rsid w:val="00A977EC"/>
    <w:rsid w:val="00AA3FD1"/>
    <w:rsid w:val="00AB11B3"/>
    <w:rsid w:val="00AB4740"/>
    <w:rsid w:val="00AB5772"/>
    <w:rsid w:val="00AB5ED3"/>
    <w:rsid w:val="00AB5EFC"/>
    <w:rsid w:val="00AB6B0C"/>
    <w:rsid w:val="00AB70CD"/>
    <w:rsid w:val="00AC06E5"/>
    <w:rsid w:val="00AC4898"/>
    <w:rsid w:val="00AC48B3"/>
    <w:rsid w:val="00AC7AC9"/>
    <w:rsid w:val="00AD628D"/>
    <w:rsid w:val="00AE1920"/>
    <w:rsid w:val="00AE5BC9"/>
    <w:rsid w:val="00AF01B3"/>
    <w:rsid w:val="00AF0F13"/>
    <w:rsid w:val="00AF5DC2"/>
    <w:rsid w:val="00AF6E93"/>
    <w:rsid w:val="00AF7992"/>
    <w:rsid w:val="00B003D0"/>
    <w:rsid w:val="00B00AB3"/>
    <w:rsid w:val="00B01F32"/>
    <w:rsid w:val="00B02BCE"/>
    <w:rsid w:val="00B037C8"/>
    <w:rsid w:val="00B05B88"/>
    <w:rsid w:val="00B10333"/>
    <w:rsid w:val="00B11996"/>
    <w:rsid w:val="00B14C52"/>
    <w:rsid w:val="00B16CF5"/>
    <w:rsid w:val="00B17214"/>
    <w:rsid w:val="00B200AA"/>
    <w:rsid w:val="00B218F5"/>
    <w:rsid w:val="00B2651E"/>
    <w:rsid w:val="00B30645"/>
    <w:rsid w:val="00B37061"/>
    <w:rsid w:val="00B437AD"/>
    <w:rsid w:val="00B478C3"/>
    <w:rsid w:val="00B51FF9"/>
    <w:rsid w:val="00B5237E"/>
    <w:rsid w:val="00B52715"/>
    <w:rsid w:val="00B530C4"/>
    <w:rsid w:val="00B53D7F"/>
    <w:rsid w:val="00B60EA8"/>
    <w:rsid w:val="00B61348"/>
    <w:rsid w:val="00B6263F"/>
    <w:rsid w:val="00B63B8A"/>
    <w:rsid w:val="00B650D0"/>
    <w:rsid w:val="00B67114"/>
    <w:rsid w:val="00B70750"/>
    <w:rsid w:val="00B75449"/>
    <w:rsid w:val="00B82F5C"/>
    <w:rsid w:val="00B90943"/>
    <w:rsid w:val="00BA0749"/>
    <w:rsid w:val="00BA527C"/>
    <w:rsid w:val="00BA63C3"/>
    <w:rsid w:val="00BB7494"/>
    <w:rsid w:val="00BB7DF4"/>
    <w:rsid w:val="00BC1F19"/>
    <w:rsid w:val="00BC2390"/>
    <w:rsid w:val="00BC7017"/>
    <w:rsid w:val="00BE07A9"/>
    <w:rsid w:val="00BF0A79"/>
    <w:rsid w:val="00BF46A7"/>
    <w:rsid w:val="00BF5230"/>
    <w:rsid w:val="00C003DA"/>
    <w:rsid w:val="00C00BB6"/>
    <w:rsid w:val="00C07C0D"/>
    <w:rsid w:val="00C1090C"/>
    <w:rsid w:val="00C11F65"/>
    <w:rsid w:val="00C1309C"/>
    <w:rsid w:val="00C21250"/>
    <w:rsid w:val="00C240C8"/>
    <w:rsid w:val="00C26513"/>
    <w:rsid w:val="00C31E18"/>
    <w:rsid w:val="00C328C9"/>
    <w:rsid w:val="00C33DD6"/>
    <w:rsid w:val="00C36B21"/>
    <w:rsid w:val="00C37BFE"/>
    <w:rsid w:val="00C37F72"/>
    <w:rsid w:val="00C420C1"/>
    <w:rsid w:val="00C45963"/>
    <w:rsid w:val="00C472B8"/>
    <w:rsid w:val="00C53124"/>
    <w:rsid w:val="00C53B2E"/>
    <w:rsid w:val="00C6074B"/>
    <w:rsid w:val="00C6160A"/>
    <w:rsid w:val="00C65711"/>
    <w:rsid w:val="00C66C91"/>
    <w:rsid w:val="00C76ECD"/>
    <w:rsid w:val="00C834D3"/>
    <w:rsid w:val="00C84E04"/>
    <w:rsid w:val="00C85DAD"/>
    <w:rsid w:val="00C910BE"/>
    <w:rsid w:val="00C922BE"/>
    <w:rsid w:val="00CA5844"/>
    <w:rsid w:val="00CA7415"/>
    <w:rsid w:val="00CA7A6C"/>
    <w:rsid w:val="00CB265C"/>
    <w:rsid w:val="00CB3659"/>
    <w:rsid w:val="00CB4540"/>
    <w:rsid w:val="00CB7A07"/>
    <w:rsid w:val="00CC59BB"/>
    <w:rsid w:val="00CD12CE"/>
    <w:rsid w:val="00CD635D"/>
    <w:rsid w:val="00CD7CED"/>
    <w:rsid w:val="00CE04C7"/>
    <w:rsid w:val="00CE2FDC"/>
    <w:rsid w:val="00CE3AD7"/>
    <w:rsid w:val="00CF156B"/>
    <w:rsid w:val="00CF15EF"/>
    <w:rsid w:val="00CF1E02"/>
    <w:rsid w:val="00CF49F2"/>
    <w:rsid w:val="00CF597A"/>
    <w:rsid w:val="00CF6D82"/>
    <w:rsid w:val="00CF735D"/>
    <w:rsid w:val="00D05BAA"/>
    <w:rsid w:val="00D13B7A"/>
    <w:rsid w:val="00D222B0"/>
    <w:rsid w:val="00D22C4B"/>
    <w:rsid w:val="00D230C7"/>
    <w:rsid w:val="00D23E7D"/>
    <w:rsid w:val="00D2405F"/>
    <w:rsid w:val="00D309EC"/>
    <w:rsid w:val="00D30C7F"/>
    <w:rsid w:val="00D35FEF"/>
    <w:rsid w:val="00D36C8A"/>
    <w:rsid w:val="00D40903"/>
    <w:rsid w:val="00D4180A"/>
    <w:rsid w:val="00D41BA9"/>
    <w:rsid w:val="00D52376"/>
    <w:rsid w:val="00D56278"/>
    <w:rsid w:val="00D612C2"/>
    <w:rsid w:val="00D67918"/>
    <w:rsid w:val="00D745E0"/>
    <w:rsid w:val="00D76AA3"/>
    <w:rsid w:val="00D80604"/>
    <w:rsid w:val="00D82F49"/>
    <w:rsid w:val="00D82F98"/>
    <w:rsid w:val="00D851AC"/>
    <w:rsid w:val="00DA086B"/>
    <w:rsid w:val="00DA1D7A"/>
    <w:rsid w:val="00DA6834"/>
    <w:rsid w:val="00DA7E05"/>
    <w:rsid w:val="00DB4794"/>
    <w:rsid w:val="00DB4C8E"/>
    <w:rsid w:val="00DB5C3E"/>
    <w:rsid w:val="00DB628E"/>
    <w:rsid w:val="00DC520B"/>
    <w:rsid w:val="00DC528D"/>
    <w:rsid w:val="00DD6BB2"/>
    <w:rsid w:val="00DD7AEF"/>
    <w:rsid w:val="00DE0164"/>
    <w:rsid w:val="00DE052C"/>
    <w:rsid w:val="00DE1E39"/>
    <w:rsid w:val="00DE647B"/>
    <w:rsid w:val="00DF47D6"/>
    <w:rsid w:val="00DF4977"/>
    <w:rsid w:val="00DF5425"/>
    <w:rsid w:val="00DF782C"/>
    <w:rsid w:val="00E030A0"/>
    <w:rsid w:val="00E0425A"/>
    <w:rsid w:val="00E05709"/>
    <w:rsid w:val="00E075A1"/>
    <w:rsid w:val="00E124E3"/>
    <w:rsid w:val="00E14812"/>
    <w:rsid w:val="00E14F50"/>
    <w:rsid w:val="00E15DDE"/>
    <w:rsid w:val="00E20AFA"/>
    <w:rsid w:val="00E2339E"/>
    <w:rsid w:val="00E25841"/>
    <w:rsid w:val="00E3245B"/>
    <w:rsid w:val="00E32DCD"/>
    <w:rsid w:val="00E3707B"/>
    <w:rsid w:val="00E42243"/>
    <w:rsid w:val="00E47188"/>
    <w:rsid w:val="00E50412"/>
    <w:rsid w:val="00E50685"/>
    <w:rsid w:val="00E5683F"/>
    <w:rsid w:val="00E57F6B"/>
    <w:rsid w:val="00E6602F"/>
    <w:rsid w:val="00E7342C"/>
    <w:rsid w:val="00E75C2B"/>
    <w:rsid w:val="00E76363"/>
    <w:rsid w:val="00E91D81"/>
    <w:rsid w:val="00E92BC2"/>
    <w:rsid w:val="00EA010E"/>
    <w:rsid w:val="00EA1B81"/>
    <w:rsid w:val="00EB1E33"/>
    <w:rsid w:val="00EC0881"/>
    <w:rsid w:val="00EC4706"/>
    <w:rsid w:val="00EF0E4B"/>
    <w:rsid w:val="00F032F3"/>
    <w:rsid w:val="00F07DBD"/>
    <w:rsid w:val="00F16313"/>
    <w:rsid w:val="00F20FF1"/>
    <w:rsid w:val="00F35457"/>
    <w:rsid w:val="00F3595B"/>
    <w:rsid w:val="00F36D58"/>
    <w:rsid w:val="00F426A6"/>
    <w:rsid w:val="00F429FD"/>
    <w:rsid w:val="00F4623C"/>
    <w:rsid w:val="00F46E44"/>
    <w:rsid w:val="00F53FC5"/>
    <w:rsid w:val="00F54BED"/>
    <w:rsid w:val="00F55639"/>
    <w:rsid w:val="00F5631F"/>
    <w:rsid w:val="00F56399"/>
    <w:rsid w:val="00F56F6C"/>
    <w:rsid w:val="00F66EA7"/>
    <w:rsid w:val="00F75A55"/>
    <w:rsid w:val="00F7750A"/>
    <w:rsid w:val="00F80006"/>
    <w:rsid w:val="00F80084"/>
    <w:rsid w:val="00F83EF8"/>
    <w:rsid w:val="00F852E7"/>
    <w:rsid w:val="00F9102D"/>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6617C50"/>
    <w:rsid w:val="06881105"/>
    <w:rsid w:val="06B6404D"/>
    <w:rsid w:val="0702568C"/>
    <w:rsid w:val="07ED4665"/>
    <w:rsid w:val="0828233C"/>
    <w:rsid w:val="0A1A3ECA"/>
    <w:rsid w:val="0A8330D0"/>
    <w:rsid w:val="0B824656"/>
    <w:rsid w:val="0D295C5D"/>
    <w:rsid w:val="0EBB145C"/>
    <w:rsid w:val="0ECF04EF"/>
    <w:rsid w:val="0FB74441"/>
    <w:rsid w:val="10117659"/>
    <w:rsid w:val="1016089B"/>
    <w:rsid w:val="110A4454"/>
    <w:rsid w:val="11AB679D"/>
    <w:rsid w:val="12F351F3"/>
    <w:rsid w:val="12F851A5"/>
    <w:rsid w:val="140D2764"/>
    <w:rsid w:val="14534F01"/>
    <w:rsid w:val="14546340"/>
    <w:rsid w:val="147A5E14"/>
    <w:rsid w:val="14B417A4"/>
    <w:rsid w:val="151D556C"/>
    <w:rsid w:val="15C628C6"/>
    <w:rsid w:val="16A21FE6"/>
    <w:rsid w:val="181E06E3"/>
    <w:rsid w:val="18ED7A84"/>
    <w:rsid w:val="19256147"/>
    <w:rsid w:val="197B268B"/>
    <w:rsid w:val="19A37C3E"/>
    <w:rsid w:val="1A1853CA"/>
    <w:rsid w:val="1BC30B00"/>
    <w:rsid w:val="1D735C93"/>
    <w:rsid w:val="1E160282"/>
    <w:rsid w:val="1EDA2E07"/>
    <w:rsid w:val="21412B62"/>
    <w:rsid w:val="2190797B"/>
    <w:rsid w:val="21D25B60"/>
    <w:rsid w:val="22266D38"/>
    <w:rsid w:val="22543FB4"/>
    <w:rsid w:val="2332119B"/>
    <w:rsid w:val="23E402AA"/>
    <w:rsid w:val="2425476E"/>
    <w:rsid w:val="25B25F0B"/>
    <w:rsid w:val="26861C2E"/>
    <w:rsid w:val="26D1102D"/>
    <w:rsid w:val="27B23E85"/>
    <w:rsid w:val="280453D6"/>
    <w:rsid w:val="283142C2"/>
    <w:rsid w:val="2A9B3CEA"/>
    <w:rsid w:val="2AA463D0"/>
    <w:rsid w:val="2B4363C9"/>
    <w:rsid w:val="2B9B5109"/>
    <w:rsid w:val="2CD205E4"/>
    <w:rsid w:val="2CE50DA8"/>
    <w:rsid w:val="2D6565A7"/>
    <w:rsid w:val="2DC00C23"/>
    <w:rsid w:val="2E1628D7"/>
    <w:rsid w:val="2E825712"/>
    <w:rsid w:val="2F472C0F"/>
    <w:rsid w:val="2FD7071E"/>
    <w:rsid w:val="305428A6"/>
    <w:rsid w:val="30692FEA"/>
    <w:rsid w:val="313E2CBD"/>
    <w:rsid w:val="32793E47"/>
    <w:rsid w:val="33616CE7"/>
    <w:rsid w:val="33A33275"/>
    <w:rsid w:val="33F00BB9"/>
    <w:rsid w:val="34285CA6"/>
    <w:rsid w:val="35513748"/>
    <w:rsid w:val="35632ED3"/>
    <w:rsid w:val="361E009E"/>
    <w:rsid w:val="362971F0"/>
    <w:rsid w:val="373F0CDA"/>
    <w:rsid w:val="377B5BBB"/>
    <w:rsid w:val="37CC31C3"/>
    <w:rsid w:val="37EB237B"/>
    <w:rsid w:val="383160CD"/>
    <w:rsid w:val="38DC182B"/>
    <w:rsid w:val="38F779E9"/>
    <w:rsid w:val="395E4634"/>
    <w:rsid w:val="39C73BB6"/>
    <w:rsid w:val="3AA63598"/>
    <w:rsid w:val="3B284248"/>
    <w:rsid w:val="3B5976EE"/>
    <w:rsid w:val="3C7E155F"/>
    <w:rsid w:val="3D5B6432"/>
    <w:rsid w:val="3DBC4147"/>
    <w:rsid w:val="3E1E2270"/>
    <w:rsid w:val="3E612A12"/>
    <w:rsid w:val="3EED2A1A"/>
    <w:rsid w:val="3FE570B2"/>
    <w:rsid w:val="40B92968"/>
    <w:rsid w:val="40EF7861"/>
    <w:rsid w:val="418F661E"/>
    <w:rsid w:val="4427152B"/>
    <w:rsid w:val="446B68BB"/>
    <w:rsid w:val="451C2ED9"/>
    <w:rsid w:val="45A24FAB"/>
    <w:rsid w:val="45E27158"/>
    <w:rsid w:val="46C774AF"/>
    <w:rsid w:val="47EF5E2D"/>
    <w:rsid w:val="48450C86"/>
    <w:rsid w:val="48DB5C65"/>
    <w:rsid w:val="48F52FA6"/>
    <w:rsid w:val="495F5FFE"/>
    <w:rsid w:val="49FB758F"/>
    <w:rsid w:val="4A7012CC"/>
    <w:rsid w:val="4AE9336C"/>
    <w:rsid w:val="4C316612"/>
    <w:rsid w:val="4E170F9F"/>
    <w:rsid w:val="4E6F53FF"/>
    <w:rsid w:val="4F8C27A1"/>
    <w:rsid w:val="50441F2A"/>
    <w:rsid w:val="506D1CB4"/>
    <w:rsid w:val="50A3796F"/>
    <w:rsid w:val="52940757"/>
    <w:rsid w:val="52A2248F"/>
    <w:rsid w:val="52D92ACB"/>
    <w:rsid w:val="52DF0C6C"/>
    <w:rsid w:val="53985050"/>
    <w:rsid w:val="543231A8"/>
    <w:rsid w:val="54B21870"/>
    <w:rsid w:val="57254A3C"/>
    <w:rsid w:val="579371FC"/>
    <w:rsid w:val="58067FB6"/>
    <w:rsid w:val="5B1561C6"/>
    <w:rsid w:val="5B473BE3"/>
    <w:rsid w:val="5B8930BB"/>
    <w:rsid w:val="5C041109"/>
    <w:rsid w:val="5E6D2BB5"/>
    <w:rsid w:val="5EFE52E9"/>
    <w:rsid w:val="5F177572"/>
    <w:rsid w:val="5FA931AC"/>
    <w:rsid w:val="5FC53964"/>
    <w:rsid w:val="60292161"/>
    <w:rsid w:val="622B4960"/>
    <w:rsid w:val="63391954"/>
    <w:rsid w:val="64264E79"/>
    <w:rsid w:val="667B72BA"/>
    <w:rsid w:val="66A66EF1"/>
    <w:rsid w:val="672F1B5D"/>
    <w:rsid w:val="67474AFB"/>
    <w:rsid w:val="67712461"/>
    <w:rsid w:val="68884560"/>
    <w:rsid w:val="699C4E40"/>
    <w:rsid w:val="69D72220"/>
    <w:rsid w:val="6B661BE3"/>
    <w:rsid w:val="6BC77CCC"/>
    <w:rsid w:val="6C2D33C6"/>
    <w:rsid w:val="6C9E63F1"/>
    <w:rsid w:val="6DCD19EE"/>
    <w:rsid w:val="6F024630"/>
    <w:rsid w:val="6F9F62D9"/>
    <w:rsid w:val="6FE969BF"/>
    <w:rsid w:val="6FFD0CEF"/>
    <w:rsid w:val="701D538E"/>
    <w:rsid w:val="71B016C1"/>
    <w:rsid w:val="71B744D2"/>
    <w:rsid w:val="72B312A9"/>
    <w:rsid w:val="73770BE4"/>
    <w:rsid w:val="7390000D"/>
    <w:rsid w:val="749A50BB"/>
    <w:rsid w:val="74B024A1"/>
    <w:rsid w:val="74DF296A"/>
    <w:rsid w:val="750045C2"/>
    <w:rsid w:val="761D3A84"/>
    <w:rsid w:val="765765AF"/>
    <w:rsid w:val="76974326"/>
    <w:rsid w:val="76EF2DED"/>
    <w:rsid w:val="777D3759"/>
    <w:rsid w:val="79B82E51"/>
    <w:rsid w:val="79E05B4F"/>
    <w:rsid w:val="7A7A3E6A"/>
    <w:rsid w:val="7B3E6B40"/>
    <w:rsid w:val="7BD0785E"/>
    <w:rsid w:val="7BF8B509"/>
    <w:rsid w:val="7C8408D3"/>
    <w:rsid w:val="7CB738AB"/>
    <w:rsid w:val="7CC144AC"/>
    <w:rsid w:val="7D1A4AA9"/>
    <w:rsid w:val="7D3E0A52"/>
    <w:rsid w:val="7DA16864"/>
    <w:rsid w:val="7DB53010"/>
    <w:rsid w:val="7E104ACC"/>
    <w:rsid w:val="7EF30A1A"/>
    <w:rsid w:val="7F865F3A"/>
    <w:rsid w:val="9DE30272"/>
    <w:rsid w:val="AEEBBF2F"/>
    <w:rsid w:val="EFFBFB3B"/>
    <w:rsid w:val="FEFE7831"/>
    <w:rsid w:val="FFFF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Body Text First Indent"/>
    <w:basedOn w:val="22"/>
    <w:qFormat/>
    <w:uiPriority w:val="0"/>
    <w:pPr>
      <w:spacing w:line="360" w:lineRule="auto"/>
      <w:ind w:firstLine="420"/>
    </w:pPr>
    <w:rPr>
      <w:rFonts w:ascii="宋体" w:hAnsi="宋体"/>
      <w:sz w:val="24"/>
    </w:rPr>
  </w:style>
  <w:style w:type="paragraph" w:styleId="24">
    <w:name w:val="Body Text Indent"/>
    <w:basedOn w:val="1"/>
    <w:link w:val="8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1"/>
    <w:qFormat/>
    <w:uiPriority w:val="0"/>
  </w:style>
  <w:style w:type="paragraph" w:styleId="35">
    <w:name w:val="Body Text Indent 2"/>
    <w:basedOn w:val="1"/>
    <w:link w:val="10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11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2"/>
    <w:qFormat/>
    <w:uiPriority w:val="0"/>
    <w:pPr>
      <w:adjustRightInd/>
      <w:spacing w:line="240" w:lineRule="auto"/>
      <w:textAlignment w:val="auto"/>
    </w:pPr>
  </w:style>
  <w:style w:type="paragraph" w:styleId="59">
    <w:name w:val="Body Text First Indent 2"/>
    <w:basedOn w:val="24"/>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4"/>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4"/>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8"/>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文本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5"/>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2"/>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7"/>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tabs>
        <w:tab w:val="left" w:pos="709"/>
        <w:tab w:val="left" w:pos="1620"/>
      </w:tabs>
      <w:ind w:left="1620" w:hanging="360"/>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2"/>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2"/>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4"/>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9"/>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2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7"/>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表格文字"/>
    <w:basedOn w:val="22"/>
    <w:next w:val="22"/>
    <w:qFormat/>
    <w:uiPriority w:val="0"/>
    <w:rPr>
      <w:spacing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6962</Words>
  <Characters>7238</Characters>
  <Lines>164</Lines>
  <Paragraphs>46</Paragraphs>
  <TotalTime>5</TotalTime>
  <ScaleCrop>false</ScaleCrop>
  <LinksUpToDate>false</LinksUpToDate>
  <CharactersWithSpaces>7422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2025-04-18T01:57:00Z</dcterms:created>
  <dc:creator>罗成</dc:creator>
  <cp:lastModifiedBy>麦迪逊张申</cp:lastModifiedBy>
  <cp:lastPrinted>2024-04-19T02:39:00Z</cp:lastPrinted>
  <dcterms:modified xsi:type="dcterms:W3CDTF">2025-08-26T11:57:25Z</dcterms:modified>
  <dc:title>竞争性谈判文件</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E9CFFF382B894BA5ACFD573D4945ACA6_13</vt:lpwstr>
  </property>
  <property fmtid="{D5CDD505-2E9C-101B-9397-08002B2CF9AE}" pid="4" name="KSOTemplateDocerSaveRecord">
    <vt:lpwstr>eyJoZGlkIjoiMDQxMzVmM2IzODAxOWRlZDdiNTIxM2FiYTczMGM0OTkiLCJ1c2VySWQiOiIxMzI1NDUyNjQxIn0=</vt:lpwstr>
  </property>
</Properties>
</file>