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6DE96">
      <w:pPr>
        <w:pageBreakBefore w:val="0"/>
        <w:kinsoku/>
        <w:overflowPunct/>
        <w:topLinePunct w:val="0"/>
        <w:bidi w:val="0"/>
        <w:spacing w:line="312" w:lineRule="auto"/>
        <w:ind w:firstLine="320" w:firstLineChars="100"/>
        <w:jc w:val="center"/>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 xml:space="preserve">重庆市龙门浩职业中学校工会运动服装采购项目 </w:t>
      </w:r>
    </w:p>
    <w:p w14:paraId="2F4BAAE8">
      <w:pPr>
        <w:pageBreakBefore w:val="0"/>
        <w:kinsoku/>
        <w:overflowPunct/>
        <w:topLinePunct w:val="0"/>
        <w:bidi w:val="0"/>
        <w:spacing w:line="312" w:lineRule="auto"/>
        <w:rPr>
          <w:rFonts w:hint="eastAsia" w:ascii="仿宋" w:hAnsi="仿宋" w:eastAsia="仿宋" w:cs="仿宋"/>
          <w:color w:val="auto"/>
          <w:sz w:val="36"/>
          <w:szCs w:val="22"/>
          <w:highlight w:val="none"/>
        </w:rPr>
      </w:pPr>
    </w:p>
    <w:p w14:paraId="3B700CB5">
      <w:pPr>
        <w:pageBreakBefore w:val="0"/>
        <w:kinsoku/>
        <w:overflowPunct/>
        <w:topLinePunct w:val="0"/>
        <w:bidi w:val="0"/>
        <w:snapToGrid w:val="0"/>
        <w:spacing w:line="312" w:lineRule="auto"/>
        <w:jc w:val="center"/>
        <w:rPr>
          <w:rFonts w:hint="eastAsia" w:ascii="仿宋" w:hAnsi="仿宋" w:eastAsia="仿宋" w:cs="仿宋"/>
          <w:color w:val="auto"/>
          <w:sz w:val="144"/>
          <w:szCs w:val="144"/>
          <w:highlight w:val="none"/>
        </w:rPr>
      </w:pPr>
    </w:p>
    <w:p w14:paraId="1DEB3878">
      <w:pPr>
        <w:pageBreakBefore w:val="0"/>
        <w:kinsoku/>
        <w:overflowPunct/>
        <w:topLinePunct w:val="0"/>
        <w:bidi w:val="0"/>
        <w:snapToGrid w:val="0"/>
        <w:spacing w:line="312" w:lineRule="auto"/>
        <w:jc w:val="center"/>
        <w:rPr>
          <w:rFonts w:hint="eastAsia" w:ascii="仿宋" w:hAnsi="仿宋" w:eastAsia="仿宋" w:cs="仿宋"/>
          <w:color w:val="auto"/>
          <w:sz w:val="110"/>
          <w:szCs w:val="110"/>
          <w:highlight w:val="none"/>
        </w:rPr>
      </w:pPr>
    </w:p>
    <w:p w14:paraId="1418CF24">
      <w:pPr>
        <w:pageBreakBefore w:val="0"/>
        <w:kinsoku/>
        <w:overflowPunct/>
        <w:topLinePunct w:val="0"/>
        <w:bidi w:val="0"/>
        <w:snapToGrid w:val="0"/>
        <w:spacing w:line="312" w:lineRule="auto"/>
        <w:jc w:val="center"/>
        <w:rPr>
          <w:rFonts w:hint="eastAsia" w:ascii="仿宋" w:hAnsi="仿宋" w:eastAsia="仿宋" w:cs="仿宋"/>
          <w:color w:val="auto"/>
          <w:sz w:val="110"/>
          <w:szCs w:val="110"/>
          <w:highlight w:val="none"/>
        </w:rPr>
      </w:pPr>
      <w:r>
        <w:rPr>
          <w:rFonts w:hint="eastAsia" w:ascii="仿宋" w:hAnsi="仿宋" w:eastAsia="仿宋" w:cs="仿宋"/>
          <w:color w:val="auto"/>
          <w:sz w:val="110"/>
          <w:szCs w:val="110"/>
          <w:highlight w:val="none"/>
          <w:lang w:eastAsia="zh-CN"/>
        </w:rPr>
        <w:t>采购文件</w:t>
      </w:r>
    </w:p>
    <w:p w14:paraId="25B06BDE">
      <w:pPr>
        <w:pageBreakBefore w:val="0"/>
        <w:kinsoku/>
        <w:overflowPunct/>
        <w:topLinePunct w:val="0"/>
        <w:bidi w:val="0"/>
        <w:spacing w:line="312" w:lineRule="auto"/>
        <w:jc w:val="center"/>
        <w:rPr>
          <w:rFonts w:hint="eastAsia" w:ascii="仿宋" w:hAnsi="仿宋" w:eastAsia="仿宋" w:cs="仿宋"/>
          <w:color w:val="auto"/>
          <w:sz w:val="40"/>
          <w:szCs w:val="22"/>
          <w:highlight w:val="none"/>
        </w:rPr>
      </w:pPr>
    </w:p>
    <w:p w14:paraId="32A08D92">
      <w:pPr>
        <w:pageBreakBefore w:val="0"/>
        <w:kinsoku/>
        <w:overflowPunct/>
        <w:topLinePunct w:val="0"/>
        <w:bidi w:val="0"/>
        <w:spacing w:line="312" w:lineRule="auto"/>
        <w:rPr>
          <w:rFonts w:hint="eastAsia" w:ascii="仿宋" w:hAnsi="仿宋" w:eastAsia="仿宋" w:cs="仿宋"/>
          <w:color w:val="auto"/>
          <w:sz w:val="40"/>
          <w:szCs w:val="22"/>
          <w:highlight w:val="none"/>
        </w:rPr>
      </w:pPr>
    </w:p>
    <w:p w14:paraId="5AECA63A">
      <w:pPr>
        <w:pageBreakBefore w:val="0"/>
        <w:kinsoku/>
        <w:overflowPunct/>
        <w:topLinePunct w:val="0"/>
        <w:bidi w:val="0"/>
        <w:spacing w:line="312" w:lineRule="auto"/>
        <w:rPr>
          <w:rFonts w:hint="eastAsia" w:ascii="仿宋" w:hAnsi="仿宋" w:eastAsia="仿宋" w:cs="仿宋"/>
          <w:color w:val="auto"/>
          <w:sz w:val="40"/>
          <w:szCs w:val="22"/>
          <w:highlight w:val="none"/>
          <w:lang w:val="en-US" w:eastAsia="zh-CN"/>
        </w:rPr>
      </w:pPr>
    </w:p>
    <w:p w14:paraId="2E884894">
      <w:pPr>
        <w:pageBreakBefore w:val="0"/>
        <w:kinsoku/>
        <w:overflowPunct/>
        <w:topLinePunct w:val="0"/>
        <w:bidi w:val="0"/>
        <w:spacing w:line="312" w:lineRule="auto"/>
        <w:outlineLvl w:val="0"/>
        <w:rPr>
          <w:rFonts w:hint="eastAsia" w:ascii="仿宋" w:hAnsi="仿宋" w:eastAsia="仿宋" w:cs="仿宋"/>
          <w:color w:val="auto"/>
          <w:sz w:val="44"/>
          <w:szCs w:val="22"/>
          <w:highlight w:val="none"/>
        </w:rPr>
      </w:pPr>
    </w:p>
    <w:p w14:paraId="7F452BC6">
      <w:pPr>
        <w:pageBreakBefore w:val="0"/>
        <w:kinsoku/>
        <w:overflowPunct/>
        <w:topLinePunct w:val="0"/>
        <w:bidi w:val="0"/>
        <w:spacing w:line="312" w:lineRule="auto"/>
        <w:outlineLvl w:val="0"/>
        <w:rPr>
          <w:rFonts w:hint="eastAsia" w:ascii="仿宋" w:hAnsi="仿宋" w:eastAsia="仿宋" w:cs="仿宋"/>
          <w:color w:val="auto"/>
          <w:sz w:val="32"/>
          <w:szCs w:val="32"/>
          <w:highlight w:val="none"/>
        </w:rPr>
      </w:pPr>
    </w:p>
    <w:p w14:paraId="19E22A44">
      <w:pPr>
        <w:pageBreakBefore w:val="0"/>
        <w:kinsoku/>
        <w:overflowPunct/>
        <w:topLinePunct w:val="0"/>
        <w:bidi w:val="0"/>
        <w:spacing w:line="312" w:lineRule="auto"/>
        <w:ind w:firstLine="800" w:firstLineChars="250"/>
        <w:outlineLvl w:val="0"/>
        <w:rPr>
          <w:rFonts w:hint="eastAsia" w:ascii="仿宋" w:hAnsi="仿宋" w:eastAsia="仿宋" w:cs="仿宋"/>
          <w:color w:val="auto"/>
          <w:sz w:val="32"/>
          <w:szCs w:val="32"/>
          <w:highlight w:val="none"/>
        </w:rPr>
      </w:pPr>
    </w:p>
    <w:p w14:paraId="698DF5BB">
      <w:pPr>
        <w:pStyle w:val="37"/>
        <w:pageBreakBefore w:val="0"/>
        <w:kinsoku/>
        <w:overflowPunct/>
        <w:topLinePunct w:val="0"/>
        <w:bidi w:val="0"/>
        <w:spacing w:line="312" w:lineRule="auto"/>
        <w:rPr>
          <w:rFonts w:hint="eastAsia" w:ascii="仿宋" w:hAnsi="仿宋" w:eastAsia="仿宋" w:cs="仿宋"/>
          <w:color w:val="auto"/>
          <w:highlight w:val="none"/>
        </w:rPr>
      </w:pPr>
    </w:p>
    <w:p w14:paraId="26C62576">
      <w:pPr>
        <w:pageBreakBefore w:val="0"/>
        <w:kinsoku/>
        <w:overflowPunct/>
        <w:topLinePunct w:val="0"/>
        <w:bidi w:val="0"/>
        <w:spacing w:line="312" w:lineRule="auto"/>
        <w:rPr>
          <w:rFonts w:hint="eastAsia" w:ascii="仿宋" w:hAnsi="仿宋" w:eastAsia="仿宋" w:cs="仿宋"/>
          <w:color w:val="auto"/>
          <w:highlight w:val="none"/>
        </w:rPr>
      </w:pPr>
    </w:p>
    <w:p w14:paraId="5222376F">
      <w:pPr>
        <w:pageBreakBefore w:val="0"/>
        <w:kinsoku/>
        <w:overflowPunct/>
        <w:topLinePunct w:val="0"/>
        <w:bidi w:val="0"/>
        <w:spacing w:line="312" w:lineRule="auto"/>
        <w:ind w:firstLine="1920" w:firstLineChars="600"/>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采购人：</w:t>
      </w:r>
      <w:r>
        <w:rPr>
          <w:rFonts w:hint="eastAsia" w:ascii="仿宋" w:hAnsi="仿宋" w:eastAsia="仿宋" w:cs="仿宋"/>
          <w:color w:val="auto"/>
          <w:sz w:val="32"/>
          <w:szCs w:val="32"/>
          <w:highlight w:val="none"/>
          <w:lang w:eastAsia="zh-CN"/>
        </w:rPr>
        <w:t>重庆市龙门浩职业中学校</w:t>
      </w:r>
    </w:p>
    <w:p w14:paraId="11B1D7EA">
      <w:pPr>
        <w:pageBreakBefore w:val="0"/>
        <w:kinsoku/>
        <w:overflowPunct/>
        <w:topLinePunct w:val="0"/>
        <w:bidi w:val="0"/>
        <w:spacing w:line="312" w:lineRule="auto"/>
        <w:ind w:firstLine="1920" w:firstLineChars="600"/>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lang w:eastAsia="zh-CN"/>
        </w:rPr>
        <w:t>重庆兆恩工程咨询有限公司</w:t>
      </w:r>
    </w:p>
    <w:p w14:paraId="55CAD1A0">
      <w:pPr>
        <w:pageBreakBefore w:val="0"/>
        <w:kinsoku/>
        <w:overflowPunct/>
        <w:topLinePunct w:val="0"/>
        <w:bidi w:val="0"/>
        <w:snapToGrid w:val="0"/>
        <w:spacing w:line="312" w:lineRule="auto"/>
        <w:jc w:val="center"/>
        <w:rPr>
          <w:rFonts w:hint="eastAsia" w:ascii="仿宋" w:hAnsi="仿宋" w:eastAsia="仿宋" w:cs="仿宋"/>
          <w:b/>
          <w:color w:val="auto"/>
          <w:sz w:val="40"/>
          <w:szCs w:val="4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start="0"/>
          <w:cols w:space="720" w:num="1"/>
          <w:titlePg/>
          <w:docGrid w:linePitch="380" w:charSpace="-5735"/>
        </w:sect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十一</w:t>
      </w:r>
      <w:r>
        <w:rPr>
          <w:rFonts w:hint="eastAsia" w:ascii="仿宋" w:hAnsi="仿宋" w:eastAsia="仿宋" w:cs="仿宋"/>
          <w:color w:val="auto"/>
          <w:sz w:val="32"/>
          <w:szCs w:val="32"/>
          <w:highlight w:val="none"/>
        </w:rPr>
        <w:t>月</w:t>
      </w:r>
    </w:p>
    <w:p w14:paraId="2EBB14BC">
      <w:pPr>
        <w:pageBreakBefore w:val="0"/>
        <w:kinsoku/>
        <w:overflowPunct/>
        <w:topLinePunct w:val="0"/>
        <w:bidi w:val="0"/>
        <w:spacing w:line="312"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   录</w:t>
      </w:r>
    </w:p>
    <w:p w14:paraId="7C401FBA">
      <w:pPr>
        <w:pStyle w:val="6"/>
        <w:pageBreakBefore w:val="0"/>
        <w:kinsoku/>
        <w:overflowPunct/>
        <w:topLinePunct w:val="0"/>
        <w:bidi w:val="0"/>
        <w:spacing w:line="312" w:lineRule="auto"/>
        <w:rPr>
          <w:rFonts w:hint="eastAsia" w:ascii="仿宋" w:hAnsi="仿宋" w:eastAsia="仿宋" w:cs="仿宋"/>
          <w:color w:val="auto"/>
          <w:highlight w:val="none"/>
        </w:rPr>
      </w:pPr>
    </w:p>
    <w:p w14:paraId="7E778092">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"_Toc29719"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 xml:space="preserve">第一篇  </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_Toc29719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9C129C">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"_Toc29610"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第二篇  项目技术规格、数量及质量要求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_Toc29610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322DC6">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第三篇  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_Toc15727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8A8D67">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"_Toc24367"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第四篇  评审程序及方法、评审标准、无效响应和采购终止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67D3C7">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bookmarkStart w:id="143" w:name="_GoBack"/>
      <w:bookmarkEnd w:id="143"/>
    </w:p>
    <w:p w14:paraId="5CBB26DF">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"_Toc21936"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第六篇  合同草案条款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_Toc21936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B30A1F0">
      <w:pPr>
        <w:pStyle w:val="24"/>
        <w:pageBreakBefore w:val="0"/>
        <w:tabs>
          <w:tab w:val="right" w:leader="dot" w:pos="9412"/>
        </w:tabs>
        <w:kinsoku/>
        <w:overflowPunct/>
        <w:topLinePunct w:val="0"/>
        <w:bidi w:val="0"/>
        <w:spacing w:line="312" w:lineRule="auto"/>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"_Toc15278"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第七篇  响应文件格式要求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_Toc15278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866077">
      <w:pPr>
        <w:pStyle w:val="14"/>
        <w:pageBreakBefore w:val="0"/>
        <w:tabs>
          <w:tab w:val="right" w:leader="dot" w:pos="9412"/>
        </w:tabs>
        <w:kinsoku/>
        <w:overflowPunct/>
        <w:topLinePunct w:val="0"/>
        <w:bidi w:val="0"/>
        <w:spacing w:line="312" w:lineRule="auto"/>
        <w:ind w:left="0" w:leftChars="0" w:firstLine="1120" w:firstLineChars="40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"_Toc5618"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248363C">
      <w:pPr>
        <w:pStyle w:val="14"/>
        <w:pageBreakBefore w:val="0"/>
        <w:tabs>
          <w:tab w:val="right" w:leader="dot" w:pos="9412"/>
        </w:tabs>
        <w:kinsoku/>
        <w:overflowPunct/>
        <w:topLinePunct w:val="0"/>
        <w:bidi w:val="0"/>
        <w:spacing w:line="312" w:lineRule="auto"/>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"_Toc3043"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二、技术部分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12E76A">
      <w:pPr>
        <w:pStyle w:val="14"/>
        <w:pageBreakBefore w:val="0"/>
        <w:tabs>
          <w:tab w:val="right" w:leader="dot" w:pos="9412"/>
        </w:tabs>
        <w:kinsoku/>
        <w:overflowPunct/>
        <w:topLinePunct w:val="0"/>
        <w:bidi w:val="0"/>
        <w:spacing w:line="312" w:lineRule="auto"/>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"_Toc24455"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_Toc24455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BBC1498">
      <w:pPr>
        <w:pStyle w:val="14"/>
        <w:pageBreakBefore w:val="0"/>
        <w:tabs>
          <w:tab w:val="right" w:leader="dot" w:pos="9412"/>
        </w:tabs>
        <w:kinsoku/>
        <w:overflowPunct/>
        <w:topLinePunct w:val="0"/>
        <w:bidi w:val="0"/>
        <w:spacing w:line="312" w:lineRule="auto"/>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"_Toc14627"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2"/>
          <w:highlight w:val="none"/>
        </w:rPr>
        <w:t>四、资格条件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_Toc14627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269F97D">
      <w:pPr>
        <w:pStyle w:val="14"/>
        <w:pageBreakBefore w:val="0"/>
        <w:tabs>
          <w:tab w:val="right" w:leader="dot" w:pos="9412"/>
        </w:tabs>
        <w:kinsoku/>
        <w:overflowPunct/>
        <w:topLinePunct w:val="0"/>
        <w:bidi w:val="0"/>
        <w:spacing w:line="312" w:lineRule="auto"/>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"_Toc4075"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_Toc4075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E6BE8B">
      <w:pPr>
        <w:pStyle w:val="24"/>
        <w:pageBreakBefore w:val="0"/>
        <w:tabs>
          <w:tab w:val="right" w:leader="dot" w:pos="9402"/>
        </w:tabs>
        <w:kinsoku/>
        <w:overflowPunct/>
        <w:topLinePunct w:val="0"/>
        <w:bidi w:val="0"/>
        <w:spacing w:line="312" w:lineRule="auto"/>
        <w:ind w:left="560"/>
        <w:rPr>
          <w:rFonts w:hint="eastAsia" w:ascii="仿宋" w:hAnsi="仿宋" w:eastAsia="仿宋" w:cs="仿宋"/>
          <w:color w:val="auto"/>
          <w:sz w:val="21"/>
          <w:szCs w:val="28"/>
          <w:highlight w:val="none"/>
        </w:rPr>
        <w:sectPr>
          <w:footerReference r:id="rId9"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color w:val="auto"/>
          <w:szCs w:val="24"/>
          <w:highlight w:val="none"/>
        </w:rPr>
        <w:fldChar w:fldCharType="end"/>
      </w:r>
    </w:p>
    <w:p w14:paraId="7BCCF623">
      <w:pPr>
        <w:pStyle w:val="8"/>
        <w:pageBreakBefore w:val="0"/>
        <w:kinsoku/>
        <w:overflowPunct/>
        <w:topLinePunct w:val="0"/>
        <w:bidi w:val="0"/>
        <w:snapToGrid w:val="0"/>
        <w:spacing w:before="0" w:after="0" w:line="312" w:lineRule="auto"/>
        <w:jc w:val="center"/>
        <w:rPr>
          <w:rFonts w:hint="eastAsia" w:ascii="仿宋" w:hAnsi="仿宋" w:eastAsia="仿宋" w:cs="仿宋"/>
          <w:color w:val="auto"/>
          <w:sz w:val="36"/>
          <w:szCs w:val="28"/>
          <w:highlight w:val="none"/>
        </w:rPr>
      </w:pPr>
      <w:bookmarkStart w:id="0" w:name="_Toc12789052"/>
      <w:bookmarkStart w:id="1" w:name="_Toc11641050"/>
      <w:bookmarkStart w:id="2" w:name="_Toc29719"/>
      <w:r>
        <w:rPr>
          <w:rFonts w:hint="eastAsia" w:ascii="仿宋" w:hAnsi="仿宋" w:eastAsia="仿宋" w:cs="仿宋"/>
          <w:color w:val="auto"/>
          <w:sz w:val="36"/>
          <w:szCs w:val="28"/>
          <w:highlight w:val="none"/>
        </w:rPr>
        <w:t xml:space="preserve">第一篇  </w:t>
      </w:r>
      <w:bookmarkEnd w:id="0"/>
      <w:bookmarkEnd w:id="1"/>
      <w:r>
        <w:rPr>
          <w:rFonts w:hint="eastAsia" w:ascii="仿宋" w:hAnsi="仿宋" w:eastAsia="仿宋" w:cs="仿宋"/>
          <w:color w:val="auto"/>
          <w:sz w:val="36"/>
          <w:szCs w:val="28"/>
          <w:highlight w:val="none"/>
          <w:lang w:val="en-US" w:eastAsia="zh-CN"/>
        </w:rPr>
        <w:t>采购</w:t>
      </w:r>
      <w:r>
        <w:rPr>
          <w:rFonts w:hint="eastAsia" w:ascii="仿宋" w:hAnsi="仿宋" w:eastAsia="仿宋" w:cs="仿宋"/>
          <w:color w:val="auto"/>
          <w:sz w:val="36"/>
          <w:szCs w:val="28"/>
          <w:highlight w:val="none"/>
        </w:rPr>
        <w:t>邀请书</w:t>
      </w:r>
      <w:bookmarkEnd w:id="2"/>
    </w:p>
    <w:p w14:paraId="5297047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bookmarkStart w:id="3" w:name="_Toc313893526"/>
      <w:bookmarkStart w:id="4" w:name="_Toc317775175"/>
      <w:r>
        <w:rPr>
          <w:rFonts w:hint="eastAsia" w:ascii="仿宋" w:hAnsi="仿宋" w:eastAsia="仿宋" w:cs="仿宋"/>
          <w:color w:val="auto"/>
          <w:sz w:val="24"/>
          <w:szCs w:val="24"/>
          <w:highlight w:val="none"/>
          <w:u w:val="single"/>
          <w:lang w:eastAsia="zh-CN"/>
        </w:rPr>
        <w:t>重庆兆恩工程咨询有限公司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lang w:eastAsia="zh-CN"/>
        </w:rPr>
        <w:t>重庆市龙门浩职业中学校</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eastAsia="zh-CN"/>
        </w:rPr>
        <w:t xml:space="preserve">重庆市龙门浩职业中学校工会运动服装采购项目 </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，欢迎有资格的供应商前来参加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tbl>
      <w:tblPr>
        <w:tblStyle w:val="27"/>
        <w:tblpPr w:leftFromText="180" w:rightFromText="180" w:vertAnchor="text" w:horzAnchor="margin" w:tblpX="1" w:tblpY="596"/>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2465"/>
        <w:gridCol w:w="1373"/>
        <w:gridCol w:w="1815"/>
      </w:tblGrid>
      <w:tr w14:paraId="3E50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619" w:type="dxa"/>
            <w:vAlign w:val="center"/>
          </w:tcPr>
          <w:p w14:paraId="7793E08D">
            <w:pPr>
              <w:pageBreakBefore w:val="0"/>
              <w:kinsoku/>
              <w:overflowPunct/>
              <w:topLinePunct w:val="0"/>
              <w:bidi w:val="0"/>
              <w:snapToGrid w:val="0"/>
              <w:spacing w:line="312"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2465" w:type="dxa"/>
            <w:vAlign w:val="center"/>
          </w:tcPr>
          <w:p w14:paraId="484EACB3">
            <w:pPr>
              <w:pageBreakBefore w:val="0"/>
              <w:kinsoku/>
              <w:overflowPunct/>
              <w:topLinePunct w:val="0"/>
              <w:bidi w:val="0"/>
              <w:snapToGrid w:val="0"/>
              <w:spacing w:line="312"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采购预算金额</w:t>
            </w:r>
          </w:p>
          <w:p w14:paraId="1D43E242">
            <w:pPr>
              <w:pageBreakBefore w:val="0"/>
              <w:kinsoku/>
              <w:overflowPunct/>
              <w:topLinePunct w:val="0"/>
              <w:bidi w:val="0"/>
              <w:snapToGrid w:val="0"/>
              <w:spacing w:line="312"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1373" w:type="dxa"/>
            <w:shd w:val="clear" w:color="auto" w:fill="auto"/>
            <w:vAlign w:val="center"/>
          </w:tcPr>
          <w:p w14:paraId="18F3E3D9">
            <w:pPr>
              <w:pageBreakBefore w:val="0"/>
              <w:kinsoku/>
              <w:overflowPunct/>
              <w:topLinePunct w:val="0"/>
              <w:bidi w:val="0"/>
              <w:snapToGrid w:val="0"/>
              <w:spacing w:line="312" w:lineRule="auto"/>
              <w:jc w:val="center"/>
              <w:outlineLvl w:val="0"/>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暂定人数</w:t>
            </w:r>
          </w:p>
        </w:tc>
        <w:tc>
          <w:tcPr>
            <w:tcW w:w="1815" w:type="dxa"/>
            <w:vAlign w:val="center"/>
          </w:tcPr>
          <w:p w14:paraId="42EA5D8C">
            <w:pPr>
              <w:pageBreakBefore w:val="0"/>
              <w:kinsoku/>
              <w:overflowPunct/>
              <w:topLinePunct w:val="0"/>
              <w:bidi w:val="0"/>
              <w:snapToGrid w:val="0"/>
              <w:spacing w:line="312"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成交供应商（名）</w:t>
            </w:r>
          </w:p>
        </w:tc>
      </w:tr>
      <w:tr w14:paraId="0F41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619" w:type="dxa"/>
            <w:vAlign w:val="center"/>
          </w:tcPr>
          <w:p w14:paraId="46F8BBFE">
            <w:pPr>
              <w:pageBreakBefore w:val="0"/>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重庆市龙门浩职业中学校工会运动服装采购项目 </w:t>
            </w:r>
          </w:p>
        </w:tc>
        <w:tc>
          <w:tcPr>
            <w:tcW w:w="2465" w:type="dxa"/>
            <w:shd w:val="clear" w:color="auto" w:fill="auto"/>
            <w:vAlign w:val="center"/>
          </w:tcPr>
          <w:p w14:paraId="359BD227">
            <w:pPr>
              <w:pageBreakBefore w:val="0"/>
              <w:kinsoku/>
              <w:overflowPunct/>
              <w:topLinePunct w:val="0"/>
              <w:bidi w:val="0"/>
              <w:snapToGrid w:val="0"/>
              <w:spacing w:line="312" w:lineRule="auto"/>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323200.00</w:t>
            </w:r>
          </w:p>
        </w:tc>
        <w:tc>
          <w:tcPr>
            <w:tcW w:w="1373" w:type="dxa"/>
            <w:shd w:val="clear" w:color="auto" w:fill="auto"/>
            <w:vAlign w:val="center"/>
          </w:tcPr>
          <w:p w14:paraId="6B8ED1C6">
            <w:pPr>
              <w:pageBreakBefore w:val="0"/>
              <w:kinsoku/>
              <w:overflowPunct/>
              <w:topLinePunct w:val="0"/>
              <w:bidi w:val="0"/>
              <w:snapToGrid w:val="0"/>
              <w:spacing w:line="312" w:lineRule="auto"/>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404</w:t>
            </w:r>
          </w:p>
        </w:tc>
        <w:tc>
          <w:tcPr>
            <w:tcW w:w="1815" w:type="dxa"/>
            <w:vAlign w:val="center"/>
          </w:tcPr>
          <w:p w14:paraId="1215EF92">
            <w:pPr>
              <w:pageBreakBefore w:val="0"/>
              <w:kinsoku/>
              <w:overflowPunct/>
              <w:topLinePunct w:val="0"/>
              <w:bidi w:val="0"/>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r>
    </w:tbl>
    <w:p w14:paraId="3B82F789">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5" w:name="_Toc2489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内容</w:t>
      </w:r>
      <w:bookmarkEnd w:id="3"/>
      <w:bookmarkEnd w:id="4"/>
      <w:bookmarkEnd w:id="5"/>
      <w:bookmarkStart w:id="6" w:name="_Toc403569770"/>
      <w:bookmarkStart w:id="7" w:name="_Toc373860293"/>
      <w:bookmarkStart w:id="8" w:name="_Toc317775178"/>
    </w:p>
    <w:p w14:paraId="49B4319B">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9" w:name="_Toc23760"/>
      <w:r>
        <w:rPr>
          <w:rFonts w:hint="eastAsia" w:ascii="仿宋" w:hAnsi="仿宋" w:eastAsia="仿宋" w:cs="仿宋"/>
          <w:color w:val="auto"/>
          <w:sz w:val="24"/>
          <w:szCs w:val="24"/>
          <w:highlight w:val="none"/>
        </w:rPr>
        <w:t>二、</w:t>
      </w:r>
      <w:bookmarkEnd w:id="6"/>
      <w:r>
        <w:rPr>
          <w:rFonts w:hint="eastAsia" w:ascii="仿宋" w:hAnsi="仿宋" w:eastAsia="仿宋" w:cs="仿宋"/>
          <w:color w:val="auto"/>
          <w:sz w:val="24"/>
          <w:szCs w:val="24"/>
          <w:highlight w:val="none"/>
        </w:rPr>
        <w:t>资金来源及落实情况</w:t>
      </w:r>
      <w:bookmarkEnd w:id="9"/>
    </w:p>
    <w:p w14:paraId="75BB9CC6">
      <w:pPr>
        <w:pageBreakBefore w:val="0"/>
        <w:tabs>
          <w:tab w:val="left" w:pos="348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财政资金</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val="en-US" w:eastAsia="zh-CN"/>
        </w:rPr>
        <w:t>约</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323200.00元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p>
    <w:p w14:paraId="3B6EDD8D">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10" w:name="_Toc403569771"/>
      <w:bookmarkStart w:id="11" w:name="_Toc25331"/>
      <w:r>
        <w:rPr>
          <w:rFonts w:hint="eastAsia" w:ascii="仿宋" w:hAnsi="仿宋" w:eastAsia="仿宋" w:cs="仿宋"/>
          <w:color w:val="auto"/>
          <w:sz w:val="24"/>
          <w:szCs w:val="24"/>
          <w:highlight w:val="none"/>
        </w:rPr>
        <w:t>三、供应商资格</w:t>
      </w:r>
      <w:bookmarkEnd w:id="10"/>
      <w:r>
        <w:rPr>
          <w:rFonts w:hint="eastAsia" w:ascii="仿宋" w:hAnsi="仿宋" w:eastAsia="仿宋" w:cs="仿宋"/>
          <w:color w:val="auto"/>
          <w:sz w:val="24"/>
          <w:szCs w:val="24"/>
          <w:highlight w:val="none"/>
        </w:rPr>
        <w:t>条件</w:t>
      </w:r>
      <w:bookmarkEnd w:id="11"/>
    </w:p>
    <w:bookmarkEnd w:id="7"/>
    <w:p w14:paraId="64489F6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（一）基本资格条件：满足《中华人民共和国政府采购法》第二十二条规定；</w:t>
      </w:r>
    </w:p>
    <w:p w14:paraId="358A6F6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1.具有独立承担民事责任的能力;</w:t>
      </w:r>
    </w:p>
    <w:p w14:paraId="6694B043">
      <w:pPr>
        <w:pageBreakBefore w:val="0"/>
        <w:kinsoku/>
        <w:overflowPunct/>
        <w:topLinePunct w:val="0"/>
        <w:bidi w:val="0"/>
        <w:snapToGrid w:val="0"/>
        <w:spacing w:line="312" w:lineRule="auto"/>
        <w:ind w:left="476" w:leftChars="17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3.具有履行合同所必需的设备和专业技术能力</w:t>
      </w:r>
    </w:p>
    <w:p w14:paraId="706C283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4.有依法缴纳税收和社会保障金的良好记录</w:t>
      </w:r>
    </w:p>
    <w:p w14:paraId="36AEAF4D">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5.参加政府采购活动前三年内，在经营活动中没有重大违法记录</w:t>
      </w:r>
    </w:p>
    <w:p w14:paraId="7590BEC5">
      <w:pPr>
        <w:pageBreakBefore w:val="0"/>
        <w:kinsoku/>
        <w:overflowPunct/>
        <w:topLinePunct w:val="0"/>
        <w:bidi w:val="0"/>
        <w:snapToGrid w:val="0"/>
        <w:spacing w:line="312"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（二）本项目的特定资格要求：无。</w:t>
      </w:r>
    </w:p>
    <w:p w14:paraId="6724C3E9">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12" w:name="_Toc24624"/>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有关说明</w:t>
      </w:r>
      <w:bookmarkEnd w:id="12"/>
    </w:p>
    <w:p w14:paraId="3EECE7D9">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bookmarkStart w:id="13" w:name="_Toc403569774"/>
      <w:bookmarkStart w:id="14" w:name="_Toc2810"/>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）进行注册，登记加入“供应商库”。</w:t>
      </w:r>
    </w:p>
    <w:p w14:paraId="62A6304D">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，请在“行采家”（https://www.gec123.com/）采购公告发布之日起至提交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截止时间之前自行下载本项目</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以及补遗等</w:t>
      </w:r>
      <w:r>
        <w:rPr>
          <w:rFonts w:hint="eastAsia" w:ascii="仿宋" w:hAnsi="仿宋" w:eastAsia="仿宋" w:cs="仿宋"/>
          <w:color w:val="auto"/>
          <w:sz w:val="24"/>
          <w:szCs w:val="24"/>
          <w:highlight w:val="none"/>
          <w:lang w:eastAsia="zh-CN"/>
        </w:rPr>
        <w:t>开标</w:t>
      </w:r>
      <w:r>
        <w:rPr>
          <w:rFonts w:hint="eastAsia" w:ascii="仿宋" w:hAnsi="仿宋" w:eastAsia="仿宋" w:cs="仿宋"/>
          <w:color w:val="auto"/>
          <w:sz w:val="24"/>
          <w:szCs w:val="24"/>
          <w:highlight w:val="none"/>
        </w:rPr>
        <w:t>前公布的所有项目资料，无论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下载与否，均视为已知晓所有实质性要求内容。</w:t>
      </w:r>
    </w:p>
    <w:p w14:paraId="12C87BEA">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bookmarkStart w:id="15" w:name="_Toc27572"/>
      <w:bookmarkStart w:id="16" w:name="_Toc13746"/>
      <w:r>
        <w:rPr>
          <w:rFonts w:hint="eastAsia" w:ascii="仿宋" w:hAnsi="仿宋" w:eastAsia="仿宋" w:cs="仿宋"/>
          <w:color w:val="auto"/>
          <w:sz w:val="24"/>
          <w:szCs w:val="24"/>
          <w:highlight w:val="none"/>
          <w:lang w:val="en-US" w:eastAsia="zh-CN"/>
        </w:rPr>
        <w:t>（三）线上报价</w:t>
      </w:r>
    </w:p>
    <w:p w14:paraId="511CBF8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1.线上报价时间：按本项目网上公告规定的报价截止时间为准。</w:t>
      </w:r>
    </w:p>
    <w:p w14:paraId="0AC4E909">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上报价要求：按本项目规定的时间在“重庆市行采家（https://www.gec123.com/）”进行网上报价，并在规定的时间内上传响应文件电子文档。未在规定时间内报价和上传响应文件电子文档的供应商不具备竞标资格。</w:t>
      </w:r>
    </w:p>
    <w:p w14:paraId="7C9BBA06">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3.供应商制作的响应文件电子文档，须按照要求制作，规定签字、盖章的地方必须按其规定签字、盖章，未按要求制作响应文件的按无效投标处理。</w:t>
      </w:r>
    </w:p>
    <w:p w14:paraId="7259E7C8">
      <w:pPr>
        <w:pageBreakBefore w:val="0"/>
        <w:kinsoku/>
        <w:overflowPunct/>
        <w:topLinePunct w:val="0"/>
        <w:bidi w:val="0"/>
        <w:snapToGrid w:val="0"/>
        <w:spacing w:line="312" w:lineRule="auto"/>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（五）响应文件及样品现场递交时间：</w:t>
      </w:r>
      <w:r>
        <w:rPr>
          <w:rFonts w:hint="eastAsia" w:ascii="仿宋" w:hAnsi="仿宋" w:eastAsia="仿宋" w:cs="仿宋"/>
          <w:b/>
          <w:bCs/>
          <w:color w:val="FF0000"/>
          <w:sz w:val="24"/>
          <w:szCs w:val="24"/>
          <w:highlight w:val="none"/>
          <w:lang w:val="en-US" w:eastAsia="zh-CN"/>
        </w:rPr>
        <w:t>2025年</w:t>
      </w:r>
      <w:r>
        <w:rPr>
          <w:rFonts w:hint="eastAsia" w:ascii="仿宋" w:hAnsi="仿宋" w:eastAsia="仿宋" w:cs="仿宋"/>
          <w:b/>
          <w:bCs/>
          <w:color w:val="FF0000"/>
          <w:sz w:val="24"/>
          <w:szCs w:val="24"/>
          <w:highlight w:val="none"/>
          <w:lang w:val="en-US" w:eastAsia="zh-CN"/>
        </w:rPr>
        <w:t xml:space="preserve"> 11月28日北</w:t>
      </w:r>
      <w:r>
        <w:rPr>
          <w:rFonts w:hint="eastAsia" w:ascii="仿宋" w:hAnsi="仿宋" w:eastAsia="仿宋" w:cs="仿宋"/>
          <w:b/>
          <w:bCs/>
          <w:color w:val="FF0000"/>
          <w:sz w:val="24"/>
          <w:szCs w:val="24"/>
          <w:highlight w:val="none"/>
          <w:lang w:val="en-US" w:eastAsia="zh-CN"/>
        </w:rPr>
        <w:t>京时间09：30--10:00。</w:t>
      </w:r>
    </w:p>
    <w:p w14:paraId="5DD1CEC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（六）响应文件现场递交地点：</w:t>
      </w:r>
      <w:r>
        <w:rPr>
          <w:rFonts w:hint="eastAsia" w:ascii="仿宋" w:hAnsi="仿宋" w:eastAsia="仿宋" w:cs="仿宋"/>
          <w:color w:val="auto"/>
          <w:sz w:val="24"/>
          <w:szCs w:val="24"/>
          <w:highlight w:val="none"/>
          <w:lang w:eastAsia="zh-CN"/>
        </w:rPr>
        <w:t>重庆市龙门浩职业中学校（重庆市南岸区茶园新区长庆路1号</w:t>
      </w:r>
      <w:r>
        <w:rPr>
          <w:rFonts w:hint="eastAsia" w:ascii="仿宋" w:hAnsi="仿宋" w:eastAsia="仿宋" w:cs="仿宋"/>
          <w:color w:val="auto"/>
          <w:sz w:val="24"/>
          <w:szCs w:val="24"/>
          <w:highlight w:val="none"/>
          <w:lang w:val="en-US" w:eastAsia="zh-CN"/>
        </w:rPr>
        <w:t>，具体会议室当日问学校门卫老师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39CAF74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现场递交纸质响应文件一式三份，其中正本一份，副本两份，副本可为正本的复印件。上传的响应文件电子文档内容应与纸质文件正本、副本一致，若供应商的线上报价与纸质响应文件报价函中的报价不一致，按废标处理。</w:t>
      </w:r>
    </w:p>
    <w:p w14:paraId="6FE3A96B">
      <w:pPr>
        <w:pageBreakBefore w:val="0"/>
        <w:kinsoku/>
        <w:overflowPunct/>
        <w:topLinePunct w:val="0"/>
        <w:bidi w:val="0"/>
        <w:snapToGrid w:val="0"/>
        <w:spacing w:line="312"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（八）开标时间：</w:t>
      </w:r>
      <w:r>
        <w:rPr>
          <w:rFonts w:hint="eastAsia" w:ascii="仿宋" w:hAnsi="仿宋" w:eastAsia="仿宋" w:cs="仿宋"/>
          <w:b/>
          <w:bCs/>
          <w:color w:val="FF0000"/>
          <w:sz w:val="24"/>
          <w:szCs w:val="24"/>
          <w:highlight w:val="none"/>
          <w:lang w:val="en-US" w:eastAsia="zh-CN"/>
        </w:rPr>
        <w:t>2025年11</w:t>
      </w:r>
      <w:r>
        <w:rPr>
          <w:rFonts w:hint="eastAsia" w:ascii="仿宋" w:hAnsi="仿宋" w:eastAsia="仿宋" w:cs="仿宋"/>
          <w:b/>
          <w:bCs/>
          <w:color w:val="FF0000"/>
          <w:sz w:val="24"/>
          <w:szCs w:val="24"/>
          <w:highlight w:val="none"/>
          <w:lang w:val="en-US" w:eastAsia="zh-CN"/>
        </w:rPr>
        <w:t>月28日10:00</w:t>
      </w:r>
      <w:r>
        <w:rPr>
          <w:rFonts w:hint="eastAsia" w:ascii="仿宋" w:hAnsi="仿宋" w:eastAsia="仿宋" w:cs="仿宋"/>
          <w:b/>
          <w:bCs/>
          <w:color w:val="auto"/>
          <w:sz w:val="24"/>
          <w:szCs w:val="24"/>
          <w:highlight w:val="none"/>
          <w:lang w:val="en-US" w:eastAsia="zh-CN"/>
        </w:rPr>
        <w:t>。</w:t>
      </w:r>
    </w:p>
    <w:p w14:paraId="1D7E53DA">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（九）已参与线上报价的供应商应在规定的时间内现场递交纸质响应文件，否则按无效投标处理。</w:t>
      </w:r>
    </w:p>
    <w:bookmarkEnd w:id="15"/>
    <w:bookmarkEnd w:id="16"/>
    <w:p w14:paraId="08C2E07C">
      <w:pPr>
        <w:pStyle w:val="9"/>
        <w:pageBreakBefore w:val="0"/>
        <w:kinsoku/>
        <w:overflowPunct/>
        <w:topLinePunct w:val="0"/>
        <w:bidi w:val="0"/>
        <w:spacing w:before="0" w:after="0" w:line="312" w:lineRule="auto"/>
        <w:ind w:firstLine="241"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五、其它有关规定</w:t>
      </w:r>
      <w:bookmarkEnd w:id="13"/>
      <w:bookmarkEnd w:id="14"/>
    </w:p>
    <w:bookmarkEnd w:id="8"/>
    <w:p w14:paraId="41EFA05C">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（一）单位负责人为同一人或者存在直接控股、管理关系的不同供应商，不得参加同一合同项（分包）下的政府采购活动，否则均为无效响应。</w:t>
      </w:r>
    </w:p>
    <w:p w14:paraId="686BD16E">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6F980AA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（三）本项目的补遗文件（如果有）一律在重庆市行采家（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Style w:val="31"/>
          <w:rFonts w:hint="eastAsia" w:ascii="仿宋" w:hAnsi="仿宋" w:eastAsia="仿宋" w:cs="仿宋"/>
          <w:color w:val="auto"/>
          <w:sz w:val="24"/>
          <w:szCs w:val="24"/>
          <w:highlight w:val="none"/>
        </w:rPr>
        <w:t>https://www.gec123.com/</w:t>
      </w:r>
      <w:r>
        <w:rPr>
          <w:rStyle w:val="31"/>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）发布，请各供应商注意下载或到采购代理机构领取；无论供应商下载或领取与否，均视同供应商已知晓本项目补遗文件（如果有）的内容。</w:t>
      </w:r>
    </w:p>
    <w:p w14:paraId="0AE86C0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的所有费用均应由供应商自行承担。</w:t>
      </w:r>
    </w:p>
    <w:p w14:paraId="01084BF2">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（五）本项目不接受联合体参与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78DBC2A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本项目不接受分包。</w:t>
      </w:r>
    </w:p>
    <w:p w14:paraId="02FA6311">
      <w:pPr>
        <w:pageBreakBefore w:val="0"/>
        <w:kinsoku/>
        <w:overflowPunct/>
        <w:topLinePunct w:val="0"/>
        <w:bidi w:val="0"/>
        <w:snapToGrid w:val="0"/>
        <w:spacing w:line="312"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9C6AFF3">
      <w:pPr>
        <w:pStyle w:val="9"/>
        <w:pageBreakBefore w:val="0"/>
        <w:kinsoku/>
        <w:overflowPunct/>
        <w:topLinePunct w:val="0"/>
        <w:bidi w:val="0"/>
        <w:spacing w:before="0" w:after="0" w:line="312" w:lineRule="auto"/>
        <w:rPr>
          <w:rFonts w:hint="eastAsia" w:ascii="仿宋" w:hAnsi="仿宋" w:eastAsia="仿宋" w:cs="仿宋"/>
          <w:color w:val="auto"/>
          <w:sz w:val="24"/>
          <w:szCs w:val="24"/>
          <w:highlight w:val="none"/>
        </w:rPr>
      </w:pPr>
      <w:bookmarkStart w:id="17" w:name="_Toc28366"/>
      <w:r>
        <w:rPr>
          <w:rFonts w:hint="eastAsia" w:ascii="仿宋" w:hAnsi="仿宋" w:eastAsia="仿宋" w:cs="仿宋"/>
          <w:color w:val="auto"/>
          <w:sz w:val="24"/>
          <w:szCs w:val="24"/>
          <w:highlight w:val="none"/>
        </w:rPr>
        <w:t>六、联系方式</w:t>
      </w:r>
      <w:bookmarkEnd w:id="17"/>
    </w:p>
    <w:p w14:paraId="5C4E078E">
      <w:pPr>
        <w:snapToGrid w:val="0"/>
        <w:spacing w:line="312" w:lineRule="auto"/>
        <w:ind w:firstLine="480" w:firstLineChars="200"/>
        <w:rPr>
          <w:rFonts w:hint="eastAsia" w:ascii="仿宋" w:hAnsi="仿宋" w:eastAsia="仿宋" w:cs="仿宋"/>
          <w:sz w:val="24"/>
          <w:szCs w:val="24"/>
          <w:highlight w:val="none"/>
          <w:lang w:eastAsia="zh-CN"/>
        </w:rPr>
      </w:pPr>
      <w:bookmarkStart w:id="18" w:name="_Toc24944"/>
      <w:bookmarkStart w:id="19" w:name="_Toc32633"/>
      <w:bookmarkStart w:id="20" w:name="_Toc102227313"/>
      <w:r>
        <w:rPr>
          <w:rFonts w:hint="eastAsia" w:ascii="仿宋" w:hAnsi="仿宋" w:eastAsia="仿宋" w:cs="仿宋"/>
          <w:color w:val="auto"/>
          <w:sz w:val="24"/>
          <w:szCs w:val="24"/>
          <w:highlight w:val="none"/>
        </w:rPr>
        <w:t>（一）</w:t>
      </w:r>
      <w:bookmarkEnd w:id="18"/>
      <w:bookmarkEnd w:id="19"/>
      <w:r>
        <w:rPr>
          <w:rFonts w:hint="eastAsia" w:ascii="仿宋" w:hAnsi="仿宋" w:eastAsia="仿宋" w:cs="仿宋"/>
          <w:sz w:val="24"/>
          <w:szCs w:val="24"/>
          <w:highlight w:val="none"/>
        </w:rPr>
        <w:t>采购人：</w:t>
      </w:r>
      <w:r>
        <w:rPr>
          <w:rFonts w:hint="eastAsia" w:ascii="仿宋" w:hAnsi="仿宋" w:eastAsia="仿宋" w:cs="仿宋"/>
          <w:bCs/>
          <w:sz w:val="24"/>
          <w:highlight w:val="none"/>
          <w:lang w:eastAsia="zh-CN"/>
        </w:rPr>
        <w:t>重庆市龙门浩职业中学校</w:t>
      </w:r>
    </w:p>
    <w:p w14:paraId="2F35CB09">
      <w:pPr>
        <w:snapToGrid w:val="0"/>
        <w:spacing w:line="312"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杨老师</w:t>
      </w:r>
      <w:r>
        <w:rPr>
          <w:rFonts w:hint="eastAsia" w:ascii="仿宋" w:hAnsi="仿宋" w:eastAsia="仿宋" w:cs="仿宋"/>
          <w:sz w:val="24"/>
          <w:szCs w:val="24"/>
          <w:highlight w:val="none"/>
        </w:rPr>
        <w:t xml:space="preserve"> </w:t>
      </w:r>
    </w:p>
    <w:p w14:paraId="5A98573D">
      <w:pPr>
        <w:snapToGrid w:val="0"/>
        <w:spacing w:line="312"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电</w:t>
      </w:r>
      <w:r>
        <w:rPr>
          <w:rFonts w:hint="eastAsia" w:ascii="仿宋" w:hAnsi="仿宋" w:eastAsia="仿宋" w:cs="仿宋"/>
          <w:sz w:val="24"/>
          <w:szCs w:val="24"/>
          <w:highlight w:val="none"/>
          <w:lang w:val="en-US" w:eastAsia="zh-CN"/>
        </w:rPr>
        <w:t xml:space="preserve">话：023-62454955  </w:t>
      </w:r>
      <w:r>
        <w:rPr>
          <w:rFonts w:hint="eastAsia" w:ascii="仿宋" w:hAnsi="仿宋" w:eastAsia="仿宋" w:cs="仿宋"/>
          <w:sz w:val="24"/>
          <w:highlight w:val="none"/>
        </w:rPr>
        <w:t xml:space="preserve"> </w:t>
      </w:r>
    </w:p>
    <w:p w14:paraId="201F537E">
      <w:pPr>
        <w:snapToGrid w:val="0"/>
        <w:spacing w:line="312" w:lineRule="auto"/>
        <w:ind w:firstLine="1200" w:firstLineChars="500"/>
        <w:rPr>
          <w:rFonts w:hint="eastAsia" w:ascii="仿宋" w:hAnsi="仿宋" w:eastAsia="仿宋" w:cs="仿宋"/>
          <w:bCs/>
          <w:sz w:val="24"/>
          <w:highlight w:val="none"/>
        </w:rPr>
      </w:pPr>
      <w:r>
        <w:rPr>
          <w:rFonts w:hint="eastAsia" w:ascii="仿宋" w:hAnsi="仿宋" w:eastAsia="仿宋" w:cs="仿宋"/>
          <w:bCs/>
          <w:sz w:val="24"/>
          <w:highlight w:val="none"/>
          <w:lang w:eastAsia="zh-CN"/>
        </w:rPr>
        <w:t>地址</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lang w:eastAsia="zh-CN"/>
        </w:rPr>
        <w:t>重庆市南岸区茶园新区长庆路1号</w:t>
      </w:r>
    </w:p>
    <w:p w14:paraId="1511A38D">
      <w:pPr>
        <w:pageBreakBefore w:val="0"/>
        <w:kinsoku/>
        <w:overflowPunct/>
        <w:topLinePunct w:val="0"/>
        <w:bidi w:val="0"/>
        <w:snapToGrid w:val="0"/>
        <w:spacing w:line="312" w:lineRule="auto"/>
        <w:outlineLvl w:val="1"/>
        <w:rPr>
          <w:rFonts w:hint="eastAsia" w:ascii="仿宋" w:hAnsi="仿宋" w:eastAsia="仿宋" w:cs="仿宋"/>
          <w:color w:val="auto"/>
          <w:sz w:val="24"/>
          <w:szCs w:val="24"/>
          <w:highlight w:val="none"/>
        </w:rPr>
      </w:pPr>
      <w:bookmarkStart w:id="21" w:name="_Toc27048"/>
      <w:bookmarkStart w:id="22" w:name="_Toc22583"/>
    </w:p>
    <w:p w14:paraId="519BF88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bookmarkEnd w:id="21"/>
      <w:bookmarkEnd w:id="22"/>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重庆普聚工程咨询有限公司</w:t>
      </w:r>
    </w:p>
    <w:p w14:paraId="4DBAC15B">
      <w:pPr>
        <w:snapToGrid w:val="0"/>
        <w:spacing w:line="360" w:lineRule="auto"/>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付老师</w:t>
      </w:r>
    </w:p>
    <w:p w14:paraId="7EDDFFDE">
      <w:pPr>
        <w:snapToGrid w:val="0"/>
        <w:spacing w:line="360" w:lineRule="auto"/>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w:t>
      </w:r>
      <w:r>
        <w:rPr>
          <w:rFonts w:hint="eastAsia" w:ascii="仿宋" w:hAnsi="仿宋" w:eastAsia="仿宋" w:cs="仿宋"/>
          <w:color w:val="auto"/>
          <w:sz w:val="24"/>
          <w:szCs w:val="24"/>
          <w:highlight w:val="none"/>
        </w:rPr>
        <w:t>62482276</w:t>
      </w:r>
    </w:p>
    <w:p w14:paraId="6F6C9132">
      <w:pPr>
        <w:pageBreakBefore w:val="0"/>
        <w:kinsoku/>
        <w:overflowPunct/>
        <w:topLinePunct w:val="0"/>
        <w:bidi w:val="0"/>
        <w:snapToGrid w:val="0"/>
        <w:spacing w:line="312" w:lineRule="auto"/>
        <w:ind w:firstLine="1200" w:firstLineChars="500"/>
        <w:outlineLvl w:val="1"/>
        <w:rPr>
          <w:rFonts w:hint="eastAsia" w:ascii="仿宋" w:hAnsi="仿宋" w:eastAsia="仿宋" w:cs="仿宋"/>
          <w:color w:val="auto"/>
          <w:sz w:val="24"/>
          <w:szCs w:val="24"/>
          <w:highlight w:val="none"/>
        </w:rPr>
        <w:sectPr>
          <w:footerReference r:id="rId10" w:type="default"/>
          <w:pgSz w:w="11907" w:h="16840"/>
          <w:pgMar w:top="1361" w:right="1361" w:bottom="1361" w:left="1361" w:header="397" w:footer="992" w:gutter="0"/>
          <w:pgNumType w:start="1"/>
          <w:cols w:space="720" w:num="1"/>
          <w:docGrid w:linePitch="312" w:charSpace="0"/>
        </w:sect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zh-TW" w:eastAsia="zh-TW"/>
        </w:rPr>
        <w:t>重庆市南岸区南城大道199号17-2号</w:t>
      </w:r>
    </w:p>
    <w:p w14:paraId="504416E9">
      <w:pPr>
        <w:pStyle w:val="8"/>
        <w:pageBreakBefore w:val="0"/>
        <w:numPr>
          <w:ilvl w:val="0"/>
          <w:numId w:val="1"/>
        </w:numPr>
        <w:kinsoku/>
        <w:overflowPunct/>
        <w:topLinePunct w:val="0"/>
        <w:bidi w:val="0"/>
        <w:snapToGrid w:val="0"/>
        <w:spacing w:before="0" w:after="0" w:line="312" w:lineRule="auto"/>
        <w:jc w:val="center"/>
        <w:rPr>
          <w:rFonts w:hint="eastAsia" w:ascii="仿宋" w:hAnsi="仿宋" w:eastAsia="仿宋" w:cs="仿宋"/>
          <w:color w:val="auto"/>
          <w:sz w:val="36"/>
          <w:szCs w:val="28"/>
          <w:highlight w:val="none"/>
        </w:rPr>
      </w:pPr>
      <w:bookmarkStart w:id="23" w:name="_Toc29610"/>
      <w:r>
        <w:rPr>
          <w:rFonts w:hint="eastAsia" w:ascii="仿宋" w:hAnsi="仿宋" w:eastAsia="仿宋" w:cs="仿宋"/>
          <w:color w:val="auto"/>
          <w:sz w:val="36"/>
          <w:szCs w:val="28"/>
          <w:highlight w:val="none"/>
        </w:rPr>
        <w:t xml:space="preserve"> 项目技术规格、数量及质量要求</w:t>
      </w:r>
      <w:bookmarkEnd w:id="23"/>
    </w:p>
    <w:p w14:paraId="16F8BEB2">
      <w:pPr>
        <w:keepNext w:val="0"/>
        <w:keepLines w:val="0"/>
        <w:pageBreakBefore w:val="0"/>
        <w:widowControl w:val="0"/>
        <w:kinsoku/>
        <w:wordWrap/>
        <w:overflowPunct/>
        <w:topLinePunct w:val="0"/>
        <w:autoSpaceDE/>
        <w:autoSpaceDN/>
        <w:bidi w:val="0"/>
        <w:adjustRightInd/>
        <w:snapToGrid w:val="0"/>
        <w:spacing w:line="312" w:lineRule="auto"/>
        <w:ind w:firstLine="400" w:firstLineChars="200"/>
        <w:textAlignment w:val="auto"/>
        <w:rPr>
          <w:rFonts w:hint="eastAsia" w:ascii="仿宋" w:hAnsi="仿宋" w:eastAsia="仿宋" w:cs="仿宋"/>
          <w:highlight w:val="none"/>
        </w:rPr>
      </w:pPr>
      <w:r>
        <w:rPr>
          <w:rFonts w:hint="eastAsia" w:ascii="仿宋" w:hAnsi="仿宋" w:eastAsia="仿宋" w:cs="仿宋"/>
          <w:color w:val="auto"/>
          <w:sz w:val="20"/>
          <w:szCs w:val="20"/>
          <w:highlight w:val="none"/>
        </w:rPr>
        <w:t>“※”标注的</w:t>
      </w:r>
      <w:r>
        <w:rPr>
          <w:rFonts w:hint="eastAsia" w:ascii="仿宋" w:hAnsi="仿宋" w:eastAsia="仿宋" w:cs="仿宋"/>
          <w:color w:val="auto"/>
          <w:sz w:val="20"/>
          <w:szCs w:val="20"/>
          <w:highlight w:val="none"/>
          <w:lang w:val="en-US" w:eastAsia="zh-CN"/>
        </w:rPr>
        <w:t>技术</w:t>
      </w:r>
      <w:r>
        <w:rPr>
          <w:rFonts w:hint="eastAsia" w:ascii="仿宋" w:hAnsi="仿宋" w:eastAsia="仿宋" w:cs="仿宋"/>
          <w:color w:val="auto"/>
          <w:sz w:val="20"/>
          <w:szCs w:val="20"/>
          <w:highlight w:val="none"/>
        </w:rPr>
        <w:t>需求为符合性审查中的实质性要求，响应文件若不满足按无效响应处理。</w:t>
      </w:r>
    </w:p>
    <w:p w14:paraId="4BCA1B56">
      <w:pPr>
        <w:pStyle w:val="8"/>
        <w:pageBreakBefore w:val="0"/>
        <w:kinsoku/>
        <w:overflowPunct/>
        <w:topLinePunct w:val="0"/>
        <w:bidi w:val="0"/>
        <w:spacing w:line="312" w:lineRule="auto"/>
        <w:rPr>
          <w:rFonts w:hint="eastAsia" w:ascii="仿宋" w:hAnsi="仿宋" w:eastAsia="仿宋" w:cs="仿宋"/>
          <w:color w:val="auto"/>
          <w:sz w:val="24"/>
          <w:szCs w:val="24"/>
          <w:highlight w:val="none"/>
        </w:rPr>
      </w:pPr>
      <w:bookmarkStart w:id="24" w:name="_Toc75793505"/>
      <w:bookmarkStart w:id="25" w:name="_Toc32061"/>
      <w:bookmarkStart w:id="26" w:name="_Toc832"/>
      <w:bookmarkStart w:id="27" w:name="_Toc24430"/>
      <w:bookmarkStart w:id="28" w:name="_Toc12519"/>
      <w:bookmarkStart w:id="29" w:name="_Toc26338"/>
      <w:bookmarkStart w:id="30" w:name="_Toc1794"/>
      <w:bookmarkStart w:id="31" w:name="_Toc16585"/>
      <w:bookmarkStart w:id="32" w:name="_Toc11641055"/>
      <w:bookmarkStart w:id="33" w:name="_Toc12789059"/>
      <w:r>
        <w:rPr>
          <w:rFonts w:hint="eastAsia" w:ascii="仿宋" w:hAnsi="仿宋" w:eastAsia="仿宋" w:cs="仿宋"/>
          <w:color w:val="auto"/>
          <w:sz w:val="20"/>
          <w:szCs w:val="20"/>
          <w:highlight w:val="none"/>
        </w:rPr>
        <w:t>※</w:t>
      </w:r>
      <w:r>
        <w:rPr>
          <w:rFonts w:hint="eastAsia" w:ascii="仿宋" w:hAnsi="仿宋" w:eastAsia="仿宋" w:cs="仿宋"/>
          <w:color w:val="auto"/>
          <w:sz w:val="24"/>
          <w:szCs w:val="24"/>
          <w:highlight w:val="none"/>
        </w:rPr>
        <w:t>一、采购项目一览表</w:t>
      </w:r>
      <w:bookmarkEnd w:id="24"/>
      <w:bookmarkEnd w:id="25"/>
    </w:p>
    <w:tbl>
      <w:tblPr>
        <w:tblStyle w:val="27"/>
        <w:tblW w:w="5405"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277"/>
        <w:gridCol w:w="2891"/>
        <w:gridCol w:w="2424"/>
      </w:tblGrid>
      <w:tr w14:paraId="1E7D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6" w:type="dxa"/>
            <w:noWrap w:val="0"/>
            <w:vAlign w:val="center"/>
          </w:tcPr>
          <w:p w14:paraId="037837E2">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4277" w:type="dxa"/>
            <w:noWrap w:val="0"/>
            <w:vAlign w:val="center"/>
          </w:tcPr>
          <w:p w14:paraId="339FC128">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采购项目名称</w:t>
            </w:r>
          </w:p>
        </w:tc>
        <w:tc>
          <w:tcPr>
            <w:tcW w:w="2891" w:type="dxa"/>
            <w:noWrap w:val="0"/>
            <w:vAlign w:val="center"/>
          </w:tcPr>
          <w:p w14:paraId="4F3EE254">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采购预算</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元</w:t>
            </w:r>
            <w:r>
              <w:rPr>
                <w:rFonts w:hint="eastAsia" w:ascii="仿宋" w:hAnsi="仿宋" w:eastAsia="仿宋" w:cs="仿宋"/>
                <w:b/>
                <w:color w:val="auto"/>
                <w:sz w:val="24"/>
                <w:szCs w:val="24"/>
                <w:highlight w:val="none"/>
                <w:lang w:eastAsia="zh-CN"/>
              </w:rPr>
              <w:t>）</w:t>
            </w:r>
          </w:p>
        </w:tc>
        <w:tc>
          <w:tcPr>
            <w:tcW w:w="2424" w:type="dxa"/>
            <w:noWrap w:val="0"/>
            <w:vAlign w:val="center"/>
          </w:tcPr>
          <w:p w14:paraId="697449C6">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val="en-US" w:eastAsia="zh-CN"/>
              </w:rPr>
              <w:t>预估采购</w:t>
            </w:r>
            <w:r>
              <w:rPr>
                <w:rFonts w:hint="eastAsia" w:ascii="仿宋" w:hAnsi="仿宋" w:eastAsia="仿宋" w:cs="仿宋"/>
                <w:b/>
                <w:color w:val="auto"/>
                <w:sz w:val="24"/>
                <w:szCs w:val="24"/>
                <w:highlight w:val="none"/>
              </w:rPr>
              <w:t>数量</w:t>
            </w:r>
          </w:p>
        </w:tc>
      </w:tr>
      <w:tr w14:paraId="3AA5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6" w:type="dxa"/>
            <w:noWrap w:val="0"/>
            <w:vAlign w:val="center"/>
          </w:tcPr>
          <w:p w14:paraId="4B52C492">
            <w:pPr>
              <w:pStyle w:val="3"/>
              <w:spacing w:line="360" w:lineRule="auto"/>
              <w:ind w:left="0" w:leftChars="0"/>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c>
          <w:tcPr>
            <w:tcW w:w="4277" w:type="dxa"/>
            <w:noWrap w:val="0"/>
            <w:vAlign w:val="center"/>
          </w:tcPr>
          <w:p w14:paraId="5E02F2A5">
            <w:pPr>
              <w:widowControl/>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 重庆市龙门浩职业中学校工会运动服装采购项目</w:t>
            </w:r>
          </w:p>
        </w:tc>
        <w:tc>
          <w:tcPr>
            <w:tcW w:w="2891" w:type="dxa"/>
            <w:noWrap w:val="0"/>
            <w:vAlign w:val="center"/>
          </w:tcPr>
          <w:p w14:paraId="448230D6">
            <w:pPr>
              <w:pStyle w:val="3"/>
              <w:spacing w:line="360" w:lineRule="auto"/>
              <w:ind w:left="0" w:leftChars="0"/>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323200.00</w:t>
            </w:r>
          </w:p>
        </w:tc>
        <w:tc>
          <w:tcPr>
            <w:tcW w:w="2424" w:type="dxa"/>
            <w:noWrap w:val="0"/>
            <w:vAlign w:val="center"/>
          </w:tcPr>
          <w:p w14:paraId="409B5115">
            <w:pPr>
              <w:pStyle w:val="3"/>
              <w:spacing w:line="360" w:lineRule="auto"/>
              <w:ind w:left="0" w:leftChars="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404</w:t>
            </w:r>
          </w:p>
        </w:tc>
      </w:tr>
      <w:tr w14:paraId="51D4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408" w:type="dxa"/>
            <w:gridSpan w:val="4"/>
            <w:noWrap w:val="0"/>
            <w:vAlign w:val="center"/>
          </w:tcPr>
          <w:p w14:paraId="56934D62">
            <w:pPr>
              <w:pStyle w:val="3"/>
              <w:spacing w:line="240" w:lineRule="auto"/>
              <w:ind w:left="0"/>
              <w:jc w:val="left"/>
              <w:outlineLvl w:val="0"/>
              <w:rPr>
                <w:rFonts w:hint="default" w:ascii="仿宋" w:hAnsi="仿宋" w:eastAsia="仿宋" w:cs="仿宋"/>
                <w:color w:val="auto"/>
                <w:sz w:val="24"/>
                <w:szCs w:val="24"/>
                <w:highlight w:val="none"/>
                <w:lang w:val="en-US" w:eastAsia="zh-CN"/>
              </w:rPr>
            </w:pPr>
            <w:bookmarkStart w:id="34" w:name="_Toc23681"/>
            <w:bookmarkStart w:id="35" w:name="_Toc75793506"/>
            <w:r>
              <w:rPr>
                <w:rFonts w:hint="eastAsia" w:ascii="仿宋" w:hAnsi="仿宋" w:eastAsia="仿宋" w:cs="仿宋"/>
                <w:color w:val="auto"/>
                <w:sz w:val="24"/>
                <w:szCs w:val="24"/>
                <w:highlight w:val="none"/>
                <w:lang w:val="en-US" w:eastAsia="zh-CN"/>
              </w:rPr>
              <w:t>备注：</w:t>
            </w:r>
          </w:p>
          <w:p w14:paraId="75A8FB8A">
            <w:pPr>
              <w:pStyle w:val="3"/>
              <w:spacing w:line="240" w:lineRule="auto"/>
              <w:ind w:left="0"/>
              <w:jc w:val="left"/>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1.所采购货物必须为中国大陆境内生产；</w:t>
            </w:r>
          </w:p>
          <w:p w14:paraId="4E2D039B">
            <w:pPr>
              <w:pStyle w:val="3"/>
              <w:spacing w:line="240" w:lineRule="auto"/>
              <w:ind w:left="0"/>
              <w:jc w:val="left"/>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2.本项目</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数量为预估数量,实际数量以最终结算数量为准；</w:t>
            </w:r>
          </w:p>
          <w:p w14:paraId="78584D8A">
            <w:pPr>
              <w:pStyle w:val="3"/>
              <w:spacing w:line="240" w:lineRule="auto"/>
              <w:ind w:left="0" w:leftChars="0"/>
              <w:jc w:val="both"/>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3.本项目以</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lang w:eastAsia="zh-CN"/>
              </w:rPr>
              <w:t>价报价作为评审依据，供应商单价报价不得超过</w:t>
            </w:r>
            <w:r>
              <w:rPr>
                <w:rFonts w:hint="eastAsia" w:ascii="仿宋" w:hAnsi="仿宋" w:eastAsia="仿宋" w:cs="仿宋"/>
                <w:color w:val="auto"/>
                <w:sz w:val="24"/>
                <w:szCs w:val="24"/>
                <w:highlight w:val="none"/>
                <w:lang w:val="en-US" w:eastAsia="zh-CN"/>
              </w:rPr>
              <w:t>采购预算</w:t>
            </w:r>
            <w:r>
              <w:rPr>
                <w:rFonts w:hint="eastAsia" w:ascii="仿宋" w:hAnsi="仿宋" w:eastAsia="仿宋" w:cs="仿宋"/>
                <w:color w:val="auto"/>
                <w:sz w:val="24"/>
                <w:szCs w:val="24"/>
                <w:highlight w:val="none"/>
                <w:lang w:eastAsia="zh-CN"/>
              </w:rPr>
              <w:t>。</w:t>
            </w:r>
          </w:p>
        </w:tc>
      </w:tr>
    </w:tbl>
    <w:p w14:paraId="60D8F32E">
      <w:pPr>
        <w:pStyle w:val="8"/>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招标项目技术需求</w:t>
      </w:r>
      <w:bookmarkEnd w:id="34"/>
      <w:bookmarkEnd w:id="35"/>
    </w:p>
    <w:tbl>
      <w:tblPr>
        <w:tblStyle w:val="28"/>
        <w:tblW w:w="10483"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54"/>
        <w:gridCol w:w="975"/>
        <w:gridCol w:w="2969"/>
        <w:gridCol w:w="2886"/>
        <w:gridCol w:w="1695"/>
      </w:tblGrid>
      <w:tr w14:paraId="20D6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F32C242">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300" w:type="dxa"/>
            <w:vAlign w:val="center"/>
          </w:tcPr>
          <w:p w14:paraId="0CBEE2E4">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品名</w:t>
            </w:r>
          </w:p>
        </w:tc>
        <w:tc>
          <w:tcPr>
            <w:tcW w:w="1008" w:type="dxa"/>
            <w:vAlign w:val="center"/>
          </w:tcPr>
          <w:p w14:paraId="48C9493C">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tc>
        <w:tc>
          <w:tcPr>
            <w:tcW w:w="3108" w:type="dxa"/>
            <w:vAlign w:val="center"/>
          </w:tcPr>
          <w:p w14:paraId="27B74E1E">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参数</w:t>
            </w:r>
          </w:p>
        </w:tc>
        <w:tc>
          <w:tcPr>
            <w:tcW w:w="2584" w:type="dxa"/>
            <w:vAlign w:val="center"/>
          </w:tcPr>
          <w:p w14:paraId="17B6B3C3">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参考图样</w:t>
            </w:r>
          </w:p>
        </w:tc>
        <w:tc>
          <w:tcPr>
            <w:tcW w:w="1758" w:type="dxa"/>
            <w:vAlign w:val="center"/>
          </w:tcPr>
          <w:p w14:paraId="3B1AC32F">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单价限价（元）</w:t>
            </w:r>
          </w:p>
        </w:tc>
      </w:tr>
      <w:tr w14:paraId="1828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725" w:type="dxa"/>
            <w:vAlign w:val="center"/>
          </w:tcPr>
          <w:p w14:paraId="2727B3BC">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1300" w:type="dxa"/>
            <w:vAlign w:val="center"/>
          </w:tcPr>
          <w:p w14:paraId="40AA7DBB">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冲锋衣(女)</w:t>
            </w:r>
          </w:p>
        </w:tc>
        <w:tc>
          <w:tcPr>
            <w:tcW w:w="1008" w:type="dxa"/>
            <w:vAlign w:val="center"/>
          </w:tcPr>
          <w:p w14:paraId="4497276A">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287件</w:t>
            </w:r>
          </w:p>
        </w:tc>
        <w:tc>
          <w:tcPr>
            <w:tcW w:w="3108" w:type="dxa"/>
            <w:vAlign w:val="center"/>
          </w:tcPr>
          <w:p w14:paraId="501D74E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①采用高效防水透湿膜,内里压胶工艺。良好的防水效果，透湿性能，外层防风，内里干爽；</w:t>
            </w:r>
          </w:p>
          <w:p w14:paraId="5CB7803F">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②浅灰色，纸灰色类；</w:t>
            </w:r>
          </w:p>
          <w:p w14:paraId="0BDDEC87">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③尺码：XS/155 S/160 M/165 L/170 XL/175 XXL/180 XXXL/185 XXXXL/190</w:t>
            </w:r>
          </w:p>
        </w:tc>
        <w:tc>
          <w:tcPr>
            <w:tcW w:w="2584" w:type="dxa"/>
          </w:tcPr>
          <w:p w14:paraId="4AB455C4">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r>
              <w:rPr>
                <w:highlight w:val="none"/>
              </w:rPr>
              <w:drawing>
                <wp:inline distT="0" distB="0" distL="114300" distR="114300">
                  <wp:extent cx="1632585" cy="1637030"/>
                  <wp:effectExtent l="0" t="0" r="5715"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0" cstate="print">
                            <a:extLst>
                              <a:ext uri="{28A0092B-C50C-407E-A947-70E740481C1C}">
                                <a14:useLocalDpi xmlns:a14="http://schemas.microsoft.com/office/drawing/2010/main" val="0"/>
                              </a:ext>
                            </a:extLst>
                          </a:blip>
                          <a:srcRect l="1471" t="1960" r="51593" b="35294"/>
                          <a:stretch>
                            <a:fillRect/>
                          </a:stretch>
                        </pic:blipFill>
                        <pic:spPr>
                          <a:xfrm>
                            <a:off x="0" y="0"/>
                            <a:ext cx="1632585" cy="1637030"/>
                          </a:xfrm>
                          <a:prstGeom prst="rect">
                            <a:avLst/>
                          </a:prstGeom>
                        </pic:spPr>
                      </pic:pic>
                    </a:graphicData>
                  </a:graphic>
                </wp:inline>
              </w:drawing>
            </w:r>
          </w:p>
        </w:tc>
        <w:tc>
          <w:tcPr>
            <w:tcW w:w="1758" w:type="dxa"/>
            <w:vMerge w:val="restart"/>
            <w:vAlign w:val="center"/>
          </w:tcPr>
          <w:p w14:paraId="1FEE4DEF">
            <w:pPr>
              <w:pageBreakBefore w:val="0"/>
              <w:numPr>
                <w:ilvl w:val="0"/>
                <w:numId w:val="0"/>
              </w:numPr>
              <w:kinsoku/>
              <w:overflowPunct/>
              <w:topLinePunct w:val="0"/>
              <w:bidi w:val="0"/>
              <w:spacing w:line="312" w:lineRule="auto"/>
              <w:jc w:val="center"/>
              <w:rPr>
                <w:rFonts w:hint="default"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kern w:val="2"/>
                <w:sz w:val="24"/>
                <w:szCs w:val="24"/>
                <w:highlight w:val="none"/>
                <w:vertAlign w:val="baseline"/>
                <w:lang w:val="en-US" w:eastAsia="zh-CN" w:bidi="ar-SA"/>
              </w:rPr>
              <w:t>800.00</w:t>
            </w:r>
          </w:p>
        </w:tc>
      </w:tr>
      <w:tr w14:paraId="466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25" w:type="dxa"/>
            <w:vAlign w:val="center"/>
          </w:tcPr>
          <w:p w14:paraId="242071D1">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w:t>
            </w:r>
          </w:p>
        </w:tc>
        <w:tc>
          <w:tcPr>
            <w:tcW w:w="1300" w:type="dxa"/>
            <w:vAlign w:val="center"/>
          </w:tcPr>
          <w:p w14:paraId="160F766D">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长袖针织衫(女)</w:t>
            </w:r>
          </w:p>
        </w:tc>
        <w:tc>
          <w:tcPr>
            <w:tcW w:w="1008" w:type="dxa"/>
            <w:vAlign w:val="center"/>
          </w:tcPr>
          <w:p w14:paraId="6330561E">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287件</w:t>
            </w:r>
          </w:p>
        </w:tc>
        <w:tc>
          <w:tcPr>
            <w:tcW w:w="3108" w:type="dxa"/>
            <w:vAlign w:val="center"/>
          </w:tcPr>
          <w:p w14:paraId="38EA38F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①采用锦纶、聚脂纤维、氨纶面料，POLARTEC的抓绒面料混纺，透气保暖；</w:t>
            </w:r>
          </w:p>
          <w:p w14:paraId="2A680D8C">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②浅灰色，纸灰色类；</w:t>
            </w:r>
          </w:p>
          <w:p w14:paraId="7DA9A77D">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③尺码：XS/155 S/160 M/165 L/170 XL/175 XXL/180 XXXL/185 </w:t>
            </w:r>
          </w:p>
        </w:tc>
        <w:tc>
          <w:tcPr>
            <w:tcW w:w="2584" w:type="dxa"/>
          </w:tcPr>
          <w:p w14:paraId="5F1ACFE3">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r>
              <w:rPr>
                <w:highlight w:val="none"/>
              </w:rPr>
              <w:drawing>
                <wp:inline distT="0" distB="0" distL="114300" distR="114300">
                  <wp:extent cx="1541780" cy="1509395"/>
                  <wp:effectExtent l="0" t="0" r="1270"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1" cstate="print">
                            <a:extLst>
                              <a:ext uri="{28A0092B-C50C-407E-A947-70E740481C1C}">
                                <a14:useLocalDpi xmlns:a14="http://schemas.microsoft.com/office/drawing/2010/main" val="0"/>
                              </a:ext>
                            </a:extLst>
                          </a:blip>
                          <a:srcRect l="51847" t="36454" r="2463" b="3940"/>
                          <a:stretch>
                            <a:fillRect/>
                          </a:stretch>
                        </pic:blipFill>
                        <pic:spPr>
                          <a:xfrm>
                            <a:off x="0" y="0"/>
                            <a:ext cx="1541780" cy="1509395"/>
                          </a:xfrm>
                          <a:prstGeom prst="rect">
                            <a:avLst/>
                          </a:prstGeom>
                        </pic:spPr>
                      </pic:pic>
                    </a:graphicData>
                  </a:graphic>
                </wp:inline>
              </w:drawing>
            </w:r>
          </w:p>
        </w:tc>
        <w:tc>
          <w:tcPr>
            <w:tcW w:w="1758" w:type="dxa"/>
            <w:vMerge w:val="continue"/>
            <w:vAlign w:val="center"/>
          </w:tcPr>
          <w:p w14:paraId="16318AD8">
            <w:pPr>
              <w:pageBreakBefore w:val="0"/>
              <w:numPr>
                <w:ilvl w:val="0"/>
                <w:numId w:val="0"/>
              </w:numPr>
              <w:kinsoku/>
              <w:overflowPunct/>
              <w:topLinePunct w:val="0"/>
              <w:bidi w:val="0"/>
              <w:spacing w:line="312" w:lineRule="auto"/>
              <w:jc w:val="center"/>
              <w:rPr>
                <w:rFonts w:hint="eastAsia" w:ascii="仿宋" w:hAnsi="仿宋" w:eastAsia="仿宋" w:cs="仿宋"/>
                <w:b w:val="0"/>
                <w:bCs/>
                <w:color w:val="auto"/>
                <w:kern w:val="2"/>
                <w:sz w:val="24"/>
                <w:szCs w:val="24"/>
                <w:highlight w:val="none"/>
                <w:vertAlign w:val="baseline"/>
                <w:lang w:val="en-US" w:eastAsia="zh-CN" w:bidi="ar-SA"/>
              </w:rPr>
            </w:pPr>
          </w:p>
        </w:tc>
      </w:tr>
      <w:tr w14:paraId="388B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25" w:type="dxa"/>
            <w:vAlign w:val="center"/>
          </w:tcPr>
          <w:p w14:paraId="45ACE5CB">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300" w:type="dxa"/>
            <w:vAlign w:val="center"/>
          </w:tcPr>
          <w:p w14:paraId="44246843">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冲锋衣(男)</w:t>
            </w:r>
          </w:p>
        </w:tc>
        <w:tc>
          <w:tcPr>
            <w:tcW w:w="1008" w:type="dxa"/>
            <w:vAlign w:val="center"/>
          </w:tcPr>
          <w:p w14:paraId="76F2EA28">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117件</w:t>
            </w:r>
          </w:p>
        </w:tc>
        <w:tc>
          <w:tcPr>
            <w:tcW w:w="3108" w:type="dxa"/>
            <w:vAlign w:val="center"/>
          </w:tcPr>
          <w:p w14:paraId="31C3D8FA">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①采用高效防水透湿膜,内里压胶工艺。良好的防水效果，透湿性能，外层防风，内里干爽；</w:t>
            </w:r>
          </w:p>
          <w:p w14:paraId="684FAE62">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②深灰色；烟灰色类；</w:t>
            </w:r>
          </w:p>
          <w:p w14:paraId="6A30431F">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③尺码：XS/155 S/160 M/165 L/170 XL/175 XXL/180 XXXL/185 XXXXL/190</w:t>
            </w:r>
          </w:p>
        </w:tc>
        <w:tc>
          <w:tcPr>
            <w:tcW w:w="2584" w:type="dxa"/>
          </w:tcPr>
          <w:p w14:paraId="53A95FDC">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r>
              <w:rPr>
                <w:highlight w:val="none"/>
              </w:rPr>
              <w:drawing>
                <wp:inline distT="0" distB="0" distL="114300" distR="114300">
                  <wp:extent cx="1693545" cy="1689735"/>
                  <wp:effectExtent l="0" t="0" r="1905"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2" cstate="print">
                            <a:extLst>
                              <a:ext uri="{28A0092B-C50C-407E-A947-70E740481C1C}">
                                <a14:useLocalDpi xmlns:a14="http://schemas.microsoft.com/office/drawing/2010/main" val="0"/>
                              </a:ext>
                            </a:extLst>
                          </a:blip>
                          <a:srcRect l="1590" t="2122" r="51286" b="35210"/>
                          <a:stretch>
                            <a:fillRect/>
                          </a:stretch>
                        </pic:blipFill>
                        <pic:spPr>
                          <a:xfrm>
                            <a:off x="0" y="0"/>
                            <a:ext cx="1693545" cy="1689735"/>
                          </a:xfrm>
                          <a:prstGeom prst="rect">
                            <a:avLst/>
                          </a:prstGeom>
                        </pic:spPr>
                      </pic:pic>
                    </a:graphicData>
                  </a:graphic>
                </wp:inline>
              </w:drawing>
            </w:r>
          </w:p>
        </w:tc>
        <w:tc>
          <w:tcPr>
            <w:tcW w:w="1758" w:type="dxa"/>
            <w:vMerge w:val="restart"/>
            <w:vAlign w:val="center"/>
          </w:tcPr>
          <w:p w14:paraId="5B2BBEAC">
            <w:pPr>
              <w:pageBreakBefore w:val="0"/>
              <w:numPr>
                <w:ilvl w:val="0"/>
                <w:numId w:val="0"/>
              </w:numPr>
              <w:kinsoku/>
              <w:overflowPunct/>
              <w:topLinePunct w:val="0"/>
              <w:bidi w:val="0"/>
              <w:spacing w:line="312" w:lineRule="auto"/>
              <w:jc w:val="center"/>
              <w:rPr>
                <w:rFonts w:hint="default"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kern w:val="2"/>
                <w:sz w:val="24"/>
                <w:szCs w:val="24"/>
                <w:highlight w:val="none"/>
                <w:vertAlign w:val="baseline"/>
                <w:lang w:val="en-US" w:eastAsia="zh-CN" w:bidi="ar-SA"/>
              </w:rPr>
              <w:t>800.00</w:t>
            </w:r>
          </w:p>
        </w:tc>
      </w:tr>
      <w:tr w14:paraId="165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5" w:type="dxa"/>
            <w:vAlign w:val="center"/>
          </w:tcPr>
          <w:p w14:paraId="49D191F8">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1300" w:type="dxa"/>
            <w:vAlign w:val="center"/>
          </w:tcPr>
          <w:p w14:paraId="5DB32B6E">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长袖针织衫(男)</w:t>
            </w:r>
          </w:p>
        </w:tc>
        <w:tc>
          <w:tcPr>
            <w:tcW w:w="1008" w:type="dxa"/>
            <w:vAlign w:val="center"/>
          </w:tcPr>
          <w:p w14:paraId="036F68F8">
            <w:pPr>
              <w:keepNext w:val="0"/>
              <w:keepLines w:val="0"/>
              <w:widowControl/>
              <w:suppressLineNumbers w:val="0"/>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117件</w:t>
            </w:r>
          </w:p>
        </w:tc>
        <w:tc>
          <w:tcPr>
            <w:tcW w:w="3108" w:type="dxa"/>
            <w:vAlign w:val="center"/>
          </w:tcPr>
          <w:p w14:paraId="5EB4E8B3">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①采用锦纶、聚脂纤维、氨纶面料，POLARTEC的抓绒面料混纺，透气保暖；</w:t>
            </w:r>
          </w:p>
          <w:p w14:paraId="557CD1E9">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②基础黑色；</w:t>
            </w:r>
          </w:p>
          <w:p w14:paraId="15206C23">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③尺码：XS/155 S/160 M/165 L/170 XL/175 XXL/180 XXXL/185 </w:t>
            </w:r>
          </w:p>
        </w:tc>
        <w:tc>
          <w:tcPr>
            <w:tcW w:w="2584" w:type="dxa"/>
          </w:tcPr>
          <w:p w14:paraId="3DFF3DD4">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r>
              <w:rPr>
                <w:highlight w:val="none"/>
              </w:rPr>
              <w:drawing>
                <wp:inline distT="0" distB="0" distL="114300" distR="114300">
                  <wp:extent cx="1523365" cy="1547495"/>
                  <wp:effectExtent l="0" t="0" r="635"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3" cstate="print">
                            <a:extLst>
                              <a:ext uri="{28A0092B-C50C-407E-A947-70E740481C1C}">
                                <a14:useLocalDpi xmlns:a14="http://schemas.microsoft.com/office/drawing/2010/main" val="0"/>
                              </a:ext>
                            </a:extLst>
                          </a:blip>
                          <a:srcRect l="51103" t="34477" r="2451" b="2614"/>
                          <a:stretch>
                            <a:fillRect/>
                          </a:stretch>
                        </pic:blipFill>
                        <pic:spPr>
                          <a:xfrm>
                            <a:off x="0" y="0"/>
                            <a:ext cx="1523365" cy="1547495"/>
                          </a:xfrm>
                          <a:prstGeom prst="rect">
                            <a:avLst/>
                          </a:prstGeom>
                        </pic:spPr>
                      </pic:pic>
                    </a:graphicData>
                  </a:graphic>
                </wp:inline>
              </w:drawing>
            </w:r>
          </w:p>
        </w:tc>
        <w:tc>
          <w:tcPr>
            <w:tcW w:w="1758" w:type="dxa"/>
            <w:vMerge w:val="continue"/>
          </w:tcPr>
          <w:p w14:paraId="4863E655">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p>
        </w:tc>
      </w:tr>
      <w:tr w14:paraId="515E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141" w:type="dxa"/>
            <w:gridSpan w:val="4"/>
            <w:vAlign w:val="center"/>
          </w:tcPr>
          <w:p w14:paraId="5A99475D">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4342" w:type="dxa"/>
            <w:gridSpan w:val="2"/>
          </w:tcPr>
          <w:p w14:paraId="4B1EC49F">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p>
        </w:tc>
      </w:tr>
      <w:tr w14:paraId="7B34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83" w:type="dxa"/>
            <w:gridSpan w:val="6"/>
            <w:vAlign w:val="center"/>
          </w:tcPr>
          <w:p w14:paraId="4D03BF7F">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b/>
                <w:color w:val="auto"/>
                <w:kern w:val="2"/>
                <w:sz w:val="24"/>
                <w:szCs w:val="24"/>
                <w:highlight w:val="none"/>
                <w:vertAlign w:val="baseline"/>
                <w:lang w:val="en-US" w:eastAsia="zh-CN" w:bidi="ar-SA"/>
              </w:rPr>
              <w:t>备注：</w:t>
            </w:r>
          </w:p>
          <w:p w14:paraId="01914BE6">
            <w:pPr>
              <w:pageBreakBefore w:val="0"/>
              <w:numPr>
                <w:ilvl w:val="0"/>
                <w:numId w:val="0"/>
              </w:numPr>
              <w:kinsoku/>
              <w:overflowPunct/>
              <w:topLinePunct w:val="0"/>
              <w:bidi w:val="0"/>
              <w:spacing w:line="312" w:lineRule="auto"/>
              <w:rPr>
                <w:rFonts w:hint="default"/>
                <w:highlight w:val="none"/>
                <w:lang w:val="en-US" w:eastAsia="zh-CN"/>
              </w:rPr>
            </w:pPr>
            <w:r>
              <w:rPr>
                <w:rFonts w:hint="eastAsia" w:ascii="仿宋" w:hAnsi="仿宋" w:eastAsia="仿宋" w:cs="仿宋"/>
                <w:b/>
                <w:color w:val="auto"/>
                <w:kern w:val="2"/>
                <w:sz w:val="24"/>
                <w:szCs w:val="24"/>
                <w:highlight w:val="none"/>
                <w:vertAlign w:val="baseline"/>
                <w:lang w:val="en-US" w:eastAsia="zh-CN" w:bidi="ar-SA"/>
              </w:rPr>
              <w:t>供应商报价方式为每样每件单独报价，且每套（冲锋衣+长袖针织衫）的价格均不得超过800元。</w:t>
            </w:r>
          </w:p>
        </w:tc>
      </w:tr>
    </w:tbl>
    <w:p w14:paraId="2A8739AE">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lang w:val="en-US" w:eastAsia="zh-CN" w:bidi="ar-SA"/>
        </w:rPr>
      </w:pPr>
    </w:p>
    <w:p w14:paraId="07E8FBE0">
      <w:pPr>
        <w:pageBreakBefore w:val="0"/>
        <w:numPr>
          <w:ilvl w:val="0"/>
          <w:numId w:val="0"/>
        </w:numPr>
        <w:kinsoku/>
        <w:overflowPunct/>
        <w:topLinePunct w:val="0"/>
        <w:bidi w:val="0"/>
        <w:spacing w:line="312" w:lineRule="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※三、质量要求</w:t>
      </w:r>
    </w:p>
    <w:p w14:paraId="0D2786C8">
      <w:pPr>
        <w:pageBreakBefore w:val="0"/>
        <w:kinsoku/>
        <w:overflowPunct/>
        <w:topLinePunct w:val="0"/>
        <w:bidi w:val="0"/>
        <w:spacing w:line="312"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（一）整体要求</w:t>
      </w:r>
    </w:p>
    <w:p w14:paraId="71A45476">
      <w:pPr>
        <w:pageBreakBefore w:val="0"/>
        <w:kinsoku/>
        <w:overflowPunct/>
        <w:topLinePunct w:val="0"/>
        <w:bidi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rPr>
        <w:t>所有服装的工艺和面料都以</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要求为准。产品质量达到</w:t>
      </w:r>
      <w:r>
        <w:rPr>
          <w:rFonts w:hint="eastAsia" w:ascii="仿宋" w:hAnsi="仿宋" w:eastAsia="仿宋" w:cs="仿宋"/>
          <w:sz w:val="24"/>
          <w:szCs w:val="24"/>
          <w:highlight w:val="none"/>
          <w:lang w:val="en-US" w:eastAsia="zh-CN"/>
        </w:rPr>
        <w:t>到或超过国家现行标准，应保证产品质量符合行业标准和国家相关规定。如未达标，供应商应无偿调换，因此发生的相关费用由供应商自行负责，并承担因此而造成的采购人损失</w:t>
      </w:r>
      <w:r>
        <w:rPr>
          <w:rFonts w:hint="eastAsia" w:ascii="仿宋" w:hAnsi="仿宋" w:eastAsia="仿宋" w:cs="仿宋"/>
          <w:sz w:val="24"/>
          <w:szCs w:val="24"/>
          <w:highlight w:val="none"/>
        </w:rPr>
        <w:t>。</w:t>
      </w:r>
    </w:p>
    <w:p w14:paraId="36AD4434">
      <w:pPr>
        <w:pageBreakBefore w:val="0"/>
        <w:numPr>
          <w:ilvl w:val="0"/>
          <w:numId w:val="0"/>
        </w:numPr>
        <w:kinsoku/>
        <w:overflowPunct/>
        <w:topLinePunct w:val="0"/>
        <w:bidi w:val="0"/>
        <w:spacing w:line="312" w:lineRule="auto"/>
        <w:ind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kern w:val="2"/>
          <w:sz w:val="24"/>
          <w:szCs w:val="24"/>
          <w:highlight w:val="none"/>
          <w:lang w:val="en-US" w:eastAsia="zh-CN" w:bidi="ar-SA"/>
        </w:rPr>
        <w:t>（二）</w:t>
      </w:r>
      <w:r>
        <w:rPr>
          <w:rFonts w:hint="eastAsia" w:ascii="仿宋" w:hAnsi="仿宋" w:eastAsia="仿宋" w:cs="仿宋"/>
          <w:b w:val="0"/>
          <w:bCs w:val="0"/>
          <w:color w:val="000000"/>
          <w:sz w:val="24"/>
          <w:szCs w:val="24"/>
          <w:highlight w:val="none"/>
          <w:lang w:val="en-US" w:eastAsia="zh-CN"/>
        </w:rPr>
        <w:t>质量检验要求</w:t>
      </w:r>
    </w:p>
    <w:p w14:paraId="71F28D45">
      <w:pPr>
        <w:pageBreakBefore w:val="0"/>
        <w:numPr>
          <w:ilvl w:val="0"/>
          <w:numId w:val="0"/>
        </w:numPr>
        <w:kinsoku/>
        <w:overflowPunct/>
        <w:topLinePunct w:val="0"/>
        <w:bidi w:val="0"/>
        <w:spacing w:line="312" w:lineRule="auto"/>
        <w:ind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成交供应商制作成品前货物样式应经采购人确认，在成品验收时，在规定限期内不能达到要求的，采购人有权拒绝验收，造成的任何损失由成交人自行负责。</w:t>
      </w:r>
    </w:p>
    <w:p w14:paraId="42A1029A">
      <w:pPr>
        <w:pageBreakBefore w:val="0"/>
        <w:numPr>
          <w:ilvl w:val="0"/>
          <w:numId w:val="0"/>
        </w:numPr>
        <w:kinsoku/>
        <w:overflowPunct/>
        <w:topLinePunct w:val="0"/>
        <w:bidi w:val="0"/>
        <w:spacing w:line="312" w:lineRule="auto"/>
        <w:ind w:left="0" w:leftChars="0" w:firstLine="480" w:firstLineChars="200"/>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（三）</w:t>
      </w:r>
      <w:r>
        <w:rPr>
          <w:rFonts w:hint="eastAsia" w:ascii="仿宋" w:hAnsi="仿宋" w:eastAsia="仿宋" w:cs="仿宋"/>
          <w:color w:val="000000"/>
          <w:sz w:val="24"/>
          <w:szCs w:val="24"/>
          <w:highlight w:val="none"/>
          <w:lang w:val="en-US" w:eastAsia="zh-CN"/>
        </w:rPr>
        <w:t>其他要求</w:t>
      </w:r>
    </w:p>
    <w:p w14:paraId="4B0991E7">
      <w:pPr>
        <w:pageBreakBefore w:val="0"/>
        <w:numPr>
          <w:ilvl w:val="0"/>
          <w:numId w:val="0"/>
        </w:numPr>
        <w:kinsoku/>
        <w:overflowPunct/>
        <w:topLinePunct w:val="0"/>
        <w:bidi w:val="0"/>
        <w:spacing w:line="312" w:lineRule="auto"/>
        <w:ind w:firstLine="480" w:firstLineChars="200"/>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样品是响应文件的组成部分，样品质量将直接影响评审结果，且中标样品将作为履约验收的依据，成交供应商最终交货的服装不得低于样衣标准。</w:t>
      </w:r>
    </w:p>
    <w:p w14:paraId="74AC2942">
      <w:pPr>
        <w:pageBreakBefore w:val="0"/>
        <w:numPr>
          <w:ilvl w:val="0"/>
          <w:numId w:val="0"/>
        </w:numPr>
        <w:kinsoku/>
        <w:overflowPunct/>
        <w:topLinePunct w:val="0"/>
        <w:bidi w:val="0"/>
        <w:spacing w:line="312" w:lineRule="auto"/>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※四、样品递交及退还要求</w:t>
      </w:r>
    </w:p>
    <w:p w14:paraId="1E920587">
      <w:pPr>
        <w:spacing w:line="360" w:lineRule="auto"/>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样品</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清单列表</w:t>
      </w:r>
    </w:p>
    <w:tbl>
      <w:tblPr>
        <w:tblStyle w:val="27"/>
        <w:tblW w:w="991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427"/>
        <w:gridCol w:w="1880"/>
        <w:gridCol w:w="4841"/>
      </w:tblGrid>
      <w:tr w14:paraId="78A5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2" w:type="dxa"/>
            <w:noWrap/>
            <w:vAlign w:val="center"/>
          </w:tcPr>
          <w:p w14:paraId="01292776">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2427" w:type="dxa"/>
            <w:noWrap w:val="0"/>
            <w:vAlign w:val="center"/>
          </w:tcPr>
          <w:p w14:paraId="2A44F51F">
            <w:pPr>
              <w:widowControl/>
              <w:spacing w:line="360" w:lineRule="auto"/>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样品名称</w:t>
            </w:r>
          </w:p>
        </w:tc>
        <w:tc>
          <w:tcPr>
            <w:tcW w:w="1880" w:type="dxa"/>
            <w:noWrap/>
            <w:vAlign w:val="center"/>
          </w:tcPr>
          <w:p w14:paraId="45D62C62">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数量</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bidi="ar"/>
              </w:rPr>
              <w:t>单位</w:t>
            </w:r>
          </w:p>
        </w:tc>
        <w:tc>
          <w:tcPr>
            <w:tcW w:w="4841" w:type="dxa"/>
            <w:noWrap w:val="0"/>
            <w:vAlign w:val="center"/>
          </w:tcPr>
          <w:p w14:paraId="4EF29933">
            <w:pPr>
              <w:widowControl/>
              <w:spacing w:line="36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w:t>
            </w:r>
          </w:p>
        </w:tc>
      </w:tr>
      <w:tr w14:paraId="6928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2" w:type="dxa"/>
            <w:shd w:val="clear" w:color="auto" w:fill="auto"/>
            <w:noWrap/>
            <w:vAlign w:val="center"/>
          </w:tcPr>
          <w:p w14:paraId="40AD713F">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27" w:type="dxa"/>
            <w:shd w:val="clear" w:color="auto" w:fill="FFFFFF"/>
            <w:noWrap/>
            <w:vAlign w:val="center"/>
          </w:tcPr>
          <w:p w14:paraId="1F1F0B97">
            <w:pPr>
              <w:keepNext w:val="0"/>
              <w:keepLines w:val="0"/>
              <w:widowControl/>
              <w:suppressLineNumbers w:val="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冲锋衣(女)</w:t>
            </w:r>
          </w:p>
        </w:tc>
        <w:tc>
          <w:tcPr>
            <w:tcW w:w="1880" w:type="dxa"/>
            <w:shd w:val="clear" w:color="auto" w:fill="FFFFFF"/>
            <w:noWrap w:val="0"/>
            <w:vAlign w:val="center"/>
          </w:tcPr>
          <w:p w14:paraId="64607C67">
            <w:pPr>
              <w:widowControl/>
              <w:spacing w:line="360" w:lineRule="auto"/>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1件</w:t>
            </w:r>
          </w:p>
        </w:tc>
        <w:tc>
          <w:tcPr>
            <w:tcW w:w="4841" w:type="dxa"/>
            <w:shd w:val="clear" w:color="auto" w:fill="FFFFFF"/>
            <w:noWrap w:val="0"/>
            <w:vAlign w:val="center"/>
          </w:tcPr>
          <w:p w14:paraId="70AB5206">
            <w:pPr>
              <w:widowControl/>
              <w:spacing w:line="360" w:lineRule="auto"/>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根据国家规定尺码标准M/160码提供样品</w:t>
            </w:r>
          </w:p>
        </w:tc>
      </w:tr>
      <w:tr w14:paraId="0BC6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2" w:type="dxa"/>
            <w:shd w:val="clear" w:color="auto" w:fill="auto"/>
            <w:noWrap/>
            <w:vAlign w:val="center"/>
          </w:tcPr>
          <w:p w14:paraId="1059ACF0">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27" w:type="dxa"/>
            <w:shd w:val="clear" w:color="auto" w:fill="FFFFFF"/>
            <w:noWrap/>
            <w:vAlign w:val="center"/>
          </w:tcPr>
          <w:p w14:paraId="30B000BF">
            <w:pPr>
              <w:keepNext w:val="0"/>
              <w:keepLines w:val="0"/>
              <w:widowControl/>
              <w:suppressLineNumbers w:val="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长袖针织衫(女)</w:t>
            </w:r>
          </w:p>
        </w:tc>
        <w:tc>
          <w:tcPr>
            <w:tcW w:w="1880" w:type="dxa"/>
            <w:shd w:val="clear" w:color="auto" w:fill="FFFFFF"/>
            <w:noWrap w:val="0"/>
            <w:vAlign w:val="center"/>
          </w:tcPr>
          <w:p w14:paraId="5C78AEDD">
            <w:pPr>
              <w:widowControl/>
              <w:spacing w:line="360" w:lineRule="auto"/>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1件</w:t>
            </w:r>
          </w:p>
        </w:tc>
        <w:tc>
          <w:tcPr>
            <w:tcW w:w="4841" w:type="dxa"/>
            <w:shd w:val="clear" w:color="auto" w:fill="FFFFFF"/>
            <w:noWrap w:val="0"/>
            <w:vAlign w:val="center"/>
          </w:tcPr>
          <w:p w14:paraId="44BE5AC5">
            <w:pPr>
              <w:widowControl/>
              <w:spacing w:line="360" w:lineRule="auto"/>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根据国家规定尺码标准M/160码提供样品</w:t>
            </w:r>
          </w:p>
        </w:tc>
      </w:tr>
      <w:tr w14:paraId="3D30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2" w:type="dxa"/>
            <w:shd w:val="clear" w:color="auto" w:fill="auto"/>
            <w:noWrap/>
            <w:vAlign w:val="center"/>
          </w:tcPr>
          <w:p w14:paraId="1996544E">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427" w:type="dxa"/>
            <w:shd w:val="clear" w:color="auto" w:fill="FFFFFF"/>
            <w:noWrap/>
            <w:vAlign w:val="center"/>
          </w:tcPr>
          <w:p w14:paraId="0B98DC7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冲锋衣(男)</w:t>
            </w:r>
          </w:p>
        </w:tc>
        <w:tc>
          <w:tcPr>
            <w:tcW w:w="1880" w:type="dxa"/>
            <w:shd w:val="clear" w:color="auto" w:fill="FFFFFF"/>
            <w:noWrap w:val="0"/>
            <w:vAlign w:val="center"/>
          </w:tcPr>
          <w:p w14:paraId="2578D713">
            <w:pPr>
              <w:widowControl/>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1件</w:t>
            </w:r>
          </w:p>
        </w:tc>
        <w:tc>
          <w:tcPr>
            <w:tcW w:w="4841" w:type="dxa"/>
            <w:shd w:val="clear" w:color="auto" w:fill="FFFFFF"/>
            <w:noWrap w:val="0"/>
            <w:vAlign w:val="center"/>
          </w:tcPr>
          <w:p w14:paraId="2F0B647E">
            <w:pPr>
              <w:widowControl/>
              <w:spacing w:line="36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根据国家规定尺码标准XL/175码提供样品</w:t>
            </w:r>
          </w:p>
        </w:tc>
      </w:tr>
      <w:tr w14:paraId="37F9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2" w:type="dxa"/>
            <w:shd w:val="clear" w:color="auto" w:fill="auto"/>
            <w:noWrap/>
            <w:vAlign w:val="center"/>
          </w:tcPr>
          <w:p w14:paraId="0E719D81">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427" w:type="dxa"/>
            <w:shd w:val="clear" w:color="auto" w:fill="FFFFFF"/>
            <w:noWrap/>
            <w:vAlign w:val="center"/>
          </w:tcPr>
          <w:p w14:paraId="22A1764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长袖针织衫(男)</w:t>
            </w:r>
          </w:p>
        </w:tc>
        <w:tc>
          <w:tcPr>
            <w:tcW w:w="1880" w:type="dxa"/>
            <w:shd w:val="clear" w:color="auto" w:fill="FFFFFF"/>
            <w:noWrap w:val="0"/>
            <w:vAlign w:val="center"/>
          </w:tcPr>
          <w:p w14:paraId="06545479">
            <w:pPr>
              <w:widowControl/>
              <w:spacing w:line="36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1件</w:t>
            </w:r>
          </w:p>
        </w:tc>
        <w:tc>
          <w:tcPr>
            <w:tcW w:w="4841" w:type="dxa"/>
            <w:shd w:val="clear" w:color="auto" w:fill="FFFFFF"/>
            <w:noWrap w:val="0"/>
            <w:vAlign w:val="center"/>
          </w:tcPr>
          <w:p w14:paraId="0AC923D6">
            <w:pPr>
              <w:widowControl/>
              <w:spacing w:line="36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根据国家规定尺码标准XL/175码提供样品</w:t>
            </w:r>
          </w:p>
        </w:tc>
      </w:tr>
      <w:tr w14:paraId="0853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10" w:type="dxa"/>
            <w:gridSpan w:val="4"/>
            <w:shd w:val="clear" w:color="auto" w:fill="auto"/>
            <w:noWrap/>
            <w:vAlign w:val="center"/>
          </w:tcPr>
          <w:p w14:paraId="773F8A13">
            <w:pPr>
              <w:widowControl/>
              <w:spacing w:line="360" w:lineRule="auto"/>
              <w:jc w:val="left"/>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样衣样式参考图示，供应商可根据自身的设计理解进行局部优化设计。</w:t>
            </w:r>
          </w:p>
        </w:tc>
      </w:tr>
    </w:tbl>
    <w:p w14:paraId="7DB4296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rPr>
        <w:t>递交要求</w:t>
      </w:r>
    </w:p>
    <w:p w14:paraId="345BB7FC">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成品样衣：供应商按“第二篇</w:t>
      </w:r>
      <w:r>
        <w:rPr>
          <w:rFonts w:hint="eastAsia" w:ascii="仿宋" w:hAnsi="仿宋" w:eastAsia="仿宋" w:cs="仿宋"/>
          <w:color w:val="auto"/>
          <w:sz w:val="24"/>
          <w:szCs w:val="24"/>
          <w:highlight w:val="none"/>
          <w:lang w:val="en-US" w:eastAsia="zh-CN"/>
        </w:rPr>
        <w:t xml:space="preserve"> 二、</w:t>
      </w:r>
      <w:r>
        <w:rPr>
          <w:rFonts w:hint="eastAsia" w:ascii="仿宋" w:hAnsi="仿宋" w:eastAsia="仿宋" w:cs="仿宋"/>
          <w:color w:val="auto"/>
          <w:sz w:val="24"/>
          <w:szCs w:val="24"/>
          <w:highlight w:val="none"/>
        </w:rPr>
        <w:t>项目技术需求”提供各款式样衣</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供应商需在每件样衣上标记供应商公司名称信息、联系人、联系方式</w:t>
      </w:r>
      <w:r>
        <w:rPr>
          <w:rFonts w:hint="eastAsia" w:ascii="仿宋" w:hAnsi="仿宋" w:eastAsia="仿宋" w:cs="仿宋"/>
          <w:color w:val="auto"/>
          <w:sz w:val="24"/>
          <w:szCs w:val="24"/>
          <w:highlight w:val="none"/>
        </w:rPr>
        <w:t>。</w:t>
      </w:r>
    </w:p>
    <w:p w14:paraId="4A0E28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样品封装：成品样衣由供应商自行封装或打捆（不散落即可）</w:t>
      </w:r>
      <w:r>
        <w:rPr>
          <w:rFonts w:hint="eastAsia" w:ascii="仿宋" w:hAnsi="仿宋" w:eastAsia="仿宋" w:cs="仿宋"/>
          <w:color w:val="auto"/>
          <w:sz w:val="24"/>
          <w:szCs w:val="24"/>
          <w:highlight w:val="none"/>
          <w:lang w:val="en-US" w:eastAsia="zh-CN"/>
        </w:rPr>
        <w:t>。</w:t>
      </w:r>
    </w:p>
    <w:p w14:paraId="66C5087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样品递交时间：供应商在投标当天现场递交。</w:t>
      </w:r>
    </w:p>
    <w:p w14:paraId="6A40D4C6">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样品递交地点：</w:t>
      </w:r>
      <w:r>
        <w:rPr>
          <w:rFonts w:hint="eastAsia" w:ascii="仿宋" w:hAnsi="仿宋" w:eastAsia="仿宋" w:cs="仿宋"/>
          <w:color w:val="auto"/>
          <w:sz w:val="24"/>
          <w:szCs w:val="24"/>
          <w:highlight w:val="none"/>
          <w:lang w:eastAsia="zh-CN"/>
        </w:rPr>
        <w:t>同响应文件现场递交地址。</w:t>
      </w:r>
    </w:p>
    <w:p w14:paraId="752C550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未</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样品或</w:t>
      </w:r>
      <w:r>
        <w:rPr>
          <w:rFonts w:hint="eastAsia" w:ascii="仿宋" w:hAnsi="仿宋" w:eastAsia="仿宋" w:cs="仿宋"/>
          <w:color w:val="auto"/>
          <w:sz w:val="24"/>
          <w:szCs w:val="24"/>
          <w:highlight w:val="none"/>
          <w:lang w:val="en-US" w:eastAsia="zh-CN"/>
        </w:rPr>
        <w:t>递</w:t>
      </w:r>
      <w:r>
        <w:rPr>
          <w:rFonts w:hint="eastAsia" w:ascii="仿宋" w:hAnsi="仿宋" w:eastAsia="仿宋" w:cs="仿宋"/>
          <w:color w:val="auto"/>
          <w:sz w:val="24"/>
          <w:szCs w:val="24"/>
          <w:highlight w:val="none"/>
        </w:rPr>
        <w:t>交的样品不齐的供应商，视作无效响应。</w:t>
      </w:r>
    </w:p>
    <w:p w14:paraId="72F5B33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样品退还</w:t>
      </w:r>
    </w:p>
    <w:p w14:paraId="18EEF7E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拟成交候选供应商的样品将交给采购人封存保管，作为交货或验收的依据之一；其他供应商于中标公告发布后 7 个工作日内，到学校取回；逾期未取的，视为自愿放弃，采购人有权统一处置（如捐赠、销毁），且不承担保管责任。</w:t>
      </w:r>
    </w:p>
    <w:p w14:paraId="7855E92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评审过程中，可能会对样品进行拆除，采购人和采购代理机构不承担由拆除引起的样品擦伤、损坏等赔偿费用。</w:t>
      </w:r>
    </w:p>
    <w:p w14:paraId="5FA3B8D2">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0B79E2E0">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12104B4C">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5D0BFF15">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638F4D23">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0E755842">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46592D57">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6038D158">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1DDF1BA8">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2E36C2E8">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4D52E876">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0CA1E38E">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2AEF1807">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1D2FD8CD">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2F7D6AD9">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61DB635C">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4F4CD863">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3CB873AE">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438C29FC">
      <w:pPr>
        <w:pageBreakBefore w:val="0"/>
        <w:numPr>
          <w:ilvl w:val="0"/>
          <w:numId w:val="0"/>
        </w:numPr>
        <w:kinsoku/>
        <w:overflowPunct/>
        <w:topLinePunct w:val="0"/>
        <w:bidi w:val="0"/>
        <w:spacing w:line="312" w:lineRule="auto"/>
        <w:rPr>
          <w:rFonts w:hint="eastAsia" w:ascii="仿宋" w:hAnsi="仿宋" w:eastAsia="仿宋" w:cs="仿宋"/>
          <w:color w:val="auto"/>
          <w:sz w:val="24"/>
          <w:szCs w:val="18"/>
          <w:highlight w:val="none"/>
        </w:rPr>
      </w:pPr>
    </w:p>
    <w:p w14:paraId="3C7254EF">
      <w:pPr>
        <w:pStyle w:val="8"/>
        <w:pageBreakBefore w:val="0"/>
        <w:numPr>
          <w:ilvl w:val="0"/>
          <w:numId w:val="1"/>
        </w:numPr>
        <w:kinsoku/>
        <w:overflowPunct/>
        <w:topLinePunct w:val="0"/>
        <w:bidi w:val="0"/>
        <w:spacing w:line="312" w:lineRule="auto"/>
        <w:ind w:left="0" w:leftChars="0" w:firstLine="0" w:firstLineChars="0"/>
        <w:jc w:val="center"/>
        <w:rPr>
          <w:rFonts w:hint="eastAsia" w:ascii="仿宋" w:hAnsi="仿宋" w:eastAsia="仿宋" w:cs="仿宋"/>
          <w:color w:val="auto"/>
          <w:sz w:val="36"/>
          <w:szCs w:val="36"/>
          <w:highlight w:val="none"/>
        </w:rPr>
      </w:pPr>
      <w:bookmarkStart w:id="36" w:name="_Toc15727"/>
      <w:r>
        <w:rPr>
          <w:rFonts w:hint="eastAsia" w:ascii="仿宋" w:hAnsi="仿宋" w:eastAsia="仿宋" w:cs="仿宋"/>
          <w:color w:val="auto"/>
          <w:sz w:val="36"/>
          <w:szCs w:val="36"/>
          <w:highlight w:val="none"/>
        </w:rPr>
        <w:t xml:space="preserve"> </w:t>
      </w:r>
      <w:bookmarkEnd w:id="26"/>
      <w:bookmarkEnd w:id="27"/>
      <w:bookmarkEnd w:id="28"/>
      <w:bookmarkEnd w:id="29"/>
      <w:bookmarkEnd w:id="30"/>
      <w:bookmarkEnd w:id="31"/>
      <w:r>
        <w:rPr>
          <w:rFonts w:hint="eastAsia" w:ascii="仿宋" w:hAnsi="仿宋" w:eastAsia="仿宋" w:cs="仿宋"/>
          <w:color w:val="auto"/>
          <w:sz w:val="36"/>
          <w:szCs w:val="36"/>
          <w:highlight w:val="none"/>
        </w:rPr>
        <w:t>项目商务需求</w:t>
      </w:r>
      <w:bookmarkEnd w:id="36"/>
    </w:p>
    <w:p w14:paraId="7336F4B8">
      <w:pPr>
        <w:pStyle w:val="9"/>
        <w:keepNext/>
        <w:keepLines/>
        <w:pageBreakBefore w:val="0"/>
        <w:widowControl w:val="0"/>
        <w:kinsoku/>
        <w:wordWrap/>
        <w:overflowPunct/>
        <w:topLinePunct w:val="0"/>
        <w:autoSpaceDE/>
        <w:autoSpaceDN/>
        <w:bidi w:val="0"/>
        <w:adjustRightInd/>
        <w:snapToGrid w:val="0"/>
        <w:spacing w:before="0" w:after="0" w:line="312" w:lineRule="auto"/>
        <w:textAlignment w:val="auto"/>
        <w:rPr>
          <w:rFonts w:hint="eastAsia" w:ascii="仿宋" w:hAnsi="仿宋" w:eastAsia="仿宋" w:cs="仿宋"/>
          <w:highlight w:val="none"/>
        </w:rPr>
      </w:pPr>
      <w:r>
        <w:rPr>
          <w:rFonts w:hint="eastAsia" w:ascii="仿宋" w:hAnsi="仿宋" w:eastAsia="仿宋" w:cs="仿宋"/>
          <w:color w:val="auto"/>
          <w:sz w:val="21"/>
          <w:szCs w:val="21"/>
          <w:highlight w:val="none"/>
        </w:rPr>
        <w:t>“※”标注的</w:t>
      </w:r>
      <w:r>
        <w:rPr>
          <w:rFonts w:hint="eastAsia" w:ascii="仿宋" w:hAnsi="仿宋" w:eastAsia="仿宋" w:cs="仿宋"/>
          <w:color w:val="auto"/>
          <w:sz w:val="21"/>
          <w:szCs w:val="21"/>
          <w:highlight w:val="none"/>
          <w:lang w:val="en-US" w:eastAsia="zh-CN"/>
        </w:rPr>
        <w:t>商务</w:t>
      </w:r>
      <w:r>
        <w:rPr>
          <w:rFonts w:hint="eastAsia" w:ascii="仿宋" w:hAnsi="仿宋" w:eastAsia="仿宋" w:cs="仿宋"/>
          <w:color w:val="auto"/>
          <w:sz w:val="21"/>
          <w:szCs w:val="21"/>
          <w:highlight w:val="none"/>
        </w:rPr>
        <w:t>需求为符合性审查中的实质性要求，响应文件若不满足按无效响应处理。</w:t>
      </w:r>
    </w:p>
    <w:bookmarkEnd w:id="20"/>
    <w:bookmarkEnd w:id="32"/>
    <w:bookmarkEnd w:id="33"/>
    <w:p w14:paraId="24C0F181">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rPr>
        <w:t>一、服务时间、地点及验收方式</w:t>
      </w:r>
    </w:p>
    <w:p w14:paraId="56330D66">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eastAsia="zh-CN"/>
        </w:rPr>
      </w:pPr>
      <w:bookmarkStart w:id="37" w:name="_Toc267320050"/>
      <w:r>
        <w:rPr>
          <w:rFonts w:hint="eastAsia" w:ascii="仿宋" w:hAnsi="仿宋" w:eastAsia="仿宋" w:cs="仿宋"/>
          <w:color w:val="auto"/>
          <w:kern w:val="0"/>
          <w:sz w:val="24"/>
          <w:szCs w:val="24"/>
          <w:highlight w:val="none"/>
        </w:rPr>
        <w:t>（一）</w:t>
      </w:r>
      <w:r>
        <w:rPr>
          <w:rFonts w:hint="eastAsia" w:ascii="仿宋" w:hAnsi="仿宋" w:eastAsia="仿宋" w:cs="仿宋"/>
          <w:color w:val="auto"/>
          <w:sz w:val="24"/>
          <w:szCs w:val="24"/>
          <w:highlight w:val="none"/>
        </w:rPr>
        <w:t>交货时间：</w:t>
      </w:r>
      <w:r>
        <w:rPr>
          <w:rFonts w:hint="eastAsia" w:ascii="仿宋" w:hAnsi="仿宋" w:eastAsia="仿宋" w:cs="方正仿宋_GB2312"/>
          <w:color w:val="auto"/>
          <w:kern w:val="0"/>
          <w:sz w:val="24"/>
          <w:szCs w:val="24"/>
          <w:highlight w:val="none"/>
        </w:rPr>
        <w:t>签订合同后</w:t>
      </w:r>
      <w:r>
        <w:rPr>
          <w:rFonts w:hint="eastAsia" w:ascii="仿宋" w:hAnsi="仿宋" w:eastAsia="仿宋" w:cs="方正仿宋_GB2312"/>
          <w:color w:val="auto"/>
          <w:kern w:val="0"/>
          <w:sz w:val="24"/>
          <w:szCs w:val="24"/>
          <w:highlight w:val="none"/>
          <w:lang w:val="en-US" w:eastAsia="zh-CN"/>
        </w:rPr>
        <w:t>10</w:t>
      </w:r>
      <w:r>
        <w:rPr>
          <w:rFonts w:hint="eastAsia" w:ascii="仿宋" w:hAnsi="仿宋" w:eastAsia="仿宋" w:cs="方正仿宋_GB2312"/>
          <w:color w:val="auto"/>
          <w:kern w:val="0"/>
          <w:sz w:val="24"/>
          <w:szCs w:val="24"/>
          <w:highlight w:val="none"/>
        </w:rPr>
        <w:t>日内，供货商</w:t>
      </w:r>
      <w:r>
        <w:rPr>
          <w:rFonts w:hint="eastAsia" w:ascii="仿宋" w:hAnsi="仿宋" w:eastAsia="仿宋" w:cs="方正仿宋_GB2312"/>
          <w:color w:val="auto"/>
          <w:kern w:val="0"/>
          <w:sz w:val="24"/>
          <w:szCs w:val="24"/>
          <w:highlight w:val="none"/>
          <w:lang w:val="en-US" w:eastAsia="zh-CN"/>
        </w:rPr>
        <w:t>提供服装套号登记服务</w:t>
      </w:r>
      <w:r>
        <w:rPr>
          <w:rFonts w:hint="eastAsia" w:ascii="仿宋" w:hAnsi="仿宋" w:eastAsia="仿宋" w:cs="方正仿宋_GB2312"/>
          <w:color w:val="auto"/>
          <w:kern w:val="0"/>
          <w:sz w:val="24"/>
          <w:szCs w:val="24"/>
          <w:highlight w:val="none"/>
        </w:rPr>
        <w:t>，</w:t>
      </w:r>
      <w:r>
        <w:rPr>
          <w:rFonts w:hint="eastAsia" w:ascii="仿宋" w:hAnsi="仿宋" w:eastAsia="仿宋" w:cs="仿宋"/>
          <w:color w:val="000000" w:themeColor="text1"/>
          <w:sz w:val="24"/>
          <w:highlight w:val="none"/>
          <w14:textFill>
            <w14:solidFill>
              <w14:schemeClr w14:val="tx1"/>
            </w14:solidFill>
          </w14:textFill>
        </w:rPr>
        <w:t>并按采购人的要求完成</w:t>
      </w:r>
      <w:r>
        <w:rPr>
          <w:rFonts w:hint="eastAsia" w:ascii="仿宋" w:hAnsi="仿宋" w:eastAsia="仿宋" w:cs="仿宋"/>
          <w:color w:val="000000" w:themeColor="text1"/>
          <w:sz w:val="24"/>
          <w:highlight w:val="none"/>
          <w:lang w:val="en-US" w:eastAsia="zh-CN"/>
          <w14:textFill>
            <w14:solidFill>
              <w14:schemeClr w14:val="tx1"/>
            </w14:solidFill>
          </w14:textFill>
        </w:rPr>
        <w:t>供货</w:t>
      </w:r>
      <w:r>
        <w:rPr>
          <w:rFonts w:hint="eastAsia" w:ascii="仿宋" w:hAnsi="仿宋" w:eastAsia="仿宋" w:cs="仿宋"/>
          <w:color w:val="000000" w:themeColor="text1"/>
          <w:sz w:val="24"/>
          <w:highlight w:val="none"/>
          <w14:textFill>
            <w14:solidFill>
              <w14:schemeClr w14:val="tx1"/>
            </w14:solidFill>
          </w14:textFill>
        </w:rPr>
        <w:t>工作</w:t>
      </w:r>
      <w:r>
        <w:rPr>
          <w:rFonts w:hint="eastAsia" w:ascii="仿宋" w:hAnsi="仿宋" w:eastAsia="仿宋" w:cs="方正仿宋_GB2312"/>
          <w:color w:val="auto"/>
          <w:kern w:val="0"/>
          <w:sz w:val="24"/>
          <w:szCs w:val="24"/>
          <w:highlight w:val="none"/>
          <w:lang w:eastAsia="zh-CN"/>
        </w:rPr>
        <w:t>。</w:t>
      </w:r>
    </w:p>
    <w:p w14:paraId="4901C0BB">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（二）交货地点：</w:t>
      </w:r>
      <w:r>
        <w:rPr>
          <w:rFonts w:hint="eastAsia" w:ascii="仿宋" w:hAnsi="仿宋" w:eastAsia="仿宋" w:cs="仿宋"/>
          <w:color w:val="auto"/>
          <w:sz w:val="24"/>
          <w:highlight w:val="none"/>
          <w:lang w:val="en-US" w:eastAsia="zh-CN"/>
        </w:rPr>
        <w:t>采购人指定地点</w:t>
      </w:r>
      <w:r>
        <w:rPr>
          <w:rFonts w:hint="eastAsia" w:ascii="仿宋" w:hAnsi="仿宋" w:eastAsia="仿宋" w:cs="仿宋"/>
          <w:color w:val="auto"/>
          <w:kern w:val="0"/>
          <w:sz w:val="24"/>
          <w:szCs w:val="24"/>
          <w:highlight w:val="none"/>
        </w:rPr>
        <w:t>。</w:t>
      </w:r>
    </w:p>
    <w:p w14:paraId="16BFC509">
      <w:pPr>
        <w:pageBreakBefore w:val="0"/>
        <w:kinsoku/>
        <w:overflowPunct/>
        <w:topLinePunct w:val="0"/>
        <w:bidi w:val="0"/>
        <w:snapToGrid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（三）验收方式</w:t>
      </w:r>
      <w:bookmarkEnd w:id="37"/>
    </w:p>
    <w:p w14:paraId="5EC8DD26">
      <w:pPr>
        <w:snapToGrid w:val="0"/>
        <w:spacing w:line="360" w:lineRule="auto"/>
        <w:ind w:firstLine="480" w:firstLineChars="200"/>
        <w:rPr>
          <w:rFonts w:hint="eastAsia" w:ascii="仿宋" w:hAnsi="仿宋" w:eastAsia="仿宋" w:cs="仿宋"/>
          <w:sz w:val="24"/>
          <w:szCs w:val="24"/>
          <w:highlight w:val="none"/>
        </w:rPr>
      </w:pPr>
      <w:bookmarkStart w:id="38" w:name="_Toc8488"/>
      <w:bookmarkStart w:id="39" w:name="_Toc29345"/>
      <w:bookmarkStart w:id="40" w:name="_Toc28770"/>
      <w:r>
        <w:rPr>
          <w:rFonts w:hint="eastAsia" w:ascii="仿宋" w:hAnsi="仿宋" w:eastAsia="仿宋" w:cs="仿宋"/>
          <w:sz w:val="24"/>
          <w:szCs w:val="24"/>
          <w:highlight w:val="none"/>
        </w:rPr>
        <w:t>1.货物到达现场后，成交供应商应在使用单位人员在场情况下当面开箱，共同清点、检查外观，作出开箱记录，双方签字确认。</w:t>
      </w:r>
    </w:p>
    <w:p w14:paraId="4F90CD8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2.成交供应商应保证货物到达采购人所在地完好无损，如有缺漏、损坏，由成交供应商负责调换、补齐或赔偿。</w:t>
      </w:r>
    </w:p>
    <w:p w14:paraId="4A4F001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3.成交供应商应提供完备的技术资料、装箱单和合格证等。 </w:t>
      </w:r>
    </w:p>
    <w:p w14:paraId="296ADD9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4.服装技术参数与采购合同一致，性能指标达到规定的标准。</w:t>
      </w:r>
    </w:p>
    <w:p w14:paraId="38AC19D1">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5.供货方实际配送的货物必须与投标时提供的样品一致且符合合同约定标准，不能以次充好或提供假冒伪劣产品。</w:t>
      </w:r>
    </w:p>
    <w:p w14:paraId="65512E2E">
      <w:pPr>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、货物到达采购人指定地点后，采购人</w:t>
      </w:r>
      <w:r>
        <w:rPr>
          <w:rFonts w:hint="eastAsia" w:ascii="仿宋" w:hAnsi="仿宋" w:eastAsia="仿宋" w:cs="仿宋"/>
          <w:sz w:val="24"/>
          <w:szCs w:val="24"/>
          <w:highlight w:val="none"/>
          <w:lang w:val="en-US" w:eastAsia="zh-CN"/>
        </w:rPr>
        <w:t>有权</w:t>
      </w:r>
      <w:r>
        <w:rPr>
          <w:rFonts w:hint="default" w:ascii="仿宋" w:hAnsi="仿宋" w:eastAsia="仿宋" w:cs="仿宋"/>
          <w:sz w:val="24"/>
          <w:szCs w:val="24"/>
          <w:highlight w:val="none"/>
          <w:lang w:val="en-US" w:eastAsia="zh-CN"/>
        </w:rPr>
        <w:t>对送货产品进行抽样送检（送检单位：重庆市计量质量检测研究院，联系电话：023-67991808；检测费用由供货方支付），对存在不合格产品的，</w:t>
      </w:r>
      <w:r>
        <w:rPr>
          <w:rFonts w:hint="default" w:ascii="仿宋" w:hAnsi="仿宋" w:eastAsia="仿宋" w:cs="仿宋"/>
          <w:sz w:val="24"/>
          <w:szCs w:val="24"/>
          <w:highlight w:val="none"/>
          <w:lang w:val="en-US" w:eastAsia="zh-CN"/>
        </w:rPr>
        <w:t>采购人有权拒绝付款并要求供货方支付本次送货金额20%的违约金。</w:t>
      </w:r>
    </w:p>
    <w:p w14:paraId="0FDDDD6B">
      <w:pPr>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、连续2次抽检不合格，采购人有权解除合同。</w:t>
      </w:r>
    </w:p>
    <w:p w14:paraId="2ED001DE">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.在规定时间内完成交货并验收，并经采购人确认</w:t>
      </w:r>
      <w:r>
        <w:rPr>
          <w:rFonts w:hint="eastAsia" w:ascii="仿宋" w:hAnsi="仿宋" w:eastAsia="仿宋" w:cs="仿宋"/>
          <w:sz w:val="24"/>
          <w:szCs w:val="24"/>
          <w:highlight w:val="none"/>
          <w:lang w:eastAsia="zh-CN"/>
        </w:rPr>
        <w:t>。</w:t>
      </w:r>
    </w:p>
    <w:p w14:paraId="1F5CA6C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.成交供应商提供的货物未达到</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规定要求，且对采购人造成损失的，由供应商承担一切责任，并赔偿所造成的损失。</w:t>
      </w:r>
    </w:p>
    <w:p w14:paraId="7B098CC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.采购人需要对成交供应商交付的产品（包括质量、技术参数等）进行确认的，成交供应商应予以配合，并出具产品质检报告及书面意见。</w:t>
      </w:r>
    </w:p>
    <w:p w14:paraId="76DA881A">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.产品包装材料的所有权归采购人</w:t>
      </w:r>
      <w:r>
        <w:rPr>
          <w:rFonts w:hint="eastAsia" w:ascii="仿宋" w:hAnsi="仿宋" w:eastAsia="仿宋" w:cs="仿宋"/>
          <w:sz w:val="24"/>
          <w:szCs w:val="24"/>
          <w:highlight w:val="none"/>
          <w:lang w:eastAsia="zh-CN"/>
        </w:rPr>
        <w:t>。</w:t>
      </w:r>
    </w:p>
    <w:p w14:paraId="5091DEC8">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rPr>
        <w:t>二、报价要求</w:t>
      </w:r>
      <w:bookmarkEnd w:id="38"/>
      <w:bookmarkEnd w:id="39"/>
      <w:bookmarkEnd w:id="40"/>
    </w:p>
    <w:p w14:paraId="0FB2EF3C">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bookmarkStart w:id="41" w:name="_Toc7344"/>
      <w:bookmarkStart w:id="42" w:name="_Toc23278"/>
      <w:bookmarkStart w:id="43" w:name="_Toc23114"/>
      <w:bookmarkStart w:id="44" w:name="_Toc16922"/>
      <w:bookmarkStart w:id="45" w:name="_Toc31674"/>
      <w:bookmarkStart w:id="46" w:name="_Toc24569666"/>
      <w:bookmarkStart w:id="47" w:name="_Toc403569791"/>
      <w:bookmarkStart w:id="48" w:name="_Toc344475121"/>
      <w:r>
        <w:rPr>
          <w:rFonts w:hint="eastAsia" w:ascii="仿宋" w:hAnsi="仿宋" w:eastAsia="仿宋" w:cs="仿宋"/>
          <w:color w:val="auto"/>
          <w:kern w:val="0"/>
          <w:sz w:val="24"/>
          <w:szCs w:val="24"/>
          <w:highlight w:val="none"/>
        </w:rPr>
        <w:t>本次报价须为人民币</w:t>
      </w:r>
      <w:r>
        <w:rPr>
          <w:rFonts w:hint="eastAsia" w:ascii="仿宋" w:hAnsi="仿宋" w:eastAsia="仿宋" w:cs="仿宋"/>
          <w:color w:val="auto"/>
          <w:kern w:val="0"/>
          <w:sz w:val="24"/>
          <w:szCs w:val="24"/>
          <w:highlight w:val="none"/>
          <w:lang w:val="en-US" w:eastAsia="zh-CN"/>
        </w:rPr>
        <w:t>单价</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报价包括完成本项目所需的服装费、设计费、制作费、人工费、辅材费、交通费、运输费、</w:t>
      </w:r>
      <w:r>
        <w:rPr>
          <w:rFonts w:hint="eastAsia" w:ascii="仿宋" w:hAnsi="仿宋" w:eastAsia="仿宋" w:cs="仿宋"/>
          <w:color w:val="auto"/>
          <w:kern w:val="0"/>
          <w:sz w:val="24"/>
          <w:szCs w:val="24"/>
          <w:highlight w:val="none"/>
          <w:lang w:val="en-US" w:eastAsia="zh-CN"/>
        </w:rPr>
        <w:t>平台费、代理费、</w:t>
      </w:r>
      <w:r>
        <w:rPr>
          <w:rFonts w:hint="eastAsia" w:ascii="仿宋" w:hAnsi="仿宋" w:eastAsia="仿宋" w:cs="仿宋"/>
          <w:color w:val="auto"/>
          <w:kern w:val="0"/>
          <w:sz w:val="24"/>
          <w:szCs w:val="24"/>
          <w:highlight w:val="none"/>
        </w:rPr>
        <w:t>税费及各种应纳的税费等完成本项目</w:t>
      </w:r>
      <w:r>
        <w:rPr>
          <w:rFonts w:hint="eastAsia" w:ascii="仿宋" w:hAnsi="仿宋" w:eastAsia="仿宋" w:cs="仿宋"/>
          <w:color w:val="auto"/>
          <w:kern w:val="0"/>
          <w:sz w:val="24"/>
          <w:szCs w:val="24"/>
          <w:highlight w:val="none"/>
          <w:lang w:val="en-US" w:eastAsia="zh-CN"/>
        </w:rPr>
        <w:t>所需</w:t>
      </w:r>
      <w:r>
        <w:rPr>
          <w:rFonts w:hint="eastAsia" w:ascii="仿宋" w:hAnsi="仿宋" w:eastAsia="仿宋" w:cs="仿宋"/>
          <w:color w:val="auto"/>
          <w:kern w:val="0"/>
          <w:sz w:val="24"/>
          <w:szCs w:val="24"/>
          <w:highlight w:val="none"/>
        </w:rPr>
        <w:t>的一切费用。因成交供应商自身原因造成漏报、少报皆由其自行承担责任，采购人不再支付或补偿。</w:t>
      </w:r>
      <w:bookmarkEnd w:id="41"/>
      <w:bookmarkEnd w:id="42"/>
      <w:bookmarkEnd w:id="43"/>
      <w:bookmarkEnd w:id="44"/>
    </w:p>
    <w:p w14:paraId="436FCE9B">
      <w:pPr>
        <w:pageBreakBefore w:val="0"/>
        <w:kinsoku/>
        <w:overflowPunct/>
        <w:topLinePunct w:val="0"/>
        <w:bidi w:val="0"/>
        <w:snapToGrid w:val="0"/>
        <w:spacing w:line="312"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第二篇 </w:t>
      </w:r>
      <w:r>
        <w:rPr>
          <w:rFonts w:hint="eastAsia" w:ascii="仿宋" w:hAnsi="仿宋" w:eastAsia="仿宋" w:cs="仿宋"/>
          <w:color w:val="auto"/>
          <w:sz w:val="24"/>
          <w:szCs w:val="24"/>
          <w:highlight w:val="none"/>
        </w:rPr>
        <w:t>招标项目技术需求</w:t>
      </w:r>
      <w:r>
        <w:rPr>
          <w:rFonts w:hint="eastAsia" w:ascii="仿宋" w:hAnsi="仿宋" w:eastAsia="仿宋" w:cs="仿宋"/>
          <w:color w:val="auto"/>
          <w:kern w:val="0"/>
          <w:sz w:val="24"/>
          <w:szCs w:val="24"/>
          <w:highlight w:val="none"/>
        </w:rPr>
        <w:t>中的数量为供应商报价的基础，在报价时不得修改，</w:t>
      </w:r>
      <w:r>
        <w:rPr>
          <w:rFonts w:hint="eastAsia" w:ascii="仿宋" w:hAnsi="仿宋" w:eastAsia="仿宋" w:cs="仿宋"/>
          <w:b/>
          <w:bCs/>
          <w:color w:val="auto"/>
          <w:kern w:val="0"/>
          <w:sz w:val="24"/>
          <w:szCs w:val="24"/>
          <w:highlight w:val="none"/>
        </w:rPr>
        <w:t>结算时根据实际成交单价和实际采购的</w:t>
      </w:r>
      <w:r>
        <w:rPr>
          <w:rFonts w:hint="eastAsia" w:ascii="仿宋" w:hAnsi="仿宋" w:eastAsia="仿宋" w:cs="仿宋"/>
          <w:b/>
          <w:bCs/>
          <w:color w:val="auto"/>
          <w:kern w:val="0"/>
          <w:sz w:val="24"/>
          <w:szCs w:val="24"/>
          <w:highlight w:val="none"/>
          <w:lang w:val="en-US" w:eastAsia="zh-CN"/>
        </w:rPr>
        <w:t>服装</w:t>
      </w:r>
      <w:r>
        <w:rPr>
          <w:rFonts w:hint="eastAsia" w:ascii="仿宋" w:hAnsi="仿宋" w:eastAsia="仿宋" w:cs="仿宋"/>
          <w:b/>
          <w:bCs/>
          <w:color w:val="auto"/>
          <w:kern w:val="0"/>
          <w:sz w:val="24"/>
          <w:szCs w:val="24"/>
          <w:highlight w:val="none"/>
        </w:rPr>
        <w:t>数量进行结算。</w:t>
      </w:r>
    </w:p>
    <w:p w14:paraId="17E75F36">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49" w:name="_Toc2874"/>
      <w:bookmarkStart w:id="50" w:name="_Toc30477"/>
      <w:bookmarkStart w:id="51" w:name="_Toc8523"/>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rPr>
        <w:t>三、质量保证及售后服务</w:t>
      </w:r>
      <w:bookmarkEnd w:id="45"/>
      <w:bookmarkEnd w:id="46"/>
      <w:bookmarkEnd w:id="47"/>
      <w:bookmarkEnd w:id="48"/>
      <w:bookmarkEnd w:id="49"/>
      <w:bookmarkEnd w:id="50"/>
      <w:bookmarkEnd w:id="51"/>
    </w:p>
    <w:p w14:paraId="07D6EF21">
      <w:pPr>
        <w:snapToGrid w:val="0"/>
        <w:spacing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52" w:name="_Toc24569667"/>
      <w:r>
        <w:rPr>
          <w:rFonts w:hint="eastAsia" w:ascii="仿宋" w:hAnsi="仿宋" w:eastAsia="仿宋" w:cs="仿宋"/>
          <w:color w:val="000000" w:themeColor="text1"/>
          <w:kern w:val="0"/>
          <w:sz w:val="24"/>
          <w:szCs w:val="24"/>
          <w:highlight w:val="none"/>
          <w14:textFill>
            <w14:solidFill>
              <w14:schemeClr w14:val="tx1"/>
            </w14:solidFill>
          </w14:textFill>
        </w:rPr>
        <w:t>1、量体要求：</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kern w:val="0"/>
          <w:sz w:val="24"/>
          <w:szCs w:val="24"/>
          <w:highlight w:val="none"/>
          <w14:textFill>
            <w14:solidFill>
              <w14:schemeClr w14:val="tx1"/>
            </w14:solidFill>
          </w14:textFill>
        </w:rPr>
        <w:t>对采购人相关人员进行</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上门</w:t>
      </w:r>
      <w:r>
        <w:rPr>
          <w:rFonts w:hint="eastAsia" w:ascii="仿宋" w:hAnsi="仿宋" w:eastAsia="仿宋" w:cs="仿宋"/>
          <w:color w:val="000000" w:themeColor="text1"/>
          <w:kern w:val="0"/>
          <w:sz w:val="24"/>
          <w:szCs w:val="24"/>
          <w:highlight w:val="none"/>
          <w14:textFill>
            <w14:solidFill>
              <w14:schemeClr w14:val="tx1"/>
            </w14:solidFill>
          </w14:textFill>
        </w:rPr>
        <w:t>测量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登记服务</w:t>
      </w:r>
      <w:r>
        <w:rPr>
          <w:rFonts w:hint="eastAsia" w:ascii="仿宋" w:hAnsi="仿宋" w:eastAsia="仿宋" w:cs="仿宋"/>
          <w:color w:val="000000" w:themeColor="text1"/>
          <w:kern w:val="0"/>
          <w:sz w:val="24"/>
          <w:szCs w:val="24"/>
          <w:highlight w:val="none"/>
          <w14:textFill>
            <w14:solidFill>
              <w14:schemeClr w14:val="tx1"/>
            </w14:solidFill>
          </w14:textFill>
        </w:rPr>
        <w:t>，由专人将每个着装人员基本信息录入数据库，并以此作为着装对象服装成衣生产、号型配发放的依据，以便在售后服务中使用或调整订单。量号信息交采购人保存，并对信息保密。</w:t>
      </w:r>
    </w:p>
    <w:p w14:paraId="6281F0DA">
      <w:pPr>
        <w:snapToGrid w:val="0"/>
        <w:spacing w:line="400" w:lineRule="exact"/>
        <w:ind w:firstLine="480" w:firstLineChars="2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2、成交供应商必须提供全新产品，符合国家对同类产品规定的质量、环保标准，技术参数和要求，不得出售假冒伪劣产品，严禁违法转包、分包。</w:t>
      </w:r>
    </w:p>
    <w:p w14:paraId="3C7C91D3">
      <w:pPr>
        <w:snapToGrid w:val="0"/>
        <w:spacing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交付的服装应做工精细，在质保期内不掉线，不起泡（球）、不掉色、不缩水。如产品有质量问题，在接到采购人通知后应及时（1-3天内）赶到现场核实并解决，对产品存在的瑕疵和质量问题，应保证无条件更换或修裁。</w:t>
      </w:r>
    </w:p>
    <w:p w14:paraId="17086EFC">
      <w:pPr>
        <w:snapToGrid w:val="0"/>
        <w:spacing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服务期内</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kern w:val="0"/>
          <w:sz w:val="24"/>
          <w:szCs w:val="24"/>
          <w:highlight w:val="none"/>
          <w14:textFill>
            <w14:solidFill>
              <w14:schemeClr w14:val="tx1"/>
            </w14:solidFill>
          </w14:textFill>
        </w:rPr>
        <w:t>须留有一定的备用面料，以满足采购人的备品要求。</w:t>
      </w:r>
    </w:p>
    <w:p w14:paraId="47D036A1">
      <w:pPr>
        <w:snapToGrid w:val="0"/>
        <w:spacing w:line="400" w:lineRule="exact"/>
        <w:ind w:firstLine="480" w:firstLineChars="2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、采购人可根据实际需要按本项目制作要求追加订单，单价按</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中标</w:t>
      </w:r>
      <w:r>
        <w:rPr>
          <w:rFonts w:hint="eastAsia" w:ascii="仿宋" w:hAnsi="仿宋" w:eastAsia="仿宋" w:cs="仿宋"/>
          <w:color w:val="000000" w:themeColor="text1"/>
          <w:kern w:val="0"/>
          <w:sz w:val="24"/>
          <w:szCs w:val="24"/>
          <w:highlight w:val="none"/>
          <w14:textFill>
            <w14:solidFill>
              <w14:schemeClr w14:val="tx1"/>
            </w14:solidFill>
          </w14:textFill>
        </w:rPr>
        <w:t>成交价格执行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kern w:val="0"/>
          <w:sz w:val="24"/>
          <w:szCs w:val="24"/>
          <w:highlight w:val="none"/>
          <w14:textFill>
            <w14:solidFill>
              <w14:schemeClr w14:val="tx1"/>
            </w14:solidFill>
          </w14:textFill>
        </w:rPr>
        <w:t>必须在3个工作日内进行现场量号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32E87A31">
      <w:pPr>
        <w:snapToGrid w:val="0"/>
        <w:spacing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、售后出现产品质量问题或穿着不合体，必须实行免费包改、包换、包退等。</w:t>
      </w:r>
    </w:p>
    <w:p w14:paraId="437396B7">
      <w:pPr>
        <w:pStyle w:val="9"/>
        <w:pageBreakBefore w:val="0"/>
        <w:kinsoku/>
        <w:overflowPunct/>
        <w:topLinePunct w:val="0"/>
        <w:bidi w:val="0"/>
        <w:snapToGrid w:val="0"/>
        <w:spacing w:before="0" w:after="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、质量保证期过后，采购人需要继续由原</w:t>
      </w:r>
      <w:r>
        <w:rPr>
          <w:rFonts w:hint="eastAsia" w:ascii="仿宋" w:hAnsi="仿宋" w:eastAsia="仿宋" w:cs="仿宋"/>
          <w:b w:val="0"/>
          <w:bCs/>
          <w:color w:val="auto"/>
          <w:sz w:val="24"/>
          <w:szCs w:val="24"/>
          <w:highlight w:val="none"/>
          <w:lang w:eastAsia="zh-CN"/>
        </w:rPr>
        <w:t>成交供应商</w:t>
      </w:r>
      <w:r>
        <w:rPr>
          <w:rFonts w:hint="eastAsia" w:ascii="仿宋" w:hAnsi="仿宋" w:eastAsia="仿宋" w:cs="仿宋"/>
          <w:b w:val="0"/>
          <w:bCs/>
          <w:color w:val="auto"/>
          <w:sz w:val="24"/>
          <w:szCs w:val="24"/>
          <w:highlight w:val="none"/>
        </w:rPr>
        <w:t>和制造商提供售后服务的，</w:t>
      </w:r>
      <w:r>
        <w:rPr>
          <w:rFonts w:hint="eastAsia" w:ascii="仿宋" w:hAnsi="仿宋" w:eastAsia="仿宋" w:cs="仿宋"/>
          <w:b w:val="0"/>
          <w:bCs/>
          <w:color w:val="auto"/>
          <w:sz w:val="24"/>
          <w:szCs w:val="24"/>
          <w:highlight w:val="none"/>
          <w:lang w:eastAsia="zh-CN"/>
        </w:rPr>
        <w:t>成交供应商</w:t>
      </w:r>
      <w:r>
        <w:rPr>
          <w:rFonts w:hint="eastAsia" w:ascii="仿宋" w:hAnsi="仿宋" w:eastAsia="仿宋" w:cs="仿宋"/>
          <w:b w:val="0"/>
          <w:bCs/>
          <w:color w:val="auto"/>
          <w:sz w:val="24"/>
          <w:szCs w:val="24"/>
          <w:highlight w:val="none"/>
        </w:rPr>
        <w:t>和制造商应以优惠价格提供售后服务。</w:t>
      </w:r>
    </w:p>
    <w:p w14:paraId="7A1CC124">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lang w:eastAsia="zh-CN"/>
        </w:rPr>
      </w:pPr>
      <w:bookmarkStart w:id="53" w:name="_Toc31246"/>
      <w:bookmarkStart w:id="54" w:name="_Toc10176"/>
      <w:bookmarkStart w:id="55" w:name="_Toc19901"/>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四、其他要求</w:t>
      </w:r>
    </w:p>
    <w:p w14:paraId="55322BBE">
      <w:pPr>
        <w:pStyle w:val="9"/>
        <w:pageBreakBefore w:val="0"/>
        <w:numPr>
          <w:ilvl w:val="0"/>
          <w:numId w:val="2"/>
        </w:numPr>
        <w:kinsoku/>
        <w:overflowPunct/>
        <w:topLinePunct w:val="0"/>
        <w:bidi w:val="0"/>
        <w:snapToGrid w:val="0"/>
        <w:spacing w:before="0" w:after="0" w:line="312"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每件服装独立包装（防尘袋 + 纸盒），外包装标注供应商名称、服装款式、尺码、数量等信息，包装牢固，防止运输过程中损坏，其包装材料和包装费用由成交供货商承担。</w:t>
      </w:r>
    </w:p>
    <w:p w14:paraId="5297E36E">
      <w:pPr>
        <w:pStyle w:val="9"/>
        <w:pageBreakBefore w:val="0"/>
        <w:numPr>
          <w:ilvl w:val="0"/>
          <w:numId w:val="2"/>
        </w:numPr>
        <w:kinsoku/>
        <w:overflowPunct/>
        <w:topLinePunct w:val="0"/>
        <w:bidi w:val="0"/>
        <w:snapToGrid w:val="0"/>
        <w:spacing w:before="0" w:after="0" w:line="312"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供应商保证所供服装及面料无知识产权纠纷，若因知识产权问题引发纠纷，由供应商承担全部责任。</w:t>
      </w:r>
    </w:p>
    <w:p w14:paraId="5645C1DB">
      <w:pPr>
        <w:pStyle w:val="9"/>
        <w:pageBreakBefore w:val="0"/>
        <w:numPr>
          <w:ilvl w:val="0"/>
          <w:numId w:val="2"/>
        </w:numPr>
        <w:kinsoku/>
        <w:overflowPunct/>
        <w:topLinePunct w:val="0"/>
        <w:bidi w:val="0"/>
        <w:snapToGrid w:val="0"/>
        <w:spacing w:before="0" w:after="0" w:line="312" w:lineRule="auto"/>
        <w:ind w:firstLine="480" w:firstLineChars="20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供应商对采购过程中获取的学校及老师相关信息（如尺码、联系方式等）承担保密义务，不得泄露给第三方，否则需承担相应责任。</w:t>
      </w:r>
    </w:p>
    <w:p w14:paraId="1BC41FD4">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、付款方式</w:t>
      </w:r>
      <w:bookmarkEnd w:id="52"/>
      <w:bookmarkEnd w:id="53"/>
      <w:bookmarkEnd w:id="54"/>
      <w:bookmarkEnd w:id="55"/>
      <w:r>
        <w:rPr>
          <w:rFonts w:hint="eastAsia" w:ascii="仿宋" w:hAnsi="仿宋" w:eastAsia="仿宋" w:cs="仿宋"/>
          <w:color w:val="auto"/>
          <w:sz w:val="24"/>
          <w:szCs w:val="24"/>
          <w:highlight w:val="none"/>
          <w:lang w:val="en-US" w:eastAsia="zh-CN"/>
        </w:rPr>
        <w:t>及履约担保</w:t>
      </w:r>
    </w:p>
    <w:p w14:paraId="51FBB00B">
      <w:pPr>
        <w:pStyle w:val="15"/>
        <w:pageBreakBefore w:val="0"/>
        <w:widowControl w:val="0"/>
        <w:kinsoku/>
        <w:wordWrap/>
        <w:overflowPunct/>
        <w:topLinePunct w:val="0"/>
        <w:autoSpaceDE/>
        <w:autoSpaceDN/>
        <w:bidi w:val="0"/>
        <w:adjustRightInd/>
        <w:spacing w:line="312" w:lineRule="auto"/>
        <w:ind w:firstLine="480" w:firstLineChars="200"/>
        <w:textAlignment w:val="auto"/>
        <w:rPr>
          <w:rFonts w:hint="eastAsia" w:ascii="仿宋" w:hAnsi="仿宋" w:eastAsia="仿宋" w:cs="仿宋"/>
          <w:color w:val="auto"/>
          <w:sz w:val="24"/>
          <w:szCs w:val="24"/>
          <w:highlight w:val="none"/>
        </w:rPr>
      </w:pPr>
      <w:bookmarkStart w:id="56" w:name="_Toc4293"/>
      <w:bookmarkStart w:id="57" w:name="_Toc12794"/>
      <w:bookmarkStart w:id="58" w:name="_Toc24569668"/>
      <w:bookmarkStart w:id="59" w:name="_Toc31427"/>
      <w:bookmarkStart w:id="60" w:name="_Toc520204758"/>
      <w:bookmarkStart w:id="61" w:name="_Toc13040"/>
      <w:bookmarkStart w:id="62" w:name="_Toc267320052"/>
      <w:r>
        <w:rPr>
          <w:rFonts w:hint="eastAsia" w:ascii="仿宋" w:hAnsi="仿宋" w:eastAsia="仿宋" w:cs="仿宋"/>
          <w:color w:val="auto"/>
          <w:kern w:val="0"/>
          <w:sz w:val="24"/>
          <w:szCs w:val="24"/>
          <w:highlight w:val="none"/>
        </w:rPr>
        <w:t>（一）</w:t>
      </w:r>
      <w:r>
        <w:rPr>
          <w:rFonts w:hint="eastAsia" w:ascii="仿宋" w:hAnsi="仿宋" w:eastAsia="仿宋" w:cs="仿宋"/>
          <w:color w:val="auto"/>
          <w:sz w:val="24"/>
          <w:szCs w:val="24"/>
          <w:highlight w:val="none"/>
        </w:rPr>
        <w:t>履约担保的金额：</w:t>
      </w:r>
      <w:r>
        <w:rPr>
          <w:rFonts w:hint="eastAsia" w:ascii="仿宋" w:hAnsi="仿宋" w:eastAsia="仿宋" w:cs="仿宋"/>
          <w:color w:val="auto"/>
          <w:sz w:val="24"/>
          <w:szCs w:val="24"/>
          <w:highlight w:val="none"/>
        </w:rPr>
        <w:t>中标合同金额的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w:t>
      </w:r>
    </w:p>
    <w:p w14:paraId="1ACC99FB">
      <w:pPr>
        <w:pStyle w:val="15"/>
        <w:pageBreakBefore w:val="0"/>
        <w:widowControl w:val="0"/>
        <w:kinsoku/>
        <w:wordWrap/>
        <w:overflowPunct/>
        <w:topLinePunct w:val="0"/>
        <w:autoSpaceDE/>
        <w:autoSpaceDN/>
        <w:bidi w:val="0"/>
        <w:adjustRightIn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（二）履约担保的形式：</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rPr>
        <w:t>或履约保函，履约保函包括银行保函、保证保险和担保保函。</w:t>
      </w:r>
    </w:p>
    <w:p w14:paraId="67726BF6">
      <w:pPr>
        <w:pStyle w:val="15"/>
        <w:pageBreakBefore w:val="0"/>
        <w:widowControl w:val="0"/>
        <w:kinsoku/>
        <w:wordWrap/>
        <w:overflowPunct/>
        <w:topLinePunct w:val="0"/>
        <w:autoSpaceDE/>
        <w:autoSpaceDN/>
        <w:bidi w:val="0"/>
        <w:adjustRightIn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1、采用转账形式缴纳履约担保的，必须从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的基本账户通过银行转账方式直接划付到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提供的银行账户，其中产生的手续费由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14:paraId="187708BB">
      <w:pPr>
        <w:pStyle w:val="15"/>
        <w:pageBreakBefore w:val="0"/>
        <w:widowControl w:val="0"/>
        <w:kinsoku/>
        <w:wordWrap/>
        <w:overflowPunct/>
        <w:topLinePunct w:val="0"/>
        <w:autoSpaceDE/>
        <w:autoSpaceDN/>
        <w:bidi w:val="0"/>
        <w:adjustRightInd/>
        <w:spacing w:line="312"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2、采用保函形式的，保函必须为不可撤销且见索即付。履约保函必须由合法经营的金融机构、担保机构出具，保函的内容必须符合磋商文件和投标承诺的要求。保函的受益人为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，保函原件交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保存。</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对所提交的履约保函的真实性、合法性、有效性负责。</w:t>
      </w:r>
    </w:p>
    <w:p w14:paraId="1C93BE07">
      <w:pPr>
        <w:snapToGrid w:val="0"/>
        <w:spacing w:line="400" w:lineRule="exact"/>
        <w:ind w:firstLine="480" w:firstLineChars="200"/>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（二）本项目根据最终验收合格的服装数量及中标单价据实结算，成交供应商按采购合同交货经验收合格并发放完成，由采购人出具项目验收报告；</w:t>
      </w:r>
    </w:p>
    <w:p w14:paraId="7F7A5A7F">
      <w:pPr>
        <w:snapToGrid w:val="0"/>
        <w:spacing w:line="40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方正仿宋_GB2312"/>
          <w:color w:val="auto"/>
          <w:kern w:val="0"/>
          <w:sz w:val="24"/>
          <w:szCs w:val="24"/>
          <w:highlight w:val="none"/>
          <w:lang w:val="en-US" w:eastAsia="zh-CN"/>
        </w:rPr>
        <w:t>（三）成交供应商向采购人开具发票，并提交采购合同、验收报告、发票、资金支付申请表等材料，向采购人申请付款；</w:t>
      </w:r>
    </w:p>
    <w:p w14:paraId="38996F6B">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rPr>
        <w:t>）履约保证金无息退还时间：项目验收合格且双方结算完毕后，在成交供应商不存在任何违约情形，且不存在任何未支付或未退还款项的前提下，采购人应在5个工作日内无息退还履约保证金。</w:t>
      </w:r>
    </w:p>
    <w:p w14:paraId="3AFBB46F">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成交供应商在履约过程中出现违约行为的，由采购人按合同约定对履约保证金进行处理。</w:t>
      </w:r>
    </w:p>
    <w:bookmarkEnd w:id="56"/>
    <w:bookmarkEnd w:id="57"/>
    <w:bookmarkEnd w:id="58"/>
    <w:bookmarkEnd w:id="59"/>
    <w:bookmarkEnd w:id="60"/>
    <w:bookmarkEnd w:id="61"/>
    <w:bookmarkEnd w:id="62"/>
    <w:p w14:paraId="15944E26">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63" w:name="_Toc25408"/>
      <w:bookmarkStart w:id="64" w:name="_Toc15269"/>
      <w:bookmarkStart w:id="65" w:name="_Toc9294"/>
      <w:bookmarkStart w:id="66" w:name="_Toc403569795"/>
      <w:bookmarkStart w:id="67" w:name="_Toc24569670"/>
      <w:bookmarkStart w:id="68" w:name="_Toc729"/>
      <w:bookmarkStart w:id="69" w:name="_Toc344475125"/>
      <w:r>
        <w:rPr>
          <w:rFonts w:hint="eastAsia" w:ascii="仿宋" w:hAnsi="仿宋" w:eastAsia="仿宋" w:cs="仿宋"/>
          <w:color w:val="auto"/>
          <w:sz w:val="21"/>
          <w:szCs w:val="21"/>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、其他</w:t>
      </w:r>
      <w:bookmarkEnd w:id="63"/>
      <w:bookmarkEnd w:id="64"/>
      <w:bookmarkEnd w:id="65"/>
      <w:bookmarkEnd w:id="66"/>
      <w:bookmarkEnd w:id="67"/>
      <w:bookmarkEnd w:id="68"/>
    </w:p>
    <w:bookmarkEnd w:id="69"/>
    <w:p w14:paraId="42D33CAC">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b/>
          <w:bCs/>
          <w:color w:val="auto"/>
          <w:sz w:val="24"/>
          <w:szCs w:val="24"/>
          <w:highlight w:val="none"/>
        </w:rPr>
        <w:t>供应商必须在响应文件中对以上条款和服务承诺明确列出，承诺内容必须达到本篇及</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其他条款的要求。</w:t>
      </w:r>
    </w:p>
    <w:p w14:paraId="57DC2853">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790BBE07">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4DA1702D">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18BC2A2C">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10C657D6">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177E684E">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08EA7433">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40891C78">
      <w:pPr>
        <w:pageBreakBefore w:val="0"/>
        <w:kinsoku/>
        <w:overflowPunct/>
        <w:topLinePunct w:val="0"/>
        <w:bidi w:val="0"/>
        <w:snapToGrid w:val="0"/>
        <w:spacing w:line="312" w:lineRule="auto"/>
        <w:ind w:firstLine="539"/>
        <w:rPr>
          <w:rFonts w:hint="eastAsia" w:ascii="仿宋" w:hAnsi="仿宋" w:eastAsia="仿宋" w:cs="仿宋"/>
          <w:color w:val="auto"/>
          <w:sz w:val="24"/>
          <w:szCs w:val="24"/>
          <w:highlight w:val="none"/>
        </w:rPr>
      </w:pPr>
    </w:p>
    <w:p w14:paraId="768FFA8C">
      <w:pPr>
        <w:pStyle w:val="6"/>
        <w:rPr>
          <w:rFonts w:hint="eastAsia" w:ascii="仿宋" w:hAnsi="仿宋" w:eastAsia="仿宋" w:cs="仿宋"/>
          <w:color w:val="auto"/>
          <w:sz w:val="24"/>
          <w:szCs w:val="24"/>
          <w:highlight w:val="none"/>
        </w:rPr>
      </w:pPr>
    </w:p>
    <w:p w14:paraId="5078A12C">
      <w:pPr>
        <w:rPr>
          <w:rFonts w:hint="eastAsia" w:ascii="仿宋" w:hAnsi="仿宋" w:eastAsia="仿宋" w:cs="仿宋"/>
          <w:color w:val="auto"/>
          <w:sz w:val="24"/>
          <w:szCs w:val="24"/>
          <w:highlight w:val="none"/>
        </w:rPr>
      </w:pPr>
    </w:p>
    <w:p w14:paraId="08540F00">
      <w:pPr>
        <w:pStyle w:val="6"/>
        <w:rPr>
          <w:rFonts w:hint="eastAsia" w:ascii="仿宋" w:hAnsi="仿宋" w:eastAsia="仿宋" w:cs="仿宋"/>
          <w:color w:val="auto"/>
          <w:sz w:val="24"/>
          <w:szCs w:val="24"/>
          <w:highlight w:val="none"/>
        </w:rPr>
      </w:pPr>
    </w:p>
    <w:p w14:paraId="38B9DBFF">
      <w:pPr>
        <w:rPr>
          <w:rFonts w:hint="eastAsia" w:ascii="仿宋" w:hAnsi="仿宋" w:eastAsia="仿宋" w:cs="仿宋"/>
          <w:color w:val="auto"/>
          <w:sz w:val="24"/>
          <w:szCs w:val="24"/>
          <w:highlight w:val="none"/>
        </w:rPr>
      </w:pPr>
    </w:p>
    <w:p w14:paraId="13E10C87">
      <w:pPr>
        <w:pStyle w:val="6"/>
        <w:rPr>
          <w:rFonts w:hint="eastAsia" w:ascii="仿宋" w:hAnsi="仿宋" w:eastAsia="仿宋" w:cs="仿宋"/>
          <w:color w:val="auto"/>
          <w:sz w:val="24"/>
          <w:szCs w:val="24"/>
          <w:highlight w:val="none"/>
        </w:rPr>
      </w:pPr>
    </w:p>
    <w:p w14:paraId="234D5C55">
      <w:pPr>
        <w:rPr>
          <w:rFonts w:hint="eastAsia" w:ascii="仿宋" w:hAnsi="仿宋" w:eastAsia="仿宋" w:cs="仿宋"/>
          <w:color w:val="auto"/>
          <w:sz w:val="24"/>
          <w:szCs w:val="24"/>
          <w:highlight w:val="none"/>
        </w:rPr>
      </w:pPr>
    </w:p>
    <w:p w14:paraId="6D94CB36">
      <w:pPr>
        <w:pStyle w:val="6"/>
        <w:rPr>
          <w:rFonts w:hint="eastAsia" w:ascii="仿宋" w:hAnsi="仿宋" w:eastAsia="仿宋" w:cs="仿宋"/>
          <w:color w:val="auto"/>
          <w:sz w:val="24"/>
          <w:szCs w:val="24"/>
          <w:highlight w:val="none"/>
        </w:rPr>
      </w:pPr>
    </w:p>
    <w:p w14:paraId="11CC3FD3">
      <w:pPr>
        <w:rPr>
          <w:rFonts w:hint="eastAsia" w:ascii="仿宋" w:hAnsi="仿宋" w:eastAsia="仿宋" w:cs="仿宋"/>
          <w:color w:val="auto"/>
          <w:sz w:val="24"/>
          <w:szCs w:val="24"/>
          <w:highlight w:val="none"/>
        </w:rPr>
      </w:pPr>
    </w:p>
    <w:p w14:paraId="0A67206D">
      <w:pPr>
        <w:pStyle w:val="6"/>
        <w:rPr>
          <w:rFonts w:hint="eastAsia" w:ascii="仿宋" w:hAnsi="仿宋" w:eastAsia="仿宋" w:cs="仿宋"/>
          <w:color w:val="auto"/>
          <w:sz w:val="24"/>
          <w:szCs w:val="24"/>
          <w:highlight w:val="none"/>
        </w:rPr>
      </w:pPr>
    </w:p>
    <w:p w14:paraId="079064E5">
      <w:pPr>
        <w:rPr>
          <w:rFonts w:hint="eastAsia" w:ascii="仿宋" w:hAnsi="仿宋" w:eastAsia="仿宋" w:cs="仿宋"/>
          <w:color w:val="auto"/>
          <w:sz w:val="24"/>
          <w:szCs w:val="24"/>
          <w:highlight w:val="none"/>
        </w:rPr>
      </w:pPr>
    </w:p>
    <w:p w14:paraId="1E5430CB">
      <w:pPr>
        <w:pStyle w:val="6"/>
        <w:rPr>
          <w:rFonts w:hint="eastAsia" w:ascii="仿宋" w:hAnsi="仿宋" w:eastAsia="仿宋" w:cs="仿宋"/>
          <w:color w:val="auto"/>
          <w:sz w:val="24"/>
          <w:szCs w:val="24"/>
          <w:highlight w:val="none"/>
        </w:rPr>
      </w:pPr>
    </w:p>
    <w:p w14:paraId="1B4D7AC9">
      <w:pPr>
        <w:rPr>
          <w:rFonts w:hint="eastAsia" w:ascii="仿宋" w:hAnsi="仿宋" w:eastAsia="仿宋" w:cs="仿宋"/>
          <w:color w:val="auto"/>
          <w:sz w:val="24"/>
          <w:szCs w:val="24"/>
          <w:highlight w:val="none"/>
        </w:rPr>
      </w:pPr>
    </w:p>
    <w:p w14:paraId="0C2B7D18">
      <w:pPr>
        <w:pStyle w:val="6"/>
        <w:rPr>
          <w:rFonts w:hint="eastAsia" w:ascii="仿宋" w:hAnsi="仿宋" w:eastAsia="仿宋" w:cs="仿宋"/>
          <w:color w:val="auto"/>
          <w:sz w:val="24"/>
          <w:szCs w:val="24"/>
          <w:highlight w:val="none"/>
        </w:rPr>
      </w:pPr>
    </w:p>
    <w:p w14:paraId="5479B254">
      <w:pPr>
        <w:rPr>
          <w:rFonts w:hint="eastAsia" w:ascii="仿宋" w:hAnsi="仿宋" w:eastAsia="仿宋" w:cs="仿宋"/>
          <w:color w:val="auto"/>
          <w:sz w:val="24"/>
          <w:szCs w:val="24"/>
          <w:highlight w:val="none"/>
        </w:rPr>
      </w:pPr>
    </w:p>
    <w:p w14:paraId="3B8B83F1">
      <w:pPr>
        <w:pStyle w:val="6"/>
        <w:rPr>
          <w:rFonts w:hint="eastAsia" w:ascii="仿宋" w:hAnsi="仿宋" w:eastAsia="仿宋" w:cs="仿宋"/>
          <w:color w:val="auto"/>
          <w:sz w:val="24"/>
          <w:szCs w:val="24"/>
          <w:highlight w:val="none"/>
        </w:rPr>
      </w:pPr>
    </w:p>
    <w:p w14:paraId="0DAE44EC">
      <w:pPr>
        <w:rPr>
          <w:rFonts w:hint="eastAsia" w:ascii="仿宋" w:hAnsi="仿宋" w:eastAsia="仿宋" w:cs="仿宋"/>
          <w:color w:val="auto"/>
          <w:sz w:val="24"/>
          <w:szCs w:val="24"/>
          <w:highlight w:val="none"/>
        </w:rPr>
      </w:pPr>
    </w:p>
    <w:p w14:paraId="21D124C7">
      <w:pPr>
        <w:pStyle w:val="6"/>
        <w:rPr>
          <w:rFonts w:hint="eastAsia" w:ascii="仿宋" w:hAnsi="仿宋" w:eastAsia="仿宋" w:cs="仿宋"/>
          <w:color w:val="auto"/>
          <w:sz w:val="24"/>
          <w:szCs w:val="24"/>
          <w:highlight w:val="none"/>
        </w:rPr>
      </w:pPr>
    </w:p>
    <w:p w14:paraId="195D29AE">
      <w:pPr>
        <w:rPr>
          <w:rFonts w:hint="eastAsia" w:ascii="仿宋" w:hAnsi="仿宋" w:eastAsia="仿宋" w:cs="仿宋"/>
          <w:color w:val="auto"/>
          <w:sz w:val="24"/>
          <w:szCs w:val="24"/>
          <w:highlight w:val="none"/>
        </w:rPr>
      </w:pPr>
    </w:p>
    <w:p w14:paraId="72EA7707">
      <w:pPr>
        <w:pStyle w:val="6"/>
        <w:rPr>
          <w:rFonts w:hint="eastAsia" w:ascii="仿宋" w:hAnsi="仿宋" w:eastAsia="仿宋" w:cs="仿宋"/>
          <w:color w:val="auto"/>
          <w:sz w:val="24"/>
          <w:szCs w:val="24"/>
          <w:highlight w:val="none"/>
        </w:rPr>
      </w:pPr>
    </w:p>
    <w:p w14:paraId="24492E68">
      <w:pPr>
        <w:rPr>
          <w:rFonts w:hint="eastAsia" w:ascii="仿宋" w:hAnsi="仿宋" w:eastAsia="仿宋" w:cs="仿宋"/>
          <w:color w:val="auto"/>
          <w:sz w:val="24"/>
          <w:szCs w:val="24"/>
          <w:highlight w:val="none"/>
        </w:rPr>
      </w:pPr>
    </w:p>
    <w:p w14:paraId="6EDE061E">
      <w:pPr>
        <w:pStyle w:val="8"/>
        <w:pageBreakBefore w:val="0"/>
        <w:kinsoku/>
        <w:overflowPunct/>
        <w:topLinePunct w:val="0"/>
        <w:bidi w:val="0"/>
        <w:spacing w:line="312" w:lineRule="auto"/>
        <w:rPr>
          <w:rFonts w:hint="eastAsia" w:ascii="仿宋" w:hAnsi="仿宋" w:eastAsia="仿宋" w:cs="仿宋"/>
          <w:color w:val="auto"/>
          <w:sz w:val="36"/>
          <w:szCs w:val="36"/>
          <w:highlight w:val="none"/>
        </w:rPr>
      </w:pPr>
      <w:bookmarkStart w:id="70" w:name="_Toc24367"/>
      <w:r>
        <w:rPr>
          <w:rFonts w:hint="eastAsia" w:ascii="仿宋" w:hAnsi="仿宋" w:eastAsia="仿宋" w:cs="仿宋"/>
          <w:color w:val="auto"/>
          <w:sz w:val="36"/>
          <w:szCs w:val="36"/>
          <w:highlight w:val="none"/>
        </w:rPr>
        <w:t>第四篇  评审程序及方法、评审标准、无效响应和采购终</w:t>
      </w:r>
      <w:r>
        <w:rPr>
          <w:rFonts w:hint="eastAsia" w:ascii="仿宋" w:hAnsi="仿宋" w:eastAsia="仿宋" w:cs="仿宋"/>
          <w:color w:val="auto"/>
          <w:sz w:val="36"/>
          <w:szCs w:val="36"/>
          <w:highlight w:val="none"/>
        </w:rPr>
        <w:t>止</w:t>
      </w:r>
      <w:bookmarkEnd w:id="70"/>
    </w:p>
    <w:p w14:paraId="5F8FE360">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71" w:name="_Toc21964"/>
      <w:r>
        <w:rPr>
          <w:rFonts w:hint="eastAsia" w:ascii="仿宋" w:hAnsi="仿宋" w:eastAsia="仿宋" w:cs="仿宋"/>
          <w:color w:val="auto"/>
          <w:sz w:val="24"/>
          <w:szCs w:val="24"/>
          <w:highlight w:val="none"/>
        </w:rPr>
        <w:t>一、评审程序及方法</w:t>
      </w:r>
      <w:bookmarkEnd w:id="71"/>
    </w:p>
    <w:p w14:paraId="251F0BF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规定的评审方式进行，本项目依法组建的评审委员会分别对各供应商的响应文件进行综合评分。</w:t>
      </w:r>
    </w:p>
    <w:p w14:paraId="69F4173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（二）评审委员会对各供应商的资格条件、响应文件的有效性、完整性和响应程度进行审查，各供应商只有完全符合要求的前提下，才能参与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29BA6072">
      <w:pPr>
        <w:pageBreakBefore w:val="0"/>
        <w:kinsoku/>
        <w:overflowPunct/>
        <w:topLinePunct w:val="0"/>
        <w:bidi w:val="0"/>
        <w:snapToGrid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1.资格审查。依据法律法规和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的规定，对响应文件中的资格证明等进行审查，以确定供应商是否具备</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资格。资格性检查资料表如下：</w:t>
      </w:r>
    </w:p>
    <w:tbl>
      <w:tblPr>
        <w:tblStyle w:val="27"/>
        <w:tblW w:w="10316"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14"/>
        <w:gridCol w:w="2906"/>
        <w:gridCol w:w="5635"/>
      </w:tblGrid>
      <w:tr w14:paraId="3478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1" w:type="dxa"/>
            <w:vAlign w:val="center"/>
          </w:tcPr>
          <w:p w14:paraId="5671B6E0">
            <w:pPr>
              <w:pageBreakBefore w:val="0"/>
              <w:kinsoku/>
              <w:overflowPunct/>
              <w:topLinePunct w:val="0"/>
              <w:bidi w:val="0"/>
              <w:snapToGrid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720" w:type="dxa"/>
            <w:gridSpan w:val="2"/>
            <w:vAlign w:val="center"/>
          </w:tcPr>
          <w:p w14:paraId="164FC1B4">
            <w:pPr>
              <w:pageBreakBefore w:val="0"/>
              <w:kinsoku/>
              <w:overflowPunct/>
              <w:topLinePunct w:val="0"/>
              <w:bidi w:val="0"/>
              <w:snapToGrid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5635" w:type="dxa"/>
            <w:vAlign w:val="center"/>
          </w:tcPr>
          <w:p w14:paraId="72CFE4B2">
            <w:pPr>
              <w:pageBreakBefore w:val="0"/>
              <w:kinsoku/>
              <w:overflowPunct/>
              <w:topLinePunct w:val="0"/>
              <w:bidi w:val="0"/>
              <w:snapToGrid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11C4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vAlign w:val="center"/>
          </w:tcPr>
          <w:p w14:paraId="42FBD37B">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（一）</w:t>
            </w:r>
          </w:p>
        </w:tc>
        <w:tc>
          <w:tcPr>
            <w:tcW w:w="814" w:type="dxa"/>
            <w:vMerge w:val="restart"/>
            <w:vAlign w:val="center"/>
          </w:tcPr>
          <w:p w14:paraId="50F59F68">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2906" w:type="dxa"/>
            <w:vAlign w:val="center"/>
          </w:tcPr>
          <w:p w14:paraId="376A1A4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635" w:type="dxa"/>
            <w:vAlign w:val="center"/>
          </w:tcPr>
          <w:p w14:paraId="08CD5055">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2698BDB6">
            <w:pPr>
              <w:pageBreakBefore w:val="0"/>
              <w:kinsoku/>
              <w:overflowPunct/>
              <w:topLinePunct w:val="0"/>
              <w:bidi w:val="0"/>
              <w:snapToGrid w:val="0"/>
              <w:spacing w:line="312"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1E1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continue"/>
            <w:vAlign w:val="center"/>
          </w:tcPr>
          <w:p w14:paraId="47F72412">
            <w:pPr>
              <w:pageBreakBefore w:val="0"/>
              <w:kinsoku/>
              <w:overflowPunct/>
              <w:topLinePunct w:val="0"/>
              <w:bidi w:val="0"/>
              <w:snapToGrid w:val="0"/>
              <w:spacing w:line="312" w:lineRule="auto"/>
              <w:jc w:val="center"/>
              <w:rPr>
                <w:rFonts w:hint="eastAsia" w:ascii="仿宋" w:hAnsi="仿宋" w:eastAsia="仿宋" w:cs="仿宋"/>
                <w:color w:val="auto"/>
                <w:sz w:val="24"/>
                <w:szCs w:val="24"/>
                <w:highlight w:val="none"/>
              </w:rPr>
            </w:pPr>
          </w:p>
        </w:tc>
        <w:tc>
          <w:tcPr>
            <w:tcW w:w="814" w:type="dxa"/>
            <w:vMerge w:val="continue"/>
            <w:vAlign w:val="center"/>
          </w:tcPr>
          <w:p w14:paraId="1B7C4E54">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2906" w:type="dxa"/>
            <w:vAlign w:val="center"/>
          </w:tcPr>
          <w:p w14:paraId="7C5DAD5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5635" w:type="dxa"/>
            <w:vMerge w:val="restart"/>
            <w:vAlign w:val="center"/>
          </w:tcPr>
          <w:p w14:paraId="5E9C6BE7">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w:t>
            </w:r>
            <w:r>
              <w:rPr>
                <w:rFonts w:hint="eastAsia" w:ascii="仿宋" w:hAnsi="仿宋" w:eastAsia="仿宋" w:cs="仿宋"/>
                <w:b/>
                <w:bCs/>
                <w:color w:val="auto"/>
                <w:sz w:val="24"/>
                <w:szCs w:val="24"/>
                <w:highlight w:val="none"/>
              </w:rPr>
              <w:t>（格式详见第七篇）</w:t>
            </w:r>
          </w:p>
        </w:tc>
      </w:tr>
      <w:tr w14:paraId="1A3E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31C62FCD">
            <w:pPr>
              <w:pageBreakBefore w:val="0"/>
              <w:kinsoku/>
              <w:overflowPunct/>
              <w:topLinePunct w:val="0"/>
              <w:bidi w:val="0"/>
              <w:snapToGrid w:val="0"/>
              <w:spacing w:line="312" w:lineRule="auto"/>
              <w:jc w:val="center"/>
              <w:rPr>
                <w:rFonts w:hint="eastAsia" w:ascii="仿宋" w:hAnsi="仿宋" w:eastAsia="仿宋" w:cs="仿宋"/>
                <w:color w:val="auto"/>
                <w:sz w:val="24"/>
                <w:szCs w:val="24"/>
                <w:highlight w:val="none"/>
              </w:rPr>
            </w:pPr>
          </w:p>
        </w:tc>
        <w:tc>
          <w:tcPr>
            <w:tcW w:w="814" w:type="dxa"/>
            <w:vMerge w:val="continue"/>
            <w:vAlign w:val="center"/>
          </w:tcPr>
          <w:p w14:paraId="616227AC">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2906" w:type="dxa"/>
            <w:vAlign w:val="center"/>
          </w:tcPr>
          <w:p w14:paraId="5F1575A2">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5635" w:type="dxa"/>
            <w:vMerge w:val="continue"/>
            <w:vAlign w:val="center"/>
          </w:tcPr>
          <w:p w14:paraId="6557D279">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7313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61" w:type="dxa"/>
            <w:vMerge w:val="continue"/>
            <w:vAlign w:val="center"/>
          </w:tcPr>
          <w:p w14:paraId="15322796">
            <w:pPr>
              <w:pageBreakBefore w:val="0"/>
              <w:kinsoku/>
              <w:overflowPunct/>
              <w:topLinePunct w:val="0"/>
              <w:bidi w:val="0"/>
              <w:snapToGrid w:val="0"/>
              <w:spacing w:line="312" w:lineRule="auto"/>
              <w:jc w:val="center"/>
              <w:rPr>
                <w:rFonts w:hint="eastAsia" w:ascii="仿宋" w:hAnsi="仿宋" w:eastAsia="仿宋" w:cs="仿宋"/>
                <w:color w:val="auto"/>
                <w:sz w:val="24"/>
                <w:szCs w:val="24"/>
                <w:highlight w:val="none"/>
              </w:rPr>
            </w:pPr>
          </w:p>
        </w:tc>
        <w:tc>
          <w:tcPr>
            <w:tcW w:w="814" w:type="dxa"/>
            <w:vMerge w:val="continue"/>
            <w:vAlign w:val="center"/>
          </w:tcPr>
          <w:p w14:paraId="5A42DB35">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2906" w:type="dxa"/>
            <w:vAlign w:val="center"/>
          </w:tcPr>
          <w:p w14:paraId="01793F38">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5635" w:type="dxa"/>
            <w:vMerge w:val="continue"/>
            <w:vAlign w:val="center"/>
          </w:tcPr>
          <w:p w14:paraId="593E5EB3">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360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1FE0D650">
            <w:pPr>
              <w:pageBreakBefore w:val="0"/>
              <w:kinsoku/>
              <w:overflowPunct/>
              <w:topLinePunct w:val="0"/>
              <w:bidi w:val="0"/>
              <w:snapToGrid w:val="0"/>
              <w:spacing w:line="312" w:lineRule="auto"/>
              <w:jc w:val="center"/>
              <w:rPr>
                <w:rFonts w:hint="eastAsia" w:ascii="仿宋" w:hAnsi="仿宋" w:eastAsia="仿宋" w:cs="仿宋"/>
                <w:color w:val="auto"/>
                <w:sz w:val="24"/>
                <w:szCs w:val="24"/>
                <w:highlight w:val="none"/>
              </w:rPr>
            </w:pPr>
          </w:p>
        </w:tc>
        <w:tc>
          <w:tcPr>
            <w:tcW w:w="814" w:type="dxa"/>
            <w:vMerge w:val="continue"/>
            <w:vAlign w:val="center"/>
          </w:tcPr>
          <w:p w14:paraId="77649194">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2906" w:type="dxa"/>
            <w:vAlign w:val="center"/>
          </w:tcPr>
          <w:p w14:paraId="56C6A2C2">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\o\ac(○,1)</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c>
          <w:tcPr>
            <w:tcW w:w="5635" w:type="dxa"/>
            <w:vMerge w:val="continue"/>
            <w:vAlign w:val="center"/>
          </w:tcPr>
          <w:p w14:paraId="5A291651">
            <w:pPr>
              <w:pageBreakBefore w:val="0"/>
              <w:kinsoku/>
              <w:overflowPunct/>
              <w:topLinePunct w:val="0"/>
              <w:bidi w:val="0"/>
              <w:spacing w:line="312" w:lineRule="auto"/>
              <w:rPr>
                <w:rFonts w:hint="eastAsia" w:ascii="仿宋" w:hAnsi="仿宋" w:eastAsia="仿宋" w:cs="仿宋"/>
                <w:color w:val="auto"/>
                <w:sz w:val="24"/>
                <w:szCs w:val="24"/>
                <w:highlight w:val="none"/>
              </w:rPr>
            </w:pPr>
          </w:p>
        </w:tc>
      </w:tr>
      <w:tr w14:paraId="4A3B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7CD5CABF">
            <w:pPr>
              <w:pageBreakBefore w:val="0"/>
              <w:kinsoku/>
              <w:overflowPunct/>
              <w:topLinePunct w:val="0"/>
              <w:bidi w:val="0"/>
              <w:snapToGrid w:val="0"/>
              <w:spacing w:line="312" w:lineRule="auto"/>
              <w:jc w:val="center"/>
              <w:rPr>
                <w:rFonts w:hint="eastAsia" w:ascii="仿宋" w:hAnsi="仿宋" w:eastAsia="仿宋" w:cs="仿宋"/>
                <w:color w:val="auto"/>
                <w:sz w:val="24"/>
                <w:szCs w:val="24"/>
                <w:highlight w:val="none"/>
              </w:rPr>
            </w:pPr>
          </w:p>
        </w:tc>
        <w:tc>
          <w:tcPr>
            <w:tcW w:w="814" w:type="dxa"/>
            <w:vMerge w:val="continue"/>
            <w:vAlign w:val="center"/>
          </w:tcPr>
          <w:p w14:paraId="1BC810E3">
            <w:pPr>
              <w:pageBreakBefore w:val="0"/>
              <w:kinsoku/>
              <w:overflowPunct/>
              <w:topLinePunct w:val="0"/>
              <w:bidi w:val="0"/>
              <w:snapToGrid w:val="0"/>
              <w:spacing w:line="312" w:lineRule="auto"/>
              <w:rPr>
                <w:rFonts w:hint="eastAsia" w:ascii="仿宋" w:hAnsi="仿宋" w:eastAsia="仿宋" w:cs="仿宋"/>
                <w:color w:val="auto"/>
                <w:sz w:val="24"/>
                <w:szCs w:val="24"/>
                <w:highlight w:val="none"/>
                <w:lang w:val="zh-CN"/>
              </w:rPr>
            </w:pPr>
          </w:p>
        </w:tc>
        <w:tc>
          <w:tcPr>
            <w:tcW w:w="2906" w:type="dxa"/>
            <w:vAlign w:val="center"/>
          </w:tcPr>
          <w:p w14:paraId="548B7A7C">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5635" w:type="dxa"/>
            <w:vMerge w:val="continue"/>
            <w:vAlign w:val="center"/>
          </w:tcPr>
          <w:p w14:paraId="38D82DDF">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p>
        </w:tc>
      </w:tr>
      <w:tr w14:paraId="47D2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61" w:type="dxa"/>
            <w:vAlign w:val="center"/>
          </w:tcPr>
          <w:p w14:paraId="3B21D701">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720" w:type="dxa"/>
            <w:gridSpan w:val="2"/>
            <w:vAlign w:val="center"/>
          </w:tcPr>
          <w:p w14:paraId="2F2A99D9">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5635" w:type="dxa"/>
            <w:vAlign w:val="center"/>
          </w:tcPr>
          <w:p w14:paraId="2F556C36">
            <w:pPr>
              <w:pageBreakBefore w:val="0"/>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按第一篇“三、供应商资格条件 （二）本项目的特定资格要求”的要求提交（如果有）。</w:t>
            </w:r>
          </w:p>
        </w:tc>
      </w:tr>
    </w:tbl>
    <w:p w14:paraId="1D3DEFC9">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523F53B9">
      <w:pPr>
        <w:pageBreakBefore w:val="0"/>
        <w:kinsoku/>
        <w:overflowPunct/>
        <w:topLinePunct w:val="0"/>
        <w:bidi w:val="0"/>
        <w:snapToGrid w:val="0"/>
        <w:spacing w:line="312" w:lineRule="auto"/>
        <w:ind w:firstLine="44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2"/>
          <w:szCs w:val="22"/>
          <w:highlight w:val="none"/>
        </w:rPr>
        <w:fldChar w:fldCharType="begin"/>
      </w:r>
      <w:r>
        <w:rPr>
          <w:rFonts w:hint="eastAsia" w:ascii="仿宋" w:hAnsi="仿宋" w:eastAsia="仿宋" w:cs="仿宋"/>
          <w:color w:val="auto"/>
          <w:kern w:val="0"/>
          <w:sz w:val="22"/>
          <w:szCs w:val="22"/>
          <w:highlight w:val="none"/>
        </w:rPr>
        <w:instrText xml:space="preserve">eq \o\ac(</w:instrText>
      </w:r>
      <w:r>
        <w:rPr>
          <w:rFonts w:hint="eastAsia" w:ascii="仿宋" w:hAnsi="仿宋" w:eastAsia="仿宋" w:cs="仿宋"/>
          <w:color w:val="auto"/>
          <w:kern w:val="0"/>
          <w:position w:val="-4"/>
          <w:sz w:val="33"/>
          <w:szCs w:val="22"/>
          <w:highlight w:val="none"/>
        </w:rPr>
        <w:instrText xml:space="preserve">○</w:instrText>
      </w:r>
      <w:r>
        <w:rPr>
          <w:rFonts w:hint="eastAsia" w:ascii="仿宋" w:hAnsi="仿宋" w:eastAsia="仿宋" w:cs="仿宋"/>
          <w:color w:val="auto"/>
          <w:kern w:val="0"/>
          <w:sz w:val="22"/>
          <w:szCs w:val="22"/>
          <w:highlight w:val="none"/>
        </w:rPr>
        <w:instrText xml:space="preserve">,1)</w:instrText>
      </w:r>
      <w:r>
        <w:rPr>
          <w:rFonts w:hint="eastAsia" w:ascii="仿宋" w:hAnsi="仿宋" w:eastAsia="仿宋" w:cs="仿宋"/>
          <w:color w:val="auto"/>
          <w:kern w:val="0"/>
          <w:sz w:val="22"/>
          <w:szCs w:val="22"/>
          <w:highlight w:val="none"/>
        </w:rPr>
        <w:fldChar w:fldCharType="end"/>
      </w:r>
      <w:r>
        <w:rPr>
          <w:rFonts w:hint="eastAsia" w:ascii="仿宋" w:hAnsi="仿宋" w:eastAsia="仿宋" w:cs="仿宋"/>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1072CC11">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8D3E04D">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w:t>
      </w:r>
    </w:p>
    <w:p w14:paraId="404FDBEE">
      <w:pPr>
        <w:pageBreakBefore w:val="0"/>
        <w:kinsoku/>
        <w:overflowPunct/>
        <w:topLinePunct w:val="0"/>
        <w:bidi w:val="0"/>
        <w:snapToGrid w:val="0"/>
        <w:spacing w:line="312"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对符合资格的供应商的响应文件进行符合性审查，以确定其是否满足</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的实质性要求。符合性审查资料表如下：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28"/>
        <w:gridCol w:w="2608"/>
        <w:gridCol w:w="4968"/>
      </w:tblGrid>
      <w:tr w14:paraId="67D7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Align w:val="center"/>
          </w:tcPr>
          <w:p w14:paraId="01205E9A">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bookmarkStart w:id="72" w:name="_Toc80104349"/>
            <w:r>
              <w:rPr>
                <w:rFonts w:hint="eastAsia" w:ascii="仿宋" w:hAnsi="仿宋" w:eastAsia="仿宋" w:cs="仿宋"/>
                <w:b/>
                <w:color w:val="auto"/>
                <w:kern w:val="0"/>
                <w:sz w:val="24"/>
                <w:szCs w:val="24"/>
                <w:highlight w:val="none"/>
              </w:rPr>
              <w:t>序号</w:t>
            </w:r>
          </w:p>
        </w:tc>
        <w:tc>
          <w:tcPr>
            <w:tcW w:w="4136" w:type="dxa"/>
            <w:gridSpan w:val="2"/>
            <w:vAlign w:val="center"/>
          </w:tcPr>
          <w:p w14:paraId="31679944">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4968" w:type="dxa"/>
            <w:vAlign w:val="center"/>
          </w:tcPr>
          <w:p w14:paraId="2EA995E8">
            <w:pPr>
              <w:pageBreakBefore w:val="0"/>
              <w:kinsoku/>
              <w:overflowPunct/>
              <w:topLinePunct w:val="0"/>
              <w:bidi w:val="0"/>
              <w:spacing w:line="312"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1467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24" w:type="dxa"/>
            <w:vMerge w:val="restart"/>
            <w:vAlign w:val="center"/>
          </w:tcPr>
          <w:p w14:paraId="2B7BA72B">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28" w:type="dxa"/>
            <w:vMerge w:val="restart"/>
            <w:vAlign w:val="center"/>
          </w:tcPr>
          <w:p w14:paraId="55E7F9E9">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608" w:type="dxa"/>
            <w:vAlign w:val="center"/>
          </w:tcPr>
          <w:p w14:paraId="1D3B5599">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响应文件签署或盖章</w:t>
            </w:r>
          </w:p>
        </w:tc>
        <w:tc>
          <w:tcPr>
            <w:tcW w:w="4968" w:type="dxa"/>
            <w:vAlign w:val="center"/>
          </w:tcPr>
          <w:p w14:paraId="5F7F9627">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“第七篇 响应文件格式要求”要求签署或盖章。</w:t>
            </w:r>
          </w:p>
        </w:tc>
      </w:tr>
      <w:tr w14:paraId="1031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24" w:type="dxa"/>
            <w:vMerge w:val="continue"/>
            <w:vAlign w:val="center"/>
          </w:tcPr>
          <w:p w14:paraId="2369D731">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4B376225">
            <w:pPr>
              <w:pageBreakBefore w:val="0"/>
              <w:kinsoku/>
              <w:overflowPunct/>
              <w:topLinePunct w:val="0"/>
              <w:bidi w:val="0"/>
              <w:spacing w:line="312" w:lineRule="auto"/>
              <w:rPr>
                <w:rFonts w:hint="eastAsia" w:ascii="仿宋" w:hAnsi="仿宋" w:eastAsia="仿宋" w:cs="仿宋"/>
                <w:color w:val="auto"/>
                <w:kern w:val="0"/>
                <w:sz w:val="24"/>
                <w:szCs w:val="24"/>
                <w:highlight w:val="none"/>
              </w:rPr>
            </w:pPr>
          </w:p>
        </w:tc>
        <w:tc>
          <w:tcPr>
            <w:tcW w:w="2608" w:type="dxa"/>
            <w:vAlign w:val="center"/>
          </w:tcPr>
          <w:p w14:paraId="4626AC4F">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4968" w:type="dxa"/>
            <w:vAlign w:val="center"/>
          </w:tcPr>
          <w:p w14:paraId="2774D5F1">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规定的格式，签署或盖章齐全。</w:t>
            </w:r>
          </w:p>
        </w:tc>
      </w:tr>
      <w:tr w14:paraId="7FAD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24" w:type="dxa"/>
            <w:vMerge w:val="continue"/>
            <w:vAlign w:val="center"/>
          </w:tcPr>
          <w:p w14:paraId="771A7B44">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786FE233">
            <w:pPr>
              <w:pageBreakBefore w:val="0"/>
              <w:kinsoku/>
              <w:overflowPunct/>
              <w:topLinePunct w:val="0"/>
              <w:bidi w:val="0"/>
              <w:spacing w:line="312" w:lineRule="auto"/>
              <w:rPr>
                <w:rFonts w:hint="eastAsia" w:ascii="仿宋" w:hAnsi="仿宋" w:eastAsia="仿宋" w:cs="仿宋"/>
                <w:color w:val="auto"/>
                <w:kern w:val="0"/>
                <w:sz w:val="24"/>
                <w:szCs w:val="24"/>
                <w:highlight w:val="none"/>
              </w:rPr>
            </w:pPr>
          </w:p>
        </w:tc>
        <w:tc>
          <w:tcPr>
            <w:tcW w:w="2608" w:type="dxa"/>
            <w:vAlign w:val="center"/>
          </w:tcPr>
          <w:p w14:paraId="17CF4A5C">
            <w:pPr>
              <w:pageBreakBefore w:val="0"/>
              <w:kinsoku/>
              <w:overflowPunct/>
              <w:topLinePunct w:val="0"/>
              <w:bidi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4968" w:type="dxa"/>
            <w:vAlign w:val="center"/>
          </w:tcPr>
          <w:p w14:paraId="0986193A">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2AE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4" w:type="dxa"/>
            <w:vMerge w:val="continue"/>
            <w:vAlign w:val="center"/>
          </w:tcPr>
          <w:p w14:paraId="515F5B50">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0F2D61FA">
            <w:pPr>
              <w:pageBreakBefore w:val="0"/>
              <w:kinsoku/>
              <w:overflowPunct/>
              <w:topLinePunct w:val="0"/>
              <w:bidi w:val="0"/>
              <w:spacing w:line="312" w:lineRule="auto"/>
              <w:rPr>
                <w:rFonts w:hint="eastAsia" w:ascii="仿宋" w:hAnsi="仿宋" w:eastAsia="仿宋" w:cs="仿宋"/>
                <w:color w:val="auto"/>
                <w:kern w:val="0"/>
                <w:sz w:val="24"/>
                <w:szCs w:val="24"/>
                <w:highlight w:val="none"/>
              </w:rPr>
            </w:pPr>
          </w:p>
        </w:tc>
        <w:tc>
          <w:tcPr>
            <w:tcW w:w="2608" w:type="dxa"/>
            <w:vAlign w:val="center"/>
          </w:tcPr>
          <w:p w14:paraId="7613E9C9">
            <w:pPr>
              <w:pageBreakBefore w:val="0"/>
              <w:kinsoku/>
              <w:overflowPunct/>
              <w:topLinePunct w:val="0"/>
              <w:bidi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4968" w:type="dxa"/>
            <w:vAlign w:val="center"/>
          </w:tcPr>
          <w:p w14:paraId="5F7920BB">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3CDD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24" w:type="dxa"/>
            <w:vAlign w:val="center"/>
          </w:tcPr>
          <w:p w14:paraId="7F824FC6">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28" w:type="dxa"/>
            <w:vAlign w:val="center"/>
          </w:tcPr>
          <w:p w14:paraId="1B3EB1BD">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608" w:type="dxa"/>
            <w:vAlign w:val="center"/>
          </w:tcPr>
          <w:p w14:paraId="4627D10D">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4968" w:type="dxa"/>
            <w:vAlign w:val="center"/>
          </w:tcPr>
          <w:p w14:paraId="0BB33469">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sz w:val="24"/>
                <w:szCs w:val="24"/>
                <w:highlight w:val="none"/>
                <w:lang w:val="zh-CN"/>
              </w:rPr>
              <w:t>要求。</w:t>
            </w:r>
          </w:p>
        </w:tc>
      </w:tr>
      <w:tr w14:paraId="1E13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24" w:type="dxa"/>
            <w:vMerge w:val="restart"/>
            <w:vAlign w:val="center"/>
          </w:tcPr>
          <w:p w14:paraId="7221D536">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28" w:type="dxa"/>
            <w:vMerge w:val="restart"/>
            <w:vAlign w:val="center"/>
          </w:tcPr>
          <w:p w14:paraId="24CACF2E">
            <w:pPr>
              <w:pageBreakBefore w:val="0"/>
              <w:kinsoku/>
              <w:overflowPunct/>
              <w:topLinePunct w:val="0"/>
              <w:bidi w:val="0"/>
              <w:spacing w:line="312"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kern w:val="0"/>
                <w:sz w:val="24"/>
                <w:szCs w:val="24"/>
                <w:highlight w:val="none"/>
              </w:rPr>
              <w:t>的响应程度审查</w:t>
            </w:r>
          </w:p>
        </w:tc>
        <w:tc>
          <w:tcPr>
            <w:tcW w:w="2608" w:type="dxa"/>
            <w:vAlign w:val="center"/>
          </w:tcPr>
          <w:p w14:paraId="3AA8A825">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4968" w:type="dxa"/>
            <w:vAlign w:val="center"/>
          </w:tcPr>
          <w:p w14:paraId="747AD455">
            <w:pPr>
              <w:pStyle w:val="16"/>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对采购文件</w:t>
            </w:r>
            <w:r>
              <w:rPr>
                <w:rFonts w:hint="eastAsia" w:ascii="仿宋" w:hAnsi="仿宋" w:eastAsia="仿宋" w:cs="仿宋"/>
                <w:color w:val="auto"/>
                <w:sz w:val="24"/>
                <w:szCs w:val="24"/>
                <w:highlight w:val="none"/>
              </w:rPr>
              <w:t>第二篇、第三篇“※”标注部分</w:t>
            </w:r>
            <w:r>
              <w:rPr>
                <w:rFonts w:hint="eastAsia" w:ascii="仿宋" w:hAnsi="仿宋" w:eastAsia="仿宋" w:cs="仿宋"/>
                <w:color w:val="auto"/>
                <w:sz w:val="24"/>
                <w:szCs w:val="24"/>
                <w:highlight w:val="none"/>
                <w:lang w:val="en-US" w:eastAsia="zh-CN"/>
              </w:rPr>
              <w:t>进行响应。</w:t>
            </w:r>
          </w:p>
        </w:tc>
      </w:tr>
      <w:tr w14:paraId="77B8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4" w:type="dxa"/>
            <w:vMerge w:val="continue"/>
            <w:vAlign w:val="center"/>
          </w:tcPr>
          <w:p w14:paraId="0186B6C0">
            <w:pPr>
              <w:pageBreakBefore w:val="0"/>
              <w:kinsoku/>
              <w:overflowPunct/>
              <w:topLinePunct w:val="0"/>
              <w:bidi w:val="0"/>
              <w:spacing w:line="312"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1DB73EEA">
            <w:pPr>
              <w:pageBreakBefore w:val="0"/>
              <w:kinsoku/>
              <w:overflowPunct/>
              <w:topLinePunct w:val="0"/>
              <w:bidi w:val="0"/>
              <w:spacing w:line="312" w:lineRule="auto"/>
              <w:rPr>
                <w:rFonts w:hint="eastAsia" w:ascii="仿宋" w:hAnsi="仿宋" w:eastAsia="仿宋" w:cs="仿宋"/>
                <w:color w:val="auto"/>
                <w:sz w:val="24"/>
                <w:szCs w:val="24"/>
                <w:highlight w:val="none"/>
                <w:lang w:val="zh-CN"/>
              </w:rPr>
            </w:pPr>
          </w:p>
        </w:tc>
        <w:tc>
          <w:tcPr>
            <w:tcW w:w="2608" w:type="dxa"/>
            <w:vAlign w:val="center"/>
          </w:tcPr>
          <w:p w14:paraId="37002588">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kern w:val="0"/>
                <w:sz w:val="24"/>
                <w:szCs w:val="24"/>
                <w:highlight w:val="none"/>
              </w:rPr>
              <w:t>有效期</w:t>
            </w:r>
          </w:p>
        </w:tc>
        <w:tc>
          <w:tcPr>
            <w:tcW w:w="4968" w:type="dxa"/>
            <w:vAlign w:val="center"/>
          </w:tcPr>
          <w:p w14:paraId="7308E51A">
            <w:pPr>
              <w:pageBreakBefore w:val="0"/>
              <w:kinsoku/>
              <w:overflowPunct/>
              <w:topLinePunct w:val="0"/>
              <w:bidi w:val="0"/>
              <w:spacing w:line="312"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71E4DF3E">
      <w:pPr>
        <w:pageBreakBefore w:val="0"/>
        <w:kinsoku/>
        <w:overflowPunct/>
        <w:topLinePunct w:val="0"/>
        <w:bidi w:val="0"/>
        <w:snapToGrid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10ACB3">
      <w:pPr>
        <w:pageBreakBefore w:val="0"/>
        <w:kinsoku/>
        <w:overflowPunct/>
        <w:topLinePunct w:val="0"/>
        <w:bidi w:val="0"/>
        <w:snapToGrid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审委员会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67DC464">
      <w:pPr>
        <w:pageBreakBefore w:val="0"/>
        <w:kinsoku/>
        <w:overflowPunct/>
        <w:topLinePunct w:val="0"/>
        <w:bidi w:val="0"/>
        <w:snapToGrid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过程中的任何一方不得向他人透露与</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有关的技术资料、价格或其他信息。</w:t>
      </w:r>
    </w:p>
    <w:p w14:paraId="12BDD5E7">
      <w:pPr>
        <w:pageBreakBefore w:val="0"/>
        <w:kinsoku/>
        <w:overflowPunct/>
        <w:topLinePunct w:val="0"/>
        <w:bidi w:val="0"/>
        <w:snapToGrid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eastAsia="zh-CN"/>
        </w:rPr>
        <w:t>采购过程</w:t>
      </w:r>
      <w:r>
        <w:rPr>
          <w:rFonts w:hint="eastAsia" w:ascii="仿宋" w:hAnsi="仿宋" w:eastAsia="仿宋" w:cs="仿宋"/>
          <w:color w:val="auto"/>
          <w:sz w:val="24"/>
          <w:szCs w:val="24"/>
          <w:highlight w:val="none"/>
        </w:rPr>
        <w:t>中，评审委员会可以根据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情况实质性变动采购需求中的服务、商务要求以及合同草案条款，但不得变动</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中的其他内容。实质性变动的内容，须经采购人代表确认。对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出的实质性变动是</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的有效组成部分，评审委员会应当及时以书面形式同时通知所有参加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的供应商。</w:t>
      </w:r>
    </w:p>
    <w:p w14:paraId="1B7B03B9">
      <w:pPr>
        <w:pageBreakBefore w:val="0"/>
        <w:kinsoku/>
        <w:overflowPunct/>
        <w:topLinePunct w:val="0"/>
        <w:bidi w:val="0"/>
        <w:snapToGrid w:val="0"/>
        <w:spacing w:line="312"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（5）本项目采用综合评分法进行评分。综合评分法，是指响应文件满足</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详见评审标准）。</w:t>
      </w:r>
    </w:p>
    <w:p w14:paraId="3EF6B9FE">
      <w:pPr>
        <w:pageBreakBefore w:val="0"/>
        <w:kinsoku/>
        <w:overflowPunct/>
        <w:topLinePunct w:val="0"/>
        <w:bidi w:val="0"/>
        <w:snapToGrid w:val="0"/>
        <w:spacing w:line="312"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6）评审委员会各成员独立对每个实质性响应文件进行评价、打分，然后汇总每个供应商每项评分因素的得分，并根据综合评分情况按照评审得分由高到低顺序推荐3名及以上成交候选供应商，并编写评审报告。若供应商的评审得分相同的，按照报价由低到高的顺序排列推荐。评审得分且报价相同的，按照服务指标优劣顺序排列推荐。</w:t>
      </w:r>
    </w:p>
    <w:tbl>
      <w:tblPr>
        <w:tblStyle w:val="27"/>
        <w:tblpPr w:leftFromText="180" w:rightFromText="180" w:vertAnchor="text" w:horzAnchor="page" w:tblpX="1006" w:tblpY="467"/>
        <w:tblOverlap w:val="never"/>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25"/>
        <w:gridCol w:w="1190"/>
        <w:gridCol w:w="6895"/>
      </w:tblGrid>
      <w:tr w14:paraId="0AB8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87" w:type="dxa"/>
            <w:vAlign w:val="center"/>
          </w:tcPr>
          <w:p w14:paraId="53E3EA52">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bookmarkStart w:id="73" w:name="_Toc17411"/>
            <w:bookmarkStart w:id="74" w:name="_Toc1003"/>
            <w:bookmarkStart w:id="75" w:name="_Toc1961"/>
            <w:r>
              <w:rPr>
                <w:rFonts w:hint="eastAsia" w:ascii="仿宋" w:hAnsi="仿宋" w:eastAsia="仿宋" w:cs="仿宋"/>
                <w:color w:val="auto"/>
                <w:sz w:val="24"/>
                <w:szCs w:val="24"/>
                <w:highlight w:val="none"/>
              </w:rPr>
              <w:t>序号</w:t>
            </w:r>
          </w:p>
        </w:tc>
        <w:tc>
          <w:tcPr>
            <w:tcW w:w="1325" w:type="dxa"/>
            <w:vAlign w:val="center"/>
          </w:tcPr>
          <w:p w14:paraId="3C54BD94">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评分因素及权值</w:t>
            </w:r>
          </w:p>
        </w:tc>
        <w:tc>
          <w:tcPr>
            <w:tcW w:w="1190" w:type="dxa"/>
            <w:vAlign w:val="center"/>
          </w:tcPr>
          <w:p w14:paraId="620034D2">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895" w:type="dxa"/>
            <w:vAlign w:val="center"/>
          </w:tcPr>
          <w:p w14:paraId="1BDFA586">
            <w:pPr>
              <w:keepNext w:val="0"/>
              <w:keepLines w:val="0"/>
              <w:pageBreakBefore w:val="0"/>
              <w:widowControl/>
              <w:kinsoku/>
              <w:wordWrap w:val="0"/>
              <w:overflowPunct/>
              <w:topLinePunct w:val="0"/>
              <w:autoSpaceDE/>
              <w:autoSpaceDN/>
              <w:bidi w:val="0"/>
              <w:adjustRightInd/>
              <w:snapToGrid w:val="0"/>
              <w:spacing w:line="312" w:lineRule="auto"/>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196B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Align w:val="center"/>
          </w:tcPr>
          <w:p w14:paraId="033917FD">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25" w:type="dxa"/>
            <w:vAlign w:val="center"/>
          </w:tcPr>
          <w:p w14:paraId="1AE96A35">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60D64AA3">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1190" w:type="dxa"/>
            <w:vAlign w:val="center"/>
          </w:tcPr>
          <w:p w14:paraId="4D00ADB1">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6895" w:type="dxa"/>
            <w:vAlign w:val="center"/>
          </w:tcPr>
          <w:p w14:paraId="20A75EC5">
            <w:pPr>
              <w:keepNext w:val="0"/>
              <w:keepLines w:val="0"/>
              <w:pageBreakBefore w:val="0"/>
              <w:widowControl/>
              <w:kinsoku/>
              <w:wordWrap w:val="0"/>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满足资格性、符合性要求且报价最低的供应商的价格为评标基准价，其价格分为满足，其余供应商价格分按照下列公式计算：</w:t>
            </w:r>
          </w:p>
          <w:p w14:paraId="245298BC">
            <w:pPr>
              <w:keepNext w:val="0"/>
              <w:keepLines w:val="0"/>
              <w:pageBreakBefore w:val="0"/>
              <w:widowControl/>
              <w:kinsoku/>
              <w:wordWrap w:val="0"/>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得分=（评标基准价/各供应商报价）×价格权值×100</w:t>
            </w:r>
          </w:p>
        </w:tc>
      </w:tr>
      <w:tr w14:paraId="2B94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vAlign w:val="center"/>
          </w:tcPr>
          <w:p w14:paraId="52FD9DE2">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25" w:type="dxa"/>
            <w:vMerge w:val="restart"/>
            <w:vAlign w:val="center"/>
          </w:tcPr>
          <w:p w14:paraId="74275088">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部分（60%）</w:t>
            </w:r>
          </w:p>
        </w:tc>
        <w:tc>
          <w:tcPr>
            <w:tcW w:w="1190" w:type="dxa"/>
            <w:vAlign w:val="center"/>
          </w:tcPr>
          <w:p w14:paraId="56FA342D">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质量保障方案</w:t>
            </w:r>
          </w:p>
          <w:p w14:paraId="06CA5AA0">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895" w:type="dxa"/>
            <w:vAlign w:val="center"/>
          </w:tcPr>
          <w:p w14:paraId="1FA82743">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供应商提供质量保障方案，内容包括但不限于对所投服装面料成分、所投服装所用面料和所用辅材的材质、品牌、工艺等进行说明等。</w:t>
            </w:r>
          </w:p>
          <w:p w14:paraId="61E95436">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76743450">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4E0C367C">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D2D8730">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内容存在3处瑕疵，得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7068856">
            <w:pPr>
              <w:keepNext w:val="0"/>
              <w:keepLines w:val="0"/>
              <w:pageBreakBefore w:val="0"/>
              <w:kinsoku/>
              <w:wordWrap/>
              <w:overflowPunct/>
              <w:topLinePunct w:val="0"/>
              <w:autoSpaceDE/>
              <w:autoSpaceDN/>
              <w:bidi w:val="0"/>
              <w:adjustRightInd/>
              <w:snapToGrid w:val="0"/>
              <w:spacing w:line="312"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内容存在4处及以上瑕疵未提供方案不得分</w:t>
            </w:r>
            <w:r>
              <w:rPr>
                <w:rFonts w:hint="eastAsia" w:ascii="仿宋" w:hAnsi="仿宋" w:eastAsia="仿宋" w:cs="仿宋"/>
                <w:bCs/>
                <w:color w:val="auto"/>
                <w:sz w:val="24"/>
                <w:szCs w:val="24"/>
                <w:highlight w:val="none"/>
              </w:rPr>
              <w:t>。</w:t>
            </w:r>
          </w:p>
        </w:tc>
      </w:tr>
      <w:tr w14:paraId="7D3B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787" w:type="dxa"/>
            <w:vMerge w:val="continue"/>
            <w:vAlign w:val="center"/>
          </w:tcPr>
          <w:p w14:paraId="67310F65">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39771A08">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190" w:type="dxa"/>
            <w:vAlign w:val="center"/>
          </w:tcPr>
          <w:p w14:paraId="2880E922">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生产供货保障方案</w:t>
            </w:r>
          </w:p>
          <w:p w14:paraId="4137A0D8">
            <w:pPr>
              <w:keepNext w:val="0"/>
              <w:keepLines w:val="0"/>
              <w:pageBreakBefore w:val="0"/>
              <w:widowControl/>
              <w:kinsoku/>
              <w:wordWrap/>
              <w:overflowPunct/>
              <w:topLinePunct w:val="0"/>
              <w:autoSpaceDE/>
              <w:autoSpaceDN/>
              <w:bidi w:val="0"/>
              <w:adjustRightInd/>
              <w:snapToGrid w:val="0"/>
              <w:spacing w:line="312"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（10分）</w:t>
            </w:r>
          </w:p>
        </w:tc>
        <w:tc>
          <w:tcPr>
            <w:tcW w:w="6895" w:type="dxa"/>
            <w:vAlign w:val="center"/>
          </w:tcPr>
          <w:p w14:paraId="2B874F7E">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供</w:t>
            </w:r>
            <w:r>
              <w:rPr>
                <w:rFonts w:hint="eastAsia" w:ascii="仿宋" w:hAnsi="仿宋" w:eastAsia="仿宋" w:cs="仿宋"/>
                <w:color w:val="auto"/>
                <w:sz w:val="24"/>
                <w:szCs w:val="24"/>
                <w:highlight w:val="none"/>
                <w:lang w:eastAsia="zh-CN"/>
              </w:rPr>
              <w:t>应商</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 xml:space="preserve">供货保障方案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内容包括但不限于对</w:t>
            </w:r>
            <w:r>
              <w:rPr>
                <w:rFonts w:hint="eastAsia" w:ascii="仿宋" w:hAnsi="仿宋" w:eastAsia="仿宋" w:cs="仿宋"/>
                <w:color w:val="auto"/>
                <w:sz w:val="24"/>
                <w:szCs w:val="24"/>
                <w:highlight w:val="none"/>
              </w:rPr>
              <w:t>质量控制、交货期保证措施、时间安排、包装运输等</w:t>
            </w:r>
            <w:r>
              <w:rPr>
                <w:rFonts w:hint="eastAsia" w:ascii="仿宋" w:hAnsi="仿宋" w:eastAsia="仿宋" w:cs="仿宋"/>
                <w:color w:val="auto"/>
                <w:sz w:val="24"/>
                <w:szCs w:val="24"/>
                <w:highlight w:val="none"/>
                <w:lang w:val="en-GB" w:eastAsia="zh-CN"/>
              </w:rPr>
              <w:t>。</w:t>
            </w:r>
          </w:p>
          <w:p w14:paraId="64E1FF8A">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A8A45A7">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50CD32C7">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33A3F3ED">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内容存在3处瑕疵，得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345EED29">
            <w:pPr>
              <w:keepNext w:val="0"/>
              <w:keepLines w:val="0"/>
              <w:pageBreakBefore w:val="0"/>
              <w:kinsoku/>
              <w:wordWrap/>
              <w:overflowPunct/>
              <w:topLinePunct w:val="0"/>
              <w:autoSpaceDE/>
              <w:autoSpaceDN/>
              <w:bidi w:val="0"/>
              <w:adjustRightInd/>
              <w:snapToGrid w:val="0"/>
              <w:spacing w:line="312"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内容存在4处及以上瑕疵未提供方案不得分</w:t>
            </w:r>
            <w:r>
              <w:rPr>
                <w:rFonts w:hint="eastAsia" w:ascii="仿宋" w:hAnsi="仿宋" w:eastAsia="仿宋" w:cs="仿宋"/>
                <w:bCs/>
                <w:color w:val="auto"/>
                <w:sz w:val="24"/>
                <w:szCs w:val="24"/>
                <w:highlight w:val="none"/>
              </w:rPr>
              <w:t>。</w:t>
            </w:r>
          </w:p>
        </w:tc>
      </w:tr>
      <w:tr w14:paraId="17A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787" w:type="dxa"/>
            <w:vMerge w:val="continue"/>
            <w:vAlign w:val="center"/>
          </w:tcPr>
          <w:p w14:paraId="26AFE5C3">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49D2873E">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190" w:type="dxa"/>
            <w:vAlign w:val="center"/>
          </w:tcPr>
          <w:p w14:paraId="71B00825">
            <w:pPr>
              <w:keepNext w:val="0"/>
              <w:keepLines w:val="0"/>
              <w:pageBreakBefore w:val="0"/>
              <w:widowControl/>
              <w:kinsoku/>
              <w:wordWrap/>
              <w:overflowPunct/>
              <w:topLinePunct w:val="0"/>
              <w:autoSpaceDE/>
              <w:autoSpaceDN/>
              <w:bidi w:val="0"/>
              <w:adjustRightInd/>
              <w:snapToGrid w:val="0"/>
              <w:spacing w:line="312" w:lineRule="auto"/>
              <w:ind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售后服务方案</w:t>
            </w:r>
          </w:p>
          <w:p w14:paraId="4F05F7FA">
            <w:pPr>
              <w:keepNext w:val="0"/>
              <w:keepLines w:val="0"/>
              <w:pageBreakBefore w:val="0"/>
              <w:widowControl/>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w:t>
            </w:r>
            <w:r>
              <w:rPr>
                <w:rFonts w:hint="eastAsia" w:ascii="仿宋" w:hAnsi="仿宋" w:eastAsia="仿宋" w:cs="仿宋"/>
                <w:b w:val="0"/>
                <w:i w:val="0"/>
                <w:caps w:val="0"/>
                <w:color w:val="auto"/>
                <w:spacing w:val="0"/>
                <w:w w:val="100"/>
                <w:sz w:val="24"/>
                <w:szCs w:val="24"/>
                <w:highlight w:val="none"/>
                <w:lang w:val="en-US" w:eastAsia="zh-CN"/>
              </w:rPr>
              <w:t>10</w:t>
            </w:r>
            <w:r>
              <w:rPr>
                <w:rFonts w:hint="eastAsia" w:ascii="仿宋" w:hAnsi="仿宋" w:eastAsia="仿宋" w:cs="仿宋"/>
                <w:b w:val="0"/>
                <w:color w:val="auto"/>
                <w:kern w:val="2"/>
                <w:sz w:val="24"/>
                <w:szCs w:val="24"/>
                <w:highlight w:val="none"/>
                <w:lang w:val="en-US" w:eastAsia="zh-CN" w:bidi="ar-SA"/>
              </w:rPr>
              <w:t>分）</w:t>
            </w:r>
          </w:p>
        </w:tc>
        <w:tc>
          <w:tcPr>
            <w:tcW w:w="6895" w:type="dxa"/>
            <w:vAlign w:val="center"/>
          </w:tcPr>
          <w:p w14:paraId="5E94E0B5">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提供售后服务方案</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内容包括但不限于售后服务机构设置、售后服务（修补、更换等）响应措施及售后服务行为承诺、售后服务质量保障措施等</w:t>
            </w:r>
            <w:r>
              <w:rPr>
                <w:rFonts w:hint="eastAsia" w:ascii="仿宋" w:hAnsi="仿宋" w:eastAsia="仿宋" w:cs="仿宋"/>
                <w:color w:val="auto"/>
                <w:sz w:val="24"/>
                <w:szCs w:val="24"/>
                <w:highlight w:val="none"/>
                <w:lang w:val="en-GB" w:eastAsia="zh-CN"/>
              </w:rPr>
              <w:t>。</w:t>
            </w:r>
          </w:p>
          <w:p w14:paraId="00A58FBF">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7BC034AD">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56617685">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4A2A53B8">
            <w:pPr>
              <w:keepNext w:val="0"/>
              <w:keepLines w:val="0"/>
              <w:pageBreakBefore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内容存在3处瑕疵，得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533A855D">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内容存在4处及以上瑕疵未提供方案不得分</w:t>
            </w:r>
            <w:r>
              <w:rPr>
                <w:rFonts w:hint="eastAsia" w:ascii="仿宋" w:hAnsi="仿宋" w:eastAsia="仿宋" w:cs="仿宋"/>
                <w:bCs/>
                <w:color w:val="auto"/>
                <w:sz w:val="24"/>
                <w:szCs w:val="24"/>
                <w:highlight w:val="none"/>
              </w:rPr>
              <w:t>。</w:t>
            </w:r>
          </w:p>
        </w:tc>
      </w:tr>
      <w:tr w14:paraId="1C3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787" w:type="dxa"/>
            <w:vMerge w:val="restart"/>
            <w:vAlign w:val="center"/>
          </w:tcPr>
          <w:p w14:paraId="1F851486">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restart"/>
            <w:vAlign w:val="center"/>
          </w:tcPr>
          <w:p w14:paraId="417620A5">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8085" w:type="dxa"/>
            <w:gridSpan w:val="2"/>
            <w:vAlign w:val="center"/>
          </w:tcPr>
          <w:p w14:paraId="74CF679D">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注：本项内容中所称的“瑕疵”：</w:t>
            </w:r>
          </w:p>
          <w:p w14:paraId="0642D6E7">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①内容表述不完整或缺少关键分析点；</w:t>
            </w:r>
          </w:p>
          <w:p w14:paraId="5E98FDC2">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②计划及措施不科学合理方案；</w:t>
            </w:r>
          </w:p>
          <w:p w14:paraId="5BDD0B78">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③内容表述前后矛盾、无连贯性、内容存在逻辑漏洞；</w:t>
            </w:r>
          </w:p>
          <w:p w14:paraId="31A87FB5">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④常识性错误；</w:t>
            </w:r>
          </w:p>
          <w:p w14:paraId="2F84D3F6">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⑤技术措施保障安排并不适用本项目特性或非专门针对本项目制定；</w:t>
            </w:r>
          </w:p>
          <w:p w14:paraId="4272144A">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⑥方案中提出的措施举措不利于本项目目标的实现；</w:t>
            </w:r>
          </w:p>
          <w:p w14:paraId="479CCE04">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⑦现有技术条件下不可能实现采购目标；</w:t>
            </w:r>
          </w:p>
          <w:p w14:paraId="0563085D">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上述任意一种情形为1处瑕疵。</w:t>
            </w:r>
          </w:p>
        </w:tc>
      </w:tr>
      <w:tr w14:paraId="3DAC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787" w:type="dxa"/>
            <w:vMerge w:val="continue"/>
            <w:vAlign w:val="center"/>
          </w:tcPr>
          <w:p w14:paraId="4328374B">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4D29789B">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190" w:type="dxa"/>
            <w:vMerge w:val="restart"/>
            <w:vAlign w:val="center"/>
          </w:tcPr>
          <w:p w14:paraId="0455414B">
            <w:pPr>
              <w:pStyle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样品评审</w:t>
            </w:r>
          </w:p>
          <w:p w14:paraId="02CA83F0">
            <w:pPr>
              <w:pStyle w:val="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6895" w:type="dxa"/>
            <w:vAlign w:val="center"/>
          </w:tcPr>
          <w:p w14:paraId="4EF7C1F6">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做工与设计（10分）：</w:t>
            </w:r>
          </w:p>
          <w:p w14:paraId="1AE311E1">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根据供应商提供的样衣细节工艺（如领口及袖口边缘的处理、标签的缝制等）、细节设计（包括版型的贴合度、款式细节的还原度以及与采购需求的匹配度等）方面进行综合评定。</w:t>
            </w:r>
          </w:p>
          <w:p w14:paraId="14909419">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样品的细节设计、做工不存在瑕疵，得10分；​</w:t>
            </w:r>
          </w:p>
          <w:p w14:paraId="25F8FA47">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样品的细节设计、做工存在1处瑕疵，得</w:t>
            </w: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分；​</w:t>
            </w:r>
          </w:p>
          <w:p w14:paraId="0E22CFB6">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样品的细节设计、做工存在2 瑕疵，得</w:t>
            </w: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分；​</w:t>
            </w:r>
          </w:p>
          <w:p w14:paraId="60831B02">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样品的细节设计、做工存在3处瑕疵，得</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分；​</w:t>
            </w:r>
          </w:p>
          <w:p w14:paraId="14B8EE24">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样品的细节设计、做工存在4处及以上瑕疵，不得分。</w:t>
            </w:r>
          </w:p>
        </w:tc>
      </w:tr>
      <w:tr w14:paraId="6209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787" w:type="dxa"/>
            <w:vMerge w:val="continue"/>
            <w:vAlign w:val="center"/>
          </w:tcPr>
          <w:p w14:paraId="7CA9AAC6">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1515AF99">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190" w:type="dxa"/>
            <w:vMerge w:val="continue"/>
            <w:vAlign w:val="center"/>
          </w:tcPr>
          <w:p w14:paraId="5DA57C9E">
            <w:pPr>
              <w:pStyle w:val="6"/>
              <w:rPr>
                <w:rFonts w:hint="eastAsia" w:ascii="仿宋" w:hAnsi="仿宋" w:eastAsia="仿宋" w:cs="仿宋"/>
                <w:color w:val="auto"/>
                <w:sz w:val="24"/>
                <w:szCs w:val="24"/>
                <w:highlight w:val="none"/>
                <w:lang w:val="en-US" w:eastAsia="zh-CN"/>
              </w:rPr>
            </w:pPr>
          </w:p>
        </w:tc>
        <w:tc>
          <w:tcPr>
            <w:tcW w:w="6895" w:type="dxa"/>
            <w:vAlign w:val="center"/>
          </w:tcPr>
          <w:p w14:paraId="7DA5B145">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色彩与外观呈现（10 分）：</w:t>
            </w:r>
          </w:p>
          <w:p w14:paraId="4620E19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根据供应商提供的样衣色彩搭配（整体协调性、同衣身色彩统一性等）、外观呈现（面料表面洁净度、大烫平整性、无明显疵点等）方面进行综合评定。</w:t>
            </w:r>
          </w:p>
          <w:p w14:paraId="0B2BCAB5">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样品的色彩搭配、外观呈现不存在瑕疵，得10分；​</w:t>
            </w:r>
          </w:p>
          <w:p w14:paraId="076F7946">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样品的色彩搭配、外观呈现存在1处瑕疵，得7分；​</w:t>
            </w:r>
          </w:p>
          <w:p w14:paraId="6A36AB39">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样品的色彩搭配、外观呈现存在2处瑕疵，得4分；​</w:t>
            </w:r>
          </w:p>
          <w:p w14:paraId="248AC35F">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样品的色彩搭配、外观呈现存在3处瑕疵，得1分；​</w:t>
            </w:r>
          </w:p>
          <w:p w14:paraId="7A8AD5BB">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样品的色彩搭配、外观呈现存在4处及以上瑕疵，不得分。</w:t>
            </w:r>
          </w:p>
        </w:tc>
      </w:tr>
      <w:tr w14:paraId="4B04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7" w:type="dxa"/>
            <w:vMerge w:val="continue"/>
            <w:vAlign w:val="center"/>
          </w:tcPr>
          <w:p w14:paraId="712BACC5">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028282A8">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190" w:type="dxa"/>
            <w:vMerge w:val="continue"/>
            <w:vAlign w:val="center"/>
          </w:tcPr>
          <w:p w14:paraId="351447BF">
            <w:pPr>
              <w:pStyle w:val="6"/>
              <w:rPr>
                <w:rFonts w:hint="eastAsia" w:ascii="仿宋" w:hAnsi="仿宋" w:eastAsia="仿宋" w:cs="仿宋"/>
                <w:color w:val="auto"/>
                <w:sz w:val="24"/>
                <w:szCs w:val="24"/>
                <w:highlight w:val="none"/>
                <w:lang w:val="en-US" w:eastAsia="zh-CN"/>
              </w:rPr>
            </w:pPr>
          </w:p>
        </w:tc>
        <w:tc>
          <w:tcPr>
            <w:tcW w:w="6895" w:type="dxa"/>
            <w:vAlign w:val="center"/>
          </w:tcPr>
          <w:p w14:paraId="0ACDEE07">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缝制与成型工艺（10 分）：</w:t>
            </w:r>
          </w:p>
          <w:p w14:paraId="54B03D1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根据供应商提供的样衣缝制工艺（针距密度、线迹平整性、拼接对齐度、开叉处理等）、成型工艺（内衬材质与贴合度、整体版型挺括度、穿着活动适配性等）方面进行综合评定。</w:t>
            </w:r>
          </w:p>
          <w:p w14:paraId="2E01102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样品的缝制工艺、成型工艺不存在瑕疵，得10分；​</w:t>
            </w:r>
          </w:p>
          <w:p w14:paraId="5A3ECE17">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样品的缝制工艺、成型工艺存在1处瑕疵，得7分；​</w:t>
            </w:r>
          </w:p>
          <w:p w14:paraId="79CA8BF9">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样品的缝制工艺、成型工艺存在2处瑕疵，得4 分；​</w:t>
            </w:r>
          </w:p>
          <w:p w14:paraId="740E7BBC">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样品的缝制工艺、成型工艺存在3处瑕疵，得 1分；​</w:t>
            </w:r>
          </w:p>
          <w:p w14:paraId="45B3A248">
            <w:pPr>
              <w:keepNext w:val="0"/>
              <w:keepLines w:val="0"/>
              <w:pageBreakBefore w:val="0"/>
              <w:widowControl/>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样品的缝制工艺、成型工艺存在4处及以上瑕疵，不得分。</w:t>
            </w:r>
          </w:p>
        </w:tc>
      </w:tr>
      <w:tr w14:paraId="6A00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7" w:type="dxa"/>
            <w:vMerge w:val="continue"/>
            <w:vAlign w:val="center"/>
          </w:tcPr>
          <w:p w14:paraId="056EB341">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1325" w:type="dxa"/>
            <w:vMerge w:val="continue"/>
            <w:vAlign w:val="center"/>
          </w:tcPr>
          <w:p w14:paraId="46FD0790">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p>
        </w:tc>
        <w:tc>
          <w:tcPr>
            <w:tcW w:w="8085" w:type="dxa"/>
            <w:gridSpan w:val="2"/>
            <w:vAlign w:val="center"/>
          </w:tcPr>
          <w:p w14:paraId="2E1B521B">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注：样品各部分内容中所称的 “瑕疵”：​</w:t>
            </w:r>
          </w:p>
          <w:p w14:paraId="25D92D03">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 样衣对应评审维度（如细节做工、色彩搭配等）未达到采购文件明确要求，且缺少必要改进处理（如未按指定款式制作色彩偏差超出可接受范围且无合理说明）；</w:t>
            </w:r>
          </w:p>
          <w:p w14:paraId="5A5B9949">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 样衣相关工艺或设计不符合国标基础要求，存在明显不规范（如针距密度远低于国标最低标准、内衬材质不符合安全类别要求）；​</w:t>
            </w:r>
          </w:p>
          <w:p w14:paraId="4954F14E">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 样衣同一评审维度内存在前后不一致问题（如色彩在不同光线下呈现明显矛盾差异、布料材质不达标）；​</w:t>
            </w:r>
          </w:p>
          <w:p w14:paraId="1341A398">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 样衣存在常识性质量问题（如缝制线路明显跳线漏缝、大烫后仍有无法消除的严重褶皱）；​</w:t>
            </w:r>
          </w:p>
          <w:p w14:paraId="68D64EC9">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 样衣工艺或材质选择不适用会务场景特性（如选用易勾丝面料制作会务旗袍、内衬透气性差不适合长时间穿着、版型过紧影响会务活动开展）；​</w:t>
            </w:r>
          </w:p>
          <w:p w14:paraId="3B0FC2D9">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⑥ 样衣设计或工艺安排在一定程度上是否能充分考虑和适应工会运动服装的具体需求与实际应用场景；​</w:t>
            </w:r>
          </w:p>
          <w:p w14:paraId="7367E613">
            <w:pPr>
              <w:keepNext w:val="0"/>
              <w:keepLines w:val="0"/>
              <w:pageBreakBefore w:val="0"/>
              <w:kinsoku/>
              <w:overflowPunct/>
              <w:topLinePunct w:val="0"/>
              <w:autoSpaceDE/>
              <w:autoSpaceDN/>
              <w:bidi w:val="0"/>
              <w:adjustRightInd/>
              <w:snapToGrid w:val="0"/>
              <w:spacing w:line="312"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⑦ 样衣存在现有服装生产技术条件下可避免却未规避的问题（如明显的裁剪错位、辅料与面料不匹配导致的起皱、可通过常规质检发现却未修正的疵点）。​</w:t>
            </w:r>
          </w:p>
          <w:p w14:paraId="39F5E74C">
            <w:pPr>
              <w:pStyle w:val="6"/>
              <w:rPr>
                <w:rFonts w:hint="eastAsia"/>
                <w:highlight w:val="none"/>
                <w:lang w:val="en-US" w:eastAsia="zh-CN"/>
              </w:rPr>
            </w:pPr>
            <w:r>
              <w:rPr>
                <w:rFonts w:hint="eastAsia" w:ascii="仿宋" w:hAnsi="仿宋" w:eastAsia="仿宋" w:cs="仿宋"/>
                <w:sz w:val="21"/>
                <w:szCs w:val="21"/>
                <w:highlight w:val="none"/>
              </w:rPr>
              <w:t>上述任意一种情形为1处瑕疵。</w:t>
            </w:r>
          </w:p>
        </w:tc>
      </w:tr>
      <w:tr w14:paraId="7196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Align w:val="center"/>
          </w:tcPr>
          <w:p w14:paraId="52C0C228">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25" w:type="dxa"/>
            <w:vAlign w:val="center"/>
          </w:tcPr>
          <w:p w14:paraId="6646C4EF">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63B0D59C">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p>
        </w:tc>
        <w:tc>
          <w:tcPr>
            <w:tcW w:w="1190" w:type="dxa"/>
            <w:vAlign w:val="center"/>
          </w:tcPr>
          <w:p w14:paraId="75202E0F">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14:paraId="74B73C4B">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895" w:type="dxa"/>
            <w:vAlign w:val="center"/>
          </w:tcPr>
          <w:p w14:paraId="127C4A0F">
            <w:pPr>
              <w:keepNext w:val="0"/>
              <w:keepLines w:val="0"/>
              <w:pageBreakBefore w:val="0"/>
              <w:widowControl/>
              <w:kinsoku/>
              <w:wordWrap w:val="0"/>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供应商承接过</w:t>
            </w:r>
            <w:r>
              <w:rPr>
                <w:rFonts w:hint="eastAsia" w:ascii="仿宋" w:hAnsi="仿宋" w:eastAsia="仿宋" w:cs="仿宋"/>
                <w:color w:val="auto"/>
                <w:sz w:val="24"/>
                <w:szCs w:val="24"/>
                <w:highlight w:val="none"/>
                <w:lang w:val="en-US" w:eastAsia="zh-CN"/>
              </w:rPr>
              <w:t>制服类供货业绩的</w:t>
            </w:r>
            <w:r>
              <w:rPr>
                <w:rFonts w:hint="eastAsia" w:ascii="仿宋" w:hAnsi="仿宋" w:eastAsia="仿宋" w:cs="仿宋"/>
                <w:color w:val="auto"/>
                <w:sz w:val="24"/>
                <w:szCs w:val="24"/>
                <w:highlight w:val="none"/>
              </w:rPr>
              <w:t>，每提供一份业绩证明材料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得5分，最高得10分。</w:t>
            </w:r>
          </w:p>
          <w:p w14:paraId="307E19C6">
            <w:pPr>
              <w:keepNext w:val="0"/>
              <w:keepLines w:val="0"/>
              <w:pageBreakBefore w:val="0"/>
              <w:widowControl/>
              <w:kinsoku/>
              <w:wordWrap w:val="0"/>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业绩证明材料须加盖供应商公章</w:t>
            </w:r>
            <w:r>
              <w:rPr>
                <w:rFonts w:hint="eastAsia" w:ascii="仿宋" w:hAnsi="仿宋" w:eastAsia="仿宋" w:cs="仿宋"/>
                <w:color w:val="auto"/>
                <w:sz w:val="24"/>
                <w:szCs w:val="24"/>
                <w:highlight w:val="none"/>
              </w:rPr>
              <w:t>。</w:t>
            </w:r>
          </w:p>
        </w:tc>
      </w:tr>
    </w:tbl>
    <w:p w14:paraId="562D42E5">
      <w:pPr>
        <w:pStyle w:val="9"/>
        <w:pageBreakBefore w:val="0"/>
        <w:kinsoku/>
        <w:overflowPunct/>
        <w:topLinePunct w:val="0"/>
        <w:bidi w:val="0"/>
        <w:snapToGrid w:val="0"/>
        <w:spacing w:before="0" w:after="0" w:line="312"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二、评审标准</w:t>
      </w:r>
      <w:bookmarkEnd w:id="73"/>
      <w:bookmarkEnd w:id="74"/>
      <w:bookmarkEnd w:id="75"/>
    </w:p>
    <w:bookmarkEnd w:id="72"/>
    <w:p w14:paraId="590EF448">
      <w:pPr>
        <w:pageBreakBefore w:val="0"/>
        <w:kinsoku/>
        <w:overflowPunct/>
        <w:topLinePunct w:val="0"/>
        <w:bidi w:val="0"/>
        <w:snapToGrid w:val="0"/>
        <w:spacing w:line="312" w:lineRule="auto"/>
        <w:ind w:firstLine="465"/>
        <w:rPr>
          <w:rFonts w:hint="eastAsia" w:ascii="仿宋" w:hAnsi="仿宋" w:eastAsia="仿宋" w:cs="仿宋"/>
          <w:color w:val="auto"/>
          <w:highlight w:val="none"/>
        </w:rPr>
      </w:pPr>
      <w:bookmarkStart w:id="76" w:name="_Toc17078"/>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应当将其作为无效投标处理。</w:t>
      </w:r>
    </w:p>
    <w:p w14:paraId="37EE87C0">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77" w:name="_Toc27804"/>
      <w:r>
        <w:rPr>
          <w:rFonts w:hint="eastAsia" w:ascii="仿宋" w:hAnsi="仿宋" w:eastAsia="仿宋" w:cs="仿宋"/>
          <w:color w:val="auto"/>
          <w:sz w:val="24"/>
          <w:szCs w:val="24"/>
          <w:highlight w:val="none"/>
        </w:rPr>
        <w:t>三、无效响应</w:t>
      </w:r>
      <w:bookmarkEnd w:id="76"/>
      <w:bookmarkEnd w:id="77"/>
    </w:p>
    <w:p w14:paraId="3A60D9AB">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bookmarkStart w:id="78" w:name="_Toc22128"/>
      <w:bookmarkStart w:id="79" w:name="_Toc27033"/>
      <w:bookmarkStart w:id="80" w:name="_Toc4550"/>
      <w:bookmarkStart w:id="81" w:name="_Toc9808"/>
      <w:r>
        <w:rPr>
          <w:rFonts w:hint="eastAsia" w:ascii="仿宋" w:hAnsi="仿宋" w:eastAsia="仿宋" w:cs="仿宋"/>
          <w:color w:val="auto"/>
          <w:sz w:val="24"/>
          <w:szCs w:val="24"/>
          <w:highlight w:val="none"/>
        </w:rPr>
        <w:t>供应商发生以下条款情况之一者，其响应文件作无效响应处理：</w:t>
      </w:r>
    </w:p>
    <w:p w14:paraId="626D33F6">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（一）供应商未通过资格性检查或响应文件未通过符合性检查的；</w:t>
      </w:r>
    </w:p>
    <w:p w14:paraId="20D69001">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（二）供应商所提交的响应文件不按第七篇“响应文件格式要求”规定签字、盖章；</w:t>
      </w:r>
    </w:p>
    <w:p w14:paraId="0038BBDD">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（三）供应商的报价超过采购预算或最高限价的；</w:t>
      </w:r>
    </w:p>
    <w:p w14:paraId="2F263CCC">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（四）单位负责人为同一人或者存在直接控股、管理关系的不同供应商，参加同一合同项下的政府采购活动的；</w:t>
      </w:r>
    </w:p>
    <w:p w14:paraId="734DF481">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（五）为采购项目提供整体设计、规范编制或者项目管理、监理、检测等服务的供应商再参加本项目的采购活动的；</w:t>
      </w:r>
    </w:p>
    <w:p w14:paraId="7A800F23">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（六）供应商响应文件内容有与国家现行法律法规相违背的内容，或附有采购人无法接受的条件；</w:t>
      </w:r>
    </w:p>
    <w:p w14:paraId="5BFD45DC">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（七）同一合同项（分包）下的货物，制造商参与</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的，再委托代理商参与</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的；</w:t>
      </w:r>
    </w:p>
    <w:p w14:paraId="061995DA">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（八）供应商以联合体形式参与</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的；</w:t>
      </w:r>
    </w:p>
    <w:p w14:paraId="74E4AA09">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（九）供应商进行合同分包的；</w:t>
      </w:r>
    </w:p>
    <w:p w14:paraId="6C6DD966">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（十）法律法规和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规定的其他无效响应情形；</w:t>
      </w:r>
    </w:p>
    <w:p w14:paraId="4E8349FF">
      <w:pPr>
        <w:pageBreakBefore w:val="0"/>
        <w:tabs>
          <w:tab w:val="left" w:pos="703"/>
        </w:tabs>
        <w:kinsoku/>
        <w:overflowPunct/>
        <w:topLinePunct w:val="0"/>
        <w:bidi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1D6EED47">
      <w:pPr>
        <w:pStyle w:val="9"/>
        <w:pageBreakBefore w:val="0"/>
        <w:kinsoku/>
        <w:overflowPunct/>
        <w:topLinePunct w:val="0"/>
        <w:bidi w:val="0"/>
        <w:snapToGrid w:val="0"/>
        <w:spacing w:before="0" w:after="0" w:line="312" w:lineRule="auto"/>
        <w:rPr>
          <w:rFonts w:hint="eastAsia" w:ascii="仿宋" w:hAnsi="仿宋" w:eastAsia="仿宋" w:cs="仿宋"/>
          <w:color w:val="auto"/>
          <w:sz w:val="28"/>
          <w:szCs w:val="28"/>
          <w:highlight w:val="none"/>
        </w:rPr>
      </w:pPr>
      <w:bookmarkStart w:id="82" w:name="_Toc7819"/>
      <w:r>
        <w:rPr>
          <w:rFonts w:hint="eastAsia" w:ascii="仿宋" w:hAnsi="仿宋" w:eastAsia="仿宋" w:cs="仿宋"/>
          <w:color w:val="auto"/>
          <w:sz w:val="24"/>
          <w:szCs w:val="24"/>
          <w:highlight w:val="none"/>
        </w:rPr>
        <w:t>四、采购终止</w:t>
      </w:r>
      <w:bookmarkEnd w:id="78"/>
      <w:bookmarkEnd w:id="79"/>
      <w:bookmarkEnd w:id="80"/>
      <w:bookmarkEnd w:id="81"/>
      <w:bookmarkEnd w:id="82"/>
    </w:p>
    <w:p w14:paraId="5FA23D4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出现下列情形之一的，采购人或者采购代理机构应当终止本次采购活动，发布项目终止公告并说明原因，除下列第（三）种情形外，重新开展采购活动：</w:t>
      </w:r>
    </w:p>
    <w:p w14:paraId="061D2346">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（一）因情况变化，不再符合规定的采购方式适用情形的；</w:t>
      </w:r>
    </w:p>
    <w:p w14:paraId="4EDEBB6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22915617">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（三）因重大变故，采购任务取消的；</w:t>
      </w:r>
    </w:p>
    <w:p w14:paraId="625C2502">
      <w:pPr>
        <w:pageBreakBefore w:val="0"/>
        <w:kinsoku/>
        <w:overflowPunct/>
        <w:topLinePunct w:val="0"/>
        <w:bidi w:val="0"/>
        <w:snapToGrid w:val="0"/>
        <w:spacing w:line="312" w:lineRule="auto"/>
        <w:ind w:firstLine="480" w:firstLineChars="200"/>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（四）在采购过程中符合要求的供应商或者报价未超过采购预算的供应商不足3家的。</w:t>
      </w:r>
    </w:p>
    <w:p w14:paraId="6AA50615">
      <w:pPr>
        <w:pStyle w:val="8"/>
        <w:pageBreakBefore w:val="0"/>
        <w:kinsoku/>
        <w:overflowPunct/>
        <w:topLinePunct w:val="0"/>
        <w:bidi w:val="0"/>
        <w:snapToGrid w:val="0"/>
        <w:spacing w:before="0" w:after="0" w:line="312" w:lineRule="auto"/>
        <w:jc w:val="center"/>
        <w:rPr>
          <w:rFonts w:hint="eastAsia" w:ascii="仿宋" w:hAnsi="仿宋" w:eastAsia="仿宋" w:cs="仿宋"/>
          <w:color w:val="auto"/>
          <w:sz w:val="40"/>
          <w:szCs w:val="32"/>
          <w:highlight w:val="none"/>
        </w:rPr>
      </w:pPr>
      <w:bookmarkStart w:id="83" w:name="_Toc21783690"/>
      <w:r>
        <w:rPr>
          <w:rFonts w:hint="eastAsia" w:ascii="仿宋" w:hAnsi="仿宋" w:eastAsia="仿宋" w:cs="仿宋"/>
          <w:color w:val="auto"/>
          <w:sz w:val="40"/>
          <w:szCs w:val="32"/>
          <w:highlight w:val="none"/>
        </w:rPr>
        <w:br w:type="page"/>
      </w:r>
      <w:bookmarkStart w:id="84" w:name="_Toc13611"/>
      <w:r>
        <w:rPr>
          <w:rFonts w:hint="eastAsia" w:ascii="仿宋" w:hAnsi="仿宋" w:eastAsia="仿宋" w:cs="仿宋"/>
          <w:color w:val="auto"/>
          <w:sz w:val="36"/>
          <w:szCs w:val="28"/>
          <w:highlight w:val="none"/>
        </w:rPr>
        <w:t>第五篇  供应商须知</w:t>
      </w:r>
      <w:bookmarkEnd w:id="83"/>
      <w:bookmarkEnd w:id="84"/>
    </w:p>
    <w:p w14:paraId="5CDF752D">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85" w:name="_Toc23222"/>
      <w:bookmarkStart w:id="86" w:name="_Toc342913389"/>
      <w:bookmarkStart w:id="87" w:name="_Toc53751346"/>
      <w:bookmarkStart w:id="88" w:name="_Toc952"/>
      <w:bookmarkStart w:id="89" w:name="_Toc507411003"/>
      <w:bookmarkStart w:id="90" w:name="_Toc8010435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费用</w:t>
      </w:r>
      <w:bookmarkEnd w:id="85"/>
      <w:bookmarkEnd w:id="86"/>
      <w:bookmarkEnd w:id="87"/>
      <w:bookmarkEnd w:id="88"/>
    </w:p>
    <w:p w14:paraId="646D711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的供应商应承担其编制响应文件与递交响应文件所涉及的一切费用，不论结果如何，采购人和采购代理机构在任何情况下无义务也无责任承担这些费用。</w:t>
      </w:r>
    </w:p>
    <w:p w14:paraId="51A9247C">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lang w:eastAsia="zh-CN"/>
        </w:rPr>
      </w:pPr>
      <w:bookmarkStart w:id="91" w:name="_Toc342913391"/>
      <w:bookmarkStart w:id="92" w:name="_Toc8641"/>
      <w:bookmarkStart w:id="93" w:name="_Toc53751347"/>
      <w:bookmarkStart w:id="94" w:name="_Toc4017"/>
      <w:r>
        <w:rPr>
          <w:rFonts w:hint="eastAsia" w:ascii="仿宋" w:hAnsi="仿宋" w:eastAsia="仿宋" w:cs="仿宋"/>
          <w:color w:val="auto"/>
          <w:sz w:val="24"/>
          <w:szCs w:val="24"/>
          <w:highlight w:val="none"/>
        </w:rPr>
        <w:t>二、</w:t>
      </w:r>
      <w:bookmarkEnd w:id="91"/>
      <w:bookmarkEnd w:id="92"/>
      <w:bookmarkEnd w:id="93"/>
      <w:bookmarkEnd w:id="94"/>
      <w:r>
        <w:rPr>
          <w:rFonts w:hint="eastAsia" w:ascii="仿宋" w:hAnsi="仿宋" w:eastAsia="仿宋" w:cs="仿宋"/>
          <w:color w:val="auto"/>
          <w:sz w:val="24"/>
          <w:szCs w:val="24"/>
          <w:highlight w:val="none"/>
          <w:lang w:eastAsia="zh-CN"/>
        </w:rPr>
        <w:t>采购文件</w:t>
      </w:r>
    </w:p>
    <w:p w14:paraId="305F1644">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由采购邀请书、项目技术规格、数量及质量要求、项目商务需求、评审程序及方法、评审标准、无效响应条款和采购终止、供应商须知</w:t>
      </w:r>
      <w:r>
        <w:rPr>
          <w:rFonts w:hint="eastAsia" w:ascii="仿宋" w:hAnsi="仿宋" w:eastAsia="仿宋" w:cs="仿宋"/>
          <w:bCs/>
          <w:color w:val="auto"/>
          <w:sz w:val="24"/>
          <w:szCs w:val="24"/>
          <w:highlight w:val="none"/>
        </w:rPr>
        <w:t>、合同草案条款、</w:t>
      </w:r>
      <w:r>
        <w:rPr>
          <w:rFonts w:hint="eastAsia" w:ascii="仿宋" w:hAnsi="仿宋" w:eastAsia="仿宋" w:cs="仿宋"/>
          <w:color w:val="auto"/>
          <w:sz w:val="24"/>
          <w:szCs w:val="24"/>
          <w:highlight w:val="none"/>
        </w:rPr>
        <w:t>响应文件编制要求七部分组成。</w:t>
      </w:r>
    </w:p>
    <w:p w14:paraId="2E0F538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不可分割的部分。</w:t>
      </w:r>
    </w:p>
    <w:p w14:paraId="5228969D">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bookmarkStart w:id="95" w:name="_Toc318159349"/>
      <w:bookmarkStart w:id="96" w:name="_Toc318159160"/>
      <w:bookmarkStart w:id="97" w:name="_Toc318166429"/>
      <w:bookmarkStart w:id="98" w:name="_Toc318159780"/>
      <w:r>
        <w:rPr>
          <w:rFonts w:hint="eastAsia" w:ascii="仿宋" w:hAnsi="仿宋" w:eastAsia="仿宋" w:cs="仿宋"/>
          <w:color w:val="auto"/>
          <w:sz w:val="24"/>
          <w:szCs w:val="24"/>
          <w:highlight w:val="none"/>
        </w:rPr>
        <w:t>（三）评审的依据为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和响应文件（含有效的书面承诺）。评审委员会判断响应文件对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的响应，仅基于响应文件本身而不靠外部证据。</w:t>
      </w:r>
    </w:p>
    <w:bookmarkEnd w:id="95"/>
    <w:bookmarkEnd w:id="96"/>
    <w:bookmarkEnd w:id="97"/>
    <w:bookmarkEnd w:id="98"/>
    <w:p w14:paraId="5615BE9E">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99" w:name="_Toc2508"/>
      <w:bookmarkStart w:id="100" w:name="_Toc179714297"/>
      <w:bookmarkStart w:id="101" w:name="_Toc27179"/>
      <w:bookmarkStart w:id="102" w:name="_Toc102227318"/>
      <w:bookmarkStart w:id="103" w:name="_Toc53751348"/>
      <w:bookmarkStart w:id="104" w:name="_Toc342913392"/>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要求</w:t>
      </w:r>
      <w:bookmarkEnd w:id="99"/>
      <w:bookmarkEnd w:id="100"/>
      <w:bookmarkEnd w:id="101"/>
      <w:bookmarkEnd w:id="102"/>
      <w:bookmarkEnd w:id="103"/>
      <w:bookmarkEnd w:id="104"/>
    </w:p>
    <w:p w14:paraId="4591C9DC">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bookmarkStart w:id="105" w:name="_Toc7867"/>
      <w:bookmarkStart w:id="106" w:name="_Toc11666"/>
      <w:bookmarkStart w:id="107" w:name="_Toc5375134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响应文件</w:t>
      </w:r>
    </w:p>
    <w:p w14:paraId="1F651AB5">
      <w:pPr>
        <w:pageBreakBefore w:val="0"/>
        <w:kinsoku/>
        <w:overflowPunct/>
        <w:topLinePunct w:val="0"/>
        <w:autoSpaceDE/>
        <w:autoSpaceDN/>
        <w:bidi w:val="0"/>
        <w:adjustRightInd/>
        <w:snapToGrid w:val="0"/>
        <w:spacing w:line="312"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投标供应商须在规定时间内完成线上平台的响应文件提交，否则视为无效响应。</w:t>
      </w:r>
    </w:p>
    <w:p w14:paraId="572F7834">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供应商应当按照</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的要求编制响应文件，并对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提出的要求和条件作出实质性响应，响应文件应编制完整的页码、目录。</w:t>
      </w:r>
    </w:p>
    <w:p w14:paraId="18B0952D">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1、响应文件组成</w:t>
      </w:r>
    </w:p>
    <w:p w14:paraId="317CC166">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53B56797">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2BBD1A3">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本项目不接受以联合体形式参与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466C49F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有效期</w:t>
      </w:r>
    </w:p>
    <w:p w14:paraId="72962DCF">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及有关承诺文件有效期为提交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截止时间起90天。</w:t>
      </w:r>
    </w:p>
    <w:p w14:paraId="7BE3DAF4">
      <w:pPr>
        <w:pageBreakBefore w:val="0"/>
        <w:kinsoku/>
        <w:overflowPunct/>
        <w:topLinePunct w:val="0"/>
        <w:autoSpaceDE/>
        <w:autoSpaceDN/>
        <w:bidi w:val="0"/>
        <w:adjustRightInd/>
        <w:snapToGrid w:val="0"/>
        <w:spacing w:line="312"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）报价要求</w:t>
      </w:r>
    </w:p>
    <w:p w14:paraId="1D412F2B">
      <w:pPr>
        <w:pageBreakBefore w:val="0"/>
        <w:kinsoku/>
        <w:overflowPunct/>
        <w:topLinePunct w:val="0"/>
        <w:autoSpaceDE/>
        <w:autoSpaceDN/>
        <w:bidi w:val="0"/>
        <w:adjustRightInd/>
        <w:snapToGrid w:val="0"/>
        <w:spacing w:line="312" w:lineRule="auto"/>
        <w:ind w:firstLine="470" w:firstLineChars="196"/>
        <w:jc w:val="left"/>
        <w:rPr>
          <w:rFonts w:hint="eastAsia" w:ascii="仿宋" w:hAnsi="仿宋" w:eastAsia="仿宋" w:cs="仿宋"/>
          <w:sz w:val="24"/>
          <w:highlight w:val="none"/>
        </w:rPr>
      </w:pPr>
      <w:r>
        <w:rPr>
          <w:rFonts w:hint="eastAsia" w:ascii="仿宋" w:hAnsi="仿宋" w:eastAsia="仿宋" w:cs="仿宋"/>
          <w:bCs/>
          <w:sz w:val="24"/>
          <w:highlight w:val="none"/>
        </w:rPr>
        <w:t>1.供应商应严格按照“</w:t>
      </w:r>
      <w:r>
        <w:rPr>
          <w:rFonts w:hint="eastAsia" w:ascii="仿宋" w:hAnsi="仿宋" w:eastAsia="仿宋" w:cs="仿宋"/>
          <w:bCs/>
          <w:sz w:val="24"/>
          <w:highlight w:val="none"/>
          <w:lang w:eastAsia="zh-CN"/>
        </w:rPr>
        <w:t>响应文件</w:t>
      </w:r>
      <w:r>
        <w:rPr>
          <w:rFonts w:hint="eastAsia" w:ascii="仿宋" w:hAnsi="仿宋" w:eastAsia="仿宋" w:cs="仿宋"/>
          <w:bCs/>
          <w:sz w:val="24"/>
          <w:highlight w:val="none"/>
        </w:rPr>
        <w:t>格式”中“</w:t>
      </w:r>
      <w:r>
        <w:rPr>
          <w:rFonts w:hint="eastAsia" w:ascii="仿宋" w:hAnsi="仿宋" w:eastAsia="仿宋" w:cs="仿宋"/>
          <w:bCs/>
          <w:sz w:val="24"/>
          <w:highlight w:val="none"/>
          <w:lang w:val="en-US" w:eastAsia="zh-CN"/>
        </w:rPr>
        <w:t>报价函</w:t>
      </w:r>
      <w:r>
        <w:rPr>
          <w:rFonts w:hint="eastAsia" w:ascii="仿宋" w:hAnsi="仿宋" w:eastAsia="仿宋" w:cs="仿宋"/>
          <w:bCs/>
          <w:sz w:val="24"/>
          <w:highlight w:val="none"/>
        </w:rPr>
        <w:t>”</w:t>
      </w:r>
      <w:r>
        <w:rPr>
          <w:rFonts w:hint="eastAsia" w:ascii="仿宋" w:hAnsi="仿宋" w:eastAsia="仿宋" w:cs="仿宋"/>
          <w:sz w:val="24"/>
          <w:highlight w:val="none"/>
        </w:rPr>
        <w:t>的格式填写报价。</w:t>
      </w:r>
    </w:p>
    <w:p w14:paraId="26D74252">
      <w:pPr>
        <w:pageBreakBefore w:val="0"/>
        <w:kinsoku/>
        <w:overflowPunct/>
        <w:topLinePunct w:val="0"/>
        <w:autoSpaceDE/>
        <w:autoSpaceDN/>
        <w:bidi w:val="0"/>
        <w:adjustRightInd/>
        <w:snapToGrid w:val="0"/>
        <w:spacing w:line="312" w:lineRule="auto"/>
        <w:ind w:left="3" w:leftChars="1"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2.供应商的报价为一次性报价，即在投标有效期内投标价格固定不变。</w:t>
      </w:r>
    </w:p>
    <w:p w14:paraId="748A05A7">
      <w:pPr>
        <w:pageBreakBefore w:val="0"/>
        <w:kinsoku/>
        <w:overflowPunct/>
        <w:topLinePunct w:val="0"/>
        <w:autoSpaceDE/>
        <w:autoSpaceDN/>
        <w:bidi w:val="0"/>
        <w:adjustRightInd/>
        <w:snapToGrid w:val="0"/>
        <w:spacing w:line="312" w:lineRule="auto"/>
        <w:ind w:left="3" w:leftChars="1"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3.本项目只接受一个投标报价，有选择的或有条件的报价将不予接受。</w:t>
      </w:r>
    </w:p>
    <w:p w14:paraId="406A01BA">
      <w:pPr>
        <w:pageBreakBefore w:val="0"/>
        <w:kinsoku/>
        <w:overflowPunct/>
        <w:topLinePunct w:val="0"/>
        <w:autoSpaceDE/>
        <w:autoSpaceDN/>
        <w:bidi w:val="0"/>
        <w:adjustRightInd/>
        <w:snapToGrid w:val="0"/>
        <w:spacing w:line="312"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）修正错误</w:t>
      </w:r>
    </w:p>
    <w:p w14:paraId="34D0455B">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若响应文件出现计算或表达上的错误，修正错误的原则如下：</w:t>
      </w:r>
    </w:p>
    <w:p w14:paraId="23AAACA2">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1.响应文件中报价函的内容与响应文件中相应内容不一致的，以报价函为准；</w:t>
      </w:r>
    </w:p>
    <w:p w14:paraId="1EE1FA13">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48CE1EA3">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3.单价金额小数点或者百分比有明显错位的，以报价函总价为准，并修改单价；</w:t>
      </w:r>
    </w:p>
    <w:p w14:paraId="61F1E948">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6C4A9371">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5.若供应商所上传的响应文件中报价函价格与</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sz w:val="24"/>
          <w:szCs w:val="24"/>
          <w:highlight w:val="none"/>
        </w:rPr>
        <w:t>平台网上竞采所填报的价格不一致，以</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sz w:val="24"/>
          <w:szCs w:val="24"/>
          <w:highlight w:val="none"/>
        </w:rPr>
        <w:t>平台网上竞采为准。</w:t>
      </w:r>
    </w:p>
    <w:p w14:paraId="60AE5955">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50639F15">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（六）提交纸质响应文件的份数和签署</w:t>
      </w:r>
    </w:p>
    <w:p w14:paraId="43535A3F">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1.供应商须在线上上传盖章后的响应文件电子文档一份。</w:t>
      </w:r>
    </w:p>
    <w:p w14:paraId="11374857">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须在现场递交纸质响应文件一式三份，其中正本一份，副本两份，副本可为正本的复印件。响应文件电子文档内容应与纸质文件正本、副本一致，若供应商的线上报价与纸质响应文件报价函中的报价不一致，按废标处理。</w:t>
      </w:r>
    </w:p>
    <w:p w14:paraId="5A860411">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（七）响应文件的递交</w:t>
      </w:r>
    </w:p>
    <w:p w14:paraId="067F6B51">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响应文件的正本、副本均应密封送达投标地点，应在封套上注明项目名称、供应商名称。若正本、副本分别进行密封的，还应在封套上注明“正本”、“副本”字样。</w:t>
      </w:r>
    </w:p>
    <w:p w14:paraId="77BE848B">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（八）供应商参与人员</w:t>
      </w:r>
    </w:p>
    <w:p w14:paraId="6D053336">
      <w:pPr>
        <w:pageBreakBefore w:val="0"/>
        <w:widowControl w:val="0"/>
        <w:shd w:val="clea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各个供应商可派1名代表参与投标，应为法定代表人或具有法定代表人授权委托书的授权代表。</w:t>
      </w:r>
    </w:p>
    <w:p w14:paraId="69094CB5">
      <w:pPr>
        <w:pageBreakBefore w:val="0"/>
        <w:widowControl w:val="0"/>
        <w:numPr>
          <w:ilvl w:val="0"/>
          <w:numId w:val="0"/>
        </w:numPr>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（九）</w:t>
      </w:r>
      <w:r>
        <w:rPr>
          <w:rFonts w:hint="eastAsia" w:ascii="仿宋" w:hAnsi="仿宋" w:eastAsia="仿宋" w:cs="仿宋"/>
          <w:color w:val="auto"/>
          <w:sz w:val="24"/>
          <w:szCs w:val="24"/>
          <w:highlight w:val="none"/>
        </w:rPr>
        <w:t>响应文件语言：简体中文</w:t>
      </w:r>
    </w:p>
    <w:p w14:paraId="60333C3D">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）无效响应</w:t>
      </w:r>
    </w:p>
    <w:p w14:paraId="2AA97204">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0C34C9C5">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70A82A11">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625E9EC6">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5A5337F3">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2AD710EF">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0FDFC7BF">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322B29A6">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规定的其他无效情形。</w:t>
      </w:r>
      <w:bookmarkStart w:id="108" w:name="_Toc492721019"/>
      <w:bookmarkStart w:id="109" w:name="_Toc493506302"/>
    </w:p>
    <w:p w14:paraId="029BA663">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lang w:eastAsia="zh-CN"/>
        </w:rPr>
        <w:t>）废标条款</w:t>
      </w:r>
      <w:bookmarkEnd w:id="108"/>
      <w:bookmarkEnd w:id="109"/>
    </w:p>
    <w:p w14:paraId="333AFCE8">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57674CB5">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49B89C2D">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54E20824">
      <w:pPr>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highlight w:val="none"/>
        </w:rPr>
      </w:pPr>
      <w:r>
        <w:rPr>
          <w:rFonts w:hint="eastAsia" w:ascii="仿宋" w:hAnsi="仿宋" w:eastAsia="仿宋" w:cs="仿宋"/>
          <w:color w:val="auto"/>
          <w:sz w:val="24"/>
          <w:szCs w:val="24"/>
          <w:highlight w:val="none"/>
          <w:lang w:eastAsia="zh-CN"/>
        </w:rPr>
        <w:t>废标后，除采购任务取消情形外，应当重新组织采购。</w:t>
      </w:r>
    </w:p>
    <w:p w14:paraId="3D13C935">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四、成交供应商的确认和变更</w:t>
      </w:r>
      <w:bookmarkEnd w:id="105"/>
      <w:bookmarkEnd w:id="106"/>
      <w:bookmarkEnd w:id="107"/>
    </w:p>
    <w:p w14:paraId="15AE6A1B">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3F284FF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委员会直接确定成交供应商。采购人逾期未确定成交供应商且不提出异议的，视为确定评审报告提出的排序第一的供应商为成交供应商。</w:t>
      </w:r>
    </w:p>
    <w:p w14:paraId="260A1353">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075A0645">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bookmarkStart w:id="110" w:name="_Toc102227321"/>
      <w:bookmarkStart w:id="111" w:name="_Toc342913395"/>
      <w:r>
        <w:rPr>
          <w:rFonts w:hint="eastAsia" w:ascii="仿宋" w:hAnsi="仿宋" w:eastAsia="仿宋" w:cs="仿宋"/>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5690E0A3">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112" w:name="_Toc13375"/>
      <w:bookmarkStart w:id="113" w:name="_Toc14208"/>
      <w:bookmarkStart w:id="114" w:name="_Toc53751350"/>
      <w:r>
        <w:rPr>
          <w:rFonts w:hint="eastAsia" w:ascii="仿宋" w:hAnsi="仿宋" w:eastAsia="仿宋" w:cs="仿宋"/>
          <w:color w:val="auto"/>
          <w:sz w:val="24"/>
          <w:szCs w:val="24"/>
          <w:highlight w:val="none"/>
        </w:rPr>
        <w:t>五、成交通知</w:t>
      </w:r>
      <w:bookmarkEnd w:id="110"/>
      <w:bookmarkEnd w:id="111"/>
      <w:bookmarkEnd w:id="112"/>
      <w:bookmarkEnd w:id="113"/>
      <w:bookmarkEnd w:id="114"/>
    </w:p>
    <w:p w14:paraId="03652791">
      <w:pPr>
        <w:pageBreakBefore w:val="0"/>
        <w:kinsoku/>
        <w:overflowPunct/>
        <w:topLinePunct w:val="0"/>
        <w:bidi w:val="0"/>
        <w:spacing w:line="312" w:lineRule="auto"/>
        <w:ind w:firstLine="480"/>
        <w:rPr>
          <w:rFonts w:hint="eastAsia" w:ascii="仿宋" w:hAnsi="仿宋" w:eastAsia="仿宋" w:cs="仿宋"/>
          <w:color w:val="auto"/>
          <w:sz w:val="24"/>
          <w:highlight w:val="none"/>
        </w:rPr>
      </w:pPr>
      <w:bookmarkStart w:id="115" w:name="_Toc638"/>
      <w:bookmarkStart w:id="116" w:name="_Toc53751351"/>
      <w:r>
        <w:rPr>
          <w:rFonts w:hint="eastAsia" w:ascii="仿宋" w:hAnsi="仿宋" w:eastAsia="仿宋" w:cs="仿宋"/>
          <w:color w:val="auto"/>
          <w:sz w:val="24"/>
          <w:highlight w:val="none"/>
        </w:rPr>
        <w:t>（一）成交供应商确定后，采购代理机构将在“行采家”网上发布成交结果公示。</w:t>
      </w:r>
    </w:p>
    <w:p w14:paraId="0F0A76D6">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（二）公示期结束没有收到在本次</w:t>
      </w:r>
      <w:r>
        <w:rPr>
          <w:rFonts w:hint="eastAsia" w:ascii="仿宋" w:hAnsi="仿宋" w:eastAsia="仿宋" w:cs="仿宋"/>
          <w:color w:val="auto"/>
          <w:sz w:val="24"/>
          <w:highlight w:val="none"/>
          <w:lang w:eastAsia="zh-CN"/>
        </w:rPr>
        <w:t>采购过程</w:t>
      </w:r>
      <w:r>
        <w:rPr>
          <w:rFonts w:hint="eastAsia" w:ascii="仿宋" w:hAnsi="仿宋" w:eastAsia="仿宋" w:cs="仿宋"/>
          <w:color w:val="auto"/>
          <w:sz w:val="24"/>
          <w:highlight w:val="none"/>
        </w:rPr>
        <w:t>中有违法行为投诉或相关质疑、或投诉质疑不成立的，采购人将按规定发出成交通知书。</w:t>
      </w:r>
    </w:p>
    <w:p w14:paraId="3B7E74C4">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（三）《成交通知书》将作为签订合同的依据。</w:t>
      </w:r>
    </w:p>
    <w:p w14:paraId="731C5BB2">
      <w:pPr>
        <w:pageBreakBefore w:val="0"/>
        <w:kinsoku/>
        <w:overflowPunct/>
        <w:topLinePunct w:val="0"/>
        <w:bidi w:val="0"/>
        <w:spacing w:line="312" w:lineRule="auto"/>
        <w:ind w:firstLine="480"/>
        <w:rPr>
          <w:rFonts w:hint="eastAsia" w:ascii="仿宋" w:hAnsi="仿宋" w:eastAsia="仿宋" w:cs="仿宋"/>
          <w:color w:val="auto"/>
          <w:highlight w:val="none"/>
        </w:rPr>
      </w:pPr>
      <w:r>
        <w:rPr>
          <w:rFonts w:hint="eastAsia" w:ascii="仿宋" w:hAnsi="仿宋" w:eastAsia="仿宋" w:cs="仿宋"/>
          <w:color w:val="auto"/>
          <w:sz w:val="24"/>
          <w:highlight w:val="none"/>
        </w:rPr>
        <w:t>（四）如有供应商对成交结果提出质疑的，在质疑处理完毕后发出成交通知书。</w:t>
      </w:r>
    </w:p>
    <w:p w14:paraId="05BC7011">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117" w:name="_Toc31020"/>
      <w:r>
        <w:rPr>
          <w:rFonts w:hint="eastAsia" w:ascii="仿宋" w:hAnsi="仿宋" w:eastAsia="仿宋" w:cs="仿宋"/>
          <w:color w:val="auto"/>
          <w:sz w:val="24"/>
          <w:szCs w:val="24"/>
          <w:highlight w:val="none"/>
        </w:rPr>
        <w:t>六、关于质疑和投诉</w:t>
      </w:r>
      <w:bookmarkEnd w:id="115"/>
      <w:bookmarkEnd w:id="116"/>
      <w:bookmarkEnd w:id="117"/>
    </w:p>
    <w:p w14:paraId="070DAF85">
      <w:pPr>
        <w:pageBreakBefore w:val="0"/>
        <w:kinsoku/>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（一）质疑内容、时限：供应商对成交结果有异议的，应当在成交结果公示期内以书面形式向采购人提出质疑，并附相关证明材料。</w:t>
      </w:r>
    </w:p>
    <w:p w14:paraId="5BEF0B5F">
      <w:pPr>
        <w:pageBreakBefore w:val="0"/>
        <w:kinsoku/>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（二）质疑答复</w:t>
      </w:r>
    </w:p>
    <w:p w14:paraId="1DE6A7DE">
      <w:pPr>
        <w:pageBreakBefore w:val="0"/>
        <w:kinsoku/>
        <w:overflowPunct/>
        <w:topLinePunct w:val="0"/>
        <w:bidi w:val="0"/>
        <w:spacing w:line="312" w:lineRule="auto"/>
        <w:ind w:left="545" w:leftChars="170" w:hanging="69" w:hangingChars="2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采购人在收到供应商书面质疑后七个工作日内，对质疑内容作出答复。</w:t>
      </w:r>
    </w:p>
    <w:p w14:paraId="5505DE1D">
      <w:pPr>
        <w:pageBreakBefore w:val="0"/>
        <w:kinsoku/>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（三）不予受理或暂缓受理</w:t>
      </w:r>
    </w:p>
    <w:p w14:paraId="22491D97">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1.质疑有下列情形之一的，不予受理：</w:t>
      </w:r>
    </w:p>
    <w:p w14:paraId="6B65590F">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1.1质疑供应商参与了</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活动后，再对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内容提出质疑的；</w:t>
      </w:r>
    </w:p>
    <w:p w14:paraId="3D2CB2F5">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1.2质疑超过有效期的；</w:t>
      </w:r>
    </w:p>
    <w:p w14:paraId="7D9D8328">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1.3对同一事项重复质疑的。</w:t>
      </w:r>
    </w:p>
    <w:p w14:paraId="786050AF">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2.质疑有下列情形之一的，应暂不受理并告知供应商补充材料。供应商及时补充材料的，应予受理；逾期未补充的，不予受理：</w:t>
      </w:r>
    </w:p>
    <w:p w14:paraId="36B2C847">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2.1质疑书格式和内容不符合国家或重庆市相关规定的；</w:t>
      </w:r>
    </w:p>
    <w:p w14:paraId="29C86588">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2.2质疑书提供的依据或证明材料不全的；</w:t>
      </w:r>
    </w:p>
    <w:p w14:paraId="772DD3E0">
      <w:pPr>
        <w:pageBreakBefore w:val="0"/>
        <w:kinsoku/>
        <w:overflowPunct/>
        <w:topLinePunct w:val="0"/>
        <w:bidi w:val="0"/>
        <w:spacing w:line="312"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2.3质疑书副本数量不足的。</w:t>
      </w:r>
    </w:p>
    <w:p w14:paraId="622F4755">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bookmarkStart w:id="118" w:name="_Toc21179"/>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rPr>
        <w:t>采购代理服务费</w:t>
      </w:r>
      <w:bookmarkEnd w:id="89"/>
      <w:bookmarkEnd w:id="90"/>
      <w:bookmarkEnd w:id="118"/>
    </w:p>
    <w:p w14:paraId="0516064F">
      <w:pPr>
        <w:pStyle w:val="9"/>
        <w:pageBreakBefore w:val="0"/>
        <w:kinsoku/>
        <w:overflowPunct/>
        <w:topLinePunct w:val="0"/>
        <w:bidi w:val="0"/>
        <w:snapToGrid w:val="0"/>
        <w:spacing w:before="0" w:after="0" w:line="312" w:lineRule="auto"/>
        <w:ind w:firstLine="482" w:firstLineChars="200"/>
        <w:rPr>
          <w:rFonts w:hint="eastAsia" w:ascii="仿宋" w:hAnsi="仿宋" w:eastAsia="仿宋" w:cs="仿宋"/>
          <w:color w:val="auto"/>
          <w:sz w:val="24"/>
          <w:szCs w:val="24"/>
          <w:highlight w:val="none"/>
          <w:lang w:val="en-US" w:eastAsia="zh-CN"/>
        </w:rPr>
      </w:pPr>
      <w:bookmarkStart w:id="119" w:name="_Toc21783697"/>
      <w:bookmarkStart w:id="120" w:name="_Toc29560"/>
      <w:r>
        <w:rPr>
          <w:rFonts w:hint="eastAsia" w:ascii="仿宋" w:hAnsi="仿宋" w:eastAsia="仿宋" w:cs="仿宋"/>
          <w:color w:val="auto"/>
          <w:sz w:val="24"/>
          <w:szCs w:val="24"/>
          <w:highlight w:val="none"/>
          <w:lang w:val="en-US" w:eastAsia="zh-CN"/>
        </w:rPr>
        <w:t>本项目采购代理费由采购人支付。</w:t>
      </w:r>
    </w:p>
    <w:p w14:paraId="3E6FC5BB">
      <w:pPr>
        <w:pStyle w:val="9"/>
        <w:pageBreakBefore w:val="0"/>
        <w:kinsoku/>
        <w:overflowPunct/>
        <w:topLinePunct w:val="0"/>
        <w:bidi w:val="0"/>
        <w:snapToGrid w:val="0"/>
        <w:spacing w:before="0" w:after="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八、签订合同</w:t>
      </w:r>
      <w:bookmarkEnd w:id="119"/>
      <w:bookmarkEnd w:id="120"/>
    </w:p>
    <w:p w14:paraId="4D31F57A">
      <w:pPr>
        <w:pageBreakBefore w:val="0"/>
        <w:kinsoku/>
        <w:overflowPunct/>
        <w:topLinePunct w:val="0"/>
        <w:bidi w:val="0"/>
        <w:snapToGrid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和成交供应商响应文件的约定，与成交供应商签订书面合同。所签订的合同不得对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和供应商的响应文件作实质性修改。</w:t>
      </w:r>
    </w:p>
    <w:p w14:paraId="12BDFEC8">
      <w:pPr>
        <w:pageBreakBefore w:val="0"/>
        <w:kinsoku/>
        <w:overflowPunct/>
        <w:topLinePunct w:val="0"/>
        <w:bidi w:val="0"/>
        <w:snapToGrid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、供应商的响应文件及补遗文件等，均为签订政府采购合同的依据。</w:t>
      </w:r>
    </w:p>
    <w:p w14:paraId="14A6B7FA">
      <w:pPr>
        <w:pageBreakBefore w:val="0"/>
        <w:kinsoku/>
        <w:overflowPunct/>
        <w:topLinePunct w:val="0"/>
        <w:bidi w:val="0"/>
        <w:snapToGrid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bookmarkStart w:id="121" w:name="_Toc21783699"/>
    </w:p>
    <w:bookmarkEnd w:id="121"/>
    <w:p w14:paraId="17A7A80D">
      <w:pPr>
        <w:pStyle w:val="8"/>
        <w:pageBreakBefore w:val="0"/>
        <w:kinsoku/>
        <w:overflowPunct/>
        <w:topLinePunct w:val="0"/>
        <w:bidi w:val="0"/>
        <w:spacing w:line="312" w:lineRule="auto"/>
        <w:jc w:val="center"/>
        <w:rPr>
          <w:rFonts w:hint="eastAsia" w:ascii="仿宋" w:hAnsi="仿宋" w:eastAsia="仿宋" w:cs="仿宋"/>
          <w:color w:val="auto"/>
          <w:sz w:val="36"/>
          <w:szCs w:val="30"/>
          <w:highlight w:val="none"/>
        </w:rPr>
      </w:pPr>
      <w:bookmarkStart w:id="122" w:name="_Toc88569292"/>
      <w:r>
        <w:rPr>
          <w:rFonts w:hint="eastAsia" w:ascii="仿宋" w:hAnsi="仿宋" w:eastAsia="仿宋" w:cs="仿宋"/>
          <w:color w:val="auto"/>
          <w:sz w:val="36"/>
          <w:szCs w:val="30"/>
          <w:highlight w:val="none"/>
        </w:rPr>
        <w:br w:type="page"/>
      </w:r>
      <w:bookmarkStart w:id="123" w:name="_Toc21936"/>
      <w:r>
        <w:rPr>
          <w:rFonts w:hint="eastAsia" w:ascii="仿宋" w:hAnsi="仿宋" w:eastAsia="仿宋" w:cs="仿宋"/>
          <w:color w:val="auto"/>
          <w:sz w:val="36"/>
          <w:szCs w:val="30"/>
          <w:highlight w:val="none"/>
        </w:rPr>
        <w:t>第六篇  合同草案条款</w:t>
      </w:r>
      <w:bookmarkEnd w:id="122"/>
      <w:bookmarkEnd w:id="123"/>
      <w:bookmarkStart w:id="124" w:name="_Toc12789072"/>
    </w:p>
    <w:p w14:paraId="20A6DBAD">
      <w:pPr>
        <w:pStyle w:val="33"/>
        <w:pageBreakBefore w:val="0"/>
        <w:kinsoku/>
        <w:overflowPunct/>
        <w:topLinePunct w:val="0"/>
        <w:bidi w:val="0"/>
        <w:spacing w:line="312" w:lineRule="auto"/>
        <w:ind w:left="0" w:leftChars="0" w:firstLine="0" w:firstLineChars="0"/>
        <w:jc w:val="center"/>
        <w:rPr>
          <w:rFonts w:hint="eastAsia" w:ascii="仿宋" w:hAnsi="仿宋" w:eastAsia="仿宋" w:cs="仿宋"/>
          <w:sz w:val="16"/>
          <w:szCs w:val="11"/>
          <w:highlight w:val="none"/>
          <w:lang w:eastAsia="zh-CN"/>
        </w:rPr>
      </w:pPr>
      <w:r>
        <w:rPr>
          <w:rFonts w:hint="eastAsia" w:ascii="仿宋" w:hAnsi="仿宋" w:eastAsia="仿宋" w:cs="仿宋"/>
          <w:color w:val="auto"/>
          <w:sz w:val="21"/>
          <w:szCs w:val="20"/>
          <w:highlight w:val="none"/>
          <w:lang w:eastAsia="zh-CN"/>
        </w:rPr>
        <w:t>（</w:t>
      </w:r>
      <w:r>
        <w:rPr>
          <w:rFonts w:hint="eastAsia" w:ascii="仿宋" w:hAnsi="仿宋" w:eastAsia="仿宋" w:cs="仿宋"/>
          <w:color w:val="auto"/>
          <w:sz w:val="21"/>
          <w:szCs w:val="20"/>
          <w:highlight w:val="none"/>
          <w:lang w:val="en-US" w:eastAsia="zh-CN"/>
        </w:rPr>
        <w:t>本合同仅作参考，具体由成交供应商与采购人自行拟定</w:t>
      </w:r>
      <w:r>
        <w:rPr>
          <w:rFonts w:hint="eastAsia" w:ascii="仿宋" w:hAnsi="仿宋" w:eastAsia="仿宋" w:cs="仿宋"/>
          <w:color w:val="auto"/>
          <w:sz w:val="21"/>
          <w:szCs w:val="20"/>
          <w:highlight w:val="none"/>
          <w:lang w:eastAsia="zh-CN"/>
        </w:rPr>
        <w:t>）</w:t>
      </w:r>
    </w:p>
    <w:p w14:paraId="79DE8414">
      <w:pPr>
        <w:pageBreakBefore w:val="0"/>
        <w:kinsoku/>
        <w:overflowPunct/>
        <w:topLinePunct w:val="0"/>
        <w:bidi w:val="0"/>
        <w:spacing w:line="312" w:lineRule="auto"/>
        <w:jc w:val="center"/>
        <w:rPr>
          <w:rFonts w:hint="eastAsia" w:ascii="仿宋" w:hAnsi="仿宋" w:eastAsia="仿宋" w:cs="仿宋"/>
          <w:b/>
          <w:color w:val="auto"/>
          <w:sz w:val="44"/>
          <w:szCs w:val="44"/>
          <w:highlight w:val="none"/>
        </w:rPr>
      </w:pPr>
    </w:p>
    <w:p w14:paraId="77854C3F">
      <w:pPr>
        <w:pageBreakBefore w:val="0"/>
        <w:kinsoku/>
        <w:overflowPunct/>
        <w:topLinePunct w:val="0"/>
        <w:bidi w:val="0"/>
        <w:spacing w:line="312" w:lineRule="auto"/>
        <w:jc w:val="center"/>
        <w:rPr>
          <w:rFonts w:hint="eastAsia" w:ascii="仿宋" w:hAnsi="仿宋" w:eastAsia="仿宋" w:cs="仿宋"/>
          <w:b/>
          <w:color w:val="auto"/>
          <w:sz w:val="44"/>
          <w:szCs w:val="44"/>
          <w:highlight w:val="none"/>
        </w:rPr>
      </w:pPr>
    </w:p>
    <w:p w14:paraId="198CAE17">
      <w:pPr>
        <w:pageBreakBefore w:val="0"/>
        <w:kinsoku/>
        <w:overflowPunct/>
        <w:topLinePunct w:val="0"/>
        <w:bidi w:val="0"/>
        <w:spacing w:line="312" w:lineRule="auto"/>
        <w:jc w:val="center"/>
        <w:rPr>
          <w:rFonts w:hint="eastAsia" w:ascii="仿宋" w:hAnsi="仿宋" w:eastAsia="仿宋" w:cs="仿宋"/>
          <w:b/>
          <w:color w:val="auto"/>
          <w:sz w:val="44"/>
          <w:szCs w:val="44"/>
          <w:highlight w:val="none"/>
        </w:rPr>
      </w:pPr>
    </w:p>
    <w:p w14:paraId="36644252">
      <w:pPr>
        <w:pageBreakBefore w:val="0"/>
        <w:kinsoku/>
        <w:overflowPunct/>
        <w:topLinePunct w:val="0"/>
        <w:bidi w:val="0"/>
        <w:spacing w:line="312" w:lineRule="auto"/>
        <w:jc w:val="center"/>
        <w:rPr>
          <w:rFonts w:hint="eastAsia" w:ascii="仿宋" w:hAnsi="仿宋" w:eastAsia="仿宋" w:cs="仿宋"/>
          <w:b/>
          <w:color w:val="auto"/>
          <w:sz w:val="44"/>
          <w:szCs w:val="44"/>
          <w:highlight w:val="none"/>
        </w:rPr>
      </w:pPr>
    </w:p>
    <w:p w14:paraId="3CEDF6F7">
      <w:pPr>
        <w:pageBreakBefore w:val="0"/>
        <w:kinsoku/>
        <w:overflowPunct/>
        <w:topLinePunct w:val="0"/>
        <w:bidi w:val="0"/>
        <w:spacing w:line="312"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 X 采 购 合 同</w:t>
      </w:r>
    </w:p>
    <w:p w14:paraId="5B098ACC">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324D6586">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12A407AA">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74AB58EF">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693C8971">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40C87A01">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5192E05F">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6FA2EEE8">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5AFC3E34">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2A845023">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2EA16777">
      <w:pPr>
        <w:pageBreakBefore w:val="0"/>
        <w:kinsoku/>
        <w:overflowPunct/>
        <w:topLinePunct w:val="0"/>
        <w:bidi w:val="0"/>
        <w:spacing w:line="312" w:lineRule="auto"/>
        <w:jc w:val="center"/>
        <w:rPr>
          <w:rFonts w:hint="eastAsia" w:ascii="仿宋" w:hAnsi="仿宋" w:eastAsia="仿宋" w:cs="仿宋"/>
          <w:color w:val="auto"/>
          <w:sz w:val="24"/>
          <w:szCs w:val="24"/>
          <w:highlight w:val="none"/>
        </w:rPr>
      </w:pPr>
    </w:p>
    <w:p w14:paraId="3EB2B83E">
      <w:pPr>
        <w:pageBreakBefore w:val="0"/>
        <w:kinsoku/>
        <w:overflowPunct/>
        <w:topLinePunct w:val="0"/>
        <w:bidi w:val="0"/>
        <w:spacing w:line="312" w:lineRule="auto"/>
        <w:jc w:val="both"/>
        <w:rPr>
          <w:rFonts w:hint="eastAsia" w:ascii="仿宋" w:hAnsi="仿宋" w:eastAsia="仿宋" w:cs="仿宋"/>
          <w:color w:val="auto"/>
          <w:sz w:val="24"/>
          <w:szCs w:val="24"/>
          <w:highlight w:val="none"/>
        </w:rPr>
      </w:pPr>
    </w:p>
    <w:p w14:paraId="42FBEC27">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1B5427F7">
      <w:pPr>
        <w:pageBreakBefore w:val="0"/>
        <w:kinsoku/>
        <w:overflowPunct/>
        <w:topLinePunct w:val="0"/>
        <w:bidi w:val="0"/>
        <w:spacing w:line="312" w:lineRule="auto"/>
        <w:ind w:left="720" w:leftChars="257"/>
        <w:rPr>
          <w:rFonts w:hint="eastAsia" w:ascii="仿宋" w:hAnsi="仿宋" w:eastAsia="仿宋" w:cs="仿宋"/>
          <w:color w:val="auto"/>
          <w:szCs w:val="28"/>
          <w:highlight w:val="none"/>
        </w:rPr>
      </w:pPr>
      <w:r>
        <w:rPr>
          <w:rFonts w:hint="eastAsia" w:ascii="仿宋" w:hAnsi="仿宋" w:eastAsia="仿宋" w:cs="仿宋"/>
          <w:color w:val="auto"/>
          <w:szCs w:val="28"/>
          <w:highlight w:val="none"/>
        </w:rPr>
        <w:t>甲方：</w:t>
      </w:r>
    </w:p>
    <w:p w14:paraId="1782F514">
      <w:pPr>
        <w:pageBreakBefore w:val="0"/>
        <w:kinsoku/>
        <w:overflowPunct/>
        <w:topLinePunct w:val="0"/>
        <w:bidi w:val="0"/>
        <w:spacing w:line="312" w:lineRule="auto"/>
        <w:ind w:left="720" w:leftChars="257"/>
        <w:rPr>
          <w:rFonts w:hint="eastAsia" w:ascii="仿宋" w:hAnsi="仿宋" w:eastAsia="仿宋" w:cs="仿宋"/>
          <w:color w:val="auto"/>
          <w:szCs w:val="28"/>
          <w:highlight w:val="none"/>
        </w:rPr>
      </w:pPr>
      <w:r>
        <w:rPr>
          <w:rFonts w:hint="eastAsia" w:ascii="仿宋" w:hAnsi="仿宋" w:eastAsia="仿宋" w:cs="仿宋"/>
          <w:color w:val="auto"/>
          <w:szCs w:val="28"/>
          <w:highlight w:val="none"/>
        </w:rPr>
        <w:t>乙方：</w:t>
      </w:r>
    </w:p>
    <w:p w14:paraId="1B6A7AC9">
      <w:pPr>
        <w:pageBreakBefore w:val="0"/>
        <w:kinsoku/>
        <w:overflowPunct/>
        <w:topLinePunct w:val="0"/>
        <w:bidi w:val="0"/>
        <w:spacing w:line="312" w:lineRule="auto"/>
        <w:ind w:left="720" w:leftChars="257"/>
        <w:rPr>
          <w:rFonts w:hint="eastAsia" w:ascii="仿宋" w:hAnsi="仿宋" w:eastAsia="仿宋" w:cs="仿宋"/>
          <w:color w:val="auto"/>
          <w:szCs w:val="28"/>
          <w:highlight w:val="none"/>
        </w:rPr>
      </w:pPr>
      <w:r>
        <w:rPr>
          <w:rFonts w:hint="eastAsia" w:ascii="仿宋" w:hAnsi="仿宋" w:eastAsia="仿宋" w:cs="仿宋"/>
          <w:color w:val="auto"/>
          <w:szCs w:val="28"/>
          <w:highlight w:val="none"/>
        </w:rPr>
        <w:t>签约地点：</w:t>
      </w:r>
    </w:p>
    <w:p w14:paraId="1AD48232">
      <w:pPr>
        <w:pageBreakBefore w:val="0"/>
        <w:kinsoku/>
        <w:overflowPunct/>
        <w:topLinePunct w:val="0"/>
        <w:bidi w:val="0"/>
        <w:spacing w:line="312" w:lineRule="auto"/>
        <w:ind w:left="720" w:leftChars="257"/>
        <w:rPr>
          <w:rFonts w:hint="eastAsia" w:ascii="仿宋" w:hAnsi="仿宋" w:eastAsia="仿宋" w:cs="仿宋"/>
          <w:b/>
          <w:color w:val="auto"/>
          <w:sz w:val="36"/>
          <w:szCs w:val="36"/>
          <w:highlight w:val="none"/>
        </w:rPr>
      </w:pPr>
      <w:r>
        <w:rPr>
          <w:rFonts w:hint="eastAsia" w:ascii="仿宋" w:hAnsi="仿宋" w:eastAsia="仿宋" w:cs="仿宋"/>
          <w:color w:val="auto"/>
          <w:szCs w:val="28"/>
          <w:highlight w:val="none"/>
        </w:rPr>
        <w:t>合同编号：</w:t>
      </w:r>
    </w:p>
    <w:p w14:paraId="322A619B">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4A94DEE3">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购货单位(以下简称甲方)：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A5ECCC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2EF570DC">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895F19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730C9539">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供货单位（以下简称乙方）：</w:t>
      </w:r>
      <w:r>
        <w:rPr>
          <w:rFonts w:hint="eastAsia" w:ascii="仿宋" w:hAnsi="仿宋" w:eastAsia="仿宋" w:cs="仿宋"/>
          <w:color w:val="auto"/>
          <w:sz w:val="24"/>
          <w:szCs w:val="24"/>
          <w:highlight w:val="none"/>
          <w:u w:val="single"/>
        </w:rPr>
        <w:t xml:space="preserve">                           </w:t>
      </w:r>
    </w:p>
    <w:p w14:paraId="3C3FB8A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30AADEB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7EB139B8">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p w14:paraId="5C91C0F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依据《中华人民共和国民法典》、《中华人民共和国招标投标法》等相关法律法规规定，现依照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招标结果，甲乙双方达成如下协议：</w:t>
      </w:r>
    </w:p>
    <w:p w14:paraId="6EEF183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544816E2">
      <w:pPr>
        <w:pageBreakBefore w:val="0"/>
        <w:kinsoku/>
        <w:overflowPunct/>
        <w:topLinePunct w:val="0"/>
        <w:bidi w:val="0"/>
        <w:spacing w:before="120" w:beforeLines="50" w:after="120" w:afterLines="50" w:line="312"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第一部分  商务部分</w:t>
      </w:r>
    </w:p>
    <w:p w14:paraId="23E05DA8">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一、合同价格</w:t>
      </w:r>
    </w:p>
    <w:p w14:paraId="74136C1C">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乙方应严格按照</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内容提供中标货物，本次甲方采购货物为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，合同总金额（包括合同货物、技术资料、运输费、保险费、包装费、装卸费和税费等一切费用,乙方不得要求另行增加任何费用）人民币(大写)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元），货物清单详见本合同第二部分《供货范围、货物技术参数及要求、售后服务等》。</w:t>
      </w:r>
    </w:p>
    <w:p w14:paraId="017AA93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若本合同采用固定单价、不固定供货数量的供应方式，则实际供货数量及金额以甲方最终结算数量及金额为准。</w:t>
      </w:r>
    </w:p>
    <w:p w14:paraId="05081BB6">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30A36A44">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二、供货时间及地点</w:t>
      </w:r>
    </w:p>
    <w:p w14:paraId="42B1551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1.乙方提交货物的时间，按下列第（）项执行：</w:t>
      </w:r>
    </w:p>
    <w:p w14:paraId="04A7A7F8">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（1）乙方必须于合同生效之日起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日前）将上述清单所列的货物交付甲方</w:t>
      </w:r>
      <w:r>
        <w:rPr>
          <w:rFonts w:hint="eastAsia" w:ascii="仿宋" w:hAnsi="仿宋" w:eastAsia="仿宋" w:cs="仿宋"/>
          <w:color w:val="auto"/>
          <w:sz w:val="24"/>
          <w:szCs w:val="24"/>
          <w:highlight w:val="none"/>
          <w:u w:val="single"/>
        </w:rPr>
        <w:t>；</w:t>
      </w:r>
    </w:p>
    <w:p w14:paraId="39E6D8E1">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日内，根据甲方需要，在得到甲方书面通知之日起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日内向甲方交付甲方指定货物及数量；</w:t>
      </w:r>
    </w:p>
    <w:p w14:paraId="40992AE2">
      <w:pPr>
        <w:pageBreakBefore w:val="0"/>
        <w:kinsoku/>
        <w:wordWrap w:val="0"/>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按批次向甲方交付：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日向甲方交付货物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（数量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日向甲方交付货物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（数量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日向甲方交付货物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D80CE7B">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甲乙双方根据实际情况约定：              。</w:t>
      </w:r>
    </w:p>
    <w:p w14:paraId="2E63449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 xml:space="preserve"> 交货方法，按下列第</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xml:space="preserve">项执行： </w:t>
      </w:r>
    </w:p>
    <w:p w14:paraId="52CBA060">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 乙方送货：货物发出之前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rPr>
        <w:t>小时内通过短信、邮件、传真、信函等方式及时告知甲方数量、车牌号等信息；</w:t>
      </w:r>
      <w:r>
        <w:rPr>
          <w:rFonts w:hint="eastAsia" w:ascii="仿宋" w:hAnsi="仿宋" w:eastAsia="仿宋" w:cs="仿宋"/>
          <w:color w:val="auto"/>
          <w:sz w:val="24"/>
          <w:szCs w:val="24"/>
          <w:highlight w:val="none"/>
        </w:rPr>
        <w:t>乙方应当承担运输过程中发生的一切费用和风险。乙方不按本合同约定提供货物所产生的任何费用及损失概由乙方负责，甲方对因此所引起的变动不予确认。</w:t>
      </w:r>
    </w:p>
    <w:p w14:paraId="45CD771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乙方代运：货物发出之前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rPr>
        <w:t>小时内通过短信、邮件、传真、信函等方式及时告知甲方。需凭单证提货的，乙方应于货物【发出当日】【发出之日起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日内】交付提取货物的单证给甲方；</w:t>
      </w:r>
    </w:p>
    <w:p w14:paraId="026B10A7">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 甲方自提自运。 </w:t>
      </w:r>
    </w:p>
    <w:p w14:paraId="67C0B686">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乙方出卖交由承运人运输的在途货物，货物毁损、灭失的风险自货物实际交付给甲方前仍由乙方承担。</w:t>
      </w:r>
    </w:p>
    <w:p w14:paraId="6E9BD81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3．运输方式：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05C4ED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 到货地点为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；接货单位（或接货人）为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FC854EF">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5．现场装货由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负责；现场卸货由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负责。 </w:t>
      </w:r>
    </w:p>
    <w:p w14:paraId="385CF1BF">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货物交货数量的正负尾差、合理磅差和在途自然减（增）量规定及计算方法：乙方应根据采购订单足额足量向甲方供应所购货物。如果货物在合理运输或正常条件下会出现数量误差，那么误差范围应在总数量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若不足的货物比例超过此误差范围由乙方补足；若多出的货物比例超过此误差范围，甲方同意购买的，就超出误差部分货物由双方另行约定价款、支付等事宜，甲方不同意购买的，乙方应自行将多出的货物在【】日内运回，并自行承担运回的相应费用及风险，规定时间内乙方不运回的，每逾期一天应向甲方支付   元的场地占用费；乙方货物堆放于甲方场地期间，甲方不承担货物的看护、维护等任何义务。</w:t>
      </w:r>
    </w:p>
    <w:p w14:paraId="3430F2AB">
      <w:pPr>
        <w:pageBreakBefore w:val="0"/>
        <w:kinsoku/>
        <w:overflowPunct/>
        <w:topLinePunct w:val="0"/>
        <w:bidi w:val="0"/>
        <w:spacing w:line="312" w:lineRule="auto"/>
        <w:ind w:firstLine="3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乙方交货的地点：_________。</w:t>
      </w:r>
    </w:p>
    <w:p w14:paraId="6810DC79">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5D663B8D">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三、质量标准</w:t>
      </w:r>
    </w:p>
    <w:p w14:paraId="7FFC4631">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本合同质量标准按照以下第（ ）项执行：</w:t>
      </w:r>
    </w:p>
    <w:p w14:paraId="375BF46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bookmarkStart w:id="125" w:name="_Hlk65959614"/>
      <w:r>
        <w:rPr>
          <w:rFonts w:hint="eastAsia" w:ascii="仿宋" w:hAnsi="仿宋" w:eastAsia="仿宋" w:cs="仿宋"/>
          <w:color w:val="auto"/>
          <w:sz w:val="24"/>
          <w:szCs w:val="24"/>
          <w:highlight w:val="none"/>
        </w:rPr>
        <w:t>按样品采购：</w:t>
      </w:r>
      <w:r>
        <w:rPr>
          <w:rFonts w:hint="eastAsia" w:ascii="仿宋" w:hAnsi="仿宋" w:eastAsia="仿宋" w:cs="仿宋"/>
          <w:color w:val="auto"/>
          <w:sz w:val="24"/>
          <w:highlight w:val="none"/>
        </w:rPr>
        <w:t xml:space="preserve">乙方应于_____ 年____月____日前向甲方提供本合同购买材料、货物、产品等（以下统称货物）的样品及其相关文件说明，待甲乙双方对样品及其说明予以确认后，再对样品及其说明进行封存，由甲方保管。货物的质量标准以乙方提供的货物样品及其说明为准。 </w:t>
      </w:r>
    </w:p>
    <w:p w14:paraId="4128D607">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甲方不知道样品有隐蔽瑕疵的，即使交付的货物与样品相同，乙方交付的货物的质量仍然应当符合同种物的国家标准，没有国家标准的应符合部颁标准，没有国家标准和部颁标准的应符合行业标准，没有前述标准的应符合通常标准或甲方的特殊要求。</w:t>
      </w:r>
    </w:p>
    <w:bookmarkEnd w:id="125"/>
    <w:p w14:paraId="7180F0E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2.非按样品采购：乙方应按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和本合同规定的货物性能、技术要求、质量标准向甲方提供未经使用的原厂生产的全新产品，并完全同时符合甲方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中有关质量要求（以</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为准）、国家质量标准以及合同规定的质量规格，即：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190F1E3">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52D141E7">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四、权利保证</w:t>
      </w:r>
    </w:p>
    <w:p w14:paraId="6A03BB2E">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甲方在中华人民共和国境内使用乙方提供的货物及服务时免受第三方提出的侵犯其所有权、专利权、商标权、工业设计或其它知识产权的起诉，无任何第三方对乙方所售货物或服务享有所有权、知识产权等权利。如果第三方提出侵权指控，乙方应承担由此而引起的一切法律责任和费用。</w:t>
      </w:r>
    </w:p>
    <w:p w14:paraId="6ADC21AE">
      <w:pPr>
        <w:pageBreakBefore w:val="0"/>
        <w:kinsoku/>
        <w:overflowPunct/>
        <w:topLinePunct w:val="0"/>
        <w:bidi w:val="0"/>
        <w:spacing w:before="120" w:beforeLines="50" w:after="120" w:afterLines="50" w:line="312" w:lineRule="auto"/>
        <w:ind w:firstLine="559" w:firstLineChars="232"/>
        <w:rPr>
          <w:rFonts w:hint="eastAsia" w:ascii="仿宋" w:hAnsi="仿宋" w:eastAsia="仿宋" w:cs="仿宋"/>
          <w:b/>
          <w:color w:val="auto"/>
          <w:sz w:val="24"/>
          <w:szCs w:val="24"/>
          <w:highlight w:val="none"/>
        </w:rPr>
      </w:pPr>
    </w:p>
    <w:p w14:paraId="0218D56A">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五、转包或分包</w:t>
      </w:r>
    </w:p>
    <w:p w14:paraId="232BD4D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非经甲方书面同意，乙方不得将本合同范围内的货物全部或部分转包或分包给他人供应。</w:t>
      </w:r>
    </w:p>
    <w:p w14:paraId="4D106FEB">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如有转让和未经甲方同意的分包行为，甲方有权单方解除合同，没收投标（质量）保证金并追究乙方的违约责任。</w:t>
      </w:r>
    </w:p>
    <w:p w14:paraId="581C952C">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第三人代乙方履行本合同项下相关义务与责任的，应当经甲方同意。甲方拒绝第三人代为履行的，不免除乙方的违约责任。甲方同意或不知情情况下接受第三人代为履行，不代表甲方同意承担本合同约定以外的义务。</w:t>
      </w:r>
    </w:p>
    <w:p w14:paraId="4ADBE950">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46DF9A0B">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六、验收</w:t>
      </w:r>
    </w:p>
    <w:p w14:paraId="3F43E27B">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由甲方或甲方认可的（最终用户）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负责货物清点和验收。乙方应随货物提供合格证和质量证明文件，</w:t>
      </w:r>
      <w:bookmarkStart w:id="126" w:name="_Hlk65962315"/>
      <w:r>
        <w:rPr>
          <w:rFonts w:hint="eastAsia" w:ascii="仿宋" w:hAnsi="仿宋" w:eastAsia="仿宋" w:cs="仿宋"/>
          <w:color w:val="auto"/>
          <w:sz w:val="24"/>
          <w:szCs w:val="24"/>
          <w:highlight w:val="none"/>
        </w:rPr>
        <w:t>如是国外进口的货物还须提供入关证明</w:t>
      </w:r>
      <w:bookmarkEnd w:id="126"/>
      <w:r>
        <w:rPr>
          <w:rFonts w:hint="eastAsia" w:ascii="仿宋" w:hAnsi="仿宋" w:eastAsia="仿宋" w:cs="仿宋"/>
          <w:color w:val="auto"/>
          <w:sz w:val="24"/>
          <w:szCs w:val="24"/>
          <w:highlight w:val="none"/>
        </w:rPr>
        <w:t>。</w:t>
      </w:r>
    </w:p>
    <w:p w14:paraId="7823E366">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乙方所交货物不得低于合同约定的质量要求，售后服务质量要求按照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的内容执行。乙方交货时，甲方可根据需要随机抽样检测，若检测不合格，则由乙方承担违约责任。</w:t>
      </w:r>
    </w:p>
    <w:p w14:paraId="64E2704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所提供的货物到达指定地点后，须一并交付货物的有关单证和资料，甲方（最终用户）必须按本合同所约定的货物清单及要求对货物的品牌、外观、规格、数量及抽样检测后的质量情况进行验收，乙方必须在验收现场提供必要的技术支持和相关文件。</w:t>
      </w:r>
    </w:p>
    <w:p w14:paraId="764C4C09">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货物验收报告应由甲方、乙方经办人签字，并加盖双方公章，以此作为支付凭据。</w:t>
      </w:r>
    </w:p>
    <w:p w14:paraId="26C7F3C2">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甲方（最终用户）应在乙方所提供的货物送达后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个工作日内验收完毕。</w:t>
      </w:r>
    </w:p>
    <w:p w14:paraId="398DB2B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p w14:paraId="52A548D6">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七、异议期</w:t>
      </w:r>
    </w:p>
    <w:p w14:paraId="5FB1CCD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货物验收后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个工作日内甲方对货物有异议的，乙方应在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个工作日内负责解决并承担全部费用。乙方在上述期限内不解决或不能解决的，甲方有权向乙方主张违约责任。</w:t>
      </w:r>
    </w:p>
    <w:p w14:paraId="081C103E">
      <w:pPr>
        <w:pageBreakBefore w:val="0"/>
        <w:kinsoku/>
        <w:overflowPunct/>
        <w:topLinePunct w:val="0"/>
        <w:bidi w:val="0"/>
        <w:spacing w:before="120" w:beforeLines="50" w:after="120" w:afterLines="50" w:line="312" w:lineRule="auto"/>
        <w:ind w:firstLine="556" w:firstLineChars="232"/>
        <w:rPr>
          <w:rFonts w:hint="eastAsia" w:ascii="仿宋" w:hAnsi="仿宋" w:eastAsia="仿宋" w:cs="仿宋"/>
          <w:color w:val="auto"/>
          <w:sz w:val="24"/>
          <w:szCs w:val="24"/>
          <w:highlight w:val="none"/>
        </w:rPr>
      </w:pPr>
    </w:p>
    <w:p w14:paraId="2F90EB02">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八、产品货款的结算，按以下第</w:t>
      </w:r>
      <w:r>
        <w:rPr>
          <w:rFonts w:hint="eastAsia" w:ascii="仿宋" w:hAnsi="仿宋" w:eastAsia="仿宋" w:cs="仿宋"/>
          <w:b/>
          <w:color w:val="auto"/>
          <w:sz w:val="24"/>
          <w:szCs w:val="24"/>
          <w:highlight w:val="none"/>
          <w:u w:val="single"/>
        </w:rPr>
        <w:t>（   ）</w:t>
      </w:r>
      <w:r>
        <w:rPr>
          <w:rFonts w:hint="eastAsia" w:ascii="仿宋" w:hAnsi="仿宋" w:eastAsia="仿宋" w:cs="仿宋"/>
          <w:b/>
          <w:color w:val="auto"/>
          <w:sz w:val="24"/>
          <w:szCs w:val="24"/>
          <w:highlight w:val="none"/>
        </w:rPr>
        <w:t>项执行</w:t>
      </w:r>
    </w:p>
    <w:p w14:paraId="598417A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甲方在签订合同之日起____个工作日内（含本数）支付乙方货款总金额的30%，货物全部交付甲方且验收通过之后，甲方向乙方支付全部剩余货款；</w:t>
      </w:r>
    </w:p>
    <w:p w14:paraId="3A4D6DF7">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一次性交付货物的，甲方应在验收期满之日起____个工作日内（含本数）向乙方支付全部货款；</w:t>
      </w:r>
    </w:p>
    <w:p w14:paraId="0945909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分批次交付货物的，甲方按批分次，在验收期满之日起____个工作日内（含本数）向乙方支付该批货款；</w:t>
      </w:r>
    </w:p>
    <w:p w14:paraId="03B23E83">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根据实际情况，甲乙双方约定______________________________________。</w:t>
      </w:r>
    </w:p>
    <w:p w14:paraId="24B03306">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5.甲方若以银行转账的方式向乙方支付产品价款，账户信息如下：</w:t>
      </w:r>
    </w:p>
    <w:p w14:paraId="4165994F">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户名：____________________________ </w:t>
      </w:r>
    </w:p>
    <w:p w14:paraId="7BEB6300">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开户行：____________________________（请明确具体的开户分支行）</w:t>
      </w:r>
    </w:p>
    <w:p w14:paraId="37C53AC1">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账号：_____________________________</w:t>
      </w:r>
    </w:p>
    <w:p w14:paraId="271606D2">
      <w:pPr>
        <w:pageBreakBefore w:val="0"/>
        <w:kinsoku/>
        <w:overflowPunct/>
        <w:topLinePunct w:val="0"/>
        <w:bidi w:val="0"/>
        <w:spacing w:before="120" w:beforeLines="50" w:after="120" w:afterLines="50" w:line="312"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6.甲方验收通过后，乙方开具本合同全部货款发票，乙方未开具发票或者所开具的发票不符合要求的，甲方有权暂不付款，不构成甲方违约，乙方不得因此拒绝履行合同义务。</w:t>
      </w:r>
    </w:p>
    <w:p w14:paraId="5CE2F184">
      <w:pPr>
        <w:pageBreakBefore w:val="0"/>
        <w:kinsoku/>
        <w:overflowPunct/>
        <w:topLinePunct w:val="0"/>
        <w:bidi w:val="0"/>
        <w:spacing w:before="100" w:beforeAutospacing="1" w:after="100" w:afterAutospacing="1" w:line="312" w:lineRule="auto"/>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九、履约保证金</w:t>
      </w:r>
    </w:p>
    <w:p w14:paraId="1AE5D00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乙方在合同签订前应当向采购人缴纳合同暂定金额 </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%的履约保证金，金额为：¥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整（大写：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）。项目验收合格且双方结算完毕后，在成交供应商不存在任何违约情形，且不存在任何未支付或未退还款项的前提下，采购人应在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个工作日内无息退还履约保证金。成交供应商在履约过程中出现违约行为的，由采购人按合同约定 对履约保证金进行处理，对因供应商违约扣缴的履约保证金，依照罚没财物管理有关规定执行 。</w:t>
      </w:r>
    </w:p>
    <w:p w14:paraId="095FD610">
      <w:pPr>
        <w:pageBreakBefore w:val="0"/>
        <w:kinsoku/>
        <w:overflowPunct/>
        <w:topLinePunct w:val="0"/>
        <w:bidi w:val="0"/>
        <w:spacing w:before="120" w:beforeLines="50" w:after="120" w:afterLines="50" w:line="312" w:lineRule="auto"/>
        <w:ind w:firstLine="441" w:firstLineChars="18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十、售后服务（根据采购货物性质选择使用）</w:t>
      </w:r>
    </w:p>
    <w:p w14:paraId="4A64B2A4">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对所供货物终身维修。签订本合同时，乙方须提供详细售后质保方案（包括服务方案、处理程序、响应及处理时间、质量保证措施、服务方式（送修、上门或现场派驻服务人员）、维修配件（易耗品）来源及品质等级、质保期外服务措施、其他优惠措施等），并附售后服务承诺。</w:t>
      </w:r>
    </w:p>
    <w:p w14:paraId="69AC3679">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货物使用过程中出现问题，乙方在得到甲方通知后_____日内上门维修，并在____小时内维修完毕。乙方未在约定期间内上门维修的，甲方可自行维修，所产生的费用从质量保证金或价款当中扣除，且乙方不得以此为由拒绝承担后续的维修责任。</w:t>
      </w:r>
    </w:p>
    <w:p w14:paraId="5991E27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提供的货物在质保期内因货物本身的质量问题发生故障，维修无需另行付费。维修两次仍不能正常使用；或者货物在质保期内被证明存在缺陷，包括潜在的缺陷或使用不合适的材料，甲方有权要求乙方提供相关证明该缺陷不存在，否则甲方有权要求乙方按以下办法处理：</w:t>
      </w:r>
    </w:p>
    <w:p w14:paraId="3C57BBD2">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更换：由乙方承担所发生的全部费用。</w:t>
      </w:r>
    </w:p>
    <w:p w14:paraId="674B7FDF">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贬值处理：由甲乙双方合议定价。</w:t>
      </w:r>
    </w:p>
    <w:p w14:paraId="3CC15810">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退货处理：乙方应退还甲方支付的合同款，同时应承担运输、保险、检验、仓储、装卸、保管、货款利息及银行手续费等）。</w:t>
      </w:r>
    </w:p>
    <w:p w14:paraId="707259C0">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因货物本身的质量问题给甲方造成损失的，乙方依照合同约定承担违约责任。</w:t>
      </w:r>
    </w:p>
    <w:p w14:paraId="1A3D6ACC">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在质保期内，乙方应对货物出现的质量及安全问题负责处理解决并承担一切费用。</w:t>
      </w:r>
    </w:p>
    <w:p w14:paraId="1FF6F78D">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因甲方自身原因导致货物出现问题或超过保修期的货物维修，乙方只收零部件、配件成本费。</w:t>
      </w:r>
    </w:p>
    <w:p w14:paraId="65EA31ED">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如果甲方所购买的货物属于《部分商品修理更换退货责任规定》或其他相关规定所指的《实施三包的部分商品目录》中所列产品，除本合同约定优于该规定的情形之外，本合同无约定或约定不明确，或合同约定与规定相冲突的，一律适用该规定。</w:t>
      </w:r>
    </w:p>
    <w:p w14:paraId="17F7CA55">
      <w:pPr>
        <w:pageBreakBefore w:val="0"/>
        <w:kinsoku/>
        <w:overflowPunct/>
        <w:topLinePunct w:val="0"/>
        <w:bidi w:val="0"/>
        <w:spacing w:before="120" w:beforeLines="50" w:after="120" w:afterLines="50" w:line="312" w:lineRule="auto"/>
        <w:rPr>
          <w:rFonts w:hint="eastAsia" w:ascii="仿宋" w:hAnsi="仿宋" w:eastAsia="仿宋" w:cs="仿宋"/>
          <w:b/>
          <w:color w:val="auto"/>
          <w:sz w:val="24"/>
          <w:szCs w:val="24"/>
          <w:highlight w:val="none"/>
        </w:rPr>
      </w:pPr>
    </w:p>
    <w:p w14:paraId="31728F8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甲方违约责任</w:t>
      </w:r>
    </w:p>
    <w:p w14:paraId="3E91DDCD">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甲方在乙方将合同清单上的货物运达指定地点后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个工作日内无正当理由不接收或不及时组织验收的，乙方有权要求甲方赔偿乙方实际损失。</w:t>
      </w:r>
    </w:p>
    <w:p w14:paraId="759A8BCD">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2.甲方逾期付款的，应当按照合同订立时1年期贷款市场报价利率折算按日向乙方支付违约金。</w:t>
      </w:r>
    </w:p>
    <w:p w14:paraId="0E2B8A2A">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甲方如错填到货的地点、接货人，应承担乙方因此所受到的实际损失。</w:t>
      </w:r>
    </w:p>
    <w:p w14:paraId="59D953AC">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甲方中途无合理理由退货的，乙方有权要求甲方支付退货部分货款的____%作为违约金。</w:t>
      </w:r>
    </w:p>
    <w:p w14:paraId="22351734">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09A98187">
      <w:pPr>
        <w:pageBreakBefore w:val="0"/>
        <w:kinsoku/>
        <w:overflowPunct/>
        <w:topLinePunct w:val="0"/>
        <w:bidi w:val="0"/>
        <w:spacing w:before="120" w:beforeLines="50" w:after="120" w:afterLines="50" w:line="312" w:lineRule="auto"/>
        <w:ind w:firstLine="441" w:firstLineChars="18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、乙方违约责任</w:t>
      </w:r>
    </w:p>
    <w:p w14:paraId="1AD1EE3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乙方不能交付货物的，甲方有权解除合同并要求乙方支付该货物总价款的____%作为违约金，违约金不足以赔偿损失的，则应按实际损失予以赔偿。</w:t>
      </w:r>
    </w:p>
    <w:p w14:paraId="0C57392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分批交付标的物的，乙方对其中一批标的物不交付或者交付不符合约定，致使该批货物不能实现合同目的的，甲方可以就该批货物解除，违约金基数按该批货物总价款执行。</w:t>
      </w:r>
    </w:p>
    <w:p w14:paraId="1A52975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乙方不交付其中一批货物或者交付不符合约定，致使今后其他各批货物的交付不能实现合同目的的，甲方可以就该批以及今后其他各批货物解除，违约金基数按解除批次货物总价款执行。</w:t>
      </w:r>
    </w:p>
    <w:p w14:paraId="6AA6E9A2">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乙方所交货物不符合本合同要求的，甲方有权解除合同或拒绝接收乙方所交货物并要求其重新提供符合合同约定的货物。甲方解除合同的，依照本条第1款执行。甲方要求乙方重新提供合同约定货物的，甲方还有权要求乙方支付合同约定应交付货物价款的 ___%作为违约金或承担赔偿责任。3. 乙方所交货物品种、型号、规格、花色等不符合同约定，甲方有权拒绝接收并要求乙方重新提供符合合同约定的货物，如果乙方所交货物无质量问题且甲方同意利用的，则应按质论价，并重新约定相关合同权利义务，未约定的按本合同执行；甲方不能或不同意利用的，依照本条第2款执行。</w:t>
      </w:r>
    </w:p>
    <w:p w14:paraId="4B7A83E5">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乙方逾期交货、换货的，应按照逾期交货金额的___%/天计算，向甲方支付逾期交货的违约金。如逾期超过_________日，甲方有权解除合同并依照本条第1款执行。</w:t>
      </w:r>
    </w:p>
    <w:p w14:paraId="4F010C82">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货物错发到货地点或接货人的，乙方除应负责运到合同规定的到货地点或接货人外，还应承担甲方因此多支付的费用和逾期交货的违约责任。乙方未经甲方书面同意，单方面改变运输路线和运输工具的，应当承担由此增加的费用，逾期交货和货物毁损、灭失的风险及责任。 </w:t>
      </w:r>
    </w:p>
    <w:p w14:paraId="37F8A4F1">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甲方在异议期提出异议乙方不解决或不能解决，质保期内因货物质量问题给甲方造成损失或货物存在缺陷且乙方未能解决的，乙方所交质保金不予退还。</w:t>
      </w:r>
    </w:p>
    <w:p w14:paraId="2DB577B8">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质保期间，乙方未在约定时间内上门维修的，甲方自行维修所产生的费用从质量保证金中扣除后，乙方应于____日内补足质量保证金；乙方不予补足的，甲方有权要求乙方支付双倍质量保证金。质保期满后，乙方未在约定时间内上门维修的，甲方自行维修所产生的费用由乙方承担。</w:t>
      </w:r>
    </w:p>
    <w:p w14:paraId="3ABC673C">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乙方违反本合同其他约定的，应向甲方支付违约金人民币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元/次，违约金不足以赔偿损失的，则应按实际损失予以赔偿。</w:t>
      </w:r>
    </w:p>
    <w:p w14:paraId="55C343B3">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乙方承诺，对于乙方需要承担的违约责任或费用，甲方有权在应付乙方的款项当中扣除，且若甲方扣款金额超过最终司法机关裁量确认的金额，超过部分，不构成甲方违约。</w:t>
      </w:r>
    </w:p>
    <w:p w14:paraId="61CB8AA9">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乙方承担赔偿责任的范围包括但不限于合同约定应交付货物的价款及利息、运输和保险费、检验费、仓储和装卸费，为保管、处分、保护被拒绝货物所需要的其它必要费用以及律师费、仲裁费、诉讼费、差旅费等为实现债权产生的其他相关合理费用。</w:t>
      </w:r>
    </w:p>
    <w:p w14:paraId="6A4E079B">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szCs w:val="24"/>
          <w:highlight w:val="none"/>
        </w:rPr>
      </w:pPr>
    </w:p>
    <w:p w14:paraId="33A9EF57">
      <w:pPr>
        <w:pageBreakBefore w:val="0"/>
        <w:kinsoku/>
        <w:overflowPunct/>
        <w:topLinePunct w:val="0"/>
        <w:bidi w:val="0"/>
        <w:spacing w:before="120" w:beforeLines="50" w:after="120" w:afterLines="50"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、不可抗力</w:t>
      </w:r>
    </w:p>
    <w:p w14:paraId="685261D9">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如果本合同任何一方因受不可抗力事件影响而未能履行其在本合同下的全部或部分义务，该义务的履行在不可抗力事件妨碍其履行期间应予中止。</w:t>
      </w:r>
    </w:p>
    <w:p w14:paraId="61DD068D">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声称受到不可抗力事件影响的一方应尽可能在最短的时间内通过书面形式将不可抗力事件的发生通知另一方，并在该不可抗力事件发生后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否则即视为违约。</w:t>
      </w:r>
    </w:p>
    <w:p w14:paraId="6903DB4B">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33DC7F00">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公共卫生突发事件、罢工，政府行为或法律规定等。</w:t>
      </w:r>
    </w:p>
    <w:p w14:paraId="55BAC75F">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p w14:paraId="233CF768">
      <w:pPr>
        <w:pageBreakBefore w:val="0"/>
        <w:kinsoku/>
        <w:overflowPunct/>
        <w:topLinePunct w:val="0"/>
        <w:bidi w:val="0"/>
        <w:spacing w:before="120" w:beforeLines="50" w:after="120" w:afterLines="50" w:line="312" w:lineRule="auto"/>
        <w:ind w:firstLine="441" w:firstLineChars="183"/>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、争议解决及费用的承担</w:t>
      </w:r>
    </w:p>
    <w:p w14:paraId="61619CC9">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履行过程中发生的争议，由双方当事人协商解决，也可由有关部门调解；协商或调解不成的，向重庆仲裁委员会申请仲裁。违约方的违约行为导致另一方为实现权利所发生的一切费用（包括但不限于调查费、仲裁费、律师费、保全费及差旅费等）均由违约方承担。</w:t>
      </w:r>
    </w:p>
    <w:p w14:paraId="49D14BAA">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76239DF9">
      <w:pPr>
        <w:pageBreakBefore w:val="0"/>
        <w:kinsoku/>
        <w:overflowPunct/>
        <w:topLinePunct w:val="0"/>
        <w:bidi w:val="0"/>
        <w:spacing w:before="120" w:beforeLines="50" w:after="120" w:afterLines="50" w:line="312" w:lineRule="auto"/>
        <w:ind w:firstLine="441" w:firstLineChars="183"/>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、通知与送达</w:t>
      </w:r>
    </w:p>
    <w:p w14:paraId="63CF7549">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1.根据本合同需要一方向另一方发出的全部通知以及双方的文件往来及与本合同有关的通知和要求等，必须用书面形式，可采用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（电子邮件、书信、传真、电报、当面送交等）方式传递。各方通讯地址、联系人、联系电话、传真、邮箱等信息如下：</w:t>
      </w:r>
    </w:p>
    <w:p w14:paraId="30331D41">
      <w:pPr>
        <w:pageBreakBefore w:val="0"/>
        <w:kinsoku/>
        <w:overflowPunct/>
        <w:topLinePunct w:val="0"/>
        <w:bidi w:val="0"/>
        <w:spacing w:before="120" w:beforeLines="50" w:after="120" w:afterLines="50" w:line="312" w:lineRule="auto"/>
        <w:ind w:left="512" w:leftChars="18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2C54BC9F">
      <w:pPr>
        <w:pageBreakBefore w:val="0"/>
        <w:kinsoku/>
        <w:overflowPunct/>
        <w:topLinePunct w:val="0"/>
        <w:bidi w:val="0"/>
        <w:spacing w:before="120" w:beforeLines="50" w:after="120" w:afterLines="50"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p w14:paraId="324B65FF">
      <w:pPr>
        <w:pageBreakBefore w:val="0"/>
        <w:kinsoku/>
        <w:overflowPunct/>
        <w:topLinePunct w:val="0"/>
        <w:bidi w:val="0"/>
        <w:spacing w:before="120" w:beforeLines="50" w:after="120" w:afterLines="50" w:line="312" w:lineRule="auto"/>
        <w:ind w:left="512" w:leftChars="18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3DD3461">
      <w:pPr>
        <w:pageBreakBefore w:val="0"/>
        <w:kinsoku/>
        <w:overflowPunct/>
        <w:topLinePunct w:val="0"/>
        <w:bidi w:val="0"/>
        <w:spacing w:before="120" w:beforeLines="50" w:after="120" w:afterLines="50"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p w14:paraId="406B4AF6">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2.一方变更联系人或通讯地址等信息，应自变更之日起_________日内，以书面形式通知对方；否则，由未通知方承担由此而引起的相关责任。</w:t>
      </w:r>
    </w:p>
    <w:p w14:paraId="523B19F9">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3.本条款约定的地址和联系方式，可为司法送达地址和方式，按照该等地址和联系方式送达的资料、文书，不论双方是否实际签收，均视为送达成功。</w:t>
      </w:r>
    </w:p>
    <w:p w14:paraId="289E12DF">
      <w:pPr>
        <w:pageBreakBefore w:val="0"/>
        <w:kinsoku/>
        <w:overflowPunct/>
        <w:topLinePunct w:val="0"/>
        <w:bidi w:val="0"/>
        <w:spacing w:before="120" w:beforeLines="50" w:after="120" w:afterLines="5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4.通过以上方式送达的，无论对方是否回复：以传真方式送达的，该文件上标明的传输日后的第一个工作日视为送达；以面呈方式送达的，对方代表签收后视为送达；以书信、快递方式送达的，投邮后七十二小时视为送达（须提供邮寄凭证）；以电子邮件方式送达的，发出电子邮件之日视为送达。</w:t>
      </w:r>
    </w:p>
    <w:p w14:paraId="72BF24CA">
      <w:pPr>
        <w:pageBreakBefore w:val="0"/>
        <w:kinsoku/>
        <w:overflowPunct/>
        <w:topLinePunct w:val="0"/>
        <w:bidi w:val="0"/>
        <w:spacing w:before="120" w:beforeLines="50" w:after="120" w:afterLines="50" w:line="312" w:lineRule="auto"/>
        <w:rPr>
          <w:rFonts w:hint="eastAsia" w:ascii="仿宋" w:hAnsi="仿宋" w:eastAsia="仿宋" w:cs="仿宋"/>
          <w:color w:val="auto"/>
          <w:sz w:val="24"/>
          <w:szCs w:val="24"/>
          <w:highlight w:val="none"/>
        </w:rPr>
      </w:pPr>
    </w:p>
    <w:p w14:paraId="78849B1C">
      <w:pPr>
        <w:pageBreakBefore w:val="0"/>
        <w:kinsoku/>
        <w:overflowPunct/>
        <w:topLinePunct w:val="0"/>
        <w:bidi w:val="0"/>
        <w:spacing w:before="120" w:beforeLines="50" w:after="120" w:afterLines="50" w:line="312" w:lineRule="auto"/>
        <w:ind w:firstLine="441" w:firstLineChars="18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、其他</w:t>
      </w:r>
    </w:p>
    <w:p w14:paraId="7B5A6750">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bCs/>
          <w:color w:val="auto"/>
          <w:sz w:val="24"/>
          <w:szCs w:val="24"/>
          <w:highlight w:val="none"/>
        </w:rPr>
        <w:t>合同相关文件：</w:t>
      </w:r>
      <w:r>
        <w:rPr>
          <w:rFonts w:hint="eastAsia" w:ascii="仿宋" w:hAnsi="仿宋" w:eastAsia="仿宋" w:cs="仿宋"/>
          <w:color w:val="auto"/>
          <w:sz w:val="24"/>
          <w:szCs w:val="24"/>
          <w:highlight w:val="none"/>
        </w:rPr>
        <w:t>有关本次采购项目的采购</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成交供应商响应文件</w:t>
      </w:r>
      <w:r>
        <w:rPr>
          <w:rFonts w:hint="eastAsia" w:ascii="仿宋" w:hAnsi="仿宋" w:eastAsia="仿宋" w:cs="仿宋"/>
          <w:color w:val="auto"/>
          <w:sz w:val="24"/>
          <w:szCs w:val="24"/>
          <w:highlight w:val="none"/>
        </w:rPr>
        <w:t>以及相关的函件如澄清确认函、技术资料、乙方提供的售后质保方案及相关单证、说明书、产地证明、专利证书等均为本合同不可分割的一部分。</w:t>
      </w:r>
    </w:p>
    <w:p w14:paraId="00F7E5C0">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按本合同规定应该支付的违约金、赔偿金和各种经济损失，应当在明确责任后____日内，按银行规定的结算办法付清，否则按逾期付款处理，以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标准支付逾期付款利息。任何一方不得自行扣发货物或扣付货款来充抵。</w:t>
      </w:r>
    </w:p>
    <w:p w14:paraId="58E9605B">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本合同未尽事宜，依照有关法律、法规执行，法律、法规未作规定的，买卖双方可以达成书面补充合同。本合同的附件和补充合同均为本合同不可分割的组成部分，与本合同具有同等的法律效力，本合同补充条款与正文条款不一致的，以补充条款为准。本协议的任何修订、变更或调整，均应经双方书面协商确定。</w:t>
      </w:r>
    </w:p>
    <w:p w14:paraId="473BBF69">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本合同一式</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份，经双方签字盖章后即时生效。甲方执</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份，具有同等效力。</w:t>
      </w:r>
    </w:p>
    <w:p w14:paraId="33C9923E">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color w:val="auto"/>
          <w:highlight w:val="none"/>
        </w:rPr>
        <w:t xml:space="preserve"> </w:t>
      </w:r>
      <w:bookmarkStart w:id="127" w:name="_Hlk65967307"/>
      <w:r>
        <w:rPr>
          <w:rFonts w:hint="eastAsia" w:ascii="仿宋" w:hAnsi="仿宋" w:eastAsia="仿宋" w:cs="仿宋"/>
          <w:bCs/>
          <w:color w:val="auto"/>
          <w:sz w:val="24"/>
          <w:szCs w:val="24"/>
          <w:highlight w:val="none"/>
        </w:rPr>
        <w:t>甲乙双方确认，本合同系双方经过充分的沟通、谈判、协商后确定的，双方对合同的全部条款均无疑义，并对当事人有关权利义务和责任限制或免除条款的法律含义有准确无误的理解。</w:t>
      </w:r>
      <w:bookmarkEnd w:id="127"/>
    </w:p>
    <w:p w14:paraId="0859E142">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bCs/>
          <w:color w:val="auto"/>
          <w:sz w:val="24"/>
          <w:szCs w:val="24"/>
          <w:highlight w:val="none"/>
        </w:rPr>
      </w:pPr>
    </w:p>
    <w:p w14:paraId="710E65B1">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bCs/>
          <w:color w:val="auto"/>
          <w:sz w:val="24"/>
          <w:szCs w:val="24"/>
          <w:highlight w:val="none"/>
        </w:rPr>
      </w:pPr>
    </w:p>
    <w:p w14:paraId="6E25CBBD">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bCs/>
          <w:color w:val="auto"/>
          <w:sz w:val="24"/>
          <w:szCs w:val="24"/>
          <w:highlight w:val="none"/>
        </w:rPr>
      </w:pPr>
    </w:p>
    <w:p w14:paraId="69FF9E91">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b/>
          <w:color w:val="auto"/>
          <w:sz w:val="24"/>
          <w:szCs w:val="24"/>
          <w:highlight w:val="none"/>
        </w:rPr>
      </w:pPr>
    </w:p>
    <w:p w14:paraId="3379DB36">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第二部分  供货范围、技术要求及售后服务等</w:t>
      </w:r>
    </w:p>
    <w:p w14:paraId="616497C0">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p w14:paraId="01C7847D">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一、乙方应严格按照如下清单的要求提交货物</w:t>
      </w:r>
    </w:p>
    <w:p w14:paraId="47E30127">
      <w:pPr>
        <w:pStyle w:val="17"/>
        <w:pageBreakBefore w:val="0"/>
        <w:kinsoku/>
        <w:overflowPunct/>
        <w:topLinePunct w:val="0"/>
        <w:bidi w:val="0"/>
        <w:spacing w:before="120" w:beforeLines="50" w:afterLines="50" w:line="312" w:lineRule="auto"/>
        <w:ind w:left="560" w:firstLine="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单价及金额单位：元</w:t>
      </w:r>
    </w:p>
    <w:tbl>
      <w:tblPr>
        <w:tblStyle w:val="27"/>
        <w:tblpPr w:leftFromText="180" w:rightFromText="180" w:vertAnchor="text" w:horzAnchor="margin" w:tblpY="43"/>
        <w:tblW w:w="10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260"/>
        <w:gridCol w:w="1365"/>
        <w:gridCol w:w="1260"/>
        <w:gridCol w:w="1260"/>
        <w:gridCol w:w="1050"/>
        <w:gridCol w:w="1050"/>
        <w:gridCol w:w="1155"/>
      </w:tblGrid>
      <w:tr w14:paraId="7B34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93" w:type="dxa"/>
            <w:vAlign w:val="center"/>
          </w:tcPr>
          <w:p w14:paraId="66713358">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物资名称</w:t>
            </w:r>
          </w:p>
        </w:tc>
        <w:tc>
          <w:tcPr>
            <w:tcW w:w="1260" w:type="dxa"/>
            <w:vAlign w:val="center"/>
          </w:tcPr>
          <w:p w14:paraId="79567587">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商标牌号</w:t>
            </w:r>
          </w:p>
        </w:tc>
        <w:tc>
          <w:tcPr>
            <w:tcW w:w="1365" w:type="dxa"/>
            <w:vAlign w:val="center"/>
          </w:tcPr>
          <w:p w14:paraId="45C1989A">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260" w:type="dxa"/>
            <w:vAlign w:val="center"/>
          </w:tcPr>
          <w:p w14:paraId="027B4F6C">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1260" w:type="dxa"/>
            <w:vAlign w:val="center"/>
          </w:tcPr>
          <w:p w14:paraId="2DC03BC4">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1050" w:type="dxa"/>
            <w:vAlign w:val="center"/>
          </w:tcPr>
          <w:p w14:paraId="5E9516E7">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 量</w:t>
            </w:r>
          </w:p>
        </w:tc>
        <w:tc>
          <w:tcPr>
            <w:tcW w:w="1050" w:type="dxa"/>
            <w:vAlign w:val="center"/>
          </w:tcPr>
          <w:p w14:paraId="30D09EA0">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155" w:type="dxa"/>
            <w:vAlign w:val="center"/>
          </w:tcPr>
          <w:p w14:paraId="7CA5E59D">
            <w:pPr>
              <w:pageBreakBefore w:val="0"/>
              <w:kinsoku/>
              <w:overflowPunct/>
              <w:topLinePunct w:val="0"/>
              <w:bidi w:val="0"/>
              <w:spacing w:before="120" w:beforeLines="50" w:after="120" w:afterLines="50" w:line="312" w:lineRule="auto"/>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14:paraId="14A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93" w:type="dxa"/>
          </w:tcPr>
          <w:p w14:paraId="2CD36C94">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260" w:type="dxa"/>
          </w:tcPr>
          <w:p w14:paraId="362673B9">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365" w:type="dxa"/>
            <w:vAlign w:val="center"/>
          </w:tcPr>
          <w:p w14:paraId="095C5417">
            <w:pPr>
              <w:pageBreakBefore w:val="0"/>
              <w:kinsoku/>
              <w:overflowPunct/>
              <w:topLinePunct w:val="0"/>
              <w:bidi w:val="0"/>
              <w:spacing w:before="120" w:beforeLines="50" w:after="120" w:afterLines="50" w:line="312" w:lineRule="auto"/>
              <w:ind w:firstLine="200"/>
              <w:rPr>
                <w:rFonts w:hint="eastAsia" w:ascii="仿宋" w:hAnsi="仿宋" w:eastAsia="仿宋" w:cs="仿宋"/>
                <w:b/>
                <w:color w:val="auto"/>
                <w:sz w:val="24"/>
                <w:szCs w:val="24"/>
                <w:highlight w:val="none"/>
              </w:rPr>
            </w:pPr>
          </w:p>
        </w:tc>
        <w:tc>
          <w:tcPr>
            <w:tcW w:w="1260" w:type="dxa"/>
          </w:tcPr>
          <w:p w14:paraId="4F71F0A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260" w:type="dxa"/>
          </w:tcPr>
          <w:p w14:paraId="71AACDC4">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050" w:type="dxa"/>
          </w:tcPr>
          <w:p w14:paraId="29A2FA7A">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050" w:type="dxa"/>
          </w:tcPr>
          <w:p w14:paraId="1C2F4C9B">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155" w:type="dxa"/>
          </w:tcPr>
          <w:p w14:paraId="5365B1CB">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r>
      <w:tr w14:paraId="1539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93" w:type="dxa"/>
            <w:vAlign w:val="center"/>
          </w:tcPr>
          <w:p w14:paraId="6F033F1C">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260" w:type="dxa"/>
            <w:vAlign w:val="center"/>
          </w:tcPr>
          <w:p w14:paraId="09B4B367">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365" w:type="dxa"/>
            <w:vAlign w:val="center"/>
          </w:tcPr>
          <w:p w14:paraId="23EA54F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260" w:type="dxa"/>
            <w:vAlign w:val="center"/>
          </w:tcPr>
          <w:p w14:paraId="46A4D60E">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260" w:type="dxa"/>
            <w:vAlign w:val="center"/>
          </w:tcPr>
          <w:p w14:paraId="59CE7D5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050" w:type="dxa"/>
            <w:vAlign w:val="center"/>
          </w:tcPr>
          <w:p w14:paraId="70DA010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050" w:type="dxa"/>
            <w:vAlign w:val="center"/>
          </w:tcPr>
          <w:p w14:paraId="02C1AC18">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c>
          <w:tcPr>
            <w:tcW w:w="1155" w:type="dxa"/>
            <w:vAlign w:val="center"/>
          </w:tcPr>
          <w:p w14:paraId="476A410C">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p>
        </w:tc>
      </w:tr>
      <w:tr w14:paraId="5F7D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93" w:type="dxa"/>
            <w:vAlign w:val="center"/>
          </w:tcPr>
          <w:p w14:paraId="19A3DA84">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合同总金额</w:t>
            </w:r>
          </w:p>
          <w:p w14:paraId="2085D73F">
            <w:pPr>
              <w:pageBreakBefore w:val="0"/>
              <w:kinsoku/>
              <w:overflowPunct/>
              <w:topLinePunct w:val="0"/>
              <w:bidi w:val="0"/>
              <w:spacing w:before="120" w:beforeLines="50" w:after="120" w:afterLines="5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w:t>
            </w:r>
          </w:p>
        </w:tc>
        <w:tc>
          <w:tcPr>
            <w:tcW w:w="8400" w:type="dxa"/>
            <w:gridSpan w:val="7"/>
            <w:vAlign w:val="center"/>
          </w:tcPr>
          <w:p w14:paraId="52A1B5B4">
            <w:pPr>
              <w:pageBreakBefore w:val="0"/>
              <w:kinsoku/>
              <w:overflowPunct/>
              <w:topLinePunct w:val="0"/>
              <w:bidi w:val="0"/>
              <w:spacing w:before="120" w:beforeLines="50" w:after="120" w:afterLines="5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p>
        </w:tc>
      </w:tr>
    </w:tbl>
    <w:p w14:paraId="5E0CCF54">
      <w:pPr>
        <w:pStyle w:val="17"/>
        <w:pageBreakBefore w:val="0"/>
        <w:kinsoku/>
        <w:overflowPunct/>
        <w:topLinePunct w:val="0"/>
        <w:bidi w:val="0"/>
        <w:spacing w:before="120" w:beforeLines="50" w:afterLines="50" w:line="312" w:lineRule="auto"/>
        <w:ind w:left="560" w:firstLine="480" w:firstLineChars="200"/>
        <w:rPr>
          <w:rFonts w:hint="eastAsia" w:ascii="仿宋" w:hAnsi="仿宋" w:eastAsia="仿宋" w:cs="仿宋"/>
          <w:color w:val="auto"/>
          <w:sz w:val="24"/>
          <w:szCs w:val="24"/>
          <w:highlight w:val="none"/>
        </w:rPr>
      </w:pPr>
    </w:p>
    <w:p w14:paraId="75057D82">
      <w:pPr>
        <w:pStyle w:val="17"/>
        <w:pageBreakBefore w:val="0"/>
        <w:kinsoku/>
        <w:overflowPunct/>
        <w:topLinePunct w:val="0"/>
        <w:bidi w:val="0"/>
        <w:spacing w:before="120" w:beforeLines="50" w:afterLines="50" w:line="312" w:lineRule="auto"/>
        <w:ind w:left="560"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二、乙方质量保证及售后服务承诺如下</w:t>
      </w:r>
    </w:p>
    <w:tbl>
      <w:tblPr>
        <w:tblStyle w:val="27"/>
        <w:tblW w:w="10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5"/>
      </w:tblGrid>
      <w:tr w14:paraId="0316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8" w:hRule="atLeast"/>
        </w:trPr>
        <w:tc>
          <w:tcPr>
            <w:tcW w:w="10305" w:type="dxa"/>
          </w:tcPr>
          <w:p w14:paraId="5A0F2F15">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质保期限：</w:t>
            </w:r>
          </w:p>
          <w:p w14:paraId="4BEA13DC">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保修范围：</w:t>
            </w:r>
          </w:p>
          <w:p w14:paraId="657303C1">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服务措施：</w:t>
            </w:r>
          </w:p>
          <w:p w14:paraId="2219F46F">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质保期后服务：</w:t>
            </w:r>
          </w:p>
        </w:tc>
      </w:tr>
    </w:tbl>
    <w:p w14:paraId="7CCBF537">
      <w:pPr>
        <w:pStyle w:val="17"/>
        <w:pageBreakBefore w:val="0"/>
        <w:kinsoku/>
        <w:overflowPunct/>
        <w:topLinePunct w:val="0"/>
        <w:bidi w:val="0"/>
        <w:spacing w:before="120" w:beforeLines="50" w:afterLines="50" w:line="312" w:lineRule="auto"/>
        <w:ind w:left="56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三、随机备品、附件、工具数量及供应方法：</w:t>
      </w:r>
    </w:p>
    <w:p w14:paraId="6121D174">
      <w:pPr>
        <w:pStyle w:val="17"/>
        <w:pageBreakBefore w:val="0"/>
        <w:kinsoku/>
        <w:overflowPunct/>
        <w:topLinePunct w:val="0"/>
        <w:bidi w:val="0"/>
        <w:spacing w:before="120" w:beforeLines="50" w:afterLines="50" w:line="312" w:lineRule="auto"/>
        <w:ind w:left="56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w:t>
      </w:r>
    </w:p>
    <w:p w14:paraId="46F97C1E">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78B12D6C">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4D682B16">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54CAFF5C">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7CE9AFA2">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423B4582">
      <w:pPr>
        <w:pageBreakBefore w:val="0"/>
        <w:kinsoku/>
        <w:overflowPunct/>
        <w:topLinePunct w:val="0"/>
        <w:bidi w:val="0"/>
        <w:spacing w:before="120" w:beforeLines="50" w:after="120" w:afterLines="50" w:line="312" w:lineRule="auto"/>
        <w:ind w:firstLine="439" w:firstLineChars="183"/>
        <w:rPr>
          <w:rFonts w:hint="eastAsia" w:ascii="仿宋" w:hAnsi="仿宋" w:eastAsia="仿宋" w:cs="仿宋"/>
          <w:color w:val="auto"/>
          <w:sz w:val="24"/>
          <w:szCs w:val="24"/>
          <w:highlight w:val="none"/>
        </w:rPr>
      </w:pPr>
    </w:p>
    <w:p w14:paraId="7F05F2DE">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F77A597">
      <w:pPr>
        <w:pageBreakBefore w:val="0"/>
        <w:kinsoku/>
        <w:overflowPunct/>
        <w:topLinePunct w:val="0"/>
        <w:bidi w:val="0"/>
        <w:spacing w:before="120" w:beforeLines="50" w:after="120" w:afterLines="50" w:line="312"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(以下为签章页)</w:t>
      </w:r>
    </w:p>
    <w:p w14:paraId="54F585A9">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甲方：</w:t>
      </w:r>
      <w:r>
        <w:rPr>
          <w:rFonts w:hint="eastAsia" w:ascii="仿宋" w:hAnsi="仿宋" w:eastAsia="仿宋" w:cs="仿宋"/>
          <w:bCs/>
          <w:color w:val="auto"/>
          <w:sz w:val="24"/>
          <w:szCs w:val="24"/>
          <w:highlight w:val="none"/>
          <w:u w:val="single"/>
        </w:rPr>
        <w:t xml:space="preserve">                             </w:t>
      </w:r>
    </w:p>
    <w:p w14:paraId="251131B4">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单位地址：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C417C43">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C2D2002">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法定代表人：</w:t>
      </w:r>
      <w:r>
        <w:rPr>
          <w:rFonts w:hint="eastAsia" w:ascii="仿宋" w:hAnsi="仿宋" w:eastAsia="仿宋" w:cs="仿宋"/>
          <w:bCs/>
          <w:color w:val="auto"/>
          <w:sz w:val="24"/>
          <w:szCs w:val="24"/>
          <w:highlight w:val="none"/>
          <w:u w:val="single"/>
        </w:rPr>
        <w:t xml:space="preserve">                       </w:t>
      </w:r>
    </w:p>
    <w:p w14:paraId="4FF45AD4">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委托代理人：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2223173">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电话：</w:t>
      </w:r>
      <w:r>
        <w:rPr>
          <w:rFonts w:hint="eastAsia" w:ascii="仿宋" w:hAnsi="仿宋" w:eastAsia="仿宋" w:cs="仿宋"/>
          <w:bCs/>
          <w:color w:val="auto"/>
          <w:sz w:val="24"/>
          <w:szCs w:val="24"/>
          <w:highlight w:val="none"/>
          <w:u w:val="single"/>
        </w:rPr>
        <w:t xml:space="preserve">                             </w:t>
      </w:r>
    </w:p>
    <w:p w14:paraId="640C1D7E">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开户银行：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EE14E7A">
      <w:pPr>
        <w:pageBreakBefore w:val="0"/>
        <w:kinsoku/>
        <w:overflowPunct/>
        <w:topLinePunct w:val="0"/>
        <w:bidi w:val="0"/>
        <w:spacing w:before="120" w:beforeLines="50" w:after="120" w:afterLines="50" w:line="312" w:lineRule="auto"/>
        <w:ind w:firstLine="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账号：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66181D3">
      <w:pPr>
        <w:pageBreakBefore w:val="0"/>
        <w:kinsoku/>
        <w:overflowPunct/>
        <w:topLinePunct w:val="0"/>
        <w:bidi w:val="0"/>
        <w:spacing w:before="120" w:beforeLines="50" w:after="120" w:afterLines="50" w:line="312" w:lineRule="auto"/>
        <w:ind w:firstLine="916" w:firstLineChars="3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                           年   月  日</w:t>
      </w:r>
    </w:p>
    <w:p w14:paraId="1E009608">
      <w:pPr>
        <w:pStyle w:val="17"/>
        <w:pageBreakBefore w:val="0"/>
        <w:kinsoku/>
        <w:overflowPunct/>
        <w:topLinePunct w:val="0"/>
        <w:bidi w:val="0"/>
        <w:spacing w:before="120" w:beforeLines="50" w:afterLines="50" w:line="312" w:lineRule="auto"/>
        <w:ind w:left="560"/>
        <w:rPr>
          <w:rFonts w:hint="eastAsia" w:ascii="仿宋" w:hAnsi="仿宋" w:eastAsia="仿宋" w:cs="仿宋"/>
          <w:color w:val="auto"/>
          <w:sz w:val="24"/>
          <w:szCs w:val="24"/>
          <w:highlight w:val="none"/>
        </w:rPr>
      </w:pPr>
    </w:p>
    <w:p w14:paraId="67851426">
      <w:pPr>
        <w:pageBreakBefore w:val="0"/>
        <w:tabs>
          <w:tab w:val="left" w:pos="9000"/>
        </w:tabs>
        <w:kinsoku/>
        <w:overflowPunct/>
        <w:topLinePunct w:val="0"/>
        <w:bidi w:val="0"/>
        <w:spacing w:line="312" w:lineRule="auto"/>
        <w:jc w:val="center"/>
        <w:rPr>
          <w:rFonts w:hint="eastAsia" w:ascii="仿宋" w:hAnsi="仿宋" w:eastAsia="仿宋" w:cs="仿宋"/>
          <w:color w:val="auto"/>
          <w:sz w:val="21"/>
          <w:szCs w:val="21"/>
          <w:highlight w:val="none"/>
        </w:rPr>
        <w:sectPr>
          <w:footerReference r:id="rId11" w:type="default"/>
          <w:footerReference r:id="rId12" w:type="even"/>
          <w:pgSz w:w="11907" w:h="16840"/>
          <w:pgMar w:top="1134" w:right="1191" w:bottom="1134" w:left="1304" w:header="964" w:footer="992" w:gutter="0"/>
          <w:cols w:space="720" w:num="1"/>
          <w:docGrid w:linePitch="312" w:charSpace="0"/>
        </w:sectPr>
      </w:pPr>
    </w:p>
    <w:p w14:paraId="14EA4EC0">
      <w:pPr>
        <w:pStyle w:val="8"/>
        <w:pageBreakBefore w:val="0"/>
        <w:kinsoku/>
        <w:overflowPunct/>
        <w:topLinePunct w:val="0"/>
        <w:bidi w:val="0"/>
        <w:snapToGrid w:val="0"/>
        <w:spacing w:before="0" w:after="0" w:line="312" w:lineRule="auto"/>
        <w:jc w:val="center"/>
        <w:rPr>
          <w:rFonts w:hint="eastAsia" w:ascii="仿宋" w:hAnsi="仿宋" w:eastAsia="仿宋" w:cs="仿宋"/>
          <w:color w:val="auto"/>
          <w:sz w:val="40"/>
          <w:szCs w:val="32"/>
          <w:highlight w:val="none"/>
        </w:rPr>
      </w:pPr>
      <w:bookmarkStart w:id="128" w:name="_Toc15278"/>
      <w:r>
        <w:rPr>
          <w:rFonts w:hint="eastAsia" w:ascii="仿宋" w:hAnsi="仿宋" w:eastAsia="仿宋" w:cs="仿宋"/>
          <w:color w:val="auto"/>
          <w:sz w:val="40"/>
          <w:szCs w:val="32"/>
          <w:highlight w:val="none"/>
        </w:rPr>
        <w:t>第七篇  响应文件格式要求</w:t>
      </w:r>
      <w:bookmarkEnd w:id="124"/>
      <w:bookmarkEnd w:id="128"/>
    </w:p>
    <w:p w14:paraId="5A09896D">
      <w:pPr>
        <w:pageBreakBefore w:val="0"/>
        <w:kinsoku/>
        <w:overflowPunct/>
        <w:topLinePunct w:val="0"/>
        <w:bidi w:val="0"/>
        <w:spacing w:line="312"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6AEAF06D">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59CE73BF">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573004E7">
      <w:pPr>
        <w:pageBreakBefore w:val="0"/>
        <w:kinsoku/>
        <w:overflowPunct/>
        <w:topLinePunct w:val="0"/>
        <w:bidi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二、技术部分</w:t>
      </w:r>
    </w:p>
    <w:p w14:paraId="25ED90CD">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（一）技术条款差异表</w:t>
      </w:r>
    </w:p>
    <w:p w14:paraId="081D5DF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14:paraId="4A597101">
      <w:pPr>
        <w:pageBreakBefore w:val="0"/>
        <w:kinsoku/>
        <w:overflowPunct/>
        <w:topLinePunct w:val="0"/>
        <w:bidi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3AE3DFA2">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59DA7257">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14:paraId="10800E77">
      <w:pPr>
        <w:pageBreakBefore w:val="0"/>
        <w:kinsoku/>
        <w:overflowPunct/>
        <w:topLinePunct w:val="0"/>
        <w:bidi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14:paraId="05DFB73F">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669E6733">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A9AF75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32A9C124">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136EA58B">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082B10BE">
      <w:pPr>
        <w:pageBreakBefore w:val="0"/>
        <w:kinsoku/>
        <w:overflowPunct/>
        <w:topLinePunct w:val="0"/>
        <w:bidi w:val="0"/>
        <w:snapToGrid w:val="0"/>
        <w:spacing w:line="312"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6D41330B">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bdr w:val="single" w:color="auto" w:sz="4" w:space="0"/>
        </w:rPr>
        <w:sectPr>
          <w:headerReference r:id="rId13" w:type="default"/>
          <w:footerReference r:id="rId14" w:type="default"/>
          <w:pgSz w:w="11907" w:h="16840"/>
          <w:pgMar w:top="1134" w:right="1191" w:bottom="1134" w:left="1304" w:header="851" w:footer="992" w:gutter="0"/>
          <w:cols w:space="720" w:num="1"/>
          <w:docGrid w:linePitch="380" w:charSpace="-5735"/>
        </w:sect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）其他与项目有关的资料（自附）</w:t>
      </w:r>
    </w:p>
    <w:p w14:paraId="09A756F0">
      <w:pPr>
        <w:pStyle w:val="9"/>
        <w:pageBreakBefore w:val="0"/>
        <w:kinsoku/>
        <w:overflowPunct/>
        <w:topLinePunct w:val="0"/>
        <w:bidi w:val="0"/>
        <w:spacing w:before="0" w:after="0" w:line="312" w:lineRule="auto"/>
        <w:rPr>
          <w:rFonts w:hint="eastAsia" w:ascii="仿宋" w:hAnsi="仿宋" w:eastAsia="仿宋" w:cs="仿宋"/>
          <w:color w:val="auto"/>
          <w:szCs w:val="32"/>
          <w:highlight w:val="none"/>
        </w:rPr>
      </w:pPr>
      <w:bookmarkStart w:id="129" w:name="_Toc5618"/>
      <w:r>
        <w:rPr>
          <w:rFonts w:hint="eastAsia" w:ascii="仿宋" w:hAnsi="仿宋" w:eastAsia="仿宋" w:cs="仿宋"/>
          <w:color w:val="auto"/>
          <w:szCs w:val="32"/>
          <w:highlight w:val="none"/>
        </w:rPr>
        <w:t>一、经济部分</w:t>
      </w:r>
      <w:bookmarkEnd w:id="129"/>
    </w:p>
    <w:p w14:paraId="69FEEBB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46597D51">
      <w:pPr>
        <w:pageBreakBefore w:val="0"/>
        <w:tabs>
          <w:tab w:val="left" w:pos="6300"/>
        </w:tabs>
        <w:kinsoku/>
        <w:overflowPunct/>
        <w:topLinePunct w:val="0"/>
        <w:bidi w:val="0"/>
        <w:snapToGrid w:val="0"/>
        <w:spacing w:line="312"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报价函</w:t>
      </w:r>
    </w:p>
    <w:p w14:paraId="5819C8A7">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（采购人名称）  </w:t>
      </w:r>
      <w:r>
        <w:rPr>
          <w:rFonts w:hint="eastAsia" w:ascii="仿宋" w:hAnsi="仿宋" w:eastAsia="仿宋" w:cs="仿宋"/>
          <w:color w:val="auto"/>
          <w:sz w:val="24"/>
          <w:szCs w:val="24"/>
          <w:highlight w:val="none"/>
        </w:rPr>
        <w:t>：</w:t>
      </w:r>
    </w:p>
    <w:p w14:paraId="38011CF4">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文件，经详细研究，决定参加该项目的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774A75EA">
      <w:pPr>
        <w:pageBreakBefore w:val="0"/>
        <w:numPr>
          <w:ilvl w:val="0"/>
          <w:numId w:val="3"/>
        </w:numPr>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中的一切要求，提供本项目的货物及服务，报价为人民币大写：</w:t>
      </w:r>
    </w:p>
    <w:p w14:paraId="665EE901">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B31EA5E">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w:t>
      </w:r>
      <w:r>
        <w:rPr>
          <w:rFonts w:hint="eastAsia" w:ascii="仿宋" w:hAnsi="仿宋" w:eastAsia="仿宋" w:cs="仿宋"/>
          <w:color w:val="auto"/>
          <w:sz w:val="24"/>
          <w:szCs w:val="24"/>
          <w:highlight w:val="none"/>
          <w:lang w:val="en-US" w:eastAsia="zh-CN"/>
        </w:rPr>
        <w:t xml:space="preserve">电子文档    </w:t>
      </w:r>
      <w:r>
        <w:rPr>
          <w:rFonts w:hint="eastAsia" w:ascii="仿宋" w:hAnsi="仿宋" w:eastAsia="仿宋" w:cs="仿宋"/>
          <w:color w:val="auto"/>
          <w:sz w:val="24"/>
          <w:szCs w:val="24"/>
          <w:highlight w:val="none"/>
        </w:rPr>
        <w:t>份。</w:t>
      </w:r>
    </w:p>
    <w:p w14:paraId="1DA5F3C1">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的有效期为90天。</w:t>
      </w:r>
    </w:p>
    <w:p w14:paraId="59B48B72">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的一切规定和要求及评审办法。</w:t>
      </w:r>
    </w:p>
    <w:p w14:paraId="7A036A5F">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采购过程</w:t>
      </w:r>
      <w:r>
        <w:rPr>
          <w:rFonts w:hint="eastAsia" w:ascii="仿宋" w:hAnsi="仿宋" w:eastAsia="仿宋" w:cs="仿宋"/>
          <w:color w:val="auto"/>
          <w:sz w:val="24"/>
          <w:szCs w:val="24"/>
          <w:highlight w:val="none"/>
        </w:rPr>
        <w:t>中，我方若有违规行为，接受按照《中华人民共和国政府采购法》和《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》之规定给予惩罚。</w:t>
      </w:r>
    </w:p>
    <w:p w14:paraId="276F07F1">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6D7F4FAB">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029FAA69">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0EF6506A">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232FFDE3">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09B5A24E">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6DEBE5B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网址：                                             </w:t>
      </w:r>
    </w:p>
    <w:p w14:paraId="061A910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49149D3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69322B88">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sectPr>
          <w:headerReference r:id="rId15" w:type="default"/>
          <w:footerReference r:id="rId16" w:type="default"/>
          <w:pgSz w:w="11907" w:h="16840"/>
          <w:pgMar w:top="1134" w:right="1191" w:bottom="1134" w:left="1304" w:header="851" w:footer="992" w:gutter="0"/>
          <w:cols w:space="720" w:num="1"/>
          <w:rtlGutter w:val="1"/>
          <w:docGrid w:linePitch="380" w:charSpace="-5735"/>
        </w:sectPr>
      </w:pPr>
      <w:r>
        <w:rPr>
          <w:rFonts w:hint="eastAsia" w:ascii="仿宋" w:hAnsi="仿宋" w:eastAsia="仿宋" w:cs="仿宋"/>
          <w:color w:val="auto"/>
          <w:sz w:val="24"/>
          <w:szCs w:val="24"/>
          <w:highlight w:val="none"/>
        </w:rPr>
        <w:t xml:space="preserve">                                                  年   月   日</w:t>
      </w:r>
    </w:p>
    <w:p w14:paraId="221CE181">
      <w:pPr>
        <w:pageBreakBefore w:val="0"/>
        <w:kinsoku/>
        <w:overflowPunct/>
        <w:topLinePunct w:val="0"/>
        <w:bidi w:val="0"/>
        <w:spacing w:line="312" w:lineRule="auto"/>
        <w:rPr>
          <w:rFonts w:hint="eastAsia" w:ascii="仿宋" w:hAnsi="仿宋" w:eastAsia="仿宋" w:cs="仿宋"/>
          <w:color w:val="auto"/>
          <w:sz w:val="24"/>
          <w:szCs w:val="18"/>
          <w:highlight w:val="none"/>
        </w:rPr>
      </w:pPr>
      <w:bookmarkStart w:id="130" w:name="_Toc161727399"/>
      <w:r>
        <w:rPr>
          <w:rFonts w:hint="eastAsia" w:ascii="仿宋" w:hAnsi="仿宋" w:eastAsia="仿宋" w:cs="仿宋"/>
          <w:color w:val="auto"/>
          <w:sz w:val="24"/>
          <w:szCs w:val="18"/>
          <w:highlight w:val="none"/>
        </w:rPr>
        <w:t>（二）分项报价明细表</w:t>
      </w:r>
      <w:bookmarkEnd w:id="130"/>
    </w:p>
    <w:p w14:paraId="40ECDE46">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7"/>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637"/>
        <w:gridCol w:w="1260"/>
        <w:gridCol w:w="1260"/>
        <w:gridCol w:w="1185"/>
        <w:gridCol w:w="1508"/>
        <w:gridCol w:w="1508"/>
      </w:tblGrid>
      <w:tr w14:paraId="19EB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939" w:type="dxa"/>
            <w:vAlign w:val="center"/>
          </w:tcPr>
          <w:p w14:paraId="3D8831E2">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637" w:type="dxa"/>
            <w:vAlign w:val="center"/>
          </w:tcPr>
          <w:p w14:paraId="4ED811B0">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1260" w:type="dxa"/>
            <w:vAlign w:val="center"/>
          </w:tcPr>
          <w:p w14:paraId="68FD2012">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规格型号</w:t>
            </w:r>
          </w:p>
        </w:tc>
        <w:tc>
          <w:tcPr>
            <w:tcW w:w="1260" w:type="dxa"/>
            <w:vAlign w:val="center"/>
          </w:tcPr>
          <w:p w14:paraId="60616FFD">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单位</w:t>
            </w:r>
          </w:p>
        </w:tc>
        <w:tc>
          <w:tcPr>
            <w:tcW w:w="1185" w:type="dxa"/>
            <w:vAlign w:val="center"/>
          </w:tcPr>
          <w:p w14:paraId="75211D2E">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暂定</w:t>
            </w:r>
            <w:r>
              <w:rPr>
                <w:rFonts w:hint="eastAsia" w:ascii="仿宋" w:hAnsi="仿宋" w:eastAsia="仿宋" w:cs="仿宋"/>
                <w:b/>
                <w:color w:val="auto"/>
                <w:sz w:val="21"/>
                <w:szCs w:val="21"/>
                <w:highlight w:val="none"/>
              </w:rPr>
              <w:t>数量</w:t>
            </w:r>
          </w:p>
        </w:tc>
        <w:tc>
          <w:tcPr>
            <w:tcW w:w="1508" w:type="dxa"/>
            <w:vAlign w:val="center"/>
          </w:tcPr>
          <w:p w14:paraId="00044EEB">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单价报价</w:t>
            </w:r>
          </w:p>
          <w:p w14:paraId="6B43C657">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（元</w:t>
            </w:r>
            <w:r>
              <w:rPr>
                <w:rFonts w:hint="eastAsia" w:ascii="仿宋" w:hAnsi="仿宋" w:eastAsia="仿宋" w:cs="仿宋"/>
                <w:b/>
                <w:color w:val="auto"/>
                <w:sz w:val="21"/>
                <w:szCs w:val="21"/>
                <w:highlight w:val="none"/>
                <w:lang w:val="en-US" w:eastAsia="zh-CN"/>
              </w:rPr>
              <w:t>/套</w:t>
            </w:r>
            <w:r>
              <w:rPr>
                <w:rFonts w:hint="eastAsia" w:ascii="仿宋" w:hAnsi="仿宋" w:eastAsia="仿宋" w:cs="仿宋"/>
                <w:b/>
                <w:color w:val="auto"/>
                <w:sz w:val="21"/>
                <w:szCs w:val="21"/>
                <w:highlight w:val="none"/>
              </w:rPr>
              <w:t>）</w:t>
            </w:r>
          </w:p>
        </w:tc>
        <w:tc>
          <w:tcPr>
            <w:tcW w:w="1508" w:type="dxa"/>
            <w:vAlign w:val="center"/>
          </w:tcPr>
          <w:p w14:paraId="11842D65">
            <w:pPr>
              <w:pageBreakBefore w:val="0"/>
              <w:kinsoku/>
              <w:overflowPunct/>
              <w:topLinePunct w:val="0"/>
              <w:bidi w:val="0"/>
              <w:spacing w:line="312"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合价（元）</w:t>
            </w:r>
          </w:p>
        </w:tc>
      </w:tr>
      <w:tr w14:paraId="72BF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E7B289">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37" w:type="dxa"/>
            <w:vAlign w:val="center"/>
          </w:tcPr>
          <w:p w14:paraId="0FF8B90F">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冲锋衣(女)</w:t>
            </w:r>
          </w:p>
        </w:tc>
        <w:tc>
          <w:tcPr>
            <w:tcW w:w="1260" w:type="dxa"/>
            <w:vAlign w:val="center"/>
          </w:tcPr>
          <w:p w14:paraId="5B6908A2">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531535A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185" w:type="dxa"/>
            <w:vAlign w:val="center"/>
          </w:tcPr>
          <w:p w14:paraId="654CD65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287</w:t>
            </w:r>
          </w:p>
        </w:tc>
        <w:tc>
          <w:tcPr>
            <w:tcW w:w="1508" w:type="dxa"/>
            <w:vAlign w:val="center"/>
          </w:tcPr>
          <w:p w14:paraId="3B4B7961">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0D668495">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081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CA6F2E4">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37" w:type="dxa"/>
            <w:vAlign w:val="center"/>
          </w:tcPr>
          <w:p w14:paraId="2F961C0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长袖针织衫(女)</w:t>
            </w:r>
          </w:p>
        </w:tc>
        <w:tc>
          <w:tcPr>
            <w:tcW w:w="1260" w:type="dxa"/>
            <w:vAlign w:val="center"/>
          </w:tcPr>
          <w:p w14:paraId="03D5B77A">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5EFBB0C7">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185" w:type="dxa"/>
            <w:vAlign w:val="center"/>
          </w:tcPr>
          <w:p w14:paraId="56544443">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287</w:t>
            </w:r>
          </w:p>
        </w:tc>
        <w:tc>
          <w:tcPr>
            <w:tcW w:w="1508" w:type="dxa"/>
            <w:vAlign w:val="center"/>
          </w:tcPr>
          <w:p w14:paraId="37856841">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3AD81C5D">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6258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F53EEBF">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637" w:type="dxa"/>
            <w:vAlign w:val="center"/>
          </w:tcPr>
          <w:p w14:paraId="6EBD62B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冲锋衣(男)</w:t>
            </w:r>
          </w:p>
        </w:tc>
        <w:tc>
          <w:tcPr>
            <w:tcW w:w="1260" w:type="dxa"/>
            <w:vAlign w:val="center"/>
          </w:tcPr>
          <w:p w14:paraId="13FCC700">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5973C3DA">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185" w:type="dxa"/>
            <w:vAlign w:val="center"/>
          </w:tcPr>
          <w:p w14:paraId="6C44DAB4">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117</w:t>
            </w:r>
          </w:p>
        </w:tc>
        <w:tc>
          <w:tcPr>
            <w:tcW w:w="1508" w:type="dxa"/>
            <w:vAlign w:val="center"/>
          </w:tcPr>
          <w:p w14:paraId="0D5A4888">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30C281DA">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3B8D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B68025A">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637" w:type="dxa"/>
            <w:vAlign w:val="center"/>
          </w:tcPr>
          <w:p w14:paraId="25D15C8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长袖针织衫(男)</w:t>
            </w:r>
          </w:p>
        </w:tc>
        <w:tc>
          <w:tcPr>
            <w:tcW w:w="1260" w:type="dxa"/>
            <w:vAlign w:val="center"/>
          </w:tcPr>
          <w:p w14:paraId="0D81CF53">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32879784">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1185" w:type="dxa"/>
            <w:vAlign w:val="center"/>
          </w:tcPr>
          <w:p w14:paraId="16849EC6">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4"/>
                <w:szCs w:val="24"/>
                <w:highlight w:val="none"/>
                <w:u w:val="none"/>
                <w:lang w:val="en-US" w:eastAsia="zh-CN" w:bidi="ar"/>
              </w:rPr>
              <w:t>117</w:t>
            </w:r>
          </w:p>
        </w:tc>
        <w:tc>
          <w:tcPr>
            <w:tcW w:w="1508" w:type="dxa"/>
            <w:vAlign w:val="center"/>
          </w:tcPr>
          <w:p w14:paraId="09CEA93E">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6B8F9FDC">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315F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967448C">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637" w:type="dxa"/>
            <w:vAlign w:val="center"/>
          </w:tcPr>
          <w:p w14:paraId="68DA0BD8">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67F958E4">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7409CDA2">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47777208">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3A5611D2">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53AF9C9B">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713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30A68D4">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637" w:type="dxa"/>
            <w:vAlign w:val="center"/>
          </w:tcPr>
          <w:p w14:paraId="6DCE0FC5">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6B627CE5">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2EA7093B">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04202CFC">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6C3C4183">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12FB4502">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0C5E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714E5D">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637" w:type="dxa"/>
            <w:vAlign w:val="center"/>
          </w:tcPr>
          <w:p w14:paraId="36DAB8B6">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28C8A4E6">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12FEAC0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6A157F58">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534B6CE9">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3ED39D51">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3055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79A807">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637" w:type="dxa"/>
            <w:vAlign w:val="center"/>
          </w:tcPr>
          <w:p w14:paraId="257B6CD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46C43537">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65927F09">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55B9383A">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64D9294E">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0D73D377">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41BF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38D986">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637" w:type="dxa"/>
            <w:vAlign w:val="center"/>
          </w:tcPr>
          <w:p w14:paraId="7C7308D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67E187D5">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4B5DAB67">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402C7A6A">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7415A2BE">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7935BCB2">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19F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532B916">
            <w:pPr>
              <w:pStyle w:val="3"/>
              <w:pageBreakBefore w:val="0"/>
              <w:kinsoku/>
              <w:overflowPunct/>
              <w:topLinePunct w:val="0"/>
              <w:bidi w:val="0"/>
              <w:spacing w:line="312" w:lineRule="auto"/>
              <w:ind w:left="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2637" w:type="dxa"/>
            <w:vAlign w:val="center"/>
          </w:tcPr>
          <w:p w14:paraId="74DFCA81">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1A22B297">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260" w:type="dxa"/>
            <w:vAlign w:val="center"/>
          </w:tcPr>
          <w:p w14:paraId="260FE796">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185" w:type="dxa"/>
            <w:vAlign w:val="center"/>
          </w:tcPr>
          <w:p w14:paraId="04004B08">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4B17E1FF">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c>
          <w:tcPr>
            <w:tcW w:w="1508" w:type="dxa"/>
            <w:vAlign w:val="center"/>
          </w:tcPr>
          <w:p w14:paraId="5FB3FD61">
            <w:pPr>
              <w:pageBreakBefore w:val="0"/>
              <w:kinsoku/>
              <w:overflowPunct/>
              <w:topLinePunct w:val="0"/>
              <w:bidi w:val="0"/>
              <w:spacing w:line="312" w:lineRule="auto"/>
              <w:jc w:val="center"/>
              <w:rPr>
                <w:rFonts w:hint="eastAsia" w:ascii="仿宋" w:hAnsi="仿宋" w:eastAsia="仿宋" w:cs="仿宋"/>
                <w:color w:val="auto"/>
                <w:sz w:val="21"/>
                <w:szCs w:val="21"/>
                <w:highlight w:val="none"/>
              </w:rPr>
            </w:pPr>
          </w:p>
        </w:tc>
      </w:tr>
      <w:tr w14:paraId="0564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B499EFE">
            <w:pPr>
              <w:pageBreakBefore w:val="0"/>
              <w:kinsoku/>
              <w:overflowPunct/>
              <w:topLinePunct w:val="0"/>
              <w:bidi w:val="0"/>
              <w:spacing w:line="312" w:lineRule="auto"/>
              <w:rPr>
                <w:rFonts w:hint="eastAsia" w:ascii="仿宋" w:hAnsi="仿宋" w:eastAsia="仿宋" w:cs="仿宋"/>
                <w:color w:val="auto"/>
                <w:sz w:val="21"/>
                <w:szCs w:val="21"/>
                <w:highlight w:val="none"/>
              </w:rPr>
            </w:pPr>
          </w:p>
        </w:tc>
        <w:tc>
          <w:tcPr>
            <w:tcW w:w="6342" w:type="dxa"/>
            <w:gridSpan w:val="4"/>
            <w:vAlign w:val="center"/>
          </w:tcPr>
          <w:p w14:paraId="62AECBEB">
            <w:pPr>
              <w:pageBreakBefore w:val="0"/>
              <w:kinsoku/>
              <w:overflowPunct/>
              <w:topLinePunct w:val="0"/>
              <w:bidi w:val="0"/>
              <w:spacing w:line="312"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总报价（元）</w:t>
            </w:r>
          </w:p>
        </w:tc>
        <w:tc>
          <w:tcPr>
            <w:tcW w:w="3016" w:type="dxa"/>
            <w:gridSpan w:val="2"/>
          </w:tcPr>
          <w:p w14:paraId="0E0B0AA6">
            <w:pPr>
              <w:pageBreakBefore w:val="0"/>
              <w:kinsoku/>
              <w:overflowPunct/>
              <w:topLinePunct w:val="0"/>
              <w:bidi w:val="0"/>
              <w:spacing w:line="312" w:lineRule="auto"/>
              <w:rPr>
                <w:rFonts w:hint="eastAsia" w:ascii="仿宋" w:hAnsi="仿宋" w:eastAsia="仿宋" w:cs="仿宋"/>
                <w:color w:val="auto"/>
                <w:sz w:val="21"/>
                <w:szCs w:val="21"/>
                <w:highlight w:val="none"/>
              </w:rPr>
            </w:pPr>
          </w:p>
        </w:tc>
      </w:tr>
    </w:tbl>
    <w:p w14:paraId="18CD37B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p>
    <w:p w14:paraId="1609279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注：1.本表可根据项目实际情况调整格式。</w:t>
      </w:r>
    </w:p>
    <w:p w14:paraId="6E32D70E">
      <w:pPr>
        <w:pageBreakBefore w:val="0"/>
        <w:kinsoku/>
        <w:overflowPunct/>
        <w:topLinePunct w:val="0"/>
        <w:bidi w:val="0"/>
        <w:spacing w:line="312"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2.本表可扩展，并逐页签字或盖章。</w:t>
      </w:r>
    </w:p>
    <w:p w14:paraId="62BA6326">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1550F810">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p>
    <w:p w14:paraId="414128F1">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p>
    <w:p w14:paraId="66927486">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                  法定代表人（或法定代表人/授权代表）：</w:t>
      </w:r>
    </w:p>
    <w:p w14:paraId="39595575">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0C90789">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31732C92">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6F24873A">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79607524">
      <w:pPr>
        <w:pageBreakBefore w:val="0"/>
        <w:kinsoku/>
        <w:overflowPunct/>
        <w:topLinePunct w:val="0"/>
        <w:bidi w:val="0"/>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D57DA1D">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2500D0EF">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776869B0">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sectPr>
          <w:headerReference r:id="rId17" w:type="default"/>
          <w:pgSz w:w="11907" w:h="16840"/>
          <w:pgMar w:top="1134" w:right="1191" w:bottom="1134" w:left="1304" w:header="851" w:footer="992" w:gutter="0"/>
          <w:cols w:space="720" w:num="1"/>
          <w:docGrid w:linePitch="380" w:charSpace="-5735"/>
        </w:sectPr>
      </w:pPr>
    </w:p>
    <w:p w14:paraId="23D9E7DD">
      <w:pPr>
        <w:pStyle w:val="9"/>
        <w:pageBreakBefore w:val="0"/>
        <w:kinsoku/>
        <w:overflowPunct/>
        <w:topLinePunct w:val="0"/>
        <w:bidi w:val="0"/>
        <w:spacing w:before="0" w:after="0" w:line="312" w:lineRule="auto"/>
        <w:rPr>
          <w:rFonts w:hint="eastAsia" w:ascii="仿宋" w:hAnsi="仿宋" w:eastAsia="仿宋" w:cs="仿宋"/>
          <w:color w:val="auto"/>
          <w:szCs w:val="32"/>
          <w:highlight w:val="none"/>
        </w:rPr>
      </w:pPr>
      <w:bookmarkStart w:id="131" w:name="_Toc313008357"/>
      <w:bookmarkStart w:id="132" w:name="_Toc342913420"/>
      <w:bookmarkStart w:id="133" w:name="_Toc313888361"/>
      <w:bookmarkStart w:id="134" w:name="_Toc3043"/>
      <w:r>
        <w:rPr>
          <w:rFonts w:hint="eastAsia" w:ascii="仿宋" w:hAnsi="仿宋" w:eastAsia="仿宋" w:cs="仿宋"/>
          <w:color w:val="auto"/>
          <w:szCs w:val="32"/>
          <w:highlight w:val="none"/>
        </w:rPr>
        <w:t>二、</w:t>
      </w:r>
      <w:bookmarkEnd w:id="131"/>
      <w:bookmarkEnd w:id="132"/>
      <w:bookmarkEnd w:id="133"/>
      <w:r>
        <w:rPr>
          <w:rFonts w:hint="eastAsia" w:ascii="仿宋" w:hAnsi="仿宋" w:eastAsia="仿宋" w:cs="仿宋"/>
          <w:color w:val="auto"/>
          <w:szCs w:val="32"/>
          <w:highlight w:val="none"/>
        </w:rPr>
        <w:t>技术部分</w:t>
      </w:r>
      <w:bookmarkEnd w:id="134"/>
    </w:p>
    <w:p w14:paraId="7BB044A7">
      <w:pPr>
        <w:pageBreakBefore w:val="0"/>
        <w:kinsoku/>
        <w:overflowPunct/>
        <w:topLinePunct w:val="0"/>
        <w:bidi w:val="0"/>
        <w:spacing w:line="312" w:lineRule="auto"/>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（一）技术条款差异表</w:t>
      </w:r>
    </w:p>
    <w:p w14:paraId="3B0A06D3">
      <w:pPr>
        <w:pageBreakBefore w:val="0"/>
        <w:tabs>
          <w:tab w:val="left" w:pos="2145"/>
        </w:tabs>
        <w:kinsoku/>
        <w:overflowPunct/>
        <w:topLinePunct w:val="0"/>
        <w:bidi w:val="0"/>
        <w:spacing w:line="312"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445B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4F23383C">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28" w:type="dxa"/>
            <w:vAlign w:val="center"/>
          </w:tcPr>
          <w:p w14:paraId="5F47737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需求</w:t>
            </w:r>
          </w:p>
        </w:tc>
        <w:tc>
          <w:tcPr>
            <w:tcW w:w="2520" w:type="dxa"/>
            <w:vAlign w:val="center"/>
          </w:tcPr>
          <w:p w14:paraId="263CAC5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1888" w:type="dxa"/>
            <w:vAlign w:val="center"/>
          </w:tcPr>
          <w:p w14:paraId="747C064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14EF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D28E33F">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0D3A371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24F2236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31C45DF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2E0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10A84E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3D7C05A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5445F2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60C941D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1112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4711CF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71B4CD0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0BC5C92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7669A3B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B4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9FE6BA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4C78BA9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344C2BD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60BDC16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30F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1B3348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7259EA3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7B16CDF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60EDA85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5EDE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EFA01F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164901A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1A3C059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49AD564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4BC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639831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62CBEF2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4DD34BD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0E1D5EC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5FB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188DC6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4DDA533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12777FA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191DE16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213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284EFE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0DC4A15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06FF7C5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10348C8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D1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C174A1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56213B3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4FE5022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30E0DC2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3DE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85B3DC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7401E6E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6B5B92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40AE6AE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bl>
    <w:p w14:paraId="62EFD8AD">
      <w:pPr>
        <w:pageBreakBefore w:val="0"/>
        <w:kinsoku/>
        <w:overflowPunct/>
        <w:topLinePunct w:val="0"/>
        <w:bidi w:val="0"/>
        <w:spacing w:line="312"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60574D9F">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2AFFB85">
      <w:pPr>
        <w:pageBreakBefore w:val="0"/>
        <w:kinsoku/>
        <w:overflowPunct/>
        <w:topLinePunct w:val="0"/>
        <w:bidi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78E91BA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8AA9EA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C4CF1BF">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bookmarkStart w:id="135" w:name="_Toc80104370"/>
      <w:r>
        <w:rPr>
          <w:rFonts w:hint="eastAsia" w:ascii="仿宋" w:hAnsi="仿宋" w:eastAsia="仿宋" w:cs="仿宋"/>
          <w:color w:val="auto"/>
          <w:sz w:val="24"/>
          <w:szCs w:val="24"/>
          <w:highlight w:val="none"/>
        </w:rPr>
        <w:t>1.本表即为对本项目“第二篇  项目技术规格、数量及质量要求”中所列条款进行比较和响应；</w:t>
      </w:r>
    </w:p>
    <w:p w14:paraId="27145EAE">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该表必须按照</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要求逐条如实填写，根据响应情况在“差异说明”项填写正偏离或负偏离及原因，完全符合的填写“无差异”。</w:t>
      </w:r>
    </w:p>
    <w:p w14:paraId="3BC71593">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w:t>
      </w:r>
    </w:p>
    <w:p w14:paraId="50AA300F">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（二）服务方案</w:t>
      </w:r>
    </w:p>
    <w:p w14:paraId="4D1199A7">
      <w:pPr>
        <w:pStyle w:val="9"/>
        <w:pageBreakBefore w:val="0"/>
        <w:kinsoku/>
        <w:overflowPunct/>
        <w:topLinePunct w:val="0"/>
        <w:bidi w:val="0"/>
        <w:spacing w:before="0" w:after="0" w:line="312" w:lineRule="auto"/>
        <w:jc w:val="center"/>
        <w:rPr>
          <w:rFonts w:hint="eastAsia" w:ascii="仿宋" w:hAnsi="仿宋" w:eastAsia="仿宋" w:cs="仿宋"/>
          <w:b w:val="0"/>
          <w:color w:val="auto"/>
          <w:sz w:val="24"/>
          <w:szCs w:val="24"/>
          <w:highlight w:val="none"/>
        </w:rPr>
      </w:pPr>
    </w:p>
    <w:p w14:paraId="5A8ED9D3">
      <w:pPr>
        <w:pStyle w:val="9"/>
        <w:pageBreakBefore w:val="0"/>
        <w:kinsoku/>
        <w:overflowPunct/>
        <w:topLinePunct w:val="0"/>
        <w:bidi w:val="0"/>
        <w:spacing w:before="0" w:after="0" w:line="312" w:lineRule="auto"/>
        <w:jc w:val="center"/>
        <w:rPr>
          <w:rFonts w:hint="eastAsia" w:ascii="仿宋" w:hAnsi="仿宋" w:eastAsia="仿宋" w:cs="仿宋"/>
          <w:color w:val="auto"/>
          <w:szCs w:val="32"/>
          <w:highlight w:val="none"/>
        </w:rPr>
      </w:pPr>
      <w:bookmarkStart w:id="136" w:name="_Toc24455"/>
      <w:r>
        <w:rPr>
          <w:rFonts w:hint="eastAsia" w:ascii="仿宋" w:hAnsi="仿宋" w:eastAsia="仿宋" w:cs="仿宋"/>
          <w:b w:val="0"/>
          <w:color w:val="auto"/>
          <w:sz w:val="24"/>
          <w:szCs w:val="24"/>
          <w:highlight w:val="none"/>
        </w:rPr>
        <w:t>根据技术部分中服务方案的评审标准编写，格式自拟。</w:t>
      </w:r>
      <w:r>
        <w:rPr>
          <w:rFonts w:hint="eastAsia" w:ascii="仿宋" w:hAnsi="仿宋" w:eastAsia="仿宋" w:cs="仿宋"/>
          <w:b w:val="0"/>
          <w:color w:val="auto"/>
          <w:highlight w:val="none"/>
        </w:rPr>
        <w:br w:type="page"/>
      </w:r>
      <w:r>
        <w:rPr>
          <w:rFonts w:hint="eastAsia" w:ascii="仿宋" w:hAnsi="仿宋" w:eastAsia="仿宋" w:cs="仿宋"/>
          <w:color w:val="auto"/>
          <w:szCs w:val="32"/>
          <w:highlight w:val="none"/>
        </w:rPr>
        <w:t>三、商务部分</w:t>
      </w:r>
      <w:bookmarkEnd w:id="135"/>
      <w:bookmarkEnd w:id="136"/>
    </w:p>
    <w:p w14:paraId="77F3742D">
      <w:pPr>
        <w:pageBreakBefore w:val="0"/>
        <w:kinsoku/>
        <w:overflowPunct/>
        <w:topLinePunct w:val="0"/>
        <w:bidi w:val="0"/>
        <w:spacing w:line="312" w:lineRule="auto"/>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（一）商务响应偏离表</w:t>
      </w:r>
    </w:p>
    <w:p w14:paraId="0F77F56D">
      <w:pPr>
        <w:pageBreakBefore w:val="0"/>
        <w:tabs>
          <w:tab w:val="left" w:pos="2145"/>
        </w:tabs>
        <w:kinsoku/>
        <w:overflowPunct/>
        <w:topLinePunct w:val="0"/>
        <w:bidi w:val="0"/>
        <w:spacing w:line="312"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15FE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30C5BFE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28" w:type="dxa"/>
            <w:vAlign w:val="center"/>
          </w:tcPr>
          <w:p w14:paraId="744D40F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项目需求</w:t>
            </w:r>
          </w:p>
        </w:tc>
        <w:tc>
          <w:tcPr>
            <w:tcW w:w="2520" w:type="dxa"/>
            <w:vAlign w:val="center"/>
          </w:tcPr>
          <w:p w14:paraId="2BEBEA3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1888" w:type="dxa"/>
            <w:vAlign w:val="center"/>
          </w:tcPr>
          <w:p w14:paraId="583FC9E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0374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74733A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4B5190D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6F90059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15D4270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71F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CF7767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1EE4D2BE">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2D6FD8D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46DBF0C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21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B8DB6C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73393B1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9F1F1B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7DD7C3E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CCB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EDE8A2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149C903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ACB968F">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2012433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7DB9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2CBE2D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2F1A610B">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17D4EEE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4C9F136A">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07B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E95520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7DE8ADAF">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40CC4B8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5B20A8C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358C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4DF6C0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2BC6260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B012B0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1DC82DDD">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4E18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623A7F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042630E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69FB9577">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25A36408">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DCC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841D410">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321AE81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43DE9495">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585024A9">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6CC7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DF45DC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475C2FB2">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675B62B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3591CB3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r w14:paraId="1FDA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F0D9F34">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428" w:type="dxa"/>
            <w:vAlign w:val="center"/>
          </w:tcPr>
          <w:p w14:paraId="46963006">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2520" w:type="dxa"/>
            <w:vAlign w:val="center"/>
          </w:tcPr>
          <w:p w14:paraId="56C852F3">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c>
          <w:tcPr>
            <w:tcW w:w="1888" w:type="dxa"/>
            <w:vAlign w:val="center"/>
          </w:tcPr>
          <w:p w14:paraId="0D62B3C1">
            <w:pPr>
              <w:pageBreakBefore w:val="0"/>
              <w:tabs>
                <w:tab w:val="left" w:pos="6300"/>
              </w:tabs>
              <w:kinsoku/>
              <w:overflowPunct/>
              <w:topLinePunct w:val="0"/>
              <w:bidi w:val="0"/>
              <w:snapToGrid w:val="0"/>
              <w:spacing w:line="312" w:lineRule="auto"/>
              <w:jc w:val="center"/>
              <w:outlineLvl w:val="0"/>
              <w:rPr>
                <w:rFonts w:hint="eastAsia" w:ascii="仿宋" w:hAnsi="仿宋" w:eastAsia="仿宋" w:cs="仿宋"/>
                <w:color w:val="auto"/>
                <w:sz w:val="24"/>
                <w:szCs w:val="24"/>
                <w:highlight w:val="none"/>
              </w:rPr>
            </w:pPr>
          </w:p>
        </w:tc>
      </w:tr>
    </w:tbl>
    <w:p w14:paraId="1D61D6DE">
      <w:pPr>
        <w:pageBreakBefore w:val="0"/>
        <w:kinsoku/>
        <w:overflowPunct/>
        <w:topLinePunct w:val="0"/>
        <w:bidi w:val="0"/>
        <w:spacing w:line="312"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5C3ACE1C">
      <w:pPr>
        <w:pageBreakBefore w:val="0"/>
        <w:kinsoku/>
        <w:overflowPunct/>
        <w:topLinePunct w:val="0"/>
        <w:bidi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3754DB5">
      <w:pPr>
        <w:pageBreakBefore w:val="0"/>
        <w:kinsoku/>
        <w:overflowPunct/>
        <w:topLinePunct w:val="0"/>
        <w:bidi w:val="0"/>
        <w:spacing w:line="312"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3D03EAE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E5D6F1D">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21484A00">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w:t>
      </w:r>
    </w:p>
    <w:p w14:paraId="0EC0DF82">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该表必须按照</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要求逐条如实填写，根据响应情况在“差异说明”项填写正偏离或负偏离及原因，完全符合的填写“无差异”</w:t>
      </w:r>
    </w:p>
    <w:p w14:paraId="23D82BB4">
      <w:pPr>
        <w:pageBreakBefore w:val="0"/>
        <w:tabs>
          <w:tab w:val="left" w:pos="6300"/>
        </w:tabs>
        <w:kinsoku/>
        <w:overflowPunct/>
        <w:topLinePunct w:val="0"/>
        <w:bidi w:val="0"/>
        <w:snapToGrid w:val="0"/>
        <w:spacing w:line="312"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w:t>
      </w:r>
    </w:p>
    <w:p w14:paraId="20241D82">
      <w:pPr>
        <w:pageBreakBefore w:val="0"/>
        <w:kinsoku/>
        <w:overflowPunct/>
        <w:topLinePunct w:val="0"/>
        <w:bidi w:val="0"/>
        <w:snapToGrid w:val="0"/>
        <w:spacing w:line="312"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（二）其他资料（格式自定）</w:t>
      </w:r>
    </w:p>
    <w:p w14:paraId="62FF82EA">
      <w:pPr>
        <w:pStyle w:val="5"/>
        <w:pageBreakBefore w:val="0"/>
        <w:kinsoku/>
        <w:overflowPunct/>
        <w:topLinePunct w:val="0"/>
        <w:bidi w:val="0"/>
        <w:spacing w:line="312" w:lineRule="auto"/>
        <w:rPr>
          <w:rFonts w:hint="eastAsia" w:ascii="仿宋" w:hAnsi="仿宋" w:eastAsia="仿宋" w:cs="仿宋"/>
          <w:b/>
          <w:bCs/>
          <w:color w:val="auto"/>
          <w:highlight w:val="none"/>
        </w:rPr>
      </w:pPr>
    </w:p>
    <w:p w14:paraId="702AD714">
      <w:pPr>
        <w:pStyle w:val="9"/>
        <w:pageBreakBefore w:val="0"/>
        <w:kinsoku/>
        <w:overflowPunct/>
        <w:topLinePunct w:val="0"/>
        <w:bidi w:val="0"/>
        <w:spacing w:before="0" w:after="0" w:line="312" w:lineRule="auto"/>
        <w:rPr>
          <w:rFonts w:hint="eastAsia" w:ascii="仿宋" w:hAnsi="仿宋" w:eastAsia="仿宋" w:cs="仿宋"/>
          <w:color w:val="auto"/>
          <w:sz w:val="40"/>
          <w:szCs w:val="22"/>
          <w:highlight w:val="none"/>
        </w:rPr>
      </w:pPr>
      <w:bookmarkStart w:id="137" w:name="_Toc313888362"/>
      <w:bookmarkStart w:id="138" w:name="_Toc313008358"/>
      <w:bookmarkStart w:id="139" w:name="_Toc342913421"/>
      <w:bookmarkStart w:id="140" w:name="_Toc80104371"/>
      <w:bookmarkStart w:id="141" w:name="_Toc14627"/>
      <w:r>
        <w:rPr>
          <w:rFonts w:hint="eastAsia" w:ascii="仿宋" w:hAnsi="仿宋" w:eastAsia="仿宋" w:cs="仿宋"/>
          <w:color w:val="auto"/>
          <w:szCs w:val="32"/>
          <w:highlight w:val="none"/>
        </w:rPr>
        <w:br w:type="column"/>
      </w:r>
      <w:r>
        <w:rPr>
          <w:rFonts w:hint="eastAsia" w:ascii="仿宋" w:hAnsi="仿宋" w:eastAsia="仿宋" w:cs="仿宋"/>
          <w:color w:val="auto"/>
          <w:szCs w:val="32"/>
          <w:highlight w:val="none"/>
        </w:rPr>
        <w:t>四、</w:t>
      </w:r>
      <w:bookmarkEnd w:id="137"/>
      <w:bookmarkEnd w:id="138"/>
      <w:bookmarkEnd w:id="139"/>
      <w:r>
        <w:rPr>
          <w:rFonts w:hint="eastAsia" w:ascii="仿宋" w:hAnsi="仿宋" w:eastAsia="仿宋" w:cs="仿宋"/>
          <w:color w:val="auto"/>
          <w:szCs w:val="32"/>
          <w:highlight w:val="none"/>
        </w:rPr>
        <w:t>资格条件</w:t>
      </w:r>
      <w:bookmarkEnd w:id="140"/>
      <w:bookmarkEnd w:id="141"/>
    </w:p>
    <w:p w14:paraId="6A955CB9">
      <w:pPr>
        <w:pageBreakBefore w:val="0"/>
        <w:kinsoku/>
        <w:overflowPunct/>
        <w:topLinePunct w:val="0"/>
        <w:bidi w:val="0"/>
        <w:spacing w:line="312"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3BC28859">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5D89149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7524665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0498FC09">
      <w:pPr>
        <w:pageBreakBefore w:val="0"/>
        <w:widowControl/>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（二）法定代表人身份证明书（格式）</w:t>
      </w:r>
    </w:p>
    <w:p w14:paraId="5B54A9D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27DEFF2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5DDF9B9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6B7013E9">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51E13B2E">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5343101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2A3E8FB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09B906A">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5E9D0E11">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AD186A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CA63BF3">
      <w:pPr>
        <w:pageBreakBefore w:val="0"/>
        <w:tabs>
          <w:tab w:val="left" w:pos="6300"/>
        </w:tabs>
        <w:kinsoku/>
        <w:overflowPunct/>
        <w:topLinePunct w:val="0"/>
        <w:bidi w:val="0"/>
        <w:snapToGrid w:val="0"/>
        <w:spacing w:line="312" w:lineRule="auto"/>
        <w:ind w:firstLine="570"/>
        <w:jc w:val="center"/>
        <w:rPr>
          <w:rFonts w:hint="eastAsia" w:ascii="仿宋" w:hAnsi="仿宋" w:eastAsia="仿宋" w:cs="仿宋"/>
          <w:color w:val="auto"/>
          <w:sz w:val="24"/>
          <w:szCs w:val="24"/>
          <w:highlight w:val="none"/>
        </w:rPr>
      </w:pPr>
    </w:p>
    <w:p w14:paraId="7F28BDAE">
      <w:pPr>
        <w:pageBreakBefore w:val="0"/>
        <w:tabs>
          <w:tab w:val="left" w:pos="6300"/>
        </w:tabs>
        <w:kinsoku/>
        <w:overflowPunct/>
        <w:topLinePunct w:val="0"/>
        <w:bidi w:val="0"/>
        <w:snapToGrid w:val="0"/>
        <w:spacing w:line="312" w:lineRule="auto"/>
        <w:ind w:firstLine="5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455D0821">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8F7027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9D484B8">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A1D212F">
      <w:pPr>
        <w:pStyle w:val="22"/>
        <w:pageBreakBefore w:val="0"/>
        <w:kinsoku/>
        <w:overflowPunct/>
        <w:topLinePunct w:val="0"/>
        <w:bidi w:val="0"/>
        <w:spacing w:line="312" w:lineRule="auto"/>
        <w:rPr>
          <w:rFonts w:hint="eastAsia" w:ascii="仿宋" w:hAnsi="仿宋" w:eastAsia="仿宋" w:cs="仿宋"/>
          <w:color w:val="auto"/>
          <w:sz w:val="24"/>
          <w:szCs w:val="24"/>
          <w:highlight w:val="none"/>
        </w:rPr>
      </w:pPr>
    </w:p>
    <w:p w14:paraId="1C00BB4E">
      <w:pPr>
        <w:pageBreakBefore w:val="0"/>
        <w:kinsoku/>
        <w:overflowPunct/>
        <w:topLinePunct w:val="0"/>
        <w:bidi w:val="0"/>
        <w:spacing w:line="312" w:lineRule="auto"/>
        <w:rPr>
          <w:rFonts w:hint="eastAsia" w:ascii="仿宋" w:hAnsi="仿宋" w:eastAsia="仿宋" w:cs="仿宋"/>
          <w:color w:val="auto"/>
          <w:sz w:val="24"/>
          <w:szCs w:val="24"/>
          <w:highlight w:val="none"/>
        </w:rPr>
      </w:pPr>
    </w:p>
    <w:p w14:paraId="7404E830">
      <w:pPr>
        <w:pStyle w:val="22"/>
        <w:pageBreakBefore w:val="0"/>
        <w:kinsoku/>
        <w:overflowPunct/>
        <w:topLinePunct w:val="0"/>
        <w:bidi w:val="0"/>
        <w:spacing w:line="312" w:lineRule="auto"/>
        <w:rPr>
          <w:rFonts w:hint="eastAsia" w:ascii="仿宋" w:hAnsi="仿宋" w:eastAsia="仿宋" w:cs="仿宋"/>
          <w:color w:val="auto"/>
          <w:highlight w:val="none"/>
        </w:rPr>
      </w:pPr>
    </w:p>
    <w:p w14:paraId="2ED7424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rPr>
        <w:t>（附：法定代表人身份证正反面复印件）</w:t>
      </w:r>
    </w:p>
    <w:p w14:paraId="314AAE63">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B44C7B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56E99560">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2D857046">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328B2D23">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19EF58A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p>
    <w:p w14:paraId="02F77A20">
      <w:pPr>
        <w:pageBreakBefore w:val="0"/>
        <w:tabs>
          <w:tab w:val="left" w:pos="6300"/>
        </w:tabs>
        <w:kinsoku/>
        <w:overflowPunct/>
        <w:topLinePunct w:val="0"/>
        <w:bidi w:val="0"/>
        <w:snapToGrid w:val="0"/>
        <w:spacing w:line="312" w:lineRule="auto"/>
        <w:ind w:firstLine="57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column"/>
      </w:r>
      <w:r>
        <w:rPr>
          <w:rFonts w:hint="eastAsia" w:ascii="仿宋" w:hAnsi="仿宋" w:eastAsia="仿宋" w:cs="仿宋"/>
          <w:color w:val="auto"/>
          <w:sz w:val="32"/>
          <w:szCs w:val="32"/>
          <w:highlight w:val="none"/>
        </w:rPr>
        <w:t>（三）法定代表人授权委托书（格式）</w:t>
      </w:r>
    </w:p>
    <w:p w14:paraId="10E3CC0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5CE8ECF0">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775FBA8C">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3C834E32">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C1CBAC8">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、签约等具体工作，并签署全部有关文件、协议及合同。</w:t>
      </w:r>
    </w:p>
    <w:p w14:paraId="24EAEA6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5D4CD799">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13E62205">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1556C3D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67EF2DEF">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637556F2">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15743AF7">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14:paraId="02CF13AE">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p>
    <w:p w14:paraId="044FF4B4">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4DFD036">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1F6B513">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7CCD4663">
      <w:pPr>
        <w:pageBreakBefore w:val="0"/>
        <w:tabs>
          <w:tab w:val="left" w:pos="6300"/>
        </w:tabs>
        <w:kinsoku/>
        <w:overflowPunct/>
        <w:topLinePunct w:val="0"/>
        <w:bidi w:val="0"/>
        <w:snapToGrid w:val="0"/>
        <w:spacing w:line="312"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13CE743A">
      <w:pPr>
        <w:pageBreakBefore w:val="0"/>
        <w:tabs>
          <w:tab w:val="left" w:pos="6300"/>
        </w:tabs>
        <w:kinsoku/>
        <w:overflowPunct/>
        <w:topLinePunct w:val="0"/>
        <w:bidi w:val="0"/>
        <w:snapToGrid w:val="0"/>
        <w:spacing w:line="312"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F01942C">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p>
    <w:p w14:paraId="5AE8CDFB">
      <w:pPr>
        <w:pageBreakBefore w:val="0"/>
        <w:tabs>
          <w:tab w:val="left" w:pos="6300"/>
        </w:tabs>
        <w:kinsoku/>
        <w:overflowPunct/>
        <w:topLinePunct w:val="0"/>
        <w:bidi w:val="0"/>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0BA8B868">
      <w:pPr>
        <w:pageBreakBefore w:val="0"/>
        <w:tabs>
          <w:tab w:val="left" w:pos="6300"/>
        </w:tabs>
        <w:kinsoku/>
        <w:overflowPunct/>
        <w:topLinePunct w:val="0"/>
        <w:bidi w:val="0"/>
        <w:snapToGrid w:val="0"/>
        <w:spacing w:line="312"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1843DA5">
      <w:pPr>
        <w:pageBreakBefore w:val="0"/>
        <w:widowControl/>
        <w:kinsoku/>
        <w:overflowPunct/>
        <w:topLinePunct w:val="0"/>
        <w:bidi w:val="0"/>
        <w:spacing w:line="312"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1967B8D2">
      <w:pPr>
        <w:pageBreakBefore w:val="0"/>
        <w:tabs>
          <w:tab w:val="left" w:pos="6300"/>
        </w:tabs>
        <w:kinsoku/>
        <w:overflowPunct/>
        <w:topLinePunct w:val="0"/>
        <w:bidi w:val="0"/>
        <w:snapToGrid w:val="0"/>
        <w:spacing w:line="312" w:lineRule="auto"/>
        <w:ind w:firstLine="57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68B30D90">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p>
    <w:p w14:paraId="091A27A5">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608247B5">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4281F82C">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77EBA6AC">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705B795">
      <w:pPr>
        <w:pageBreakBefore w:val="0"/>
        <w:kinsoku/>
        <w:overflowPunct/>
        <w:topLinePunct w:val="0"/>
        <w:bidi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58B8D510">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38B981D3">
      <w:pPr>
        <w:pageBreakBefore w:val="0"/>
        <w:tabs>
          <w:tab w:val="left" w:pos="6300"/>
        </w:tabs>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47E50A44">
      <w:pPr>
        <w:pageBreakBefore w:val="0"/>
        <w:tabs>
          <w:tab w:val="left" w:pos="6300"/>
        </w:tabs>
        <w:kinsoku/>
        <w:overflowPunct/>
        <w:topLinePunct w:val="0"/>
        <w:bidi w:val="0"/>
        <w:snapToGrid w:val="0"/>
        <w:spacing w:line="312" w:lineRule="auto"/>
        <w:rPr>
          <w:rFonts w:hint="eastAsia" w:ascii="仿宋" w:hAnsi="仿宋" w:eastAsia="仿宋" w:cs="仿宋"/>
          <w:color w:val="auto"/>
          <w:sz w:val="24"/>
          <w:szCs w:val="24"/>
          <w:highlight w:val="none"/>
        </w:rPr>
      </w:pPr>
    </w:p>
    <w:p w14:paraId="7308D101">
      <w:pPr>
        <w:pageBreakBefore w:val="0"/>
        <w:tabs>
          <w:tab w:val="left" w:pos="6300"/>
        </w:tabs>
        <w:kinsoku/>
        <w:overflowPunct/>
        <w:topLinePunct w:val="0"/>
        <w:bidi w:val="0"/>
        <w:snapToGrid w:val="0"/>
        <w:spacing w:line="312" w:lineRule="auto"/>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2073D615">
      <w:pPr>
        <w:pStyle w:val="5"/>
        <w:pageBreakBefore w:val="0"/>
        <w:kinsoku/>
        <w:overflowPunct/>
        <w:topLinePunct w:val="0"/>
        <w:bidi w:val="0"/>
        <w:spacing w:line="312" w:lineRule="auto"/>
        <w:jc w:val="right"/>
        <w:rPr>
          <w:rFonts w:hint="eastAsia" w:ascii="仿宋" w:hAnsi="仿宋" w:eastAsia="仿宋" w:cs="仿宋"/>
          <w:color w:val="auto"/>
          <w:szCs w:val="24"/>
          <w:highlight w:val="none"/>
        </w:rPr>
      </w:pPr>
    </w:p>
    <w:p w14:paraId="031A545D">
      <w:pPr>
        <w:pStyle w:val="5"/>
        <w:pageBreakBefore w:val="0"/>
        <w:kinsoku/>
        <w:overflowPunct/>
        <w:topLinePunct w:val="0"/>
        <w:bidi w:val="0"/>
        <w:spacing w:line="312"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 xml:space="preserve">                                                       年   月   日</w:t>
      </w:r>
    </w:p>
    <w:p w14:paraId="2715BA56">
      <w:pPr>
        <w:pStyle w:val="5"/>
        <w:pageBreakBefore w:val="0"/>
        <w:kinsoku/>
        <w:overflowPunct/>
        <w:topLinePunct w:val="0"/>
        <w:bidi w:val="0"/>
        <w:spacing w:line="312" w:lineRule="auto"/>
        <w:rPr>
          <w:rFonts w:hint="eastAsia" w:ascii="仿宋" w:hAnsi="仿宋" w:eastAsia="仿宋" w:cs="仿宋"/>
          <w:color w:val="auto"/>
          <w:sz w:val="32"/>
          <w:szCs w:val="32"/>
          <w:highlight w:val="none"/>
        </w:rPr>
      </w:pPr>
    </w:p>
    <w:p w14:paraId="76706EC8">
      <w:pPr>
        <w:pStyle w:val="5"/>
        <w:pageBreakBefore w:val="0"/>
        <w:kinsoku/>
        <w:overflowPunct/>
        <w:topLinePunct w:val="0"/>
        <w:bidi w:val="0"/>
        <w:spacing w:line="312" w:lineRule="auto"/>
        <w:rPr>
          <w:rFonts w:hint="eastAsia" w:ascii="仿宋" w:hAnsi="仿宋" w:eastAsia="仿宋" w:cs="仿宋"/>
          <w:color w:val="auto"/>
          <w:sz w:val="32"/>
          <w:szCs w:val="32"/>
          <w:highlight w:val="none"/>
        </w:rPr>
      </w:pPr>
    </w:p>
    <w:p w14:paraId="6C8C4401">
      <w:pPr>
        <w:pageBreakBefore w:val="0"/>
        <w:kinsoku/>
        <w:overflowPunct/>
        <w:topLinePunct w:val="0"/>
        <w:bidi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（五）特定资格条件证书或证明文件（如果有）</w:t>
      </w:r>
    </w:p>
    <w:p w14:paraId="02A52A1F">
      <w:pPr>
        <w:pStyle w:val="5"/>
        <w:pageBreakBefore w:val="0"/>
        <w:kinsoku/>
        <w:overflowPunct/>
        <w:topLinePunct w:val="0"/>
        <w:bidi w:val="0"/>
        <w:spacing w:line="312" w:lineRule="auto"/>
        <w:rPr>
          <w:rFonts w:hint="eastAsia" w:ascii="仿宋" w:hAnsi="仿宋" w:eastAsia="仿宋" w:cs="仿宋"/>
          <w:color w:val="auto"/>
          <w:sz w:val="32"/>
          <w:szCs w:val="32"/>
          <w:highlight w:val="none"/>
        </w:rPr>
      </w:pPr>
    </w:p>
    <w:p w14:paraId="3E506B93">
      <w:pPr>
        <w:pStyle w:val="5"/>
        <w:pageBreakBefore w:val="0"/>
        <w:kinsoku/>
        <w:overflowPunct/>
        <w:topLinePunct w:val="0"/>
        <w:bidi w:val="0"/>
        <w:spacing w:line="312" w:lineRule="auto"/>
        <w:ind w:firstLine="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2FF688E">
      <w:pPr>
        <w:pStyle w:val="9"/>
        <w:pageBreakBefore w:val="0"/>
        <w:kinsoku/>
        <w:overflowPunct/>
        <w:topLinePunct w:val="0"/>
        <w:bidi w:val="0"/>
        <w:spacing w:before="0" w:after="0" w:line="312" w:lineRule="auto"/>
        <w:rPr>
          <w:rFonts w:hint="eastAsia" w:ascii="仿宋" w:hAnsi="仿宋" w:eastAsia="仿宋" w:cs="仿宋"/>
          <w:color w:val="auto"/>
          <w:sz w:val="28"/>
          <w:szCs w:val="28"/>
          <w:highlight w:val="none"/>
        </w:rPr>
      </w:pPr>
      <w:bookmarkStart w:id="142" w:name="_Toc4075"/>
      <w:r>
        <w:rPr>
          <w:rFonts w:hint="eastAsia" w:ascii="仿宋" w:hAnsi="仿宋" w:eastAsia="仿宋" w:cs="仿宋"/>
          <w:color w:val="auto"/>
          <w:sz w:val="28"/>
          <w:szCs w:val="28"/>
          <w:highlight w:val="none"/>
        </w:rPr>
        <w:t>五、其他应提供的资料</w:t>
      </w:r>
      <w:bookmarkEnd w:id="142"/>
    </w:p>
    <w:p w14:paraId="547C1A5D">
      <w:pPr>
        <w:pageBreakBefore w:val="0"/>
        <w:kinsoku/>
        <w:overflowPunct/>
        <w:topLinePunct w:val="0"/>
        <w:bidi w:val="0"/>
        <w:spacing w:line="312"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一</w:t>
      </w:r>
      <w:r>
        <w:rPr>
          <w:rFonts w:hint="eastAsia" w:ascii="仿宋" w:hAnsi="仿宋" w:eastAsia="仿宋" w:cs="仿宋"/>
          <w:color w:val="auto"/>
          <w:sz w:val="24"/>
          <w:szCs w:val="28"/>
          <w:highlight w:val="none"/>
        </w:rPr>
        <w:t>）其他与项目有关的资料（自附）</w:t>
      </w:r>
    </w:p>
    <w:p w14:paraId="1AB3AE78">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7D22DF99">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1C951840">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572DD56B">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210C41E4">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3E3B66A1">
      <w:pPr>
        <w:pageBreakBefore w:val="0"/>
        <w:kinsoku/>
        <w:overflowPunct/>
        <w:topLinePunct w:val="0"/>
        <w:bidi w:val="0"/>
        <w:spacing w:line="312" w:lineRule="auto"/>
        <w:rPr>
          <w:rFonts w:hint="eastAsia" w:ascii="仿宋" w:hAnsi="仿宋" w:eastAsia="仿宋" w:cs="仿宋"/>
          <w:color w:val="auto"/>
          <w:sz w:val="32"/>
          <w:szCs w:val="32"/>
          <w:highlight w:val="none"/>
        </w:rPr>
      </w:pPr>
    </w:p>
    <w:p w14:paraId="3CD20608">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2F96855C">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21A97DE2">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385BD27B">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46843762">
      <w:pPr>
        <w:pageBreakBefore w:val="0"/>
        <w:kinsoku/>
        <w:overflowPunct/>
        <w:topLinePunct w:val="0"/>
        <w:bidi w:val="0"/>
        <w:spacing w:line="312" w:lineRule="auto"/>
        <w:rPr>
          <w:rFonts w:hint="eastAsia" w:ascii="仿宋" w:hAnsi="仿宋" w:eastAsia="仿宋" w:cs="仿宋"/>
          <w:color w:val="auto"/>
          <w:sz w:val="32"/>
          <w:szCs w:val="32"/>
          <w:highlight w:val="none"/>
        </w:rPr>
      </w:pPr>
    </w:p>
    <w:p w14:paraId="6501D154">
      <w:pPr>
        <w:pageBreakBefore w:val="0"/>
        <w:kinsoku/>
        <w:overflowPunct/>
        <w:topLinePunct w:val="0"/>
        <w:bidi w:val="0"/>
        <w:spacing w:line="312" w:lineRule="auto"/>
        <w:ind w:firstLine="640" w:firstLineChars="200"/>
        <w:jc w:val="center"/>
        <w:rPr>
          <w:rFonts w:hint="eastAsia" w:ascii="仿宋" w:hAnsi="仿宋" w:eastAsia="仿宋" w:cs="仿宋"/>
          <w:color w:val="auto"/>
          <w:sz w:val="32"/>
          <w:szCs w:val="32"/>
          <w:highlight w:val="none"/>
        </w:rPr>
      </w:pPr>
    </w:p>
    <w:p w14:paraId="6E081CF0">
      <w:pPr>
        <w:pageBreakBefore w:val="0"/>
        <w:kinsoku/>
        <w:overflowPunct/>
        <w:topLinePunct w:val="0"/>
        <w:bidi w:val="0"/>
        <w:spacing w:line="312" w:lineRule="auto"/>
        <w:ind w:firstLine="720" w:firstLineChars="200"/>
        <w:jc w:val="center"/>
        <w:rPr>
          <w:rFonts w:hint="eastAsia" w:ascii="仿宋" w:hAnsi="仿宋" w:eastAsia="仿宋" w:cs="仿宋"/>
          <w:color w:val="auto"/>
          <w:sz w:val="36"/>
          <w:szCs w:val="22"/>
          <w:highlight w:val="none"/>
        </w:rPr>
      </w:pPr>
      <w:r>
        <w:rPr>
          <w:rFonts w:hint="eastAsia" w:ascii="仿宋" w:hAnsi="仿宋" w:eastAsia="仿宋" w:cs="仿宋"/>
          <w:color w:val="auto"/>
          <w:sz w:val="36"/>
          <w:szCs w:val="22"/>
          <w:highlight w:val="none"/>
        </w:rPr>
        <w:t>（结束）</w:t>
      </w:r>
    </w:p>
    <w:p w14:paraId="59434C1A">
      <w:pPr>
        <w:pageBreakBefore w:val="0"/>
        <w:kinsoku/>
        <w:overflowPunct/>
        <w:topLinePunct w:val="0"/>
        <w:bidi w:val="0"/>
        <w:spacing w:line="312" w:lineRule="auto"/>
        <w:ind w:firstLine="720" w:firstLineChars="200"/>
        <w:jc w:val="center"/>
        <w:rPr>
          <w:rFonts w:hint="eastAsia" w:ascii="仿宋" w:hAnsi="仿宋" w:eastAsia="仿宋" w:cs="仿宋"/>
          <w:color w:val="auto"/>
          <w:sz w:val="36"/>
          <w:szCs w:val="22"/>
          <w:highlight w:val="none"/>
        </w:rPr>
      </w:pPr>
    </w:p>
    <w:p w14:paraId="570A303B">
      <w:pPr>
        <w:pageBreakBefore w:val="0"/>
        <w:kinsoku/>
        <w:overflowPunct/>
        <w:topLinePunct w:val="0"/>
        <w:bidi w:val="0"/>
        <w:spacing w:line="312" w:lineRule="auto"/>
        <w:rPr>
          <w:rFonts w:hint="eastAsia" w:ascii="仿宋" w:hAnsi="仿宋" w:eastAsia="仿宋" w:cs="仿宋"/>
          <w:color w:val="auto"/>
          <w:highlight w:val="none"/>
        </w:rPr>
      </w:pPr>
    </w:p>
    <w:sectPr>
      <w:headerReference r:id="rId1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6BD4E2D-895F-44EB-9B9E-EAECC493CA8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A987E0C-E5F9-4BEB-B35E-EF5D68385733}"/>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B47C1A06-37AE-4840-BF12-D61FCE4CB042}"/>
  </w:font>
  <w:font w:name="方正仿宋_GBK">
    <w:panose1 w:val="02000000000000000000"/>
    <w:charset w:val="86"/>
    <w:family w:val="script"/>
    <w:pitch w:val="default"/>
    <w:sig w:usb0="A00002BF" w:usb1="38CF7CFA" w:usb2="00082016" w:usb3="00000000" w:csb0="00040001" w:csb1="00000000"/>
    <w:embedRegular r:id="rId4" w:fontKey="{AD000D75-6AC8-471A-B7BA-DEF8C6434D52}"/>
  </w:font>
  <w:font w:name="WPSEMBED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F9A7">
    <w:pPr>
      <w:pStyle w:val="19"/>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503A">
    <w:pPr>
      <w:pStyle w:val="19"/>
      <w:framePr w:wrap="around" w:vAnchor="text" w:hAnchor="margin" w:xAlign="center" w:yAlign="top"/>
      <w:tabs>
        <w:tab w:val="center" w:pos="4153"/>
        <w:tab w:val="right" w:pos="8306"/>
        <w:tab w:val="clear" w:pos="4140"/>
        <w:tab w:val="clear" w:pos="8300"/>
      </w:tabs>
      <w:rPr>
        <w:rStyle w:val="30"/>
      </w:rPr>
    </w:pPr>
    <w:r>
      <w:fldChar w:fldCharType="begin"/>
    </w:r>
    <w:r>
      <w:rPr>
        <w:rStyle w:val="30"/>
      </w:rPr>
      <w:instrText xml:space="preserve">PAGE  </w:instrText>
    </w:r>
    <w:r>
      <w:fldChar w:fldCharType="end"/>
    </w:r>
  </w:p>
  <w:p w14:paraId="7ED5897E">
    <w:pPr>
      <w:pStyle w:val="19"/>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A444">
    <w:pPr>
      <w:pStyle w:val="19"/>
      <w:tabs>
        <w:tab w:val="center" w:pos="4153"/>
        <w:tab w:val="right" w:pos="8306"/>
        <w:tab w:val="clear" w:pos="4140"/>
        <w:tab w:val="clear" w:pos="8300"/>
      </w:tabs>
      <w:rPr>
        <w:rStyle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29C3">
    <w:pPr>
      <w:pStyle w:val="19"/>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5B2F">
    <w:pPr>
      <w:pStyle w:val="19"/>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58CD1">
                          <w:pPr>
                            <w:pStyle w:val="19"/>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ANtcUBAACR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R4rjFiV++f7v8+HX5+ZUs&#10;q9WLLFEfoMbMu4C5aXjjB1yc2Q/ozMwHFW3+IieCcRT4fBVYDomI/Gi9Wq8rDAmMzRfEZ/fPQ4T0&#10;VnpLstHQiBMswvLTe0hj6pySqzl/q40pUzTuLwdiZg/LvY89ZisN+2EitPftGfn0OPyGOtx1Ssw7&#10;h9rmPZmNOBv7ycg1ILw+Jixc+smoI9RUDCdVGE1blVfhz3vJuv+T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hgDbXFAQAAkQMAAA4AAAAAAAAAAQAgAAAAHgEAAGRycy9lMm9Eb2MueG1s&#10;UEsFBgAAAAAGAAYAWQEAAFUFAAAAAA==&#10;">
              <v:fill on="f" focussize="0,0"/>
              <v:stroke on="f"/>
              <v:imagedata o:title=""/>
              <o:lock v:ext="edit" aspectratio="f"/>
              <v:textbox inset="0mm,0mm,0mm,0mm" style="mso-fit-shape-to-text:t;">
                <w:txbxContent>
                  <w:p w14:paraId="4F558CD1">
                    <w:pPr>
                      <w:pStyle w:val="19"/>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92AF">
    <w:pPr>
      <w:pStyle w:val="19"/>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CCE17">
                          <w:pPr>
                            <w:pStyle w:val="1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B7CCE17">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7DE7">
    <w:pPr>
      <w:pStyle w:val="19"/>
      <w:framePr w:wrap="around" w:vAnchor="text" w:hAnchor="margin" w:xAlign="center" w:y="1"/>
      <w:tabs>
        <w:tab w:val="center" w:pos="4153"/>
        <w:tab w:val="right" w:pos="8306"/>
        <w:tab w:val="clear" w:pos="4140"/>
        <w:tab w:val="clear" w:pos="8300"/>
      </w:tabs>
      <w:rPr>
        <w:rStyle w:val="30"/>
      </w:rPr>
    </w:pPr>
    <w:r>
      <w:fldChar w:fldCharType="begin"/>
    </w:r>
    <w:r>
      <w:rPr>
        <w:rStyle w:val="30"/>
      </w:rPr>
      <w:instrText xml:space="preserve">PAGE  </w:instrText>
    </w:r>
    <w:r>
      <w:fldChar w:fldCharType="end"/>
    </w:r>
  </w:p>
  <w:p w14:paraId="02D85128">
    <w:pPr>
      <w:pStyle w:val="19"/>
      <w:tabs>
        <w:tab w:val="center" w:pos="4153"/>
        <w:tab w:val="right" w:pos="8306"/>
        <w:tab w:val="clear" w:pos="4140"/>
        <w:tab w:val="clear" w:pos="8300"/>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44C4">
    <w:pPr>
      <w:pStyle w:val="19"/>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024F7">
                          <w:pPr>
                            <w:pStyle w:val="1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99024F7">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5199">
    <w:pPr>
      <w:pStyle w:val="19"/>
      <w:tabs>
        <w:tab w:val="center" w:pos="4153"/>
        <w:tab w:val="right" w:pos="8306"/>
        <w:tab w:val="clear" w:pos="4140"/>
        <w:tab w:val="clear" w:pos="8300"/>
      </w:tabs>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E36E5">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F9E36E5">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D949F">
    <w:pPr>
      <w:pStyle w:val="21"/>
      <w:pBdr>
        <w:bottom w:val="none" w:color="auto" w:sz="0" w:space="0"/>
      </w:pBdr>
      <w:tabs>
        <w:tab w:val="center" w:pos="4153"/>
        <w:tab w:val="right" w:pos="8306"/>
        <w:tab w:val="clear" w:pos="4140"/>
        <w:tab w:val="clear" w:pos="8300"/>
      </w:tabs>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3AAE">
    <w:pPr>
      <w:pStyle w:val="21"/>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71AF">
    <w:pPr>
      <w:pStyle w:val="21"/>
      <w:pBdr>
        <w:bottom w:val="none" w:color="auto" w:sz="0" w:space="0"/>
      </w:pBdr>
      <w:tabs>
        <w:tab w:val="center" w:pos="4153"/>
        <w:tab w:val="right" w:pos="8306"/>
        <w:tab w:val="clear" w:pos="4140"/>
        <w:tab w:val="clear" w:pos="8300"/>
      </w:tabs>
      <w:ind w:firstLine="440" w:firstLineChars="200"/>
      <w:jc w:val="both"/>
      <w:rPr>
        <w:sz w:val="22"/>
        <w:szCs w:val="24"/>
      </w:rPr>
    </w:pPr>
    <w:r>
      <w:rPr>
        <w:rFonts w:hint="eastAsia"/>
        <w:sz w:val="22"/>
        <w:szCs w:val="24"/>
      </w:rPr>
      <w:t xml:space="preserve">                                     </w:t>
    </w:r>
  </w:p>
  <w:p w14:paraId="2603216D">
    <w:pPr>
      <w:pStyle w:val="21"/>
      <w:pBdr>
        <w:bottom w:val="none" w:color="auto" w:sz="0" w:space="0"/>
      </w:pBdr>
      <w:tabs>
        <w:tab w:val="center" w:pos="4153"/>
        <w:tab w:val="right" w:pos="8306"/>
        <w:tab w:val="clear" w:pos="4140"/>
        <w:tab w:val="clear" w:pos="8300"/>
      </w:tabs>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76EB">
    <w:pPr>
      <w:pStyle w:val="21"/>
      <w:pBdr>
        <w:bottom w:val="none" w:color="auto" w:sz="0" w:space="0"/>
      </w:pBdr>
      <w:tabs>
        <w:tab w:val="center" w:pos="4153"/>
        <w:tab w:val="right" w:pos="8306"/>
        <w:tab w:val="clear" w:pos="4140"/>
        <w:tab w:val="clear" w:pos="8300"/>
      </w:tabs>
      <w:jc w:val="both"/>
      <w:rPr>
        <w:rFonts w:cs="Calibri"/>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533B">
    <w:pPr>
      <w:pStyle w:val="21"/>
      <w:pBdr>
        <w:bottom w:val="none" w:color="auto" w:sz="0" w:space="0"/>
      </w:pBdr>
      <w:tabs>
        <w:tab w:val="center" w:pos="4153"/>
        <w:tab w:val="right" w:pos="8306"/>
        <w:tab w:val="clear" w:pos="4140"/>
        <w:tab w:val="clear" w:pos="8300"/>
      </w:tabs>
      <w:jc w:val="both"/>
      <w:rPr>
        <w:rFonts w:cs="Calibr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0714">
    <w:pPr>
      <w:pStyle w:val="21"/>
      <w:pBdr>
        <w:bottom w:val="none" w:color="auto" w:sz="0" w:space="0"/>
      </w:pBdr>
      <w:tabs>
        <w:tab w:val="center" w:pos="4153"/>
        <w:tab w:val="right" w:pos="8306"/>
        <w:tab w:val="clear" w:pos="4140"/>
        <w:tab w:val="clear" w:pos="8300"/>
      </w:tabs>
      <w:jc w:val="both"/>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A7E3">
    <w:pPr>
      <w:pStyle w:val="21"/>
      <w:pBdr>
        <w:bottom w:val="none" w:color="auto" w:sz="0" w:space="0"/>
      </w:pBdr>
      <w:tabs>
        <w:tab w:val="center" w:pos="4153"/>
        <w:tab w:val="right" w:pos="8306"/>
        <w:tab w:val="clear" w:pos="4140"/>
        <w:tab w:val="clear" w:pos="8300"/>
      </w:tabs>
      <w:jc w:val="both"/>
      <w:rPr>
        <w:rFonts w:ascii="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34DB9"/>
    <w:multiLevelType w:val="singleLevel"/>
    <w:tmpl w:val="0E034DB9"/>
    <w:lvl w:ilvl="0" w:tentative="0">
      <w:start w:val="1"/>
      <w:numFmt w:val="decimal"/>
      <w:suff w:val="nothing"/>
      <w:lvlText w:val="%1、"/>
      <w:lvlJc w:val="left"/>
    </w:lvl>
  </w:abstractNum>
  <w:abstractNum w:abstractNumId="1">
    <w:nsid w:val="777460E8"/>
    <w:multiLevelType w:val="singleLevel"/>
    <w:tmpl w:val="777460E8"/>
    <w:lvl w:ilvl="0" w:tentative="0">
      <w:start w:val="2"/>
      <w:numFmt w:val="chineseCounting"/>
      <w:suff w:val="space"/>
      <w:lvlText w:val="第%1篇"/>
      <w:lvlJc w:val="left"/>
      <w:rPr>
        <w:rFonts w:hint="eastAsia"/>
      </w:rPr>
    </w:lvl>
  </w:abstractNum>
  <w:abstractNum w:abstractNumId="2">
    <w:nsid w:val="7B2583E2"/>
    <w:multiLevelType w:val="singleLevel"/>
    <w:tmpl w:val="7B2583E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ODQyMWQ4MGVhMjZlMjQ3MTA0NjIzN2UzZTg1YzkifQ=="/>
  </w:docVars>
  <w:rsids>
    <w:rsidRoot w:val="7C270787"/>
    <w:rsid w:val="00003C72"/>
    <w:rsid w:val="000053D1"/>
    <w:rsid w:val="00037C90"/>
    <w:rsid w:val="000F28C2"/>
    <w:rsid w:val="00107BDD"/>
    <w:rsid w:val="00124898"/>
    <w:rsid w:val="00127DF2"/>
    <w:rsid w:val="00141208"/>
    <w:rsid w:val="00162CEA"/>
    <w:rsid w:val="001E3ABC"/>
    <w:rsid w:val="00232201"/>
    <w:rsid w:val="00252CAC"/>
    <w:rsid w:val="002548FB"/>
    <w:rsid w:val="002A5DFA"/>
    <w:rsid w:val="00340CBB"/>
    <w:rsid w:val="003E7CD6"/>
    <w:rsid w:val="00461D28"/>
    <w:rsid w:val="004D5511"/>
    <w:rsid w:val="004F50CE"/>
    <w:rsid w:val="00576CE8"/>
    <w:rsid w:val="005847CB"/>
    <w:rsid w:val="005F557A"/>
    <w:rsid w:val="00653CDA"/>
    <w:rsid w:val="00683052"/>
    <w:rsid w:val="00706109"/>
    <w:rsid w:val="0075187A"/>
    <w:rsid w:val="00793B1A"/>
    <w:rsid w:val="00795E34"/>
    <w:rsid w:val="00797430"/>
    <w:rsid w:val="007F404F"/>
    <w:rsid w:val="00812887"/>
    <w:rsid w:val="00886692"/>
    <w:rsid w:val="008C2C90"/>
    <w:rsid w:val="008E3BCC"/>
    <w:rsid w:val="009C09EC"/>
    <w:rsid w:val="00A22966"/>
    <w:rsid w:val="00A65BD7"/>
    <w:rsid w:val="00A87E4F"/>
    <w:rsid w:val="00AA4D4D"/>
    <w:rsid w:val="00B07190"/>
    <w:rsid w:val="00B07ED9"/>
    <w:rsid w:val="00B30E8B"/>
    <w:rsid w:val="00B67DFA"/>
    <w:rsid w:val="00B70D44"/>
    <w:rsid w:val="00BC7EE7"/>
    <w:rsid w:val="00BD2EBA"/>
    <w:rsid w:val="00C15055"/>
    <w:rsid w:val="00C73103"/>
    <w:rsid w:val="00CB1C15"/>
    <w:rsid w:val="00CD7EED"/>
    <w:rsid w:val="00DB5F60"/>
    <w:rsid w:val="00DF781D"/>
    <w:rsid w:val="00E337F7"/>
    <w:rsid w:val="00E51CF0"/>
    <w:rsid w:val="00E64DE8"/>
    <w:rsid w:val="00F10432"/>
    <w:rsid w:val="00F522BC"/>
    <w:rsid w:val="01043EBD"/>
    <w:rsid w:val="02805954"/>
    <w:rsid w:val="02D50DC8"/>
    <w:rsid w:val="02E94A1F"/>
    <w:rsid w:val="02ED213E"/>
    <w:rsid w:val="03485BD5"/>
    <w:rsid w:val="03AB2112"/>
    <w:rsid w:val="04144D38"/>
    <w:rsid w:val="045E5706"/>
    <w:rsid w:val="04AB4057"/>
    <w:rsid w:val="05AC743F"/>
    <w:rsid w:val="080621EE"/>
    <w:rsid w:val="08311986"/>
    <w:rsid w:val="096B66EA"/>
    <w:rsid w:val="0A310745"/>
    <w:rsid w:val="0A7541C3"/>
    <w:rsid w:val="0AC52104"/>
    <w:rsid w:val="0B1526A9"/>
    <w:rsid w:val="0B4D146E"/>
    <w:rsid w:val="0C8A49D1"/>
    <w:rsid w:val="0C9341B4"/>
    <w:rsid w:val="0D327AED"/>
    <w:rsid w:val="0DE56BCB"/>
    <w:rsid w:val="0E0B38F0"/>
    <w:rsid w:val="0E957FD2"/>
    <w:rsid w:val="0F2A424A"/>
    <w:rsid w:val="0F5120EC"/>
    <w:rsid w:val="109724F8"/>
    <w:rsid w:val="10B23913"/>
    <w:rsid w:val="13284607"/>
    <w:rsid w:val="13414F23"/>
    <w:rsid w:val="135E3ADF"/>
    <w:rsid w:val="139D062F"/>
    <w:rsid w:val="14720225"/>
    <w:rsid w:val="150D2643"/>
    <w:rsid w:val="15C34AB0"/>
    <w:rsid w:val="15E51CAB"/>
    <w:rsid w:val="16C632F0"/>
    <w:rsid w:val="16E3365C"/>
    <w:rsid w:val="19B96255"/>
    <w:rsid w:val="19E30B04"/>
    <w:rsid w:val="19F252AB"/>
    <w:rsid w:val="1BA26016"/>
    <w:rsid w:val="1C0C6711"/>
    <w:rsid w:val="1C2564C4"/>
    <w:rsid w:val="1D6A0633"/>
    <w:rsid w:val="1DF16452"/>
    <w:rsid w:val="1F666789"/>
    <w:rsid w:val="1F87538E"/>
    <w:rsid w:val="20654120"/>
    <w:rsid w:val="21E57D8C"/>
    <w:rsid w:val="23852551"/>
    <w:rsid w:val="23957BD0"/>
    <w:rsid w:val="240510B5"/>
    <w:rsid w:val="266279DC"/>
    <w:rsid w:val="27196C26"/>
    <w:rsid w:val="277C2C61"/>
    <w:rsid w:val="27DB5B6B"/>
    <w:rsid w:val="282615FA"/>
    <w:rsid w:val="28694D40"/>
    <w:rsid w:val="290C6FC9"/>
    <w:rsid w:val="2A3F69A3"/>
    <w:rsid w:val="2A4B5CF6"/>
    <w:rsid w:val="2A6E6440"/>
    <w:rsid w:val="2AFE23BA"/>
    <w:rsid w:val="2C1A44C3"/>
    <w:rsid w:val="2C4E1120"/>
    <w:rsid w:val="2D3C366E"/>
    <w:rsid w:val="2D4A17B4"/>
    <w:rsid w:val="2D67598A"/>
    <w:rsid w:val="2DE33AEA"/>
    <w:rsid w:val="2DF301D1"/>
    <w:rsid w:val="2E0B07B6"/>
    <w:rsid w:val="2E3A0FCE"/>
    <w:rsid w:val="2E474172"/>
    <w:rsid w:val="2E723F73"/>
    <w:rsid w:val="2FE5320F"/>
    <w:rsid w:val="301937F3"/>
    <w:rsid w:val="32186458"/>
    <w:rsid w:val="32747406"/>
    <w:rsid w:val="328C2221"/>
    <w:rsid w:val="329B4460"/>
    <w:rsid w:val="33446DA5"/>
    <w:rsid w:val="33622C66"/>
    <w:rsid w:val="33FA5E68"/>
    <w:rsid w:val="346F4717"/>
    <w:rsid w:val="347D0965"/>
    <w:rsid w:val="34CC306C"/>
    <w:rsid w:val="35226778"/>
    <w:rsid w:val="3633257C"/>
    <w:rsid w:val="36453593"/>
    <w:rsid w:val="366A300A"/>
    <w:rsid w:val="36BD5820"/>
    <w:rsid w:val="36C450EA"/>
    <w:rsid w:val="37435C32"/>
    <w:rsid w:val="39E60BE9"/>
    <w:rsid w:val="3A780E00"/>
    <w:rsid w:val="3B5A188F"/>
    <w:rsid w:val="3BCE5DD9"/>
    <w:rsid w:val="3BF16921"/>
    <w:rsid w:val="3CE04968"/>
    <w:rsid w:val="3D44305B"/>
    <w:rsid w:val="402C30CE"/>
    <w:rsid w:val="40345FA8"/>
    <w:rsid w:val="403D7980"/>
    <w:rsid w:val="404B79F8"/>
    <w:rsid w:val="40752CC7"/>
    <w:rsid w:val="409D230A"/>
    <w:rsid w:val="40EE65D6"/>
    <w:rsid w:val="40FC775C"/>
    <w:rsid w:val="413F7BD0"/>
    <w:rsid w:val="42331B83"/>
    <w:rsid w:val="428471F1"/>
    <w:rsid w:val="42FE415C"/>
    <w:rsid w:val="449C6A14"/>
    <w:rsid w:val="44B7528D"/>
    <w:rsid w:val="44F12ED2"/>
    <w:rsid w:val="45AD7EAD"/>
    <w:rsid w:val="45B4637A"/>
    <w:rsid w:val="45CD5AB1"/>
    <w:rsid w:val="474D6EE1"/>
    <w:rsid w:val="479559FD"/>
    <w:rsid w:val="47DF7717"/>
    <w:rsid w:val="49314A53"/>
    <w:rsid w:val="49C83192"/>
    <w:rsid w:val="49DD3B54"/>
    <w:rsid w:val="4DB111A1"/>
    <w:rsid w:val="4E0C72D1"/>
    <w:rsid w:val="4F6167DB"/>
    <w:rsid w:val="4F8922EB"/>
    <w:rsid w:val="50697A27"/>
    <w:rsid w:val="50E97F21"/>
    <w:rsid w:val="50FB0517"/>
    <w:rsid w:val="51E667EB"/>
    <w:rsid w:val="536015B5"/>
    <w:rsid w:val="54E12281"/>
    <w:rsid w:val="553625CD"/>
    <w:rsid w:val="55540CA5"/>
    <w:rsid w:val="55591A57"/>
    <w:rsid w:val="55653867"/>
    <w:rsid w:val="55810B45"/>
    <w:rsid w:val="569A72A6"/>
    <w:rsid w:val="56A6102C"/>
    <w:rsid w:val="56D50407"/>
    <w:rsid w:val="57497773"/>
    <w:rsid w:val="57A16053"/>
    <w:rsid w:val="58A24896"/>
    <w:rsid w:val="58FB5C39"/>
    <w:rsid w:val="59082CBF"/>
    <w:rsid w:val="5BB02E8A"/>
    <w:rsid w:val="5BB3037A"/>
    <w:rsid w:val="5C0D4122"/>
    <w:rsid w:val="5C2515ED"/>
    <w:rsid w:val="5C3521D7"/>
    <w:rsid w:val="5C537F09"/>
    <w:rsid w:val="5C9B365E"/>
    <w:rsid w:val="5C9E3877"/>
    <w:rsid w:val="5D0A60F9"/>
    <w:rsid w:val="5DC112F1"/>
    <w:rsid w:val="5E4161F9"/>
    <w:rsid w:val="5F0A1991"/>
    <w:rsid w:val="5FDB1B72"/>
    <w:rsid w:val="600A7876"/>
    <w:rsid w:val="60500E40"/>
    <w:rsid w:val="608E02A7"/>
    <w:rsid w:val="60CE6380"/>
    <w:rsid w:val="61DB4DED"/>
    <w:rsid w:val="61E4522F"/>
    <w:rsid w:val="62413F15"/>
    <w:rsid w:val="63290DE8"/>
    <w:rsid w:val="633A772C"/>
    <w:rsid w:val="63B03E93"/>
    <w:rsid w:val="63C5564F"/>
    <w:rsid w:val="643C74D4"/>
    <w:rsid w:val="64A30DDD"/>
    <w:rsid w:val="64F50D13"/>
    <w:rsid w:val="65CE3285"/>
    <w:rsid w:val="66B36F02"/>
    <w:rsid w:val="66F127F8"/>
    <w:rsid w:val="67510B40"/>
    <w:rsid w:val="67A27F96"/>
    <w:rsid w:val="67A5139B"/>
    <w:rsid w:val="67E4235D"/>
    <w:rsid w:val="69BE2CCC"/>
    <w:rsid w:val="6A883473"/>
    <w:rsid w:val="6B981494"/>
    <w:rsid w:val="6DC76061"/>
    <w:rsid w:val="6DF220BC"/>
    <w:rsid w:val="6E0616B0"/>
    <w:rsid w:val="6EB72E79"/>
    <w:rsid w:val="6F401EA3"/>
    <w:rsid w:val="70DF1913"/>
    <w:rsid w:val="7194566A"/>
    <w:rsid w:val="72473BE1"/>
    <w:rsid w:val="73816CB2"/>
    <w:rsid w:val="73C05A2C"/>
    <w:rsid w:val="74A76BEC"/>
    <w:rsid w:val="756D1AD8"/>
    <w:rsid w:val="763E532E"/>
    <w:rsid w:val="769466F4"/>
    <w:rsid w:val="76BB0B4E"/>
    <w:rsid w:val="77CB2BF1"/>
    <w:rsid w:val="78E47D5D"/>
    <w:rsid w:val="790B77C1"/>
    <w:rsid w:val="793F1E70"/>
    <w:rsid w:val="79FF3026"/>
    <w:rsid w:val="7A78617A"/>
    <w:rsid w:val="7A976593"/>
    <w:rsid w:val="7C270787"/>
    <w:rsid w:val="7D7F176D"/>
    <w:rsid w:val="7DA45A5C"/>
    <w:rsid w:val="7DC17D98"/>
    <w:rsid w:val="7EC93467"/>
    <w:rsid w:val="7FDF36DE"/>
    <w:rsid w:val="FF7E95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7">
    <w:name w:val="heading 1"/>
    <w:basedOn w:val="1"/>
    <w:next w:val="1"/>
    <w:qFormat/>
    <w:uiPriority w:val="0"/>
    <w:pPr>
      <w:keepNext/>
      <w:snapToGrid w:val="0"/>
      <w:spacing w:line="360" w:lineRule="atLeast"/>
      <w:outlineLvl w:val="0"/>
    </w:pPr>
    <w:rPr>
      <w:rFonts w:ascii="宋体" w:hAnsi="宋体"/>
      <w:b/>
    </w:rPr>
  </w:style>
  <w:style w:type="paragraph" w:styleId="8">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9">
    <w:name w:val="heading 3"/>
    <w:basedOn w:val="1"/>
    <w:next w:val="1"/>
    <w:qFormat/>
    <w:uiPriority w:val="0"/>
    <w:pPr>
      <w:keepNext/>
      <w:keepLines/>
      <w:spacing w:before="260" w:after="260" w:line="412" w:lineRule="auto"/>
      <w:outlineLvl w:val="2"/>
    </w:pPr>
    <w:rPr>
      <w:b/>
      <w:sz w:val="32"/>
    </w:rPr>
  </w:style>
  <w:style w:type="paragraph" w:styleId="10">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420" w:firstLineChars="200"/>
    </w:pPr>
  </w:style>
  <w:style w:type="paragraph" w:styleId="3">
    <w:name w:val="Body Text Indent"/>
    <w:basedOn w:val="1"/>
    <w:next w:val="4"/>
    <w:qFormat/>
    <w:uiPriority w:val="0"/>
    <w:pPr>
      <w:spacing w:line="700" w:lineRule="exact"/>
      <w:ind w:left="960"/>
    </w:pPr>
    <w:rPr>
      <w:sz w:val="44"/>
    </w:rPr>
  </w:style>
  <w:style w:type="paragraph" w:customStyle="1" w:styleId="4">
    <w:name w:val="样式 宋体 五号 行距: 单倍行距"/>
    <w:basedOn w:val="1"/>
    <w:qFormat/>
    <w:uiPriority w:val="0"/>
    <w:pPr>
      <w:adjustRightInd w:val="0"/>
      <w:jc w:val="left"/>
    </w:pPr>
    <w:rPr>
      <w:rFonts w:ascii="宋体" w:hAnsi="宋体"/>
      <w:kern w:val="0"/>
      <w:sz w:val="21"/>
    </w:rPr>
  </w:style>
  <w:style w:type="paragraph" w:styleId="5">
    <w:name w:val="Body Text First Indent"/>
    <w:basedOn w:val="6"/>
    <w:next w:val="1"/>
    <w:qFormat/>
    <w:uiPriority w:val="0"/>
    <w:pPr>
      <w:spacing w:line="360" w:lineRule="auto"/>
      <w:ind w:firstLine="420"/>
    </w:pPr>
    <w:rPr>
      <w:rFonts w:ascii="宋体" w:hAnsi="宋体"/>
      <w:sz w:val="24"/>
    </w:rPr>
  </w:style>
  <w:style w:type="paragraph" w:styleId="6">
    <w:name w:val="Body Text"/>
    <w:basedOn w:val="1"/>
    <w:next w:val="1"/>
    <w:qFormat/>
    <w:uiPriority w:val="0"/>
    <w:rPr>
      <w:rFonts w:ascii="仿宋_GB2312" w:eastAsia="仿宋_GB2312"/>
      <w:sz w:val="32"/>
    </w:rPr>
  </w:style>
  <w:style w:type="paragraph" w:styleId="11">
    <w:name w:val="Normal Indent"/>
    <w:basedOn w:val="1"/>
    <w:next w:val="1"/>
    <w:qFormat/>
    <w:uiPriority w:val="0"/>
    <w:pPr>
      <w:adjustRightInd w:val="0"/>
      <w:snapToGrid w:val="0"/>
      <w:spacing w:line="360" w:lineRule="auto"/>
      <w:ind w:firstLine="420"/>
    </w:pPr>
    <w:rPr>
      <w:sz w:val="24"/>
    </w:rPr>
  </w:style>
  <w:style w:type="paragraph" w:styleId="12">
    <w:name w:val="Document Map"/>
    <w:basedOn w:val="1"/>
    <w:next w:val="1"/>
    <w:qFormat/>
    <w:uiPriority w:val="0"/>
    <w:pPr>
      <w:shd w:val="clear" w:color="auto" w:fill="000080"/>
    </w:pPr>
  </w:style>
  <w:style w:type="paragraph" w:styleId="13">
    <w:name w:val="annotation text"/>
    <w:basedOn w:val="1"/>
    <w:link w:val="39"/>
    <w:qFormat/>
    <w:uiPriority w:val="0"/>
    <w:pPr>
      <w:jc w:val="left"/>
    </w:pPr>
  </w:style>
  <w:style w:type="paragraph" w:styleId="14">
    <w:name w:val="toc 3"/>
    <w:basedOn w:val="1"/>
    <w:next w:val="1"/>
    <w:qFormat/>
    <w:uiPriority w:val="39"/>
    <w:pPr>
      <w:ind w:left="840" w:leftChars="400"/>
    </w:pPr>
  </w:style>
  <w:style w:type="paragraph" w:styleId="15">
    <w:name w:val="Plain Text"/>
    <w:basedOn w:val="1"/>
    <w:next w:val="12"/>
    <w:qFormat/>
    <w:uiPriority w:val="0"/>
    <w:rPr>
      <w:rFonts w:ascii="宋体" w:hAnsi="Courier New"/>
      <w:sz w:val="21"/>
    </w:rPr>
  </w:style>
  <w:style w:type="paragraph" w:styleId="16">
    <w:name w:val="Date"/>
    <w:basedOn w:val="1"/>
    <w:next w:val="1"/>
    <w:qFormat/>
    <w:uiPriority w:val="0"/>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3"/>
    <w:qFormat/>
    <w:uiPriority w:val="0"/>
    <w:rPr>
      <w:sz w:val="18"/>
      <w:szCs w:val="18"/>
    </w:rPr>
  </w:style>
  <w:style w:type="paragraph" w:styleId="19">
    <w:name w:val="footer"/>
    <w:basedOn w:val="1"/>
    <w:qFormat/>
    <w:uiPriority w:val="99"/>
    <w:pPr>
      <w:tabs>
        <w:tab w:val="center" w:pos="4140"/>
        <w:tab w:val="right" w:pos="8300"/>
      </w:tabs>
      <w:snapToGrid w:val="0"/>
      <w:jc w:val="left"/>
    </w:pPr>
    <w:rPr>
      <w:sz w:val="18"/>
    </w:rPr>
  </w:style>
  <w:style w:type="paragraph" w:styleId="20">
    <w:name w:val="envelope return"/>
    <w:basedOn w:val="1"/>
    <w:semiHidden/>
    <w:qFormat/>
    <w:uiPriority w:val="0"/>
    <w:pPr>
      <w:snapToGrid w:val="0"/>
    </w:pPr>
    <w:rPr>
      <w:rFonts w:ascii="Arial" w:hAnsi="Arial" w:cs="Arial"/>
    </w:rPr>
  </w:style>
  <w:style w:type="paragraph" w:styleId="21">
    <w:name w:val="header"/>
    <w:basedOn w:val="1"/>
    <w:qFormat/>
    <w:uiPriority w:val="0"/>
    <w:pPr>
      <w:pBdr>
        <w:bottom w:val="single" w:color="000000" w:sz="6" w:space="1"/>
      </w:pBdr>
      <w:tabs>
        <w:tab w:val="center" w:pos="4140"/>
        <w:tab w:val="right" w:pos="8300"/>
      </w:tabs>
      <w:snapToGrid w:val="0"/>
      <w:jc w:val="center"/>
    </w:pPr>
    <w:rPr>
      <w:sz w:val="18"/>
    </w:rPr>
  </w:style>
  <w:style w:type="paragraph" w:styleId="22">
    <w:name w:val="toc 1"/>
    <w:basedOn w:val="1"/>
    <w:next w:val="1"/>
    <w:qFormat/>
    <w:uiPriority w:val="39"/>
    <w:pPr>
      <w:spacing w:line="180" w:lineRule="auto"/>
      <w:jc w:val="center"/>
    </w:pPr>
    <w:rPr>
      <w:sz w:val="30"/>
    </w:rPr>
  </w:style>
  <w:style w:type="paragraph" w:styleId="23">
    <w:name w:val="index 7"/>
    <w:basedOn w:val="1"/>
    <w:next w:val="1"/>
    <w:qFormat/>
    <w:uiPriority w:val="0"/>
    <w:pPr>
      <w:ind w:left="2520"/>
    </w:pPr>
  </w:style>
  <w:style w:type="paragraph" w:styleId="24">
    <w:name w:val="toc 2"/>
    <w:basedOn w:val="1"/>
    <w:next w:val="1"/>
    <w:qFormat/>
    <w:uiPriority w:val="39"/>
    <w:pPr>
      <w:ind w:left="420" w:leftChars="200"/>
    </w:pPr>
  </w:style>
  <w:style w:type="paragraph" w:styleId="25">
    <w:name w:val="Body Text 2"/>
    <w:basedOn w:val="1"/>
    <w:qFormat/>
    <w:uiPriority w:val="0"/>
    <w:pPr>
      <w:adjustRightInd w:val="0"/>
      <w:snapToGrid w:val="0"/>
      <w:spacing w:after="120" w:line="480" w:lineRule="auto"/>
    </w:pPr>
    <w:rPr>
      <w:sz w:val="24"/>
    </w:rPr>
  </w:style>
  <w:style w:type="paragraph" w:styleId="26">
    <w:name w:val="annotation subject"/>
    <w:basedOn w:val="13"/>
    <w:next w:val="13"/>
    <w:link w:val="40"/>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rPr>
      <w:rFonts w:ascii="Times New Roman" w:hAnsi="Times New Roman" w:eastAsia="宋体" w:cs="Times New Roman"/>
    </w:rPr>
  </w:style>
  <w:style w:type="character" w:styleId="31">
    <w:name w:val="Hyperlink"/>
    <w:qFormat/>
    <w:uiPriority w:val="99"/>
    <w:rPr>
      <w:rFonts w:ascii="Times New Roman" w:hAnsi="Times New Roman" w:eastAsia="宋体" w:cs="Times New Roman"/>
      <w:color w:val="0000FF"/>
      <w:u w:val="single"/>
    </w:rPr>
  </w:style>
  <w:style w:type="character" w:styleId="32">
    <w:name w:val="annotation reference"/>
    <w:basedOn w:val="29"/>
    <w:qFormat/>
    <w:uiPriority w:val="0"/>
    <w:rPr>
      <w:sz w:val="21"/>
      <w:szCs w:val="21"/>
    </w:rPr>
  </w:style>
  <w:style w:type="paragraph" w:customStyle="1" w:styleId="33">
    <w:name w:val="标准正文"/>
    <w:basedOn w:val="3"/>
    <w:qFormat/>
    <w:uiPriority w:val="0"/>
    <w:pPr>
      <w:spacing w:before="60" w:after="60" w:line="360" w:lineRule="auto"/>
      <w:ind w:left="0" w:firstLine="482"/>
    </w:pPr>
    <w:rPr>
      <w:rFonts w:ascii="Arial" w:hAnsi="Arial"/>
      <w:sz w:val="24"/>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引用1"/>
    <w:basedOn w:val="1"/>
    <w:next w:val="1"/>
    <w:qFormat/>
    <w:uiPriority w:val="0"/>
    <w:pPr>
      <w:wordWrap w:val="0"/>
      <w:spacing w:before="200" w:after="160"/>
      <w:ind w:left="864" w:right="864"/>
      <w:jc w:val="center"/>
    </w:pPr>
    <w:rPr>
      <w:i/>
    </w:rPr>
  </w:style>
  <w:style w:type="paragraph" w:customStyle="1" w:styleId="36">
    <w:name w:val="样式 正文首行缩进 + 首行缩进:  2 字符1 Char Char"/>
    <w:basedOn w:val="5"/>
    <w:qFormat/>
    <w:uiPriority w:val="0"/>
    <w:pPr>
      <w:adjustRightInd w:val="0"/>
      <w:spacing w:line="400" w:lineRule="exact"/>
      <w:ind w:firstLine="480" w:firstLineChars="200"/>
      <w:textAlignment w:val="baseline"/>
    </w:pPr>
    <w:rPr>
      <w:rFonts w:cs="宋体"/>
      <w:color w:val="000000"/>
      <w:szCs w:val="24"/>
    </w:rPr>
  </w:style>
  <w:style w:type="paragraph" w:customStyle="1" w:styleId="37">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图例"/>
    <w:basedOn w:val="1"/>
    <w:qFormat/>
    <w:uiPriority w:val="0"/>
    <w:pPr>
      <w:spacing w:before="120" w:after="120" w:line="360" w:lineRule="auto"/>
      <w:jc w:val="center"/>
    </w:pPr>
    <w:rPr>
      <w:rFonts w:eastAsia="仿宋_GB2312"/>
      <w:b/>
      <w:sz w:val="24"/>
    </w:rPr>
  </w:style>
  <w:style w:type="character" w:customStyle="1" w:styleId="39">
    <w:name w:val="批注文字 字符"/>
    <w:basedOn w:val="29"/>
    <w:link w:val="13"/>
    <w:qFormat/>
    <w:uiPriority w:val="0"/>
    <w:rPr>
      <w:kern w:val="2"/>
      <w:sz w:val="28"/>
    </w:rPr>
  </w:style>
  <w:style w:type="character" w:customStyle="1" w:styleId="40">
    <w:name w:val="批注主题 字符"/>
    <w:basedOn w:val="39"/>
    <w:link w:val="26"/>
    <w:qFormat/>
    <w:uiPriority w:val="0"/>
    <w:rPr>
      <w:b/>
      <w:bCs/>
      <w:kern w:val="2"/>
      <w:sz w:val="28"/>
    </w:rPr>
  </w:style>
  <w:style w:type="character" w:customStyle="1" w:styleId="41">
    <w:name w:val="Unresolved Mention"/>
    <w:basedOn w:val="29"/>
    <w:semiHidden/>
    <w:unhideWhenUsed/>
    <w:qFormat/>
    <w:uiPriority w:val="99"/>
    <w:rPr>
      <w:color w:val="605E5C"/>
      <w:shd w:val="clear" w:color="auto" w:fill="E1DFDD"/>
    </w:rPr>
  </w:style>
  <w:style w:type="paragraph" w:customStyle="1" w:styleId="42">
    <w:name w:val="Revision"/>
    <w:hidden/>
    <w:unhideWhenUsed/>
    <w:qFormat/>
    <w:uiPriority w:val="99"/>
    <w:rPr>
      <w:rFonts w:ascii="Times New Roman" w:hAnsi="Times New Roman" w:eastAsia="宋体" w:cs="Times New Roman"/>
      <w:kern w:val="2"/>
      <w:sz w:val="28"/>
      <w:lang w:val="en-US" w:eastAsia="zh-CN" w:bidi="ar-SA"/>
    </w:rPr>
  </w:style>
  <w:style w:type="character" w:customStyle="1" w:styleId="43">
    <w:name w:val="批注框文本 字符"/>
    <w:basedOn w:val="29"/>
    <w:link w:val="18"/>
    <w:qFormat/>
    <w:uiPriority w:val="0"/>
    <w:rPr>
      <w:kern w:val="2"/>
      <w:sz w:val="18"/>
      <w:szCs w:val="18"/>
    </w:rPr>
  </w:style>
  <w:style w:type="character" w:customStyle="1" w:styleId="44">
    <w:name w:val="正文文本缩进 2 字符"/>
    <w:basedOn w:val="29"/>
    <w:link w:val="17"/>
    <w:qFormat/>
    <w:uiPriority w:val="0"/>
    <w:rPr>
      <w:kern w:val="2"/>
      <w:sz w:val="28"/>
    </w:rPr>
  </w:style>
  <w:style w:type="paragraph" w:customStyle="1" w:styleId="45">
    <w:name w:val="1.正文"/>
    <w:basedOn w:val="1"/>
    <w:qFormat/>
    <w:uiPriority w:val="0"/>
    <w:pPr>
      <w:spacing w:line="360" w:lineRule="auto"/>
      <w:ind w:left="540" w:leftChars="225" w:firstLine="540" w:firstLineChars="225"/>
    </w:pPr>
    <w:rPr>
      <w:sz w:val="24"/>
    </w:rPr>
  </w:style>
  <w:style w:type="character" w:customStyle="1" w:styleId="46">
    <w:name w:val="font11"/>
    <w:basedOn w:val="29"/>
    <w:qFormat/>
    <w:uiPriority w:val="0"/>
    <w:rPr>
      <w:rFonts w:hint="default" w:ascii="华文细黑" w:hAnsi="华文细黑" w:eastAsia="华文细黑" w:cs="华文细黑"/>
      <w:color w:val="000000"/>
      <w:sz w:val="20"/>
      <w:szCs w:val="20"/>
      <w:u w:val="none"/>
    </w:rPr>
  </w:style>
  <w:style w:type="character" w:customStyle="1" w:styleId="47">
    <w:name w:val="font41"/>
    <w:basedOn w:val="29"/>
    <w:qFormat/>
    <w:uiPriority w:val="0"/>
    <w:rPr>
      <w:rFonts w:ascii="Calibri" w:hAnsi="Calibri" w:cs="Calibri"/>
      <w:color w:val="000000"/>
      <w:sz w:val="20"/>
      <w:szCs w:val="20"/>
      <w:u w:val="none"/>
    </w:rPr>
  </w:style>
  <w:style w:type="character" w:customStyle="1" w:styleId="48">
    <w:name w:val="font21"/>
    <w:basedOn w:val="29"/>
    <w:qFormat/>
    <w:uiPriority w:val="0"/>
    <w:rPr>
      <w:rFonts w:hint="default" w:ascii="Calibri" w:hAnsi="Calibri" w:cs="Calibri"/>
      <w:color w:val="000000"/>
      <w:sz w:val="20"/>
      <w:szCs w:val="20"/>
      <w:u w:val="none"/>
    </w:rPr>
  </w:style>
  <w:style w:type="character" w:customStyle="1" w:styleId="49">
    <w:name w:val="font51"/>
    <w:basedOn w:val="29"/>
    <w:qFormat/>
    <w:uiPriority w:val="0"/>
    <w:rPr>
      <w:rFonts w:hint="eastAsia" w:ascii="宋体" w:hAnsi="宋体" w:eastAsia="宋体" w:cs="宋体"/>
      <w:color w:val="000000"/>
      <w:sz w:val="20"/>
      <w:szCs w:val="20"/>
      <w:u w:val="none"/>
    </w:rPr>
  </w:style>
  <w:style w:type="character" w:customStyle="1" w:styleId="50">
    <w:name w:val="font31"/>
    <w:basedOn w:val="29"/>
    <w:qFormat/>
    <w:uiPriority w:val="0"/>
    <w:rPr>
      <w:rFonts w:hint="default" w:ascii="华文细黑" w:hAnsi="华文细黑" w:eastAsia="华文细黑" w:cs="华文细黑"/>
      <w:color w:val="000000"/>
      <w:sz w:val="20"/>
      <w:szCs w:val="20"/>
      <w:u w:val="none"/>
    </w:rPr>
  </w:style>
  <w:style w:type="character" w:customStyle="1" w:styleId="51">
    <w:name w:val="NormalCharacter"/>
    <w:qFormat/>
    <w:uiPriority w:val="0"/>
    <w:rPr>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4056</Words>
  <Characters>4485</Characters>
  <Lines>62</Lines>
  <Paragraphs>60</Paragraphs>
  <TotalTime>12</TotalTime>
  <ScaleCrop>false</ScaleCrop>
  <LinksUpToDate>false</LinksUpToDate>
  <CharactersWithSpaces>4570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2023-07-18T07:07:00Z</dcterms:created>
  <dc:creator>ZB</dc:creator>
  <cp:lastModifiedBy>傅⑨⑨</cp:lastModifiedBy>
  <cp:lastPrinted>2024-12-27T18:31:00Z</cp:lastPrinted>
  <dcterms:modified xsi:type="dcterms:W3CDTF">2025-11-21T01:32:18Z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ADF4A07C4C614AF8AAC9EA807A8AC867_13</vt:lpwstr>
  </property>
  <property fmtid="{D5CDD505-2E9C-101B-9397-08002B2CF9AE}" pid="4" name="KSOTemplateDocerSaveRecord">
    <vt:lpwstr>eyJoZGlkIjoiMTk0ZDJlMjY0MWM3ODY5ODFjNmQ1MWQ3YjM0YTQ5YjEiLCJ1c2VySWQiOiIyODg1MzkxNTgifQ==</vt:lpwstr>
  </property>
</Properties>
</file>