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F691E">
      <w:pPr>
        <w:pStyle w:val="11"/>
        <w:spacing w:line="480" w:lineRule="auto"/>
        <w:ind w:left="0"/>
        <w:jc w:val="both"/>
        <w:rPr>
          <w:rFonts w:hint="eastAsia" w:ascii="仿宋" w:hAnsi="仿宋" w:eastAsia="仿宋" w:cs="仿宋"/>
          <w:color w:val="auto"/>
          <w:sz w:val="15"/>
          <w:szCs w:val="15"/>
          <w:highlight w:val="none"/>
        </w:rPr>
      </w:pPr>
    </w:p>
    <w:p w14:paraId="2281E16E">
      <w:pPr>
        <w:pStyle w:val="5"/>
        <w:keepNext w:val="0"/>
        <w:keepLines w:val="0"/>
        <w:widowControl/>
        <w:suppressLineNumbers w:val="0"/>
        <w:spacing w:before="0" w:beforeAutospacing="0" w:after="0" w:afterAutospacing="0" w:line="192" w:lineRule="atLeast"/>
        <w:ind w:left="0" w:right="0"/>
        <w:jc w:val="center"/>
        <w:rPr>
          <w:rFonts w:hint="eastAsia" w:ascii="仿宋" w:hAnsi="仿宋" w:eastAsia="仿宋" w:cs="仿宋"/>
          <w:b w:val="0"/>
          <w:color w:val="auto"/>
          <w:kern w:val="2"/>
          <w:sz w:val="36"/>
          <w:szCs w:val="36"/>
          <w:highlight w:val="none"/>
          <w:lang w:val="en-US" w:eastAsia="zh-CN" w:bidi="ar-SA"/>
        </w:rPr>
      </w:pPr>
    </w:p>
    <w:p w14:paraId="44C874A4">
      <w:pPr>
        <w:adjustRightInd w:val="0"/>
        <w:jc w:val="center"/>
        <w:rPr>
          <w:rFonts w:hint="eastAsia" w:ascii="仿宋" w:hAnsi="仿宋" w:eastAsia="仿宋" w:cs="仿宋"/>
          <w:b/>
          <w:color w:val="auto"/>
          <w:sz w:val="72"/>
          <w:szCs w:val="72"/>
          <w:highlight w:val="none"/>
        </w:rPr>
      </w:pPr>
    </w:p>
    <w:p w14:paraId="370C9EFC">
      <w:pPr>
        <w:adjustRightInd w:val="0"/>
        <w:jc w:val="center"/>
        <w:rPr>
          <w:rFonts w:hint="eastAsia" w:ascii="仿宋" w:hAnsi="仿宋" w:eastAsia="仿宋" w:cs="仿宋"/>
          <w:b/>
          <w:color w:val="auto"/>
          <w:sz w:val="96"/>
          <w:szCs w:val="96"/>
          <w:highlight w:val="none"/>
        </w:rPr>
      </w:pPr>
    </w:p>
    <w:p w14:paraId="680C80D8">
      <w:pPr>
        <w:adjustRightInd w:val="0"/>
        <w:jc w:val="center"/>
        <w:rPr>
          <w:rFonts w:hint="eastAsia" w:ascii="仿宋" w:hAnsi="仿宋" w:eastAsia="仿宋" w:cs="仿宋"/>
          <w:b/>
          <w:color w:val="auto"/>
          <w:sz w:val="96"/>
          <w:szCs w:val="96"/>
          <w:highlight w:val="none"/>
        </w:rPr>
      </w:pPr>
      <w:r>
        <w:rPr>
          <w:rFonts w:hint="eastAsia" w:ascii="仿宋" w:hAnsi="仿宋" w:eastAsia="仿宋" w:cs="仿宋"/>
          <w:b/>
          <w:color w:val="auto"/>
          <w:sz w:val="96"/>
          <w:szCs w:val="96"/>
          <w:highlight w:val="none"/>
        </w:rPr>
        <w:t>竞争性比选文件</w:t>
      </w:r>
    </w:p>
    <w:p w14:paraId="76DE4DA3">
      <w:pPr>
        <w:pStyle w:val="5"/>
        <w:jc w:val="both"/>
        <w:rPr>
          <w:rFonts w:hint="eastAsia" w:ascii="仿宋" w:hAnsi="仿宋" w:eastAsia="仿宋" w:cs="仿宋"/>
          <w:color w:val="auto"/>
          <w:highlight w:val="none"/>
        </w:rPr>
      </w:pPr>
    </w:p>
    <w:p w14:paraId="4928CE7D">
      <w:pPr>
        <w:spacing w:line="700" w:lineRule="exact"/>
        <w:ind w:left="0" w:leftChars="0"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采购执行编号</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JCZB26032</w:t>
      </w:r>
    </w:p>
    <w:p w14:paraId="0BE9AC58">
      <w:pPr>
        <w:pStyle w:val="2"/>
        <w:rPr>
          <w:rFonts w:hint="eastAsia" w:ascii="仿宋" w:hAnsi="仿宋" w:eastAsia="仿宋" w:cs="仿宋"/>
          <w:highlight w:val="none"/>
          <w:lang w:val="en-US" w:eastAsia="zh-CN"/>
        </w:rPr>
      </w:pPr>
    </w:p>
    <w:p w14:paraId="70CF3F92">
      <w:pPr>
        <w:spacing w:line="700" w:lineRule="exact"/>
        <w:ind w:left="0" w:leftChars="0" w:firstLine="643" w:firstLineChars="200"/>
        <w:rPr>
          <w:rFonts w:hint="eastAsia" w:ascii="仿宋" w:hAnsi="仿宋" w:eastAsia="仿宋" w:cs="仿宋"/>
          <w:b/>
          <w:bCs/>
          <w:color w:val="auto"/>
          <w:kern w:val="2"/>
          <w:sz w:val="32"/>
          <w:szCs w:val="22"/>
          <w:highlight w:val="none"/>
          <w:lang w:val="en-US" w:eastAsia="zh-CN" w:bidi="ar-SA"/>
        </w:rPr>
      </w:pPr>
      <w:r>
        <w:rPr>
          <w:rFonts w:hint="eastAsia" w:ascii="仿宋" w:hAnsi="仿宋" w:eastAsia="仿宋" w:cs="仿宋"/>
          <w:b/>
          <w:bCs/>
          <w:color w:val="auto"/>
          <w:kern w:val="2"/>
          <w:sz w:val="32"/>
          <w:szCs w:val="22"/>
          <w:highlight w:val="none"/>
          <w:lang w:val="en-US" w:eastAsia="zh-CN" w:bidi="ar-SA"/>
        </w:rPr>
        <w:t>比选项目名称：重庆两江新区大竹林社区卫生服务中心新中心窗帘采购</w:t>
      </w:r>
    </w:p>
    <w:p w14:paraId="0093401A">
      <w:pPr>
        <w:pStyle w:val="11"/>
        <w:spacing w:line="500" w:lineRule="exact"/>
        <w:ind w:left="0"/>
        <w:rPr>
          <w:rFonts w:hint="eastAsia" w:ascii="仿宋" w:hAnsi="仿宋" w:eastAsia="仿宋" w:cs="仿宋"/>
          <w:color w:val="auto"/>
          <w:sz w:val="32"/>
          <w:highlight w:val="none"/>
        </w:rPr>
      </w:pPr>
    </w:p>
    <w:p w14:paraId="6BFE4467">
      <w:pPr>
        <w:spacing w:line="500" w:lineRule="exact"/>
        <w:jc w:val="center"/>
        <w:rPr>
          <w:rFonts w:hint="eastAsia" w:ascii="仿宋" w:hAnsi="仿宋" w:eastAsia="仿宋" w:cs="仿宋"/>
          <w:color w:val="auto"/>
          <w:sz w:val="32"/>
          <w:highlight w:val="none"/>
        </w:rPr>
      </w:pPr>
    </w:p>
    <w:p w14:paraId="545A8D28">
      <w:pPr>
        <w:spacing w:line="500" w:lineRule="exact"/>
        <w:jc w:val="center"/>
        <w:outlineLvl w:val="0"/>
        <w:rPr>
          <w:rFonts w:hint="eastAsia" w:ascii="仿宋" w:hAnsi="仿宋" w:eastAsia="仿宋" w:cs="仿宋"/>
          <w:b/>
          <w:bCs/>
          <w:color w:val="auto"/>
          <w:sz w:val="36"/>
          <w:szCs w:val="36"/>
          <w:highlight w:val="none"/>
        </w:rPr>
      </w:pPr>
    </w:p>
    <w:p w14:paraId="03ADB9DA">
      <w:pPr>
        <w:spacing w:line="500" w:lineRule="exact"/>
        <w:jc w:val="both"/>
        <w:outlineLvl w:val="0"/>
        <w:rPr>
          <w:rFonts w:hint="eastAsia" w:ascii="仿宋" w:hAnsi="仿宋" w:eastAsia="仿宋" w:cs="仿宋"/>
          <w:b/>
          <w:bCs/>
          <w:color w:val="auto"/>
          <w:sz w:val="36"/>
          <w:szCs w:val="36"/>
          <w:highlight w:val="none"/>
        </w:rPr>
      </w:pPr>
    </w:p>
    <w:p w14:paraId="7A6ECE33">
      <w:pPr>
        <w:spacing w:line="500" w:lineRule="exact"/>
        <w:jc w:val="center"/>
        <w:outlineLvl w:val="0"/>
        <w:rPr>
          <w:rFonts w:hint="eastAsia" w:ascii="仿宋" w:hAnsi="仿宋" w:eastAsia="仿宋" w:cs="仿宋"/>
          <w:b/>
          <w:bCs/>
          <w:color w:val="auto"/>
          <w:sz w:val="36"/>
          <w:szCs w:val="36"/>
          <w:highlight w:val="none"/>
        </w:rPr>
      </w:pPr>
    </w:p>
    <w:p w14:paraId="6A284A47">
      <w:pPr>
        <w:spacing w:line="500" w:lineRule="exact"/>
        <w:jc w:val="center"/>
        <w:outlineLvl w:val="0"/>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rPr>
        <w:t>采购人</w:t>
      </w:r>
      <w:r>
        <w:rPr>
          <w:rFonts w:hint="eastAsia" w:ascii="仿宋" w:hAnsi="仿宋" w:eastAsia="仿宋" w:cs="仿宋"/>
          <w:b/>
          <w:bCs/>
          <w:color w:val="auto"/>
          <w:sz w:val="36"/>
          <w:szCs w:val="36"/>
          <w:highlight w:val="none"/>
          <w:lang w:val="en-US" w:eastAsia="zh-CN"/>
        </w:rPr>
        <w:t>：重庆两江新区中医院</w:t>
      </w:r>
    </w:p>
    <w:p w14:paraId="1650DE5F">
      <w:pPr>
        <w:snapToGrid w:val="0"/>
        <w:spacing w:line="500" w:lineRule="exact"/>
        <w:ind w:firstLine="1446" w:firstLineChars="400"/>
        <w:rPr>
          <w:rFonts w:hint="eastAsia" w:ascii="仿宋" w:hAnsi="仿宋" w:eastAsia="仿宋" w:cs="仿宋"/>
          <w:b/>
          <w:bCs/>
          <w:color w:val="auto"/>
          <w:sz w:val="36"/>
          <w:szCs w:val="36"/>
          <w:highlight w:val="none"/>
        </w:rPr>
      </w:pPr>
    </w:p>
    <w:p w14:paraId="433C3441">
      <w:pPr>
        <w:snapToGrid w:val="0"/>
        <w:spacing w:line="500" w:lineRule="exact"/>
        <w:ind w:firstLine="1446" w:firstLineChars="400"/>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rPr>
        <w:t>采购代理机构：</w:t>
      </w:r>
      <w:r>
        <w:rPr>
          <w:rFonts w:hint="eastAsia" w:ascii="仿宋" w:hAnsi="仿宋" w:eastAsia="仿宋" w:cs="仿宋"/>
          <w:b/>
          <w:bCs/>
          <w:color w:val="auto"/>
          <w:sz w:val="36"/>
          <w:szCs w:val="36"/>
          <w:highlight w:val="none"/>
          <w:lang w:val="en-US" w:eastAsia="zh-CN"/>
        </w:rPr>
        <w:t>重庆市聚创招标代理有限公司</w:t>
      </w:r>
    </w:p>
    <w:p w14:paraId="01065515">
      <w:pPr>
        <w:snapToGrid w:val="0"/>
        <w:spacing w:line="500" w:lineRule="exact"/>
        <w:jc w:val="center"/>
        <w:rPr>
          <w:rFonts w:hint="eastAsia" w:ascii="仿宋" w:hAnsi="仿宋" w:eastAsia="仿宋" w:cs="仿宋"/>
          <w:color w:val="auto"/>
          <w:sz w:val="36"/>
          <w:highlight w:val="none"/>
        </w:rPr>
      </w:pPr>
    </w:p>
    <w:p w14:paraId="1B6F55C9">
      <w:pPr>
        <w:snapToGrid w:val="0"/>
        <w:spacing w:line="500" w:lineRule="exact"/>
        <w:jc w:val="center"/>
        <w:rPr>
          <w:rFonts w:hint="eastAsia" w:ascii="仿宋" w:hAnsi="仿宋" w:eastAsia="仿宋" w:cs="仿宋"/>
          <w:color w:val="auto"/>
          <w:sz w:val="44"/>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fmt="numberInDash" w:start="1"/>
          <w:cols w:space="720" w:num="1"/>
          <w:titlePg/>
          <w:docGrid w:linePitch="312" w:charSpace="0"/>
        </w:sectPr>
      </w:pPr>
      <w:r>
        <w:rPr>
          <w:rFonts w:hint="eastAsia" w:ascii="仿宋" w:hAnsi="仿宋" w:eastAsia="仿宋" w:cs="仿宋"/>
          <w:b/>
          <w:bCs/>
          <w:color w:val="auto"/>
          <w:sz w:val="36"/>
          <w:highlight w:val="none"/>
        </w:rPr>
        <w:t>二〇二</w:t>
      </w:r>
      <w:r>
        <w:rPr>
          <w:rFonts w:hint="eastAsia" w:ascii="仿宋" w:hAnsi="仿宋" w:eastAsia="仿宋" w:cs="仿宋"/>
          <w:b/>
          <w:bCs/>
          <w:color w:val="auto"/>
          <w:sz w:val="36"/>
          <w:highlight w:val="none"/>
          <w:lang w:val="en-US" w:eastAsia="zh-CN"/>
        </w:rPr>
        <w:t>六</w:t>
      </w:r>
      <w:r>
        <w:rPr>
          <w:rFonts w:hint="eastAsia" w:ascii="仿宋" w:hAnsi="仿宋" w:eastAsia="仿宋" w:cs="仿宋"/>
          <w:b/>
          <w:bCs/>
          <w:color w:val="auto"/>
          <w:sz w:val="36"/>
          <w:highlight w:val="none"/>
        </w:rPr>
        <w:t>年</w:t>
      </w:r>
      <w:r>
        <w:rPr>
          <w:rFonts w:hint="eastAsia" w:ascii="仿宋" w:hAnsi="仿宋" w:eastAsia="仿宋" w:cs="仿宋"/>
          <w:b/>
          <w:bCs/>
          <w:color w:val="auto"/>
          <w:sz w:val="36"/>
          <w:highlight w:val="none"/>
          <w:lang w:val="en-US" w:eastAsia="zh-CN"/>
        </w:rPr>
        <w:t>三</w:t>
      </w:r>
      <w:r>
        <w:rPr>
          <w:rFonts w:hint="eastAsia" w:ascii="仿宋" w:hAnsi="仿宋" w:eastAsia="仿宋" w:cs="仿宋"/>
          <w:b/>
          <w:bCs/>
          <w:color w:val="auto"/>
          <w:sz w:val="36"/>
          <w:highlight w:val="none"/>
        </w:rPr>
        <w:t>月</w:t>
      </w:r>
    </w:p>
    <w:p w14:paraId="1D5FC842">
      <w:pPr>
        <w:jc w:val="center"/>
        <w:rPr>
          <w:rFonts w:hint="eastAsia" w:ascii="仿宋" w:hAnsi="仿宋" w:eastAsia="仿宋" w:cs="仿宋"/>
          <w:color w:val="auto"/>
          <w:sz w:val="44"/>
          <w:szCs w:val="44"/>
          <w:highlight w:val="none"/>
          <w:lang w:eastAsia="zh-CN"/>
        </w:rPr>
      </w:pPr>
    </w:p>
    <w:p w14:paraId="303B80FD">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lang w:eastAsia="zh-CN"/>
        </w:rPr>
        <w:t>重庆市聚创招标代理有限公司</w:t>
      </w:r>
    </w:p>
    <w:p w14:paraId="6CFA5C63">
      <w:pPr>
        <w:jc w:val="center"/>
        <w:rPr>
          <w:rFonts w:hint="eastAsia" w:ascii="仿宋" w:hAnsi="仿宋" w:eastAsia="仿宋" w:cs="仿宋"/>
          <w:b/>
          <w:bCs/>
          <w:color w:val="auto"/>
          <w:spacing w:val="40"/>
          <w:sz w:val="52"/>
          <w:szCs w:val="56"/>
          <w:highlight w:val="none"/>
        </w:rPr>
      </w:pPr>
      <w:r>
        <w:rPr>
          <w:rFonts w:hint="eastAsia" w:ascii="仿宋" w:hAnsi="仿宋" w:eastAsia="仿宋" w:cs="仿宋"/>
          <w:color w:val="auto"/>
          <w:sz w:val="44"/>
          <w:szCs w:val="44"/>
          <w:highlight w:val="none"/>
        </w:rPr>
        <w:t>比选文件发售登记表</w:t>
      </w:r>
    </w:p>
    <w:tbl>
      <w:tblPr>
        <w:tblStyle w:val="27"/>
        <w:tblW w:w="89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391"/>
        <w:gridCol w:w="1596"/>
        <w:gridCol w:w="3039"/>
      </w:tblGrid>
      <w:tr w14:paraId="730C0D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911" w:type="dxa"/>
            <w:vAlign w:val="center"/>
          </w:tcPr>
          <w:p w14:paraId="57AF04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项目号</w:t>
            </w:r>
          </w:p>
        </w:tc>
        <w:tc>
          <w:tcPr>
            <w:tcW w:w="2391" w:type="dxa"/>
            <w:vAlign w:val="center"/>
          </w:tcPr>
          <w:p w14:paraId="681F6E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596" w:type="dxa"/>
            <w:vAlign w:val="center"/>
          </w:tcPr>
          <w:p w14:paraId="25E460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采购执行编号</w:t>
            </w:r>
          </w:p>
        </w:tc>
        <w:tc>
          <w:tcPr>
            <w:tcW w:w="3039" w:type="dxa"/>
            <w:vAlign w:val="center"/>
          </w:tcPr>
          <w:p w14:paraId="70173B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JCZB26032</w:t>
            </w:r>
          </w:p>
        </w:tc>
      </w:tr>
      <w:tr w14:paraId="006E5B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911" w:type="dxa"/>
            <w:vAlign w:val="center"/>
          </w:tcPr>
          <w:p w14:paraId="072C7C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比选项目名称</w:t>
            </w:r>
          </w:p>
        </w:tc>
        <w:tc>
          <w:tcPr>
            <w:tcW w:w="7026" w:type="dxa"/>
            <w:gridSpan w:val="3"/>
            <w:vAlign w:val="center"/>
          </w:tcPr>
          <w:p w14:paraId="15F9AB76">
            <w:pPr>
              <w:pStyle w:val="11"/>
              <w:spacing w:line="500" w:lineRule="exact"/>
              <w:ind w:left="0"/>
              <w:jc w:val="left"/>
              <w:rPr>
                <w:rFonts w:hint="eastAsia" w:ascii="仿宋" w:hAnsi="仿宋" w:eastAsia="仿宋" w:cs="仿宋"/>
                <w:color w:val="auto"/>
                <w:sz w:val="28"/>
                <w:szCs w:val="28"/>
                <w:highlight w:val="none"/>
                <w:lang w:eastAsia="zh-CN"/>
              </w:rPr>
            </w:pPr>
          </w:p>
        </w:tc>
      </w:tr>
      <w:tr w14:paraId="2D5D07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1911" w:type="dxa"/>
            <w:vAlign w:val="center"/>
          </w:tcPr>
          <w:p w14:paraId="218975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名称</w:t>
            </w:r>
          </w:p>
        </w:tc>
        <w:tc>
          <w:tcPr>
            <w:tcW w:w="7026" w:type="dxa"/>
            <w:gridSpan w:val="3"/>
            <w:vAlign w:val="bottom"/>
          </w:tcPr>
          <w:p w14:paraId="1D5628C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公章）</w:t>
            </w:r>
          </w:p>
        </w:tc>
      </w:tr>
      <w:tr w14:paraId="21CDAE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911" w:type="dxa"/>
            <w:vAlign w:val="center"/>
          </w:tcPr>
          <w:p w14:paraId="0CBDB5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2391" w:type="dxa"/>
            <w:vAlign w:val="center"/>
          </w:tcPr>
          <w:p w14:paraId="3CF6DFB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c>
          <w:tcPr>
            <w:tcW w:w="1596" w:type="dxa"/>
            <w:vAlign w:val="center"/>
          </w:tcPr>
          <w:p w14:paraId="787D73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手机</w:t>
            </w:r>
          </w:p>
        </w:tc>
        <w:tc>
          <w:tcPr>
            <w:tcW w:w="3039" w:type="dxa"/>
            <w:vAlign w:val="center"/>
          </w:tcPr>
          <w:p w14:paraId="76FEB6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r>
      <w:tr w14:paraId="4662D2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911" w:type="dxa"/>
            <w:vAlign w:val="center"/>
          </w:tcPr>
          <w:p w14:paraId="72BAE6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办公电话</w:t>
            </w:r>
          </w:p>
        </w:tc>
        <w:tc>
          <w:tcPr>
            <w:tcW w:w="2391" w:type="dxa"/>
            <w:vAlign w:val="center"/>
          </w:tcPr>
          <w:p w14:paraId="744C75F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c>
          <w:tcPr>
            <w:tcW w:w="1596" w:type="dxa"/>
            <w:vAlign w:val="center"/>
          </w:tcPr>
          <w:p w14:paraId="6FBABE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p>
        </w:tc>
        <w:tc>
          <w:tcPr>
            <w:tcW w:w="3039" w:type="dxa"/>
            <w:vAlign w:val="center"/>
          </w:tcPr>
          <w:p w14:paraId="32EEA10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r>
      <w:tr w14:paraId="66DFCF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911" w:type="dxa"/>
            <w:vAlign w:val="center"/>
          </w:tcPr>
          <w:p w14:paraId="79F33F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E-mail</w:t>
            </w:r>
          </w:p>
        </w:tc>
        <w:tc>
          <w:tcPr>
            <w:tcW w:w="7026" w:type="dxa"/>
            <w:gridSpan w:val="3"/>
            <w:vAlign w:val="center"/>
          </w:tcPr>
          <w:p w14:paraId="5101A04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r>
      <w:tr w14:paraId="30A726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1911" w:type="dxa"/>
            <w:vAlign w:val="center"/>
          </w:tcPr>
          <w:p w14:paraId="7437D3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单位地址</w:t>
            </w:r>
          </w:p>
        </w:tc>
        <w:tc>
          <w:tcPr>
            <w:tcW w:w="7026" w:type="dxa"/>
            <w:gridSpan w:val="3"/>
            <w:vAlign w:val="center"/>
          </w:tcPr>
          <w:p w14:paraId="0D46A55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r>
    </w:tbl>
    <w:p w14:paraId="2BACAADC">
      <w:pPr>
        <w:rPr>
          <w:rFonts w:hint="eastAsia" w:ascii="仿宋" w:hAnsi="仿宋" w:eastAsia="仿宋" w:cs="仿宋"/>
          <w:color w:val="auto"/>
          <w:sz w:val="24"/>
          <w:highlight w:val="none"/>
        </w:rPr>
      </w:pPr>
    </w:p>
    <w:p w14:paraId="70B813CA">
      <w:pPr>
        <w:ind w:firstLine="360" w:firstLineChars="1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w:t>
      </w:r>
    </w:p>
    <w:p w14:paraId="2B1A3F05">
      <w:pPr>
        <w:rPr>
          <w:rFonts w:hint="eastAsia" w:ascii="仿宋" w:hAnsi="仿宋" w:eastAsia="仿宋" w:cs="仿宋"/>
          <w:color w:val="auto"/>
          <w:sz w:val="44"/>
          <w:highlight w:val="none"/>
        </w:rPr>
      </w:pPr>
      <w:r>
        <w:rPr>
          <w:rFonts w:hint="eastAsia" w:ascii="仿宋" w:hAnsi="仿宋" w:eastAsia="仿宋" w:cs="仿宋"/>
          <w:color w:val="auto"/>
          <w:sz w:val="44"/>
          <w:highlight w:val="none"/>
        </w:rPr>
        <w:br w:type="page"/>
      </w:r>
    </w:p>
    <w:p w14:paraId="6BAD8179">
      <w:pPr>
        <w:snapToGrid w:val="0"/>
        <w:spacing w:line="500" w:lineRule="exact"/>
        <w:jc w:val="center"/>
        <w:rPr>
          <w:rFonts w:hint="eastAsia" w:ascii="仿宋" w:hAnsi="仿宋" w:eastAsia="仿宋" w:cs="仿宋"/>
          <w:color w:val="auto"/>
          <w:sz w:val="44"/>
          <w:highlight w:val="none"/>
        </w:rPr>
      </w:pPr>
    </w:p>
    <w:p w14:paraId="1B70F6FD">
      <w:pPr>
        <w:snapToGrid w:val="0"/>
        <w:spacing w:line="500" w:lineRule="exact"/>
        <w:jc w:val="center"/>
        <w:rPr>
          <w:rFonts w:hint="eastAsia" w:ascii="仿宋" w:hAnsi="仿宋" w:eastAsia="仿宋" w:cs="仿宋"/>
          <w:color w:val="auto"/>
          <w:sz w:val="44"/>
          <w:highlight w:val="none"/>
        </w:rPr>
      </w:pPr>
      <w:r>
        <w:rPr>
          <w:rFonts w:hint="eastAsia" w:ascii="仿宋" w:hAnsi="仿宋" w:eastAsia="仿宋" w:cs="仿宋"/>
          <w:color w:val="auto"/>
          <w:sz w:val="44"/>
          <w:highlight w:val="none"/>
        </w:rPr>
        <w:t>目  录</w:t>
      </w:r>
    </w:p>
    <w:p w14:paraId="132652CC">
      <w:pPr>
        <w:pStyle w:val="19"/>
        <w:tabs>
          <w:tab w:val="right" w:leader="dot" w:pos="9412"/>
          <w:tab w:val="clear" w:pos="1260"/>
          <w:tab w:val="clear" w:pos="1685"/>
          <w:tab w:val="clear" w:pos="8400"/>
        </w:tabs>
        <w:ind w:firstLine="240"/>
        <w:rPr>
          <w:rFonts w:hint="eastAsia" w:ascii="仿宋" w:hAnsi="仿宋" w:eastAsia="仿宋" w:cs="仿宋"/>
          <w:color w:val="auto"/>
          <w:sz w:val="24"/>
          <w:szCs w:val="24"/>
          <w:highlight w:val="none"/>
        </w:rPr>
      </w:pPr>
    </w:p>
    <w:p w14:paraId="0B9323B0">
      <w:pPr>
        <w:pStyle w:val="19"/>
        <w:tabs>
          <w:tab w:val="right" w:leader="dot" w:pos="9229"/>
          <w:tab w:val="clear" w:pos="1260"/>
          <w:tab w:val="clear" w:pos="1685"/>
          <w:tab w:val="clear" w:pos="8400"/>
        </w:tabs>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TOC \o "1-2" \h \z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_Toc29625 </w:instrText>
      </w:r>
      <w:r>
        <w:rPr>
          <w:rFonts w:hint="eastAsia" w:ascii="仿宋" w:hAnsi="仿宋" w:eastAsia="仿宋" w:cs="仿宋"/>
          <w:szCs w:val="28"/>
          <w:highlight w:val="none"/>
        </w:rPr>
        <w:fldChar w:fldCharType="separate"/>
      </w:r>
      <w:r>
        <w:rPr>
          <w:rFonts w:hint="eastAsia" w:ascii="仿宋" w:hAnsi="仿宋" w:eastAsia="仿宋" w:cs="仿宋"/>
          <w:szCs w:val="52"/>
          <w:highlight w:val="none"/>
        </w:rPr>
        <w:t xml:space="preserve">第一篇  </w:t>
      </w:r>
      <w:r>
        <w:rPr>
          <w:rFonts w:hint="eastAsia" w:ascii="仿宋" w:hAnsi="仿宋" w:eastAsia="仿宋" w:cs="仿宋"/>
          <w:szCs w:val="52"/>
          <w:highlight w:val="none"/>
          <w:lang w:eastAsia="zh-CN"/>
        </w:rPr>
        <w:t>比选</w:t>
      </w:r>
      <w:r>
        <w:rPr>
          <w:rFonts w:hint="eastAsia" w:ascii="仿宋" w:hAnsi="仿宋" w:eastAsia="仿宋" w:cs="仿宋"/>
          <w:szCs w:val="52"/>
          <w:highlight w:val="none"/>
        </w:rPr>
        <w:t>邀请书</w:t>
      </w:r>
      <w:r>
        <w:tab/>
      </w:r>
      <w:r>
        <w:fldChar w:fldCharType="begin"/>
      </w:r>
      <w:r>
        <w:instrText xml:space="preserve"> PAGEREF _Toc29625 \h </w:instrText>
      </w:r>
      <w:r>
        <w:fldChar w:fldCharType="separate"/>
      </w:r>
      <w:r>
        <w:t>- 5 -</w:t>
      </w:r>
      <w:r>
        <w:fldChar w:fldCharType="end"/>
      </w:r>
      <w:r>
        <w:rPr>
          <w:rFonts w:hint="eastAsia" w:ascii="仿宋" w:hAnsi="仿宋" w:eastAsia="仿宋" w:cs="仿宋"/>
          <w:color w:val="auto"/>
          <w:szCs w:val="28"/>
          <w:highlight w:val="none"/>
        </w:rPr>
        <w:fldChar w:fldCharType="end"/>
      </w:r>
    </w:p>
    <w:p w14:paraId="1B6247E7">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_Toc18124 </w:instrText>
      </w:r>
      <w:r>
        <w:rPr>
          <w:rFonts w:hint="eastAsia" w:ascii="仿宋" w:hAnsi="仿宋" w:eastAsia="仿宋" w:cs="仿宋"/>
          <w:szCs w:val="28"/>
          <w:highlight w:val="none"/>
        </w:rPr>
        <w:fldChar w:fldCharType="separate"/>
      </w:r>
      <w:r>
        <w:rPr>
          <w:rFonts w:hint="eastAsia" w:ascii="仿宋" w:hAnsi="仿宋" w:eastAsia="仿宋" w:cs="仿宋"/>
          <w:szCs w:val="24"/>
        </w:rPr>
        <w:t xml:space="preserve">一、 </w:t>
      </w:r>
      <w:r>
        <w:rPr>
          <w:rFonts w:hint="eastAsia" w:ascii="仿宋" w:hAnsi="仿宋" w:eastAsia="仿宋" w:cs="仿宋"/>
          <w:szCs w:val="24"/>
          <w:highlight w:val="none"/>
        </w:rPr>
        <w:t>比选内容</w:t>
      </w:r>
      <w:r>
        <w:tab/>
      </w:r>
      <w:r>
        <w:fldChar w:fldCharType="begin"/>
      </w:r>
      <w:r>
        <w:instrText xml:space="preserve"> PAGEREF _Toc18124 \h </w:instrText>
      </w:r>
      <w:r>
        <w:fldChar w:fldCharType="separate"/>
      </w:r>
      <w:r>
        <w:t>- 5 -</w:t>
      </w:r>
      <w:r>
        <w:fldChar w:fldCharType="end"/>
      </w:r>
      <w:r>
        <w:rPr>
          <w:rFonts w:hint="eastAsia" w:ascii="仿宋" w:hAnsi="仿宋" w:eastAsia="仿宋" w:cs="仿宋"/>
          <w:color w:val="auto"/>
          <w:szCs w:val="28"/>
          <w:highlight w:val="none"/>
        </w:rPr>
        <w:fldChar w:fldCharType="end"/>
      </w:r>
    </w:p>
    <w:p w14:paraId="4096B623">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_Toc27516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二、资金来源</w:t>
      </w:r>
      <w:r>
        <w:tab/>
      </w:r>
      <w:r>
        <w:fldChar w:fldCharType="begin"/>
      </w:r>
      <w:r>
        <w:instrText xml:space="preserve"> PAGEREF _Toc27516 \h </w:instrText>
      </w:r>
      <w:r>
        <w:fldChar w:fldCharType="separate"/>
      </w:r>
      <w:r>
        <w:t>- 5 -</w:t>
      </w:r>
      <w:r>
        <w:fldChar w:fldCharType="end"/>
      </w:r>
      <w:r>
        <w:rPr>
          <w:rFonts w:hint="eastAsia" w:ascii="仿宋" w:hAnsi="仿宋" w:eastAsia="仿宋" w:cs="仿宋"/>
          <w:color w:val="auto"/>
          <w:szCs w:val="28"/>
          <w:highlight w:val="none"/>
        </w:rPr>
        <w:fldChar w:fldCharType="end"/>
      </w:r>
    </w:p>
    <w:p w14:paraId="68B08CC4">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_Toc29407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三、</w:t>
      </w:r>
      <w:r>
        <w:rPr>
          <w:rFonts w:hint="eastAsia" w:ascii="仿宋" w:hAnsi="仿宋" w:eastAsia="仿宋" w:cs="仿宋"/>
          <w:szCs w:val="24"/>
          <w:highlight w:val="none"/>
          <w:lang w:eastAsia="zh-CN"/>
        </w:rPr>
        <w:t>投标人</w:t>
      </w:r>
      <w:r>
        <w:rPr>
          <w:rFonts w:hint="eastAsia" w:ascii="仿宋" w:hAnsi="仿宋" w:eastAsia="仿宋" w:cs="仿宋"/>
          <w:szCs w:val="24"/>
          <w:highlight w:val="none"/>
        </w:rPr>
        <w:t>资格条件</w:t>
      </w:r>
      <w:r>
        <w:tab/>
      </w:r>
      <w:r>
        <w:fldChar w:fldCharType="begin"/>
      </w:r>
      <w:r>
        <w:instrText xml:space="preserve"> PAGEREF _Toc29407 \h </w:instrText>
      </w:r>
      <w:r>
        <w:fldChar w:fldCharType="separate"/>
      </w:r>
      <w:r>
        <w:t>- 5 -</w:t>
      </w:r>
      <w:r>
        <w:fldChar w:fldCharType="end"/>
      </w:r>
      <w:r>
        <w:rPr>
          <w:rFonts w:hint="eastAsia" w:ascii="仿宋" w:hAnsi="仿宋" w:eastAsia="仿宋" w:cs="仿宋"/>
          <w:color w:val="auto"/>
          <w:szCs w:val="28"/>
          <w:highlight w:val="none"/>
        </w:rPr>
        <w:fldChar w:fldCharType="end"/>
      </w:r>
    </w:p>
    <w:p w14:paraId="040F2B61">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_Toc20176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四、比选有关说明</w:t>
      </w:r>
      <w:r>
        <w:tab/>
      </w:r>
      <w:r>
        <w:fldChar w:fldCharType="begin"/>
      </w:r>
      <w:r>
        <w:instrText xml:space="preserve"> PAGEREF _Toc20176 \h </w:instrText>
      </w:r>
      <w:r>
        <w:fldChar w:fldCharType="separate"/>
      </w:r>
      <w:r>
        <w:t>- 5 -</w:t>
      </w:r>
      <w:r>
        <w:fldChar w:fldCharType="end"/>
      </w:r>
      <w:r>
        <w:rPr>
          <w:rFonts w:hint="eastAsia" w:ascii="仿宋" w:hAnsi="仿宋" w:eastAsia="仿宋" w:cs="仿宋"/>
          <w:color w:val="auto"/>
          <w:szCs w:val="28"/>
          <w:highlight w:val="none"/>
        </w:rPr>
        <w:fldChar w:fldCharType="end"/>
      </w:r>
    </w:p>
    <w:p w14:paraId="1812595D">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_Toc11613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五、比选保证金</w:t>
      </w:r>
      <w:r>
        <w:tab/>
      </w:r>
      <w:r>
        <w:fldChar w:fldCharType="begin"/>
      </w:r>
      <w:r>
        <w:instrText xml:space="preserve"> PAGEREF _Toc11613 \h </w:instrText>
      </w:r>
      <w:r>
        <w:fldChar w:fldCharType="separate"/>
      </w:r>
      <w:r>
        <w:t>- 7 -</w:t>
      </w:r>
      <w:r>
        <w:fldChar w:fldCharType="end"/>
      </w:r>
      <w:r>
        <w:rPr>
          <w:rFonts w:hint="eastAsia" w:ascii="仿宋" w:hAnsi="仿宋" w:eastAsia="仿宋" w:cs="仿宋"/>
          <w:color w:val="auto"/>
          <w:szCs w:val="28"/>
          <w:highlight w:val="none"/>
        </w:rPr>
        <w:fldChar w:fldCharType="end"/>
      </w:r>
    </w:p>
    <w:p w14:paraId="6A70211F">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_Toc8324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六、其它有关规定</w:t>
      </w:r>
      <w:r>
        <w:tab/>
      </w:r>
      <w:r>
        <w:fldChar w:fldCharType="begin"/>
      </w:r>
      <w:r>
        <w:instrText xml:space="preserve"> PAGEREF _Toc8324 \h </w:instrText>
      </w:r>
      <w:r>
        <w:fldChar w:fldCharType="separate"/>
      </w:r>
      <w:r>
        <w:t>- 7 -</w:t>
      </w:r>
      <w:r>
        <w:fldChar w:fldCharType="end"/>
      </w:r>
      <w:r>
        <w:rPr>
          <w:rFonts w:hint="eastAsia" w:ascii="仿宋" w:hAnsi="仿宋" w:eastAsia="仿宋" w:cs="仿宋"/>
          <w:color w:val="auto"/>
          <w:szCs w:val="28"/>
          <w:highlight w:val="none"/>
        </w:rPr>
        <w:fldChar w:fldCharType="end"/>
      </w:r>
    </w:p>
    <w:p w14:paraId="09389412">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_Toc10454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七、联系方式</w:t>
      </w:r>
      <w:r>
        <w:tab/>
      </w:r>
      <w:r>
        <w:fldChar w:fldCharType="begin"/>
      </w:r>
      <w:r>
        <w:instrText xml:space="preserve"> PAGEREF _Toc10454 \h </w:instrText>
      </w:r>
      <w:r>
        <w:fldChar w:fldCharType="separate"/>
      </w:r>
      <w:r>
        <w:t>- 7 -</w:t>
      </w:r>
      <w:r>
        <w:fldChar w:fldCharType="end"/>
      </w:r>
      <w:r>
        <w:rPr>
          <w:rFonts w:hint="eastAsia" w:ascii="仿宋" w:hAnsi="仿宋" w:eastAsia="仿宋" w:cs="仿宋"/>
          <w:color w:val="auto"/>
          <w:szCs w:val="28"/>
          <w:highlight w:val="none"/>
        </w:rPr>
        <w:fldChar w:fldCharType="end"/>
      </w:r>
    </w:p>
    <w:p w14:paraId="20BBC464">
      <w:pPr>
        <w:pStyle w:val="19"/>
        <w:tabs>
          <w:tab w:val="right" w:leader="dot" w:pos="9229"/>
          <w:tab w:val="clear" w:pos="1260"/>
          <w:tab w:val="clear" w:pos="1685"/>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_Toc32766 </w:instrText>
      </w:r>
      <w:r>
        <w:rPr>
          <w:rFonts w:hint="eastAsia" w:ascii="仿宋" w:hAnsi="仿宋" w:eastAsia="仿宋" w:cs="仿宋"/>
          <w:szCs w:val="28"/>
          <w:highlight w:val="none"/>
        </w:rPr>
        <w:fldChar w:fldCharType="separate"/>
      </w:r>
      <w:r>
        <w:rPr>
          <w:rFonts w:hint="eastAsia" w:ascii="仿宋" w:hAnsi="仿宋" w:eastAsia="仿宋" w:cs="仿宋"/>
          <w:szCs w:val="52"/>
          <w:highlight w:val="none"/>
        </w:rPr>
        <w:t>第二篇 项目</w:t>
      </w:r>
      <w:r>
        <w:rPr>
          <w:rFonts w:hint="eastAsia" w:ascii="仿宋" w:hAnsi="仿宋" w:eastAsia="仿宋" w:cs="仿宋"/>
          <w:szCs w:val="52"/>
          <w:highlight w:val="none"/>
          <w:lang w:val="en-US" w:eastAsia="zh-CN"/>
        </w:rPr>
        <w:t>技术（质量）</w:t>
      </w:r>
      <w:r>
        <w:rPr>
          <w:rFonts w:hint="eastAsia" w:ascii="仿宋" w:hAnsi="仿宋" w:eastAsia="仿宋" w:cs="仿宋"/>
          <w:szCs w:val="52"/>
          <w:highlight w:val="none"/>
        </w:rPr>
        <w:t>需求</w:t>
      </w:r>
      <w:r>
        <w:tab/>
      </w:r>
      <w:r>
        <w:fldChar w:fldCharType="begin"/>
      </w:r>
      <w:r>
        <w:instrText xml:space="preserve"> PAGEREF _Toc32766 \h </w:instrText>
      </w:r>
      <w:r>
        <w:fldChar w:fldCharType="separate"/>
      </w:r>
      <w:r>
        <w:t>- 8 -</w:t>
      </w:r>
      <w:r>
        <w:fldChar w:fldCharType="end"/>
      </w:r>
      <w:r>
        <w:rPr>
          <w:rFonts w:hint="eastAsia" w:ascii="仿宋" w:hAnsi="仿宋" w:eastAsia="仿宋" w:cs="仿宋"/>
          <w:color w:val="auto"/>
          <w:szCs w:val="28"/>
          <w:highlight w:val="none"/>
        </w:rPr>
        <w:fldChar w:fldCharType="end"/>
      </w:r>
    </w:p>
    <w:p w14:paraId="2C19E1F0">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_Toc10719 </w:instrText>
      </w:r>
      <w:r>
        <w:rPr>
          <w:rFonts w:hint="eastAsia" w:ascii="仿宋" w:hAnsi="仿宋" w:eastAsia="仿宋" w:cs="仿宋"/>
          <w:szCs w:val="28"/>
          <w:highlight w:val="none"/>
        </w:rPr>
        <w:fldChar w:fldCharType="separate"/>
      </w:r>
      <w:r>
        <w:rPr>
          <w:rFonts w:hint="eastAsia" w:ascii="仿宋" w:hAnsi="仿宋" w:eastAsia="仿宋" w:cs="仿宋"/>
          <w:bCs/>
          <w:szCs w:val="24"/>
          <w:highlight w:val="none"/>
          <w:lang w:val="en-US" w:eastAsia="zh-CN"/>
        </w:rPr>
        <w:t>一、</w:t>
      </w:r>
      <w:r>
        <w:rPr>
          <w:rFonts w:hint="eastAsia" w:ascii="仿宋" w:hAnsi="仿宋" w:eastAsia="仿宋" w:cs="仿宋"/>
          <w:bCs/>
          <w:szCs w:val="24"/>
          <w:highlight w:val="none"/>
        </w:rPr>
        <w:t>项目</w:t>
      </w:r>
      <w:r>
        <w:rPr>
          <w:rFonts w:hint="eastAsia" w:ascii="仿宋" w:hAnsi="仿宋" w:eastAsia="仿宋" w:cs="仿宋"/>
          <w:bCs/>
          <w:szCs w:val="24"/>
          <w:highlight w:val="none"/>
          <w:lang w:val="en-US" w:eastAsia="zh-CN"/>
        </w:rPr>
        <w:t>一览表</w:t>
      </w:r>
      <w:r>
        <w:tab/>
      </w:r>
      <w:r>
        <w:fldChar w:fldCharType="begin"/>
      </w:r>
      <w:r>
        <w:instrText xml:space="preserve"> PAGEREF _Toc10719 \h </w:instrText>
      </w:r>
      <w:r>
        <w:fldChar w:fldCharType="separate"/>
      </w:r>
      <w:r>
        <w:t>- 8 -</w:t>
      </w:r>
      <w:r>
        <w:fldChar w:fldCharType="end"/>
      </w:r>
      <w:r>
        <w:rPr>
          <w:rFonts w:hint="eastAsia" w:ascii="仿宋" w:hAnsi="仿宋" w:eastAsia="仿宋" w:cs="仿宋"/>
          <w:color w:val="auto"/>
          <w:szCs w:val="28"/>
          <w:highlight w:val="none"/>
        </w:rPr>
        <w:fldChar w:fldCharType="end"/>
      </w:r>
    </w:p>
    <w:p w14:paraId="14420782">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_Toc24346 </w:instrText>
      </w:r>
      <w:r>
        <w:rPr>
          <w:rFonts w:hint="eastAsia" w:ascii="仿宋" w:hAnsi="仿宋" w:eastAsia="仿宋" w:cs="仿宋"/>
          <w:szCs w:val="28"/>
          <w:highlight w:val="none"/>
        </w:rPr>
        <w:fldChar w:fldCharType="separate"/>
      </w:r>
      <w:r>
        <w:rPr>
          <w:rFonts w:hint="eastAsia" w:ascii="仿宋" w:hAnsi="仿宋" w:eastAsia="仿宋" w:cs="仿宋"/>
          <w:bCs/>
          <w:szCs w:val="24"/>
          <w:highlight w:val="none"/>
        </w:rPr>
        <w:t>二、</w:t>
      </w:r>
      <w:r>
        <w:rPr>
          <w:rFonts w:hint="eastAsia" w:ascii="仿宋" w:hAnsi="仿宋" w:eastAsia="仿宋" w:cs="仿宋"/>
          <w:bCs/>
          <w:szCs w:val="24"/>
          <w:highlight w:val="none"/>
          <w:lang w:val="en-US" w:eastAsia="zh-CN"/>
        </w:rPr>
        <w:t>比选</w:t>
      </w:r>
      <w:r>
        <w:rPr>
          <w:rFonts w:hint="eastAsia" w:ascii="仿宋" w:hAnsi="仿宋" w:eastAsia="仿宋" w:cs="仿宋"/>
          <w:bCs/>
          <w:szCs w:val="24"/>
          <w:highlight w:val="none"/>
        </w:rPr>
        <w:t>项目技术需求</w:t>
      </w:r>
      <w:r>
        <w:tab/>
      </w:r>
      <w:r>
        <w:fldChar w:fldCharType="begin"/>
      </w:r>
      <w:r>
        <w:instrText xml:space="preserve"> PAGEREF _Toc24346 \h </w:instrText>
      </w:r>
      <w:r>
        <w:fldChar w:fldCharType="separate"/>
      </w:r>
      <w:r>
        <w:t>- 9 -</w:t>
      </w:r>
      <w:r>
        <w:fldChar w:fldCharType="end"/>
      </w:r>
      <w:r>
        <w:rPr>
          <w:rFonts w:hint="eastAsia" w:ascii="仿宋" w:hAnsi="仿宋" w:eastAsia="仿宋" w:cs="仿宋"/>
          <w:color w:val="auto"/>
          <w:szCs w:val="28"/>
          <w:highlight w:val="none"/>
        </w:rPr>
        <w:fldChar w:fldCharType="end"/>
      </w:r>
    </w:p>
    <w:p w14:paraId="7CCD6714">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_Toc9219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lang w:val="en-US" w:eastAsia="zh-CN"/>
        </w:rPr>
        <w:t>三</w:t>
      </w:r>
      <w:r>
        <w:rPr>
          <w:rFonts w:hint="eastAsia" w:ascii="仿宋" w:hAnsi="仿宋" w:eastAsia="仿宋" w:cs="仿宋"/>
          <w:szCs w:val="24"/>
          <w:highlight w:val="none"/>
        </w:rPr>
        <w:t>、样品递交及退还要求</w:t>
      </w:r>
      <w:r>
        <w:tab/>
      </w:r>
      <w:r>
        <w:fldChar w:fldCharType="begin"/>
      </w:r>
      <w:r>
        <w:instrText xml:space="preserve"> PAGEREF _Toc9219 \h </w:instrText>
      </w:r>
      <w:r>
        <w:fldChar w:fldCharType="separate"/>
      </w:r>
      <w:r>
        <w:t>- 13 -</w:t>
      </w:r>
      <w:r>
        <w:fldChar w:fldCharType="end"/>
      </w:r>
      <w:r>
        <w:rPr>
          <w:rFonts w:hint="eastAsia" w:ascii="仿宋" w:hAnsi="仿宋" w:eastAsia="仿宋" w:cs="仿宋"/>
          <w:color w:val="auto"/>
          <w:szCs w:val="28"/>
          <w:highlight w:val="none"/>
        </w:rPr>
        <w:fldChar w:fldCharType="end"/>
      </w:r>
    </w:p>
    <w:p w14:paraId="49B0C7D4">
      <w:pPr>
        <w:pStyle w:val="19"/>
        <w:tabs>
          <w:tab w:val="right" w:leader="dot" w:pos="9229"/>
          <w:tab w:val="clear" w:pos="1260"/>
          <w:tab w:val="clear" w:pos="1685"/>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_Toc28658 </w:instrText>
      </w:r>
      <w:r>
        <w:rPr>
          <w:rFonts w:hint="eastAsia" w:ascii="仿宋" w:hAnsi="仿宋" w:eastAsia="仿宋" w:cs="仿宋"/>
          <w:szCs w:val="28"/>
          <w:highlight w:val="none"/>
        </w:rPr>
        <w:fldChar w:fldCharType="separate"/>
      </w:r>
      <w:r>
        <w:rPr>
          <w:rFonts w:hint="eastAsia" w:ascii="仿宋" w:hAnsi="仿宋" w:eastAsia="仿宋" w:cs="仿宋"/>
          <w:szCs w:val="52"/>
          <w:highlight w:val="none"/>
        </w:rPr>
        <w:t>第三篇 项目商务需求</w:t>
      </w:r>
      <w:r>
        <w:tab/>
      </w:r>
      <w:r>
        <w:fldChar w:fldCharType="begin"/>
      </w:r>
      <w:r>
        <w:instrText xml:space="preserve"> PAGEREF _Toc28658 \h </w:instrText>
      </w:r>
      <w:r>
        <w:fldChar w:fldCharType="separate"/>
      </w:r>
      <w:r>
        <w:t>- 14 -</w:t>
      </w:r>
      <w:r>
        <w:fldChar w:fldCharType="end"/>
      </w:r>
      <w:r>
        <w:rPr>
          <w:rFonts w:hint="eastAsia" w:ascii="仿宋" w:hAnsi="仿宋" w:eastAsia="仿宋" w:cs="仿宋"/>
          <w:color w:val="auto"/>
          <w:szCs w:val="28"/>
          <w:highlight w:val="none"/>
        </w:rPr>
        <w:fldChar w:fldCharType="end"/>
      </w:r>
    </w:p>
    <w:p w14:paraId="1498039B">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_Toc8918 </w:instrText>
      </w:r>
      <w:r>
        <w:rPr>
          <w:rFonts w:hint="eastAsia" w:ascii="仿宋" w:hAnsi="仿宋" w:eastAsia="仿宋" w:cs="仿宋"/>
          <w:szCs w:val="28"/>
          <w:highlight w:val="none"/>
        </w:rPr>
        <w:fldChar w:fldCharType="separate"/>
      </w:r>
      <w:r>
        <w:rPr>
          <w:rFonts w:hint="eastAsia" w:ascii="仿宋" w:hAnsi="仿宋" w:eastAsia="仿宋" w:cs="仿宋"/>
          <w:kern w:val="0"/>
          <w:szCs w:val="24"/>
          <w:highlight w:val="none"/>
        </w:rPr>
        <w:t>※</w:t>
      </w:r>
      <w:r>
        <w:rPr>
          <w:rFonts w:hint="eastAsia" w:ascii="仿宋" w:hAnsi="仿宋" w:eastAsia="仿宋" w:cs="仿宋"/>
          <w:szCs w:val="24"/>
          <w:highlight w:val="none"/>
        </w:rPr>
        <w:t>一、交货期、交货地点及验收方式</w:t>
      </w:r>
      <w:r>
        <w:tab/>
      </w:r>
      <w:r>
        <w:fldChar w:fldCharType="begin"/>
      </w:r>
      <w:r>
        <w:instrText xml:space="preserve"> PAGEREF _Toc8918 \h </w:instrText>
      </w:r>
      <w:r>
        <w:fldChar w:fldCharType="separate"/>
      </w:r>
      <w:r>
        <w:t>- 14 -</w:t>
      </w:r>
      <w:r>
        <w:fldChar w:fldCharType="end"/>
      </w:r>
      <w:r>
        <w:rPr>
          <w:rFonts w:hint="eastAsia" w:ascii="仿宋" w:hAnsi="仿宋" w:eastAsia="仿宋" w:cs="仿宋"/>
          <w:color w:val="auto"/>
          <w:szCs w:val="28"/>
          <w:highlight w:val="none"/>
        </w:rPr>
        <w:fldChar w:fldCharType="end"/>
      </w:r>
    </w:p>
    <w:p w14:paraId="4B20CEC7">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_Toc20994 </w:instrText>
      </w:r>
      <w:r>
        <w:rPr>
          <w:rFonts w:hint="eastAsia" w:ascii="仿宋" w:hAnsi="仿宋" w:eastAsia="仿宋" w:cs="仿宋"/>
          <w:szCs w:val="28"/>
          <w:highlight w:val="none"/>
        </w:rPr>
        <w:fldChar w:fldCharType="separate"/>
      </w:r>
      <w:r>
        <w:rPr>
          <w:rFonts w:hint="eastAsia" w:ascii="仿宋" w:hAnsi="仿宋" w:eastAsia="仿宋" w:cs="仿宋"/>
          <w:kern w:val="0"/>
          <w:szCs w:val="24"/>
          <w:highlight w:val="none"/>
        </w:rPr>
        <w:t>※</w:t>
      </w:r>
      <w:r>
        <w:rPr>
          <w:rFonts w:hint="eastAsia" w:ascii="仿宋" w:hAnsi="仿宋" w:eastAsia="仿宋" w:cs="仿宋"/>
          <w:szCs w:val="24"/>
          <w:highlight w:val="none"/>
        </w:rPr>
        <w:t>二、报价要求</w:t>
      </w:r>
      <w:r>
        <w:tab/>
      </w:r>
      <w:r>
        <w:fldChar w:fldCharType="begin"/>
      </w:r>
      <w:r>
        <w:instrText xml:space="preserve"> PAGEREF _Toc20994 \h </w:instrText>
      </w:r>
      <w:r>
        <w:fldChar w:fldCharType="separate"/>
      </w:r>
      <w:r>
        <w:t>- 14 -</w:t>
      </w:r>
      <w:r>
        <w:fldChar w:fldCharType="end"/>
      </w:r>
      <w:r>
        <w:rPr>
          <w:rFonts w:hint="eastAsia" w:ascii="仿宋" w:hAnsi="仿宋" w:eastAsia="仿宋" w:cs="仿宋"/>
          <w:color w:val="auto"/>
          <w:szCs w:val="28"/>
          <w:highlight w:val="none"/>
        </w:rPr>
        <w:fldChar w:fldCharType="end"/>
      </w:r>
    </w:p>
    <w:p w14:paraId="685459D4">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_Toc2340 </w:instrText>
      </w:r>
      <w:r>
        <w:rPr>
          <w:rFonts w:hint="eastAsia" w:ascii="仿宋" w:hAnsi="仿宋" w:eastAsia="仿宋" w:cs="仿宋"/>
          <w:szCs w:val="28"/>
          <w:highlight w:val="none"/>
        </w:rPr>
        <w:fldChar w:fldCharType="separate"/>
      </w:r>
      <w:r>
        <w:rPr>
          <w:rFonts w:hint="eastAsia" w:ascii="仿宋" w:hAnsi="仿宋" w:eastAsia="仿宋" w:cs="仿宋"/>
          <w:kern w:val="0"/>
          <w:szCs w:val="24"/>
          <w:highlight w:val="none"/>
        </w:rPr>
        <w:t>※</w:t>
      </w:r>
      <w:r>
        <w:rPr>
          <w:rFonts w:hint="eastAsia" w:ascii="仿宋" w:hAnsi="仿宋" w:eastAsia="仿宋" w:cs="仿宋"/>
          <w:szCs w:val="24"/>
          <w:highlight w:val="none"/>
        </w:rPr>
        <w:t>三、质量保证及售后服务</w:t>
      </w:r>
      <w:r>
        <w:tab/>
      </w:r>
      <w:r>
        <w:fldChar w:fldCharType="begin"/>
      </w:r>
      <w:r>
        <w:instrText xml:space="preserve"> PAGEREF _Toc2340 \h </w:instrText>
      </w:r>
      <w:r>
        <w:fldChar w:fldCharType="separate"/>
      </w:r>
      <w:r>
        <w:t>- 15 -</w:t>
      </w:r>
      <w:r>
        <w:fldChar w:fldCharType="end"/>
      </w:r>
      <w:r>
        <w:rPr>
          <w:rFonts w:hint="eastAsia" w:ascii="仿宋" w:hAnsi="仿宋" w:eastAsia="仿宋" w:cs="仿宋"/>
          <w:color w:val="auto"/>
          <w:szCs w:val="28"/>
          <w:highlight w:val="none"/>
        </w:rPr>
        <w:fldChar w:fldCharType="end"/>
      </w:r>
    </w:p>
    <w:p w14:paraId="50357B4C">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_Toc321 </w:instrText>
      </w:r>
      <w:r>
        <w:rPr>
          <w:rFonts w:hint="eastAsia" w:ascii="仿宋" w:hAnsi="仿宋" w:eastAsia="仿宋" w:cs="仿宋"/>
          <w:szCs w:val="28"/>
          <w:highlight w:val="none"/>
        </w:rPr>
        <w:fldChar w:fldCharType="separate"/>
      </w:r>
      <w:r>
        <w:rPr>
          <w:rFonts w:hint="eastAsia" w:ascii="仿宋" w:hAnsi="仿宋" w:eastAsia="仿宋" w:cs="仿宋"/>
          <w:kern w:val="0"/>
          <w:szCs w:val="24"/>
          <w:highlight w:val="none"/>
        </w:rPr>
        <w:t>※</w:t>
      </w:r>
      <w:r>
        <w:rPr>
          <w:rFonts w:hint="eastAsia" w:ascii="仿宋" w:hAnsi="仿宋" w:eastAsia="仿宋" w:cs="仿宋"/>
          <w:szCs w:val="24"/>
          <w:highlight w:val="none"/>
        </w:rPr>
        <w:t>四、付款方式</w:t>
      </w:r>
      <w:r>
        <w:tab/>
      </w:r>
      <w:r>
        <w:fldChar w:fldCharType="begin"/>
      </w:r>
      <w:r>
        <w:instrText xml:space="preserve"> PAGEREF _Toc321 \h </w:instrText>
      </w:r>
      <w:r>
        <w:fldChar w:fldCharType="separate"/>
      </w:r>
      <w:r>
        <w:t>- 16 -</w:t>
      </w:r>
      <w:r>
        <w:fldChar w:fldCharType="end"/>
      </w:r>
      <w:r>
        <w:rPr>
          <w:rFonts w:hint="eastAsia" w:ascii="仿宋" w:hAnsi="仿宋" w:eastAsia="仿宋" w:cs="仿宋"/>
          <w:color w:val="auto"/>
          <w:szCs w:val="28"/>
          <w:highlight w:val="none"/>
        </w:rPr>
        <w:fldChar w:fldCharType="end"/>
      </w:r>
    </w:p>
    <w:p w14:paraId="44521D07">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_Toc15888 </w:instrText>
      </w:r>
      <w:r>
        <w:rPr>
          <w:rFonts w:hint="eastAsia" w:ascii="仿宋" w:hAnsi="仿宋" w:eastAsia="仿宋" w:cs="仿宋"/>
          <w:szCs w:val="28"/>
          <w:highlight w:val="none"/>
        </w:rPr>
        <w:fldChar w:fldCharType="separate"/>
      </w:r>
      <w:r>
        <w:rPr>
          <w:rFonts w:hint="eastAsia" w:ascii="仿宋" w:hAnsi="仿宋" w:eastAsia="仿宋" w:cs="仿宋"/>
          <w:kern w:val="0"/>
          <w:szCs w:val="24"/>
          <w:highlight w:val="none"/>
        </w:rPr>
        <w:t>※</w:t>
      </w:r>
      <w:r>
        <w:rPr>
          <w:rFonts w:hint="eastAsia" w:ascii="仿宋" w:hAnsi="仿宋" w:eastAsia="仿宋" w:cs="仿宋"/>
          <w:szCs w:val="24"/>
          <w:highlight w:val="none"/>
          <w:lang w:val="en-US" w:eastAsia="zh-CN"/>
        </w:rPr>
        <w:t>五</w:t>
      </w:r>
      <w:r>
        <w:rPr>
          <w:rFonts w:hint="eastAsia" w:ascii="仿宋" w:hAnsi="仿宋" w:eastAsia="仿宋" w:cs="仿宋"/>
          <w:szCs w:val="24"/>
          <w:highlight w:val="none"/>
        </w:rPr>
        <w:t>、知识产权</w:t>
      </w:r>
      <w:r>
        <w:tab/>
      </w:r>
      <w:r>
        <w:fldChar w:fldCharType="begin"/>
      </w:r>
      <w:r>
        <w:instrText xml:space="preserve"> PAGEREF _Toc15888 \h </w:instrText>
      </w:r>
      <w:r>
        <w:fldChar w:fldCharType="separate"/>
      </w:r>
      <w:r>
        <w:t>- 16 -</w:t>
      </w:r>
      <w:r>
        <w:fldChar w:fldCharType="end"/>
      </w:r>
      <w:r>
        <w:rPr>
          <w:rFonts w:hint="eastAsia" w:ascii="仿宋" w:hAnsi="仿宋" w:eastAsia="仿宋" w:cs="仿宋"/>
          <w:color w:val="auto"/>
          <w:szCs w:val="28"/>
          <w:highlight w:val="none"/>
        </w:rPr>
        <w:fldChar w:fldCharType="end"/>
      </w:r>
    </w:p>
    <w:p w14:paraId="1404B784">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_Toc24356 </w:instrText>
      </w:r>
      <w:r>
        <w:rPr>
          <w:rFonts w:hint="eastAsia" w:ascii="仿宋" w:hAnsi="仿宋" w:eastAsia="仿宋" w:cs="仿宋"/>
          <w:szCs w:val="28"/>
          <w:highlight w:val="none"/>
        </w:rPr>
        <w:fldChar w:fldCharType="separate"/>
      </w:r>
      <w:r>
        <w:rPr>
          <w:rFonts w:hint="eastAsia" w:ascii="仿宋" w:hAnsi="仿宋" w:eastAsia="仿宋" w:cs="仿宋"/>
          <w:kern w:val="0"/>
          <w:szCs w:val="24"/>
          <w:highlight w:val="none"/>
        </w:rPr>
        <w:t>※</w:t>
      </w:r>
      <w:r>
        <w:rPr>
          <w:rFonts w:hint="eastAsia" w:ascii="仿宋" w:hAnsi="仿宋" w:eastAsia="仿宋" w:cs="仿宋"/>
          <w:szCs w:val="24"/>
          <w:highlight w:val="none"/>
          <w:lang w:val="en-US" w:eastAsia="zh-CN"/>
        </w:rPr>
        <w:t>六</w:t>
      </w:r>
      <w:r>
        <w:rPr>
          <w:rFonts w:hint="eastAsia" w:ascii="仿宋" w:hAnsi="仿宋" w:eastAsia="仿宋" w:cs="仿宋"/>
          <w:szCs w:val="24"/>
          <w:highlight w:val="none"/>
        </w:rPr>
        <w:t>、培训</w:t>
      </w:r>
      <w:r>
        <w:tab/>
      </w:r>
      <w:r>
        <w:fldChar w:fldCharType="begin"/>
      </w:r>
      <w:r>
        <w:instrText xml:space="preserve"> PAGEREF _Toc24356 \h </w:instrText>
      </w:r>
      <w:r>
        <w:fldChar w:fldCharType="separate"/>
      </w:r>
      <w:r>
        <w:t>- 16 -</w:t>
      </w:r>
      <w:r>
        <w:fldChar w:fldCharType="end"/>
      </w:r>
      <w:r>
        <w:rPr>
          <w:rFonts w:hint="eastAsia" w:ascii="仿宋" w:hAnsi="仿宋" w:eastAsia="仿宋" w:cs="仿宋"/>
          <w:color w:val="auto"/>
          <w:szCs w:val="28"/>
          <w:highlight w:val="none"/>
        </w:rPr>
        <w:fldChar w:fldCharType="end"/>
      </w:r>
    </w:p>
    <w:p w14:paraId="5C974F54">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_Toc24724 </w:instrText>
      </w:r>
      <w:r>
        <w:rPr>
          <w:rFonts w:hint="eastAsia" w:ascii="仿宋" w:hAnsi="仿宋" w:eastAsia="仿宋" w:cs="仿宋"/>
          <w:szCs w:val="28"/>
          <w:highlight w:val="none"/>
        </w:rPr>
        <w:fldChar w:fldCharType="separate"/>
      </w:r>
      <w:r>
        <w:rPr>
          <w:rFonts w:hint="eastAsia" w:ascii="仿宋" w:hAnsi="仿宋" w:eastAsia="仿宋" w:cs="仿宋"/>
          <w:bCs/>
          <w:kern w:val="0"/>
          <w:szCs w:val="24"/>
          <w:highlight w:val="none"/>
          <w:lang w:val="en-US" w:eastAsia="zh-CN"/>
        </w:rPr>
        <w:t>七、附件、图纸及包装要求</w:t>
      </w:r>
      <w:r>
        <w:tab/>
      </w:r>
      <w:r>
        <w:fldChar w:fldCharType="begin"/>
      </w:r>
      <w:r>
        <w:instrText xml:space="preserve"> PAGEREF _Toc24724 \h </w:instrText>
      </w:r>
      <w:r>
        <w:fldChar w:fldCharType="separate"/>
      </w:r>
      <w:r>
        <w:t>- 16 -</w:t>
      </w:r>
      <w:r>
        <w:fldChar w:fldCharType="end"/>
      </w:r>
      <w:r>
        <w:rPr>
          <w:rFonts w:hint="eastAsia" w:ascii="仿宋" w:hAnsi="仿宋" w:eastAsia="仿宋" w:cs="仿宋"/>
          <w:color w:val="auto"/>
          <w:szCs w:val="28"/>
          <w:highlight w:val="none"/>
        </w:rPr>
        <w:fldChar w:fldCharType="end"/>
      </w:r>
    </w:p>
    <w:p w14:paraId="7321D7A8">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_Toc11437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lang w:val="en-US" w:eastAsia="zh-CN"/>
        </w:rPr>
        <w:t>八</w:t>
      </w:r>
      <w:r>
        <w:rPr>
          <w:rFonts w:hint="eastAsia" w:ascii="仿宋" w:hAnsi="仿宋" w:eastAsia="仿宋" w:cs="仿宋"/>
          <w:szCs w:val="24"/>
          <w:highlight w:val="none"/>
        </w:rPr>
        <w:t>、其他商务要求内容</w:t>
      </w:r>
      <w:r>
        <w:tab/>
      </w:r>
      <w:r>
        <w:fldChar w:fldCharType="begin"/>
      </w:r>
      <w:r>
        <w:instrText xml:space="preserve"> PAGEREF _Toc11437 \h </w:instrText>
      </w:r>
      <w:r>
        <w:fldChar w:fldCharType="separate"/>
      </w:r>
      <w:r>
        <w:t>- 16 -</w:t>
      </w:r>
      <w:r>
        <w:fldChar w:fldCharType="end"/>
      </w:r>
      <w:r>
        <w:rPr>
          <w:rFonts w:hint="eastAsia" w:ascii="仿宋" w:hAnsi="仿宋" w:eastAsia="仿宋" w:cs="仿宋"/>
          <w:color w:val="auto"/>
          <w:szCs w:val="28"/>
          <w:highlight w:val="none"/>
        </w:rPr>
        <w:fldChar w:fldCharType="end"/>
      </w:r>
    </w:p>
    <w:p w14:paraId="1F59821D">
      <w:pPr>
        <w:pStyle w:val="19"/>
        <w:tabs>
          <w:tab w:val="right" w:leader="dot" w:pos="9229"/>
          <w:tab w:val="clear" w:pos="1260"/>
          <w:tab w:val="clear" w:pos="1685"/>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_Toc7127 </w:instrText>
      </w:r>
      <w:r>
        <w:rPr>
          <w:rFonts w:hint="eastAsia" w:ascii="仿宋" w:hAnsi="仿宋" w:eastAsia="仿宋" w:cs="仿宋"/>
          <w:szCs w:val="28"/>
          <w:highlight w:val="none"/>
        </w:rPr>
        <w:fldChar w:fldCharType="separate"/>
      </w:r>
      <w:r>
        <w:rPr>
          <w:rFonts w:hint="eastAsia" w:ascii="仿宋" w:hAnsi="仿宋" w:eastAsia="仿宋" w:cs="仿宋"/>
          <w:szCs w:val="52"/>
          <w:highlight w:val="none"/>
          <w:lang w:val="en-US" w:eastAsia="zh-CN"/>
        </w:rPr>
        <w:t>第</w:t>
      </w:r>
      <w:r>
        <w:rPr>
          <w:rFonts w:hint="eastAsia" w:ascii="仿宋" w:hAnsi="仿宋" w:eastAsia="仿宋" w:cs="仿宋"/>
          <w:szCs w:val="52"/>
          <w:highlight w:val="none"/>
        </w:rPr>
        <w:t>四篇  比选程序及方法、评审标准、无效响应和采购终止</w:t>
      </w:r>
      <w:r>
        <w:tab/>
      </w:r>
      <w:r>
        <w:fldChar w:fldCharType="begin"/>
      </w:r>
      <w:r>
        <w:instrText xml:space="preserve"> PAGEREF _Toc7127 \h </w:instrText>
      </w:r>
      <w:r>
        <w:fldChar w:fldCharType="separate"/>
      </w:r>
      <w:r>
        <w:t>- 17 -</w:t>
      </w:r>
      <w:r>
        <w:fldChar w:fldCharType="end"/>
      </w:r>
      <w:r>
        <w:rPr>
          <w:rFonts w:hint="eastAsia" w:ascii="仿宋" w:hAnsi="仿宋" w:eastAsia="仿宋" w:cs="仿宋"/>
          <w:color w:val="auto"/>
          <w:szCs w:val="28"/>
          <w:highlight w:val="none"/>
        </w:rPr>
        <w:fldChar w:fldCharType="end"/>
      </w:r>
    </w:p>
    <w:p w14:paraId="1A812654">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_Toc17901 </w:instrText>
      </w:r>
      <w:r>
        <w:rPr>
          <w:rFonts w:hint="eastAsia" w:ascii="仿宋" w:hAnsi="仿宋" w:eastAsia="仿宋" w:cs="仿宋"/>
          <w:szCs w:val="28"/>
          <w:highlight w:val="none"/>
        </w:rPr>
        <w:fldChar w:fldCharType="separate"/>
      </w:r>
      <w:r>
        <w:rPr>
          <w:rFonts w:hint="eastAsia" w:ascii="仿宋" w:hAnsi="仿宋" w:eastAsia="仿宋" w:cs="仿宋"/>
          <w:bCs/>
          <w:szCs w:val="24"/>
          <w:highlight w:val="none"/>
          <w:lang w:val="en-US" w:eastAsia="zh-CN"/>
        </w:rPr>
        <w:t>一、比选程序及方法</w:t>
      </w:r>
      <w:r>
        <w:tab/>
      </w:r>
      <w:r>
        <w:fldChar w:fldCharType="begin"/>
      </w:r>
      <w:r>
        <w:instrText xml:space="preserve"> PAGEREF _Toc17901 \h </w:instrText>
      </w:r>
      <w:r>
        <w:fldChar w:fldCharType="separate"/>
      </w:r>
      <w:r>
        <w:t>- 17 -</w:t>
      </w:r>
      <w:r>
        <w:fldChar w:fldCharType="end"/>
      </w:r>
      <w:r>
        <w:rPr>
          <w:rFonts w:hint="eastAsia" w:ascii="仿宋" w:hAnsi="仿宋" w:eastAsia="仿宋" w:cs="仿宋"/>
          <w:color w:val="auto"/>
          <w:szCs w:val="28"/>
          <w:highlight w:val="none"/>
        </w:rPr>
        <w:fldChar w:fldCharType="end"/>
      </w:r>
    </w:p>
    <w:p w14:paraId="2A98EB71">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_Toc19229 </w:instrText>
      </w:r>
      <w:r>
        <w:rPr>
          <w:rFonts w:hint="eastAsia" w:ascii="仿宋" w:hAnsi="仿宋" w:eastAsia="仿宋" w:cs="仿宋"/>
          <w:szCs w:val="28"/>
          <w:highlight w:val="none"/>
        </w:rPr>
        <w:fldChar w:fldCharType="separate"/>
      </w:r>
      <w:r>
        <w:rPr>
          <w:rFonts w:hint="eastAsia" w:ascii="仿宋" w:hAnsi="仿宋" w:eastAsia="仿宋" w:cs="仿宋"/>
          <w:bCs/>
          <w:szCs w:val="24"/>
          <w:highlight w:val="none"/>
          <w:lang w:val="en-US" w:eastAsia="zh-CN"/>
        </w:rPr>
        <w:t>二、评审标准</w:t>
      </w:r>
      <w:r>
        <w:tab/>
      </w:r>
      <w:r>
        <w:fldChar w:fldCharType="begin"/>
      </w:r>
      <w:r>
        <w:instrText xml:space="preserve"> PAGEREF _Toc19229 \h </w:instrText>
      </w:r>
      <w:r>
        <w:fldChar w:fldCharType="separate"/>
      </w:r>
      <w:r>
        <w:t>- 19 -</w:t>
      </w:r>
      <w:r>
        <w:fldChar w:fldCharType="end"/>
      </w:r>
      <w:r>
        <w:rPr>
          <w:rFonts w:hint="eastAsia" w:ascii="仿宋" w:hAnsi="仿宋" w:eastAsia="仿宋" w:cs="仿宋"/>
          <w:color w:val="auto"/>
          <w:szCs w:val="28"/>
          <w:highlight w:val="none"/>
        </w:rPr>
        <w:fldChar w:fldCharType="end"/>
      </w:r>
    </w:p>
    <w:p w14:paraId="43E0A44E">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_Toc12966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四、无效投标条款</w:t>
      </w:r>
      <w:r>
        <w:tab/>
      </w:r>
      <w:r>
        <w:fldChar w:fldCharType="begin"/>
      </w:r>
      <w:r>
        <w:instrText xml:space="preserve"> PAGEREF _Toc12966 \h </w:instrText>
      </w:r>
      <w:r>
        <w:fldChar w:fldCharType="separate"/>
      </w:r>
      <w:r>
        <w:t>- 23 -</w:t>
      </w:r>
      <w:r>
        <w:fldChar w:fldCharType="end"/>
      </w:r>
      <w:r>
        <w:rPr>
          <w:rFonts w:hint="eastAsia" w:ascii="仿宋" w:hAnsi="仿宋" w:eastAsia="仿宋" w:cs="仿宋"/>
          <w:color w:val="auto"/>
          <w:szCs w:val="28"/>
          <w:highlight w:val="none"/>
        </w:rPr>
        <w:fldChar w:fldCharType="end"/>
      </w:r>
    </w:p>
    <w:p w14:paraId="2DABCECA">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_Toc21099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五、废标条款</w:t>
      </w:r>
      <w:r>
        <w:tab/>
      </w:r>
      <w:r>
        <w:fldChar w:fldCharType="begin"/>
      </w:r>
      <w:r>
        <w:instrText xml:space="preserve"> PAGEREF _Toc21099 \h </w:instrText>
      </w:r>
      <w:r>
        <w:fldChar w:fldCharType="separate"/>
      </w:r>
      <w:r>
        <w:t>- 23 -</w:t>
      </w:r>
      <w:r>
        <w:fldChar w:fldCharType="end"/>
      </w:r>
      <w:r>
        <w:rPr>
          <w:rFonts w:hint="eastAsia" w:ascii="仿宋" w:hAnsi="仿宋" w:eastAsia="仿宋" w:cs="仿宋"/>
          <w:color w:val="auto"/>
          <w:szCs w:val="28"/>
          <w:highlight w:val="none"/>
        </w:rPr>
        <w:fldChar w:fldCharType="end"/>
      </w:r>
    </w:p>
    <w:p w14:paraId="2B296330">
      <w:pPr>
        <w:pStyle w:val="19"/>
        <w:tabs>
          <w:tab w:val="right" w:leader="dot" w:pos="9229"/>
          <w:tab w:val="clear" w:pos="1260"/>
          <w:tab w:val="clear" w:pos="1685"/>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_Toc31986 </w:instrText>
      </w:r>
      <w:r>
        <w:rPr>
          <w:rFonts w:hint="eastAsia" w:ascii="仿宋" w:hAnsi="仿宋" w:eastAsia="仿宋" w:cs="仿宋"/>
          <w:szCs w:val="28"/>
          <w:highlight w:val="none"/>
        </w:rPr>
        <w:fldChar w:fldCharType="separate"/>
      </w:r>
      <w:r>
        <w:rPr>
          <w:rFonts w:hint="eastAsia" w:ascii="仿宋" w:hAnsi="仿宋" w:eastAsia="仿宋" w:cs="仿宋"/>
          <w:szCs w:val="52"/>
          <w:highlight w:val="none"/>
          <w:lang w:val="en-US" w:eastAsia="zh-CN"/>
        </w:rPr>
        <w:t>第五篇  投标人须知</w:t>
      </w:r>
      <w:r>
        <w:tab/>
      </w:r>
      <w:r>
        <w:fldChar w:fldCharType="begin"/>
      </w:r>
      <w:r>
        <w:instrText xml:space="preserve"> PAGEREF _Toc31986 \h </w:instrText>
      </w:r>
      <w:r>
        <w:fldChar w:fldCharType="separate"/>
      </w:r>
      <w:r>
        <w:t>- 25 -</w:t>
      </w:r>
      <w:r>
        <w:fldChar w:fldCharType="end"/>
      </w:r>
      <w:r>
        <w:rPr>
          <w:rFonts w:hint="eastAsia" w:ascii="仿宋" w:hAnsi="仿宋" w:eastAsia="仿宋" w:cs="仿宋"/>
          <w:color w:val="auto"/>
          <w:szCs w:val="28"/>
          <w:highlight w:val="none"/>
        </w:rPr>
        <w:fldChar w:fldCharType="end"/>
      </w:r>
    </w:p>
    <w:p w14:paraId="1F4A6ED5">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_Toc30990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一、比选费用</w:t>
      </w:r>
      <w:r>
        <w:tab/>
      </w:r>
      <w:r>
        <w:fldChar w:fldCharType="begin"/>
      </w:r>
      <w:r>
        <w:instrText xml:space="preserve"> PAGEREF _Toc30990 \h </w:instrText>
      </w:r>
      <w:r>
        <w:fldChar w:fldCharType="separate"/>
      </w:r>
      <w:r>
        <w:t>- 25 -</w:t>
      </w:r>
      <w:r>
        <w:fldChar w:fldCharType="end"/>
      </w:r>
      <w:r>
        <w:rPr>
          <w:rFonts w:hint="eastAsia" w:ascii="仿宋" w:hAnsi="仿宋" w:eastAsia="仿宋" w:cs="仿宋"/>
          <w:color w:val="auto"/>
          <w:szCs w:val="28"/>
          <w:highlight w:val="none"/>
        </w:rPr>
        <w:fldChar w:fldCharType="end"/>
      </w:r>
    </w:p>
    <w:p w14:paraId="1813609B">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_Toc1553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二、比选文件</w:t>
      </w:r>
      <w:r>
        <w:tab/>
      </w:r>
      <w:r>
        <w:fldChar w:fldCharType="begin"/>
      </w:r>
      <w:r>
        <w:instrText xml:space="preserve"> PAGEREF _Toc1553 \h </w:instrText>
      </w:r>
      <w:r>
        <w:fldChar w:fldCharType="separate"/>
      </w:r>
      <w:r>
        <w:t>- 25 -</w:t>
      </w:r>
      <w:r>
        <w:fldChar w:fldCharType="end"/>
      </w:r>
      <w:r>
        <w:rPr>
          <w:rFonts w:hint="eastAsia" w:ascii="仿宋" w:hAnsi="仿宋" w:eastAsia="仿宋" w:cs="仿宋"/>
          <w:color w:val="auto"/>
          <w:szCs w:val="28"/>
          <w:highlight w:val="none"/>
        </w:rPr>
        <w:fldChar w:fldCharType="end"/>
      </w:r>
    </w:p>
    <w:p w14:paraId="24EFB43E">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_Toc15791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三、比选要求</w:t>
      </w:r>
      <w:r>
        <w:tab/>
      </w:r>
      <w:r>
        <w:fldChar w:fldCharType="begin"/>
      </w:r>
      <w:r>
        <w:instrText xml:space="preserve"> PAGEREF _Toc15791 \h </w:instrText>
      </w:r>
      <w:r>
        <w:fldChar w:fldCharType="separate"/>
      </w:r>
      <w:r>
        <w:t>- 25 -</w:t>
      </w:r>
      <w:r>
        <w:fldChar w:fldCharType="end"/>
      </w:r>
      <w:r>
        <w:rPr>
          <w:rFonts w:hint="eastAsia" w:ascii="仿宋" w:hAnsi="仿宋" w:eastAsia="仿宋" w:cs="仿宋"/>
          <w:color w:val="auto"/>
          <w:szCs w:val="28"/>
          <w:highlight w:val="none"/>
        </w:rPr>
        <w:fldChar w:fldCharType="end"/>
      </w:r>
    </w:p>
    <w:p w14:paraId="1FBE3B68">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_Toc4822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四、</w:t>
      </w:r>
      <w:r>
        <w:rPr>
          <w:rFonts w:hint="eastAsia" w:ascii="仿宋" w:hAnsi="仿宋" w:eastAsia="仿宋" w:cs="仿宋"/>
          <w:szCs w:val="24"/>
          <w:highlight w:val="none"/>
          <w:lang w:eastAsia="zh-CN"/>
        </w:rPr>
        <w:t>中标人</w:t>
      </w:r>
      <w:r>
        <w:rPr>
          <w:rFonts w:hint="eastAsia" w:ascii="仿宋" w:hAnsi="仿宋" w:eastAsia="仿宋" w:cs="仿宋"/>
          <w:szCs w:val="24"/>
          <w:highlight w:val="none"/>
        </w:rPr>
        <w:t>的确认和变更</w:t>
      </w:r>
      <w:r>
        <w:tab/>
      </w:r>
      <w:r>
        <w:fldChar w:fldCharType="begin"/>
      </w:r>
      <w:r>
        <w:instrText xml:space="preserve"> PAGEREF _Toc4822 \h </w:instrText>
      </w:r>
      <w:r>
        <w:fldChar w:fldCharType="separate"/>
      </w:r>
      <w:r>
        <w:t>- 26 -</w:t>
      </w:r>
      <w:r>
        <w:fldChar w:fldCharType="end"/>
      </w:r>
      <w:r>
        <w:rPr>
          <w:rFonts w:hint="eastAsia" w:ascii="仿宋" w:hAnsi="仿宋" w:eastAsia="仿宋" w:cs="仿宋"/>
          <w:color w:val="auto"/>
          <w:szCs w:val="28"/>
          <w:highlight w:val="none"/>
        </w:rPr>
        <w:fldChar w:fldCharType="end"/>
      </w:r>
    </w:p>
    <w:p w14:paraId="657B7240">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_Toc6030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五、</w:t>
      </w:r>
      <w:r>
        <w:rPr>
          <w:rFonts w:hint="eastAsia" w:ascii="仿宋" w:hAnsi="仿宋" w:eastAsia="仿宋" w:cs="仿宋"/>
          <w:szCs w:val="24"/>
          <w:highlight w:val="none"/>
          <w:lang w:val="en-US" w:eastAsia="zh-CN"/>
        </w:rPr>
        <w:t>成交（</w:t>
      </w:r>
      <w:r>
        <w:rPr>
          <w:rFonts w:hint="eastAsia" w:ascii="仿宋" w:hAnsi="仿宋" w:eastAsia="仿宋" w:cs="仿宋"/>
          <w:szCs w:val="24"/>
          <w:highlight w:val="none"/>
          <w:lang w:eastAsia="zh-CN"/>
        </w:rPr>
        <w:t>中标）</w:t>
      </w:r>
      <w:r>
        <w:rPr>
          <w:rFonts w:hint="eastAsia" w:ascii="仿宋" w:hAnsi="仿宋" w:eastAsia="仿宋" w:cs="仿宋"/>
          <w:szCs w:val="24"/>
          <w:highlight w:val="none"/>
        </w:rPr>
        <w:t>通知</w:t>
      </w:r>
      <w:r>
        <w:tab/>
      </w:r>
      <w:r>
        <w:fldChar w:fldCharType="begin"/>
      </w:r>
      <w:r>
        <w:instrText xml:space="preserve"> PAGEREF _Toc6030 \h </w:instrText>
      </w:r>
      <w:r>
        <w:fldChar w:fldCharType="separate"/>
      </w:r>
      <w:r>
        <w:t>- 27 -</w:t>
      </w:r>
      <w:r>
        <w:fldChar w:fldCharType="end"/>
      </w:r>
      <w:r>
        <w:rPr>
          <w:rFonts w:hint="eastAsia" w:ascii="仿宋" w:hAnsi="仿宋" w:eastAsia="仿宋" w:cs="仿宋"/>
          <w:color w:val="auto"/>
          <w:szCs w:val="28"/>
          <w:highlight w:val="none"/>
        </w:rPr>
        <w:fldChar w:fldCharType="end"/>
      </w:r>
    </w:p>
    <w:p w14:paraId="2E191EF6">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_Toc21577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六、关于质疑和投诉</w:t>
      </w:r>
      <w:r>
        <w:tab/>
      </w:r>
      <w:r>
        <w:fldChar w:fldCharType="begin"/>
      </w:r>
      <w:r>
        <w:instrText xml:space="preserve"> PAGEREF _Toc21577 \h </w:instrText>
      </w:r>
      <w:r>
        <w:fldChar w:fldCharType="separate"/>
      </w:r>
      <w:r>
        <w:t>- 27 -</w:t>
      </w:r>
      <w:r>
        <w:fldChar w:fldCharType="end"/>
      </w:r>
      <w:r>
        <w:rPr>
          <w:rFonts w:hint="eastAsia" w:ascii="仿宋" w:hAnsi="仿宋" w:eastAsia="仿宋" w:cs="仿宋"/>
          <w:color w:val="auto"/>
          <w:szCs w:val="28"/>
          <w:highlight w:val="none"/>
        </w:rPr>
        <w:fldChar w:fldCharType="end"/>
      </w:r>
    </w:p>
    <w:p w14:paraId="25E811B7">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_Toc30498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七、采购代理服务费</w:t>
      </w:r>
      <w:r>
        <w:tab/>
      </w:r>
      <w:r>
        <w:fldChar w:fldCharType="begin"/>
      </w:r>
      <w:r>
        <w:instrText xml:space="preserve"> PAGEREF _Toc30498 \h </w:instrText>
      </w:r>
      <w:r>
        <w:fldChar w:fldCharType="separate"/>
      </w:r>
      <w:r>
        <w:t>- 28 -</w:t>
      </w:r>
      <w:r>
        <w:fldChar w:fldCharType="end"/>
      </w:r>
      <w:r>
        <w:rPr>
          <w:rFonts w:hint="eastAsia" w:ascii="仿宋" w:hAnsi="仿宋" w:eastAsia="仿宋" w:cs="仿宋"/>
          <w:color w:val="auto"/>
          <w:szCs w:val="28"/>
          <w:highlight w:val="none"/>
        </w:rPr>
        <w:fldChar w:fldCharType="end"/>
      </w:r>
    </w:p>
    <w:p w14:paraId="16C9A5D4">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_Toc5742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八、签订合同</w:t>
      </w:r>
      <w:r>
        <w:tab/>
      </w:r>
      <w:r>
        <w:fldChar w:fldCharType="begin"/>
      </w:r>
      <w:r>
        <w:instrText xml:space="preserve"> PAGEREF _Toc5742 \h </w:instrText>
      </w:r>
      <w:r>
        <w:fldChar w:fldCharType="separate"/>
      </w:r>
      <w:r>
        <w:t>- 28 -</w:t>
      </w:r>
      <w:r>
        <w:fldChar w:fldCharType="end"/>
      </w:r>
      <w:r>
        <w:rPr>
          <w:rFonts w:hint="eastAsia" w:ascii="仿宋" w:hAnsi="仿宋" w:eastAsia="仿宋" w:cs="仿宋"/>
          <w:color w:val="auto"/>
          <w:szCs w:val="28"/>
          <w:highlight w:val="none"/>
        </w:rPr>
        <w:fldChar w:fldCharType="end"/>
      </w:r>
    </w:p>
    <w:p w14:paraId="552D3303">
      <w:pPr>
        <w:pStyle w:val="19"/>
        <w:tabs>
          <w:tab w:val="right" w:leader="dot" w:pos="9229"/>
          <w:tab w:val="clear" w:pos="1260"/>
          <w:tab w:val="clear" w:pos="1685"/>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_Toc10288 </w:instrText>
      </w:r>
      <w:r>
        <w:rPr>
          <w:rFonts w:hint="eastAsia" w:ascii="仿宋" w:hAnsi="仿宋" w:eastAsia="仿宋" w:cs="仿宋"/>
          <w:szCs w:val="28"/>
          <w:highlight w:val="none"/>
        </w:rPr>
        <w:fldChar w:fldCharType="separate"/>
      </w:r>
      <w:r>
        <w:rPr>
          <w:rFonts w:hint="eastAsia" w:ascii="仿宋" w:hAnsi="仿宋" w:eastAsia="仿宋" w:cs="仿宋"/>
          <w:szCs w:val="52"/>
          <w:highlight w:val="none"/>
          <w:lang w:val="en-US" w:eastAsia="zh-CN"/>
        </w:rPr>
        <w:t>第六篇  合同主要条款和格式合同（样本）</w:t>
      </w:r>
      <w:r>
        <w:tab/>
      </w:r>
      <w:r>
        <w:fldChar w:fldCharType="begin"/>
      </w:r>
      <w:r>
        <w:instrText xml:space="preserve"> PAGEREF _Toc10288 \h </w:instrText>
      </w:r>
      <w:r>
        <w:fldChar w:fldCharType="separate"/>
      </w:r>
      <w:r>
        <w:t>- 30 -</w:t>
      </w:r>
      <w:r>
        <w:fldChar w:fldCharType="end"/>
      </w:r>
      <w:r>
        <w:rPr>
          <w:rFonts w:hint="eastAsia" w:ascii="仿宋" w:hAnsi="仿宋" w:eastAsia="仿宋" w:cs="仿宋"/>
          <w:color w:val="auto"/>
          <w:szCs w:val="28"/>
          <w:highlight w:val="none"/>
        </w:rPr>
        <w:fldChar w:fldCharType="end"/>
      </w:r>
    </w:p>
    <w:p w14:paraId="6BCDB019">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_Toc20067 </w:instrText>
      </w:r>
      <w:r>
        <w:rPr>
          <w:rFonts w:hint="eastAsia" w:ascii="仿宋" w:hAnsi="仿宋" w:eastAsia="仿宋" w:cs="仿宋"/>
          <w:szCs w:val="28"/>
          <w:highlight w:val="none"/>
        </w:rPr>
        <w:fldChar w:fldCharType="separate"/>
      </w:r>
      <w:r>
        <w:rPr>
          <w:rFonts w:hint="eastAsia" w:ascii="仿宋" w:hAnsi="仿宋" w:eastAsia="仿宋" w:cs="仿宋"/>
          <w:highlight w:val="none"/>
        </w:rPr>
        <w:t>一、合同主要条款</w:t>
      </w:r>
      <w:r>
        <w:tab/>
      </w:r>
      <w:r>
        <w:fldChar w:fldCharType="begin"/>
      </w:r>
      <w:r>
        <w:instrText xml:space="preserve"> PAGEREF _Toc20067 \h </w:instrText>
      </w:r>
      <w:r>
        <w:fldChar w:fldCharType="separate"/>
      </w:r>
      <w:r>
        <w:t>- 30 -</w:t>
      </w:r>
      <w:r>
        <w:fldChar w:fldCharType="end"/>
      </w:r>
      <w:r>
        <w:rPr>
          <w:rFonts w:hint="eastAsia" w:ascii="仿宋" w:hAnsi="仿宋" w:eastAsia="仿宋" w:cs="仿宋"/>
          <w:color w:val="auto"/>
          <w:szCs w:val="28"/>
          <w:highlight w:val="none"/>
        </w:rPr>
        <w:fldChar w:fldCharType="end"/>
      </w:r>
    </w:p>
    <w:p w14:paraId="371860FE">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_Toc2577 </w:instrText>
      </w:r>
      <w:r>
        <w:rPr>
          <w:rFonts w:hint="eastAsia" w:ascii="仿宋" w:hAnsi="仿宋" w:eastAsia="仿宋" w:cs="仿宋"/>
          <w:szCs w:val="28"/>
          <w:highlight w:val="none"/>
        </w:rPr>
        <w:fldChar w:fldCharType="separate"/>
      </w:r>
      <w:r>
        <w:rPr>
          <w:rFonts w:hint="eastAsia" w:ascii="仿宋" w:hAnsi="仿宋" w:eastAsia="仿宋" w:cs="仿宋"/>
          <w:highlight w:val="none"/>
        </w:rPr>
        <w:t>二、政府采购合同（格式）</w:t>
      </w:r>
      <w:r>
        <w:tab/>
      </w:r>
      <w:r>
        <w:fldChar w:fldCharType="begin"/>
      </w:r>
      <w:r>
        <w:instrText xml:space="preserve"> PAGEREF _Toc2577 \h </w:instrText>
      </w:r>
      <w:r>
        <w:fldChar w:fldCharType="separate"/>
      </w:r>
      <w:r>
        <w:t>- 33 -</w:t>
      </w:r>
      <w:r>
        <w:fldChar w:fldCharType="end"/>
      </w:r>
      <w:r>
        <w:rPr>
          <w:rFonts w:hint="eastAsia" w:ascii="仿宋" w:hAnsi="仿宋" w:eastAsia="仿宋" w:cs="仿宋"/>
          <w:color w:val="auto"/>
          <w:szCs w:val="28"/>
          <w:highlight w:val="none"/>
        </w:rPr>
        <w:fldChar w:fldCharType="end"/>
      </w:r>
    </w:p>
    <w:p w14:paraId="579FDCA8">
      <w:pPr>
        <w:pStyle w:val="19"/>
        <w:tabs>
          <w:tab w:val="right" w:leader="dot" w:pos="9229"/>
          <w:tab w:val="clear" w:pos="1260"/>
          <w:tab w:val="clear" w:pos="1685"/>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_Toc18980 </w:instrText>
      </w:r>
      <w:r>
        <w:rPr>
          <w:rFonts w:hint="eastAsia" w:ascii="仿宋" w:hAnsi="仿宋" w:eastAsia="仿宋" w:cs="仿宋"/>
          <w:szCs w:val="28"/>
          <w:highlight w:val="none"/>
        </w:rPr>
        <w:fldChar w:fldCharType="separate"/>
      </w:r>
      <w:r>
        <w:rPr>
          <w:rFonts w:hint="eastAsia" w:ascii="仿宋" w:hAnsi="仿宋" w:eastAsia="仿宋" w:cs="仿宋"/>
          <w:szCs w:val="52"/>
          <w:highlight w:val="none"/>
          <w:lang w:val="en-US" w:eastAsia="zh-CN"/>
        </w:rPr>
        <w:t>第七篇  投标文件编制要求</w:t>
      </w:r>
      <w:r>
        <w:tab/>
      </w:r>
      <w:r>
        <w:fldChar w:fldCharType="begin"/>
      </w:r>
      <w:r>
        <w:instrText xml:space="preserve"> PAGEREF _Toc18980 \h </w:instrText>
      </w:r>
      <w:r>
        <w:fldChar w:fldCharType="separate"/>
      </w:r>
      <w:r>
        <w:t>- 35 -</w:t>
      </w:r>
      <w:r>
        <w:fldChar w:fldCharType="end"/>
      </w:r>
      <w:r>
        <w:rPr>
          <w:rFonts w:hint="eastAsia" w:ascii="仿宋" w:hAnsi="仿宋" w:eastAsia="仿宋" w:cs="仿宋"/>
          <w:color w:val="auto"/>
          <w:szCs w:val="28"/>
          <w:highlight w:val="none"/>
        </w:rPr>
        <w:fldChar w:fldCharType="end"/>
      </w:r>
    </w:p>
    <w:p w14:paraId="428DD025">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_Toc30408 </w:instrText>
      </w:r>
      <w:r>
        <w:rPr>
          <w:rFonts w:hint="eastAsia" w:ascii="仿宋" w:hAnsi="仿宋" w:eastAsia="仿宋" w:cs="仿宋"/>
          <w:szCs w:val="28"/>
          <w:highlight w:val="none"/>
        </w:rPr>
        <w:fldChar w:fldCharType="separate"/>
      </w:r>
      <w:r>
        <w:rPr>
          <w:rFonts w:hint="eastAsia" w:ascii="仿宋" w:hAnsi="仿宋" w:eastAsia="仿宋" w:cs="仿宋"/>
          <w:bCs/>
          <w:szCs w:val="24"/>
          <w:highlight w:val="none"/>
        </w:rPr>
        <w:t>一、经济部分</w:t>
      </w:r>
      <w:r>
        <w:tab/>
      </w:r>
      <w:r>
        <w:fldChar w:fldCharType="begin"/>
      </w:r>
      <w:r>
        <w:instrText xml:space="preserve"> PAGEREF _Toc30408 \h </w:instrText>
      </w:r>
      <w:r>
        <w:fldChar w:fldCharType="separate"/>
      </w:r>
      <w:r>
        <w:t>- 37 -</w:t>
      </w:r>
      <w:r>
        <w:fldChar w:fldCharType="end"/>
      </w:r>
      <w:r>
        <w:rPr>
          <w:rFonts w:hint="eastAsia" w:ascii="仿宋" w:hAnsi="仿宋" w:eastAsia="仿宋" w:cs="仿宋"/>
          <w:color w:val="auto"/>
          <w:szCs w:val="28"/>
          <w:highlight w:val="none"/>
        </w:rPr>
        <w:fldChar w:fldCharType="end"/>
      </w:r>
    </w:p>
    <w:p w14:paraId="403C7060">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_Toc6071 </w:instrText>
      </w:r>
      <w:r>
        <w:rPr>
          <w:rFonts w:hint="eastAsia" w:ascii="仿宋" w:hAnsi="仿宋" w:eastAsia="仿宋" w:cs="仿宋"/>
          <w:szCs w:val="28"/>
          <w:highlight w:val="none"/>
        </w:rPr>
        <w:fldChar w:fldCharType="separate"/>
      </w:r>
      <w:r>
        <w:rPr>
          <w:rFonts w:hint="eastAsia" w:ascii="仿宋" w:hAnsi="仿宋" w:eastAsia="仿宋" w:cs="仿宋"/>
          <w:bCs/>
          <w:szCs w:val="24"/>
          <w:highlight w:val="none"/>
        </w:rPr>
        <w:t>二、</w:t>
      </w:r>
      <w:r>
        <w:rPr>
          <w:rFonts w:hint="eastAsia" w:ascii="仿宋" w:hAnsi="仿宋" w:eastAsia="仿宋" w:cs="仿宋"/>
          <w:bCs/>
          <w:szCs w:val="24"/>
          <w:highlight w:val="none"/>
          <w:lang w:val="en-US" w:eastAsia="zh-CN"/>
        </w:rPr>
        <w:t>技术</w:t>
      </w:r>
      <w:r>
        <w:rPr>
          <w:rFonts w:hint="eastAsia" w:ascii="仿宋" w:hAnsi="仿宋" w:eastAsia="仿宋" w:cs="仿宋"/>
          <w:bCs/>
          <w:szCs w:val="24"/>
          <w:highlight w:val="none"/>
        </w:rPr>
        <w:t>部分</w:t>
      </w:r>
      <w:r>
        <w:tab/>
      </w:r>
      <w:r>
        <w:fldChar w:fldCharType="begin"/>
      </w:r>
      <w:r>
        <w:instrText xml:space="preserve"> PAGEREF _Toc6071 \h </w:instrText>
      </w:r>
      <w:r>
        <w:fldChar w:fldCharType="separate"/>
      </w:r>
      <w:r>
        <w:t>- 39 -</w:t>
      </w:r>
      <w:r>
        <w:fldChar w:fldCharType="end"/>
      </w:r>
      <w:r>
        <w:rPr>
          <w:rFonts w:hint="eastAsia" w:ascii="仿宋" w:hAnsi="仿宋" w:eastAsia="仿宋" w:cs="仿宋"/>
          <w:color w:val="auto"/>
          <w:szCs w:val="28"/>
          <w:highlight w:val="none"/>
        </w:rPr>
        <w:fldChar w:fldCharType="end"/>
      </w:r>
    </w:p>
    <w:p w14:paraId="49472238">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_Toc14347 </w:instrText>
      </w:r>
      <w:r>
        <w:rPr>
          <w:rFonts w:hint="eastAsia" w:ascii="仿宋" w:hAnsi="仿宋" w:eastAsia="仿宋" w:cs="仿宋"/>
          <w:szCs w:val="28"/>
          <w:highlight w:val="none"/>
        </w:rPr>
        <w:fldChar w:fldCharType="separate"/>
      </w:r>
      <w:r>
        <w:rPr>
          <w:rFonts w:hint="eastAsia" w:ascii="仿宋" w:hAnsi="仿宋" w:eastAsia="仿宋" w:cs="仿宋"/>
          <w:bCs/>
          <w:szCs w:val="24"/>
          <w:highlight w:val="none"/>
        </w:rPr>
        <w:t>三、商务部分</w:t>
      </w:r>
      <w:r>
        <w:tab/>
      </w:r>
      <w:r>
        <w:fldChar w:fldCharType="begin"/>
      </w:r>
      <w:r>
        <w:instrText xml:space="preserve"> PAGEREF _Toc14347 \h </w:instrText>
      </w:r>
      <w:r>
        <w:fldChar w:fldCharType="separate"/>
      </w:r>
      <w:r>
        <w:t>- 41 -</w:t>
      </w:r>
      <w:r>
        <w:fldChar w:fldCharType="end"/>
      </w:r>
      <w:r>
        <w:rPr>
          <w:rFonts w:hint="eastAsia" w:ascii="仿宋" w:hAnsi="仿宋" w:eastAsia="仿宋" w:cs="仿宋"/>
          <w:color w:val="auto"/>
          <w:szCs w:val="28"/>
          <w:highlight w:val="none"/>
        </w:rPr>
        <w:fldChar w:fldCharType="end"/>
      </w:r>
    </w:p>
    <w:p w14:paraId="2255A6A5">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_Toc9881 </w:instrText>
      </w:r>
      <w:r>
        <w:rPr>
          <w:rFonts w:hint="eastAsia" w:ascii="仿宋" w:hAnsi="仿宋" w:eastAsia="仿宋" w:cs="仿宋"/>
          <w:szCs w:val="28"/>
          <w:highlight w:val="none"/>
        </w:rPr>
        <w:fldChar w:fldCharType="separate"/>
      </w:r>
      <w:r>
        <w:rPr>
          <w:rFonts w:hint="eastAsia" w:ascii="仿宋" w:hAnsi="仿宋" w:eastAsia="仿宋" w:cs="仿宋"/>
          <w:bCs/>
          <w:szCs w:val="24"/>
          <w:highlight w:val="none"/>
        </w:rPr>
        <w:t>四、资格条件及其他</w:t>
      </w:r>
      <w:r>
        <w:tab/>
      </w:r>
      <w:r>
        <w:fldChar w:fldCharType="begin"/>
      </w:r>
      <w:r>
        <w:instrText xml:space="preserve"> PAGEREF _Toc9881 \h </w:instrText>
      </w:r>
      <w:r>
        <w:fldChar w:fldCharType="separate"/>
      </w:r>
      <w:r>
        <w:t>- 44 -</w:t>
      </w:r>
      <w:r>
        <w:fldChar w:fldCharType="end"/>
      </w:r>
      <w:r>
        <w:rPr>
          <w:rFonts w:hint="eastAsia" w:ascii="仿宋" w:hAnsi="仿宋" w:eastAsia="仿宋" w:cs="仿宋"/>
          <w:color w:val="auto"/>
          <w:szCs w:val="28"/>
          <w:highlight w:val="none"/>
        </w:rPr>
        <w:fldChar w:fldCharType="end"/>
      </w:r>
    </w:p>
    <w:p w14:paraId="5CC31ACC">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_Toc8572 </w:instrText>
      </w:r>
      <w:r>
        <w:rPr>
          <w:rFonts w:hint="eastAsia" w:ascii="仿宋" w:hAnsi="仿宋" w:eastAsia="仿宋" w:cs="仿宋"/>
          <w:szCs w:val="28"/>
          <w:highlight w:val="none"/>
        </w:rPr>
        <w:fldChar w:fldCharType="separate"/>
      </w:r>
      <w:r>
        <w:rPr>
          <w:rFonts w:hint="eastAsia" w:ascii="仿宋" w:hAnsi="仿宋" w:eastAsia="仿宋" w:cs="仿宋"/>
          <w:bCs/>
          <w:szCs w:val="24"/>
          <w:highlight w:val="none"/>
        </w:rPr>
        <w:t>五、其他资料</w:t>
      </w:r>
      <w:r>
        <w:tab/>
      </w:r>
      <w:r>
        <w:fldChar w:fldCharType="begin"/>
      </w:r>
      <w:r>
        <w:instrText xml:space="preserve"> PAGEREF _Toc8572 \h </w:instrText>
      </w:r>
      <w:r>
        <w:fldChar w:fldCharType="separate"/>
      </w:r>
      <w:r>
        <w:t>- 49 -</w:t>
      </w:r>
      <w:r>
        <w:fldChar w:fldCharType="end"/>
      </w:r>
      <w:r>
        <w:rPr>
          <w:rFonts w:hint="eastAsia" w:ascii="仿宋" w:hAnsi="仿宋" w:eastAsia="仿宋" w:cs="仿宋"/>
          <w:color w:val="auto"/>
          <w:szCs w:val="28"/>
          <w:highlight w:val="none"/>
        </w:rPr>
        <w:fldChar w:fldCharType="end"/>
      </w:r>
    </w:p>
    <w:p w14:paraId="4ACDB96D">
      <w:pPr>
        <w:pStyle w:val="19"/>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Cs w:val="28"/>
          <w:highlight w:val="none"/>
        </w:rPr>
        <w:fldChar w:fldCharType="end"/>
      </w:r>
      <w:r>
        <w:rPr>
          <w:rFonts w:hint="eastAsia" w:ascii="仿宋" w:hAnsi="仿宋" w:eastAsia="仿宋" w:cs="仿宋"/>
          <w:color w:val="auto"/>
          <w:sz w:val="24"/>
          <w:szCs w:val="24"/>
          <w:highlight w:val="none"/>
        </w:rPr>
        <w:br w:type="page"/>
      </w:r>
    </w:p>
    <w:p w14:paraId="76ABBB41">
      <w:pPr>
        <w:pStyle w:val="3"/>
        <w:spacing w:before="0" w:beforeLines="0" w:after="0" w:afterLines="0" w:line="360" w:lineRule="auto"/>
        <w:rPr>
          <w:rFonts w:hint="eastAsia" w:ascii="仿宋" w:hAnsi="仿宋" w:eastAsia="仿宋" w:cs="仿宋"/>
          <w:color w:val="auto"/>
          <w:highlight w:val="none"/>
        </w:rPr>
      </w:pPr>
      <w:bookmarkStart w:id="0" w:name="_Toc29625"/>
      <w:r>
        <w:rPr>
          <w:rFonts w:hint="eastAsia" w:ascii="仿宋" w:hAnsi="仿宋" w:eastAsia="仿宋" w:cs="仿宋"/>
          <w:color w:val="auto"/>
          <w:sz w:val="52"/>
          <w:szCs w:val="52"/>
          <w:highlight w:val="none"/>
        </w:rPr>
        <w:t xml:space="preserve">第一篇  </w:t>
      </w:r>
      <w:r>
        <w:rPr>
          <w:rFonts w:hint="eastAsia" w:ascii="仿宋" w:hAnsi="仿宋" w:eastAsia="仿宋" w:cs="仿宋"/>
          <w:color w:val="auto"/>
          <w:sz w:val="52"/>
          <w:szCs w:val="52"/>
          <w:highlight w:val="none"/>
          <w:lang w:eastAsia="zh-CN"/>
        </w:rPr>
        <w:t>比选</w:t>
      </w:r>
      <w:r>
        <w:rPr>
          <w:rFonts w:hint="eastAsia" w:ascii="仿宋" w:hAnsi="仿宋" w:eastAsia="仿宋" w:cs="仿宋"/>
          <w:color w:val="auto"/>
          <w:sz w:val="52"/>
          <w:szCs w:val="52"/>
          <w:highlight w:val="none"/>
        </w:rPr>
        <w:t>邀请书</w:t>
      </w:r>
      <w:bookmarkEnd w:id="0"/>
    </w:p>
    <w:p w14:paraId="113474BE">
      <w:pPr>
        <w:pStyle w:val="11"/>
        <w:pageBreakBefore w:val="0"/>
        <w:kinsoku/>
        <w:wordWrap/>
        <w:overflowPunct/>
        <w:topLinePunct w:val="0"/>
        <w:autoSpaceDE/>
        <w:autoSpaceDN/>
        <w:bidi w:val="0"/>
        <w:spacing w:line="400" w:lineRule="exact"/>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重庆市聚创招标代理有限公司</w:t>
      </w:r>
      <w:r>
        <w:rPr>
          <w:rFonts w:hint="eastAsia" w:ascii="仿宋" w:hAnsi="仿宋" w:eastAsia="仿宋" w:cs="仿宋"/>
          <w:color w:val="auto"/>
          <w:sz w:val="24"/>
          <w:szCs w:val="24"/>
          <w:highlight w:val="none"/>
        </w:rPr>
        <w:t>(以下简称：采购代理机构)受</w:t>
      </w:r>
      <w:r>
        <w:rPr>
          <w:rFonts w:hint="eastAsia" w:ascii="仿宋" w:hAnsi="仿宋" w:eastAsia="仿宋" w:cs="仿宋"/>
          <w:color w:val="auto"/>
          <w:sz w:val="24"/>
          <w:szCs w:val="24"/>
          <w:highlight w:val="none"/>
          <w:u w:val="single"/>
          <w:lang w:val="en-US" w:eastAsia="zh-CN"/>
        </w:rPr>
        <w:t>重庆两江新区中医院</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以下简称：采购人</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u w:val="single"/>
          <w:lang w:val="en-US" w:eastAsia="zh-CN"/>
        </w:rPr>
        <w:t>重庆两江新区大竹林社区卫生服务中心新中心窗帘采购</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eastAsia="zh-CN"/>
        </w:rPr>
        <w:t>采购执行编号：</w:t>
      </w:r>
      <w:r>
        <w:rPr>
          <w:rFonts w:hint="eastAsia" w:ascii="仿宋" w:hAnsi="仿宋" w:eastAsia="仿宋" w:cs="仿宋"/>
          <w:color w:val="auto"/>
          <w:sz w:val="24"/>
          <w:szCs w:val="24"/>
          <w:highlight w:val="none"/>
          <w:u w:val="single"/>
          <w:lang w:val="en-US" w:eastAsia="zh-CN"/>
        </w:rPr>
        <w:t>JCZB26032</w:t>
      </w:r>
      <w:r>
        <w:rPr>
          <w:rFonts w:hint="eastAsia" w:ascii="仿宋" w:hAnsi="仿宋" w:eastAsia="仿宋" w:cs="仿宋"/>
          <w:color w:val="auto"/>
          <w:sz w:val="24"/>
          <w:szCs w:val="24"/>
          <w:highlight w:val="none"/>
        </w:rPr>
        <w:t>）进行比选。欢迎有资格的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前来参加比选。</w:t>
      </w:r>
    </w:p>
    <w:p w14:paraId="4CE5F058">
      <w:pPr>
        <w:pStyle w:val="4"/>
        <w:pageBreakBefore w:val="0"/>
        <w:widowControl w:val="0"/>
        <w:numPr>
          <w:ilvl w:val="0"/>
          <w:numId w:val="1"/>
        </w:numPr>
        <w:kinsoku/>
        <w:wordWrap/>
        <w:overflowPunct/>
        <w:topLinePunct w:val="0"/>
        <w:autoSpaceDE/>
        <w:autoSpaceDN/>
        <w:bidi w:val="0"/>
        <w:spacing w:line="400" w:lineRule="exact"/>
        <w:ind w:left="0" w:firstLine="482" w:firstLineChars="200"/>
        <w:textAlignment w:val="auto"/>
        <w:rPr>
          <w:rFonts w:hint="eastAsia" w:ascii="仿宋" w:hAnsi="仿宋" w:eastAsia="仿宋" w:cs="仿宋"/>
          <w:color w:val="auto"/>
          <w:sz w:val="24"/>
          <w:szCs w:val="24"/>
          <w:highlight w:val="none"/>
        </w:rPr>
      </w:pPr>
      <w:bookmarkStart w:id="1" w:name="_Toc18124"/>
      <w:r>
        <w:rPr>
          <w:rFonts w:hint="eastAsia" w:ascii="仿宋" w:hAnsi="仿宋" w:eastAsia="仿宋" w:cs="仿宋"/>
          <w:b/>
          <w:color w:val="auto"/>
          <w:sz w:val="24"/>
          <w:szCs w:val="24"/>
          <w:highlight w:val="none"/>
        </w:rPr>
        <w:t>比选内容</w:t>
      </w:r>
      <w:bookmarkEnd w:id="1"/>
    </w:p>
    <w:tbl>
      <w:tblPr>
        <w:tblStyle w:val="27"/>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7"/>
        <w:gridCol w:w="2089"/>
        <w:gridCol w:w="2192"/>
        <w:gridCol w:w="2767"/>
      </w:tblGrid>
      <w:tr w14:paraId="0D0B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297" w:type="dxa"/>
            <w:tcBorders>
              <w:top w:val="single" w:color="auto" w:sz="4" w:space="0"/>
              <w:left w:val="single" w:color="auto" w:sz="4" w:space="0"/>
              <w:right w:val="single" w:color="auto" w:sz="4" w:space="0"/>
            </w:tcBorders>
            <w:vAlign w:val="center"/>
          </w:tcPr>
          <w:p w14:paraId="53BE0248">
            <w:pPr>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比选项目名称</w:t>
            </w:r>
          </w:p>
        </w:tc>
        <w:tc>
          <w:tcPr>
            <w:tcW w:w="2089" w:type="dxa"/>
            <w:tcBorders>
              <w:top w:val="single" w:color="auto" w:sz="4" w:space="0"/>
              <w:left w:val="single" w:color="auto" w:sz="4" w:space="0"/>
              <w:right w:val="single" w:color="auto" w:sz="4" w:space="0"/>
            </w:tcBorders>
            <w:vAlign w:val="center"/>
          </w:tcPr>
          <w:p w14:paraId="49E3E466">
            <w:pPr>
              <w:pageBreakBefore w:val="0"/>
              <w:kinsoku/>
              <w:wordWrap/>
              <w:overflowPunct/>
              <w:topLinePunct w:val="0"/>
              <w:autoSpaceDE/>
              <w:autoSpaceDN/>
              <w:bidi w:val="0"/>
              <w:spacing w:line="400" w:lineRule="exact"/>
              <w:ind w:left="0" w:hanging="482" w:hangingChars="200"/>
              <w:jc w:val="center"/>
              <w:textAlignment w:val="auto"/>
              <w:rPr>
                <w:rFonts w:hint="eastAsia" w:ascii="仿宋" w:hAnsi="仿宋" w:eastAsia="仿宋" w:cs="仿宋"/>
                <w:b/>
                <w:bCs/>
                <w:color w:val="auto"/>
                <w:kern w:val="0"/>
                <w:sz w:val="24"/>
                <w:szCs w:val="24"/>
                <w:highlight w:val="none"/>
                <w:lang w:val="en-US"/>
              </w:rPr>
            </w:pPr>
            <w:r>
              <w:rPr>
                <w:rFonts w:hint="eastAsia" w:ascii="仿宋" w:hAnsi="仿宋" w:eastAsia="仿宋" w:cs="仿宋"/>
                <w:b/>
                <w:bCs/>
                <w:color w:val="auto"/>
                <w:kern w:val="0"/>
                <w:sz w:val="24"/>
                <w:szCs w:val="24"/>
                <w:highlight w:val="none"/>
                <w:lang w:val="en-US" w:eastAsia="zh-CN"/>
              </w:rPr>
              <w:t>最高限价（元）</w:t>
            </w:r>
          </w:p>
        </w:tc>
        <w:tc>
          <w:tcPr>
            <w:tcW w:w="2192" w:type="dxa"/>
            <w:tcBorders>
              <w:top w:val="single" w:color="auto" w:sz="4" w:space="0"/>
              <w:left w:val="single" w:color="auto" w:sz="4" w:space="0"/>
              <w:right w:val="single" w:color="auto" w:sz="4" w:space="0"/>
            </w:tcBorders>
            <w:shd w:val="clear" w:color="auto" w:fill="auto"/>
            <w:vAlign w:val="center"/>
          </w:tcPr>
          <w:p w14:paraId="044B547D">
            <w:pPr>
              <w:pageBreakBefore w:val="0"/>
              <w:kinsoku/>
              <w:wordWrap/>
              <w:overflowPunct/>
              <w:topLinePunct w:val="0"/>
              <w:autoSpaceDE/>
              <w:autoSpaceDN/>
              <w:bidi w:val="0"/>
              <w:spacing w:line="400" w:lineRule="exact"/>
              <w:ind w:left="482" w:leftChars="0" w:hanging="482" w:hangingChars="200"/>
              <w:jc w:val="center"/>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eastAsia="zh-CN"/>
              </w:rPr>
              <w:t>中标人</w:t>
            </w:r>
            <w:r>
              <w:rPr>
                <w:rFonts w:hint="eastAsia" w:ascii="仿宋" w:hAnsi="仿宋" w:eastAsia="仿宋" w:cs="仿宋"/>
                <w:b/>
                <w:bCs/>
                <w:color w:val="auto"/>
                <w:kern w:val="0"/>
                <w:sz w:val="24"/>
                <w:szCs w:val="24"/>
                <w:highlight w:val="none"/>
              </w:rPr>
              <w:t>数量（名）</w:t>
            </w:r>
          </w:p>
        </w:tc>
        <w:tc>
          <w:tcPr>
            <w:tcW w:w="2767" w:type="dxa"/>
            <w:tcBorders>
              <w:top w:val="single" w:color="auto" w:sz="4" w:space="0"/>
              <w:left w:val="single" w:color="auto" w:sz="4" w:space="0"/>
              <w:right w:val="single" w:color="auto" w:sz="4" w:space="0"/>
            </w:tcBorders>
            <w:shd w:val="clear" w:color="auto" w:fill="auto"/>
            <w:vAlign w:val="center"/>
          </w:tcPr>
          <w:p w14:paraId="4A5F9F19">
            <w:pPr>
              <w:pStyle w:val="11"/>
              <w:pageBreakBefore w:val="0"/>
              <w:widowControl w:val="0"/>
              <w:kinsoku/>
              <w:wordWrap/>
              <w:overflowPunct/>
              <w:topLinePunct w:val="0"/>
              <w:autoSpaceDE/>
              <w:autoSpaceDN/>
              <w:bidi w:val="0"/>
              <w:spacing w:line="400" w:lineRule="exact"/>
              <w:ind w:left="0" w:leftChars="0"/>
              <w:jc w:val="center"/>
              <w:textAlignment w:val="auto"/>
              <w:outlineLvl w:val="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bCs/>
                <w:color w:val="auto"/>
                <w:kern w:val="0"/>
                <w:sz w:val="24"/>
                <w:szCs w:val="24"/>
                <w:highlight w:val="none"/>
              </w:rPr>
              <w:t>采购标的对应的中小企业划分标准所属行业</w:t>
            </w:r>
          </w:p>
        </w:tc>
      </w:tr>
      <w:tr w14:paraId="6E3F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297" w:type="dxa"/>
            <w:tcBorders>
              <w:top w:val="single" w:color="auto" w:sz="4" w:space="0"/>
              <w:left w:val="single" w:color="auto" w:sz="4" w:space="0"/>
              <w:bottom w:val="single" w:color="auto" w:sz="4" w:space="0"/>
              <w:right w:val="single" w:color="auto" w:sz="4" w:space="0"/>
            </w:tcBorders>
            <w:vAlign w:val="center"/>
          </w:tcPr>
          <w:p w14:paraId="5E58F701">
            <w:pPr>
              <w:pageBreakBefore w:val="0"/>
              <w:widowControl/>
              <w:numPr>
                <w:ilvl w:val="0"/>
                <w:numId w:val="0"/>
              </w:numPr>
              <w:kinsoku/>
              <w:wordWrap/>
              <w:overflowPunct/>
              <w:topLinePunct w:val="0"/>
              <w:autoSpaceDE/>
              <w:autoSpaceDN/>
              <w:bidi w:val="0"/>
              <w:spacing w:line="400" w:lineRule="exact"/>
              <w:ind w:left="0"/>
              <w:jc w:val="center"/>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重庆两江新区大竹林社区卫生服务中心新中心窗帘采购</w:t>
            </w:r>
          </w:p>
        </w:tc>
        <w:tc>
          <w:tcPr>
            <w:tcW w:w="2089" w:type="dxa"/>
            <w:tcBorders>
              <w:top w:val="single" w:color="auto" w:sz="4" w:space="0"/>
              <w:left w:val="single" w:color="auto" w:sz="4" w:space="0"/>
              <w:bottom w:val="single" w:color="auto" w:sz="4" w:space="0"/>
              <w:right w:val="single" w:color="auto" w:sz="4" w:space="0"/>
            </w:tcBorders>
            <w:vAlign w:val="center"/>
          </w:tcPr>
          <w:p w14:paraId="513D9001">
            <w:pPr>
              <w:pageBreakBefore w:val="0"/>
              <w:kinsoku/>
              <w:wordWrap/>
              <w:overflowPunct/>
              <w:topLinePunct w:val="0"/>
              <w:autoSpaceDE/>
              <w:autoSpaceDN/>
              <w:bidi w:val="0"/>
              <w:spacing w:line="400" w:lineRule="exact"/>
              <w:ind w:left="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119900.00</w:t>
            </w: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14:paraId="27276466">
            <w:pPr>
              <w:pageBreakBefore w:val="0"/>
              <w:kinsoku/>
              <w:wordWrap/>
              <w:overflowPunct/>
              <w:topLinePunct w:val="0"/>
              <w:autoSpaceDE/>
              <w:autoSpaceDN/>
              <w:bidi w:val="0"/>
              <w:spacing w:line="400" w:lineRule="exact"/>
              <w:ind w:left="0" w:leftChars="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w:t>
            </w:r>
          </w:p>
        </w:tc>
        <w:tc>
          <w:tcPr>
            <w:tcW w:w="2767" w:type="dxa"/>
            <w:tcBorders>
              <w:top w:val="single" w:color="auto" w:sz="4" w:space="0"/>
              <w:left w:val="single" w:color="auto" w:sz="4" w:space="0"/>
              <w:bottom w:val="single" w:color="auto" w:sz="4" w:space="0"/>
              <w:right w:val="single" w:color="auto" w:sz="4" w:space="0"/>
            </w:tcBorders>
            <w:shd w:val="clear" w:color="auto" w:fill="auto"/>
            <w:vAlign w:val="center"/>
          </w:tcPr>
          <w:p w14:paraId="0A6CEC5F">
            <w:pPr>
              <w:pStyle w:val="7"/>
              <w:pageBreakBefore w:val="0"/>
              <w:widowControl w:val="0"/>
              <w:kinsoku/>
              <w:wordWrap/>
              <w:overflowPunct/>
              <w:topLinePunct w:val="0"/>
              <w:autoSpaceDE/>
              <w:autoSpaceDN/>
              <w:bidi w:val="0"/>
              <w:spacing w:line="400" w:lineRule="exact"/>
              <w:ind w:firstLine="0" w:firstLineChars="0"/>
              <w:jc w:val="center"/>
              <w:textAlignment w:val="auto"/>
              <w:outlineLvl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0"/>
                <w:sz w:val="24"/>
                <w:szCs w:val="24"/>
                <w:highlight w:val="none"/>
              </w:rPr>
              <w:t>工业</w:t>
            </w:r>
          </w:p>
        </w:tc>
      </w:tr>
    </w:tbl>
    <w:p w14:paraId="119965D3">
      <w:pPr>
        <w:pStyle w:val="4"/>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auto"/>
          <w:sz w:val="24"/>
          <w:szCs w:val="24"/>
          <w:highlight w:val="none"/>
        </w:rPr>
      </w:pPr>
      <w:bookmarkStart w:id="2" w:name="_Toc27516"/>
      <w:r>
        <w:rPr>
          <w:rFonts w:hint="eastAsia" w:ascii="仿宋" w:hAnsi="仿宋" w:eastAsia="仿宋" w:cs="仿宋"/>
          <w:b/>
          <w:color w:val="auto"/>
          <w:sz w:val="24"/>
          <w:szCs w:val="24"/>
          <w:highlight w:val="none"/>
        </w:rPr>
        <w:t>二、资金来源</w:t>
      </w:r>
      <w:bookmarkEnd w:id="2"/>
    </w:p>
    <w:p w14:paraId="1E0E939D">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自筹资金，采购预算11.99万元。</w:t>
      </w:r>
    </w:p>
    <w:p w14:paraId="174612C8">
      <w:pPr>
        <w:pStyle w:val="4"/>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auto"/>
          <w:sz w:val="24"/>
          <w:szCs w:val="24"/>
          <w:highlight w:val="none"/>
        </w:rPr>
      </w:pPr>
      <w:bookmarkStart w:id="3" w:name="_Toc29407"/>
      <w:r>
        <w:rPr>
          <w:rFonts w:hint="eastAsia" w:ascii="仿宋" w:hAnsi="仿宋" w:eastAsia="仿宋" w:cs="仿宋"/>
          <w:b/>
          <w:color w:val="auto"/>
          <w:sz w:val="24"/>
          <w:szCs w:val="24"/>
          <w:highlight w:val="none"/>
        </w:rPr>
        <w:t>三、</w:t>
      </w: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资格条件</w:t>
      </w:r>
      <w:bookmarkEnd w:id="3"/>
    </w:p>
    <w:p w14:paraId="43B2CA7B">
      <w:pPr>
        <w:keepNext w:val="0"/>
        <w:keepLines w:val="0"/>
        <w:pageBreakBefore w:val="0"/>
        <w:widowControl w:val="0"/>
        <w:tabs>
          <w:tab w:val="center" w:pos="4706"/>
        </w:tabs>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bookmarkStart w:id="4" w:name="_Toc8408"/>
      <w:bookmarkStart w:id="5" w:name="_Toc9978"/>
      <w:bookmarkStart w:id="6" w:name="_Toc38532846"/>
      <w:bookmarkStart w:id="7" w:name="_Toc31712"/>
      <w:r>
        <w:rPr>
          <w:rFonts w:hint="eastAsia" w:ascii="仿宋" w:hAnsi="仿宋" w:eastAsia="仿宋" w:cs="仿宋"/>
          <w:color w:val="auto"/>
          <w:sz w:val="24"/>
          <w:szCs w:val="24"/>
          <w:highlight w:val="none"/>
        </w:rPr>
        <w:t>（一）基本资格条件</w:t>
      </w:r>
    </w:p>
    <w:p w14:paraId="406A9E7D">
      <w:pPr>
        <w:keepNext w:val="0"/>
        <w:keepLines w:val="0"/>
        <w:pageBreakBefore w:val="0"/>
        <w:widowControl w:val="0"/>
        <w:tabs>
          <w:tab w:val="center" w:pos="4706"/>
        </w:tabs>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345BDF8E">
      <w:pPr>
        <w:keepNext w:val="0"/>
        <w:keepLines w:val="0"/>
        <w:pageBreakBefore w:val="0"/>
        <w:widowControl w:val="0"/>
        <w:tabs>
          <w:tab w:val="center" w:pos="4706"/>
        </w:tabs>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2E227128">
      <w:pPr>
        <w:keepNext w:val="0"/>
        <w:keepLines w:val="0"/>
        <w:pageBreakBefore w:val="0"/>
        <w:widowControl w:val="0"/>
        <w:tabs>
          <w:tab w:val="center" w:pos="4706"/>
        </w:tabs>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14:paraId="21F5E8C8">
      <w:pPr>
        <w:keepNext w:val="0"/>
        <w:keepLines w:val="0"/>
        <w:pageBreakBefore w:val="0"/>
        <w:widowControl w:val="0"/>
        <w:tabs>
          <w:tab w:val="center" w:pos="4706"/>
        </w:tabs>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14:paraId="0A3D1E7B">
      <w:pPr>
        <w:keepNext w:val="0"/>
        <w:keepLines w:val="0"/>
        <w:pageBreakBefore w:val="0"/>
        <w:widowControl w:val="0"/>
        <w:tabs>
          <w:tab w:val="center" w:pos="4706"/>
        </w:tabs>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p w14:paraId="004518B8">
      <w:pPr>
        <w:keepNext w:val="0"/>
        <w:keepLines w:val="0"/>
        <w:pageBreakBefore w:val="0"/>
        <w:widowControl w:val="0"/>
        <w:tabs>
          <w:tab w:val="center" w:pos="4706"/>
        </w:tabs>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p w14:paraId="23E27364">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落实政府采购政策需满足的资格要求：本项目专门面向小微企业采购。所提供产品制造商应为小微企业，投标人应提供货物制造商的“中小企业声明函”或 “监狱企业证明文件”或“残疾人福利性单位声明函”。</w:t>
      </w:r>
    </w:p>
    <w:p w14:paraId="26EFB783">
      <w:pPr>
        <w:keepNext w:val="0"/>
        <w:keepLines w:val="0"/>
        <w:pageBreakBefore w:val="0"/>
        <w:widowControl w:val="0"/>
        <w:tabs>
          <w:tab w:val="center" w:pos="4706"/>
        </w:tabs>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1C60C6FF">
      <w:pPr>
        <w:keepNext w:val="0"/>
        <w:keepLines w:val="0"/>
        <w:pageBreakBefore w:val="0"/>
        <w:widowControl w:val="0"/>
        <w:tabs>
          <w:tab w:val="center" w:pos="4706"/>
        </w:tabs>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1.“中小企业声明函”应由投标人出具，并加盖投标人公章，声明函格式详见本</w:t>
      </w:r>
      <w:r>
        <w:rPr>
          <w:rFonts w:hint="eastAsia" w:ascii="仿宋" w:hAnsi="仿宋" w:eastAsia="仿宋" w:cs="仿宋"/>
          <w:color w:val="auto"/>
          <w:sz w:val="24"/>
          <w:szCs w:val="24"/>
          <w:highlight w:val="none"/>
          <w:lang w:eastAsia="zh-CN"/>
        </w:rPr>
        <w:t>竞争性比选文件</w:t>
      </w:r>
      <w:r>
        <w:rPr>
          <w:rFonts w:hint="eastAsia" w:ascii="仿宋" w:hAnsi="仿宋" w:eastAsia="仿宋" w:cs="仿宋"/>
          <w:color w:val="auto"/>
          <w:sz w:val="24"/>
          <w:szCs w:val="24"/>
          <w:highlight w:val="none"/>
        </w:rPr>
        <w:t>第七篇“中小企业声明函”；</w:t>
      </w:r>
    </w:p>
    <w:p w14:paraId="2E2A7348">
      <w:pPr>
        <w:keepNext w:val="0"/>
        <w:keepLines w:val="0"/>
        <w:pageBreakBefore w:val="0"/>
        <w:widowControl w:val="0"/>
        <w:tabs>
          <w:tab w:val="center" w:pos="4706"/>
        </w:tabs>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2.“监狱企业证明文件”应当由投标人提供其货物制造商属于监狱企业的证明文件，该证明文件由省级以上监狱管理局、戒毒管理局（含新疆生产建设兵团）出具；</w:t>
      </w:r>
    </w:p>
    <w:p w14:paraId="41FD6BAE">
      <w:pPr>
        <w:keepNext w:val="0"/>
        <w:keepLines w:val="0"/>
        <w:pageBreakBefore w:val="0"/>
        <w:widowControl w:val="0"/>
        <w:tabs>
          <w:tab w:val="center" w:pos="4706"/>
        </w:tabs>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3.“残疾人福利性单位声明函”应由投标人提供其货物制造商出具的“残疾人福利性单位声明函”，并加盖该残疾人福利性单位公章。</w:t>
      </w:r>
    </w:p>
    <w:p w14:paraId="5B931A99">
      <w:pPr>
        <w:keepNext w:val="0"/>
        <w:keepLines w:val="0"/>
        <w:pageBreakBefore w:val="0"/>
        <w:widowControl w:val="0"/>
        <w:tabs>
          <w:tab w:val="center" w:pos="4706"/>
        </w:tabs>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）特定资格条件</w:t>
      </w:r>
      <w:r>
        <w:rPr>
          <w:rFonts w:hint="eastAsia" w:ascii="仿宋" w:hAnsi="仿宋" w:eastAsia="仿宋" w:cs="仿宋"/>
          <w:color w:val="auto"/>
          <w:sz w:val="24"/>
          <w:szCs w:val="24"/>
          <w:highlight w:val="none"/>
          <w:lang w:val="en-US" w:eastAsia="zh-CN"/>
        </w:rPr>
        <w:t>：无</w:t>
      </w:r>
    </w:p>
    <w:p w14:paraId="6EB3494C">
      <w:pPr>
        <w:pStyle w:val="4"/>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auto"/>
          <w:sz w:val="24"/>
          <w:szCs w:val="24"/>
          <w:highlight w:val="none"/>
        </w:rPr>
      </w:pPr>
      <w:bookmarkStart w:id="8" w:name="_Toc20176"/>
      <w:r>
        <w:rPr>
          <w:rFonts w:hint="eastAsia" w:ascii="仿宋" w:hAnsi="仿宋" w:eastAsia="仿宋" w:cs="仿宋"/>
          <w:b/>
          <w:color w:val="auto"/>
          <w:sz w:val="24"/>
          <w:szCs w:val="24"/>
          <w:highlight w:val="none"/>
        </w:rPr>
        <w:t>四、比选有关说明</w:t>
      </w:r>
      <w:bookmarkEnd w:id="4"/>
      <w:bookmarkEnd w:id="5"/>
      <w:bookmarkEnd w:id="6"/>
      <w:bookmarkEnd w:id="7"/>
      <w:bookmarkEnd w:id="8"/>
      <w:bookmarkStart w:id="9" w:name="_Toc373860294"/>
    </w:p>
    <w:bookmarkEnd w:id="9"/>
    <w:p w14:paraId="093C18F6">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（一）凡有意参加比选的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，请自行在</w:t>
      </w:r>
      <w:r>
        <w:rPr>
          <w:rFonts w:hint="eastAsia" w:ascii="仿宋" w:hAnsi="仿宋" w:eastAsia="仿宋" w:cs="仿宋"/>
          <w:color w:val="auto"/>
          <w:kern w:val="0"/>
          <w:sz w:val="24"/>
          <w:szCs w:val="24"/>
          <w:highlight w:val="none"/>
        </w:rPr>
        <w:t>行采家（https://www.gec123.com/）</w:t>
      </w:r>
      <w:r>
        <w:rPr>
          <w:rFonts w:hint="eastAsia" w:ascii="仿宋" w:hAnsi="仿宋" w:eastAsia="仿宋" w:cs="仿宋"/>
          <w:color w:val="auto"/>
          <w:kern w:val="0"/>
          <w:sz w:val="24"/>
          <w:szCs w:val="24"/>
          <w:highlight w:val="none"/>
          <w:lang w:val="en-US" w:eastAsia="zh-CN"/>
        </w:rPr>
        <w:t>和中国招标投标公共服务平台（http://www.cebpubservice.com/）</w:t>
      </w:r>
      <w:r>
        <w:rPr>
          <w:rFonts w:hint="eastAsia" w:ascii="仿宋" w:hAnsi="仿宋" w:eastAsia="仿宋" w:cs="仿宋"/>
          <w:color w:val="auto"/>
          <w:sz w:val="24"/>
          <w:szCs w:val="24"/>
          <w:highlight w:val="none"/>
        </w:rPr>
        <w:t>上下载本项目比选文件及图纸、补遗等比选前公布的所有项目资料，无论</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下载与否，均视为已知晓所有比选实质性要求内容。</w:t>
      </w:r>
    </w:p>
    <w:p w14:paraId="44973A3D">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（二）比选文件公告期限：自比选公告发布之日起三个工作日。</w:t>
      </w:r>
    </w:p>
    <w:p w14:paraId="5ADC43E4">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三）报名方式</w:t>
      </w:r>
      <w:r>
        <w:rPr>
          <w:rFonts w:hint="eastAsia" w:ascii="仿宋" w:hAnsi="仿宋" w:eastAsia="仿宋" w:cs="仿宋"/>
          <w:color w:val="auto"/>
          <w:sz w:val="24"/>
          <w:szCs w:val="24"/>
          <w:highlight w:val="none"/>
        </w:rPr>
        <w:t>：</w:t>
      </w:r>
    </w:p>
    <w:p w14:paraId="1EA6ACD7">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在本项目</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发售期内，</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lang w:val="en-US" w:eastAsia="zh-CN"/>
        </w:rPr>
        <w:t>应按时报名，</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发售登记表》（加盖</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公章）扫描后发送至：13805926459@139.com，否则不予受理。</w:t>
      </w:r>
    </w:p>
    <w:p w14:paraId="28469B1A">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报名有效期：</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17：30(北京时间)</w:t>
      </w:r>
      <w:r>
        <w:rPr>
          <w:rFonts w:hint="eastAsia" w:ascii="仿宋" w:hAnsi="仿宋" w:eastAsia="仿宋" w:cs="仿宋"/>
          <w:color w:val="auto"/>
          <w:sz w:val="24"/>
          <w:szCs w:val="24"/>
          <w:highlight w:val="none"/>
        </w:rPr>
        <w:t>，超过规定的报名时间，报名无效，其投标文件将会被拒收</w:t>
      </w:r>
      <w:r>
        <w:rPr>
          <w:rFonts w:hint="eastAsia" w:ascii="仿宋" w:hAnsi="仿宋" w:eastAsia="仿宋" w:cs="仿宋"/>
          <w:color w:val="auto"/>
          <w:sz w:val="24"/>
          <w:szCs w:val="24"/>
          <w:highlight w:val="none"/>
          <w:lang w:eastAsia="zh-CN"/>
        </w:rPr>
        <w:t>。</w:t>
      </w:r>
    </w:p>
    <w:p w14:paraId="3D9EF360">
      <w:pPr>
        <w:pStyle w:val="2"/>
        <w:keepNext w:val="0"/>
        <w:keepLines w:val="0"/>
        <w:pageBreakBefore w:val="0"/>
        <w:kinsoku/>
        <w:wordWrap/>
        <w:overflowPunct/>
        <w:topLinePunct w:val="0"/>
        <w:autoSpaceDE/>
        <w:autoSpaceDN/>
        <w:bidi w:val="0"/>
        <w:adjustRightInd/>
        <w:spacing w:line="400" w:lineRule="exact"/>
        <w:ind w:left="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投标文件</w:t>
      </w:r>
      <w:r>
        <w:rPr>
          <w:rFonts w:hint="eastAsia" w:ascii="仿宋" w:hAnsi="仿宋" w:eastAsia="仿宋" w:cs="仿宋"/>
          <w:b/>
          <w:bCs/>
          <w:color w:val="auto"/>
          <w:sz w:val="24"/>
          <w:szCs w:val="24"/>
          <w:highlight w:val="none"/>
        </w:rPr>
        <w:t>提交规则</w:t>
      </w:r>
    </w:p>
    <w:p w14:paraId="53079884">
      <w:pPr>
        <w:pStyle w:val="23"/>
        <w:keepNext w:val="0"/>
        <w:keepLines w:val="0"/>
        <w:pageBreakBefore w:val="0"/>
        <w:kinsoku/>
        <w:wordWrap/>
        <w:overflowPunct/>
        <w:topLinePunct w:val="0"/>
        <w:autoSpaceDE/>
        <w:autoSpaceDN/>
        <w:bidi w:val="0"/>
        <w:adjustRightInd/>
        <w:spacing w:after="0" w:afterLines="0" w:line="400" w:lineRule="exact"/>
        <w:ind w:left="0" w:firstLine="480" w:firstLineChars="200"/>
        <w:jc w:val="left"/>
        <w:textAlignment w:val="auto"/>
        <w:rPr>
          <w:rFonts w:hint="eastAsia" w:ascii="仿宋" w:hAnsi="仿宋" w:eastAsia="仿宋" w:cs="仿宋"/>
          <w:b w:val="0"/>
          <w:smallCaps w:val="0"/>
          <w:color w:val="auto"/>
          <w:kern w:val="2"/>
          <w:sz w:val="24"/>
          <w:szCs w:val="24"/>
          <w:highlight w:val="none"/>
          <w:lang w:val="en-US" w:eastAsia="zh-CN" w:bidi="ar-SA"/>
        </w:rPr>
      </w:pPr>
      <w:r>
        <w:rPr>
          <w:rFonts w:hint="eastAsia" w:ascii="仿宋" w:hAnsi="仿宋" w:eastAsia="仿宋" w:cs="仿宋"/>
          <w:b w:val="0"/>
          <w:smallCaps w:val="0"/>
          <w:color w:val="auto"/>
          <w:kern w:val="2"/>
          <w:sz w:val="24"/>
          <w:szCs w:val="24"/>
          <w:highlight w:val="none"/>
          <w:lang w:val="en-US" w:eastAsia="zh-CN" w:bidi="ar-SA"/>
        </w:rPr>
        <w:t>本项目采取线上线下相结合的方式进行投标报价，投标人须在规定时间内完成平台电子投标文件及现场纸质投标文件的提交，且线上线下递交的投标文件内容须保持一致。缺少任意一项均视为无效响应，投标文件提交规则如下。</w:t>
      </w:r>
    </w:p>
    <w:p w14:paraId="1B6ECE4E">
      <w:pPr>
        <w:pStyle w:val="2"/>
        <w:keepNext w:val="0"/>
        <w:keepLines w:val="0"/>
        <w:pageBreakBefore w:val="0"/>
        <w:kinsoku/>
        <w:wordWrap/>
        <w:overflowPunct/>
        <w:topLinePunct w:val="0"/>
        <w:autoSpaceDE/>
        <w:autoSpaceDN/>
        <w:bidi w:val="0"/>
        <w:adjustRightInd/>
        <w:spacing w:line="400" w:lineRule="exact"/>
        <w:ind w:left="0"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1、线上（行采家竞争性比选电子竞采模式）投标文件提交规则：</w:t>
      </w:r>
    </w:p>
    <w:p w14:paraId="2076B580">
      <w:pPr>
        <w:keepNext w:val="0"/>
        <w:keepLines w:val="0"/>
        <w:pageBreakBefore w:val="0"/>
        <w:widowControl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投标人须同时在线上上传盖章后的电子文档一份（电子文档内容应与纸质文件正本一致）。</w:t>
      </w:r>
    </w:p>
    <w:p w14:paraId="08713047">
      <w:pPr>
        <w:pStyle w:val="2"/>
        <w:keepNext w:val="0"/>
        <w:keepLines w:val="0"/>
        <w:pageBreakBefore w:val="0"/>
        <w:kinsoku/>
        <w:wordWrap/>
        <w:overflowPunct/>
        <w:topLinePunct w:val="0"/>
        <w:autoSpaceDE/>
        <w:autoSpaceDN/>
        <w:bidi w:val="0"/>
        <w:adjustRightInd/>
        <w:spacing w:line="400" w:lineRule="exact"/>
        <w:ind w:left="0"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2、线下（投标现场）投标文件提交规则：</w:t>
      </w:r>
    </w:p>
    <w:p w14:paraId="5522D232">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（1）投标文件一式二份，其中正本一份，副本一份，副本可为正本的复印件，应与正本一致。</w:t>
      </w:r>
    </w:p>
    <w:p w14:paraId="19688CAA">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（2）在投标文件正本中，第七篇投标文件格式中规定签字、盖章的地方必须按其规定签字、盖章。</w:t>
      </w:r>
    </w:p>
    <w:p w14:paraId="52F219DE">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（3）投标文件的密封与标记</w:t>
      </w:r>
    </w:p>
    <w:p w14:paraId="7EE618D4">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投标文件的正本、副本均应密封送达竞采地点，应在封套上注明比选项目名称、投标人名称。若正本、副本分别进行密封的，还应在封套上注明“正本”、“副本”字样。</w:t>
      </w:r>
    </w:p>
    <w:p w14:paraId="00CE353C">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（4）如果未按上述规定进行密封的，采购人、采购代理机构将拒收其投标文件。</w:t>
      </w:r>
    </w:p>
    <w:p w14:paraId="7C74E412">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投标文件投递截止时间：投标人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0FB51DDE">
      <w:pPr>
        <w:keepNext w:val="0"/>
        <w:keepLines w:val="0"/>
        <w:pageBreakBefore w:val="0"/>
        <w:widowControl w:val="0"/>
        <w:kinsoku/>
        <w:wordWrap/>
        <w:overflowPunct/>
        <w:topLinePunct w:val="0"/>
        <w:autoSpaceDE/>
        <w:autoSpaceDN/>
        <w:bidi w:val="0"/>
        <w:adjustRightInd/>
        <w:snapToGrid w:val="0"/>
        <w:spacing w:line="400" w:lineRule="exact"/>
        <w:ind w:left="0"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（六）线上竞采报价时间：2026年</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rPr>
        <w:t>日</w:t>
      </w:r>
      <w:r>
        <w:rPr>
          <w:rFonts w:hint="eastAsia" w:ascii="仿宋" w:hAnsi="仿宋" w:eastAsia="仿宋" w:cs="仿宋"/>
          <w:b/>
          <w:bCs/>
          <w:color w:val="auto"/>
          <w:kern w:val="2"/>
          <w:sz w:val="24"/>
          <w:szCs w:val="24"/>
          <w:highlight w:val="none"/>
          <w:lang w:val="en-US" w:eastAsia="zh-CN" w:bidi="ar-SA"/>
        </w:rPr>
        <w:t>9:00-2026年</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rPr>
        <w:t>日</w:t>
      </w:r>
      <w:r>
        <w:rPr>
          <w:rFonts w:hint="eastAsia" w:ascii="仿宋" w:hAnsi="仿宋" w:eastAsia="仿宋" w:cs="仿宋"/>
          <w:b/>
          <w:bCs/>
          <w:color w:val="auto"/>
          <w:kern w:val="2"/>
          <w:sz w:val="24"/>
          <w:szCs w:val="24"/>
          <w:highlight w:val="none"/>
          <w:lang w:val="en-US" w:eastAsia="zh-CN" w:bidi="ar-SA"/>
        </w:rPr>
        <w:t>11:00（北京时间）</w:t>
      </w:r>
    </w:p>
    <w:p w14:paraId="1A1C1D40">
      <w:pPr>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线下</w:t>
      </w:r>
      <w:r>
        <w:rPr>
          <w:rFonts w:hint="eastAsia" w:ascii="仿宋" w:hAnsi="仿宋" w:eastAsia="仿宋" w:cs="仿宋"/>
          <w:color w:val="auto"/>
          <w:sz w:val="24"/>
          <w:szCs w:val="24"/>
          <w:highlight w:val="none"/>
        </w:rPr>
        <w:t>递交投标文件开始时间：</w:t>
      </w:r>
      <w:r>
        <w:rPr>
          <w:rFonts w:hint="eastAsia" w:ascii="仿宋" w:hAnsi="仿宋" w:eastAsia="仿宋" w:cs="仿宋"/>
          <w:b/>
          <w:bCs/>
          <w:color w:val="auto"/>
          <w:kern w:val="2"/>
          <w:sz w:val="24"/>
          <w:szCs w:val="24"/>
          <w:highlight w:val="none"/>
          <w:lang w:val="en-US" w:eastAsia="zh-CN" w:bidi="ar-SA"/>
        </w:rPr>
        <w:t>2026年3</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rPr>
        <w:t>日</w:t>
      </w:r>
      <w:r>
        <w:rPr>
          <w:rFonts w:hint="eastAsia" w:ascii="仿宋" w:hAnsi="仿宋" w:eastAsia="仿宋" w:cs="仿宋"/>
          <w:b/>
          <w:bCs/>
          <w:color w:val="auto"/>
          <w:sz w:val="24"/>
          <w:szCs w:val="24"/>
          <w:highlight w:val="none"/>
          <w:lang w:val="en-US" w:eastAsia="zh-CN"/>
        </w:rPr>
        <w:t>14</w:t>
      </w:r>
      <w:r>
        <w:rPr>
          <w:rFonts w:hint="eastAsia" w:ascii="仿宋" w:hAnsi="仿宋" w:eastAsia="仿宋" w:cs="仿宋"/>
          <w:b/>
          <w:bCs/>
          <w:color w:val="auto"/>
          <w:sz w:val="24"/>
          <w:szCs w:val="24"/>
          <w:highlight w:val="none"/>
        </w:rPr>
        <w:t>时</w:t>
      </w:r>
      <w:r>
        <w:rPr>
          <w:rFonts w:hint="eastAsia" w:ascii="仿宋" w:hAnsi="仿宋" w:eastAsia="仿宋" w:cs="仿宋"/>
          <w:b/>
          <w:bCs/>
          <w:color w:val="auto"/>
          <w:sz w:val="24"/>
          <w:szCs w:val="24"/>
          <w:highlight w:val="none"/>
          <w:lang w:val="en-US" w:eastAsia="zh-CN"/>
        </w:rPr>
        <w:t>0</w:t>
      </w:r>
      <w:r>
        <w:rPr>
          <w:rFonts w:hint="eastAsia" w:ascii="仿宋" w:hAnsi="仿宋" w:eastAsia="仿宋" w:cs="仿宋"/>
          <w:b/>
          <w:bCs/>
          <w:color w:val="auto"/>
          <w:sz w:val="24"/>
          <w:szCs w:val="24"/>
          <w:highlight w:val="none"/>
        </w:rPr>
        <w:t>0分（北京时间）。</w:t>
      </w:r>
    </w:p>
    <w:p w14:paraId="02D680A3">
      <w:pPr>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线下</w:t>
      </w:r>
      <w:r>
        <w:rPr>
          <w:rFonts w:hint="eastAsia" w:ascii="仿宋" w:hAnsi="仿宋" w:eastAsia="仿宋" w:cs="仿宋"/>
          <w:color w:val="auto"/>
          <w:sz w:val="24"/>
          <w:szCs w:val="24"/>
          <w:highlight w:val="none"/>
        </w:rPr>
        <w:t>递交投标文件截止时间：</w:t>
      </w:r>
      <w:r>
        <w:rPr>
          <w:rFonts w:hint="eastAsia" w:ascii="仿宋" w:hAnsi="仿宋" w:eastAsia="仿宋" w:cs="仿宋"/>
          <w:b/>
          <w:bCs/>
          <w:color w:val="auto"/>
          <w:kern w:val="2"/>
          <w:sz w:val="24"/>
          <w:szCs w:val="24"/>
          <w:highlight w:val="none"/>
          <w:lang w:val="en-US" w:eastAsia="zh-CN" w:bidi="ar-SA"/>
        </w:rPr>
        <w:t>2026年3</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rPr>
        <w:t>日1</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时</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0分（北京时间）。</w:t>
      </w:r>
    </w:p>
    <w:p w14:paraId="45BFB01D">
      <w:pPr>
        <w:pStyle w:val="25"/>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）比选开始时间：</w:t>
      </w:r>
      <w:r>
        <w:rPr>
          <w:rFonts w:hint="eastAsia" w:ascii="仿宋" w:hAnsi="仿宋" w:eastAsia="仿宋" w:cs="仿宋"/>
          <w:b/>
          <w:bCs/>
          <w:color w:val="auto"/>
          <w:kern w:val="2"/>
          <w:sz w:val="24"/>
          <w:szCs w:val="24"/>
          <w:highlight w:val="none"/>
          <w:lang w:val="en-US" w:eastAsia="zh-CN" w:bidi="ar-SA"/>
        </w:rPr>
        <w:t>2026年</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rPr>
        <w:t>日1</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时</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0分（北京时间）。</w:t>
      </w:r>
    </w:p>
    <w:p w14:paraId="09EE588B">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线下</w:t>
      </w:r>
      <w:r>
        <w:rPr>
          <w:rFonts w:hint="eastAsia" w:ascii="仿宋" w:hAnsi="仿宋" w:eastAsia="仿宋" w:cs="仿宋"/>
          <w:color w:val="auto"/>
          <w:sz w:val="24"/>
          <w:szCs w:val="24"/>
          <w:highlight w:val="none"/>
        </w:rPr>
        <w:t>递交投标文件地点：</w:t>
      </w:r>
      <w:r>
        <w:rPr>
          <w:rFonts w:hint="eastAsia" w:ascii="仿宋" w:hAnsi="仿宋" w:eastAsia="仿宋" w:cs="仿宋"/>
          <w:color w:val="auto"/>
          <w:sz w:val="24"/>
          <w:szCs w:val="24"/>
          <w:highlight w:val="none"/>
          <w:u w:val="none"/>
          <w:lang w:eastAsia="zh-CN"/>
        </w:rPr>
        <w:t>重庆两江新区中医院</w:t>
      </w:r>
      <w:r>
        <w:rPr>
          <w:rFonts w:hint="eastAsia" w:ascii="仿宋" w:hAnsi="仿宋" w:eastAsia="仿宋" w:cs="仿宋"/>
          <w:color w:val="auto"/>
          <w:sz w:val="24"/>
          <w:szCs w:val="24"/>
          <w:highlight w:val="none"/>
          <w:u w:val="none"/>
          <w:lang w:val="en-US" w:eastAsia="zh-CN"/>
        </w:rPr>
        <w:t>8楼会议室。</w:t>
      </w:r>
    </w:p>
    <w:p w14:paraId="59A2BF02">
      <w:pPr>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十一</w:t>
      </w:r>
      <w:r>
        <w:rPr>
          <w:rFonts w:hint="eastAsia" w:ascii="仿宋" w:hAnsi="仿宋" w:eastAsia="仿宋" w:cs="仿宋"/>
          <w:color w:val="auto"/>
          <w:sz w:val="24"/>
          <w:szCs w:val="24"/>
          <w:highlight w:val="none"/>
        </w:rPr>
        <w:t>）比选地点：</w:t>
      </w:r>
      <w:r>
        <w:rPr>
          <w:rFonts w:hint="eastAsia" w:ascii="仿宋" w:hAnsi="仿宋" w:eastAsia="仿宋" w:cs="仿宋"/>
          <w:b/>
          <w:bCs/>
          <w:color w:val="auto"/>
          <w:sz w:val="24"/>
          <w:szCs w:val="24"/>
          <w:highlight w:val="none"/>
        </w:rPr>
        <w:t>同递交投标文件地点。</w:t>
      </w:r>
    </w:p>
    <w:p w14:paraId="4673C8B0">
      <w:pPr>
        <w:pStyle w:val="4"/>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auto"/>
          <w:sz w:val="24"/>
          <w:szCs w:val="24"/>
          <w:highlight w:val="none"/>
        </w:rPr>
      </w:pPr>
      <w:bookmarkStart w:id="10" w:name="_Toc7597"/>
      <w:bookmarkStart w:id="11" w:name="_Toc8938"/>
      <w:bookmarkStart w:id="12" w:name="_Toc19692"/>
      <w:bookmarkStart w:id="13" w:name="_Toc41896028"/>
      <w:bookmarkStart w:id="14" w:name="_Toc3347"/>
      <w:bookmarkStart w:id="15" w:name="_Toc11613"/>
      <w:bookmarkStart w:id="16" w:name="_Toc19256"/>
      <w:r>
        <w:rPr>
          <w:rFonts w:hint="eastAsia" w:ascii="仿宋" w:hAnsi="仿宋" w:eastAsia="仿宋" w:cs="仿宋"/>
          <w:b/>
          <w:color w:val="auto"/>
          <w:sz w:val="24"/>
          <w:szCs w:val="24"/>
          <w:highlight w:val="none"/>
        </w:rPr>
        <w:t>五、比选保证金</w:t>
      </w:r>
      <w:bookmarkEnd w:id="10"/>
      <w:bookmarkEnd w:id="11"/>
      <w:bookmarkEnd w:id="12"/>
      <w:bookmarkEnd w:id="13"/>
      <w:bookmarkEnd w:id="14"/>
      <w:bookmarkEnd w:id="15"/>
      <w:bookmarkEnd w:id="16"/>
    </w:p>
    <w:p w14:paraId="0CBA4658">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bookmarkStart w:id="17" w:name="_Toc8089"/>
      <w:bookmarkStart w:id="18" w:name="_Toc2967"/>
      <w:bookmarkStart w:id="19" w:name="_Toc26638"/>
      <w:bookmarkStart w:id="20" w:name="_Toc41896029"/>
      <w:bookmarkStart w:id="21" w:name="_Toc26138"/>
      <w:bookmarkStart w:id="22" w:name="_Toc20652"/>
      <w:r>
        <w:rPr>
          <w:rFonts w:hint="eastAsia" w:ascii="仿宋" w:hAnsi="仿宋" w:eastAsia="仿宋" w:cs="仿宋"/>
          <w:color w:val="auto"/>
          <w:sz w:val="24"/>
          <w:szCs w:val="24"/>
          <w:highlight w:val="none"/>
          <w:lang w:val="en-US" w:eastAsia="zh-CN"/>
        </w:rPr>
        <w:t>本项目免收比选保证金。</w:t>
      </w:r>
    </w:p>
    <w:p w14:paraId="149C7C88">
      <w:pPr>
        <w:pStyle w:val="4"/>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auto"/>
          <w:sz w:val="24"/>
          <w:szCs w:val="24"/>
          <w:highlight w:val="none"/>
        </w:rPr>
      </w:pPr>
      <w:bookmarkStart w:id="23" w:name="_Toc8324"/>
      <w:r>
        <w:rPr>
          <w:rFonts w:hint="eastAsia" w:ascii="仿宋" w:hAnsi="仿宋" w:eastAsia="仿宋" w:cs="仿宋"/>
          <w:b/>
          <w:color w:val="auto"/>
          <w:sz w:val="24"/>
          <w:szCs w:val="24"/>
          <w:highlight w:val="none"/>
        </w:rPr>
        <w:t>六、其它有关规定</w:t>
      </w:r>
      <w:bookmarkEnd w:id="17"/>
      <w:bookmarkEnd w:id="18"/>
      <w:bookmarkEnd w:id="19"/>
      <w:bookmarkEnd w:id="20"/>
      <w:bookmarkEnd w:id="21"/>
      <w:bookmarkEnd w:id="22"/>
      <w:bookmarkEnd w:id="23"/>
    </w:p>
    <w:p w14:paraId="5EEB7A5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，不得参加同一合同项（分包）下的比选活动，否则均为无效比选。</w:t>
      </w:r>
    </w:p>
    <w:p w14:paraId="4DFB4F6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（二）为项目提供整体设计、规范编制或者项目管理、监理、检测等服务的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，不得再参加该项目的其他比选活动。</w:t>
      </w:r>
    </w:p>
    <w:p w14:paraId="28AB212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（三）本项目的补遗文件（如果有）一律在</w:t>
      </w:r>
      <w:r>
        <w:rPr>
          <w:rFonts w:hint="eastAsia" w:ascii="仿宋" w:hAnsi="仿宋" w:eastAsia="仿宋" w:cs="仿宋"/>
          <w:color w:val="auto"/>
          <w:kern w:val="0"/>
          <w:sz w:val="24"/>
          <w:szCs w:val="24"/>
          <w:highlight w:val="none"/>
        </w:rPr>
        <w:t>行采家（https://www.gec123.com/）</w:t>
      </w:r>
      <w:r>
        <w:rPr>
          <w:rFonts w:hint="eastAsia" w:ascii="仿宋" w:hAnsi="仿宋" w:eastAsia="仿宋" w:cs="仿宋"/>
          <w:color w:val="auto"/>
          <w:kern w:val="0"/>
          <w:sz w:val="24"/>
          <w:szCs w:val="24"/>
          <w:highlight w:val="none"/>
          <w:lang w:val="en-US" w:eastAsia="zh-CN"/>
        </w:rPr>
        <w:t>和中国招标投标公共服务平台（http://www.cebpubservice.com/）</w:t>
      </w:r>
      <w:r>
        <w:rPr>
          <w:rFonts w:hint="eastAsia" w:ascii="仿宋" w:hAnsi="仿宋" w:eastAsia="仿宋" w:cs="仿宋"/>
          <w:color w:val="auto"/>
          <w:sz w:val="24"/>
          <w:szCs w:val="24"/>
          <w:highlight w:val="none"/>
        </w:rPr>
        <w:t>上发布，请各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注意自行下载；无论</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下载与否，均视同</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已知晓本项目补遗文件（如果有）的内容。</w:t>
      </w:r>
    </w:p>
    <w:p w14:paraId="7169664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（四）超过比选文件截止时间递交的投标文件，恕不接收。</w:t>
      </w:r>
    </w:p>
    <w:p w14:paraId="3808AFD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（五）比选费用：无论比选结果如何，</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参与本项目比选的所有费用均应由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自行承担。</w:t>
      </w:r>
    </w:p>
    <w:p w14:paraId="7EB1B28E">
      <w:pPr>
        <w:keepNext w:val="0"/>
        <w:keepLines w:val="0"/>
        <w:pageBreakBefore w:val="0"/>
        <w:widowControl w:val="0"/>
        <w:kinsoku/>
        <w:wordWrap/>
        <w:overflowPunct/>
        <w:topLinePunct w:val="0"/>
        <w:autoSpaceDE/>
        <w:autoSpaceDN/>
        <w:bidi w:val="0"/>
        <w:adjustRightInd/>
        <w:spacing w:line="400" w:lineRule="exact"/>
        <w:ind w:left="0" w:firstLine="482" w:firstLineChars="200"/>
        <w:contextualSpacing/>
        <w:textAlignment w:val="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（六）本项目不接受联合体参与比选</w:t>
      </w:r>
      <w:r>
        <w:rPr>
          <w:rFonts w:hint="eastAsia" w:ascii="仿宋" w:hAnsi="仿宋" w:eastAsia="仿宋" w:cs="仿宋"/>
          <w:b/>
          <w:bCs/>
          <w:color w:val="auto"/>
          <w:kern w:val="2"/>
          <w:sz w:val="24"/>
          <w:szCs w:val="24"/>
          <w:highlight w:val="none"/>
          <w:lang w:val="en-US" w:eastAsia="zh-CN" w:bidi="ar-SA"/>
        </w:rPr>
        <w:t>，否则按无效响应处理。</w:t>
      </w:r>
    </w:p>
    <w:p w14:paraId="0C8D86D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2"/>
          <w:sz w:val="24"/>
          <w:szCs w:val="24"/>
          <w:highlight w:val="none"/>
          <w:lang w:val="en-US" w:eastAsia="zh-CN" w:bidi="ar-SA"/>
        </w:rPr>
        <w:t>（七）本项目不接受合同分包，否则按无效响应处理。</w:t>
      </w:r>
    </w:p>
    <w:p w14:paraId="0048A97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八</w:t>
      </w:r>
      <w:r>
        <w:rPr>
          <w:rFonts w:hint="eastAsia" w:ascii="仿宋" w:hAnsi="仿宋" w:eastAsia="仿宋" w:cs="仿宋"/>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，将拒绝其参与比选活动。</w:t>
      </w:r>
    </w:p>
    <w:p w14:paraId="72385642">
      <w:pPr>
        <w:pStyle w:val="4"/>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auto"/>
          <w:sz w:val="24"/>
          <w:szCs w:val="24"/>
          <w:highlight w:val="none"/>
        </w:rPr>
      </w:pPr>
      <w:bookmarkStart w:id="24" w:name="_Toc9761"/>
      <w:bookmarkStart w:id="25" w:name="_Toc1273"/>
      <w:bookmarkStart w:id="26" w:name="_Toc10824"/>
      <w:bookmarkStart w:id="27" w:name="_Toc41896030"/>
      <w:bookmarkStart w:id="28" w:name="_Toc24760"/>
      <w:bookmarkStart w:id="29" w:name="_Toc10454"/>
      <w:bookmarkStart w:id="30" w:name="_Toc20501"/>
      <w:r>
        <w:rPr>
          <w:rFonts w:hint="eastAsia" w:ascii="仿宋" w:hAnsi="仿宋" w:eastAsia="仿宋" w:cs="仿宋"/>
          <w:b/>
          <w:color w:val="auto"/>
          <w:sz w:val="24"/>
          <w:szCs w:val="24"/>
          <w:highlight w:val="none"/>
        </w:rPr>
        <w:t>七、联系方式</w:t>
      </w:r>
      <w:bookmarkEnd w:id="24"/>
      <w:bookmarkEnd w:id="25"/>
      <w:bookmarkEnd w:id="26"/>
      <w:bookmarkEnd w:id="27"/>
      <w:bookmarkEnd w:id="28"/>
      <w:bookmarkEnd w:id="29"/>
      <w:bookmarkEnd w:id="30"/>
    </w:p>
    <w:p w14:paraId="06AFF2C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（一）采购人：</w:t>
      </w:r>
      <w:r>
        <w:rPr>
          <w:rFonts w:hint="eastAsia" w:ascii="仿宋" w:hAnsi="仿宋" w:eastAsia="仿宋" w:cs="仿宋"/>
          <w:color w:val="auto"/>
          <w:sz w:val="24"/>
          <w:szCs w:val="24"/>
          <w:highlight w:val="none"/>
          <w:lang w:val="en-US" w:eastAsia="zh-CN"/>
        </w:rPr>
        <w:t>重庆两江新区中医院</w:t>
      </w:r>
    </w:p>
    <w:p w14:paraId="61D65A8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联系人：</w:t>
      </w:r>
      <w:r>
        <w:rPr>
          <w:rFonts w:hint="eastAsia" w:ascii="仿宋" w:hAnsi="仿宋" w:eastAsia="仿宋" w:cs="仿宋"/>
          <w:color w:val="auto"/>
          <w:sz w:val="24"/>
          <w:szCs w:val="24"/>
          <w:highlight w:val="none"/>
          <w:lang w:val="en-US" w:eastAsia="zh-CN"/>
        </w:rPr>
        <w:t xml:space="preserve">黄老师 </w:t>
      </w:r>
    </w:p>
    <w:p w14:paraId="7B930CF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电</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话：</w:t>
      </w:r>
      <w:r>
        <w:rPr>
          <w:rFonts w:hint="eastAsia" w:ascii="仿宋" w:hAnsi="仿宋" w:eastAsia="仿宋" w:cs="仿宋"/>
          <w:color w:val="auto"/>
          <w:sz w:val="24"/>
          <w:szCs w:val="24"/>
          <w:highlight w:val="none"/>
          <w:lang w:val="en-US" w:eastAsia="zh-CN"/>
        </w:rPr>
        <w:t>63024965</w:t>
      </w:r>
    </w:p>
    <w:p w14:paraId="3270E21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地址：</w:t>
      </w:r>
      <w:r>
        <w:rPr>
          <w:rFonts w:hint="eastAsia" w:ascii="仿宋" w:hAnsi="仿宋" w:eastAsia="仿宋" w:cs="仿宋"/>
          <w:color w:val="auto"/>
          <w:sz w:val="24"/>
          <w:szCs w:val="24"/>
          <w:highlight w:val="none"/>
        </w:rPr>
        <w:t>重庆市渝北区楠竹路3号</w:t>
      </w:r>
    </w:p>
    <w:p w14:paraId="17837DDD">
      <w:pPr>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（二）采购代理机构：</w:t>
      </w:r>
      <w:r>
        <w:rPr>
          <w:rFonts w:hint="eastAsia" w:ascii="仿宋" w:hAnsi="仿宋" w:eastAsia="仿宋" w:cs="仿宋"/>
          <w:color w:val="auto"/>
          <w:sz w:val="24"/>
          <w:szCs w:val="24"/>
          <w:highlight w:val="none"/>
          <w:lang w:eastAsia="zh-CN"/>
        </w:rPr>
        <w:t>重庆市聚创招标代理有限公司</w:t>
      </w:r>
    </w:p>
    <w:p w14:paraId="520ECE51">
      <w:pPr>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联系人：孙伟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黄希</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张文艺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邹妍妍</w:t>
      </w:r>
      <w:r>
        <w:rPr>
          <w:rFonts w:hint="eastAsia" w:ascii="仿宋" w:hAnsi="仿宋" w:eastAsia="仿宋" w:cs="仿宋"/>
          <w:color w:val="auto"/>
          <w:sz w:val="24"/>
          <w:szCs w:val="24"/>
          <w:highlight w:val="none"/>
          <w:lang w:val="en-US" w:eastAsia="zh-CN"/>
        </w:rPr>
        <w:t xml:space="preserve"> 孙畅</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刘启亮</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伍炜</w:t>
      </w:r>
      <w:r>
        <w:rPr>
          <w:rFonts w:hint="eastAsia" w:ascii="仿宋" w:hAnsi="仿宋" w:eastAsia="仿宋" w:cs="仿宋"/>
          <w:color w:val="auto"/>
          <w:sz w:val="24"/>
          <w:szCs w:val="24"/>
          <w:highlight w:val="none"/>
        </w:rPr>
        <w:t xml:space="preserve"> </w:t>
      </w:r>
    </w:p>
    <w:p w14:paraId="5F28779A">
      <w:pPr>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13805926459</w:t>
      </w:r>
      <w:r>
        <w:rPr>
          <w:rFonts w:hint="eastAsia" w:ascii="仿宋" w:hAnsi="仿宋" w:eastAsia="仿宋" w:cs="仿宋"/>
          <w:color w:val="auto"/>
          <w:sz w:val="24"/>
          <w:szCs w:val="24"/>
          <w:highlight w:val="none"/>
        </w:rPr>
        <w:t xml:space="preserve">    023-86366459</w:t>
      </w:r>
    </w:p>
    <w:p w14:paraId="25FAACF5">
      <w:pPr>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址：重庆市南岸区四公里万凯新都会B栋11-2</w:t>
      </w:r>
    </w:p>
    <w:p w14:paraId="067BACE7">
      <w:pPr>
        <w:pStyle w:val="3"/>
        <w:keepNext/>
        <w:keepLines w:val="0"/>
        <w:pageBreakBefore w:val="0"/>
        <w:widowControl w:val="0"/>
        <w:tabs>
          <w:tab w:val="left" w:pos="1530"/>
        </w:tabs>
        <w:kinsoku/>
        <w:wordWrap/>
        <w:overflowPunct/>
        <w:topLinePunct w:val="0"/>
        <w:autoSpaceDE/>
        <w:autoSpaceDN/>
        <w:bidi w:val="0"/>
        <w:adjustRightInd/>
        <w:snapToGrid w:val="0"/>
        <w:spacing w:before="0" w:beforeLines="0" w:after="0" w:afterLines="0" w:line="400" w:lineRule="exact"/>
        <w:ind w:firstLine="480" w:firstLineChars="200"/>
        <w:jc w:val="center"/>
        <w:textAlignment w:val="auto"/>
        <w:rPr>
          <w:rFonts w:hint="eastAsia" w:ascii="仿宋" w:hAnsi="仿宋" w:eastAsia="仿宋" w:cs="仿宋"/>
          <w:color w:val="auto"/>
          <w:sz w:val="24"/>
          <w:szCs w:val="24"/>
          <w:highlight w:val="none"/>
        </w:rPr>
      </w:pPr>
      <w:bookmarkStart w:id="31" w:name="_Toc30387"/>
      <w:r>
        <w:rPr>
          <w:rFonts w:hint="eastAsia" w:ascii="仿宋" w:hAnsi="仿宋" w:eastAsia="仿宋" w:cs="仿宋"/>
          <w:color w:val="auto"/>
          <w:sz w:val="24"/>
          <w:szCs w:val="24"/>
          <w:highlight w:val="none"/>
        </w:rPr>
        <w:br w:type="page"/>
      </w:r>
    </w:p>
    <w:p w14:paraId="2A82703A">
      <w:pPr>
        <w:pStyle w:val="3"/>
        <w:spacing w:before="0" w:beforeLines="0" w:after="0" w:afterLines="0" w:line="360" w:lineRule="auto"/>
        <w:rPr>
          <w:rFonts w:hint="eastAsia" w:ascii="仿宋" w:hAnsi="仿宋" w:eastAsia="仿宋" w:cs="仿宋"/>
          <w:color w:val="auto"/>
          <w:sz w:val="52"/>
          <w:szCs w:val="52"/>
          <w:highlight w:val="none"/>
        </w:rPr>
        <w:sectPr>
          <w:type w:val="nextColumn"/>
          <w:pgSz w:w="11780" w:h="16840"/>
          <w:pgMar w:top="1134" w:right="1134" w:bottom="1134" w:left="1417" w:header="140" w:footer="850" w:gutter="0"/>
          <w:pgBorders w:offsetFrom="page">
            <w:top w:val="none" w:sz="0" w:space="0"/>
            <w:left w:val="none" w:sz="0" w:space="0"/>
            <w:bottom w:val="none" w:sz="0" w:space="0"/>
            <w:right w:val="none" w:sz="0" w:space="0"/>
          </w:pgBorders>
          <w:pgNumType w:fmt="numberInDash"/>
          <w:cols w:space="720" w:num="1"/>
        </w:sectPr>
      </w:pPr>
    </w:p>
    <w:p w14:paraId="1639BC74">
      <w:pPr>
        <w:pStyle w:val="3"/>
        <w:spacing w:before="0" w:beforeLines="0" w:after="0" w:afterLines="0" w:line="360" w:lineRule="auto"/>
        <w:rPr>
          <w:rFonts w:hint="eastAsia" w:ascii="仿宋" w:hAnsi="仿宋" w:eastAsia="仿宋" w:cs="仿宋"/>
          <w:color w:val="auto"/>
          <w:sz w:val="52"/>
          <w:szCs w:val="52"/>
          <w:highlight w:val="none"/>
        </w:rPr>
      </w:pPr>
      <w:bookmarkStart w:id="32" w:name="_Toc32766"/>
      <w:r>
        <w:rPr>
          <w:rFonts w:hint="eastAsia" w:ascii="仿宋" w:hAnsi="仿宋" w:eastAsia="仿宋" w:cs="仿宋"/>
          <w:color w:val="auto"/>
          <w:sz w:val="52"/>
          <w:szCs w:val="52"/>
          <w:highlight w:val="none"/>
        </w:rPr>
        <w:t>第二篇 项目</w:t>
      </w:r>
      <w:r>
        <w:rPr>
          <w:rFonts w:hint="eastAsia" w:ascii="仿宋" w:hAnsi="仿宋" w:eastAsia="仿宋" w:cs="仿宋"/>
          <w:color w:val="auto"/>
          <w:sz w:val="52"/>
          <w:szCs w:val="52"/>
          <w:highlight w:val="none"/>
          <w:lang w:val="en-US" w:eastAsia="zh-CN"/>
        </w:rPr>
        <w:t>技术（质量）</w:t>
      </w:r>
      <w:r>
        <w:rPr>
          <w:rFonts w:hint="eastAsia" w:ascii="仿宋" w:hAnsi="仿宋" w:eastAsia="仿宋" w:cs="仿宋"/>
          <w:color w:val="auto"/>
          <w:sz w:val="52"/>
          <w:szCs w:val="52"/>
          <w:highlight w:val="none"/>
        </w:rPr>
        <w:t>需求</w:t>
      </w:r>
      <w:bookmarkEnd w:id="32"/>
    </w:p>
    <w:p w14:paraId="0655875F">
      <w:pPr>
        <w:pStyle w:val="4"/>
        <w:pageBreakBefore w:val="0"/>
        <w:widowControl w:val="0"/>
        <w:numPr>
          <w:ilvl w:val="0"/>
          <w:numId w:val="0"/>
        </w:numPr>
        <w:kinsoku/>
        <w:wordWrap/>
        <w:overflowPunct/>
        <w:topLinePunct w:val="0"/>
        <w:autoSpaceDE/>
        <w:autoSpaceDN/>
        <w:bidi w:val="0"/>
        <w:spacing w:line="400" w:lineRule="exact"/>
        <w:ind w:left="0" w:leftChars="0"/>
        <w:textAlignment w:val="auto"/>
        <w:rPr>
          <w:rFonts w:hint="eastAsia" w:ascii="仿宋" w:hAnsi="仿宋" w:eastAsia="仿宋" w:cs="仿宋"/>
          <w:b/>
          <w:bCs/>
          <w:color w:val="auto"/>
          <w:sz w:val="24"/>
          <w:szCs w:val="24"/>
          <w:highlight w:val="none"/>
          <w:lang w:val="en-US" w:eastAsia="zh-CN"/>
        </w:rPr>
      </w:pPr>
      <w:bookmarkStart w:id="33" w:name="_Toc28331"/>
      <w:bookmarkStart w:id="34" w:name="_Toc22060"/>
      <w:bookmarkStart w:id="35" w:name="_Toc10719"/>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项目</w:t>
      </w:r>
      <w:bookmarkEnd w:id="33"/>
      <w:bookmarkEnd w:id="34"/>
      <w:r>
        <w:rPr>
          <w:rFonts w:hint="eastAsia" w:ascii="仿宋" w:hAnsi="仿宋" w:eastAsia="仿宋" w:cs="仿宋"/>
          <w:b/>
          <w:bCs/>
          <w:color w:val="auto"/>
          <w:sz w:val="24"/>
          <w:szCs w:val="24"/>
          <w:highlight w:val="none"/>
          <w:lang w:val="en-US" w:eastAsia="zh-CN"/>
        </w:rPr>
        <w:t>一览表</w:t>
      </w:r>
      <w:bookmarkEnd w:id="35"/>
    </w:p>
    <w:tbl>
      <w:tblPr>
        <w:tblStyle w:val="28"/>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241"/>
        <w:gridCol w:w="1403"/>
        <w:gridCol w:w="1403"/>
        <w:gridCol w:w="1174"/>
        <w:gridCol w:w="1638"/>
        <w:gridCol w:w="2138"/>
      </w:tblGrid>
      <w:tr w14:paraId="6D3C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52C44949">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241" w:type="dxa"/>
            <w:vAlign w:val="center"/>
          </w:tcPr>
          <w:p w14:paraId="7AE460EB">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货物名称</w:t>
            </w:r>
          </w:p>
        </w:tc>
        <w:tc>
          <w:tcPr>
            <w:tcW w:w="1403" w:type="dxa"/>
            <w:vAlign w:val="center"/>
          </w:tcPr>
          <w:p w14:paraId="0735308A">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计量单位</w:t>
            </w:r>
          </w:p>
        </w:tc>
        <w:tc>
          <w:tcPr>
            <w:tcW w:w="1403" w:type="dxa"/>
            <w:vAlign w:val="center"/>
          </w:tcPr>
          <w:p w14:paraId="108471BC">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数量</w:t>
            </w:r>
          </w:p>
        </w:tc>
        <w:tc>
          <w:tcPr>
            <w:tcW w:w="1174" w:type="dxa"/>
            <w:vAlign w:val="center"/>
          </w:tcPr>
          <w:p w14:paraId="1C34B154">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t>单价</w:t>
            </w:r>
            <w:r>
              <w:rPr>
                <w:rFonts w:hint="eastAsia" w:ascii="仿宋" w:hAnsi="仿宋" w:eastAsia="仿宋" w:cs="仿宋"/>
                <w:b/>
                <w:sz w:val="24"/>
                <w:szCs w:val="24"/>
                <w:highlight w:val="none"/>
                <w:lang w:val="en-US" w:eastAsia="zh-CN"/>
              </w:rPr>
              <w:t>限价（元）</w:t>
            </w:r>
          </w:p>
        </w:tc>
        <w:tc>
          <w:tcPr>
            <w:tcW w:w="1638" w:type="dxa"/>
            <w:vAlign w:val="center"/>
          </w:tcPr>
          <w:p w14:paraId="10428262">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金额</w:t>
            </w:r>
          </w:p>
          <w:p w14:paraId="0AF00BB7">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（元）</w:t>
            </w:r>
          </w:p>
        </w:tc>
        <w:tc>
          <w:tcPr>
            <w:tcW w:w="2138" w:type="dxa"/>
            <w:vAlign w:val="center"/>
          </w:tcPr>
          <w:p w14:paraId="5200EA9D">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02FF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89" w:type="dxa"/>
            <w:vAlign w:val="center"/>
          </w:tcPr>
          <w:p w14:paraId="7694A991">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w:t>
            </w:r>
          </w:p>
        </w:tc>
        <w:tc>
          <w:tcPr>
            <w:tcW w:w="1241" w:type="dxa"/>
            <w:vAlign w:val="center"/>
          </w:tcPr>
          <w:p w14:paraId="32E78A3E">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布帘</w:t>
            </w:r>
          </w:p>
        </w:tc>
        <w:tc>
          <w:tcPr>
            <w:tcW w:w="1403" w:type="dxa"/>
            <w:vAlign w:val="center"/>
          </w:tcPr>
          <w:p w14:paraId="0A96B734">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平方米</w:t>
            </w:r>
          </w:p>
        </w:tc>
        <w:tc>
          <w:tcPr>
            <w:tcW w:w="1403" w:type="dxa"/>
            <w:vAlign w:val="center"/>
          </w:tcPr>
          <w:p w14:paraId="6BDFB0E7">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1500</w:t>
            </w:r>
          </w:p>
        </w:tc>
        <w:tc>
          <w:tcPr>
            <w:tcW w:w="1174" w:type="dxa"/>
            <w:vAlign w:val="center"/>
          </w:tcPr>
          <w:p w14:paraId="1478E50C">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55</w:t>
            </w:r>
            <w:r>
              <w:rPr>
                <w:rFonts w:hint="eastAsia" w:ascii="仿宋" w:hAnsi="仿宋" w:eastAsia="仿宋" w:cs="仿宋"/>
                <w:b w:val="0"/>
                <w:bCs/>
                <w:sz w:val="24"/>
                <w:szCs w:val="24"/>
                <w:highlight w:val="none"/>
              </w:rPr>
              <w:t>.00</w:t>
            </w:r>
          </w:p>
        </w:tc>
        <w:tc>
          <w:tcPr>
            <w:tcW w:w="1638" w:type="dxa"/>
            <w:vAlign w:val="center"/>
          </w:tcPr>
          <w:p w14:paraId="4243659A">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82500</w:t>
            </w:r>
            <w:r>
              <w:rPr>
                <w:rFonts w:hint="eastAsia" w:ascii="仿宋" w:hAnsi="仿宋" w:eastAsia="仿宋" w:cs="仿宋"/>
                <w:b w:val="0"/>
                <w:bCs/>
                <w:sz w:val="24"/>
                <w:szCs w:val="24"/>
                <w:highlight w:val="none"/>
              </w:rPr>
              <w:t>.00</w:t>
            </w:r>
          </w:p>
        </w:tc>
        <w:tc>
          <w:tcPr>
            <w:tcW w:w="2138" w:type="dxa"/>
            <w:vMerge w:val="restart"/>
            <w:vAlign w:val="center"/>
          </w:tcPr>
          <w:p w14:paraId="291369D4">
            <w:pPr>
              <w:keepNext w:val="0"/>
              <w:keepLines w:val="0"/>
              <w:pageBreakBefore w:val="0"/>
              <w:kinsoku/>
              <w:wordWrap/>
              <w:overflowPunct/>
              <w:topLinePunct w:val="0"/>
              <w:autoSpaceDE/>
              <w:autoSpaceDN/>
              <w:bidi w:val="0"/>
              <w:adjustRightInd w:val="0"/>
              <w:snapToGrid w:val="0"/>
              <w:spacing w:line="400" w:lineRule="exact"/>
              <w:jc w:val="lef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1、以展开面积计量（卷边和隐藏部份不计量，隐藏部份、配件、人工等包含在成品价格内）；</w:t>
            </w:r>
          </w:p>
          <w:p w14:paraId="6C4C7BF3">
            <w:pPr>
              <w:keepNext w:val="0"/>
              <w:keepLines w:val="0"/>
              <w:pageBreakBefore w:val="0"/>
              <w:kinsoku/>
              <w:wordWrap/>
              <w:overflowPunct/>
              <w:topLinePunct w:val="0"/>
              <w:autoSpaceDE/>
              <w:autoSpaceDN/>
              <w:bidi w:val="0"/>
              <w:adjustRightInd w:val="0"/>
              <w:snapToGrid w:val="0"/>
              <w:spacing w:line="400" w:lineRule="exact"/>
              <w:jc w:val="lef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2、只接受小微企业生产的货物；</w:t>
            </w:r>
          </w:p>
          <w:p w14:paraId="6B27350A">
            <w:pPr>
              <w:keepNext w:val="0"/>
              <w:keepLines w:val="0"/>
              <w:pageBreakBefore w:val="0"/>
              <w:kinsoku/>
              <w:wordWrap/>
              <w:overflowPunct/>
              <w:topLinePunct w:val="0"/>
              <w:autoSpaceDE/>
              <w:autoSpaceDN/>
              <w:bidi w:val="0"/>
              <w:adjustRightInd w:val="0"/>
              <w:snapToGrid w:val="0"/>
              <w:spacing w:line="400" w:lineRule="exact"/>
              <w:jc w:val="lef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3、验收结果以抽检结果为准，抽检费用由</w:t>
            </w:r>
            <w:r>
              <w:rPr>
                <w:rFonts w:hint="eastAsia" w:ascii="仿宋" w:hAnsi="仿宋" w:eastAsia="仿宋" w:cs="仿宋"/>
                <w:b w:val="0"/>
                <w:bCs/>
                <w:sz w:val="24"/>
                <w:szCs w:val="24"/>
                <w:highlight w:val="none"/>
                <w:lang w:val="en-US" w:eastAsia="zh-CN"/>
              </w:rPr>
              <w:t>中标人</w:t>
            </w:r>
            <w:r>
              <w:rPr>
                <w:rFonts w:hint="eastAsia" w:ascii="仿宋" w:hAnsi="仿宋" w:eastAsia="仿宋" w:cs="仿宋"/>
                <w:b w:val="0"/>
                <w:bCs/>
                <w:sz w:val="24"/>
                <w:szCs w:val="24"/>
                <w:highlight w:val="none"/>
              </w:rPr>
              <w:t>全部承担。</w:t>
            </w:r>
          </w:p>
        </w:tc>
      </w:tr>
      <w:tr w14:paraId="523C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789" w:type="dxa"/>
            <w:vAlign w:val="center"/>
          </w:tcPr>
          <w:p w14:paraId="05E6FD9B">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w:t>
            </w:r>
          </w:p>
        </w:tc>
        <w:tc>
          <w:tcPr>
            <w:tcW w:w="1241" w:type="dxa"/>
            <w:vAlign w:val="center"/>
          </w:tcPr>
          <w:p w14:paraId="1E264162">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隔帘</w:t>
            </w:r>
          </w:p>
        </w:tc>
        <w:tc>
          <w:tcPr>
            <w:tcW w:w="1403" w:type="dxa"/>
            <w:vAlign w:val="center"/>
          </w:tcPr>
          <w:p w14:paraId="1036E22F">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平方米</w:t>
            </w:r>
          </w:p>
        </w:tc>
        <w:tc>
          <w:tcPr>
            <w:tcW w:w="1403" w:type="dxa"/>
            <w:vAlign w:val="center"/>
          </w:tcPr>
          <w:p w14:paraId="72DF4404">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800</w:t>
            </w:r>
          </w:p>
        </w:tc>
        <w:tc>
          <w:tcPr>
            <w:tcW w:w="1174" w:type="dxa"/>
            <w:vAlign w:val="center"/>
          </w:tcPr>
          <w:p w14:paraId="60056BE1">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42</w:t>
            </w:r>
            <w:r>
              <w:rPr>
                <w:rFonts w:hint="eastAsia" w:ascii="仿宋" w:hAnsi="仿宋" w:eastAsia="仿宋" w:cs="仿宋"/>
                <w:b w:val="0"/>
                <w:bCs/>
                <w:sz w:val="24"/>
                <w:szCs w:val="24"/>
                <w:highlight w:val="none"/>
              </w:rPr>
              <w:t>.00</w:t>
            </w:r>
          </w:p>
        </w:tc>
        <w:tc>
          <w:tcPr>
            <w:tcW w:w="1638" w:type="dxa"/>
            <w:vAlign w:val="center"/>
          </w:tcPr>
          <w:p w14:paraId="1D555B2E">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33600</w:t>
            </w:r>
            <w:r>
              <w:rPr>
                <w:rFonts w:hint="eastAsia" w:ascii="仿宋" w:hAnsi="仿宋" w:eastAsia="仿宋" w:cs="仿宋"/>
                <w:b w:val="0"/>
                <w:bCs/>
                <w:sz w:val="24"/>
                <w:szCs w:val="24"/>
                <w:highlight w:val="none"/>
              </w:rPr>
              <w:t>.00</w:t>
            </w:r>
          </w:p>
        </w:tc>
        <w:tc>
          <w:tcPr>
            <w:tcW w:w="2138" w:type="dxa"/>
            <w:vMerge w:val="continue"/>
            <w:vAlign w:val="center"/>
          </w:tcPr>
          <w:p w14:paraId="5F7DAE48">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p>
        </w:tc>
      </w:tr>
      <w:tr w14:paraId="7AC0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789" w:type="dxa"/>
            <w:vAlign w:val="center"/>
          </w:tcPr>
          <w:p w14:paraId="4DD0FD12">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w:t>
            </w:r>
          </w:p>
        </w:tc>
        <w:tc>
          <w:tcPr>
            <w:tcW w:w="1241" w:type="dxa"/>
            <w:vAlign w:val="center"/>
          </w:tcPr>
          <w:p w14:paraId="0B6153E5">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贴膜</w:t>
            </w:r>
          </w:p>
        </w:tc>
        <w:tc>
          <w:tcPr>
            <w:tcW w:w="1403" w:type="dxa"/>
            <w:vAlign w:val="center"/>
          </w:tcPr>
          <w:p w14:paraId="2D39BE32">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平方米</w:t>
            </w:r>
          </w:p>
        </w:tc>
        <w:tc>
          <w:tcPr>
            <w:tcW w:w="1403" w:type="dxa"/>
            <w:vAlign w:val="center"/>
          </w:tcPr>
          <w:p w14:paraId="7E740952">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100</w:t>
            </w:r>
          </w:p>
        </w:tc>
        <w:tc>
          <w:tcPr>
            <w:tcW w:w="1174" w:type="dxa"/>
            <w:vAlign w:val="center"/>
          </w:tcPr>
          <w:p w14:paraId="7E331B6C">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w:t>
            </w:r>
            <w:r>
              <w:rPr>
                <w:rFonts w:hint="eastAsia" w:ascii="仿宋" w:hAnsi="仿宋" w:eastAsia="仿宋" w:cs="仿宋"/>
                <w:b w:val="0"/>
                <w:bCs/>
                <w:sz w:val="24"/>
                <w:szCs w:val="24"/>
                <w:highlight w:val="none"/>
                <w:lang w:val="en-US" w:eastAsia="zh-CN"/>
              </w:rPr>
              <w:t>8</w:t>
            </w:r>
            <w:r>
              <w:rPr>
                <w:rFonts w:hint="eastAsia" w:ascii="仿宋" w:hAnsi="仿宋" w:eastAsia="仿宋" w:cs="仿宋"/>
                <w:b w:val="0"/>
                <w:bCs/>
                <w:sz w:val="24"/>
                <w:szCs w:val="24"/>
                <w:highlight w:val="none"/>
              </w:rPr>
              <w:t>.00</w:t>
            </w:r>
          </w:p>
        </w:tc>
        <w:tc>
          <w:tcPr>
            <w:tcW w:w="1638" w:type="dxa"/>
            <w:vAlign w:val="center"/>
          </w:tcPr>
          <w:p w14:paraId="6AED6EC0">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3800</w:t>
            </w:r>
            <w:r>
              <w:rPr>
                <w:rFonts w:hint="eastAsia" w:ascii="仿宋" w:hAnsi="仿宋" w:eastAsia="仿宋" w:cs="仿宋"/>
                <w:b w:val="0"/>
                <w:bCs/>
                <w:sz w:val="24"/>
                <w:szCs w:val="24"/>
                <w:highlight w:val="none"/>
              </w:rPr>
              <w:t>.00</w:t>
            </w:r>
          </w:p>
        </w:tc>
        <w:tc>
          <w:tcPr>
            <w:tcW w:w="2138" w:type="dxa"/>
            <w:vMerge w:val="continue"/>
            <w:vAlign w:val="center"/>
          </w:tcPr>
          <w:p w14:paraId="6543734F">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p>
        </w:tc>
      </w:tr>
      <w:tr w14:paraId="6453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789" w:type="dxa"/>
            <w:shd w:val="clear" w:color="auto" w:fill="auto"/>
            <w:vAlign w:val="center"/>
          </w:tcPr>
          <w:p w14:paraId="42DDEFEE">
            <w:pPr>
              <w:pageBreakBefore w:val="0"/>
              <w:kinsoku/>
              <w:wordWrap/>
              <w:overflowPunct/>
              <w:topLinePunct w:val="0"/>
              <w:autoSpaceDE/>
              <w:autoSpaceDN/>
              <w:bidi w:val="0"/>
              <w:spacing w:line="400" w:lineRule="exact"/>
              <w:jc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sz w:val="24"/>
                <w:szCs w:val="24"/>
                <w:highlight w:val="none"/>
                <w:lang w:val="en-US" w:eastAsia="zh-CN"/>
              </w:rPr>
              <w:t>4</w:t>
            </w:r>
          </w:p>
        </w:tc>
        <w:tc>
          <w:tcPr>
            <w:tcW w:w="1241" w:type="dxa"/>
            <w:shd w:val="clear" w:color="auto" w:fill="auto"/>
            <w:vAlign w:val="center"/>
          </w:tcPr>
          <w:p w14:paraId="3423E14E">
            <w:pPr>
              <w:pageBreakBefore w:val="0"/>
              <w:kinsoku/>
              <w:wordWrap/>
              <w:overflowPunct/>
              <w:topLinePunct w:val="0"/>
              <w:autoSpaceDE/>
              <w:autoSpaceDN/>
              <w:bidi w:val="0"/>
              <w:spacing w:line="400" w:lineRule="exact"/>
              <w:jc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sz w:val="24"/>
                <w:szCs w:val="24"/>
                <w:highlight w:val="none"/>
              </w:rPr>
              <w:t>窗帘、隔帘轨道</w:t>
            </w:r>
          </w:p>
        </w:tc>
        <w:tc>
          <w:tcPr>
            <w:tcW w:w="1403" w:type="dxa"/>
            <w:shd w:val="clear" w:color="auto" w:fill="auto"/>
            <w:vAlign w:val="center"/>
          </w:tcPr>
          <w:p w14:paraId="6948114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w:t>
            </w:r>
          </w:p>
        </w:tc>
        <w:tc>
          <w:tcPr>
            <w:tcW w:w="1403" w:type="dxa"/>
            <w:shd w:val="clear" w:color="auto" w:fill="auto"/>
            <w:vAlign w:val="center"/>
          </w:tcPr>
          <w:p w14:paraId="73D8CB9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配套数量</w:t>
            </w:r>
          </w:p>
        </w:tc>
        <w:tc>
          <w:tcPr>
            <w:tcW w:w="2812" w:type="dxa"/>
            <w:gridSpan w:val="2"/>
            <w:vAlign w:val="center"/>
          </w:tcPr>
          <w:p w14:paraId="612C4F44">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sz w:val="24"/>
                <w:szCs w:val="24"/>
                <w:highlight w:val="none"/>
                <w:lang w:val="en-US" w:eastAsia="zh-CN"/>
              </w:rPr>
              <w:t>不单独报价</w:t>
            </w:r>
          </w:p>
        </w:tc>
        <w:tc>
          <w:tcPr>
            <w:tcW w:w="2138" w:type="dxa"/>
            <w:vMerge w:val="continue"/>
            <w:vAlign w:val="center"/>
          </w:tcPr>
          <w:p w14:paraId="5F66AF05">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p>
        </w:tc>
      </w:tr>
      <w:tr w14:paraId="4862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789" w:type="dxa"/>
            <w:shd w:val="clear" w:color="auto" w:fill="auto"/>
            <w:vAlign w:val="center"/>
          </w:tcPr>
          <w:p w14:paraId="66A8647C">
            <w:pPr>
              <w:pageBreakBefore w:val="0"/>
              <w:kinsoku/>
              <w:wordWrap/>
              <w:overflowPunct/>
              <w:topLinePunct w:val="0"/>
              <w:autoSpaceDE/>
              <w:autoSpaceDN/>
              <w:bidi w:val="0"/>
              <w:spacing w:line="400" w:lineRule="exact"/>
              <w:jc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sz w:val="24"/>
                <w:szCs w:val="24"/>
                <w:highlight w:val="none"/>
                <w:lang w:val="en-US" w:eastAsia="zh-CN"/>
              </w:rPr>
              <w:t>5</w:t>
            </w:r>
          </w:p>
        </w:tc>
        <w:tc>
          <w:tcPr>
            <w:tcW w:w="1241" w:type="dxa"/>
            <w:shd w:val="clear" w:color="auto" w:fill="auto"/>
            <w:vAlign w:val="center"/>
          </w:tcPr>
          <w:p w14:paraId="6EDE0800">
            <w:pPr>
              <w:pageBreakBefore w:val="0"/>
              <w:kinsoku/>
              <w:wordWrap/>
              <w:overflowPunct/>
              <w:topLinePunct w:val="0"/>
              <w:autoSpaceDE/>
              <w:autoSpaceDN/>
              <w:bidi w:val="0"/>
              <w:spacing w:line="400" w:lineRule="exact"/>
              <w:jc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sz w:val="24"/>
                <w:szCs w:val="24"/>
                <w:highlight w:val="none"/>
              </w:rPr>
              <w:t>窗帘、隔帘布带</w:t>
            </w:r>
          </w:p>
        </w:tc>
        <w:tc>
          <w:tcPr>
            <w:tcW w:w="1403" w:type="dxa"/>
            <w:shd w:val="clear" w:color="auto" w:fill="auto"/>
            <w:vAlign w:val="center"/>
          </w:tcPr>
          <w:p w14:paraId="0D46FF6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w:t>
            </w:r>
          </w:p>
        </w:tc>
        <w:tc>
          <w:tcPr>
            <w:tcW w:w="1403" w:type="dxa"/>
            <w:shd w:val="clear" w:color="auto" w:fill="auto"/>
            <w:vAlign w:val="center"/>
          </w:tcPr>
          <w:p w14:paraId="6A4EA7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配套数量</w:t>
            </w:r>
          </w:p>
        </w:tc>
        <w:tc>
          <w:tcPr>
            <w:tcW w:w="2812" w:type="dxa"/>
            <w:gridSpan w:val="2"/>
            <w:vAlign w:val="center"/>
          </w:tcPr>
          <w:p w14:paraId="02F52987">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sz w:val="24"/>
                <w:szCs w:val="24"/>
                <w:highlight w:val="none"/>
                <w:lang w:val="en-US" w:eastAsia="zh-CN"/>
              </w:rPr>
              <w:t>不单独报价</w:t>
            </w:r>
          </w:p>
        </w:tc>
        <w:tc>
          <w:tcPr>
            <w:tcW w:w="2138" w:type="dxa"/>
            <w:vMerge w:val="continue"/>
            <w:vAlign w:val="center"/>
          </w:tcPr>
          <w:p w14:paraId="627C6AF4">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p>
        </w:tc>
      </w:tr>
      <w:tr w14:paraId="014E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9" w:type="dxa"/>
            <w:vAlign w:val="center"/>
          </w:tcPr>
          <w:p w14:paraId="7CA220EA">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合计</w:t>
            </w:r>
          </w:p>
        </w:tc>
        <w:tc>
          <w:tcPr>
            <w:tcW w:w="8997" w:type="dxa"/>
            <w:gridSpan w:val="6"/>
            <w:vAlign w:val="center"/>
          </w:tcPr>
          <w:p w14:paraId="2EFFFF40">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lang w:val="en-US"/>
              </w:rPr>
            </w:pPr>
            <w:r>
              <w:rPr>
                <w:rFonts w:hint="eastAsia" w:ascii="仿宋" w:hAnsi="仿宋" w:eastAsia="仿宋" w:cs="仿宋"/>
                <w:b w:val="0"/>
                <w:bCs/>
                <w:sz w:val="24"/>
                <w:szCs w:val="24"/>
                <w:highlight w:val="none"/>
                <w:lang w:val="en-US" w:eastAsia="zh-CN"/>
              </w:rPr>
              <w:t>119900.00</w:t>
            </w:r>
          </w:p>
        </w:tc>
      </w:tr>
    </w:tbl>
    <w:p w14:paraId="17D67F2A">
      <w:pPr>
        <w:pageBreakBefore w:val="0"/>
        <w:kinsoku/>
        <w:wordWrap/>
        <w:overflowPunct/>
        <w:topLinePunct w:val="0"/>
        <w:autoSpaceDE/>
        <w:autoSpaceDN/>
        <w:bidi w:val="0"/>
        <w:spacing w:line="400" w:lineRule="exact"/>
        <w:rPr>
          <w:rFonts w:hint="eastAsia" w:ascii="仿宋" w:hAnsi="仿宋" w:eastAsia="仿宋" w:cs="仿宋"/>
          <w:sz w:val="24"/>
          <w:szCs w:val="24"/>
          <w:highlight w:val="none"/>
          <w:lang w:val="en-US" w:eastAsia="zh-CN"/>
        </w:rPr>
      </w:pPr>
    </w:p>
    <w:p w14:paraId="21DE7D8C">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7E0AA90F">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1.上表可不用在《</w:t>
      </w:r>
      <w:r>
        <w:rPr>
          <w:rFonts w:hint="eastAsia" w:ascii="仿宋" w:hAnsi="仿宋" w:eastAsia="仿宋" w:cs="仿宋"/>
          <w:color w:val="auto"/>
          <w:sz w:val="24"/>
          <w:szCs w:val="24"/>
          <w:highlight w:val="none"/>
          <w:lang w:val="en-US" w:eastAsia="zh-CN"/>
        </w:rPr>
        <w:t>技术（质量）</w:t>
      </w:r>
      <w:r>
        <w:rPr>
          <w:rFonts w:hint="eastAsia" w:ascii="仿宋" w:hAnsi="仿宋" w:eastAsia="仿宋" w:cs="仿宋"/>
          <w:color w:val="auto"/>
          <w:sz w:val="24"/>
          <w:szCs w:val="24"/>
          <w:highlight w:val="none"/>
        </w:rPr>
        <w:t>响应偏离表</w:t>
      </w:r>
      <w:r>
        <w:rPr>
          <w:rFonts w:hint="eastAsia" w:ascii="仿宋" w:hAnsi="仿宋" w:eastAsia="仿宋" w:cs="仿宋"/>
          <w:sz w:val="24"/>
          <w:szCs w:val="24"/>
          <w:highlight w:val="none"/>
          <w:lang w:val="en-US" w:eastAsia="zh-CN"/>
        </w:rPr>
        <w:t>》中进行响应。</w:t>
      </w:r>
    </w:p>
    <w:p w14:paraId="4A5E04A8">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2.本次采购实际供货量以采购人实际发出的工作需求为准。</w:t>
      </w:r>
    </w:p>
    <w:p w14:paraId="3A7F2B02">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3.本项目需根据采购人实际需求进行供货；不论单次交付产品的数量多少，均按中标单价执行。</w:t>
      </w:r>
    </w:p>
    <w:p w14:paraId="0284A2E8">
      <w:pPr>
        <w:pageBreakBefore w:val="0"/>
        <w:kinsoku/>
        <w:wordWrap/>
        <w:overflowPunct/>
        <w:topLinePunct w:val="0"/>
        <w:autoSpaceDE/>
        <w:autoSpaceDN/>
        <w:bidi w:val="0"/>
        <w:spacing w:line="400" w:lineRule="exact"/>
        <w:rPr>
          <w:rFonts w:hint="eastAsia" w:ascii="仿宋" w:hAnsi="仿宋" w:eastAsia="仿宋" w:cs="仿宋"/>
          <w:b/>
          <w:bCs/>
          <w:color w:val="auto"/>
          <w:sz w:val="24"/>
          <w:szCs w:val="24"/>
          <w:highlight w:val="none"/>
        </w:rPr>
      </w:pPr>
      <w:bookmarkStart w:id="36" w:name="_Toc1720"/>
      <w:r>
        <w:rPr>
          <w:rFonts w:hint="eastAsia" w:ascii="仿宋" w:hAnsi="仿宋" w:eastAsia="仿宋" w:cs="仿宋"/>
          <w:b/>
          <w:bCs/>
          <w:color w:val="auto"/>
          <w:sz w:val="24"/>
          <w:szCs w:val="24"/>
          <w:highlight w:val="none"/>
        </w:rPr>
        <w:br w:type="page"/>
      </w:r>
    </w:p>
    <w:p w14:paraId="69C3D150">
      <w:pPr>
        <w:pStyle w:val="4"/>
        <w:pageBreakBefore w:val="0"/>
        <w:widowControl w:val="0"/>
        <w:numPr>
          <w:ilvl w:val="0"/>
          <w:numId w:val="0"/>
        </w:numPr>
        <w:kinsoku/>
        <w:wordWrap/>
        <w:overflowPunct/>
        <w:topLinePunct w:val="0"/>
        <w:autoSpaceDE/>
        <w:autoSpaceDN/>
        <w:bidi w:val="0"/>
        <w:spacing w:line="400" w:lineRule="exact"/>
        <w:ind w:left="0" w:leftChars="0"/>
        <w:textAlignment w:val="auto"/>
        <w:rPr>
          <w:rFonts w:hint="eastAsia" w:ascii="仿宋" w:hAnsi="仿宋" w:eastAsia="仿宋" w:cs="仿宋"/>
          <w:b/>
          <w:bCs/>
          <w:color w:val="auto"/>
          <w:sz w:val="24"/>
          <w:szCs w:val="24"/>
          <w:highlight w:val="none"/>
        </w:rPr>
      </w:pPr>
      <w:bookmarkStart w:id="37" w:name="_Toc24346"/>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en-US" w:eastAsia="zh-CN"/>
        </w:rPr>
        <w:t>比选</w:t>
      </w:r>
      <w:r>
        <w:rPr>
          <w:rFonts w:hint="eastAsia" w:ascii="仿宋" w:hAnsi="仿宋" w:eastAsia="仿宋" w:cs="仿宋"/>
          <w:b/>
          <w:bCs/>
          <w:color w:val="auto"/>
          <w:sz w:val="24"/>
          <w:szCs w:val="24"/>
          <w:highlight w:val="none"/>
        </w:rPr>
        <w:t>项目技术需求</w:t>
      </w:r>
      <w:bookmarkEnd w:id="36"/>
      <w:bookmarkEnd w:id="37"/>
    </w:p>
    <w:p w14:paraId="1E305275">
      <w:pPr>
        <w:pageBreakBefore w:val="0"/>
        <w:kinsoku/>
        <w:wordWrap/>
        <w:overflowPunct/>
        <w:topLinePunct w:val="0"/>
        <w:autoSpaceDE/>
        <w:autoSpaceDN/>
        <w:bidi w:val="0"/>
        <w:spacing w:line="400" w:lineRule="exact"/>
        <w:ind w:left="357" w:leftChars="170" w:firstLine="0" w:firstLineChars="0"/>
        <w:textAlignment w:val="auto"/>
        <w:outlineLvl w:val="2"/>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r>
        <w:rPr>
          <w:rFonts w:hint="eastAsia" w:ascii="仿宋" w:hAnsi="仿宋" w:eastAsia="仿宋" w:cs="仿宋"/>
          <w:b/>
          <w:kern w:val="0"/>
          <w:sz w:val="24"/>
          <w:szCs w:val="24"/>
          <w:highlight w:val="none"/>
        </w:rPr>
        <w:t>※</w:t>
      </w:r>
      <w:r>
        <w:rPr>
          <w:rFonts w:hint="eastAsia" w:ascii="仿宋" w:hAnsi="仿宋" w:eastAsia="仿宋" w:cs="仿宋"/>
          <w:b/>
          <w:sz w:val="24"/>
          <w:szCs w:val="24"/>
          <w:highlight w:val="none"/>
        </w:rPr>
        <w:t>”标注的技术需求为符合性审查中的实质性要求，若不满足按无效投标处理。</w:t>
      </w:r>
    </w:p>
    <w:p w14:paraId="2094548D">
      <w:pPr>
        <w:pageBreakBefore w:val="0"/>
        <w:kinsoku/>
        <w:wordWrap/>
        <w:overflowPunct/>
        <w:topLinePunct w:val="0"/>
        <w:autoSpaceDE/>
        <w:autoSpaceDN/>
        <w:bidi w:val="0"/>
        <w:spacing w:line="400" w:lineRule="exact"/>
        <w:ind w:left="357" w:leftChars="170" w:firstLine="0" w:firstLineChars="0"/>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“▲”标注的技术需求为重要技术需求，若不满足将按照评标因素中相关规定处理。</w:t>
      </w:r>
    </w:p>
    <w:p w14:paraId="47B40F3B">
      <w:pPr>
        <w:pageBreakBefore w:val="0"/>
        <w:kinsoku/>
        <w:wordWrap/>
        <w:overflowPunct/>
        <w:topLinePunct w:val="0"/>
        <w:autoSpaceDE/>
        <w:autoSpaceDN/>
        <w:bidi w:val="0"/>
        <w:spacing w:line="400" w:lineRule="exact"/>
        <w:ind w:left="357" w:leftChars="170" w:firstLine="0" w:firstLineChars="0"/>
        <w:textAlignment w:val="auto"/>
        <w:outlineLvl w:val="2"/>
        <w:rPr>
          <w:rFonts w:hint="eastAsia" w:ascii="仿宋" w:hAnsi="仿宋" w:eastAsia="仿宋" w:cs="仿宋"/>
          <w:b/>
          <w:sz w:val="24"/>
          <w:szCs w:val="24"/>
          <w:highlight w:val="none"/>
        </w:rPr>
      </w:pPr>
      <w:r>
        <w:rPr>
          <w:rFonts w:hint="eastAsia" w:ascii="仿宋" w:hAnsi="仿宋" w:eastAsia="仿宋" w:cs="仿宋"/>
          <w:b/>
          <w:bCs/>
          <w:color w:val="auto"/>
          <w:sz w:val="24"/>
          <w:szCs w:val="24"/>
          <w:highlight w:val="none"/>
          <w:lang w:val="en-US" w:eastAsia="zh-CN"/>
        </w:rPr>
        <w:t>“○”标注的技术需求为一般性技术需求，若不满足将按照评标因素中相关规定处理</w:t>
      </w:r>
      <w:r>
        <w:rPr>
          <w:rFonts w:hint="eastAsia" w:ascii="仿宋" w:hAnsi="仿宋" w:eastAsia="仿宋" w:cs="仿宋"/>
          <w:b/>
          <w:bCs/>
          <w:color w:val="auto"/>
          <w:sz w:val="24"/>
          <w:szCs w:val="24"/>
          <w:highlight w:val="none"/>
        </w:rPr>
        <w:t>。</w:t>
      </w:r>
    </w:p>
    <w:p w14:paraId="33C3EC80">
      <w:pPr>
        <w:pStyle w:val="26"/>
        <w:pageBreakBefore w:val="0"/>
        <w:kinsoku/>
        <w:wordWrap/>
        <w:overflowPunct/>
        <w:topLinePunct w:val="0"/>
        <w:autoSpaceDE/>
        <w:autoSpaceDN/>
        <w:bidi w:val="0"/>
        <w:spacing w:line="400" w:lineRule="exact"/>
        <w:ind w:left="0" w:leftChars="0" w:firstLine="0" w:firstLineChars="0"/>
        <w:rPr>
          <w:rFonts w:hint="eastAsia" w:ascii="仿宋" w:hAnsi="仿宋" w:eastAsia="仿宋" w:cs="仿宋"/>
          <w:b/>
          <w:bCs/>
          <w:color w:val="auto"/>
          <w:sz w:val="24"/>
          <w:szCs w:val="24"/>
          <w:highlight w:val="none"/>
          <w:lang w:val="en-US" w:eastAsia="zh-CN"/>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val="en-US" w:eastAsia="zh-CN"/>
        </w:rPr>
        <w:t>产品主要技术参数与指标</w:t>
      </w:r>
      <w:bookmarkStart w:id="38" w:name="_Toc29681"/>
      <w:bookmarkStart w:id="39" w:name="_Toc18345"/>
    </w:p>
    <w:tbl>
      <w:tblPr>
        <w:tblStyle w:val="28"/>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69"/>
        <w:gridCol w:w="3406"/>
        <w:gridCol w:w="4634"/>
      </w:tblGrid>
      <w:tr w14:paraId="3744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dxa"/>
            <w:vAlign w:val="center"/>
          </w:tcPr>
          <w:p w14:paraId="427B401F">
            <w:pPr>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869" w:type="dxa"/>
            <w:vAlign w:val="center"/>
          </w:tcPr>
          <w:p w14:paraId="0BBEF671">
            <w:pPr>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货物名称</w:t>
            </w:r>
          </w:p>
        </w:tc>
        <w:tc>
          <w:tcPr>
            <w:tcW w:w="3406" w:type="dxa"/>
            <w:vAlign w:val="center"/>
          </w:tcPr>
          <w:p w14:paraId="5893BCE3">
            <w:pPr>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参考图片</w:t>
            </w:r>
          </w:p>
        </w:tc>
        <w:tc>
          <w:tcPr>
            <w:tcW w:w="4634" w:type="dxa"/>
            <w:vAlign w:val="center"/>
          </w:tcPr>
          <w:p w14:paraId="7DECA50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主要指标</w:t>
            </w:r>
          </w:p>
        </w:tc>
      </w:tr>
      <w:tr w14:paraId="6395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3" w:type="dxa"/>
            <w:shd w:val="clear" w:color="auto" w:fill="auto"/>
            <w:vAlign w:val="center"/>
          </w:tcPr>
          <w:p w14:paraId="4C715254">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1</w:t>
            </w:r>
          </w:p>
        </w:tc>
        <w:tc>
          <w:tcPr>
            <w:tcW w:w="869" w:type="dxa"/>
            <w:shd w:val="clear" w:color="auto" w:fill="auto"/>
            <w:vAlign w:val="center"/>
          </w:tcPr>
          <w:p w14:paraId="1EF1B759">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布帘</w:t>
            </w:r>
          </w:p>
        </w:tc>
        <w:tc>
          <w:tcPr>
            <w:tcW w:w="3406" w:type="dxa"/>
            <w:shd w:val="clear" w:color="auto" w:fill="auto"/>
            <w:vAlign w:val="center"/>
          </w:tcPr>
          <w:p w14:paraId="7C86E845">
            <w:pPr>
              <w:jc w:val="center"/>
              <w:rPr>
                <w:rFonts w:hint="eastAsia" w:ascii="仿宋" w:hAnsi="仿宋" w:eastAsia="仿宋" w:cs="仿宋"/>
                <w:color w:val="auto"/>
                <w:kern w:val="2"/>
                <w:sz w:val="36"/>
                <w:szCs w:val="36"/>
                <w:highlight w:val="none"/>
                <w:lang w:val="en-US" w:eastAsia="zh-CN" w:bidi="ar-SA"/>
              </w:rPr>
            </w:pPr>
            <w:r>
              <w:rPr>
                <w:rFonts w:hint="eastAsia" w:ascii="仿宋" w:hAnsi="仿宋" w:eastAsia="仿宋" w:cs="仿宋"/>
                <w:color w:val="auto"/>
                <w:highlight w:val="none"/>
              </w:rPr>
              <w:drawing>
                <wp:inline distT="0" distB="0" distL="114300" distR="114300">
                  <wp:extent cx="2167890" cy="1350010"/>
                  <wp:effectExtent l="0" t="0" r="11430" b="6350"/>
                  <wp:docPr id="6" name="图片 6" descr="医生办公室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医生办公室1"/>
                          <pic:cNvPicPr>
                            <a:picLocks noChangeAspect="1"/>
                          </pic:cNvPicPr>
                        </pic:nvPicPr>
                        <pic:blipFill>
                          <a:blip r:embed="rId11"/>
                          <a:stretch>
                            <a:fillRect/>
                          </a:stretch>
                        </pic:blipFill>
                        <pic:spPr>
                          <a:xfrm>
                            <a:off x="0" y="0"/>
                            <a:ext cx="2167890" cy="1350010"/>
                          </a:xfrm>
                          <a:prstGeom prst="rect">
                            <a:avLst/>
                          </a:prstGeom>
                        </pic:spPr>
                      </pic:pic>
                    </a:graphicData>
                  </a:graphic>
                </wp:inline>
              </w:drawing>
            </w:r>
          </w:p>
        </w:tc>
        <w:tc>
          <w:tcPr>
            <w:tcW w:w="4634" w:type="dxa"/>
            <w:vAlign w:val="center"/>
          </w:tcPr>
          <w:p w14:paraId="15F3C97A">
            <w:pPr>
              <w:pStyle w:val="60"/>
              <w:keepNext w:val="0"/>
              <w:keepLines w:val="0"/>
              <w:pageBreakBefore w:val="0"/>
              <w:widowControl w:val="0"/>
              <w:kinsoku/>
              <w:wordWrap/>
              <w:overflowPunct/>
              <w:topLinePunct w:val="0"/>
              <w:autoSpaceDE/>
              <w:autoSpaceDN/>
              <w:bidi w:val="0"/>
              <w:spacing w:line="400" w:lineRule="exact"/>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color w:val="auto"/>
                <w:kern w:val="2"/>
                <w:sz w:val="24"/>
                <w:szCs w:val="24"/>
                <w:highlight w:val="none"/>
                <w:lang w:eastAsia="zh-CN"/>
                <w14:ligatures w14:val="standardContextual"/>
              </w:rPr>
              <w:t>1、布帘面料（双面花纹一致的提花面料）：</w:t>
            </w:r>
          </w:p>
          <w:p w14:paraId="4F46241C">
            <w:pPr>
              <w:pStyle w:val="60"/>
              <w:keepNext w:val="0"/>
              <w:keepLines w:val="0"/>
              <w:pageBreakBefore w:val="0"/>
              <w:widowControl w:val="0"/>
              <w:kinsoku/>
              <w:wordWrap/>
              <w:overflowPunct/>
              <w:topLinePunct w:val="0"/>
              <w:autoSpaceDE/>
              <w:autoSpaceDN/>
              <w:bidi w:val="0"/>
              <w:spacing w:line="400" w:lineRule="exact"/>
              <w:ind w:firstLine="218"/>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（1）聚酯纤维100%，质量：350g/㎡±5%，机织密度（根/10cm）±5%：经向1370，纬向385，纱线线密度（tex）±5%：经向7，纬向20；</w:t>
            </w:r>
          </w:p>
          <w:p w14:paraId="4632016A">
            <w:pPr>
              <w:pStyle w:val="60"/>
              <w:keepNext w:val="0"/>
              <w:keepLines w:val="0"/>
              <w:pageBreakBefore w:val="0"/>
              <w:widowControl w:val="0"/>
              <w:kinsoku/>
              <w:wordWrap/>
              <w:overflowPunct/>
              <w:topLinePunct w:val="0"/>
              <w:autoSpaceDE/>
              <w:autoSpaceDN/>
              <w:bidi w:val="0"/>
              <w:spacing w:line="400" w:lineRule="exact"/>
              <w:ind w:firstLine="218"/>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（2）耐水色牢度、耐干湿摩擦色牢度、耐氯化水色牢度、耐皂洗色牢度≥4。遮光率≥99%。</w:t>
            </w:r>
          </w:p>
          <w:p w14:paraId="42EE37B1">
            <w:pPr>
              <w:pStyle w:val="60"/>
              <w:keepNext w:val="0"/>
              <w:keepLines w:val="0"/>
              <w:pageBreakBefore w:val="0"/>
              <w:widowControl w:val="0"/>
              <w:kinsoku/>
              <w:wordWrap/>
              <w:overflowPunct/>
              <w:topLinePunct w:val="0"/>
              <w:autoSpaceDE/>
              <w:autoSpaceDN/>
              <w:bidi w:val="0"/>
              <w:spacing w:line="400" w:lineRule="exact"/>
              <w:ind w:firstLine="218"/>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（3）重金属、六价铬符合国家现行标准、挥发性有机物（mg/m²）＜0.1。</w:t>
            </w:r>
          </w:p>
          <w:p w14:paraId="49335D33">
            <w:pPr>
              <w:pStyle w:val="60"/>
              <w:keepNext w:val="0"/>
              <w:keepLines w:val="0"/>
              <w:pageBreakBefore w:val="0"/>
              <w:widowControl w:val="0"/>
              <w:kinsoku/>
              <w:wordWrap/>
              <w:overflowPunct/>
              <w:topLinePunct w:val="0"/>
              <w:autoSpaceDE/>
              <w:autoSpaceDN/>
              <w:bidi w:val="0"/>
              <w:spacing w:line="400" w:lineRule="exact"/>
              <w:ind w:firstLine="218"/>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（4）抑菌率（洗涤≥30次后）：金黄色葡萄球菌≥80%、大肠杆菌≥80%、白色念珠菌≥80%、肺炎克雷白氏菌≥80%、铜绿假单胞菌≥80%。</w:t>
            </w:r>
          </w:p>
          <w:p w14:paraId="50E7AB1F">
            <w:pPr>
              <w:pStyle w:val="60"/>
              <w:keepNext w:val="0"/>
              <w:keepLines w:val="0"/>
              <w:pageBreakBefore w:val="0"/>
              <w:widowControl w:val="0"/>
              <w:kinsoku/>
              <w:wordWrap/>
              <w:overflowPunct/>
              <w:topLinePunct w:val="0"/>
              <w:autoSpaceDE/>
              <w:autoSpaceDN/>
              <w:bidi w:val="0"/>
              <w:spacing w:line="400" w:lineRule="exact"/>
              <w:ind w:firstLine="218"/>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rPr>
              <w:t>▲</w:t>
            </w:r>
            <w:r>
              <w:rPr>
                <w:rFonts w:hint="eastAsia" w:ascii="仿宋" w:hAnsi="仿宋" w:eastAsia="仿宋" w:cs="仿宋"/>
                <w:color w:val="auto"/>
                <w:kern w:val="2"/>
                <w:sz w:val="24"/>
                <w:szCs w:val="24"/>
                <w:highlight w:val="none"/>
                <w:lang w:eastAsia="zh-CN"/>
                <w14:ligatures w14:val="standardContextual"/>
              </w:rPr>
              <w:t>（5）阻燃性能（水洗前后符合GB20286-2006 耐洗1级阻燃织物）：氧指数（%）：≥32.0；燃烧性能，损毁长度≤150mm，持续时间≤5s，阴燃时间≤5s，燃烧滴落物未引起脱脂棉燃烧或阴燃；烟密度等级（SDR)：≤15；产烟毒性等级（SDR)：不低于ZA2级。</w:t>
            </w:r>
          </w:p>
          <w:p w14:paraId="74F240B3">
            <w:pPr>
              <w:pStyle w:val="60"/>
              <w:keepNext w:val="0"/>
              <w:keepLines w:val="0"/>
              <w:pageBreakBefore w:val="0"/>
              <w:widowControl w:val="0"/>
              <w:kinsoku/>
              <w:wordWrap/>
              <w:overflowPunct/>
              <w:topLinePunct w:val="0"/>
              <w:autoSpaceDE/>
              <w:autoSpaceDN/>
              <w:bidi w:val="0"/>
              <w:spacing w:line="400" w:lineRule="exact"/>
              <w:ind w:firstLine="218"/>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rPr>
              <w:t>▲</w:t>
            </w:r>
            <w:r>
              <w:rPr>
                <w:rFonts w:hint="eastAsia" w:ascii="仿宋" w:hAnsi="仿宋" w:eastAsia="仿宋" w:cs="仿宋"/>
                <w:color w:val="auto"/>
                <w:kern w:val="2"/>
                <w:sz w:val="24"/>
                <w:szCs w:val="24"/>
                <w:highlight w:val="none"/>
                <w:lang w:eastAsia="zh-CN"/>
                <w14:ligatures w14:val="standardContextual"/>
              </w:rPr>
              <w:t>（6）符合GB18401-2010 C类标准或更高标准：甲醛含量（mg/kg)：≤20，可分解致癌芳香胺染料mg/kg:≤20。PH值：4.0-9.0， 异味：无， 耐干摩擦色牢度：≥3，耐水色牢度：≥3。</w:t>
            </w:r>
          </w:p>
        </w:tc>
      </w:tr>
      <w:tr w14:paraId="2370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dxa"/>
            <w:shd w:val="clear" w:color="auto" w:fill="auto"/>
            <w:vAlign w:val="center"/>
          </w:tcPr>
          <w:p w14:paraId="36C4DB05">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2</w:t>
            </w:r>
          </w:p>
        </w:tc>
        <w:tc>
          <w:tcPr>
            <w:tcW w:w="869" w:type="dxa"/>
            <w:shd w:val="clear" w:color="auto" w:fill="auto"/>
            <w:vAlign w:val="center"/>
          </w:tcPr>
          <w:p w14:paraId="352716AE">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隔帘</w:t>
            </w:r>
          </w:p>
        </w:tc>
        <w:tc>
          <w:tcPr>
            <w:tcW w:w="3406" w:type="dxa"/>
            <w:shd w:val="clear" w:color="auto" w:fill="auto"/>
            <w:vAlign w:val="center"/>
          </w:tcPr>
          <w:p w14:paraId="4ACFBEC1">
            <w:pPr>
              <w:jc w:val="center"/>
              <w:rPr>
                <w:rFonts w:hint="eastAsia" w:ascii="仿宋" w:hAnsi="仿宋" w:eastAsia="仿宋" w:cs="仿宋"/>
                <w:color w:val="auto"/>
                <w:kern w:val="2"/>
                <w:sz w:val="36"/>
                <w:szCs w:val="36"/>
                <w:highlight w:val="none"/>
                <w:lang w:val="en-US" w:eastAsia="zh-CN" w:bidi="ar-SA"/>
              </w:rPr>
            </w:pPr>
            <w:r>
              <w:rPr>
                <w:rFonts w:hint="eastAsia" w:ascii="仿宋" w:hAnsi="仿宋" w:eastAsia="仿宋" w:cs="仿宋"/>
                <w:color w:val="auto"/>
                <w:highlight w:val="none"/>
              </w:rPr>
              <w:drawing>
                <wp:inline distT="0" distB="0" distL="114300" distR="114300">
                  <wp:extent cx="2148205" cy="1349375"/>
                  <wp:effectExtent l="0" t="0" r="635" b="6985"/>
                  <wp:docPr id="8" name="图片 7" descr="三人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三人间"/>
                          <pic:cNvPicPr>
                            <a:picLocks noChangeAspect="1"/>
                          </pic:cNvPicPr>
                        </pic:nvPicPr>
                        <pic:blipFill>
                          <a:blip r:embed="rId12"/>
                          <a:stretch>
                            <a:fillRect/>
                          </a:stretch>
                        </pic:blipFill>
                        <pic:spPr>
                          <a:xfrm>
                            <a:off x="0" y="0"/>
                            <a:ext cx="2148205" cy="1349375"/>
                          </a:xfrm>
                          <a:prstGeom prst="rect">
                            <a:avLst/>
                          </a:prstGeom>
                        </pic:spPr>
                      </pic:pic>
                    </a:graphicData>
                  </a:graphic>
                </wp:inline>
              </w:drawing>
            </w:r>
          </w:p>
        </w:tc>
        <w:tc>
          <w:tcPr>
            <w:tcW w:w="4634" w:type="dxa"/>
            <w:vAlign w:val="center"/>
          </w:tcPr>
          <w:p w14:paraId="3F4EE775">
            <w:pPr>
              <w:pStyle w:val="60"/>
              <w:keepNext w:val="0"/>
              <w:keepLines w:val="0"/>
              <w:pageBreakBefore w:val="0"/>
              <w:widowControl w:val="0"/>
              <w:kinsoku/>
              <w:wordWrap/>
              <w:overflowPunct/>
              <w:topLinePunct w:val="0"/>
              <w:autoSpaceDE/>
              <w:autoSpaceDN/>
              <w:bidi w:val="0"/>
              <w:spacing w:line="400" w:lineRule="exact"/>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color w:val="auto"/>
                <w:kern w:val="2"/>
                <w:sz w:val="24"/>
                <w:szCs w:val="24"/>
                <w:highlight w:val="none"/>
                <w:lang w:eastAsia="zh-CN"/>
                <w14:ligatures w14:val="standardContextual"/>
              </w:rPr>
              <w:t>1、隔帘面料（高精密面料透光不透人+网孔部分≥65cm）：</w:t>
            </w:r>
          </w:p>
          <w:p w14:paraId="0D8BD4E9">
            <w:pPr>
              <w:pStyle w:val="60"/>
              <w:keepNext w:val="0"/>
              <w:keepLines w:val="0"/>
              <w:pageBreakBefore w:val="0"/>
              <w:widowControl w:val="0"/>
              <w:kinsoku/>
              <w:wordWrap/>
              <w:overflowPunct/>
              <w:topLinePunct w:val="0"/>
              <w:autoSpaceDE/>
              <w:autoSpaceDN/>
              <w:bidi w:val="0"/>
              <w:spacing w:line="400" w:lineRule="exact"/>
              <w:ind w:firstLine="218"/>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 xml:space="preserve">（1）聚酯纤维100%，质量：250g/㎡±5%，机织密度（根/10cm）±5%：经向650，纬向200； </w:t>
            </w:r>
          </w:p>
          <w:p w14:paraId="548AD3A4">
            <w:pPr>
              <w:pStyle w:val="60"/>
              <w:keepNext w:val="0"/>
              <w:keepLines w:val="0"/>
              <w:pageBreakBefore w:val="0"/>
              <w:widowControl w:val="0"/>
              <w:kinsoku/>
              <w:wordWrap/>
              <w:overflowPunct/>
              <w:topLinePunct w:val="0"/>
              <w:autoSpaceDE/>
              <w:autoSpaceDN/>
              <w:bidi w:val="0"/>
              <w:spacing w:line="400" w:lineRule="exact"/>
              <w:ind w:firstLine="218"/>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（2）耐水色牢度、耐干湿摩擦色牢度、耐氯化水色牢度、耐皂洗色牢度≥4。遮光率＜75%。</w:t>
            </w:r>
          </w:p>
          <w:p w14:paraId="054E6D17">
            <w:pPr>
              <w:pStyle w:val="60"/>
              <w:keepNext w:val="0"/>
              <w:keepLines w:val="0"/>
              <w:pageBreakBefore w:val="0"/>
              <w:widowControl w:val="0"/>
              <w:kinsoku/>
              <w:wordWrap/>
              <w:overflowPunct/>
              <w:topLinePunct w:val="0"/>
              <w:autoSpaceDE/>
              <w:autoSpaceDN/>
              <w:bidi w:val="0"/>
              <w:spacing w:line="400" w:lineRule="exact"/>
              <w:ind w:firstLine="218"/>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（3）重金属、六价铬符合国家现行标准、挥发性有机物（mg/m²）＜0.1。</w:t>
            </w:r>
          </w:p>
          <w:p w14:paraId="2452E72A">
            <w:pPr>
              <w:pStyle w:val="60"/>
              <w:keepNext w:val="0"/>
              <w:keepLines w:val="0"/>
              <w:pageBreakBefore w:val="0"/>
              <w:widowControl w:val="0"/>
              <w:kinsoku/>
              <w:wordWrap/>
              <w:overflowPunct/>
              <w:topLinePunct w:val="0"/>
              <w:autoSpaceDE/>
              <w:autoSpaceDN/>
              <w:bidi w:val="0"/>
              <w:spacing w:line="400" w:lineRule="exact"/>
              <w:ind w:firstLine="218"/>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（4）抑菌率（洗涤≥30次后）：金黄色葡萄球菌≥80%、大肠杆菌≥80%、白色念珠菌≥80%、肺炎克雷白氏菌≥80%、铜绿假单胞菌≥80%。</w:t>
            </w:r>
          </w:p>
          <w:p w14:paraId="0B262CE2">
            <w:pPr>
              <w:pStyle w:val="60"/>
              <w:keepNext w:val="0"/>
              <w:keepLines w:val="0"/>
              <w:pageBreakBefore w:val="0"/>
              <w:widowControl w:val="0"/>
              <w:kinsoku/>
              <w:wordWrap/>
              <w:overflowPunct/>
              <w:topLinePunct w:val="0"/>
              <w:autoSpaceDE/>
              <w:autoSpaceDN/>
              <w:bidi w:val="0"/>
              <w:spacing w:line="400" w:lineRule="exact"/>
              <w:ind w:firstLine="218"/>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rPr>
              <w:t>▲</w:t>
            </w:r>
            <w:r>
              <w:rPr>
                <w:rFonts w:hint="eastAsia" w:ascii="仿宋" w:hAnsi="仿宋" w:eastAsia="仿宋" w:cs="仿宋"/>
                <w:color w:val="auto"/>
                <w:kern w:val="2"/>
                <w:sz w:val="24"/>
                <w:szCs w:val="24"/>
                <w:highlight w:val="none"/>
                <w:lang w:eastAsia="zh-CN"/>
                <w14:ligatures w14:val="standardContextual"/>
              </w:rPr>
              <w:t>（5）阻燃性能（水洗前后符合GB20286-2006 耐洗1级阻燃织物）：氧指数（%）：≥32.0；燃烧性能，损毁长度≤150mm，持续时间≤5s，阴燃时间≤5s，燃烧滴落物未引起脱脂棉燃烧或阴燃；烟密度等级（SDR)：≤15；产烟毒性等级（SDR)：不低于ZA2级。</w:t>
            </w:r>
          </w:p>
          <w:p w14:paraId="06AB640A">
            <w:pPr>
              <w:pStyle w:val="60"/>
              <w:keepNext w:val="0"/>
              <w:keepLines w:val="0"/>
              <w:pageBreakBefore w:val="0"/>
              <w:widowControl w:val="0"/>
              <w:kinsoku/>
              <w:wordWrap/>
              <w:overflowPunct/>
              <w:topLinePunct w:val="0"/>
              <w:autoSpaceDE/>
              <w:autoSpaceDN/>
              <w:bidi w:val="0"/>
              <w:spacing w:line="400" w:lineRule="exact"/>
              <w:ind w:firstLine="218"/>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color w:val="auto"/>
                <w:kern w:val="2"/>
                <w:sz w:val="24"/>
                <w:szCs w:val="24"/>
                <w:highlight w:val="none"/>
                <w:lang w:eastAsia="zh-CN"/>
                <w14:ligatures w14:val="standardContextual"/>
              </w:rPr>
              <w:t>（6）符合GB18401-2010 C类或更高标准：甲醛含量（mg/kg)：≤20，可分解致癌芳香胺染料mg/kg:≤20。PH值：4.0-9.0， 异味：无， 耐干摩擦色牢度：≥3，耐水色牢度：≥3。</w:t>
            </w:r>
          </w:p>
        </w:tc>
      </w:tr>
      <w:tr w14:paraId="234A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2" w:hRule="atLeast"/>
          <w:jc w:val="center"/>
        </w:trPr>
        <w:tc>
          <w:tcPr>
            <w:tcW w:w="463" w:type="dxa"/>
            <w:shd w:val="clear" w:color="auto" w:fill="auto"/>
            <w:vAlign w:val="center"/>
          </w:tcPr>
          <w:p w14:paraId="114B2B4E">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3</w:t>
            </w:r>
          </w:p>
        </w:tc>
        <w:tc>
          <w:tcPr>
            <w:tcW w:w="869" w:type="dxa"/>
            <w:shd w:val="clear" w:color="auto" w:fill="auto"/>
            <w:vAlign w:val="center"/>
          </w:tcPr>
          <w:p w14:paraId="28459649">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贴膜</w:t>
            </w:r>
          </w:p>
        </w:tc>
        <w:tc>
          <w:tcPr>
            <w:tcW w:w="3406" w:type="dxa"/>
            <w:shd w:val="clear" w:color="auto" w:fill="auto"/>
            <w:vAlign w:val="center"/>
          </w:tcPr>
          <w:p w14:paraId="6B6F4E0A">
            <w:pPr>
              <w:jc w:val="center"/>
              <w:rPr>
                <w:rFonts w:hint="eastAsia" w:ascii="仿宋" w:hAnsi="仿宋" w:eastAsia="仿宋" w:cs="仿宋"/>
                <w:color w:val="auto"/>
                <w:kern w:val="2"/>
                <w:sz w:val="36"/>
                <w:szCs w:val="36"/>
                <w:highlight w:val="none"/>
                <w:lang w:val="en-US" w:eastAsia="zh-CN" w:bidi="ar-SA"/>
              </w:rPr>
            </w:pPr>
            <w:r>
              <w:rPr>
                <w:rFonts w:hint="eastAsia" w:ascii="仿宋" w:hAnsi="仿宋" w:eastAsia="仿宋" w:cs="仿宋"/>
                <w:color w:val="auto"/>
                <w:sz w:val="24"/>
                <w:highlight w:val="none"/>
              </w:rPr>
              <w:drawing>
                <wp:inline distT="0" distB="0" distL="114300" distR="114300">
                  <wp:extent cx="2057400" cy="2057400"/>
                  <wp:effectExtent l="0" t="0" r="0" b="0"/>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13"/>
                          <a:stretch>
                            <a:fillRect/>
                          </a:stretch>
                        </pic:blipFill>
                        <pic:spPr>
                          <a:xfrm>
                            <a:off x="0" y="0"/>
                            <a:ext cx="2057400" cy="2057400"/>
                          </a:xfrm>
                          <a:prstGeom prst="rect">
                            <a:avLst/>
                          </a:prstGeom>
                          <a:noFill/>
                          <a:ln w="9525">
                            <a:noFill/>
                          </a:ln>
                        </pic:spPr>
                      </pic:pic>
                    </a:graphicData>
                  </a:graphic>
                </wp:inline>
              </w:drawing>
            </w:r>
          </w:p>
        </w:tc>
        <w:tc>
          <w:tcPr>
            <w:tcW w:w="4634" w:type="dxa"/>
            <w:vAlign w:val="center"/>
          </w:tcPr>
          <w:p w14:paraId="3C9D24BC">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val="en-US" w:eastAsia="zh-CN"/>
              </w:rPr>
              <w:t>○</w:t>
            </w:r>
            <w:r>
              <w:rPr>
                <w:rFonts w:hint="eastAsia" w:ascii="仿宋" w:hAnsi="仿宋" w:eastAsia="仿宋" w:cs="仿宋"/>
                <w:color w:val="auto"/>
                <w:kern w:val="2"/>
                <w:sz w:val="24"/>
                <w:szCs w:val="24"/>
                <w:highlight w:val="none"/>
                <w:lang w:eastAsia="zh-CN"/>
                <w14:ligatures w14:val="standardContextual"/>
              </w:rPr>
              <w:t>1、外观质量：符合建筑玻璃用功能膜的外观质量；</w:t>
            </w:r>
          </w:p>
          <w:p w14:paraId="32D4E8B2">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2、力学性能：断裂延伸率≥50；断裂最大拉力≥100；</w:t>
            </w:r>
          </w:p>
          <w:p w14:paraId="2144ABA1">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3、耐酸性能：试验前后的可见光透射比差值应≤4%，未出现脱模现象；</w:t>
            </w:r>
          </w:p>
          <w:p w14:paraId="72BD3CFB">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4、耐磨性能：试验前后的可见光透射比差值应≤4%。</w:t>
            </w:r>
          </w:p>
        </w:tc>
      </w:tr>
      <w:tr w14:paraId="4D09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dxa"/>
            <w:shd w:val="clear" w:color="auto" w:fill="auto"/>
            <w:vAlign w:val="center"/>
          </w:tcPr>
          <w:p w14:paraId="5DB357BA">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4</w:t>
            </w:r>
          </w:p>
        </w:tc>
        <w:tc>
          <w:tcPr>
            <w:tcW w:w="869" w:type="dxa"/>
            <w:shd w:val="clear" w:color="auto" w:fill="auto"/>
            <w:vAlign w:val="center"/>
          </w:tcPr>
          <w:p w14:paraId="6CCB6F7F">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窗帘、隔帘轨道</w:t>
            </w:r>
          </w:p>
        </w:tc>
        <w:tc>
          <w:tcPr>
            <w:tcW w:w="3406" w:type="dxa"/>
            <w:shd w:val="clear" w:color="auto" w:fill="auto"/>
            <w:vAlign w:val="center"/>
          </w:tcPr>
          <w:p w14:paraId="528EA9DE">
            <w:pPr>
              <w:jc w:val="center"/>
              <w:rPr>
                <w:rFonts w:hint="eastAsia" w:ascii="仿宋" w:hAnsi="仿宋" w:eastAsia="仿宋" w:cs="仿宋"/>
                <w:color w:val="auto"/>
                <w:kern w:val="2"/>
                <w:sz w:val="36"/>
                <w:szCs w:val="36"/>
                <w:highlight w:val="none"/>
                <w:lang w:val="en-US" w:eastAsia="zh-CN" w:bidi="ar-SA"/>
              </w:rPr>
            </w:pPr>
            <w:r>
              <w:rPr>
                <w:rFonts w:hint="eastAsia" w:ascii="仿宋" w:hAnsi="仿宋" w:eastAsia="仿宋" w:cs="仿宋"/>
                <w:color w:val="auto"/>
                <w:sz w:val="24"/>
                <w:highlight w:val="none"/>
              </w:rPr>
              <w:drawing>
                <wp:inline distT="0" distB="0" distL="114300" distR="114300">
                  <wp:extent cx="1992630" cy="2415540"/>
                  <wp:effectExtent l="0" t="0" r="3810" b="7620"/>
                  <wp:docPr id="10"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6"/>
                          <pic:cNvPicPr>
                            <a:picLocks noChangeAspect="1"/>
                          </pic:cNvPicPr>
                        </pic:nvPicPr>
                        <pic:blipFill>
                          <a:blip r:embed="rId14"/>
                          <a:stretch>
                            <a:fillRect/>
                          </a:stretch>
                        </pic:blipFill>
                        <pic:spPr>
                          <a:xfrm>
                            <a:off x="0" y="0"/>
                            <a:ext cx="1992630" cy="2415540"/>
                          </a:xfrm>
                          <a:prstGeom prst="rect">
                            <a:avLst/>
                          </a:prstGeom>
                          <a:noFill/>
                          <a:ln w="9525">
                            <a:noFill/>
                          </a:ln>
                        </pic:spPr>
                      </pic:pic>
                    </a:graphicData>
                  </a:graphic>
                </wp:inline>
              </w:drawing>
            </w:r>
          </w:p>
        </w:tc>
        <w:tc>
          <w:tcPr>
            <w:tcW w:w="4634" w:type="dxa"/>
            <w:vAlign w:val="center"/>
          </w:tcPr>
          <w:p w14:paraId="07A8BE57">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color w:val="auto"/>
                <w:kern w:val="2"/>
                <w:sz w:val="24"/>
                <w:szCs w:val="24"/>
                <w:highlight w:val="none"/>
                <w:lang w:eastAsia="zh-CN"/>
                <w14:ligatures w14:val="standardContextual"/>
              </w:rPr>
              <w:t>1、轨道：</w:t>
            </w:r>
          </w:p>
          <w:p w14:paraId="7F325E93">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（1）轨道材质：6063-T5铝合金、化学成分符合Si:0.20∽0.6；Fe:≤0.35；Cu:≤0.10；Mn:≤0.10；Mg:0.45∽0.9；Cr:≤0.10；Zn:≤0.10；Ti:≤0.10；</w:t>
            </w:r>
          </w:p>
          <w:p w14:paraId="6D49949B">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rPr>
              <w:t>▲</w:t>
            </w:r>
            <w:r>
              <w:rPr>
                <w:rFonts w:hint="eastAsia" w:ascii="仿宋" w:hAnsi="仿宋" w:eastAsia="仿宋" w:cs="仿宋"/>
                <w:color w:val="auto"/>
                <w:kern w:val="2"/>
                <w:sz w:val="24"/>
                <w:szCs w:val="24"/>
                <w:highlight w:val="none"/>
                <w:lang w:eastAsia="zh-CN"/>
                <w14:ligatures w14:val="standardContextual"/>
              </w:rPr>
              <w:t>（2）轨道尺寸：壁厚：≥1.50mm；高度＞30mm，宽度＞35mm；</w:t>
            </w:r>
          </w:p>
          <w:p w14:paraId="1122B028">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（3）轨道力学性能：抗拉强度Rm(MPa)≥160；规定非比例延伸强度Rp0.2(MPa)≥110；断后延伸长率A50mm(%)≥8；</w:t>
            </w:r>
          </w:p>
          <w:p w14:paraId="58ACB452">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（4）轨道韦氏硬度HW≥8，复合膜局部厚度（μm）≥21；</w:t>
            </w:r>
          </w:p>
          <w:p w14:paraId="3966DAD6">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rPr>
              <w:t>▲</w:t>
            </w:r>
            <w:r>
              <w:rPr>
                <w:rFonts w:hint="eastAsia" w:ascii="仿宋" w:hAnsi="仿宋" w:eastAsia="仿宋" w:cs="仿宋"/>
                <w:color w:val="auto"/>
                <w:kern w:val="2"/>
                <w:sz w:val="24"/>
                <w:szCs w:val="24"/>
                <w:highlight w:val="none"/>
                <w:lang w:eastAsia="zh-CN"/>
                <w14:ligatures w14:val="standardContextual"/>
              </w:rPr>
              <w:t>（5）轨道耐碱性：经耐碱性试验后，保护等级应不小于9.5级；轨道耐盐酸性：经耐盐酸性试验后，复合膜表面应无气泡或其他明显变化；轨道耐盐雾腐蚀性：经≥120h铜加速乙酸盐雾试验(CASS)试验后，膜层表面无起泡、脱落或其他明显变化；</w:t>
            </w:r>
          </w:p>
          <w:p w14:paraId="3048B7F5">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val="en-US" w:eastAsia="zh-CN"/>
              </w:rPr>
              <w:t>○</w:t>
            </w:r>
            <w:r>
              <w:rPr>
                <w:rFonts w:hint="eastAsia" w:ascii="仿宋" w:hAnsi="仿宋" w:eastAsia="仿宋" w:cs="仿宋"/>
                <w:color w:val="auto"/>
                <w:kern w:val="2"/>
                <w:sz w:val="24"/>
                <w:szCs w:val="24"/>
                <w:highlight w:val="none"/>
                <w:lang w:eastAsia="zh-CN"/>
                <w14:ligatures w14:val="standardContextual"/>
              </w:rPr>
              <w:t>（6）轨道外观质量：涂漆后的漆膜应均匀、整洁、不准许有皱纹、裂纹、气泡、流痕、夹杂物、发粘和漆膜脱落等影响使用的缺陷；</w:t>
            </w:r>
          </w:p>
          <w:p w14:paraId="032F9BBD">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（7）轨道承重＞40kg，轨道无明显变形，无破坏；</w:t>
            </w:r>
          </w:p>
          <w:p w14:paraId="12CE02D0">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（8）滑轮吊环：滑轮吊环材质符合05Cr19Ni10不锈钢化学成分。走珠滑轮承重＞8kg，走珠滑轮未损坏、滑动顺畅</w:t>
            </w:r>
          </w:p>
        </w:tc>
      </w:tr>
      <w:tr w14:paraId="47FF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dxa"/>
            <w:shd w:val="clear" w:color="auto" w:fill="auto"/>
            <w:vAlign w:val="center"/>
          </w:tcPr>
          <w:p w14:paraId="76D8EBD4">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5</w:t>
            </w:r>
          </w:p>
        </w:tc>
        <w:tc>
          <w:tcPr>
            <w:tcW w:w="869" w:type="dxa"/>
            <w:shd w:val="clear" w:color="auto" w:fill="auto"/>
            <w:vAlign w:val="center"/>
          </w:tcPr>
          <w:p w14:paraId="13385748">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窗帘、隔帘布带</w:t>
            </w:r>
          </w:p>
        </w:tc>
        <w:tc>
          <w:tcPr>
            <w:tcW w:w="3406" w:type="dxa"/>
            <w:shd w:val="clear" w:color="auto" w:fill="auto"/>
            <w:vAlign w:val="center"/>
          </w:tcPr>
          <w:p w14:paraId="6D72E404">
            <w:pPr>
              <w:jc w:val="center"/>
              <w:rPr>
                <w:rFonts w:hint="eastAsia" w:ascii="仿宋" w:hAnsi="仿宋" w:eastAsia="仿宋" w:cs="仿宋"/>
                <w:color w:val="auto"/>
                <w:kern w:val="2"/>
                <w:sz w:val="36"/>
                <w:szCs w:val="36"/>
                <w:highlight w:val="none"/>
                <w:lang w:val="en-US" w:eastAsia="zh-CN" w:bidi="ar-SA"/>
              </w:rPr>
            </w:pPr>
            <w:r>
              <w:rPr>
                <w:rFonts w:hint="eastAsia" w:ascii="仿宋" w:hAnsi="仿宋" w:eastAsia="仿宋" w:cs="仿宋"/>
                <w:color w:val="auto"/>
                <w:highlight w:val="none"/>
              </w:rPr>
              <w:drawing>
                <wp:inline distT="0" distB="0" distL="114300" distR="114300">
                  <wp:extent cx="2070735" cy="2542540"/>
                  <wp:effectExtent l="0" t="0" r="1905" b="254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5"/>
                          <a:stretch>
                            <a:fillRect/>
                          </a:stretch>
                        </pic:blipFill>
                        <pic:spPr>
                          <a:xfrm>
                            <a:off x="0" y="0"/>
                            <a:ext cx="2070735" cy="2542540"/>
                          </a:xfrm>
                          <a:prstGeom prst="rect">
                            <a:avLst/>
                          </a:prstGeom>
                          <a:noFill/>
                          <a:ln>
                            <a:noFill/>
                          </a:ln>
                        </pic:spPr>
                      </pic:pic>
                    </a:graphicData>
                  </a:graphic>
                </wp:inline>
              </w:drawing>
            </w:r>
          </w:p>
        </w:tc>
        <w:tc>
          <w:tcPr>
            <w:tcW w:w="4634" w:type="dxa"/>
            <w:vAlign w:val="center"/>
          </w:tcPr>
          <w:p w14:paraId="67B2317A">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color w:val="auto"/>
                <w:kern w:val="2"/>
                <w:sz w:val="24"/>
                <w:szCs w:val="24"/>
                <w:highlight w:val="none"/>
                <w:lang w:eastAsia="zh-CN"/>
                <w14:ligatures w14:val="standardContextual"/>
              </w:rPr>
              <w:t>1、布带：</w:t>
            </w:r>
          </w:p>
          <w:p w14:paraId="531DF3F7">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rPr>
              <w:t>▲</w:t>
            </w:r>
            <w:r>
              <w:rPr>
                <w:rFonts w:hint="eastAsia" w:ascii="仿宋" w:hAnsi="仿宋" w:eastAsia="仿宋" w:cs="仿宋"/>
                <w:color w:val="auto"/>
                <w:kern w:val="2"/>
                <w:sz w:val="24"/>
                <w:szCs w:val="24"/>
                <w:highlight w:val="none"/>
                <w:lang w:eastAsia="zh-CN"/>
                <w14:ligatures w14:val="standardContextual"/>
              </w:rPr>
              <w:t>（1）纤维含量：100%聚酯纤维，厚度（mm）：≥2.0；</w:t>
            </w:r>
          </w:p>
          <w:p w14:paraId="0726E6F9">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（2）水洗尺寸变化率（%）：+2～-3，汽蒸尺寸变化率（%）：+2.0～-3.0；</w:t>
            </w:r>
          </w:p>
          <w:p w14:paraId="7209E3DE">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（3）断裂强力（N）：≥3000N；</w:t>
            </w:r>
          </w:p>
          <w:p w14:paraId="5EF8C9C6">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（4）抑菌率（洗涤≥30次后）：金黄色葡萄球菌≥80%、大肠杆菌≥80%、白色念珠菌≥80%、肺炎克雷白氏菌≥80%、铜绿假单胞菌≥80%；</w:t>
            </w:r>
          </w:p>
          <w:p w14:paraId="12561BB2">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val="en-US" w:eastAsia="zh-CN"/>
              </w:rPr>
              <w:t>○</w:t>
            </w:r>
            <w:r>
              <w:rPr>
                <w:rFonts w:hint="eastAsia" w:ascii="仿宋" w:hAnsi="仿宋" w:eastAsia="仿宋" w:cs="仿宋"/>
                <w:color w:val="auto"/>
                <w:kern w:val="2"/>
                <w:sz w:val="24"/>
                <w:szCs w:val="24"/>
                <w:highlight w:val="none"/>
                <w:lang w:eastAsia="zh-CN"/>
                <w14:ligatures w14:val="standardContextual"/>
              </w:rPr>
              <w:t>（5）重金属（mg/kg）：铅≤0.23、镉≤0.01、砷≤0.20、铜≤0.9、钴≤0.02、镍≤0.05、铬≤0.12、锑≤0.09。六价铬：≤0.20，汞：≤0.005；挥发性有机物（mg/m²）：氯乙烯：≤0.3、1,3丁二烯：≤0.3、甲苯：≤0.001、苯乙烯：≤0.005、乙烯基环己烯：≤0.005、4-苯基环己烯：≤0.0005、总芳香烃化合物：未检出、总有机挥发物：＜0.1；</w:t>
            </w:r>
          </w:p>
          <w:p w14:paraId="6798B72C">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bookmarkStart w:id="247" w:name="_GoBack"/>
            <w:r>
              <w:rPr>
                <w:rFonts w:hint="eastAsia" w:ascii="仿宋" w:hAnsi="仿宋" w:eastAsia="仿宋" w:cs="仿宋"/>
                <w:b/>
                <w:bCs/>
                <w:color w:val="auto"/>
                <w:sz w:val="24"/>
                <w:szCs w:val="24"/>
                <w:highlight w:val="none"/>
                <w:lang w:eastAsia="zh-CN"/>
              </w:rPr>
              <w:t>○</w:t>
            </w:r>
            <w:bookmarkEnd w:id="247"/>
            <w:r>
              <w:rPr>
                <w:rFonts w:hint="eastAsia" w:ascii="仿宋" w:hAnsi="仿宋" w:eastAsia="仿宋" w:cs="仿宋"/>
                <w:color w:val="auto"/>
                <w:kern w:val="2"/>
                <w:sz w:val="24"/>
                <w:szCs w:val="24"/>
                <w:highlight w:val="none"/>
                <w:lang w:eastAsia="zh-CN"/>
                <w14:ligatures w14:val="standardContextual"/>
              </w:rPr>
              <w:t>（6）符合GB18401-2010 C类或更高标准：甲醛含量（mg/kg)：≤20，可分解致癌芳香胺染料mg/kg:≤20。PH值：4.0-9.0， 异味：无， 耐干摩擦色牢度：≥3，耐水色牢度：≥3。</w:t>
            </w:r>
          </w:p>
        </w:tc>
      </w:tr>
    </w:tbl>
    <w:p w14:paraId="0FE6D984">
      <w:pPr>
        <w:pageBreakBefore w:val="0"/>
        <w:kinsoku/>
        <w:wordWrap/>
        <w:overflowPunct/>
        <w:topLinePunct w:val="0"/>
        <w:autoSpaceDE/>
        <w:autoSpaceDN/>
        <w:bidi w:val="0"/>
        <w:spacing w:line="400" w:lineRule="exact"/>
        <w:rPr>
          <w:rFonts w:hint="default" w:ascii="仿宋" w:hAnsi="仿宋" w:eastAsia="仿宋" w:cs="仿宋"/>
          <w:b/>
          <w:bCs/>
          <w:color w:val="auto"/>
          <w:sz w:val="24"/>
          <w:szCs w:val="24"/>
          <w:highlight w:val="none"/>
          <w:lang w:val="en-US" w:eastAsia="zh-CN"/>
        </w:rPr>
        <w:sectPr>
          <w:type w:val="continuous"/>
          <w:pgSz w:w="11780" w:h="16840"/>
          <w:pgMar w:top="1134" w:right="1134" w:bottom="1417" w:left="1134" w:header="140" w:footer="850" w:gutter="0"/>
          <w:pgBorders w:offsetFrom="page">
            <w:top w:val="none" w:sz="0" w:space="0"/>
            <w:left w:val="none" w:sz="0" w:space="0"/>
            <w:bottom w:val="none" w:sz="0" w:space="0"/>
            <w:right w:val="none" w:sz="0" w:space="0"/>
          </w:pgBorders>
          <w:pgNumType w:fmt="numberInDash"/>
          <w:cols w:space="0" w:num="1"/>
          <w:rtlGutter w:val="0"/>
          <w:docGrid w:linePitch="0" w:charSpace="0"/>
        </w:sectPr>
      </w:pPr>
      <w:r>
        <w:rPr>
          <w:rFonts w:hint="eastAsia" w:ascii="仿宋" w:hAnsi="仿宋" w:eastAsia="仿宋" w:cs="仿宋"/>
          <w:b/>
          <w:bCs/>
          <w:sz w:val="24"/>
          <w:szCs w:val="24"/>
          <w:highlight w:val="none"/>
          <w:lang w:val="en-US" w:eastAsia="zh-CN"/>
        </w:rPr>
        <w:t>注：</w:t>
      </w:r>
      <w:r>
        <w:rPr>
          <w:rFonts w:hint="eastAsia" w:ascii="仿宋" w:hAnsi="仿宋" w:eastAsia="仿宋" w:cs="仿宋"/>
          <w:b/>
          <w:bCs w:val="0"/>
          <w:sz w:val="24"/>
          <w:szCs w:val="28"/>
          <w:highlight w:val="none"/>
          <w:lang w:val="en-US" w:eastAsia="zh-CN"/>
        </w:rPr>
        <w:t>以上比选项目技术需求中带“※”和“</w:t>
      </w:r>
      <w:r>
        <w:rPr>
          <w:rFonts w:hint="eastAsia" w:ascii="仿宋" w:hAnsi="仿宋" w:eastAsia="仿宋" w:cs="仿宋"/>
          <w:b/>
          <w:bCs/>
          <w:color w:val="auto"/>
          <w:sz w:val="24"/>
          <w:szCs w:val="24"/>
          <w:highlight w:val="none"/>
        </w:rPr>
        <w:t>▲</w:t>
      </w:r>
      <w:r>
        <w:rPr>
          <w:rFonts w:hint="eastAsia" w:ascii="仿宋" w:hAnsi="仿宋" w:eastAsia="仿宋" w:cs="仿宋"/>
          <w:b/>
          <w:bCs w:val="0"/>
          <w:sz w:val="24"/>
          <w:szCs w:val="28"/>
          <w:highlight w:val="none"/>
          <w:lang w:val="en-US" w:eastAsia="zh-CN"/>
        </w:rPr>
        <w:t>”的技术参数须提供由国家认可的质量检测机构出具带有“CMA或CNAS”标志的检测（检验）报告。</w:t>
      </w:r>
    </w:p>
    <w:bookmarkEnd w:id="38"/>
    <w:bookmarkEnd w:id="39"/>
    <w:p w14:paraId="20ED1E65">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sz w:val="24"/>
          <w:szCs w:val="24"/>
          <w:highlight w:val="none"/>
        </w:rPr>
      </w:pPr>
      <w:bookmarkStart w:id="40" w:name="_Toc9219"/>
      <w:bookmarkStart w:id="41" w:name="_Toc24325"/>
      <w:r>
        <w:rPr>
          <w:rFonts w:hint="eastAsia" w:ascii="仿宋" w:hAnsi="仿宋" w:eastAsia="仿宋" w:cs="仿宋"/>
          <w:b/>
          <w:sz w:val="24"/>
          <w:szCs w:val="24"/>
          <w:highlight w:val="none"/>
          <w:lang w:val="en-US" w:eastAsia="zh-CN"/>
        </w:rPr>
        <w:t>三</w:t>
      </w:r>
      <w:r>
        <w:rPr>
          <w:rFonts w:hint="eastAsia" w:ascii="仿宋" w:hAnsi="仿宋" w:eastAsia="仿宋" w:cs="仿宋"/>
          <w:b/>
          <w:sz w:val="24"/>
          <w:szCs w:val="24"/>
          <w:highlight w:val="none"/>
        </w:rPr>
        <w:t>、样品递交及退还要求</w:t>
      </w:r>
      <w:bookmarkEnd w:id="40"/>
      <w:bookmarkEnd w:id="41"/>
    </w:p>
    <w:p w14:paraId="0FFD7F9B">
      <w:pPr>
        <w:pageBreakBefore w:val="0"/>
        <w:widowControl w:val="0"/>
        <w:kinsoku/>
        <w:wordWrap/>
        <w:overflowPunct/>
        <w:topLinePunct w:val="0"/>
        <w:autoSpaceDE/>
        <w:autoSpaceDN/>
        <w:bidi w:val="0"/>
        <w:spacing w:line="400" w:lineRule="exact"/>
        <w:ind w:firstLine="480" w:firstLineChars="200"/>
        <w:textAlignment w:val="auto"/>
        <w:outlineLvl w:val="2"/>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（一）样品递交要求</w:t>
      </w:r>
    </w:p>
    <w:p w14:paraId="42EB513B">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1.样品清单列表</w:t>
      </w:r>
    </w:p>
    <w:tbl>
      <w:tblPr>
        <w:tblStyle w:val="27"/>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916"/>
        <w:gridCol w:w="1503"/>
        <w:gridCol w:w="2798"/>
        <w:gridCol w:w="2640"/>
      </w:tblGrid>
      <w:tr w14:paraId="5E96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469" w:type="dxa"/>
            <w:vAlign w:val="center"/>
          </w:tcPr>
          <w:p w14:paraId="613BE89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序号</w:t>
            </w:r>
          </w:p>
        </w:tc>
        <w:tc>
          <w:tcPr>
            <w:tcW w:w="916" w:type="dxa"/>
            <w:vAlign w:val="center"/>
          </w:tcPr>
          <w:p w14:paraId="14C0951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样品名称</w:t>
            </w:r>
          </w:p>
        </w:tc>
        <w:tc>
          <w:tcPr>
            <w:tcW w:w="1503" w:type="dxa"/>
            <w:vAlign w:val="center"/>
          </w:tcPr>
          <w:p w14:paraId="4C13560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样品制作标准和要求</w:t>
            </w:r>
          </w:p>
        </w:tc>
        <w:tc>
          <w:tcPr>
            <w:tcW w:w="2798" w:type="dxa"/>
            <w:vAlign w:val="center"/>
          </w:tcPr>
          <w:p w14:paraId="6F0CE83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规格</w:t>
            </w:r>
          </w:p>
        </w:tc>
        <w:tc>
          <w:tcPr>
            <w:tcW w:w="2640" w:type="dxa"/>
            <w:vAlign w:val="center"/>
          </w:tcPr>
          <w:p w14:paraId="11737FF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数量/单位</w:t>
            </w:r>
          </w:p>
        </w:tc>
      </w:tr>
      <w:tr w14:paraId="38A2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469" w:type="dxa"/>
            <w:vAlign w:val="center"/>
          </w:tcPr>
          <w:p w14:paraId="7DB5D74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916" w:type="dxa"/>
            <w:vAlign w:val="center"/>
          </w:tcPr>
          <w:p w14:paraId="1EA15712">
            <w:pPr>
              <w:pageBreakBefore w:val="0"/>
              <w:kinsoku/>
              <w:wordWrap/>
              <w:overflowPunct/>
              <w:topLinePunct w:val="0"/>
              <w:autoSpaceDE/>
              <w:autoSpaceDN/>
              <w:bidi w:val="0"/>
              <w:spacing w:line="400" w:lineRule="exact"/>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sz w:val="24"/>
                <w:szCs w:val="24"/>
                <w:highlight w:val="none"/>
              </w:rPr>
              <w:t>布帘</w:t>
            </w:r>
          </w:p>
        </w:tc>
        <w:tc>
          <w:tcPr>
            <w:tcW w:w="1503" w:type="dxa"/>
            <w:vMerge w:val="restart"/>
            <w:vAlign w:val="center"/>
          </w:tcPr>
          <w:p w14:paraId="6E80E58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按照“比选项目技术需求”中相关要求制作</w:t>
            </w:r>
          </w:p>
        </w:tc>
        <w:tc>
          <w:tcPr>
            <w:tcW w:w="2798" w:type="dxa"/>
            <w:vAlign w:val="center"/>
          </w:tcPr>
          <w:p w14:paraId="0F0074D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宽1米*高1.5米</w:t>
            </w:r>
          </w:p>
          <w:p w14:paraId="55DF6A0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（尺寸不作为评审依据）</w:t>
            </w:r>
          </w:p>
        </w:tc>
        <w:tc>
          <w:tcPr>
            <w:tcW w:w="2640" w:type="dxa"/>
            <w:vAlign w:val="center"/>
          </w:tcPr>
          <w:p w14:paraId="30C5CFA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1套</w:t>
            </w:r>
          </w:p>
          <w:p w14:paraId="2FC6EC6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（可安装的全部材料）</w:t>
            </w:r>
          </w:p>
        </w:tc>
      </w:tr>
      <w:tr w14:paraId="5CF6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469" w:type="dxa"/>
            <w:vAlign w:val="center"/>
          </w:tcPr>
          <w:p w14:paraId="0F76E27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916" w:type="dxa"/>
            <w:vAlign w:val="center"/>
          </w:tcPr>
          <w:p w14:paraId="50C29D85">
            <w:pPr>
              <w:pageBreakBefore w:val="0"/>
              <w:kinsoku/>
              <w:wordWrap/>
              <w:overflowPunct/>
              <w:topLinePunct w:val="0"/>
              <w:autoSpaceDE/>
              <w:autoSpaceDN/>
              <w:bidi w:val="0"/>
              <w:spacing w:line="400" w:lineRule="exact"/>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sz w:val="24"/>
                <w:szCs w:val="24"/>
                <w:highlight w:val="none"/>
              </w:rPr>
              <w:t>隔帘</w:t>
            </w:r>
          </w:p>
        </w:tc>
        <w:tc>
          <w:tcPr>
            <w:tcW w:w="1503" w:type="dxa"/>
            <w:vMerge w:val="continue"/>
            <w:vAlign w:val="top"/>
          </w:tcPr>
          <w:p w14:paraId="1625EFD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798" w:type="dxa"/>
            <w:vAlign w:val="center"/>
          </w:tcPr>
          <w:p w14:paraId="5587EEB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宽1米*高1.5米</w:t>
            </w:r>
          </w:p>
          <w:p w14:paraId="448CE54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（尺寸不作为评审依据）</w:t>
            </w:r>
          </w:p>
        </w:tc>
        <w:tc>
          <w:tcPr>
            <w:tcW w:w="2640" w:type="dxa"/>
            <w:vAlign w:val="center"/>
          </w:tcPr>
          <w:p w14:paraId="05FD50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1套</w:t>
            </w:r>
          </w:p>
          <w:p w14:paraId="1BFCCD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（可安装的全部材料）</w:t>
            </w:r>
          </w:p>
        </w:tc>
      </w:tr>
    </w:tbl>
    <w:p w14:paraId="22594F8F">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2.样品评审方式</w:t>
      </w:r>
    </w:p>
    <w:p w14:paraId="4CED887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样品密封不作要求，请各供应商注意在样品外包装上标注项目名称、供应商名称、样品名称信息。</w:t>
      </w:r>
    </w:p>
    <w:p w14:paraId="47189260">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3.样品递交截止时间：同响应文件递交开始及截止时间。</w:t>
      </w:r>
    </w:p>
    <w:p w14:paraId="18AEF8E9">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的样品作为验收依据之一，签定合同后配送产品的质量不得低于</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时提交样品的质量，否则追究</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的责任。</w:t>
      </w:r>
    </w:p>
    <w:p w14:paraId="2B2FC725">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5.未按样品清单列表提供样品的，</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部分的样品分数得0分。</w:t>
      </w:r>
    </w:p>
    <w:p w14:paraId="45CCD2AB">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（二）样品退还要求</w:t>
      </w:r>
    </w:p>
    <w:p w14:paraId="037C3924">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评审过程中，可能会对样品进行拆除，采购人不承担由拆除引起的样品擦伤、损坏等赔偿费用</w:t>
      </w:r>
      <w:r>
        <w:rPr>
          <w:rFonts w:hint="eastAsia" w:ascii="仿宋" w:hAnsi="仿宋" w:eastAsia="仿宋" w:cs="仿宋"/>
          <w:color w:val="auto"/>
          <w:sz w:val="24"/>
          <w:szCs w:val="24"/>
          <w:highlight w:val="none"/>
          <w:lang w:eastAsia="zh-CN"/>
        </w:rPr>
        <w:t>。</w:t>
      </w:r>
    </w:p>
    <w:p w14:paraId="4BE04CD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样品在评审完成后由</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取回样品（</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样品封存移交采购人保存）。逾期未取回视同放弃取回，样品由采购人或采购代理机构处自行处理。</w:t>
      </w:r>
    </w:p>
    <w:p w14:paraId="7A138973">
      <w:pPr>
        <w:pageBreakBefore w:val="0"/>
        <w:widowControl w:val="0"/>
        <w:numPr>
          <w:ilvl w:val="0"/>
          <w:numId w:val="0"/>
        </w:numPr>
        <w:kinsoku/>
        <w:wordWrap/>
        <w:overflowPunct/>
        <w:topLinePunct w:val="0"/>
        <w:autoSpaceDE/>
        <w:autoSpaceDN/>
        <w:bidi w:val="0"/>
        <w:spacing w:line="400" w:lineRule="exact"/>
        <w:ind w:left="0" w:leftChars="0"/>
        <w:textAlignment w:val="auto"/>
        <w:rPr>
          <w:rFonts w:hint="eastAsia" w:ascii="仿宋" w:hAnsi="仿宋" w:eastAsia="仿宋" w:cs="仿宋"/>
          <w:b/>
          <w:bCs/>
          <w:color w:val="auto"/>
          <w:sz w:val="24"/>
          <w:szCs w:val="24"/>
          <w:highlight w:val="none"/>
          <w:lang w:val="en-US" w:eastAsia="zh-CN"/>
        </w:rPr>
      </w:pPr>
    </w:p>
    <w:p w14:paraId="1D34B5F7">
      <w:pPr>
        <w:pageBreakBefore w:val="0"/>
        <w:widowControl w:val="0"/>
        <w:numPr>
          <w:ilvl w:val="0"/>
          <w:numId w:val="0"/>
        </w:numPr>
        <w:kinsoku/>
        <w:wordWrap/>
        <w:overflowPunct/>
        <w:topLinePunct w:val="0"/>
        <w:autoSpaceDE/>
        <w:autoSpaceDN/>
        <w:bidi w:val="0"/>
        <w:spacing w:line="400" w:lineRule="exact"/>
        <w:ind w:left="0" w:leftChars="0"/>
        <w:textAlignment w:val="auto"/>
        <w:rPr>
          <w:rFonts w:hint="eastAsia" w:ascii="仿宋" w:hAnsi="仿宋" w:eastAsia="仿宋" w:cs="仿宋"/>
          <w:b w:val="0"/>
          <w:bCs w:val="0"/>
          <w:color w:val="auto"/>
          <w:sz w:val="24"/>
          <w:szCs w:val="24"/>
          <w:highlight w:val="none"/>
          <w:lang w:val="en-US" w:eastAsia="zh-CN"/>
        </w:rPr>
      </w:pPr>
    </w:p>
    <w:p w14:paraId="3236D64D">
      <w:pPr>
        <w:pageBreakBefore w:val="0"/>
        <w:widowControl w:val="0"/>
        <w:numPr>
          <w:ilvl w:val="0"/>
          <w:numId w:val="0"/>
        </w:numPr>
        <w:kinsoku/>
        <w:wordWrap/>
        <w:overflowPunct/>
        <w:topLinePunct w:val="0"/>
        <w:autoSpaceDE/>
        <w:autoSpaceDN/>
        <w:bidi w:val="0"/>
        <w:spacing w:line="400" w:lineRule="exact"/>
        <w:ind w:left="0" w:leftChars="0"/>
        <w:textAlignment w:val="auto"/>
        <w:rPr>
          <w:rFonts w:hint="eastAsia" w:ascii="仿宋" w:hAnsi="仿宋" w:eastAsia="仿宋" w:cs="仿宋"/>
          <w:b w:val="0"/>
          <w:bCs w:val="0"/>
          <w:color w:val="auto"/>
          <w:sz w:val="24"/>
          <w:szCs w:val="24"/>
          <w:highlight w:val="none"/>
          <w:lang w:val="en-US" w:eastAsia="zh-CN"/>
        </w:rPr>
        <w:sectPr>
          <w:pgSz w:w="11780" w:h="16840"/>
          <w:pgMar w:top="1134" w:right="1134" w:bottom="1134" w:left="1417" w:header="140" w:footer="850" w:gutter="0"/>
          <w:pgBorders w:offsetFrom="page">
            <w:top w:val="none" w:sz="0" w:space="0"/>
            <w:left w:val="none" w:sz="0" w:space="0"/>
            <w:bottom w:val="none" w:sz="0" w:space="0"/>
            <w:right w:val="none" w:sz="0" w:space="0"/>
          </w:pgBorders>
          <w:pgNumType w:fmt="numberInDash"/>
          <w:cols w:space="720" w:num="1"/>
        </w:sectPr>
      </w:pPr>
    </w:p>
    <w:p w14:paraId="478015AB">
      <w:pPr>
        <w:pStyle w:val="3"/>
        <w:spacing w:before="0" w:beforeLines="0" w:after="0" w:afterLines="0" w:line="360" w:lineRule="auto"/>
        <w:rPr>
          <w:rFonts w:hint="eastAsia" w:ascii="仿宋" w:hAnsi="仿宋" w:eastAsia="仿宋" w:cs="仿宋"/>
          <w:color w:val="auto"/>
          <w:sz w:val="52"/>
          <w:szCs w:val="52"/>
          <w:highlight w:val="none"/>
        </w:rPr>
      </w:pPr>
      <w:bookmarkStart w:id="42" w:name="_Toc28658"/>
      <w:r>
        <w:rPr>
          <w:rFonts w:hint="eastAsia" w:ascii="仿宋" w:hAnsi="仿宋" w:eastAsia="仿宋" w:cs="仿宋"/>
          <w:color w:val="auto"/>
          <w:sz w:val="52"/>
          <w:szCs w:val="52"/>
          <w:highlight w:val="none"/>
        </w:rPr>
        <w:t>第三篇 项目商务需求</w:t>
      </w:r>
      <w:bookmarkEnd w:id="31"/>
      <w:bookmarkEnd w:id="42"/>
    </w:p>
    <w:p w14:paraId="6C6FE52E">
      <w:pPr>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rPr>
      </w:pPr>
      <w:bookmarkStart w:id="43" w:name="_Toc12789059"/>
      <w:bookmarkStart w:id="44" w:name="_Toc11641055"/>
      <w:r>
        <w:rPr>
          <w:rFonts w:hint="eastAsia" w:ascii="仿宋" w:hAnsi="仿宋" w:eastAsia="仿宋" w:cs="仿宋"/>
          <w:sz w:val="24"/>
          <w:szCs w:val="24"/>
          <w:highlight w:val="none"/>
        </w:rPr>
        <w:t>“</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”标注的商务要求为符合性审查中的实质性要求，若不满足按无效投标处理。</w:t>
      </w:r>
    </w:p>
    <w:p w14:paraId="522BDC7A">
      <w:pPr>
        <w:pStyle w:val="4"/>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
          <w:sz w:val="24"/>
          <w:szCs w:val="24"/>
          <w:highlight w:val="none"/>
        </w:rPr>
      </w:pPr>
      <w:bookmarkStart w:id="45" w:name="_Toc8918"/>
      <w:bookmarkStart w:id="46" w:name="_Toc4086"/>
      <w:r>
        <w:rPr>
          <w:rFonts w:hint="eastAsia" w:ascii="仿宋" w:hAnsi="仿宋" w:eastAsia="仿宋" w:cs="仿宋"/>
          <w:kern w:val="0"/>
          <w:sz w:val="24"/>
          <w:szCs w:val="24"/>
          <w:highlight w:val="none"/>
        </w:rPr>
        <w:t>※</w:t>
      </w:r>
      <w:r>
        <w:rPr>
          <w:rFonts w:hint="eastAsia" w:ascii="仿宋" w:hAnsi="仿宋" w:eastAsia="仿宋" w:cs="仿宋"/>
          <w:b/>
          <w:sz w:val="24"/>
          <w:szCs w:val="24"/>
          <w:highlight w:val="none"/>
        </w:rPr>
        <w:t>一、交货期、交货地点及验收方式</w:t>
      </w:r>
      <w:bookmarkEnd w:id="45"/>
      <w:bookmarkEnd w:id="46"/>
    </w:p>
    <w:p w14:paraId="68F0FF33">
      <w:pPr>
        <w:pageBreakBefore w:val="0"/>
        <w:widowControl w:val="0"/>
        <w:kinsoku/>
        <w:wordWrap/>
        <w:overflowPunct/>
        <w:topLinePunct w:val="0"/>
        <w:autoSpaceDE/>
        <w:autoSpaceDN/>
        <w:bidi w:val="0"/>
        <w:snapToGrid w:val="0"/>
        <w:spacing w:line="400" w:lineRule="exact"/>
        <w:ind w:firstLine="480" w:firstLineChars="200"/>
        <w:textAlignment w:val="auto"/>
        <w:outlineLvl w:val="2"/>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（一）交货期</w:t>
      </w:r>
    </w:p>
    <w:p w14:paraId="7D651EB3">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中标人应在采购合同签订后40个日历日内交货并完成安装调试。</w:t>
      </w:r>
    </w:p>
    <w:p w14:paraId="209A2B32">
      <w:pPr>
        <w:pageBreakBefore w:val="0"/>
        <w:widowControl w:val="0"/>
        <w:kinsoku/>
        <w:wordWrap/>
        <w:overflowPunct/>
        <w:topLinePunct w:val="0"/>
        <w:autoSpaceDE/>
        <w:autoSpaceDN/>
        <w:bidi w:val="0"/>
        <w:snapToGrid w:val="0"/>
        <w:spacing w:line="400" w:lineRule="exact"/>
        <w:ind w:firstLine="480" w:firstLineChars="200"/>
        <w:textAlignment w:val="auto"/>
        <w:outlineLvl w:val="2"/>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（二）交货地点</w:t>
      </w:r>
    </w:p>
    <w:p w14:paraId="2631CC65">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color w:val="auto"/>
          <w:sz w:val="24"/>
          <w:szCs w:val="24"/>
          <w:highlight w:val="none"/>
          <w:lang w:val="en-US" w:eastAsia="zh-CN"/>
        </w:rPr>
        <w:t>重庆两江新区中医院指定地点</w:t>
      </w:r>
      <w:r>
        <w:rPr>
          <w:rFonts w:hint="eastAsia" w:ascii="仿宋" w:hAnsi="仿宋" w:eastAsia="仿宋" w:cs="仿宋"/>
          <w:kern w:val="0"/>
          <w:sz w:val="24"/>
          <w:szCs w:val="24"/>
          <w:highlight w:val="none"/>
        </w:rPr>
        <w:t>。</w:t>
      </w:r>
    </w:p>
    <w:p w14:paraId="6B37646F">
      <w:pPr>
        <w:pageBreakBefore w:val="0"/>
        <w:widowControl w:val="0"/>
        <w:kinsoku/>
        <w:wordWrap/>
        <w:overflowPunct/>
        <w:topLinePunct w:val="0"/>
        <w:autoSpaceDE/>
        <w:autoSpaceDN/>
        <w:bidi w:val="0"/>
        <w:snapToGrid w:val="0"/>
        <w:spacing w:line="400" w:lineRule="exact"/>
        <w:ind w:firstLine="480" w:firstLineChars="200"/>
        <w:textAlignment w:val="auto"/>
        <w:outlineLvl w:val="2"/>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（三）验收方式</w:t>
      </w:r>
    </w:p>
    <w:p w14:paraId="65D0D1E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1.本项目由采购人自行组织履约验收。</w:t>
      </w:r>
    </w:p>
    <w:p w14:paraId="48533B2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2.具体验收步骤：</w:t>
      </w:r>
    </w:p>
    <w:p w14:paraId="1FEA7EE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2.1批量生产安装前，投标人须先现场复核窗帘、隔帘的尺寸、安装条件，和采购人商定窗帘、隔帘颜色、款式及安装方案等。采购人可对部分产品的样式、颜色进行调整，中标价格不变。窗帘、隔帘的颜色、款式、安装方案、样品等实施细节经双方确认后，采购人将通知中标人进行产品制作后方可批量生产安装。中标人应保证货物到达采购人所在地完好无损，如有缺漏、损坏，防火层结晶、脱漏由投标人负责调换、补齐或赔偿。</w:t>
      </w:r>
    </w:p>
    <w:p w14:paraId="7E9CC2A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2.2中标人应提供完备的技术资料、装箱单和合格证等，并派遣专业技术人员进行现场安装调试。验收合格条件如下：</w:t>
      </w:r>
    </w:p>
    <w:p w14:paraId="585649B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2.3.1技术参数与采购合同一致，性能指标达到规定的标准。</w:t>
      </w:r>
    </w:p>
    <w:p w14:paraId="3B03D5E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2.3.2货物技术资料、装箱单、合格证等资料齐全。</w:t>
      </w:r>
    </w:p>
    <w:p w14:paraId="7AFAB35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2.3.3在试运行期间所出现的问题得到解决，并运行正常。</w:t>
      </w:r>
    </w:p>
    <w:p w14:paraId="0826721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2.3.4在规定时间内完成交货并验收，并经采购人确认。</w:t>
      </w:r>
    </w:p>
    <w:p w14:paraId="0897D89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2.4产品在安装调试并试运行符合要求后，才作为最终验收。</w:t>
      </w:r>
    </w:p>
    <w:p w14:paraId="2E47341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2.5中标人提供的货物未达到竞争性比选文件规定要求，且对采购人造成损失的，由中标人承担一切责任，并赔偿所造成的损失。</w:t>
      </w:r>
    </w:p>
    <w:p w14:paraId="2E25F19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2.6采购人将对来货进行抽样送检。若抽样检测结果不符合竞争性比选文件技术参数要求的，全部货作退货处理，且检测费用由中标人承担，履约保证金不予退还。采购人有权取消中标资格并解除合同，同时向同级财政部门报告，财政部门将根据相关法律法规的规定进行处理。</w:t>
      </w:r>
    </w:p>
    <w:p w14:paraId="55CF2C1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2.7采购人需要制造商对中标人交付的产品（包括质量、技术参数等）进行确认的，制造商应予以配合，并出具书面意见。</w:t>
      </w:r>
    </w:p>
    <w:p w14:paraId="6381C56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2.8产品包装材料归采购人所有。</w:t>
      </w:r>
    </w:p>
    <w:p w14:paraId="0200B0AD">
      <w:pPr>
        <w:pStyle w:val="4"/>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
          <w:sz w:val="24"/>
          <w:szCs w:val="24"/>
          <w:highlight w:val="none"/>
        </w:rPr>
      </w:pPr>
      <w:bookmarkStart w:id="47" w:name="_Toc7746"/>
      <w:bookmarkStart w:id="48" w:name="_Toc28679"/>
      <w:bookmarkStart w:id="49" w:name="_Toc13418"/>
      <w:bookmarkStart w:id="50" w:name="_Toc1484"/>
      <w:bookmarkStart w:id="51" w:name="_Toc20994"/>
      <w:bookmarkStart w:id="52" w:name="_Toc18152"/>
      <w:bookmarkStart w:id="53" w:name="_Toc29436"/>
      <w:bookmarkStart w:id="54" w:name="_Toc29144"/>
      <w:bookmarkStart w:id="55" w:name="_Toc22158"/>
      <w:bookmarkStart w:id="56" w:name="_Toc8592"/>
      <w:bookmarkStart w:id="57" w:name="_Toc30781"/>
      <w:bookmarkStart w:id="58" w:name="_Toc16087"/>
      <w:bookmarkStart w:id="59" w:name="_Toc75793510"/>
      <w:bookmarkStart w:id="60" w:name="_Toc21022"/>
      <w:bookmarkStart w:id="61" w:name="_Toc20367"/>
      <w:bookmarkStart w:id="62" w:name="_Toc4036"/>
      <w:bookmarkStart w:id="63" w:name="_Toc22142"/>
      <w:bookmarkStart w:id="64" w:name="_Toc267320050"/>
      <w:r>
        <w:rPr>
          <w:rFonts w:hint="eastAsia" w:ascii="仿宋" w:hAnsi="仿宋" w:eastAsia="仿宋" w:cs="仿宋"/>
          <w:kern w:val="0"/>
          <w:sz w:val="24"/>
          <w:szCs w:val="24"/>
          <w:highlight w:val="none"/>
        </w:rPr>
        <w:t>※</w:t>
      </w:r>
      <w:r>
        <w:rPr>
          <w:rFonts w:hint="eastAsia" w:ascii="仿宋" w:hAnsi="仿宋" w:eastAsia="仿宋" w:cs="仿宋"/>
          <w:b/>
          <w:sz w:val="24"/>
          <w:szCs w:val="24"/>
          <w:highlight w:val="none"/>
        </w:rPr>
        <w:t>二、报价要求</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D9934D3">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本次报价须为人民币报价，所报产品报价包含：主材、辅料、运输费（含装卸费）、保险费、安装调试费、税费、清洁卫生费、第三方机构检验检测费及质保期内的售后服务费等完成本项目的所有费用。同时应负责因安装造成的对房屋前工序损坏的修复工作（包括但不限于道路、梯间、外墙等）。布帘、隔帘包含布带等辅料。因中标人自身原因造成漏报、少报皆由其自行承担责任，采购人不再补偿。</w:t>
      </w:r>
    </w:p>
    <w:p w14:paraId="3D88951E">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2、投标人的投标报价不得超过最高限价</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单价</w:t>
      </w:r>
      <w:r>
        <w:rPr>
          <w:rFonts w:hint="eastAsia" w:ascii="仿宋" w:hAnsi="仿宋" w:eastAsia="仿宋" w:cs="仿宋"/>
          <w:kern w:val="0"/>
          <w:sz w:val="24"/>
          <w:szCs w:val="24"/>
          <w:highlight w:val="none"/>
        </w:rPr>
        <w:t>限价</w:t>
      </w:r>
      <w:r>
        <w:rPr>
          <w:rFonts w:hint="eastAsia" w:ascii="仿宋" w:hAnsi="仿宋" w:eastAsia="仿宋" w:cs="仿宋"/>
          <w:kern w:val="0"/>
          <w:sz w:val="24"/>
          <w:szCs w:val="24"/>
          <w:highlight w:val="none"/>
          <w:lang w:val="en-US" w:eastAsia="zh-CN"/>
        </w:rPr>
        <w:t>和采购预算，否则为无效投标。</w:t>
      </w:r>
    </w:p>
    <w:p w14:paraId="3FAB2D7A">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3、供货完成，验收合格后据实结算。</w:t>
      </w:r>
    </w:p>
    <w:p w14:paraId="0A7BBD51">
      <w:pPr>
        <w:pStyle w:val="4"/>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
          <w:sz w:val="24"/>
          <w:szCs w:val="24"/>
          <w:highlight w:val="none"/>
        </w:rPr>
      </w:pPr>
      <w:bookmarkStart w:id="65" w:name="_Toc16693"/>
      <w:bookmarkStart w:id="66" w:name="_Toc23903"/>
      <w:bookmarkStart w:id="67" w:name="_Toc27382"/>
      <w:bookmarkStart w:id="68" w:name="_Toc14177"/>
      <w:bookmarkStart w:id="69" w:name="_Toc12168"/>
      <w:bookmarkStart w:id="70" w:name="_Toc2340"/>
      <w:bookmarkStart w:id="71" w:name="_Toc15677"/>
      <w:bookmarkStart w:id="72" w:name="_Toc15096"/>
      <w:bookmarkStart w:id="73" w:name="_Toc3465"/>
      <w:bookmarkStart w:id="74" w:name="_Toc4774"/>
      <w:bookmarkStart w:id="75" w:name="_Toc4252"/>
      <w:bookmarkStart w:id="76" w:name="_Toc75793511"/>
      <w:bookmarkStart w:id="77" w:name="_Toc32313"/>
      <w:bookmarkStart w:id="78" w:name="_Toc2821"/>
      <w:bookmarkStart w:id="79" w:name="_Toc20887"/>
      <w:bookmarkStart w:id="80" w:name="_Toc1450"/>
      <w:bookmarkStart w:id="81" w:name="_Toc2244"/>
      <w:r>
        <w:rPr>
          <w:rFonts w:hint="eastAsia" w:ascii="仿宋" w:hAnsi="仿宋" w:eastAsia="仿宋" w:cs="仿宋"/>
          <w:kern w:val="0"/>
          <w:sz w:val="24"/>
          <w:szCs w:val="24"/>
          <w:highlight w:val="none"/>
        </w:rPr>
        <w:t>※</w:t>
      </w:r>
      <w:r>
        <w:rPr>
          <w:rFonts w:hint="eastAsia" w:ascii="仿宋" w:hAnsi="仿宋" w:eastAsia="仿宋" w:cs="仿宋"/>
          <w:b/>
          <w:sz w:val="24"/>
          <w:szCs w:val="24"/>
          <w:highlight w:val="none"/>
        </w:rPr>
        <w:t>三、质量保证及售后服务</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4ACAEBC6">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bookmarkStart w:id="82" w:name="_Toc18007"/>
      <w:bookmarkStart w:id="83" w:name="_Toc5174"/>
      <w:bookmarkStart w:id="84" w:name="_Toc1008"/>
      <w:bookmarkStart w:id="85" w:name="_Toc29286"/>
      <w:bookmarkStart w:id="86" w:name="_Toc32722"/>
      <w:bookmarkStart w:id="87" w:name="_Toc12285"/>
      <w:bookmarkStart w:id="88" w:name="_Toc267320051"/>
      <w:bookmarkStart w:id="89" w:name="_Toc22695"/>
      <w:bookmarkStart w:id="90" w:name="_Toc30442"/>
      <w:bookmarkStart w:id="91" w:name="_Toc75793512"/>
      <w:bookmarkStart w:id="92" w:name="_Toc25932"/>
      <w:bookmarkStart w:id="93" w:name="_Toc21888"/>
      <w:bookmarkStart w:id="94" w:name="_Toc25552"/>
      <w:bookmarkStart w:id="95" w:name="_Toc8955"/>
      <w:bookmarkStart w:id="96" w:name="_Toc19350"/>
      <w:bookmarkStart w:id="97" w:name="_Toc25745"/>
      <w:r>
        <w:rPr>
          <w:rFonts w:hint="eastAsia" w:ascii="仿宋" w:hAnsi="仿宋" w:eastAsia="仿宋" w:cs="仿宋"/>
          <w:kern w:val="0"/>
          <w:sz w:val="24"/>
          <w:szCs w:val="24"/>
          <w:highlight w:val="none"/>
          <w:lang w:val="en-US" w:eastAsia="zh-CN"/>
        </w:rPr>
        <w:t>（一）产品质量保证期：自验收合格之日起，其投标产品质量保证期达到1年。（质保期内提供与本次投标产品同品牌、同品质的维保服务全保）。产品因损坏、瑕疵导致无法使用（超过5个日历日），中标人应为采购人提供同型号或符合采购人需求的备用产品，此条款也适用于保修期外。</w:t>
      </w:r>
    </w:p>
    <w:p w14:paraId="276DE6C4">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（二）售后服务内容：</w:t>
      </w:r>
    </w:p>
    <w:p w14:paraId="1AE68982">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1、在质保期内，因产品本身的质量问题（如材料、工艺或设计缺陷）导致的故障或损坏，中标人应提供维修服务，费用由中标人承担。维修包括但不限于配件更换、故障排除等，确保产品恢复到正常使用状态。质保期内，非人为损坏因素，包退换。质保期过后，投标人维修只收取配件成本费，不收取人工及差旅等其他费用。 </w:t>
      </w:r>
    </w:p>
    <w:p w14:paraId="78244561">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2、日常维护要求：A.在质保期内，中标人负责应每年≥1次派专业技术人员对该产品巡检维护，中标人应根据产品使用特性，制定日常维护计划。并将巡检维护记录反馈至使用科室。每次维护后应填写维护记录表详细记录维护日期、维护内容、发现的问题以及采取的解决措施。B.日常维护内容应包括但不限于产品外观检查、状态检测、易损部件状态评估等。维护工作应由专业技术人员执行，确保操作规范、安全有效。C.中标人应在每次维护前提前通知采购人并协调工作时间，维护过程中应避免影响采购人正常使用。D.如在维护过程中发现产品存在异常、故障隐患或使用不当行为，中标人应及时向采购人报告，并提出处理建议或应急处置措施，必要时协助采购人制定整改计划。E.每次维护后应提交维护记录报告，内容应包括：维护时间、人员、主要维护项目、发现的问题及处理措施、预防性建议等，报采购人审核并由双方确认存档。 F.中标人应定期回顾维护记录，根据产品使用趋势对维护策略进行动态优化，提升产品使用稳定性和使用寿命。 </w:t>
      </w:r>
    </w:p>
    <w:p w14:paraId="0D826725">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3、维修服务要求： A.远程技术支持质保期内，中标人应提供7×24小时远程技术支持服务，支持电话、电子邮件、即时通讯工具及远程诊断连接等多种方式，并明确提供各渠道的具体联系方式，及时响应采购人在产品使用过程中遇到的技术问题。 B.现场维修服务要求：若远程技术支持无法解决产品故障，中标人应在接到故障通知后，按要求的响应时间内派遣资深专业技术人员到现场进行维修，确保产品尽快恢复正常使用。现场维修应包括故障诊断、故障排除、更换损坏配件、产品性能测试及确认等全过程，维修工作应规范、细致，符合产品使用和安全标准。维修过程中，如发现产品存在潜在风险或安全隐患，中标人应及时通知采购人，并提出防范和整改建议。 维修完成后，中标人应向采购人提交详细的维修报告，说明故障原因、处理措施及后续维护建议，并获得采购人确认。 C.质量保证与持续改进中标人应确保维修服务质量符合国家及行业相关标准，维修技术人员应具备相应资质和丰富经验。中标人应建立健全质量管理体系，对维修过程进行有效监督和控制，确保服务过程规范、高效。中标人应根据维修情况和采购人反馈，持续优化维修流程和服务内容，不断提升服务水平，保障产品长期稳定使用。 </w:t>
      </w:r>
    </w:p>
    <w:p w14:paraId="262243FB">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质保范围：产品含所有部件，质保期内涉及维护维修，产品更换，人工费用等一切费用包含在本合同总价中。质保期内出现质量问题，中标人在接到采购人通知后立即响应，5小时内到场维修，3天内维修好产品。如质保期内，货物经中标人二次维修仍不能达到本合同约定的质量标准，采购人有权采取要求中标人更换全新货物、退货并追究中标人违约责任</w:t>
      </w:r>
      <w:r>
        <w:rPr>
          <w:rFonts w:hint="eastAsia" w:ascii="仿宋" w:hAnsi="仿宋" w:eastAsia="仿宋" w:cs="仿宋"/>
          <w:b/>
          <w:bCs/>
          <w:kern w:val="0"/>
          <w:sz w:val="24"/>
          <w:szCs w:val="24"/>
          <w:highlight w:val="none"/>
          <w:lang w:val="en-US" w:eastAsia="zh-CN"/>
        </w:rPr>
        <w:t>（提供承诺函，格式自拟）</w:t>
      </w:r>
      <w:r>
        <w:rPr>
          <w:rFonts w:hint="eastAsia" w:ascii="仿宋" w:hAnsi="仿宋" w:eastAsia="仿宋" w:cs="仿宋"/>
          <w:kern w:val="0"/>
          <w:sz w:val="24"/>
          <w:szCs w:val="24"/>
          <w:highlight w:val="none"/>
          <w:lang w:val="en-US" w:eastAsia="zh-CN"/>
        </w:rPr>
        <w:t>。质保期内，如需更换零配件，中标人应保证所更换的零配件与原产品相同规格和品质，维护及维修产生的费用包括在合同总价中。</w:t>
      </w:r>
    </w:p>
    <w:p w14:paraId="66627AC6">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（三）备品备件及易损件</w:t>
      </w:r>
    </w:p>
    <w:p w14:paraId="03326096">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投标人售后服务中，维修使用的备品备件及易损件应为原厂配件，未经采购人同意不得使用非原厂配件，常用的、容易损坏的备品备件及易损件的价格清单须在投标文件中列出。</w:t>
      </w:r>
    </w:p>
    <w:p w14:paraId="3BF442F1">
      <w:pPr>
        <w:pStyle w:val="4"/>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
          <w:sz w:val="24"/>
          <w:szCs w:val="24"/>
          <w:highlight w:val="none"/>
        </w:rPr>
      </w:pPr>
      <w:bookmarkStart w:id="98" w:name="_Toc10989"/>
      <w:bookmarkStart w:id="99" w:name="_Toc321"/>
      <w:r>
        <w:rPr>
          <w:rFonts w:hint="eastAsia" w:ascii="仿宋" w:hAnsi="仿宋" w:eastAsia="仿宋" w:cs="仿宋"/>
          <w:kern w:val="0"/>
          <w:sz w:val="24"/>
          <w:szCs w:val="24"/>
          <w:highlight w:val="none"/>
        </w:rPr>
        <w:t>※</w:t>
      </w:r>
      <w:r>
        <w:rPr>
          <w:rFonts w:hint="eastAsia" w:ascii="仿宋" w:hAnsi="仿宋" w:eastAsia="仿宋" w:cs="仿宋"/>
          <w:b/>
          <w:sz w:val="24"/>
          <w:szCs w:val="24"/>
          <w:highlight w:val="none"/>
        </w:rPr>
        <w:t>四、付款方式</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0AE68300">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（一）中标人按采购人实际需求进行供货，据实结算。</w:t>
      </w:r>
    </w:p>
    <w:p w14:paraId="31BA7ECC">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（二）货款支付</w:t>
      </w:r>
    </w:p>
    <w:p w14:paraId="48764CC1">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中标人按合同履约，经采购人验收合格后，按实际供货金额开具100%的货款发票，采购人原则上应在收到发票后5个工作日内按程序办理支付手续。 </w:t>
      </w:r>
    </w:p>
    <w:p w14:paraId="52B120E0">
      <w:pPr>
        <w:pStyle w:val="4"/>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
          <w:sz w:val="24"/>
          <w:szCs w:val="24"/>
          <w:highlight w:val="none"/>
        </w:rPr>
      </w:pPr>
      <w:bookmarkStart w:id="100" w:name="_Toc23515"/>
      <w:bookmarkStart w:id="101" w:name="_Toc190954573"/>
      <w:bookmarkStart w:id="102" w:name="_Toc15888"/>
      <w:r>
        <w:rPr>
          <w:rFonts w:hint="eastAsia" w:ascii="仿宋" w:hAnsi="仿宋" w:eastAsia="仿宋" w:cs="仿宋"/>
          <w:kern w:val="0"/>
          <w:sz w:val="24"/>
          <w:szCs w:val="24"/>
          <w:highlight w:val="none"/>
        </w:rPr>
        <w:t>※</w:t>
      </w: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、知识产权</w:t>
      </w:r>
      <w:bookmarkEnd w:id="100"/>
      <w:bookmarkEnd w:id="101"/>
      <w:bookmarkEnd w:id="102"/>
    </w:p>
    <w:p w14:paraId="79AC0F3E">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采购人在中华人民共和国境内使用投标人提供的货物及服务时免受第三方提出的侵犯其专利权或其它知识产权的起诉。如果第三方提出侵权指控，中标人应承担由此而引起的一切法律责任和费用。</w:t>
      </w:r>
    </w:p>
    <w:p w14:paraId="0CE300DB">
      <w:pPr>
        <w:pStyle w:val="4"/>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
          <w:sz w:val="24"/>
          <w:szCs w:val="24"/>
          <w:highlight w:val="none"/>
        </w:rPr>
      </w:pPr>
      <w:bookmarkStart w:id="103" w:name="_Toc5002"/>
      <w:bookmarkStart w:id="104" w:name="_Toc76373882"/>
      <w:bookmarkStart w:id="105" w:name="_Toc24356"/>
      <w:bookmarkStart w:id="106" w:name="_Toc8233"/>
      <w:bookmarkStart w:id="107" w:name="_Toc190954574"/>
      <w:bookmarkStart w:id="108" w:name="_Toc2677"/>
      <w:bookmarkStart w:id="109" w:name="_Toc267320053"/>
      <w:bookmarkStart w:id="110" w:name="_Toc25656"/>
      <w:bookmarkStart w:id="111" w:name="_Toc31777"/>
      <w:r>
        <w:rPr>
          <w:rFonts w:hint="eastAsia" w:ascii="仿宋" w:hAnsi="仿宋" w:eastAsia="仿宋" w:cs="仿宋"/>
          <w:kern w:val="0"/>
          <w:sz w:val="24"/>
          <w:szCs w:val="24"/>
          <w:highlight w:val="none"/>
        </w:rPr>
        <w:t>※</w:t>
      </w:r>
      <w:r>
        <w:rPr>
          <w:rFonts w:hint="eastAsia" w:ascii="仿宋" w:hAnsi="仿宋" w:eastAsia="仿宋" w:cs="仿宋"/>
          <w:b/>
          <w:sz w:val="24"/>
          <w:szCs w:val="24"/>
          <w:highlight w:val="none"/>
          <w:lang w:val="en-US" w:eastAsia="zh-CN"/>
        </w:rPr>
        <w:t>六</w:t>
      </w:r>
      <w:r>
        <w:rPr>
          <w:rFonts w:hint="eastAsia" w:ascii="仿宋" w:hAnsi="仿宋" w:eastAsia="仿宋" w:cs="仿宋"/>
          <w:b/>
          <w:sz w:val="24"/>
          <w:szCs w:val="24"/>
          <w:highlight w:val="none"/>
        </w:rPr>
        <w:t>、培训</w:t>
      </w:r>
      <w:bookmarkEnd w:id="103"/>
      <w:bookmarkEnd w:id="104"/>
      <w:bookmarkEnd w:id="105"/>
      <w:bookmarkEnd w:id="106"/>
      <w:bookmarkEnd w:id="107"/>
      <w:bookmarkEnd w:id="108"/>
      <w:bookmarkEnd w:id="109"/>
      <w:bookmarkEnd w:id="110"/>
      <w:bookmarkEnd w:id="111"/>
    </w:p>
    <w:p w14:paraId="2A58912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rPr>
      </w:pPr>
      <w:bookmarkStart w:id="112" w:name="_Toc30757"/>
      <w:bookmarkStart w:id="113" w:name="_Toc13556"/>
      <w:bookmarkStart w:id="114" w:name="_Toc32632"/>
      <w:bookmarkStart w:id="115" w:name="_Toc76373883"/>
      <w:bookmarkStart w:id="116" w:name="_Toc20594"/>
      <w:r>
        <w:rPr>
          <w:rFonts w:hint="eastAsia" w:ascii="仿宋" w:hAnsi="仿宋" w:eastAsia="仿宋" w:cs="仿宋"/>
          <w:kern w:val="0"/>
          <w:sz w:val="24"/>
          <w:szCs w:val="24"/>
          <w:highlight w:val="none"/>
        </w:rPr>
        <w:t>投标人对其提供产品的使用和操作应尽培训义务。投标人应提供对采购人的基本免费培训，使采购人使用人员能够正常操作。</w:t>
      </w:r>
    </w:p>
    <w:bookmarkEnd w:id="112"/>
    <w:bookmarkEnd w:id="113"/>
    <w:bookmarkEnd w:id="114"/>
    <w:bookmarkEnd w:id="115"/>
    <w:bookmarkEnd w:id="116"/>
    <w:p w14:paraId="2BDB9EEB">
      <w:pPr>
        <w:pStyle w:val="4"/>
        <w:pageBreakBefore w:val="0"/>
        <w:widowControl w:val="0"/>
        <w:kinsoku/>
        <w:wordWrap/>
        <w:overflowPunct/>
        <w:topLinePunct w:val="0"/>
        <w:autoSpaceDE/>
        <w:autoSpaceDN/>
        <w:bidi w:val="0"/>
        <w:spacing w:line="400" w:lineRule="exact"/>
        <w:ind w:firstLine="480"/>
        <w:textAlignment w:val="auto"/>
        <w:rPr>
          <w:rFonts w:hint="eastAsia" w:ascii="仿宋" w:hAnsi="仿宋" w:eastAsia="仿宋" w:cs="仿宋"/>
          <w:b/>
          <w:bCs/>
          <w:kern w:val="0"/>
          <w:sz w:val="24"/>
          <w:szCs w:val="24"/>
          <w:highlight w:val="none"/>
          <w:lang w:val="en-US" w:eastAsia="zh-CN"/>
        </w:rPr>
      </w:pPr>
      <w:bookmarkStart w:id="117" w:name="_Toc24724"/>
      <w:bookmarkStart w:id="118" w:name="_Toc12263"/>
      <w:bookmarkStart w:id="119" w:name="_Toc22829"/>
      <w:bookmarkStart w:id="120" w:name="_Toc20293"/>
      <w:r>
        <w:rPr>
          <w:rFonts w:hint="eastAsia" w:ascii="仿宋" w:hAnsi="仿宋" w:eastAsia="仿宋" w:cs="仿宋"/>
          <w:b/>
          <w:bCs/>
          <w:kern w:val="0"/>
          <w:sz w:val="24"/>
          <w:szCs w:val="24"/>
          <w:highlight w:val="none"/>
          <w:lang w:val="en-US" w:eastAsia="zh-CN"/>
        </w:rPr>
        <w:t>七、附件、图纸及包装要求</w:t>
      </w:r>
      <w:bookmarkEnd w:id="117"/>
      <w:bookmarkEnd w:id="118"/>
    </w:p>
    <w:p w14:paraId="77063FA3">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所有设备按照制造商规定的产品包装和随机标准附件为准，包装和交货前的运输费用及安装验收时的搬运费用由中标人负责，一切因包装、运输不当等原因引起的损失及在采购人签发安装调试合格的正式验收报告前设备发生的灭失、损毁等风险由中标人承担。</w:t>
      </w:r>
    </w:p>
    <w:p w14:paraId="5E3C7143">
      <w:pPr>
        <w:pStyle w:val="4"/>
        <w:pageBreakBefore w:val="0"/>
        <w:widowControl w:val="0"/>
        <w:kinsoku/>
        <w:wordWrap/>
        <w:overflowPunct/>
        <w:topLinePunct w:val="0"/>
        <w:autoSpaceDE/>
        <w:autoSpaceDN/>
        <w:bidi w:val="0"/>
        <w:spacing w:line="400" w:lineRule="exact"/>
        <w:ind w:firstLine="480"/>
        <w:textAlignment w:val="auto"/>
        <w:rPr>
          <w:rFonts w:hint="eastAsia" w:ascii="仿宋" w:hAnsi="仿宋" w:eastAsia="仿宋" w:cs="仿宋"/>
          <w:b/>
          <w:sz w:val="24"/>
          <w:szCs w:val="24"/>
          <w:highlight w:val="none"/>
        </w:rPr>
      </w:pPr>
      <w:bookmarkStart w:id="121" w:name="_Toc30007"/>
      <w:bookmarkStart w:id="122" w:name="_Toc11437"/>
      <w:r>
        <w:rPr>
          <w:rFonts w:hint="eastAsia" w:ascii="仿宋" w:hAnsi="仿宋" w:eastAsia="仿宋" w:cs="仿宋"/>
          <w:b/>
          <w:sz w:val="24"/>
          <w:szCs w:val="24"/>
          <w:highlight w:val="none"/>
          <w:lang w:val="en-US" w:eastAsia="zh-CN"/>
        </w:rPr>
        <w:t>八</w:t>
      </w:r>
      <w:r>
        <w:rPr>
          <w:rFonts w:hint="eastAsia" w:ascii="仿宋" w:hAnsi="仿宋" w:eastAsia="仿宋" w:cs="仿宋"/>
          <w:b/>
          <w:sz w:val="24"/>
          <w:szCs w:val="24"/>
          <w:highlight w:val="none"/>
        </w:rPr>
        <w:t>、其他商务要求内容</w:t>
      </w:r>
      <w:bookmarkEnd w:id="119"/>
      <w:bookmarkEnd w:id="120"/>
      <w:bookmarkEnd w:id="121"/>
      <w:bookmarkEnd w:id="122"/>
    </w:p>
    <w:p w14:paraId="009E0BC3">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其他未尽事宜由供需双方在采购合同中详细约定。</w:t>
      </w:r>
    </w:p>
    <w:p w14:paraId="567D1613">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bookmarkEnd w:id="43"/>
    <w:bookmarkEnd w:id="44"/>
    <w:p w14:paraId="7283445D">
      <w:pPr>
        <w:pStyle w:val="3"/>
        <w:spacing w:before="0" w:beforeLines="0" w:after="0" w:afterLines="0" w:line="360" w:lineRule="auto"/>
        <w:rPr>
          <w:rFonts w:hint="eastAsia" w:ascii="仿宋" w:hAnsi="仿宋" w:eastAsia="仿宋" w:cs="仿宋"/>
          <w:color w:val="auto"/>
          <w:sz w:val="52"/>
          <w:szCs w:val="52"/>
          <w:highlight w:val="none"/>
        </w:rPr>
      </w:pPr>
      <w:bookmarkStart w:id="123" w:name="_Toc7127"/>
      <w:bookmarkStart w:id="124" w:name="_Toc267320057"/>
      <w:r>
        <w:rPr>
          <w:rFonts w:hint="eastAsia" w:ascii="仿宋" w:hAnsi="仿宋" w:eastAsia="仿宋" w:cs="仿宋"/>
          <w:color w:val="auto"/>
          <w:sz w:val="52"/>
          <w:szCs w:val="52"/>
          <w:highlight w:val="none"/>
          <w:lang w:val="en-US" w:eastAsia="zh-CN"/>
        </w:rPr>
        <w:t>第</w:t>
      </w:r>
      <w:r>
        <w:rPr>
          <w:rFonts w:hint="eastAsia" w:ascii="仿宋" w:hAnsi="仿宋" w:eastAsia="仿宋" w:cs="仿宋"/>
          <w:color w:val="auto"/>
          <w:sz w:val="52"/>
          <w:szCs w:val="52"/>
          <w:highlight w:val="none"/>
        </w:rPr>
        <w:t>四篇  比选程序及方法、评审标准、无效响应和采购终止</w:t>
      </w:r>
      <w:bookmarkEnd w:id="123"/>
    </w:p>
    <w:p w14:paraId="066FC4B0">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bookmarkStart w:id="125" w:name="_Toc76462333"/>
      <w:bookmarkEnd w:id="125"/>
      <w:bookmarkStart w:id="126" w:name="_Toc19981"/>
      <w:bookmarkEnd w:id="126"/>
      <w:bookmarkStart w:id="127" w:name="_Toc106030888"/>
      <w:bookmarkEnd w:id="127"/>
      <w:bookmarkStart w:id="128" w:name="_Toc17901"/>
      <w:bookmarkStart w:id="129" w:name="_Toc19071"/>
      <w:r>
        <w:rPr>
          <w:rFonts w:hint="eastAsia" w:ascii="仿宋" w:hAnsi="仿宋" w:eastAsia="仿宋" w:cs="仿宋"/>
          <w:b/>
          <w:bCs/>
          <w:color w:val="auto"/>
          <w:sz w:val="24"/>
          <w:szCs w:val="24"/>
          <w:highlight w:val="none"/>
          <w:lang w:val="en-US" w:eastAsia="zh-CN"/>
        </w:rPr>
        <w:t>一、比选程序及方法</w:t>
      </w:r>
      <w:bookmarkEnd w:id="128"/>
      <w:bookmarkEnd w:id="129"/>
    </w:p>
    <w:p w14:paraId="7A75AB43">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（一）比选按竞争性比选文件规定的时间和地点进行，</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须有法定代表人或其授权代表参加并签到。由本项目依法组建的评审小组分别与各</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进行比选。</w:t>
      </w:r>
    </w:p>
    <w:p w14:paraId="46DFC2C1">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（二）评审小组对各</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的资格条件、</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的有效性、完整性和响应程度进行审查。各</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只有在完全符合要求的前提下，才能参与正式比选。</w:t>
      </w:r>
    </w:p>
    <w:p w14:paraId="79B7B596">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1.资格性检查。依据法律法规和竞争性比选文件的规定，对</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中的资格证明、等进行审查，以确定</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是否具备比选资格。资格性检查资料表如下：</w:t>
      </w: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1EBF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F3DFF27">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50985B3B">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180CCE5C">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检查内容</w:t>
            </w:r>
          </w:p>
        </w:tc>
      </w:tr>
      <w:tr w14:paraId="29AA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7FD545F7">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p>
        </w:tc>
        <w:tc>
          <w:tcPr>
            <w:tcW w:w="709" w:type="dxa"/>
            <w:vMerge w:val="restart"/>
            <w:vAlign w:val="center"/>
          </w:tcPr>
          <w:p w14:paraId="2CCE5BD9">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《中华人民共和国政府采购法》第二十二条规定</w:t>
            </w:r>
          </w:p>
        </w:tc>
        <w:tc>
          <w:tcPr>
            <w:tcW w:w="3118" w:type="dxa"/>
            <w:vAlign w:val="center"/>
          </w:tcPr>
          <w:p w14:paraId="4D23F6F7">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4984" w:type="dxa"/>
            <w:vAlign w:val="center"/>
          </w:tcPr>
          <w:p w14:paraId="45C3FDEF">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 xml:space="preserve">法人营业执照（副本）或事业单位法人证书（副本）或个体工商户营业执照或有效的自然人身份证明或社会团体法人登记证书（提供复印件）。 </w:t>
            </w:r>
          </w:p>
          <w:p w14:paraId="00A2F02C">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法定代表人身份证明和法定代表人授权代表委托书</w:t>
            </w:r>
            <w:r>
              <w:rPr>
                <w:rFonts w:hint="eastAsia" w:ascii="仿宋" w:hAnsi="仿宋" w:eastAsia="仿宋" w:cs="仿宋"/>
                <w:color w:val="auto"/>
                <w:sz w:val="24"/>
                <w:szCs w:val="24"/>
                <w:highlight w:val="none"/>
                <w:lang w:val="en-US" w:eastAsia="zh-CN"/>
              </w:rPr>
              <w:t>。</w:t>
            </w:r>
          </w:p>
        </w:tc>
      </w:tr>
      <w:tr w14:paraId="6839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B734129">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color w:val="auto"/>
                <w:sz w:val="24"/>
                <w:szCs w:val="24"/>
                <w:highlight w:val="none"/>
              </w:rPr>
            </w:pPr>
          </w:p>
        </w:tc>
        <w:tc>
          <w:tcPr>
            <w:tcW w:w="709" w:type="dxa"/>
            <w:vMerge w:val="continue"/>
            <w:vAlign w:val="center"/>
          </w:tcPr>
          <w:p w14:paraId="6F37082E">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lang w:val="zh-CN"/>
              </w:rPr>
            </w:pPr>
          </w:p>
        </w:tc>
        <w:tc>
          <w:tcPr>
            <w:tcW w:w="3118" w:type="dxa"/>
            <w:vAlign w:val="center"/>
          </w:tcPr>
          <w:p w14:paraId="53027DF5">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具有良好的商业信誉和健全的财务会计制度</w:t>
            </w:r>
          </w:p>
        </w:tc>
        <w:tc>
          <w:tcPr>
            <w:tcW w:w="4984" w:type="dxa"/>
            <w:vMerge w:val="restart"/>
            <w:vAlign w:val="center"/>
          </w:tcPr>
          <w:p w14:paraId="7CF40D30">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提供“基本资格条件承诺函”（格式详见第七篇）</w:t>
            </w:r>
          </w:p>
        </w:tc>
      </w:tr>
      <w:tr w14:paraId="177D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0348D1D">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color w:val="auto"/>
                <w:sz w:val="24"/>
                <w:szCs w:val="24"/>
                <w:highlight w:val="none"/>
              </w:rPr>
            </w:pPr>
          </w:p>
        </w:tc>
        <w:tc>
          <w:tcPr>
            <w:tcW w:w="709" w:type="dxa"/>
            <w:vMerge w:val="continue"/>
            <w:vAlign w:val="center"/>
          </w:tcPr>
          <w:p w14:paraId="22C70BAC">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lang w:val="zh-CN"/>
              </w:rPr>
            </w:pPr>
          </w:p>
        </w:tc>
        <w:tc>
          <w:tcPr>
            <w:tcW w:w="3118" w:type="dxa"/>
            <w:vAlign w:val="center"/>
          </w:tcPr>
          <w:p w14:paraId="74501597">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3.具有履行合同所必需的设备和专业技术能力</w:t>
            </w:r>
          </w:p>
        </w:tc>
        <w:tc>
          <w:tcPr>
            <w:tcW w:w="4984" w:type="dxa"/>
            <w:vMerge w:val="continue"/>
            <w:vAlign w:val="center"/>
          </w:tcPr>
          <w:p w14:paraId="1DBF60EA">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p>
        </w:tc>
      </w:tr>
      <w:tr w14:paraId="0328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49221EB">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color w:val="auto"/>
                <w:sz w:val="24"/>
                <w:szCs w:val="24"/>
                <w:highlight w:val="none"/>
              </w:rPr>
            </w:pPr>
          </w:p>
        </w:tc>
        <w:tc>
          <w:tcPr>
            <w:tcW w:w="709" w:type="dxa"/>
            <w:vMerge w:val="continue"/>
            <w:vAlign w:val="center"/>
          </w:tcPr>
          <w:p w14:paraId="08350577">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lang w:val="zh-CN"/>
              </w:rPr>
            </w:pPr>
          </w:p>
        </w:tc>
        <w:tc>
          <w:tcPr>
            <w:tcW w:w="3118" w:type="dxa"/>
            <w:vAlign w:val="center"/>
          </w:tcPr>
          <w:p w14:paraId="31A960BD">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4.有依法缴纳税收和社会保障金的良好记录</w:t>
            </w:r>
          </w:p>
        </w:tc>
        <w:tc>
          <w:tcPr>
            <w:tcW w:w="4984" w:type="dxa"/>
            <w:vMerge w:val="continue"/>
            <w:vAlign w:val="center"/>
          </w:tcPr>
          <w:p w14:paraId="1E44D9A7">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p>
        </w:tc>
      </w:tr>
      <w:tr w14:paraId="2DAC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B589D15">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color w:val="auto"/>
                <w:sz w:val="24"/>
                <w:szCs w:val="24"/>
                <w:highlight w:val="none"/>
              </w:rPr>
            </w:pPr>
          </w:p>
        </w:tc>
        <w:tc>
          <w:tcPr>
            <w:tcW w:w="709" w:type="dxa"/>
            <w:vMerge w:val="continue"/>
            <w:vAlign w:val="center"/>
          </w:tcPr>
          <w:p w14:paraId="7076C95F">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lang w:val="zh-CN"/>
              </w:rPr>
            </w:pPr>
          </w:p>
        </w:tc>
        <w:tc>
          <w:tcPr>
            <w:tcW w:w="3118" w:type="dxa"/>
            <w:vAlign w:val="center"/>
          </w:tcPr>
          <w:p w14:paraId="6F440117">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5.参加政府采购活动前三年内，在经营活动中没有重大违法记录</w:t>
            </w:r>
          </w:p>
        </w:tc>
        <w:tc>
          <w:tcPr>
            <w:tcW w:w="4984" w:type="dxa"/>
            <w:vMerge w:val="continue"/>
            <w:vAlign w:val="center"/>
          </w:tcPr>
          <w:p w14:paraId="1466934B">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b/>
                <w:color w:val="auto"/>
                <w:sz w:val="24"/>
                <w:szCs w:val="24"/>
                <w:highlight w:val="none"/>
              </w:rPr>
            </w:pPr>
          </w:p>
        </w:tc>
      </w:tr>
      <w:tr w14:paraId="3D70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87077E2">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color w:val="auto"/>
                <w:sz w:val="24"/>
                <w:szCs w:val="24"/>
                <w:highlight w:val="none"/>
              </w:rPr>
            </w:pPr>
          </w:p>
        </w:tc>
        <w:tc>
          <w:tcPr>
            <w:tcW w:w="709" w:type="dxa"/>
            <w:vMerge w:val="continue"/>
            <w:vAlign w:val="center"/>
          </w:tcPr>
          <w:p w14:paraId="6654BF26">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p>
        </w:tc>
        <w:tc>
          <w:tcPr>
            <w:tcW w:w="3118" w:type="dxa"/>
            <w:vAlign w:val="center"/>
          </w:tcPr>
          <w:p w14:paraId="172717AD">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tc>
        <w:tc>
          <w:tcPr>
            <w:tcW w:w="4984" w:type="dxa"/>
            <w:vAlign w:val="center"/>
          </w:tcPr>
          <w:p w14:paraId="3D8015AE">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p>
        </w:tc>
      </w:tr>
      <w:tr w14:paraId="46F3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87A6848">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color w:val="auto"/>
                <w:sz w:val="24"/>
                <w:szCs w:val="24"/>
                <w:highlight w:val="none"/>
              </w:rPr>
            </w:pPr>
          </w:p>
        </w:tc>
        <w:tc>
          <w:tcPr>
            <w:tcW w:w="709" w:type="dxa"/>
            <w:vMerge w:val="continue"/>
            <w:vAlign w:val="center"/>
          </w:tcPr>
          <w:p w14:paraId="46A67CF3">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p>
        </w:tc>
        <w:tc>
          <w:tcPr>
            <w:tcW w:w="3118" w:type="dxa"/>
            <w:vAlign w:val="center"/>
          </w:tcPr>
          <w:p w14:paraId="005C1D01">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7.本项目的特定资格要求</w:t>
            </w:r>
          </w:p>
        </w:tc>
        <w:tc>
          <w:tcPr>
            <w:tcW w:w="4984" w:type="dxa"/>
            <w:vAlign w:val="center"/>
          </w:tcPr>
          <w:p w14:paraId="0C669CA6">
            <w:pPr>
              <w:pageBreakBefore w:val="0"/>
              <w:widowControl w:val="0"/>
              <w:kinsoku/>
              <w:wordWrap/>
              <w:overflowPunct/>
              <w:topLinePunct w:val="0"/>
              <w:autoSpaceDE/>
              <w:autoSpaceDN/>
              <w:bidi w:val="0"/>
              <w:spacing w:line="400" w:lineRule="exact"/>
              <w:textAlignment w:val="auto"/>
              <w:outlineLvl w:val="9"/>
              <w:rPr>
                <w:rFonts w:hint="eastAsia" w:ascii="仿宋" w:hAnsi="仿宋" w:eastAsia="仿宋" w:cs="仿宋"/>
                <w:color w:val="auto"/>
                <w:sz w:val="24"/>
                <w:szCs w:val="24"/>
                <w:highlight w:val="none"/>
                <w:lang w:val="en-US"/>
              </w:rPr>
            </w:pPr>
            <w:r>
              <w:rPr>
                <w:rFonts w:hint="eastAsia" w:ascii="仿宋" w:hAnsi="仿宋" w:eastAsia="仿宋" w:cs="仿宋"/>
                <w:b w:val="0"/>
                <w:bCs/>
                <w:color w:val="auto"/>
                <w:sz w:val="24"/>
                <w:szCs w:val="24"/>
                <w:highlight w:val="none"/>
                <w:lang w:val="en-US" w:eastAsia="zh-CN"/>
              </w:rPr>
              <w:t>按第一篇</w:t>
            </w:r>
            <w:r>
              <w:rPr>
                <w:rFonts w:hint="eastAsia" w:ascii="仿宋" w:hAnsi="仿宋" w:eastAsia="仿宋" w:cs="仿宋"/>
                <w:b w:val="0"/>
                <w:bCs/>
                <w:color w:val="auto"/>
                <w:sz w:val="24"/>
                <w:szCs w:val="24"/>
                <w:highlight w:val="none"/>
              </w:rPr>
              <w:t>三、</w:t>
            </w:r>
            <w:r>
              <w:rPr>
                <w:rFonts w:hint="eastAsia" w:ascii="仿宋" w:hAnsi="仿宋" w:eastAsia="仿宋" w:cs="仿宋"/>
                <w:b w:val="0"/>
                <w:bCs/>
                <w:color w:val="auto"/>
                <w:sz w:val="24"/>
                <w:szCs w:val="24"/>
                <w:highlight w:val="none"/>
                <w:lang w:eastAsia="zh-CN"/>
              </w:rPr>
              <w:t>投标人</w:t>
            </w:r>
            <w:r>
              <w:rPr>
                <w:rFonts w:hint="eastAsia" w:ascii="仿宋" w:hAnsi="仿宋" w:eastAsia="仿宋" w:cs="仿宋"/>
                <w:b w:val="0"/>
                <w:bCs/>
                <w:color w:val="auto"/>
                <w:sz w:val="24"/>
                <w:szCs w:val="24"/>
                <w:highlight w:val="none"/>
              </w:rPr>
              <w:t>资格条件</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三</w:t>
            </w:r>
            <w:r>
              <w:rPr>
                <w:rFonts w:hint="eastAsia" w:ascii="仿宋" w:hAnsi="仿宋" w:eastAsia="仿宋" w:cs="仿宋"/>
                <w:b w:val="0"/>
                <w:bCs/>
                <w:color w:val="auto"/>
                <w:sz w:val="24"/>
                <w:szCs w:val="24"/>
                <w:highlight w:val="none"/>
              </w:rPr>
              <w:t>）特定资格条件</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要求提供（如果有）</w:t>
            </w:r>
          </w:p>
        </w:tc>
      </w:tr>
      <w:tr w14:paraId="27C7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shd w:val="clear" w:color="auto" w:fill="auto"/>
            <w:vAlign w:val="center"/>
          </w:tcPr>
          <w:p w14:paraId="220F31F9">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（二）</w:t>
            </w:r>
          </w:p>
        </w:tc>
        <w:tc>
          <w:tcPr>
            <w:tcW w:w="3827" w:type="dxa"/>
            <w:gridSpan w:val="2"/>
            <w:shd w:val="clear" w:color="auto" w:fill="auto"/>
            <w:vAlign w:val="center"/>
          </w:tcPr>
          <w:p w14:paraId="7EFDBE19">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落实政府采购政策需满足的资格要求</w:t>
            </w:r>
          </w:p>
        </w:tc>
        <w:tc>
          <w:tcPr>
            <w:tcW w:w="4984" w:type="dxa"/>
            <w:shd w:val="clear" w:color="auto" w:fill="auto"/>
            <w:vAlign w:val="center"/>
          </w:tcPr>
          <w:p w14:paraId="76354E8F">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按“第一篇三、投标人资格要求（二）落实政府采购政策需满足的资格要求”的要求提交（如果有）。</w:t>
            </w:r>
          </w:p>
        </w:tc>
      </w:tr>
      <w:tr w14:paraId="280A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shd w:val="clear" w:color="auto" w:fill="auto"/>
            <w:vAlign w:val="center"/>
          </w:tcPr>
          <w:p w14:paraId="5006CDD4">
            <w:pPr>
              <w:pageBreakBefore w:val="0"/>
              <w:widowControl w:val="0"/>
              <w:kinsoku/>
              <w:wordWrap/>
              <w:overflowPunct/>
              <w:topLinePunct w:val="0"/>
              <w:autoSpaceDE/>
              <w:autoSpaceDN/>
              <w:bidi w:val="0"/>
              <w:spacing w:line="400" w:lineRule="exact"/>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w:t>
            </w:r>
          </w:p>
        </w:tc>
        <w:tc>
          <w:tcPr>
            <w:tcW w:w="3827" w:type="dxa"/>
            <w:gridSpan w:val="2"/>
            <w:shd w:val="clear" w:color="auto" w:fill="auto"/>
            <w:vAlign w:val="center"/>
          </w:tcPr>
          <w:p w14:paraId="66494202">
            <w:pPr>
              <w:pageBreakBefore w:val="0"/>
              <w:widowControl w:val="0"/>
              <w:kinsoku/>
              <w:wordWrap/>
              <w:overflowPunct/>
              <w:topLinePunct w:val="0"/>
              <w:autoSpaceDE/>
              <w:autoSpaceDN/>
              <w:bidi w:val="0"/>
              <w:spacing w:line="400" w:lineRule="exact"/>
              <w:ind w:left="0"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参选保证金</w:t>
            </w:r>
          </w:p>
        </w:tc>
        <w:tc>
          <w:tcPr>
            <w:tcW w:w="4984" w:type="dxa"/>
            <w:shd w:val="clear" w:color="auto" w:fill="auto"/>
            <w:vAlign w:val="center"/>
          </w:tcPr>
          <w:p w14:paraId="660AC674">
            <w:pPr>
              <w:pageBreakBefore w:val="0"/>
              <w:widowControl w:val="0"/>
              <w:kinsoku/>
              <w:wordWrap/>
              <w:overflowPunct/>
              <w:topLinePunct w:val="0"/>
              <w:autoSpaceDE/>
              <w:autoSpaceDN/>
              <w:bidi w:val="0"/>
              <w:spacing w:line="400" w:lineRule="exact"/>
              <w:ind w:left="0"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无</w:t>
            </w:r>
          </w:p>
        </w:tc>
      </w:tr>
    </w:tbl>
    <w:p w14:paraId="6035B87C">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650D15B1">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position w:val="-4"/>
          <w:sz w:val="36"/>
          <w:szCs w:val="24"/>
          <w:highlight w:val="none"/>
        </w:rPr>
        <w:instrText xml:space="preserve">○</w:instrText>
      </w:r>
      <w:r>
        <w:rPr>
          <w:rFonts w:hint="eastAsia" w:ascii="仿宋" w:hAnsi="仿宋" w:eastAsia="仿宋" w:cs="仿宋"/>
          <w:color w:val="auto"/>
          <w:kern w:val="0"/>
          <w:position w:val="0"/>
          <w:sz w:val="24"/>
          <w:szCs w:val="24"/>
          <w:highlight w:val="none"/>
        </w:rPr>
        <w:instrText xml:space="preserve">,1)</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根据《中华人民共和国政府采购法实施条例》第十九条“参加政府采购活动前三年内，在经营活动中没有重大违法记录”中“重大违法记录”，是指</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因违法经营受到刑事处罚或者责令停产停业、吊销许可证或者执照、较大数额罚款等行政处罚。行政处罚中“较大数额”的认定标准，参照“财政部关于《中华人民共和国政府采购法实施条例》第十九条第一款“较大数额罚款”具体适用问题的意见（财库〔2022〕3 号）”执行。</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可于投标文件递交截止时间前通过 “信用中国”网站(www.creditchina.gov.cn)、"中国政府采购网"(www.ccgp.gov.cn)等渠道查询信用记录。</w:t>
      </w:r>
    </w:p>
    <w:p w14:paraId="52C50DDF">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2.符合性审查。依据竞争性比选文件的规定，从投标文件的有效性、完整性和对竞争性比选文件的响应程度进行审查，以确定是否对竞争性比选文件的实质性要求作出响应。符合性审查资料表如下：</w:t>
      </w: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268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E379274">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544" w:type="dxa"/>
            <w:gridSpan w:val="2"/>
            <w:vAlign w:val="center"/>
          </w:tcPr>
          <w:p w14:paraId="2DD97CE8">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5409" w:type="dxa"/>
            <w:vAlign w:val="center"/>
          </w:tcPr>
          <w:p w14:paraId="323D9B2B">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评审标准</w:t>
            </w:r>
          </w:p>
        </w:tc>
      </w:tr>
      <w:tr w14:paraId="483C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331E201D">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560" w:type="dxa"/>
            <w:vMerge w:val="restart"/>
            <w:vAlign w:val="center"/>
          </w:tcPr>
          <w:p w14:paraId="68E41D79">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有效性审查</w:t>
            </w:r>
          </w:p>
        </w:tc>
        <w:tc>
          <w:tcPr>
            <w:tcW w:w="1984" w:type="dxa"/>
            <w:vAlign w:val="center"/>
          </w:tcPr>
          <w:p w14:paraId="60AE3CF7">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投标文件签署或盖章</w:t>
            </w:r>
          </w:p>
        </w:tc>
        <w:tc>
          <w:tcPr>
            <w:tcW w:w="5409" w:type="dxa"/>
            <w:vAlign w:val="center"/>
          </w:tcPr>
          <w:p w14:paraId="7251A6C3">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按竞争性比选文件“第七篇投标文件编制要求”要求签署或盖章。</w:t>
            </w:r>
          </w:p>
        </w:tc>
      </w:tr>
      <w:tr w14:paraId="3E0C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2F5A388A">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color w:val="auto"/>
                <w:kern w:val="0"/>
                <w:sz w:val="24"/>
                <w:szCs w:val="24"/>
                <w:highlight w:val="none"/>
              </w:rPr>
            </w:pPr>
          </w:p>
        </w:tc>
        <w:tc>
          <w:tcPr>
            <w:tcW w:w="1560" w:type="dxa"/>
            <w:vMerge w:val="continue"/>
            <w:vAlign w:val="center"/>
          </w:tcPr>
          <w:p w14:paraId="0E16B6CF">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kern w:val="0"/>
                <w:sz w:val="24"/>
                <w:szCs w:val="24"/>
                <w:highlight w:val="none"/>
              </w:rPr>
            </w:pPr>
          </w:p>
        </w:tc>
        <w:tc>
          <w:tcPr>
            <w:tcW w:w="1984" w:type="dxa"/>
            <w:vAlign w:val="center"/>
          </w:tcPr>
          <w:p w14:paraId="333E3A0C">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5409" w:type="dxa"/>
            <w:vAlign w:val="center"/>
          </w:tcPr>
          <w:p w14:paraId="05CCA7E1">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法定代表人身份证明及授权委托书有效，符合竞争性比选文件规定的格式，签署或盖章齐全。</w:t>
            </w:r>
          </w:p>
        </w:tc>
      </w:tr>
      <w:tr w14:paraId="4360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53C3FB31">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color w:val="auto"/>
                <w:kern w:val="0"/>
                <w:sz w:val="24"/>
                <w:szCs w:val="24"/>
                <w:highlight w:val="none"/>
              </w:rPr>
            </w:pPr>
          </w:p>
        </w:tc>
        <w:tc>
          <w:tcPr>
            <w:tcW w:w="1560" w:type="dxa"/>
            <w:vMerge w:val="continue"/>
            <w:vAlign w:val="center"/>
          </w:tcPr>
          <w:p w14:paraId="03FDA586">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kern w:val="0"/>
                <w:sz w:val="24"/>
                <w:szCs w:val="24"/>
                <w:highlight w:val="none"/>
              </w:rPr>
            </w:pPr>
          </w:p>
        </w:tc>
        <w:tc>
          <w:tcPr>
            <w:tcW w:w="1984" w:type="dxa"/>
            <w:vAlign w:val="center"/>
          </w:tcPr>
          <w:p w14:paraId="148821CD">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c>
          <w:tcPr>
            <w:tcW w:w="5409" w:type="dxa"/>
            <w:vAlign w:val="center"/>
          </w:tcPr>
          <w:p w14:paraId="0BD834DC">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只能有一个</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r>
      <w:tr w14:paraId="033F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430DBD2F">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color w:val="auto"/>
                <w:kern w:val="0"/>
                <w:sz w:val="24"/>
                <w:szCs w:val="24"/>
                <w:highlight w:val="none"/>
              </w:rPr>
            </w:pPr>
          </w:p>
        </w:tc>
        <w:tc>
          <w:tcPr>
            <w:tcW w:w="1560" w:type="dxa"/>
            <w:vMerge w:val="continue"/>
            <w:vAlign w:val="center"/>
          </w:tcPr>
          <w:p w14:paraId="0ED6D4FD">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kern w:val="0"/>
                <w:sz w:val="24"/>
                <w:szCs w:val="24"/>
                <w:highlight w:val="none"/>
              </w:rPr>
            </w:pPr>
          </w:p>
        </w:tc>
        <w:tc>
          <w:tcPr>
            <w:tcW w:w="1984" w:type="dxa"/>
            <w:vAlign w:val="center"/>
          </w:tcPr>
          <w:p w14:paraId="7A41B40D">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5409" w:type="dxa"/>
            <w:vAlign w:val="center"/>
          </w:tcPr>
          <w:p w14:paraId="454BE61C">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只能有一个有效报价，不得提交选择性报价。</w:t>
            </w:r>
          </w:p>
        </w:tc>
      </w:tr>
      <w:tr w14:paraId="60ED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001D46D2">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60" w:type="dxa"/>
            <w:vAlign w:val="center"/>
          </w:tcPr>
          <w:p w14:paraId="3DEDCF83">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完整性审查</w:t>
            </w:r>
          </w:p>
        </w:tc>
        <w:tc>
          <w:tcPr>
            <w:tcW w:w="1984" w:type="dxa"/>
            <w:vAlign w:val="center"/>
          </w:tcPr>
          <w:p w14:paraId="4330E7A5">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投标文件</w:t>
            </w:r>
            <w:r>
              <w:rPr>
                <w:rFonts w:hint="eastAsia" w:ascii="仿宋" w:hAnsi="仿宋" w:eastAsia="仿宋" w:cs="仿宋"/>
                <w:color w:val="auto"/>
                <w:sz w:val="24"/>
                <w:szCs w:val="24"/>
                <w:highlight w:val="none"/>
                <w:lang w:val="zh-CN"/>
              </w:rPr>
              <w:t>份数</w:t>
            </w:r>
          </w:p>
        </w:tc>
        <w:tc>
          <w:tcPr>
            <w:tcW w:w="5409" w:type="dxa"/>
            <w:vAlign w:val="center"/>
          </w:tcPr>
          <w:p w14:paraId="595BD6DE">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投标文件</w:t>
            </w:r>
            <w:r>
              <w:rPr>
                <w:rFonts w:hint="eastAsia" w:ascii="仿宋" w:hAnsi="仿宋" w:eastAsia="仿宋" w:cs="仿宋"/>
                <w:color w:val="auto"/>
                <w:sz w:val="24"/>
                <w:szCs w:val="24"/>
                <w:highlight w:val="none"/>
                <w:lang w:val="zh-CN"/>
              </w:rPr>
              <w:t>正、副本数量</w:t>
            </w:r>
            <w:r>
              <w:rPr>
                <w:rFonts w:hint="eastAsia" w:ascii="仿宋" w:hAnsi="仿宋" w:eastAsia="仿宋" w:cs="仿宋"/>
                <w:color w:val="auto"/>
                <w:sz w:val="24"/>
                <w:szCs w:val="24"/>
                <w:highlight w:val="none"/>
                <w:lang w:val="en-US" w:eastAsia="zh-CN"/>
              </w:rPr>
              <w:t>(含电子文档)</w:t>
            </w:r>
            <w:r>
              <w:rPr>
                <w:rFonts w:hint="eastAsia" w:ascii="仿宋" w:hAnsi="仿宋" w:eastAsia="仿宋" w:cs="仿宋"/>
                <w:color w:val="auto"/>
                <w:sz w:val="24"/>
                <w:szCs w:val="24"/>
                <w:highlight w:val="none"/>
                <w:lang w:val="zh-CN"/>
              </w:rPr>
              <w:t>符合</w:t>
            </w:r>
            <w:r>
              <w:rPr>
                <w:rFonts w:hint="eastAsia" w:ascii="仿宋" w:hAnsi="仿宋" w:eastAsia="仿宋" w:cs="仿宋"/>
                <w:color w:val="auto"/>
                <w:sz w:val="24"/>
                <w:szCs w:val="24"/>
                <w:highlight w:val="none"/>
              </w:rPr>
              <w:t>竞争性比选</w:t>
            </w:r>
            <w:r>
              <w:rPr>
                <w:rFonts w:hint="eastAsia" w:ascii="仿宋" w:hAnsi="仿宋" w:eastAsia="仿宋" w:cs="仿宋"/>
                <w:color w:val="auto"/>
                <w:sz w:val="24"/>
                <w:szCs w:val="24"/>
                <w:highlight w:val="none"/>
                <w:lang w:val="zh-CN"/>
              </w:rPr>
              <w:t>文件要求。</w:t>
            </w:r>
          </w:p>
        </w:tc>
      </w:tr>
      <w:tr w14:paraId="7DB0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75" w:type="dxa"/>
            <w:shd w:val="clear" w:color="auto" w:fill="auto"/>
            <w:vAlign w:val="center"/>
          </w:tcPr>
          <w:p w14:paraId="225DF1EC">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kern w:val="0"/>
                <w:sz w:val="24"/>
                <w:szCs w:val="24"/>
                <w:highlight w:val="none"/>
              </w:rPr>
              <w:t>3</w:t>
            </w:r>
          </w:p>
        </w:tc>
        <w:tc>
          <w:tcPr>
            <w:tcW w:w="1560" w:type="dxa"/>
            <w:shd w:val="clear" w:color="auto" w:fill="auto"/>
            <w:vAlign w:val="center"/>
          </w:tcPr>
          <w:p w14:paraId="6CEC1F74">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kern w:val="0"/>
                <w:sz w:val="24"/>
                <w:szCs w:val="24"/>
                <w:highlight w:val="none"/>
              </w:rPr>
              <w:t>技术部分</w:t>
            </w:r>
          </w:p>
        </w:tc>
        <w:tc>
          <w:tcPr>
            <w:tcW w:w="1984" w:type="dxa"/>
            <w:shd w:val="clear" w:color="auto" w:fill="auto"/>
            <w:vAlign w:val="center"/>
          </w:tcPr>
          <w:p w14:paraId="4D058321">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投标文件内容</w:t>
            </w:r>
          </w:p>
        </w:tc>
        <w:tc>
          <w:tcPr>
            <w:tcW w:w="5409" w:type="dxa"/>
            <w:shd w:val="clear" w:color="auto" w:fill="auto"/>
            <w:vAlign w:val="center"/>
          </w:tcPr>
          <w:p w14:paraId="091C4BF1">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本</w:t>
            </w:r>
            <w:r>
              <w:rPr>
                <w:rFonts w:hint="eastAsia" w:ascii="仿宋" w:hAnsi="仿宋" w:eastAsia="仿宋" w:cs="仿宋"/>
                <w:kern w:val="0"/>
                <w:sz w:val="24"/>
                <w:szCs w:val="24"/>
                <w:highlight w:val="none"/>
                <w:lang w:eastAsia="zh-CN"/>
              </w:rPr>
              <w:t>竞争性比选文件</w:t>
            </w:r>
            <w:r>
              <w:rPr>
                <w:rFonts w:hint="eastAsia" w:ascii="仿宋" w:hAnsi="仿宋" w:eastAsia="仿宋" w:cs="仿宋"/>
                <w:kern w:val="0"/>
                <w:sz w:val="24"/>
                <w:szCs w:val="24"/>
                <w:highlight w:val="none"/>
              </w:rPr>
              <w:t>第二篇中（※）号标注的部分。</w:t>
            </w:r>
          </w:p>
        </w:tc>
      </w:tr>
      <w:tr w14:paraId="6772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shd w:val="clear" w:color="auto" w:fill="auto"/>
            <w:vAlign w:val="center"/>
          </w:tcPr>
          <w:p w14:paraId="2B5328AB">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4</w:t>
            </w:r>
          </w:p>
        </w:tc>
        <w:tc>
          <w:tcPr>
            <w:tcW w:w="1560" w:type="dxa"/>
            <w:shd w:val="clear" w:color="auto" w:fill="auto"/>
            <w:vAlign w:val="center"/>
          </w:tcPr>
          <w:p w14:paraId="0C8F0F88">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lang w:val="zh-CN" w:eastAsia="zh-CN" w:bidi="ar-SA"/>
              </w:rPr>
            </w:pPr>
            <w:r>
              <w:rPr>
                <w:rFonts w:hint="eastAsia" w:ascii="仿宋" w:hAnsi="仿宋" w:eastAsia="仿宋" w:cs="仿宋"/>
                <w:kern w:val="0"/>
                <w:sz w:val="24"/>
                <w:szCs w:val="24"/>
                <w:highlight w:val="none"/>
              </w:rPr>
              <w:t>商务部分</w:t>
            </w:r>
          </w:p>
        </w:tc>
        <w:tc>
          <w:tcPr>
            <w:tcW w:w="1984" w:type="dxa"/>
            <w:shd w:val="clear" w:color="auto" w:fill="auto"/>
            <w:vAlign w:val="center"/>
          </w:tcPr>
          <w:p w14:paraId="0B16C3AC">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投标文件内容</w:t>
            </w:r>
          </w:p>
        </w:tc>
        <w:tc>
          <w:tcPr>
            <w:tcW w:w="5409" w:type="dxa"/>
            <w:shd w:val="clear" w:color="auto" w:fill="auto"/>
            <w:vAlign w:val="center"/>
          </w:tcPr>
          <w:p w14:paraId="546FE890">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本</w:t>
            </w:r>
            <w:r>
              <w:rPr>
                <w:rFonts w:hint="eastAsia" w:ascii="仿宋" w:hAnsi="仿宋" w:eastAsia="仿宋" w:cs="仿宋"/>
                <w:kern w:val="0"/>
                <w:sz w:val="24"/>
                <w:szCs w:val="24"/>
                <w:highlight w:val="none"/>
                <w:lang w:eastAsia="zh-CN"/>
              </w:rPr>
              <w:t>竞争性比选文件</w:t>
            </w:r>
            <w:r>
              <w:rPr>
                <w:rFonts w:hint="eastAsia" w:ascii="仿宋" w:hAnsi="仿宋" w:eastAsia="仿宋" w:cs="仿宋"/>
                <w:kern w:val="0"/>
                <w:sz w:val="24"/>
                <w:szCs w:val="24"/>
                <w:highlight w:val="none"/>
              </w:rPr>
              <w:t>第三篇中（※）号标注的部分。</w:t>
            </w:r>
          </w:p>
        </w:tc>
      </w:tr>
      <w:tr w14:paraId="0A0E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0" w:type="auto"/>
            <w:shd w:val="clear" w:color="auto" w:fill="auto"/>
            <w:vAlign w:val="center"/>
          </w:tcPr>
          <w:p w14:paraId="73439325">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5</w:t>
            </w:r>
          </w:p>
        </w:tc>
        <w:tc>
          <w:tcPr>
            <w:tcW w:w="0" w:type="auto"/>
            <w:shd w:val="clear" w:color="auto" w:fill="auto"/>
            <w:vAlign w:val="center"/>
          </w:tcPr>
          <w:p w14:paraId="20237D30">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lang w:val="zh-CN" w:eastAsia="zh-CN" w:bidi="ar-SA"/>
              </w:rPr>
            </w:pPr>
            <w:r>
              <w:rPr>
                <w:rFonts w:hint="eastAsia" w:ascii="仿宋" w:hAnsi="仿宋" w:eastAsia="仿宋" w:cs="仿宋"/>
                <w:kern w:val="0"/>
                <w:sz w:val="24"/>
                <w:szCs w:val="24"/>
                <w:highlight w:val="none"/>
              </w:rPr>
              <w:t>投标有效期</w:t>
            </w:r>
          </w:p>
        </w:tc>
        <w:tc>
          <w:tcPr>
            <w:tcW w:w="0" w:type="auto"/>
            <w:shd w:val="clear" w:color="auto" w:fill="auto"/>
            <w:vAlign w:val="center"/>
          </w:tcPr>
          <w:p w14:paraId="6CE0AA59">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投标文件内容</w:t>
            </w:r>
          </w:p>
        </w:tc>
        <w:tc>
          <w:tcPr>
            <w:tcW w:w="0" w:type="auto"/>
            <w:shd w:val="clear" w:color="auto" w:fill="auto"/>
            <w:vAlign w:val="center"/>
          </w:tcPr>
          <w:p w14:paraId="629C716C">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投标有效期为投标截止时间起90天。</w:t>
            </w:r>
          </w:p>
        </w:tc>
      </w:tr>
    </w:tbl>
    <w:p w14:paraId="4C8CEF18">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3.在采购过程中符合要求的</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不足3家的，比选采购活动中止并重新开展采购活动。</w:t>
      </w:r>
    </w:p>
    <w:p w14:paraId="2D07DEBF">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（三）澄清有关问题。评审小组在对</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的有效性、完整性和响应程度进行审查时，可以要求</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中含义不明确、同类问题表述不一致或者有明显文字和计算错误的内容等作出必要的澄清、说明或者更正。</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的澄清、说明或者更正不得超出</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的范围或者改变</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的实质性内容。</w:t>
      </w:r>
    </w:p>
    <w:p w14:paraId="363D6A0D">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（四）评审小组要求</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澄清、说明或者更正</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应当以书面形式作出。</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的澄清、说明或者更正应当由法定代表人或其授权代表签字或者加盖公章。由授权代表签字的，应当附法定代表人授权书。</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为自然人的，应当由本人签字并附身份证明。</w:t>
      </w:r>
    </w:p>
    <w:p w14:paraId="0FAA7E03">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（五）在比选过程中比选的任何一方不得向他人透露与比选有关的服务资料、价格或其他信息。</w:t>
      </w:r>
    </w:p>
    <w:p w14:paraId="0C64A11B">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在比选过程中，评审小组可以根据竞争性比选文件和比选情况实质性变动采购需求中的服务、商务要求以及合同草案条款，但不得变动竞争性比选文件中的其他内容。实质性变动的内容，须经采购人代表确认。对竞争性比选文件作出的实质性变动是竞争性比选文件的有效组成部分，评审小组应当及时以书面形式同时通知所有参加比选的</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w:t>
      </w:r>
    </w:p>
    <w:p w14:paraId="586B4A24">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在比选时作出的所有书面承诺须由法定代表人或其授权代表签字。</w:t>
      </w:r>
    </w:p>
    <w:p w14:paraId="634BE0B9">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（八）评审小组采用综合评分法对提交了报价的</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和报价（含有效书面承诺）进行综合评分。综合评分法，是指</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满足竞争性比选文件全部实质性要求且按照评审因素的量化指标评审得分最高的</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候选人的评审方法。</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总得分为价格、</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、商务等评定因素分别按照相应权重值计算分项得分后相加，满分为100分。</w:t>
      </w:r>
    </w:p>
    <w:p w14:paraId="316682D3">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（九）评审小组各成员独立对每个有效响应（通过资格性检查、符合性检查的</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）的文件进行评价、打分，然后汇总每个</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每项评分因素的得分</w:t>
      </w:r>
      <w:r>
        <w:rPr>
          <w:rFonts w:hint="eastAsia" w:ascii="仿宋" w:hAnsi="仿宋" w:eastAsia="仿宋" w:cs="仿宋"/>
          <w:b w:val="0"/>
          <w:bCs w:val="0"/>
          <w:color w:val="auto"/>
          <w:sz w:val="24"/>
          <w:szCs w:val="24"/>
          <w:highlight w:val="none"/>
        </w:rPr>
        <w:t>，并根据综合评分情况按照评审得分由高到低顺序推荐</w:t>
      </w:r>
      <w:r>
        <w:rPr>
          <w:rFonts w:hint="eastAsia" w:ascii="仿宋" w:hAnsi="仿宋" w:eastAsia="仿宋" w:cs="仿宋"/>
          <w:b w:val="0"/>
          <w:bCs w:val="0"/>
          <w:color w:val="auto"/>
          <w:sz w:val="24"/>
          <w:szCs w:val="24"/>
          <w:highlight w:val="none"/>
          <w:lang w:eastAsia="zh-CN"/>
        </w:rPr>
        <w:t>中标</w:t>
      </w:r>
      <w:r>
        <w:rPr>
          <w:rFonts w:hint="eastAsia" w:ascii="仿宋" w:hAnsi="仿宋" w:eastAsia="仿宋" w:cs="仿宋"/>
          <w:b w:val="0"/>
          <w:bCs w:val="0"/>
          <w:color w:val="auto"/>
          <w:sz w:val="24"/>
          <w:szCs w:val="24"/>
          <w:highlight w:val="none"/>
        </w:rPr>
        <w:t>候选</w:t>
      </w:r>
      <w:r>
        <w:rPr>
          <w:rFonts w:hint="eastAsia" w:ascii="仿宋" w:hAnsi="仿宋" w:eastAsia="仿宋" w:cs="仿宋"/>
          <w:b w:val="0"/>
          <w:bCs w:val="0"/>
          <w:color w:val="auto"/>
          <w:sz w:val="24"/>
          <w:szCs w:val="24"/>
          <w:highlight w:val="none"/>
          <w:lang w:val="en-US" w:eastAsia="zh-CN"/>
        </w:rPr>
        <w:t>投标人</w:t>
      </w:r>
      <w:r>
        <w:rPr>
          <w:rFonts w:hint="eastAsia" w:ascii="仿宋" w:hAnsi="仿宋" w:eastAsia="仿宋" w:cs="仿宋"/>
          <w:b w:val="0"/>
          <w:bCs w:val="0"/>
          <w:color w:val="auto"/>
          <w:sz w:val="24"/>
          <w:szCs w:val="24"/>
          <w:highlight w:val="none"/>
        </w:rPr>
        <w:t>，并</w:t>
      </w:r>
      <w:r>
        <w:rPr>
          <w:rFonts w:hint="eastAsia" w:ascii="仿宋" w:hAnsi="仿宋" w:eastAsia="仿宋" w:cs="仿宋"/>
          <w:color w:val="auto"/>
          <w:sz w:val="24"/>
          <w:szCs w:val="24"/>
          <w:highlight w:val="none"/>
        </w:rPr>
        <w:t>编写评审报告。若</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的评审得分相同的，按照最后报价由低到高的顺序排列推荐。评审得分且最后报价相同的，按照</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指标优劣顺序排列推荐。以上都相同的，按商务条款的优劣顺序排列推荐。若</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部分为0分，将失去成为</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候选</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的资格。</w:t>
      </w:r>
    </w:p>
    <w:p w14:paraId="3995B63B">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bookmarkStart w:id="130" w:name="_Toc19229"/>
      <w:bookmarkStart w:id="131" w:name="_Toc28213"/>
      <w:bookmarkStart w:id="132" w:name="_Toc27370"/>
      <w:r>
        <w:rPr>
          <w:rFonts w:hint="eastAsia" w:ascii="仿宋" w:hAnsi="仿宋" w:eastAsia="仿宋" w:cs="仿宋"/>
          <w:b/>
          <w:bCs/>
          <w:color w:val="auto"/>
          <w:sz w:val="24"/>
          <w:szCs w:val="24"/>
          <w:highlight w:val="none"/>
          <w:lang w:val="en-US" w:eastAsia="zh-CN"/>
        </w:rPr>
        <w:t>二、评审标准</w:t>
      </w:r>
      <w:bookmarkEnd w:id="130"/>
      <w:bookmarkEnd w:id="131"/>
      <w:bookmarkEnd w:id="132"/>
    </w:p>
    <w:p w14:paraId="3E12921C">
      <w:pPr>
        <w:pageBreakBefore w:val="0"/>
        <w:widowControl w:val="0"/>
        <w:kinsoku/>
        <w:wordWrap/>
        <w:overflowPunct/>
        <w:topLinePunct w:val="0"/>
        <w:autoSpaceDE/>
        <w:autoSpaceDN/>
        <w:bidi w:val="0"/>
        <w:spacing w:line="4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b/>
          <w:bCs/>
          <w:color w:val="auto"/>
          <w:sz w:val="24"/>
          <w:szCs w:val="24"/>
          <w:highlight w:val="none"/>
          <w:lang w:val="en-US" w:eastAsia="zh-CN"/>
        </w:rPr>
        <w:t>（一）评审因素</w:t>
      </w:r>
    </w:p>
    <w:tbl>
      <w:tblPr>
        <w:tblStyle w:val="27"/>
        <w:tblpPr w:leftFromText="180" w:rightFromText="180" w:vertAnchor="text" w:horzAnchor="page" w:tblpX="1305" w:tblpY="390"/>
        <w:tblOverlap w:val="never"/>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81"/>
        <w:gridCol w:w="1092"/>
        <w:gridCol w:w="4145"/>
        <w:gridCol w:w="2475"/>
      </w:tblGrid>
      <w:tr w14:paraId="7745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vAlign w:val="center"/>
          </w:tcPr>
          <w:p w14:paraId="1A00C8B6">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序号</w:t>
            </w:r>
          </w:p>
        </w:tc>
        <w:tc>
          <w:tcPr>
            <w:tcW w:w="1281" w:type="dxa"/>
            <w:vAlign w:val="center"/>
          </w:tcPr>
          <w:p w14:paraId="5D2DEBA1">
            <w:pPr>
              <w:keepNext w:val="0"/>
              <w:keepLines w:val="0"/>
              <w:pageBreakBefore w:val="0"/>
              <w:widowControl w:val="0"/>
              <w:kinsoku/>
              <w:wordWrap/>
              <w:overflowPunct/>
              <w:topLinePunct w:val="0"/>
              <w:autoSpaceDE/>
              <w:autoSpaceDN/>
              <w:bidi w:val="0"/>
              <w:spacing w:line="400" w:lineRule="exact"/>
              <w:ind w:leftChars="0" w:firstLine="28"/>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评分因素</w:t>
            </w:r>
          </w:p>
          <w:p w14:paraId="071E4288">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及权重</w:t>
            </w:r>
          </w:p>
        </w:tc>
        <w:tc>
          <w:tcPr>
            <w:tcW w:w="1092" w:type="dxa"/>
            <w:vAlign w:val="center"/>
          </w:tcPr>
          <w:p w14:paraId="4B02E15D">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rPr>
              <w:t>分值</w:t>
            </w:r>
          </w:p>
        </w:tc>
        <w:tc>
          <w:tcPr>
            <w:tcW w:w="4145" w:type="dxa"/>
          </w:tcPr>
          <w:p w14:paraId="3491E83D">
            <w:pPr>
              <w:keepNext w:val="0"/>
              <w:keepLines w:val="0"/>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3729EC59">
            <w:pPr>
              <w:keepNext w:val="0"/>
              <w:keepLines w:val="0"/>
              <w:pageBreakBefore w:val="0"/>
              <w:widowControl w:val="0"/>
              <w:kinsoku/>
              <w:wordWrap/>
              <w:overflowPunct/>
              <w:topLinePunct w:val="0"/>
              <w:autoSpaceDE/>
              <w:autoSpaceDN/>
              <w:bidi w:val="0"/>
              <w:spacing w:line="400" w:lineRule="exact"/>
              <w:ind w:leftChars="0" w:firstLine="1687" w:firstLineChars="7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评分标准</w:t>
            </w:r>
          </w:p>
        </w:tc>
        <w:tc>
          <w:tcPr>
            <w:tcW w:w="2475" w:type="dxa"/>
            <w:vAlign w:val="center"/>
          </w:tcPr>
          <w:p w14:paraId="118FD48F">
            <w:pPr>
              <w:keepNext w:val="0"/>
              <w:keepLines w:val="0"/>
              <w:pageBreakBefore w:val="0"/>
              <w:widowControl w:val="0"/>
              <w:kinsoku/>
              <w:wordWrap/>
              <w:overflowPunct/>
              <w:topLinePunct w:val="0"/>
              <w:autoSpaceDE/>
              <w:autoSpaceDN/>
              <w:bidi w:val="0"/>
              <w:adjustRightInd/>
              <w:spacing w:line="400" w:lineRule="exact"/>
              <w:ind w:leftChars="0" w:firstLine="482" w:firstLineChars="200"/>
              <w:jc w:val="center"/>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rPr>
              <w:t>说明</w:t>
            </w:r>
          </w:p>
        </w:tc>
      </w:tr>
      <w:tr w14:paraId="4AA4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vAlign w:val="center"/>
          </w:tcPr>
          <w:p w14:paraId="355142E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281" w:type="dxa"/>
            <w:vAlign w:val="center"/>
          </w:tcPr>
          <w:p w14:paraId="4FF875C0">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投标报价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eastAsia="zh-CN"/>
              </w:rPr>
              <w:t>）</w:t>
            </w:r>
          </w:p>
        </w:tc>
        <w:tc>
          <w:tcPr>
            <w:tcW w:w="1092" w:type="dxa"/>
            <w:vAlign w:val="center"/>
          </w:tcPr>
          <w:p w14:paraId="51A3137C">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w:t>
            </w:r>
          </w:p>
          <w:p w14:paraId="1AB70FE2">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0分</w:t>
            </w:r>
            <w:r>
              <w:rPr>
                <w:rFonts w:hint="eastAsia" w:ascii="仿宋" w:hAnsi="仿宋" w:eastAsia="仿宋" w:cs="仿宋"/>
                <w:color w:val="auto"/>
                <w:sz w:val="24"/>
                <w:szCs w:val="24"/>
                <w:highlight w:val="none"/>
                <w:lang w:eastAsia="zh-CN"/>
              </w:rPr>
              <w:t>）</w:t>
            </w:r>
          </w:p>
        </w:tc>
        <w:tc>
          <w:tcPr>
            <w:tcW w:w="4145" w:type="dxa"/>
          </w:tcPr>
          <w:p w14:paraId="27E173CE">
            <w:pPr>
              <w:keepNext w:val="0"/>
              <w:keepLines w:val="0"/>
              <w:pageBreakBefore w:val="0"/>
              <w:widowControl w:val="0"/>
              <w:kinsoku/>
              <w:wordWrap/>
              <w:overflowPunct/>
              <w:topLinePunct w:val="0"/>
              <w:autoSpaceDE/>
              <w:autoSpaceDN/>
              <w:bidi w:val="0"/>
              <w:adjustRightInd/>
              <w:spacing w:line="400" w:lineRule="exact"/>
              <w:ind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满足比选文件要求且投标价格最低的投标报价为评标基准价，其价格分为满分。其他</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的价格分统一按照下列公式计算：投标报价得分＝（评标基准价/投标报价）×价格权重×100。</w:t>
            </w:r>
          </w:p>
        </w:tc>
        <w:tc>
          <w:tcPr>
            <w:tcW w:w="2475" w:type="dxa"/>
            <w:vAlign w:val="center"/>
          </w:tcPr>
          <w:p w14:paraId="3D1CDB19">
            <w:pPr>
              <w:keepNext w:val="0"/>
              <w:keepLines w:val="0"/>
              <w:pageBreakBefore w:val="0"/>
              <w:widowControl w:val="0"/>
              <w:kinsoku/>
              <w:wordWrap/>
              <w:overflowPunct/>
              <w:topLinePunct w:val="0"/>
              <w:autoSpaceDE/>
              <w:autoSpaceDN/>
              <w:bidi w:val="0"/>
              <w:adjustRightInd/>
              <w:spacing w:line="400" w:lineRule="exact"/>
              <w:ind w:leftChars="0"/>
              <w:jc w:val="left"/>
              <w:textAlignment w:val="auto"/>
              <w:rPr>
                <w:rFonts w:hint="eastAsia" w:ascii="仿宋" w:hAnsi="仿宋" w:eastAsia="仿宋" w:cs="仿宋"/>
                <w:color w:val="auto"/>
                <w:sz w:val="24"/>
                <w:szCs w:val="24"/>
                <w:highlight w:val="none"/>
              </w:rPr>
            </w:pPr>
          </w:p>
        </w:tc>
      </w:tr>
      <w:tr w14:paraId="4D79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vMerge w:val="restart"/>
            <w:vAlign w:val="center"/>
          </w:tcPr>
          <w:p w14:paraId="5ED76FAD">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281" w:type="dxa"/>
            <w:vMerge w:val="restart"/>
            <w:vAlign w:val="center"/>
          </w:tcPr>
          <w:p w14:paraId="705E85CC">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技术部分</w:t>
            </w:r>
          </w:p>
          <w:p w14:paraId="3AC491F1">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bookmarkStart w:id="133" w:name="_Toc7450"/>
            <w:r>
              <w:rPr>
                <w:rFonts w:hint="eastAsia" w:ascii="仿宋" w:hAnsi="仿宋" w:eastAsia="仿宋" w:cs="仿宋"/>
                <w:color w:val="auto"/>
                <w:sz w:val="24"/>
                <w:szCs w:val="24"/>
                <w:highlight w:val="none"/>
                <w:lang w:val="en-US" w:eastAsia="zh-CN"/>
              </w:rPr>
              <w:t>（57.5%）</w:t>
            </w:r>
            <w:bookmarkEnd w:id="133"/>
          </w:p>
          <w:p w14:paraId="5FC8DE43">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p>
        </w:tc>
        <w:tc>
          <w:tcPr>
            <w:tcW w:w="1092" w:type="dxa"/>
            <w:shd w:val="clear" w:color="auto" w:fill="auto"/>
            <w:vAlign w:val="center"/>
          </w:tcPr>
          <w:p w14:paraId="3A90DE20">
            <w:pPr>
              <w:keepNext w:val="0"/>
              <w:keepLines w:val="0"/>
              <w:pageBreakBefore w:val="0"/>
              <w:widowControl w:val="0"/>
              <w:kinsoku/>
              <w:wordWrap/>
              <w:overflowPunct/>
              <w:topLinePunct w:val="0"/>
              <w:autoSpaceDE/>
              <w:autoSpaceDN/>
              <w:bidi w:val="0"/>
              <w:spacing w:line="400" w:lineRule="exact"/>
              <w:ind w:firstLine="28"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技术应答25.5</w:t>
            </w:r>
          </w:p>
        </w:tc>
        <w:tc>
          <w:tcPr>
            <w:tcW w:w="4145" w:type="dxa"/>
            <w:shd w:val="clear" w:color="auto" w:fill="auto"/>
            <w:vAlign w:val="center"/>
          </w:tcPr>
          <w:p w14:paraId="0D737082">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1.起评分：</w:t>
            </w:r>
          </w:p>
          <w:p w14:paraId="65F9F32F">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有效投标人的起评分为</w:t>
            </w:r>
            <w:r>
              <w:rPr>
                <w:rFonts w:hint="eastAsia" w:ascii="仿宋" w:hAnsi="仿宋" w:eastAsia="仿宋" w:cs="仿宋"/>
                <w:sz w:val="24"/>
                <w:szCs w:val="24"/>
                <w:highlight w:val="none"/>
                <w:lang w:val="en-US" w:eastAsia="zh-CN"/>
              </w:rPr>
              <w:t>25.5</w:t>
            </w:r>
            <w:r>
              <w:rPr>
                <w:rFonts w:hint="eastAsia" w:ascii="仿宋" w:hAnsi="仿宋" w:eastAsia="仿宋" w:cs="仿宋"/>
                <w:sz w:val="24"/>
                <w:szCs w:val="24"/>
                <w:highlight w:val="none"/>
              </w:rPr>
              <w:t>分。</w:t>
            </w:r>
          </w:p>
          <w:p w14:paraId="26B0E1F8">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2.扣分条款：</w:t>
            </w:r>
          </w:p>
          <w:p w14:paraId="3BD27E5E">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2.1投标文件投标应答有一条不满足</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重要技术需求的（</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第二篇中带“</w:t>
            </w:r>
            <w:r>
              <w:rPr>
                <w:rFonts w:hint="eastAsia" w:ascii="仿宋" w:hAnsi="仿宋" w:eastAsia="仿宋" w:cs="仿宋"/>
                <w:b/>
                <w:bCs/>
                <w:color w:val="auto"/>
                <w:sz w:val="24"/>
                <w:szCs w:val="24"/>
                <w:highlight w:val="none"/>
              </w:rPr>
              <w:t>▲</w:t>
            </w:r>
            <w:r>
              <w:rPr>
                <w:rFonts w:hint="eastAsia" w:ascii="仿宋" w:hAnsi="仿宋" w:eastAsia="仿宋" w:cs="仿宋"/>
                <w:sz w:val="24"/>
                <w:szCs w:val="24"/>
                <w:highlight w:val="none"/>
              </w:rPr>
              <w:t>”号标注的部分），共计</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条</w:t>
            </w:r>
            <w:r>
              <w:rPr>
                <w:rFonts w:hint="eastAsia" w:ascii="仿宋" w:hAnsi="仿宋" w:eastAsia="仿宋" w:cs="仿宋"/>
                <w:sz w:val="24"/>
                <w:szCs w:val="24"/>
                <w:highlight w:val="none"/>
                <w:lang w:val="en-US" w:eastAsia="zh-CN"/>
              </w:rPr>
              <w:t>14分</w:t>
            </w:r>
            <w:r>
              <w:rPr>
                <w:rFonts w:hint="eastAsia" w:ascii="仿宋" w:hAnsi="仿宋" w:eastAsia="仿宋" w:cs="仿宋"/>
                <w:sz w:val="24"/>
                <w:szCs w:val="24"/>
                <w:highlight w:val="none"/>
              </w:rPr>
              <w:t>，从起评分中扣除</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扣完为止</w:t>
            </w:r>
            <w:r>
              <w:rPr>
                <w:rFonts w:hint="eastAsia" w:ascii="仿宋" w:hAnsi="仿宋" w:eastAsia="仿宋" w:cs="仿宋"/>
                <w:sz w:val="24"/>
                <w:szCs w:val="24"/>
                <w:highlight w:val="none"/>
              </w:rPr>
              <w:t>。</w:t>
            </w:r>
          </w:p>
          <w:p w14:paraId="743E0641">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2.2投标文件投标应答有一条不满足</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一般性技术需求的（</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第二篇中带“○”标注的部分），共计</w:t>
            </w:r>
            <w:r>
              <w:rPr>
                <w:rFonts w:hint="eastAsia" w:ascii="仿宋" w:hAnsi="仿宋" w:eastAsia="仿宋" w:cs="仿宋"/>
                <w:sz w:val="24"/>
                <w:szCs w:val="24"/>
                <w:highlight w:val="none"/>
                <w:lang w:val="en-US" w:eastAsia="zh-CN"/>
              </w:rPr>
              <w:t>23</w:t>
            </w:r>
            <w:r>
              <w:rPr>
                <w:rFonts w:hint="eastAsia" w:ascii="仿宋" w:hAnsi="仿宋" w:eastAsia="仿宋" w:cs="仿宋"/>
                <w:sz w:val="24"/>
                <w:szCs w:val="24"/>
                <w:highlight w:val="none"/>
              </w:rPr>
              <w:t>条</w:t>
            </w:r>
            <w:r>
              <w:rPr>
                <w:rFonts w:hint="eastAsia" w:ascii="仿宋" w:hAnsi="仿宋" w:eastAsia="仿宋" w:cs="仿宋"/>
                <w:sz w:val="24"/>
                <w:szCs w:val="24"/>
                <w:highlight w:val="none"/>
                <w:lang w:val="en-US" w:eastAsia="zh-CN"/>
              </w:rPr>
              <w:t>11.5分</w:t>
            </w:r>
            <w:r>
              <w:rPr>
                <w:rFonts w:hint="eastAsia" w:ascii="仿宋" w:hAnsi="仿宋" w:eastAsia="仿宋" w:cs="仿宋"/>
                <w:sz w:val="24"/>
                <w:szCs w:val="24"/>
                <w:highlight w:val="none"/>
              </w:rPr>
              <w:t>，从起评分中扣除</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扣完为止。</w:t>
            </w:r>
          </w:p>
        </w:tc>
        <w:tc>
          <w:tcPr>
            <w:tcW w:w="2475" w:type="dxa"/>
            <w:vAlign w:val="center"/>
          </w:tcPr>
          <w:p w14:paraId="63CC5263">
            <w:pPr>
              <w:keepNext w:val="0"/>
              <w:keepLines w:val="0"/>
              <w:pageBreakBefore w:val="0"/>
              <w:widowControl w:val="0"/>
              <w:kinsoku/>
              <w:wordWrap/>
              <w:overflowPunct/>
              <w:topLinePunct w:val="0"/>
              <w:autoSpaceDE/>
              <w:autoSpaceDN/>
              <w:bidi w:val="0"/>
              <w:adjustRightInd/>
              <w:spacing w:line="400" w:lineRule="exact"/>
              <w:ind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b/>
                <w:bCs w:val="0"/>
                <w:sz w:val="24"/>
                <w:szCs w:val="28"/>
                <w:highlight w:val="none"/>
                <w:lang w:val="en-US" w:eastAsia="zh-CN"/>
              </w:rPr>
              <w:t>带“※”和“○”的技术参数须提供由国家认可的质量检测机构出具带有“CMA或CNAS”标志的检测（检验）报告</w:t>
            </w:r>
          </w:p>
        </w:tc>
      </w:tr>
      <w:tr w14:paraId="05E0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vMerge w:val="continue"/>
            <w:vAlign w:val="center"/>
          </w:tcPr>
          <w:p w14:paraId="5DB038F1">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p>
        </w:tc>
        <w:tc>
          <w:tcPr>
            <w:tcW w:w="1281" w:type="dxa"/>
            <w:vMerge w:val="continue"/>
            <w:vAlign w:val="center"/>
          </w:tcPr>
          <w:p w14:paraId="7CC4D478">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p>
        </w:tc>
        <w:tc>
          <w:tcPr>
            <w:tcW w:w="1092" w:type="dxa"/>
            <w:shd w:val="clear" w:color="auto" w:fill="auto"/>
            <w:vAlign w:val="center"/>
          </w:tcPr>
          <w:p w14:paraId="60CBE5E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样品</w:t>
            </w:r>
          </w:p>
          <w:p w14:paraId="337E034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（12分）</w:t>
            </w:r>
          </w:p>
        </w:tc>
        <w:tc>
          <w:tcPr>
            <w:tcW w:w="4145" w:type="dxa"/>
            <w:shd w:val="clear" w:color="auto" w:fill="auto"/>
            <w:vAlign w:val="center"/>
          </w:tcPr>
          <w:p w14:paraId="2B0D11F6">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.布帘(</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14:paraId="61882804">
            <w:pPr>
              <w:keepNext w:val="0"/>
              <w:keepLines w:val="0"/>
              <w:pageBreakBefore w:val="0"/>
              <w:widowControl w:val="0"/>
              <w:kinsoku/>
              <w:wordWrap/>
              <w:overflowPunct/>
              <w:topLinePunct w:val="0"/>
              <w:autoSpaceDE/>
              <w:autoSpaceDN/>
              <w:bidi w:val="0"/>
              <w:adjustRightInd/>
              <w:spacing w:line="400" w:lineRule="exact"/>
              <w:ind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①面料:整洁、无污渍、无抽丝、无跳线、无破损，缝纫线路均匀笔直无明显弯曲或跳针、熨烫平整无明显折痕、整体垂坠自然无明显凌乱感，以上性能有一条不完全满足的扣1分，共</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分扣完为止。</w:t>
            </w:r>
          </w:p>
          <w:p w14:paraId="5C0449FF">
            <w:pPr>
              <w:keepNext w:val="0"/>
              <w:keepLines w:val="0"/>
              <w:pageBreakBefore w:val="0"/>
              <w:widowControl w:val="0"/>
              <w:kinsoku/>
              <w:wordWrap/>
              <w:overflowPunct/>
              <w:topLinePunct w:val="0"/>
              <w:autoSpaceDE/>
              <w:autoSpaceDN/>
              <w:bidi w:val="0"/>
              <w:adjustRightInd/>
              <w:spacing w:line="400" w:lineRule="exact"/>
              <w:ind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②结构工艺:布带与面料缝合牢固;帘布与滑轮连接不使用尖锐挂钩;以上性能有一条不完全满足的扣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分，共</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分扣完为止。</w:t>
            </w:r>
          </w:p>
          <w:p w14:paraId="666DC6ED">
            <w:pPr>
              <w:keepNext w:val="0"/>
              <w:keepLines w:val="0"/>
              <w:pageBreakBefore w:val="0"/>
              <w:widowControl w:val="0"/>
              <w:kinsoku/>
              <w:wordWrap/>
              <w:overflowPunct/>
              <w:topLinePunct w:val="0"/>
              <w:autoSpaceDE/>
              <w:autoSpaceDN/>
              <w:bidi w:val="0"/>
              <w:adjustRightInd/>
              <w:spacing w:line="400" w:lineRule="exact"/>
              <w:ind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③轨道的结构与工艺:轨道与滑轮拉动轻松顺滑，滑轮的吊环无焊点和接头，滑轮为轴承;以上性能有一条不完全满足的扣1分，共</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分扣完为止。</w:t>
            </w:r>
          </w:p>
          <w:p w14:paraId="005B6C77">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.隔帘(</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14:paraId="5F09E992">
            <w:pPr>
              <w:keepNext w:val="0"/>
              <w:keepLines w:val="0"/>
              <w:pageBreakBefore w:val="0"/>
              <w:widowControl w:val="0"/>
              <w:kinsoku/>
              <w:wordWrap/>
              <w:overflowPunct/>
              <w:topLinePunct w:val="0"/>
              <w:autoSpaceDE/>
              <w:autoSpaceDN/>
              <w:bidi w:val="0"/>
              <w:adjustRightInd/>
              <w:spacing w:line="400" w:lineRule="exact"/>
              <w:ind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①高精密面料:平整、无污渍、无抽丝、无跳线、无破损，缝纫线路均匀笔直无明显弯曲或跳针、熨烫平整无明显折痕、整体垂坠自然无明显凌乱感，以上性能有一条不完全满足的扣1分，共</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分扣完为止。</w:t>
            </w:r>
          </w:p>
          <w:p w14:paraId="0A59A40D">
            <w:pPr>
              <w:keepNext w:val="0"/>
              <w:keepLines w:val="0"/>
              <w:pageBreakBefore w:val="0"/>
              <w:widowControl w:val="0"/>
              <w:kinsoku/>
              <w:wordWrap/>
              <w:overflowPunct/>
              <w:topLinePunct w:val="0"/>
              <w:autoSpaceDE/>
              <w:autoSpaceDN/>
              <w:bidi w:val="0"/>
              <w:adjustRightInd/>
              <w:spacing w:line="400" w:lineRule="exact"/>
              <w:ind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②结构工艺:布带与面料缝合牢固;帘布与滑轮连接不使用尖锐挂钩;以上性能有一条不完全满足的扣1分，共</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分扣完为止。</w:t>
            </w:r>
          </w:p>
          <w:p w14:paraId="63C62212">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③滑轮:滑轮的吊环无焊点和接头，滑轮为轴承;以上性能有一条不完全满足的扣1分，共</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分扣完为止。</w:t>
            </w:r>
          </w:p>
        </w:tc>
        <w:tc>
          <w:tcPr>
            <w:tcW w:w="2475" w:type="dxa"/>
            <w:shd w:val="clear" w:color="auto" w:fill="auto"/>
            <w:vAlign w:val="center"/>
          </w:tcPr>
          <w:p w14:paraId="01C2BC33">
            <w:pPr>
              <w:keepNext w:val="0"/>
              <w:keepLines w:val="0"/>
              <w:pageBreakBefore w:val="0"/>
              <w:widowControl w:val="0"/>
              <w:kinsoku/>
              <w:wordWrap/>
              <w:overflowPunct/>
              <w:topLinePunct w:val="0"/>
              <w:autoSpaceDE/>
              <w:autoSpaceDN/>
              <w:bidi w:val="0"/>
              <w:adjustRightInd/>
              <w:spacing w:line="400" w:lineRule="exact"/>
              <w:ind w:left="0"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投标人未根据比选要求制作样品，目测样品款式、工艺与竞争性比选文件技术要求相背离，经试用样品功能与竞争性比选文件技术要求相背离，样品与竞争性比选文件技术要求明显不符的，样品得0分，样品得0分的投标人不推荐为中标候选人。</w:t>
            </w:r>
          </w:p>
        </w:tc>
      </w:tr>
      <w:tr w14:paraId="5A25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vMerge w:val="continue"/>
            <w:vAlign w:val="center"/>
          </w:tcPr>
          <w:p w14:paraId="6AF7DEAD">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p>
        </w:tc>
        <w:tc>
          <w:tcPr>
            <w:tcW w:w="1281" w:type="dxa"/>
            <w:vMerge w:val="continue"/>
            <w:vAlign w:val="center"/>
          </w:tcPr>
          <w:p w14:paraId="4FFA8EC4">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p>
        </w:tc>
        <w:tc>
          <w:tcPr>
            <w:tcW w:w="1092" w:type="dxa"/>
            <w:vAlign w:val="center"/>
          </w:tcPr>
          <w:p w14:paraId="5887CE1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实施</w:t>
            </w:r>
            <w:r>
              <w:rPr>
                <w:rFonts w:hint="eastAsia" w:ascii="仿宋" w:hAnsi="仿宋" w:eastAsia="仿宋" w:cs="仿宋"/>
                <w:sz w:val="24"/>
                <w:szCs w:val="24"/>
                <w:highlight w:val="none"/>
                <w:lang w:val="en-US" w:eastAsia="zh-CN"/>
              </w:rPr>
              <w:t>及安装</w:t>
            </w:r>
            <w:r>
              <w:rPr>
                <w:rFonts w:hint="eastAsia" w:ascii="仿宋" w:hAnsi="仿宋" w:eastAsia="仿宋" w:cs="仿宋"/>
                <w:sz w:val="24"/>
                <w:szCs w:val="24"/>
                <w:highlight w:val="none"/>
              </w:rPr>
              <w:t>方案</w:t>
            </w:r>
          </w:p>
          <w:p w14:paraId="1A77FD9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color w:val="auto"/>
                <w:sz w:val="24"/>
                <w:szCs w:val="24"/>
                <w:highlight w:val="none"/>
                <w:lang w:val="en-US" w:eastAsia="zh-CN"/>
              </w:rPr>
              <w:t>20分）</w:t>
            </w:r>
          </w:p>
        </w:tc>
        <w:tc>
          <w:tcPr>
            <w:tcW w:w="4145" w:type="dxa"/>
            <w:shd w:val="clear" w:color="auto" w:fill="auto"/>
            <w:vAlign w:val="center"/>
          </w:tcPr>
          <w:p w14:paraId="4D592F5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投标人针对本项目提供的实施方案，包含</w:t>
            </w:r>
            <w:r>
              <w:rPr>
                <w:rFonts w:hint="eastAsia" w:ascii="仿宋" w:hAnsi="仿宋" w:eastAsia="仿宋" w:cs="仿宋"/>
                <w:sz w:val="24"/>
                <w:szCs w:val="24"/>
                <w:highlight w:val="none"/>
                <w:lang w:val="en-US" w:eastAsia="zh-CN"/>
              </w:rPr>
              <w:t>但不限于</w:t>
            </w:r>
            <w:r>
              <w:rPr>
                <w:rFonts w:hint="eastAsia" w:ascii="仿宋" w:hAnsi="仿宋" w:eastAsia="仿宋" w:cs="仿宋"/>
                <w:sz w:val="24"/>
                <w:szCs w:val="24"/>
                <w:highlight w:val="none"/>
              </w:rPr>
              <w:t>以下</w:t>
            </w:r>
            <w:r>
              <w:rPr>
                <w:rFonts w:hint="eastAsia" w:ascii="仿宋" w:hAnsi="仿宋" w:eastAsia="仿宋" w:cs="仿宋"/>
                <w:sz w:val="24"/>
                <w:szCs w:val="24"/>
                <w:highlight w:val="none"/>
                <w:lang w:val="en-US" w:eastAsia="zh-CN"/>
              </w:rPr>
              <w:t>内容</w:t>
            </w:r>
            <w:r>
              <w:rPr>
                <w:rFonts w:hint="eastAsia" w:ascii="仿宋" w:hAnsi="仿宋" w:eastAsia="仿宋" w:cs="仿宋"/>
                <w:sz w:val="24"/>
                <w:szCs w:val="24"/>
                <w:highlight w:val="none"/>
              </w:rPr>
              <w:t>：</w:t>
            </w:r>
          </w:p>
          <w:p w14:paraId="329898A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、实施方案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10分</w:t>
            </w:r>
            <w:r>
              <w:rPr>
                <w:rFonts w:hint="eastAsia" w:ascii="仿宋" w:hAnsi="仿宋" w:eastAsia="仿宋" w:cs="仿宋"/>
                <w:sz w:val="24"/>
                <w:szCs w:val="24"/>
                <w:highlight w:val="none"/>
                <w:lang w:eastAsia="zh-CN"/>
              </w:rPr>
              <w:t>）</w:t>
            </w:r>
          </w:p>
          <w:p w14:paraId="5B417BE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根据本次采购清单内容，须提供完整的项目实施方案，包含</w:t>
            </w:r>
            <w:r>
              <w:rPr>
                <w:rFonts w:hint="eastAsia" w:ascii="仿宋" w:hAnsi="仿宋" w:eastAsia="仿宋" w:cs="仿宋"/>
                <w:sz w:val="24"/>
                <w:szCs w:val="24"/>
                <w:highlight w:val="none"/>
                <w:lang w:eastAsia="zh-CN"/>
              </w:rPr>
              <w:t>：</w:t>
            </w:r>
          </w:p>
          <w:p w14:paraId="520066D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（1）项目总体实施步骤</w:t>
            </w:r>
          </w:p>
          <w:p w14:paraId="4542649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（2）设施设备制造商供货落实方案</w:t>
            </w:r>
          </w:p>
          <w:p w14:paraId="0BDC7C4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（3）项目实施的生产组织计划</w:t>
            </w:r>
          </w:p>
          <w:p w14:paraId="2E6BF71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（4）监督生产制作计划、质量保证体系</w:t>
            </w:r>
          </w:p>
          <w:p w14:paraId="5E29CDD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（5）交货时间和安装实施周期控制计划</w:t>
            </w:r>
          </w:p>
          <w:p w14:paraId="54BABEE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（6）运输安装计划及步骤</w:t>
            </w:r>
          </w:p>
          <w:p w14:paraId="3D73E33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（7）安全文明施工及验收等</w:t>
            </w:r>
            <w:r>
              <w:rPr>
                <w:rFonts w:hint="eastAsia" w:ascii="仿宋" w:hAnsi="仿宋" w:eastAsia="仿宋" w:cs="仿宋"/>
                <w:sz w:val="24"/>
                <w:szCs w:val="24"/>
                <w:highlight w:val="none"/>
                <w:lang w:eastAsia="zh-CN"/>
              </w:rPr>
              <w:t>。</w:t>
            </w:r>
          </w:p>
          <w:p w14:paraId="5BEB621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方案内容无瑕疵的得10分；</w:t>
            </w:r>
          </w:p>
          <w:p w14:paraId="27CE893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方案内容存在1处瑕疵的得7分；</w:t>
            </w:r>
          </w:p>
          <w:p w14:paraId="4B1BE54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方案内容存在2处瑕疵的得4分；</w:t>
            </w:r>
          </w:p>
          <w:p w14:paraId="4FB55E0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方案内容存在3处瑕疵的得1分；</w:t>
            </w:r>
          </w:p>
          <w:p w14:paraId="19FDBA7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方案内容存在4处及以上瑕疵或未提供方案得0分。</w:t>
            </w:r>
          </w:p>
          <w:p w14:paraId="3D69674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eastAsia="zh-CN"/>
              </w:rPr>
            </w:pPr>
          </w:p>
          <w:p w14:paraId="05E6979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、安装方案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10分</w:t>
            </w:r>
            <w:r>
              <w:rPr>
                <w:rFonts w:hint="eastAsia" w:ascii="仿宋" w:hAnsi="仿宋" w:eastAsia="仿宋" w:cs="仿宋"/>
                <w:sz w:val="24"/>
                <w:szCs w:val="24"/>
                <w:highlight w:val="none"/>
                <w:lang w:eastAsia="zh-CN"/>
              </w:rPr>
              <w:t>）</w:t>
            </w:r>
          </w:p>
          <w:p w14:paraId="3C7D74E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提供安装方案，方案</w:t>
            </w:r>
            <w:r>
              <w:rPr>
                <w:rFonts w:hint="eastAsia" w:ascii="仿宋" w:hAnsi="仿宋" w:eastAsia="仿宋" w:cs="仿宋"/>
                <w:sz w:val="24"/>
                <w:szCs w:val="24"/>
                <w:highlight w:val="none"/>
                <w:lang w:val="en-US" w:eastAsia="zh-CN"/>
              </w:rPr>
              <w:t>须包含但不限于</w:t>
            </w:r>
            <w:r>
              <w:rPr>
                <w:rFonts w:hint="eastAsia" w:ascii="仿宋" w:hAnsi="仿宋" w:eastAsia="仿宋" w:cs="仿宋"/>
                <w:sz w:val="24"/>
                <w:szCs w:val="24"/>
                <w:highlight w:val="none"/>
              </w:rPr>
              <w:t>以下</w:t>
            </w:r>
            <w:r>
              <w:rPr>
                <w:rFonts w:hint="eastAsia" w:ascii="仿宋" w:hAnsi="仿宋" w:eastAsia="仿宋" w:cs="仿宋"/>
                <w:sz w:val="24"/>
                <w:szCs w:val="24"/>
                <w:highlight w:val="none"/>
                <w:lang w:val="en-US" w:eastAsia="zh-CN"/>
              </w:rPr>
              <w:t>内容：</w:t>
            </w:r>
          </w:p>
          <w:p w14:paraId="6049283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（1）安装方法</w:t>
            </w:r>
          </w:p>
          <w:p w14:paraId="38F9589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（2）安装设备</w:t>
            </w:r>
          </w:p>
          <w:p w14:paraId="0C13DB0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（3）项目管理机构配备</w:t>
            </w:r>
          </w:p>
          <w:p w14:paraId="605A786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（4）劳动力计划</w:t>
            </w:r>
          </w:p>
          <w:p w14:paraId="5B90758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（5）确保工程质量</w:t>
            </w:r>
          </w:p>
          <w:p w14:paraId="6A28EFA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（6）工期</w:t>
            </w:r>
          </w:p>
          <w:p w14:paraId="106D3D81">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（7）安全和文明施工的技术</w:t>
            </w:r>
          </w:p>
          <w:p w14:paraId="73B56B9A">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（8）组织措施</w:t>
            </w:r>
          </w:p>
          <w:p w14:paraId="4AAC504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（9）安装总进度计划</w:t>
            </w:r>
          </w:p>
          <w:p w14:paraId="0F111BC3">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（10）对安装现场周围环境污染的保护措施等。</w:t>
            </w:r>
          </w:p>
          <w:p w14:paraId="6C8F7B3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方案内容无瑕疵的得10分；</w:t>
            </w:r>
          </w:p>
          <w:p w14:paraId="195C8AC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方案内容存在1处瑕疵的得7分；</w:t>
            </w:r>
          </w:p>
          <w:p w14:paraId="249BD8D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方案内容存在2处瑕疵的得4分；</w:t>
            </w:r>
          </w:p>
          <w:p w14:paraId="51006C4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方案内容存在3处瑕疵的得1分；</w:t>
            </w:r>
          </w:p>
          <w:p w14:paraId="78753CF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方案内容存在4处及以上瑕疵或未提供方案得0分。</w:t>
            </w:r>
          </w:p>
        </w:tc>
        <w:tc>
          <w:tcPr>
            <w:tcW w:w="2475" w:type="dxa"/>
            <w:shd w:val="clear" w:color="auto" w:fill="auto"/>
            <w:vAlign w:val="center"/>
          </w:tcPr>
          <w:p w14:paraId="21ECBD9C">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1.提供相关方案，格式自拟；</w:t>
            </w:r>
          </w:p>
          <w:p w14:paraId="029622FD">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2.本项内容中所称的“瑕疵”指以下任意一种情形：</w:t>
            </w:r>
          </w:p>
          <w:p w14:paraId="34271A63">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1）方案出现内容缺项、内容表述不完整、内容空泛、无具体实施方法；</w:t>
            </w:r>
          </w:p>
          <w:p w14:paraId="46F4195B">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2）方案内容表述前后矛盾、无连贯性或内容存在逻辑漏洞、常识错误；</w:t>
            </w:r>
          </w:p>
          <w:p w14:paraId="4C0BBD17">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3）方案安排并不适用本项目特性或不利于本项目的目的实现或出现与本项目不相关的其他内容；</w:t>
            </w:r>
          </w:p>
          <w:p w14:paraId="43DAB73B">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4）方案中提出的措施举措现有条件下不可能实现的。</w:t>
            </w:r>
          </w:p>
          <w:p w14:paraId="38D113E3">
            <w:pPr>
              <w:keepNext w:val="0"/>
              <w:keepLines w:val="0"/>
              <w:pageBreakBefore w:val="0"/>
              <w:widowControl w:val="0"/>
              <w:kinsoku/>
              <w:wordWrap/>
              <w:overflowPunct/>
              <w:topLinePunct w:val="0"/>
              <w:autoSpaceDE/>
              <w:autoSpaceDN/>
              <w:bidi w:val="0"/>
              <w:adjustRightInd/>
              <w:spacing w:line="400" w:lineRule="exact"/>
              <w:ind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说明:方案由评审小组成员结合自身专业知识根据以上标准独立评审。</w:t>
            </w:r>
          </w:p>
        </w:tc>
      </w:tr>
      <w:tr w14:paraId="6814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vMerge w:val="restart"/>
            <w:vAlign w:val="center"/>
          </w:tcPr>
          <w:p w14:paraId="466FBAA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281" w:type="dxa"/>
            <w:vMerge w:val="restart"/>
            <w:vAlign w:val="center"/>
          </w:tcPr>
          <w:p w14:paraId="5C368158">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商务部分</w:t>
            </w:r>
          </w:p>
          <w:p w14:paraId="3456255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（12.5%）</w:t>
            </w:r>
          </w:p>
        </w:tc>
        <w:tc>
          <w:tcPr>
            <w:tcW w:w="1092" w:type="dxa"/>
            <w:vAlign w:val="center"/>
          </w:tcPr>
          <w:p w14:paraId="030B0D4F">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售后服务方案（7.5分）</w:t>
            </w:r>
          </w:p>
        </w:tc>
        <w:tc>
          <w:tcPr>
            <w:tcW w:w="4145" w:type="dxa"/>
            <w:shd w:val="clear" w:color="auto" w:fill="auto"/>
            <w:vAlign w:val="center"/>
          </w:tcPr>
          <w:p w14:paraId="25868C5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方案全面、措施有效、响应及时，具有可操作性，契合本项目需求。包括：</w:t>
            </w: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eastAsia="zh-CN"/>
              </w:rPr>
              <w:t>采购人发生突发事件需要增援时，能安排人员组织货源并及时送货；</w:t>
            </w:r>
            <w:r>
              <w:rPr>
                <w:rFonts w:hint="eastAsia" w:ascii="仿宋" w:hAnsi="仿宋" w:eastAsia="仿宋" w:cs="仿宋"/>
                <w:color w:val="auto"/>
                <w:sz w:val="24"/>
                <w:szCs w:val="24"/>
                <w:highlight w:val="none"/>
              </w:rPr>
              <w:t>②不合格退换货应急预案；③公共卫生事件（</w:t>
            </w:r>
            <w:r>
              <w:rPr>
                <w:rFonts w:hint="eastAsia" w:ascii="仿宋" w:hAnsi="仿宋" w:eastAsia="仿宋" w:cs="仿宋"/>
                <w:color w:val="auto"/>
                <w:sz w:val="24"/>
                <w:szCs w:val="24"/>
                <w:highlight w:val="none"/>
                <w:lang w:val="en-US" w:eastAsia="zh-CN"/>
              </w:rPr>
              <w:t>病毒</w:t>
            </w:r>
            <w:r>
              <w:rPr>
                <w:rFonts w:hint="eastAsia" w:ascii="仿宋" w:hAnsi="仿宋" w:eastAsia="仿宋" w:cs="仿宋"/>
                <w:color w:val="auto"/>
                <w:sz w:val="24"/>
                <w:szCs w:val="24"/>
                <w:highlight w:val="none"/>
              </w:rPr>
              <w:t>、流感等）应急预案；</w:t>
            </w:r>
          </w:p>
          <w:p w14:paraId="39D57DA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①方案内容满足以上要求无瑕疵得7.5分；</w:t>
            </w:r>
          </w:p>
          <w:p w14:paraId="37A505C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②方案内容存在1处瑕疵得6分；</w:t>
            </w:r>
          </w:p>
          <w:p w14:paraId="6E844DD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③方案内容存在2处瑕疵得3分；</w:t>
            </w:r>
          </w:p>
          <w:p w14:paraId="091B374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④方案内容存在3处及以上瑕疵得1分；</w:t>
            </w:r>
          </w:p>
          <w:p w14:paraId="72B1AF4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⑤未提供方案得0分。</w:t>
            </w:r>
          </w:p>
        </w:tc>
        <w:tc>
          <w:tcPr>
            <w:tcW w:w="2475" w:type="dxa"/>
            <w:shd w:val="clear" w:color="auto" w:fill="auto"/>
            <w:vAlign w:val="center"/>
          </w:tcPr>
          <w:p w14:paraId="255AD6D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1、投标人提供具体方案，格式自拟，并加盖投标人公章。</w:t>
            </w:r>
          </w:p>
          <w:p w14:paraId="19C3E6C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2、本项内容中所称的1处“瑕疵”指以下任意一种情形：</w:t>
            </w:r>
          </w:p>
          <w:p w14:paraId="5A8A8FD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①方案内容缺项、内容表述不详实、不完整；</w:t>
            </w:r>
          </w:p>
          <w:p w14:paraId="50988F5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②内容表述前后矛盾、无连贯性；</w:t>
            </w:r>
          </w:p>
          <w:p w14:paraId="3D7C786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③内容存在逻辑漏洞；</w:t>
            </w:r>
          </w:p>
          <w:p w14:paraId="6957123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④内容存在常识性错误；</w:t>
            </w:r>
          </w:p>
          <w:p w14:paraId="1203A94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⑤方案措施不适用于本项目特性或非专门针对本项目制定；</w:t>
            </w:r>
          </w:p>
          <w:p w14:paraId="25C1767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⑥方案中提出的措施不利于本项目目标的实现；</w:t>
            </w:r>
          </w:p>
          <w:p w14:paraId="07541F7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⑦现有技术条件下不可能实施。</w:t>
            </w:r>
          </w:p>
        </w:tc>
      </w:tr>
      <w:tr w14:paraId="6111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728" w:type="dxa"/>
            <w:vMerge w:val="continue"/>
            <w:vAlign w:val="center"/>
          </w:tcPr>
          <w:p w14:paraId="1898AA1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highlight w:val="none"/>
                <w:lang w:val="en-US" w:eastAsia="zh-CN"/>
              </w:rPr>
            </w:pPr>
          </w:p>
        </w:tc>
        <w:tc>
          <w:tcPr>
            <w:tcW w:w="1281" w:type="dxa"/>
            <w:vMerge w:val="continue"/>
            <w:vAlign w:val="center"/>
          </w:tcPr>
          <w:p w14:paraId="79DDB2C2">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p>
        </w:tc>
        <w:tc>
          <w:tcPr>
            <w:tcW w:w="1092" w:type="dxa"/>
            <w:shd w:val="clear" w:color="auto" w:fill="auto"/>
            <w:vAlign w:val="center"/>
          </w:tcPr>
          <w:p w14:paraId="7952FF5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rPr>
              <w:t>质保期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2分）</w:t>
            </w:r>
          </w:p>
        </w:tc>
        <w:tc>
          <w:tcPr>
            <w:tcW w:w="4145" w:type="dxa"/>
            <w:shd w:val="clear" w:color="auto" w:fill="auto"/>
            <w:vAlign w:val="center"/>
          </w:tcPr>
          <w:p w14:paraId="044E27B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在满足</w:t>
            </w:r>
            <w:r>
              <w:rPr>
                <w:rFonts w:hint="eastAsia" w:ascii="仿宋" w:hAnsi="仿宋" w:eastAsia="仿宋" w:cs="仿宋"/>
                <w:color w:val="auto"/>
                <w:sz w:val="24"/>
                <w:szCs w:val="24"/>
                <w:highlight w:val="none"/>
                <w:lang w:eastAsia="zh-CN"/>
              </w:rPr>
              <w:t>采购需求</w:t>
            </w:r>
            <w:r>
              <w:rPr>
                <w:rFonts w:hint="eastAsia" w:ascii="仿宋" w:hAnsi="仿宋" w:eastAsia="仿宋" w:cs="仿宋"/>
                <w:color w:val="auto"/>
                <w:sz w:val="24"/>
                <w:szCs w:val="24"/>
                <w:highlight w:val="none"/>
              </w:rPr>
              <w:t>质保期的基础上每增加 1 年加</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分，最多加分不超过</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分。</w:t>
            </w:r>
          </w:p>
        </w:tc>
        <w:tc>
          <w:tcPr>
            <w:tcW w:w="2475" w:type="dxa"/>
            <w:shd w:val="clear" w:color="auto" w:fill="auto"/>
            <w:vAlign w:val="center"/>
          </w:tcPr>
          <w:p w14:paraId="5083451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sz w:val="24"/>
                <w:szCs w:val="24"/>
                <w:highlight w:val="none"/>
                <w:lang w:val="en-US" w:eastAsia="zh-CN"/>
              </w:rPr>
              <w:t>投标人须提供质保期售后服务承诺函并加盖投标人公章，格式自拟。</w:t>
            </w:r>
          </w:p>
        </w:tc>
      </w:tr>
      <w:tr w14:paraId="761A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28" w:type="dxa"/>
            <w:vMerge w:val="continue"/>
            <w:vAlign w:val="center"/>
          </w:tcPr>
          <w:p w14:paraId="54CEE80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highlight w:val="none"/>
                <w:lang w:val="en-US" w:eastAsia="zh-CN"/>
              </w:rPr>
            </w:pPr>
            <w:bookmarkStart w:id="134" w:name="_Toc439685496"/>
          </w:p>
        </w:tc>
        <w:tc>
          <w:tcPr>
            <w:tcW w:w="1281" w:type="dxa"/>
            <w:vMerge w:val="continue"/>
            <w:vAlign w:val="center"/>
          </w:tcPr>
          <w:p w14:paraId="4C80A181">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p>
        </w:tc>
        <w:tc>
          <w:tcPr>
            <w:tcW w:w="1092" w:type="dxa"/>
            <w:shd w:val="clear" w:color="auto" w:fill="auto"/>
            <w:vAlign w:val="center"/>
          </w:tcPr>
          <w:p w14:paraId="207AD3F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业绩</w:t>
            </w:r>
          </w:p>
          <w:p w14:paraId="11D1E48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（3分）</w:t>
            </w:r>
          </w:p>
        </w:tc>
        <w:tc>
          <w:tcPr>
            <w:tcW w:w="4145" w:type="dxa"/>
            <w:shd w:val="clear" w:color="auto" w:fill="auto"/>
            <w:vAlign w:val="center"/>
          </w:tcPr>
          <w:p w14:paraId="5146797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sz w:val="24"/>
                <w:szCs w:val="24"/>
                <w:highlight w:val="none"/>
                <w:lang w:val="en-US" w:eastAsia="zh-CN"/>
              </w:rPr>
              <w:t>投标人提供2023年1月1日至投标截止时间（以合同签订时间为准）的窗帘销售合同，有1个得1分，该项最多得3分。未提供或者不按要求提供得0分。</w:t>
            </w:r>
          </w:p>
        </w:tc>
        <w:tc>
          <w:tcPr>
            <w:tcW w:w="2475" w:type="dxa"/>
            <w:shd w:val="clear" w:color="auto" w:fill="auto"/>
            <w:vAlign w:val="center"/>
          </w:tcPr>
          <w:p w14:paraId="28EDB5E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sz w:val="24"/>
                <w:szCs w:val="24"/>
                <w:highlight w:val="none"/>
                <w:lang w:val="en-US" w:eastAsia="zh-CN"/>
              </w:rPr>
              <w:t>提供合同关键页复印件，加盖投标人公章。</w:t>
            </w:r>
          </w:p>
        </w:tc>
      </w:tr>
      <w:bookmarkEnd w:id="124"/>
      <w:bookmarkEnd w:id="134"/>
    </w:tbl>
    <w:p w14:paraId="6F152096">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rPr>
        <w:t>）政府采购异常低价问题有关事项的说明</w:t>
      </w:r>
    </w:p>
    <w:p w14:paraId="3A959A06">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1.根据《关于推动解决政府采购异常低价问题的通知》财库〔2026〕2号文件规定，政府采购评审中出现下列情形之一的，</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应当启动异常低价投标审查程序：</w:t>
      </w:r>
    </w:p>
    <w:p w14:paraId="1FA3D151">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1.1投标报价低于全部通过符合性审查投标人投标报价平均值60%的，即投标报价＜全部通过符合性审查投标人投标报价平均值×60%；</w:t>
      </w:r>
    </w:p>
    <w:p w14:paraId="21AA6DE4">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1.2投标报价低于通过符合性审查的次低报价投标人投标报价60%的，即投标报价＜通过符合性审查的次低报价投标人投标报价×60%；</w:t>
      </w:r>
    </w:p>
    <w:p w14:paraId="6573427C">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1.3投标报价低于采购项目最高限价60%的，即投标报价＜采购项目最高限价×60%；</w:t>
      </w:r>
    </w:p>
    <w:p w14:paraId="5D4C912D">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基于专业判断，认为投标人报价过低，有可能影响产品质量或者不能诚信履约的其他情形。</w:t>
      </w:r>
    </w:p>
    <w:p w14:paraId="4B1E6685">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启动异常低价投标审查后，属于前述第1.1项至第1.4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1.3项情形，投标人已随投标文件一并提交相关书面说明及必要的证明材料的，在评审现场可不再重复提交。</w:t>
      </w:r>
    </w:p>
    <w:p w14:paraId="5B66E5E8">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应当将其作为无效投标处理。</w:t>
      </w:r>
    </w:p>
    <w:p w14:paraId="79BF52C6">
      <w:pPr>
        <w:pStyle w:val="4"/>
        <w:pageBreakBefore w:val="0"/>
        <w:widowControl w:val="0"/>
        <w:kinsoku/>
        <w:wordWrap/>
        <w:overflowPunct/>
        <w:topLinePunct w:val="0"/>
        <w:autoSpaceDE/>
        <w:autoSpaceDN/>
        <w:bidi w:val="0"/>
        <w:spacing w:line="400" w:lineRule="exact"/>
        <w:textAlignment w:val="auto"/>
        <w:rPr>
          <w:rFonts w:hint="eastAsia" w:ascii="仿宋" w:hAnsi="仿宋" w:eastAsia="仿宋" w:cs="仿宋"/>
          <w:b/>
          <w:sz w:val="24"/>
          <w:szCs w:val="24"/>
          <w:highlight w:val="none"/>
        </w:rPr>
      </w:pPr>
      <w:bookmarkStart w:id="135" w:name="_Toc12966"/>
      <w:bookmarkStart w:id="136" w:name="_Toc76373889"/>
      <w:bookmarkStart w:id="137" w:name="_Toc14800"/>
      <w:bookmarkStart w:id="138" w:name="_Toc16925"/>
      <w:bookmarkStart w:id="139" w:name="_Toc2900"/>
      <w:bookmarkStart w:id="140" w:name="_Toc5251"/>
      <w:bookmarkStart w:id="141" w:name="_Toc30068"/>
      <w:r>
        <w:rPr>
          <w:rFonts w:hint="eastAsia" w:ascii="仿宋" w:hAnsi="仿宋" w:eastAsia="仿宋" w:cs="仿宋"/>
          <w:b/>
          <w:sz w:val="24"/>
          <w:szCs w:val="24"/>
          <w:highlight w:val="none"/>
        </w:rPr>
        <w:t>四、无效投标条款</w:t>
      </w:r>
      <w:bookmarkEnd w:id="135"/>
      <w:bookmarkEnd w:id="136"/>
      <w:bookmarkEnd w:id="137"/>
      <w:bookmarkEnd w:id="138"/>
      <w:bookmarkEnd w:id="139"/>
      <w:bookmarkEnd w:id="140"/>
      <w:bookmarkEnd w:id="141"/>
    </w:p>
    <w:p w14:paraId="5A2614B7">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投标人或其投标文件出现下列情况之一者，应为无效投标：</w:t>
      </w:r>
    </w:p>
    <w:p w14:paraId="1C41D758">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（一）未按照</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的规定提交投标保证金的；</w:t>
      </w:r>
    </w:p>
    <w:p w14:paraId="33CC9A52">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（二）投标文件未按</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要求签署、盖章的；</w:t>
      </w:r>
    </w:p>
    <w:p w14:paraId="042A999C">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（三）不具备</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中规定的资格要求的；</w:t>
      </w:r>
    </w:p>
    <w:p w14:paraId="517E27CA">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（四）报价超过</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中规定的预算金额或者最高限价的；</w:t>
      </w:r>
    </w:p>
    <w:p w14:paraId="3293B687">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（五）投标文件含有采购人不能接受的附加条件的；</w:t>
      </w:r>
    </w:p>
    <w:p w14:paraId="17D6C7EF">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（六）投标人串通投标的；</w:t>
      </w:r>
    </w:p>
    <w:p w14:paraId="26626FBA">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（七）法律、法规和</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规定的其他无效情形。</w:t>
      </w:r>
    </w:p>
    <w:p w14:paraId="73E08534">
      <w:pPr>
        <w:pStyle w:val="4"/>
        <w:pageBreakBefore w:val="0"/>
        <w:widowControl w:val="0"/>
        <w:kinsoku/>
        <w:wordWrap/>
        <w:overflowPunct/>
        <w:topLinePunct w:val="0"/>
        <w:autoSpaceDE/>
        <w:autoSpaceDN/>
        <w:bidi w:val="0"/>
        <w:spacing w:line="400" w:lineRule="exact"/>
        <w:textAlignment w:val="auto"/>
        <w:rPr>
          <w:rFonts w:hint="eastAsia" w:ascii="仿宋" w:hAnsi="仿宋" w:eastAsia="仿宋" w:cs="仿宋"/>
          <w:b/>
          <w:sz w:val="24"/>
          <w:szCs w:val="24"/>
          <w:highlight w:val="none"/>
        </w:rPr>
      </w:pPr>
      <w:bookmarkStart w:id="142" w:name="_Toc76373890"/>
      <w:bookmarkStart w:id="143" w:name="_Toc20034"/>
      <w:bookmarkStart w:id="144" w:name="_Toc21643"/>
      <w:bookmarkStart w:id="145" w:name="_Toc21099"/>
      <w:bookmarkStart w:id="146" w:name="_Toc26071"/>
      <w:bookmarkStart w:id="147" w:name="_Toc27443"/>
      <w:bookmarkStart w:id="148" w:name="_Toc11342"/>
      <w:r>
        <w:rPr>
          <w:rFonts w:hint="eastAsia" w:ascii="仿宋" w:hAnsi="仿宋" w:eastAsia="仿宋" w:cs="仿宋"/>
          <w:b/>
          <w:sz w:val="24"/>
          <w:szCs w:val="24"/>
          <w:highlight w:val="none"/>
        </w:rPr>
        <w:t>五、废标条款</w:t>
      </w:r>
      <w:bookmarkEnd w:id="142"/>
      <w:bookmarkEnd w:id="143"/>
      <w:bookmarkEnd w:id="144"/>
      <w:bookmarkEnd w:id="145"/>
      <w:bookmarkEnd w:id="146"/>
      <w:bookmarkEnd w:id="147"/>
      <w:bookmarkEnd w:id="148"/>
    </w:p>
    <w:p w14:paraId="1F19D6C3">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在招标采购中，出现下列情形之一的，应予废标：</w:t>
      </w:r>
    </w:p>
    <w:p w14:paraId="48EE85F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（一）符合专业条件的投标人或者对</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作实质响应的投标人不足三家的；</w:t>
      </w:r>
    </w:p>
    <w:p w14:paraId="1218148E">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（二）投标人的报价均超过了采购预算，采购人不能支付的；</w:t>
      </w:r>
    </w:p>
    <w:p w14:paraId="059B4D8C">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（三）出现影响采购公正的违法、违规行为的；</w:t>
      </w:r>
    </w:p>
    <w:p w14:paraId="54D69AD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（四）因重大变故，采购任务取消的。</w:t>
      </w:r>
    </w:p>
    <w:p w14:paraId="0F57D73C">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废标后，除采购任务取消情形外，应当重新组织采购。</w:t>
      </w:r>
    </w:p>
    <w:p w14:paraId="47C8B55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492BF98">
      <w:pPr>
        <w:pStyle w:val="3"/>
        <w:spacing w:before="0" w:beforeLines="0" w:after="0" w:afterLines="0" w:line="360" w:lineRule="auto"/>
        <w:rPr>
          <w:rFonts w:hint="eastAsia" w:ascii="仿宋" w:hAnsi="仿宋" w:eastAsia="仿宋" w:cs="仿宋"/>
          <w:color w:val="auto"/>
          <w:sz w:val="52"/>
          <w:szCs w:val="52"/>
          <w:highlight w:val="none"/>
          <w:lang w:val="en-US" w:eastAsia="zh-CN"/>
        </w:rPr>
      </w:pPr>
      <w:bookmarkStart w:id="149" w:name="_Toc31986"/>
      <w:r>
        <w:rPr>
          <w:rFonts w:hint="eastAsia" w:ascii="仿宋" w:hAnsi="仿宋" w:eastAsia="仿宋" w:cs="仿宋"/>
          <w:color w:val="auto"/>
          <w:sz w:val="52"/>
          <w:szCs w:val="52"/>
          <w:highlight w:val="none"/>
          <w:lang w:val="en-US" w:eastAsia="zh-CN"/>
        </w:rPr>
        <w:t>第五篇  投标人须知</w:t>
      </w:r>
      <w:bookmarkEnd w:id="149"/>
    </w:p>
    <w:p w14:paraId="436259E7">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50" w:name="_Toc342913389"/>
      <w:bookmarkStart w:id="151" w:name="_Toc30990"/>
      <w:bookmarkStart w:id="152" w:name="_Toc439685499"/>
      <w:r>
        <w:rPr>
          <w:rFonts w:hint="eastAsia" w:ascii="仿宋" w:hAnsi="仿宋" w:eastAsia="仿宋" w:cs="仿宋"/>
          <w:b/>
          <w:color w:val="auto"/>
          <w:sz w:val="24"/>
          <w:szCs w:val="24"/>
          <w:highlight w:val="none"/>
        </w:rPr>
        <w:t>一、比选费用</w:t>
      </w:r>
      <w:bookmarkEnd w:id="150"/>
      <w:bookmarkEnd w:id="151"/>
      <w:bookmarkEnd w:id="152"/>
    </w:p>
    <w:p w14:paraId="3C55642D">
      <w:pPr>
        <w:pStyle w:val="43"/>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参与比选的</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应承担其编制投标文件与递交投标文件所涉及的一切费用，不论比选结果如何，采购人在任何情况下无义务也无责任承担这些费用。</w:t>
      </w:r>
    </w:p>
    <w:p w14:paraId="37FA68D7">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53" w:name="_Toc439685500"/>
      <w:bookmarkStart w:id="154" w:name="_Toc342913391"/>
      <w:bookmarkStart w:id="155" w:name="_Toc1553"/>
      <w:r>
        <w:rPr>
          <w:rFonts w:hint="eastAsia" w:ascii="仿宋" w:hAnsi="仿宋" w:eastAsia="仿宋" w:cs="仿宋"/>
          <w:b/>
          <w:color w:val="auto"/>
          <w:sz w:val="24"/>
          <w:szCs w:val="24"/>
          <w:highlight w:val="none"/>
        </w:rPr>
        <w:t>二、</w:t>
      </w:r>
      <w:bookmarkEnd w:id="153"/>
      <w:bookmarkEnd w:id="154"/>
      <w:r>
        <w:rPr>
          <w:rFonts w:hint="eastAsia" w:ascii="仿宋" w:hAnsi="仿宋" w:eastAsia="仿宋" w:cs="仿宋"/>
          <w:b/>
          <w:color w:val="auto"/>
          <w:sz w:val="24"/>
          <w:szCs w:val="24"/>
          <w:highlight w:val="none"/>
        </w:rPr>
        <w:t>比选文件</w:t>
      </w:r>
      <w:bookmarkEnd w:id="155"/>
    </w:p>
    <w:p w14:paraId="53CF2E05">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bookmarkStart w:id="156" w:name="_Toc342913392"/>
      <w:bookmarkStart w:id="157" w:name="_Toc439685501"/>
      <w:bookmarkStart w:id="158" w:name="_Toc102227318"/>
      <w:bookmarkStart w:id="159" w:name="_Toc179714297"/>
      <w:r>
        <w:rPr>
          <w:rFonts w:hint="eastAsia" w:ascii="仿宋" w:hAnsi="仿宋" w:eastAsia="仿宋" w:cs="仿宋"/>
          <w:color w:val="auto"/>
          <w:sz w:val="24"/>
          <w:szCs w:val="24"/>
          <w:highlight w:val="none"/>
        </w:rPr>
        <w:t>（一）比选文件由采购邀请书、</w:t>
      </w:r>
      <w:r>
        <w:rPr>
          <w:rFonts w:hint="eastAsia" w:ascii="仿宋" w:hAnsi="仿宋" w:eastAsia="仿宋" w:cs="仿宋"/>
          <w:color w:val="auto"/>
          <w:sz w:val="24"/>
          <w:szCs w:val="24"/>
          <w:highlight w:val="none"/>
          <w:lang w:eastAsia="zh-CN"/>
        </w:rPr>
        <w:t>项目技术（质量）需求</w:t>
      </w:r>
      <w:r>
        <w:rPr>
          <w:rFonts w:hint="eastAsia" w:ascii="仿宋" w:hAnsi="仿宋" w:eastAsia="仿宋" w:cs="仿宋"/>
          <w:color w:val="auto"/>
          <w:sz w:val="24"/>
          <w:szCs w:val="24"/>
          <w:highlight w:val="none"/>
        </w:rPr>
        <w:t>、项目商务需求、比选程序及方法、评审标准、无效响应和采购终止、</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须知、合同草案条款、投标文件编制要求七部分组成。</w:t>
      </w:r>
    </w:p>
    <w:p w14:paraId="0DE241FD">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（二）采购人或采购代理机构所作的一切有效的书面通知、修改及补充，都是比选文件不可分割的部分。</w:t>
      </w:r>
    </w:p>
    <w:p w14:paraId="7637B68D">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（三）比选文件的解释</w:t>
      </w:r>
    </w:p>
    <w:p w14:paraId="7D0D44C4">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如对比选文件有疑问，必须以书面形式在提交投标文件截止时间3个工作日前向采购人或采购代理机构要求澄清，采购人或采购代理机构可视具体情况做出处理或答复。如</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未提出疑问，视为完全理解并同意本比选文件。一经进入比选程序，即视为</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已详细阅读全部文件资料，完全理解比选文件所有条款内容并同意放弃对这方面有不明白及误解的权利。</w:t>
      </w:r>
      <w:bookmarkStart w:id="160" w:name="_Toc318166429"/>
      <w:bookmarkStart w:id="161" w:name="_Toc318159780"/>
      <w:bookmarkStart w:id="162" w:name="_Toc318159160"/>
      <w:bookmarkStart w:id="163" w:name="_Toc318159349"/>
    </w:p>
    <w:p w14:paraId="7F512009">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（四）本比选文件中，比选小组根据与</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进行比选可能实质性变动的内容为比选文件第二、三、六篇全部内容。</w:t>
      </w:r>
    </w:p>
    <w:p w14:paraId="301546C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（五）评审的依据为比选文件和投标文件（含有效的书面承诺）。比选小组判断投标文件对比选文件的响应，仅基于投标文件本身而不靠外部证据。</w:t>
      </w:r>
    </w:p>
    <w:bookmarkEnd w:id="160"/>
    <w:bookmarkEnd w:id="161"/>
    <w:bookmarkEnd w:id="162"/>
    <w:bookmarkEnd w:id="163"/>
    <w:p w14:paraId="786BE93F">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64" w:name="_Toc15791"/>
      <w:r>
        <w:rPr>
          <w:rFonts w:hint="eastAsia" w:ascii="仿宋" w:hAnsi="仿宋" w:eastAsia="仿宋" w:cs="仿宋"/>
          <w:b/>
          <w:color w:val="auto"/>
          <w:sz w:val="24"/>
          <w:szCs w:val="24"/>
          <w:highlight w:val="none"/>
        </w:rPr>
        <w:t>三、比选要求</w:t>
      </w:r>
      <w:bookmarkEnd w:id="156"/>
      <w:bookmarkEnd w:id="157"/>
      <w:bookmarkEnd w:id="158"/>
      <w:bookmarkEnd w:id="159"/>
      <w:bookmarkEnd w:id="164"/>
    </w:p>
    <w:p w14:paraId="109C3EE8">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bookmarkStart w:id="165" w:name="_Toc439685502"/>
      <w:r>
        <w:rPr>
          <w:rFonts w:hint="eastAsia" w:ascii="仿宋" w:hAnsi="仿宋" w:eastAsia="仿宋" w:cs="仿宋"/>
          <w:color w:val="auto"/>
          <w:sz w:val="24"/>
          <w:szCs w:val="24"/>
          <w:highlight w:val="none"/>
        </w:rPr>
        <w:t>（一）投标文件</w:t>
      </w:r>
    </w:p>
    <w:p w14:paraId="64E0DE17">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应当按照比选文件的要求编制投标文件，并对比选文件提出的要求和条件作出实质性响应，投标文件原则上采用软面订本，同时应编制完整的页码、目录。</w:t>
      </w:r>
    </w:p>
    <w:p w14:paraId="2DDE8A25">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2.投标文件组成</w:t>
      </w:r>
    </w:p>
    <w:p w14:paraId="42C1F1D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投标文件由第七篇“投标文件编制要求”规定的部分和</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所作的一切有效补充、修改和承诺等文件组成，</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应按照第七篇“投标文件编制要求”规定的目录顺序组织编写和装订，也可在基本格式基础上对表格进行扩展，未规定格式的由</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自定格式。</w:t>
      </w:r>
    </w:p>
    <w:p w14:paraId="67D523D0">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（二）联合体</w:t>
      </w:r>
    </w:p>
    <w:p w14:paraId="401A3F58">
      <w:pPr>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本项目不接受联合体比选。</w:t>
      </w:r>
    </w:p>
    <w:p w14:paraId="6F7E4C67">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（三）比选有效期：投标文件及有关承诺文件有效期为提交投标文件截止时间起90天。</w:t>
      </w:r>
    </w:p>
    <w:p w14:paraId="48673AA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（四）比选保证金：</w:t>
      </w:r>
    </w:p>
    <w:p w14:paraId="3F2174EF">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提交保证金金额和方式详见本文件第一篇“五、比选保证金”；</w:t>
      </w:r>
    </w:p>
    <w:p w14:paraId="64B61447">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2.发生以下情况之一者，比选保证金不予退还：</w:t>
      </w:r>
    </w:p>
    <w:p w14:paraId="7201B46E">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在提交投标文件截止时间后撤回投标文件的；</w:t>
      </w:r>
    </w:p>
    <w:p w14:paraId="7442197C">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在投标文件中提供虚假材料的；</w:t>
      </w:r>
    </w:p>
    <w:p w14:paraId="5D45E71D">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除因不可抗力或比选文件认可的情形以外，</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不与采购人签订合同的；</w:t>
      </w:r>
    </w:p>
    <w:p w14:paraId="13137570">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2.4 </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与采购人、其他</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或者采购代理机构恶意串通的；</w:t>
      </w:r>
    </w:p>
    <w:p w14:paraId="243CEFC1">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2.5 </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不按规定的时间或拒绝按</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状态签订合同（即不按照竞争性比选文件确定的合同文本以及采购标的、规格型号、采购金额、采购数量、</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要求等事项签订采购合同的。）。</w:t>
      </w:r>
    </w:p>
    <w:p w14:paraId="13B795FC">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（四）修正错误</w:t>
      </w:r>
    </w:p>
    <w:p w14:paraId="275AA991">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所递交的投标文件中的价格出现大写金额和小写金额不一致的错误，以大写金额修正为准。</w:t>
      </w:r>
    </w:p>
    <w:p w14:paraId="18A2617D">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2.比选小组按上述修正错误的原则及方法修正</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的报价，</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同意并签字确认后，修正后的报价对</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具有约束作用。如果</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不接受修正后的价格，将失去成为</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的资格。</w:t>
      </w:r>
    </w:p>
    <w:p w14:paraId="5274E0F2">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（五）提交投标文件的份数和签署</w:t>
      </w:r>
    </w:p>
    <w:p w14:paraId="2E63B408">
      <w:pPr>
        <w:keepNext w:val="0"/>
        <w:keepLines w:val="0"/>
        <w:pageBreakBefore w:val="0"/>
        <w:widowControl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2"/>
          <w:sz w:val="24"/>
          <w:szCs w:val="24"/>
          <w:highlight w:val="none"/>
          <w:lang w:val="en-US" w:eastAsia="zh-CN" w:bidi="ar-SA"/>
        </w:rPr>
        <w:t>投标文件一式二份，其中正本一份，副本一份，副本可为正本的复印件，应与正本一致。</w:t>
      </w:r>
    </w:p>
    <w:p w14:paraId="776FB7EF">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2.在投标文件中，正本必须按第七篇投标文件编制要求签字、盖章，副本可为正本的复印件，应与正本一致，如出现不一致情况以正本为准。</w:t>
      </w:r>
    </w:p>
    <w:p w14:paraId="080CEDBE">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（六）投标文件的递交</w:t>
      </w:r>
    </w:p>
    <w:p w14:paraId="67811B0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1.投标文件的密封与标记</w:t>
      </w:r>
    </w:p>
    <w:p w14:paraId="5F255EC8">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投标文件的正本一份和副本</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份装入一个密封袋。密封袋上注明项目编号、</w:t>
      </w:r>
      <w:r>
        <w:rPr>
          <w:rFonts w:hint="eastAsia" w:ascii="仿宋" w:hAnsi="仿宋" w:eastAsia="仿宋" w:cs="仿宋"/>
          <w:color w:val="auto"/>
          <w:sz w:val="24"/>
          <w:szCs w:val="24"/>
          <w:highlight w:val="none"/>
          <w:lang w:eastAsia="zh-CN"/>
        </w:rPr>
        <w:t>比选项目名称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名称字样。密封袋的封口应加盖</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公章或法人授权代表签字并有字样：</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rPr>
        <w:t xml:space="preserve">  月   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分（北京时间）前不得开启的密封条。</w:t>
      </w:r>
    </w:p>
    <w:p w14:paraId="450DD8CB">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2.投标文件递交截止时间：参阅采购邀请书。</w:t>
      </w:r>
    </w:p>
    <w:p w14:paraId="007D9878">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3.投标文件语言：简体中文</w:t>
      </w:r>
    </w:p>
    <w:p w14:paraId="72366244">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参与人员</w:t>
      </w:r>
    </w:p>
    <w:p w14:paraId="1C16205C">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各个</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可派1-2名代表参与比选，至少1人应为法定代表人或具有法定代表人授权委托书的授权代表。</w:t>
      </w:r>
    </w:p>
    <w:p w14:paraId="6F91716D">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66" w:name="_Toc4822"/>
      <w:r>
        <w:rPr>
          <w:rFonts w:hint="eastAsia" w:ascii="仿宋" w:hAnsi="仿宋" w:eastAsia="仿宋" w:cs="仿宋"/>
          <w:b/>
          <w:color w:val="auto"/>
          <w:sz w:val="24"/>
          <w:szCs w:val="24"/>
          <w:highlight w:val="none"/>
        </w:rPr>
        <w:t>四、</w:t>
      </w:r>
      <w:r>
        <w:rPr>
          <w:rFonts w:hint="eastAsia" w:ascii="仿宋" w:hAnsi="仿宋" w:eastAsia="仿宋" w:cs="仿宋"/>
          <w:b/>
          <w:color w:val="auto"/>
          <w:sz w:val="24"/>
          <w:szCs w:val="24"/>
          <w:highlight w:val="none"/>
          <w:lang w:eastAsia="zh-CN"/>
        </w:rPr>
        <w:t>中标人</w:t>
      </w:r>
      <w:r>
        <w:rPr>
          <w:rFonts w:hint="eastAsia" w:ascii="仿宋" w:hAnsi="仿宋" w:eastAsia="仿宋" w:cs="仿宋"/>
          <w:b/>
          <w:color w:val="auto"/>
          <w:sz w:val="24"/>
          <w:szCs w:val="24"/>
          <w:highlight w:val="none"/>
        </w:rPr>
        <w:t>的确认和变更</w:t>
      </w:r>
      <w:bookmarkEnd w:id="165"/>
      <w:bookmarkEnd w:id="166"/>
    </w:p>
    <w:p w14:paraId="0872585E">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bookmarkStart w:id="167" w:name="_Toc342913395"/>
      <w:bookmarkStart w:id="168" w:name="_Toc439685503"/>
      <w:bookmarkStart w:id="169" w:name="_Toc102227321"/>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的确认</w:t>
      </w:r>
    </w:p>
    <w:p w14:paraId="66BD15A2">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采购代理机构应当在评审结束后2个工作日内将评审报告送采购人确认。采购人应当在收到评审报告后5个工作日内，从评审报告提出的</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候选</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中，按照排序由高到低的原则确定</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，也可以书面授权比选小组直接确定</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。采购人逾期未确定</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且不提出异议的，视为确定评审报告提出的排序第一的</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w:t>
      </w:r>
    </w:p>
    <w:p w14:paraId="12096F87">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的变更</w:t>
      </w:r>
    </w:p>
    <w:p w14:paraId="011B1D22">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拒绝签订政府采购合同的，采购人可以按照评审报告推荐的</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顺序，确定排名下一位的候选人为</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，也可以重新开展政府采购活动。拒绝签订政府采购合同的</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不得参加对该项目重新开展的采购活动。</w:t>
      </w:r>
    </w:p>
    <w:p w14:paraId="753B67AA">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无充分理由放弃</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的，采购人将会同采购代理机构把相关情况报财政部门，财政部门将根据相关法律法规的规定对违规</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进行处罚。</w:t>
      </w:r>
    </w:p>
    <w:p w14:paraId="340E2E5C">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70" w:name="_Toc6030"/>
      <w:r>
        <w:rPr>
          <w:rFonts w:hint="eastAsia" w:ascii="仿宋" w:hAnsi="仿宋" w:eastAsia="仿宋" w:cs="仿宋"/>
          <w:b/>
          <w:color w:val="auto"/>
          <w:sz w:val="24"/>
          <w:szCs w:val="24"/>
          <w:highlight w:val="none"/>
        </w:rPr>
        <w:t>五、</w:t>
      </w:r>
      <w:r>
        <w:rPr>
          <w:rFonts w:hint="eastAsia" w:ascii="仿宋" w:hAnsi="仿宋" w:eastAsia="仿宋" w:cs="仿宋"/>
          <w:b/>
          <w:color w:val="auto"/>
          <w:sz w:val="24"/>
          <w:szCs w:val="24"/>
          <w:highlight w:val="none"/>
          <w:lang w:val="en-US" w:eastAsia="zh-CN"/>
        </w:rPr>
        <w:t>成交（</w:t>
      </w:r>
      <w:r>
        <w:rPr>
          <w:rFonts w:hint="eastAsia" w:ascii="仿宋" w:hAnsi="仿宋" w:eastAsia="仿宋" w:cs="仿宋"/>
          <w:b/>
          <w:color w:val="auto"/>
          <w:sz w:val="24"/>
          <w:szCs w:val="24"/>
          <w:highlight w:val="none"/>
          <w:lang w:eastAsia="zh-CN"/>
        </w:rPr>
        <w:t>中标）</w:t>
      </w:r>
      <w:r>
        <w:rPr>
          <w:rFonts w:hint="eastAsia" w:ascii="仿宋" w:hAnsi="仿宋" w:eastAsia="仿宋" w:cs="仿宋"/>
          <w:b/>
          <w:color w:val="auto"/>
          <w:sz w:val="24"/>
          <w:szCs w:val="24"/>
          <w:highlight w:val="none"/>
        </w:rPr>
        <w:t>通知</w:t>
      </w:r>
      <w:bookmarkEnd w:id="167"/>
      <w:bookmarkEnd w:id="168"/>
      <w:bookmarkEnd w:id="169"/>
      <w:bookmarkEnd w:id="170"/>
    </w:p>
    <w:p w14:paraId="2D7D09DF">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bookmarkStart w:id="171" w:name="_Toc439685504"/>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确定后，采购代理机构将在</w:t>
      </w:r>
      <w:r>
        <w:rPr>
          <w:rFonts w:hint="eastAsia" w:ascii="仿宋" w:hAnsi="仿宋" w:eastAsia="仿宋" w:cs="仿宋"/>
          <w:color w:val="auto"/>
          <w:kern w:val="0"/>
          <w:sz w:val="24"/>
          <w:szCs w:val="24"/>
          <w:highlight w:val="none"/>
        </w:rPr>
        <w:t>行采家（https://www.gec123.com/）</w:t>
      </w:r>
      <w:r>
        <w:rPr>
          <w:rFonts w:hint="eastAsia" w:ascii="仿宋" w:hAnsi="仿宋" w:eastAsia="仿宋" w:cs="仿宋"/>
          <w:color w:val="auto"/>
          <w:kern w:val="0"/>
          <w:sz w:val="24"/>
          <w:szCs w:val="24"/>
          <w:highlight w:val="none"/>
          <w:lang w:val="en-US" w:eastAsia="zh-CN"/>
        </w:rPr>
        <w:t>和中国招标投标公共服务平台（http://www.cebpubservice.com/）</w:t>
      </w:r>
      <w:r>
        <w:rPr>
          <w:rFonts w:hint="eastAsia" w:ascii="仿宋" w:hAnsi="仿宋" w:eastAsia="仿宋" w:cs="仿宋"/>
          <w:color w:val="auto"/>
          <w:sz w:val="24"/>
          <w:szCs w:val="24"/>
          <w:highlight w:val="none"/>
        </w:rPr>
        <w:t>上发布</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结果公告。</w:t>
      </w:r>
    </w:p>
    <w:p w14:paraId="467BE868">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（二）结果公告发出同时，采购代理机构将以书面形式发出《</w:t>
      </w:r>
      <w:r>
        <w:rPr>
          <w:rFonts w:hint="eastAsia" w:ascii="仿宋" w:hAnsi="仿宋" w:eastAsia="仿宋" w:cs="仿宋"/>
          <w:color w:val="auto"/>
          <w:sz w:val="24"/>
          <w:szCs w:val="24"/>
          <w:highlight w:val="none"/>
          <w:lang w:val="en-US" w:eastAsia="zh-CN"/>
        </w:rPr>
        <w:t>成交（中标）</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val="en-US" w:eastAsia="zh-CN"/>
        </w:rPr>
        <w:t>成交（中标）</w:t>
      </w:r>
      <w:r>
        <w:rPr>
          <w:rFonts w:hint="eastAsia" w:ascii="仿宋" w:hAnsi="仿宋" w:eastAsia="仿宋" w:cs="仿宋"/>
          <w:color w:val="auto"/>
          <w:sz w:val="24"/>
          <w:szCs w:val="24"/>
          <w:highlight w:val="none"/>
        </w:rPr>
        <w:t>通知书》一经发出即发生法律效力。</w:t>
      </w:r>
    </w:p>
    <w:p w14:paraId="07194186">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成交（中标）</w:t>
      </w:r>
      <w:r>
        <w:rPr>
          <w:rFonts w:hint="eastAsia" w:ascii="仿宋" w:hAnsi="仿宋" w:eastAsia="仿宋" w:cs="仿宋"/>
          <w:color w:val="auto"/>
          <w:sz w:val="24"/>
          <w:szCs w:val="24"/>
          <w:highlight w:val="none"/>
        </w:rPr>
        <w:t>通知书》将作为签订合同的依据。</w:t>
      </w:r>
    </w:p>
    <w:p w14:paraId="46BCEF2D">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（四）如有</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结果提出质疑的，在质疑处理完毕后发出</w:t>
      </w:r>
      <w:r>
        <w:rPr>
          <w:rFonts w:hint="eastAsia" w:ascii="仿宋" w:hAnsi="仿宋" w:eastAsia="仿宋" w:cs="仿宋"/>
          <w:color w:val="auto"/>
          <w:sz w:val="24"/>
          <w:szCs w:val="24"/>
          <w:highlight w:val="none"/>
          <w:lang w:val="en-US" w:eastAsia="zh-CN"/>
        </w:rPr>
        <w:t>成交（中标）</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eastAsia="zh-CN"/>
        </w:rPr>
        <w:t>。</w:t>
      </w:r>
    </w:p>
    <w:p w14:paraId="078FFE84">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72" w:name="_Toc21577"/>
      <w:r>
        <w:rPr>
          <w:rFonts w:hint="eastAsia" w:ascii="仿宋" w:hAnsi="仿宋" w:eastAsia="仿宋" w:cs="仿宋"/>
          <w:b/>
          <w:color w:val="auto"/>
          <w:sz w:val="24"/>
          <w:szCs w:val="24"/>
          <w:highlight w:val="none"/>
        </w:rPr>
        <w:t>六、关于质疑和投诉</w:t>
      </w:r>
      <w:bookmarkEnd w:id="171"/>
      <w:bookmarkEnd w:id="172"/>
    </w:p>
    <w:p w14:paraId="237D016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bookmarkStart w:id="173" w:name="_Toc102227322"/>
      <w:bookmarkStart w:id="174" w:name="_Toc439685507"/>
      <w:bookmarkStart w:id="175" w:name="_Toc342913396"/>
      <w:r>
        <w:rPr>
          <w:rFonts w:hint="eastAsia" w:ascii="仿宋" w:hAnsi="仿宋" w:eastAsia="仿宋" w:cs="仿宋"/>
          <w:color w:val="auto"/>
          <w:sz w:val="24"/>
          <w:szCs w:val="24"/>
          <w:highlight w:val="none"/>
        </w:rPr>
        <w:t>（一）质疑</w:t>
      </w:r>
    </w:p>
    <w:p w14:paraId="516F142B">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认为竞争性比选文件、采购过程和</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结果使自己的权益收到伤害的，可向采购人或采购代理机构以书面形式提出质疑。</w:t>
      </w:r>
    </w:p>
    <w:p w14:paraId="12E69159">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提出质疑的应当是参与所质疑项目采购活动的</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w:t>
      </w:r>
    </w:p>
    <w:p w14:paraId="3CB9ABAB">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1.质疑内容、时限</w:t>
      </w:r>
    </w:p>
    <w:p w14:paraId="51182F1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认为竞争性比选文件、采购过程、</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结果使自己的权益受到损害的，可以在知道或者应知其权益受到损害之日起7个工作日内，以书面形式向采购人、采购代理机构提出质疑。</w:t>
      </w:r>
    </w:p>
    <w:p w14:paraId="7B6876B4">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提出质疑应当提交质疑函和必要的证明材料，质疑函应当包括下列内容：</w:t>
      </w:r>
    </w:p>
    <w:p w14:paraId="55B31D2F">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的姓名或者名称、地址、邮编、联系人及联系电话；</w:t>
      </w:r>
    </w:p>
    <w:p w14:paraId="76F01BF0">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（2）质疑项目的名称、项目号以及招标项目编号；</w:t>
      </w:r>
    </w:p>
    <w:p w14:paraId="0E48524F">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（3）具体、明确的质疑事项和与质疑事项相关的请求；</w:t>
      </w:r>
    </w:p>
    <w:p w14:paraId="388F60E6">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（4）事实依据；</w:t>
      </w:r>
    </w:p>
    <w:p w14:paraId="27214C6D">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（5）必要的法律依据；</w:t>
      </w:r>
    </w:p>
    <w:p w14:paraId="7ED2F59C">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（6）提出质疑的日期；</w:t>
      </w:r>
    </w:p>
    <w:p w14:paraId="5021AD2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（7）营业执照（或事业单位法人证书，或个体工商户营业执照或有效的自然人身份证明、组织机构代码证）复印件；</w:t>
      </w:r>
    </w:p>
    <w:p w14:paraId="7756E7FE">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（8）法定代表人授权委托书原件、法定代表人身份证复印件和其授权代表的身份证复印件（</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为自然人的提供自然人身份证复印件）；</w:t>
      </w:r>
    </w:p>
    <w:p w14:paraId="64B177A1">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 </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为自然人的，质疑函应当由本人签字；</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为法人或者其他组织的，质疑函应当由法定代表人、主要负责人，或者其授权代表签字或者盖章，并加盖公章。</w:t>
      </w:r>
    </w:p>
    <w:p w14:paraId="0E134465">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2.质疑答复</w:t>
      </w:r>
    </w:p>
    <w:p w14:paraId="5923688E">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采购人、采购代理机构应当在收到</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的书面质疑后七个工作日内作出答复，并以书面形式通知质疑</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和其他有关</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w:t>
      </w:r>
    </w:p>
    <w:p w14:paraId="3BC253FE">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w:t>
      </w:r>
    </w:p>
    <w:p w14:paraId="7A8AA9F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3.1 </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应按照《政府采购质疑和投诉办法》（财政部令第94号）及相关法律法规要求，在法定质疑期内一次性提出针对同一采购程序环节的质疑。</w:t>
      </w:r>
    </w:p>
    <w:p w14:paraId="5B29DDFB">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质疑函范本可在财政部门户网站和中国政府采购网下载。</w:t>
      </w:r>
    </w:p>
    <w:p w14:paraId="18A10575">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（二）投诉</w:t>
      </w:r>
    </w:p>
    <w:p w14:paraId="71DE1DA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对采购人、采购代理机构的答复不满意，或者采购人、采购代理机构未在规定时间内作出答复的，可以在答复期满后15个工作日内按照相关法律法规向财政部门提起投诉。</w:t>
      </w:r>
    </w:p>
    <w:p w14:paraId="26FDDE59">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应按照《政府采购质疑和投诉办法》（财政部令第94号）及相关法律法规要求递交投诉书和必要的证明材料。投诉书范本可在财政部门户网站和中国政府采购网下载。</w:t>
      </w:r>
    </w:p>
    <w:p w14:paraId="441A05CF">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3200804">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1D224C28">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76" w:name="_Toc30498"/>
      <w:r>
        <w:rPr>
          <w:rFonts w:hint="eastAsia" w:ascii="仿宋" w:hAnsi="仿宋" w:eastAsia="仿宋" w:cs="仿宋"/>
          <w:b/>
          <w:color w:val="auto"/>
          <w:sz w:val="24"/>
          <w:szCs w:val="24"/>
          <w:highlight w:val="none"/>
        </w:rPr>
        <w:t>七、采购代理服务费</w:t>
      </w:r>
      <w:bookmarkEnd w:id="176"/>
    </w:p>
    <w:p w14:paraId="1B0BBEDD">
      <w:pPr>
        <w:pageBreakBefore w:val="0"/>
        <w:widowControl w:val="0"/>
        <w:kinsoku/>
        <w:wordWrap/>
        <w:overflowPunct/>
        <w:topLinePunct w:val="0"/>
        <w:autoSpaceDE/>
        <w:autoSpaceDN/>
        <w:bidi w:val="0"/>
        <w:spacing w:line="400" w:lineRule="exact"/>
        <w:ind w:right="0" w:firstLine="480" w:firstLineChars="200"/>
        <w:textAlignment w:val="auto"/>
        <w:rPr>
          <w:rFonts w:hint="eastAsia" w:ascii="仿宋" w:hAnsi="仿宋" w:eastAsia="仿宋" w:cs="仿宋"/>
          <w:b/>
          <w:color w:val="auto"/>
          <w:sz w:val="24"/>
          <w:szCs w:val="24"/>
          <w:highlight w:val="none"/>
        </w:rPr>
      </w:pPr>
      <w:bookmarkStart w:id="177" w:name="OLE_LINK8"/>
      <w:bookmarkStart w:id="178" w:name="OLE_LINK7"/>
      <w:bookmarkStart w:id="179" w:name="_Toc21783697"/>
      <w:r>
        <w:rPr>
          <w:rFonts w:hint="eastAsia" w:ascii="仿宋" w:hAnsi="仿宋" w:eastAsia="仿宋" w:cs="仿宋"/>
          <w:color w:val="auto"/>
          <w:sz w:val="24"/>
          <w:szCs w:val="24"/>
          <w:highlight w:val="none"/>
          <w:lang w:eastAsia="zh-CN"/>
        </w:rPr>
        <w:t>供应商成交后向采购代理机构缴纳采购代理服务费，采购代理服务费的收取标准按照以下货物采购标准执行*80%计取(注:若不足3000元按3000元收取):</w:t>
      </w:r>
    </w:p>
    <w:tbl>
      <w:tblPr>
        <w:tblStyle w:val="27"/>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1912"/>
        <w:gridCol w:w="1884"/>
        <w:gridCol w:w="2052"/>
      </w:tblGrid>
      <w:tr w14:paraId="791E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810" w:type="dxa"/>
            <w:tcBorders>
              <w:tl2br w:val="single" w:color="auto" w:sz="4" w:space="0"/>
            </w:tcBorders>
            <w:vAlign w:val="top"/>
          </w:tcPr>
          <w:p w14:paraId="4EEAAB3F">
            <w:pPr>
              <w:pageBreakBefore w:val="0"/>
              <w:widowControl w:val="0"/>
              <w:kinsoku/>
              <w:wordWrap/>
              <w:overflowPunct/>
              <w:topLinePunct w:val="0"/>
              <w:autoSpaceDE/>
              <w:autoSpaceDN/>
              <w:bidi w:val="0"/>
              <w:spacing w:line="400" w:lineRule="exact"/>
              <w:ind w:right="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线 6"/>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8++YPWAAAACAEA&#10;AA8AAAAAAAAAAQAgAAAAIgAAAGRycy9kb3ducmV2LnhtbFBLAQIUABQAAAAIAIdO4kCfnT+24wEA&#10;ANkDAAAOAAAAAAAAAAEAIAAAACUBAABkcnMvZTJvRG9jLnhtbFBLBQYAAAAABgAGAFkBAAB6BQAA&#10;AAA=&#10;">
                      <v:fill on="f" focussize="0,0"/>
                      <v:stroke color="#000000" joinstyle="round"/>
                      <v:imagedata o:title=""/>
                      <o:lock v:ext="edit" aspectratio="f"/>
                    </v:line>
                  </w:pict>
                </mc:Fallback>
              </mc:AlternateContent>
            </w:r>
            <w:r>
              <w:rPr>
                <w:rFonts w:hint="eastAsia" w:ascii="仿宋" w:hAnsi="仿宋" w:eastAsia="仿宋" w:cs="仿宋"/>
                <w:color w:val="auto"/>
                <w:sz w:val="24"/>
                <w:szCs w:val="24"/>
                <w:highlight w:val="none"/>
              </w:rPr>
              <w:t>类型</w:t>
            </w:r>
          </w:p>
          <w:p w14:paraId="0505C04C">
            <w:pPr>
              <w:pageBreakBefore w:val="0"/>
              <w:widowControl w:val="0"/>
              <w:kinsoku/>
              <w:wordWrap/>
              <w:overflowPunct/>
              <w:topLinePunct w:val="0"/>
              <w:autoSpaceDE/>
              <w:autoSpaceDN/>
              <w:bidi w:val="0"/>
              <w:spacing w:line="400" w:lineRule="exact"/>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成交金额（万元）</w:t>
            </w:r>
          </w:p>
        </w:tc>
        <w:tc>
          <w:tcPr>
            <w:tcW w:w="1912" w:type="dxa"/>
            <w:vAlign w:val="center"/>
          </w:tcPr>
          <w:p w14:paraId="56AC7735">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货物采购</w:t>
            </w:r>
          </w:p>
        </w:tc>
        <w:tc>
          <w:tcPr>
            <w:tcW w:w="1884" w:type="dxa"/>
            <w:vAlign w:val="center"/>
          </w:tcPr>
          <w:p w14:paraId="7062A847">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服务采购</w:t>
            </w:r>
          </w:p>
        </w:tc>
        <w:tc>
          <w:tcPr>
            <w:tcW w:w="2052" w:type="dxa"/>
            <w:vAlign w:val="center"/>
          </w:tcPr>
          <w:p w14:paraId="6C280F06">
            <w:pPr>
              <w:pStyle w:val="57"/>
              <w:pageBreakBefore w:val="0"/>
              <w:widowControl w:val="0"/>
              <w:pBdr>
                <w:left w:val="none" w:color="auto" w:sz="0" w:space="0"/>
                <w:right w:val="none" w:color="auto" w:sz="0" w:space="0"/>
              </w:pBdr>
              <w:kinsoku/>
              <w:wordWrap/>
              <w:overflowPunct/>
              <w:topLinePunct w:val="0"/>
              <w:autoSpaceDE/>
              <w:autoSpaceDN/>
              <w:bidi w:val="0"/>
              <w:spacing w:before="0" w:beforeLines="0" w:beforeAutospacing="0" w:after="0" w:afterLines="0" w:afterAutospacing="0" w:line="400" w:lineRule="exact"/>
              <w:ind w:right="0"/>
              <w:textAlignment w:val="auto"/>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rPr>
              <w:t>工程</w:t>
            </w:r>
            <w:r>
              <w:rPr>
                <w:rFonts w:hint="eastAsia" w:ascii="仿宋" w:hAnsi="仿宋" w:eastAsia="仿宋" w:cs="仿宋"/>
                <w:color w:val="auto"/>
                <w:szCs w:val="24"/>
                <w:highlight w:val="none"/>
              </w:rPr>
              <w:t>采购</w:t>
            </w:r>
          </w:p>
        </w:tc>
      </w:tr>
      <w:tr w14:paraId="492A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07EF01AC">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100以下</w:t>
            </w:r>
          </w:p>
        </w:tc>
        <w:tc>
          <w:tcPr>
            <w:tcW w:w="1912" w:type="dxa"/>
            <w:vAlign w:val="center"/>
          </w:tcPr>
          <w:p w14:paraId="28E1B5F7">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884" w:type="dxa"/>
            <w:vAlign w:val="center"/>
          </w:tcPr>
          <w:p w14:paraId="39EA5357">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2052" w:type="dxa"/>
            <w:vAlign w:val="center"/>
          </w:tcPr>
          <w:p w14:paraId="279A9964">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14:paraId="0D7B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321A9FFE">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100-200</w:t>
            </w:r>
          </w:p>
        </w:tc>
        <w:tc>
          <w:tcPr>
            <w:tcW w:w="1912" w:type="dxa"/>
            <w:vAlign w:val="center"/>
          </w:tcPr>
          <w:p w14:paraId="337F589A">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884" w:type="dxa"/>
            <w:vAlign w:val="center"/>
          </w:tcPr>
          <w:p w14:paraId="54F4EB2D">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2052" w:type="dxa"/>
            <w:vAlign w:val="center"/>
          </w:tcPr>
          <w:p w14:paraId="55090557">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w:t>
            </w:r>
          </w:p>
        </w:tc>
      </w:tr>
      <w:bookmarkEnd w:id="177"/>
      <w:bookmarkEnd w:id="178"/>
    </w:tbl>
    <w:p w14:paraId="35ED7CED">
      <w:pPr>
        <w:pageBreakBefore w:val="0"/>
        <w:widowControl w:val="0"/>
        <w:kinsoku/>
        <w:wordWrap/>
        <w:overflowPunct/>
        <w:topLinePunct w:val="0"/>
        <w:autoSpaceDE/>
        <w:autoSpaceDN/>
        <w:bidi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（二）采购代理服务费缴纳账户信息：</w:t>
      </w:r>
    </w:p>
    <w:p w14:paraId="7A54C2CA">
      <w:pPr>
        <w:keepNext w:val="0"/>
        <w:keepLines w:val="0"/>
        <w:pageBreakBefore w:val="0"/>
        <w:widowControl w:val="0"/>
        <w:kinsoku/>
        <w:wordWrap/>
        <w:overflowPunct/>
        <w:topLinePunct w:val="0"/>
        <w:autoSpaceDE/>
        <w:autoSpaceDN/>
        <w:bidi w:val="0"/>
        <w:adjustRightInd/>
        <w:snapToGrid/>
        <w:spacing w:line="400" w:lineRule="exact"/>
        <w:ind w:right="0" w:firstLine="480" w:firstLineChars="200"/>
        <w:textAlignment w:val="auto"/>
        <w:rPr>
          <w:rFonts w:hint="eastAsia" w:ascii="仿宋" w:hAnsi="仿宋" w:eastAsia="仿宋" w:cs="仿宋"/>
          <w:color w:val="auto"/>
          <w:sz w:val="24"/>
          <w:szCs w:val="24"/>
          <w:highlight w:val="none"/>
          <w:lang w:val="en-US" w:eastAsia="zh-CN"/>
        </w:rPr>
      </w:pPr>
      <w:bookmarkStart w:id="180" w:name="_Toc16307"/>
      <w:bookmarkStart w:id="181" w:name="_Toc65662751"/>
      <w:bookmarkStart w:id="182" w:name="_Toc31456"/>
      <w:bookmarkStart w:id="183" w:name="_Toc13174"/>
      <w:bookmarkStart w:id="184" w:name="_Toc30955"/>
      <w:bookmarkStart w:id="185" w:name="_Toc3457"/>
      <w:bookmarkStart w:id="186" w:name="_Toc26604"/>
      <w:bookmarkStart w:id="187" w:name="_Toc6637"/>
      <w:bookmarkStart w:id="188" w:name="_Toc7561"/>
      <w:bookmarkStart w:id="189" w:name="_Toc6242"/>
      <w:bookmarkStart w:id="190" w:name="_Toc6274"/>
      <w:bookmarkStart w:id="191" w:name="_Toc29728"/>
      <w:bookmarkStart w:id="192" w:name="_Toc32158"/>
      <w:bookmarkStart w:id="193" w:name="_Toc23123"/>
      <w:bookmarkStart w:id="194" w:name="_Toc5922"/>
      <w:bookmarkStart w:id="195" w:name="_Toc23952"/>
      <w:r>
        <w:rPr>
          <w:rFonts w:hint="eastAsia" w:ascii="仿宋" w:hAnsi="仿宋" w:eastAsia="仿宋" w:cs="仿宋"/>
          <w:color w:val="auto"/>
          <w:sz w:val="24"/>
          <w:szCs w:val="24"/>
          <w:highlight w:val="none"/>
          <w:lang w:val="en-US" w:eastAsia="zh-CN"/>
        </w:rPr>
        <w:t>户  名：重庆市聚创招标代理有限公司</w:t>
      </w:r>
    </w:p>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14:paraId="27695A16">
      <w:pPr>
        <w:pageBreakBefore w:val="0"/>
        <w:widowControl w:val="0"/>
        <w:kinsoku/>
        <w:wordWrap/>
        <w:overflowPunct/>
        <w:topLinePunct w:val="0"/>
        <w:autoSpaceDE/>
        <w:autoSpaceDN/>
        <w:bidi w:val="0"/>
        <w:adjustRightInd/>
        <w:snapToGrid/>
        <w:spacing w:line="400" w:lineRule="exact"/>
        <w:ind w:right="0"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开户行：中国建设银行股份有限公司重庆南坪支行</w:t>
      </w:r>
    </w:p>
    <w:p w14:paraId="5315FEBB">
      <w:pPr>
        <w:pageBreakBefore w:val="0"/>
        <w:widowControl w:val="0"/>
        <w:kinsoku/>
        <w:wordWrap/>
        <w:overflowPunct/>
        <w:topLinePunct w:val="0"/>
        <w:autoSpaceDE/>
        <w:autoSpaceDN/>
        <w:bidi w:val="0"/>
        <w:adjustRightInd/>
        <w:snapToGrid/>
        <w:spacing w:line="400" w:lineRule="exact"/>
        <w:ind w:right="0" w:firstLine="48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账  号：5005 0107 3600 0000 2102</w:t>
      </w:r>
    </w:p>
    <w:bookmarkEnd w:id="179"/>
    <w:p w14:paraId="643A2695">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96" w:name="_Toc5742"/>
      <w:r>
        <w:rPr>
          <w:rFonts w:hint="eastAsia" w:ascii="仿宋" w:hAnsi="仿宋" w:eastAsia="仿宋" w:cs="仿宋"/>
          <w:b/>
          <w:color w:val="auto"/>
          <w:sz w:val="24"/>
          <w:szCs w:val="24"/>
          <w:highlight w:val="none"/>
        </w:rPr>
        <w:t>八、签订</w:t>
      </w:r>
      <w:bookmarkEnd w:id="173"/>
      <w:r>
        <w:rPr>
          <w:rFonts w:hint="eastAsia" w:ascii="仿宋" w:hAnsi="仿宋" w:eastAsia="仿宋" w:cs="仿宋"/>
          <w:b/>
          <w:color w:val="auto"/>
          <w:sz w:val="24"/>
          <w:szCs w:val="24"/>
          <w:highlight w:val="none"/>
        </w:rPr>
        <w:t>合同</w:t>
      </w:r>
      <w:bookmarkEnd w:id="174"/>
      <w:bookmarkEnd w:id="175"/>
      <w:bookmarkEnd w:id="196"/>
    </w:p>
    <w:p w14:paraId="4E66A6BC">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（一）采购人与</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应当在</w:t>
      </w:r>
      <w:r>
        <w:rPr>
          <w:rFonts w:hint="eastAsia" w:ascii="仿宋" w:hAnsi="仿宋" w:eastAsia="仿宋" w:cs="仿宋"/>
          <w:color w:val="auto"/>
          <w:sz w:val="24"/>
          <w:szCs w:val="24"/>
          <w:highlight w:val="none"/>
          <w:lang w:val="en-US" w:eastAsia="zh-CN"/>
        </w:rPr>
        <w:t>成交（中标）</w:t>
      </w:r>
      <w:r>
        <w:rPr>
          <w:rFonts w:hint="eastAsia" w:ascii="仿宋" w:hAnsi="仿宋" w:eastAsia="仿宋" w:cs="仿宋"/>
          <w:color w:val="auto"/>
          <w:sz w:val="24"/>
          <w:szCs w:val="24"/>
          <w:highlight w:val="none"/>
        </w:rPr>
        <w:t>通知书发出之日起</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日内，按照竞争性比选文件确定的合同文本以及采购标的、规格型号、采购金额、采购数量、</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和服务要求等事项签订采购合同。</w:t>
      </w:r>
    </w:p>
    <w:p w14:paraId="3C9BD9A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（二）比选文件、</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的投标文件及有效承诺文件等，均为签订合同的依据。</w:t>
      </w:r>
    </w:p>
    <w:p w14:paraId="5FA24CA6">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（三）如</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放弃</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项目或在签订合同时擅自改变</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状态的，采购人将按照相关法律法规处理。</w:t>
      </w:r>
    </w:p>
    <w:p w14:paraId="34114A33">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（四）采购人不得向</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提出超出比选文件以外的任何要求作为签订合同的条件，不得与</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订立背离比选确定的合同文本以及采购标的、规格型号、采购金额、采购数量、</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和服务要求等实质性内容的协议。</w:t>
      </w:r>
    </w:p>
    <w:p w14:paraId="68690101">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（五）除不可抗力等因素外，</w:t>
      </w:r>
      <w:r>
        <w:rPr>
          <w:rFonts w:hint="eastAsia" w:ascii="仿宋" w:hAnsi="仿宋" w:eastAsia="仿宋" w:cs="仿宋"/>
          <w:color w:val="auto"/>
          <w:sz w:val="24"/>
          <w:szCs w:val="24"/>
          <w:highlight w:val="none"/>
          <w:lang w:val="en-US" w:eastAsia="zh-CN"/>
        </w:rPr>
        <w:t>成交（中标）</w:t>
      </w:r>
      <w:r>
        <w:rPr>
          <w:rFonts w:hint="eastAsia" w:ascii="仿宋" w:hAnsi="仿宋" w:eastAsia="仿宋" w:cs="仿宋"/>
          <w:color w:val="auto"/>
          <w:sz w:val="24"/>
          <w:szCs w:val="24"/>
          <w:highlight w:val="none"/>
        </w:rPr>
        <w:t>通知书发出后，采购人改变</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结果，或者</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拒绝签订政府采购合同的，应当承担相应的法律责任。</w:t>
      </w:r>
    </w:p>
    <w:p w14:paraId="618386EB">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12D455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D8138C9">
      <w:pPr>
        <w:pStyle w:val="3"/>
        <w:spacing w:before="0" w:beforeLines="0" w:after="0" w:afterLines="0" w:line="360" w:lineRule="auto"/>
        <w:rPr>
          <w:rFonts w:hint="eastAsia" w:ascii="仿宋" w:hAnsi="仿宋" w:eastAsia="仿宋" w:cs="仿宋"/>
          <w:color w:val="auto"/>
          <w:sz w:val="52"/>
          <w:szCs w:val="52"/>
          <w:highlight w:val="none"/>
          <w:lang w:val="en-US" w:eastAsia="zh-CN"/>
        </w:rPr>
      </w:pPr>
      <w:bookmarkStart w:id="197" w:name="_Toc10288"/>
      <w:r>
        <w:rPr>
          <w:rFonts w:hint="eastAsia" w:ascii="仿宋" w:hAnsi="仿宋" w:eastAsia="仿宋" w:cs="仿宋"/>
          <w:color w:val="auto"/>
          <w:sz w:val="52"/>
          <w:szCs w:val="52"/>
          <w:highlight w:val="none"/>
          <w:lang w:val="en-US" w:eastAsia="zh-CN"/>
        </w:rPr>
        <w:t>第六篇  合同主要条款和格式合同（样本）</w:t>
      </w:r>
      <w:bookmarkEnd w:id="197"/>
    </w:p>
    <w:p w14:paraId="63C755E4">
      <w:pPr>
        <w:pageBreakBefore w:val="0"/>
        <w:kinsoku/>
        <w:wordWrap/>
        <w:overflowPunct/>
        <w:topLinePunct w:val="0"/>
        <w:autoSpaceDE/>
        <w:autoSpaceDN/>
        <w:bidi w:val="0"/>
        <w:spacing w:line="400" w:lineRule="exact"/>
        <w:ind w:firstLine="720" w:firstLineChars="200"/>
        <w:rPr>
          <w:rFonts w:hint="eastAsia" w:ascii="仿宋" w:hAnsi="仿宋" w:eastAsia="仿宋" w:cs="仿宋"/>
          <w:color w:val="auto"/>
          <w:sz w:val="36"/>
          <w:szCs w:val="36"/>
          <w:highlight w:val="none"/>
          <w:lang w:val="en-US" w:eastAsia="zh-CN"/>
        </w:rPr>
      </w:pPr>
    </w:p>
    <w:p w14:paraId="33EC37BE">
      <w:pPr>
        <w:pStyle w:val="4"/>
        <w:spacing w:line="400" w:lineRule="exact"/>
        <w:rPr>
          <w:rFonts w:hint="eastAsia" w:ascii="仿宋" w:hAnsi="仿宋" w:eastAsia="仿宋" w:cs="仿宋"/>
          <w:b/>
          <w:sz w:val="24"/>
          <w:highlight w:val="none"/>
        </w:rPr>
      </w:pPr>
      <w:bookmarkStart w:id="198" w:name="_Toc76373905"/>
      <w:bookmarkStart w:id="199" w:name="_Toc1264"/>
      <w:bookmarkStart w:id="200" w:name="_Toc30180"/>
      <w:bookmarkStart w:id="201" w:name="_Toc13344"/>
      <w:bookmarkStart w:id="202" w:name="_Toc8736"/>
      <w:bookmarkStart w:id="203" w:name="_Toc10713"/>
      <w:bookmarkStart w:id="204" w:name="_Toc190954597"/>
      <w:bookmarkStart w:id="205" w:name="_Toc20067"/>
      <w:r>
        <w:rPr>
          <w:rFonts w:hint="eastAsia" w:ascii="仿宋" w:hAnsi="仿宋" w:eastAsia="仿宋" w:cs="仿宋"/>
          <w:b/>
          <w:sz w:val="24"/>
          <w:highlight w:val="none"/>
        </w:rPr>
        <w:t>一、合同主要条款</w:t>
      </w:r>
      <w:bookmarkEnd w:id="198"/>
      <w:bookmarkEnd w:id="199"/>
      <w:bookmarkEnd w:id="200"/>
      <w:bookmarkEnd w:id="201"/>
      <w:bookmarkEnd w:id="202"/>
      <w:bookmarkEnd w:id="203"/>
      <w:bookmarkEnd w:id="204"/>
      <w:bookmarkEnd w:id="205"/>
    </w:p>
    <w:p w14:paraId="58BC2086">
      <w:pPr>
        <w:spacing w:line="400" w:lineRule="exact"/>
        <w:ind w:firstLine="480" w:firstLineChars="200"/>
        <w:outlineLvl w:val="2"/>
        <w:rPr>
          <w:rFonts w:hint="eastAsia" w:ascii="仿宋" w:hAnsi="仿宋" w:eastAsia="仿宋" w:cs="仿宋"/>
          <w:sz w:val="24"/>
          <w:highlight w:val="none"/>
        </w:rPr>
      </w:pPr>
      <w:r>
        <w:rPr>
          <w:rFonts w:hint="eastAsia" w:ascii="仿宋" w:hAnsi="仿宋" w:eastAsia="仿宋" w:cs="仿宋"/>
          <w:sz w:val="24"/>
          <w:highlight w:val="none"/>
        </w:rPr>
        <w:t>1.定义</w:t>
      </w:r>
    </w:p>
    <w:p w14:paraId="77D0DAF4">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1.1甲方（需方）即采购人，是指通过招标采购，接受合同货物及服务的各级国家机关、事业单位和团体组织。</w:t>
      </w:r>
    </w:p>
    <w:p w14:paraId="4E8637E5">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1.2乙方（供方）即中标人，是指中标后提供合同货物和服务的自然人、法人及其他组织。</w:t>
      </w:r>
    </w:p>
    <w:p w14:paraId="12CBF467">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1.3合同是指由甲乙双方按照</w:t>
      </w:r>
      <w:r>
        <w:rPr>
          <w:rFonts w:hint="eastAsia" w:ascii="仿宋" w:hAnsi="仿宋" w:eastAsia="仿宋" w:cs="仿宋"/>
          <w:sz w:val="24"/>
          <w:highlight w:val="none"/>
          <w:lang w:eastAsia="zh-CN"/>
        </w:rPr>
        <w:t>竞争性比选文件</w:t>
      </w:r>
      <w:r>
        <w:rPr>
          <w:rFonts w:hint="eastAsia" w:ascii="仿宋" w:hAnsi="仿宋" w:eastAsia="仿宋" w:cs="仿宋"/>
          <w:sz w:val="24"/>
          <w:highlight w:val="none"/>
        </w:rPr>
        <w:t>和投标文件的实质性内容，通过协商一致达成的书面协议。</w:t>
      </w:r>
    </w:p>
    <w:p w14:paraId="3B7C3A26">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1.4合同价格指以中标价格为依据，在供方全面履行合同义务后，需方（或财政部门）应支付给供方的金额。</w:t>
      </w:r>
    </w:p>
    <w:p w14:paraId="1E258ABD">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1.5技术资料是指合同货物及其相关的设计、制造、监造、检验、验收等文件（包括图纸、各种文字说明、标准）。</w:t>
      </w:r>
    </w:p>
    <w:p w14:paraId="0C1920D9">
      <w:pPr>
        <w:spacing w:line="400" w:lineRule="exact"/>
        <w:ind w:firstLine="480" w:firstLineChars="200"/>
        <w:outlineLvl w:val="2"/>
        <w:rPr>
          <w:rFonts w:hint="eastAsia" w:ascii="仿宋" w:hAnsi="仿宋" w:eastAsia="仿宋" w:cs="仿宋"/>
          <w:sz w:val="24"/>
          <w:highlight w:val="none"/>
        </w:rPr>
      </w:pPr>
      <w:r>
        <w:rPr>
          <w:rFonts w:hint="eastAsia" w:ascii="仿宋" w:hAnsi="仿宋" w:eastAsia="仿宋" w:cs="仿宋"/>
          <w:sz w:val="24"/>
          <w:highlight w:val="none"/>
        </w:rPr>
        <w:t>2.货物内容</w:t>
      </w:r>
    </w:p>
    <w:p w14:paraId="64260597">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合同包括以下内容：货物名称、型号规格、技术参数、数量（单位）等内容。</w:t>
      </w:r>
    </w:p>
    <w:p w14:paraId="11600DE8">
      <w:pPr>
        <w:spacing w:line="400" w:lineRule="exact"/>
        <w:ind w:firstLine="480" w:firstLineChars="200"/>
        <w:outlineLvl w:val="2"/>
        <w:rPr>
          <w:rFonts w:hint="eastAsia" w:ascii="仿宋" w:hAnsi="仿宋" w:eastAsia="仿宋" w:cs="仿宋"/>
          <w:sz w:val="24"/>
          <w:highlight w:val="none"/>
        </w:rPr>
      </w:pPr>
      <w:r>
        <w:rPr>
          <w:rFonts w:hint="eastAsia" w:ascii="仿宋" w:hAnsi="仿宋" w:eastAsia="仿宋" w:cs="仿宋"/>
          <w:sz w:val="24"/>
          <w:highlight w:val="none"/>
        </w:rPr>
        <w:t>3.合同价格</w:t>
      </w:r>
    </w:p>
    <w:p w14:paraId="66CEFEF0">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3.1合同价格即合同总价。</w:t>
      </w:r>
    </w:p>
    <w:p w14:paraId="163129C8">
      <w:pPr>
        <w:spacing w:line="400" w:lineRule="exact"/>
        <w:ind w:firstLine="480" w:firstLineChars="200"/>
        <w:rPr>
          <w:rFonts w:hint="eastAsia" w:ascii="仿宋" w:hAnsi="仿宋" w:eastAsia="仿宋" w:cs="仿宋"/>
          <w:highlight w:val="none"/>
        </w:rPr>
      </w:pPr>
      <w:r>
        <w:rPr>
          <w:rFonts w:hint="eastAsia" w:ascii="仿宋" w:hAnsi="仿宋" w:eastAsia="仿宋" w:cs="仿宋"/>
          <w:sz w:val="24"/>
          <w:highlight w:val="none"/>
        </w:rPr>
        <w:t>3.2合同价格包括</w:t>
      </w:r>
      <w:r>
        <w:rPr>
          <w:rFonts w:hint="eastAsia" w:ascii="仿宋" w:hAnsi="仿宋" w:eastAsia="仿宋" w:cs="仿宋"/>
          <w:sz w:val="24"/>
          <w:szCs w:val="24"/>
          <w:highlight w:val="none"/>
        </w:rPr>
        <w:t>设备或货物购买</w:t>
      </w:r>
      <w:r>
        <w:rPr>
          <w:rFonts w:hint="eastAsia" w:ascii="仿宋" w:hAnsi="仿宋" w:eastAsia="仿宋" w:cs="仿宋"/>
          <w:kern w:val="0"/>
          <w:sz w:val="24"/>
          <w:szCs w:val="24"/>
          <w:highlight w:val="none"/>
        </w:rPr>
        <w:t>产品费、运输费（含装卸费）、保险费、安装调试费、检测费、税费、培训费、辅材费等完成本项目全部内容所需的一切费用。因投标人自身原因造成漏报、少报皆由其自行承担责任，采购人不再补偿。</w:t>
      </w:r>
    </w:p>
    <w:p w14:paraId="496E3CBE">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3.3合同货物单价为不变价。</w:t>
      </w:r>
    </w:p>
    <w:p w14:paraId="7BF230B2">
      <w:pPr>
        <w:spacing w:line="400" w:lineRule="exact"/>
        <w:ind w:firstLine="480" w:firstLineChars="200"/>
        <w:outlineLvl w:val="2"/>
        <w:rPr>
          <w:rFonts w:hint="eastAsia" w:ascii="仿宋" w:hAnsi="仿宋" w:eastAsia="仿宋" w:cs="仿宋"/>
          <w:sz w:val="24"/>
          <w:highlight w:val="none"/>
        </w:rPr>
      </w:pPr>
      <w:r>
        <w:rPr>
          <w:rFonts w:hint="eastAsia" w:ascii="仿宋" w:hAnsi="仿宋" w:eastAsia="仿宋" w:cs="仿宋"/>
          <w:sz w:val="24"/>
          <w:highlight w:val="none"/>
        </w:rPr>
        <w:t>4.转包或分包</w:t>
      </w:r>
    </w:p>
    <w:p w14:paraId="5847B777">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4.1本合同范围的货物，应由乙方直接供应，不得转让他人供应；</w:t>
      </w:r>
    </w:p>
    <w:p w14:paraId="773288DB">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4.2非经甲方书面同意，乙方不得将本合同范围的货物全部或部分分包给他人供应；</w:t>
      </w:r>
    </w:p>
    <w:p w14:paraId="1010060B">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4.3如有转让和未经甲方同意的分包行为，甲方有权解除合同，没收履约保证金并追究乙方的违约责任。</w:t>
      </w:r>
    </w:p>
    <w:p w14:paraId="7C0E0E56">
      <w:pPr>
        <w:spacing w:line="400" w:lineRule="exact"/>
        <w:ind w:firstLine="480" w:firstLineChars="200"/>
        <w:outlineLvl w:val="2"/>
        <w:rPr>
          <w:rFonts w:hint="eastAsia" w:ascii="仿宋" w:hAnsi="仿宋" w:eastAsia="仿宋" w:cs="仿宋"/>
          <w:sz w:val="24"/>
          <w:highlight w:val="none"/>
        </w:rPr>
      </w:pPr>
      <w:r>
        <w:rPr>
          <w:rFonts w:hint="eastAsia" w:ascii="仿宋" w:hAnsi="仿宋" w:eastAsia="仿宋" w:cs="仿宋"/>
          <w:sz w:val="24"/>
          <w:highlight w:val="none"/>
        </w:rPr>
        <w:t>5.质量保证及售后服务</w:t>
      </w:r>
    </w:p>
    <w:p w14:paraId="1C0185FF">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5.1乙方应按</w:t>
      </w:r>
      <w:r>
        <w:rPr>
          <w:rFonts w:hint="eastAsia" w:ascii="仿宋" w:hAnsi="仿宋" w:eastAsia="仿宋" w:cs="仿宋"/>
          <w:sz w:val="24"/>
          <w:highlight w:val="none"/>
          <w:lang w:eastAsia="zh-CN"/>
        </w:rPr>
        <w:t>竞争性比选文件</w:t>
      </w:r>
      <w:r>
        <w:rPr>
          <w:rFonts w:hint="eastAsia" w:ascii="仿宋" w:hAnsi="仿宋" w:eastAsia="仿宋" w:cs="仿宋"/>
          <w:sz w:val="24"/>
          <w:highlight w:val="none"/>
        </w:rPr>
        <w:t>规定的货物性能、技术要求、质量标准向甲方提供未经使用的全新产品。</w:t>
      </w:r>
    </w:p>
    <w:p w14:paraId="4B013F3C">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5.2乙方提供的货物在质保期内因货物本身的质量问题发生故障，乙方应负责免费更换。对达不到技术要求者，根据实际情况，经双方协商，可按以下办法处理：</w:t>
      </w:r>
    </w:p>
    <w:p w14:paraId="454A8739">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5.2.1更换：由乙方承担所发生的全部费用。</w:t>
      </w:r>
    </w:p>
    <w:p w14:paraId="05E474C7">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5.2.2贬值处理：由甲乙双方合议定价。</w:t>
      </w:r>
    </w:p>
    <w:p w14:paraId="2053788B">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5.2.3退货处理：乙方应退还甲方支付的合同款，同时应承担该货物的直接费用（运输、保险、检验、货款利息及银行手续费等）。</w:t>
      </w:r>
    </w:p>
    <w:p w14:paraId="05B4455C">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5.3如在使用过程中发生质量问题，乙方应按本项目“第三篇 项目商务需求”中的要求处理。</w:t>
      </w:r>
    </w:p>
    <w:p w14:paraId="4D88D72F">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5.4在质保期内，乙方应对货物出现的质量及安全问题负责处理解决并承担一切费用。</w:t>
      </w:r>
    </w:p>
    <w:p w14:paraId="384ED339">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5.5 如甲方要求乙方提供履约保证金的，履约保证金的收取和退还应按本项目“第三篇 项目商务需求”中的要求处理。</w:t>
      </w:r>
    </w:p>
    <w:p w14:paraId="4A7F1779">
      <w:pPr>
        <w:spacing w:line="400" w:lineRule="exact"/>
        <w:ind w:firstLine="480" w:firstLineChars="200"/>
        <w:outlineLvl w:val="2"/>
        <w:rPr>
          <w:rFonts w:hint="eastAsia" w:ascii="仿宋" w:hAnsi="仿宋" w:eastAsia="仿宋" w:cs="仿宋"/>
          <w:sz w:val="24"/>
          <w:highlight w:val="none"/>
        </w:rPr>
      </w:pPr>
      <w:r>
        <w:rPr>
          <w:rFonts w:hint="eastAsia" w:ascii="仿宋" w:hAnsi="仿宋" w:eastAsia="仿宋" w:cs="仿宋"/>
          <w:sz w:val="24"/>
          <w:highlight w:val="none"/>
        </w:rPr>
        <w:t>6.付款</w:t>
      </w:r>
    </w:p>
    <w:p w14:paraId="30E25450">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6.1本合同使用货币币制如未作特别说明均为人民币。</w:t>
      </w:r>
    </w:p>
    <w:p w14:paraId="2140A6B9">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6.2付款方式：银行转账、现金支票。</w:t>
      </w:r>
    </w:p>
    <w:p w14:paraId="4817EB28">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6.3付款方法：</w:t>
      </w:r>
    </w:p>
    <w:p w14:paraId="1681F9B6">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（一）中标人按采购人实际需求进行供货，据实结算。</w:t>
      </w:r>
    </w:p>
    <w:p w14:paraId="104EE93E">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（二）货款支付</w:t>
      </w:r>
    </w:p>
    <w:p w14:paraId="022AA39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中标人按合同履约，经采购人验收合格后，按实际供货金额开具100%的货款发票，采购人原则上应在收到发票后5个工作日内按程序办理支付手续。 </w:t>
      </w:r>
    </w:p>
    <w:p w14:paraId="0D9E1151">
      <w:pPr>
        <w:spacing w:line="400" w:lineRule="exact"/>
        <w:ind w:firstLine="480" w:firstLineChars="200"/>
        <w:outlineLvl w:val="2"/>
        <w:rPr>
          <w:rFonts w:hint="eastAsia" w:ascii="仿宋" w:hAnsi="仿宋" w:eastAsia="仿宋" w:cs="仿宋"/>
          <w:sz w:val="24"/>
          <w:highlight w:val="none"/>
        </w:rPr>
      </w:pPr>
      <w:r>
        <w:rPr>
          <w:rFonts w:hint="eastAsia" w:ascii="仿宋" w:hAnsi="仿宋" w:eastAsia="仿宋" w:cs="仿宋"/>
          <w:sz w:val="24"/>
          <w:highlight w:val="none"/>
        </w:rPr>
        <w:t>7.检查验收</w:t>
      </w:r>
    </w:p>
    <w:p w14:paraId="50DC711B">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7.1供方应随货物提供合格证和质量证明文件，如是国外进口的货物还须提供入关证明。</w:t>
      </w:r>
    </w:p>
    <w:p w14:paraId="75439E6D">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7.2货物验收</w:t>
      </w:r>
    </w:p>
    <w:p w14:paraId="4E1C6FA9">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供方所交货物的各种质量指标不得低于供方提供样品的质量指标（无样品时按供方的投标时提供的“技术文件”执行），售后服务质量要求按照</w:t>
      </w:r>
      <w:r>
        <w:rPr>
          <w:rFonts w:hint="eastAsia" w:ascii="仿宋" w:hAnsi="仿宋" w:eastAsia="仿宋" w:cs="仿宋"/>
          <w:sz w:val="24"/>
          <w:highlight w:val="none"/>
          <w:lang w:eastAsia="zh-CN"/>
        </w:rPr>
        <w:t>竞争性比选文件</w:t>
      </w:r>
      <w:r>
        <w:rPr>
          <w:rFonts w:hint="eastAsia" w:ascii="仿宋" w:hAnsi="仿宋" w:eastAsia="仿宋" w:cs="仿宋"/>
          <w:sz w:val="24"/>
          <w:highlight w:val="none"/>
        </w:rPr>
        <w:t>和投标文件的内容执行。供方交货时，需方可根据需要随机抽取一部分货物送有关权威检测部门检测，如检测不合格，供方负责赔偿需方一切损失。</w:t>
      </w:r>
    </w:p>
    <w:p w14:paraId="20DE6FB4">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7.3货物验收报告应由需方、供方经办人签字，并加盖双方公章，以此作为支付凭据。</w:t>
      </w:r>
    </w:p>
    <w:p w14:paraId="2114A0D9">
      <w:pPr>
        <w:spacing w:line="400" w:lineRule="exact"/>
        <w:ind w:firstLine="480" w:firstLineChars="200"/>
        <w:outlineLvl w:val="2"/>
        <w:rPr>
          <w:rFonts w:hint="eastAsia" w:ascii="仿宋" w:hAnsi="仿宋" w:eastAsia="仿宋" w:cs="仿宋"/>
          <w:sz w:val="24"/>
          <w:highlight w:val="none"/>
        </w:rPr>
      </w:pPr>
      <w:r>
        <w:rPr>
          <w:rFonts w:hint="eastAsia" w:ascii="仿宋" w:hAnsi="仿宋" w:eastAsia="仿宋" w:cs="仿宋"/>
          <w:sz w:val="24"/>
          <w:highlight w:val="none"/>
        </w:rPr>
        <w:t>8.索赔</w:t>
      </w:r>
    </w:p>
    <w:p w14:paraId="56759AF0">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供方对货物与合同要求不符负有责任，并且需方已于规定交货内和质量保证期内提出索赔，供方应按需方同意的下述一种或多种方法解决索赔事宜。</w:t>
      </w:r>
    </w:p>
    <w:p w14:paraId="5D86201E">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4E23DB67">
      <w:pPr>
        <w:spacing w:line="400" w:lineRule="exact"/>
        <w:ind w:firstLine="480" w:firstLineChars="200"/>
        <w:outlineLvl w:val="2"/>
        <w:rPr>
          <w:rFonts w:hint="eastAsia" w:ascii="仿宋" w:hAnsi="仿宋" w:eastAsia="仿宋" w:cs="仿宋"/>
          <w:sz w:val="24"/>
          <w:highlight w:val="none"/>
        </w:rPr>
      </w:pPr>
      <w:r>
        <w:rPr>
          <w:rFonts w:hint="eastAsia" w:ascii="仿宋" w:hAnsi="仿宋" w:eastAsia="仿宋" w:cs="仿宋"/>
          <w:sz w:val="24"/>
          <w:highlight w:val="none"/>
        </w:rPr>
        <w:t>9.知识产权</w:t>
      </w:r>
    </w:p>
    <w:p w14:paraId="77BF9293">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甲方在中华人民共和国境内使用乙方提供的货物及服务时免受第三方提出的侵犯其专利权或其它知识产权的起诉。如果第三方提出侵权指控，乙方应承担由此而引起的一切法律责任和费用。</w:t>
      </w:r>
    </w:p>
    <w:p w14:paraId="20BBF396">
      <w:pPr>
        <w:spacing w:line="400" w:lineRule="exact"/>
        <w:ind w:firstLine="480" w:firstLineChars="200"/>
        <w:outlineLvl w:val="2"/>
        <w:rPr>
          <w:rFonts w:hint="eastAsia" w:ascii="仿宋" w:hAnsi="仿宋" w:eastAsia="仿宋" w:cs="仿宋"/>
          <w:sz w:val="24"/>
          <w:highlight w:val="none"/>
        </w:rPr>
      </w:pPr>
      <w:r>
        <w:rPr>
          <w:rFonts w:hint="eastAsia" w:ascii="仿宋" w:hAnsi="仿宋" w:eastAsia="仿宋" w:cs="仿宋"/>
          <w:sz w:val="24"/>
          <w:highlight w:val="none"/>
        </w:rPr>
        <w:t>10.合同争议的解决</w:t>
      </w:r>
    </w:p>
    <w:p w14:paraId="3292864D">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10.1当事人友好协商达成一致</w:t>
      </w:r>
    </w:p>
    <w:p w14:paraId="2BFC8D7C">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10.2在60天内当事人协商不能达成协议的，可提请采购人当地仲裁机构仲裁。</w:t>
      </w:r>
    </w:p>
    <w:p w14:paraId="27909D73">
      <w:pPr>
        <w:spacing w:line="400" w:lineRule="exact"/>
        <w:ind w:firstLine="480" w:firstLineChars="200"/>
        <w:outlineLvl w:val="2"/>
        <w:rPr>
          <w:rFonts w:hint="eastAsia" w:ascii="仿宋" w:hAnsi="仿宋" w:eastAsia="仿宋" w:cs="仿宋"/>
          <w:sz w:val="24"/>
          <w:highlight w:val="none"/>
        </w:rPr>
      </w:pPr>
      <w:r>
        <w:rPr>
          <w:rFonts w:hint="eastAsia" w:ascii="仿宋" w:hAnsi="仿宋" w:eastAsia="仿宋" w:cs="仿宋"/>
          <w:sz w:val="24"/>
          <w:highlight w:val="none"/>
        </w:rPr>
        <w:t>11.违约责任</w:t>
      </w:r>
    </w:p>
    <w:p w14:paraId="47BAA2FD">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按《中华人民共和国民法典》、《中华人民共和国政府采购法》有关条款，或由供需双方约定。</w:t>
      </w:r>
    </w:p>
    <w:p w14:paraId="71D9904F">
      <w:pPr>
        <w:spacing w:line="400" w:lineRule="exact"/>
        <w:ind w:firstLine="480" w:firstLineChars="200"/>
        <w:outlineLvl w:val="2"/>
        <w:rPr>
          <w:rFonts w:hint="eastAsia" w:ascii="仿宋" w:hAnsi="仿宋" w:eastAsia="仿宋" w:cs="仿宋"/>
          <w:sz w:val="24"/>
          <w:highlight w:val="none"/>
        </w:rPr>
      </w:pPr>
      <w:r>
        <w:rPr>
          <w:rFonts w:hint="eastAsia" w:ascii="仿宋" w:hAnsi="仿宋" w:eastAsia="仿宋" w:cs="仿宋"/>
          <w:sz w:val="24"/>
          <w:highlight w:val="none"/>
        </w:rPr>
        <w:t>12.合同生效及其它</w:t>
      </w:r>
    </w:p>
    <w:p w14:paraId="4404AEDC">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12.1合同生效及其效力应符合《中华人民共和国民法典》有关规定。</w:t>
      </w:r>
    </w:p>
    <w:p w14:paraId="743EE586">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12.2合同应经当事人法定代表人或委托代理人签字，加盖双方合同专用章或公章。</w:t>
      </w:r>
    </w:p>
    <w:p w14:paraId="62146084">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12.3合同所包括附件，是合同不可分割的一部分，具有同等法法律效力。</w:t>
      </w:r>
    </w:p>
    <w:p w14:paraId="79D992CD">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12.4本合同条件未尽事宜依照《中华人民共和国民法典》，由供需双方共同协商确定。</w:t>
      </w:r>
    </w:p>
    <w:p w14:paraId="702ACFE0">
      <w:pPr>
        <w:spacing w:line="400" w:lineRule="exact"/>
        <w:ind w:firstLine="480" w:firstLineChars="200"/>
        <w:rPr>
          <w:rFonts w:hint="eastAsia" w:ascii="仿宋" w:hAnsi="仿宋" w:eastAsia="仿宋" w:cs="仿宋"/>
          <w:sz w:val="24"/>
          <w:highlight w:val="none"/>
        </w:rPr>
      </w:pPr>
    </w:p>
    <w:p w14:paraId="34E93055">
      <w:pPr>
        <w:pStyle w:val="4"/>
        <w:kinsoku/>
        <w:wordWrap/>
        <w:overflowPunct/>
        <w:topLinePunct w:val="0"/>
        <w:autoSpaceDE/>
        <w:autoSpaceDN/>
        <w:bidi w:val="0"/>
        <w:spacing w:line="400" w:lineRule="exact"/>
        <w:ind w:firstLine="420" w:firstLineChars="200"/>
        <w:rPr>
          <w:rFonts w:hint="eastAsia" w:ascii="仿宋" w:hAnsi="仿宋" w:eastAsia="仿宋" w:cs="仿宋"/>
          <w:color w:val="auto"/>
          <w:highlight w:val="none"/>
          <w:lang w:val="en-US" w:eastAsia="zh-CN"/>
        </w:rPr>
      </w:pPr>
    </w:p>
    <w:p w14:paraId="62B3B15B">
      <w:pPr>
        <w:pStyle w:val="4"/>
        <w:kinsoku/>
        <w:wordWrap/>
        <w:overflowPunct/>
        <w:topLinePunct w:val="0"/>
        <w:autoSpaceDE/>
        <w:autoSpaceDN/>
        <w:bidi w:val="0"/>
        <w:spacing w:line="400" w:lineRule="exact"/>
        <w:ind w:firstLine="420" w:firstLineChars="200"/>
        <w:rPr>
          <w:rFonts w:hint="eastAsia" w:ascii="仿宋" w:hAnsi="仿宋" w:eastAsia="仿宋" w:cs="仿宋"/>
          <w:color w:val="auto"/>
          <w:highlight w:val="none"/>
          <w:lang w:val="en-US" w:eastAsia="zh-CN"/>
        </w:rPr>
      </w:pPr>
    </w:p>
    <w:p w14:paraId="3E8B5152">
      <w:pPr>
        <w:pStyle w:val="4"/>
        <w:kinsoku/>
        <w:wordWrap/>
        <w:overflowPunct/>
        <w:topLinePunct w:val="0"/>
        <w:autoSpaceDE/>
        <w:autoSpaceDN/>
        <w:bidi w:val="0"/>
        <w:spacing w:line="400" w:lineRule="exact"/>
        <w:ind w:firstLine="420" w:firstLineChars="200"/>
        <w:rPr>
          <w:rFonts w:hint="eastAsia" w:ascii="仿宋" w:hAnsi="仿宋" w:eastAsia="仿宋" w:cs="仿宋"/>
          <w:b/>
          <w:sz w:val="24"/>
          <w:highlight w:val="none"/>
        </w:rPr>
      </w:pPr>
      <w:r>
        <w:rPr>
          <w:rFonts w:hint="eastAsia" w:ascii="仿宋" w:hAnsi="仿宋" w:eastAsia="仿宋" w:cs="仿宋"/>
          <w:color w:val="auto"/>
          <w:highlight w:val="none"/>
        </w:rPr>
        <w:br w:type="page"/>
      </w:r>
      <w:bookmarkStart w:id="206" w:name="_Toc11820"/>
      <w:bookmarkStart w:id="207" w:name="_Toc4623"/>
      <w:bookmarkStart w:id="208" w:name="_Toc11006"/>
      <w:bookmarkStart w:id="209" w:name="_Toc14172"/>
      <w:bookmarkStart w:id="210" w:name="_Toc75793538"/>
      <w:bookmarkStart w:id="211" w:name="_Toc10958"/>
      <w:bookmarkStart w:id="212" w:name="_Toc277084871"/>
      <w:bookmarkStart w:id="213" w:name="_Toc1900"/>
      <w:bookmarkStart w:id="214" w:name="_Toc13103"/>
      <w:bookmarkStart w:id="215" w:name="_Toc3208"/>
      <w:bookmarkStart w:id="216" w:name="_Toc6684"/>
      <w:bookmarkStart w:id="217" w:name="_Toc2577"/>
      <w:bookmarkStart w:id="218" w:name="_Toc14438"/>
      <w:bookmarkStart w:id="219" w:name="_Toc285722713"/>
      <w:bookmarkStart w:id="220" w:name="_Toc24031"/>
      <w:bookmarkStart w:id="221" w:name="_Toc23432"/>
      <w:bookmarkStart w:id="222" w:name="_Toc6201"/>
      <w:bookmarkStart w:id="223" w:name="_Toc10851"/>
      <w:bookmarkStart w:id="224" w:name="_Toc532"/>
      <w:r>
        <w:rPr>
          <w:rFonts w:hint="eastAsia" w:ascii="仿宋" w:hAnsi="仿宋" w:eastAsia="仿宋" w:cs="仿宋"/>
          <w:b/>
          <w:sz w:val="24"/>
          <w:highlight w:val="none"/>
        </w:rPr>
        <w:t>二、政府采购合同（格式）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3CED44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仿宋" w:hAnsi="仿宋" w:eastAsia="仿宋" w:cs="仿宋"/>
          <w:b/>
          <w:sz w:val="44"/>
          <w:highlight w:val="none"/>
        </w:rPr>
      </w:pPr>
    </w:p>
    <w:p w14:paraId="4E8814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仿宋" w:hAnsi="仿宋" w:eastAsia="仿宋" w:cs="仿宋"/>
          <w:b/>
          <w:sz w:val="44"/>
          <w:highlight w:val="none"/>
        </w:rPr>
      </w:pPr>
      <w:r>
        <w:rPr>
          <w:rFonts w:hint="eastAsia" w:ascii="仿宋" w:hAnsi="仿宋" w:eastAsia="仿宋" w:cs="仿宋"/>
          <w:b/>
          <w:sz w:val="44"/>
          <w:highlight w:val="none"/>
        </w:rPr>
        <w:t>重庆市政府采购合同</w:t>
      </w:r>
    </w:p>
    <w:p w14:paraId="50167E0B">
      <w:pPr>
        <w:kinsoku/>
        <w:wordWrap/>
        <w:overflowPunct/>
        <w:topLinePunct w:val="0"/>
        <w:autoSpaceDE/>
        <w:autoSpaceDN/>
        <w:bidi w:val="0"/>
        <w:spacing w:line="400" w:lineRule="exact"/>
        <w:jc w:val="center"/>
        <w:outlineLvl w:val="1"/>
        <w:rPr>
          <w:rFonts w:hint="eastAsia" w:ascii="仿宋" w:hAnsi="仿宋" w:eastAsia="仿宋" w:cs="仿宋"/>
          <w:highlight w:val="none"/>
        </w:rPr>
      </w:pPr>
      <w:r>
        <w:rPr>
          <w:rFonts w:hint="eastAsia" w:ascii="仿宋" w:hAnsi="仿宋" w:eastAsia="仿宋" w:cs="仿宋"/>
          <w:highlight w:val="none"/>
        </w:rPr>
        <w:t>（项目号：     ）</w:t>
      </w:r>
    </w:p>
    <w:p w14:paraId="3C74CD00">
      <w:pPr>
        <w:kinsoku/>
        <w:wordWrap/>
        <w:overflowPunct/>
        <w:topLinePunct w:val="0"/>
        <w:autoSpaceDE/>
        <w:autoSpaceDN/>
        <w:bidi w:val="0"/>
        <w:spacing w:line="400" w:lineRule="exact"/>
        <w:rPr>
          <w:rFonts w:hint="eastAsia" w:ascii="仿宋" w:hAnsi="仿宋" w:eastAsia="仿宋" w:cs="仿宋"/>
          <w:sz w:val="24"/>
          <w:highlight w:val="none"/>
        </w:rPr>
      </w:pPr>
      <w:r>
        <w:rPr>
          <w:rFonts w:hint="eastAsia" w:ascii="仿宋" w:hAnsi="仿宋" w:eastAsia="仿宋" w:cs="仿宋"/>
          <w:sz w:val="24"/>
          <w:highlight w:val="none"/>
        </w:rPr>
        <w:t>甲方（需方）：___________________________      计价单位：____________</w:t>
      </w:r>
    </w:p>
    <w:p w14:paraId="6C11D88A">
      <w:pPr>
        <w:kinsoku/>
        <w:wordWrap/>
        <w:overflowPunct/>
        <w:topLinePunct w:val="0"/>
        <w:autoSpaceDE/>
        <w:autoSpaceDN/>
        <w:bidi w:val="0"/>
        <w:spacing w:line="400" w:lineRule="exact"/>
        <w:rPr>
          <w:rFonts w:hint="eastAsia" w:ascii="仿宋" w:hAnsi="仿宋" w:eastAsia="仿宋" w:cs="仿宋"/>
          <w:sz w:val="24"/>
          <w:highlight w:val="none"/>
        </w:rPr>
      </w:pPr>
      <w:r>
        <w:rPr>
          <w:rFonts w:hint="eastAsia" w:ascii="仿宋" w:hAnsi="仿宋" w:eastAsia="仿宋" w:cs="仿宋"/>
          <w:sz w:val="24"/>
          <w:highlight w:val="none"/>
        </w:rPr>
        <w:t>乙方（供方）：___________________________      计量单位：_____________</w:t>
      </w:r>
    </w:p>
    <w:p w14:paraId="79B7FC91">
      <w:pPr>
        <w:kinsoku/>
        <w:wordWrap/>
        <w:overflowPunct/>
        <w:topLinePunct w:val="0"/>
        <w:autoSpaceDE/>
        <w:autoSpaceDN/>
        <w:bidi w:val="0"/>
        <w:spacing w:line="400" w:lineRule="exact"/>
        <w:rPr>
          <w:rFonts w:hint="eastAsia" w:ascii="仿宋" w:hAnsi="仿宋" w:eastAsia="仿宋" w:cs="仿宋"/>
          <w:sz w:val="24"/>
          <w:highlight w:val="none"/>
        </w:rPr>
      </w:pPr>
    </w:p>
    <w:p w14:paraId="4846C584">
      <w:pPr>
        <w:kinsoku/>
        <w:wordWrap/>
        <w:overflowPunct/>
        <w:topLinePunct w:val="0"/>
        <w:autoSpaceDE/>
        <w:autoSpaceDN/>
        <w:bidi w:val="0"/>
        <w:spacing w:line="400" w:lineRule="exact"/>
        <w:rPr>
          <w:rFonts w:hint="eastAsia" w:ascii="仿宋" w:hAnsi="仿宋" w:eastAsia="仿宋" w:cs="仿宋"/>
          <w:sz w:val="24"/>
          <w:highlight w:val="none"/>
        </w:rPr>
      </w:pPr>
      <w:r>
        <w:rPr>
          <w:rFonts w:hint="eastAsia" w:ascii="仿宋" w:hAnsi="仿宋" w:eastAsia="仿宋" w:cs="仿宋"/>
          <w:sz w:val="24"/>
          <w:highlight w:val="none"/>
        </w:rPr>
        <w:t>经双方协商一致，达成以下购销合同：</w:t>
      </w: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102F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790C8F3E">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商品名称</w:t>
            </w:r>
          </w:p>
        </w:tc>
        <w:tc>
          <w:tcPr>
            <w:tcW w:w="1741" w:type="dxa"/>
            <w:vAlign w:val="center"/>
          </w:tcPr>
          <w:p w14:paraId="075F817E">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规格型号</w:t>
            </w:r>
          </w:p>
        </w:tc>
        <w:tc>
          <w:tcPr>
            <w:tcW w:w="984" w:type="dxa"/>
            <w:vAlign w:val="center"/>
          </w:tcPr>
          <w:p w14:paraId="184589F5">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数量</w:t>
            </w:r>
          </w:p>
        </w:tc>
        <w:tc>
          <w:tcPr>
            <w:tcW w:w="1298" w:type="dxa"/>
            <w:gridSpan w:val="2"/>
            <w:vAlign w:val="center"/>
          </w:tcPr>
          <w:p w14:paraId="5FA64FFE">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综合单价</w:t>
            </w:r>
          </w:p>
        </w:tc>
        <w:tc>
          <w:tcPr>
            <w:tcW w:w="1134" w:type="dxa"/>
            <w:vAlign w:val="center"/>
          </w:tcPr>
          <w:p w14:paraId="5A3F93DC">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总价</w:t>
            </w:r>
          </w:p>
        </w:tc>
        <w:tc>
          <w:tcPr>
            <w:tcW w:w="1559" w:type="dxa"/>
            <w:vAlign w:val="center"/>
          </w:tcPr>
          <w:p w14:paraId="7E54B61E">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交货时间</w:t>
            </w:r>
          </w:p>
        </w:tc>
        <w:tc>
          <w:tcPr>
            <w:tcW w:w="1567" w:type="dxa"/>
            <w:vAlign w:val="center"/>
          </w:tcPr>
          <w:p w14:paraId="54A32A83">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交货地点</w:t>
            </w:r>
          </w:p>
        </w:tc>
      </w:tr>
      <w:tr w14:paraId="47F0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85659E9">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741" w:type="dxa"/>
            <w:vAlign w:val="center"/>
          </w:tcPr>
          <w:p w14:paraId="3A4B983D">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84" w:type="dxa"/>
            <w:vAlign w:val="center"/>
          </w:tcPr>
          <w:p w14:paraId="692895F4">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98" w:type="dxa"/>
            <w:gridSpan w:val="2"/>
            <w:vAlign w:val="center"/>
          </w:tcPr>
          <w:p w14:paraId="38142317">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134" w:type="dxa"/>
            <w:vAlign w:val="center"/>
          </w:tcPr>
          <w:p w14:paraId="7DCBE3A9">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59" w:type="dxa"/>
            <w:vAlign w:val="center"/>
          </w:tcPr>
          <w:p w14:paraId="504DF473">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67" w:type="dxa"/>
            <w:vAlign w:val="center"/>
          </w:tcPr>
          <w:p w14:paraId="19FBFC24">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7E52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49B68C4">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741" w:type="dxa"/>
            <w:vAlign w:val="center"/>
          </w:tcPr>
          <w:p w14:paraId="0A8E9C6D">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84" w:type="dxa"/>
            <w:vAlign w:val="center"/>
          </w:tcPr>
          <w:p w14:paraId="25318EBE">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98" w:type="dxa"/>
            <w:gridSpan w:val="2"/>
            <w:vAlign w:val="center"/>
          </w:tcPr>
          <w:p w14:paraId="67FFEA17">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134" w:type="dxa"/>
            <w:vAlign w:val="center"/>
          </w:tcPr>
          <w:p w14:paraId="3AC25BE7">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59" w:type="dxa"/>
            <w:vAlign w:val="center"/>
          </w:tcPr>
          <w:p w14:paraId="27CA5825">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67" w:type="dxa"/>
            <w:vAlign w:val="center"/>
          </w:tcPr>
          <w:p w14:paraId="26607E4C">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5561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576C1CA">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741" w:type="dxa"/>
            <w:vAlign w:val="center"/>
          </w:tcPr>
          <w:p w14:paraId="30E9AE10">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84" w:type="dxa"/>
            <w:vAlign w:val="center"/>
          </w:tcPr>
          <w:p w14:paraId="51734274">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98" w:type="dxa"/>
            <w:gridSpan w:val="2"/>
            <w:vAlign w:val="center"/>
          </w:tcPr>
          <w:p w14:paraId="410F2D72">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134" w:type="dxa"/>
            <w:vAlign w:val="center"/>
          </w:tcPr>
          <w:p w14:paraId="6150B535">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59" w:type="dxa"/>
            <w:vAlign w:val="center"/>
          </w:tcPr>
          <w:p w14:paraId="14E13183">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67" w:type="dxa"/>
            <w:vAlign w:val="center"/>
          </w:tcPr>
          <w:p w14:paraId="1020B47A">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677A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D5E0D8A">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741" w:type="dxa"/>
            <w:vAlign w:val="center"/>
          </w:tcPr>
          <w:p w14:paraId="2E24DB3E">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84" w:type="dxa"/>
            <w:vAlign w:val="center"/>
          </w:tcPr>
          <w:p w14:paraId="1D63C080">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98" w:type="dxa"/>
            <w:gridSpan w:val="2"/>
            <w:vAlign w:val="center"/>
          </w:tcPr>
          <w:p w14:paraId="6070E828">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134" w:type="dxa"/>
            <w:vAlign w:val="center"/>
          </w:tcPr>
          <w:p w14:paraId="37B54093">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59" w:type="dxa"/>
            <w:vAlign w:val="center"/>
          </w:tcPr>
          <w:p w14:paraId="528CC6FC">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67" w:type="dxa"/>
            <w:vAlign w:val="center"/>
          </w:tcPr>
          <w:p w14:paraId="0F038F24">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6A8C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EAE49EF">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741" w:type="dxa"/>
            <w:vAlign w:val="center"/>
          </w:tcPr>
          <w:p w14:paraId="33CE0476">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84" w:type="dxa"/>
            <w:vAlign w:val="center"/>
          </w:tcPr>
          <w:p w14:paraId="7D153D6A">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98" w:type="dxa"/>
            <w:gridSpan w:val="2"/>
            <w:vAlign w:val="center"/>
          </w:tcPr>
          <w:p w14:paraId="6CC58527">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134" w:type="dxa"/>
            <w:vAlign w:val="center"/>
          </w:tcPr>
          <w:p w14:paraId="543E4207">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59" w:type="dxa"/>
            <w:vAlign w:val="center"/>
          </w:tcPr>
          <w:p w14:paraId="5416B22F">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67" w:type="dxa"/>
            <w:vAlign w:val="center"/>
          </w:tcPr>
          <w:p w14:paraId="70F2E417">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3C3B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A61AB95">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741" w:type="dxa"/>
            <w:vAlign w:val="center"/>
          </w:tcPr>
          <w:p w14:paraId="4859863B">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84" w:type="dxa"/>
            <w:vAlign w:val="center"/>
          </w:tcPr>
          <w:p w14:paraId="3BD4BB2F">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98" w:type="dxa"/>
            <w:gridSpan w:val="2"/>
            <w:vAlign w:val="center"/>
          </w:tcPr>
          <w:p w14:paraId="2CA8B120">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134" w:type="dxa"/>
            <w:vAlign w:val="center"/>
          </w:tcPr>
          <w:p w14:paraId="3DFEC444">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59" w:type="dxa"/>
            <w:vAlign w:val="center"/>
          </w:tcPr>
          <w:p w14:paraId="024A912C">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67" w:type="dxa"/>
            <w:vAlign w:val="center"/>
          </w:tcPr>
          <w:p w14:paraId="03C27A63">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6528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9E9B587">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741" w:type="dxa"/>
            <w:vAlign w:val="center"/>
          </w:tcPr>
          <w:p w14:paraId="2CE1A8D9">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84" w:type="dxa"/>
            <w:vAlign w:val="center"/>
          </w:tcPr>
          <w:p w14:paraId="6F5FAE2A">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98" w:type="dxa"/>
            <w:gridSpan w:val="2"/>
            <w:vAlign w:val="center"/>
          </w:tcPr>
          <w:p w14:paraId="0B5081B4">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134" w:type="dxa"/>
            <w:vAlign w:val="center"/>
          </w:tcPr>
          <w:p w14:paraId="104A7705">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59" w:type="dxa"/>
            <w:vAlign w:val="center"/>
          </w:tcPr>
          <w:p w14:paraId="74BE3B61">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67" w:type="dxa"/>
            <w:vAlign w:val="center"/>
          </w:tcPr>
          <w:p w14:paraId="00D40C0D">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6D35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4F40279">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741" w:type="dxa"/>
            <w:vAlign w:val="center"/>
          </w:tcPr>
          <w:p w14:paraId="1ED03FEC">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84" w:type="dxa"/>
            <w:vAlign w:val="center"/>
          </w:tcPr>
          <w:p w14:paraId="2EC1D15A">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98" w:type="dxa"/>
            <w:gridSpan w:val="2"/>
            <w:vAlign w:val="center"/>
          </w:tcPr>
          <w:p w14:paraId="71FC3EC9">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134" w:type="dxa"/>
            <w:vAlign w:val="center"/>
          </w:tcPr>
          <w:p w14:paraId="7FB987F2">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59" w:type="dxa"/>
            <w:vAlign w:val="center"/>
          </w:tcPr>
          <w:p w14:paraId="59823736">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67" w:type="dxa"/>
            <w:vAlign w:val="center"/>
          </w:tcPr>
          <w:p w14:paraId="1B2B4686">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291A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5C95E99C">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合计人民币（小写）：</w:t>
            </w:r>
          </w:p>
        </w:tc>
      </w:tr>
      <w:tr w14:paraId="1F33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1A4BA352">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合计人民币（大写）：</w:t>
            </w:r>
          </w:p>
        </w:tc>
      </w:tr>
      <w:tr w14:paraId="17C4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vAlign w:val="top"/>
          </w:tcPr>
          <w:p w14:paraId="226A73D0">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一、质量要求和技术标准。供方提供的商品必须是全新的，完全符合国家有关技术标准，供方的质量保证及售后服务承诺如下：</w:t>
            </w:r>
          </w:p>
          <w:p w14:paraId="4050212C">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1、质保期限：</w:t>
            </w:r>
          </w:p>
          <w:p w14:paraId="7F669042">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2、保修范围：</w:t>
            </w:r>
          </w:p>
          <w:p w14:paraId="7C1C40A0">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3、服务措施：</w:t>
            </w:r>
          </w:p>
          <w:p w14:paraId="05F69E89">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4、质保期后服务：</w:t>
            </w:r>
          </w:p>
        </w:tc>
      </w:tr>
      <w:tr w14:paraId="23FC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vAlign w:val="top"/>
          </w:tcPr>
          <w:p w14:paraId="3E393A3E">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二、随机备品、附件、工具数量及供应方法：</w:t>
            </w:r>
          </w:p>
        </w:tc>
      </w:tr>
      <w:tr w14:paraId="75F1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vAlign w:val="top"/>
          </w:tcPr>
          <w:p w14:paraId="158DDF06">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三、交提货方式：</w:t>
            </w:r>
          </w:p>
        </w:tc>
      </w:tr>
      <w:tr w14:paraId="4933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vAlign w:val="top"/>
          </w:tcPr>
          <w:p w14:paraId="6F0322FC">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四、验收标准、方法：</w:t>
            </w:r>
          </w:p>
          <w:p w14:paraId="72FF4264">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如有异议，请于      日内提出。</w:t>
            </w:r>
          </w:p>
        </w:tc>
      </w:tr>
      <w:tr w14:paraId="0A8F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vAlign w:val="top"/>
          </w:tcPr>
          <w:p w14:paraId="1EF9B497">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五、付款方式：</w:t>
            </w:r>
          </w:p>
          <w:p w14:paraId="37A67F00">
            <w:pPr>
              <w:pStyle w:val="14"/>
              <w:kinsoku/>
              <w:wordWrap/>
              <w:overflowPunct/>
              <w:topLinePunct w:val="0"/>
              <w:autoSpaceDE/>
              <w:autoSpaceDN/>
              <w:bidi w:val="0"/>
              <w:spacing w:line="400" w:lineRule="exact"/>
              <w:rPr>
                <w:rFonts w:hint="eastAsia" w:ascii="仿宋" w:hAnsi="仿宋" w:eastAsia="仿宋" w:cs="仿宋"/>
                <w:sz w:val="21"/>
                <w:szCs w:val="21"/>
                <w:highlight w:val="none"/>
              </w:rPr>
            </w:pPr>
          </w:p>
        </w:tc>
      </w:tr>
      <w:tr w14:paraId="7EA0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vAlign w:val="top"/>
          </w:tcPr>
          <w:p w14:paraId="65E94D23">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六、违约责任：</w:t>
            </w:r>
          </w:p>
          <w:p w14:paraId="6D76DA40">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按《中华人民共和国民法典》、《中华人民共和国政府采购法》执行，或按双方约定。（采购人应按项目实际情况完整填写）</w:t>
            </w:r>
          </w:p>
        </w:tc>
      </w:tr>
      <w:tr w14:paraId="0EAB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vAlign w:val="top"/>
          </w:tcPr>
          <w:p w14:paraId="637C450E">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七、其他约定事项：</w:t>
            </w:r>
          </w:p>
          <w:p w14:paraId="01A57903">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eastAsia="zh-CN"/>
              </w:rPr>
              <w:t>竞争性比选文件</w:t>
            </w:r>
            <w:r>
              <w:rPr>
                <w:rFonts w:hint="eastAsia" w:ascii="仿宋" w:hAnsi="仿宋" w:eastAsia="仿宋" w:cs="仿宋"/>
                <w:sz w:val="21"/>
                <w:szCs w:val="21"/>
                <w:highlight w:val="none"/>
              </w:rPr>
              <w:t>及其澄清文件、投标文件和承诺是本合同不可分割的部分。</w:t>
            </w:r>
          </w:p>
          <w:p w14:paraId="4C48CB5B">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2.本合同如发生争议由双方协商解决，协商不成向需方所在地仲裁机构提请仲裁/协商不成向需方所在人民法院提请诉讼。（采购人应按项目实际情况完整填写）</w:t>
            </w:r>
          </w:p>
          <w:p w14:paraId="075F39B4">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3.本合同一式__份， 需方__份，供方__份，具备同等法律效力。</w:t>
            </w:r>
          </w:p>
          <w:p w14:paraId="79772FC1">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4.其他：</w:t>
            </w:r>
          </w:p>
        </w:tc>
      </w:tr>
      <w:tr w14:paraId="23DC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vAlign w:val="top"/>
          </w:tcPr>
          <w:p w14:paraId="48F478EA">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需方：</w:t>
            </w:r>
          </w:p>
          <w:p w14:paraId="2741E558">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地址：</w:t>
            </w:r>
          </w:p>
          <w:p w14:paraId="386BA002">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联系电话：</w:t>
            </w:r>
          </w:p>
          <w:p w14:paraId="3E9B8AD1">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授权代表：</w:t>
            </w:r>
          </w:p>
        </w:tc>
        <w:tc>
          <w:tcPr>
            <w:tcW w:w="5125" w:type="dxa"/>
            <w:gridSpan w:val="5"/>
            <w:vAlign w:val="top"/>
          </w:tcPr>
          <w:p w14:paraId="2B43E28E">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供方：</w:t>
            </w:r>
          </w:p>
          <w:p w14:paraId="3D29AB0F">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地址：</w:t>
            </w:r>
          </w:p>
          <w:p w14:paraId="305F79FD">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电话：</w:t>
            </w:r>
          </w:p>
          <w:p w14:paraId="4165FC30">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传真：</w:t>
            </w:r>
          </w:p>
          <w:p w14:paraId="74B8B662">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开户银行：</w:t>
            </w:r>
          </w:p>
          <w:p w14:paraId="55AF640C">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账号：</w:t>
            </w:r>
          </w:p>
          <w:p w14:paraId="13677A7D">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授权代表：</w:t>
            </w:r>
          </w:p>
          <w:p w14:paraId="33910779">
            <w:pPr>
              <w:widowControl/>
              <w:kinsoku/>
              <w:wordWrap/>
              <w:overflowPunct/>
              <w:topLinePunct w:val="0"/>
              <w:autoSpaceDE/>
              <w:autoSpaceDN/>
              <w:bidi w:val="0"/>
              <w:spacing w:line="40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（本栏请用计算机打印以便于准确付款）</w:t>
            </w:r>
          </w:p>
        </w:tc>
      </w:tr>
      <w:tr w14:paraId="00E7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vAlign w:val="top"/>
          </w:tcPr>
          <w:p w14:paraId="3511A44D">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7C1F9833">
            <w:pPr>
              <w:kinsoku/>
              <w:wordWrap/>
              <w:overflowPunct/>
              <w:topLinePunct w:val="0"/>
              <w:autoSpaceDE/>
              <w:autoSpaceDN/>
              <w:bidi w:val="0"/>
              <w:spacing w:line="400" w:lineRule="exact"/>
              <w:rPr>
                <w:rFonts w:hint="eastAsia" w:ascii="仿宋" w:hAnsi="仿宋" w:eastAsia="仿宋" w:cs="仿宋"/>
                <w:sz w:val="21"/>
                <w:szCs w:val="21"/>
                <w:highlight w:val="none"/>
              </w:rPr>
            </w:pPr>
          </w:p>
          <w:p w14:paraId="139CE2C1">
            <w:pPr>
              <w:kinsoku/>
              <w:wordWrap/>
              <w:overflowPunct/>
              <w:topLinePunct w:val="0"/>
              <w:autoSpaceDE/>
              <w:autoSpaceDN/>
              <w:bidi w:val="0"/>
              <w:spacing w:line="400" w:lineRule="exact"/>
              <w:rPr>
                <w:rFonts w:hint="eastAsia" w:ascii="仿宋" w:hAnsi="仿宋" w:eastAsia="仿宋" w:cs="仿宋"/>
                <w:sz w:val="21"/>
                <w:szCs w:val="21"/>
                <w:highlight w:val="none"/>
              </w:rPr>
            </w:pPr>
          </w:p>
        </w:tc>
      </w:tr>
    </w:tbl>
    <w:p w14:paraId="4939140F">
      <w:pPr>
        <w:kinsoku/>
        <w:wordWrap/>
        <w:overflowPunct/>
        <w:topLinePunct w:val="0"/>
        <w:autoSpaceDE/>
        <w:autoSpaceDN/>
        <w:bidi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签约时间：           年   月   日      签约地点：</w:t>
      </w:r>
    </w:p>
    <w:p w14:paraId="4B70C3D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lang w:val="en-US" w:eastAsia="zh-CN"/>
        </w:rPr>
      </w:pPr>
    </w:p>
    <w:p w14:paraId="4E6096A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00D923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2AA8DB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B7C009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E1102E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6446E1B">
      <w:pPr>
        <w:pStyle w:val="3"/>
        <w:spacing w:before="0" w:beforeLines="0" w:after="0" w:afterLines="0" w:line="360" w:lineRule="auto"/>
        <w:rPr>
          <w:rFonts w:hint="eastAsia" w:ascii="仿宋" w:hAnsi="仿宋" w:eastAsia="仿宋" w:cs="仿宋"/>
          <w:color w:val="auto"/>
          <w:sz w:val="52"/>
          <w:szCs w:val="52"/>
          <w:highlight w:val="none"/>
          <w:lang w:val="en-US" w:eastAsia="zh-CN"/>
        </w:rPr>
      </w:pPr>
      <w:bookmarkStart w:id="225" w:name="_Toc18980"/>
      <w:r>
        <w:rPr>
          <w:rFonts w:hint="eastAsia" w:ascii="仿宋" w:hAnsi="仿宋" w:eastAsia="仿宋" w:cs="仿宋"/>
          <w:color w:val="auto"/>
          <w:sz w:val="52"/>
          <w:szCs w:val="52"/>
          <w:highlight w:val="none"/>
          <w:lang w:val="en-US" w:eastAsia="zh-CN"/>
        </w:rPr>
        <w:t>第七篇  投标文件编制要求</w:t>
      </w:r>
      <w:bookmarkEnd w:id="225"/>
    </w:p>
    <w:p w14:paraId="10DE183F">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一、经济部分</w:t>
      </w:r>
    </w:p>
    <w:p w14:paraId="4E4094C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（一）比选报价函</w:t>
      </w:r>
    </w:p>
    <w:p w14:paraId="10783B7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（二）分项报价明细表</w:t>
      </w:r>
    </w:p>
    <w:p w14:paraId="57053599">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val="en-US" w:eastAsia="zh-CN"/>
        </w:rPr>
        <w:t>技术</w:t>
      </w:r>
      <w:r>
        <w:rPr>
          <w:rFonts w:hint="eastAsia" w:ascii="仿宋" w:hAnsi="仿宋" w:eastAsia="仿宋" w:cs="仿宋"/>
          <w:b/>
          <w:color w:val="auto"/>
          <w:sz w:val="24"/>
          <w:szCs w:val="24"/>
          <w:highlight w:val="none"/>
        </w:rPr>
        <w:t>部分</w:t>
      </w:r>
    </w:p>
    <w:p w14:paraId="11C97D2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方案（格式自定）</w:t>
      </w:r>
    </w:p>
    <w:p w14:paraId="7A3B3B2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技术（质量）</w:t>
      </w:r>
      <w:r>
        <w:rPr>
          <w:rFonts w:hint="eastAsia" w:ascii="仿宋" w:hAnsi="仿宋" w:eastAsia="仿宋" w:cs="仿宋"/>
          <w:color w:val="auto"/>
          <w:sz w:val="24"/>
          <w:szCs w:val="24"/>
          <w:highlight w:val="none"/>
        </w:rPr>
        <w:t>响应偏离表（本表可自行设计格式）</w:t>
      </w:r>
    </w:p>
    <w:p w14:paraId="0E36FAB9">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三、商务部分</w:t>
      </w:r>
    </w:p>
    <w:p w14:paraId="57CB58B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（一）商务要求响应情况：服务时间、服务地点、优惠承诺等（格式自定）</w:t>
      </w:r>
    </w:p>
    <w:p w14:paraId="7B32B25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（二）商务响应偏离表（本表可自行设计格式）</w:t>
      </w:r>
    </w:p>
    <w:p w14:paraId="1E35BA9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（三）商务评分需提供的资料</w:t>
      </w:r>
    </w:p>
    <w:p w14:paraId="10A05C04">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四、资格条件及其他</w:t>
      </w:r>
    </w:p>
    <w:p w14:paraId="32BD369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法人营业执照（副本）或事业单位法人证书（副本）或个体工商户营业执照或有效的自然人身份证明或社会团体法人登记证书（提供复印件）.</w:t>
      </w:r>
    </w:p>
    <w:p w14:paraId="62AFF5F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）法定代表人身份证明书（格式）</w:t>
      </w:r>
    </w:p>
    <w:p w14:paraId="2AE120C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）法定代表人授权委托书（格式）</w:t>
      </w:r>
    </w:p>
    <w:p w14:paraId="3A755BA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）基本资格条件承诺函（格式）</w:t>
      </w:r>
    </w:p>
    <w:p w14:paraId="6309CFD5">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）特定资格条件证明文件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eastAsia="zh-CN"/>
        </w:rPr>
        <w:t>）</w:t>
      </w:r>
    </w:p>
    <w:p w14:paraId="30B80080">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五、其他应提供的资料</w:t>
      </w:r>
    </w:p>
    <w:p w14:paraId="4E46612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8"/>
          <w:highlight w:val="none"/>
        </w:rPr>
        <w:t>（一）中小企业声明函、监狱企业证明文件、残疾人福利性单位声明函</w:t>
      </w:r>
    </w:p>
    <w:p w14:paraId="4082E6AE">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）其他与项目有关的资料</w:t>
      </w:r>
    </w:p>
    <w:p w14:paraId="34114B75">
      <w:pPr>
        <w:spacing w:line="400" w:lineRule="exact"/>
        <w:ind w:firstLine="480" w:firstLineChars="200"/>
        <w:rPr>
          <w:rFonts w:hint="eastAsia" w:ascii="仿宋" w:hAnsi="仿宋" w:eastAsia="仿宋" w:cs="仿宋"/>
          <w:color w:val="auto"/>
          <w:sz w:val="24"/>
          <w:szCs w:val="24"/>
          <w:highlight w:val="none"/>
        </w:rPr>
      </w:pPr>
      <w:bookmarkStart w:id="226" w:name="_Toc429584884"/>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反商业贿赂承诺书</w:t>
      </w:r>
    </w:p>
    <w:p w14:paraId="6E708BDC">
      <w:pPr>
        <w:pageBreakBefore w:val="0"/>
        <w:tabs>
          <w:tab w:val="left" w:pos="6300"/>
        </w:tabs>
        <w:kinsoku/>
        <w:wordWrap/>
        <w:overflowPunct/>
        <w:topLinePunct w:val="0"/>
        <w:autoSpaceDE/>
        <w:autoSpaceDN/>
        <w:bidi w:val="0"/>
        <w:snapToGrid w:val="0"/>
        <w:spacing w:line="400" w:lineRule="exact"/>
        <w:ind w:firstLine="640" w:firstLineChars="200"/>
        <w:jc w:val="both"/>
        <w:outlineLvl w:val="0"/>
        <w:rPr>
          <w:rFonts w:hint="eastAsia" w:ascii="仿宋" w:hAnsi="仿宋" w:eastAsia="仿宋" w:cs="仿宋"/>
          <w:color w:val="auto"/>
          <w:sz w:val="32"/>
          <w:szCs w:val="32"/>
          <w:highlight w:val="none"/>
        </w:rPr>
      </w:pPr>
    </w:p>
    <w:p w14:paraId="2304E2D6">
      <w:pPr>
        <w:pageBreakBefore w:val="0"/>
        <w:kinsoku/>
        <w:wordWrap/>
        <w:overflowPunct/>
        <w:topLinePunct w:val="0"/>
        <w:autoSpaceDE/>
        <w:autoSpaceDN/>
        <w:bidi w:val="0"/>
        <w:spacing w:line="400" w:lineRule="exact"/>
        <w:ind w:firstLine="720" w:firstLineChars="2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br w:type="page"/>
      </w:r>
    </w:p>
    <w:p w14:paraId="26C195F6">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lang w:val="en-US" w:eastAsia="zh-CN"/>
        </w:rPr>
        <w:t>采购执行</w:t>
      </w:r>
      <w:r>
        <w:rPr>
          <w:rFonts w:hint="eastAsia" w:ascii="仿宋" w:hAnsi="仿宋" w:eastAsia="仿宋" w:cs="仿宋"/>
          <w:color w:val="auto"/>
          <w:sz w:val="36"/>
          <w:szCs w:val="36"/>
          <w:highlight w:val="none"/>
        </w:rPr>
        <w:t>编号:</w:t>
      </w:r>
      <w:r>
        <w:rPr>
          <w:rFonts w:hint="eastAsia" w:ascii="仿宋" w:hAnsi="仿宋" w:eastAsia="仿宋" w:cs="仿宋"/>
          <w:color w:val="auto"/>
          <w:sz w:val="36"/>
          <w:szCs w:val="36"/>
          <w:highlight w:val="none"/>
          <w:lang w:val="en-US" w:eastAsia="zh-CN"/>
        </w:rPr>
        <w:t xml:space="preserve">             </w:t>
      </w:r>
    </w:p>
    <w:p w14:paraId="02162468">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比选项目名称：</w:t>
      </w:r>
    </w:p>
    <w:p w14:paraId="6DAD6C9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 w:hAnsi="仿宋" w:eastAsia="仿宋" w:cs="仿宋"/>
          <w:color w:val="auto"/>
          <w:highlight w:val="none"/>
        </w:rPr>
      </w:pPr>
    </w:p>
    <w:p w14:paraId="2550E673">
      <w:pPr>
        <w:keepNext w:val="0"/>
        <w:keepLines w:val="0"/>
        <w:pageBreakBefore w:val="0"/>
        <w:widowControl w:val="0"/>
        <w:kinsoku/>
        <w:wordWrap/>
        <w:overflowPunct/>
        <w:topLinePunct w:val="0"/>
        <w:autoSpaceDE/>
        <w:autoSpaceDN/>
        <w:bidi w:val="0"/>
        <w:adjustRightInd/>
        <w:snapToGrid/>
        <w:spacing w:line="600" w:lineRule="exact"/>
        <w:ind w:firstLine="2560" w:firstLineChars="200"/>
        <w:jc w:val="center"/>
        <w:textAlignment w:val="auto"/>
        <w:outlineLvl w:val="0"/>
        <w:rPr>
          <w:rFonts w:hint="eastAsia" w:ascii="仿宋" w:hAnsi="仿宋" w:eastAsia="仿宋" w:cs="仿宋"/>
          <w:color w:val="auto"/>
          <w:spacing w:val="80"/>
          <w:sz w:val="112"/>
          <w:szCs w:val="112"/>
          <w:highlight w:val="none"/>
        </w:rPr>
      </w:pPr>
    </w:p>
    <w:p w14:paraId="009DA450">
      <w:pPr>
        <w:keepNext w:val="0"/>
        <w:keepLines w:val="0"/>
        <w:pageBreakBefore w:val="0"/>
        <w:widowControl w:val="0"/>
        <w:kinsoku/>
        <w:wordWrap/>
        <w:overflowPunct/>
        <w:topLinePunct w:val="0"/>
        <w:autoSpaceDE/>
        <w:autoSpaceDN/>
        <w:bidi w:val="0"/>
        <w:adjustRightInd/>
        <w:snapToGrid/>
        <w:spacing w:line="600" w:lineRule="exact"/>
        <w:ind w:firstLine="2560" w:firstLineChars="200"/>
        <w:jc w:val="center"/>
        <w:textAlignment w:val="auto"/>
        <w:outlineLvl w:val="0"/>
        <w:rPr>
          <w:rFonts w:hint="eastAsia" w:ascii="仿宋" w:hAnsi="仿宋" w:eastAsia="仿宋" w:cs="仿宋"/>
          <w:color w:val="auto"/>
          <w:spacing w:val="80"/>
          <w:sz w:val="112"/>
          <w:szCs w:val="112"/>
          <w:highlight w:val="none"/>
        </w:rPr>
      </w:pPr>
    </w:p>
    <w:p w14:paraId="7CB44BD6">
      <w:pPr>
        <w:keepNext w:val="0"/>
        <w:keepLines w:val="0"/>
        <w:pageBreakBefore w:val="0"/>
        <w:widowControl w:val="0"/>
        <w:kinsoku/>
        <w:wordWrap/>
        <w:overflowPunct/>
        <w:topLinePunct w:val="0"/>
        <w:autoSpaceDE/>
        <w:autoSpaceDN/>
        <w:bidi w:val="0"/>
        <w:adjustRightInd/>
        <w:snapToGrid/>
        <w:spacing w:line="1200" w:lineRule="exact"/>
        <w:ind w:firstLine="2560" w:firstLineChars="200"/>
        <w:jc w:val="center"/>
        <w:textAlignment w:val="auto"/>
        <w:outlineLvl w:val="0"/>
        <w:rPr>
          <w:rFonts w:hint="eastAsia" w:ascii="仿宋" w:hAnsi="仿宋" w:eastAsia="仿宋" w:cs="仿宋"/>
          <w:color w:val="auto"/>
          <w:spacing w:val="80"/>
          <w:sz w:val="112"/>
          <w:szCs w:val="112"/>
          <w:highlight w:val="none"/>
        </w:rPr>
      </w:pPr>
    </w:p>
    <w:p w14:paraId="18ECA286">
      <w:pPr>
        <w:keepNext w:val="0"/>
        <w:keepLines w:val="0"/>
        <w:pageBreakBefore w:val="0"/>
        <w:widowControl w:val="0"/>
        <w:kinsoku/>
        <w:wordWrap/>
        <w:overflowPunct/>
        <w:topLinePunct w:val="0"/>
        <w:autoSpaceDE/>
        <w:autoSpaceDN/>
        <w:bidi w:val="0"/>
        <w:adjustRightInd/>
        <w:snapToGrid/>
        <w:spacing w:line="1200" w:lineRule="exact"/>
        <w:ind w:firstLine="2560" w:firstLineChars="200"/>
        <w:jc w:val="both"/>
        <w:textAlignment w:val="auto"/>
        <w:outlineLvl w:val="0"/>
        <w:rPr>
          <w:rFonts w:hint="eastAsia" w:ascii="仿宋" w:hAnsi="仿宋" w:eastAsia="仿宋" w:cs="仿宋"/>
          <w:color w:val="auto"/>
          <w:spacing w:val="80"/>
          <w:sz w:val="112"/>
          <w:szCs w:val="112"/>
          <w:highlight w:val="none"/>
        </w:rPr>
      </w:pPr>
      <w:r>
        <w:rPr>
          <w:rFonts w:hint="eastAsia" w:ascii="仿宋" w:hAnsi="仿宋" w:eastAsia="仿宋" w:cs="仿宋"/>
          <w:color w:val="auto"/>
          <w:spacing w:val="80"/>
          <w:sz w:val="112"/>
          <w:szCs w:val="112"/>
          <w:highlight w:val="none"/>
        </w:rPr>
        <w:t>投标文件</w:t>
      </w:r>
    </w:p>
    <w:p w14:paraId="5034FC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highlight w:val="none"/>
        </w:rPr>
      </w:pPr>
    </w:p>
    <w:p w14:paraId="0F83BC9E">
      <w:pPr>
        <w:keepNext w:val="0"/>
        <w:keepLines w:val="0"/>
        <w:pageBreakBefore w:val="0"/>
        <w:widowControl w:val="0"/>
        <w:kinsoku/>
        <w:wordWrap/>
        <w:overflowPunct/>
        <w:topLinePunct w:val="0"/>
        <w:autoSpaceDE/>
        <w:autoSpaceDN/>
        <w:bidi w:val="0"/>
        <w:adjustRightInd/>
        <w:snapToGrid/>
        <w:spacing w:line="600" w:lineRule="exact"/>
        <w:ind w:firstLine="723" w:firstLineChars="200"/>
        <w:jc w:val="center"/>
        <w:textAlignment w:val="auto"/>
        <w:rPr>
          <w:rFonts w:hint="eastAsia" w:ascii="仿宋" w:hAnsi="仿宋" w:eastAsia="仿宋" w:cs="仿宋"/>
          <w:b/>
          <w:color w:val="auto"/>
          <w:sz w:val="36"/>
          <w:szCs w:val="36"/>
          <w:highlight w:val="none"/>
        </w:rPr>
      </w:pPr>
    </w:p>
    <w:p w14:paraId="0A3CCFB9">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 w:hAnsi="仿宋" w:eastAsia="仿宋" w:cs="仿宋"/>
          <w:b/>
          <w:color w:val="auto"/>
          <w:sz w:val="36"/>
          <w:szCs w:val="36"/>
          <w:highlight w:val="none"/>
        </w:rPr>
      </w:pPr>
    </w:p>
    <w:p w14:paraId="3738015B">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sz w:val="36"/>
          <w:szCs w:val="36"/>
          <w:highlight w:val="none"/>
        </w:rPr>
      </w:pPr>
    </w:p>
    <w:p w14:paraId="601C7DF1">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sz w:val="16"/>
          <w:szCs w:val="16"/>
          <w:highlight w:val="none"/>
        </w:rPr>
      </w:pPr>
      <w:r>
        <w:rPr>
          <w:rFonts w:hint="eastAsia" w:ascii="仿宋" w:hAnsi="仿宋" w:eastAsia="仿宋" w:cs="仿宋"/>
          <w:color w:val="auto"/>
          <w:sz w:val="36"/>
          <w:szCs w:val="36"/>
          <w:highlight w:val="none"/>
          <w:lang w:eastAsia="zh-CN"/>
        </w:rPr>
        <w:t>投标人</w:t>
      </w:r>
      <w:r>
        <w:rPr>
          <w:rFonts w:hint="eastAsia" w:ascii="仿宋" w:hAnsi="仿宋" w:eastAsia="仿宋" w:cs="仿宋"/>
          <w:color w:val="auto"/>
          <w:sz w:val="36"/>
          <w:szCs w:val="36"/>
          <w:highlight w:val="none"/>
        </w:rPr>
        <w:t>（公章）：</w:t>
      </w:r>
    </w:p>
    <w:p w14:paraId="4B8D8E64">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outlineLvl w:val="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w:t>
      </w:r>
    </w:p>
    <w:p w14:paraId="3018BCB5">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outlineLvl w:val="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法定代表人或授权代表（签字</w:t>
      </w:r>
      <w:r>
        <w:rPr>
          <w:rFonts w:hint="eastAsia" w:ascii="仿宋" w:hAnsi="仿宋" w:eastAsia="仿宋" w:cs="仿宋"/>
          <w:color w:val="auto"/>
          <w:sz w:val="36"/>
          <w:szCs w:val="36"/>
          <w:highlight w:val="none"/>
          <w:lang w:val="en-US" w:eastAsia="zh-CN"/>
        </w:rPr>
        <w:t>或盖章</w:t>
      </w:r>
      <w:r>
        <w:rPr>
          <w:rFonts w:hint="eastAsia" w:ascii="仿宋" w:hAnsi="仿宋" w:eastAsia="仿宋" w:cs="仿宋"/>
          <w:color w:val="auto"/>
          <w:sz w:val="36"/>
          <w:szCs w:val="36"/>
          <w:highlight w:val="none"/>
        </w:rPr>
        <w:t>）：</w:t>
      </w:r>
    </w:p>
    <w:p w14:paraId="2B4B9640">
      <w:pPr>
        <w:pStyle w:val="9"/>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highlight w:val="none"/>
        </w:rPr>
      </w:pPr>
      <w:r>
        <w:rPr>
          <w:rFonts w:hint="eastAsia" w:ascii="仿宋" w:hAnsi="仿宋" w:eastAsia="仿宋" w:cs="仿宋"/>
          <w:color w:val="auto"/>
          <w:sz w:val="36"/>
          <w:szCs w:val="36"/>
          <w:highlight w:val="none"/>
        </w:rPr>
        <w:t>联系电话：</w:t>
      </w:r>
    </w:p>
    <w:p w14:paraId="5B923C2E">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outlineLvl w:val="0"/>
        <w:rPr>
          <w:rFonts w:hint="eastAsia" w:ascii="仿宋" w:hAnsi="仿宋" w:eastAsia="仿宋" w:cs="仿宋"/>
          <w:color w:val="auto"/>
          <w:sz w:val="36"/>
          <w:szCs w:val="36"/>
          <w:highlight w:val="none"/>
        </w:rPr>
      </w:pPr>
    </w:p>
    <w:p w14:paraId="1D855F0D">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outlineLvl w:val="0"/>
        <w:rPr>
          <w:rFonts w:hint="eastAsia" w:ascii="仿宋" w:hAnsi="仿宋" w:eastAsia="仿宋" w:cs="仿宋"/>
          <w:color w:val="auto"/>
          <w:sz w:val="36"/>
          <w:szCs w:val="36"/>
          <w:highlight w:val="none"/>
        </w:rPr>
      </w:pPr>
    </w:p>
    <w:p w14:paraId="7EA7895C">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outlineLvl w:val="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二〇二</w:t>
      </w:r>
      <w:r>
        <w:rPr>
          <w:rFonts w:hint="eastAsia" w:ascii="仿宋" w:hAnsi="仿宋" w:eastAsia="仿宋" w:cs="仿宋"/>
          <w:color w:val="auto"/>
          <w:sz w:val="36"/>
          <w:szCs w:val="36"/>
          <w:highlight w:val="none"/>
          <w:lang w:val="en-US" w:eastAsia="zh-CN"/>
        </w:rPr>
        <w:t>六</w:t>
      </w:r>
      <w:r>
        <w:rPr>
          <w:rFonts w:hint="eastAsia" w:ascii="仿宋" w:hAnsi="仿宋" w:eastAsia="仿宋" w:cs="仿宋"/>
          <w:color w:val="auto"/>
          <w:sz w:val="36"/>
          <w:szCs w:val="36"/>
          <w:highlight w:val="none"/>
        </w:rPr>
        <w:t>年   月   日</w:t>
      </w:r>
    </w:p>
    <w:p w14:paraId="23DCACCD">
      <w:pPr>
        <w:keepNext w:val="0"/>
        <w:keepLines w:val="0"/>
        <w:pageBreakBefore w:val="0"/>
        <w:widowControl w:val="0"/>
        <w:kinsoku/>
        <w:wordWrap/>
        <w:overflowPunct/>
        <w:topLinePunct w:val="0"/>
        <w:autoSpaceDE/>
        <w:autoSpaceDN/>
        <w:bidi w:val="0"/>
        <w:adjustRightInd/>
        <w:snapToGrid/>
        <w:spacing w:line="1000" w:lineRule="exact"/>
        <w:ind w:firstLine="480" w:firstLineChars="200"/>
        <w:textAlignment w:val="auto"/>
        <w:rPr>
          <w:rFonts w:hint="eastAsia" w:ascii="仿宋" w:hAnsi="仿宋" w:eastAsia="仿宋" w:cs="仿宋"/>
          <w:bCs/>
          <w:color w:val="auto"/>
          <w:sz w:val="24"/>
          <w:szCs w:val="24"/>
          <w:highlight w:val="none"/>
        </w:rPr>
      </w:pPr>
    </w:p>
    <w:p w14:paraId="3F3CC197">
      <w:pPr>
        <w:keepNext w:val="0"/>
        <w:keepLines w:val="0"/>
        <w:pageBreakBefore w:val="0"/>
        <w:widowControl w:val="0"/>
        <w:kinsoku/>
        <w:wordWrap/>
        <w:overflowPunct/>
        <w:topLinePunct w:val="0"/>
        <w:autoSpaceDE/>
        <w:autoSpaceDN/>
        <w:bidi w:val="0"/>
        <w:adjustRightInd/>
        <w:snapToGrid/>
        <w:spacing w:line="1000" w:lineRule="exact"/>
        <w:ind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89B84F5">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color w:val="auto"/>
          <w:sz w:val="24"/>
          <w:szCs w:val="24"/>
          <w:highlight w:val="none"/>
        </w:rPr>
      </w:pPr>
      <w:bookmarkStart w:id="227" w:name="_Toc30408"/>
      <w:r>
        <w:rPr>
          <w:rStyle w:val="45"/>
          <w:rFonts w:hint="eastAsia" w:ascii="仿宋" w:hAnsi="仿宋" w:eastAsia="仿宋" w:cs="仿宋"/>
          <w:b/>
          <w:bCs/>
          <w:color w:val="auto"/>
          <w:sz w:val="24"/>
          <w:szCs w:val="24"/>
          <w:highlight w:val="none"/>
        </w:rPr>
        <w:t>一、经济</w:t>
      </w:r>
      <w:bookmarkEnd w:id="226"/>
      <w:r>
        <w:rPr>
          <w:rStyle w:val="45"/>
          <w:rFonts w:hint="eastAsia" w:ascii="仿宋" w:hAnsi="仿宋" w:eastAsia="仿宋" w:cs="仿宋"/>
          <w:b/>
          <w:bCs/>
          <w:color w:val="auto"/>
          <w:sz w:val="24"/>
          <w:szCs w:val="24"/>
          <w:highlight w:val="none"/>
        </w:rPr>
        <w:t>部分</w:t>
      </w:r>
      <w:bookmarkEnd w:id="227"/>
    </w:p>
    <w:p w14:paraId="13D871A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44"/>
          <w:highlight w:val="none"/>
        </w:rPr>
      </w:pPr>
      <w:r>
        <w:rPr>
          <w:rFonts w:hint="eastAsia" w:ascii="仿宋" w:hAnsi="仿宋" w:eastAsia="仿宋" w:cs="仿宋"/>
          <w:color w:val="auto"/>
          <w:sz w:val="24"/>
          <w:szCs w:val="44"/>
          <w:highlight w:val="none"/>
        </w:rPr>
        <w:t>（一）比选报价函</w:t>
      </w:r>
    </w:p>
    <w:p w14:paraId="59B8637A">
      <w:pPr>
        <w:pageBreakBefore w:val="0"/>
        <w:kinsoku/>
        <w:wordWrap/>
        <w:overflowPunct/>
        <w:topLinePunct w:val="0"/>
        <w:autoSpaceDE/>
        <w:autoSpaceDN/>
        <w:bidi w:val="0"/>
        <w:snapToGrid w:val="0"/>
        <w:spacing w:line="400" w:lineRule="exact"/>
        <w:ind w:firstLine="643" w:firstLineChars="200"/>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比选报价函</w:t>
      </w:r>
    </w:p>
    <w:p w14:paraId="6A4770B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u w:val="single"/>
        </w:rPr>
      </w:pPr>
    </w:p>
    <w:p w14:paraId="009423E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（采购代理机构名称）</w:t>
      </w:r>
      <w:r>
        <w:rPr>
          <w:rFonts w:hint="eastAsia" w:ascii="仿宋" w:hAnsi="仿宋" w:eastAsia="仿宋" w:cs="仿宋"/>
          <w:color w:val="auto"/>
          <w:sz w:val="24"/>
          <w:szCs w:val="24"/>
          <w:highlight w:val="none"/>
        </w:rPr>
        <w:t>：</w:t>
      </w:r>
    </w:p>
    <w:p w14:paraId="0315B42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w:t>
      </w:r>
      <w:r>
        <w:rPr>
          <w:rFonts w:hint="eastAsia" w:ascii="仿宋" w:hAnsi="仿宋" w:eastAsia="仿宋" w:cs="仿宋"/>
          <w:color w:val="auto"/>
          <w:sz w:val="24"/>
          <w:szCs w:val="24"/>
          <w:highlight w:val="none"/>
          <w:u w:val="single"/>
          <w:lang w:val="en-US" w:eastAsia="zh-CN"/>
        </w:rPr>
        <w:t>重庆两江新区大竹林社区卫生服务中心新中心窗帘采购</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比选项目名称</w:t>
      </w:r>
      <w:r>
        <w:rPr>
          <w:rFonts w:hint="eastAsia" w:ascii="仿宋" w:hAnsi="仿宋" w:eastAsia="仿宋" w:cs="仿宋"/>
          <w:color w:val="auto"/>
          <w:sz w:val="24"/>
          <w:szCs w:val="24"/>
          <w:highlight w:val="none"/>
        </w:rPr>
        <w:t>）的竞争性比选文件，经详细研究，决定参加该项目的比选。</w:t>
      </w:r>
    </w:p>
    <w:p w14:paraId="0627BBB9">
      <w:pPr>
        <w:keepNext w:val="0"/>
        <w:keepLines w:val="0"/>
        <w:pageBreakBefore w:val="0"/>
        <w:widowControl w:val="0"/>
        <w:numPr>
          <w:ilvl w:val="0"/>
          <w:numId w:val="2"/>
        </w:numPr>
        <w:tabs>
          <w:tab w:val="left" w:pos="0"/>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愿意按照竞争性比选文件中的一切要求，提供本项目的</w:t>
      </w:r>
      <w:r>
        <w:rPr>
          <w:rFonts w:hint="eastAsia" w:ascii="仿宋" w:hAnsi="仿宋" w:eastAsia="仿宋" w:cs="仿宋"/>
          <w:color w:val="auto"/>
          <w:sz w:val="24"/>
          <w:szCs w:val="24"/>
          <w:highlight w:val="none"/>
          <w:lang w:val="en-US" w:eastAsia="zh-CN"/>
        </w:rPr>
        <w:t>供货</w:t>
      </w:r>
      <w:r>
        <w:rPr>
          <w:rFonts w:hint="eastAsia" w:ascii="仿宋" w:hAnsi="仿宋" w:eastAsia="仿宋" w:cs="仿宋"/>
          <w:color w:val="auto"/>
          <w:sz w:val="24"/>
          <w:szCs w:val="24"/>
          <w:highlight w:val="none"/>
        </w:rPr>
        <w:t>及技术服务，</w:t>
      </w:r>
      <w:r>
        <w:rPr>
          <w:rFonts w:hint="eastAsia" w:ascii="仿宋" w:hAnsi="仿宋" w:eastAsia="仿宋" w:cs="仿宋"/>
          <w:color w:val="auto"/>
          <w:sz w:val="24"/>
          <w:szCs w:val="24"/>
          <w:highlight w:val="none"/>
          <w:lang w:val="en-US" w:eastAsia="zh-CN"/>
        </w:rPr>
        <w:t>合计总价</w:t>
      </w:r>
      <w:r>
        <w:rPr>
          <w:rFonts w:hint="eastAsia" w:ascii="仿宋" w:hAnsi="仿宋" w:eastAsia="仿宋" w:cs="仿宋"/>
          <w:color w:val="auto"/>
          <w:sz w:val="24"/>
          <w:szCs w:val="24"/>
          <w:highlight w:val="none"/>
        </w:rPr>
        <w:t>为人民币大写：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元整；人民币小写：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b/>
          <w:bCs/>
          <w:color w:val="auto"/>
          <w:sz w:val="24"/>
          <w:szCs w:val="24"/>
          <w:highlight w:val="none"/>
        </w:rPr>
        <w:t>最终结算金额以实际发生的金额为准</w:t>
      </w:r>
      <w:r>
        <w:rPr>
          <w:rFonts w:hint="eastAsia" w:ascii="仿宋" w:hAnsi="仿宋" w:eastAsia="仿宋" w:cs="仿宋"/>
          <w:color w:val="auto"/>
          <w:sz w:val="24"/>
          <w:szCs w:val="24"/>
          <w:highlight w:val="none"/>
          <w:lang w:eastAsia="zh-CN"/>
        </w:rPr>
        <w:t>。</w:t>
      </w:r>
    </w:p>
    <w:p w14:paraId="356F09D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2、我方现提交的投标文件为：投标文件正本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7A4121F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3、我方承诺：本次比选的有效期为90天。</w:t>
      </w:r>
    </w:p>
    <w:p w14:paraId="29BA058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4、我方完全理解和接受贵方竞争性比选文件的一切规定和要求及评审办法。</w:t>
      </w:r>
    </w:p>
    <w:p w14:paraId="6771D0F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5、在整个比选过程中，我方若有违规行为，接受按照《中华人民共和国政府采购法》和《比选文件》之规定给予惩罚。</w:t>
      </w:r>
    </w:p>
    <w:p w14:paraId="1FED800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，将按照最终比选结果签订合同，并且严格履行合同义务。本承诺函将成为合同不可分割的一部分，与合同具有同等的法律效力。</w:t>
      </w:r>
    </w:p>
    <w:p w14:paraId="352F00D5">
      <w:pPr>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7</w:t>
      </w:r>
      <w:r>
        <w:rPr>
          <w:rFonts w:hint="eastAsia" w:ascii="仿宋" w:hAnsi="仿宋" w:eastAsia="仿宋" w:cs="仿宋"/>
          <w:sz w:val="24"/>
          <w:szCs w:val="28"/>
          <w:highlight w:val="none"/>
        </w:rPr>
        <w:t>、我方未</w:t>
      </w:r>
      <w:r>
        <w:rPr>
          <w:rFonts w:hint="eastAsia" w:ascii="仿宋" w:hAnsi="仿宋" w:eastAsia="仿宋" w:cs="仿宋"/>
          <w:sz w:val="24"/>
          <w:szCs w:val="24"/>
          <w:highlight w:val="none"/>
        </w:rPr>
        <w:t>为采购项目提供整体设计、规范编制或者项目管理、监理、检测等服务。</w:t>
      </w:r>
    </w:p>
    <w:p w14:paraId="2EFB8853">
      <w:pPr>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8</w:t>
      </w:r>
      <w:r>
        <w:rPr>
          <w:rFonts w:hint="eastAsia" w:ascii="仿宋" w:hAnsi="仿宋" w:eastAsia="仿宋" w:cs="仿宋"/>
          <w:sz w:val="24"/>
          <w:szCs w:val="28"/>
          <w:highlight w:val="none"/>
        </w:rPr>
        <w:t>、我方理解，最低报价不是中标的唯一条件。</w:t>
      </w:r>
    </w:p>
    <w:p w14:paraId="6E18B65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若我方</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，愿意按有关规定及</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文件要求缴纳招标代理服务费</w:t>
      </w:r>
      <w:r>
        <w:rPr>
          <w:rFonts w:hint="eastAsia" w:ascii="仿宋" w:hAnsi="仿宋" w:eastAsia="仿宋" w:cs="仿宋"/>
          <w:color w:val="auto"/>
          <w:sz w:val="24"/>
          <w:szCs w:val="24"/>
          <w:highlight w:val="none"/>
          <w:lang w:eastAsia="zh-CN"/>
        </w:rPr>
        <w:t>。</w:t>
      </w:r>
    </w:p>
    <w:p w14:paraId="134EFA9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p>
    <w:p w14:paraId="6A461E7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lang w:eastAsia="zh-CN"/>
        </w:rPr>
      </w:pPr>
    </w:p>
    <w:p w14:paraId="2E47974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lang w:eastAsia="zh-CN"/>
        </w:rPr>
      </w:pPr>
    </w:p>
    <w:p w14:paraId="6A5B060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（公章）：</w:t>
      </w:r>
    </w:p>
    <w:p w14:paraId="2679290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p>
    <w:p w14:paraId="77B51E6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p>
    <w:p w14:paraId="33685E3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7BCF693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p>
    <w:p w14:paraId="2470012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31A8F252">
      <w:pPr>
        <w:keepNext w:val="0"/>
        <w:keepLines w:val="0"/>
        <w:pageBreakBefore w:val="0"/>
        <w:widowControl w:val="0"/>
        <w:kinsoku/>
        <w:wordWrap/>
        <w:overflowPunct/>
        <w:topLinePunct w:val="0"/>
        <w:autoSpaceDE/>
        <w:autoSpaceDN/>
        <w:bidi w:val="0"/>
        <w:adjustRightInd/>
        <w:spacing w:line="400" w:lineRule="exact"/>
        <w:textAlignment w:val="auto"/>
        <w:rPr>
          <w:rStyle w:val="45"/>
          <w:rFonts w:hint="eastAsia" w:ascii="仿宋" w:hAnsi="仿宋" w:eastAsia="仿宋" w:cs="仿宋"/>
          <w:b/>
          <w:bCs/>
          <w:color w:val="auto"/>
          <w:sz w:val="24"/>
          <w:szCs w:val="24"/>
          <w:highlight w:val="none"/>
        </w:rPr>
      </w:pPr>
      <w:bookmarkStart w:id="228" w:name="_Toc313888362"/>
      <w:bookmarkStart w:id="229" w:name="_Toc439685512"/>
      <w:bookmarkStart w:id="230" w:name="_Toc342913421"/>
      <w:bookmarkStart w:id="231" w:name="_Toc313008358"/>
      <w:bookmarkStart w:id="232" w:name="_Toc429584885"/>
      <w:r>
        <w:rPr>
          <w:rStyle w:val="45"/>
          <w:rFonts w:hint="eastAsia" w:ascii="仿宋" w:hAnsi="仿宋" w:eastAsia="仿宋" w:cs="仿宋"/>
          <w:b/>
          <w:bCs/>
          <w:color w:val="auto"/>
          <w:sz w:val="24"/>
          <w:szCs w:val="24"/>
          <w:highlight w:val="none"/>
        </w:rPr>
        <w:br w:type="page"/>
      </w:r>
    </w:p>
    <w:p w14:paraId="56ABC2C8">
      <w:pPr>
        <w:rPr>
          <w:rFonts w:hint="eastAsia" w:ascii="仿宋" w:hAnsi="仿宋" w:eastAsia="仿宋" w:cs="仿宋"/>
          <w:color w:val="auto"/>
          <w:sz w:val="24"/>
          <w:szCs w:val="28"/>
          <w:highlight w:val="none"/>
        </w:rPr>
        <w:sectPr>
          <w:headerReference r:id="rId9" w:type="default"/>
          <w:type w:val="nextColumn"/>
          <w:pgSz w:w="11907" w:h="16840"/>
          <w:pgMar w:top="1134" w:right="1134" w:bottom="1134" w:left="1134" w:header="851" w:footer="992" w:gutter="0"/>
          <w:pgNumType w:fmt="numberInDash"/>
          <w:cols w:space="720" w:num="1"/>
          <w:docGrid w:linePitch="380" w:charSpace="-5735"/>
        </w:sectPr>
      </w:pPr>
    </w:p>
    <w:p w14:paraId="547002E1">
      <w:pPr>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（二）分项报价明细表</w:t>
      </w:r>
    </w:p>
    <w:p w14:paraId="4D7BBA23">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36"/>
          <w:szCs w:val="36"/>
          <w:highlight w:val="none"/>
          <w:lang w:val="en-US" w:eastAsia="zh-CN"/>
        </w:rPr>
        <w:t>分项明细报价表</w:t>
      </w:r>
    </w:p>
    <w:p w14:paraId="285C07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采购执行编号：</w:t>
      </w:r>
    </w:p>
    <w:p w14:paraId="416FE6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kern w:val="2"/>
          <w:sz w:val="24"/>
          <w:szCs w:val="24"/>
          <w:highlight w:val="none"/>
          <w:u w:val="none"/>
          <w:lang w:val="en-US" w:eastAsia="zh-CN" w:bidi="ar-SA"/>
        </w:rPr>
        <w:t>比选项目名称：</w:t>
      </w:r>
      <w:r>
        <w:rPr>
          <w:rFonts w:hint="eastAsia" w:ascii="仿宋" w:hAnsi="仿宋" w:eastAsia="仿宋" w:cs="仿宋"/>
          <w:color w:val="auto"/>
          <w:sz w:val="24"/>
          <w:szCs w:val="24"/>
          <w:highlight w:val="none"/>
          <w:u w:val="none"/>
          <w:lang w:val="en-US" w:eastAsia="zh-CN"/>
        </w:rPr>
        <w:t xml:space="preserve"> </w:t>
      </w:r>
    </w:p>
    <w:tbl>
      <w:tblPr>
        <w:tblStyle w:val="2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928"/>
        <w:gridCol w:w="2460"/>
        <w:gridCol w:w="1235"/>
        <w:gridCol w:w="1235"/>
        <w:gridCol w:w="928"/>
        <w:gridCol w:w="929"/>
        <w:gridCol w:w="929"/>
      </w:tblGrid>
      <w:tr w14:paraId="72A1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28" w:type="dxa"/>
            <w:vAlign w:val="center"/>
          </w:tcPr>
          <w:p w14:paraId="32C3C172">
            <w:pPr>
              <w:kinsoku/>
              <w:wordWrap/>
              <w:overflowPunct/>
              <w:topLinePunct w:val="0"/>
              <w:autoSpaceDE/>
              <w:autoSpaceDN/>
              <w:bidi w:val="0"/>
              <w:spacing w:line="400" w:lineRule="exact"/>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序号</w:t>
            </w:r>
          </w:p>
        </w:tc>
        <w:tc>
          <w:tcPr>
            <w:tcW w:w="928" w:type="dxa"/>
            <w:vAlign w:val="center"/>
          </w:tcPr>
          <w:p w14:paraId="172D6E2B">
            <w:pPr>
              <w:kinsoku/>
              <w:wordWrap/>
              <w:overflowPunct/>
              <w:topLinePunct w:val="0"/>
              <w:autoSpaceDE/>
              <w:autoSpaceDN/>
              <w:bidi w:val="0"/>
              <w:spacing w:line="400" w:lineRule="exact"/>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名称</w:t>
            </w:r>
          </w:p>
        </w:tc>
        <w:tc>
          <w:tcPr>
            <w:tcW w:w="2460" w:type="dxa"/>
            <w:vAlign w:val="center"/>
          </w:tcPr>
          <w:p w14:paraId="01A8AC57">
            <w:pPr>
              <w:kinsoku/>
              <w:wordWrap/>
              <w:overflowPunct/>
              <w:topLinePunct w:val="0"/>
              <w:autoSpaceDE/>
              <w:autoSpaceDN/>
              <w:bidi w:val="0"/>
              <w:spacing w:line="400" w:lineRule="exact"/>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品牌、规格型号</w:t>
            </w:r>
          </w:p>
        </w:tc>
        <w:tc>
          <w:tcPr>
            <w:tcW w:w="1235" w:type="dxa"/>
            <w:vAlign w:val="center"/>
          </w:tcPr>
          <w:p w14:paraId="379876AE">
            <w:pPr>
              <w:kinsoku/>
              <w:wordWrap/>
              <w:overflowPunct/>
              <w:topLinePunct w:val="0"/>
              <w:autoSpaceDE/>
              <w:autoSpaceDN/>
              <w:bidi w:val="0"/>
              <w:spacing w:line="400" w:lineRule="exact"/>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制造商</w:t>
            </w:r>
          </w:p>
        </w:tc>
        <w:tc>
          <w:tcPr>
            <w:tcW w:w="1235" w:type="dxa"/>
            <w:vAlign w:val="center"/>
          </w:tcPr>
          <w:p w14:paraId="77D7675D">
            <w:pPr>
              <w:kinsoku/>
              <w:wordWrap/>
              <w:overflowPunct/>
              <w:topLinePunct w:val="0"/>
              <w:autoSpaceDE/>
              <w:autoSpaceDN/>
              <w:bidi w:val="0"/>
              <w:spacing w:line="400" w:lineRule="exact"/>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生产地</w:t>
            </w:r>
          </w:p>
        </w:tc>
        <w:tc>
          <w:tcPr>
            <w:tcW w:w="928" w:type="dxa"/>
            <w:vAlign w:val="center"/>
          </w:tcPr>
          <w:p w14:paraId="769EDFC7">
            <w:pPr>
              <w:kinsoku/>
              <w:wordWrap/>
              <w:overflowPunct/>
              <w:topLinePunct w:val="0"/>
              <w:autoSpaceDE/>
              <w:autoSpaceDN/>
              <w:bidi w:val="0"/>
              <w:spacing w:line="400" w:lineRule="exact"/>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数量</w:t>
            </w:r>
          </w:p>
        </w:tc>
        <w:tc>
          <w:tcPr>
            <w:tcW w:w="929" w:type="dxa"/>
            <w:vAlign w:val="center"/>
          </w:tcPr>
          <w:p w14:paraId="77F484F7">
            <w:pPr>
              <w:kinsoku/>
              <w:wordWrap/>
              <w:overflowPunct/>
              <w:topLinePunct w:val="0"/>
              <w:autoSpaceDE/>
              <w:autoSpaceDN/>
              <w:bidi w:val="0"/>
              <w:spacing w:line="400" w:lineRule="exact"/>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单价</w:t>
            </w:r>
          </w:p>
        </w:tc>
        <w:tc>
          <w:tcPr>
            <w:tcW w:w="929" w:type="dxa"/>
            <w:vAlign w:val="center"/>
          </w:tcPr>
          <w:p w14:paraId="52D2E632">
            <w:pPr>
              <w:kinsoku/>
              <w:wordWrap/>
              <w:overflowPunct/>
              <w:topLinePunct w:val="0"/>
              <w:autoSpaceDE/>
              <w:autoSpaceDN/>
              <w:bidi w:val="0"/>
              <w:spacing w:line="400" w:lineRule="exact"/>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合计</w:t>
            </w:r>
          </w:p>
        </w:tc>
      </w:tr>
      <w:tr w14:paraId="77CE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8" w:type="dxa"/>
            <w:vAlign w:val="center"/>
          </w:tcPr>
          <w:p w14:paraId="76D9F8A1">
            <w:pPr>
              <w:pStyle w:val="11"/>
              <w:kinsoku/>
              <w:wordWrap/>
              <w:overflowPunct/>
              <w:topLinePunct w:val="0"/>
              <w:autoSpaceDE/>
              <w:autoSpaceDN/>
              <w:bidi w:val="0"/>
              <w:spacing w:line="400" w:lineRule="exact"/>
              <w:ind w:left="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928" w:type="dxa"/>
            <w:vAlign w:val="center"/>
          </w:tcPr>
          <w:p w14:paraId="4244327D">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2460" w:type="dxa"/>
            <w:vAlign w:val="top"/>
          </w:tcPr>
          <w:p w14:paraId="68AF9529">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6D8C085C">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5FAEA4B4">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8" w:type="dxa"/>
            <w:vAlign w:val="center"/>
          </w:tcPr>
          <w:p w14:paraId="36753012">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3C95EF4B">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5ECCE2AE">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0555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8" w:type="dxa"/>
            <w:vAlign w:val="center"/>
          </w:tcPr>
          <w:p w14:paraId="7BDC7376">
            <w:pPr>
              <w:pStyle w:val="11"/>
              <w:kinsoku/>
              <w:wordWrap/>
              <w:overflowPunct/>
              <w:topLinePunct w:val="0"/>
              <w:autoSpaceDE/>
              <w:autoSpaceDN/>
              <w:bidi w:val="0"/>
              <w:spacing w:line="400" w:lineRule="exact"/>
              <w:ind w:left="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928" w:type="dxa"/>
            <w:vAlign w:val="center"/>
          </w:tcPr>
          <w:p w14:paraId="4344A364">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2460" w:type="dxa"/>
            <w:vAlign w:val="top"/>
          </w:tcPr>
          <w:p w14:paraId="7BC31928">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79C44F29">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64912B5D">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8" w:type="dxa"/>
            <w:vAlign w:val="center"/>
          </w:tcPr>
          <w:p w14:paraId="6B421D0E">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29082C4F">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7F024276">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218A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8" w:type="dxa"/>
            <w:vAlign w:val="center"/>
          </w:tcPr>
          <w:p w14:paraId="078E1382">
            <w:pPr>
              <w:pStyle w:val="11"/>
              <w:kinsoku/>
              <w:wordWrap/>
              <w:overflowPunct/>
              <w:topLinePunct w:val="0"/>
              <w:autoSpaceDE/>
              <w:autoSpaceDN/>
              <w:bidi w:val="0"/>
              <w:spacing w:line="400" w:lineRule="exact"/>
              <w:ind w:left="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928" w:type="dxa"/>
            <w:vAlign w:val="center"/>
          </w:tcPr>
          <w:p w14:paraId="0D67C8B0">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2460" w:type="dxa"/>
            <w:vAlign w:val="top"/>
          </w:tcPr>
          <w:p w14:paraId="3ED8197D">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7FC44EF2">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718397F9">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8" w:type="dxa"/>
            <w:vAlign w:val="center"/>
          </w:tcPr>
          <w:p w14:paraId="1272711E">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795DBBA1">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5EEACBE3">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4A17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8" w:type="dxa"/>
            <w:vAlign w:val="center"/>
          </w:tcPr>
          <w:p w14:paraId="17D3E7A4">
            <w:pPr>
              <w:pStyle w:val="11"/>
              <w:kinsoku/>
              <w:wordWrap/>
              <w:overflowPunct/>
              <w:topLinePunct w:val="0"/>
              <w:autoSpaceDE/>
              <w:autoSpaceDN/>
              <w:bidi w:val="0"/>
              <w:spacing w:line="400" w:lineRule="exact"/>
              <w:ind w:left="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928" w:type="dxa"/>
            <w:vAlign w:val="center"/>
          </w:tcPr>
          <w:p w14:paraId="4EF1C5CA">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2460" w:type="dxa"/>
            <w:vAlign w:val="top"/>
          </w:tcPr>
          <w:p w14:paraId="2AABA1D3">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290DD47F">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6988C705">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8" w:type="dxa"/>
            <w:vAlign w:val="center"/>
          </w:tcPr>
          <w:p w14:paraId="713D426F">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10EE3E08">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787B7837">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293A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8" w:type="dxa"/>
            <w:vAlign w:val="center"/>
          </w:tcPr>
          <w:p w14:paraId="530E85C4">
            <w:pPr>
              <w:pStyle w:val="11"/>
              <w:kinsoku/>
              <w:wordWrap/>
              <w:overflowPunct/>
              <w:topLinePunct w:val="0"/>
              <w:autoSpaceDE/>
              <w:autoSpaceDN/>
              <w:bidi w:val="0"/>
              <w:spacing w:line="400" w:lineRule="exact"/>
              <w:ind w:left="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928" w:type="dxa"/>
            <w:vAlign w:val="center"/>
          </w:tcPr>
          <w:p w14:paraId="33641C46">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2460" w:type="dxa"/>
            <w:vAlign w:val="top"/>
          </w:tcPr>
          <w:p w14:paraId="2620E321">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1F1D78DF">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10C555D5">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8" w:type="dxa"/>
            <w:vAlign w:val="center"/>
          </w:tcPr>
          <w:p w14:paraId="2A83821F">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27C3FF01">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0BDDA8AB">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777E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8" w:type="dxa"/>
            <w:vAlign w:val="center"/>
          </w:tcPr>
          <w:p w14:paraId="1E39623F">
            <w:pPr>
              <w:pStyle w:val="11"/>
              <w:kinsoku/>
              <w:wordWrap/>
              <w:overflowPunct/>
              <w:topLinePunct w:val="0"/>
              <w:autoSpaceDE/>
              <w:autoSpaceDN/>
              <w:bidi w:val="0"/>
              <w:spacing w:line="400" w:lineRule="exact"/>
              <w:ind w:left="0" w:leftChars="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28" w:type="dxa"/>
            <w:vAlign w:val="center"/>
          </w:tcPr>
          <w:p w14:paraId="1F2EDFBA">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2460" w:type="dxa"/>
            <w:vAlign w:val="top"/>
          </w:tcPr>
          <w:p w14:paraId="149B7785">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4FE08EC9">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3E78CE45">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8" w:type="dxa"/>
            <w:vAlign w:val="center"/>
          </w:tcPr>
          <w:p w14:paraId="7EBB233E">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626F0C75">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76227B48">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1069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8" w:type="dxa"/>
            <w:vAlign w:val="center"/>
          </w:tcPr>
          <w:p w14:paraId="691060F2">
            <w:pPr>
              <w:pStyle w:val="11"/>
              <w:kinsoku/>
              <w:wordWrap/>
              <w:overflowPunct/>
              <w:topLinePunct w:val="0"/>
              <w:autoSpaceDE/>
              <w:autoSpaceDN/>
              <w:bidi w:val="0"/>
              <w:spacing w:line="400" w:lineRule="exact"/>
              <w:ind w:left="0" w:leftChars="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28" w:type="dxa"/>
            <w:vAlign w:val="center"/>
          </w:tcPr>
          <w:p w14:paraId="1766047B">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2460" w:type="dxa"/>
            <w:vAlign w:val="top"/>
          </w:tcPr>
          <w:p w14:paraId="0D0E7220">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17640F12">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0FBB131F">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8" w:type="dxa"/>
            <w:vAlign w:val="center"/>
          </w:tcPr>
          <w:p w14:paraId="1CB216E5">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069040AF">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1A264E08">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71B3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8" w:type="dxa"/>
            <w:vAlign w:val="center"/>
          </w:tcPr>
          <w:p w14:paraId="14C743A6">
            <w:pPr>
              <w:pStyle w:val="11"/>
              <w:kinsoku/>
              <w:wordWrap/>
              <w:overflowPunct/>
              <w:topLinePunct w:val="0"/>
              <w:autoSpaceDE/>
              <w:autoSpaceDN/>
              <w:bidi w:val="0"/>
              <w:spacing w:line="400" w:lineRule="exact"/>
              <w:ind w:left="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28" w:type="dxa"/>
            <w:vAlign w:val="center"/>
          </w:tcPr>
          <w:p w14:paraId="1EB79416">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2460" w:type="dxa"/>
            <w:vAlign w:val="top"/>
          </w:tcPr>
          <w:p w14:paraId="46BA361D">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014A5C8C">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5467211E">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8" w:type="dxa"/>
            <w:vAlign w:val="center"/>
          </w:tcPr>
          <w:p w14:paraId="4EB45539">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378C27C7">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27D3AD4E">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3D77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8" w:type="dxa"/>
            <w:vAlign w:val="center"/>
          </w:tcPr>
          <w:p w14:paraId="2BACC2F6">
            <w:pPr>
              <w:pStyle w:val="11"/>
              <w:kinsoku/>
              <w:wordWrap/>
              <w:overflowPunct/>
              <w:topLinePunct w:val="0"/>
              <w:autoSpaceDE/>
              <w:autoSpaceDN/>
              <w:bidi w:val="0"/>
              <w:spacing w:line="400" w:lineRule="exact"/>
              <w:ind w:left="0"/>
              <w:jc w:val="center"/>
              <w:outlineLvl w:val="0"/>
              <w:rPr>
                <w:rFonts w:hint="eastAsia" w:ascii="仿宋" w:hAnsi="仿宋" w:eastAsia="仿宋" w:cs="仿宋"/>
                <w:sz w:val="21"/>
                <w:szCs w:val="21"/>
                <w:highlight w:val="none"/>
                <w:lang w:val="en-US" w:eastAsia="zh-CN"/>
              </w:rPr>
            </w:pPr>
          </w:p>
        </w:tc>
        <w:tc>
          <w:tcPr>
            <w:tcW w:w="928" w:type="dxa"/>
            <w:vAlign w:val="center"/>
          </w:tcPr>
          <w:p w14:paraId="7CD654F5">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r>
              <w:rPr>
                <w:rFonts w:hint="eastAsia" w:ascii="仿宋" w:hAnsi="仿宋" w:eastAsia="仿宋" w:cs="仿宋"/>
                <w:b/>
                <w:bCs/>
                <w:sz w:val="21"/>
                <w:szCs w:val="21"/>
                <w:highlight w:val="none"/>
              </w:rPr>
              <w:t>总计</w:t>
            </w:r>
          </w:p>
        </w:tc>
        <w:tc>
          <w:tcPr>
            <w:tcW w:w="7716" w:type="dxa"/>
            <w:gridSpan w:val="6"/>
            <w:vAlign w:val="top"/>
          </w:tcPr>
          <w:p w14:paraId="2E766C5A">
            <w:pPr>
              <w:kinsoku/>
              <w:wordWrap/>
              <w:overflowPunct/>
              <w:topLinePunct w:val="0"/>
              <w:autoSpaceDE/>
              <w:autoSpaceDN/>
              <w:bidi w:val="0"/>
              <w:spacing w:line="400" w:lineRule="exact"/>
              <w:rPr>
                <w:rFonts w:hint="eastAsia" w:ascii="仿宋" w:hAnsi="仿宋" w:eastAsia="仿宋" w:cs="仿宋"/>
                <w:sz w:val="21"/>
                <w:szCs w:val="21"/>
                <w:highlight w:val="none"/>
              </w:rPr>
            </w:pPr>
          </w:p>
        </w:tc>
      </w:tr>
    </w:tbl>
    <w:p w14:paraId="5C2783A2">
      <w:pPr>
        <w:pStyle w:val="26"/>
        <w:rPr>
          <w:rFonts w:hint="eastAsia" w:ascii="仿宋" w:hAnsi="仿宋" w:eastAsia="仿宋" w:cs="仿宋"/>
          <w:highlight w:val="none"/>
          <w:lang w:val="en-US" w:eastAsia="zh-CN"/>
        </w:rPr>
      </w:pPr>
    </w:p>
    <w:p w14:paraId="0DA203D0">
      <w:pPr>
        <w:rPr>
          <w:rStyle w:val="45"/>
          <w:rFonts w:hint="eastAsia" w:ascii="仿宋" w:hAnsi="仿宋" w:eastAsia="仿宋" w:cs="仿宋"/>
          <w:b/>
          <w:bCs/>
          <w:color w:val="auto"/>
          <w:sz w:val="24"/>
          <w:szCs w:val="24"/>
          <w:highlight w:val="none"/>
        </w:rPr>
      </w:pPr>
    </w:p>
    <w:p w14:paraId="1F5817A6">
      <w:pPr>
        <w:kinsoku/>
        <w:wordWrap/>
        <w:overflowPunct/>
        <w:topLinePunct w:val="0"/>
        <w:autoSpaceDE/>
        <w:autoSpaceDN/>
        <w:bidi w:val="0"/>
        <w:spacing w:line="400" w:lineRule="exact"/>
        <w:ind w:firstLine="600" w:firstLineChars="250"/>
        <w:rPr>
          <w:rFonts w:hint="eastAsia" w:ascii="仿宋" w:hAnsi="仿宋" w:eastAsia="仿宋" w:cs="仿宋"/>
          <w:sz w:val="24"/>
          <w:szCs w:val="28"/>
          <w:highlight w:val="none"/>
        </w:rPr>
      </w:pPr>
      <w:r>
        <w:rPr>
          <w:rFonts w:hint="eastAsia" w:ascii="仿宋" w:hAnsi="仿宋" w:eastAsia="仿宋" w:cs="仿宋"/>
          <w:sz w:val="24"/>
          <w:szCs w:val="28"/>
          <w:highlight w:val="none"/>
        </w:rPr>
        <w:t>投标人：                       法定代表人（或法定代表人授权代表）或自然人：</w:t>
      </w:r>
    </w:p>
    <w:p w14:paraId="7FEE4E34">
      <w:pPr>
        <w:kinsoku/>
        <w:wordWrap/>
        <w:overflowPunct/>
        <w:topLinePunct w:val="0"/>
        <w:autoSpaceDE/>
        <w:autoSpaceDN/>
        <w:bidi w:val="0"/>
        <w:spacing w:line="400" w:lineRule="exact"/>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（投标人公章）                               （签署或盖章）</w:t>
      </w:r>
    </w:p>
    <w:p w14:paraId="42449651">
      <w:pPr>
        <w:kinsoku/>
        <w:wordWrap/>
        <w:overflowPunct/>
        <w:topLinePunct w:val="0"/>
        <w:autoSpaceDE/>
        <w:autoSpaceDN/>
        <w:bidi w:val="0"/>
        <w:spacing w:line="400" w:lineRule="exact"/>
        <w:rPr>
          <w:rFonts w:hint="eastAsia" w:ascii="仿宋" w:hAnsi="仿宋" w:eastAsia="仿宋" w:cs="仿宋"/>
          <w:sz w:val="24"/>
          <w:szCs w:val="28"/>
          <w:highlight w:val="none"/>
        </w:rPr>
      </w:pPr>
    </w:p>
    <w:p w14:paraId="6D32AF05">
      <w:pPr>
        <w:kinsoku/>
        <w:wordWrap/>
        <w:overflowPunct/>
        <w:topLinePunct w:val="0"/>
        <w:autoSpaceDE/>
        <w:autoSpaceDN/>
        <w:bidi w:val="0"/>
        <w:spacing w:line="400" w:lineRule="exact"/>
        <w:rPr>
          <w:rFonts w:hint="eastAsia" w:ascii="仿宋" w:hAnsi="仿宋" w:eastAsia="仿宋" w:cs="仿宋"/>
          <w:sz w:val="24"/>
          <w:szCs w:val="28"/>
          <w:highlight w:val="none"/>
        </w:rPr>
      </w:pPr>
    </w:p>
    <w:p w14:paraId="36E86953">
      <w:pPr>
        <w:kinsoku/>
        <w:wordWrap/>
        <w:overflowPunct/>
        <w:topLinePunct w:val="0"/>
        <w:autoSpaceDE/>
        <w:autoSpaceDN/>
        <w:bidi w:val="0"/>
        <w:snapToGrid w:val="0"/>
        <w:spacing w:line="4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年     月     日</w:t>
      </w:r>
    </w:p>
    <w:p w14:paraId="3134578D">
      <w:pPr>
        <w:kinsoku/>
        <w:wordWrap/>
        <w:overflowPunct/>
        <w:topLinePunct w:val="0"/>
        <w:autoSpaceDE/>
        <w:autoSpaceDN/>
        <w:bidi w:val="0"/>
        <w:snapToGrid w:val="0"/>
        <w:spacing w:line="400" w:lineRule="exact"/>
        <w:ind w:firstLine="480" w:firstLineChars="200"/>
        <w:rPr>
          <w:rFonts w:hint="eastAsia" w:ascii="仿宋" w:hAnsi="仿宋" w:eastAsia="仿宋" w:cs="仿宋"/>
          <w:sz w:val="24"/>
          <w:szCs w:val="28"/>
          <w:highlight w:val="none"/>
        </w:rPr>
      </w:pPr>
    </w:p>
    <w:p w14:paraId="03A722D0">
      <w:pPr>
        <w:kinsoku/>
        <w:wordWrap/>
        <w:overflowPunct/>
        <w:topLinePunct w:val="0"/>
        <w:autoSpaceDE/>
        <w:autoSpaceDN/>
        <w:bidi w:val="0"/>
        <w:snapToGrid w:val="0"/>
        <w:spacing w:line="4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注：</w:t>
      </w:r>
    </w:p>
    <w:p w14:paraId="63B1DECF">
      <w:pPr>
        <w:kinsoku/>
        <w:wordWrap/>
        <w:overflowPunct/>
        <w:topLinePunct w:val="0"/>
        <w:autoSpaceDE/>
        <w:autoSpaceDN/>
        <w:bidi w:val="0"/>
        <w:snapToGrid w:val="0"/>
        <w:spacing w:line="4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1.请投标人完整填写本表；</w:t>
      </w:r>
    </w:p>
    <w:p w14:paraId="1504B6B4">
      <w:pPr>
        <w:kinsoku/>
        <w:wordWrap/>
        <w:overflowPunct/>
        <w:topLinePunct w:val="0"/>
        <w:autoSpaceDE/>
        <w:autoSpaceDN/>
        <w:bidi w:val="0"/>
        <w:snapToGrid w:val="0"/>
        <w:spacing w:line="4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2.该表可扩展。</w:t>
      </w:r>
    </w:p>
    <w:p w14:paraId="5BF4D9EC">
      <w:pPr>
        <w:rPr>
          <w:rFonts w:hint="eastAsia" w:ascii="仿宋" w:hAnsi="仿宋" w:eastAsia="仿宋" w:cs="仿宋"/>
          <w:color w:val="auto"/>
          <w:sz w:val="24"/>
          <w:szCs w:val="24"/>
          <w:highlight w:val="none"/>
        </w:rPr>
      </w:pPr>
    </w:p>
    <w:p w14:paraId="4EB97FAE">
      <w:pPr>
        <w:rPr>
          <w:rFonts w:hint="eastAsia" w:ascii="仿宋" w:hAnsi="仿宋" w:eastAsia="仿宋" w:cs="仿宋"/>
          <w:color w:val="auto"/>
          <w:sz w:val="24"/>
          <w:szCs w:val="24"/>
          <w:highlight w:val="none"/>
        </w:rPr>
        <w:sectPr>
          <w:pgSz w:w="11907" w:h="16840"/>
          <w:pgMar w:top="1134" w:right="1134" w:bottom="1134" w:left="1134" w:header="851" w:footer="992" w:gutter="0"/>
          <w:pgNumType w:fmt="numberInDash"/>
          <w:cols w:space="0" w:num="1"/>
          <w:rtlGutter w:val="0"/>
          <w:docGrid w:linePitch="380" w:charSpace="0"/>
        </w:sectPr>
      </w:pPr>
    </w:p>
    <w:p w14:paraId="582C4B20">
      <w:pPr>
        <w:pageBreakBefore w:val="0"/>
        <w:kinsoku/>
        <w:wordWrap/>
        <w:overflowPunct/>
        <w:topLinePunct w:val="0"/>
        <w:autoSpaceDE/>
        <w:autoSpaceDN/>
        <w:bidi w:val="0"/>
        <w:snapToGrid w:val="0"/>
        <w:spacing w:line="400" w:lineRule="exact"/>
        <w:ind w:firstLine="482" w:firstLineChars="200"/>
        <w:rPr>
          <w:rStyle w:val="45"/>
          <w:rFonts w:hint="eastAsia" w:ascii="仿宋" w:hAnsi="仿宋" w:eastAsia="仿宋" w:cs="仿宋"/>
          <w:b/>
          <w:bCs/>
          <w:color w:val="auto"/>
          <w:sz w:val="24"/>
          <w:szCs w:val="24"/>
          <w:highlight w:val="none"/>
        </w:rPr>
      </w:pPr>
      <w:bookmarkStart w:id="233" w:name="_Toc6071"/>
      <w:r>
        <w:rPr>
          <w:rStyle w:val="45"/>
          <w:rFonts w:hint="eastAsia" w:ascii="仿宋" w:hAnsi="仿宋" w:eastAsia="仿宋" w:cs="仿宋"/>
          <w:b/>
          <w:bCs/>
          <w:color w:val="auto"/>
          <w:sz w:val="24"/>
          <w:szCs w:val="24"/>
          <w:highlight w:val="none"/>
        </w:rPr>
        <w:t>二、</w:t>
      </w:r>
      <w:r>
        <w:rPr>
          <w:rStyle w:val="45"/>
          <w:rFonts w:hint="eastAsia" w:ascii="仿宋" w:hAnsi="仿宋" w:eastAsia="仿宋" w:cs="仿宋"/>
          <w:b/>
          <w:bCs/>
          <w:color w:val="auto"/>
          <w:sz w:val="24"/>
          <w:szCs w:val="24"/>
          <w:highlight w:val="none"/>
          <w:lang w:val="en-US" w:eastAsia="zh-CN"/>
        </w:rPr>
        <w:t>技术</w:t>
      </w:r>
      <w:r>
        <w:rPr>
          <w:rStyle w:val="45"/>
          <w:rFonts w:hint="eastAsia" w:ascii="仿宋" w:hAnsi="仿宋" w:eastAsia="仿宋" w:cs="仿宋"/>
          <w:b/>
          <w:bCs/>
          <w:color w:val="auto"/>
          <w:sz w:val="24"/>
          <w:szCs w:val="24"/>
          <w:highlight w:val="none"/>
        </w:rPr>
        <w:t>部分</w:t>
      </w:r>
    </w:p>
    <w:bookmarkEnd w:id="233"/>
    <w:p w14:paraId="46422D21">
      <w:pPr>
        <w:pageBreakBefore w:val="0"/>
        <w:tabs>
          <w:tab w:val="left" w:pos="6300"/>
        </w:tabs>
        <w:kinsoku/>
        <w:wordWrap/>
        <w:overflowPunct/>
        <w:topLinePunct w:val="0"/>
        <w:autoSpaceDE/>
        <w:autoSpaceDN/>
        <w:bidi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方案（格式自定）</w:t>
      </w:r>
    </w:p>
    <w:p w14:paraId="61B2983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A08FFC4">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技术（质量）</w:t>
      </w:r>
      <w:r>
        <w:rPr>
          <w:rFonts w:hint="eastAsia" w:ascii="仿宋" w:hAnsi="仿宋" w:eastAsia="仿宋" w:cs="仿宋"/>
          <w:color w:val="auto"/>
          <w:sz w:val="24"/>
          <w:szCs w:val="24"/>
          <w:highlight w:val="none"/>
        </w:rPr>
        <w:t>响应偏离表（本表可自行设计格式）</w:t>
      </w:r>
    </w:p>
    <w:p w14:paraId="406B26D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B4053FE">
      <w:pPr>
        <w:pageBreakBefore w:val="0"/>
        <w:kinsoku/>
        <w:wordWrap/>
        <w:overflowPunct/>
        <w:topLinePunct w:val="0"/>
        <w:autoSpaceDE/>
        <w:autoSpaceDN/>
        <w:bidi w:val="0"/>
        <w:spacing w:line="400" w:lineRule="exact"/>
        <w:ind w:firstLine="72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36"/>
          <w:szCs w:val="36"/>
          <w:highlight w:val="none"/>
          <w:lang w:val="en-US" w:eastAsia="zh-CN"/>
        </w:rPr>
        <w:t>技术（质量）</w:t>
      </w:r>
      <w:r>
        <w:rPr>
          <w:rFonts w:hint="eastAsia" w:ascii="仿宋" w:hAnsi="仿宋" w:eastAsia="仿宋" w:cs="仿宋"/>
          <w:color w:val="auto"/>
          <w:sz w:val="36"/>
          <w:szCs w:val="36"/>
          <w:highlight w:val="none"/>
        </w:rPr>
        <w:t>响应偏离表</w:t>
      </w:r>
    </w:p>
    <w:p w14:paraId="56586BF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采购执行编号：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14:paraId="17781DE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eastAsia="zh-CN"/>
        </w:rPr>
        <w:t>比选项目名称</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 xml:space="preserve">                            </w:t>
      </w:r>
    </w:p>
    <w:tbl>
      <w:tblPr>
        <w:tblStyle w:val="27"/>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822"/>
        <w:gridCol w:w="2759"/>
        <w:gridCol w:w="2067"/>
      </w:tblGrid>
      <w:tr w14:paraId="2B25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74" w:type="dxa"/>
            <w:vAlign w:val="center"/>
          </w:tcPr>
          <w:p w14:paraId="5185A345">
            <w:pPr>
              <w:pageBreakBefore w:val="0"/>
              <w:tabs>
                <w:tab w:val="left" w:pos="6300"/>
              </w:tabs>
              <w:kinsoku/>
              <w:wordWrap/>
              <w:overflowPunct/>
              <w:topLinePunct w:val="0"/>
              <w:autoSpaceDE/>
              <w:autoSpaceDN/>
              <w:bidi w:val="0"/>
              <w:snapToGrid w:val="0"/>
              <w:spacing w:line="400" w:lineRule="exact"/>
              <w:ind w:left="0" w:leftChars="0" w:firstLine="0" w:firstLineChars="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822" w:type="dxa"/>
            <w:vAlign w:val="center"/>
          </w:tcPr>
          <w:p w14:paraId="3DC27911">
            <w:pPr>
              <w:pageBreakBefore w:val="0"/>
              <w:tabs>
                <w:tab w:val="left" w:pos="6300"/>
              </w:tabs>
              <w:kinsoku/>
              <w:wordWrap/>
              <w:overflowPunct/>
              <w:topLinePunct w:val="0"/>
              <w:autoSpaceDE/>
              <w:autoSpaceDN/>
              <w:bidi w:val="0"/>
              <w:snapToGrid w:val="0"/>
              <w:spacing w:line="400" w:lineRule="exact"/>
              <w:ind w:left="0" w:leftChars="0" w:firstLine="0" w:firstLineChars="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tc>
        <w:tc>
          <w:tcPr>
            <w:tcW w:w="2759" w:type="dxa"/>
            <w:vAlign w:val="center"/>
          </w:tcPr>
          <w:p w14:paraId="2DB1BA53">
            <w:pPr>
              <w:pageBreakBefore w:val="0"/>
              <w:tabs>
                <w:tab w:val="left" w:pos="6300"/>
              </w:tabs>
              <w:kinsoku/>
              <w:wordWrap/>
              <w:overflowPunct/>
              <w:topLinePunct w:val="0"/>
              <w:autoSpaceDE/>
              <w:autoSpaceDN/>
              <w:bidi w:val="0"/>
              <w:snapToGrid w:val="0"/>
              <w:spacing w:line="400" w:lineRule="exact"/>
              <w:ind w:left="0" w:leftChars="0" w:firstLine="0" w:firstLineChars="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067" w:type="dxa"/>
            <w:vAlign w:val="center"/>
          </w:tcPr>
          <w:p w14:paraId="31CA6211">
            <w:pPr>
              <w:pageBreakBefore w:val="0"/>
              <w:tabs>
                <w:tab w:val="left" w:pos="6300"/>
              </w:tabs>
              <w:kinsoku/>
              <w:wordWrap/>
              <w:overflowPunct/>
              <w:topLinePunct w:val="0"/>
              <w:autoSpaceDE/>
              <w:autoSpaceDN/>
              <w:bidi w:val="0"/>
              <w:snapToGrid w:val="0"/>
              <w:spacing w:line="400" w:lineRule="exact"/>
              <w:ind w:left="0" w:leftChars="0" w:firstLine="0" w:firstLineChars="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偏离说明</w:t>
            </w:r>
          </w:p>
        </w:tc>
      </w:tr>
      <w:tr w14:paraId="34A9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7B2CE404">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4E5522E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3ECE2E08">
            <w:pPr>
              <w:pageBreakBefore w:val="0"/>
              <w:tabs>
                <w:tab w:val="left" w:pos="6300"/>
              </w:tabs>
              <w:kinsoku/>
              <w:wordWrap/>
              <w:overflowPunct/>
              <w:topLinePunct w:val="0"/>
              <w:autoSpaceDE/>
              <w:autoSpaceDN/>
              <w:bidi w:val="0"/>
              <w:snapToGrid w:val="0"/>
              <w:spacing w:line="400" w:lineRule="exact"/>
              <w:ind w:firstLine="420" w:firstLineChars="200"/>
              <w:jc w:val="left"/>
              <w:outlineLvl w:val="0"/>
              <w:rPr>
                <w:rFonts w:hint="eastAsia" w:ascii="仿宋" w:hAnsi="仿宋" w:eastAsia="仿宋" w:cs="仿宋"/>
                <w:color w:val="auto"/>
                <w:sz w:val="24"/>
                <w:szCs w:val="24"/>
                <w:highlight w:val="none"/>
              </w:rPr>
            </w:pPr>
            <w:r>
              <w:rPr>
                <w:rFonts w:hint="eastAsia" w:ascii="仿宋" w:hAnsi="仿宋" w:eastAsia="仿宋" w:cs="仿宋"/>
                <w:sz w:val="21"/>
                <w:szCs w:val="21"/>
                <w:highlight w:val="none"/>
              </w:rPr>
              <w:t>提醒：请注明技术参数或具体内容以及投标文件中技术参数或具体内容的位置（页码）</w:t>
            </w:r>
          </w:p>
        </w:tc>
        <w:tc>
          <w:tcPr>
            <w:tcW w:w="2067" w:type="dxa"/>
            <w:vAlign w:val="center"/>
          </w:tcPr>
          <w:p w14:paraId="40D074C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0CF1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5EF9F98D">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62536C1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270DE42A">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2A9606A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4C1B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5E04E18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584ED57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5C3F56DF">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4A8A799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1C81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4A2014D5">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63D200AF">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01AD5BD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0352652E">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3D54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123B1ED1">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57FF6EE3">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774321D1">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55D70067">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5EAB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2DE94F4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1B0AFA6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691F9EC5">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3CDF5604">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6FEB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231DDD6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34F27AC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6C11FA2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2E7357A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4226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7FDB0B57">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03EE32EE">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66AD4F9F">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3070DBBD">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bl>
    <w:p w14:paraId="00E98C6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                                  法定代表人（或其授权代表）或自然人：</w:t>
      </w:r>
    </w:p>
    <w:p w14:paraId="7A1A139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543279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公章）                                      （签字或盖章）</w:t>
      </w:r>
    </w:p>
    <w:p w14:paraId="0E59BC2A">
      <w:pPr>
        <w:pageBreakBefore w:val="0"/>
        <w:tabs>
          <w:tab w:val="left" w:pos="6300"/>
        </w:tabs>
        <w:kinsoku/>
        <w:wordWrap/>
        <w:overflowPunct/>
        <w:topLinePunct w:val="0"/>
        <w:autoSpaceDE/>
        <w:autoSpaceDN/>
        <w:bidi w:val="0"/>
        <w:snapToGrid w:val="0"/>
        <w:spacing w:line="400" w:lineRule="exact"/>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02273493">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0D144C05">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631FC30F">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5BA76DAC">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 xml:space="preserve">.本表即为对本项目“第二篇 </w:t>
      </w:r>
      <w:r>
        <w:rPr>
          <w:rFonts w:hint="eastAsia" w:ascii="仿宋" w:hAnsi="仿宋" w:eastAsia="仿宋" w:cs="仿宋"/>
          <w:color w:val="auto"/>
          <w:sz w:val="24"/>
          <w:highlight w:val="none"/>
          <w:lang w:val="en-US" w:eastAsia="zh-CN"/>
        </w:rPr>
        <w:t>项目技术（质量）需求</w:t>
      </w:r>
      <w:r>
        <w:rPr>
          <w:rFonts w:hint="eastAsia" w:ascii="仿宋" w:hAnsi="仿宋" w:eastAsia="仿宋" w:cs="仿宋"/>
          <w:color w:val="auto"/>
          <w:sz w:val="24"/>
          <w:highlight w:val="none"/>
        </w:rPr>
        <w:t>”中所列条款进行比较和响应；</w:t>
      </w:r>
    </w:p>
    <w:p w14:paraId="1CB9A3B6">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2.该表可拓展。</w:t>
      </w:r>
    </w:p>
    <w:p w14:paraId="3CCF190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5DEABC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7A9844A">
      <w:pPr>
        <w:pageBreakBefore w:val="0"/>
        <w:kinsoku/>
        <w:wordWrap/>
        <w:overflowPunct/>
        <w:topLinePunct w:val="0"/>
        <w:autoSpaceDE/>
        <w:autoSpaceDN/>
        <w:bidi w:val="0"/>
        <w:snapToGrid w:val="0"/>
        <w:spacing w:line="400" w:lineRule="exact"/>
        <w:ind w:firstLine="482" w:firstLineChars="200"/>
        <w:rPr>
          <w:rStyle w:val="45"/>
          <w:rFonts w:hint="eastAsia" w:ascii="仿宋" w:hAnsi="仿宋" w:eastAsia="仿宋" w:cs="仿宋"/>
          <w:b/>
          <w:bCs/>
          <w:color w:val="auto"/>
          <w:sz w:val="24"/>
          <w:szCs w:val="24"/>
          <w:highlight w:val="none"/>
        </w:rPr>
      </w:pPr>
      <w:bookmarkStart w:id="234" w:name="_Toc14347"/>
      <w:r>
        <w:rPr>
          <w:rStyle w:val="45"/>
          <w:rFonts w:hint="eastAsia" w:ascii="仿宋" w:hAnsi="仿宋" w:eastAsia="仿宋" w:cs="仿宋"/>
          <w:b/>
          <w:bCs/>
          <w:color w:val="auto"/>
          <w:sz w:val="24"/>
          <w:szCs w:val="24"/>
          <w:highlight w:val="none"/>
        </w:rPr>
        <w:t>三、商务部分</w:t>
      </w:r>
      <w:bookmarkEnd w:id="228"/>
      <w:bookmarkEnd w:id="229"/>
      <w:bookmarkEnd w:id="230"/>
      <w:bookmarkEnd w:id="231"/>
    </w:p>
    <w:bookmarkEnd w:id="234"/>
    <w:p w14:paraId="3CEA276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（一）商务要求响应情况：服务时间、服务地点、优惠承诺等（格式自定）</w:t>
      </w:r>
    </w:p>
    <w:p w14:paraId="77B650B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702874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（二）商务响应偏离表（本表可自行设计格式）</w:t>
      </w:r>
    </w:p>
    <w:p w14:paraId="092E2A94">
      <w:pPr>
        <w:pageBreakBefore w:val="0"/>
        <w:kinsoku/>
        <w:wordWrap/>
        <w:overflowPunct/>
        <w:topLinePunct w:val="0"/>
        <w:autoSpaceDE/>
        <w:autoSpaceDN/>
        <w:bidi w:val="0"/>
        <w:snapToGrid w:val="0"/>
        <w:spacing w:line="400" w:lineRule="exact"/>
        <w:ind w:firstLine="723" w:firstLineChars="200"/>
        <w:jc w:val="center"/>
        <w:rPr>
          <w:rFonts w:hint="eastAsia" w:ascii="仿宋" w:hAnsi="仿宋" w:eastAsia="仿宋" w:cs="仿宋"/>
          <w:b/>
          <w:color w:val="auto"/>
          <w:sz w:val="36"/>
          <w:szCs w:val="36"/>
          <w:highlight w:val="none"/>
        </w:rPr>
      </w:pPr>
    </w:p>
    <w:p w14:paraId="07226E47">
      <w:pPr>
        <w:pageBreakBefore w:val="0"/>
        <w:kinsoku/>
        <w:wordWrap/>
        <w:overflowPunct/>
        <w:topLinePunct w:val="0"/>
        <w:autoSpaceDE/>
        <w:autoSpaceDN/>
        <w:bidi w:val="0"/>
        <w:snapToGrid w:val="0"/>
        <w:spacing w:line="400" w:lineRule="exact"/>
        <w:ind w:firstLine="723" w:firstLineChars="20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商务响应偏离表</w:t>
      </w:r>
    </w:p>
    <w:p w14:paraId="2FF9149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EEA0BD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采购执行编号：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14:paraId="6A04266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比选项目名称</w:t>
      </w:r>
      <w:r>
        <w:rPr>
          <w:rFonts w:hint="eastAsia" w:ascii="仿宋" w:hAnsi="仿宋" w:eastAsia="仿宋" w:cs="仿宋"/>
          <w:color w:val="auto"/>
          <w:sz w:val="24"/>
          <w:szCs w:val="24"/>
          <w:highlight w:val="none"/>
        </w:rPr>
        <w:t xml:space="preserve">：   </w:t>
      </w:r>
    </w:p>
    <w:tbl>
      <w:tblPr>
        <w:tblStyle w:val="27"/>
        <w:tblW w:w="8932" w:type="dxa"/>
        <w:tblInd w:w="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3312"/>
        <w:gridCol w:w="2434"/>
        <w:gridCol w:w="2355"/>
      </w:tblGrid>
      <w:tr w14:paraId="1103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31" w:type="dxa"/>
            <w:vAlign w:val="center"/>
          </w:tcPr>
          <w:p w14:paraId="222AB033">
            <w:pPr>
              <w:pageBreakBefore w:val="0"/>
              <w:tabs>
                <w:tab w:val="left" w:pos="6300"/>
              </w:tabs>
              <w:kinsoku/>
              <w:wordWrap/>
              <w:overflowPunct/>
              <w:topLinePunct w:val="0"/>
              <w:autoSpaceDE/>
              <w:autoSpaceDN/>
              <w:bidi w:val="0"/>
              <w:snapToGrid w:val="0"/>
              <w:spacing w:line="400" w:lineRule="exact"/>
              <w:ind w:left="0" w:leftChars="0" w:firstLine="0" w:firstLineChars="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312" w:type="dxa"/>
            <w:vAlign w:val="center"/>
          </w:tcPr>
          <w:p w14:paraId="074CB23E">
            <w:pPr>
              <w:pageBreakBefore w:val="0"/>
              <w:tabs>
                <w:tab w:val="left" w:pos="6300"/>
              </w:tabs>
              <w:kinsoku/>
              <w:wordWrap/>
              <w:overflowPunct/>
              <w:topLinePunct w:val="0"/>
              <w:autoSpaceDE/>
              <w:autoSpaceDN/>
              <w:bidi w:val="0"/>
              <w:snapToGrid w:val="0"/>
              <w:spacing w:line="400" w:lineRule="exact"/>
              <w:ind w:left="0" w:leftChars="0" w:firstLine="0" w:firstLineChars="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比选项目需求</w:t>
            </w:r>
          </w:p>
        </w:tc>
        <w:tc>
          <w:tcPr>
            <w:tcW w:w="2434" w:type="dxa"/>
            <w:vAlign w:val="center"/>
          </w:tcPr>
          <w:p w14:paraId="7733C6F8">
            <w:pPr>
              <w:pageBreakBefore w:val="0"/>
              <w:tabs>
                <w:tab w:val="left" w:pos="6300"/>
              </w:tabs>
              <w:kinsoku/>
              <w:wordWrap/>
              <w:overflowPunct/>
              <w:topLinePunct w:val="0"/>
              <w:autoSpaceDE/>
              <w:autoSpaceDN/>
              <w:bidi w:val="0"/>
              <w:snapToGrid w:val="0"/>
              <w:spacing w:line="400" w:lineRule="exact"/>
              <w:ind w:left="0" w:leftChars="0" w:firstLine="0" w:firstLineChars="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355" w:type="dxa"/>
            <w:vAlign w:val="center"/>
          </w:tcPr>
          <w:p w14:paraId="321368AD">
            <w:pPr>
              <w:pageBreakBefore w:val="0"/>
              <w:tabs>
                <w:tab w:val="left" w:pos="6300"/>
              </w:tabs>
              <w:kinsoku/>
              <w:wordWrap/>
              <w:overflowPunct/>
              <w:topLinePunct w:val="0"/>
              <w:autoSpaceDE/>
              <w:autoSpaceDN/>
              <w:bidi w:val="0"/>
              <w:snapToGrid w:val="0"/>
              <w:spacing w:line="400" w:lineRule="exact"/>
              <w:ind w:left="0" w:leftChars="0" w:firstLine="0" w:firstLineChars="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偏离说明</w:t>
            </w:r>
          </w:p>
        </w:tc>
      </w:tr>
      <w:tr w14:paraId="46F4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0CE68D01">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3312" w:type="dxa"/>
            <w:vAlign w:val="center"/>
          </w:tcPr>
          <w:p w14:paraId="2B1F760D">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434" w:type="dxa"/>
            <w:vAlign w:val="center"/>
          </w:tcPr>
          <w:p w14:paraId="55596FD5">
            <w:pPr>
              <w:pageBreakBefore w:val="0"/>
              <w:tabs>
                <w:tab w:val="left" w:pos="6300"/>
              </w:tabs>
              <w:kinsoku/>
              <w:wordWrap/>
              <w:overflowPunct/>
              <w:topLinePunct w:val="0"/>
              <w:autoSpaceDE/>
              <w:autoSpaceDN/>
              <w:bidi w:val="0"/>
              <w:snapToGrid w:val="0"/>
              <w:spacing w:line="400" w:lineRule="exact"/>
              <w:ind w:firstLine="420" w:firstLineChars="200"/>
              <w:jc w:val="left"/>
              <w:outlineLvl w:val="0"/>
              <w:rPr>
                <w:rFonts w:hint="eastAsia" w:ascii="仿宋" w:hAnsi="仿宋" w:eastAsia="仿宋" w:cs="仿宋"/>
                <w:color w:val="auto"/>
                <w:sz w:val="24"/>
                <w:szCs w:val="24"/>
                <w:highlight w:val="none"/>
              </w:rPr>
            </w:pPr>
            <w:r>
              <w:rPr>
                <w:rFonts w:hint="eastAsia" w:ascii="仿宋" w:hAnsi="仿宋" w:eastAsia="仿宋" w:cs="仿宋"/>
                <w:sz w:val="21"/>
                <w:szCs w:val="21"/>
                <w:highlight w:val="none"/>
              </w:rPr>
              <w:t>提醒：请注明具体内容以及投标文件中具体内容的位置（页码）</w:t>
            </w:r>
          </w:p>
        </w:tc>
        <w:tc>
          <w:tcPr>
            <w:tcW w:w="2355" w:type="dxa"/>
            <w:vAlign w:val="center"/>
          </w:tcPr>
          <w:p w14:paraId="72BBEC83">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061C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0B6BEB0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3312" w:type="dxa"/>
            <w:vAlign w:val="center"/>
          </w:tcPr>
          <w:p w14:paraId="4A9F3EF5">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434" w:type="dxa"/>
            <w:vAlign w:val="center"/>
          </w:tcPr>
          <w:p w14:paraId="5F41DB8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355" w:type="dxa"/>
            <w:vAlign w:val="center"/>
          </w:tcPr>
          <w:p w14:paraId="45E0435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7D8A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077BDB53">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3312" w:type="dxa"/>
            <w:vAlign w:val="center"/>
          </w:tcPr>
          <w:p w14:paraId="7EEB8D9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434" w:type="dxa"/>
            <w:vAlign w:val="center"/>
          </w:tcPr>
          <w:p w14:paraId="56D3BA74">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355" w:type="dxa"/>
            <w:vAlign w:val="center"/>
          </w:tcPr>
          <w:p w14:paraId="2E3B142A">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6C1D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7872340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3312" w:type="dxa"/>
            <w:vAlign w:val="center"/>
          </w:tcPr>
          <w:p w14:paraId="50BF157E">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434" w:type="dxa"/>
            <w:vAlign w:val="center"/>
          </w:tcPr>
          <w:p w14:paraId="74A100B3">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355" w:type="dxa"/>
            <w:vAlign w:val="center"/>
          </w:tcPr>
          <w:p w14:paraId="542DE30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6D2E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30A5729E">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3312" w:type="dxa"/>
            <w:vAlign w:val="center"/>
          </w:tcPr>
          <w:p w14:paraId="030C4613">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434" w:type="dxa"/>
            <w:vAlign w:val="center"/>
          </w:tcPr>
          <w:p w14:paraId="41D11227">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355" w:type="dxa"/>
            <w:vAlign w:val="center"/>
          </w:tcPr>
          <w:p w14:paraId="6E52DDA3">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2DA9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7ED6968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3312" w:type="dxa"/>
            <w:vAlign w:val="center"/>
          </w:tcPr>
          <w:p w14:paraId="7A047BA4">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434" w:type="dxa"/>
            <w:vAlign w:val="center"/>
          </w:tcPr>
          <w:p w14:paraId="610F9D1D">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355" w:type="dxa"/>
            <w:vAlign w:val="center"/>
          </w:tcPr>
          <w:p w14:paraId="458F9ABE">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bl>
    <w:p w14:paraId="682196FA">
      <w:pPr>
        <w:pageBreakBefore w:val="0"/>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0E15288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                                 法定代表人（或其授权代表）或自然人：</w:t>
      </w:r>
    </w:p>
    <w:p w14:paraId="6BEF69B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5CF167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公章）                                      （签字或盖章）</w:t>
      </w:r>
    </w:p>
    <w:p w14:paraId="22902601">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1C3B86FC">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4D92A630">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.本表即为对本项目“第</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 xml:space="preserve">篇 </w:t>
      </w:r>
      <w:r>
        <w:rPr>
          <w:rFonts w:hint="eastAsia" w:ascii="仿宋" w:hAnsi="仿宋" w:eastAsia="仿宋" w:cs="仿宋"/>
          <w:color w:val="auto"/>
          <w:sz w:val="24"/>
          <w:highlight w:val="none"/>
          <w:lang w:val="en-US" w:eastAsia="zh-CN"/>
        </w:rPr>
        <w:t>项目商务需求</w:t>
      </w:r>
      <w:r>
        <w:rPr>
          <w:rFonts w:hint="eastAsia" w:ascii="仿宋" w:hAnsi="仿宋" w:eastAsia="仿宋" w:cs="仿宋"/>
          <w:color w:val="auto"/>
          <w:sz w:val="24"/>
          <w:highlight w:val="none"/>
        </w:rPr>
        <w:t>”中所列条款进行比较和响应；</w:t>
      </w:r>
    </w:p>
    <w:p w14:paraId="4C5FB735">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2.该表可拓展</w:t>
      </w:r>
    </w:p>
    <w:p w14:paraId="0BF9223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A44598C">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（三）商务评分需提供的资料</w:t>
      </w:r>
    </w:p>
    <w:p w14:paraId="046C453F">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根据“第四篇 评审标准”提供相关材料（格式自定）</w:t>
      </w:r>
    </w:p>
    <w:p w14:paraId="4C414BB4">
      <w:pP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br w:type="page"/>
      </w:r>
    </w:p>
    <w:p w14:paraId="780ECCC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sectPr>
          <w:pgSz w:w="11907" w:h="16840"/>
          <w:pgMar w:top="1134" w:right="1134" w:bottom="1134" w:left="1134" w:header="851" w:footer="992" w:gutter="0"/>
          <w:pgNumType w:fmt="numberInDash"/>
          <w:cols w:space="720" w:num="1"/>
          <w:docGrid w:linePitch="380" w:charSpace="-5735"/>
        </w:sectPr>
      </w:pPr>
    </w:p>
    <w:bookmarkEnd w:id="232"/>
    <w:p w14:paraId="01D09962">
      <w:pPr>
        <w:pageBreakBefore w:val="0"/>
        <w:kinsoku/>
        <w:wordWrap/>
        <w:overflowPunct/>
        <w:topLinePunct w:val="0"/>
        <w:autoSpaceDE/>
        <w:autoSpaceDN/>
        <w:bidi w:val="0"/>
        <w:snapToGrid w:val="0"/>
        <w:spacing w:line="400" w:lineRule="exact"/>
        <w:ind w:firstLine="482" w:firstLineChars="200"/>
        <w:rPr>
          <w:rStyle w:val="45"/>
          <w:rFonts w:hint="eastAsia" w:ascii="仿宋" w:hAnsi="仿宋" w:eastAsia="仿宋" w:cs="仿宋"/>
          <w:b/>
          <w:bCs/>
          <w:color w:val="auto"/>
          <w:sz w:val="24"/>
          <w:szCs w:val="24"/>
          <w:highlight w:val="none"/>
        </w:rPr>
      </w:pPr>
      <w:bookmarkStart w:id="235" w:name="_Toc313888363"/>
      <w:bookmarkStart w:id="236" w:name="_Toc506310400"/>
      <w:bookmarkStart w:id="237" w:name="_Toc313008359"/>
      <w:bookmarkStart w:id="238" w:name="_Toc342913422"/>
      <w:bookmarkStart w:id="239" w:name="_Toc9881"/>
      <w:r>
        <w:rPr>
          <w:rStyle w:val="45"/>
          <w:rFonts w:hint="eastAsia" w:ascii="仿宋" w:hAnsi="仿宋" w:eastAsia="仿宋" w:cs="仿宋"/>
          <w:b/>
          <w:bCs/>
          <w:color w:val="auto"/>
          <w:sz w:val="24"/>
          <w:szCs w:val="24"/>
          <w:highlight w:val="none"/>
        </w:rPr>
        <w:t>四、资格条件及其他</w:t>
      </w:r>
      <w:bookmarkEnd w:id="235"/>
      <w:bookmarkEnd w:id="236"/>
      <w:bookmarkEnd w:id="237"/>
      <w:bookmarkEnd w:id="238"/>
    </w:p>
    <w:bookmarkEnd w:id="239"/>
    <w:p w14:paraId="1A7D126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法人营业执照（副本）或事业单位法人证书（副本）或个体工商户营业执照或有效的自然人身份证明或社会团体法人登记证书（提供复印件）</w:t>
      </w:r>
    </w:p>
    <w:p w14:paraId="1526D75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A46D4F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372968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37B7B1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A0E31E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4C8E64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（二）法定代表人身份证明书（格式）</w:t>
      </w:r>
    </w:p>
    <w:p w14:paraId="3F5A36D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003C8B2">
      <w:pPr>
        <w:pageBreakBefore w:val="0"/>
        <w:kinsoku/>
        <w:wordWrap/>
        <w:overflowPunct/>
        <w:topLinePunct w:val="0"/>
        <w:autoSpaceDE/>
        <w:autoSpaceDN/>
        <w:bidi w:val="0"/>
        <w:spacing w:line="400" w:lineRule="exact"/>
        <w:ind w:firstLine="640"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法定代表人身份证明书</w:t>
      </w:r>
    </w:p>
    <w:p w14:paraId="7504816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5171DD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7A90BC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比选项目名称：</w:t>
      </w:r>
      <w:r>
        <w:rPr>
          <w:rFonts w:hint="eastAsia" w:ascii="仿宋" w:hAnsi="仿宋" w:eastAsia="仿宋" w:cs="仿宋"/>
          <w:color w:val="auto"/>
          <w:sz w:val="24"/>
          <w:szCs w:val="24"/>
          <w:highlight w:val="none"/>
          <w:u w:val="single"/>
        </w:rPr>
        <w:t xml:space="preserve">                                            </w:t>
      </w:r>
    </w:p>
    <w:p w14:paraId="7CE79CF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F62284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（采购代理机构名称）：</w:t>
      </w:r>
    </w:p>
    <w:p w14:paraId="05A53F9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414768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（法定代表人姓名）在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（职务名称）职务，是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名称）的法定代表人。</w:t>
      </w:r>
    </w:p>
    <w:p w14:paraId="095206E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DE126D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2DA453E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672055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9C5D76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C5BD70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w:t>
      </w:r>
    </w:p>
    <w:p w14:paraId="62B8D60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54CD56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13DC9321">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法定代表人电话：XXXXXXX      电子邮箱：XXXXXX@XXXXX（若授权他人办理并签署投标文件的可不填写）</w:t>
      </w:r>
    </w:p>
    <w:p w14:paraId="712A3BF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（附：法定代表人身份证正反面复印件）</w:t>
      </w:r>
    </w:p>
    <w:p w14:paraId="67DD109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2780CA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2D30AA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2466A2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67A04C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AE131E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54D894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r>
        <w:rPr>
          <w:rFonts w:hint="eastAsia" w:ascii="仿宋" w:hAnsi="仿宋" w:eastAsia="仿宋" w:cs="仿宋"/>
          <w:color w:val="auto"/>
          <w:sz w:val="24"/>
          <w:szCs w:val="24"/>
          <w:highlight w:val="none"/>
        </w:rPr>
        <w:t>（三）法定代表人授权委托书（格式）</w:t>
      </w:r>
    </w:p>
    <w:p w14:paraId="7463CBD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4836C87">
      <w:pPr>
        <w:pageBreakBefore w:val="0"/>
        <w:kinsoku/>
        <w:wordWrap/>
        <w:overflowPunct/>
        <w:topLinePunct w:val="0"/>
        <w:autoSpaceDE/>
        <w:autoSpaceDN/>
        <w:bidi w:val="0"/>
        <w:spacing w:line="400" w:lineRule="exact"/>
        <w:ind w:firstLine="640"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法定代表人授权委托书</w:t>
      </w:r>
    </w:p>
    <w:p w14:paraId="75BE76F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FBECAF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304FC6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比选项目名称：</w:t>
      </w:r>
      <w:r>
        <w:rPr>
          <w:rFonts w:hint="eastAsia" w:ascii="仿宋" w:hAnsi="仿宋" w:eastAsia="仿宋" w:cs="仿宋"/>
          <w:color w:val="auto"/>
          <w:sz w:val="24"/>
          <w:szCs w:val="24"/>
          <w:highlight w:val="none"/>
          <w:u w:val="single"/>
        </w:rPr>
        <w:t xml:space="preserve">                                            </w:t>
      </w:r>
    </w:p>
    <w:p w14:paraId="600F709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D64976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543510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（采购代理机构名称）：</w:t>
      </w:r>
    </w:p>
    <w:p w14:paraId="6A7F370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u w:val="single"/>
        </w:rPr>
      </w:pPr>
    </w:p>
    <w:p w14:paraId="121977A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法定代表人名称）是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 xml:space="preserve">名称）的法定代表人，特授权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（被授权人姓名及身份证号码）代表我单位全权办理上述项目的比选、签约等具体工作，并签署全部有关文件、协议及合同。</w:t>
      </w:r>
    </w:p>
    <w:p w14:paraId="4E8E710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我单位对被授权人的签字负全部责任。</w:t>
      </w:r>
    </w:p>
    <w:p w14:paraId="7BEB54D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在撤消授权的书面通知以前，本授权书一直有效。被授权人在授权书有效期内签署的所有文件不因授权的撤消而失效。</w:t>
      </w:r>
    </w:p>
    <w:p w14:paraId="75A84D2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100F8B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B40AE9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被授权人：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法定代表人：</w:t>
      </w:r>
    </w:p>
    <w:p w14:paraId="37DE8EB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E91F2F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                                （签字或盖章）</w:t>
      </w:r>
    </w:p>
    <w:p w14:paraId="1A36506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5DF7F9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6F8821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（附：被授权人身份证正反面复印件）</w:t>
      </w:r>
    </w:p>
    <w:p w14:paraId="6E5603A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475B35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87F9A8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279796D">
      <w:pPr>
        <w:pageBreakBefore w:val="0"/>
        <w:kinsoku/>
        <w:wordWrap/>
        <w:overflowPunct/>
        <w:topLinePunct w:val="0"/>
        <w:autoSpaceDE/>
        <w:autoSpaceDN/>
        <w:bidi w:val="0"/>
        <w:spacing w:line="400" w:lineRule="exact"/>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w:t>
      </w:r>
    </w:p>
    <w:p w14:paraId="224BDFEA">
      <w:pPr>
        <w:pageBreakBefore w:val="0"/>
        <w:kinsoku/>
        <w:wordWrap/>
        <w:overflowPunct/>
        <w:topLinePunct w:val="0"/>
        <w:autoSpaceDE/>
        <w:autoSpaceDN/>
        <w:bidi w:val="0"/>
        <w:spacing w:line="400" w:lineRule="exact"/>
        <w:ind w:firstLine="480" w:firstLineChars="200"/>
        <w:jc w:val="right"/>
        <w:rPr>
          <w:rFonts w:hint="eastAsia" w:ascii="仿宋" w:hAnsi="仿宋" w:eastAsia="仿宋" w:cs="仿宋"/>
          <w:color w:val="auto"/>
          <w:sz w:val="24"/>
          <w:szCs w:val="24"/>
          <w:highlight w:val="none"/>
        </w:rPr>
      </w:pPr>
    </w:p>
    <w:p w14:paraId="5B3CAF14">
      <w:pPr>
        <w:pageBreakBefore w:val="0"/>
        <w:kinsoku/>
        <w:wordWrap/>
        <w:overflowPunct/>
        <w:topLinePunct w:val="0"/>
        <w:autoSpaceDE/>
        <w:autoSpaceDN/>
        <w:bidi w:val="0"/>
        <w:spacing w:line="400" w:lineRule="exact"/>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00270A00">
      <w:pPr>
        <w:pageBreakBefore w:val="0"/>
        <w:tabs>
          <w:tab w:val="left" w:pos="6300"/>
        </w:tabs>
        <w:kinsoku/>
        <w:wordWrap/>
        <w:overflowPunct/>
        <w:topLinePunct w:val="0"/>
        <w:autoSpaceDE/>
        <w:autoSpaceDN/>
        <w:bidi w:val="0"/>
        <w:snapToGrid w:val="0"/>
        <w:spacing w:line="400" w:lineRule="exact"/>
        <w:ind w:right="48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被授权人电话：XXXXXXX     电子邮箱：XXXXXX@XXXXX（若法定代表人办理并签署投标文件的可不填写）</w:t>
      </w:r>
    </w:p>
    <w:p w14:paraId="4DB244AB">
      <w:pPr>
        <w:pageBreakBefore w:val="0"/>
        <w:tabs>
          <w:tab w:val="left" w:pos="6300"/>
        </w:tabs>
        <w:kinsoku/>
        <w:wordWrap/>
        <w:overflowPunct/>
        <w:topLinePunct w:val="0"/>
        <w:autoSpaceDE/>
        <w:autoSpaceDN/>
        <w:bidi w:val="0"/>
        <w:snapToGrid w:val="0"/>
        <w:spacing w:line="400" w:lineRule="exact"/>
        <w:ind w:right="48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1281180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1.若为法定代表人办理并签署投标文件的，不提供此文件。</w:t>
      </w:r>
    </w:p>
    <w:p w14:paraId="42136BF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（四）基本资格条件承诺函</w:t>
      </w:r>
    </w:p>
    <w:p w14:paraId="1D1877F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F400177">
      <w:pPr>
        <w:pageBreakBefore w:val="0"/>
        <w:tabs>
          <w:tab w:val="left" w:pos="6300"/>
        </w:tabs>
        <w:kinsoku/>
        <w:wordWrap/>
        <w:overflowPunct/>
        <w:topLinePunct w:val="0"/>
        <w:autoSpaceDE/>
        <w:autoSpaceDN/>
        <w:bidi w:val="0"/>
        <w:snapToGrid w:val="0"/>
        <w:spacing w:line="400" w:lineRule="exact"/>
        <w:ind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基本资格条件承诺函</w:t>
      </w:r>
    </w:p>
    <w:p w14:paraId="378AA634">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4BC2A12C">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（采购代理机构名称）：</w:t>
      </w:r>
    </w:p>
    <w:p w14:paraId="31EB9970">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名称）郑重承诺：</w:t>
      </w:r>
    </w:p>
    <w:p w14:paraId="0543363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有依法缴纳税收和社会保障金的良好记录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3DECD77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3FBC1AC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3.我方在采购项目评审（评标）环节结束后，随时接受采购人、采购代理机构的检查验证，配合提供相关证明材料，证明符合《中华人民共和国政府采购法》规定的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基本资格条件。</w:t>
      </w:r>
    </w:p>
    <w:p w14:paraId="4CD4489E">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29BE4930">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3E91ACEF">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0E758E94">
      <w:pPr>
        <w:pageBreakBefore w:val="0"/>
        <w:tabs>
          <w:tab w:val="left" w:pos="6300"/>
        </w:tabs>
        <w:kinsoku/>
        <w:wordWrap/>
        <w:overflowPunct/>
        <w:topLinePunct w:val="0"/>
        <w:autoSpaceDE/>
        <w:autoSpaceDN/>
        <w:bidi w:val="0"/>
        <w:snapToGrid w:val="0"/>
        <w:spacing w:line="400" w:lineRule="exact"/>
        <w:ind w:right="424"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w:t>
      </w:r>
    </w:p>
    <w:p w14:paraId="699920DF">
      <w:pPr>
        <w:pageBreakBefore w:val="0"/>
        <w:tabs>
          <w:tab w:val="left" w:pos="6300"/>
        </w:tabs>
        <w:kinsoku/>
        <w:wordWrap/>
        <w:overflowPunct/>
        <w:topLinePunct w:val="0"/>
        <w:autoSpaceDE/>
        <w:autoSpaceDN/>
        <w:bidi w:val="0"/>
        <w:snapToGrid w:val="0"/>
        <w:spacing w:line="400" w:lineRule="exact"/>
        <w:ind w:firstLine="5520" w:firstLineChars="23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50CAFC9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372033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984C7D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ED86E4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A20A83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F66226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（五）特定资格条件证书或证明文件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eastAsia="zh-CN"/>
        </w:rPr>
        <w:t>）</w:t>
      </w:r>
    </w:p>
    <w:p w14:paraId="19E6813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D02E82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bookmarkStart w:id="240" w:name="_Toc14422"/>
      <w:r>
        <w:rPr>
          <w:rFonts w:hint="eastAsia" w:ascii="仿宋" w:hAnsi="仿宋" w:eastAsia="仿宋" w:cs="仿宋"/>
          <w:color w:val="auto"/>
          <w:sz w:val="24"/>
          <w:szCs w:val="24"/>
          <w:highlight w:val="none"/>
        </w:rPr>
        <w:br w:type="page"/>
      </w:r>
      <w:bookmarkStart w:id="241" w:name="_Toc49431877"/>
      <w:bookmarkStart w:id="242" w:name="_Toc4738"/>
      <w:bookmarkStart w:id="243" w:name="_Toc1632"/>
      <w:bookmarkStart w:id="244" w:name="_Toc8572"/>
      <w:bookmarkStart w:id="245" w:name="_Toc23612"/>
      <w:bookmarkStart w:id="246" w:name="_Toc16968"/>
      <w:r>
        <w:rPr>
          <w:rStyle w:val="45"/>
          <w:rFonts w:hint="eastAsia" w:ascii="仿宋" w:hAnsi="仿宋" w:eastAsia="仿宋" w:cs="仿宋"/>
          <w:b/>
          <w:bCs/>
          <w:color w:val="auto"/>
          <w:sz w:val="24"/>
          <w:szCs w:val="24"/>
          <w:highlight w:val="none"/>
        </w:rPr>
        <w:t>五、其他资料</w:t>
      </w:r>
      <w:bookmarkEnd w:id="240"/>
      <w:bookmarkEnd w:id="241"/>
      <w:bookmarkEnd w:id="242"/>
      <w:bookmarkEnd w:id="243"/>
      <w:bookmarkEnd w:id="244"/>
      <w:bookmarkEnd w:id="245"/>
      <w:bookmarkEnd w:id="246"/>
    </w:p>
    <w:p w14:paraId="49C747D5">
      <w:pPr>
        <w:snapToGrid w:val="0"/>
        <w:spacing w:line="4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（一）中小企业声明函、监狱企业证明文件、残疾人福利性单位声明函</w:t>
      </w:r>
    </w:p>
    <w:p w14:paraId="5794DFFD">
      <w:pPr>
        <w:tabs>
          <w:tab w:val="left" w:pos="6300"/>
        </w:tabs>
        <w:snapToGrid w:val="0"/>
        <w:spacing w:line="500" w:lineRule="exact"/>
        <w:jc w:val="center"/>
        <w:rPr>
          <w:rFonts w:hint="eastAsia" w:ascii="仿宋" w:hAnsi="仿宋" w:eastAsia="仿宋" w:cs="仿宋"/>
          <w:highlight w:val="none"/>
        </w:rPr>
      </w:pPr>
    </w:p>
    <w:p w14:paraId="273F8949">
      <w:pPr>
        <w:tabs>
          <w:tab w:val="left" w:pos="6300"/>
        </w:tabs>
        <w:snapToGrid w:val="0"/>
        <w:spacing w:line="500" w:lineRule="exact"/>
        <w:jc w:val="center"/>
        <w:rPr>
          <w:rFonts w:hint="eastAsia" w:ascii="仿宋" w:hAnsi="仿宋" w:eastAsia="仿宋" w:cs="仿宋"/>
          <w:b/>
          <w:bCs/>
          <w:sz w:val="32"/>
          <w:szCs w:val="36"/>
          <w:highlight w:val="none"/>
          <w:lang w:val="en-US" w:eastAsia="zh-CN"/>
        </w:rPr>
      </w:pPr>
      <w:r>
        <w:rPr>
          <w:rFonts w:hint="eastAsia" w:ascii="仿宋" w:hAnsi="仿宋" w:eastAsia="仿宋" w:cs="仿宋"/>
          <w:b/>
          <w:bCs/>
          <w:sz w:val="32"/>
          <w:szCs w:val="36"/>
          <w:highlight w:val="none"/>
        </w:rPr>
        <w:t>中小企业声明函</w:t>
      </w:r>
    </w:p>
    <w:p w14:paraId="5E98F70D">
      <w:pPr>
        <w:tabs>
          <w:tab w:val="left" w:pos="6300"/>
        </w:tabs>
        <w:snapToGrid w:val="0"/>
        <w:spacing w:line="500" w:lineRule="exact"/>
        <w:ind w:firstLine="480" w:firstLineChars="200"/>
        <w:rPr>
          <w:rFonts w:hint="eastAsia" w:ascii="仿宋" w:hAnsi="仿宋" w:eastAsia="仿宋" w:cs="仿宋"/>
          <w:sz w:val="24"/>
          <w:szCs w:val="28"/>
          <w:highlight w:val="none"/>
        </w:rPr>
      </w:pPr>
    </w:p>
    <w:p w14:paraId="7E9EAC6D">
      <w:pPr>
        <w:tabs>
          <w:tab w:val="left" w:pos="6300"/>
        </w:tabs>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本公司郑重声明，根据《政府采购促进中小企业发展管理办法》（</w:t>
      </w:r>
      <w:r>
        <w:rPr>
          <w:rFonts w:hint="eastAsia" w:ascii="仿宋" w:hAnsi="仿宋" w:eastAsia="仿宋" w:cs="仿宋"/>
          <w:sz w:val="24"/>
          <w:szCs w:val="24"/>
          <w:highlight w:val="none"/>
        </w:rPr>
        <w:t>财库〔2020〕46号</w:t>
      </w:r>
      <w:r>
        <w:rPr>
          <w:rFonts w:hint="eastAsia" w:ascii="仿宋" w:hAnsi="仿宋" w:eastAsia="仿宋" w:cs="仿宋"/>
          <w:sz w:val="24"/>
          <w:szCs w:val="28"/>
          <w:highlight w:val="none"/>
        </w:rPr>
        <w:t>）的规定，本公司参加</w:t>
      </w:r>
      <w:r>
        <w:rPr>
          <w:rFonts w:hint="eastAsia" w:ascii="仿宋" w:hAnsi="仿宋" w:eastAsia="仿宋" w:cs="仿宋"/>
          <w:i/>
          <w:sz w:val="24"/>
          <w:szCs w:val="28"/>
          <w:highlight w:val="none"/>
          <w:u w:val="single"/>
        </w:rPr>
        <w:t>（单位名称）</w:t>
      </w:r>
      <w:r>
        <w:rPr>
          <w:rFonts w:hint="eastAsia" w:ascii="仿宋" w:hAnsi="仿宋" w:eastAsia="仿宋" w:cs="仿宋"/>
          <w:sz w:val="24"/>
          <w:szCs w:val="28"/>
          <w:highlight w:val="none"/>
        </w:rPr>
        <w:t>的</w:t>
      </w:r>
      <w:r>
        <w:rPr>
          <w:rFonts w:hint="eastAsia" w:ascii="仿宋" w:hAnsi="仿宋" w:eastAsia="仿宋" w:cs="仿宋"/>
          <w:i/>
          <w:sz w:val="24"/>
          <w:szCs w:val="28"/>
          <w:highlight w:val="none"/>
          <w:u w:val="single"/>
        </w:rPr>
        <w:t>（项目名称）</w:t>
      </w:r>
      <w:r>
        <w:rPr>
          <w:rFonts w:hint="eastAsia" w:ascii="仿宋" w:hAnsi="仿宋" w:eastAsia="仿宋" w:cs="仿宋"/>
          <w:sz w:val="24"/>
          <w:szCs w:val="28"/>
          <w:highlight w:val="none"/>
        </w:rPr>
        <w:t>采购活动，提供的货物全部由符合政策要求的中小企业制造。相关企业的具体情况如下：</w:t>
      </w:r>
    </w:p>
    <w:p w14:paraId="177DCF54">
      <w:pPr>
        <w:tabs>
          <w:tab w:val="left" w:pos="6300"/>
        </w:tabs>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1.</w:t>
      </w:r>
      <w:r>
        <w:rPr>
          <w:rFonts w:hint="eastAsia" w:ascii="仿宋" w:hAnsi="仿宋" w:eastAsia="仿宋" w:cs="仿宋"/>
          <w:i/>
          <w:sz w:val="24"/>
          <w:szCs w:val="28"/>
          <w:highlight w:val="none"/>
          <w:u w:val="single"/>
        </w:rPr>
        <w:t>（标的名称）</w:t>
      </w:r>
      <w:r>
        <w:rPr>
          <w:rFonts w:hint="eastAsia" w:ascii="仿宋" w:hAnsi="仿宋" w:eastAsia="仿宋" w:cs="仿宋"/>
          <w:sz w:val="24"/>
          <w:szCs w:val="28"/>
          <w:highlight w:val="none"/>
        </w:rPr>
        <w:t>，属于</w:t>
      </w:r>
      <w:r>
        <w:rPr>
          <w:rFonts w:hint="eastAsia" w:ascii="仿宋" w:hAnsi="仿宋" w:eastAsia="仿宋" w:cs="仿宋"/>
          <w:i/>
          <w:sz w:val="24"/>
          <w:szCs w:val="28"/>
          <w:highlight w:val="none"/>
          <w:u w:val="single"/>
        </w:rPr>
        <w:t>（采购文件中明确的所属行业）行业</w:t>
      </w:r>
      <w:r>
        <w:rPr>
          <w:rFonts w:hint="eastAsia" w:ascii="仿宋" w:hAnsi="仿宋" w:eastAsia="仿宋" w:cs="仿宋"/>
          <w:sz w:val="24"/>
          <w:szCs w:val="28"/>
          <w:highlight w:val="none"/>
        </w:rPr>
        <w:t>；制造商为</w:t>
      </w:r>
      <w:r>
        <w:rPr>
          <w:rFonts w:hint="eastAsia" w:ascii="仿宋" w:hAnsi="仿宋" w:eastAsia="仿宋" w:cs="仿宋"/>
          <w:i/>
          <w:sz w:val="24"/>
          <w:szCs w:val="28"/>
          <w:highlight w:val="none"/>
          <w:u w:val="single"/>
        </w:rPr>
        <w:t>（企业名称）</w:t>
      </w:r>
      <w:r>
        <w:rPr>
          <w:rFonts w:hint="eastAsia" w:ascii="仿宋" w:hAnsi="仿宋" w:eastAsia="仿宋" w:cs="仿宋"/>
          <w:sz w:val="24"/>
          <w:szCs w:val="28"/>
          <w:highlight w:val="none"/>
        </w:rPr>
        <w:t>，从业人员</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人，营业收入为</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万元，资产总额为</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万元，属于</w:t>
      </w:r>
      <w:r>
        <w:rPr>
          <w:rFonts w:hint="eastAsia" w:ascii="仿宋" w:hAnsi="仿宋" w:eastAsia="仿宋" w:cs="仿宋"/>
          <w:i/>
          <w:sz w:val="24"/>
          <w:szCs w:val="28"/>
          <w:highlight w:val="none"/>
          <w:u w:val="single"/>
        </w:rPr>
        <w:t>（中型企业、小型企业、微型企业）</w:t>
      </w:r>
      <w:r>
        <w:rPr>
          <w:rFonts w:hint="eastAsia" w:ascii="仿宋" w:hAnsi="仿宋" w:eastAsia="仿宋" w:cs="仿宋"/>
          <w:sz w:val="24"/>
          <w:szCs w:val="28"/>
          <w:highlight w:val="none"/>
        </w:rPr>
        <w:t>；</w:t>
      </w:r>
    </w:p>
    <w:p w14:paraId="09976FD4">
      <w:pPr>
        <w:tabs>
          <w:tab w:val="left" w:pos="6300"/>
        </w:tabs>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2.</w:t>
      </w:r>
      <w:r>
        <w:rPr>
          <w:rFonts w:hint="eastAsia" w:ascii="仿宋" w:hAnsi="仿宋" w:eastAsia="仿宋" w:cs="仿宋"/>
          <w:i/>
          <w:sz w:val="24"/>
          <w:szCs w:val="28"/>
          <w:highlight w:val="none"/>
          <w:u w:val="single"/>
        </w:rPr>
        <w:t>（标的名称）</w:t>
      </w:r>
      <w:r>
        <w:rPr>
          <w:rFonts w:hint="eastAsia" w:ascii="仿宋" w:hAnsi="仿宋" w:eastAsia="仿宋" w:cs="仿宋"/>
          <w:sz w:val="24"/>
          <w:szCs w:val="28"/>
          <w:highlight w:val="none"/>
        </w:rPr>
        <w:t>，属于</w:t>
      </w:r>
      <w:r>
        <w:rPr>
          <w:rFonts w:hint="eastAsia" w:ascii="仿宋" w:hAnsi="仿宋" w:eastAsia="仿宋" w:cs="仿宋"/>
          <w:i/>
          <w:sz w:val="24"/>
          <w:szCs w:val="28"/>
          <w:highlight w:val="none"/>
          <w:u w:val="single"/>
        </w:rPr>
        <w:t>（采购文件中明确的所属行业）行业</w:t>
      </w:r>
      <w:r>
        <w:rPr>
          <w:rFonts w:hint="eastAsia" w:ascii="仿宋" w:hAnsi="仿宋" w:eastAsia="仿宋" w:cs="仿宋"/>
          <w:sz w:val="24"/>
          <w:szCs w:val="28"/>
          <w:highlight w:val="none"/>
        </w:rPr>
        <w:t>；制造商为</w:t>
      </w:r>
      <w:r>
        <w:rPr>
          <w:rFonts w:hint="eastAsia" w:ascii="仿宋" w:hAnsi="仿宋" w:eastAsia="仿宋" w:cs="仿宋"/>
          <w:i/>
          <w:sz w:val="24"/>
          <w:szCs w:val="28"/>
          <w:highlight w:val="none"/>
          <w:u w:val="single"/>
        </w:rPr>
        <w:t>（企业名称）</w:t>
      </w:r>
      <w:r>
        <w:rPr>
          <w:rFonts w:hint="eastAsia" w:ascii="仿宋" w:hAnsi="仿宋" w:eastAsia="仿宋" w:cs="仿宋"/>
          <w:sz w:val="24"/>
          <w:szCs w:val="28"/>
          <w:highlight w:val="none"/>
        </w:rPr>
        <w:t>，从业人员</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人，营业收入为</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万元，资产总额为</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万元，属于</w:t>
      </w:r>
      <w:r>
        <w:rPr>
          <w:rFonts w:hint="eastAsia" w:ascii="仿宋" w:hAnsi="仿宋" w:eastAsia="仿宋" w:cs="仿宋"/>
          <w:i/>
          <w:sz w:val="24"/>
          <w:szCs w:val="28"/>
          <w:highlight w:val="none"/>
          <w:u w:val="single"/>
        </w:rPr>
        <w:t>（中型企业、小型企业、微型企业）</w:t>
      </w:r>
      <w:r>
        <w:rPr>
          <w:rFonts w:hint="eastAsia" w:ascii="仿宋" w:hAnsi="仿宋" w:eastAsia="仿宋" w:cs="仿宋"/>
          <w:sz w:val="24"/>
          <w:szCs w:val="28"/>
          <w:highlight w:val="none"/>
        </w:rPr>
        <w:t>；</w:t>
      </w:r>
    </w:p>
    <w:p w14:paraId="69D267A0">
      <w:pPr>
        <w:tabs>
          <w:tab w:val="left" w:pos="6300"/>
        </w:tabs>
        <w:snapToGrid w:val="0"/>
        <w:spacing w:line="500" w:lineRule="exact"/>
        <w:ind w:right="782"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p>
    <w:p w14:paraId="1CF7B9D1">
      <w:pPr>
        <w:tabs>
          <w:tab w:val="left" w:pos="6300"/>
        </w:tabs>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以上企业，不属于大企业的分支机构，不存在控股股东为大企业的情形，也不存在与大企业的负责人为同一人的情形。</w:t>
      </w:r>
    </w:p>
    <w:p w14:paraId="7CBA33E5">
      <w:pPr>
        <w:tabs>
          <w:tab w:val="left" w:pos="6300"/>
        </w:tabs>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本企业对上述声明内容的真实性负责。如有虚假，将依法承担相应责任。</w:t>
      </w:r>
    </w:p>
    <w:p w14:paraId="27314F26">
      <w:pPr>
        <w:tabs>
          <w:tab w:val="left" w:pos="6300"/>
        </w:tabs>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w:t>
      </w:r>
    </w:p>
    <w:p w14:paraId="70D07B53">
      <w:pPr>
        <w:tabs>
          <w:tab w:val="left" w:pos="6300"/>
        </w:tabs>
        <w:snapToGrid w:val="0"/>
        <w:spacing w:line="500" w:lineRule="exact"/>
        <w:ind w:firstLine="6120" w:firstLineChars="2550"/>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企业名称（盖章）： </w:t>
      </w:r>
    </w:p>
    <w:p w14:paraId="00C9B311">
      <w:pPr>
        <w:tabs>
          <w:tab w:val="left" w:pos="6300"/>
        </w:tabs>
        <w:snapToGrid w:val="0"/>
        <w:spacing w:line="500" w:lineRule="exact"/>
        <w:ind w:firstLine="6120" w:firstLineChars="2550"/>
        <w:rPr>
          <w:rFonts w:hint="eastAsia" w:ascii="仿宋" w:hAnsi="仿宋" w:eastAsia="仿宋" w:cs="仿宋"/>
          <w:sz w:val="24"/>
          <w:szCs w:val="28"/>
          <w:highlight w:val="none"/>
        </w:rPr>
      </w:pPr>
      <w:r>
        <w:rPr>
          <w:rFonts w:hint="eastAsia" w:ascii="仿宋" w:hAnsi="仿宋" w:eastAsia="仿宋" w:cs="仿宋"/>
          <w:sz w:val="24"/>
          <w:szCs w:val="28"/>
          <w:highlight w:val="none"/>
        </w:rPr>
        <w:t>日期：</w:t>
      </w:r>
    </w:p>
    <w:p w14:paraId="016C4E8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B180B27">
      <w:pPr>
        <w:tabs>
          <w:tab w:val="left" w:pos="6300"/>
        </w:tabs>
        <w:snapToGrid w:val="0"/>
        <w:spacing w:line="420" w:lineRule="exact"/>
        <w:jc w:val="left"/>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填写时应注意以下事项：</w:t>
      </w:r>
    </w:p>
    <w:p w14:paraId="1F3F183A">
      <w:pPr>
        <w:tabs>
          <w:tab w:val="left" w:pos="6300"/>
        </w:tabs>
        <w:snapToGrid w:val="0"/>
        <w:spacing w:line="420" w:lineRule="exact"/>
        <w:ind w:firstLine="420" w:firstLineChars="200"/>
        <w:jc w:val="left"/>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1.从业人员、营业收入、资产总额填报上一年度数据，无上一年度数据的新成立企业可不填报。</w:t>
      </w:r>
    </w:p>
    <w:p w14:paraId="7618CA96">
      <w:pPr>
        <w:tabs>
          <w:tab w:val="left" w:pos="6300"/>
        </w:tabs>
        <w:snapToGrid w:val="0"/>
        <w:spacing w:line="420" w:lineRule="exact"/>
        <w:ind w:firstLine="420" w:firstLineChars="200"/>
        <w:jc w:val="left"/>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2.中小企业应当按照《中小企业划型标准规定》（工信部联企业〔2011〕300号），如实填写并提交《中小企业声明函》。</w:t>
      </w:r>
    </w:p>
    <w:p w14:paraId="724EF15F">
      <w:pPr>
        <w:tabs>
          <w:tab w:val="left" w:pos="6300"/>
        </w:tabs>
        <w:snapToGrid w:val="0"/>
        <w:spacing w:line="420" w:lineRule="exact"/>
        <w:ind w:firstLine="420" w:firstLineChars="200"/>
        <w:jc w:val="left"/>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3.投标人填写《中小企业声明函》中所属行业时，应与</w:t>
      </w:r>
      <w:r>
        <w:rPr>
          <w:rFonts w:hint="eastAsia" w:ascii="仿宋" w:hAnsi="仿宋" w:eastAsia="仿宋" w:cs="仿宋"/>
          <w:kern w:val="0"/>
          <w:sz w:val="21"/>
          <w:szCs w:val="21"/>
          <w:highlight w:val="none"/>
          <w:lang w:eastAsia="zh-CN"/>
        </w:rPr>
        <w:t>竞争性比选文件</w:t>
      </w:r>
      <w:r>
        <w:rPr>
          <w:rFonts w:hint="eastAsia" w:ascii="仿宋" w:hAnsi="仿宋" w:eastAsia="仿宋" w:cs="仿宋"/>
          <w:kern w:val="0"/>
          <w:sz w:val="21"/>
          <w:szCs w:val="21"/>
          <w:highlight w:val="none"/>
        </w:rPr>
        <w:t>第一篇“采购标的对应的中小企业划分标准所属行业”中填写的所属行业一致。</w:t>
      </w:r>
    </w:p>
    <w:p w14:paraId="15D28175">
      <w:pPr>
        <w:tabs>
          <w:tab w:val="left" w:pos="6300"/>
        </w:tabs>
        <w:snapToGrid w:val="0"/>
        <w:spacing w:line="420" w:lineRule="exact"/>
        <w:ind w:firstLine="422" w:firstLineChars="200"/>
        <w:jc w:val="left"/>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4.本声明函“企业名称（盖章）”处为投标人盖章。</w:t>
      </w:r>
    </w:p>
    <w:p w14:paraId="6CEE2809">
      <w:pPr>
        <w:tabs>
          <w:tab w:val="left" w:pos="6300"/>
        </w:tabs>
        <w:snapToGrid w:val="0"/>
        <w:spacing w:line="42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注：各行业划型标准：</w:t>
      </w:r>
    </w:p>
    <w:p w14:paraId="18A49591">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0B267059">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2F77365">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1FB4DD7">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FB152D1">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AF6FF41">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A702D61">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5802808">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47F3E27">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6F1D154">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CE6C873">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65E5345">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DD7D045">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027312C">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9665C7D">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9853DFF">
      <w:pPr>
        <w:tabs>
          <w:tab w:val="left" w:pos="6300"/>
        </w:tabs>
        <w:snapToGrid w:val="0"/>
        <w:spacing w:line="400" w:lineRule="exact"/>
        <w:ind w:firstLine="420" w:firstLineChars="20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（十六）其他未列明行业。从业人员300人以下的为中小微型企业。其中，从业人员100人及以上的为中型企业；从业人员10人及以上的为小型企业；从业人员10人以下的为微型企业</w:t>
      </w:r>
      <w:r>
        <w:rPr>
          <w:rFonts w:hint="eastAsia" w:ascii="仿宋" w:hAnsi="仿宋" w:eastAsia="仿宋" w:cs="仿宋"/>
          <w:sz w:val="21"/>
          <w:szCs w:val="21"/>
          <w:highlight w:val="none"/>
          <w:lang w:eastAsia="zh-CN"/>
        </w:rPr>
        <w:t>。</w:t>
      </w:r>
    </w:p>
    <w:p w14:paraId="6B6562BF">
      <w:pPr>
        <w:tabs>
          <w:tab w:val="left" w:pos="6300"/>
        </w:tabs>
        <w:snapToGrid w:val="0"/>
        <w:spacing w:line="400" w:lineRule="exact"/>
        <w:ind w:firstLine="561"/>
        <w:jc w:val="center"/>
        <w:rPr>
          <w:rFonts w:hint="eastAsia" w:ascii="仿宋" w:hAnsi="仿宋" w:eastAsia="仿宋" w:cs="仿宋"/>
          <w:highlight w:val="none"/>
        </w:rPr>
      </w:pPr>
      <w:r>
        <w:rPr>
          <w:rFonts w:hint="eastAsia" w:ascii="仿宋" w:hAnsi="仿宋" w:eastAsia="仿宋" w:cs="仿宋"/>
          <w:highlight w:val="none"/>
        </w:rPr>
        <w:br w:type="page"/>
      </w:r>
    </w:p>
    <w:p w14:paraId="21FA0959">
      <w:pPr>
        <w:tabs>
          <w:tab w:val="left" w:pos="6300"/>
        </w:tabs>
        <w:snapToGrid w:val="0"/>
        <w:spacing w:line="400" w:lineRule="exact"/>
        <w:ind w:firstLine="420" w:firstLineChars="200"/>
        <w:jc w:val="left"/>
        <w:rPr>
          <w:rFonts w:hint="eastAsia" w:ascii="仿宋" w:hAnsi="仿宋" w:eastAsia="仿宋" w:cs="仿宋"/>
          <w:sz w:val="21"/>
          <w:szCs w:val="21"/>
          <w:highlight w:val="none"/>
        </w:rPr>
      </w:pPr>
    </w:p>
    <w:p w14:paraId="44148CBE">
      <w:pPr>
        <w:tabs>
          <w:tab w:val="left" w:pos="6300"/>
        </w:tabs>
        <w:snapToGrid w:val="0"/>
        <w:spacing w:line="500" w:lineRule="exact"/>
        <w:jc w:val="center"/>
        <w:rPr>
          <w:rFonts w:hint="eastAsia" w:ascii="仿宋" w:hAnsi="仿宋" w:eastAsia="仿宋" w:cs="仿宋"/>
          <w:b/>
          <w:bCs/>
          <w:sz w:val="32"/>
          <w:szCs w:val="36"/>
          <w:highlight w:val="none"/>
        </w:rPr>
      </w:pPr>
      <w:r>
        <w:rPr>
          <w:rFonts w:hint="eastAsia" w:ascii="仿宋" w:hAnsi="仿宋" w:eastAsia="仿宋" w:cs="仿宋"/>
          <w:b/>
          <w:bCs/>
          <w:sz w:val="32"/>
          <w:szCs w:val="36"/>
          <w:highlight w:val="none"/>
        </w:rPr>
        <w:t>监狱企业证明文件</w:t>
      </w:r>
    </w:p>
    <w:p w14:paraId="19ED2DE6">
      <w:pPr>
        <w:tabs>
          <w:tab w:val="left" w:pos="6300"/>
        </w:tabs>
        <w:snapToGrid w:val="0"/>
        <w:spacing w:line="400" w:lineRule="exact"/>
        <w:ind w:firstLine="561"/>
        <w:jc w:val="left"/>
        <w:rPr>
          <w:rFonts w:hint="eastAsia" w:ascii="仿宋" w:hAnsi="仿宋" w:eastAsia="仿宋" w:cs="仿宋"/>
          <w:sz w:val="24"/>
          <w:szCs w:val="24"/>
          <w:highlight w:val="none"/>
        </w:rPr>
      </w:pPr>
    </w:p>
    <w:p w14:paraId="6D0FE419">
      <w:pPr>
        <w:tabs>
          <w:tab w:val="left" w:pos="6300"/>
        </w:tabs>
        <w:snapToGrid w:val="0"/>
        <w:spacing w:line="400" w:lineRule="exact"/>
        <w:ind w:firstLine="56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【以省级以上监狱管理局、戒毒管理局（含新疆生产建设兵团）出具的属于监狱企业的证明文件为准】</w:t>
      </w:r>
    </w:p>
    <w:p w14:paraId="5FE06AB0">
      <w:pPr>
        <w:tabs>
          <w:tab w:val="left" w:pos="6300"/>
        </w:tabs>
        <w:snapToGrid w:val="0"/>
        <w:spacing w:line="400" w:lineRule="exact"/>
        <w:ind w:firstLine="561"/>
        <w:jc w:val="center"/>
        <w:rPr>
          <w:rFonts w:hint="eastAsia" w:ascii="仿宋" w:hAnsi="仿宋" w:eastAsia="仿宋" w:cs="仿宋"/>
          <w:highlight w:val="none"/>
        </w:rPr>
      </w:pPr>
      <w:r>
        <w:rPr>
          <w:rFonts w:hint="eastAsia" w:ascii="仿宋" w:hAnsi="仿宋" w:eastAsia="仿宋" w:cs="仿宋"/>
          <w:szCs w:val="28"/>
          <w:highlight w:val="none"/>
        </w:rPr>
        <w:br w:type="page"/>
      </w:r>
      <w:r>
        <w:rPr>
          <w:rFonts w:hint="eastAsia" w:ascii="仿宋" w:hAnsi="仿宋" w:eastAsia="仿宋" w:cs="仿宋"/>
          <w:highlight w:val="none"/>
        </w:rPr>
        <w:t xml:space="preserve"> </w:t>
      </w:r>
    </w:p>
    <w:p w14:paraId="0F223093">
      <w:pPr>
        <w:tabs>
          <w:tab w:val="left" w:pos="6300"/>
        </w:tabs>
        <w:snapToGrid w:val="0"/>
        <w:spacing w:line="500" w:lineRule="exact"/>
        <w:jc w:val="center"/>
        <w:rPr>
          <w:rFonts w:hint="eastAsia" w:ascii="仿宋" w:hAnsi="仿宋" w:eastAsia="仿宋" w:cs="仿宋"/>
          <w:b/>
          <w:bCs/>
          <w:sz w:val="32"/>
          <w:szCs w:val="36"/>
          <w:highlight w:val="none"/>
        </w:rPr>
      </w:pPr>
      <w:r>
        <w:rPr>
          <w:rFonts w:hint="eastAsia" w:ascii="仿宋" w:hAnsi="仿宋" w:eastAsia="仿宋" w:cs="仿宋"/>
          <w:b/>
          <w:bCs/>
          <w:sz w:val="32"/>
          <w:szCs w:val="36"/>
          <w:highlight w:val="none"/>
        </w:rPr>
        <w:t>残疾人福利性单位声明函</w:t>
      </w:r>
    </w:p>
    <w:p w14:paraId="41632DAA">
      <w:pPr>
        <w:tabs>
          <w:tab w:val="left" w:pos="6300"/>
        </w:tabs>
        <w:snapToGrid w:val="0"/>
        <w:spacing w:line="500" w:lineRule="exact"/>
        <w:ind w:firstLine="480" w:firstLineChars="200"/>
        <w:rPr>
          <w:rFonts w:hint="eastAsia" w:ascii="仿宋" w:hAnsi="仿宋" w:eastAsia="仿宋" w:cs="仿宋"/>
          <w:sz w:val="24"/>
          <w:highlight w:val="none"/>
        </w:rPr>
      </w:pPr>
    </w:p>
    <w:p w14:paraId="03B21FB4">
      <w:pPr>
        <w:tabs>
          <w:tab w:val="left" w:pos="6300"/>
        </w:tabs>
        <w:snapToGrid w:val="0"/>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rPr>
        <w:t>包号及包名称</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rPr>
        <w:t>采购活动提供本单位制造的货物（由本单位承担工程/提供服务），或者提供其他残疾人福利性单位制造的货物（不包括使用非残疾人福利性单位注册商标的货物）。</w:t>
      </w:r>
    </w:p>
    <w:p w14:paraId="2A7A125E">
      <w:pPr>
        <w:tabs>
          <w:tab w:val="left" w:pos="6300"/>
        </w:tabs>
        <w:snapToGrid w:val="0"/>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本单位对上述声明的真实性负责。如有虚假，将依法承担相应责任。</w:t>
      </w:r>
    </w:p>
    <w:p w14:paraId="0B588890">
      <w:pPr>
        <w:tabs>
          <w:tab w:val="left" w:pos="6300"/>
        </w:tabs>
        <w:snapToGrid w:val="0"/>
        <w:spacing w:line="500" w:lineRule="exact"/>
        <w:ind w:firstLine="480" w:firstLineChars="200"/>
        <w:rPr>
          <w:rFonts w:hint="eastAsia" w:ascii="仿宋" w:hAnsi="仿宋" w:eastAsia="仿宋" w:cs="仿宋"/>
          <w:sz w:val="24"/>
          <w:highlight w:val="none"/>
        </w:rPr>
      </w:pPr>
    </w:p>
    <w:p w14:paraId="7216EDFA">
      <w:pPr>
        <w:tabs>
          <w:tab w:val="left" w:pos="6300"/>
        </w:tabs>
        <w:snapToGrid w:val="0"/>
        <w:spacing w:line="500" w:lineRule="exact"/>
        <w:ind w:firstLine="480" w:firstLineChars="200"/>
        <w:rPr>
          <w:rFonts w:hint="eastAsia" w:ascii="仿宋" w:hAnsi="仿宋" w:eastAsia="仿宋" w:cs="仿宋"/>
          <w:sz w:val="24"/>
          <w:highlight w:val="none"/>
        </w:rPr>
      </w:pPr>
    </w:p>
    <w:p w14:paraId="666ACDC0">
      <w:pPr>
        <w:tabs>
          <w:tab w:val="left" w:pos="6300"/>
        </w:tabs>
        <w:snapToGrid w:val="0"/>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投标人名称（盖章）：</w:t>
      </w:r>
    </w:p>
    <w:p w14:paraId="3D0FDD5A">
      <w:pPr>
        <w:tabs>
          <w:tab w:val="left" w:pos="6300"/>
        </w:tabs>
        <w:snapToGrid w:val="0"/>
        <w:spacing w:line="500" w:lineRule="exact"/>
        <w:ind w:firstLine="570"/>
        <w:jc w:val="left"/>
        <w:rPr>
          <w:rFonts w:hint="eastAsia" w:ascii="仿宋" w:hAnsi="仿宋" w:eastAsia="仿宋" w:cs="仿宋"/>
          <w:sz w:val="24"/>
          <w:highlight w:val="none"/>
        </w:rPr>
      </w:pPr>
      <w:r>
        <w:rPr>
          <w:rFonts w:hint="eastAsia" w:ascii="仿宋" w:hAnsi="仿宋" w:eastAsia="仿宋" w:cs="仿宋"/>
          <w:sz w:val="24"/>
          <w:highlight w:val="none"/>
        </w:rPr>
        <w:t xml:space="preserve">                                                日   期：</w:t>
      </w:r>
    </w:p>
    <w:p w14:paraId="301E0D1A">
      <w:pPr>
        <w:tabs>
          <w:tab w:val="left" w:pos="6300"/>
        </w:tabs>
        <w:snapToGrid w:val="0"/>
        <w:spacing w:line="500" w:lineRule="exact"/>
        <w:ind w:firstLine="570"/>
        <w:jc w:val="left"/>
        <w:rPr>
          <w:rFonts w:hint="eastAsia" w:ascii="仿宋" w:hAnsi="仿宋" w:eastAsia="仿宋" w:cs="仿宋"/>
          <w:sz w:val="24"/>
          <w:highlight w:val="none"/>
        </w:rPr>
      </w:pPr>
    </w:p>
    <w:p w14:paraId="35502C78">
      <w:pPr>
        <w:tabs>
          <w:tab w:val="left" w:pos="6300"/>
        </w:tabs>
        <w:snapToGrid w:val="0"/>
        <w:spacing w:line="500" w:lineRule="exact"/>
        <w:ind w:firstLine="570"/>
        <w:jc w:val="left"/>
        <w:rPr>
          <w:rFonts w:hint="eastAsia" w:ascii="仿宋" w:hAnsi="仿宋" w:eastAsia="仿宋" w:cs="仿宋"/>
          <w:sz w:val="24"/>
          <w:highlight w:val="none"/>
        </w:rPr>
      </w:pPr>
    </w:p>
    <w:p w14:paraId="029AF7E1">
      <w:pPr>
        <w:tabs>
          <w:tab w:val="left" w:pos="6300"/>
        </w:tabs>
        <w:snapToGrid w:val="0"/>
        <w:spacing w:line="500" w:lineRule="exact"/>
        <w:ind w:firstLine="570"/>
        <w:jc w:val="left"/>
        <w:rPr>
          <w:rFonts w:hint="eastAsia" w:ascii="仿宋" w:hAnsi="仿宋" w:eastAsia="仿宋" w:cs="仿宋"/>
          <w:sz w:val="24"/>
          <w:highlight w:val="none"/>
        </w:rPr>
      </w:pPr>
    </w:p>
    <w:p w14:paraId="2A441201">
      <w:pPr>
        <w:tabs>
          <w:tab w:val="left" w:pos="6300"/>
        </w:tabs>
        <w:snapToGrid w:val="0"/>
        <w:spacing w:line="500" w:lineRule="exact"/>
        <w:ind w:firstLine="570"/>
        <w:jc w:val="left"/>
        <w:rPr>
          <w:rFonts w:hint="eastAsia" w:ascii="仿宋" w:hAnsi="仿宋" w:eastAsia="仿宋" w:cs="仿宋"/>
          <w:sz w:val="24"/>
          <w:highlight w:val="none"/>
        </w:rPr>
      </w:pPr>
    </w:p>
    <w:p w14:paraId="372CAC0C">
      <w:pPr>
        <w:tabs>
          <w:tab w:val="left" w:pos="6300"/>
        </w:tabs>
        <w:snapToGrid w:val="0"/>
        <w:spacing w:line="500" w:lineRule="exact"/>
        <w:ind w:firstLine="570"/>
        <w:jc w:val="left"/>
        <w:rPr>
          <w:rFonts w:hint="eastAsia" w:ascii="仿宋" w:hAnsi="仿宋" w:eastAsia="仿宋" w:cs="仿宋"/>
          <w:sz w:val="24"/>
          <w:highlight w:val="none"/>
        </w:rPr>
      </w:pPr>
    </w:p>
    <w:p w14:paraId="6BD133E4">
      <w:pPr>
        <w:tabs>
          <w:tab w:val="left" w:pos="6300"/>
        </w:tabs>
        <w:snapToGrid w:val="0"/>
        <w:spacing w:line="500" w:lineRule="exact"/>
        <w:ind w:firstLine="570"/>
        <w:jc w:val="left"/>
        <w:rPr>
          <w:rFonts w:hint="eastAsia" w:ascii="仿宋" w:hAnsi="仿宋" w:eastAsia="仿宋" w:cs="仿宋"/>
          <w:sz w:val="24"/>
          <w:highlight w:val="none"/>
        </w:rPr>
      </w:pPr>
    </w:p>
    <w:p w14:paraId="0B947B01">
      <w:pPr>
        <w:tabs>
          <w:tab w:val="left" w:pos="6300"/>
        </w:tabs>
        <w:snapToGrid w:val="0"/>
        <w:spacing w:line="500" w:lineRule="exact"/>
        <w:ind w:firstLine="570"/>
        <w:jc w:val="left"/>
        <w:rPr>
          <w:rFonts w:hint="eastAsia" w:ascii="仿宋" w:hAnsi="仿宋" w:eastAsia="仿宋" w:cs="仿宋"/>
          <w:sz w:val="24"/>
          <w:highlight w:val="none"/>
        </w:rPr>
      </w:pPr>
    </w:p>
    <w:p w14:paraId="098AA65A">
      <w:pPr>
        <w:tabs>
          <w:tab w:val="left" w:pos="6300"/>
        </w:tabs>
        <w:snapToGrid w:val="0"/>
        <w:spacing w:line="500" w:lineRule="exact"/>
        <w:ind w:firstLine="570"/>
        <w:jc w:val="left"/>
        <w:rPr>
          <w:rFonts w:hint="eastAsia" w:ascii="仿宋" w:hAnsi="仿宋" w:eastAsia="仿宋" w:cs="仿宋"/>
          <w:sz w:val="24"/>
          <w:highlight w:val="none"/>
        </w:rPr>
      </w:pPr>
    </w:p>
    <w:p w14:paraId="0E548C2B">
      <w:pPr>
        <w:tabs>
          <w:tab w:val="left" w:pos="6300"/>
        </w:tabs>
        <w:snapToGrid w:val="0"/>
        <w:spacing w:line="500" w:lineRule="exact"/>
        <w:ind w:firstLine="570"/>
        <w:jc w:val="left"/>
        <w:rPr>
          <w:rFonts w:hint="eastAsia" w:ascii="仿宋" w:hAnsi="仿宋" w:eastAsia="仿宋" w:cs="仿宋"/>
          <w:sz w:val="24"/>
          <w:highlight w:val="none"/>
        </w:rPr>
      </w:pPr>
    </w:p>
    <w:p w14:paraId="1EFC27CC">
      <w:pPr>
        <w:tabs>
          <w:tab w:val="left" w:pos="6300"/>
        </w:tabs>
        <w:snapToGrid w:val="0"/>
        <w:spacing w:line="500" w:lineRule="exact"/>
        <w:ind w:firstLine="570"/>
        <w:jc w:val="left"/>
        <w:rPr>
          <w:rFonts w:hint="eastAsia" w:ascii="仿宋" w:hAnsi="仿宋" w:eastAsia="仿宋" w:cs="仿宋"/>
          <w:sz w:val="24"/>
          <w:highlight w:val="none"/>
        </w:rPr>
      </w:pPr>
    </w:p>
    <w:p w14:paraId="3F1FADD4">
      <w:pPr>
        <w:tabs>
          <w:tab w:val="left" w:pos="6300"/>
        </w:tabs>
        <w:snapToGrid w:val="0"/>
        <w:spacing w:line="500" w:lineRule="exact"/>
        <w:ind w:firstLine="570"/>
        <w:jc w:val="left"/>
        <w:rPr>
          <w:rFonts w:hint="eastAsia" w:ascii="仿宋" w:hAnsi="仿宋" w:eastAsia="仿宋" w:cs="仿宋"/>
          <w:highlight w:val="none"/>
        </w:rPr>
      </w:pPr>
      <w:r>
        <w:rPr>
          <w:rFonts w:hint="eastAsia" w:ascii="仿宋" w:hAnsi="仿宋" w:eastAsia="仿宋" w:cs="仿宋"/>
          <w:kern w:val="0"/>
          <w:sz w:val="24"/>
          <w:highlight w:val="none"/>
        </w:rPr>
        <w:t>若中标人为残疾人福利性单位的，将在结果公告时公告其《残疾人福利性单位声明函》。</w:t>
      </w:r>
    </w:p>
    <w:p w14:paraId="2526EB6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6734A9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）其他与项目有关的资料</w:t>
      </w:r>
    </w:p>
    <w:p w14:paraId="0B746A9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其他与项目有关的资料（自附）：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总体情况介绍、其他与本项目有关的资料等。</w:t>
      </w:r>
    </w:p>
    <w:p w14:paraId="557F2C6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C20F5D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4522B3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FB65B03">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6F96EE2E">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（三）反商业贿赂承诺书</w:t>
      </w:r>
    </w:p>
    <w:p w14:paraId="4A2ADB9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000000"/>
          <w:kern w:val="0"/>
          <w:sz w:val="24"/>
          <w:szCs w:val="24"/>
          <w:highlight w:val="none"/>
          <w:lang w:val="en-US" w:eastAsia="zh-CN" w:bidi="ar"/>
        </w:rPr>
      </w:pPr>
    </w:p>
    <w:p w14:paraId="13C96681">
      <w:pPr>
        <w:pStyle w:val="21"/>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投标人</w:t>
      </w:r>
      <w:r>
        <w:rPr>
          <w:rFonts w:hint="eastAsia" w:ascii="仿宋" w:hAnsi="仿宋" w:eastAsia="仿宋" w:cs="仿宋"/>
          <w:color w:val="000000"/>
          <w:sz w:val="24"/>
          <w:szCs w:val="24"/>
          <w:highlight w:val="none"/>
        </w:rPr>
        <w:t>名称）郑重承诺：</w:t>
      </w:r>
    </w:p>
    <w:p w14:paraId="3527B5DD">
      <w:pPr>
        <w:pStyle w:val="21"/>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    在</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none"/>
          <w:lang w:val="en-US" w:eastAsia="zh-CN"/>
        </w:rPr>
        <w:t>（比选项目名称、项目编号）</w:t>
      </w:r>
      <w:r>
        <w:rPr>
          <w:rFonts w:hint="eastAsia" w:ascii="仿宋" w:hAnsi="仿宋" w:eastAsia="仿宋" w:cs="仿宋"/>
          <w:color w:val="000000"/>
          <w:sz w:val="24"/>
          <w:szCs w:val="24"/>
          <w:highlight w:val="none"/>
          <w:lang w:val="en-US" w:eastAsia="zh-CN"/>
        </w:rPr>
        <w:t>采购项目中，我公司保证做到：</w:t>
      </w:r>
    </w:p>
    <w:p w14:paraId="6779D0AE">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严格遵守国家法律法规，与采购人正常业务交往，杜绝任何形式的商业贿赂行为</w:t>
      </w:r>
      <w:r>
        <w:rPr>
          <w:rFonts w:hint="eastAsia" w:ascii="仿宋" w:hAnsi="仿宋" w:eastAsia="仿宋" w:cs="仿宋"/>
          <w:color w:val="000000"/>
          <w:sz w:val="24"/>
          <w:szCs w:val="24"/>
          <w:highlight w:val="none"/>
        </w:rPr>
        <w:t>。</w:t>
      </w:r>
    </w:p>
    <w:p w14:paraId="0089B32F">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不向国家工作人员、采购代理机构工作人员、其他供应商、第三方专业机构、专家、服务对象提供礼品礼金、有价证券、购物券、回扣、佣金、咨询费、劳务费、赞助费、宣传费、宴请；不为其报销各种消费凭证，不支付其旅游、娱乐等费用</w:t>
      </w:r>
      <w:r>
        <w:rPr>
          <w:rFonts w:hint="eastAsia" w:ascii="仿宋" w:hAnsi="仿宋" w:eastAsia="仿宋" w:cs="仿宋"/>
          <w:color w:val="000000"/>
          <w:sz w:val="24"/>
          <w:szCs w:val="24"/>
          <w:highlight w:val="none"/>
        </w:rPr>
        <w:t>。</w:t>
      </w:r>
    </w:p>
    <w:p w14:paraId="49A334C0">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若违反上述承诺，我公司及相关工作人员愿意接受按照国家法律法规等有关规定给予的处罚</w:t>
      </w:r>
      <w:r>
        <w:rPr>
          <w:rFonts w:hint="eastAsia" w:ascii="仿宋" w:hAnsi="仿宋" w:eastAsia="仿宋" w:cs="仿宋"/>
          <w:color w:val="000000"/>
          <w:sz w:val="24"/>
          <w:szCs w:val="24"/>
          <w:highlight w:val="none"/>
        </w:rPr>
        <w:t>。</w:t>
      </w:r>
    </w:p>
    <w:p w14:paraId="2AECD539">
      <w:pPr>
        <w:pStyle w:val="21"/>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特此承诺。</w:t>
      </w:r>
    </w:p>
    <w:p w14:paraId="09903EB9">
      <w:pPr>
        <w:pStyle w:val="21"/>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                                  </w:t>
      </w:r>
    </w:p>
    <w:p w14:paraId="673D0C02">
      <w:pPr>
        <w:pStyle w:val="21"/>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auto"/>
        <w:rPr>
          <w:rFonts w:hint="eastAsia" w:ascii="仿宋" w:hAnsi="仿宋" w:eastAsia="仿宋" w:cs="仿宋"/>
          <w:color w:val="000000"/>
          <w:sz w:val="24"/>
          <w:szCs w:val="24"/>
          <w:highlight w:val="none"/>
          <w:lang w:val="en-US" w:eastAsia="zh-CN"/>
        </w:rPr>
      </w:pPr>
    </w:p>
    <w:p w14:paraId="4EB7746C">
      <w:pPr>
        <w:pStyle w:val="21"/>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投标人</w:t>
      </w:r>
      <w:r>
        <w:rPr>
          <w:rFonts w:hint="eastAsia" w:ascii="仿宋" w:hAnsi="仿宋" w:eastAsia="仿宋" w:cs="仿宋"/>
          <w:color w:val="000000"/>
          <w:sz w:val="24"/>
          <w:szCs w:val="24"/>
          <w:highlight w:val="none"/>
        </w:rPr>
        <w:t>公章）</w:t>
      </w:r>
    </w:p>
    <w:p w14:paraId="0032C4C4">
      <w:pPr>
        <w:pStyle w:val="21"/>
        <w:keepNext w:val="0"/>
        <w:keepLines w:val="0"/>
        <w:pageBreakBefore w:val="0"/>
        <w:widowControl/>
        <w:suppressLineNumbers w:val="0"/>
        <w:kinsoku/>
        <w:wordWrap/>
        <w:overflowPunct/>
        <w:topLinePunct w:val="0"/>
        <w:autoSpaceDE/>
        <w:autoSpaceDN/>
        <w:bidi w:val="0"/>
        <w:adjustRightInd/>
        <w:snapToGrid/>
        <w:spacing w:line="600" w:lineRule="exact"/>
        <w:ind w:left="6080" w:hanging="4560" w:hangingChars="1900"/>
        <w:jc w:val="righ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年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月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日</w:t>
      </w:r>
    </w:p>
    <w:p w14:paraId="27668B0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53AACE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692E72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56EB48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1CA2AA7">
      <w:pPr>
        <w:pageBreakBefore w:val="0"/>
        <w:kinsoku/>
        <w:wordWrap/>
        <w:overflowPunct/>
        <w:topLinePunct w:val="0"/>
        <w:autoSpaceDE/>
        <w:autoSpaceDN/>
        <w:bidi w:val="0"/>
        <w:spacing w:line="400" w:lineRule="exact"/>
        <w:rPr>
          <w:rFonts w:hint="eastAsia" w:ascii="仿宋" w:hAnsi="仿宋" w:eastAsia="仿宋" w:cs="仿宋"/>
          <w:color w:val="auto"/>
          <w:sz w:val="24"/>
          <w:szCs w:val="24"/>
          <w:highlight w:val="none"/>
        </w:rPr>
      </w:pPr>
    </w:p>
    <w:p w14:paraId="4901754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35F7E2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7F8237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115206E">
      <w:pPr>
        <w:pageBreakBefore w:val="0"/>
        <w:kinsoku/>
        <w:wordWrap/>
        <w:overflowPunct/>
        <w:topLinePunct w:val="0"/>
        <w:autoSpaceDE/>
        <w:autoSpaceDN/>
        <w:bidi w:val="0"/>
        <w:spacing w:line="40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（结束）</w:t>
      </w:r>
    </w:p>
    <w:sectPr>
      <w:pgSz w:w="11906" w:h="16838"/>
      <w:pgMar w:top="1134" w:right="1134" w:bottom="1134"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9C58B88B-405E-4514-B6A8-41155E742E2C}"/>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embedRegular r:id="rId2" w:fontKey="{1B01BF50-7BB8-4519-9E90-FD00069676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87BDB">
    <w:pPr>
      <w:pStyle w:val="17"/>
      <w:jc w:val="center"/>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F69B3">
                          <w:pPr>
                            <w:pStyle w:val="17"/>
                            <w:jc w:val="center"/>
                          </w:pPr>
                          <w:r>
                            <w:rPr>
                              <w:sz w:val="24"/>
                            </w:rPr>
                            <w:fldChar w:fldCharType="begin"/>
                          </w:r>
                          <w:r>
                            <w:rPr>
                              <w:rStyle w:val="31"/>
                              <w:sz w:val="24"/>
                            </w:rPr>
                            <w:instrText xml:space="preserve"> PAGE </w:instrText>
                          </w:r>
                          <w:r>
                            <w:rPr>
                              <w:sz w:val="24"/>
                            </w:rPr>
                            <w:fldChar w:fldCharType="separate"/>
                          </w:r>
                          <w:r>
                            <w:rPr>
                              <w:rStyle w:val="31"/>
                              <w:sz w:val="24"/>
                            </w:rPr>
                            <w:t>- 2 -</w:t>
                          </w:r>
                          <w:r>
                            <w:rPr>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AF69B3">
                    <w:pPr>
                      <w:pStyle w:val="17"/>
                      <w:jc w:val="center"/>
                    </w:pPr>
                    <w:r>
                      <w:rPr>
                        <w:sz w:val="24"/>
                      </w:rPr>
                      <w:fldChar w:fldCharType="begin"/>
                    </w:r>
                    <w:r>
                      <w:rPr>
                        <w:rStyle w:val="31"/>
                        <w:sz w:val="24"/>
                      </w:rPr>
                      <w:instrText xml:space="preserve"> PAGE </w:instrText>
                    </w:r>
                    <w:r>
                      <w:rPr>
                        <w:sz w:val="24"/>
                      </w:rPr>
                      <w:fldChar w:fldCharType="separate"/>
                    </w:r>
                    <w:r>
                      <w:rPr>
                        <w:rStyle w:val="31"/>
                        <w:sz w:val="24"/>
                      </w:rPr>
                      <w:t>- 2 -</w:t>
                    </w:r>
                    <w:r>
                      <w:rPr>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1EBE8">
    <w:pPr>
      <w:pStyle w:val="17"/>
      <w:framePr w:wrap="around" w:vAnchor="text" w:hAnchor="margin" w:xAlign="center" w:y="1"/>
      <w:rPr>
        <w:rStyle w:val="31"/>
      </w:rPr>
    </w:pPr>
    <w:r>
      <w:fldChar w:fldCharType="begin"/>
    </w:r>
    <w:r>
      <w:rPr>
        <w:rStyle w:val="31"/>
      </w:rPr>
      <w:instrText xml:space="preserve">PAGE  </w:instrText>
    </w:r>
    <w:r>
      <w:fldChar w:fldCharType="separate"/>
    </w:r>
    <w:r>
      <w:fldChar w:fldCharType="end"/>
    </w:r>
  </w:p>
  <w:p w14:paraId="3DBBCA74">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A7852">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71C6E">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B371C6E">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C2C48">
    <w:pPr>
      <w:pStyle w:val="18"/>
      <w:jc w:val="both"/>
      <w:rPr>
        <w:rFonts w:hint="eastAsia" w:ascii="仿宋" w:hAnsi="仿宋" w:eastAsia="仿宋"/>
        <w:sz w:val="21"/>
        <w:szCs w:val="21"/>
        <w:lang w:val="en-US" w:eastAsia="zh-CN"/>
      </w:rPr>
    </w:pPr>
  </w:p>
  <w:p w14:paraId="6615517E">
    <w:pPr>
      <w:pStyle w:val="18"/>
      <w:jc w:val="both"/>
      <w:rPr>
        <w:rFonts w:hint="eastAsia" w:ascii="仿宋" w:hAnsi="仿宋" w:eastAsia="仿宋"/>
        <w:sz w:val="21"/>
        <w:szCs w:val="21"/>
        <w:lang w:val="en-US" w:eastAsia="zh-CN"/>
      </w:rPr>
    </w:pPr>
  </w:p>
  <w:p w14:paraId="5073C4B3">
    <w:pPr>
      <w:pStyle w:val="18"/>
      <w:jc w:val="both"/>
      <w:rPr>
        <w:rFonts w:ascii="方正仿宋_GBK" w:eastAsia="方正仿宋_GBK"/>
        <w:sz w:val="21"/>
        <w:szCs w:val="24"/>
      </w:rPr>
    </w:pPr>
    <w:r>
      <w:rPr>
        <w:rFonts w:hint="eastAsia" w:ascii="方正仿宋_GBK" w:eastAsia="方正仿宋_GBK"/>
        <w:sz w:val="21"/>
        <w:szCs w:val="21"/>
      </w:rPr>
      <w:drawing>
        <wp:inline distT="0" distB="0" distL="114300" distR="114300">
          <wp:extent cx="250190" cy="213995"/>
          <wp:effectExtent l="0" t="0" r="8890" b="14605"/>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250190" cy="213995"/>
                  </a:xfrm>
                  <a:prstGeom prst="rect">
                    <a:avLst/>
                  </a:prstGeom>
                  <a:noFill/>
                  <a:ln>
                    <a:noFill/>
                  </a:ln>
                </pic:spPr>
              </pic:pic>
            </a:graphicData>
          </a:graphic>
        </wp:inline>
      </w:drawing>
    </w:r>
    <w:r>
      <w:rPr>
        <w:rFonts w:hint="eastAsia" w:ascii="仿宋" w:hAnsi="仿宋" w:eastAsia="仿宋"/>
        <w:sz w:val="21"/>
        <w:szCs w:val="21"/>
        <w:lang w:val="en-US" w:eastAsia="zh-CN"/>
      </w:rPr>
      <w:t>重庆市聚创招标代理有限公司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仿宋" w:hAnsi="仿宋" w:eastAsia="仿宋" w:cs="仿宋"/>
        <w:sz w:val="21"/>
        <w:szCs w:val="21"/>
      </w:rPr>
      <w:t>竞争性比选文件</w:t>
    </w:r>
    <w:r>
      <w:rPr>
        <w:rFonts w:hint="eastAsia" w:ascii="方正仿宋_GBK" w:eastAsia="方正仿宋_GBK"/>
        <w:sz w:val="21"/>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80ED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42380">
    <w:pPr>
      <w:pStyle w:val="1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E4B95">
    <w:pPr>
      <w:pStyle w:val="18"/>
      <w:jc w:val="both"/>
      <w:rPr>
        <w:rFonts w:hint="eastAsia" w:ascii="仿宋" w:hAnsi="仿宋" w:eastAsia="仿宋" w:cs="仿宋"/>
        <w:sz w:val="24"/>
        <w:szCs w:val="24"/>
        <w:lang w:eastAsia="zh-CN"/>
      </w:rPr>
    </w:pPr>
    <w:r>
      <w:rPr>
        <w:rFonts w:hint="eastAsia" w:ascii="方正仿宋_GBK" w:eastAsia="方正仿宋_GBK"/>
        <w:sz w:val="21"/>
        <w:szCs w:val="21"/>
      </w:rPr>
      <w:drawing>
        <wp:inline distT="0" distB="0" distL="114300" distR="114300">
          <wp:extent cx="250190" cy="213995"/>
          <wp:effectExtent l="0" t="0" r="8890" b="14605"/>
          <wp:docPr id="5"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LOGO"/>
                  <pic:cNvPicPr>
                    <a:picLocks noChangeAspect="1"/>
                  </pic:cNvPicPr>
                </pic:nvPicPr>
                <pic:blipFill>
                  <a:blip r:embed="rId1"/>
                  <a:stretch>
                    <a:fillRect/>
                  </a:stretch>
                </pic:blipFill>
                <pic:spPr>
                  <a:xfrm>
                    <a:off x="0" y="0"/>
                    <a:ext cx="250190" cy="213995"/>
                  </a:xfrm>
                  <a:prstGeom prst="rect">
                    <a:avLst/>
                  </a:prstGeom>
                  <a:noFill/>
                  <a:ln>
                    <a:noFill/>
                  </a:ln>
                </pic:spPr>
              </pic:pic>
            </a:graphicData>
          </a:graphic>
        </wp:inline>
      </w:drawing>
    </w:r>
    <w:r>
      <w:rPr>
        <w:rFonts w:hint="eastAsia" w:ascii="仿宋" w:hAnsi="仿宋" w:eastAsia="仿宋" w:cs="仿宋"/>
        <w:sz w:val="24"/>
        <w:szCs w:val="24"/>
        <w:lang w:eastAsia="zh-CN"/>
      </w:rPr>
      <w:t>重庆市聚创招标代理有限公司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E6044"/>
    <w:multiLevelType w:val="singleLevel"/>
    <w:tmpl w:val="A52E6044"/>
    <w:lvl w:ilvl="0" w:tentative="0">
      <w:start w:val="1"/>
      <w:numFmt w:val="chineseCounting"/>
      <w:suff w:val="nothing"/>
      <w:lvlText w:val="%1、"/>
      <w:lvlJc w:val="left"/>
      <w:rPr>
        <w:rFonts w:hint="eastAsia"/>
      </w:rPr>
    </w:lvl>
  </w:abstractNum>
  <w:abstractNum w:abstractNumId="1">
    <w:nsid w:val="0ED71876"/>
    <w:multiLevelType w:val="singleLevel"/>
    <w:tmpl w:val="0ED71876"/>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95"/>
  <w:drawingGridVerticalSpacing w:val="1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2ODg4ODI0ZjczZjBkMWQyMjRjOWU4M2Q0MzZmODkifQ=="/>
  </w:docVars>
  <w:rsids>
    <w:rsidRoot w:val="007A16A6"/>
    <w:rsid w:val="00001F79"/>
    <w:rsid w:val="000E7463"/>
    <w:rsid w:val="0026130D"/>
    <w:rsid w:val="004371E3"/>
    <w:rsid w:val="00483F46"/>
    <w:rsid w:val="00485C2C"/>
    <w:rsid w:val="007A16A6"/>
    <w:rsid w:val="007E0138"/>
    <w:rsid w:val="00967338"/>
    <w:rsid w:val="009A23AB"/>
    <w:rsid w:val="00B12A73"/>
    <w:rsid w:val="00BA5DF6"/>
    <w:rsid w:val="00D10673"/>
    <w:rsid w:val="00D5063D"/>
    <w:rsid w:val="00D52756"/>
    <w:rsid w:val="00D53746"/>
    <w:rsid w:val="00E32D5A"/>
    <w:rsid w:val="00E91541"/>
    <w:rsid w:val="00FC5295"/>
    <w:rsid w:val="011801B4"/>
    <w:rsid w:val="012F65D2"/>
    <w:rsid w:val="014A2DD9"/>
    <w:rsid w:val="014D4677"/>
    <w:rsid w:val="01583118"/>
    <w:rsid w:val="015E3A12"/>
    <w:rsid w:val="016A6FD7"/>
    <w:rsid w:val="01D41FEB"/>
    <w:rsid w:val="01D803E5"/>
    <w:rsid w:val="01DD6545"/>
    <w:rsid w:val="01E0649E"/>
    <w:rsid w:val="01E46D89"/>
    <w:rsid w:val="01EA636A"/>
    <w:rsid w:val="01F11601"/>
    <w:rsid w:val="02013B6C"/>
    <w:rsid w:val="021138F7"/>
    <w:rsid w:val="021B6523"/>
    <w:rsid w:val="02296E92"/>
    <w:rsid w:val="02362B3B"/>
    <w:rsid w:val="024C0DD3"/>
    <w:rsid w:val="028E2BE3"/>
    <w:rsid w:val="02900CBF"/>
    <w:rsid w:val="0294794D"/>
    <w:rsid w:val="02AD7D25"/>
    <w:rsid w:val="02B67E79"/>
    <w:rsid w:val="02BD7F57"/>
    <w:rsid w:val="02D07A91"/>
    <w:rsid w:val="02D844B5"/>
    <w:rsid w:val="02EC19C0"/>
    <w:rsid w:val="02FC0103"/>
    <w:rsid w:val="03031491"/>
    <w:rsid w:val="031B20B6"/>
    <w:rsid w:val="032A1D61"/>
    <w:rsid w:val="032D0F7E"/>
    <w:rsid w:val="033428D7"/>
    <w:rsid w:val="035E0DBD"/>
    <w:rsid w:val="038A570F"/>
    <w:rsid w:val="03975CFC"/>
    <w:rsid w:val="039E10EB"/>
    <w:rsid w:val="03B510E0"/>
    <w:rsid w:val="03B66D3C"/>
    <w:rsid w:val="03DF550C"/>
    <w:rsid w:val="03EF6039"/>
    <w:rsid w:val="03FB2BEF"/>
    <w:rsid w:val="03FF7DE1"/>
    <w:rsid w:val="04154F89"/>
    <w:rsid w:val="04162652"/>
    <w:rsid w:val="041D6583"/>
    <w:rsid w:val="04274F2B"/>
    <w:rsid w:val="04447FB3"/>
    <w:rsid w:val="044B0558"/>
    <w:rsid w:val="04574102"/>
    <w:rsid w:val="047E63FE"/>
    <w:rsid w:val="04866AD2"/>
    <w:rsid w:val="0499475F"/>
    <w:rsid w:val="04BE4941"/>
    <w:rsid w:val="04C210B5"/>
    <w:rsid w:val="04D806FC"/>
    <w:rsid w:val="04DA26C6"/>
    <w:rsid w:val="04F35297"/>
    <w:rsid w:val="04FB243E"/>
    <w:rsid w:val="051C0AFA"/>
    <w:rsid w:val="05243941"/>
    <w:rsid w:val="052B06CC"/>
    <w:rsid w:val="053433E3"/>
    <w:rsid w:val="058E1529"/>
    <w:rsid w:val="05912AC6"/>
    <w:rsid w:val="05924D4E"/>
    <w:rsid w:val="059705B7"/>
    <w:rsid w:val="05A21435"/>
    <w:rsid w:val="05AE3AE8"/>
    <w:rsid w:val="05CF5FA2"/>
    <w:rsid w:val="05E21BDB"/>
    <w:rsid w:val="05E7729D"/>
    <w:rsid w:val="05ED5DDC"/>
    <w:rsid w:val="05FC0C11"/>
    <w:rsid w:val="062C120A"/>
    <w:rsid w:val="065B71E6"/>
    <w:rsid w:val="06647D53"/>
    <w:rsid w:val="06683691"/>
    <w:rsid w:val="06745A21"/>
    <w:rsid w:val="06B86A37"/>
    <w:rsid w:val="06CE1DB6"/>
    <w:rsid w:val="070079BF"/>
    <w:rsid w:val="070752C8"/>
    <w:rsid w:val="070B125C"/>
    <w:rsid w:val="07183F2F"/>
    <w:rsid w:val="07231007"/>
    <w:rsid w:val="072D6361"/>
    <w:rsid w:val="072E5CE5"/>
    <w:rsid w:val="073A1725"/>
    <w:rsid w:val="07487DBA"/>
    <w:rsid w:val="0765096C"/>
    <w:rsid w:val="0768045D"/>
    <w:rsid w:val="07853019"/>
    <w:rsid w:val="078B414B"/>
    <w:rsid w:val="078E4A89"/>
    <w:rsid w:val="07A34FF1"/>
    <w:rsid w:val="07CD1340"/>
    <w:rsid w:val="0823411F"/>
    <w:rsid w:val="0826408A"/>
    <w:rsid w:val="082C148A"/>
    <w:rsid w:val="08314CF2"/>
    <w:rsid w:val="084B066A"/>
    <w:rsid w:val="08A2174C"/>
    <w:rsid w:val="08A90D2D"/>
    <w:rsid w:val="08AC4379"/>
    <w:rsid w:val="08FB476A"/>
    <w:rsid w:val="08FF3F01"/>
    <w:rsid w:val="096A2333"/>
    <w:rsid w:val="09862E1C"/>
    <w:rsid w:val="09A74F2C"/>
    <w:rsid w:val="09AA4D5C"/>
    <w:rsid w:val="09C06C05"/>
    <w:rsid w:val="09D0079B"/>
    <w:rsid w:val="09F63AFE"/>
    <w:rsid w:val="0A0C30B6"/>
    <w:rsid w:val="0A3463D4"/>
    <w:rsid w:val="0A36214C"/>
    <w:rsid w:val="0A516121"/>
    <w:rsid w:val="0A621193"/>
    <w:rsid w:val="0A853CC6"/>
    <w:rsid w:val="0A894972"/>
    <w:rsid w:val="0A901F39"/>
    <w:rsid w:val="0A904DE1"/>
    <w:rsid w:val="0A9D56F2"/>
    <w:rsid w:val="0A9F44E6"/>
    <w:rsid w:val="0AA90B70"/>
    <w:rsid w:val="0ACC485F"/>
    <w:rsid w:val="0AD100C7"/>
    <w:rsid w:val="0AD72553"/>
    <w:rsid w:val="0AFF2E86"/>
    <w:rsid w:val="0B0E131B"/>
    <w:rsid w:val="0B1D0446"/>
    <w:rsid w:val="0B20431F"/>
    <w:rsid w:val="0B64584D"/>
    <w:rsid w:val="0B6D0965"/>
    <w:rsid w:val="0B7E74F7"/>
    <w:rsid w:val="0BA92577"/>
    <w:rsid w:val="0BBD429F"/>
    <w:rsid w:val="0BBE064B"/>
    <w:rsid w:val="0BC11EE9"/>
    <w:rsid w:val="0C0A3ED7"/>
    <w:rsid w:val="0C0D3381"/>
    <w:rsid w:val="0C254922"/>
    <w:rsid w:val="0C2601D9"/>
    <w:rsid w:val="0C2B3807"/>
    <w:rsid w:val="0C6122B2"/>
    <w:rsid w:val="0C632FA1"/>
    <w:rsid w:val="0C6D06E2"/>
    <w:rsid w:val="0C7F57E9"/>
    <w:rsid w:val="0C840297"/>
    <w:rsid w:val="0C90360D"/>
    <w:rsid w:val="0CBD4DA7"/>
    <w:rsid w:val="0CC46135"/>
    <w:rsid w:val="0CC632F9"/>
    <w:rsid w:val="0CCE638A"/>
    <w:rsid w:val="0CDB3056"/>
    <w:rsid w:val="0CE31135"/>
    <w:rsid w:val="0CE94E0E"/>
    <w:rsid w:val="0CEA5470"/>
    <w:rsid w:val="0CF06F2A"/>
    <w:rsid w:val="0CF63E15"/>
    <w:rsid w:val="0CFA2519"/>
    <w:rsid w:val="0D050D60"/>
    <w:rsid w:val="0D135FD2"/>
    <w:rsid w:val="0D2042F6"/>
    <w:rsid w:val="0D2F254C"/>
    <w:rsid w:val="0D4A1048"/>
    <w:rsid w:val="0D5A6955"/>
    <w:rsid w:val="0D6C40D7"/>
    <w:rsid w:val="0D780CCE"/>
    <w:rsid w:val="0D9345EC"/>
    <w:rsid w:val="0DC15B08"/>
    <w:rsid w:val="0DCC49C1"/>
    <w:rsid w:val="0DD56120"/>
    <w:rsid w:val="0DD644D9"/>
    <w:rsid w:val="0E1704E7"/>
    <w:rsid w:val="0E2055ED"/>
    <w:rsid w:val="0E372937"/>
    <w:rsid w:val="0EBA1B76"/>
    <w:rsid w:val="0EC06389"/>
    <w:rsid w:val="0ECC7523"/>
    <w:rsid w:val="0ECE329B"/>
    <w:rsid w:val="0EEB0949"/>
    <w:rsid w:val="0EED3AD5"/>
    <w:rsid w:val="0EFB41C8"/>
    <w:rsid w:val="0F126B2F"/>
    <w:rsid w:val="0F1420B5"/>
    <w:rsid w:val="0F4C41C0"/>
    <w:rsid w:val="0F582B65"/>
    <w:rsid w:val="0F5D2ECD"/>
    <w:rsid w:val="0F7A6104"/>
    <w:rsid w:val="0F920A02"/>
    <w:rsid w:val="0F926E3B"/>
    <w:rsid w:val="0FE46C69"/>
    <w:rsid w:val="0FF744AF"/>
    <w:rsid w:val="0FF9575C"/>
    <w:rsid w:val="10172A20"/>
    <w:rsid w:val="101833B4"/>
    <w:rsid w:val="101E292F"/>
    <w:rsid w:val="102B2027"/>
    <w:rsid w:val="102D0579"/>
    <w:rsid w:val="102D2243"/>
    <w:rsid w:val="10390BE8"/>
    <w:rsid w:val="107C6D27"/>
    <w:rsid w:val="108765D6"/>
    <w:rsid w:val="108848AA"/>
    <w:rsid w:val="10C009C2"/>
    <w:rsid w:val="10CA5CE4"/>
    <w:rsid w:val="10D360AC"/>
    <w:rsid w:val="10D43444"/>
    <w:rsid w:val="10F644F5"/>
    <w:rsid w:val="10FB60C3"/>
    <w:rsid w:val="110A4F79"/>
    <w:rsid w:val="110C1E59"/>
    <w:rsid w:val="112836B9"/>
    <w:rsid w:val="112C5E98"/>
    <w:rsid w:val="11317B11"/>
    <w:rsid w:val="11457E7E"/>
    <w:rsid w:val="11496C09"/>
    <w:rsid w:val="11542D1E"/>
    <w:rsid w:val="11553800"/>
    <w:rsid w:val="116E041E"/>
    <w:rsid w:val="11836E7B"/>
    <w:rsid w:val="118801A1"/>
    <w:rsid w:val="11A27B01"/>
    <w:rsid w:val="11B00A36"/>
    <w:rsid w:val="11C75D80"/>
    <w:rsid w:val="11C91AF8"/>
    <w:rsid w:val="11D840DD"/>
    <w:rsid w:val="11E01CC0"/>
    <w:rsid w:val="11E10C03"/>
    <w:rsid w:val="12105979"/>
    <w:rsid w:val="12137217"/>
    <w:rsid w:val="121470EA"/>
    <w:rsid w:val="121E4192"/>
    <w:rsid w:val="123E6FAC"/>
    <w:rsid w:val="125C6E10"/>
    <w:rsid w:val="125F2D96"/>
    <w:rsid w:val="12701699"/>
    <w:rsid w:val="12887666"/>
    <w:rsid w:val="12AD544A"/>
    <w:rsid w:val="12E017EF"/>
    <w:rsid w:val="12EB0137"/>
    <w:rsid w:val="130A5D94"/>
    <w:rsid w:val="132C67E2"/>
    <w:rsid w:val="13360E35"/>
    <w:rsid w:val="133B7018"/>
    <w:rsid w:val="133D36D6"/>
    <w:rsid w:val="134202B1"/>
    <w:rsid w:val="134753CA"/>
    <w:rsid w:val="13682F98"/>
    <w:rsid w:val="13715B2A"/>
    <w:rsid w:val="13A666CE"/>
    <w:rsid w:val="13BC3EEE"/>
    <w:rsid w:val="13EC1FE4"/>
    <w:rsid w:val="144638D4"/>
    <w:rsid w:val="144D6A10"/>
    <w:rsid w:val="14627FE2"/>
    <w:rsid w:val="14902DA1"/>
    <w:rsid w:val="149A41EF"/>
    <w:rsid w:val="14B81816"/>
    <w:rsid w:val="14B922F8"/>
    <w:rsid w:val="14C96EC5"/>
    <w:rsid w:val="14E75DF4"/>
    <w:rsid w:val="150115A9"/>
    <w:rsid w:val="150712B5"/>
    <w:rsid w:val="155D250F"/>
    <w:rsid w:val="156B21DE"/>
    <w:rsid w:val="157B24DC"/>
    <w:rsid w:val="157B50AD"/>
    <w:rsid w:val="15A9236C"/>
    <w:rsid w:val="15BC4035"/>
    <w:rsid w:val="15C33ED5"/>
    <w:rsid w:val="1603184C"/>
    <w:rsid w:val="160550C9"/>
    <w:rsid w:val="160F08DF"/>
    <w:rsid w:val="1615355E"/>
    <w:rsid w:val="162605E4"/>
    <w:rsid w:val="16412291"/>
    <w:rsid w:val="16473933"/>
    <w:rsid w:val="164E4CC1"/>
    <w:rsid w:val="166521AC"/>
    <w:rsid w:val="166C5F35"/>
    <w:rsid w:val="16970CA9"/>
    <w:rsid w:val="16AA2483"/>
    <w:rsid w:val="16AC5558"/>
    <w:rsid w:val="16C76BDA"/>
    <w:rsid w:val="16CB00C0"/>
    <w:rsid w:val="16CB6A64"/>
    <w:rsid w:val="16CD0D30"/>
    <w:rsid w:val="16CF5E02"/>
    <w:rsid w:val="16E30B31"/>
    <w:rsid w:val="16F72C63"/>
    <w:rsid w:val="16FA09A5"/>
    <w:rsid w:val="170835D7"/>
    <w:rsid w:val="170B0B62"/>
    <w:rsid w:val="171D1C21"/>
    <w:rsid w:val="174E544F"/>
    <w:rsid w:val="17914E66"/>
    <w:rsid w:val="17B212C8"/>
    <w:rsid w:val="17BA0860"/>
    <w:rsid w:val="17C57205"/>
    <w:rsid w:val="17C7342C"/>
    <w:rsid w:val="17DC76E8"/>
    <w:rsid w:val="17E458DD"/>
    <w:rsid w:val="180C0990"/>
    <w:rsid w:val="1813400F"/>
    <w:rsid w:val="184B14B9"/>
    <w:rsid w:val="18690A6B"/>
    <w:rsid w:val="18714C97"/>
    <w:rsid w:val="1872464D"/>
    <w:rsid w:val="18745314"/>
    <w:rsid w:val="188D751D"/>
    <w:rsid w:val="188F1A4B"/>
    <w:rsid w:val="18B20FCE"/>
    <w:rsid w:val="18BB3140"/>
    <w:rsid w:val="18C64D24"/>
    <w:rsid w:val="18CB43A7"/>
    <w:rsid w:val="18D23988"/>
    <w:rsid w:val="18E216F1"/>
    <w:rsid w:val="18F558C8"/>
    <w:rsid w:val="18FE477D"/>
    <w:rsid w:val="190B50EC"/>
    <w:rsid w:val="194354F7"/>
    <w:rsid w:val="194D74B2"/>
    <w:rsid w:val="195715A3"/>
    <w:rsid w:val="197F764D"/>
    <w:rsid w:val="19882298"/>
    <w:rsid w:val="199724DC"/>
    <w:rsid w:val="19BF413C"/>
    <w:rsid w:val="19E12006"/>
    <w:rsid w:val="19EF40C6"/>
    <w:rsid w:val="1A045DC3"/>
    <w:rsid w:val="1A147FD0"/>
    <w:rsid w:val="1A5907D2"/>
    <w:rsid w:val="1A5F166A"/>
    <w:rsid w:val="1A606D71"/>
    <w:rsid w:val="1A7F18ED"/>
    <w:rsid w:val="1A8C697D"/>
    <w:rsid w:val="1A9F3D3E"/>
    <w:rsid w:val="1AAE3F81"/>
    <w:rsid w:val="1AB01AA7"/>
    <w:rsid w:val="1AC12C8C"/>
    <w:rsid w:val="1AC76058"/>
    <w:rsid w:val="1B155DAE"/>
    <w:rsid w:val="1B237AF5"/>
    <w:rsid w:val="1B763A45"/>
    <w:rsid w:val="1B7F3C6A"/>
    <w:rsid w:val="1B9F2C40"/>
    <w:rsid w:val="1BAF7FB0"/>
    <w:rsid w:val="1BB35CDF"/>
    <w:rsid w:val="1BD6378F"/>
    <w:rsid w:val="1BF0493A"/>
    <w:rsid w:val="1C004A47"/>
    <w:rsid w:val="1C095610"/>
    <w:rsid w:val="1C0B07A6"/>
    <w:rsid w:val="1C1C4F1A"/>
    <w:rsid w:val="1C294ACB"/>
    <w:rsid w:val="1C3E5A1F"/>
    <w:rsid w:val="1C4C57FF"/>
    <w:rsid w:val="1C4F3541"/>
    <w:rsid w:val="1C662D65"/>
    <w:rsid w:val="1C7573D9"/>
    <w:rsid w:val="1C766D20"/>
    <w:rsid w:val="1C7A236C"/>
    <w:rsid w:val="1C9E2834"/>
    <w:rsid w:val="1CAF51C3"/>
    <w:rsid w:val="1CB13310"/>
    <w:rsid w:val="1CC979D3"/>
    <w:rsid w:val="1CD777BF"/>
    <w:rsid w:val="1CDC4DD5"/>
    <w:rsid w:val="1CE011BF"/>
    <w:rsid w:val="1CEE613C"/>
    <w:rsid w:val="1CF2083D"/>
    <w:rsid w:val="1CFA0420"/>
    <w:rsid w:val="1D1D719C"/>
    <w:rsid w:val="1D1D7575"/>
    <w:rsid w:val="1D4A682D"/>
    <w:rsid w:val="1DAD35B6"/>
    <w:rsid w:val="1DB16111"/>
    <w:rsid w:val="1DE2466D"/>
    <w:rsid w:val="1E0068A1"/>
    <w:rsid w:val="1E0A3384"/>
    <w:rsid w:val="1E3173A3"/>
    <w:rsid w:val="1E46140E"/>
    <w:rsid w:val="1E4A3FC0"/>
    <w:rsid w:val="1E683756"/>
    <w:rsid w:val="1E9640D5"/>
    <w:rsid w:val="1EAC7F7A"/>
    <w:rsid w:val="1EB21E53"/>
    <w:rsid w:val="1F016D75"/>
    <w:rsid w:val="1F06438B"/>
    <w:rsid w:val="1F226CEB"/>
    <w:rsid w:val="1F391B42"/>
    <w:rsid w:val="1F4A26C0"/>
    <w:rsid w:val="1F582F19"/>
    <w:rsid w:val="1FC57DA2"/>
    <w:rsid w:val="1FD67160"/>
    <w:rsid w:val="1FD70989"/>
    <w:rsid w:val="1FE741BD"/>
    <w:rsid w:val="1FED5F05"/>
    <w:rsid w:val="1FF95C9E"/>
    <w:rsid w:val="20173F0C"/>
    <w:rsid w:val="201A0CB1"/>
    <w:rsid w:val="207D067D"/>
    <w:rsid w:val="20947775"/>
    <w:rsid w:val="20A7394C"/>
    <w:rsid w:val="20B0742B"/>
    <w:rsid w:val="20B07673"/>
    <w:rsid w:val="20D65FDF"/>
    <w:rsid w:val="20DD277B"/>
    <w:rsid w:val="20E73FDC"/>
    <w:rsid w:val="20E95D13"/>
    <w:rsid w:val="20EE3329"/>
    <w:rsid w:val="210D7225"/>
    <w:rsid w:val="21112E5D"/>
    <w:rsid w:val="2122506F"/>
    <w:rsid w:val="212C5BFF"/>
    <w:rsid w:val="213B5E42"/>
    <w:rsid w:val="21515666"/>
    <w:rsid w:val="21535882"/>
    <w:rsid w:val="215947D8"/>
    <w:rsid w:val="215A276C"/>
    <w:rsid w:val="2173382E"/>
    <w:rsid w:val="21816EE1"/>
    <w:rsid w:val="21A83D12"/>
    <w:rsid w:val="21BC429F"/>
    <w:rsid w:val="21CD2FA2"/>
    <w:rsid w:val="21D54581"/>
    <w:rsid w:val="21D85052"/>
    <w:rsid w:val="21F63227"/>
    <w:rsid w:val="22226492"/>
    <w:rsid w:val="22226997"/>
    <w:rsid w:val="22352B64"/>
    <w:rsid w:val="22464D50"/>
    <w:rsid w:val="228C06EB"/>
    <w:rsid w:val="22974425"/>
    <w:rsid w:val="22B97967"/>
    <w:rsid w:val="22D71F89"/>
    <w:rsid w:val="22D868D3"/>
    <w:rsid w:val="22F17100"/>
    <w:rsid w:val="230865AC"/>
    <w:rsid w:val="231150AD"/>
    <w:rsid w:val="235C6C70"/>
    <w:rsid w:val="23675344"/>
    <w:rsid w:val="236773C3"/>
    <w:rsid w:val="236E6FF8"/>
    <w:rsid w:val="237A7BAB"/>
    <w:rsid w:val="23850189"/>
    <w:rsid w:val="23BE6B4B"/>
    <w:rsid w:val="23D60ACB"/>
    <w:rsid w:val="23ED5C4B"/>
    <w:rsid w:val="23F46EA8"/>
    <w:rsid w:val="24007AC0"/>
    <w:rsid w:val="24067069"/>
    <w:rsid w:val="244D65E7"/>
    <w:rsid w:val="24575689"/>
    <w:rsid w:val="245E2574"/>
    <w:rsid w:val="245F1E6E"/>
    <w:rsid w:val="246021F5"/>
    <w:rsid w:val="247578BD"/>
    <w:rsid w:val="24992DAF"/>
    <w:rsid w:val="24FA5429"/>
    <w:rsid w:val="2506571D"/>
    <w:rsid w:val="252C028A"/>
    <w:rsid w:val="259113A8"/>
    <w:rsid w:val="25950217"/>
    <w:rsid w:val="259D70CC"/>
    <w:rsid w:val="25BB0AAA"/>
    <w:rsid w:val="25C87478"/>
    <w:rsid w:val="25CA09E8"/>
    <w:rsid w:val="25CE6CA7"/>
    <w:rsid w:val="25E74730"/>
    <w:rsid w:val="25EE0694"/>
    <w:rsid w:val="25F5515A"/>
    <w:rsid w:val="26061115"/>
    <w:rsid w:val="260E10FE"/>
    <w:rsid w:val="261B217C"/>
    <w:rsid w:val="26261652"/>
    <w:rsid w:val="26296BB1"/>
    <w:rsid w:val="26373E99"/>
    <w:rsid w:val="264810FF"/>
    <w:rsid w:val="266B541C"/>
    <w:rsid w:val="26A30712"/>
    <w:rsid w:val="26A82AB9"/>
    <w:rsid w:val="26C540E2"/>
    <w:rsid w:val="26C62652"/>
    <w:rsid w:val="26D21EAD"/>
    <w:rsid w:val="26EF7DFB"/>
    <w:rsid w:val="270F12F9"/>
    <w:rsid w:val="271D59D0"/>
    <w:rsid w:val="2725381D"/>
    <w:rsid w:val="27286E69"/>
    <w:rsid w:val="275A5FBA"/>
    <w:rsid w:val="27947E6A"/>
    <w:rsid w:val="27C11484"/>
    <w:rsid w:val="27C26BE0"/>
    <w:rsid w:val="27D8088F"/>
    <w:rsid w:val="281B0E8C"/>
    <w:rsid w:val="2820139C"/>
    <w:rsid w:val="2826784C"/>
    <w:rsid w:val="282D5367"/>
    <w:rsid w:val="282E191D"/>
    <w:rsid w:val="28393256"/>
    <w:rsid w:val="284657F9"/>
    <w:rsid w:val="287E1436"/>
    <w:rsid w:val="28A6518C"/>
    <w:rsid w:val="28C01A4F"/>
    <w:rsid w:val="28C96CBB"/>
    <w:rsid w:val="28E43737"/>
    <w:rsid w:val="28EA2628"/>
    <w:rsid w:val="28FB2A87"/>
    <w:rsid w:val="290A6828"/>
    <w:rsid w:val="291453F2"/>
    <w:rsid w:val="295771C4"/>
    <w:rsid w:val="29614AE4"/>
    <w:rsid w:val="29712A36"/>
    <w:rsid w:val="29A078BD"/>
    <w:rsid w:val="29AC6A1D"/>
    <w:rsid w:val="29AE18A7"/>
    <w:rsid w:val="29B03871"/>
    <w:rsid w:val="29CA4207"/>
    <w:rsid w:val="29CB2141"/>
    <w:rsid w:val="29FA2D3E"/>
    <w:rsid w:val="29FF4B88"/>
    <w:rsid w:val="2A0B547C"/>
    <w:rsid w:val="2A0C024B"/>
    <w:rsid w:val="2A1D4C7F"/>
    <w:rsid w:val="2A3C4D1E"/>
    <w:rsid w:val="2A6C2367"/>
    <w:rsid w:val="2A7A3E7F"/>
    <w:rsid w:val="2A862824"/>
    <w:rsid w:val="2A8D5961"/>
    <w:rsid w:val="2AC624D6"/>
    <w:rsid w:val="2AF15A7A"/>
    <w:rsid w:val="2B0426A5"/>
    <w:rsid w:val="2B116592"/>
    <w:rsid w:val="2B141BDE"/>
    <w:rsid w:val="2B180563"/>
    <w:rsid w:val="2B2B5786"/>
    <w:rsid w:val="2B3D7387"/>
    <w:rsid w:val="2B4B6F96"/>
    <w:rsid w:val="2B5B1A2F"/>
    <w:rsid w:val="2B62401D"/>
    <w:rsid w:val="2B813779"/>
    <w:rsid w:val="2B8F21F0"/>
    <w:rsid w:val="2B926F56"/>
    <w:rsid w:val="2B942D1F"/>
    <w:rsid w:val="2BB02D46"/>
    <w:rsid w:val="2BB90F47"/>
    <w:rsid w:val="2BB97D84"/>
    <w:rsid w:val="2BCE0689"/>
    <w:rsid w:val="2BD15D21"/>
    <w:rsid w:val="2BE03161"/>
    <w:rsid w:val="2BE05F64"/>
    <w:rsid w:val="2BF35C97"/>
    <w:rsid w:val="2C016606"/>
    <w:rsid w:val="2C0B2F55"/>
    <w:rsid w:val="2C1F6A8C"/>
    <w:rsid w:val="2C2B5431"/>
    <w:rsid w:val="2C384B42"/>
    <w:rsid w:val="2C583D4C"/>
    <w:rsid w:val="2C6018A8"/>
    <w:rsid w:val="2C73502A"/>
    <w:rsid w:val="2C737F26"/>
    <w:rsid w:val="2CA94D64"/>
    <w:rsid w:val="2CE87E3E"/>
    <w:rsid w:val="2CF12C21"/>
    <w:rsid w:val="2CF96FB4"/>
    <w:rsid w:val="2D0121E9"/>
    <w:rsid w:val="2D061C45"/>
    <w:rsid w:val="2D241F75"/>
    <w:rsid w:val="2D26209C"/>
    <w:rsid w:val="2D330463"/>
    <w:rsid w:val="2D366C89"/>
    <w:rsid w:val="2D483AF4"/>
    <w:rsid w:val="2D711922"/>
    <w:rsid w:val="2D995F29"/>
    <w:rsid w:val="2D9C02BF"/>
    <w:rsid w:val="2D9E1C33"/>
    <w:rsid w:val="2D9F1767"/>
    <w:rsid w:val="2DC0604D"/>
    <w:rsid w:val="2DC838C7"/>
    <w:rsid w:val="2DCC629E"/>
    <w:rsid w:val="2DE16C1B"/>
    <w:rsid w:val="2E005246"/>
    <w:rsid w:val="2E112405"/>
    <w:rsid w:val="2E141EF5"/>
    <w:rsid w:val="2E163EBF"/>
    <w:rsid w:val="2E1E4D06"/>
    <w:rsid w:val="2E287D41"/>
    <w:rsid w:val="2E2F5797"/>
    <w:rsid w:val="2E4E5659"/>
    <w:rsid w:val="2EA15E7F"/>
    <w:rsid w:val="2EAE2349"/>
    <w:rsid w:val="2EBD0C89"/>
    <w:rsid w:val="2ED84D84"/>
    <w:rsid w:val="2EF07656"/>
    <w:rsid w:val="2F063F34"/>
    <w:rsid w:val="2F091041"/>
    <w:rsid w:val="2F236894"/>
    <w:rsid w:val="2F246BF9"/>
    <w:rsid w:val="2F566C69"/>
    <w:rsid w:val="2F6046B5"/>
    <w:rsid w:val="2F642EBB"/>
    <w:rsid w:val="2F9C74F7"/>
    <w:rsid w:val="2FBB4D1E"/>
    <w:rsid w:val="2FE80256"/>
    <w:rsid w:val="2FFA3A98"/>
    <w:rsid w:val="2FFD0189"/>
    <w:rsid w:val="300C557A"/>
    <w:rsid w:val="303348B4"/>
    <w:rsid w:val="303705CB"/>
    <w:rsid w:val="30433499"/>
    <w:rsid w:val="304C3BC8"/>
    <w:rsid w:val="307D0225"/>
    <w:rsid w:val="3089665D"/>
    <w:rsid w:val="30AC0D80"/>
    <w:rsid w:val="30B71989"/>
    <w:rsid w:val="30C936A1"/>
    <w:rsid w:val="30DA7426"/>
    <w:rsid w:val="30ED7159"/>
    <w:rsid w:val="30F71D86"/>
    <w:rsid w:val="30FA5FEE"/>
    <w:rsid w:val="30FF5EFC"/>
    <w:rsid w:val="31050127"/>
    <w:rsid w:val="31283ADD"/>
    <w:rsid w:val="313E192D"/>
    <w:rsid w:val="31413001"/>
    <w:rsid w:val="3163566D"/>
    <w:rsid w:val="3192385D"/>
    <w:rsid w:val="31BF03CC"/>
    <w:rsid w:val="31CA30E4"/>
    <w:rsid w:val="31CA6FEB"/>
    <w:rsid w:val="31D7607A"/>
    <w:rsid w:val="31E17E6B"/>
    <w:rsid w:val="31E340B8"/>
    <w:rsid w:val="31EB11BF"/>
    <w:rsid w:val="31EE2735"/>
    <w:rsid w:val="31F36F75"/>
    <w:rsid w:val="31FE5396"/>
    <w:rsid w:val="320329AC"/>
    <w:rsid w:val="3203475A"/>
    <w:rsid w:val="320A370E"/>
    <w:rsid w:val="320F0AA4"/>
    <w:rsid w:val="322112BA"/>
    <w:rsid w:val="322F4323"/>
    <w:rsid w:val="325E6763"/>
    <w:rsid w:val="32C24F9D"/>
    <w:rsid w:val="32C35957"/>
    <w:rsid w:val="32CB3E17"/>
    <w:rsid w:val="32E93950"/>
    <w:rsid w:val="32FA0324"/>
    <w:rsid w:val="33134E71"/>
    <w:rsid w:val="33242A7F"/>
    <w:rsid w:val="334E5A9F"/>
    <w:rsid w:val="336472E3"/>
    <w:rsid w:val="3381639C"/>
    <w:rsid w:val="33A43D3B"/>
    <w:rsid w:val="33B331B5"/>
    <w:rsid w:val="33B61ED2"/>
    <w:rsid w:val="33BB3FC3"/>
    <w:rsid w:val="33CA4250"/>
    <w:rsid w:val="33D50520"/>
    <w:rsid w:val="33EF143A"/>
    <w:rsid w:val="33F53036"/>
    <w:rsid w:val="34060532"/>
    <w:rsid w:val="341B5A49"/>
    <w:rsid w:val="342514E8"/>
    <w:rsid w:val="3466475F"/>
    <w:rsid w:val="347115B5"/>
    <w:rsid w:val="348603E0"/>
    <w:rsid w:val="34880F47"/>
    <w:rsid w:val="35064C8D"/>
    <w:rsid w:val="351D3D85"/>
    <w:rsid w:val="35694D08"/>
    <w:rsid w:val="3569521C"/>
    <w:rsid w:val="3589141A"/>
    <w:rsid w:val="358B2D34"/>
    <w:rsid w:val="35935DF5"/>
    <w:rsid w:val="35A2771A"/>
    <w:rsid w:val="35B205C3"/>
    <w:rsid w:val="35C67F79"/>
    <w:rsid w:val="35D46F87"/>
    <w:rsid w:val="35DA1C76"/>
    <w:rsid w:val="35DC0741"/>
    <w:rsid w:val="35EE09DE"/>
    <w:rsid w:val="35FB603C"/>
    <w:rsid w:val="35FF763B"/>
    <w:rsid w:val="363219AB"/>
    <w:rsid w:val="364E6A9B"/>
    <w:rsid w:val="36533F02"/>
    <w:rsid w:val="36572D3F"/>
    <w:rsid w:val="365D08DD"/>
    <w:rsid w:val="36634B09"/>
    <w:rsid w:val="36637357"/>
    <w:rsid w:val="366F56BE"/>
    <w:rsid w:val="369167D9"/>
    <w:rsid w:val="369C3F7E"/>
    <w:rsid w:val="36A55DE0"/>
    <w:rsid w:val="36BE0654"/>
    <w:rsid w:val="36C46BAE"/>
    <w:rsid w:val="36CE74F3"/>
    <w:rsid w:val="36EF2EAB"/>
    <w:rsid w:val="36F1624C"/>
    <w:rsid w:val="370945C1"/>
    <w:rsid w:val="372028A9"/>
    <w:rsid w:val="37384DC5"/>
    <w:rsid w:val="3752696B"/>
    <w:rsid w:val="37597553"/>
    <w:rsid w:val="376965A9"/>
    <w:rsid w:val="37833A11"/>
    <w:rsid w:val="37851194"/>
    <w:rsid w:val="37894DEF"/>
    <w:rsid w:val="378B76CC"/>
    <w:rsid w:val="378C0D4E"/>
    <w:rsid w:val="3794097F"/>
    <w:rsid w:val="37976071"/>
    <w:rsid w:val="37A97B52"/>
    <w:rsid w:val="37B564F7"/>
    <w:rsid w:val="37C77810"/>
    <w:rsid w:val="37D921E5"/>
    <w:rsid w:val="37E1109A"/>
    <w:rsid w:val="37E81288"/>
    <w:rsid w:val="380F690B"/>
    <w:rsid w:val="3812164A"/>
    <w:rsid w:val="381A63F5"/>
    <w:rsid w:val="38396895"/>
    <w:rsid w:val="386A72E1"/>
    <w:rsid w:val="38806B05"/>
    <w:rsid w:val="388E0998"/>
    <w:rsid w:val="38C369F1"/>
    <w:rsid w:val="38FB262F"/>
    <w:rsid w:val="390154AF"/>
    <w:rsid w:val="39073ED2"/>
    <w:rsid w:val="39093876"/>
    <w:rsid w:val="391758F5"/>
    <w:rsid w:val="392C4597"/>
    <w:rsid w:val="394915ED"/>
    <w:rsid w:val="39513FFD"/>
    <w:rsid w:val="3953201A"/>
    <w:rsid w:val="397F214F"/>
    <w:rsid w:val="39810D86"/>
    <w:rsid w:val="39A9208B"/>
    <w:rsid w:val="39B7228B"/>
    <w:rsid w:val="39D06B20"/>
    <w:rsid w:val="39EE58F5"/>
    <w:rsid w:val="3A142705"/>
    <w:rsid w:val="3A1B7675"/>
    <w:rsid w:val="3A1C016B"/>
    <w:rsid w:val="3A301E36"/>
    <w:rsid w:val="3A3302E2"/>
    <w:rsid w:val="3A4A1178"/>
    <w:rsid w:val="3A541787"/>
    <w:rsid w:val="3A6209E7"/>
    <w:rsid w:val="3AAA452C"/>
    <w:rsid w:val="3AE0561C"/>
    <w:rsid w:val="3AFB06C4"/>
    <w:rsid w:val="3B097025"/>
    <w:rsid w:val="3B153A8E"/>
    <w:rsid w:val="3B36136A"/>
    <w:rsid w:val="3B3D0CDD"/>
    <w:rsid w:val="3B43343F"/>
    <w:rsid w:val="3B491430"/>
    <w:rsid w:val="3B660234"/>
    <w:rsid w:val="3B6E1810"/>
    <w:rsid w:val="3B702E61"/>
    <w:rsid w:val="3B704203"/>
    <w:rsid w:val="3B762441"/>
    <w:rsid w:val="3B9823B7"/>
    <w:rsid w:val="3BB276B2"/>
    <w:rsid w:val="3BDC4BF4"/>
    <w:rsid w:val="3BE06C7E"/>
    <w:rsid w:val="3BE253E0"/>
    <w:rsid w:val="3BFA4E20"/>
    <w:rsid w:val="3C003E02"/>
    <w:rsid w:val="3C314ADE"/>
    <w:rsid w:val="3C4345A2"/>
    <w:rsid w:val="3C467E80"/>
    <w:rsid w:val="3C4D4F50"/>
    <w:rsid w:val="3C4E7CED"/>
    <w:rsid w:val="3C601127"/>
    <w:rsid w:val="3C613C0E"/>
    <w:rsid w:val="3C856F2B"/>
    <w:rsid w:val="3CA31014"/>
    <w:rsid w:val="3CEA09F1"/>
    <w:rsid w:val="3CEB6988"/>
    <w:rsid w:val="3CEC7805"/>
    <w:rsid w:val="3CF346EA"/>
    <w:rsid w:val="3D436B95"/>
    <w:rsid w:val="3D4631D3"/>
    <w:rsid w:val="3D4A6ED2"/>
    <w:rsid w:val="3D612090"/>
    <w:rsid w:val="3D807B1A"/>
    <w:rsid w:val="3D931088"/>
    <w:rsid w:val="3D9848F1"/>
    <w:rsid w:val="3D9A2417"/>
    <w:rsid w:val="3D9B618F"/>
    <w:rsid w:val="3DC0664E"/>
    <w:rsid w:val="3DC079A3"/>
    <w:rsid w:val="3DE10046"/>
    <w:rsid w:val="3DE1436E"/>
    <w:rsid w:val="3DE90CA8"/>
    <w:rsid w:val="3DEA4545"/>
    <w:rsid w:val="3DEB23F1"/>
    <w:rsid w:val="3DEC1BA3"/>
    <w:rsid w:val="3DFD3724"/>
    <w:rsid w:val="3E012496"/>
    <w:rsid w:val="3E057E5C"/>
    <w:rsid w:val="3E0870F1"/>
    <w:rsid w:val="3E263CAA"/>
    <w:rsid w:val="3E2B12C1"/>
    <w:rsid w:val="3E4445C0"/>
    <w:rsid w:val="3E573E64"/>
    <w:rsid w:val="3E6E56EE"/>
    <w:rsid w:val="3E6F7B87"/>
    <w:rsid w:val="3E8B1D5F"/>
    <w:rsid w:val="3E8E7DEC"/>
    <w:rsid w:val="3E916FCA"/>
    <w:rsid w:val="3E937510"/>
    <w:rsid w:val="3E976956"/>
    <w:rsid w:val="3EA30D21"/>
    <w:rsid w:val="3EA37367"/>
    <w:rsid w:val="3EE03F1C"/>
    <w:rsid w:val="3EE6343A"/>
    <w:rsid w:val="3EE84604"/>
    <w:rsid w:val="3EFC4A0B"/>
    <w:rsid w:val="3EFE4C27"/>
    <w:rsid w:val="3F044850"/>
    <w:rsid w:val="3F1F2DEF"/>
    <w:rsid w:val="3F223B34"/>
    <w:rsid w:val="3F3142F6"/>
    <w:rsid w:val="3F327BFC"/>
    <w:rsid w:val="3F3C12AC"/>
    <w:rsid w:val="3F4F1C13"/>
    <w:rsid w:val="3F547054"/>
    <w:rsid w:val="3F6F78D3"/>
    <w:rsid w:val="3F71532A"/>
    <w:rsid w:val="3F737426"/>
    <w:rsid w:val="3F88629F"/>
    <w:rsid w:val="3F8D5C9F"/>
    <w:rsid w:val="3FB928FC"/>
    <w:rsid w:val="4001677D"/>
    <w:rsid w:val="40086045"/>
    <w:rsid w:val="40102619"/>
    <w:rsid w:val="402828F4"/>
    <w:rsid w:val="403326AF"/>
    <w:rsid w:val="40430557"/>
    <w:rsid w:val="404843AC"/>
    <w:rsid w:val="405A5E8D"/>
    <w:rsid w:val="4061225A"/>
    <w:rsid w:val="40A9536C"/>
    <w:rsid w:val="40AE1504"/>
    <w:rsid w:val="40B97058"/>
    <w:rsid w:val="40CE503D"/>
    <w:rsid w:val="40F57964"/>
    <w:rsid w:val="41001EB1"/>
    <w:rsid w:val="412434F0"/>
    <w:rsid w:val="41365B3D"/>
    <w:rsid w:val="413D1A37"/>
    <w:rsid w:val="41511846"/>
    <w:rsid w:val="416C170D"/>
    <w:rsid w:val="4172527C"/>
    <w:rsid w:val="418C02C8"/>
    <w:rsid w:val="419B675D"/>
    <w:rsid w:val="41A05B22"/>
    <w:rsid w:val="41B14053"/>
    <w:rsid w:val="41B85EB6"/>
    <w:rsid w:val="41D42537"/>
    <w:rsid w:val="41EF2605"/>
    <w:rsid w:val="41F35125"/>
    <w:rsid w:val="423B584A"/>
    <w:rsid w:val="42446DF5"/>
    <w:rsid w:val="42531754"/>
    <w:rsid w:val="42750D64"/>
    <w:rsid w:val="42A96B18"/>
    <w:rsid w:val="42D23768"/>
    <w:rsid w:val="42D53D7E"/>
    <w:rsid w:val="42E5074D"/>
    <w:rsid w:val="43164FEF"/>
    <w:rsid w:val="432E070E"/>
    <w:rsid w:val="43566DE0"/>
    <w:rsid w:val="436A16A6"/>
    <w:rsid w:val="43785ED1"/>
    <w:rsid w:val="437F530D"/>
    <w:rsid w:val="438A12F4"/>
    <w:rsid w:val="43BE2B29"/>
    <w:rsid w:val="43D321DE"/>
    <w:rsid w:val="43DE6DD5"/>
    <w:rsid w:val="43E9279C"/>
    <w:rsid w:val="43F403A7"/>
    <w:rsid w:val="44055CF9"/>
    <w:rsid w:val="44120BB1"/>
    <w:rsid w:val="442231A0"/>
    <w:rsid w:val="443469F5"/>
    <w:rsid w:val="444829E0"/>
    <w:rsid w:val="445B5DD8"/>
    <w:rsid w:val="44623562"/>
    <w:rsid w:val="44655E14"/>
    <w:rsid w:val="4467501D"/>
    <w:rsid w:val="44692B43"/>
    <w:rsid w:val="446948F1"/>
    <w:rsid w:val="449A0F4E"/>
    <w:rsid w:val="449F5DD3"/>
    <w:rsid w:val="44A67B27"/>
    <w:rsid w:val="44DC42BA"/>
    <w:rsid w:val="44ED2FD3"/>
    <w:rsid w:val="44ED5522"/>
    <w:rsid w:val="44F67147"/>
    <w:rsid w:val="44FF0DB1"/>
    <w:rsid w:val="4509503D"/>
    <w:rsid w:val="453F244F"/>
    <w:rsid w:val="45446354"/>
    <w:rsid w:val="455F7AA2"/>
    <w:rsid w:val="45644F92"/>
    <w:rsid w:val="456B4699"/>
    <w:rsid w:val="4574354D"/>
    <w:rsid w:val="457458E7"/>
    <w:rsid w:val="461B1641"/>
    <w:rsid w:val="464E1FF0"/>
    <w:rsid w:val="46730342"/>
    <w:rsid w:val="467414CE"/>
    <w:rsid w:val="46824E5A"/>
    <w:rsid w:val="468C2B19"/>
    <w:rsid w:val="46EF6F8D"/>
    <w:rsid w:val="470E1780"/>
    <w:rsid w:val="471D6BB8"/>
    <w:rsid w:val="47356E70"/>
    <w:rsid w:val="477E46F8"/>
    <w:rsid w:val="479C7DAA"/>
    <w:rsid w:val="47B16162"/>
    <w:rsid w:val="47C03DA6"/>
    <w:rsid w:val="47DC362C"/>
    <w:rsid w:val="47DD14F1"/>
    <w:rsid w:val="47EB37C9"/>
    <w:rsid w:val="480C40F9"/>
    <w:rsid w:val="481E1B94"/>
    <w:rsid w:val="482753AB"/>
    <w:rsid w:val="482F34C6"/>
    <w:rsid w:val="483E7E42"/>
    <w:rsid w:val="48461DA8"/>
    <w:rsid w:val="48592243"/>
    <w:rsid w:val="48592ECE"/>
    <w:rsid w:val="485D0ECC"/>
    <w:rsid w:val="48677399"/>
    <w:rsid w:val="486907AD"/>
    <w:rsid w:val="48741AB6"/>
    <w:rsid w:val="488100CD"/>
    <w:rsid w:val="4894362D"/>
    <w:rsid w:val="489857A5"/>
    <w:rsid w:val="489D2DBB"/>
    <w:rsid w:val="48A96D19"/>
    <w:rsid w:val="48B923A7"/>
    <w:rsid w:val="48C7550C"/>
    <w:rsid w:val="48CF6B94"/>
    <w:rsid w:val="48F04396"/>
    <w:rsid w:val="48F11BFC"/>
    <w:rsid w:val="48F13107"/>
    <w:rsid w:val="49035633"/>
    <w:rsid w:val="49064A23"/>
    <w:rsid w:val="490B241B"/>
    <w:rsid w:val="491C0184"/>
    <w:rsid w:val="492824E8"/>
    <w:rsid w:val="492B175F"/>
    <w:rsid w:val="493D08D6"/>
    <w:rsid w:val="49543DC1"/>
    <w:rsid w:val="4965112A"/>
    <w:rsid w:val="496B110B"/>
    <w:rsid w:val="49773DAE"/>
    <w:rsid w:val="49AE00AE"/>
    <w:rsid w:val="49B605D8"/>
    <w:rsid w:val="49BC2509"/>
    <w:rsid w:val="49C32CF5"/>
    <w:rsid w:val="49F25388"/>
    <w:rsid w:val="49F770B6"/>
    <w:rsid w:val="4A02381D"/>
    <w:rsid w:val="4A1B234A"/>
    <w:rsid w:val="4A225C6E"/>
    <w:rsid w:val="4A280C46"/>
    <w:rsid w:val="4A37282C"/>
    <w:rsid w:val="4A3C09D0"/>
    <w:rsid w:val="4A5144F5"/>
    <w:rsid w:val="4A832F04"/>
    <w:rsid w:val="4A9F72BE"/>
    <w:rsid w:val="4AC565F9"/>
    <w:rsid w:val="4ACF7D3D"/>
    <w:rsid w:val="4AEE31EB"/>
    <w:rsid w:val="4AF13892"/>
    <w:rsid w:val="4AF762F7"/>
    <w:rsid w:val="4B022911"/>
    <w:rsid w:val="4B0C73E6"/>
    <w:rsid w:val="4B33219C"/>
    <w:rsid w:val="4B3F45FD"/>
    <w:rsid w:val="4B4E2A92"/>
    <w:rsid w:val="4B58443C"/>
    <w:rsid w:val="4B693428"/>
    <w:rsid w:val="4B6A1E13"/>
    <w:rsid w:val="4BAF37F7"/>
    <w:rsid w:val="4BB40B47"/>
    <w:rsid w:val="4BD9235C"/>
    <w:rsid w:val="4BE70EF5"/>
    <w:rsid w:val="4BF76C86"/>
    <w:rsid w:val="4C0D05F7"/>
    <w:rsid w:val="4C253ED6"/>
    <w:rsid w:val="4C273037"/>
    <w:rsid w:val="4C405C18"/>
    <w:rsid w:val="4C505F95"/>
    <w:rsid w:val="4C6940F1"/>
    <w:rsid w:val="4C785E03"/>
    <w:rsid w:val="4C8E208B"/>
    <w:rsid w:val="4C9646F1"/>
    <w:rsid w:val="4CA30709"/>
    <w:rsid w:val="4CB91BB2"/>
    <w:rsid w:val="4CC60B88"/>
    <w:rsid w:val="4CCD5AED"/>
    <w:rsid w:val="4CCE79E7"/>
    <w:rsid w:val="4CD34FFD"/>
    <w:rsid w:val="4CDF1BF4"/>
    <w:rsid w:val="4CE459C5"/>
    <w:rsid w:val="4CFF2296"/>
    <w:rsid w:val="4D072EF9"/>
    <w:rsid w:val="4D337862"/>
    <w:rsid w:val="4D4D1254"/>
    <w:rsid w:val="4D510618"/>
    <w:rsid w:val="4D722A68"/>
    <w:rsid w:val="4D925B1F"/>
    <w:rsid w:val="4D956757"/>
    <w:rsid w:val="4D9D6B08"/>
    <w:rsid w:val="4DAB5F7A"/>
    <w:rsid w:val="4DAF052E"/>
    <w:rsid w:val="4DB937C7"/>
    <w:rsid w:val="4DBF1A26"/>
    <w:rsid w:val="4DC82688"/>
    <w:rsid w:val="4DDC2416"/>
    <w:rsid w:val="4DF4012E"/>
    <w:rsid w:val="4E086F29"/>
    <w:rsid w:val="4E281379"/>
    <w:rsid w:val="4E7445BE"/>
    <w:rsid w:val="4E821B43"/>
    <w:rsid w:val="4E9006F3"/>
    <w:rsid w:val="4E9407BC"/>
    <w:rsid w:val="4E9D1D67"/>
    <w:rsid w:val="4EAB356F"/>
    <w:rsid w:val="4EB57961"/>
    <w:rsid w:val="4EBB21ED"/>
    <w:rsid w:val="4EC13F43"/>
    <w:rsid w:val="4ECF13C9"/>
    <w:rsid w:val="4ED8534D"/>
    <w:rsid w:val="4F100246"/>
    <w:rsid w:val="4F2C30EB"/>
    <w:rsid w:val="4F3A21CB"/>
    <w:rsid w:val="4F3B63E4"/>
    <w:rsid w:val="4F400944"/>
    <w:rsid w:val="4F4072EC"/>
    <w:rsid w:val="4F5023DA"/>
    <w:rsid w:val="4F5519E2"/>
    <w:rsid w:val="4F724648"/>
    <w:rsid w:val="4F9F47EA"/>
    <w:rsid w:val="4FCE7CFE"/>
    <w:rsid w:val="4FF10923"/>
    <w:rsid w:val="4FFC2ABD"/>
    <w:rsid w:val="50004A95"/>
    <w:rsid w:val="50083210"/>
    <w:rsid w:val="501446FD"/>
    <w:rsid w:val="502838B2"/>
    <w:rsid w:val="5033485E"/>
    <w:rsid w:val="504306EC"/>
    <w:rsid w:val="50441BF3"/>
    <w:rsid w:val="50631D4D"/>
    <w:rsid w:val="50720FD1"/>
    <w:rsid w:val="50760AC1"/>
    <w:rsid w:val="508807F5"/>
    <w:rsid w:val="50920ED6"/>
    <w:rsid w:val="50AC020C"/>
    <w:rsid w:val="50AD3DB7"/>
    <w:rsid w:val="50BB2978"/>
    <w:rsid w:val="50D852D8"/>
    <w:rsid w:val="51071719"/>
    <w:rsid w:val="51190299"/>
    <w:rsid w:val="511F6F5C"/>
    <w:rsid w:val="51217A74"/>
    <w:rsid w:val="51237AAF"/>
    <w:rsid w:val="51354F21"/>
    <w:rsid w:val="513A2A6B"/>
    <w:rsid w:val="51450494"/>
    <w:rsid w:val="51857589"/>
    <w:rsid w:val="519A433C"/>
    <w:rsid w:val="51C615D4"/>
    <w:rsid w:val="520B5239"/>
    <w:rsid w:val="52140592"/>
    <w:rsid w:val="52171194"/>
    <w:rsid w:val="521A2D60"/>
    <w:rsid w:val="52240AA0"/>
    <w:rsid w:val="52904DEF"/>
    <w:rsid w:val="52911BE2"/>
    <w:rsid w:val="52E360BE"/>
    <w:rsid w:val="52E55A8A"/>
    <w:rsid w:val="52F1442F"/>
    <w:rsid w:val="52F36C3F"/>
    <w:rsid w:val="53073C53"/>
    <w:rsid w:val="53155E76"/>
    <w:rsid w:val="532540D9"/>
    <w:rsid w:val="532F2D81"/>
    <w:rsid w:val="53492B23"/>
    <w:rsid w:val="535D1AC5"/>
    <w:rsid w:val="539F192F"/>
    <w:rsid w:val="53A616BE"/>
    <w:rsid w:val="53A7536F"/>
    <w:rsid w:val="53B01CF2"/>
    <w:rsid w:val="53B04AD9"/>
    <w:rsid w:val="541A0123"/>
    <w:rsid w:val="544D38E7"/>
    <w:rsid w:val="5463135D"/>
    <w:rsid w:val="54640C31"/>
    <w:rsid w:val="54790B80"/>
    <w:rsid w:val="54866880"/>
    <w:rsid w:val="548D63DA"/>
    <w:rsid w:val="549F610D"/>
    <w:rsid w:val="54A379AB"/>
    <w:rsid w:val="54CC563E"/>
    <w:rsid w:val="54D66671"/>
    <w:rsid w:val="54D933CD"/>
    <w:rsid w:val="54EF2BF0"/>
    <w:rsid w:val="55052414"/>
    <w:rsid w:val="550A4368"/>
    <w:rsid w:val="5516017D"/>
    <w:rsid w:val="55355BDF"/>
    <w:rsid w:val="553F41FA"/>
    <w:rsid w:val="55540CA5"/>
    <w:rsid w:val="558F1CDD"/>
    <w:rsid w:val="55E262B1"/>
    <w:rsid w:val="55EE2161"/>
    <w:rsid w:val="55F76AB4"/>
    <w:rsid w:val="560728C4"/>
    <w:rsid w:val="5615300B"/>
    <w:rsid w:val="56181120"/>
    <w:rsid w:val="561E0534"/>
    <w:rsid w:val="562A41F7"/>
    <w:rsid w:val="56462CE4"/>
    <w:rsid w:val="568E6439"/>
    <w:rsid w:val="569763B8"/>
    <w:rsid w:val="56A17F1A"/>
    <w:rsid w:val="56A8375A"/>
    <w:rsid w:val="56C667BE"/>
    <w:rsid w:val="56D976B4"/>
    <w:rsid w:val="56DB5BC3"/>
    <w:rsid w:val="56F24B88"/>
    <w:rsid w:val="56F73A0D"/>
    <w:rsid w:val="56FE00DA"/>
    <w:rsid w:val="571164F6"/>
    <w:rsid w:val="571679F1"/>
    <w:rsid w:val="571A713B"/>
    <w:rsid w:val="572709E0"/>
    <w:rsid w:val="574B7E86"/>
    <w:rsid w:val="575B4C3B"/>
    <w:rsid w:val="576553EC"/>
    <w:rsid w:val="57800480"/>
    <w:rsid w:val="57811AFA"/>
    <w:rsid w:val="57835872"/>
    <w:rsid w:val="57845D25"/>
    <w:rsid w:val="57A852D8"/>
    <w:rsid w:val="57AF7445"/>
    <w:rsid w:val="57BA080A"/>
    <w:rsid w:val="57BA40CB"/>
    <w:rsid w:val="57DE652D"/>
    <w:rsid w:val="57DF519E"/>
    <w:rsid w:val="580F7106"/>
    <w:rsid w:val="58123253"/>
    <w:rsid w:val="582C5F09"/>
    <w:rsid w:val="58607961"/>
    <w:rsid w:val="58675193"/>
    <w:rsid w:val="586E6522"/>
    <w:rsid w:val="587D4A45"/>
    <w:rsid w:val="588303AC"/>
    <w:rsid w:val="588B4C8B"/>
    <w:rsid w:val="58A261CC"/>
    <w:rsid w:val="58B9388E"/>
    <w:rsid w:val="58E54CC3"/>
    <w:rsid w:val="58E9186D"/>
    <w:rsid w:val="58EE51C3"/>
    <w:rsid w:val="590D1127"/>
    <w:rsid w:val="590F5E8A"/>
    <w:rsid w:val="59396B30"/>
    <w:rsid w:val="59461742"/>
    <w:rsid w:val="59480B21"/>
    <w:rsid w:val="595C281E"/>
    <w:rsid w:val="595D13D8"/>
    <w:rsid w:val="59771406"/>
    <w:rsid w:val="598C3104"/>
    <w:rsid w:val="59A2301C"/>
    <w:rsid w:val="59B51489"/>
    <w:rsid w:val="59D61B39"/>
    <w:rsid w:val="59D85DF8"/>
    <w:rsid w:val="59E06C63"/>
    <w:rsid w:val="5A062EB0"/>
    <w:rsid w:val="5A282BA3"/>
    <w:rsid w:val="5A292701"/>
    <w:rsid w:val="5A2E1B19"/>
    <w:rsid w:val="5A2F3A8F"/>
    <w:rsid w:val="5A3E3CD2"/>
    <w:rsid w:val="5A511C57"/>
    <w:rsid w:val="5A6000EC"/>
    <w:rsid w:val="5A731BCE"/>
    <w:rsid w:val="5A8A2B8D"/>
    <w:rsid w:val="5AB346C0"/>
    <w:rsid w:val="5AC266B1"/>
    <w:rsid w:val="5ACB37B8"/>
    <w:rsid w:val="5AD703AE"/>
    <w:rsid w:val="5ADF3707"/>
    <w:rsid w:val="5AF7771D"/>
    <w:rsid w:val="5AFE1DDF"/>
    <w:rsid w:val="5B033869"/>
    <w:rsid w:val="5B0E7B48"/>
    <w:rsid w:val="5B102138"/>
    <w:rsid w:val="5B1E0E25"/>
    <w:rsid w:val="5B5A2921"/>
    <w:rsid w:val="5B711F3E"/>
    <w:rsid w:val="5B774531"/>
    <w:rsid w:val="5BAC40AF"/>
    <w:rsid w:val="5BAD110F"/>
    <w:rsid w:val="5BD26DC8"/>
    <w:rsid w:val="5BF02FCB"/>
    <w:rsid w:val="5C462241"/>
    <w:rsid w:val="5C4868CC"/>
    <w:rsid w:val="5C7D568B"/>
    <w:rsid w:val="5C8946D7"/>
    <w:rsid w:val="5C974299"/>
    <w:rsid w:val="5CB169DD"/>
    <w:rsid w:val="5CFF3299"/>
    <w:rsid w:val="5D0E3E30"/>
    <w:rsid w:val="5D133A5F"/>
    <w:rsid w:val="5D4323AD"/>
    <w:rsid w:val="5D544D6E"/>
    <w:rsid w:val="5D60653C"/>
    <w:rsid w:val="5D616655"/>
    <w:rsid w:val="5D621401"/>
    <w:rsid w:val="5D6B7EBD"/>
    <w:rsid w:val="5D722610"/>
    <w:rsid w:val="5D9702C9"/>
    <w:rsid w:val="5DCA7D57"/>
    <w:rsid w:val="5DD5494D"/>
    <w:rsid w:val="5DE27796"/>
    <w:rsid w:val="5DE4727B"/>
    <w:rsid w:val="5E075275"/>
    <w:rsid w:val="5E1706BA"/>
    <w:rsid w:val="5E5166CA"/>
    <w:rsid w:val="5E616929"/>
    <w:rsid w:val="5E6301AB"/>
    <w:rsid w:val="5E714676"/>
    <w:rsid w:val="5E9860A7"/>
    <w:rsid w:val="5E9D7136"/>
    <w:rsid w:val="5EA22A81"/>
    <w:rsid w:val="5EAC3900"/>
    <w:rsid w:val="5EB266CD"/>
    <w:rsid w:val="5EB872A8"/>
    <w:rsid w:val="5EEC63F2"/>
    <w:rsid w:val="5EF552A7"/>
    <w:rsid w:val="5F4C4B1F"/>
    <w:rsid w:val="5F5928DB"/>
    <w:rsid w:val="5F6D4899"/>
    <w:rsid w:val="5F771D87"/>
    <w:rsid w:val="5F7A13D9"/>
    <w:rsid w:val="5F930AF8"/>
    <w:rsid w:val="5FA13AEE"/>
    <w:rsid w:val="5FA171DD"/>
    <w:rsid w:val="5FA840C8"/>
    <w:rsid w:val="5FBE39AD"/>
    <w:rsid w:val="5FC15189"/>
    <w:rsid w:val="5FC80BD7"/>
    <w:rsid w:val="5FD411DB"/>
    <w:rsid w:val="5FF90DC7"/>
    <w:rsid w:val="60017C7C"/>
    <w:rsid w:val="600F2399"/>
    <w:rsid w:val="60145C01"/>
    <w:rsid w:val="604007A4"/>
    <w:rsid w:val="604858AA"/>
    <w:rsid w:val="60794FF2"/>
    <w:rsid w:val="607A1B92"/>
    <w:rsid w:val="608F5287"/>
    <w:rsid w:val="60AA20C1"/>
    <w:rsid w:val="60AF1486"/>
    <w:rsid w:val="60BA09A1"/>
    <w:rsid w:val="60D630E7"/>
    <w:rsid w:val="60DD7536"/>
    <w:rsid w:val="60E46F03"/>
    <w:rsid w:val="612001E9"/>
    <w:rsid w:val="61220E83"/>
    <w:rsid w:val="61300818"/>
    <w:rsid w:val="6131633F"/>
    <w:rsid w:val="613A45BD"/>
    <w:rsid w:val="61512DC3"/>
    <w:rsid w:val="61572249"/>
    <w:rsid w:val="615D1503"/>
    <w:rsid w:val="617D3332"/>
    <w:rsid w:val="61813665"/>
    <w:rsid w:val="6185598F"/>
    <w:rsid w:val="61AF635B"/>
    <w:rsid w:val="61C64CD9"/>
    <w:rsid w:val="61C92272"/>
    <w:rsid w:val="61D70C94"/>
    <w:rsid w:val="61DB5A7C"/>
    <w:rsid w:val="61ED495B"/>
    <w:rsid w:val="621E68C3"/>
    <w:rsid w:val="62407431"/>
    <w:rsid w:val="62450C5C"/>
    <w:rsid w:val="626B78E0"/>
    <w:rsid w:val="6280757E"/>
    <w:rsid w:val="62882B1C"/>
    <w:rsid w:val="62A0552A"/>
    <w:rsid w:val="62A05DC4"/>
    <w:rsid w:val="62AC65C5"/>
    <w:rsid w:val="62E01DCA"/>
    <w:rsid w:val="62EB521A"/>
    <w:rsid w:val="62FF4946"/>
    <w:rsid w:val="630F26B0"/>
    <w:rsid w:val="630F506C"/>
    <w:rsid w:val="63144C61"/>
    <w:rsid w:val="63273E9D"/>
    <w:rsid w:val="63364070"/>
    <w:rsid w:val="634379A6"/>
    <w:rsid w:val="63556314"/>
    <w:rsid w:val="637C7D45"/>
    <w:rsid w:val="637F7680"/>
    <w:rsid w:val="63A04620"/>
    <w:rsid w:val="63A80222"/>
    <w:rsid w:val="63AC3405"/>
    <w:rsid w:val="63B70D7D"/>
    <w:rsid w:val="63B95028"/>
    <w:rsid w:val="63BC6393"/>
    <w:rsid w:val="63C416EC"/>
    <w:rsid w:val="63C57AD8"/>
    <w:rsid w:val="63DC0629"/>
    <w:rsid w:val="63FB4D53"/>
    <w:rsid w:val="640A735C"/>
    <w:rsid w:val="640E2967"/>
    <w:rsid w:val="643E1DDB"/>
    <w:rsid w:val="644C3818"/>
    <w:rsid w:val="644C3BBB"/>
    <w:rsid w:val="645779AB"/>
    <w:rsid w:val="646B538C"/>
    <w:rsid w:val="647D600E"/>
    <w:rsid w:val="649F152A"/>
    <w:rsid w:val="64B82FFF"/>
    <w:rsid w:val="64DF6129"/>
    <w:rsid w:val="64EA2103"/>
    <w:rsid w:val="64F14763"/>
    <w:rsid w:val="64F222AF"/>
    <w:rsid w:val="651C3508"/>
    <w:rsid w:val="652C50A4"/>
    <w:rsid w:val="653E102A"/>
    <w:rsid w:val="65652A5B"/>
    <w:rsid w:val="65875F01"/>
    <w:rsid w:val="6588405D"/>
    <w:rsid w:val="658C7FE7"/>
    <w:rsid w:val="65993662"/>
    <w:rsid w:val="65AE016F"/>
    <w:rsid w:val="65D200F0"/>
    <w:rsid w:val="65D86BEF"/>
    <w:rsid w:val="65F173BB"/>
    <w:rsid w:val="66167BA9"/>
    <w:rsid w:val="661C7ED9"/>
    <w:rsid w:val="664072C6"/>
    <w:rsid w:val="6673221F"/>
    <w:rsid w:val="669E5544"/>
    <w:rsid w:val="66B34B97"/>
    <w:rsid w:val="66BC0BE7"/>
    <w:rsid w:val="66CC0FE3"/>
    <w:rsid w:val="66CC2D91"/>
    <w:rsid w:val="66D46401"/>
    <w:rsid w:val="66E46B80"/>
    <w:rsid w:val="66FE4C4B"/>
    <w:rsid w:val="67241546"/>
    <w:rsid w:val="672A3641"/>
    <w:rsid w:val="67317098"/>
    <w:rsid w:val="67363981"/>
    <w:rsid w:val="673708DA"/>
    <w:rsid w:val="674535A5"/>
    <w:rsid w:val="675F44C0"/>
    <w:rsid w:val="6764746E"/>
    <w:rsid w:val="676A25AA"/>
    <w:rsid w:val="67B37AAD"/>
    <w:rsid w:val="67BB4BB4"/>
    <w:rsid w:val="67BF418F"/>
    <w:rsid w:val="67E450A9"/>
    <w:rsid w:val="681B3B41"/>
    <w:rsid w:val="68212C69"/>
    <w:rsid w:val="68214B88"/>
    <w:rsid w:val="68224C33"/>
    <w:rsid w:val="68354966"/>
    <w:rsid w:val="68541802"/>
    <w:rsid w:val="68C55CEA"/>
    <w:rsid w:val="68D036B7"/>
    <w:rsid w:val="68FD68D8"/>
    <w:rsid w:val="6906356D"/>
    <w:rsid w:val="690F51B7"/>
    <w:rsid w:val="69270753"/>
    <w:rsid w:val="692F053C"/>
    <w:rsid w:val="69430BDA"/>
    <w:rsid w:val="694A3E5D"/>
    <w:rsid w:val="696E0A9A"/>
    <w:rsid w:val="69A262CD"/>
    <w:rsid w:val="69A41DA4"/>
    <w:rsid w:val="69A43D08"/>
    <w:rsid w:val="69B55DF5"/>
    <w:rsid w:val="69B76692"/>
    <w:rsid w:val="69BD6509"/>
    <w:rsid w:val="69C17F22"/>
    <w:rsid w:val="69C34EFD"/>
    <w:rsid w:val="6A191710"/>
    <w:rsid w:val="6A5A10B5"/>
    <w:rsid w:val="6A6908F7"/>
    <w:rsid w:val="6ABC50DC"/>
    <w:rsid w:val="6AC23D01"/>
    <w:rsid w:val="6AC87D14"/>
    <w:rsid w:val="6AD803A3"/>
    <w:rsid w:val="6AF74155"/>
    <w:rsid w:val="6AFD58BD"/>
    <w:rsid w:val="6B0C3C5A"/>
    <w:rsid w:val="6B0D4FFE"/>
    <w:rsid w:val="6B221C24"/>
    <w:rsid w:val="6B23319C"/>
    <w:rsid w:val="6B367586"/>
    <w:rsid w:val="6B667A77"/>
    <w:rsid w:val="6B774D46"/>
    <w:rsid w:val="6B8A6D77"/>
    <w:rsid w:val="6BB107A8"/>
    <w:rsid w:val="6BD91AAD"/>
    <w:rsid w:val="6C1E7B69"/>
    <w:rsid w:val="6C621DE3"/>
    <w:rsid w:val="6C6972D4"/>
    <w:rsid w:val="6C6F1EA4"/>
    <w:rsid w:val="6C6F526A"/>
    <w:rsid w:val="6C8B2DA7"/>
    <w:rsid w:val="6CA6400E"/>
    <w:rsid w:val="6CF22E26"/>
    <w:rsid w:val="6D0914F3"/>
    <w:rsid w:val="6D1A742E"/>
    <w:rsid w:val="6D20174B"/>
    <w:rsid w:val="6D214429"/>
    <w:rsid w:val="6D324605"/>
    <w:rsid w:val="6D716441"/>
    <w:rsid w:val="6D8D0DA1"/>
    <w:rsid w:val="6D910891"/>
    <w:rsid w:val="6D9264BC"/>
    <w:rsid w:val="6DB34AC8"/>
    <w:rsid w:val="6DC01C88"/>
    <w:rsid w:val="6E0F4A6C"/>
    <w:rsid w:val="6E201C15"/>
    <w:rsid w:val="6E2E7ECC"/>
    <w:rsid w:val="6E3206D6"/>
    <w:rsid w:val="6E5642A5"/>
    <w:rsid w:val="6E602011"/>
    <w:rsid w:val="6E6243E1"/>
    <w:rsid w:val="6E6B2E90"/>
    <w:rsid w:val="6E930639"/>
    <w:rsid w:val="6E95110E"/>
    <w:rsid w:val="6EB72579"/>
    <w:rsid w:val="6EC735FE"/>
    <w:rsid w:val="6ECA348F"/>
    <w:rsid w:val="6ED3075F"/>
    <w:rsid w:val="6EF47329"/>
    <w:rsid w:val="6EF70BC7"/>
    <w:rsid w:val="6EF74724"/>
    <w:rsid w:val="6EFF42EB"/>
    <w:rsid w:val="6F203A84"/>
    <w:rsid w:val="6F245233"/>
    <w:rsid w:val="6F2E3EBD"/>
    <w:rsid w:val="6F3F60CB"/>
    <w:rsid w:val="6F5558EE"/>
    <w:rsid w:val="6F5B1156"/>
    <w:rsid w:val="6F751AEC"/>
    <w:rsid w:val="6F7F4719"/>
    <w:rsid w:val="6F832989"/>
    <w:rsid w:val="6F864031"/>
    <w:rsid w:val="6F8A4B2B"/>
    <w:rsid w:val="6F8B0B99"/>
    <w:rsid w:val="6FA11970"/>
    <w:rsid w:val="6FB95E7D"/>
    <w:rsid w:val="6FC33ACF"/>
    <w:rsid w:val="6FCF56A0"/>
    <w:rsid w:val="6FD418AD"/>
    <w:rsid w:val="704E0CBB"/>
    <w:rsid w:val="70501BB5"/>
    <w:rsid w:val="705A4C09"/>
    <w:rsid w:val="70617EC8"/>
    <w:rsid w:val="707A20B1"/>
    <w:rsid w:val="707E0282"/>
    <w:rsid w:val="70812E3F"/>
    <w:rsid w:val="708F4524"/>
    <w:rsid w:val="70991D7A"/>
    <w:rsid w:val="70C25205"/>
    <w:rsid w:val="70E248CD"/>
    <w:rsid w:val="70F52EE5"/>
    <w:rsid w:val="712156AB"/>
    <w:rsid w:val="7130216F"/>
    <w:rsid w:val="71461B7D"/>
    <w:rsid w:val="71477CD0"/>
    <w:rsid w:val="715B3C16"/>
    <w:rsid w:val="71681909"/>
    <w:rsid w:val="7185070D"/>
    <w:rsid w:val="71A010A2"/>
    <w:rsid w:val="71B22914"/>
    <w:rsid w:val="71D5345C"/>
    <w:rsid w:val="71E73175"/>
    <w:rsid w:val="71F039A4"/>
    <w:rsid w:val="71F11F74"/>
    <w:rsid w:val="72473C14"/>
    <w:rsid w:val="726A7902"/>
    <w:rsid w:val="72750CA3"/>
    <w:rsid w:val="728409C4"/>
    <w:rsid w:val="72942C5F"/>
    <w:rsid w:val="72943314"/>
    <w:rsid w:val="7295792B"/>
    <w:rsid w:val="72A961B1"/>
    <w:rsid w:val="72C12EE0"/>
    <w:rsid w:val="72CE6C35"/>
    <w:rsid w:val="72F826A1"/>
    <w:rsid w:val="73010267"/>
    <w:rsid w:val="731F25E1"/>
    <w:rsid w:val="734B3E2F"/>
    <w:rsid w:val="73522870"/>
    <w:rsid w:val="73696D7E"/>
    <w:rsid w:val="737E7D7B"/>
    <w:rsid w:val="739015EB"/>
    <w:rsid w:val="73A070BE"/>
    <w:rsid w:val="73AA445A"/>
    <w:rsid w:val="73AF1221"/>
    <w:rsid w:val="73B40E35"/>
    <w:rsid w:val="73CC1F06"/>
    <w:rsid w:val="73EA0CFB"/>
    <w:rsid w:val="74040D09"/>
    <w:rsid w:val="745F66ED"/>
    <w:rsid w:val="74826A17"/>
    <w:rsid w:val="74BD640F"/>
    <w:rsid w:val="74E514C2"/>
    <w:rsid w:val="74E90725"/>
    <w:rsid w:val="74F00593"/>
    <w:rsid w:val="74F30675"/>
    <w:rsid w:val="74F51705"/>
    <w:rsid w:val="750078FB"/>
    <w:rsid w:val="75175B20"/>
    <w:rsid w:val="751C3E82"/>
    <w:rsid w:val="752635D2"/>
    <w:rsid w:val="752B5127"/>
    <w:rsid w:val="752F3287"/>
    <w:rsid w:val="7534591D"/>
    <w:rsid w:val="753C3B04"/>
    <w:rsid w:val="757B54AB"/>
    <w:rsid w:val="759772D7"/>
    <w:rsid w:val="759D304D"/>
    <w:rsid w:val="75BE243F"/>
    <w:rsid w:val="75C34064"/>
    <w:rsid w:val="75CA7C6D"/>
    <w:rsid w:val="75FB0B46"/>
    <w:rsid w:val="760746A1"/>
    <w:rsid w:val="761958C7"/>
    <w:rsid w:val="762640F9"/>
    <w:rsid w:val="766528BB"/>
    <w:rsid w:val="767679C0"/>
    <w:rsid w:val="7682346D"/>
    <w:rsid w:val="768B79A1"/>
    <w:rsid w:val="76CB4EF4"/>
    <w:rsid w:val="76D55916"/>
    <w:rsid w:val="76D72E23"/>
    <w:rsid w:val="76DD59DF"/>
    <w:rsid w:val="76F51E90"/>
    <w:rsid w:val="76F61765"/>
    <w:rsid w:val="77004391"/>
    <w:rsid w:val="775C3CBE"/>
    <w:rsid w:val="775D7F99"/>
    <w:rsid w:val="777D1E86"/>
    <w:rsid w:val="77940F04"/>
    <w:rsid w:val="779B7915"/>
    <w:rsid w:val="77F14573"/>
    <w:rsid w:val="77FF289B"/>
    <w:rsid w:val="780B7492"/>
    <w:rsid w:val="78101336"/>
    <w:rsid w:val="781A0349"/>
    <w:rsid w:val="7827085A"/>
    <w:rsid w:val="7855323B"/>
    <w:rsid w:val="78656BA2"/>
    <w:rsid w:val="78A25FC3"/>
    <w:rsid w:val="78A74E1C"/>
    <w:rsid w:val="78B33A12"/>
    <w:rsid w:val="78B410C1"/>
    <w:rsid w:val="78F14974"/>
    <w:rsid w:val="7917715F"/>
    <w:rsid w:val="794A5D98"/>
    <w:rsid w:val="79507852"/>
    <w:rsid w:val="795C4A93"/>
    <w:rsid w:val="79A34F61"/>
    <w:rsid w:val="79A60B66"/>
    <w:rsid w:val="79AD76D8"/>
    <w:rsid w:val="79B3393D"/>
    <w:rsid w:val="79B85F2C"/>
    <w:rsid w:val="79C142AC"/>
    <w:rsid w:val="79C66CD5"/>
    <w:rsid w:val="79D73ACF"/>
    <w:rsid w:val="79E306C6"/>
    <w:rsid w:val="79E35140"/>
    <w:rsid w:val="79F74132"/>
    <w:rsid w:val="7A066163"/>
    <w:rsid w:val="7A1940E8"/>
    <w:rsid w:val="7A1B2203"/>
    <w:rsid w:val="7A1F5BDD"/>
    <w:rsid w:val="7A230AC3"/>
    <w:rsid w:val="7A2D7B93"/>
    <w:rsid w:val="7A3743B5"/>
    <w:rsid w:val="7A4131B6"/>
    <w:rsid w:val="7A55402C"/>
    <w:rsid w:val="7A756769"/>
    <w:rsid w:val="7A791842"/>
    <w:rsid w:val="7A9521FB"/>
    <w:rsid w:val="7A980753"/>
    <w:rsid w:val="7AA5597C"/>
    <w:rsid w:val="7ACE4ED2"/>
    <w:rsid w:val="7AE04C06"/>
    <w:rsid w:val="7AEA5A84"/>
    <w:rsid w:val="7AF95CC7"/>
    <w:rsid w:val="7B474C85"/>
    <w:rsid w:val="7B4A4AE8"/>
    <w:rsid w:val="7B512E8E"/>
    <w:rsid w:val="7B713AB0"/>
    <w:rsid w:val="7B737828"/>
    <w:rsid w:val="7B7703D1"/>
    <w:rsid w:val="7B95105C"/>
    <w:rsid w:val="7BBA5457"/>
    <w:rsid w:val="7BE95A94"/>
    <w:rsid w:val="7BF5648F"/>
    <w:rsid w:val="7BF77F9C"/>
    <w:rsid w:val="7BFF3890"/>
    <w:rsid w:val="7C5E5DE2"/>
    <w:rsid w:val="7C63164A"/>
    <w:rsid w:val="7C6F6241"/>
    <w:rsid w:val="7C8204B4"/>
    <w:rsid w:val="7CBD2C36"/>
    <w:rsid w:val="7CCF0A8E"/>
    <w:rsid w:val="7CD3115D"/>
    <w:rsid w:val="7CDB4F2C"/>
    <w:rsid w:val="7CE309DD"/>
    <w:rsid w:val="7CFB1883"/>
    <w:rsid w:val="7CFBD1B6"/>
    <w:rsid w:val="7D1444F3"/>
    <w:rsid w:val="7D412A8D"/>
    <w:rsid w:val="7D576338"/>
    <w:rsid w:val="7D58558B"/>
    <w:rsid w:val="7D6301D4"/>
    <w:rsid w:val="7D731D61"/>
    <w:rsid w:val="7D9B0433"/>
    <w:rsid w:val="7D9F4904"/>
    <w:rsid w:val="7DA22646"/>
    <w:rsid w:val="7DA95783"/>
    <w:rsid w:val="7DBF4FA6"/>
    <w:rsid w:val="7DD86068"/>
    <w:rsid w:val="7DE71E07"/>
    <w:rsid w:val="7DF52673"/>
    <w:rsid w:val="7E453AB3"/>
    <w:rsid w:val="7E4E5490"/>
    <w:rsid w:val="7E524281"/>
    <w:rsid w:val="7E751B09"/>
    <w:rsid w:val="7E8B0888"/>
    <w:rsid w:val="7E924469"/>
    <w:rsid w:val="7E9C34EC"/>
    <w:rsid w:val="7EB119B6"/>
    <w:rsid w:val="7EBC3294"/>
    <w:rsid w:val="7EC02D84"/>
    <w:rsid w:val="7EC55276"/>
    <w:rsid w:val="7EC565EC"/>
    <w:rsid w:val="7F086780"/>
    <w:rsid w:val="7F21759B"/>
    <w:rsid w:val="7F9703BE"/>
    <w:rsid w:val="7FB977D3"/>
    <w:rsid w:val="7FBC6124"/>
    <w:rsid w:val="7FBE4DEA"/>
    <w:rsid w:val="7FD61336"/>
    <w:rsid w:val="7FDD34C2"/>
    <w:rsid w:val="DFDA3238"/>
    <w:rsid w:val="FBEFC1C6"/>
    <w:rsid w:val="FFD7E5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4">
    <w:name w:val="heading 2"/>
    <w:basedOn w:val="1"/>
    <w:next w:val="1"/>
    <w:link w:val="45"/>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link w:val="46"/>
    <w:qFormat/>
    <w:uiPriority w:val="0"/>
    <w:pPr>
      <w:keepNext/>
      <w:keepLines/>
      <w:spacing w:before="260" w:after="260" w:line="413" w:lineRule="auto"/>
      <w:jc w:val="center"/>
      <w:outlineLvl w:val="2"/>
    </w:pPr>
    <w:rPr>
      <w:b/>
      <w:sz w:val="44"/>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7">
    <w:name w:val="Normal Indent"/>
    <w:basedOn w:val="1"/>
    <w:qFormat/>
    <w:uiPriority w:val="0"/>
    <w:pPr>
      <w:adjustRightInd w:val="0"/>
      <w:snapToGrid w:val="0"/>
      <w:spacing w:line="360" w:lineRule="auto"/>
      <w:ind w:firstLine="420"/>
    </w:pPr>
    <w:rPr>
      <w:sz w:val="24"/>
    </w:rPr>
  </w:style>
  <w:style w:type="paragraph" w:styleId="8">
    <w:name w:val="caption"/>
    <w:basedOn w:val="1"/>
    <w:next w:val="1"/>
    <w:qFormat/>
    <w:uiPriority w:val="0"/>
    <w:pPr>
      <w:widowControl/>
      <w:tabs>
        <w:tab w:val="left" w:pos="1134"/>
      </w:tabs>
      <w:spacing w:line="280" w:lineRule="atLeast"/>
      <w:jc w:val="left"/>
    </w:pPr>
    <w:rPr>
      <w:rFonts w:eastAsia="PMingLiU"/>
      <w:b/>
      <w:kern w:val="0"/>
      <w:sz w:val="24"/>
      <w:lang w:eastAsia="zh-TW"/>
    </w:rPr>
  </w:style>
  <w:style w:type="paragraph" w:styleId="9">
    <w:name w:val="toa heading"/>
    <w:basedOn w:val="1"/>
    <w:next w:val="1"/>
    <w:qFormat/>
    <w:uiPriority w:val="0"/>
    <w:pPr>
      <w:spacing w:before="120"/>
    </w:pPr>
    <w:rPr>
      <w:rFonts w:ascii="Arial" w:hAnsi="Arial"/>
      <w:sz w:val="24"/>
    </w:rPr>
  </w:style>
  <w:style w:type="paragraph" w:styleId="10">
    <w:name w:val="annotation text"/>
    <w:basedOn w:val="1"/>
    <w:link w:val="47"/>
    <w:qFormat/>
    <w:uiPriority w:val="0"/>
    <w:pPr>
      <w:jc w:val="left"/>
    </w:pPr>
  </w:style>
  <w:style w:type="paragraph" w:styleId="11">
    <w:name w:val="Body Text Indent"/>
    <w:basedOn w:val="1"/>
    <w:next w:val="12"/>
    <w:qFormat/>
    <w:uiPriority w:val="0"/>
    <w:pPr>
      <w:spacing w:line="700" w:lineRule="exact"/>
      <w:ind w:left="960"/>
    </w:pPr>
    <w:rPr>
      <w:sz w:val="44"/>
    </w:rPr>
  </w:style>
  <w:style w:type="paragraph" w:styleId="12">
    <w:name w:val="envelope return"/>
    <w:basedOn w:val="1"/>
    <w:semiHidden/>
    <w:qFormat/>
    <w:uiPriority w:val="0"/>
    <w:pPr>
      <w:snapToGrid w:val="0"/>
    </w:pPr>
    <w:rPr>
      <w:rFonts w:ascii="Arial" w:hAnsi="Arial" w:cs="Arial"/>
    </w:rPr>
  </w:style>
  <w:style w:type="paragraph" w:styleId="13">
    <w:name w:val="Plain Text"/>
    <w:basedOn w:val="1"/>
    <w:qFormat/>
    <w:uiPriority w:val="0"/>
    <w:rPr>
      <w:rFonts w:hAnsi="Courier New"/>
      <w:kern w:val="0"/>
      <w:sz w:val="20"/>
      <w:szCs w:val="20"/>
    </w:rPr>
  </w:style>
  <w:style w:type="paragraph" w:styleId="14">
    <w:name w:val="Date"/>
    <w:basedOn w:val="1"/>
    <w:next w:val="1"/>
    <w:qFormat/>
    <w:uiPriority w:val="0"/>
  </w:style>
  <w:style w:type="paragraph" w:styleId="15">
    <w:name w:val="Body Text Indent 2"/>
    <w:basedOn w:val="1"/>
    <w:qFormat/>
    <w:uiPriority w:val="99"/>
    <w:pPr>
      <w:snapToGrid w:val="0"/>
      <w:spacing w:line="560" w:lineRule="atLeast"/>
      <w:ind w:firstLine="540"/>
    </w:p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rFonts w:eastAsia="宋体"/>
      <w:sz w:val="18"/>
    </w:rPr>
  </w:style>
  <w:style w:type="paragraph" w:styleId="18">
    <w:name w:val="header"/>
    <w:basedOn w:val="1"/>
    <w:next w:val="8"/>
    <w:qFormat/>
    <w:uiPriority w:val="0"/>
    <w:pPr>
      <w:pBdr>
        <w:bottom w:val="single" w:color="auto" w:sz="6" w:space="1"/>
      </w:pBdr>
      <w:tabs>
        <w:tab w:val="center" w:pos="4153"/>
        <w:tab w:val="right" w:pos="8306"/>
      </w:tabs>
      <w:snapToGrid w:val="0"/>
      <w:jc w:val="center"/>
    </w:pPr>
    <w:rPr>
      <w:rFonts w:eastAsia="宋体"/>
      <w:sz w:val="18"/>
    </w:rPr>
  </w:style>
  <w:style w:type="paragraph" w:styleId="19">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20">
    <w:name w:val="toc 2"/>
    <w:basedOn w:val="1"/>
    <w:next w:val="1"/>
    <w:qFormat/>
    <w:uiPriority w:val="39"/>
    <w:pPr>
      <w:tabs>
        <w:tab w:val="right" w:leader="dot" w:pos="8400"/>
      </w:tabs>
      <w:spacing w:line="440" w:lineRule="exact"/>
      <w:ind w:left="280" w:leftChars="100" w:right="-91" w:rightChars="-91"/>
    </w:p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qFormat/>
    <w:uiPriority w:val="0"/>
    <w:rPr>
      <w:sz w:val="24"/>
    </w:rPr>
  </w:style>
  <w:style w:type="paragraph" w:styleId="23">
    <w:name w:val="Title"/>
    <w:basedOn w:val="1"/>
    <w:next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24">
    <w:name w:val="annotation subject"/>
    <w:basedOn w:val="10"/>
    <w:next w:val="10"/>
    <w:link w:val="48"/>
    <w:qFormat/>
    <w:uiPriority w:val="0"/>
    <w:rPr>
      <w:b/>
      <w:bCs/>
    </w:rPr>
  </w:style>
  <w:style w:type="paragraph" w:styleId="25">
    <w:name w:val="Body Text First Indent"/>
    <w:basedOn w:val="2"/>
    <w:next w:val="1"/>
    <w:qFormat/>
    <w:uiPriority w:val="0"/>
    <w:pPr>
      <w:spacing w:line="360" w:lineRule="auto"/>
      <w:ind w:firstLine="420"/>
    </w:pPr>
    <w:rPr>
      <w:rFonts w:ascii="宋体" w:hAnsi="宋体"/>
      <w:sz w:val="24"/>
    </w:rPr>
  </w:style>
  <w:style w:type="paragraph" w:styleId="26">
    <w:name w:val="Body Text First Indent 2"/>
    <w:basedOn w:val="11"/>
    <w:qFormat/>
    <w:uiPriority w:val="0"/>
    <w:pPr>
      <w:spacing w:line="240" w:lineRule="auto"/>
      <w:ind w:left="420" w:leftChars="200" w:firstLine="420" w:firstLineChars="200"/>
    </w:pPr>
    <w:rPr>
      <w:sz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FollowedHyperlink"/>
    <w:basedOn w:val="29"/>
    <w:qFormat/>
    <w:uiPriority w:val="0"/>
    <w:rPr>
      <w:color w:val="000000"/>
      <w:u w:val="none"/>
    </w:rPr>
  </w:style>
  <w:style w:type="character" w:styleId="33">
    <w:name w:val="Emphasis"/>
    <w:basedOn w:val="29"/>
    <w:qFormat/>
    <w:uiPriority w:val="0"/>
    <w:rPr>
      <w:i/>
      <w:iCs/>
    </w:rPr>
  </w:style>
  <w:style w:type="character" w:styleId="34">
    <w:name w:val="Hyperlink"/>
    <w:qFormat/>
    <w:uiPriority w:val="99"/>
    <w:rPr>
      <w:color w:val="0000FF"/>
      <w:u w:val="single"/>
    </w:rPr>
  </w:style>
  <w:style w:type="character" w:styleId="35">
    <w:name w:val="HTML Code"/>
    <w:basedOn w:val="29"/>
    <w:qFormat/>
    <w:uiPriority w:val="0"/>
    <w:rPr>
      <w:rFonts w:ascii="Consolas" w:hAnsi="Consolas" w:eastAsia="Consolas" w:cs="Consolas"/>
      <w:color w:val="DD1144"/>
      <w:sz w:val="12"/>
      <w:szCs w:val="12"/>
      <w:bdr w:val="single" w:color="E1E1E8" w:sz="4" w:space="0"/>
      <w:shd w:val="clear" w:fill="F7F7F9"/>
    </w:rPr>
  </w:style>
  <w:style w:type="character" w:styleId="36">
    <w:name w:val="annotation reference"/>
    <w:basedOn w:val="29"/>
    <w:qFormat/>
    <w:uiPriority w:val="0"/>
    <w:rPr>
      <w:sz w:val="21"/>
      <w:szCs w:val="21"/>
    </w:rPr>
  </w:style>
  <w:style w:type="character" w:styleId="37">
    <w:name w:val="HTML Cite"/>
    <w:basedOn w:val="29"/>
    <w:qFormat/>
    <w:uiPriority w:val="0"/>
  </w:style>
  <w:style w:type="paragraph" w:customStyle="1" w:styleId="38">
    <w:name w:val="Quote"/>
    <w:basedOn w:val="1"/>
    <w:next w:val="1"/>
    <w:qFormat/>
    <w:uiPriority w:val="29"/>
    <w:pPr>
      <w:spacing w:beforeLines="50" w:afterLines="50" w:line="360" w:lineRule="auto"/>
    </w:pPr>
    <w:rPr>
      <w:i/>
      <w:iCs/>
      <w:color w:val="000000"/>
      <w:sz w:val="21"/>
      <w:szCs w:val="24"/>
      <w:lang w:val="zh-CN"/>
    </w:rPr>
  </w:style>
  <w:style w:type="paragraph" w:customStyle="1" w:styleId="39">
    <w:name w:val="样式 宋体 五号 行距: 单倍行距"/>
    <w:basedOn w:val="1"/>
    <w:qFormat/>
    <w:uiPriority w:val="0"/>
    <w:pPr>
      <w:adjustRightInd w:val="0"/>
      <w:jc w:val="left"/>
    </w:pPr>
    <w:rPr>
      <w:rFonts w:ascii="宋体" w:hAnsi="宋体"/>
      <w:kern w:val="0"/>
      <w:sz w:val="21"/>
    </w:rPr>
  </w:style>
  <w:style w:type="paragraph" w:customStyle="1" w:styleId="40">
    <w:name w:val="无间隔1"/>
    <w:qFormat/>
    <w:uiPriority w:val="1"/>
    <w:pPr>
      <w:jc w:val="both"/>
    </w:pPr>
    <w:rPr>
      <w:rFonts w:ascii="Times New Roman" w:hAnsi="Times New Roman" w:eastAsia="Times New Roman" w:cs="Times New Roman"/>
      <w:lang w:val="en-US" w:eastAsia="zh-CN" w:bidi="ar-SA"/>
    </w:rPr>
  </w:style>
  <w:style w:type="paragraph" w:customStyle="1" w:styleId="41">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4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3">
    <w:name w:val="1"/>
    <w:basedOn w:val="1"/>
    <w:qFormat/>
    <w:uiPriority w:val="0"/>
    <w:rPr>
      <w:rFonts w:ascii="Tahoma" w:hAnsi="Tahoma"/>
      <w:sz w:val="24"/>
    </w:rPr>
  </w:style>
  <w:style w:type="paragraph" w:customStyle="1" w:styleId="44">
    <w:name w:val="标书正文1"/>
    <w:basedOn w:val="1"/>
    <w:qFormat/>
    <w:uiPriority w:val="0"/>
    <w:pPr>
      <w:spacing w:line="520" w:lineRule="exact"/>
      <w:ind w:firstLine="640" w:firstLineChars="200"/>
    </w:pPr>
  </w:style>
  <w:style w:type="character" w:customStyle="1" w:styleId="45">
    <w:name w:val="标题 2 字符"/>
    <w:link w:val="4"/>
    <w:qFormat/>
    <w:uiPriority w:val="0"/>
    <w:rPr>
      <w:rFonts w:ascii="宋体" w:hAnsi="宋体"/>
    </w:rPr>
  </w:style>
  <w:style w:type="character" w:customStyle="1" w:styleId="46">
    <w:name w:val="标题 3 字符"/>
    <w:link w:val="5"/>
    <w:qFormat/>
    <w:uiPriority w:val="0"/>
    <w:rPr>
      <w:b/>
      <w:sz w:val="44"/>
    </w:rPr>
  </w:style>
  <w:style w:type="character" w:customStyle="1" w:styleId="47">
    <w:name w:val="批注文字 字符"/>
    <w:basedOn w:val="29"/>
    <w:link w:val="10"/>
    <w:qFormat/>
    <w:uiPriority w:val="0"/>
    <w:rPr>
      <w:rFonts w:ascii="等线" w:hAnsi="等线" w:eastAsia="等线"/>
      <w:kern w:val="2"/>
      <w:sz w:val="21"/>
      <w:szCs w:val="22"/>
    </w:rPr>
  </w:style>
  <w:style w:type="character" w:customStyle="1" w:styleId="48">
    <w:name w:val="批注主题 字符"/>
    <w:basedOn w:val="47"/>
    <w:link w:val="24"/>
    <w:qFormat/>
    <w:uiPriority w:val="0"/>
    <w:rPr>
      <w:rFonts w:ascii="等线" w:hAnsi="等线" w:eastAsia="等线"/>
      <w:b/>
      <w:bCs/>
      <w:kern w:val="2"/>
      <w:sz w:val="21"/>
      <w:szCs w:val="22"/>
    </w:rPr>
  </w:style>
  <w:style w:type="paragraph" w:customStyle="1" w:styleId="49">
    <w:name w:val="p0"/>
    <w:basedOn w:val="1"/>
    <w:qFormat/>
    <w:uiPriority w:val="0"/>
    <w:pPr>
      <w:widowControl/>
    </w:pPr>
    <w:rPr>
      <w:kern w:val="0"/>
      <w:sz w:val="20"/>
      <w:szCs w:val="21"/>
    </w:rPr>
  </w:style>
  <w:style w:type="paragraph" w:customStyle="1" w:styleId="50">
    <w:name w:val="图例"/>
    <w:basedOn w:val="1"/>
    <w:qFormat/>
    <w:uiPriority w:val="99"/>
    <w:pPr>
      <w:spacing w:before="120" w:after="120" w:line="360" w:lineRule="auto"/>
      <w:jc w:val="center"/>
    </w:pPr>
    <w:rPr>
      <w:rFonts w:eastAsia="仿宋_GB2312"/>
      <w:b/>
      <w:sz w:val="24"/>
    </w:rPr>
  </w:style>
  <w:style w:type="paragraph" w:customStyle="1" w:styleId="51">
    <w:name w:val="Heading1"/>
    <w:basedOn w:val="1"/>
    <w:next w:val="1"/>
    <w:qFormat/>
    <w:uiPriority w:val="0"/>
    <w:pPr>
      <w:keepNext/>
      <w:tabs>
        <w:tab w:val="left" w:pos="3360"/>
      </w:tabs>
      <w:snapToGrid w:val="0"/>
      <w:spacing w:before="312" w:after="156" w:line="800" w:lineRule="atLeast"/>
      <w:jc w:val="center"/>
      <w:textAlignment w:val="baseline"/>
    </w:pPr>
    <w:rPr>
      <w:rFonts w:eastAsia="黑体"/>
      <w:kern w:val="2"/>
      <w:sz w:val="44"/>
      <w:lang w:val="en-US" w:eastAsia="zh-CN" w:bidi="ar-SA"/>
    </w:rPr>
  </w:style>
  <w:style w:type="paragraph" w:customStyle="1" w:styleId="52">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53">
    <w:name w:val="正文1"/>
    <w:basedOn w:val="1"/>
    <w:next w:val="1"/>
    <w:qFormat/>
    <w:uiPriority w:val="0"/>
    <w:pPr>
      <w:spacing w:line="300" w:lineRule="auto"/>
      <w:ind w:firstLine="200" w:firstLineChars="200"/>
    </w:pPr>
    <w:rPr>
      <w:sz w:val="24"/>
    </w:rPr>
  </w:style>
  <w:style w:type="character" w:customStyle="1" w:styleId="54">
    <w:name w:val="active7"/>
    <w:basedOn w:val="29"/>
    <w:qFormat/>
    <w:uiPriority w:val="0"/>
    <w:rPr>
      <w:color w:val="FFFFFF"/>
      <w:shd w:val="clear" w:fill="E02F23"/>
    </w:rPr>
  </w:style>
  <w:style w:type="paragraph" w:customStyle="1" w:styleId="55">
    <w:name w:val="BodyText"/>
    <w:basedOn w:val="1"/>
    <w:qFormat/>
    <w:uiPriority w:val="99"/>
    <w:pPr>
      <w:textAlignment w:val="baseline"/>
    </w:pPr>
    <w:rPr>
      <w:rFonts w:ascii="仿宋_GB2312" w:eastAsia="仿宋_GB2312"/>
      <w:sz w:val="32"/>
    </w:rPr>
  </w:style>
  <w:style w:type="character" w:customStyle="1" w:styleId="56">
    <w:name w:val="NormalCharacter"/>
    <w:qFormat/>
    <w:uiPriority w:val="0"/>
  </w:style>
  <w:style w:type="paragraph" w:customStyle="1" w:styleId="5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character" w:customStyle="1" w:styleId="58">
    <w:name w:val="active"/>
    <w:basedOn w:val="29"/>
    <w:qFormat/>
    <w:uiPriority w:val="0"/>
    <w:rPr>
      <w:color w:val="FFFFFF"/>
      <w:shd w:val="clear" w:fill="E02F23"/>
    </w:rPr>
  </w:style>
  <w:style w:type="character" w:customStyle="1" w:styleId="59">
    <w:name w:val="font51"/>
    <w:basedOn w:val="29"/>
    <w:qFormat/>
    <w:uiPriority w:val="0"/>
    <w:rPr>
      <w:rFonts w:hint="eastAsia" w:ascii="宋体" w:hAnsi="宋体" w:eastAsia="宋体" w:cs="宋体"/>
      <w:color w:val="000000"/>
      <w:sz w:val="20"/>
      <w:szCs w:val="20"/>
      <w:u w:val="none"/>
    </w:rPr>
  </w:style>
  <w:style w:type="paragraph" w:customStyle="1" w:styleId="60">
    <w:name w:val="null3"/>
    <w:qFormat/>
    <w:uiPriority w:val="0"/>
    <w:rPr>
      <w:rFonts w:hint="eastAsia" w:ascii="Calibri" w:hAnsi="Calibri" w:eastAsia="宋体" w:cs="Times New Roman"/>
      <w:lang w:val="en-US" w:eastAsia="zh-Hans"/>
    </w:rPr>
  </w:style>
  <w:style w:type="paragraph" w:customStyle="1" w:styleId="61">
    <w:name w:val="样式 样式 左侧:  2 字符 + 左侧:  0.85 厘米 首行缩进:  2 字符1"/>
    <w:qFormat/>
    <w:uiPriority w:val="0"/>
    <w:pPr>
      <w:widowControl w:val="0"/>
      <w:ind w:left="482" w:firstLine="200" w:firstLineChars="200"/>
      <w:jc w:val="both"/>
    </w:pPr>
    <w:rPr>
      <w:rFonts w:ascii="Calibri" w:hAnsi="Calibri" w:eastAsia="宋体" w:cs="宋体"/>
      <w:kern w:val="2"/>
      <w:sz w:val="21"/>
      <w:lang w:val="en-US" w:eastAsia="zh-CN" w:bidi="ar-SA"/>
    </w:rPr>
  </w:style>
  <w:style w:type="character" w:customStyle="1" w:styleId="62">
    <w:name w:val="font71"/>
    <w:basedOn w:val="29"/>
    <w:qFormat/>
    <w:uiPriority w:val="0"/>
    <w:rPr>
      <w:rFonts w:ascii="微软雅黑" w:hAnsi="微软雅黑" w:eastAsia="微软雅黑" w:cs="微软雅黑"/>
      <w:color w:val="808080"/>
      <w:sz w:val="21"/>
      <w:szCs w:val="21"/>
      <w:u w:val="none"/>
    </w:rPr>
  </w:style>
  <w:style w:type="character" w:customStyle="1" w:styleId="63">
    <w:name w:val="font11"/>
    <w:basedOn w:val="29"/>
    <w:qFormat/>
    <w:uiPriority w:val="0"/>
    <w:rPr>
      <w:rFonts w:hint="default" w:ascii="Times New Roman" w:hAnsi="Times New Roman" w:cs="Times New Roman"/>
      <w:color w:val="000000"/>
      <w:sz w:val="24"/>
      <w:szCs w:val="24"/>
      <w:u w:val="none"/>
    </w:rPr>
  </w:style>
  <w:style w:type="character" w:customStyle="1" w:styleId="64">
    <w:name w:val="font21"/>
    <w:basedOn w:val="29"/>
    <w:qFormat/>
    <w:uiPriority w:val="0"/>
    <w:rPr>
      <w:rFonts w:hint="eastAsia" w:ascii="方正仿宋_GBK" w:hAnsi="方正仿宋_GBK" w:eastAsia="方正仿宋_GBK" w:cs="方正仿宋_GBK"/>
      <w:color w:val="000000"/>
      <w:sz w:val="24"/>
      <w:szCs w:val="24"/>
      <w:u w:val="none"/>
    </w:rPr>
  </w:style>
  <w:style w:type="table" w:customStyle="1" w:styleId="65">
    <w:name w:val="网格型1"/>
    <w:basedOn w:val="66"/>
    <w:qFormat/>
    <w:uiPriority w:val="0"/>
    <w:tblPr>
      <w:tblCellMar>
        <w:top w:w="0" w:type="dxa"/>
        <w:left w:w="0" w:type="dxa"/>
        <w:bottom w:w="0" w:type="dxa"/>
        <w:right w:w="0" w:type="dxa"/>
      </w:tblCellMar>
    </w:tblPr>
  </w:style>
  <w:style w:type="table" w:customStyle="1" w:styleId="66">
    <w:name w:val="普通表格1"/>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4960</Words>
  <Characters>5731</Characters>
  <Lines>232</Lines>
  <Paragraphs>65</Paragraphs>
  <TotalTime>14</TotalTime>
  <ScaleCrop>false</ScaleCrop>
  <LinksUpToDate>false</LinksUpToDate>
  <CharactersWithSpaces>5966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2022-06-20T08:39:00Z</dcterms:created>
  <dc:creator>Administrator</dc:creator>
  <cp:lastModifiedBy>聚创</cp:lastModifiedBy>
  <cp:lastPrinted>2021-07-14T11:22:00Z</cp:lastPrinted>
  <dcterms:modified xsi:type="dcterms:W3CDTF">2026-03-06T02:46:01Z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72613F53AE6C470F9EF964776EB94E88_13</vt:lpwstr>
  </property>
  <property fmtid="{D5CDD505-2E9C-101B-9397-08002B2CF9AE}" pid="4" name="KSOTemplateDocerSaveRecord">
    <vt:lpwstr>eyJoZGlkIjoiNTE5ZDBmMmIyNzk1ODQzODZlOTgyMWE1YjYwMmYxMGYiLCJ1c2VySWQiOiI2OTMwNTkyNDQifQ==</vt:lpwstr>
  </property>
</Properties>
</file>