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532F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项目名称：</w:t>
      </w:r>
      <w:r>
        <w:rPr>
          <w:rFonts w:hint="eastAsia" w:asciiTheme="minorEastAsia" w:hAnsiTheme="minorEastAsia" w:eastAsiaTheme="minorEastAsia" w:cstheme="minorEastAsia"/>
          <w:b/>
          <w:bCs/>
          <w:color w:val="auto"/>
          <w:sz w:val="36"/>
          <w:szCs w:val="36"/>
          <w:highlight w:val="none"/>
          <w:lang w:val="en-US" w:eastAsia="zh-CN"/>
        </w:rPr>
        <w:t>云阳县中医院病理远程诊断及外检服务</w:t>
      </w:r>
    </w:p>
    <w:p w14:paraId="51AFFAA0">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sz w:val="36"/>
          <w:szCs w:val="36"/>
          <w:lang w:eastAsia="zh-CN"/>
        </w:rPr>
      </w:pPr>
    </w:p>
    <w:p w14:paraId="2F2C76B6">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sz w:val="36"/>
          <w:szCs w:val="36"/>
          <w:lang w:eastAsia="zh-CN"/>
        </w:rPr>
        <w:t>（综合评分法）</w:t>
      </w:r>
    </w:p>
    <w:p w14:paraId="5E9DD296">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36"/>
          <w:szCs w:val="36"/>
          <w:highlight w:val="none"/>
          <w:lang w:val="en-US" w:eastAsia="zh-CN"/>
        </w:rPr>
      </w:pPr>
    </w:p>
    <w:p w14:paraId="1CFDEB45">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72"/>
          <w:szCs w:val="72"/>
          <w:highlight w:val="none"/>
          <w:lang w:val="en-US" w:eastAsia="zh-CN"/>
        </w:rPr>
      </w:pPr>
    </w:p>
    <w:p w14:paraId="6B14616E">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72"/>
          <w:szCs w:val="72"/>
          <w:highlight w:val="none"/>
          <w:lang w:val="en-US" w:eastAsia="zh-CN"/>
        </w:rPr>
        <w:t xml:space="preserve"> </w:t>
      </w:r>
    </w:p>
    <w:p w14:paraId="2F7954AE">
      <w:pPr>
        <w:pStyle w:val="10"/>
        <w:pageBreakBefore w:val="0"/>
        <w:kinsoku/>
        <w:overflowPunct/>
        <w:topLinePunct w:val="0"/>
        <w:autoSpaceDE/>
        <w:autoSpaceDN/>
        <w:bidi w:val="0"/>
        <w:adjustRightInd/>
        <w:spacing w:line="360" w:lineRule="auto"/>
        <w:ind w:left="0" w:leftChars="0" w:firstLine="0" w:firstLineChars="0"/>
        <w:jc w:val="center"/>
        <w:textAlignment w:val="auto"/>
        <w:rPr>
          <w:rFonts w:hint="eastAsia" w:asciiTheme="minorEastAsia" w:hAnsiTheme="minorEastAsia" w:eastAsiaTheme="minorEastAsia" w:cstheme="minorEastAsia"/>
          <w:b/>
          <w:bCs/>
          <w:color w:val="auto"/>
          <w:sz w:val="52"/>
          <w:szCs w:val="32"/>
          <w:highlight w:val="none"/>
        </w:rPr>
      </w:pPr>
      <w:r>
        <w:rPr>
          <w:rFonts w:hint="eastAsia" w:asciiTheme="minorEastAsia" w:hAnsiTheme="minorEastAsia" w:eastAsiaTheme="minorEastAsia" w:cstheme="minorEastAsia"/>
          <w:b/>
          <w:bCs/>
          <w:w w:val="95"/>
          <w:sz w:val="60"/>
          <w:szCs w:val="60"/>
          <w:lang w:eastAsia="zh-CN"/>
        </w:rPr>
        <w:t>竞</w:t>
      </w:r>
      <w:bookmarkStart w:id="0" w:name="争"/>
      <w:bookmarkEnd w:id="0"/>
      <w:r>
        <w:rPr>
          <w:rFonts w:hint="eastAsia" w:asciiTheme="minorEastAsia" w:hAnsiTheme="minorEastAsia" w:eastAsiaTheme="minorEastAsia" w:cstheme="minorEastAsia"/>
          <w:b/>
          <w:bCs/>
          <w:w w:val="95"/>
          <w:sz w:val="60"/>
          <w:szCs w:val="60"/>
          <w:lang w:eastAsia="zh-CN"/>
        </w:rPr>
        <w:t>争</w:t>
      </w:r>
      <w:bookmarkStart w:id="1" w:name="性"/>
      <w:bookmarkEnd w:id="1"/>
      <w:r>
        <w:rPr>
          <w:rFonts w:hint="eastAsia" w:asciiTheme="minorEastAsia" w:hAnsiTheme="minorEastAsia" w:eastAsiaTheme="minorEastAsia" w:cstheme="minorEastAsia"/>
          <w:b/>
          <w:bCs/>
          <w:w w:val="95"/>
          <w:sz w:val="60"/>
          <w:szCs w:val="60"/>
          <w:lang w:eastAsia="zh-CN"/>
        </w:rPr>
        <w:t>性</w:t>
      </w:r>
      <w:bookmarkStart w:id="2" w:name="比"/>
      <w:bookmarkEnd w:id="2"/>
      <w:r>
        <w:rPr>
          <w:rFonts w:hint="eastAsia" w:asciiTheme="minorEastAsia" w:hAnsiTheme="minorEastAsia" w:eastAsiaTheme="minorEastAsia" w:cstheme="minorEastAsia"/>
          <w:b/>
          <w:bCs/>
          <w:w w:val="95"/>
          <w:sz w:val="60"/>
          <w:szCs w:val="60"/>
          <w:lang w:eastAsia="zh-CN"/>
        </w:rPr>
        <w:t>比选文件</w:t>
      </w:r>
    </w:p>
    <w:p w14:paraId="33695D76">
      <w:pPr>
        <w:pStyle w:val="10"/>
        <w:pageBreakBefore w:val="0"/>
        <w:kinsoku/>
        <w:overflowPunct/>
        <w:topLinePunct w:val="0"/>
        <w:autoSpaceDE/>
        <w:autoSpaceDN/>
        <w:bidi w:val="0"/>
        <w:adjustRightInd/>
        <w:spacing w:line="360" w:lineRule="auto"/>
        <w:ind w:left="560"/>
        <w:jc w:val="center"/>
        <w:textAlignment w:val="auto"/>
        <w:rPr>
          <w:rFonts w:hint="eastAsia" w:asciiTheme="minorEastAsia" w:hAnsiTheme="minorEastAsia" w:eastAsiaTheme="minorEastAsia" w:cstheme="minorEastAsia"/>
          <w:b/>
          <w:bCs/>
          <w:color w:val="auto"/>
          <w:sz w:val="32"/>
          <w:highlight w:val="none"/>
        </w:rPr>
      </w:pPr>
    </w:p>
    <w:p w14:paraId="6BCF5DD7">
      <w:pPr>
        <w:pStyle w:val="11"/>
        <w:rPr>
          <w:rFonts w:hint="eastAsia" w:asciiTheme="minorEastAsia" w:hAnsiTheme="minorEastAsia" w:eastAsiaTheme="minorEastAsia" w:cstheme="minorEastAsia"/>
          <w:b/>
          <w:bCs/>
          <w:color w:val="auto"/>
          <w:sz w:val="32"/>
          <w:highlight w:val="none"/>
        </w:rPr>
      </w:pPr>
    </w:p>
    <w:p w14:paraId="0438BC46">
      <w:pPr>
        <w:pStyle w:val="11"/>
        <w:rPr>
          <w:rFonts w:hint="eastAsia" w:asciiTheme="minorEastAsia" w:hAnsiTheme="minorEastAsia" w:eastAsiaTheme="minorEastAsia" w:cstheme="minorEastAsia"/>
          <w:b/>
          <w:bCs/>
          <w:color w:val="auto"/>
          <w:sz w:val="32"/>
          <w:highlight w:val="none"/>
        </w:rPr>
      </w:pPr>
    </w:p>
    <w:p w14:paraId="61E984B7">
      <w:pPr>
        <w:pStyle w:val="10"/>
        <w:pageBreakBefore w:val="0"/>
        <w:kinsoku/>
        <w:overflowPunct/>
        <w:topLinePunct w:val="0"/>
        <w:autoSpaceDE/>
        <w:autoSpaceDN/>
        <w:bidi w:val="0"/>
        <w:adjustRightInd/>
        <w:spacing w:line="360" w:lineRule="auto"/>
        <w:ind w:left="560"/>
        <w:textAlignment w:val="auto"/>
        <w:rPr>
          <w:rFonts w:hint="eastAsia" w:asciiTheme="minorEastAsia" w:hAnsiTheme="minorEastAsia" w:eastAsiaTheme="minorEastAsia" w:cstheme="minorEastAsia"/>
          <w:b/>
          <w:bCs/>
          <w:color w:val="auto"/>
          <w:sz w:val="32"/>
          <w:highlight w:val="none"/>
        </w:rPr>
      </w:pPr>
    </w:p>
    <w:p w14:paraId="11E15BEF">
      <w:pPr>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lang w:val="en-US" w:eastAsia="zh-CN"/>
        </w:rPr>
        <w:t xml:space="preserve"> </w:t>
      </w:r>
    </w:p>
    <w:p w14:paraId="04F1BC4E">
      <w:pPr>
        <w:rPr>
          <w:rFonts w:hint="eastAsia" w:asciiTheme="minorEastAsia" w:hAnsiTheme="minorEastAsia" w:eastAsiaTheme="minorEastAsia" w:cstheme="minorEastAsia"/>
          <w:b/>
          <w:bCs/>
          <w:color w:val="auto"/>
          <w:sz w:val="32"/>
          <w:szCs w:val="28"/>
          <w:highlight w:val="none"/>
          <w:lang w:val="en-US" w:eastAsia="zh-CN"/>
        </w:rPr>
      </w:pPr>
    </w:p>
    <w:p w14:paraId="3EA5D9E2">
      <w:pPr>
        <w:rPr>
          <w:rFonts w:hint="eastAsia" w:asciiTheme="minorEastAsia" w:hAnsiTheme="minorEastAsia" w:eastAsiaTheme="minorEastAsia" w:cstheme="minorEastAsia"/>
          <w:b/>
          <w:bCs/>
          <w:color w:val="auto"/>
          <w:sz w:val="32"/>
          <w:szCs w:val="28"/>
          <w:highlight w:val="none"/>
          <w:lang w:val="en-US" w:eastAsia="zh-CN"/>
        </w:rPr>
      </w:pPr>
    </w:p>
    <w:p w14:paraId="6A1CAEA7">
      <w:pPr>
        <w:pageBreakBefore w:val="0"/>
        <w:widowControl/>
        <w:kinsoku/>
        <w:overflowPunct/>
        <w:topLinePunct w:val="0"/>
        <w:autoSpaceDE/>
        <w:autoSpaceDN/>
        <w:bidi w:val="0"/>
        <w:adjustRightInd/>
        <w:spacing w:line="360" w:lineRule="auto"/>
        <w:ind w:firstLine="1285" w:firstLineChars="400"/>
        <w:jc w:val="left"/>
        <w:textAlignment w:val="auto"/>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lang w:val="en-US" w:eastAsia="zh-CN"/>
        </w:rPr>
        <w:t>竞 采 人</w:t>
      </w:r>
      <w:r>
        <w:rPr>
          <w:rFonts w:hint="eastAsia" w:asciiTheme="minorEastAsia" w:hAnsiTheme="minorEastAsia" w:eastAsiaTheme="minorEastAsia" w:cstheme="minorEastAsia"/>
          <w:b/>
          <w:bCs/>
          <w:color w:val="auto"/>
          <w:sz w:val="32"/>
          <w:szCs w:val="28"/>
          <w:highlight w:val="none"/>
        </w:rPr>
        <w:t>：</w:t>
      </w:r>
      <w:r>
        <w:rPr>
          <w:rFonts w:hint="eastAsia" w:asciiTheme="minorEastAsia" w:hAnsiTheme="minorEastAsia" w:eastAsiaTheme="minorEastAsia" w:cstheme="minorEastAsia"/>
          <w:b/>
          <w:bCs/>
          <w:color w:val="auto"/>
          <w:sz w:val="32"/>
          <w:szCs w:val="28"/>
          <w:highlight w:val="none"/>
          <w:lang w:val="en-US" w:eastAsia="zh-CN"/>
        </w:rPr>
        <w:t>云阳县中医院</w:t>
      </w:r>
      <w:r>
        <w:rPr>
          <w:rFonts w:hint="eastAsia" w:asciiTheme="minorEastAsia" w:hAnsiTheme="minorEastAsia" w:eastAsiaTheme="minorEastAsia" w:cstheme="minorEastAsia"/>
          <w:b/>
          <w:bCs/>
          <w:color w:val="auto"/>
          <w:sz w:val="32"/>
          <w:szCs w:val="28"/>
          <w:highlight w:val="none"/>
        </w:rPr>
        <w:t xml:space="preserve">            </w:t>
      </w:r>
    </w:p>
    <w:p w14:paraId="0F586C44">
      <w:pPr>
        <w:pageBreakBefore w:val="0"/>
        <w:widowControl/>
        <w:kinsoku/>
        <w:overflowPunct/>
        <w:topLinePunct w:val="0"/>
        <w:autoSpaceDE/>
        <w:autoSpaceDN/>
        <w:bidi w:val="0"/>
        <w:adjustRightInd/>
        <w:spacing w:line="360" w:lineRule="auto"/>
        <w:ind w:firstLine="1285" w:firstLineChars="400"/>
        <w:jc w:val="left"/>
        <w:textAlignment w:val="auto"/>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rPr>
        <w:t>代理机构：</w:t>
      </w:r>
      <w:r>
        <w:rPr>
          <w:rFonts w:hint="eastAsia" w:asciiTheme="minorEastAsia" w:hAnsiTheme="minorEastAsia" w:eastAsiaTheme="minorEastAsia" w:cstheme="minorEastAsia"/>
          <w:b/>
          <w:bCs/>
          <w:color w:val="auto"/>
          <w:sz w:val="32"/>
          <w:szCs w:val="28"/>
          <w:highlight w:val="none"/>
          <w:lang w:val="en-US" w:eastAsia="zh-CN"/>
        </w:rPr>
        <w:t>重庆泰锐建设工程项目咨询有限公司</w:t>
      </w:r>
    </w:p>
    <w:p w14:paraId="14337EA9">
      <w:pPr>
        <w:pageBreakBefore w:val="0"/>
        <w:kinsoku/>
        <w:overflowPunct/>
        <w:topLinePunct w:val="0"/>
        <w:autoSpaceDE/>
        <w:autoSpaceDN/>
        <w:bidi w:val="0"/>
        <w:adjustRightInd/>
        <w:spacing w:line="360" w:lineRule="auto"/>
        <w:ind w:firstLine="2891" w:firstLineChars="900"/>
        <w:textAlignment w:val="auto"/>
        <w:rPr>
          <w:rFonts w:hint="eastAsia" w:asciiTheme="minorEastAsia" w:hAnsiTheme="minorEastAsia" w:eastAsiaTheme="minorEastAsia" w:cstheme="minorEastAsia"/>
          <w:b/>
          <w:bCs/>
          <w:color w:val="auto"/>
          <w:sz w:val="32"/>
          <w:szCs w:val="28"/>
          <w:highlight w:val="none"/>
        </w:rPr>
      </w:pPr>
    </w:p>
    <w:p w14:paraId="41EDB104">
      <w:pPr>
        <w:pageBreakBefore w:val="0"/>
        <w:kinsoku/>
        <w:overflowPunct/>
        <w:topLinePunct w:val="0"/>
        <w:autoSpaceDE/>
        <w:autoSpaceDN/>
        <w:bidi w:val="0"/>
        <w:adjustRightInd/>
        <w:spacing w:line="360" w:lineRule="auto"/>
        <w:ind w:firstLine="2891" w:firstLineChars="900"/>
        <w:textAlignment w:val="auto"/>
        <w:rPr>
          <w:rFonts w:hint="eastAsia" w:asciiTheme="minorEastAsia" w:hAnsiTheme="minorEastAsia" w:eastAsiaTheme="minorEastAsia" w:cstheme="minorEastAsia"/>
          <w:b/>
          <w:bCs/>
          <w:color w:val="auto"/>
          <w:sz w:val="32"/>
          <w:szCs w:val="28"/>
          <w:highlight w:val="none"/>
        </w:rPr>
      </w:pPr>
      <w:r>
        <w:rPr>
          <w:rFonts w:hint="eastAsia" w:asciiTheme="minorEastAsia" w:hAnsiTheme="minorEastAsia" w:eastAsiaTheme="minorEastAsia" w:cstheme="minorEastAsia"/>
          <w:b/>
          <w:bCs/>
          <w:color w:val="auto"/>
          <w:sz w:val="32"/>
          <w:szCs w:val="28"/>
          <w:highlight w:val="none"/>
        </w:rPr>
        <w:t>二○二</w:t>
      </w:r>
      <w:r>
        <w:rPr>
          <w:rFonts w:hint="eastAsia" w:asciiTheme="minorEastAsia" w:hAnsiTheme="minorEastAsia" w:eastAsiaTheme="minorEastAsia" w:cstheme="minorEastAsia"/>
          <w:b/>
          <w:bCs/>
          <w:color w:val="auto"/>
          <w:sz w:val="32"/>
          <w:szCs w:val="28"/>
          <w:highlight w:val="none"/>
          <w:lang w:val="en-US" w:eastAsia="zh-CN"/>
        </w:rPr>
        <w:t>六</w:t>
      </w:r>
      <w:r>
        <w:rPr>
          <w:rFonts w:hint="eastAsia" w:asciiTheme="minorEastAsia" w:hAnsiTheme="minorEastAsia" w:eastAsiaTheme="minorEastAsia" w:cstheme="minorEastAsia"/>
          <w:b/>
          <w:bCs/>
          <w:color w:val="auto"/>
          <w:sz w:val="32"/>
          <w:szCs w:val="28"/>
          <w:highlight w:val="none"/>
        </w:rPr>
        <w:t>年</w:t>
      </w:r>
      <w:r>
        <w:rPr>
          <w:rFonts w:hint="eastAsia" w:asciiTheme="minorEastAsia" w:hAnsiTheme="minorEastAsia" w:eastAsiaTheme="minorEastAsia" w:cstheme="minorEastAsia"/>
          <w:b/>
          <w:bCs/>
          <w:color w:val="auto"/>
          <w:sz w:val="32"/>
          <w:szCs w:val="28"/>
          <w:highlight w:val="none"/>
          <w:u w:val="none"/>
          <w:lang w:val="en-US" w:eastAsia="zh-CN"/>
        </w:rPr>
        <w:t>三</w:t>
      </w:r>
      <w:r>
        <w:rPr>
          <w:rFonts w:hint="eastAsia" w:asciiTheme="minorEastAsia" w:hAnsiTheme="minorEastAsia" w:eastAsiaTheme="minorEastAsia" w:cstheme="minorEastAsia"/>
          <w:b/>
          <w:bCs/>
          <w:color w:val="auto"/>
          <w:sz w:val="32"/>
          <w:szCs w:val="28"/>
          <w:highlight w:val="none"/>
        </w:rPr>
        <w:t>月</w:t>
      </w:r>
    </w:p>
    <w:p w14:paraId="6490ECB3">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44"/>
          <w:sz w:val="30"/>
          <w:szCs w:val="30"/>
          <w:highlight w:val="none"/>
        </w:rPr>
        <w:sectPr>
          <w:headerReference r:id="rId3" w:type="default"/>
          <w:footerReference r:id="rId4" w:type="default"/>
          <w:pgSz w:w="11907" w:h="16840"/>
          <w:pgMar w:top="1134" w:right="1418" w:bottom="1134" w:left="1418" w:header="850" w:footer="992" w:gutter="0"/>
          <w:cols w:space="720" w:num="1"/>
          <w:docGrid w:linePitch="312" w:charSpace="0"/>
        </w:sectPr>
      </w:pPr>
    </w:p>
    <w:sdt>
      <w:sdtPr>
        <w:rPr>
          <w:rFonts w:hint="eastAsia" w:asciiTheme="minorEastAsia" w:hAnsiTheme="minorEastAsia" w:eastAsiaTheme="minorEastAsia" w:cstheme="minorEastAsia"/>
          <w:b/>
          <w:bCs/>
          <w:color w:val="auto"/>
          <w:kern w:val="44"/>
          <w:sz w:val="30"/>
          <w:szCs w:val="30"/>
          <w:highlight w:val="none"/>
        </w:rPr>
        <w:id w:val="147466922"/>
        <w:docPartObj>
          <w:docPartGallery w:val="Table of Contents"/>
          <w:docPartUnique/>
        </w:docPartObj>
      </w:sdtPr>
      <w:sdtEndPr>
        <w:rPr>
          <w:rFonts w:hint="eastAsia" w:asciiTheme="minorEastAsia" w:hAnsiTheme="minorEastAsia" w:eastAsiaTheme="minorEastAsia" w:cstheme="minorEastAsia"/>
          <w:b/>
          <w:bCs/>
          <w:color w:val="auto"/>
          <w:kern w:val="44"/>
          <w:sz w:val="24"/>
          <w:szCs w:val="24"/>
          <w:highlight w:val="none"/>
        </w:rPr>
      </w:sdtEndPr>
      <w:sdtContent>
        <w:p w14:paraId="4BEC58AF">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目</w:t>
          </w:r>
          <w:r>
            <w:rPr>
              <w:rFonts w:hint="eastAsia" w:asciiTheme="minorEastAsia" w:hAnsiTheme="minorEastAsia" w:eastAsiaTheme="minorEastAsia" w:cstheme="minorEastAsia"/>
              <w:b/>
              <w:bCs/>
              <w:color w:val="auto"/>
              <w:sz w:val="44"/>
              <w:szCs w:val="44"/>
              <w:highlight w:val="none"/>
              <w:lang w:val="en-US" w:eastAsia="zh-CN"/>
            </w:rPr>
            <w:t xml:space="preserve">  </w:t>
          </w:r>
          <w:r>
            <w:rPr>
              <w:rFonts w:hint="eastAsia" w:asciiTheme="minorEastAsia" w:hAnsiTheme="minorEastAsia" w:eastAsiaTheme="minorEastAsia" w:cstheme="minorEastAsia"/>
              <w:b/>
              <w:bCs/>
              <w:color w:val="auto"/>
              <w:sz w:val="44"/>
              <w:szCs w:val="44"/>
              <w:highlight w:val="none"/>
            </w:rPr>
            <w:t>录</w:t>
          </w:r>
        </w:p>
        <w:p w14:paraId="5283B011">
          <w:pPr>
            <w:pStyle w:val="16"/>
            <w:tabs>
              <w:tab w:val="right" w:leader="dot" w:pos="9071"/>
            </w:tabs>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"1-2"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_Toc31640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44"/>
              <w:highlight w:val="none"/>
            </w:rPr>
            <w:t xml:space="preserve">第一篇 </w:t>
          </w:r>
          <w:r>
            <w:rPr>
              <w:rFonts w:hint="eastAsia" w:asciiTheme="minorEastAsia" w:hAnsiTheme="minorEastAsia" w:eastAsiaTheme="minorEastAsia" w:cstheme="minorEastAsia"/>
              <w:szCs w:val="44"/>
              <w:highlight w:val="none"/>
              <w:lang w:eastAsia="zh-CN"/>
            </w:rPr>
            <w:t>竞争性比选公告</w:t>
          </w:r>
          <w:r>
            <w:tab/>
          </w:r>
          <w:r>
            <w:fldChar w:fldCharType="begin"/>
          </w:r>
          <w:r>
            <w:instrText xml:space="preserve"> PAGEREF _Toc31640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68C9E51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_Toc15900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一、项目内容</w:t>
          </w:r>
          <w:r>
            <w:tab/>
          </w:r>
          <w:r>
            <w:fldChar w:fldCharType="begin"/>
          </w:r>
          <w:r>
            <w:instrText xml:space="preserve"> PAGEREF _Toc15900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311BB407">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_Toc10295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rPr>
            <w:t>二、资金来源</w:t>
          </w:r>
          <w:r>
            <w:tab/>
          </w:r>
          <w:r>
            <w:fldChar w:fldCharType="begin"/>
          </w:r>
          <w:r>
            <w:instrText xml:space="preserve"> PAGEREF _Toc10295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492630F2">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_Toc16908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、资格条件</w:t>
          </w:r>
          <w:r>
            <w:tab/>
          </w:r>
          <w:r>
            <w:fldChar w:fldCharType="begin"/>
          </w:r>
          <w:r>
            <w:instrText xml:space="preserve"> PAGEREF _Toc16908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78C49D2E">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_Toc2416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三、响应、评审有关说明</w:t>
          </w:r>
          <w:r>
            <w:tab/>
          </w:r>
          <w:r>
            <w:fldChar w:fldCharType="begin"/>
          </w:r>
          <w:r>
            <w:instrText xml:space="preserve"> PAGEREF _Toc2416 \h </w:instrText>
          </w:r>
          <w:r>
            <w:fldChar w:fldCharType="separate"/>
          </w:r>
          <w:r>
            <w:t>3</w:t>
          </w:r>
          <w:r>
            <w:fldChar w:fldCharType="end"/>
          </w:r>
          <w:r>
            <w:rPr>
              <w:rFonts w:hint="eastAsia" w:asciiTheme="minorEastAsia" w:hAnsiTheme="minorEastAsia" w:eastAsiaTheme="minorEastAsia" w:cstheme="minorEastAsia"/>
              <w:color w:val="auto"/>
              <w:szCs w:val="28"/>
              <w:highlight w:val="none"/>
            </w:rPr>
            <w:fldChar w:fldCharType="end"/>
          </w:r>
        </w:p>
        <w:p w14:paraId="33B3A6F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_Toc3434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eastAsia="zh-CN"/>
            </w:rPr>
            <w:t>比选</w:t>
          </w:r>
          <w:r>
            <w:rPr>
              <w:rFonts w:hint="eastAsia" w:asciiTheme="minorEastAsia" w:hAnsiTheme="minorEastAsia" w:eastAsiaTheme="minorEastAsia" w:cstheme="minorEastAsia"/>
              <w:highlight w:val="none"/>
            </w:rPr>
            <w:t>有关规定</w:t>
          </w:r>
          <w:r>
            <w:tab/>
          </w:r>
          <w:r>
            <w:fldChar w:fldCharType="begin"/>
          </w:r>
          <w:r>
            <w:instrText xml:space="preserve"> PAGEREF _Toc3434 \h </w:instrText>
          </w:r>
          <w:r>
            <w:fldChar w:fldCharType="separate"/>
          </w:r>
          <w:r>
            <w:t>4</w:t>
          </w:r>
          <w:r>
            <w:fldChar w:fldCharType="end"/>
          </w:r>
          <w:r>
            <w:rPr>
              <w:rFonts w:hint="eastAsia" w:asciiTheme="minorEastAsia" w:hAnsiTheme="minorEastAsia" w:eastAsiaTheme="minorEastAsia" w:cstheme="minorEastAsia"/>
              <w:color w:val="auto"/>
              <w:szCs w:val="28"/>
              <w:highlight w:val="none"/>
            </w:rPr>
            <w:fldChar w:fldCharType="end"/>
          </w:r>
        </w:p>
        <w:p w14:paraId="334F3804">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_Toc14202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五、联系方式</w:t>
          </w:r>
          <w:r>
            <w:tab/>
          </w:r>
          <w:r>
            <w:fldChar w:fldCharType="begin"/>
          </w:r>
          <w:r>
            <w:instrText xml:space="preserve"> PAGEREF _Toc14202 \h </w:instrText>
          </w:r>
          <w:r>
            <w:fldChar w:fldCharType="separate"/>
          </w:r>
          <w:r>
            <w:t>5</w:t>
          </w:r>
          <w:r>
            <w:fldChar w:fldCharType="end"/>
          </w:r>
          <w:r>
            <w:rPr>
              <w:rFonts w:hint="eastAsia" w:asciiTheme="minorEastAsia" w:hAnsiTheme="minorEastAsia" w:eastAsiaTheme="minorEastAsia" w:cstheme="minorEastAsia"/>
              <w:color w:val="auto"/>
              <w:szCs w:val="28"/>
              <w:highlight w:val="none"/>
            </w:rPr>
            <w:fldChar w:fldCharType="end"/>
          </w:r>
        </w:p>
        <w:p w14:paraId="6286CED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_Toc2563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szCs w:val="44"/>
              <w:highlight w:val="none"/>
            </w:rPr>
            <w:t xml:space="preserve">第二篇 </w:t>
          </w:r>
          <w:r>
            <w:rPr>
              <w:rFonts w:hint="eastAsia" w:asciiTheme="minorEastAsia" w:hAnsiTheme="minorEastAsia" w:eastAsiaTheme="minorEastAsia" w:cstheme="minorEastAsia"/>
              <w:bCs/>
              <w:szCs w:val="44"/>
              <w:highlight w:val="none"/>
              <w:lang w:eastAsia="zh-CN"/>
            </w:rPr>
            <w:t>项目服务需求</w:t>
          </w:r>
          <w:r>
            <w:tab/>
          </w:r>
          <w:r>
            <w:fldChar w:fldCharType="begin"/>
          </w:r>
          <w:r>
            <w:instrText xml:space="preserve"> PAGEREF _Toc2563 \h </w:instrText>
          </w:r>
          <w:r>
            <w:fldChar w:fldCharType="separate"/>
          </w:r>
          <w:r>
            <w:t>6</w:t>
          </w:r>
          <w:r>
            <w:fldChar w:fldCharType="end"/>
          </w:r>
          <w:r>
            <w:rPr>
              <w:rFonts w:hint="eastAsia" w:asciiTheme="minorEastAsia" w:hAnsiTheme="minorEastAsia" w:eastAsiaTheme="minorEastAsia" w:cstheme="minorEastAsia"/>
              <w:color w:val="auto"/>
              <w:szCs w:val="28"/>
              <w:highlight w:val="none"/>
            </w:rPr>
            <w:fldChar w:fldCharType="end"/>
          </w:r>
        </w:p>
        <w:p w14:paraId="404C366C">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_Toc2092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8"/>
              <w:highlight w:val="none"/>
            </w:rPr>
            <w:t>一、项目一览表</w:t>
          </w:r>
          <w:r>
            <w:tab/>
          </w:r>
          <w:r>
            <w:fldChar w:fldCharType="begin"/>
          </w:r>
          <w:r>
            <w:instrText xml:space="preserve"> PAGEREF _Toc2092 \h </w:instrText>
          </w:r>
          <w:r>
            <w:fldChar w:fldCharType="separate"/>
          </w:r>
          <w:r>
            <w:t>6</w:t>
          </w:r>
          <w:r>
            <w:fldChar w:fldCharType="end"/>
          </w:r>
          <w:r>
            <w:rPr>
              <w:rFonts w:hint="eastAsia" w:asciiTheme="minorEastAsia" w:hAnsiTheme="minorEastAsia" w:eastAsiaTheme="minorEastAsia" w:cstheme="minorEastAsia"/>
              <w:color w:val="auto"/>
              <w:szCs w:val="28"/>
              <w:highlight w:val="none"/>
            </w:rPr>
            <w:fldChar w:fldCharType="end"/>
          </w:r>
        </w:p>
        <w:p w14:paraId="6832B27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_Toc13461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二、</w:t>
          </w:r>
          <w:r>
            <w:rPr>
              <w:rFonts w:hint="eastAsia" w:asciiTheme="minorEastAsia" w:hAnsiTheme="minorEastAsia" w:eastAsiaTheme="minorEastAsia" w:cstheme="minorEastAsia"/>
              <w:szCs w:val="24"/>
              <w:lang w:eastAsia="zh-CN"/>
            </w:rPr>
            <w:t>服务</w:t>
          </w:r>
          <w:r>
            <w:rPr>
              <w:rFonts w:hint="eastAsia" w:asciiTheme="minorEastAsia" w:hAnsiTheme="minorEastAsia" w:eastAsiaTheme="minorEastAsia" w:cstheme="minorEastAsia"/>
              <w:szCs w:val="24"/>
            </w:rPr>
            <w:t>要求</w:t>
          </w:r>
          <w:r>
            <w:tab/>
          </w:r>
          <w:r>
            <w:fldChar w:fldCharType="begin"/>
          </w:r>
          <w:r>
            <w:instrText xml:space="preserve"> PAGEREF _Toc13461 \h </w:instrText>
          </w:r>
          <w:r>
            <w:fldChar w:fldCharType="separate"/>
          </w:r>
          <w:r>
            <w:t>6</w:t>
          </w:r>
          <w:r>
            <w:fldChar w:fldCharType="end"/>
          </w:r>
          <w:r>
            <w:rPr>
              <w:rFonts w:hint="eastAsia" w:asciiTheme="minorEastAsia" w:hAnsiTheme="minorEastAsia" w:eastAsiaTheme="minorEastAsia" w:cstheme="minorEastAsia"/>
              <w:color w:val="auto"/>
              <w:szCs w:val="28"/>
              <w:highlight w:val="none"/>
            </w:rPr>
            <w:fldChar w:fldCharType="end"/>
          </w:r>
        </w:p>
        <w:p w14:paraId="377551B1">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_Toc25121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szCs w:val="44"/>
              <w:highlight w:val="none"/>
            </w:rPr>
            <w:t>第三篇  项目商务需求</w:t>
          </w:r>
          <w:r>
            <w:tab/>
          </w:r>
          <w:r>
            <w:fldChar w:fldCharType="begin"/>
          </w:r>
          <w:r>
            <w:instrText xml:space="preserve"> PAGEREF _Toc25121 \h </w:instrText>
          </w:r>
          <w:r>
            <w:fldChar w:fldCharType="separate"/>
          </w:r>
          <w:r>
            <w:t>11</w:t>
          </w:r>
          <w:r>
            <w:fldChar w:fldCharType="end"/>
          </w:r>
          <w:r>
            <w:rPr>
              <w:rFonts w:hint="eastAsia" w:asciiTheme="minorEastAsia" w:hAnsiTheme="minorEastAsia" w:eastAsiaTheme="minorEastAsia" w:cstheme="minorEastAsia"/>
              <w:color w:val="auto"/>
              <w:szCs w:val="28"/>
              <w:highlight w:val="none"/>
            </w:rPr>
            <w:fldChar w:fldCharType="end"/>
          </w:r>
        </w:p>
        <w:p w14:paraId="017B5DAD">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_Toc2776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lang w:val="en-US" w:eastAsia="zh-CN"/>
            </w:rPr>
            <w:t>一、服务期、服务地点及验收方式</w:t>
          </w:r>
          <w:r>
            <w:tab/>
          </w:r>
          <w:r>
            <w:fldChar w:fldCharType="begin"/>
          </w:r>
          <w:r>
            <w:instrText xml:space="preserve"> PAGEREF _Toc2776 \h </w:instrText>
          </w:r>
          <w:r>
            <w:fldChar w:fldCharType="separate"/>
          </w:r>
          <w:r>
            <w:t>11</w:t>
          </w:r>
          <w:r>
            <w:fldChar w:fldCharType="end"/>
          </w:r>
          <w:r>
            <w:rPr>
              <w:rFonts w:hint="eastAsia" w:asciiTheme="minorEastAsia" w:hAnsiTheme="minorEastAsia" w:eastAsiaTheme="minorEastAsia" w:cstheme="minorEastAsia"/>
              <w:color w:val="auto"/>
              <w:szCs w:val="28"/>
              <w:highlight w:val="none"/>
            </w:rPr>
            <w:fldChar w:fldCharType="end"/>
          </w:r>
        </w:p>
        <w:p w14:paraId="02D2B9B0">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_Toc24463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二、报价要求</w:t>
          </w:r>
          <w:r>
            <w:tab/>
          </w:r>
          <w:r>
            <w:fldChar w:fldCharType="begin"/>
          </w:r>
          <w:r>
            <w:instrText xml:space="preserve"> PAGEREF _Toc24463 \h </w:instrText>
          </w:r>
          <w:r>
            <w:fldChar w:fldCharType="separate"/>
          </w:r>
          <w:r>
            <w:t>12</w:t>
          </w:r>
          <w:r>
            <w:fldChar w:fldCharType="end"/>
          </w:r>
          <w:r>
            <w:rPr>
              <w:rFonts w:hint="eastAsia" w:asciiTheme="minorEastAsia" w:hAnsiTheme="minorEastAsia" w:eastAsiaTheme="minorEastAsia" w:cstheme="minorEastAsia"/>
              <w:color w:val="auto"/>
              <w:szCs w:val="28"/>
              <w:highlight w:val="none"/>
            </w:rPr>
            <w:fldChar w:fldCharType="end"/>
          </w:r>
        </w:p>
        <w:p w14:paraId="37A8F35B">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_Toc3078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三、付款方式</w:t>
          </w:r>
          <w:r>
            <w:tab/>
          </w:r>
          <w:r>
            <w:fldChar w:fldCharType="begin"/>
          </w:r>
          <w:r>
            <w:instrText xml:space="preserve"> PAGEREF _Toc3078 \h </w:instrText>
          </w:r>
          <w:r>
            <w:fldChar w:fldCharType="separate"/>
          </w:r>
          <w:r>
            <w:t>13</w:t>
          </w:r>
          <w:r>
            <w:fldChar w:fldCharType="end"/>
          </w:r>
          <w:r>
            <w:rPr>
              <w:rFonts w:hint="eastAsia" w:asciiTheme="minorEastAsia" w:hAnsiTheme="minorEastAsia" w:eastAsiaTheme="minorEastAsia" w:cstheme="minorEastAsia"/>
              <w:color w:val="auto"/>
              <w:szCs w:val="28"/>
              <w:highlight w:val="none"/>
            </w:rPr>
            <w:fldChar w:fldCharType="end"/>
          </w:r>
        </w:p>
        <w:p w14:paraId="79AD155D">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_Toc628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lang w:val="en-US" w:eastAsia="zh-CN"/>
            </w:rPr>
            <w:t>四、知识产权</w:t>
          </w:r>
          <w:r>
            <w:tab/>
          </w:r>
          <w:r>
            <w:fldChar w:fldCharType="begin"/>
          </w:r>
          <w:r>
            <w:instrText xml:space="preserve"> PAGEREF _Toc628 \h </w:instrText>
          </w:r>
          <w:r>
            <w:fldChar w:fldCharType="separate"/>
          </w:r>
          <w:r>
            <w:t>13</w:t>
          </w:r>
          <w:r>
            <w:fldChar w:fldCharType="end"/>
          </w:r>
          <w:r>
            <w:rPr>
              <w:rFonts w:hint="eastAsia" w:asciiTheme="minorEastAsia" w:hAnsiTheme="minorEastAsia" w:eastAsiaTheme="minorEastAsia" w:cstheme="minorEastAsia"/>
              <w:color w:val="auto"/>
              <w:szCs w:val="28"/>
              <w:highlight w:val="none"/>
            </w:rPr>
            <w:fldChar w:fldCharType="end"/>
          </w:r>
        </w:p>
        <w:p w14:paraId="41144354">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_Toc10799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lang w:val="en-US" w:eastAsia="zh-CN"/>
            </w:rPr>
            <w:t>六、培训</w:t>
          </w:r>
          <w:r>
            <w:tab/>
          </w:r>
          <w:r>
            <w:fldChar w:fldCharType="begin"/>
          </w:r>
          <w:r>
            <w:instrText xml:space="preserve"> PAGEREF _Toc10799 \h </w:instrText>
          </w:r>
          <w:r>
            <w:fldChar w:fldCharType="separate"/>
          </w:r>
          <w:r>
            <w:t>13</w:t>
          </w:r>
          <w:r>
            <w:fldChar w:fldCharType="end"/>
          </w:r>
          <w:r>
            <w:rPr>
              <w:rFonts w:hint="eastAsia" w:asciiTheme="minorEastAsia" w:hAnsiTheme="minorEastAsia" w:eastAsiaTheme="minorEastAsia" w:cstheme="minorEastAsia"/>
              <w:color w:val="auto"/>
              <w:szCs w:val="28"/>
              <w:highlight w:val="none"/>
            </w:rPr>
            <w:fldChar w:fldCharType="end"/>
          </w:r>
        </w:p>
        <w:p w14:paraId="2D0BB6A1">
          <w:pPr>
            <w:pStyle w:val="16"/>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_Toc1806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44"/>
              <w:highlight w:val="none"/>
            </w:rPr>
            <w:t>第四篇 资格审查及评审办法</w:t>
          </w:r>
          <w:r>
            <w:tab/>
          </w:r>
          <w:r>
            <w:fldChar w:fldCharType="begin"/>
          </w:r>
          <w:r>
            <w:instrText xml:space="preserve"> PAGEREF _Toc1806 \h </w:instrText>
          </w:r>
          <w:r>
            <w:fldChar w:fldCharType="separate"/>
          </w:r>
          <w:r>
            <w:t>14</w:t>
          </w:r>
          <w:r>
            <w:fldChar w:fldCharType="end"/>
          </w:r>
          <w:r>
            <w:rPr>
              <w:rFonts w:hint="eastAsia" w:asciiTheme="minorEastAsia" w:hAnsiTheme="minorEastAsia" w:eastAsiaTheme="minorEastAsia" w:cstheme="minorEastAsia"/>
              <w:color w:val="auto"/>
              <w:szCs w:val="28"/>
              <w:highlight w:val="none"/>
            </w:rPr>
            <w:fldChar w:fldCharType="end"/>
          </w:r>
        </w:p>
        <w:p w14:paraId="69AC1CAF">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_Toc12719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一、资格审查及符合性审查</w:t>
          </w:r>
          <w:r>
            <w:tab/>
          </w:r>
          <w:r>
            <w:fldChar w:fldCharType="begin"/>
          </w:r>
          <w:r>
            <w:instrText xml:space="preserve"> PAGEREF _Toc12719 \h </w:instrText>
          </w:r>
          <w:r>
            <w:fldChar w:fldCharType="separate"/>
          </w:r>
          <w:r>
            <w:t>14</w:t>
          </w:r>
          <w:r>
            <w:fldChar w:fldCharType="end"/>
          </w:r>
          <w:r>
            <w:rPr>
              <w:rFonts w:hint="eastAsia" w:asciiTheme="minorEastAsia" w:hAnsiTheme="minorEastAsia" w:eastAsiaTheme="minorEastAsia" w:cstheme="minorEastAsia"/>
              <w:color w:val="auto"/>
              <w:szCs w:val="28"/>
              <w:highlight w:val="none"/>
            </w:rPr>
            <w:fldChar w:fldCharType="end"/>
          </w:r>
        </w:p>
        <w:p w14:paraId="0504DE10">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_Toc30145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二、评标方法</w:t>
          </w:r>
          <w:r>
            <w:tab/>
          </w:r>
          <w:r>
            <w:fldChar w:fldCharType="begin"/>
          </w:r>
          <w:r>
            <w:instrText xml:space="preserve"> PAGEREF _Toc30145 \h </w:instrText>
          </w:r>
          <w:r>
            <w:fldChar w:fldCharType="separate"/>
          </w:r>
          <w:r>
            <w:t>15</w:t>
          </w:r>
          <w:r>
            <w:fldChar w:fldCharType="end"/>
          </w:r>
          <w:r>
            <w:rPr>
              <w:rFonts w:hint="eastAsia" w:asciiTheme="minorEastAsia" w:hAnsiTheme="minorEastAsia" w:eastAsiaTheme="minorEastAsia" w:cstheme="minorEastAsia"/>
              <w:color w:val="auto"/>
              <w:szCs w:val="28"/>
              <w:highlight w:val="none"/>
            </w:rPr>
            <w:fldChar w:fldCharType="end"/>
          </w:r>
        </w:p>
        <w:p w14:paraId="2D179009">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_Toc1690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rPr>
            <w:t>三、评标标准</w:t>
          </w:r>
          <w:r>
            <w:tab/>
          </w:r>
          <w:r>
            <w:fldChar w:fldCharType="begin"/>
          </w:r>
          <w:r>
            <w:instrText xml:space="preserve"> PAGEREF _Toc1690 \h </w:instrText>
          </w:r>
          <w:r>
            <w:fldChar w:fldCharType="separate"/>
          </w:r>
          <w:r>
            <w:t>16</w:t>
          </w:r>
          <w:r>
            <w:fldChar w:fldCharType="end"/>
          </w:r>
          <w:r>
            <w:rPr>
              <w:rFonts w:hint="eastAsia" w:asciiTheme="minorEastAsia" w:hAnsiTheme="minorEastAsia" w:eastAsiaTheme="minorEastAsia" w:cstheme="minorEastAsia"/>
              <w:color w:val="auto"/>
              <w:szCs w:val="28"/>
              <w:highlight w:val="none"/>
            </w:rPr>
            <w:fldChar w:fldCharType="end"/>
          </w:r>
        </w:p>
        <w:p w14:paraId="6183FFCB">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_Toc527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rPr>
            <w:t>四、无效投标条款</w:t>
          </w:r>
          <w:r>
            <w:tab/>
          </w:r>
          <w:r>
            <w:fldChar w:fldCharType="begin"/>
          </w:r>
          <w:r>
            <w:instrText xml:space="preserve"> PAGEREF _Toc527 \h </w:instrText>
          </w:r>
          <w:r>
            <w:fldChar w:fldCharType="separate"/>
          </w:r>
          <w:r>
            <w:t>18</w:t>
          </w:r>
          <w:r>
            <w:fldChar w:fldCharType="end"/>
          </w:r>
          <w:r>
            <w:rPr>
              <w:rFonts w:hint="eastAsia" w:asciiTheme="minorEastAsia" w:hAnsiTheme="minorEastAsia" w:eastAsiaTheme="minorEastAsia" w:cstheme="minorEastAsia"/>
              <w:color w:val="auto"/>
              <w:szCs w:val="28"/>
              <w:highlight w:val="none"/>
            </w:rPr>
            <w:fldChar w:fldCharType="end"/>
          </w:r>
        </w:p>
        <w:p w14:paraId="29A30A62">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_Toc30237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rPr>
            <w:t>五、废标条款</w:t>
          </w:r>
          <w:r>
            <w:tab/>
          </w:r>
          <w:r>
            <w:fldChar w:fldCharType="begin"/>
          </w:r>
          <w:r>
            <w:instrText xml:space="preserve"> PAGEREF _Toc30237 \h </w:instrText>
          </w:r>
          <w:r>
            <w:fldChar w:fldCharType="separate"/>
          </w:r>
          <w:r>
            <w:t>18</w:t>
          </w:r>
          <w:r>
            <w:fldChar w:fldCharType="end"/>
          </w:r>
          <w:r>
            <w:rPr>
              <w:rFonts w:hint="eastAsia" w:asciiTheme="minorEastAsia" w:hAnsiTheme="minorEastAsia" w:eastAsiaTheme="minorEastAsia" w:cstheme="minorEastAsia"/>
              <w:color w:val="auto"/>
              <w:szCs w:val="28"/>
              <w:highlight w:val="none"/>
            </w:rPr>
            <w:fldChar w:fldCharType="end"/>
          </w:r>
        </w:p>
        <w:p w14:paraId="4044CC5F">
          <w:pPr>
            <w:pStyle w:val="16"/>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_Toc21857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szCs w:val="44"/>
              <w:highlight w:val="none"/>
            </w:rPr>
            <w:t>第五篇 供应商须知</w:t>
          </w:r>
          <w:r>
            <w:tab/>
          </w:r>
          <w:r>
            <w:fldChar w:fldCharType="begin"/>
          </w:r>
          <w:r>
            <w:instrText xml:space="preserve"> PAGEREF _Toc21857 \h </w:instrText>
          </w:r>
          <w:r>
            <w:fldChar w:fldCharType="separate"/>
          </w:r>
          <w:r>
            <w:t>19</w:t>
          </w:r>
          <w:r>
            <w:fldChar w:fldCharType="end"/>
          </w:r>
          <w:r>
            <w:rPr>
              <w:rFonts w:hint="eastAsia" w:asciiTheme="minorEastAsia" w:hAnsiTheme="minorEastAsia" w:eastAsiaTheme="minorEastAsia" w:cstheme="minorEastAsia"/>
              <w:color w:val="auto"/>
              <w:szCs w:val="28"/>
              <w:highlight w:val="none"/>
            </w:rPr>
            <w:fldChar w:fldCharType="end"/>
          </w:r>
        </w:p>
        <w:p w14:paraId="3532369C">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_Toc31038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一、供应商</w:t>
          </w:r>
          <w:r>
            <w:tab/>
          </w:r>
          <w:r>
            <w:fldChar w:fldCharType="begin"/>
          </w:r>
          <w:r>
            <w:instrText xml:space="preserve"> PAGEREF _Toc31038 \h </w:instrText>
          </w:r>
          <w:r>
            <w:fldChar w:fldCharType="separate"/>
          </w:r>
          <w:r>
            <w:t>19</w:t>
          </w:r>
          <w:r>
            <w:fldChar w:fldCharType="end"/>
          </w:r>
          <w:r>
            <w:rPr>
              <w:rFonts w:hint="eastAsia" w:asciiTheme="minorEastAsia" w:hAnsiTheme="minorEastAsia" w:eastAsiaTheme="minorEastAsia" w:cstheme="minorEastAsia"/>
              <w:color w:val="auto"/>
              <w:szCs w:val="28"/>
              <w:highlight w:val="none"/>
            </w:rPr>
            <w:fldChar w:fldCharType="end"/>
          </w:r>
        </w:p>
        <w:p w14:paraId="7E5063AF">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_Toc11479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eastAsia="zh-CN"/>
            </w:rPr>
            <w:t>比选文件</w:t>
          </w:r>
          <w:r>
            <w:tab/>
          </w:r>
          <w:r>
            <w:fldChar w:fldCharType="begin"/>
          </w:r>
          <w:r>
            <w:instrText xml:space="preserve"> PAGEREF _Toc11479 \h </w:instrText>
          </w:r>
          <w:r>
            <w:fldChar w:fldCharType="separate"/>
          </w:r>
          <w:r>
            <w:t>19</w:t>
          </w:r>
          <w:r>
            <w:fldChar w:fldCharType="end"/>
          </w:r>
          <w:r>
            <w:rPr>
              <w:rFonts w:hint="eastAsia" w:asciiTheme="minorEastAsia" w:hAnsiTheme="minorEastAsia" w:eastAsiaTheme="minorEastAsia" w:cstheme="minorEastAsia"/>
              <w:color w:val="auto"/>
              <w:szCs w:val="28"/>
              <w:highlight w:val="none"/>
            </w:rPr>
            <w:fldChar w:fldCharType="end"/>
          </w:r>
        </w:p>
        <w:p w14:paraId="471B948E">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_Toc18417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三、响应文件</w:t>
          </w:r>
          <w:r>
            <w:tab/>
          </w:r>
          <w:r>
            <w:fldChar w:fldCharType="begin"/>
          </w:r>
          <w:r>
            <w:instrText xml:space="preserve"> PAGEREF _Toc18417 \h </w:instrText>
          </w:r>
          <w:r>
            <w:fldChar w:fldCharType="separate"/>
          </w:r>
          <w:r>
            <w:t>20</w:t>
          </w:r>
          <w:r>
            <w:fldChar w:fldCharType="end"/>
          </w:r>
          <w:r>
            <w:rPr>
              <w:rFonts w:hint="eastAsia" w:asciiTheme="minorEastAsia" w:hAnsiTheme="minorEastAsia" w:eastAsiaTheme="minorEastAsia" w:cstheme="minorEastAsia"/>
              <w:color w:val="auto"/>
              <w:szCs w:val="28"/>
              <w:highlight w:val="none"/>
            </w:rPr>
            <w:fldChar w:fldCharType="end"/>
          </w:r>
        </w:p>
        <w:p w14:paraId="25F2E726">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_Toc23201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四、评审</w:t>
          </w:r>
          <w:r>
            <w:rPr>
              <w:rFonts w:hint="eastAsia" w:asciiTheme="minorEastAsia" w:hAnsiTheme="minorEastAsia" w:eastAsiaTheme="minorEastAsia" w:cstheme="minorEastAsia"/>
              <w:highlight w:val="none"/>
              <w:lang w:val="en-US" w:eastAsia="zh-CN"/>
            </w:rPr>
            <w:t>流程</w:t>
          </w:r>
          <w:r>
            <w:tab/>
          </w:r>
          <w:r>
            <w:fldChar w:fldCharType="begin"/>
          </w:r>
          <w:r>
            <w:instrText xml:space="preserve"> PAGEREF _Toc23201 \h </w:instrText>
          </w:r>
          <w:r>
            <w:fldChar w:fldCharType="separate"/>
          </w:r>
          <w:r>
            <w:t>21</w:t>
          </w:r>
          <w:r>
            <w:fldChar w:fldCharType="end"/>
          </w:r>
          <w:r>
            <w:rPr>
              <w:rFonts w:hint="eastAsia" w:asciiTheme="minorEastAsia" w:hAnsiTheme="minorEastAsia" w:eastAsiaTheme="minorEastAsia" w:cstheme="minorEastAsia"/>
              <w:color w:val="auto"/>
              <w:szCs w:val="28"/>
              <w:highlight w:val="none"/>
            </w:rPr>
            <w:fldChar w:fldCharType="end"/>
          </w:r>
        </w:p>
        <w:p w14:paraId="50E1B6A7">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_Toc9606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五、评审</w:t>
          </w:r>
          <w:r>
            <w:rPr>
              <w:rFonts w:hint="eastAsia" w:asciiTheme="minorEastAsia" w:hAnsiTheme="minorEastAsia" w:eastAsiaTheme="minorEastAsia" w:cstheme="minorEastAsia"/>
              <w:highlight w:val="none"/>
              <w:lang w:val="en-US" w:eastAsia="zh-CN"/>
            </w:rPr>
            <w:t>标准</w:t>
          </w:r>
          <w:r>
            <w:tab/>
          </w:r>
          <w:r>
            <w:fldChar w:fldCharType="begin"/>
          </w:r>
          <w:r>
            <w:instrText xml:space="preserve"> PAGEREF _Toc9606 \h </w:instrText>
          </w:r>
          <w:r>
            <w:fldChar w:fldCharType="separate"/>
          </w:r>
          <w:r>
            <w:t>21</w:t>
          </w:r>
          <w:r>
            <w:fldChar w:fldCharType="end"/>
          </w:r>
          <w:r>
            <w:rPr>
              <w:rFonts w:hint="eastAsia" w:asciiTheme="minorEastAsia" w:hAnsiTheme="minorEastAsia" w:eastAsiaTheme="minorEastAsia" w:cstheme="minorEastAsia"/>
              <w:color w:val="auto"/>
              <w:szCs w:val="28"/>
              <w:highlight w:val="none"/>
            </w:rPr>
            <w:fldChar w:fldCharType="end"/>
          </w:r>
        </w:p>
        <w:p w14:paraId="396C0A5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_Toc28460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六、确认成交供应商</w:t>
          </w:r>
          <w:r>
            <w:tab/>
          </w:r>
          <w:r>
            <w:fldChar w:fldCharType="begin"/>
          </w:r>
          <w:r>
            <w:instrText xml:space="preserve"> PAGEREF _Toc28460 \h </w:instrText>
          </w:r>
          <w:r>
            <w:fldChar w:fldCharType="separate"/>
          </w:r>
          <w:r>
            <w:t>21</w:t>
          </w:r>
          <w:r>
            <w:fldChar w:fldCharType="end"/>
          </w:r>
          <w:r>
            <w:rPr>
              <w:rFonts w:hint="eastAsia" w:asciiTheme="minorEastAsia" w:hAnsiTheme="minorEastAsia" w:eastAsiaTheme="minorEastAsia" w:cstheme="minorEastAsia"/>
              <w:color w:val="auto"/>
              <w:szCs w:val="28"/>
              <w:highlight w:val="none"/>
            </w:rPr>
            <w:fldChar w:fldCharType="end"/>
          </w:r>
        </w:p>
        <w:p w14:paraId="3A77B4CC">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_Toc14757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七、成交</w:t>
          </w:r>
          <w:r>
            <w:tab/>
          </w:r>
          <w:r>
            <w:fldChar w:fldCharType="begin"/>
          </w:r>
          <w:r>
            <w:instrText xml:space="preserve"> PAGEREF _Toc14757 \h </w:instrText>
          </w:r>
          <w:r>
            <w:fldChar w:fldCharType="separate"/>
          </w:r>
          <w:r>
            <w:t>22</w:t>
          </w:r>
          <w:r>
            <w:fldChar w:fldCharType="end"/>
          </w:r>
          <w:r>
            <w:rPr>
              <w:rFonts w:hint="eastAsia" w:asciiTheme="minorEastAsia" w:hAnsiTheme="minorEastAsia" w:eastAsiaTheme="minorEastAsia" w:cstheme="minorEastAsia"/>
              <w:color w:val="auto"/>
              <w:szCs w:val="28"/>
              <w:highlight w:val="none"/>
            </w:rPr>
            <w:fldChar w:fldCharType="end"/>
          </w:r>
        </w:p>
        <w:p w14:paraId="09350248">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_Toc12456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八、采购代理服务费</w:t>
          </w:r>
          <w:r>
            <w:tab/>
          </w:r>
          <w:r>
            <w:fldChar w:fldCharType="begin"/>
          </w:r>
          <w:r>
            <w:instrText xml:space="preserve"> PAGEREF _Toc12456 \h </w:instrText>
          </w:r>
          <w:r>
            <w:fldChar w:fldCharType="separate"/>
          </w:r>
          <w:r>
            <w:t>22</w:t>
          </w:r>
          <w:r>
            <w:fldChar w:fldCharType="end"/>
          </w:r>
          <w:r>
            <w:rPr>
              <w:rFonts w:hint="eastAsia" w:asciiTheme="minorEastAsia" w:hAnsiTheme="minorEastAsia" w:eastAsiaTheme="minorEastAsia" w:cstheme="minorEastAsia"/>
              <w:color w:val="auto"/>
              <w:szCs w:val="28"/>
              <w:highlight w:val="none"/>
            </w:rPr>
            <w:fldChar w:fldCharType="end"/>
          </w:r>
        </w:p>
        <w:p w14:paraId="4D56BC6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_Toc8774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九、签订合同</w:t>
          </w:r>
          <w:r>
            <w:tab/>
          </w:r>
          <w:r>
            <w:fldChar w:fldCharType="begin"/>
          </w:r>
          <w:r>
            <w:instrText xml:space="preserve"> PAGEREF _Toc8774 \h </w:instrText>
          </w:r>
          <w:r>
            <w:fldChar w:fldCharType="separate"/>
          </w:r>
          <w:r>
            <w:t>23</w:t>
          </w:r>
          <w:r>
            <w:fldChar w:fldCharType="end"/>
          </w:r>
          <w:r>
            <w:rPr>
              <w:rFonts w:hint="eastAsia" w:asciiTheme="minorEastAsia" w:hAnsiTheme="minorEastAsia" w:eastAsiaTheme="minorEastAsia" w:cstheme="minorEastAsia"/>
              <w:color w:val="auto"/>
              <w:szCs w:val="28"/>
              <w:highlight w:val="none"/>
            </w:rPr>
            <w:fldChar w:fldCharType="end"/>
          </w:r>
        </w:p>
        <w:p w14:paraId="306E60B7">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_Toc31656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十、项目验收</w:t>
          </w:r>
          <w:r>
            <w:tab/>
          </w:r>
          <w:r>
            <w:fldChar w:fldCharType="begin"/>
          </w:r>
          <w:r>
            <w:instrText xml:space="preserve"> PAGEREF _Toc31656 \h </w:instrText>
          </w:r>
          <w:r>
            <w:fldChar w:fldCharType="separate"/>
          </w:r>
          <w:r>
            <w:t>23</w:t>
          </w:r>
          <w:r>
            <w:fldChar w:fldCharType="end"/>
          </w:r>
          <w:r>
            <w:rPr>
              <w:rFonts w:hint="eastAsia" w:asciiTheme="minorEastAsia" w:hAnsiTheme="minorEastAsia" w:eastAsiaTheme="minorEastAsia" w:cstheme="minorEastAsia"/>
              <w:color w:val="auto"/>
              <w:szCs w:val="28"/>
              <w:highlight w:val="none"/>
            </w:rPr>
            <w:fldChar w:fldCharType="end"/>
          </w:r>
        </w:p>
        <w:p w14:paraId="1F036704">
          <w:pPr>
            <w:pStyle w:val="16"/>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_Toc3647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44"/>
              <w:highlight w:val="none"/>
            </w:rPr>
            <w:t>第六篇 响应文件格式</w:t>
          </w:r>
          <w:r>
            <w:tab/>
          </w:r>
          <w:r>
            <w:fldChar w:fldCharType="begin"/>
          </w:r>
          <w:r>
            <w:instrText xml:space="preserve"> PAGEREF _Toc3647 \h </w:instrText>
          </w:r>
          <w:r>
            <w:fldChar w:fldCharType="separate"/>
          </w:r>
          <w:r>
            <w:t>24</w:t>
          </w:r>
          <w:r>
            <w:fldChar w:fldCharType="end"/>
          </w:r>
          <w:r>
            <w:rPr>
              <w:rFonts w:hint="eastAsia" w:asciiTheme="minorEastAsia" w:hAnsiTheme="minorEastAsia" w:eastAsiaTheme="minorEastAsia" w:cstheme="minorEastAsia"/>
              <w:color w:val="auto"/>
              <w:szCs w:val="28"/>
              <w:highlight w:val="none"/>
            </w:rPr>
            <w:fldChar w:fldCharType="end"/>
          </w:r>
        </w:p>
        <w:p w14:paraId="2E98D829">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_Toc15861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kern w:val="2"/>
              <w:highlight w:val="none"/>
              <w:lang w:val="en-US" w:eastAsia="zh-CN" w:bidi="ar-SA"/>
            </w:rPr>
            <w:t>一、经济部分</w:t>
          </w:r>
          <w:r>
            <w:tab/>
          </w:r>
          <w:r>
            <w:fldChar w:fldCharType="begin"/>
          </w:r>
          <w:r>
            <w:instrText xml:space="preserve"> PAGEREF _Toc15861 \h </w:instrText>
          </w:r>
          <w:r>
            <w:fldChar w:fldCharType="separate"/>
          </w:r>
          <w:r>
            <w:t>27</w:t>
          </w:r>
          <w:r>
            <w:fldChar w:fldCharType="end"/>
          </w:r>
          <w:r>
            <w:rPr>
              <w:rFonts w:hint="eastAsia" w:asciiTheme="minorEastAsia" w:hAnsiTheme="minorEastAsia" w:eastAsiaTheme="minorEastAsia" w:cstheme="minorEastAsia"/>
              <w:color w:val="auto"/>
              <w:szCs w:val="28"/>
              <w:highlight w:val="none"/>
            </w:rPr>
            <w:fldChar w:fldCharType="end"/>
          </w:r>
        </w:p>
        <w:p w14:paraId="0DB2696A">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_Toc27993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bCs/>
              <w:kern w:val="2"/>
              <w:highlight w:val="none"/>
              <w:lang w:val="en-US" w:eastAsia="zh-CN" w:bidi="ar-SA"/>
            </w:rPr>
            <w:t>二、资格条件及其他</w:t>
          </w:r>
          <w:r>
            <w:tab/>
          </w:r>
          <w:r>
            <w:fldChar w:fldCharType="begin"/>
          </w:r>
          <w:r>
            <w:instrText xml:space="preserve"> PAGEREF _Toc27993 \h </w:instrText>
          </w:r>
          <w:r>
            <w:fldChar w:fldCharType="separate"/>
          </w:r>
          <w:r>
            <w:t>28</w:t>
          </w:r>
          <w:r>
            <w:fldChar w:fldCharType="end"/>
          </w:r>
          <w:r>
            <w:rPr>
              <w:rFonts w:hint="eastAsia" w:asciiTheme="minorEastAsia" w:hAnsiTheme="minorEastAsia" w:eastAsiaTheme="minorEastAsia" w:cstheme="minorEastAsia"/>
              <w:color w:val="auto"/>
              <w:szCs w:val="28"/>
              <w:highlight w:val="none"/>
            </w:rPr>
            <w:fldChar w:fldCharType="end"/>
          </w:r>
        </w:p>
        <w:p w14:paraId="10EE5DF8">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_Toc1224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三、</w:t>
          </w:r>
          <w:r>
            <w:rPr>
              <w:rFonts w:hint="eastAsia" w:asciiTheme="minorEastAsia" w:hAnsiTheme="minorEastAsia" w:eastAsiaTheme="minorEastAsia" w:cstheme="minorEastAsia"/>
              <w:highlight w:val="none"/>
              <w:lang w:eastAsia="zh-CN"/>
            </w:rPr>
            <w:t>服务部分</w:t>
          </w:r>
          <w:r>
            <w:tab/>
          </w:r>
          <w:r>
            <w:fldChar w:fldCharType="begin"/>
          </w:r>
          <w:r>
            <w:instrText xml:space="preserve"> PAGEREF _Toc1224 \h </w:instrText>
          </w:r>
          <w:r>
            <w:fldChar w:fldCharType="separate"/>
          </w:r>
          <w:r>
            <w:t>33</w:t>
          </w:r>
          <w:r>
            <w:fldChar w:fldCharType="end"/>
          </w:r>
          <w:r>
            <w:rPr>
              <w:rFonts w:hint="eastAsia" w:asciiTheme="minorEastAsia" w:hAnsiTheme="minorEastAsia" w:eastAsiaTheme="minorEastAsia" w:cstheme="minorEastAsia"/>
              <w:color w:val="auto"/>
              <w:szCs w:val="28"/>
              <w:highlight w:val="none"/>
            </w:rPr>
            <w:fldChar w:fldCharType="end"/>
          </w:r>
        </w:p>
        <w:p w14:paraId="4FDC74E3">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_Toc27159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highlight w:val="none"/>
            </w:rPr>
            <w:t>五、其他与项目有关的资料</w:t>
          </w:r>
          <w:r>
            <w:tab/>
          </w:r>
          <w:r>
            <w:fldChar w:fldCharType="begin"/>
          </w:r>
          <w:r>
            <w:instrText xml:space="preserve"> PAGEREF _Toc27159 \h </w:instrText>
          </w:r>
          <w:r>
            <w:fldChar w:fldCharType="separate"/>
          </w:r>
          <w:r>
            <w:t>37</w:t>
          </w:r>
          <w:r>
            <w:fldChar w:fldCharType="end"/>
          </w:r>
          <w:r>
            <w:rPr>
              <w:rFonts w:hint="eastAsia" w:asciiTheme="minorEastAsia" w:hAnsiTheme="minorEastAsia" w:eastAsiaTheme="minorEastAsia" w:cstheme="minorEastAsia"/>
              <w:color w:val="auto"/>
              <w:szCs w:val="28"/>
              <w:highlight w:val="none"/>
            </w:rPr>
            <w:fldChar w:fldCharType="end"/>
          </w:r>
        </w:p>
        <w:p w14:paraId="6F2F4948">
          <w:pPr>
            <w:pStyle w:val="17"/>
            <w:tabs>
              <w:tab w:val="right" w:leader="dot" w:pos="9071"/>
            </w:tabs>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_Toc8712 </w:instrText>
          </w:r>
          <w:r>
            <w:rPr>
              <w:rFonts w:hint="eastAsia" w:asciiTheme="minorEastAsia" w:hAnsiTheme="minorEastAsia" w:eastAsiaTheme="minorEastAsia" w:cstheme="minorEastAsia"/>
              <w:szCs w:val="28"/>
              <w:highlight w:val="none"/>
            </w:rPr>
            <w:fldChar w:fldCharType="separate"/>
          </w:r>
          <w:r>
            <w:rPr>
              <w:rFonts w:hint="eastAsia" w:asciiTheme="minorEastAsia" w:hAnsiTheme="minorEastAsia" w:eastAsiaTheme="minorEastAsia" w:cstheme="minorEastAsia"/>
              <w:szCs w:val="24"/>
              <w:highlight w:val="none"/>
            </w:rPr>
            <w:t>（二）购销诚信及不参与围标串标承诺书（格式）</w:t>
          </w:r>
          <w:r>
            <w:tab/>
          </w:r>
          <w:r>
            <w:fldChar w:fldCharType="begin"/>
          </w:r>
          <w:r>
            <w:instrText xml:space="preserve"> PAGEREF _Toc8712 \h </w:instrText>
          </w:r>
          <w:r>
            <w:fldChar w:fldCharType="separate"/>
          </w:r>
          <w:r>
            <w:t>38</w:t>
          </w:r>
          <w:r>
            <w:fldChar w:fldCharType="end"/>
          </w:r>
          <w:r>
            <w:rPr>
              <w:rFonts w:hint="eastAsia" w:asciiTheme="minorEastAsia" w:hAnsiTheme="minorEastAsia" w:eastAsiaTheme="minorEastAsia" w:cstheme="minorEastAsia"/>
              <w:color w:val="auto"/>
              <w:szCs w:val="28"/>
              <w:highlight w:val="none"/>
            </w:rPr>
            <w:fldChar w:fldCharType="end"/>
          </w:r>
        </w:p>
        <w:p w14:paraId="3456F34B">
          <w:pPr>
            <w:pStyle w:val="16"/>
            <w:tabs>
              <w:tab w:val="right" w:leader="dot" w:pos="9071"/>
            </w:tabs>
            <w:ind w:firstLine="720" w:firstLineChars="300"/>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szCs w:val="28"/>
              <w:highlight w:val="none"/>
            </w:rPr>
            <w:instrText xml:space="preserve"> HYPERLINK \l _Toc17033 </w:instrText>
          </w:r>
          <w:r>
            <w:rPr>
              <w:rFonts w:hint="eastAsia" w:asciiTheme="minorEastAsia" w:hAnsiTheme="minorEastAsia" w:eastAsiaTheme="minorEastAsia" w:cstheme="minorEastAsia"/>
              <w:szCs w:val="28"/>
              <w:highlight w:val="none"/>
            </w:rPr>
            <w:fldChar w:fldCharType="separate"/>
          </w:r>
          <w:r>
            <w:rPr>
              <w:rFonts w:ascii="黑体" w:hAnsi="黑体" w:eastAsia="黑体" w:cs="黑体"/>
              <w:bCs/>
              <w:spacing w:val="-8"/>
              <w:szCs w:val="44"/>
            </w:rPr>
            <w:t>竞采登记表</w:t>
          </w:r>
          <w:r>
            <w:tab/>
          </w:r>
          <w:r>
            <w:fldChar w:fldCharType="begin"/>
          </w:r>
          <w:r>
            <w:instrText xml:space="preserve"> PAGEREF _Toc17033 \h </w:instrText>
          </w:r>
          <w:r>
            <w:fldChar w:fldCharType="separate"/>
          </w:r>
          <w:r>
            <w:t>39</w:t>
          </w:r>
          <w:r>
            <w:fldChar w:fldCharType="end"/>
          </w:r>
          <w:r>
            <w:rPr>
              <w:rFonts w:hint="eastAsia" w:asciiTheme="minorEastAsia" w:hAnsiTheme="minorEastAsia" w:eastAsiaTheme="minorEastAsia" w:cstheme="minorEastAsia"/>
              <w:color w:val="auto"/>
              <w:szCs w:val="28"/>
              <w:highlight w:val="none"/>
            </w:rPr>
            <w:fldChar w:fldCharType="end"/>
          </w:r>
        </w:p>
        <w:p w14:paraId="794384E4">
          <w:pPr>
            <w:pStyle w:val="2"/>
            <w:pageBreakBefore w:val="0"/>
            <w:widowControl w:val="0"/>
            <w:kinsoku/>
            <w:wordWrap/>
            <w:overflowPunct/>
            <w:topLinePunct w:val="0"/>
            <w:autoSpaceDE/>
            <w:autoSpaceDN/>
            <w:bidi w:val="0"/>
            <w:adjustRightInd/>
            <w:snapToGrid/>
            <w:spacing w:line="360" w:lineRule="auto"/>
            <w:ind w:firstLine="640"/>
            <w:jc w:val="center"/>
            <w:textAlignment w:val="auto"/>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color w:val="auto"/>
              <w:szCs w:val="28"/>
              <w:highlight w:val="none"/>
            </w:rPr>
            <w:fldChar w:fldCharType="end"/>
          </w:r>
        </w:p>
      </w:sdtContent>
    </w:sdt>
    <w:p w14:paraId="33AB8DAA">
      <w:pPr>
        <w:bidi w:val="0"/>
        <w:rPr>
          <w:rFonts w:hint="eastAsia" w:asciiTheme="minorEastAsia" w:hAnsiTheme="minorEastAsia" w:eastAsiaTheme="minorEastAsia" w:cstheme="minorEastAsia"/>
          <w:color w:val="auto"/>
        </w:rPr>
      </w:pPr>
    </w:p>
    <w:p w14:paraId="19E8CBF6">
      <w:pPr>
        <w:bidi w:val="0"/>
        <w:rPr>
          <w:rFonts w:hint="eastAsia" w:asciiTheme="minorEastAsia" w:hAnsiTheme="minorEastAsia" w:eastAsiaTheme="minorEastAsia" w:cstheme="minorEastAsia"/>
          <w:color w:val="auto"/>
        </w:rPr>
      </w:pPr>
    </w:p>
    <w:p w14:paraId="27E09375">
      <w:pPr>
        <w:bidi w:val="0"/>
        <w:rPr>
          <w:rFonts w:hint="eastAsia" w:asciiTheme="minorEastAsia" w:hAnsiTheme="minorEastAsia" w:eastAsiaTheme="minorEastAsia" w:cstheme="minorEastAsia"/>
          <w:color w:val="auto"/>
        </w:rPr>
      </w:pPr>
    </w:p>
    <w:p w14:paraId="337E19FD">
      <w:pPr>
        <w:bidi w:val="0"/>
        <w:rPr>
          <w:rFonts w:hint="eastAsia" w:asciiTheme="minorEastAsia" w:hAnsiTheme="minorEastAsia" w:eastAsiaTheme="minorEastAsia" w:cstheme="minorEastAsia"/>
          <w:color w:val="auto"/>
        </w:rPr>
      </w:pPr>
    </w:p>
    <w:p w14:paraId="62550CFD">
      <w:pPr>
        <w:bidi w:val="0"/>
        <w:rPr>
          <w:rFonts w:hint="eastAsia" w:asciiTheme="minorEastAsia" w:hAnsiTheme="minorEastAsia" w:eastAsiaTheme="minorEastAsia" w:cstheme="minorEastAsia"/>
          <w:color w:val="auto"/>
        </w:rPr>
      </w:pPr>
    </w:p>
    <w:p w14:paraId="52C4CD1B">
      <w:pPr>
        <w:bidi w:val="0"/>
        <w:rPr>
          <w:rFonts w:hint="eastAsia" w:asciiTheme="minorEastAsia" w:hAnsiTheme="minorEastAsia" w:eastAsiaTheme="minorEastAsia" w:cstheme="minorEastAsia"/>
          <w:color w:val="auto"/>
        </w:rPr>
      </w:pPr>
    </w:p>
    <w:p w14:paraId="14DFCF3A">
      <w:pPr>
        <w:bidi w:val="0"/>
        <w:rPr>
          <w:rFonts w:hint="eastAsia" w:asciiTheme="minorEastAsia" w:hAnsiTheme="minorEastAsia" w:eastAsiaTheme="minorEastAsia" w:cstheme="minorEastAsia"/>
          <w:color w:val="auto"/>
        </w:rPr>
      </w:pPr>
    </w:p>
    <w:p w14:paraId="2919B502">
      <w:pPr>
        <w:tabs>
          <w:tab w:val="left" w:pos="2070"/>
        </w:tabs>
        <w:bidi w:val="0"/>
        <w:jc w:val="lef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ab/>
      </w:r>
    </w:p>
    <w:p w14:paraId="0BED97A1">
      <w:pPr>
        <w:bidi w:val="0"/>
        <w:rPr>
          <w:rFonts w:hint="eastAsia" w:asciiTheme="minorEastAsia" w:hAnsiTheme="minorEastAsia" w:eastAsiaTheme="minorEastAsia" w:cstheme="minorEastAsia"/>
          <w:color w:val="auto"/>
          <w:kern w:val="2"/>
          <w:sz w:val="28"/>
          <w:lang w:val="en-US" w:eastAsia="zh-CN" w:bidi="ar-SA"/>
        </w:rPr>
      </w:pPr>
    </w:p>
    <w:p w14:paraId="30BF98A6">
      <w:pPr>
        <w:bidi w:val="0"/>
        <w:rPr>
          <w:rFonts w:hint="eastAsia" w:asciiTheme="minorEastAsia" w:hAnsiTheme="minorEastAsia" w:eastAsiaTheme="minorEastAsia" w:cstheme="minorEastAsia"/>
          <w:color w:val="auto"/>
          <w:lang w:val="en-US" w:eastAsia="zh-CN"/>
        </w:rPr>
      </w:pPr>
    </w:p>
    <w:p w14:paraId="0B904526">
      <w:pPr>
        <w:tabs>
          <w:tab w:val="left" w:pos="2753"/>
        </w:tabs>
        <w:bidi w:val="0"/>
        <w:jc w:val="left"/>
        <w:rPr>
          <w:rFonts w:hint="eastAsia" w:asciiTheme="minorEastAsia" w:hAnsiTheme="minorEastAsia" w:eastAsiaTheme="minorEastAsia" w:cstheme="minorEastAsia"/>
          <w:color w:val="auto"/>
          <w:lang w:val="en-US" w:eastAsia="zh-CN"/>
        </w:rPr>
        <w:sectPr>
          <w:footerReference r:id="rId5" w:type="default"/>
          <w:pgSz w:w="11907" w:h="16840"/>
          <w:pgMar w:top="1134" w:right="1418" w:bottom="1134" w:left="1418" w:header="850" w:footer="992" w:gutter="0"/>
          <w:pgNumType w:fmt="decimal" w:start="1"/>
          <w:cols w:space="720" w:num="1"/>
          <w:docGrid w:linePitch="312" w:charSpace="0"/>
        </w:sectPr>
      </w:pPr>
      <w:r>
        <w:rPr>
          <w:rFonts w:hint="eastAsia" w:asciiTheme="minorEastAsia" w:hAnsiTheme="minorEastAsia" w:eastAsiaTheme="minorEastAsia" w:cstheme="minorEastAsia"/>
          <w:color w:val="auto"/>
          <w:lang w:val="en-US" w:eastAsia="zh-CN"/>
        </w:rPr>
        <w:tab/>
      </w:r>
    </w:p>
    <w:p w14:paraId="0183D1F2">
      <w:pPr>
        <w:pStyle w:val="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44"/>
          <w:szCs w:val="44"/>
          <w:highlight w:val="none"/>
        </w:rPr>
      </w:pPr>
      <w:bookmarkStart w:id="3" w:name="_Toc10681"/>
      <w:bookmarkStart w:id="4" w:name="_Toc7504"/>
      <w:bookmarkStart w:id="5" w:name="_Toc31640"/>
      <w:r>
        <w:rPr>
          <w:rFonts w:hint="eastAsia" w:asciiTheme="minorEastAsia" w:hAnsiTheme="minorEastAsia" w:eastAsiaTheme="minorEastAsia" w:cstheme="minorEastAsia"/>
          <w:color w:val="auto"/>
          <w:sz w:val="44"/>
          <w:szCs w:val="44"/>
          <w:highlight w:val="none"/>
        </w:rPr>
        <w:t xml:space="preserve">第一篇 </w:t>
      </w:r>
      <w:bookmarkEnd w:id="3"/>
      <w:bookmarkEnd w:id="4"/>
      <w:r>
        <w:rPr>
          <w:rFonts w:hint="eastAsia" w:asciiTheme="minorEastAsia" w:hAnsiTheme="minorEastAsia" w:eastAsiaTheme="minorEastAsia" w:cstheme="minorEastAsia"/>
          <w:color w:val="auto"/>
          <w:sz w:val="44"/>
          <w:szCs w:val="44"/>
          <w:highlight w:val="none"/>
          <w:lang w:eastAsia="zh-CN"/>
        </w:rPr>
        <w:t>竞争性比选公告</w:t>
      </w:r>
      <w:bookmarkEnd w:id="5"/>
    </w:p>
    <w:p w14:paraId="1B3AF960">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6" w:name="_Toc28083"/>
      <w:bookmarkStart w:id="7" w:name="_Toc15900"/>
      <w:bookmarkStart w:id="8" w:name="_Toc8664"/>
      <w:r>
        <w:rPr>
          <w:rFonts w:hint="eastAsia" w:asciiTheme="minorEastAsia" w:hAnsiTheme="minorEastAsia" w:eastAsiaTheme="minorEastAsia" w:cstheme="minorEastAsia"/>
          <w:color w:val="auto"/>
          <w:highlight w:val="none"/>
        </w:rPr>
        <w:t>一、项目内容</w:t>
      </w:r>
      <w:bookmarkEnd w:id="6"/>
      <w:bookmarkEnd w:id="7"/>
      <w:bookmarkEnd w:id="8"/>
    </w:p>
    <w:p w14:paraId="54B3CF2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lang w:val="en-US" w:eastAsia="zh-CN"/>
        </w:rPr>
        <w:t>重庆泰锐建设工程项目咨询</w:t>
      </w:r>
      <w:r>
        <w:rPr>
          <w:rFonts w:hint="eastAsia" w:asciiTheme="minorEastAsia" w:hAnsiTheme="minorEastAsia" w:eastAsiaTheme="minorEastAsia" w:cstheme="minorEastAsia"/>
          <w:color w:val="auto"/>
          <w:szCs w:val="28"/>
          <w:highlight w:val="none"/>
          <w:u w:val="single"/>
          <w:lang w:eastAsia="zh-CN"/>
        </w:rPr>
        <w:t>有限公司</w:t>
      </w:r>
      <w:r>
        <w:rPr>
          <w:rFonts w:hint="eastAsia" w:asciiTheme="minorEastAsia" w:hAnsiTheme="minorEastAsia" w:eastAsiaTheme="minorEastAsia" w:cstheme="minorEastAsia"/>
          <w:color w:val="auto"/>
          <w:szCs w:val="28"/>
          <w:highlight w:val="none"/>
        </w:rPr>
        <w:t>（以下简称：采购代理机构）接受</w:t>
      </w:r>
      <w:r>
        <w:rPr>
          <w:rFonts w:hint="eastAsia" w:asciiTheme="minorEastAsia" w:hAnsiTheme="minorEastAsia" w:eastAsiaTheme="minorEastAsia" w:cstheme="minorEastAsia"/>
          <w:color w:val="auto"/>
          <w:szCs w:val="28"/>
          <w:highlight w:val="none"/>
          <w:u w:val="single"/>
          <w:lang w:val="en-US" w:eastAsia="zh-CN"/>
        </w:rPr>
        <w:t>云阳县中医院</w:t>
      </w:r>
      <w:r>
        <w:rPr>
          <w:rFonts w:hint="eastAsia" w:asciiTheme="minorEastAsia" w:hAnsiTheme="minorEastAsia" w:eastAsiaTheme="minorEastAsia" w:cstheme="minorEastAsia"/>
          <w:color w:val="auto"/>
          <w:szCs w:val="28"/>
          <w:highlight w:val="none"/>
        </w:rPr>
        <w:t>（以下简称：</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比选人</w:t>
      </w:r>
      <w:r>
        <w:rPr>
          <w:rFonts w:hint="eastAsia" w:asciiTheme="minorEastAsia" w:hAnsiTheme="minorEastAsia" w:eastAsiaTheme="minorEastAsia" w:cstheme="minorEastAsia"/>
          <w:color w:val="auto"/>
          <w:szCs w:val="28"/>
          <w:highlight w:val="none"/>
        </w:rPr>
        <w:t>）的委托，对</w:t>
      </w:r>
      <w:r>
        <w:rPr>
          <w:rFonts w:hint="eastAsia" w:asciiTheme="minorEastAsia" w:hAnsiTheme="minorEastAsia" w:eastAsiaTheme="minorEastAsia" w:cstheme="minorEastAsia"/>
          <w:color w:val="auto"/>
          <w:szCs w:val="28"/>
          <w:highlight w:val="none"/>
          <w:u w:val="single"/>
          <w:lang w:val="en-US" w:eastAsia="zh-CN"/>
        </w:rPr>
        <w:t>云阳县中医院病理远程诊断及外检服务</w:t>
      </w:r>
      <w:r>
        <w:rPr>
          <w:rFonts w:hint="eastAsia" w:asciiTheme="minorEastAsia" w:hAnsiTheme="minorEastAsia" w:eastAsiaTheme="minorEastAsia" w:cstheme="minorEastAsia"/>
          <w:color w:val="auto"/>
          <w:szCs w:val="28"/>
          <w:highlight w:val="none"/>
        </w:rPr>
        <w:t>进行网上</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。欢迎有资格的供应商前来参与</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w:t>
      </w:r>
    </w:p>
    <w:tbl>
      <w:tblPr>
        <w:tblStyle w:val="23"/>
        <w:tblpPr w:leftFromText="180" w:rightFromText="180" w:vertAnchor="text" w:horzAnchor="page" w:tblpX="1343" w:tblpY="4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8"/>
        <w:gridCol w:w="1800"/>
        <w:gridCol w:w="2929"/>
        <w:gridCol w:w="1586"/>
      </w:tblGrid>
      <w:tr w14:paraId="3767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178" w:type="dxa"/>
            <w:tcBorders>
              <w:top w:val="single" w:color="auto" w:sz="4" w:space="0"/>
              <w:left w:val="single" w:color="auto" w:sz="4" w:space="0"/>
              <w:right w:val="single" w:color="auto" w:sz="4" w:space="0"/>
            </w:tcBorders>
            <w:noWrap/>
            <w:vAlign w:val="center"/>
          </w:tcPr>
          <w:p w14:paraId="3AA8C7BC">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项目名称</w:t>
            </w:r>
          </w:p>
        </w:tc>
        <w:tc>
          <w:tcPr>
            <w:tcW w:w="1800" w:type="dxa"/>
            <w:tcBorders>
              <w:top w:val="single" w:color="auto" w:sz="4" w:space="0"/>
              <w:left w:val="single" w:color="auto" w:sz="4" w:space="0"/>
              <w:right w:val="single" w:color="auto" w:sz="4" w:space="0"/>
            </w:tcBorders>
            <w:noWrap/>
            <w:vAlign w:val="center"/>
          </w:tcPr>
          <w:p w14:paraId="3583AF20">
            <w:pPr>
              <w:pageBreakBefore w:val="0"/>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color w:val="auto"/>
                <w:szCs w:val="28"/>
                <w:highlight w:val="none"/>
                <w:lang w:val="en-US" w:eastAsia="zh-CN"/>
              </w:rPr>
              <w:t>（最高限价）</w:t>
            </w:r>
          </w:p>
        </w:tc>
        <w:tc>
          <w:tcPr>
            <w:tcW w:w="2929" w:type="dxa"/>
            <w:tcBorders>
              <w:top w:val="single" w:color="auto" w:sz="4" w:space="0"/>
              <w:left w:val="single" w:color="auto" w:sz="4" w:space="0"/>
              <w:right w:val="single" w:color="auto" w:sz="4" w:space="0"/>
            </w:tcBorders>
            <w:noWrap/>
            <w:vAlign w:val="center"/>
          </w:tcPr>
          <w:p w14:paraId="6E0B8D14">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color w:val="auto"/>
                <w:szCs w:val="28"/>
                <w:highlight w:val="none"/>
                <w:u w:val="none"/>
                <w:lang w:val="en-US" w:eastAsia="zh-CN"/>
              </w:rPr>
            </w:pPr>
            <w:r>
              <w:rPr>
                <w:rFonts w:hint="eastAsia" w:asciiTheme="minorEastAsia" w:hAnsiTheme="minorEastAsia" w:eastAsiaTheme="minorEastAsia" w:cstheme="minorEastAsia"/>
                <w:color w:val="auto"/>
                <w:szCs w:val="28"/>
                <w:highlight w:val="none"/>
                <w:u w:val="none"/>
                <w:lang w:val="en-US" w:eastAsia="zh-CN"/>
              </w:rPr>
              <w:t xml:space="preserve">成交供应商数量（名） </w:t>
            </w:r>
          </w:p>
        </w:tc>
        <w:tc>
          <w:tcPr>
            <w:tcW w:w="1586" w:type="dxa"/>
            <w:tcBorders>
              <w:top w:val="single" w:color="auto" w:sz="4" w:space="0"/>
              <w:left w:val="single" w:color="auto" w:sz="4" w:space="0"/>
              <w:right w:val="single" w:color="auto" w:sz="4" w:space="0"/>
            </w:tcBorders>
            <w:noWrap/>
            <w:vAlign w:val="center"/>
          </w:tcPr>
          <w:p w14:paraId="5626791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t>备注</w:t>
            </w:r>
          </w:p>
        </w:tc>
      </w:tr>
      <w:tr w14:paraId="0BC3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78" w:type="dxa"/>
            <w:tcBorders>
              <w:top w:val="single" w:color="auto" w:sz="4" w:space="0"/>
              <w:left w:val="single" w:color="auto" w:sz="4" w:space="0"/>
              <w:right w:val="single" w:color="auto" w:sz="4" w:space="0"/>
            </w:tcBorders>
            <w:noWrap/>
            <w:vAlign w:val="center"/>
          </w:tcPr>
          <w:p w14:paraId="672F624F">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bookmarkStart w:id="9" w:name="_Hlk344477914"/>
            <w:r>
              <w:rPr>
                <w:rFonts w:hint="eastAsia" w:asciiTheme="minorEastAsia" w:hAnsiTheme="minorEastAsia" w:eastAsiaTheme="minorEastAsia" w:cstheme="minorEastAsia"/>
                <w:color w:val="auto"/>
                <w:szCs w:val="28"/>
                <w:highlight w:val="none"/>
                <w:u w:val="none"/>
                <w:lang w:val="en-US" w:eastAsia="zh-CN"/>
              </w:rPr>
              <w:t>云阳县中医院病理远程诊断及外检服务</w:t>
            </w:r>
          </w:p>
        </w:tc>
        <w:tc>
          <w:tcPr>
            <w:tcW w:w="1800" w:type="dxa"/>
            <w:tcBorders>
              <w:top w:val="single" w:color="auto" w:sz="4" w:space="0"/>
              <w:left w:val="single" w:color="auto" w:sz="4" w:space="0"/>
              <w:right w:val="single" w:color="auto" w:sz="4" w:space="0"/>
            </w:tcBorders>
            <w:noWrap/>
            <w:vAlign w:val="center"/>
          </w:tcPr>
          <w:p w14:paraId="10E4B243">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r>
              <w:rPr>
                <w:rFonts w:hint="eastAsia" w:asciiTheme="minorEastAsia" w:hAnsiTheme="minorEastAsia" w:eastAsiaTheme="minorEastAsia" w:cstheme="minorEastAsia"/>
                <w:color w:val="auto"/>
                <w:szCs w:val="28"/>
                <w:highlight w:val="none"/>
                <w:u w:val="none"/>
                <w:lang w:val="en-US" w:eastAsia="zh-CN"/>
              </w:rPr>
              <w:t>详见项目服务需求</w:t>
            </w:r>
          </w:p>
        </w:tc>
        <w:tc>
          <w:tcPr>
            <w:tcW w:w="2929" w:type="dxa"/>
            <w:tcBorders>
              <w:top w:val="single" w:color="auto" w:sz="4" w:space="0"/>
              <w:left w:val="single" w:color="auto" w:sz="4" w:space="0"/>
              <w:right w:val="single" w:color="auto" w:sz="4" w:space="0"/>
            </w:tcBorders>
            <w:noWrap/>
            <w:vAlign w:val="center"/>
          </w:tcPr>
          <w:p w14:paraId="346D0D3D">
            <w:pPr>
              <w:pStyle w:val="20"/>
              <w:pageBreakBefore w:val="0"/>
              <w:shd w:val="clear" w:color="auto" w:fill="FFFFFF"/>
              <w:kinsoku/>
              <w:overflowPunct/>
              <w:topLinePunct w:val="0"/>
              <w:autoSpaceDE/>
              <w:autoSpaceDN/>
              <w:bidi w:val="0"/>
              <w:adjustRightInd/>
              <w:spacing w:before="0" w:beforeAutospacing="0" w:after="0" w:afterAutospacing="0" w:line="360" w:lineRule="auto"/>
              <w:jc w:val="center"/>
              <w:textAlignment w:val="auto"/>
              <w:rPr>
                <w:rFonts w:hint="eastAsia" w:asciiTheme="minorEastAsia" w:hAnsiTheme="minorEastAsia" w:eastAsiaTheme="minorEastAsia" w:cstheme="minorEastAsia"/>
                <w:color w:val="auto"/>
                <w:szCs w:val="28"/>
                <w:highlight w:val="none"/>
                <w:u w:val="none"/>
                <w:lang w:val="en-US" w:eastAsia="zh-CN"/>
              </w:rPr>
            </w:pPr>
            <w:r>
              <w:rPr>
                <w:rFonts w:hint="eastAsia" w:asciiTheme="minorEastAsia" w:hAnsiTheme="minorEastAsia" w:eastAsiaTheme="minorEastAsia" w:cstheme="minorEastAsia"/>
                <w:color w:val="auto"/>
                <w:szCs w:val="28"/>
                <w:highlight w:val="none"/>
                <w:u w:val="none"/>
                <w:lang w:val="en-US" w:eastAsia="zh-CN"/>
              </w:rPr>
              <w:t>1</w:t>
            </w:r>
          </w:p>
        </w:tc>
        <w:tc>
          <w:tcPr>
            <w:tcW w:w="1586" w:type="dxa"/>
            <w:tcBorders>
              <w:top w:val="single" w:color="auto" w:sz="4" w:space="0"/>
              <w:left w:val="single" w:color="auto" w:sz="4" w:space="0"/>
              <w:right w:val="single" w:color="auto" w:sz="4" w:space="0"/>
            </w:tcBorders>
            <w:noWrap/>
            <w:vAlign w:val="center"/>
          </w:tcPr>
          <w:p w14:paraId="6CCE8B57">
            <w:pPr>
              <w:pageBreakBefore w:val="0"/>
              <w:widowControl/>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r>
              <w:rPr>
                <w:rFonts w:hint="eastAsia" w:asciiTheme="minorEastAsia" w:hAnsiTheme="minorEastAsia" w:eastAsiaTheme="minorEastAsia" w:cstheme="minorEastAsia"/>
                <w:b w:val="0"/>
                <w:bCs w:val="0"/>
                <w:color w:val="auto"/>
                <w:kern w:val="0"/>
                <w:sz w:val="28"/>
                <w:szCs w:val="28"/>
                <w:highlight w:val="none"/>
                <w:lang w:val="en-US" w:eastAsia="zh-CN" w:bidi="ar-SA"/>
              </w:rPr>
              <w:t>无</w:t>
            </w:r>
          </w:p>
        </w:tc>
      </w:tr>
      <w:bookmarkEnd w:id="9"/>
    </w:tbl>
    <w:p w14:paraId="1613D1F7">
      <w:pPr>
        <w:pStyle w:val="3"/>
        <w:keepNext w:val="0"/>
        <w:keepLines w:val="0"/>
        <w:adjustRightInd w:val="0"/>
        <w:snapToGrid w:val="0"/>
        <w:spacing w:before="0" w:after="0" w:line="400" w:lineRule="exact"/>
        <w:ind w:left="0" w:leftChars="0" w:firstLine="482" w:firstLineChars="200"/>
        <w:rPr>
          <w:rFonts w:hint="eastAsia" w:asciiTheme="minorEastAsia" w:hAnsiTheme="minorEastAsia" w:eastAsiaTheme="minorEastAsia" w:cstheme="minorEastAsia"/>
          <w:color w:val="auto"/>
          <w:sz w:val="24"/>
        </w:rPr>
      </w:pPr>
      <w:bookmarkStart w:id="10" w:name="_Toc76462318"/>
      <w:bookmarkStart w:id="11" w:name="_Toc106723125"/>
      <w:bookmarkStart w:id="12" w:name="_Toc10295"/>
      <w:bookmarkStart w:id="13" w:name="_Toc8843"/>
      <w:bookmarkStart w:id="14" w:name="_Toc22795"/>
      <w:bookmarkStart w:id="15" w:name="_Toc1477"/>
      <w:bookmarkStart w:id="16" w:name="_Toc14960"/>
      <w:r>
        <w:rPr>
          <w:rFonts w:hint="eastAsia" w:asciiTheme="minorEastAsia" w:hAnsiTheme="minorEastAsia" w:eastAsiaTheme="minorEastAsia" w:cstheme="minorEastAsia"/>
          <w:color w:val="auto"/>
          <w:sz w:val="24"/>
        </w:rPr>
        <w:t>二、资金来源</w:t>
      </w:r>
      <w:bookmarkEnd w:id="10"/>
      <w:bookmarkEnd w:id="11"/>
      <w:bookmarkEnd w:id="12"/>
    </w:p>
    <w:p w14:paraId="68B1C45D">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color w:val="auto"/>
          <w:kern w:val="0"/>
          <w:sz w:val="28"/>
          <w:szCs w:val="28"/>
          <w:highlight w:val="none"/>
          <w:lang w:val="en-US" w:eastAsia="zh-CN" w:bidi="ar-SA"/>
        </w:rPr>
      </w:pPr>
      <w:bookmarkStart w:id="17" w:name="_Toc9829"/>
      <w:bookmarkStart w:id="18" w:name="_Toc7040"/>
      <w:r>
        <w:rPr>
          <w:rFonts w:hint="eastAsia" w:asciiTheme="minorEastAsia" w:hAnsiTheme="minorEastAsia" w:eastAsiaTheme="minorEastAsia" w:cstheme="minorEastAsia"/>
          <w:b w:val="0"/>
          <w:bCs w:val="0"/>
          <w:color w:val="auto"/>
          <w:kern w:val="0"/>
          <w:sz w:val="28"/>
          <w:szCs w:val="28"/>
          <w:highlight w:val="none"/>
          <w:lang w:val="en-US" w:eastAsia="zh-CN" w:bidi="ar-SA"/>
        </w:rPr>
        <w:t>自筹资金，预算金额为300000.00元/年</w:t>
      </w:r>
      <w:r>
        <w:rPr>
          <w:rFonts w:hint="eastAsia" w:asciiTheme="minorEastAsia" w:hAnsiTheme="minorEastAsia" w:eastAsiaTheme="minorEastAsia" w:cstheme="minorEastAsia"/>
          <w:b w:val="0"/>
          <w:bCs w:val="0"/>
          <w:color w:val="auto"/>
          <w:kern w:val="0"/>
          <w:sz w:val="28"/>
          <w:szCs w:val="28"/>
          <w:highlight w:val="yellow"/>
          <w:lang w:val="en-US" w:eastAsia="zh-CN" w:bidi="ar-SA"/>
        </w:rPr>
        <w:t>（不作为结算依据）</w:t>
      </w:r>
      <w:r>
        <w:rPr>
          <w:rFonts w:hint="eastAsia" w:asciiTheme="minorEastAsia" w:hAnsiTheme="minorEastAsia" w:eastAsiaTheme="minorEastAsia" w:cstheme="minorEastAsia"/>
          <w:b w:val="0"/>
          <w:bCs w:val="0"/>
          <w:color w:val="auto"/>
          <w:kern w:val="0"/>
          <w:sz w:val="28"/>
          <w:szCs w:val="28"/>
          <w:highlight w:val="none"/>
          <w:lang w:val="en-US" w:eastAsia="zh-CN" w:bidi="ar-SA"/>
        </w:rPr>
        <w:t>。</w:t>
      </w:r>
      <w:bookmarkEnd w:id="17"/>
      <w:bookmarkEnd w:id="18"/>
    </w:p>
    <w:p w14:paraId="0DE0B4FF">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9" w:name="_Toc16908"/>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、资格条件</w:t>
      </w:r>
      <w:bookmarkEnd w:id="13"/>
      <w:bookmarkEnd w:id="14"/>
      <w:bookmarkEnd w:id="15"/>
      <w:bookmarkEnd w:id="16"/>
      <w:bookmarkEnd w:id="19"/>
    </w:p>
    <w:p w14:paraId="233ABC0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yellow"/>
          <w:lang w:val="en-US" w:eastAsia="zh-CN"/>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val="en-US" w:eastAsia="zh-CN"/>
        </w:rPr>
        <w:t>基本资格要求：</w:t>
      </w:r>
    </w:p>
    <w:p w14:paraId="4E978ECE">
      <w:pPr>
        <w:pageBreakBefore w:val="0"/>
        <w:kinsoku/>
        <w:overflowPunct/>
        <w:topLinePunct w:val="0"/>
        <w:autoSpaceDE/>
        <w:autoSpaceDN/>
        <w:bidi w:val="0"/>
        <w:adjustRightInd/>
        <w:snapToGrid w:val="0"/>
        <w:spacing w:line="360" w:lineRule="auto"/>
        <w:ind w:firstLine="840" w:firstLineChars="300"/>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rPr>
        <w:t>1.具</w:t>
      </w:r>
      <w:r>
        <w:rPr>
          <w:rFonts w:hint="eastAsia" w:asciiTheme="minorEastAsia" w:hAnsiTheme="minorEastAsia" w:eastAsiaTheme="minorEastAsia" w:cstheme="minorEastAsia"/>
          <w:color w:val="auto"/>
          <w:szCs w:val="28"/>
          <w:highlight w:val="none"/>
          <w:lang w:val="en-US" w:eastAsia="zh-CN"/>
        </w:rPr>
        <w:t>有有效的营业执照。</w:t>
      </w:r>
    </w:p>
    <w:p w14:paraId="5985940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lang w:eastAsia="zh-CN"/>
        </w:rPr>
      </w:pPr>
      <w:r>
        <w:rPr>
          <w:rFonts w:hint="eastAsia" w:asciiTheme="minorEastAsia" w:hAnsiTheme="minorEastAsia" w:eastAsiaTheme="minorEastAsia" w:cstheme="minorEastAsia"/>
          <w:color w:val="auto"/>
          <w:szCs w:val="28"/>
          <w:highlight w:val="none"/>
        </w:rPr>
        <w:t>（二）本项目的特定资格要求</w:t>
      </w:r>
      <w:r>
        <w:rPr>
          <w:rFonts w:hint="eastAsia" w:asciiTheme="minorEastAsia" w:hAnsiTheme="minorEastAsia" w:eastAsiaTheme="minorEastAsia" w:cstheme="minorEastAsia"/>
          <w:color w:val="auto"/>
          <w:szCs w:val="28"/>
          <w:highlight w:val="none"/>
          <w:lang w:eastAsia="zh-CN"/>
        </w:rPr>
        <w:t>：</w:t>
      </w:r>
    </w:p>
    <w:p w14:paraId="3D9FEF6D">
      <w:pPr>
        <w:pageBreakBefore w:val="0"/>
        <w:kinsoku/>
        <w:overflowPunct/>
        <w:topLinePunct w:val="0"/>
        <w:autoSpaceDE/>
        <w:autoSpaceDN/>
        <w:bidi w:val="0"/>
        <w:adjustRightInd/>
        <w:snapToGrid w:val="0"/>
        <w:spacing w:line="360" w:lineRule="auto"/>
        <w:ind w:firstLine="840" w:firstLineChars="300"/>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1.供应商有独立病理实验室，具备从事病理检验、检测的资质，提供有效的《医疗机构执业许可证》复印件并加盖公章，原件备查。</w:t>
      </w:r>
    </w:p>
    <w:p w14:paraId="49DD0CBB">
      <w:pPr>
        <w:pageBreakBefore w:val="0"/>
        <w:kinsoku/>
        <w:overflowPunct/>
        <w:topLinePunct w:val="0"/>
        <w:autoSpaceDE/>
        <w:autoSpaceDN/>
        <w:bidi w:val="0"/>
        <w:adjustRightInd/>
        <w:snapToGrid w:val="0"/>
        <w:spacing w:line="360" w:lineRule="auto"/>
        <w:ind w:firstLine="840" w:firstLineChars="300"/>
        <w:textAlignment w:val="auto"/>
        <w:rPr>
          <w:rFonts w:hint="eastAsia" w:asciiTheme="minorEastAsia" w:hAnsiTheme="minorEastAsia" w:eastAsiaTheme="minorEastAsia" w:cstheme="minorEastAsia"/>
          <w:strike w:val="0"/>
          <w:dstrike w:val="0"/>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2.供应商须具有有效期内的中国合格评定国家认可委员会颁发的符合ISO15189标准实验室认可证书，提供复印件。</w:t>
      </w:r>
    </w:p>
    <w:p w14:paraId="28B1BDD1">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 w:name="_Toc2416"/>
      <w:bookmarkStart w:id="21" w:name="_Toc3005"/>
      <w:bookmarkStart w:id="22" w:name="_Toc1597"/>
      <w:r>
        <w:rPr>
          <w:rFonts w:hint="eastAsia" w:asciiTheme="minorEastAsia" w:hAnsiTheme="minorEastAsia" w:eastAsiaTheme="minorEastAsia" w:cstheme="minorEastAsia"/>
          <w:color w:val="auto"/>
          <w:highlight w:val="none"/>
        </w:rPr>
        <w:t>三、响应、评审有关说明</w:t>
      </w:r>
      <w:bookmarkEnd w:id="20"/>
      <w:bookmarkEnd w:id="21"/>
      <w:bookmarkEnd w:id="22"/>
      <w:bookmarkStart w:id="23" w:name="_Toc22048"/>
    </w:p>
    <w:p w14:paraId="60F521E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0000FF"/>
          <w:szCs w:val="28"/>
          <w:highlight w:val="none"/>
        </w:rPr>
      </w:pPr>
      <w:r>
        <w:rPr>
          <w:rFonts w:hint="eastAsia" w:asciiTheme="minorEastAsia" w:hAnsiTheme="minorEastAsia" w:eastAsiaTheme="minorEastAsia" w:cstheme="minorEastAsia"/>
          <w:color w:val="0000FF"/>
          <w:szCs w:val="28"/>
          <w:highlight w:val="none"/>
        </w:rPr>
        <w:t>（</w:t>
      </w:r>
      <w:r>
        <w:rPr>
          <w:rFonts w:hint="eastAsia" w:asciiTheme="minorEastAsia" w:hAnsiTheme="minorEastAsia" w:eastAsiaTheme="minorEastAsia" w:cstheme="minorEastAsia"/>
          <w:color w:val="0000FF"/>
          <w:szCs w:val="28"/>
          <w:highlight w:val="none"/>
          <w:lang w:val="en-US" w:eastAsia="zh-CN"/>
        </w:rPr>
        <w:t>一</w:t>
      </w:r>
      <w:r>
        <w:rPr>
          <w:rFonts w:hint="eastAsia" w:asciiTheme="minorEastAsia" w:hAnsiTheme="minorEastAsia" w:eastAsiaTheme="minorEastAsia" w:cstheme="minorEastAsia"/>
          <w:color w:val="0000FF"/>
          <w:szCs w:val="28"/>
          <w:highlight w:val="none"/>
        </w:rPr>
        <w:t>）凡有意参加</w:t>
      </w:r>
      <w:r>
        <w:rPr>
          <w:rFonts w:hint="eastAsia" w:asciiTheme="minorEastAsia" w:hAnsiTheme="minorEastAsia" w:eastAsiaTheme="minorEastAsia" w:cstheme="minorEastAsia"/>
          <w:color w:val="0000FF"/>
          <w:szCs w:val="28"/>
          <w:highlight w:val="none"/>
          <w:lang w:eastAsia="zh-CN"/>
        </w:rPr>
        <w:t>比选</w:t>
      </w:r>
      <w:r>
        <w:rPr>
          <w:rFonts w:hint="eastAsia" w:asciiTheme="minorEastAsia" w:hAnsiTheme="minorEastAsia" w:eastAsiaTheme="minorEastAsia" w:cstheme="minorEastAsia"/>
          <w:color w:val="0000FF"/>
          <w:szCs w:val="28"/>
          <w:highlight w:val="none"/>
        </w:rPr>
        <w:t>的供应商，请在行采家（https://www.gec123.com）下载本项目</w:t>
      </w:r>
      <w:r>
        <w:rPr>
          <w:rFonts w:hint="eastAsia" w:asciiTheme="minorEastAsia" w:hAnsiTheme="minorEastAsia" w:eastAsiaTheme="minorEastAsia" w:cstheme="minorEastAsia"/>
          <w:color w:val="0000FF"/>
          <w:szCs w:val="28"/>
          <w:highlight w:val="none"/>
          <w:lang w:eastAsia="zh-CN"/>
        </w:rPr>
        <w:t>比选文件</w:t>
      </w:r>
      <w:r>
        <w:rPr>
          <w:rFonts w:hint="eastAsia" w:asciiTheme="minorEastAsia" w:hAnsiTheme="minorEastAsia" w:eastAsiaTheme="minorEastAsia" w:cstheme="minorEastAsia"/>
          <w:color w:val="0000FF"/>
          <w:szCs w:val="28"/>
          <w:highlight w:val="none"/>
        </w:rPr>
        <w:t>以及补遗等评审前公布的所有项目资料，无论供应商下载与否，均视为已知晓所有</w:t>
      </w:r>
      <w:r>
        <w:rPr>
          <w:rFonts w:hint="eastAsia" w:asciiTheme="minorEastAsia" w:hAnsiTheme="minorEastAsia" w:eastAsiaTheme="minorEastAsia" w:cstheme="minorEastAsia"/>
          <w:color w:val="0000FF"/>
          <w:szCs w:val="28"/>
          <w:highlight w:val="none"/>
          <w:lang w:eastAsia="zh-CN"/>
        </w:rPr>
        <w:t>比选</w:t>
      </w:r>
      <w:r>
        <w:rPr>
          <w:rFonts w:hint="eastAsia" w:asciiTheme="minorEastAsia" w:hAnsiTheme="minorEastAsia" w:eastAsiaTheme="minorEastAsia" w:cstheme="minorEastAsia"/>
          <w:color w:val="0000FF"/>
          <w:szCs w:val="28"/>
          <w:highlight w:val="none"/>
        </w:rPr>
        <w:t>实质性要求内容。</w:t>
      </w:r>
    </w:p>
    <w:p w14:paraId="0AA2702F">
      <w:pPr>
        <w:pageBreakBefore w:val="0"/>
        <w:kinsoku/>
        <w:overflowPunct/>
        <w:topLinePunct w:val="0"/>
        <w:autoSpaceDE/>
        <w:autoSpaceDN/>
        <w:bidi w:val="0"/>
        <w:adjustRightInd/>
        <w:snapToGrid w:val="0"/>
        <w:spacing w:line="360" w:lineRule="auto"/>
        <w:ind w:firstLine="562" w:firstLineChars="200"/>
        <w:textAlignment w:val="auto"/>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w:t>
      </w:r>
      <w:r>
        <w:rPr>
          <w:rFonts w:hint="eastAsia" w:ascii="Times New Roman" w:hAnsi="Times New Roman" w:eastAsia="宋体" w:cs="宋体"/>
          <w:b/>
          <w:bCs/>
          <w:color w:val="auto"/>
          <w:szCs w:val="28"/>
          <w:highlight w:val="none"/>
          <w:lang w:val="en-US" w:eastAsia="zh-CN"/>
        </w:rPr>
        <w:t>二</w:t>
      </w:r>
      <w:r>
        <w:rPr>
          <w:rFonts w:hint="eastAsia" w:ascii="Times New Roman" w:hAnsi="Times New Roman" w:eastAsia="宋体" w:cs="宋体"/>
          <w:b/>
          <w:bCs/>
          <w:color w:val="auto"/>
          <w:szCs w:val="28"/>
          <w:highlight w:val="none"/>
        </w:rPr>
        <w:t>）报名及竞采文件发售期限</w:t>
      </w:r>
    </w:p>
    <w:p w14:paraId="172DAD9F">
      <w:pPr>
        <w:pageBreakBefore w:val="0"/>
        <w:kinsoku/>
        <w:overflowPunct/>
        <w:topLinePunct w:val="0"/>
        <w:autoSpaceDE/>
        <w:autoSpaceDN/>
        <w:bidi w:val="0"/>
        <w:adjustRightInd/>
        <w:snapToGrid w:val="0"/>
        <w:spacing w:line="360" w:lineRule="auto"/>
        <w:ind w:firstLine="560" w:firstLineChars="200"/>
        <w:textAlignment w:val="auto"/>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1.报名期限：</w:t>
      </w:r>
      <w:r>
        <w:rPr>
          <w:rFonts w:hint="eastAsia" w:cs="宋体"/>
          <w:bCs/>
          <w:color w:val="auto"/>
          <w:highlight w:val="none"/>
          <w:lang w:eastAsia="zh-CN"/>
        </w:rPr>
        <w:t>202</w:t>
      </w:r>
      <w:r>
        <w:rPr>
          <w:rFonts w:hint="eastAsia" w:cs="宋体"/>
          <w:bCs/>
          <w:color w:val="auto"/>
          <w:highlight w:val="none"/>
          <w:lang w:val="en-US" w:eastAsia="zh-CN"/>
        </w:rPr>
        <w:t>6</w:t>
      </w:r>
      <w:r>
        <w:rPr>
          <w:rFonts w:hint="eastAsia" w:ascii="Times New Roman" w:hAnsi="Times New Roman" w:eastAsia="宋体" w:cs="宋体"/>
          <w:bCs/>
          <w:color w:val="auto"/>
          <w:highlight w:val="none"/>
        </w:rPr>
        <w:t>年</w:t>
      </w:r>
      <w:r>
        <w:rPr>
          <w:rFonts w:hint="eastAsia" w:cs="宋体"/>
          <w:bCs/>
          <w:color w:val="auto"/>
          <w:highlight w:val="none"/>
          <w:u w:val="single"/>
          <w:lang w:val="en-US" w:eastAsia="zh-CN"/>
        </w:rPr>
        <w:t xml:space="preserve">  3  </w:t>
      </w:r>
      <w:r>
        <w:rPr>
          <w:rFonts w:hint="eastAsia" w:ascii="Times New Roman" w:hAnsi="Times New Roman" w:eastAsia="宋体" w:cs="宋体"/>
          <w:bCs/>
          <w:color w:val="auto"/>
          <w:highlight w:val="none"/>
        </w:rPr>
        <w:t>月</w:t>
      </w:r>
      <w:r>
        <w:rPr>
          <w:rFonts w:hint="eastAsia" w:cs="宋体"/>
          <w:bCs/>
          <w:color w:val="auto"/>
          <w:highlight w:val="none"/>
          <w:u w:val="single"/>
          <w:lang w:val="en-US" w:eastAsia="zh-CN"/>
        </w:rPr>
        <w:t xml:space="preserve"> 13  </w:t>
      </w:r>
      <w:r>
        <w:rPr>
          <w:rFonts w:hint="eastAsia" w:ascii="Times New Roman" w:hAnsi="Times New Roman" w:eastAsia="宋体" w:cs="宋体"/>
          <w:bCs/>
          <w:color w:val="auto"/>
          <w:highlight w:val="none"/>
        </w:rPr>
        <w:t>日至</w:t>
      </w:r>
      <w:r>
        <w:rPr>
          <w:rFonts w:hint="eastAsia" w:cs="宋体"/>
          <w:bCs/>
          <w:color w:val="0000FF"/>
          <w:highlight w:val="none"/>
          <w:lang w:eastAsia="zh-CN"/>
        </w:rPr>
        <w:t>202</w:t>
      </w:r>
      <w:r>
        <w:rPr>
          <w:rFonts w:hint="eastAsia" w:cs="宋体"/>
          <w:bCs/>
          <w:color w:val="0000FF"/>
          <w:highlight w:val="none"/>
          <w:lang w:val="en-US" w:eastAsia="zh-CN"/>
        </w:rPr>
        <w:t>6</w:t>
      </w:r>
      <w:r>
        <w:rPr>
          <w:rFonts w:hint="eastAsia" w:ascii="Times New Roman" w:hAnsi="Times New Roman" w:eastAsia="宋体" w:cs="宋体"/>
          <w:bCs/>
          <w:color w:val="0000FF"/>
          <w:highlight w:val="none"/>
        </w:rPr>
        <w:t>年</w:t>
      </w:r>
      <w:r>
        <w:rPr>
          <w:rFonts w:hint="eastAsia" w:cs="宋体"/>
          <w:bCs/>
          <w:color w:val="0000FF"/>
          <w:highlight w:val="none"/>
          <w:u w:val="single"/>
          <w:lang w:val="en-US" w:eastAsia="zh-CN"/>
        </w:rPr>
        <w:t xml:space="preserve">  3  </w:t>
      </w:r>
      <w:r>
        <w:rPr>
          <w:rFonts w:hint="eastAsia" w:ascii="Times New Roman" w:hAnsi="Times New Roman" w:eastAsia="宋体" w:cs="宋体"/>
          <w:bCs/>
          <w:color w:val="0000FF"/>
          <w:highlight w:val="none"/>
        </w:rPr>
        <w:t>月</w:t>
      </w:r>
      <w:r>
        <w:rPr>
          <w:rFonts w:hint="eastAsia" w:cs="宋体"/>
          <w:bCs/>
          <w:color w:val="0000FF"/>
          <w:highlight w:val="none"/>
          <w:u w:val="single"/>
          <w:lang w:val="en-US" w:eastAsia="zh-CN"/>
        </w:rPr>
        <w:t xml:space="preserve">  23 </w:t>
      </w:r>
      <w:r>
        <w:rPr>
          <w:rFonts w:hint="eastAsia" w:ascii="Times New Roman" w:hAnsi="Times New Roman" w:eastAsia="宋体" w:cs="宋体"/>
          <w:bCs/>
          <w:color w:val="0000FF"/>
          <w:highlight w:val="none"/>
        </w:rPr>
        <w:t>日</w:t>
      </w:r>
      <w:r>
        <w:rPr>
          <w:rFonts w:hint="eastAsia" w:cs="宋体"/>
          <w:bCs/>
          <w:color w:val="0000FF"/>
          <w:highlight w:val="none"/>
          <w:u w:val="single"/>
          <w:lang w:val="en-US" w:eastAsia="zh-CN"/>
        </w:rPr>
        <w:t xml:space="preserve"> 10：00  </w:t>
      </w:r>
      <w:r>
        <w:rPr>
          <w:rFonts w:hint="eastAsia" w:ascii="Times New Roman" w:hAnsi="Times New Roman" w:eastAsia="宋体" w:cs="宋体"/>
          <w:bCs/>
          <w:color w:val="auto"/>
          <w:highlight w:val="none"/>
        </w:rPr>
        <w:t>。</w:t>
      </w:r>
    </w:p>
    <w:p w14:paraId="67555844">
      <w:pPr>
        <w:pageBreakBefore w:val="0"/>
        <w:kinsoku/>
        <w:overflowPunct/>
        <w:topLinePunct w:val="0"/>
        <w:autoSpaceDE/>
        <w:autoSpaceDN/>
        <w:bidi w:val="0"/>
        <w:adjustRightInd/>
        <w:snapToGrid w:val="0"/>
        <w:spacing w:line="360" w:lineRule="auto"/>
        <w:ind w:firstLine="560" w:firstLineChars="200"/>
        <w:textAlignment w:val="auto"/>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2.报名方式：在报名时间内，供应商将《项目报名登记表》加盖供应商公章扫描后发送至</w:t>
      </w:r>
      <w:r>
        <w:rPr>
          <w:rFonts w:hint="eastAsia" w:cs="宋体"/>
          <w:bCs/>
          <w:color w:val="auto"/>
          <w:highlight w:val="none"/>
          <w:u w:val="single"/>
          <w:lang w:val="en-US" w:eastAsia="zh-CN"/>
        </w:rPr>
        <w:t xml:space="preserve"> 478297500@qq.com   </w:t>
      </w:r>
      <w:r>
        <w:rPr>
          <w:rFonts w:hint="eastAsia" w:ascii="Times New Roman" w:hAnsi="Times New Roman" w:eastAsia="宋体" w:cs="宋体"/>
          <w:bCs/>
          <w:color w:val="auto"/>
          <w:highlight w:val="none"/>
        </w:rPr>
        <w:t>。（提示：采购代理机构对报名的潜在供应商信用记录进行查询）。</w:t>
      </w:r>
    </w:p>
    <w:p w14:paraId="770B3CB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
          <w:bCs/>
          <w:color w:val="auto"/>
          <w:szCs w:val="28"/>
          <w:highlight w:val="none"/>
        </w:rPr>
      </w:pPr>
      <w:r>
        <w:rPr>
          <w:rFonts w:hint="eastAsia" w:ascii="Times New Roman" w:hAnsi="Times New Roman" w:eastAsia="宋体" w:cs="宋体"/>
          <w:b w:val="0"/>
          <w:bCs/>
          <w:color w:val="auto"/>
          <w:highlight w:val="none"/>
        </w:rPr>
        <w:t>注：</w:t>
      </w:r>
      <w:r>
        <w:rPr>
          <w:rFonts w:hint="eastAsia" w:ascii="Times New Roman" w:hAnsi="Times New Roman" w:eastAsia="宋体" w:cs="宋体"/>
          <w:bCs/>
          <w:color w:val="auto"/>
          <w:highlight w:val="none"/>
        </w:rPr>
        <w:t>在报名时间内，按要求将《项目报名登记表》发送至指定邮箱的供应商，其报名和响应文件才能被接收。</w:t>
      </w:r>
    </w:p>
    <w:p w14:paraId="518C32AF">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三</w:t>
      </w:r>
      <w:r>
        <w:rPr>
          <w:rFonts w:hint="eastAsia" w:asciiTheme="minorEastAsia" w:hAnsiTheme="minorEastAsia" w:eastAsiaTheme="minorEastAsia" w:cstheme="minorEastAsia"/>
          <w:b/>
          <w:bCs/>
          <w:color w:val="auto"/>
          <w:szCs w:val="28"/>
          <w:highlight w:val="none"/>
        </w:rPr>
        <w:t>）响应文件</w:t>
      </w:r>
    </w:p>
    <w:p w14:paraId="02C100A6">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0000FF"/>
          <w:highlight w:val="none"/>
        </w:rPr>
      </w:pPr>
      <w:r>
        <w:rPr>
          <w:rFonts w:hint="eastAsia" w:asciiTheme="minorEastAsia" w:hAnsiTheme="minorEastAsia" w:eastAsiaTheme="minorEastAsia" w:cstheme="minorEastAsia"/>
          <w:bCs/>
          <w:color w:val="0000FF"/>
          <w:highlight w:val="none"/>
          <w:lang w:val="en-US" w:eastAsia="zh-CN"/>
        </w:rPr>
        <w:t xml:space="preserve"> </w:t>
      </w:r>
      <w:r>
        <w:rPr>
          <w:rFonts w:hint="eastAsia" w:asciiTheme="minorEastAsia" w:hAnsiTheme="minorEastAsia" w:eastAsiaTheme="minorEastAsia" w:cstheme="minorEastAsia"/>
          <w:bCs/>
          <w:color w:val="0000FF"/>
          <w:highlight w:val="none"/>
        </w:rPr>
        <w:t>1.线上报价时间：按本项目网上公告规定的报价截止时间为准。</w:t>
      </w:r>
    </w:p>
    <w:p w14:paraId="664681A6">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0000FF"/>
          <w:highlight w:val="none"/>
          <w:lang w:val="en-US" w:eastAsia="zh-CN"/>
        </w:rPr>
      </w:pPr>
      <w:r>
        <w:rPr>
          <w:rFonts w:hint="eastAsia" w:asciiTheme="minorEastAsia" w:hAnsiTheme="minorEastAsia" w:eastAsiaTheme="minorEastAsia" w:cstheme="minorEastAsia"/>
          <w:bCs/>
          <w:color w:val="0000FF"/>
          <w:highlight w:val="none"/>
        </w:rPr>
        <w:t>2.线上报价要求：按本项目规定的时间在行采家（https://www.gec123.com）进行网上报价，并在规定的时间内上传响应文件电子文档。未在规定时间内报价和上传响应文件电子文档的供应商</w:t>
      </w:r>
      <w:r>
        <w:rPr>
          <w:rFonts w:hint="eastAsia" w:asciiTheme="minorEastAsia" w:hAnsiTheme="minorEastAsia" w:eastAsiaTheme="minorEastAsia" w:cstheme="minorEastAsia"/>
          <w:bCs/>
          <w:color w:val="0000FF"/>
          <w:highlight w:val="none"/>
          <w:lang w:val="en-US" w:eastAsia="zh-CN"/>
        </w:rPr>
        <w:t>按无效投标处理。</w:t>
      </w:r>
    </w:p>
    <w:p w14:paraId="47DD800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.供应商线下递交密封后的纸质响应文件</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份（正本1份、副本</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份）作为评审及留档材料。</w:t>
      </w:r>
    </w:p>
    <w:p w14:paraId="034DAE9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.供应商制作的响应文件，须按照要求制作，规定签字、盖章的地方必须按其规定签字、盖章，未按要求制作响应文件的进行无效响应处理。</w:t>
      </w:r>
    </w:p>
    <w:p w14:paraId="1DBC5D07">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.供应商提供的响应材料要求真实可靠，采购单位可对响应材料真实性进行核查，如有虚假，取消成交资格或者解除合同，并赔偿由此造成</w:t>
      </w:r>
      <w:r>
        <w:rPr>
          <w:rFonts w:hint="eastAsia" w:asciiTheme="minorEastAsia" w:hAnsiTheme="minorEastAsia" w:eastAsiaTheme="minorEastAsia" w:cstheme="minorEastAsia"/>
          <w:bCs/>
          <w:color w:val="auto"/>
          <w:highlight w:val="none"/>
          <w:lang w:val="en-US" w:eastAsia="zh-CN"/>
        </w:rPr>
        <w:t>比选人</w:t>
      </w:r>
      <w:r>
        <w:rPr>
          <w:rFonts w:hint="eastAsia" w:asciiTheme="minorEastAsia" w:hAnsiTheme="minorEastAsia" w:eastAsiaTheme="minorEastAsia" w:cstheme="minorEastAsia"/>
          <w:bCs/>
          <w:color w:val="auto"/>
          <w:highlight w:val="none"/>
        </w:rPr>
        <w:t>的经济损失。</w:t>
      </w:r>
    </w:p>
    <w:p w14:paraId="21013754">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 xml:space="preserve"> </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四</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线下响应文件的递交：</w:t>
      </w:r>
    </w:p>
    <w:p w14:paraId="6C6F9F56">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auto"/>
          <w:szCs w:val="28"/>
          <w:highlight w:val="none"/>
          <w:u w:val="single"/>
          <w:lang w:val="en-US" w:eastAsia="zh-CN"/>
        </w:rPr>
      </w:pPr>
      <w:r>
        <w:rPr>
          <w:rFonts w:hint="eastAsia" w:asciiTheme="minorEastAsia" w:hAnsiTheme="minorEastAsia" w:eastAsiaTheme="minorEastAsia" w:cstheme="minorEastAsia"/>
          <w:color w:val="auto"/>
          <w:szCs w:val="28"/>
          <w:highlight w:val="none"/>
          <w:lang w:val="en-US"/>
        </w:rPr>
        <w:t>1.</w:t>
      </w:r>
      <w:r>
        <w:rPr>
          <w:rFonts w:hint="eastAsia" w:asciiTheme="minorEastAsia" w:hAnsiTheme="minorEastAsia" w:eastAsiaTheme="minorEastAsia" w:cstheme="minorEastAsia"/>
          <w:color w:val="0000FF"/>
          <w:szCs w:val="28"/>
          <w:highlight w:val="none"/>
          <w:lang w:val="en-US" w:eastAsia="zh-CN"/>
        </w:rPr>
        <w:t>纸质响应文件递交地点（开标地点）：</w:t>
      </w:r>
      <w:r>
        <w:rPr>
          <w:rFonts w:hint="eastAsia" w:asciiTheme="minorEastAsia" w:hAnsiTheme="minorEastAsia" w:eastAsiaTheme="minorEastAsia" w:cstheme="minorEastAsia"/>
          <w:color w:val="auto"/>
          <w:szCs w:val="28"/>
          <w:highlight w:val="none"/>
          <w:u w:val="single"/>
          <w:lang w:val="en-US" w:eastAsia="zh-CN"/>
        </w:rPr>
        <w:t xml:space="preserve">  重庆泰锐建设工程项目咨询</w:t>
      </w:r>
      <w:r>
        <w:rPr>
          <w:rFonts w:hint="eastAsia" w:asciiTheme="minorEastAsia" w:hAnsiTheme="minorEastAsia" w:eastAsiaTheme="minorEastAsia" w:cstheme="minorEastAsia"/>
          <w:color w:val="auto"/>
          <w:szCs w:val="28"/>
          <w:highlight w:val="none"/>
          <w:u w:val="single"/>
          <w:lang w:eastAsia="zh-CN"/>
        </w:rPr>
        <w:t>有限公司</w:t>
      </w:r>
      <w:r>
        <w:rPr>
          <w:rFonts w:hint="eastAsia" w:asciiTheme="minorEastAsia" w:hAnsiTheme="minorEastAsia" w:eastAsiaTheme="minorEastAsia" w:cstheme="minorEastAsia"/>
          <w:bCs/>
          <w:color w:val="auto"/>
          <w:highlight w:val="none"/>
          <w:u w:val="single"/>
          <w:lang w:val="en-US" w:eastAsia="zh-CN"/>
        </w:rPr>
        <w:t>会议室</w:t>
      </w:r>
      <w:r>
        <w:rPr>
          <w:rFonts w:hint="eastAsia" w:asciiTheme="minorEastAsia" w:hAnsiTheme="minorEastAsia" w:eastAsiaTheme="minorEastAsia" w:cstheme="minorEastAsia"/>
          <w:color w:val="auto"/>
          <w:szCs w:val="28"/>
          <w:highlight w:val="none"/>
          <w:u w:val="single"/>
          <w:lang w:val="en-US" w:eastAsia="zh-CN"/>
        </w:rPr>
        <w:t xml:space="preserve"> (</w:t>
      </w:r>
      <w:r>
        <w:rPr>
          <w:rFonts w:hint="eastAsia" w:asciiTheme="minorEastAsia" w:hAnsiTheme="minorEastAsia" w:eastAsiaTheme="minorEastAsia" w:cstheme="minorEastAsia"/>
          <w:bCs/>
          <w:color w:val="auto"/>
          <w:highlight w:val="none"/>
          <w:u w:val="single"/>
          <w:lang w:val="en-US" w:eastAsia="zh-CN"/>
        </w:rPr>
        <w:t>云阳县迎宾大道888号亿联商贸城F8栋10楼</w:t>
      </w:r>
      <w:r>
        <w:rPr>
          <w:rFonts w:hint="eastAsia" w:asciiTheme="minorEastAsia" w:hAnsiTheme="minorEastAsia" w:eastAsiaTheme="minorEastAsia" w:cstheme="minorEastAsia"/>
          <w:color w:val="auto"/>
          <w:szCs w:val="28"/>
          <w:highlight w:val="none"/>
          <w:u w:val="single"/>
          <w:lang w:val="en-US" w:eastAsia="zh-CN"/>
        </w:rPr>
        <w:t xml:space="preserve"> ）</w:t>
      </w:r>
    </w:p>
    <w:p w14:paraId="7AC5B704">
      <w:pPr>
        <w:pageBreakBefore w:val="0"/>
        <w:kinsoku/>
        <w:wordWrap w:val="0"/>
        <w:overflowPunct/>
        <w:topLinePunct w:val="0"/>
        <w:autoSpaceDE/>
        <w:autoSpaceDN/>
        <w:bidi w:val="0"/>
        <w:adjustRightInd/>
        <w:spacing w:line="360" w:lineRule="auto"/>
        <w:ind w:firstLine="482"/>
        <w:textAlignment w:val="auto"/>
        <w:rPr>
          <w:rFonts w:hint="default" w:asciiTheme="minorEastAsia" w:hAnsiTheme="minorEastAsia" w:eastAsiaTheme="minorEastAsia" w:cstheme="minorEastAsia"/>
          <w:color w:val="auto"/>
          <w:szCs w:val="28"/>
          <w:highlight w:val="none"/>
          <w:lang w:val="en-US"/>
        </w:rPr>
      </w:pPr>
      <w:r>
        <w:rPr>
          <w:rFonts w:hint="eastAsia" w:asciiTheme="minorEastAsia" w:hAnsiTheme="minorEastAsia" w:eastAsiaTheme="minorEastAsia" w:cstheme="minorEastAsia"/>
          <w:color w:val="auto"/>
          <w:szCs w:val="28"/>
          <w:highlight w:val="none"/>
          <w:lang w:val="en-US"/>
        </w:rPr>
        <w:t>2.</w:t>
      </w:r>
      <w:r>
        <w:rPr>
          <w:rFonts w:hint="eastAsia" w:asciiTheme="minorEastAsia" w:hAnsiTheme="minorEastAsia" w:eastAsiaTheme="minorEastAsia" w:cstheme="minorEastAsia"/>
          <w:color w:val="0000FF"/>
          <w:szCs w:val="28"/>
          <w:highlight w:val="none"/>
          <w:lang w:val="en-US" w:eastAsia="zh-CN"/>
        </w:rPr>
        <w:t>纸质响应文件递交开始时间：</w:t>
      </w:r>
      <w:r>
        <w:rPr>
          <w:rFonts w:hint="eastAsia" w:asciiTheme="minorEastAsia" w:hAnsiTheme="minorEastAsia" w:eastAsiaTheme="minorEastAsia" w:cstheme="minorEastAsia"/>
          <w:color w:val="0000FF"/>
          <w:szCs w:val="28"/>
          <w:highlight w:val="none"/>
          <w:u w:val="single"/>
          <w:lang w:val="en-US" w:eastAsia="zh-CN"/>
        </w:rPr>
        <w:t xml:space="preserve">  2026年 3  月 24日 09 时 00 分    </w:t>
      </w:r>
    </w:p>
    <w:p w14:paraId="715C959E">
      <w:pPr>
        <w:pageBreakBefore w:val="0"/>
        <w:kinsoku/>
        <w:wordWrap w:val="0"/>
        <w:overflowPunct/>
        <w:topLinePunct w:val="0"/>
        <w:autoSpaceDE/>
        <w:autoSpaceDN/>
        <w:bidi w:val="0"/>
        <w:adjustRightInd/>
        <w:spacing w:line="360" w:lineRule="auto"/>
        <w:ind w:firstLine="761" w:firstLineChars="272"/>
        <w:textAlignment w:val="auto"/>
        <w:rPr>
          <w:rFonts w:hint="eastAsia" w:asciiTheme="minorEastAsia" w:hAnsiTheme="minorEastAsia" w:eastAsiaTheme="minorEastAsia" w:cstheme="minorEastAsia"/>
          <w:color w:val="0000FF"/>
          <w:szCs w:val="28"/>
          <w:highlight w:val="none"/>
          <w:u w:val="single"/>
          <w:lang w:val="en-US" w:eastAsia="zh-CN"/>
        </w:rPr>
      </w:pPr>
      <w:r>
        <w:rPr>
          <w:rFonts w:hint="eastAsia" w:asciiTheme="minorEastAsia" w:hAnsiTheme="minorEastAsia" w:eastAsiaTheme="minorEastAsia" w:cstheme="minorEastAsia"/>
          <w:color w:val="0000FF"/>
          <w:szCs w:val="28"/>
          <w:highlight w:val="none"/>
          <w:lang w:val="en-US" w:eastAsia="zh-CN"/>
        </w:rPr>
        <w:t>纸质响应文件递交</w:t>
      </w:r>
      <w:r>
        <w:rPr>
          <w:rFonts w:hint="eastAsia" w:asciiTheme="minorEastAsia" w:hAnsiTheme="minorEastAsia" w:eastAsiaTheme="minorEastAsia" w:cstheme="minorEastAsia"/>
          <w:color w:val="0000FF"/>
          <w:szCs w:val="28"/>
          <w:highlight w:val="none"/>
          <w:lang w:val="en-US"/>
        </w:rPr>
        <w:t>截止时间</w:t>
      </w:r>
      <w:r>
        <w:rPr>
          <w:rFonts w:hint="eastAsia" w:asciiTheme="minorEastAsia" w:hAnsiTheme="minorEastAsia" w:eastAsiaTheme="minorEastAsia" w:cstheme="minorEastAsia"/>
          <w:color w:val="0000FF"/>
          <w:szCs w:val="28"/>
          <w:highlight w:val="none"/>
          <w:lang w:val="en-US" w:eastAsia="zh-CN"/>
        </w:rPr>
        <w:t>（开标</w:t>
      </w:r>
      <w:bookmarkStart w:id="394" w:name="_GoBack"/>
      <w:bookmarkEnd w:id="394"/>
      <w:r>
        <w:rPr>
          <w:rFonts w:hint="eastAsia" w:asciiTheme="minorEastAsia" w:hAnsiTheme="minorEastAsia" w:eastAsiaTheme="minorEastAsia" w:cstheme="minorEastAsia"/>
          <w:color w:val="0000FF"/>
          <w:szCs w:val="28"/>
          <w:highlight w:val="none"/>
          <w:lang w:val="en-US" w:eastAsia="zh-CN"/>
        </w:rPr>
        <w:t>时间）</w:t>
      </w:r>
      <w:r>
        <w:rPr>
          <w:rFonts w:hint="eastAsia" w:asciiTheme="minorEastAsia" w:hAnsiTheme="minorEastAsia" w:eastAsiaTheme="minorEastAsia" w:cstheme="minorEastAsia"/>
          <w:color w:val="0000FF"/>
          <w:szCs w:val="28"/>
          <w:highlight w:val="none"/>
          <w:lang w:val="en-US"/>
        </w:rPr>
        <w:t>：</w:t>
      </w:r>
      <w:r>
        <w:rPr>
          <w:rFonts w:hint="eastAsia" w:asciiTheme="minorEastAsia" w:hAnsiTheme="minorEastAsia" w:eastAsiaTheme="minorEastAsia" w:cstheme="minorEastAsia"/>
          <w:color w:val="0000FF"/>
          <w:szCs w:val="28"/>
          <w:highlight w:val="none"/>
          <w:u w:val="single"/>
          <w:lang w:val="en-US" w:eastAsia="zh-CN"/>
        </w:rPr>
        <w:t xml:space="preserve">  2026年 3  月 24日 11 时 00 分 </w:t>
      </w:r>
    </w:p>
    <w:p w14:paraId="5AECF1C2">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rPr>
        <w:t>3.</w:t>
      </w:r>
      <w:r>
        <w:rPr>
          <w:rFonts w:hint="eastAsia" w:asciiTheme="minorEastAsia" w:hAnsiTheme="minorEastAsia" w:eastAsiaTheme="minorEastAsia" w:cstheme="minorEastAsia"/>
          <w:color w:val="auto"/>
          <w:szCs w:val="28"/>
          <w:highlight w:val="none"/>
          <w:lang w:val="en-US" w:eastAsia="zh-CN"/>
        </w:rPr>
        <w:t>递交</w:t>
      </w:r>
      <w:r>
        <w:rPr>
          <w:rFonts w:hint="eastAsia" w:asciiTheme="minorEastAsia" w:hAnsiTheme="minorEastAsia" w:eastAsiaTheme="minorEastAsia" w:cstheme="minorEastAsia"/>
          <w:color w:val="auto"/>
          <w:szCs w:val="28"/>
          <w:highlight w:val="none"/>
          <w:lang w:val="en-US"/>
        </w:rPr>
        <w:t>方式：现场递交</w:t>
      </w:r>
      <w:r>
        <w:rPr>
          <w:rFonts w:hint="eastAsia" w:asciiTheme="minorEastAsia" w:hAnsiTheme="minorEastAsia" w:eastAsiaTheme="minorEastAsia" w:cstheme="minorEastAsia"/>
          <w:color w:val="auto"/>
          <w:szCs w:val="28"/>
          <w:highlight w:val="none"/>
          <w:lang w:val="en-US" w:eastAsia="zh-CN"/>
        </w:rPr>
        <w:t>，须密封完整。</w:t>
      </w:r>
    </w:p>
    <w:p w14:paraId="4A74295B">
      <w:pPr>
        <w:pageBreakBefore w:val="0"/>
        <w:kinsoku/>
        <w:wordWrap w:val="0"/>
        <w:overflowPunct/>
        <w:topLinePunct w:val="0"/>
        <w:autoSpaceDE/>
        <w:autoSpaceDN/>
        <w:bidi w:val="0"/>
        <w:adjustRightInd/>
        <w:spacing w:line="360" w:lineRule="auto"/>
        <w:ind w:firstLine="482"/>
        <w:textAlignment w:val="auto"/>
        <w:rPr>
          <w:rFonts w:hint="eastAsia" w:asciiTheme="minorEastAsia" w:hAnsiTheme="minorEastAsia" w:eastAsiaTheme="minorEastAsia" w:cstheme="minorEastAsia"/>
          <w:color w:val="auto"/>
          <w:szCs w:val="28"/>
          <w:highlight w:val="none"/>
          <w:u w:val="single"/>
          <w:lang w:val="en-US" w:eastAsia="zh-CN"/>
        </w:rPr>
      </w:pPr>
      <w:r>
        <w:rPr>
          <w:rFonts w:hint="eastAsia" w:asciiTheme="minorEastAsia" w:hAnsiTheme="minorEastAsia" w:eastAsiaTheme="minorEastAsia" w:cstheme="minorEastAsia"/>
          <w:color w:val="auto"/>
          <w:szCs w:val="28"/>
          <w:highlight w:val="none"/>
          <w:lang w:val="en-US"/>
        </w:rPr>
        <w:t>4.递交联系人：</w:t>
      </w:r>
      <w:r>
        <w:rPr>
          <w:rFonts w:hint="eastAsia" w:asciiTheme="minorEastAsia" w:hAnsiTheme="minorEastAsia" w:eastAsiaTheme="minorEastAsia" w:cstheme="minorEastAsia"/>
          <w:color w:val="auto"/>
          <w:szCs w:val="28"/>
          <w:highlight w:val="none"/>
          <w:u w:val="single"/>
          <w:lang w:val="en-US" w:eastAsia="zh-CN"/>
        </w:rPr>
        <w:t xml:space="preserve"> 肖老师  </w:t>
      </w:r>
    </w:p>
    <w:p w14:paraId="650A859E">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4" w:name="_Toc3434"/>
      <w:bookmarkStart w:id="25" w:name="_Toc14264"/>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有关规定</w:t>
      </w:r>
      <w:bookmarkEnd w:id="24"/>
      <w:bookmarkEnd w:id="25"/>
    </w:p>
    <w:p w14:paraId="3F76C32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 w:val="0"/>
          <w:bCs/>
          <w:color w:val="auto"/>
          <w:highlight w:val="none"/>
        </w:rPr>
      </w:pPr>
      <w:bookmarkStart w:id="26" w:name="_Toc16480"/>
      <w:r>
        <w:rPr>
          <w:rFonts w:hint="eastAsia" w:asciiTheme="minorEastAsia" w:hAnsiTheme="minorEastAsia" w:eastAsiaTheme="minorEastAsia" w:cstheme="minorEastAsia"/>
          <w:b w:val="0"/>
          <w:bCs/>
          <w:color w:val="auto"/>
          <w:highlight w:val="none"/>
        </w:rPr>
        <w:t>（一）单位负责人为同一人或者存在直接控股、管理关系的不同投标人，不得参加同一合同项（包）下的政府采购活动。</w:t>
      </w:r>
    </w:p>
    <w:p w14:paraId="6918E90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二</w:t>
      </w:r>
      <w:r>
        <w:rPr>
          <w:rFonts w:hint="eastAsia" w:asciiTheme="minorEastAsia" w:hAnsiTheme="minorEastAsia" w:eastAsiaTheme="minorEastAsia" w:cstheme="minorEastAsia"/>
          <w:bCs/>
          <w:color w:val="auto"/>
          <w:highlight w:val="none"/>
        </w:rPr>
        <w:t>）为采购项目提供整体设计、规范编制或者项目管理、监理、检测等服务的供应商，不得再参加该采购项目的其他采购活动。</w:t>
      </w:r>
    </w:p>
    <w:p w14:paraId="7D6C12C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三</w:t>
      </w:r>
      <w:r>
        <w:rPr>
          <w:rFonts w:hint="eastAsia" w:asciiTheme="minorEastAsia" w:hAnsiTheme="minorEastAsia" w:eastAsiaTheme="minorEastAsia" w:cstheme="minorEastAsia"/>
          <w:bCs/>
          <w:color w:val="auto"/>
          <w:highlight w:val="none"/>
        </w:rPr>
        <w:t>）本项目若有澄清文件一律在</w:t>
      </w:r>
      <w:r>
        <w:rPr>
          <w:rFonts w:hint="eastAsia" w:asciiTheme="minorEastAsia" w:hAnsiTheme="minorEastAsia" w:eastAsiaTheme="minorEastAsia" w:cstheme="minorEastAsia"/>
          <w:color w:val="auto"/>
          <w:szCs w:val="28"/>
          <w:highlight w:val="none"/>
        </w:rPr>
        <w:t>行采家（https://www.gec123.com）</w:t>
      </w:r>
      <w:r>
        <w:rPr>
          <w:rFonts w:hint="eastAsia" w:asciiTheme="minorEastAsia" w:hAnsiTheme="minorEastAsia" w:eastAsiaTheme="minorEastAsia" w:cstheme="minorEastAsia"/>
          <w:bCs/>
          <w:color w:val="auto"/>
          <w:highlight w:val="none"/>
        </w:rPr>
        <w:t>上发布，请各供应商注意下载或到采购代理机构领取；无论供应商下载或领取与否，均视同供应商已知晓本项目澄清文件的内容。</w:t>
      </w:r>
    </w:p>
    <w:p w14:paraId="119D8DC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四</w:t>
      </w:r>
      <w:r>
        <w:rPr>
          <w:rFonts w:hint="eastAsia" w:asciiTheme="minorEastAsia" w:hAnsiTheme="minorEastAsia" w:eastAsiaTheme="minorEastAsia" w:cstheme="minorEastAsia"/>
          <w:bCs/>
          <w:color w:val="auto"/>
          <w:highlight w:val="none"/>
        </w:rPr>
        <w:t>）超过响应截止时间递交的</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或未送到指定地点或邮寄到指定地点已超过递交截止时间</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响应文件，恕不接收。</w:t>
      </w:r>
    </w:p>
    <w:p w14:paraId="1934E03D">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五</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比选</w:t>
      </w:r>
      <w:r>
        <w:rPr>
          <w:rFonts w:hint="eastAsia" w:asciiTheme="minorEastAsia" w:hAnsiTheme="minorEastAsia" w:eastAsiaTheme="minorEastAsia" w:cstheme="minorEastAsia"/>
          <w:bCs/>
          <w:color w:val="auto"/>
          <w:highlight w:val="none"/>
        </w:rPr>
        <w:t>费用：无论</w:t>
      </w:r>
      <w:r>
        <w:rPr>
          <w:rFonts w:hint="eastAsia" w:asciiTheme="minorEastAsia" w:hAnsiTheme="minorEastAsia" w:eastAsiaTheme="minorEastAsia" w:cstheme="minorEastAsia"/>
          <w:bCs/>
          <w:color w:val="auto"/>
          <w:highlight w:val="none"/>
          <w:lang w:eastAsia="zh-CN"/>
        </w:rPr>
        <w:t>比选</w:t>
      </w:r>
      <w:r>
        <w:rPr>
          <w:rFonts w:hint="eastAsia" w:asciiTheme="minorEastAsia" w:hAnsiTheme="minorEastAsia" w:eastAsiaTheme="minorEastAsia" w:cstheme="minorEastAsia"/>
          <w:bCs/>
          <w:color w:val="auto"/>
          <w:highlight w:val="none"/>
        </w:rPr>
        <w:t>结果如何，供应商参与本项目</w:t>
      </w:r>
      <w:r>
        <w:rPr>
          <w:rFonts w:hint="eastAsia" w:asciiTheme="minorEastAsia" w:hAnsiTheme="minorEastAsia" w:eastAsiaTheme="minorEastAsia" w:cstheme="minorEastAsia"/>
          <w:bCs/>
          <w:color w:val="auto"/>
          <w:highlight w:val="none"/>
          <w:lang w:eastAsia="zh-CN"/>
        </w:rPr>
        <w:t>比选</w:t>
      </w:r>
      <w:r>
        <w:rPr>
          <w:rFonts w:hint="eastAsia" w:asciiTheme="minorEastAsia" w:hAnsiTheme="minorEastAsia" w:eastAsiaTheme="minorEastAsia" w:cstheme="minorEastAsia"/>
          <w:bCs/>
          <w:color w:val="auto"/>
          <w:highlight w:val="none"/>
        </w:rPr>
        <w:t>的所有费用均应由供应商自行承担。</w:t>
      </w:r>
    </w:p>
    <w:p w14:paraId="0F3389E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六</w:t>
      </w:r>
      <w:r>
        <w:rPr>
          <w:rFonts w:hint="eastAsia" w:asciiTheme="minorEastAsia" w:hAnsiTheme="minorEastAsia" w:eastAsiaTheme="minorEastAsia" w:cstheme="minorEastAsia"/>
          <w:bCs/>
          <w:color w:val="auto"/>
          <w:highlight w:val="none"/>
        </w:rPr>
        <w:t>）本项目不接受联合体参与投标，否则按无效投标处理。</w:t>
      </w:r>
    </w:p>
    <w:p w14:paraId="54C0F8E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七</w:t>
      </w:r>
      <w:r>
        <w:rPr>
          <w:rFonts w:hint="eastAsia" w:asciiTheme="minorEastAsia" w:hAnsiTheme="minorEastAsia" w:eastAsiaTheme="minorEastAsia" w:cstheme="minorEastAsia"/>
          <w:bCs/>
          <w:color w:val="auto"/>
          <w:highlight w:val="none"/>
        </w:rPr>
        <w:t>）本项目不接受合同分包，否则按无效响应处理。</w:t>
      </w:r>
    </w:p>
    <w:p w14:paraId="30FE84E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八</w:t>
      </w:r>
      <w:r>
        <w:rPr>
          <w:rFonts w:hint="eastAsia" w:asciiTheme="minorEastAsia" w:hAnsiTheme="minorEastAsia" w:eastAsiaTheme="minorEastAsia" w:cstheme="minorEastAsia"/>
          <w:bCs/>
          <w:color w:val="auto"/>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534C7A">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7" w:name="_Toc9158"/>
      <w:bookmarkStart w:id="28" w:name="_Toc14202"/>
      <w:r>
        <w:rPr>
          <w:rFonts w:hint="eastAsia" w:asciiTheme="minorEastAsia" w:hAnsiTheme="minorEastAsia" w:eastAsiaTheme="minorEastAsia" w:cstheme="minorEastAsia"/>
          <w:color w:val="auto"/>
          <w:highlight w:val="none"/>
        </w:rPr>
        <w:t>五、联系方式</w:t>
      </w:r>
      <w:bookmarkEnd w:id="26"/>
      <w:bookmarkEnd w:id="27"/>
      <w:bookmarkEnd w:id="28"/>
    </w:p>
    <w:p w14:paraId="0E76A68E">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一</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比选人</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云阳县中医院</w:t>
      </w:r>
    </w:p>
    <w:p w14:paraId="3547948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lang w:val="en-US" w:eastAsia="zh-CN"/>
        </w:rPr>
        <w:t xml:space="preserve">  王峥          </w:t>
      </w:r>
    </w:p>
    <w:p w14:paraId="33349F2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电  话：</w:t>
      </w:r>
      <w:r>
        <w:rPr>
          <w:rFonts w:hint="eastAsia" w:asciiTheme="minorEastAsia" w:hAnsiTheme="minorEastAsia" w:eastAsiaTheme="minorEastAsia" w:cstheme="minorEastAsia"/>
          <w:bCs/>
          <w:color w:val="auto"/>
          <w:highlight w:val="none"/>
          <w:u w:val="single"/>
          <w:lang w:val="en-US" w:eastAsia="zh-CN"/>
        </w:rPr>
        <w:t xml:space="preserve">   13996660309  </w:t>
      </w:r>
    </w:p>
    <w:p w14:paraId="04033DC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  址：</w:t>
      </w:r>
      <w:r>
        <w:rPr>
          <w:rFonts w:hint="eastAsia" w:asciiTheme="minorEastAsia" w:hAnsiTheme="minorEastAsia" w:eastAsiaTheme="minorEastAsia" w:cstheme="minorEastAsia"/>
          <w:bCs/>
          <w:color w:val="auto"/>
          <w:highlight w:val="none"/>
          <w:u w:val="single"/>
          <w:lang w:val="en-US" w:eastAsia="zh-CN"/>
        </w:rPr>
        <w:t xml:space="preserve">    重庆市云阳县双江街道北城大道618号    </w:t>
      </w:r>
      <w:r>
        <w:rPr>
          <w:rFonts w:hint="eastAsia" w:asciiTheme="minorEastAsia" w:hAnsiTheme="minorEastAsia" w:eastAsiaTheme="minorEastAsia" w:cstheme="minorEastAsia"/>
          <w:bCs/>
          <w:color w:val="auto"/>
          <w:highlight w:val="none"/>
        </w:rPr>
        <w:t xml:space="preserve">             </w:t>
      </w:r>
    </w:p>
    <w:p w14:paraId="2CF5FC07">
      <w:pPr>
        <w:pageBreakBefore w:val="0"/>
        <w:numPr>
          <w:ilvl w:val="0"/>
          <w:numId w:val="1"/>
        </w:numPr>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rPr>
        <w:t>代理机构：</w:t>
      </w:r>
      <w:r>
        <w:rPr>
          <w:rFonts w:hint="eastAsia" w:asciiTheme="minorEastAsia" w:hAnsiTheme="minorEastAsia" w:eastAsiaTheme="minorEastAsia" w:cstheme="minorEastAsia"/>
          <w:bCs/>
          <w:color w:val="auto"/>
          <w:highlight w:val="none"/>
          <w:lang w:val="en-US" w:eastAsia="zh-CN"/>
        </w:rPr>
        <w:t>重庆泰锐建设工程项目咨询有限公司</w:t>
      </w:r>
    </w:p>
    <w:p w14:paraId="6F1B0F80">
      <w:pPr>
        <w:pageBreakBefore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lang w:val="en-US" w:eastAsia="zh-CN"/>
        </w:rPr>
        <w:t xml:space="preserve"> 肖老师           </w:t>
      </w:r>
    </w:p>
    <w:p w14:paraId="1EB0417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电  话：</w:t>
      </w:r>
      <w:r>
        <w:rPr>
          <w:rFonts w:hint="eastAsia" w:asciiTheme="minorEastAsia" w:hAnsiTheme="minorEastAsia" w:eastAsiaTheme="minorEastAsia" w:cstheme="minorEastAsia"/>
          <w:bCs/>
          <w:color w:val="auto"/>
          <w:highlight w:val="none"/>
          <w:u w:val="single"/>
          <w:lang w:val="en-US" w:eastAsia="zh-CN"/>
        </w:rPr>
        <w:t xml:space="preserve">  023-55818567     </w:t>
      </w:r>
    </w:p>
    <w:p w14:paraId="321E2E0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highlight w:val="none"/>
          <w:u w:val="single"/>
          <w:lang w:val="en-US" w:eastAsia="zh-CN"/>
        </w:rPr>
      </w:pPr>
      <w:r>
        <w:rPr>
          <w:rFonts w:hint="eastAsia" w:asciiTheme="minorEastAsia" w:hAnsiTheme="minorEastAsia" w:eastAsiaTheme="minorEastAsia" w:cstheme="minorEastAsia"/>
          <w:bCs/>
          <w:color w:val="auto"/>
          <w:highlight w:val="none"/>
        </w:rPr>
        <w:t>地  址：</w:t>
      </w:r>
      <w:bookmarkStart w:id="29" w:name="_Toc20127"/>
      <w:bookmarkStart w:id="30" w:name="_Toc22183"/>
      <w:r>
        <w:rPr>
          <w:rFonts w:hint="eastAsia" w:asciiTheme="minorEastAsia" w:hAnsiTheme="minorEastAsia" w:eastAsiaTheme="minorEastAsia" w:cstheme="minorEastAsia"/>
          <w:bCs/>
          <w:color w:val="auto"/>
          <w:highlight w:val="none"/>
          <w:u w:val="single"/>
          <w:lang w:val="en-US" w:eastAsia="zh-CN"/>
        </w:rPr>
        <w:t xml:space="preserve"> 云阳县迎宾大道888号亿联商贸城F8栋10楼 </w:t>
      </w:r>
    </w:p>
    <w:p w14:paraId="104652F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bookmarkEnd w:id="23"/>
    <w:bookmarkEnd w:id="29"/>
    <w:bookmarkEnd w:id="30"/>
    <w:p w14:paraId="0F0783FD">
      <w:pPr>
        <w:pStyle w:val="3"/>
        <w:spacing w:before="0" w:after="0" w:line="360" w:lineRule="auto"/>
        <w:jc w:val="center"/>
        <w:rPr>
          <w:rFonts w:hint="eastAsia" w:asciiTheme="minorEastAsia" w:hAnsiTheme="minorEastAsia" w:eastAsiaTheme="minorEastAsia" w:cstheme="minorEastAsia"/>
          <w:bCs/>
          <w:color w:val="auto"/>
          <w:sz w:val="44"/>
          <w:szCs w:val="44"/>
          <w:highlight w:val="none"/>
          <w:lang w:eastAsia="zh-CN"/>
        </w:rPr>
      </w:pPr>
      <w:bookmarkStart w:id="31" w:name="_Toc29786"/>
      <w:bookmarkStart w:id="32" w:name="_Toc2563"/>
      <w:bookmarkStart w:id="33" w:name="_Toc8133"/>
      <w:bookmarkStart w:id="34" w:name="_Toc25911"/>
      <w:bookmarkStart w:id="35" w:name="_Toc3339"/>
      <w:bookmarkStart w:id="36" w:name="_Toc24966"/>
      <w:bookmarkStart w:id="37" w:name="_Toc15693"/>
      <w:bookmarkStart w:id="38" w:name="_Toc11875"/>
      <w:bookmarkStart w:id="39" w:name="_Toc2672"/>
      <w:bookmarkStart w:id="40" w:name="_Toc23377"/>
      <w:bookmarkStart w:id="41" w:name="_Toc2487"/>
      <w:bookmarkStart w:id="42" w:name="_Toc75793517"/>
      <w:bookmarkStart w:id="43" w:name="_Toc25903"/>
      <w:bookmarkStart w:id="44" w:name="_Toc2406"/>
      <w:bookmarkStart w:id="45" w:name="_Toc30067"/>
      <w:bookmarkStart w:id="46" w:name="_Toc25165"/>
      <w:bookmarkStart w:id="47" w:name="_Toc22763"/>
      <w:bookmarkStart w:id="48" w:name="_Toc23663"/>
      <w:bookmarkStart w:id="49" w:name="_Toc17711"/>
      <w:bookmarkStart w:id="50" w:name="_Toc106030393"/>
      <w:bookmarkStart w:id="51" w:name="_Toc10668"/>
      <w:r>
        <w:rPr>
          <w:rFonts w:hint="eastAsia" w:asciiTheme="minorEastAsia" w:hAnsiTheme="minorEastAsia" w:eastAsiaTheme="minorEastAsia" w:cstheme="minorEastAsia"/>
          <w:bCs/>
          <w:color w:val="auto"/>
          <w:sz w:val="44"/>
          <w:szCs w:val="44"/>
          <w:highlight w:val="none"/>
        </w:rPr>
        <w:t xml:space="preserve">第二篇 </w:t>
      </w:r>
      <w:bookmarkEnd w:id="31"/>
      <w:r>
        <w:rPr>
          <w:rFonts w:hint="eastAsia" w:asciiTheme="minorEastAsia" w:hAnsiTheme="minorEastAsia" w:eastAsiaTheme="minorEastAsia" w:cstheme="minorEastAsia"/>
          <w:bCs/>
          <w:color w:val="auto"/>
          <w:sz w:val="44"/>
          <w:szCs w:val="44"/>
          <w:highlight w:val="none"/>
          <w:lang w:eastAsia="zh-CN"/>
        </w:rPr>
        <w:t>项目服务需求</w:t>
      </w:r>
      <w:bookmarkEnd w:id="32"/>
    </w:p>
    <w:p w14:paraId="0E8D9E30">
      <w:pPr>
        <w:pStyle w:val="3"/>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color w:val="auto"/>
          <w:sz w:val="28"/>
          <w:szCs w:val="28"/>
          <w:highlight w:val="none"/>
        </w:rPr>
      </w:pPr>
      <w:bookmarkStart w:id="52" w:name="_Toc14065"/>
      <w:bookmarkStart w:id="53" w:name="_Toc244"/>
      <w:bookmarkStart w:id="54" w:name="_Toc13183"/>
      <w:bookmarkStart w:id="55" w:name="_Toc19835"/>
      <w:bookmarkStart w:id="56" w:name="_Toc9844"/>
      <w:bookmarkStart w:id="57" w:name="_Toc9742"/>
      <w:bookmarkStart w:id="58" w:name="_Toc16977"/>
      <w:bookmarkStart w:id="59" w:name="_Toc17860"/>
      <w:bookmarkStart w:id="60" w:name="_Toc141263958"/>
      <w:bookmarkStart w:id="61" w:name="_Toc2092"/>
      <w:bookmarkStart w:id="62" w:name="_Toc32341"/>
      <w:bookmarkStart w:id="63" w:name="_Toc9161"/>
      <w:bookmarkStart w:id="64" w:name="_Toc27221"/>
      <w:bookmarkStart w:id="65" w:name="_Toc8350"/>
      <w:bookmarkStart w:id="66" w:name="_Toc27957"/>
      <w:bookmarkStart w:id="67" w:name="_Toc104806979"/>
      <w:bookmarkStart w:id="68" w:name="_Toc19028"/>
      <w:bookmarkStart w:id="69" w:name="_Toc26626"/>
      <w:bookmarkStart w:id="70" w:name="_Toc32551"/>
      <w:bookmarkStart w:id="71" w:name="_Toc17109"/>
      <w:bookmarkStart w:id="72" w:name="_Toc32523"/>
      <w:bookmarkStart w:id="73" w:name="_Toc13377"/>
      <w:bookmarkStart w:id="74" w:name="_Toc9054"/>
      <w:bookmarkStart w:id="75" w:name="_Toc30473"/>
      <w:bookmarkStart w:id="76" w:name="_Toc9619"/>
      <w:bookmarkStart w:id="77" w:name="_Toc30681"/>
      <w:bookmarkStart w:id="78" w:name="_Toc3396"/>
      <w:bookmarkStart w:id="79" w:name="_Toc204"/>
      <w:bookmarkStart w:id="80" w:name="_Toc12131"/>
      <w:bookmarkStart w:id="81" w:name="_Toc12789058"/>
      <w:bookmarkStart w:id="82" w:name="_Toc15259"/>
      <w:bookmarkStart w:id="83" w:name="_Toc9660"/>
      <w:bookmarkStart w:id="84" w:name="_Toc7071"/>
      <w:bookmarkStart w:id="85" w:name="_Toc16815"/>
      <w:bookmarkStart w:id="86" w:name="_Toc138"/>
      <w:bookmarkStart w:id="87" w:name="_Toc6461"/>
      <w:bookmarkStart w:id="88" w:name="_Toc12716"/>
      <w:bookmarkStart w:id="89" w:name="_Toc14306"/>
      <w:bookmarkStart w:id="90" w:name="_Toc14825"/>
      <w:bookmarkStart w:id="91" w:name="_Toc14041"/>
      <w:bookmarkStart w:id="92" w:name="_Toc2620"/>
      <w:bookmarkStart w:id="93" w:name="_Toc13673"/>
      <w:bookmarkStart w:id="94" w:name="_Toc31705"/>
      <w:bookmarkStart w:id="95" w:name="_Toc28140"/>
      <w:bookmarkStart w:id="96" w:name="_Toc16585"/>
      <w:r>
        <w:rPr>
          <w:rFonts w:hint="eastAsia" w:asciiTheme="minorEastAsia" w:hAnsiTheme="minorEastAsia" w:eastAsiaTheme="minorEastAsia" w:cstheme="minorEastAsia"/>
          <w:color w:val="auto"/>
          <w:sz w:val="28"/>
          <w:szCs w:val="28"/>
          <w:highlight w:val="none"/>
        </w:rPr>
        <w:t>一、项目</w:t>
      </w:r>
      <w:bookmarkEnd w:id="52"/>
      <w:bookmarkEnd w:id="53"/>
      <w:bookmarkEnd w:id="54"/>
      <w:bookmarkEnd w:id="55"/>
      <w:bookmarkEnd w:id="56"/>
      <w:bookmarkEnd w:id="57"/>
      <w:bookmarkEnd w:id="58"/>
      <w:bookmarkEnd w:id="59"/>
      <w:bookmarkEnd w:id="60"/>
      <w:r>
        <w:rPr>
          <w:rFonts w:hint="eastAsia" w:asciiTheme="minorEastAsia" w:hAnsiTheme="minorEastAsia" w:eastAsiaTheme="minorEastAsia" w:cstheme="minorEastAsia"/>
          <w:color w:val="auto"/>
          <w:sz w:val="28"/>
          <w:szCs w:val="28"/>
          <w:highlight w:val="none"/>
        </w:rPr>
        <w:t>一览表</w:t>
      </w:r>
      <w:bookmarkEnd w:id="61"/>
      <w:bookmarkEnd w:id="62"/>
      <w:bookmarkEnd w:id="63"/>
    </w:p>
    <w:tbl>
      <w:tblPr>
        <w:tblStyle w:val="24"/>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355"/>
        <w:gridCol w:w="1965"/>
        <w:gridCol w:w="2668"/>
      </w:tblGrid>
      <w:tr w14:paraId="641E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410" w:type="dxa"/>
            <w:noWrap w:val="0"/>
            <w:vAlign w:val="center"/>
          </w:tcPr>
          <w:p w14:paraId="3371969D">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采购项目</w:t>
            </w:r>
          </w:p>
        </w:tc>
        <w:tc>
          <w:tcPr>
            <w:tcW w:w="2355" w:type="dxa"/>
            <w:noWrap w:val="0"/>
            <w:vAlign w:val="center"/>
          </w:tcPr>
          <w:p w14:paraId="72611756">
            <w:pPr>
              <w:pageBreakBefore w:val="0"/>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服务期限</w:t>
            </w:r>
          </w:p>
        </w:tc>
        <w:tc>
          <w:tcPr>
            <w:tcW w:w="1965" w:type="dxa"/>
            <w:noWrap w:val="0"/>
            <w:vAlign w:val="center"/>
          </w:tcPr>
          <w:p w14:paraId="0076874A">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成交供应商数量</w:t>
            </w:r>
          </w:p>
        </w:tc>
        <w:tc>
          <w:tcPr>
            <w:tcW w:w="2668" w:type="dxa"/>
            <w:noWrap w:val="0"/>
            <w:vAlign w:val="center"/>
          </w:tcPr>
          <w:p w14:paraId="37AD9C79">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rPr>
              <w:t>数量</w:t>
            </w:r>
          </w:p>
        </w:tc>
      </w:tr>
      <w:tr w14:paraId="3760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410" w:type="dxa"/>
            <w:noWrap w:val="0"/>
            <w:vAlign w:val="center"/>
          </w:tcPr>
          <w:p w14:paraId="07037C47">
            <w:pPr>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vertAlign w:val="baseline"/>
              </w:rPr>
            </w:pPr>
            <w:r>
              <w:rPr>
                <w:rFonts w:hint="eastAsia" w:asciiTheme="minorEastAsia" w:hAnsiTheme="minorEastAsia" w:eastAsiaTheme="minorEastAsia" w:cstheme="minorEastAsia"/>
                <w:color w:val="auto"/>
                <w:kern w:val="0"/>
                <w:sz w:val="21"/>
                <w:szCs w:val="21"/>
              </w:rPr>
              <w:t>云阳县</w:t>
            </w:r>
            <w:r>
              <w:rPr>
                <w:rFonts w:hint="eastAsia" w:asciiTheme="minorEastAsia" w:hAnsiTheme="minorEastAsia" w:eastAsiaTheme="minorEastAsia" w:cstheme="minorEastAsia"/>
                <w:color w:val="auto"/>
                <w:kern w:val="0"/>
                <w:sz w:val="21"/>
                <w:szCs w:val="21"/>
                <w:lang w:val="en-US" w:eastAsia="zh-CN"/>
              </w:rPr>
              <w:t>中</w:t>
            </w:r>
            <w:r>
              <w:rPr>
                <w:rFonts w:hint="eastAsia" w:asciiTheme="minorEastAsia" w:hAnsiTheme="minorEastAsia" w:eastAsiaTheme="minorEastAsia" w:cstheme="minorEastAsia"/>
                <w:color w:val="auto"/>
                <w:kern w:val="0"/>
                <w:sz w:val="21"/>
                <w:szCs w:val="21"/>
              </w:rPr>
              <w:t>医院病理远程诊断及外检服务</w:t>
            </w:r>
          </w:p>
        </w:tc>
        <w:tc>
          <w:tcPr>
            <w:tcW w:w="2355" w:type="dxa"/>
            <w:noWrap w:val="0"/>
            <w:vAlign w:val="center"/>
          </w:tcPr>
          <w:p w14:paraId="7F2A0D65">
            <w:pPr>
              <w:pageBreakBefore w:val="0"/>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经采购人考核合格，合同一年一签</w:t>
            </w:r>
          </w:p>
        </w:tc>
        <w:tc>
          <w:tcPr>
            <w:tcW w:w="1965" w:type="dxa"/>
            <w:noWrap w:val="0"/>
            <w:vAlign w:val="center"/>
          </w:tcPr>
          <w:p w14:paraId="11D744F4">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p>
        </w:tc>
        <w:tc>
          <w:tcPr>
            <w:tcW w:w="2668" w:type="dxa"/>
            <w:noWrap w:val="0"/>
            <w:vAlign w:val="center"/>
          </w:tcPr>
          <w:p w14:paraId="116E21BA">
            <w:pPr>
              <w:pageBreakBefore w:val="0"/>
              <w:widowControl/>
              <w:kinsoku/>
              <w:wordWrap/>
              <w:overflowPunct/>
              <w:topLinePunct w:val="0"/>
              <w:autoSpaceDE/>
              <w:autoSpaceDN/>
              <w:bidi w:val="0"/>
              <w:spacing w:line="240" w:lineRule="auto"/>
              <w:jc w:val="center"/>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按实际送检量结算</w:t>
            </w:r>
          </w:p>
        </w:tc>
      </w:tr>
      <w:bookmarkEnd w:id="64"/>
      <w:bookmarkEnd w:id="65"/>
      <w:bookmarkEnd w:id="66"/>
      <w:bookmarkEnd w:id="67"/>
    </w:tbl>
    <w:p w14:paraId="734146EF">
      <w:pPr>
        <w:pStyle w:val="3"/>
        <w:pageBreakBefore w:val="0"/>
        <w:widowControl w:val="0"/>
        <w:kinsoku/>
        <w:wordWrap/>
        <w:overflowPunct/>
        <w:topLinePunct w:val="0"/>
        <w:autoSpaceDE/>
        <w:autoSpaceDN/>
        <w:bidi w:val="0"/>
        <w:spacing w:before="0" w:beforeLines="0" w:after="0" w:afterLines="0" w:line="360" w:lineRule="auto"/>
        <w:jc w:val="center"/>
        <w:textAlignment w:val="auto"/>
        <w:rPr>
          <w:rFonts w:hint="eastAsia" w:asciiTheme="minorEastAsia" w:hAnsiTheme="minorEastAsia" w:eastAsiaTheme="minorEastAsia" w:cstheme="minorEastAsia"/>
          <w:b/>
          <w:color w:val="auto"/>
          <w:sz w:val="24"/>
          <w:lang w:val="en-US" w:eastAsia="zh-CN"/>
        </w:rPr>
      </w:pPr>
      <w:bookmarkStart w:id="97" w:name="_Toc14133"/>
      <w:r>
        <w:rPr>
          <w:rFonts w:hint="eastAsia" w:asciiTheme="minorEastAsia" w:hAnsiTheme="minorEastAsia" w:eastAsiaTheme="minorEastAsia" w:cstheme="minorEastAsia"/>
          <w:b/>
          <w:color w:val="auto"/>
          <w:sz w:val="24"/>
          <w:lang w:val="en-US" w:eastAsia="zh-CN"/>
        </w:rPr>
        <w:t xml:space="preserve"> </w:t>
      </w:r>
    </w:p>
    <w:p w14:paraId="402A0802">
      <w:pPr>
        <w:pStyle w:val="3"/>
        <w:pageBreakBefore w:val="0"/>
        <w:numPr>
          <w:ilvl w:val="0"/>
          <w:numId w:val="0"/>
        </w:numPr>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rPr>
      </w:pPr>
      <w:bookmarkStart w:id="98" w:name="_Toc30630"/>
      <w:bookmarkStart w:id="99" w:name="_Toc12554"/>
      <w:bookmarkStart w:id="100" w:name="_Toc13461"/>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b/>
          <w:color w:val="auto"/>
          <w:sz w:val="24"/>
          <w:szCs w:val="24"/>
          <w:lang w:eastAsia="zh-CN"/>
        </w:rPr>
        <w:t>服务</w:t>
      </w:r>
      <w:r>
        <w:rPr>
          <w:rFonts w:hint="eastAsia" w:asciiTheme="minorEastAsia" w:hAnsiTheme="minorEastAsia" w:eastAsiaTheme="minorEastAsia" w:cstheme="minorEastAsia"/>
          <w:b/>
          <w:color w:val="auto"/>
          <w:sz w:val="24"/>
          <w:szCs w:val="24"/>
        </w:rPr>
        <w:t>要求</w:t>
      </w:r>
      <w:bookmarkEnd w:id="98"/>
      <w:bookmarkEnd w:id="99"/>
      <w:bookmarkEnd w:id="100"/>
    </w:p>
    <w:p w14:paraId="7F18C14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（一）远程诊断服务</w:t>
      </w:r>
    </w:p>
    <w:p w14:paraId="71F934D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1.1供应商应具有提供远程病理诊断服务的能力；并提供远程诊断所需扫描及上传设备；检测结果需上传采购人的LIS、HIS系统，满足临床随时调阅检测结果的需求，并承担相应的接口费用。(备注:1.需支持与采购人 HIS 系统、LIS 系统(中联)完成数据对接，实现病理申请信息（含患者基本信息、诊断信息、检查项目等）从 HIS 系统精准获取，病理报告（含诊断结果、检测数据等）实时回传至 HIS 系统，确保医生可通过 HIS 系统正常查阅；2.供应商需负责对接采购人 HIS 系统、LIS 系统(中联)厂家，承担接口开发、调试及适配相关全部费用）。</w:t>
      </w:r>
    </w:p>
    <w:p w14:paraId="38B14A3D">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2.技术要求</w:t>
      </w:r>
    </w:p>
    <w:p w14:paraId="3A787971">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2.1供应商的实验室应符合国家卫健委《病理科建设与管理指南（试行）》、《临床技术操作规范-病理学分册》等法律法规要求。</w:t>
      </w:r>
    </w:p>
    <w:p w14:paraId="177836F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2.2供应商保证所提供的服务均按国家检测规范进行操作，并对标本的检测报告承担相应的责任。</w:t>
      </w:r>
    </w:p>
    <w:p w14:paraId="4C7DD24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2.3供应商的实验室需参加病理质控中心组织的室间质评且合格（提供2025年度室间质评资料作为佐证）；服务期内，成交供应商应定期提供相关材料交采购人内设科室病理科备案。</w:t>
      </w:r>
    </w:p>
    <w:p w14:paraId="306126F2">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供应商应为本项目病理诊断服务实施提供专业技术服务团队，包括至少1名及以上病理副高级及以上职称的专业技术人员（提供加盖公章的职称资格证书复印件）并向采购人进行备案；且承诺对采购人安排的技术人员免费进行病理相关诊断知识指导和培育。</w:t>
      </w:r>
    </w:p>
    <w:p w14:paraId="76F109D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2.5.供应商应具备完善的医院感染防控服务能力，协助采购人内设科室病理室做好院内感控工作。</w:t>
      </w:r>
    </w:p>
    <w:p w14:paraId="01BFD2D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2.6服务期内，成交供应商应协助采购人内设科室病理室做好上级主管部门迎检及等级医院评审资料准备等工作。</w:t>
      </w:r>
    </w:p>
    <w:p w14:paraId="20B52A8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3.结果报告：院内常规标本报</w:t>
      </w:r>
      <w:r>
        <w:rPr>
          <w:rFonts w:hint="eastAsia" w:asciiTheme="minorEastAsia" w:hAnsiTheme="minorEastAsia" w:eastAsiaTheme="minorEastAsia" w:cstheme="minorEastAsia"/>
          <w:color w:val="auto"/>
          <w:sz w:val="24"/>
          <w:szCs w:val="24"/>
          <w:highlight w:val="none"/>
          <w:lang w:val="en-US" w:eastAsia="zh-CN"/>
        </w:rPr>
        <w:t>告按“（五）服务范围及明细清单”中所列报告时间执行，满足国家规范要求，特殊标本经与采购人沟通后可顺延报告时间。</w:t>
      </w:r>
    </w:p>
    <w:p w14:paraId="031A1F4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4.质量要求：</w:t>
      </w:r>
    </w:p>
    <w:p w14:paraId="46269D1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4.1误诊例数：全年无误诊病例；</w:t>
      </w:r>
    </w:p>
    <w:p w14:paraId="1ECA1E9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4.2报告及时率：按“（五）服务范围及明细清单”中所列报告时间执行；</w:t>
      </w:r>
    </w:p>
    <w:p w14:paraId="7A4C492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4.3检测标本丢失、运送错误，次数累计0次/年；</w:t>
      </w:r>
    </w:p>
    <w:p w14:paraId="35805B5E">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4.4危急值报告率和及时率达到100％。</w:t>
      </w:r>
    </w:p>
    <w:p w14:paraId="311F372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供应商需对自身提供的相关检测所需检测耗材质量负责，对采购人送检的合格样本结果进行负责，对于按照供应商取材要求进行取材的合格样本，若因供应商原因导致检测结果存在质量问题，由供应商承担相关责任。</w:t>
      </w:r>
    </w:p>
    <w:p w14:paraId="7CFB551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4.6供应商按季度向采购人提供室内质量控制报表。</w:t>
      </w:r>
    </w:p>
    <w:p w14:paraId="383B5A7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4.7按采购人要求，随时提供质量和技术资料，如更换试剂批号、仪器维修后、检验系统更换后的质控记录和性能验证报告。</w:t>
      </w:r>
    </w:p>
    <w:p w14:paraId="715D071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4.8供应商应安排专人负责采购人业务及质量、技术、培训等工作。</w:t>
      </w:r>
    </w:p>
    <w:p w14:paraId="3B5DEED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4.9供应商应随时接受并妥善安排采购人查阅项目检测、质量控制等情况。</w:t>
      </w:r>
    </w:p>
    <w:p w14:paraId="57CC1B8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4.10对于样本周转时间（TAT）的要求：</w:t>
      </w:r>
    </w:p>
    <w:p w14:paraId="3BB7959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4.10.1有明确的样本送检和报告发布时间服务承诺。检测报告需按照供应商提供的《检测项目手册》规定的出报告时间出具。</w:t>
      </w:r>
    </w:p>
    <w:p w14:paraId="7B77819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4.10.2样本周转时间起点为检测标本到达采购人病理室，终点为供应商出具诊断报告。</w:t>
      </w:r>
    </w:p>
    <w:p w14:paraId="30BF937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4.10.3报告延误率≤1/1000。</w:t>
      </w:r>
    </w:p>
    <w:p w14:paraId="6904E56D">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4.10.4定期提供委托项目的样本周转时间（TAT）分析，对于采购人提出的要求及时反馈并更正。</w:t>
      </w:r>
    </w:p>
    <w:p w14:paraId="2DA5748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4.10.5如成交供应商检测报告超出约定时间未出具书面通知采购人且造成恶劣影响的，包括不限于医疗纠纷、患者投诉等，成交供应商应承担相应的经济和法律责任。</w:t>
      </w:r>
    </w:p>
    <w:p w14:paraId="47977BD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（二）外送标本服务</w:t>
      </w:r>
    </w:p>
    <w:p w14:paraId="48FBF18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1.标本管理</w:t>
      </w:r>
    </w:p>
    <w:p w14:paraId="6CA4487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1.1专人取送标本。必须配置专用保温箱，保温箱必须有相应的温度记录表须有实时远程温度记录，取标本前保温箱做好清洁消毒并有记录，保证标本的质量。</w:t>
      </w:r>
    </w:p>
    <w:p w14:paraId="357E557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1.2每日来院接收标本的服务，来院服务时间为：8：30至-17：00，服务频次为：每日一次。</w:t>
      </w:r>
    </w:p>
    <w:p w14:paraId="1B284D52">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1.3规范标本接收、登记和包装流程，保证标本质量和安全，确保标本顺利交接，方便查核。</w:t>
      </w:r>
    </w:p>
    <w:p w14:paraId="67F96F3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1.4标本接收人员负责标本质量的初检、标识的核对，标本的接收登记及包装储存。</w:t>
      </w:r>
    </w:p>
    <w:p w14:paraId="30FEADC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1.5供应商对采购人送检的标本应按规定保存时限进行保存，标本销毁时，严格按照国家法律、部门规章等法规规定对医疗废物进行专业处理。</w:t>
      </w:r>
    </w:p>
    <w:p w14:paraId="3DBC8EC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1.6严禁成交供应商将检验项目转送到其他检测机构检测，一旦发现，采购人有权单方面解除合同，并保留追究其相关责任的权利。</w:t>
      </w:r>
    </w:p>
    <w:p w14:paraId="34F9419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2.结果报告</w:t>
      </w:r>
    </w:p>
    <w:p w14:paraId="63BBFE4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2.1供应商按项目外检明细表中承诺的时间发出报告，且结果实时通过系统传到采购人内设科室检验科系统端及患者手机端，方便采购人的工作人员在电脑HIS系统中可随时调阅。</w:t>
      </w:r>
    </w:p>
    <w:p w14:paraId="6150104E">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2.2供应商应保证病人资料的准确性和检验结果报送的及时性，并提供报告解读的必要培训与技术支持。</w:t>
      </w:r>
    </w:p>
    <w:p w14:paraId="03C95BF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2.3若患者需要纸质报告的，应提供加盖鲜章的纸质报告。</w:t>
      </w:r>
    </w:p>
    <w:p w14:paraId="5E7997A1">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3.结果查询</w:t>
      </w:r>
    </w:p>
    <w:p w14:paraId="067F959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3.1供应商应提供网上查询账号以供随时查询进度和结果。</w:t>
      </w:r>
    </w:p>
    <w:p w14:paraId="210D1A21">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3.2提供400电话随时服务，发现危急值或影响诊断和治疗的特殊情况时须专人电话沟通，确保医务人员和患者能及时知晓病情。</w:t>
      </w:r>
    </w:p>
    <w:p w14:paraId="7F88138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3.3供应商提供官网下载的报告服务，供应商的报告系统与采购人的系统能实现对接，满足临床医生查询报告和患者移动终端自助查询报告。</w:t>
      </w:r>
    </w:p>
    <w:p w14:paraId="48B50DB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4.质量要求</w:t>
      </w:r>
    </w:p>
    <w:p w14:paraId="489EAFB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4.1误检率：检错每年不高于1例；</w:t>
      </w:r>
    </w:p>
    <w:p w14:paraId="03DBBAE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4.2漏检率：缺项每年不高于1例；</w:t>
      </w:r>
    </w:p>
    <w:p w14:paraId="66BE05A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4.3及时性：结果及时，及时率大于99%；</w:t>
      </w:r>
    </w:p>
    <w:p w14:paraId="0610C25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4.4误报率：结果姓名误报，每季度不高于2例；</w:t>
      </w:r>
    </w:p>
    <w:p w14:paraId="1CBD3C6F">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4.5检测标本丢失、运送错误每年不高于1/1000；</w:t>
      </w:r>
    </w:p>
    <w:p w14:paraId="2ABEB8E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4.6危急值报告率和及时率100%；</w:t>
      </w:r>
    </w:p>
    <w:p w14:paraId="14C26D7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4.7所有合作项目室内质控覆盖率100%；</w:t>
      </w:r>
    </w:p>
    <w:p w14:paraId="2583E5E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4.8所有合作项目参加重庆市或国家室间质评成绩≥80分。</w:t>
      </w:r>
    </w:p>
    <w:p w14:paraId="7A4382CB">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（三）服务标准</w:t>
      </w:r>
    </w:p>
    <w:p w14:paraId="777057D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1.所有项目需作日常室内质评活动，且市级及以上机构组织开展的室间质评项目须合格，并定期提供相关材料交采购人内设科室病理科备案。（提供承诺书，格式自拟）；</w:t>
      </w:r>
    </w:p>
    <w:p w14:paraId="1AED893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2.供应商需自行负责病理外检项目所需检测试剂及耗材，必须按时保质、保量的提供检测服务。</w:t>
      </w:r>
    </w:p>
    <w:p w14:paraId="0FD3D629">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3.供应商所使用的病理物料及耗材质量标准均应符合国家食药监局要求及医用耗材管理相关规定（提供承诺书，格式自拟）。</w:t>
      </w:r>
    </w:p>
    <w:p w14:paraId="3E518E7B">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4.供应商须提供项目手册，至少包含报告出具时间、项目检测费用及收费依据等。项目手册中项目包含但不限于《项目外检明细表》中内容。</w:t>
      </w:r>
    </w:p>
    <w:p w14:paraId="6D948EA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供应商所开展的病理项目必须符合重庆市物价管理规定，对开展项目规范价格收费和规范医保报销负责，严禁对病理项目套收和分解收费，并且对医保物价飞行检查造成所有后果负责，全额承担医保物价罚款处罚。如果存在对物价收费标准疑问，需向区物价管理部门和采购人内设物价管理科室备案（提供承诺书，格式自拟）。</w:t>
      </w:r>
    </w:p>
    <w:p w14:paraId="40E7860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6.紧急情况下应1小时内到达现场收取标本（提供承诺书，格式自拟）。</w:t>
      </w:r>
    </w:p>
    <w:p w14:paraId="1223163E">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7.供应商不得自行接收协议项目清单以外的检测项目标本。</w:t>
      </w:r>
    </w:p>
    <w:p w14:paraId="28583FB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8.供应商应安排项目负责人专门对接采购人所需外检项目服务相关事宜，项目负责人应相对固定，如更换项目负责人需提前书面通知采购人内设科室病理科并重新备案人员信息。</w:t>
      </w:r>
    </w:p>
    <w:p w14:paraId="14E21E7A">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auto"/>
          <w:sz w:val="24"/>
          <w:szCs w:val="24"/>
          <w:lang w:val="en-US" w:eastAsia="zh-CN"/>
        </w:rPr>
        <w:t>9.供应商需具备二级及以上生物安全实验室备案资质且实验室取得临床基因扩增检验技术PCR资格（提供上述资质的相关佐证材料复印件加盖公章）。</w:t>
      </w:r>
    </w:p>
    <w:p w14:paraId="67176CDD">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（四）其他要求</w:t>
      </w:r>
    </w:p>
    <w:p w14:paraId="1D85CC8B">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1.服务期内，采购人因自身发展需要，可对以上项目进行调整，同时对需进行外检的新增项目费用以相应物价收费标准合作折扣率进行核算，成交供应商需提供医保部门所要求的资料，配合采购人完成备案事宜。</w:t>
      </w:r>
    </w:p>
    <w:p w14:paraId="1D4A111C">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2.如国家、市县或上级部门有新的病理检验项目管理规定，须无条件遵从文件规定执行，采购人可立即单方面终止合同。</w:t>
      </w:r>
    </w:p>
    <w:p w14:paraId="35CD0E54">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3.如后期采购人自行开展纳入本次外送代检病理项目清单内的外送病理项目时，采购人有权终止相关项目外送检验，且成交供应商应给予一定的指导和协助。</w:t>
      </w:r>
    </w:p>
    <w:p w14:paraId="4AE8DB0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（五）服务范围及明细清单：供应商需根据采购人需要开展病理远程诊断及外检服务工作。具体以采购人明确的内容为准，详见下表：</w:t>
      </w:r>
    </w:p>
    <w:p w14:paraId="7D5B67A1">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05D1C5B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包1：最高折扣限价25%</w:t>
      </w:r>
    </w:p>
    <w:tbl>
      <w:tblPr>
        <w:tblStyle w:val="2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9"/>
        <w:gridCol w:w="1854"/>
        <w:gridCol w:w="2556"/>
        <w:gridCol w:w="606"/>
        <w:gridCol w:w="1071"/>
        <w:gridCol w:w="728"/>
        <w:gridCol w:w="666"/>
      </w:tblGrid>
      <w:tr w14:paraId="4C86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A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82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物价编码</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物价名称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E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计价单位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23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报告时间</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C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标准价格(元)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3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收费总计(元)</w:t>
            </w:r>
          </w:p>
        </w:tc>
      </w:tr>
      <w:tr w14:paraId="28AE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83E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内镜组织活检检查与诊断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C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4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3CB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21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02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r>
      <w:tr w14:paraId="27BA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CFA9">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5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0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92E3">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8F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F254">
            <w:pPr>
              <w:jc w:val="left"/>
              <w:rPr>
                <w:rFonts w:hint="eastAsia" w:asciiTheme="minorEastAsia" w:hAnsiTheme="minorEastAsia" w:eastAsiaTheme="minorEastAsia" w:cstheme="minorEastAsia"/>
                <w:i w:val="0"/>
                <w:iCs w:val="0"/>
                <w:color w:val="000000"/>
                <w:sz w:val="18"/>
                <w:szCs w:val="18"/>
                <w:u w:val="none"/>
              </w:rPr>
            </w:pPr>
          </w:p>
        </w:tc>
      </w:tr>
      <w:tr w14:paraId="5E47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1399">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AE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5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C0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817F">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1C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2DDD">
            <w:pPr>
              <w:jc w:val="left"/>
              <w:rPr>
                <w:rFonts w:hint="eastAsia" w:asciiTheme="minorEastAsia" w:hAnsiTheme="minorEastAsia" w:eastAsiaTheme="minorEastAsia" w:cstheme="minorEastAsia"/>
                <w:i w:val="0"/>
                <w:iCs w:val="0"/>
                <w:color w:val="000000"/>
                <w:sz w:val="18"/>
                <w:szCs w:val="18"/>
                <w:u w:val="none"/>
              </w:rPr>
            </w:pPr>
          </w:p>
        </w:tc>
      </w:tr>
      <w:tr w14:paraId="7B74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34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穿刺组织活检检查与诊断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2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1A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94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F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3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r>
      <w:tr w14:paraId="6BA8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44F7">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E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A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35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F89D">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E6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0F16">
            <w:pPr>
              <w:jc w:val="left"/>
              <w:rPr>
                <w:rFonts w:hint="eastAsia" w:asciiTheme="minorEastAsia" w:hAnsiTheme="minorEastAsia" w:eastAsiaTheme="minorEastAsia" w:cstheme="minorEastAsia"/>
                <w:i w:val="0"/>
                <w:iCs w:val="0"/>
                <w:color w:val="000000"/>
                <w:sz w:val="18"/>
                <w:szCs w:val="18"/>
                <w:u w:val="none"/>
              </w:rPr>
            </w:pPr>
          </w:p>
        </w:tc>
      </w:tr>
      <w:tr w14:paraId="6CB4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E591">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E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31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8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1677">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1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B5C4">
            <w:pPr>
              <w:jc w:val="left"/>
              <w:rPr>
                <w:rFonts w:hint="eastAsia" w:asciiTheme="minorEastAsia" w:hAnsiTheme="minorEastAsia" w:eastAsiaTheme="minorEastAsia" w:cstheme="minorEastAsia"/>
                <w:i w:val="0"/>
                <w:iCs w:val="0"/>
                <w:color w:val="000000"/>
                <w:sz w:val="18"/>
                <w:szCs w:val="18"/>
                <w:u w:val="none"/>
              </w:rPr>
            </w:pPr>
          </w:p>
        </w:tc>
      </w:tr>
      <w:tr w14:paraId="6056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AAF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手术标本活检检查与诊断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7F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14F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FD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230</w:t>
            </w:r>
          </w:p>
        </w:tc>
      </w:tr>
      <w:tr w14:paraId="78D2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12E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2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4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D85B">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D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75FF">
            <w:pPr>
              <w:jc w:val="left"/>
              <w:rPr>
                <w:rFonts w:hint="eastAsia" w:asciiTheme="minorEastAsia" w:hAnsiTheme="minorEastAsia" w:eastAsiaTheme="minorEastAsia" w:cstheme="minorEastAsia"/>
                <w:i w:val="0"/>
                <w:iCs w:val="0"/>
                <w:color w:val="000000"/>
                <w:sz w:val="18"/>
                <w:szCs w:val="18"/>
                <w:u w:val="none"/>
              </w:rPr>
            </w:pPr>
          </w:p>
        </w:tc>
      </w:tr>
      <w:tr w14:paraId="7475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1D25">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F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1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3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ECC3">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D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A0A3">
            <w:pPr>
              <w:jc w:val="left"/>
              <w:rPr>
                <w:rFonts w:hint="eastAsia" w:asciiTheme="minorEastAsia" w:hAnsiTheme="minorEastAsia" w:eastAsiaTheme="minorEastAsia" w:cstheme="minorEastAsia"/>
                <w:i w:val="0"/>
                <w:iCs w:val="0"/>
                <w:color w:val="000000"/>
                <w:sz w:val="18"/>
                <w:szCs w:val="18"/>
                <w:u w:val="none"/>
              </w:rPr>
            </w:pPr>
          </w:p>
        </w:tc>
      </w:tr>
      <w:tr w14:paraId="1BAA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5A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全器官大切片检查与诊断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E0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6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F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F0F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44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0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1165</w:t>
            </w:r>
          </w:p>
        </w:tc>
      </w:tr>
      <w:tr w14:paraId="74DF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3BB2">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7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012100000040000*10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D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病理标本处理费（组织病理－复杂）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3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56EC">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8C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3B7E">
            <w:pPr>
              <w:jc w:val="left"/>
              <w:rPr>
                <w:rFonts w:hint="eastAsia" w:asciiTheme="minorEastAsia" w:hAnsiTheme="minorEastAsia" w:eastAsiaTheme="minorEastAsia" w:cstheme="minorEastAsia"/>
                <w:i w:val="0"/>
                <w:iCs w:val="0"/>
                <w:color w:val="000000"/>
                <w:sz w:val="18"/>
                <w:szCs w:val="18"/>
                <w:u w:val="none"/>
              </w:rPr>
            </w:pPr>
          </w:p>
        </w:tc>
      </w:tr>
      <w:tr w14:paraId="7E24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CAA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9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1E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6D2B">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EAED">
            <w:pPr>
              <w:jc w:val="left"/>
              <w:rPr>
                <w:rFonts w:hint="eastAsia" w:asciiTheme="minorEastAsia" w:hAnsiTheme="minorEastAsia" w:eastAsiaTheme="minorEastAsia" w:cstheme="minorEastAsia"/>
                <w:i w:val="0"/>
                <w:iCs w:val="0"/>
                <w:color w:val="000000"/>
                <w:sz w:val="18"/>
                <w:szCs w:val="18"/>
                <w:u w:val="none"/>
              </w:rPr>
            </w:pPr>
          </w:p>
        </w:tc>
      </w:tr>
      <w:tr w14:paraId="2973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A4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肿瘤根治手术清扫标本</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E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B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8A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3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9C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1165</w:t>
            </w:r>
          </w:p>
        </w:tc>
      </w:tr>
      <w:tr w14:paraId="4615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F78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64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012100000040000*10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D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病理标本处理费（组织病理－复杂）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0FA7">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F2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0080">
            <w:pPr>
              <w:jc w:val="left"/>
              <w:rPr>
                <w:rFonts w:hint="eastAsia" w:asciiTheme="minorEastAsia" w:hAnsiTheme="minorEastAsia" w:eastAsiaTheme="minorEastAsia" w:cstheme="minorEastAsia"/>
                <w:i w:val="0"/>
                <w:iCs w:val="0"/>
                <w:color w:val="000000"/>
                <w:sz w:val="18"/>
                <w:szCs w:val="18"/>
                <w:u w:val="none"/>
              </w:rPr>
            </w:pPr>
          </w:p>
        </w:tc>
      </w:tr>
      <w:tr w14:paraId="1006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BE2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7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D9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0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2BCF0">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4F7A">
            <w:pPr>
              <w:jc w:val="left"/>
              <w:rPr>
                <w:rFonts w:hint="eastAsia" w:asciiTheme="minorEastAsia" w:hAnsiTheme="minorEastAsia" w:eastAsiaTheme="minorEastAsia" w:cstheme="minorEastAsia"/>
                <w:i w:val="0"/>
                <w:iCs w:val="0"/>
                <w:color w:val="000000"/>
                <w:sz w:val="18"/>
                <w:szCs w:val="18"/>
                <w:u w:val="none"/>
              </w:rPr>
            </w:pPr>
          </w:p>
        </w:tc>
      </w:tr>
      <w:tr w14:paraId="2DE4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F3B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截肢标本病理检查与诊断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13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5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63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73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1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865</w:t>
            </w:r>
          </w:p>
        </w:tc>
      </w:tr>
      <w:tr w14:paraId="26B2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0FB7">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D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bidi="ar"/>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97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EBE5">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A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32AE">
            <w:pPr>
              <w:jc w:val="left"/>
              <w:rPr>
                <w:rFonts w:hint="eastAsia" w:asciiTheme="minorEastAsia" w:hAnsiTheme="minorEastAsia" w:eastAsiaTheme="minorEastAsia" w:cstheme="minorEastAsia"/>
                <w:i w:val="0"/>
                <w:iCs w:val="0"/>
                <w:color w:val="000000"/>
                <w:sz w:val="18"/>
                <w:szCs w:val="18"/>
                <w:u w:val="none"/>
              </w:rPr>
            </w:pPr>
          </w:p>
        </w:tc>
      </w:tr>
      <w:tr w14:paraId="14C9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FA74">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0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012100000110000*10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91B3">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6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3D7E">
            <w:pPr>
              <w:jc w:val="left"/>
              <w:rPr>
                <w:rFonts w:hint="eastAsia" w:asciiTheme="minorEastAsia" w:hAnsiTheme="minorEastAsia" w:eastAsiaTheme="minorEastAsia" w:cstheme="minorEastAsia"/>
                <w:i w:val="0"/>
                <w:iCs w:val="0"/>
                <w:color w:val="000000"/>
                <w:sz w:val="18"/>
                <w:szCs w:val="18"/>
                <w:u w:val="none"/>
              </w:rPr>
            </w:pPr>
          </w:p>
        </w:tc>
      </w:tr>
      <w:tr w14:paraId="7AA3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21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42"/>
                <w:rFonts w:hint="eastAsia" w:asciiTheme="minorEastAsia" w:hAnsiTheme="minorEastAsia" w:eastAsiaTheme="minorEastAsia" w:cstheme="minorEastAsia"/>
                <w:lang w:val="en-US" w:eastAsia="zh-CN" w:bidi="ar"/>
              </w:rPr>
              <w:t>组织病理检查与诊断</w:t>
            </w:r>
            <w:r>
              <w:rPr>
                <w:rStyle w:val="46"/>
                <w:rFonts w:hint="eastAsia" w:asciiTheme="minorEastAsia" w:hAnsiTheme="minorEastAsia" w:eastAsiaTheme="minorEastAsia" w:cstheme="minorEastAsia"/>
                <w:lang w:val="en-US" w:eastAsia="zh-CN" w:bidi="ar"/>
              </w:rPr>
              <w:t>-</w:t>
            </w:r>
            <w:r>
              <w:rPr>
                <w:rStyle w:val="42"/>
                <w:rFonts w:hint="eastAsia" w:asciiTheme="minorEastAsia" w:hAnsiTheme="minorEastAsia" w:eastAsiaTheme="minorEastAsia" w:cstheme="minorEastAsia"/>
                <w:lang w:val="en-US" w:eastAsia="zh-CN" w:bidi="ar"/>
              </w:rPr>
              <w:t>术中冰冻</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5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1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6B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8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2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240.5</w:t>
            </w:r>
          </w:p>
        </w:tc>
      </w:tr>
      <w:tr w14:paraId="3602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C6F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9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012100000010001</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B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病理诊断费-术中冷冻病理诊断（加收）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BE29">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018E">
            <w:pPr>
              <w:jc w:val="left"/>
              <w:rPr>
                <w:rFonts w:hint="eastAsia" w:asciiTheme="minorEastAsia" w:hAnsiTheme="minorEastAsia" w:eastAsiaTheme="minorEastAsia" w:cstheme="minorEastAsia"/>
                <w:i w:val="0"/>
                <w:iCs w:val="0"/>
                <w:color w:val="000000"/>
                <w:sz w:val="18"/>
                <w:szCs w:val="18"/>
                <w:u w:val="none"/>
              </w:rPr>
            </w:pPr>
          </w:p>
        </w:tc>
      </w:tr>
      <w:tr w14:paraId="48CC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B19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1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E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C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EB20">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20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4CE">
            <w:pPr>
              <w:jc w:val="left"/>
              <w:rPr>
                <w:rFonts w:hint="eastAsia" w:asciiTheme="minorEastAsia" w:hAnsiTheme="minorEastAsia" w:eastAsiaTheme="minorEastAsia" w:cstheme="minorEastAsia"/>
                <w:i w:val="0"/>
                <w:iCs w:val="0"/>
                <w:color w:val="000000"/>
                <w:sz w:val="18"/>
                <w:szCs w:val="18"/>
                <w:u w:val="none"/>
              </w:rPr>
            </w:pPr>
          </w:p>
        </w:tc>
      </w:tr>
      <w:tr w14:paraId="5F58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2FC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D4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012100000080000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E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病理标本处理费（冷冻标本）</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A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每组织块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0BAC">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F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16CC">
            <w:pPr>
              <w:jc w:val="left"/>
              <w:rPr>
                <w:rFonts w:hint="eastAsia" w:asciiTheme="minorEastAsia" w:hAnsiTheme="minorEastAsia" w:eastAsiaTheme="minorEastAsia" w:cstheme="minorEastAsia"/>
                <w:i w:val="0"/>
                <w:iCs w:val="0"/>
                <w:color w:val="000000"/>
                <w:sz w:val="18"/>
                <w:szCs w:val="18"/>
                <w:u w:val="none"/>
              </w:rPr>
            </w:pPr>
          </w:p>
        </w:tc>
      </w:tr>
      <w:tr w14:paraId="3FE2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F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液基薄层细胞学(TCT)检查与诊断（妇科、非妇科）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9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012100000050000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病理标本处理费（细胞病理）</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E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每玻片</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555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3C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A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245</w:t>
            </w:r>
          </w:p>
        </w:tc>
      </w:tr>
      <w:tr w14:paraId="013B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B85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C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5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F4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76F5">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A9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A799">
            <w:pPr>
              <w:jc w:val="left"/>
              <w:rPr>
                <w:rFonts w:hint="eastAsia" w:asciiTheme="minorEastAsia" w:hAnsiTheme="minorEastAsia" w:eastAsiaTheme="minorEastAsia" w:cstheme="minorEastAsia"/>
                <w:i w:val="0"/>
                <w:iCs w:val="0"/>
                <w:color w:val="000000"/>
                <w:sz w:val="18"/>
                <w:szCs w:val="18"/>
                <w:u w:val="none"/>
              </w:rPr>
            </w:pPr>
          </w:p>
        </w:tc>
      </w:tr>
      <w:tr w14:paraId="02FF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E7E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F8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A1C8">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23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87A4">
            <w:pPr>
              <w:jc w:val="left"/>
              <w:rPr>
                <w:rFonts w:hint="eastAsia" w:asciiTheme="minorEastAsia" w:hAnsiTheme="minorEastAsia" w:eastAsiaTheme="minorEastAsia" w:cstheme="minorEastAsia"/>
                <w:i w:val="0"/>
                <w:iCs w:val="0"/>
                <w:color w:val="000000"/>
                <w:sz w:val="18"/>
                <w:szCs w:val="18"/>
                <w:u w:val="none"/>
              </w:rPr>
            </w:pPr>
          </w:p>
        </w:tc>
      </w:tr>
      <w:tr w14:paraId="455D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CDA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骨髓活检病理检查与诊断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1D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D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2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2DA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6B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17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245</w:t>
            </w:r>
          </w:p>
        </w:tc>
      </w:tr>
      <w:tr w14:paraId="0855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25BF">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EC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3F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9D09">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8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FDB3">
            <w:pPr>
              <w:jc w:val="left"/>
              <w:rPr>
                <w:rFonts w:hint="eastAsia" w:asciiTheme="minorEastAsia" w:hAnsiTheme="minorEastAsia" w:eastAsiaTheme="minorEastAsia" w:cstheme="minorEastAsia"/>
                <w:i w:val="0"/>
                <w:iCs w:val="0"/>
                <w:color w:val="000000"/>
                <w:sz w:val="18"/>
                <w:szCs w:val="18"/>
                <w:u w:val="none"/>
              </w:rPr>
            </w:pPr>
          </w:p>
        </w:tc>
      </w:tr>
      <w:tr w14:paraId="2012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B34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9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2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DD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523D">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9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D670">
            <w:pPr>
              <w:jc w:val="left"/>
              <w:rPr>
                <w:rFonts w:hint="eastAsia" w:asciiTheme="minorEastAsia" w:hAnsiTheme="minorEastAsia" w:eastAsiaTheme="minorEastAsia" w:cstheme="minorEastAsia"/>
                <w:i w:val="0"/>
                <w:iCs w:val="0"/>
                <w:color w:val="000000"/>
                <w:sz w:val="18"/>
                <w:szCs w:val="18"/>
                <w:u w:val="none"/>
              </w:rPr>
            </w:pPr>
          </w:p>
        </w:tc>
      </w:tr>
      <w:tr w14:paraId="7B4F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89FA">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C5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C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34AA">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D5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2FB8">
            <w:pPr>
              <w:jc w:val="left"/>
              <w:rPr>
                <w:rFonts w:hint="eastAsia" w:asciiTheme="minorEastAsia" w:hAnsiTheme="minorEastAsia" w:eastAsiaTheme="minorEastAsia" w:cstheme="minorEastAsia"/>
                <w:i w:val="0"/>
                <w:iCs w:val="0"/>
                <w:color w:val="000000"/>
                <w:sz w:val="18"/>
                <w:szCs w:val="18"/>
                <w:u w:val="none"/>
              </w:rPr>
            </w:pPr>
          </w:p>
        </w:tc>
      </w:tr>
      <w:tr w14:paraId="3D6F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13C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常规肾活检病理检查与诊断（电子显微镜病理）</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C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C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F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F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A7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625</w:t>
            </w:r>
          </w:p>
        </w:tc>
      </w:tr>
      <w:tr w14:paraId="004A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0E59">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012100000070000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病理标本处理费（电子显微镜病理）</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0C51">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C3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D602">
            <w:pPr>
              <w:jc w:val="left"/>
              <w:rPr>
                <w:rFonts w:hint="eastAsia" w:asciiTheme="minorEastAsia" w:hAnsiTheme="minorEastAsia" w:eastAsiaTheme="minorEastAsia" w:cstheme="minorEastAsia"/>
                <w:i w:val="0"/>
                <w:iCs w:val="0"/>
                <w:color w:val="000000"/>
                <w:sz w:val="18"/>
                <w:szCs w:val="18"/>
                <w:u w:val="none"/>
              </w:rPr>
            </w:pPr>
          </w:p>
        </w:tc>
      </w:tr>
      <w:tr w14:paraId="068C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AB6F">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AD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02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BA7A">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B3EF">
            <w:pPr>
              <w:jc w:val="left"/>
              <w:rPr>
                <w:rFonts w:hint="eastAsia" w:asciiTheme="minorEastAsia" w:hAnsiTheme="minorEastAsia" w:eastAsiaTheme="minorEastAsia" w:cstheme="minorEastAsia"/>
                <w:i w:val="0"/>
                <w:iCs w:val="0"/>
                <w:color w:val="000000"/>
                <w:sz w:val="18"/>
                <w:szCs w:val="18"/>
                <w:u w:val="none"/>
              </w:rPr>
            </w:pPr>
          </w:p>
        </w:tc>
      </w:tr>
      <w:tr w14:paraId="3E54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82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疑难复杂肝病病理检查与诊断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1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5C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D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FB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r>
      <w:tr w14:paraId="5963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4CE8">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E2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8B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4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1410">
            <w:pPr>
              <w:jc w:val="center"/>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EEE8A">
            <w:pPr>
              <w:jc w:val="left"/>
              <w:rPr>
                <w:rFonts w:hint="eastAsia" w:asciiTheme="minorEastAsia" w:hAnsiTheme="minorEastAsia" w:eastAsiaTheme="minorEastAsia" w:cstheme="minorEastAsia"/>
                <w:i w:val="0"/>
                <w:iCs w:val="0"/>
                <w:color w:val="000000"/>
                <w:sz w:val="18"/>
                <w:szCs w:val="18"/>
                <w:u w:val="none"/>
              </w:rPr>
            </w:pPr>
          </w:p>
        </w:tc>
      </w:tr>
      <w:tr w14:paraId="2BB1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645C">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2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9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F8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7476">
            <w:pPr>
              <w:jc w:val="center"/>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84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132C">
            <w:pPr>
              <w:jc w:val="left"/>
              <w:rPr>
                <w:rFonts w:hint="eastAsia" w:asciiTheme="minorEastAsia" w:hAnsiTheme="minorEastAsia" w:eastAsiaTheme="minorEastAsia" w:cstheme="minorEastAsia"/>
                <w:i w:val="0"/>
                <w:iCs w:val="0"/>
                <w:color w:val="000000"/>
                <w:sz w:val="18"/>
                <w:szCs w:val="18"/>
                <w:u w:val="none"/>
              </w:rPr>
            </w:pPr>
          </w:p>
        </w:tc>
      </w:tr>
      <w:tr w14:paraId="49A4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FDC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常规病理蜡块HE制片(加收)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E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012100000030000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B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8F2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6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6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r>
      <w:tr w14:paraId="5C3E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2637">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57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E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AC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0220">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69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F8A7">
            <w:pPr>
              <w:jc w:val="left"/>
              <w:rPr>
                <w:rFonts w:hint="eastAsia" w:asciiTheme="minorEastAsia" w:hAnsiTheme="minorEastAsia" w:eastAsiaTheme="minorEastAsia" w:cstheme="minorEastAsia"/>
                <w:i w:val="0"/>
                <w:iCs w:val="0"/>
                <w:color w:val="000000"/>
                <w:sz w:val="18"/>
                <w:szCs w:val="18"/>
                <w:u w:val="none"/>
              </w:rPr>
            </w:pPr>
          </w:p>
        </w:tc>
      </w:tr>
      <w:tr w14:paraId="11D9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70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疑难病理蜡块HE制片(加收)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9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012100000040000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B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病理标本处理费（组织病理－复杂）</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3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每蜡块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317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B6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8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105</w:t>
            </w:r>
          </w:p>
        </w:tc>
      </w:tr>
      <w:tr w14:paraId="5BE6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75FD">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E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3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AA05">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3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B40B">
            <w:pPr>
              <w:jc w:val="left"/>
              <w:rPr>
                <w:rFonts w:hint="eastAsia" w:asciiTheme="minorEastAsia" w:hAnsiTheme="minorEastAsia" w:eastAsiaTheme="minorEastAsia" w:cstheme="minorEastAsia"/>
                <w:i w:val="0"/>
                <w:iCs w:val="0"/>
                <w:color w:val="000000"/>
                <w:sz w:val="18"/>
                <w:szCs w:val="18"/>
                <w:u w:val="none"/>
              </w:rPr>
            </w:pPr>
          </w:p>
        </w:tc>
      </w:tr>
      <w:tr w14:paraId="3BE7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9B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术中冰冻蜡块HE制片(加收)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4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012100000080000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D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病理标本处理费（冷冻标本）</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F1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每组织块</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3C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65.5</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C2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110.5</w:t>
            </w:r>
          </w:p>
        </w:tc>
      </w:tr>
      <w:tr w14:paraId="208F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4F15">
            <w:pPr>
              <w:jc w:val="left"/>
              <w:rPr>
                <w:rFonts w:hint="eastAsia" w:asciiTheme="minorEastAsia" w:hAnsiTheme="minorEastAsia" w:eastAsiaTheme="minorEastAsia" w:cstheme="minorEastAsia"/>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4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2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4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7564">
            <w:pPr>
              <w:jc w:val="left"/>
              <w:rPr>
                <w:rFonts w:hint="eastAsia" w:asciiTheme="minorEastAsia" w:hAnsiTheme="minorEastAsia" w:eastAsiaTheme="minorEastAsia" w:cstheme="minorEastAsia"/>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C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FAD1">
            <w:pPr>
              <w:jc w:val="left"/>
              <w:rPr>
                <w:rFonts w:hint="eastAsia" w:asciiTheme="minorEastAsia" w:hAnsiTheme="minorEastAsia" w:eastAsiaTheme="minorEastAsia" w:cstheme="minorEastAsia"/>
                <w:i w:val="0"/>
                <w:iCs w:val="0"/>
                <w:color w:val="000000"/>
                <w:sz w:val="18"/>
                <w:szCs w:val="18"/>
                <w:u w:val="none"/>
              </w:rPr>
            </w:pPr>
          </w:p>
        </w:tc>
      </w:tr>
      <w:tr w14:paraId="1BE0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BA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免疫组织化学染色诊断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E6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012100000120000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病理样本免疫组织化学染色检查费（常规）</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4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5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72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r>
      <w:tr w14:paraId="4159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4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特殊染色及酶组织化学染色诊断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EF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012100000110000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8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病理样本化学染色检查费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F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7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3个工作日</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C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6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r>
    </w:tbl>
    <w:p w14:paraId="31AC643F">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01B2FF48">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包2：最高折扣限价20%</w:t>
      </w:r>
    </w:p>
    <w:tbl>
      <w:tblPr>
        <w:tblStyle w:val="2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7"/>
        <w:gridCol w:w="1864"/>
        <w:gridCol w:w="2322"/>
        <w:gridCol w:w="729"/>
        <w:gridCol w:w="762"/>
        <w:gridCol w:w="816"/>
        <w:gridCol w:w="610"/>
      </w:tblGrid>
      <w:tr w14:paraId="5EE2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8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B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物价编码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C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物价名称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C3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计价单位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B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报告时间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C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标准价格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B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收费总计</w:t>
            </w:r>
          </w:p>
        </w:tc>
      </w:tr>
      <w:tr w14:paraId="05AD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组织病理会诊（远程）（1-20张切片）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7C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54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46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72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73F2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9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组织病理会诊（远程）（21-30张切片）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A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9F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0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B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5F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r>
      <w:tr w14:paraId="7FF6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A3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组织病理会诊（远程）（31张及以上切片）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3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E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7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7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1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1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r>
      <w:tr w14:paraId="7993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59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细胞病理会诊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66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0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9B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AA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0B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B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219F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FF1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术中冰冻病理会诊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83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8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17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3F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CD6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130</w:t>
            </w:r>
          </w:p>
        </w:tc>
      </w:tr>
      <w:tr w14:paraId="3BB5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BA6E">
            <w:pPr>
              <w:jc w:val="left"/>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012100000010001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8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病理诊断费-术中冷冻病理诊断（加收）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2C70">
            <w:pPr>
              <w:jc w:val="left"/>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9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04C3">
            <w:pPr>
              <w:jc w:val="left"/>
              <w:rPr>
                <w:rFonts w:hint="eastAsia" w:asciiTheme="minorEastAsia" w:hAnsiTheme="minorEastAsia" w:eastAsiaTheme="minorEastAsia" w:cstheme="minorEastAsia"/>
                <w:i w:val="0"/>
                <w:iCs w:val="0"/>
                <w:color w:val="000000"/>
                <w:sz w:val="18"/>
                <w:szCs w:val="18"/>
                <w:u w:val="none"/>
              </w:rPr>
            </w:pPr>
          </w:p>
        </w:tc>
      </w:tr>
      <w:tr w14:paraId="6423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A9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远程疑难病理会诊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CE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20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99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1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5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6675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免疫组织化学染色诊断病理会诊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A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2D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BF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5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6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r w14:paraId="469E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54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特殊染色及酶组织化学染色诊断病理会诊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F7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7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病理诊断费（远程）</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3A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F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F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E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r>
    </w:tbl>
    <w:p w14:paraId="412DF94A">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6D006C74">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p>
    <w:p w14:paraId="35E3C2C2">
      <w:pPr>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包3：最高折扣限价40%</w:t>
      </w:r>
    </w:p>
    <w:tbl>
      <w:tblPr>
        <w:tblStyle w:val="23"/>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2"/>
        <w:gridCol w:w="1862"/>
        <w:gridCol w:w="2304"/>
        <w:gridCol w:w="756"/>
        <w:gridCol w:w="760"/>
        <w:gridCol w:w="815"/>
        <w:gridCol w:w="611"/>
      </w:tblGrid>
      <w:tr w14:paraId="13F0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C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物价编码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1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物价名称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9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计价单位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5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报告时间</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AE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标准价格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4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收费总计</w:t>
            </w:r>
          </w:p>
        </w:tc>
      </w:tr>
      <w:tr w14:paraId="2038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71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病理标本处理费（分子病理）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62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012100000060000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6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病理标本处理费（分子病理）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C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5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9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r>
      <w:tr w14:paraId="2A90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3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原位核酸杂交检测费（化学探针）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10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012100000140000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95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原位核酸杂交检测费（化学探针）</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F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每切片·每探针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3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w:t>
            </w:r>
          </w:p>
        </w:tc>
      </w:tr>
      <w:tr w14:paraId="7A8F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原位核酸杂交检测费（荧光探针）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F6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012100000150000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C7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原位核酸杂交检测费（荧光探针）</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0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每切片·每探针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59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9B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695</w:t>
            </w:r>
          </w:p>
        </w:tc>
      </w:tr>
      <w:tr w14:paraId="1ECD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6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肿瘤精准诊疗基因检测（40-50个基因）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0B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012100000200000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C6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高通量测序法检测费（病理样本)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0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每面板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C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E5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E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r>
      <w:tr w14:paraId="487E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3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肿瘤精准诊疗基因检测（50-120个基因）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B4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012100000200000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4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高通量测序法检测费（病理样本)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19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每面板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A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B4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7E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5400</w:t>
            </w:r>
          </w:p>
        </w:tc>
      </w:tr>
      <w:tr w14:paraId="49A1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52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肿瘤精准诊疗基因检测（120-220个基因）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C2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012100000200000</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高通量测序法检测费（病理样本)</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CB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每面板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0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2E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CF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9000</w:t>
            </w:r>
          </w:p>
        </w:tc>
      </w:tr>
    </w:tbl>
    <w:p w14:paraId="0CFCFC3D">
      <w:pPr>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4"/>
          <w:szCs w:val="24"/>
          <w:lang w:eastAsia="zh-CN"/>
        </w:rPr>
      </w:pPr>
    </w:p>
    <w:p w14:paraId="59B7F7F7">
      <w:pPr>
        <w:rPr>
          <w:rFonts w:hint="eastAsia" w:asciiTheme="minorEastAsia" w:hAnsiTheme="minorEastAsia" w:eastAsiaTheme="minorEastAsia" w:cstheme="minorEastAsia"/>
          <w:b/>
          <w:color w:val="auto"/>
          <w:sz w:val="24"/>
          <w:lang w:val="en-US" w:eastAsia="zh-CN"/>
        </w:rPr>
      </w:pPr>
    </w:p>
    <w:p w14:paraId="65A31F60">
      <w:pPr>
        <w:pStyle w:val="3"/>
        <w:pageBreakBefore w:val="0"/>
        <w:widowControl w:val="0"/>
        <w:kinsoku/>
        <w:wordWrap/>
        <w:overflowPunct/>
        <w:topLinePunct w:val="0"/>
        <w:autoSpaceDE/>
        <w:autoSpaceDN/>
        <w:bidi w:val="0"/>
        <w:spacing w:before="0" w:beforeLines="0" w:after="0" w:afterLines="0" w:line="360" w:lineRule="auto"/>
        <w:jc w:val="center"/>
        <w:textAlignment w:val="auto"/>
        <w:rPr>
          <w:rFonts w:hint="eastAsia" w:asciiTheme="minorEastAsia" w:hAnsiTheme="minorEastAsia" w:eastAsiaTheme="minorEastAsia" w:cstheme="minorEastAsia"/>
          <w:bCs/>
          <w:color w:val="auto"/>
          <w:sz w:val="44"/>
          <w:szCs w:val="44"/>
          <w:highlight w:val="none"/>
        </w:rPr>
      </w:pPr>
      <w:bookmarkStart w:id="101" w:name="_Toc25121"/>
    </w:p>
    <w:p w14:paraId="7E78B445">
      <w:pPr>
        <w:rPr>
          <w:rFonts w:hint="eastAsia"/>
        </w:rPr>
      </w:pPr>
    </w:p>
    <w:p w14:paraId="58CFBA0B">
      <w:pPr>
        <w:pStyle w:val="3"/>
        <w:pageBreakBefore w:val="0"/>
        <w:widowControl w:val="0"/>
        <w:kinsoku/>
        <w:wordWrap/>
        <w:overflowPunct/>
        <w:topLinePunct w:val="0"/>
        <w:autoSpaceDE/>
        <w:autoSpaceDN/>
        <w:bidi w:val="0"/>
        <w:spacing w:before="0" w:beforeLines="0" w:after="0" w:afterLines="0" w:line="360" w:lineRule="auto"/>
        <w:jc w:val="center"/>
        <w:textAlignment w:val="auto"/>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bCs/>
          <w:color w:val="auto"/>
          <w:sz w:val="44"/>
          <w:szCs w:val="44"/>
          <w:highlight w:val="none"/>
        </w:rPr>
        <w:t>第三篇  项目商务需求</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01"/>
    </w:p>
    <w:p w14:paraId="141AF196">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 </w:t>
      </w:r>
      <w:bookmarkStart w:id="102" w:name="_Toc18832"/>
      <w:bookmarkStart w:id="103" w:name="_Toc11542"/>
      <w:bookmarkStart w:id="104" w:name="_Toc2776"/>
      <w:r>
        <w:rPr>
          <w:rFonts w:hint="eastAsia" w:asciiTheme="minorEastAsia" w:hAnsiTheme="minorEastAsia" w:eastAsiaTheme="minorEastAsia" w:cstheme="minorEastAsia"/>
          <w:b/>
          <w:color w:val="auto"/>
          <w:sz w:val="24"/>
          <w:szCs w:val="24"/>
          <w:lang w:val="en-US" w:eastAsia="zh-CN"/>
        </w:rPr>
        <w:t>一、服务期、服务地点及验收方式</w:t>
      </w:r>
      <w:bookmarkEnd w:id="102"/>
      <w:bookmarkEnd w:id="103"/>
      <w:bookmarkEnd w:id="104"/>
    </w:p>
    <w:p w14:paraId="4BF3AEF3">
      <w:pPr>
        <w:pStyle w:val="13"/>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（一）服务期：合同签订之日起</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经采购人考核合格，合同一年一签。考核标准依据《服务质量考核办法》：</w:t>
      </w:r>
    </w:p>
    <w:p w14:paraId="1476CBDA">
      <w:pPr>
        <w:pStyle w:val="13"/>
        <w:pageBreakBefore w:val="0"/>
        <w:kinsoku/>
        <w:wordWrap/>
        <w:overflowPunct/>
        <w:topLinePunct w:val="0"/>
        <w:autoSpaceDE/>
        <w:autoSpaceDN/>
        <w:bidi w:val="0"/>
        <w:spacing w:line="240" w:lineRule="auto"/>
        <w:ind w:left="0" w:leftChars="0" w:firstLine="0" w:firstLineChars="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服务质量考核办法</w:t>
      </w:r>
    </w:p>
    <w:tbl>
      <w:tblPr>
        <w:tblStyle w:val="24"/>
        <w:tblpPr w:leftFromText="180" w:rightFromText="180" w:vertAnchor="text" w:horzAnchor="page" w:tblpX="1446" w:tblpY="154"/>
        <w:tblOverlap w:val="never"/>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425"/>
        <w:gridCol w:w="3000"/>
        <w:gridCol w:w="1140"/>
        <w:gridCol w:w="1755"/>
        <w:gridCol w:w="885"/>
      </w:tblGrid>
      <w:tr w14:paraId="56D6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185" w:type="dxa"/>
            <w:noWrap w:val="0"/>
            <w:vAlign w:val="center"/>
          </w:tcPr>
          <w:p w14:paraId="2B0116E1">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rPr>
              <w:t>考核维度</w:t>
            </w:r>
          </w:p>
        </w:tc>
        <w:tc>
          <w:tcPr>
            <w:tcW w:w="1425" w:type="dxa"/>
            <w:noWrap w:val="0"/>
            <w:vAlign w:val="center"/>
          </w:tcPr>
          <w:p w14:paraId="06C72167">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核心考核指标</w:t>
            </w:r>
          </w:p>
        </w:tc>
        <w:tc>
          <w:tcPr>
            <w:tcW w:w="3000" w:type="dxa"/>
            <w:noWrap w:val="0"/>
            <w:vAlign w:val="center"/>
          </w:tcPr>
          <w:p w14:paraId="329EC88F">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考核标准</w:t>
            </w:r>
          </w:p>
        </w:tc>
        <w:tc>
          <w:tcPr>
            <w:tcW w:w="1140" w:type="dxa"/>
            <w:noWrap w:val="0"/>
            <w:vAlign w:val="center"/>
          </w:tcPr>
          <w:p w14:paraId="63342070">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分值权重（分）</w:t>
            </w:r>
          </w:p>
        </w:tc>
        <w:tc>
          <w:tcPr>
            <w:tcW w:w="1755" w:type="dxa"/>
            <w:noWrap w:val="0"/>
            <w:vAlign w:val="center"/>
          </w:tcPr>
          <w:p w14:paraId="7932D63B">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考核方式</w:t>
            </w:r>
          </w:p>
        </w:tc>
        <w:tc>
          <w:tcPr>
            <w:tcW w:w="885" w:type="dxa"/>
            <w:noWrap w:val="0"/>
            <w:vAlign w:val="center"/>
          </w:tcPr>
          <w:p w14:paraId="0DD97316">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b/>
                <w:color w:val="000000"/>
                <w:sz w:val="22"/>
                <w:szCs w:val="22"/>
                <w:highlight w:val="none"/>
                <w:vertAlign w:val="baseline"/>
                <w:lang w:val="en-US" w:eastAsia="zh-CN"/>
              </w:rPr>
            </w:pPr>
            <w:r>
              <w:rPr>
                <w:rFonts w:hint="eastAsia" w:asciiTheme="minorEastAsia" w:hAnsiTheme="minorEastAsia" w:eastAsiaTheme="minorEastAsia" w:cstheme="minorEastAsia"/>
                <w:b/>
                <w:color w:val="000000"/>
                <w:sz w:val="22"/>
                <w:szCs w:val="22"/>
                <w:highlight w:val="none"/>
                <w:vertAlign w:val="baseline"/>
                <w:lang w:val="en-US" w:eastAsia="zh-CN"/>
              </w:rPr>
              <w:t>备注</w:t>
            </w:r>
          </w:p>
        </w:tc>
      </w:tr>
      <w:tr w14:paraId="492E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66422187">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服务合规性</w:t>
            </w:r>
          </w:p>
        </w:tc>
        <w:tc>
          <w:tcPr>
            <w:tcW w:w="1425" w:type="dxa"/>
            <w:noWrap w:val="0"/>
            <w:vAlign w:val="center"/>
          </w:tcPr>
          <w:p w14:paraId="16CB6D08">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检测资质有效性</w:t>
            </w:r>
          </w:p>
        </w:tc>
        <w:tc>
          <w:tcPr>
            <w:tcW w:w="3000" w:type="dxa"/>
            <w:noWrap w:val="0"/>
            <w:vAlign w:val="center"/>
          </w:tcPr>
          <w:p w14:paraId="2AB7798D">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持有与外检项目对应的法定检测资质，资质在服务期内持续有效，无过期/失效情况</w:t>
            </w:r>
          </w:p>
        </w:tc>
        <w:tc>
          <w:tcPr>
            <w:tcW w:w="1140" w:type="dxa"/>
            <w:noWrap w:val="0"/>
            <w:vAlign w:val="center"/>
          </w:tcPr>
          <w:p w14:paraId="17F413DF">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15</w:t>
            </w:r>
          </w:p>
        </w:tc>
        <w:tc>
          <w:tcPr>
            <w:tcW w:w="1755" w:type="dxa"/>
            <w:noWrap w:val="0"/>
            <w:vAlign w:val="center"/>
          </w:tcPr>
          <w:p w14:paraId="3C690DC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核查资质证书原件+平台备案信息</w:t>
            </w:r>
          </w:p>
        </w:tc>
        <w:tc>
          <w:tcPr>
            <w:tcW w:w="885" w:type="dxa"/>
            <w:noWrap w:val="0"/>
            <w:vAlign w:val="center"/>
          </w:tcPr>
          <w:p w14:paraId="4D15000B">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4181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5" w:type="dxa"/>
            <w:vMerge w:val="continue"/>
            <w:noWrap w:val="0"/>
            <w:vAlign w:val="center"/>
          </w:tcPr>
          <w:p w14:paraId="4EA9E89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3CE36494">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检测流程规范性</w:t>
            </w:r>
          </w:p>
        </w:tc>
        <w:tc>
          <w:tcPr>
            <w:tcW w:w="3000" w:type="dxa"/>
            <w:noWrap w:val="0"/>
            <w:vAlign w:val="center"/>
          </w:tcPr>
          <w:p w14:paraId="64931F98">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严格按照国家/行业标准及合同约定流程开展检测，无违规操作记录</w:t>
            </w:r>
          </w:p>
        </w:tc>
        <w:tc>
          <w:tcPr>
            <w:tcW w:w="1140" w:type="dxa"/>
            <w:noWrap w:val="0"/>
            <w:vAlign w:val="center"/>
          </w:tcPr>
          <w:p w14:paraId="616B15DE">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52509525">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查阅检测原始记录、现场抽查操作流程</w:t>
            </w:r>
          </w:p>
        </w:tc>
        <w:tc>
          <w:tcPr>
            <w:tcW w:w="885" w:type="dxa"/>
            <w:noWrap w:val="0"/>
            <w:vAlign w:val="center"/>
          </w:tcPr>
          <w:p w14:paraId="55459DFE">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1A45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6FD62244">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服务质量</w:t>
            </w:r>
          </w:p>
        </w:tc>
        <w:tc>
          <w:tcPr>
            <w:tcW w:w="1425" w:type="dxa"/>
            <w:noWrap w:val="0"/>
            <w:vAlign w:val="center"/>
          </w:tcPr>
          <w:p w14:paraId="2E35C07A">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检测数据准确性</w:t>
            </w:r>
          </w:p>
        </w:tc>
        <w:tc>
          <w:tcPr>
            <w:tcW w:w="3000" w:type="dxa"/>
            <w:noWrap w:val="0"/>
            <w:vAlign w:val="center"/>
          </w:tcPr>
          <w:p w14:paraId="19C7852D">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检测结果与标准样品比对误差在允许范围，无数据造假、误报情况</w:t>
            </w:r>
          </w:p>
        </w:tc>
        <w:tc>
          <w:tcPr>
            <w:tcW w:w="1140" w:type="dxa"/>
            <w:noWrap w:val="0"/>
            <w:vAlign w:val="center"/>
          </w:tcPr>
          <w:p w14:paraId="43E53662">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25</w:t>
            </w:r>
          </w:p>
        </w:tc>
        <w:tc>
          <w:tcPr>
            <w:tcW w:w="1755" w:type="dxa"/>
            <w:noWrap w:val="0"/>
            <w:vAlign w:val="center"/>
          </w:tcPr>
          <w:p w14:paraId="157AAE31">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盲样测试、第三方复核、数据溯源核查</w:t>
            </w:r>
          </w:p>
        </w:tc>
        <w:tc>
          <w:tcPr>
            <w:tcW w:w="885" w:type="dxa"/>
            <w:noWrap w:val="0"/>
            <w:vAlign w:val="center"/>
          </w:tcPr>
          <w:p w14:paraId="51A20466">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0E10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5" w:type="dxa"/>
            <w:vMerge w:val="continue"/>
            <w:noWrap w:val="0"/>
            <w:vAlign w:val="center"/>
          </w:tcPr>
          <w:p w14:paraId="06C97B45">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3EE0E5A5">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报告出具及时性</w:t>
            </w:r>
          </w:p>
        </w:tc>
        <w:tc>
          <w:tcPr>
            <w:tcW w:w="3000" w:type="dxa"/>
            <w:noWrap w:val="0"/>
            <w:vAlign w:val="center"/>
          </w:tcPr>
          <w:p w14:paraId="03E4493A">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按合同约定时限提交检测报告，逾期提交需提前书面说明且无重大影响</w:t>
            </w:r>
          </w:p>
        </w:tc>
        <w:tc>
          <w:tcPr>
            <w:tcW w:w="1140" w:type="dxa"/>
            <w:noWrap w:val="0"/>
            <w:vAlign w:val="center"/>
          </w:tcPr>
          <w:p w14:paraId="642A5CE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w:t>
            </w:r>
          </w:p>
        </w:tc>
        <w:tc>
          <w:tcPr>
            <w:tcW w:w="1755" w:type="dxa"/>
            <w:noWrap w:val="0"/>
            <w:vAlign w:val="center"/>
          </w:tcPr>
          <w:p w14:paraId="6BD59CDF">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统计报告提交时间，核对逾期次数及原因</w:t>
            </w:r>
          </w:p>
        </w:tc>
        <w:tc>
          <w:tcPr>
            <w:tcW w:w="885" w:type="dxa"/>
            <w:noWrap w:val="0"/>
            <w:vAlign w:val="center"/>
          </w:tcPr>
          <w:p w14:paraId="2BF98489">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rPr>
                <w:rFonts w:hint="eastAsia" w:asciiTheme="minorEastAsia" w:hAnsiTheme="minorEastAsia" w:eastAsiaTheme="minorEastAsia" w:cstheme="minorEastAsia"/>
                <w:color w:val="000000"/>
                <w:sz w:val="22"/>
                <w:szCs w:val="22"/>
                <w:highlight w:val="none"/>
                <w:vertAlign w:val="baseline"/>
                <w:lang w:val="en-US" w:eastAsia="zh-CN"/>
              </w:rPr>
            </w:pPr>
          </w:p>
        </w:tc>
      </w:tr>
      <w:tr w14:paraId="568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26557B3E">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服务响应</w:t>
            </w:r>
          </w:p>
        </w:tc>
        <w:tc>
          <w:tcPr>
            <w:tcW w:w="1425" w:type="dxa"/>
            <w:noWrap w:val="0"/>
            <w:vAlign w:val="center"/>
          </w:tcPr>
          <w:p w14:paraId="536E1949">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需求响应速度</w:t>
            </w:r>
          </w:p>
        </w:tc>
        <w:tc>
          <w:tcPr>
            <w:tcW w:w="3000" w:type="dxa"/>
            <w:noWrap w:val="0"/>
            <w:vAlign w:val="center"/>
          </w:tcPr>
          <w:p w14:paraId="1D151692">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收到检测需求后，按合同约定时间对接确认并制定检测计划</w:t>
            </w:r>
          </w:p>
        </w:tc>
        <w:tc>
          <w:tcPr>
            <w:tcW w:w="1140" w:type="dxa"/>
            <w:noWrap w:val="0"/>
            <w:vAlign w:val="center"/>
          </w:tcPr>
          <w:p w14:paraId="46958839">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3C0E6518">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查阅沟通记录、采购人书面评价</w:t>
            </w:r>
          </w:p>
        </w:tc>
        <w:tc>
          <w:tcPr>
            <w:tcW w:w="885" w:type="dxa"/>
            <w:noWrap w:val="0"/>
            <w:vAlign w:val="center"/>
          </w:tcPr>
          <w:p w14:paraId="2054D85B">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459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continue"/>
            <w:noWrap w:val="0"/>
            <w:vAlign w:val="center"/>
          </w:tcPr>
          <w:p w14:paraId="216677EA">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09A5BEB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问题处理效率</w:t>
            </w:r>
          </w:p>
        </w:tc>
        <w:tc>
          <w:tcPr>
            <w:tcW w:w="3000" w:type="dxa"/>
            <w:noWrap w:val="0"/>
            <w:vAlign w:val="center"/>
          </w:tcPr>
          <w:p w14:paraId="3CBEC523">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对检测过程中出现的异议、异常情况，在规定时限内给出解决方案并落实</w:t>
            </w:r>
          </w:p>
        </w:tc>
        <w:tc>
          <w:tcPr>
            <w:tcW w:w="1140" w:type="dxa"/>
            <w:noWrap w:val="0"/>
            <w:vAlign w:val="center"/>
          </w:tcPr>
          <w:p w14:paraId="48A7681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7FEF8FC1">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核查异议处理台账、采购人反馈记录</w:t>
            </w:r>
          </w:p>
        </w:tc>
        <w:tc>
          <w:tcPr>
            <w:tcW w:w="885" w:type="dxa"/>
            <w:noWrap w:val="0"/>
            <w:vAlign w:val="center"/>
          </w:tcPr>
          <w:p w14:paraId="3E3F6702">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2D7D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restart"/>
            <w:noWrap w:val="0"/>
            <w:vAlign w:val="center"/>
          </w:tcPr>
          <w:p w14:paraId="2FB68C1B">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履约配合度</w:t>
            </w:r>
          </w:p>
        </w:tc>
        <w:tc>
          <w:tcPr>
            <w:tcW w:w="1425" w:type="dxa"/>
            <w:noWrap w:val="0"/>
            <w:vAlign w:val="center"/>
          </w:tcPr>
          <w:p w14:paraId="245AC2A3">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资料提交完整性</w:t>
            </w:r>
          </w:p>
        </w:tc>
        <w:tc>
          <w:tcPr>
            <w:tcW w:w="3000" w:type="dxa"/>
            <w:noWrap w:val="0"/>
            <w:vAlign w:val="center"/>
          </w:tcPr>
          <w:p w14:paraId="56F823D7">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按要求提交检测报告、原始数据、年度服务总结等资料，无遗漏、缺失情况</w:t>
            </w:r>
          </w:p>
        </w:tc>
        <w:tc>
          <w:tcPr>
            <w:tcW w:w="1140" w:type="dxa"/>
            <w:noWrap w:val="0"/>
            <w:vAlign w:val="center"/>
          </w:tcPr>
          <w:p w14:paraId="47DB5390">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1755" w:type="dxa"/>
            <w:noWrap w:val="0"/>
            <w:vAlign w:val="center"/>
          </w:tcPr>
          <w:p w14:paraId="40B55E5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核对资料提交清单</w:t>
            </w:r>
          </w:p>
        </w:tc>
        <w:tc>
          <w:tcPr>
            <w:tcW w:w="885" w:type="dxa"/>
            <w:noWrap w:val="0"/>
            <w:vAlign w:val="center"/>
          </w:tcPr>
          <w:p w14:paraId="6FCAAB36">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5393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5" w:type="dxa"/>
            <w:vMerge w:val="continue"/>
            <w:noWrap w:val="0"/>
            <w:vAlign w:val="center"/>
          </w:tcPr>
          <w:p w14:paraId="135B9DD2">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c>
          <w:tcPr>
            <w:tcW w:w="1425" w:type="dxa"/>
            <w:noWrap w:val="0"/>
            <w:vAlign w:val="center"/>
          </w:tcPr>
          <w:p w14:paraId="58242C31">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配合监督检查情况</w:t>
            </w:r>
          </w:p>
        </w:tc>
        <w:tc>
          <w:tcPr>
            <w:tcW w:w="3000" w:type="dxa"/>
            <w:noWrap w:val="0"/>
            <w:vAlign w:val="center"/>
          </w:tcPr>
          <w:p w14:paraId="294B64B3">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积极配合采购人及监管部门的监督检查、考核评估，无拒绝、拖延等情况</w:t>
            </w:r>
          </w:p>
        </w:tc>
        <w:tc>
          <w:tcPr>
            <w:tcW w:w="1140" w:type="dxa"/>
            <w:noWrap w:val="0"/>
            <w:vAlign w:val="center"/>
          </w:tcPr>
          <w:p w14:paraId="69FC3365">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w:t>
            </w:r>
          </w:p>
        </w:tc>
        <w:tc>
          <w:tcPr>
            <w:tcW w:w="1755" w:type="dxa"/>
            <w:noWrap w:val="0"/>
            <w:vAlign w:val="center"/>
          </w:tcPr>
          <w:p w14:paraId="48EC3D8D">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采购人书面评价、检查记录</w:t>
            </w:r>
          </w:p>
        </w:tc>
        <w:tc>
          <w:tcPr>
            <w:tcW w:w="885" w:type="dxa"/>
            <w:noWrap w:val="0"/>
            <w:vAlign w:val="center"/>
          </w:tcPr>
          <w:p w14:paraId="1E800353">
            <w:pPr>
              <w:keepNext w:val="0"/>
              <w:keepLines w:val="0"/>
              <w:pageBreakBefore w:val="0"/>
              <w:kinsoku/>
              <w:wordWrap/>
              <w:overflowPunct/>
              <w:topLinePunct w:val="0"/>
              <w:autoSpaceDE/>
              <w:autoSpaceDN/>
              <w:bidi w:val="0"/>
              <w:adjustRightInd/>
              <w:spacing w:line="300" w:lineRule="exact"/>
              <w:jc w:val="center"/>
              <w:rPr>
                <w:rFonts w:hint="eastAsia" w:asciiTheme="minorEastAsia" w:hAnsiTheme="minorEastAsia" w:eastAsiaTheme="minorEastAsia" w:cstheme="minorEastAsia"/>
                <w:color w:val="000000"/>
                <w:sz w:val="22"/>
                <w:szCs w:val="22"/>
                <w:highlight w:val="none"/>
                <w:vertAlign w:val="baseline"/>
                <w:lang w:val="en-US" w:eastAsia="zh-CN"/>
              </w:rPr>
            </w:pPr>
          </w:p>
        </w:tc>
      </w:tr>
      <w:tr w14:paraId="7860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90" w:type="dxa"/>
            <w:gridSpan w:val="6"/>
            <w:noWrap w:val="0"/>
            <w:vAlign w:val="center"/>
          </w:tcPr>
          <w:p w14:paraId="164C45B5">
            <w:pPr>
              <w:keepNext w:val="0"/>
              <w:keepLines w:val="0"/>
              <w:pageBreakBefore w:val="0"/>
              <w:kinsoku/>
              <w:wordWrap/>
              <w:overflowPunct/>
              <w:topLinePunct w:val="0"/>
              <w:autoSpaceDE/>
              <w:autoSpaceDN/>
              <w:bidi w:val="0"/>
              <w:adjustRightInd/>
              <w:spacing w:line="300" w:lineRule="exact"/>
              <w:jc w:val="both"/>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考核结果应用规则：1. 总分≥80分为“合格”，总分＜80分为“不合格”；</w:t>
            </w:r>
          </w:p>
          <w:p w14:paraId="47D8F58C">
            <w:pPr>
              <w:keepNext w:val="0"/>
              <w:keepLines w:val="0"/>
              <w:pageBreakBefore w:val="0"/>
              <w:kinsoku/>
              <w:wordWrap/>
              <w:overflowPunct/>
              <w:topLinePunct w:val="0"/>
              <w:autoSpaceDE/>
              <w:autoSpaceDN/>
              <w:bidi w:val="0"/>
              <w:adjustRightInd/>
              <w:spacing w:line="300" w:lineRule="exact"/>
              <w:jc w:val="both"/>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2. 考核“合格”及以上方可续签下一年度合同；</w:t>
            </w:r>
          </w:p>
          <w:p w14:paraId="070D653A">
            <w:pPr>
              <w:keepNext w:val="0"/>
              <w:keepLines w:val="0"/>
              <w:pageBreakBefore w:val="0"/>
              <w:kinsoku/>
              <w:wordWrap/>
              <w:overflowPunct/>
              <w:topLinePunct w:val="0"/>
              <w:autoSpaceDE/>
              <w:autoSpaceDN/>
              <w:bidi w:val="0"/>
              <w:adjustRightInd/>
              <w:spacing w:line="300" w:lineRule="exact"/>
              <w:jc w:val="both"/>
              <w:rPr>
                <w:rFonts w:hint="eastAsia" w:asciiTheme="minorEastAsia" w:hAnsiTheme="minorEastAsia" w:eastAsiaTheme="minorEastAsia" w:cstheme="minorEastAsia"/>
                <w:color w:val="000000"/>
                <w:sz w:val="22"/>
                <w:szCs w:val="22"/>
                <w:highlight w:val="none"/>
                <w:vertAlign w:val="baseline"/>
                <w:lang w:val="en-US" w:eastAsia="zh-CN"/>
              </w:rPr>
            </w:pPr>
            <w:r>
              <w:rPr>
                <w:rFonts w:hint="eastAsia" w:asciiTheme="minorEastAsia" w:hAnsiTheme="minorEastAsia" w:eastAsiaTheme="minorEastAsia" w:cstheme="minorEastAsia"/>
                <w:color w:val="000000"/>
                <w:sz w:val="22"/>
                <w:szCs w:val="22"/>
                <w:highlight w:val="none"/>
                <w:vertAlign w:val="baseline"/>
                <w:lang w:val="en-US" w:eastAsia="zh-CN"/>
              </w:rPr>
              <w:t>3. 若出现检测数据造假、资质失效等重大违规情况，直接判定为“不合格”，取消续签资格并按合同约定追究违约责任。</w:t>
            </w:r>
          </w:p>
        </w:tc>
      </w:tr>
    </w:tbl>
    <w:p w14:paraId="13D021BD">
      <w:pPr>
        <w:pStyle w:val="13"/>
        <w:pageBreakBefore w:val="0"/>
        <w:kinsoku/>
        <w:wordWrap/>
        <w:overflowPunct/>
        <w:topLinePunct w:val="0"/>
        <w:autoSpaceDE/>
        <w:autoSpaceDN/>
        <w:bidi w:val="0"/>
        <w:spacing w:line="240" w:lineRule="auto"/>
        <w:ind w:left="0" w:leftChars="0" w:firstLine="0" w:firstLineChars="0"/>
        <w:rPr>
          <w:rFonts w:hint="eastAsia" w:asciiTheme="minorEastAsia" w:hAnsiTheme="minorEastAsia" w:eastAsiaTheme="minorEastAsia" w:cstheme="minorEastAsia"/>
          <w:color w:val="auto"/>
          <w:sz w:val="24"/>
          <w:szCs w:val="24"/>
          <w:lang w:val="en-US" w:eastAsia="zh-CN"/>
        </w:rPr>
      </w:pPr>
    </w:p>
    <w:p w14:paraId="1DD3BE17">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（二）服务地点：</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指定地点</w:t>
      </w:r>
      <w:r>
        <w:rPr>
          <w:rFonts w:hint="eastAsia" w:asciiTheme="minorEastAsia" w:hAnsiTheme="minorEastAsia" w:eastAsiaTheme="minorEastAsia" w:cstheme="minorEastAsia"/>
          <w:color w:val="auto"/>
          <w:sz w:val="24"/>
          <w:szCs w:val="24"/>
          <w:lang w:eastAsia="zh-CN"/>
        </w:rPr>
        <w:t>。</w:t>
      </w:r>
    </w:p>
    <w:p w14:paraId="2D935A00">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rPr>
        <w:t>（三）</w:t>
      </w:r>
      <w:r>
        <w:rPr>
          <w:rFonts w:hint="eastAsia" w:asciiTheme="minorEastAsia" w:hAnsiTheme="minorEastAsia" w:eastAsiaTheme="minorEastAsia" w:cstheme="minorEastAsia"/>
          <w:color w:val="auto"/>
          <w:sz w:val="24"/>
          <w:szCs w:val="24"/>
          <w:lang w:eastAsia="zh-CN"/>
        </w:rPr>
        <w:t>验收</w:t>
      </w:r>
      <w:r>
        <w:rPr>
          <w:rFonts w:hint="eastAsia" w:asciiTheme="minorEastAsia" w:hAnsiTheme="minorEastAsia" w:eastAsiaTheme="minorEastAsia" w:cstheme="minorEastAsia"/>
          <w:color w:val="auto"/>
          <w:sz w:val="24"/>
          <w:szCs w:val="24"/>
          <w:lang w:val="en-US" w:eastAsia="zh-CN"/>
        </w:rPr>
        <w:t>标准和方法</w:t>
      </w:r>
    </w:p>
    <w:p w14:paraId="36113B8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成交供应商提供的所有病理远程诊断及标本外检服务应符合国家法律、法规所规定且不得低于承诺的技术服务标准；未达到要求且对采购人造成损失的，由成交供应商承担一切责任，并赔偿所造成的损失；采购人有权</w:t>
      </w:r>
      <w:r>
        <w:rPr>
          <w:rFonts w:hint="eastAsia" w:asciiTheme="minorEastAsia" w:hAnsiTheme="minorEastAsia" w:eastAsiaTheme="minorEastAsia" w:cstheme="minorEastAsia"/>
          <w:color w:val="auto"/>
          <w:kern w:val="0"/>
          <w:sz w:val="24"/>
          <w:szCs w:val="24"/>
          <w:lang w:val="en-US" w:eastAsia="zh-CN"/>
        </w:rPr>
        <w:t>单方面</w:t>
      </w:r>
      <w:r>
        <w:rPr>
          <w:rFonts w:hint="eastAsia" w:asciiTheme="minorEastAsia" w:hAnsiTheme="minorEastAsia" w:eastAsiaTheme="minorEastAsia" w:cstheme="minorEastAsia"/>
          <w:color w:val="auto"/>
          <w:kern w:val="0"/>
          <w:sz w:val="24"/>
          <w:szCs w:val="24"/>
        </w:rPr>
        <w:t>解除服务合同。</w:t>
      </w:r>
    </w:p>
    <w:p w14:paraId="5D87AF12">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服务期限内，病理远程诊断及标本外检服务项目每年若发生2次结果与临床不符或结果出现偏差且发生后续不良后果的，成交供应商除予以相应扣罚外，还需承担承担相关投诉或诉讼所产生的费用与法律责任，采购人有权单方面解除服务合同。</w:t>
      </w:r>
    </w:p>
    <w:p w14:paraId="566904E3">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4.3服务期内，采购人每年对成交供应商所提供的病理远程诊断服务及标本外送服务进行服务满意度测评，测评结果应用由采购人管理科室负责解释。</w:t>
      </w:r>
    </w:p>
    <w:p w14:paraId="4ACFE6EA">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rPr>
      </w:pPr>
      <w:bookmarkStart w:id="105" w:name="_Toc17280"/>
      <w:bookmarkStart w:id="106" w:name="_Toc24463"/>
      <w:bookmarkStart w:id="107" w:name="_Toc32419"/>
      <w:r>
        <w:rPr>
          <w:rFonts w:hint="eastAsia" w:asciiTheme="minorEastAsia" w:hAnsiTheme="minorEastAsia" w:eastAsiaTheme="minorEastAsia" w:cstheme="minorEastAsia"/>
          <w:b/>
          <w:color w:val="auto"/>
          <w:sz w:val="24"/>
          <w:szCs w:val="24"/>
        </w:rPr>
        <w:t>二、报价要求</w:t>
      </w:r>
      <w:bookmarkEnd w:id="105"/>
      <w:bookmarkEnd w:id="106"/>
      <w:bookmarkEnd w:id="107"/>
    </w:p>
    <w:p w14:paraId="73911608">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本次报价为</w:t>
      </w:r>
      <w:r>
        <w:rPr>
          <w:rFonts w:hint="eastAsia" w:asciiTheme="minorEastAsia" w:hAnsiTheme="minorEastAsia" w:eastAsiaTheme="minorEastAsia" w:cstheme="minorEastAsia"/>
          <w:color w:val="auto"/>
          <w:kern w:val="0"/>
          <w:sz w:val="24"/>
          <w:szCs w:val="24"/>
          <w:lang w:eastAsia="zh-CN"/>
        </w:rPr>
        <w:t>整体</w:t>
      </w:r>
      <w:r>
        <w:rPr>
          <w:rFonts w:hint="eastAsia" w:asciiTheme="minorEastAsia" w:hAnsiTheme="minorEastAsia" w:eastAsiaTheme="minorEastAsia" w:cstheme="minorEastAsia"/>
          <w:color w:val="auto"/>
          <w:kern w:val="0"/>
          <w:sz w:val="24"/>
          <w:szCs w:val="24"/>
          <w:lang w:val="en-US" w:eastAsia="zh-CN"/>
        </w:rPr>
        <w:t>折折扣率</w:t>
      </w:r>
      <w:r>
        <w:rPr>
          <w:rFonts w:hint="eastAsia" w:asciiTheme="minorEastAsia" w:hAnsiTheme="minorEastAsia" w:eastAsiaTheme="minorEastAsia" w:cstheme="minorEastAsia"/>
          <w:color w:val="auto"/>
          <w:kern w:val="0"/>
          <w:sz w:val="24"/>
          <w:szCs w:val="24"/>
        </w:rPr>
        <w:t>报价，百分比报价不能超过最高限价百分比</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供应商应分别对三个分包进行报价</w:t>
      </w:r>
      <w:r>
        <w:rPr>
          <w:rFonts w:hint="eastAsia" w:asciiTheme="minorEastAsia" w:hAnsiTheme="minorEastAsia" w:eastAsiaTheme="minorEastAsia" w:cstheme="minorEastAsia"/>
          <w:color w:val="auto"/>
          <w:kern w:val="0"/>
          <w:sz w:val="24"/>
          <w:szCs w:val="24"/>
        </w:rPr>
        <w:t>。报价采用费用包干方式，包括但不限于</w:t>
      </w:r>
      <w:r>
        <w:rPr>
          <w:rFonts w:hint="eastAsia" w:asciiTheme="minorEastAsia" w:hAnsiTheme="minorEastAsia" w:eastAsia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根据本文件、服务要求、国家有关标准规范结合本项目特点和现场考察，自行计算工作量、预算报价并承担相应的风险费及各种应纳的税费等。以实际产生数量为准，因成交供应商自身原因造成漏报、少报皆由其自行承担责任，采购人不再补偿</w:t>
      </w:r>
      <w:r>
        <w:rPr>
          <w:rFonts w:hint="eastAsia" w:asciiTheme="minorEastAsia" w:hAnsiTheme="minorEastAsia" w:eastAsiaTheme="minorEastAsia" w:cstheme="minorEastAsia"/>
          <w:color w:val="auto"/>
          <w:sz w:val="24"/>
          <w:szCs w:val="24"/>
        </w:rPr>
        <w:t>。</w:t>
      </w:r>
    </w:p>
    <w:p w14:paraId="664238C7">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rPr>
      </w:pPr>
      <w:bookmarkStart w:id="108" w:name="_Toc3723"/>
      <w:bookmarkStart w:id="109" w:name="_Toc30373"/>
      <w:bookmarkStart w:id="110" w:name="_Toc15838"/>
      <w:bookmarkStart w:id="111" w:name="_Toc274"/>
      <w:bookmarkStart w:id="112" w:name="_Toc5921"/>
      <w:bookmarkStart w:id="113" w:name="_Toc17031"/>
      <w:bookmarkStart w:id="114" w:name="_Toc32765"/>
      <w:bookmarkStart w:id="115" w:name="_Toc65662734"/>
      <w:bookmarkStart w:id="116" w:name="_Toc7193"/>
      <w:bookmarkStart w:id="117" w:name="_Toc6449"/>
      <w:bookmarkStart w:id="118" w:name="_Toc1309"/>
      <w:bookmarkStart w:id="119" w:name="_Toc9204"/>
      <w:bookmarkStart w:id="120" w:name="_Toc25010"/>
      <w:bookmarkStart w:id="121" w:name="_Toc29109"/>
      <w:bookmarkStart w:id="122" w:name="_Toc8622"/>
      <w:bookmarkStart w:id="123" w:name="_Toc20258"/>
      <w:bookmarkStart w:id="124" w:name="_Toc9604"/>
      <w:bookmarkStart w:id="125" w:name="_Toc24512"/>
      <w:bookmarkStart w:id="126" w:name="_Toc29854"/>
      <w:bookmarkStart w:id="127" w:name="_Toc20012"/>
      <w:bookmarkStart w:id="128" w:name="_Toc267320051"/>
      <w:bookmarkStart w:id="129" w:name="_Toc3078"/>
      <w:r>
        <w:rPr>
          <w:rFonts w:hint="eastAsia" w:asciiTheme="minorEastAsia" w:hAnsiTheme="minorEastAsia" w:eastAsiaTheme="minorEastAsia" w:cstheme="minorEastAsia"/>
          <w:b/>
          <w:color w:val="auto"/>
          <w:sz w:val="24"/>
          <w:szCs w:val="24"/>
        </w:rPr>
        <w:t>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30" w:name="_Toc23796"/>
      <w:bookmarkStart w:id="131" w:name="_Toc16890"/>
      <w:r>
        <w:rPr>
          <w:rFonts w:hint="eastAsia" w:asciiTheme="minorEastAsia" w:hAnsiTheme="minorEastAsia" w:eastAsiaTheme="minorEastAsia" w:cstheme="minorEastAsia"/>
          <w:b/>
          <w:color w:val="auto"/>
          <w:sz w:val="24"/>
          <w:szCs w:val="24"/>
        </w:rPr>
        <w:t>付款方式</w:t>
      </w:r>
      <w:bookmarkEnd w:id="128"/>
      <w:bookmarkEnd w:id="129"/>
      <w:bookmarkEnd w:id="130"/>
      <w:bookmarkEnd w:id="131"/>
    </w:p>
    <w:p w14:paraId="1821801C">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color w:val="auto"/>
          <w:kern w:val="0"/>
          <w:sz w:val="24"/>
          <w:szCs w:val="24"/>
        </w:rPr>
      </w:pPr>
      <w:bookmarkStart w:id="132" w:name="_Toc317"/>
      <w:bookmarkStart w:id="133" w:name="_Toc16401"/>
      <w:bookmarkStart w:id="134" w:name="_Toc6802"/>
      <w:bookmarkStart w:id="135" w:name="_Toc29045"/>
      <w:bookmarkStart w:id="136" w:name="_Toc27443"/>
      <w:r>
        <w:rPr>
          <w:rFonts w:hint="eastAsia" w:asciiTheme="minorEastAsia" w:hAnsiTheme="minorEastAsia" w:eastAsiaTheme="minorEastAsia" w:cstheme="minorEastAsia"/>
          <w:color w:val="auto"/>
          <w:kern w:val="0"/>
          <w:sz w:val="24"/>
          <w:szCs w:val="24"/>
        </w:rPr>
        <w:t>签订合同之日起，每月由成交供应商整理提供</w:t>
      </w:r>
      <w:r>
        <w:rPr>
          <w:rFonts w:hint="eastAsia" w:asciiTheme="minorEastAsia" w:hAnsiTheme="minorEastAsia" w:eastAsiaTheme="minorEastAsia" w:cstheme="minorEastAsia"/>
          <w:color w:val="auto"/>
          <w:kern w:val="0"/>
          <w:sz w:val="24"/>
          <w:szCs w:val="24"/>
          <w:highlight w:val="none"/>
          <w:lang w:val="en-US" w:eastAsia="zh-CN"/>
        </w:rPr>
        <w:t>上月</w:t>
      </w:r>
      <w:r>
        <w:rPr>
          <w:rFonts w:hint="eastAsia" w:asciiTheme="minorEastAsia" w:hAnsiTheme="minorEastAsia" w:eastAsiaTheme="minorEastAsia" w:cstheme="minorEastAsia"/>
          <w:color w:val="auto"/>
          <w:kern w:val="0"/>
          <w:sz w:val="24"/>
          <w:szCs w:val="24"/>
        </w:rPr>
        <w:t>远程诊断服务及外检服务清单列表以及对应金额的增值税发票，交由采购人对应部门核实后据实结算，采购人按内部财务制度向成交供应商付款。</w:t>
      </w:r>
      <w:bookmarkEnd w:id="132"/>
    </w:p>
    <w:p w14:paraId="707C30E8">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lang w:val="en-US" w:eastAsia="zh-CN"/>
        </w:rPr>
      </w:pPr>
      <w:bookmarkStart w:id="137" w:name="_Toc628"/>
      <w:r>
        <w:rPr>
          <w:rFonts w:hint="eastAsia" w:asciiTheme="minorEastAsia" w:hAnsiTheme="minorEastAsia" w:eastAsiaTheme="minorEastAsia" w:cstheme="minorEastAsia"/>
          <w:b/>
          <w:color w:val="auto"/>
          <w:sz w:val="24"/>
          <w:szCs w:val="24"/>
          <w:lang w:val="en-US" w:eastAsia="zh-CN"/>
        </w:rPr>
        <w:t>四、</w:t>
      </w:r>
      <w:bookmarkEnd w:id="133"/>
      <w:bookmarkEnd w:id="134"/>
      <w:bookmarkEnd w:id="135"/>
      <w:bookmarkEnd w:id="136"/>
      <w:r>
        <w:rPr>
          <w:rFonts w:hint="eastAsia" w:asciiTheme="minorEastAsia" w:hAnsiTheme="minorEastAsia" w:eastAsiaTheme="minorEastAsia" w:cstheme="minorEastAsia"/>
          <w:b/>
          <w:color w:val="auto"/>
          <w:sz w:val="24"/>
          <w:szCs w:val="24"/>
          <w:lang w:val="en-US" w:eastAsia="zh-CN"/>
        </w:rPr>
        <w:t>知识产权</w:t>
      </w:r>
      <w:bookmarkEnd w:id="137"/>
    </w:p>
    <w:p w14:paraId="2BC20A55">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r>
        <w:rPr>
          <w:rFonts w:hint="eastAsia" w:asciiTheme="minorEastAsia" w:hAnsiTheme="minorEastAsia" w:eastAsiaTheme="minorEastAsia" w:cstheme="minorEastAsia"/>
          <w:color w:val="auto"/>
          <w:kern w:val="0"/>
          <w:sz w:val="24"/>
          <w:szCs w:val="24"/>
        </w:rPr>
        <w:t>。</w:t>
      </w:r>
      <w:bookmarkStart w:id="138" w:name="_Toc4495"/>
      <w:bookmarkStart w:id="139" w:name="_Toc24919"/>
    </w:p>
    <w:p w14:paraId="1C877C96">
      <w:pPr>
        <w:pageBreakBefore w:val="0"/>
        <w:numPr>
          <w:ilvl w:val="0"/>
          <w:numId w:val="0"/>
        </w:numPr>
        <w:kinsoku/>
        <w:wordWrap/>
        <w:overflowPunct/>
        <w:topLinePunct w:val="0"/>
        <w:autoSpaceDE/>
        <w:autoSpaceDN/>
        <w:bidi w:val="0"/>
        <w:spacing w:line="24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kern w:val="2"/>
          <w:sz w:val="24"/>
          <w:szCs w:val="24"/>
          <w:lang w:val="en-US" w:eastAsia="zh-CN" w:bidi="ar-SA"/>
        </w:rPr>
        <w:t>五、</w:t>
      </w:r>
      <w:r>
        <w:rPr>
          <w:rFonts w:hint="eastAsia" w:asciiTheme="minorEastAsia" w:hAnsiTheme="minorEastAsia" w:eastAsiaTheme="minorEastAsia" w:cstheme="minorEastAsia"/>
          <w:b/>
          <w:color w:val="auto"/>
          <w:sz w:val="24"/>
          <w:szCs w:val="24"/>
          <w:lang w:val="en-US" w:eastAsia="zh-CN"/>
        </w:rPr>
        <w:t>违约责任</w:t>
      </w:r>
      <w:bookmarkEnd w:id="138"/>
      <w:bookmarkEnd w:id="139"/>
      <w:bookmarkStart w:id="140" w:name="_Toc14534"/>
      <w:bookmarkStart w:id="141" w:name="_Toc30319"/>
    </w:p>
    <w:p w14:paraId="6F371440">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若出现患者信息及诊断报告泄露，按20000元/次向采购人支付违约金，并依法对受检患者进行赔偿。</w:t>
      </w:r>
    </w:p>
    <w:p w14:paraId="7B45CB9F">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采购人内设科室检验科外送检验标本由供应商负责进行安全处理，并对所有外送标本及检测结果等信息保密，若出现信息泄露，按20000元/次向采购人支付违约金，并依法对受检患者进行赔偿。</w:t>
      </w:r>
    </w:p>
    <w:p w14:paraId="4E09BBA3">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如因标本漏检、遗失、损坏、报告的延迟、误报导致患者投诉或要求适当赔偿，由供应商负责解释，并赔偿患者和采购人损失，标本漏检、遗失、损坏、报告延迟每发现一次扣罚1000元违约责任金，并承担相关投诉或诉讼所产生的费用与法律责任。（提供承诺书，格式自拟）。</w:t>
      </w:r>
    </w:p>
    <w:p w14:paraId="25650612">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外检项目出现结果与临床不符，或结果出现偏差，由成交供应商负责向采购人相关临床科室或患者解释，发生后续不良后果的一律由其负责，发现一次扣罚1000元，并承担相关投诉或诉讼所产生的费用与法律责任，如一年内发生二次，采购人有权单方面解除服务合同。（提供承诺书，格式自拟）。</w:t>
      </w:r>
    </w:p>
    <w:p w14:paraId="2EB6C1C4">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成交供应商未经采购人书面同意，将本项目服务主体工作分包或转包给第三方的，采购人有权立即终止合同，并要求成交供应商赔偿采购人因此产生的重新采购费用。</w:t>
      </w:r>
    </w:p>
    <w:p w14:paraId="6B2B2594">
      <w:pPr>
        <w:pageBreakBefore w:val="0"/>
        <w:numPr>
          <w:ilvl w:val="0"/>
          <w:numId w:val="2"/>
        </w:numPr>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成交供应商违约导致采购人涉诉的，成交供应商应承担采购人由此产生的全部合理费用，包括但不限于律师费、差旅费、保全费、担保费等。</w:t>
      </w:r>
    </w:p>
    <w:bookmarkEnd w:id="140"/>
    <w:bookmarkEnd w:id="141"/>
    <w:p w14:paraId="50BEE479">
      <w:pPr>
        <w:pStyle w:val="3"/>
        <w:pageBreakBefore w:val="0"/>
        <w:kinsoku/>
        <w:wordWrap/>
        <w:overflowPunct/>
        <w:topLinePunct w:val="0"/>
        <w:autoSpaceDE/>
        <w:autoSpaceDN/>
        <w:bidi w:val="0"/>
        <w:snapToGrid/>
        <w:spacing w:line="24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bookmarkStart w:id="142" w:name="_Toc10799"/>
      <w:bookmarkStart w:id="143" w:name="_Toc2944"/>
      <w:bookmarkStart w:id="144" w:name="_Toc106352460"/>
      <w:bookmarkStart w:id="145" w:name="_Toc10697"/>
      <w:r>
        <w:rPr>
          <w:rFonts w:hint="eastAsia" w:asciiTheme="minorEastAsia" w:hAnsiTheme="minorEastAsia" w:eastAsiaTheme="minorEastAsia" w:cstheme="minorEastAsia"/>
          <w:b/>
          <w:color w:val="auto"/>
          <w:sz w:val="24"/>
          <w:szCs w:val="24"/>
          <w:highlight w:val="none"/>
          <w:lang w:val="en-US" w:eastAsia="zh-CN"/>
        </w:rPr>
        <w:t>六、培训</w:t>
      </w:r>
      <w:bookmarkEnd w:id="142"/>
      <w:bookmarkEnd w:id="143"/>
      <w:bookmarkEnd w:id="144"/>
      <w:bookmarkEnd w:id="145"/>
    </w:p>
    <w:p w14:paraId="216DC476">
      <w:pPr>
        <w:pageBreakBefore w:val="0"/>
        <w:kinsoku/>
        <w:wordWrap/>
        <w:overflowPunct/>
        <w:topLinePunct w:val="0"/>
        <w:autoSpaceDE/>
        <w:autoSpaceDN/>
        <w:bidi w:val="0"/>
        <w:spacing w:line="24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供应商对采购人</w:t>
      </w:r>
      <w:r>
        <w:rPr>
          <w:rFonts w:hint="eastAsia" w:asciiTheme="minorEastAsia" w:hAnsiTheme="minorEastAsia" w:eastAsiaTheme="minorEastAsia" w:cstheme="minorEastAsia"/>
          <w:color w:val="FF0000"/>
          <w:kern w:val="0"/>
          <w:sz w:val="24"/>
          <w:szCs w:val="24"/>
          <w:highlight w:val="none"/>
          <w:lang w:val="en-US" w:eastAsia="zh-CN"/>
        </w:rPr>
        <w:t>2-3名</w:t>
      </w:r>
      <w:r>
        <w:rPr>
          <w:rFonts w:hint="eastAsia" w:asciiTheme="minorEastAsia" w:hAnsiTheme="minorEastAsia" w:eastAsiaTheme="minorEastAsia" w:cstheme="minorEastAsia"/>
          <w:color w:val="auto"/>
          <w:kern w:val="0"/>
          <w:sz w:val="24"/>
          <w:szCs w:val="24"/>
          <w:highlight w:val="none"/>
          <w:lang w:val="en-US" w:eastAsia="zh-CN"/>
        </w:rPr>
        <w:t>专业技术人员进行培训（费用已包含在本次预算内），使其能熟练完成标本前期技术处理（取材、包埋、切片等）。</w:t>
      </w:r>
    </w:p>
    <w:p w14:paraId="09D22F84">
      <w:pPr>
        <w:pageBreakBefore w:val="0"/>
        <w:numPr>
          <w:ilvl w:val="0"/>
          <w:numId w:val="0"/>
        </w:numPr>
        <w:kinsoku/>
        <w:wordWrap/>
        <w:overflowPunct/>
        <w:topLinePunct w:val="0"/>
        <w:autoSpaceDE/>
        <w:autoSpaceDN/>
        <w:bidi w:val="0"/>
        <w:spacing w:line="240" w:lineRule="auto"/>
        <w:ind w:left="0" w:leftChars="0" w:firstLine="482" w:firstLineChars="20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bidi="ar-SA"/>
        </w:rPr>
        <w:t>七、</w:t>
      </w:r>
      <w:r>
        <w:rPr>
          <w:rFonts w:hint="eastAsia" w:asciiTheme="minorEastAsia" w:hAnsiTheme="minorEastAsia" w:eastAsiaTheme="minorEastAsia" w:cstheme="minorEastAsia"/>
          <w:b/>
          <w:bCs/>
          <w:color w:val="auto"/>
          <w:kern w:val="0"/>
          <w:sz w:val="24"/>
          <w:szCs w:val="24"/>
          <w:lang w:val="en-US" w:eastAsia="zh-CN"/>
        </w:rPr>
        <w:t>其他商务要求</w:t>
      </w:r>
    </w:p>
    <w:p w14:paraId="5BCB5314">
      <w:pPr>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（一）售后服务方案。</w:t>
      </w:r>
    </w:p>
    <w:p w14:paraId="758EA3B0">
      <w:pPr>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（二）其他未尽事宜由双方在采购合同中详细约定。</w:t>
      </w:r>
    </w:p>
    <w:p w14:paraId="739AB1C2">
      <w:pPr>
        <w:rPr>
          <w:rFonts w:hint="eastAsia" w:asciiTheme="minorEastAsia" w:hAnsiTheme="minorEastAsia" w:eastAsiaTheme="minorEastAsia" w:cstheme="minorEastAsia"/>
          <w:b/>
          <w:bCs/>
          <w:color w:val="auto"/>
          <w:highlight w:val="none"/>
          <w:lang w:val="en-US" w:eastAsia="zh-CN"/>
        </w:rPr>
        <w:sectPr>
          <w:headerReference r:id="rId6" w:type="default"/>
          <w:footerReference r:id="rId7" w:type="default"/>
          <w:pgSz w:w="11906" w:h="16838"/>
          <w:pgMar w:top="1440" w:right="1080" w:bottom="1440" w:left="1080" w:header="1157" w:footer="992" w:gutter="0"/>
          <w:pgNumType w:fmt="decimal"/>
          <w:cols w:space="720" w:num="1"/>
          <w:docGrid w:type="lines" w:linePitch="312" w:charSpace="0"/>
        </w:sectPr>
      </w:pPr>
    </w:p>
    <w:p w14:paraId="0C805952">
      <w:pPr>
        <w:pStyle w:val="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46" w:name="_Toc1806"/>
      <w:r>
        <w:rPr>
          <w:rFonts w:hint="eastAsia" w:asciiTheme="minorEastAsia" w:hAnsiTheme="minorEastAsia" w:eastAsiaTheme="minorEastAsia" w:cstheme="minorEastAsia"/>
          <w:color w:val="auto"/>
          <w:sz w:val="44"/>
          <w:szCs w:val="44"/>
          <w:highlight w:val="none"/>
        </w:rPr>
        <w:t>第四篇 资格审查及评审办法</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146"/>
    </w:p>
    <w:p w14:paraId="7584D4E9">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47" w:name="_Toc23973"/>
      <w:bookmarkStart w:id="148" w:name="_Toc21859"/>
      <w:bookmarkStart w:id="149" w:name="_Toc14564"/>
      <w:bookmarkStart w:id="150" w:name="_Toc25971"/>
      <w:bookmarkStart w:id="151" w:name="_Toc8983"/>
      <w:bookmarkStart w:id="152" w:name="_Toc26309"/>
      <w:bookmarkStart w:id="153" w:name="_Toc29755"/>
      <w:bookmarkStart w:id="154" w:name="_Toc1497"/>
      <w:bookmarkStart w:id="155" w:name="_Toc27081"/>
      <w:bookmarkStart w:id="156" w:name="_Toc20541"/>
      <w:bookmarkStart w:id="157" w:name="_Toc12641"/>
      <w:bookmarkStart w:id="158" w:name="_Toc28903"/>
      <w:bookmarkStart w:id="159" w:name="_Toc4071"/>
      <w:bookmarkStart w:id="160" w:name="_Toc75793518"/>
      <w:bookmarkStart w:id="161" w:name="_Toc28360"/>
      <w:bookmarkStart w:id="162" w:name="_Toc15440"/>
      <w:bookmarkStart w:id="163" w:name="_Toc106030394"/>
      <w:bookmarkStart w:id="164" w:name="_Toc12719"/>
      <w:bookmarkStart w:id="165" w:name="_Toc10022"/>
      <w:r>
        <w:rPr>
          <w:rFonts w:hint="eastAsia" w:asciiTheme="minorEastAsia" w:hAnsiTheme="minorEastAsia" w:eastAsiaTheme="minorEastAsia" w:cstheme="minorEastAsia"/>
          <w:color w:val="auto"/>
          <w:highlight w:val="none"/>
        </w:rPr>
        <w:t>一、资格审查</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Theme="minorEastAsia" w:hAnsiTheme="minorEastAsia" w:eastAsiaTheme="minorEastAsia" w:cstheme="minorEastAsia"/>
          <w:color w:val="auto"/>
          <w:highlight w:val="none"/>
        </w:rPr>
        <w:t>及符合性审查</w:t>
      </w:r>
      <w:bookmarkEnd w:id="162"/>
      <w:bookmarkEnd w:id="163"/>
      <w:bookmarkEnd w:id="164"/>
      <w:bookmarkEnd w:id="165"/>
    </w:p>
    <w:p w14:paraId="696E80C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若未通过资格审查及符合性审查的响应文件，不进入评审环节。</w:t>
      </w:r>
    </w:p>
    <w:p w14:paraId="78F66C94">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（一）资格审查</w:t>
      </w:r>
    </w:p>
    <w:p w14:paraId="7F8EC10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color w:val="auto"/>
          <w:kern w:val="0"/>
          <w:szCs w:val="28"/>
          <w:highlight w:val="none"/>
        </w:rPr>
        <w:t>由</w:t>
      </w:r>
      <w:r>
        <w:rPr>
          <w:rFonts w:hint="eastAsia" w:asciiTheme="minorEastAsia" w:hAnsiTheme="minorEastAsia" w:eastAsiaTheme="minorEastAsia" w:cstheme="minorEastAsia"/>
          <w:color w:val="auto"/>
          <w:szCs w:val="28"/>
          <w:highlight w:val="none"/>
          <w:lang w:val="en-US" w:eastAsia="zh-CN"/>
        </w:rPr>
        <w:t>评审小组</w:t>
      </w:r>
      <w:r>
        <w:rPr>
          <w:rFonts w:hint="eastAsia" w:asciiTheme="minorEastAsia" w:hAnsiTheme="minorEastAsia" w:eastAsiaTheme="minorEastAsia" w:cstheme="minorEastAsia"/>
          <w:color w:val="auto"/>
          <w:kern w:val="0"/>
          <w:szCs w:val="28"/>
          <w:highlight w:val="none"/>
        </w:rPr>
        <w:t>对响应文件中的资格证明文件进行审查。资格审查资料表如下：</w:t>
      </w:r>
    </w:p>
    <w:tbl>
      <w:tblPr>
        <w:tblStyle w:val="23"/>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46"/>
        <w:gridCol w:w="7020"/>
      </w:tblGrid>
      <w:tr w14:paraId="5E81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18236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序号</w:t>
            </w:r>
          </w:p>
        </w:tc>
        <w:tc>
          <w:tcPr>
            <w:tcW w:w="9066" w:type="dxa"/>
            <w:gridSpan w:val="2"/>
            <w:vAlign w:val="center"/>
          </w:tcPr>
          <w:p w14:paraId="6785E80A">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检查内容</w:t>
            </w:r>
          </w:p>
        </w:tc>
      </w:tr>
      <w:tr w14:paraId="383F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09B69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2046" w:type="dxa"/>
            <w:vAlign w:val="center"/>
          </w:tcPr>
          <w:p w14:paraId="0E93B7B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基本资格要求</w:t>
            </w:r>
          </w:p>
        </w:tc>
        <w:tc>
          <w:tcPr>
            <w:tcW w:w="7020" w:type="dxa"/>
            <w:vAlign w:val="center"/>
          </w:tcPr>
          <w:p w14:paraId="149F9339">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w:t>
            </w:r>
            <w:r>
              <w:rPr>
                <w:rFonts w:hint="eastAsia" w:asciiTheme="minorEastAsia" w:hAnsiTheme="minorEastAsia" w:eastAsiaTheme="minorEastAsia" w:cstheme="minorEastAsia"/>
                <w:color w:val="auto"/>
                <w:sz w:val="28"/>
                <w:szCs w:val="28"/>
                <w:highlight w:val="none"/>
                <w:lang w:val="en-US" w:eastAsia="zh-CN"/>
              </w:rPr>
              <w:t>有有效的营业执照。</w:t>
            </w:r>
          </w:p>
        </w:tc>
      </w:tr>
      <w:tr w14:paraId="4B90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84F99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2046" w:type="dxa"/>
            <w:vAlign w:val="center"/>
          </w:tcPr>
          <w:p w14:paraId="6396934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yellow"/>
                <w:lang w:val="en-US" w:eastAsia="zh-CN"/>
              </w:rPr>
            </w:pPr>
            <w:r>
              <w:rPr>
                <w:rFonts w:hint="eastAsia" w:asciiTheme="minorEastAsia" w:hAnsiTheme="minorEastAsia" w:eastAsiaTheme="minorEastAsia" w:cstheme="minorEastAsia"/>
                <w:color w:val="auto"/>
                <w:sz w:val="28"/>
                <w:szCs w:val="28"/>
                <w:highlight w:val="none"/>
              </w:rPr>
              <w:t>特定资格要求</w:t>
            </w:r>
          </w:p>
        </w:tc>
        <w:tc>
          <w:tcPr>
            <w:tcW w:w="7020" w:type="dxa"/>
            <w:vAlign w:val="center"/>
          </w:tcPr>
          <w:p w14:paraId="17EC1C4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供应商有独立病理实验室，具备从事病理检验、检测的资质，提供有效的《医疗机构执业许可证》复印件并加盖公章，原件备查。</w:t>
            </w:r>
          </w:p>
          <w:p w14:paraId="277B2AC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须具有有效期内的中国合格评定国家认可委员会颁发的符合ISO15189标准实验室认可证书</w:t>
            </w:r>
            <w:r>
              <w:rPr>
                <w:rFonts w:hint="eastAsia" w:asciiTheme="minorEastAsia" w:hAnsiTheme="minorEastAsia" w:eastAsiaTheme="minorEastAsia" w:cstheme="minorEastAsia"/>
                <w:color w:val="auto"/>
                <w:sz w:val="28"/>
                <w:szCs w:val="28"/>
                <w:highlight w:val="none"/>
                <w:lang w:eastAsia="zh-CN"/>
              </w:rPr>
              <w:t>，提供复印件。</w:t>
            </w:r>
          </w:p>
        </w:tc>
      </w:tr>
      <w:tr w14:paraId="60B2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17" w:type="dxa"/>
            <w:vAlign w:val="center"/>
          </w:tcPr>
          <w:p w14:paraId="35EF956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w:t>
            </w:r>
          </w:p>
        </w:tc>
        <w:tc>
          <w:tcPr>
            <w:tcW w:w="2046" w:type="dxa"/>
            <w:vAlign w:val="center"/>
          </w:tcPr>
          <w:p w14:paraId="0F81B58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其他承诺</w:t>
            </w:r>
          </w:p>
        </w:tc>
        <w:tc>
          <w:tcPr>
            <w:tcW w:w="7020" w:type="dxa"/>
            <w:vAlign w:val="center"/>
          </w:tcPr>
          <w:p w14:paraId="2BE6772F">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供应商提供“</w:t>
            </w:r>
            <w:r>
              <w:rPr>
                <w:rFonts w:hint="eastAsia" w:asciiTheme="minorEastAsia" w:hAnsiTheme="minorEastAsia" w:eastAsiaTheme="minorEastAsia" w:cstheme="minorEastAsia"/>
                <w:color w:val="auto"/>
                <w:sz w:val="28"/>
                <w:szCs w:val="28"/>
                <w:highlight w:val="none"/>
                <w:lang w:val="en-US" w:eastAsia="zh-CN"/>
              </w:rPr>
              <w:t>其他</w:t>
            </w:r>
            <w:r>
              <w:rPr>
                <w:rFonts w:hint="eastAsia" w:asciiTheme="minorEastAsia" w:hAnsiTheme="minorEastAsia" w:eastAsiaTheme="minorEastAsia" w:cstheme="minorEastAsia"/>
                <w:color w:val="auto"/>
                <w:sz w:val="28"/>
                <w:szCs w:val="28"/>
                <w:highlight w:val="none"/>
              </w:rPr>
              <w:t>承诺函”（格式详见第六篇）</w:t>
            </w:r>
          </w:p>
        </w:tc>
      </w:tr>
    </w:tbl>
    <w:p w14:paraId="71296C25">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（二）符合性审查</w:t>
      </w:r>
    </w:p>
    <w:p w14:paraId="572F9C0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color w:val="auto"/>
          <w:szCs w:val="28"/>
          <w:highlight w:val="none"/>
          <w:lang w:val="en-US" w:eastAsia="zh-CN"/>
        </w:rPr>
        <w:t>评审小组</w:t>
      </w:r>
      <w:r>
        <w:rPr>
          <w:rFonts w:hint="eastAsia" w:asciiTheme="minorEastAsia" w:hAnsiTheme="minorEastAsia" w:eastAsiaTheme="minorEastAsia" w:cstheme="minorEastAsia"/>
          <w:color w:val="auto"/>
          <w:kern w:val="0"/>
          <w:szCs w:val="28"/>
          <w:highlight w:val="none"/>
        </w:rPr>
        <w:t>应当对符合资格的供应商的响应文件进行符合性审查，以确定其是否满足</w:t>
      </w:r>
      <w:r>
        <w:rPr>
          <w:rFonts w:hint="eastAsia" w:asciiTheme="minorEastAsia" w:hAnsiTheme="minorEastAsia" w:eastAsiaTheme="minorEastAsia" w:cstheme="minorEastAsia"/>
          <w:color w:val="auto"/>
          <w:kern w:val="0"/>
          <w:szCs w:val="28"/>
          <w:highlight w:val="none"/>
          <w:lang w:eastAsia="zh-CN"/>
        </w:rPr>
        <w:t>比选文件</w:t>
      </w:r>
      <w:r>
        <w:rPr>
          <w:rFonts w:hint="eastAsia" w:asciiTheme="minorEastAsia" w:hAnsiTheme="minorEastAsia" w:eastAsiaTheme="minorEastAsia" w:cstheme="minorEastAsia"/>
          <w:color w:val="auto"/>
          <w:kern w:val="0"/>
          <w:szCs w:val="28"/>
          <w:highlight w:val="none"/>
        </w:rPr>
        <w:t>的实质性要求。符合性审查资料表如下：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152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CB9D6CC">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序号</w:t>
            </w:r>
          </w:p>
        </w:tc>
        <w:tc>
          <w:tcPr>
            <w:tcW w:w="3119" w:type="dxa"/>
            <w:gridSpan w:val="2"/>
            <w:noWrap w:val="0"/>
            <w:vAlign w:val="center"/>
          </w:tcPr>
          <w:p w14:paraId="488C8D95">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评审因素</w:t>
            </w:r>
          </w:p>
        </w:tc>
        <w:tc>
          <w:tcPr>
            <w:tcW w:w="5836" w:type="dxa"/>
            <w:noWrap w:val="0"/>
            <w:vAlign w:val="center"/>
          </w:tcPr>
          <w:p w14:paraId="50C8DA21">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评审标准</w:t>
            </w:r>
          </w:p>
        </w:tc>
      </w:tr>
      <w:tr w14:paraId="1D0B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4A781569">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562" w:type="dxa"/>
            <w:vMerge w:val="restart"/>
            <w:noWrap w:val="0"/>
            <w:vAlign w:val="center"/>
          </w:tcPr>
          <w:p w14:paraId="61BDF388">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有效性审查</w:t>
            </w:r>
          </w:p>
        </w:tc>
        <w:tc>
          <w:tcPr>
            <w:tcW w:w="1557" w:type="dxa"/>
            <w:noWrap w:val="0"/>
            <w:vAlign w:val="center"/>
          </w:tcPr>
          <w:p w14:paraId="190F2A82">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FF"/>
                <w:sz w:val="21"/>
                <w:szCs w:val="21"/>
                <w:lang w:eastAsia="zh-CN"/>
              </w:rPr>
              <w:t>响应文件</w:t>
            </w:r>
            <w:r>
              <w:rPr>
                <w:rFonts w:hint="eastAsia" w:asciiTheme="minorEastAsia" w:hAnsiTheme="minorEastAsia" w:eastAsiaTheme="minorEastAsia" w:cstheme="minorEastAsia"/>
                <w:color w:val="0000FF"/>
                <w:sz w:val="21"/>
                <w:szCs w:val="21"/>
              </w:rPr>
              <w:t>签署</w:t>
            </w:r>
          </w:p>
        </w:tc>
        <w:tc>
          <w:tcPr>
            <w:tcW w:w="5836" w:type="dxa"/>
            <w:noWrap w:val="0"/>
            <w:vAlign w:val="center"/>
          </w:tcPr>
          <w:p w14:paraId="6A97ABFD">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上上法定代表人（或其授权代表）或自然人（投标人为自然人）的签署或盖章齐全。</w:t>
            </w:r>
          </w:p>
        </w:tc>
      </w:tr>
      <w:tr w14:paraId="755D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DA7514">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p>
        </w:tc>
        <w:tc>
          <w:tcPr>
            <w:tcW w:w="1562" w:type="dxa"/>
            <w:vMerge w:val="continue"/>
            <w:noWrap w:val="0"/>
            <w:vAlign w:val="center"/>
          </w:tcPr>
          <w:p w14:paraId="31CC01B6">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p>
        </w:tc>
        <w:tc>
          <w:tcPr>
            <w:tcW w:w="1557" w:type="dxa"/>
            <w:noWrap w:val="0"/>
            <w:vAlign w:val="center"/>
          </w:tcPr>
          <w:p w14:paraId="2F1A9C81">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投标方案</w:t>
            </w:r>
          </w:p>
        </w:tc>
        <w:tc>
          <w:tcPr>
            <w:tcW w:w="5836" w:type="dxa"/>
            <w:noWrap w:val="0"/>
            <w:vAlign w:val="center"/>
          </w:tcPr>
          <w:p w14:paraId="58EDB7DF">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每个包只能有一个方案投标。</w:t>
            </w:r>
          </w:p>
        </w:tc>
      </w:tr>
      <w:tr w14:paraId="0B62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5212A3AE">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p>
        </w:tc>
        <w:tc>
          <w:tcPr>
            <w:tcW w:w="1562" w:type="dxa"/>
            <w:vMerge w:val="continue"/>
            <w:noWrap w:val="0"/>
            <w:vAlign w:val="center"/>
          </w:tcPr>
          <w:p w14:paraId="28410897">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p>
        </w:tc>
        <w:tc>
          <w:tcPr>
            <w:tcW w:w="1557" w:type="dxa"/>
            <w:noWrap w:val="0"/>
            <w:vAlign w:val="center"/>
          </w:tcPr>
          <w:p w14:paraId="419A04EE">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报价唯一</w:t>
            </w:r>
          </w:p>
        </w:tc>
        <w:tc>
          <w:tcPr>
            <w:tcW w:w="5836" w:type="dxa"/>
            <w:noWrap w:val="0"/>
            <w:vAlign w:val="center"/>
          </w:tcPr>
          <w:p w14:paraId="4415E151">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只能在预算金额和最高限价内报价，</w:t>
            </w:r>
            <w:r>
              <w:rPr>
                <w:rFonts w:hint="eastAsia" w:asciiTheme="minorEastAsia" w:hAnsiTheme="minorEastAsia" w:eastAsiaTheme="minorEastAsia" w:cstheme="minorEastAsia"/>
                <w:color w:val="auto"/>
                <w:sz w:val="21"/>
                <w:szCs w:val="21"/>
              </w:rPr>
              <w:t>只能有一个有效报价，不得提交选择性报价。</w:t>
            </w:r>
          </w:p>
        </w:tc>
      </w:tr>
      <w:tr w14:paraId="76EB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3D8671B5">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562" w:type="dxa"/>
            <w:noWrap w:val="0"/>
            <w:vAlign w:val="center"/>
          </w:tcPr>
          <w:p w14:paraId="532F1ED9">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完整性审查</w:t>
            </w:r>
          </w:p>
        </w:tc>
        <w:tc>
          <w:tcPr>
            <w:tcW w:w="1557" w:type="dxa"/>
            <w:noWrap w:val="0"/>
            <w:vAlign w:val="center"/>
          </w:tcPr>
          <w:p w14:paraId="238D8864">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sz w:val="21"/>
                <w:szCs w:val="21"/>
                <w:lang w:val="zh-CN"/>
              </w:rPr>
              <w:t>响应文件份数</w:t>
            </w:r>
          </w:p>
        </w:tc>
        <w:tc>
          <w:tcPr>
            <w:tcW w:w="5836" w:type="dxa"/>
            <w:noWrap w:val="0"/>
            <w:vAlign w:val="center"/>
          </w:tcPr>
          <w:p w14:paraId="1BA6BF4B">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zh-CN"/>
              </w:rPr>
              <w:t>响应文件正、副本数量（含电子文档）符合比选文件要求。</w:t>
            </w:r>
          </w:p>
        </w:tc>
      </w:tr>
      <w:tr w14:paraId="6592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4F0A52C5">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562" w:type="dxa"/>
            <w:noWrap w:val="0"/>
            <w:vAlign w:val="center"/>
          </w:tcPr>
          <w:p w14:paraId="03278F5E">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技术部分</w:t>
            </w:r>
          </w:p>
        </w:tc>
        <w:tc>
          <w:tcPr>
            <w:tcW w:w="1557" w:type="dxa"/>
            <w:noWrap w:val="0"/>
            <w:vAlign w:val="center"/>
          </w:tcPr>
          <w:p w14:paraId="03E86217">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lang w:eastAsia="zh-CN"/>
              </w:rPr>
              <w:t>响应文件</w:t>
            </w:r>
            <w:r>
              <w:rPr>
                <w:rFonts w:hint="eastAsia" w:asciiTheme="minorEastAsia" w:hAnsiTheme="minorEastAsia" w:eastAsiaTheme="minorEastAsia" w:cstheme="minorEastAsia"/>
                <w:color w:val="0000FF"/>
                <w:kern w:val="0"/>
                <w:sz w:val="21"/>
                <w:szCs w:val="21"/>
              </w:rPr>
              <w:t>内容</w:t>
            </w:r>
          </w:p>
        </w:tc>
        <w:tc>
          <w:tcPr>
            <w:tcW w:w="5836" w:type="dxa"/>
            <w:noWrap w:val="0"/>
            <w:vAlign w:val="center"/>
          </w:tcPr>
          <w:p w14:paraId="4EF4D32F">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本比选文件第二篇规定的内容进行实质性响应。</w:t>
            </w:r>
          </w:p>
        </w:tc>
      </w:tr>
      <w:tr w14:paraId="5545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FEA01BF">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562" w:type="dxa"/>
            <w:noWrap w:val="0"/>
            <w:vAlign w:val="center"/>
          </w:tcPr>
          <w:p w14:paraId="34E4A2D5">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商务部分</w:t>
            </w:r>
          </w:p>
        </w:tc>
        <w:tc>
          <w:tcPr>
            <w:tcW w:w="1557" w:type="dxa"/>
            <w:noWrap w:val="0"/>
            <w:vAlign w:val="center"/>
          </w:tcPr>
          <w:p w14:paraId="1FAAA6BB">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lang w:eastAsia="zh-CN"/>
              </w:rPr>
              <w:t>响应文件</w:t>
            </w:r>
            <w:r>
              <w:rPr>
                <w:rFonts w:hint="eastAsia" w:asciiTheme="minorEastAsia" w:hAnsiTheme="minorEastAsia" w:eastAsiaTheme="minorEastAsia" w:cstheme="minorEastAsia"/>
                <w:color w:val="0000FF"/>
                <w:kern w:val="0"/>
                <w:sz w:val="21"/>
                <w:szCs w:val="21"/>
              </w:rPr>
              <w:t>内容</w:t>
            </w:r>
          </w:p>
        </w:tc>
        <w:tc>
          <w:tcPr>
            <w:tcW w:w="5836" w:type="dxa"/>
            <w:noWrap w:val="0"/>
            <w:vAlign w:val="center"/>
          </w:tcPr>
          <w:p w14:paraId="7E19FF28">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本比选文件第三篇规定的内容进行实质性响应。</w:t>
            </w:r>
          </w:p>
        </w:tc>
      </w:tr>
      <w:tr w14:paraId="7C9E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CC145CE">
            <w:pPr>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1562" w:type="dxa"/>
            <w:noWrap w:val="0"/>
            <w:vAlign w:val="center"/>
          </w:tcPr>
          <w:p w14:paraId="394AF1A6">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FF"/>
                <w:kern w:val="0"/>
                <w:sz w:val="21"/>
                <w:szCs w:val="21"/>
              </w:rPr>
              <w:t>比选有效期</w:t>
            </w:r>
          </w:p>
        </w:tc>
        <w:tc>
          <w:tcPr>
            <w:tcW w:w="1557" w:type="dxa"/>
            <w:noWrap w:val="0"/>
            <w:vAlign w:val="center"/>
          </w:tcPr>
          <w:p w14:paraId="1421A05D">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FF"/>
                <w:kern w:val="0"/>
                <w:sz w:val="21"/>
                <w:szCs w:val="21"/>
                <w:lang w:eastAsia="zh-CN"/>
              </w:rPr>
              <w:t>响应文件</w:t>
            </w:r>
            <w:r>
              <w:rPr>
                <w:rFonts w:hint="eastAsia" w:asciiTheme="minorEastAsia" w:hAnsiTheme="minorEastAsia" w:eastAsiaTheme="minorEastAsia" w:cstheme="minorEastAsia"/>
                <w:color w:val="0000FF"/>
                <w:kern w:val="0"/>
                <w:sz w:val="21"/>
                <w:szCs w:val="21"/>
              </w:rPr>
              <w:t>内容</w:t>
            </w:r>
          </w:p>
        </w:tc>
        <w:tc>
          <w:tcPr>
            <w:tcW w:w="5836" w:type="dxa"/>
            <w:noWrap w:val="0"/>
            <w:vAlign w:val="center"/>
          </w:tcPr>
          <w:p w14:paraId="0B806EB5">
            <w:pPr>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FF"/>
                <w:kern w:val="0"/>
                <w:sz w:val="21"/>
                <w:szCs w:val="21"/>
              </w:rPr>
              <w:t>比选有效期为比选截止时间起90天。</w:t>
            </w:r>
          </w:p>
        </w:tc>
      </w:tr>
    </w:tbl>
    <w:p w14:paraId="10E34637">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kern w:val="0"/>
          <w:szCs w:val="28"/>
          <w:highlight w:val="none"/>
        </w:rPr>
      </w:pPr>
    </w:p>
    <w:bookmarkEnd w:id="51"/>
    <w:p w14:paraId="4A9D1D3C">
      <w:pPr>
        <w:pStyle w:val="3"/>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rPr>
      </w:pPr>
      <w:bookmarkStart w:id="166" w:name="_Toc9579"/>
      <w:bookmarkStart w:id="167" w:name="_Toc30145"/>
      <w:bookmarkStart w:id="168" w:name="_Toc29546"/>
      <w:bookmarkStart w:id="169" w:name="_Toc20379"/>
      <w:bookmarkStart w:id="170" w:name="_Toc13159"/>
      <w:bookmarkStart w:id="171" w:name="_Toc106030399"/>
      <w:bookmarkStart w:id="172" w:name="_Toc25755"/>
      <w:bookmarkStart w:id="173" w:name="_Toc5106"/>
      <w:bookmarkStart w:id="174" w:name="_Toc22201"/>
      <w:bookmarkStart w:id="175" w:name="_Toc25962"/>
      <w:bookmarkStart w:id="176" w:name="_Toc22256"/>
      <w:bookmarkStart w:id="177" w:name="_Toc75793523"/>
      <w:bookmarkStart w:id="178" w:name="_Toc4735"/>
      <w:bookmarkStart w:id="179" w:name="_Toc19831"/>
      <w:bookmarkStart w:id="180" w:name="_Toc21000"/>
      <w:bookmarkStart w:id="181" w:name="_Toc32211"/>
      <w:bookmarkStart w:id="182" w:name="_Toc1982"/>
      <w:bookmarkStart w:id="183" w:name="_Toc14416"/>
      <w:bookmarkStart w:id="184" w:name="_Toc21720"/>
      <w:bookmarkStart w:id="185" w:name="_Toc12533"/>
      <w:bookmarkStart w:id="186" w:name="_Toc18502"/>
      <w:bookmarkStart w:id="187" w:name="_Toc21360"/>
      <w:r>
        <w:rPr>
          <w:rFonts w:hint="eastAsia" w:asciiTheme="minorEastAsia" w:hAnsiTheme="minorEastAsia" w:eastAsiaTheme="minorEastAsia" w:cstheme="minorEastAsia"/>
          <w:b/>
          <w:color w:val="auto"/>
          <w:sz w:val="24"/>
          <w:szCs w:val="24"/>
        </w:rPr>
        <w:t>二、评标方法</w:t>
      </w:r>
      <w:bookmarkEnd w:id="166"/>
      <w:bookmarkEnd w:id="167"/>
    </w:p>
    <w:p w14:paraId="3DBCD906">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本项目采用综合评分法进行评标。</w:t>
      </w:r>
    </w:p>
    <w:p w14:paraId="1555895B">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综合评分法，是指</w:t>
      </w:r>
      <w:r>
        <w:rPr>
          <w:rFonts w:hint="eastAsia" w:asciiTheme="minorEastAsia" w:hAnsiTheme="minorEastAsia" w:eastAsiaTheme="minorEastAsia" w:cstheme="minorEastAsia"/>
          <w:color w:val="auto"/>
          <w:kern w:val="0"/>
          <w:sz w:val="24"/>
          <w:szCs w:val="24"/>
          <w:lang w:eastAsia="zh-CN"/>
        </w:rPr>
        <w:t>竞选文件</w:t>
      </w:r>
      <w:r>
        <w:rPr>
          <w:rFonts w:hint="eastAsia" w:asciiTheme="minorEastAsia" w:hAnsiTheme="minorEastAsia" w:eastAsiaTheme="minorEastAsia" w:cstheme="minorEastAsia"/>
          <w:color w:val="auto"/>
          <w:kern w:val="0"/>
          <w:sz w:val="24"/>
          <w:szCs w:val="24"/>
        </w:rPr>
        <w:t>满足比选文件全部实质性要求且按照评审因素的量化指标评审得分最高的</w:t>
      </w:r>
      <w:r>
        <w:rPr>
          <w:rFonts w:hint="eastAsia" w:asciiTheme="minorEastAsia" w:hAnsiTheme="minorEastAsia" w:eastAsiaTheme="minorEastAsia" w:cstheme="minorEastAsia"/>
          <w:color w:val="auto"/>
          <w:kern w:val="0"/>
          <w:sz w:val="24"/>
          <w:szCs w:val="24"/>
          <w:lang w:eastAsia="zh-CN"/>
        </w:rPr>
        <w:t>竞选人</w:t>
      </w:r>
      <w:r>
        <w:rPr>
          <w:rFonts w:hint="eastAsia" w:asciiTheme="minorEastAsia" w:hAnsiTheme="minorEastAsia" w:eastAsiaTheme="minorEastAsia" w:cstheme="minorEastAsia"/>
          <w:color w:val="auto"/>
          <w:kern w:val="0"/>
          <w:sz w:val="24"/>
          <w:szCs w:val="24"/>
        </w:rPr>
        <w:t>为</w:t>
      </w:r>
      <w:r>
        <w:rPr>
          <w:rFonts w:hint="eastAsia" w:asciiTheme="minorEastAsia" w:hAnsiTheme="minorEastAsia" w:eastAsiaTheme="minorEastAsia" w:cstheme="minorEastAsia"/>
          <w:color w:val="auto"/>
          <w:kern w:val="0"/>
          <w:sz w:val="24"/>
          <w:szCs w:val="24"/>
          <w:lang w:eastAsia="zh-CN"/>
        </w:rPr>
        <w:t>中选候选人</w:t>
      </w:r>
      <w:r>
        <w:rPr>
          <w:rFonts w:hint="eastAsia" w:asciiTheme="minorEastAsia" w:hAnsiTheme="minorEastAsia" w:eastAsiaTheme="minorEastAsia" w:cstheme="minorEastAsia"/>
          <w:color w:val="auto"/>
          <w:kern w:val="0"/>
          <w:sz w:val="24"/>
          <w:szCs w:val="24"/>
        </w:rPr>
        <w:t>的评标方法。</w:t>
      </w:r>
      <w:r>
        <w:rPr>
          <w:rFonts w:hint="eastAsia" w:asciiTheme="minorEastAsia" w:hAnsiTheme="minorEastAsia" w:eastAsiaTheme="minorEastAsia" w:cstheme="minorEastAsia"/>
          <w:color w:val="auto"/>
          <w:kern w:val="0"/>
          <w:sz w:val="24"/>
          <w:szCs w:val="24"/>
          <w:lang w:eastAsia="zh-CN"/>
        </w:rPr>
        <w:t>竞选人</w:t>
      </w:r>
      <w:r>
        <w:rPr>
          <w:rFonts w:hint="eastAsia" w:asciiTheme="minorEastAsia" w:hAnsiTheme="minorEastAsia" w:eastAsiaTheme="minorEastAsia" w:cstheme="minorEastAsia"/>
          <w:color w:val="auto"/>
          <w:kern w:val="0"/>
          <w:sz w:val="24"/>
          <w:szCs w:val="24"/>
        </w:rPr>
        <w:t>总得分为价格、商务、技术等评定因素分别按照相应权重值计算分项得分后相加，满分为100分。</w:t>
      </w:r>
    </w:p>
    <w:p w14:paraId="0C706998">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）澄清有关问题。对</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中含义不明确、同类问题表述不一致或者有明显文字和计算错误的内容，比选小组可以书面形式（应当由比选小组成员签字）要求</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作出必要澄清、说明或者纠正。</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的澄清、说明或者补正应当采用书面形式，由其法定代表人（或其授权代表）或自然人签字，其澄清的内容不得超出</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的范围或者改变</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的实质性内容。</w:t>
      </w:r>
    </w:p>
    <w:p w14:paraId="7FA1BE53">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）比较与评价。按比选文件中规定的评标方法和标准，对资格审查和符合性审查合格的</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进行商务和技术评估。</w:t>
      </w:r>
    </w:p>
    <w:p w14:paraId="2A50B229">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比选小组各成员独立对每个有效</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（通过资格审查、符合性审查的</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进行评价、打分，然后由比选小组对各成员打分情况进行核查及复核，个别成员对同一</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同一评分项的打分偏离较大的，应对</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竞选文件</w:t>
      </w:r>
      <w:r>
        <w:rPr>
          <w:rFonts w:hint="eastAsia" w:asciiTheme="minorEastAsia" w:hAnsiTheme="minorEastAsia" w:eastAsiaTheme="minorEastAsia" w:cstheme="minorEastAsia"/>
          <w:color w:val="auto"/>
          <w:sz w:val="24"/>
          <w:szCs w:val="24"/>
        </w:rPr>
        <w:t>进行再次核对，确属打分有误的，应及时进行修正。复核后，比选小组汇总每个</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每项评分因素的得分。</w:t>
      </w:r>
    </w:p>
    <w:p w14:paraId="55FBF000">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）推荐</w:t>
      </w:r>
      <w:r>
        <w:rPr>
          <w:rFonts w:hint="eastAsia" w:asciiTheme="minorEastAsia" w:hAnsiTheme="minorEastAsia" w:eastAsiaTheme="minorEastAsia" w:cstheme="minorEastAsia"/>
          <w:color w:val="auto"/>
          <w:sz w:val="24"/>
          <w:szCs w:val="24"/>
          <w:lang w:eastAsia="zh-CN"/>
        </w:rPr>
        <w:t>中选候选人</w:t>
      </w:r>
      <w:r>
        <w:rPr>
          <w:rFonts w:hint="eastAsia" w:asciiTheme="minorEastAsia" w:hAnsiTheme="minorEastAsia" w:eastAsiaTheme="minorEastAsia" w:cstheme="minorEastAsia"/>
          <w:color w:val="auto"/>
          <w:sz w:val="24"/>
          <w:szCs w:val="24"/>
        </w:rPr>
        <w:t>名单。</w:t>
      </w:r>
    </w:p>
    <w:p w14:paraId="058D5FEB">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按评审后得分由高到低的排列顺序推荐综合得分排名前三的</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为本包（项目）</w:t>
      </w:r>
      <w:r>
        <w:rPr>
          <w:rFonts w:hint="eastAsia" w:asciiTheme="minorEastAsia" w:hAnsiTheme="minorEastAsia" w:eastAsiaTheme="minorEastAsia" w:cstheme="minorEastAsia"/>
          <w:color w:val="auto"/>
          <w:sz w:val="24"/>
          <w:szCs w:val="24"/>
          <w:lang w:eastAsia="zh-CN"/>
        </w:rPr>
        <w:t>中选候选人</w:t>
      </w:r>
      <w:r>
        <w:rPr>
          <w:rFonts w:hint="eastAsia" w:asciiTheme="minorEastAsia" w:hAnsiTheme="minorEastAsia" w:eastAsiaTheme="minorEastAsia" w:cstheme="minorEastAsia"/>
          <w:color w:val="auto"/>
          <w:sz w:val="24"/>
          <w:szCs w:val="24"/>
        </w:rPr>
        <w:t>，排名第一的为第一</w:t>
      </w:r>
      <w:r>
        <w:rPr>
          <w:rFonts w:hint="eastAsia" w:asciiTheme="minorEastAsia" w:hAnsiTheme="minorEastAsia" w:eastAsiaTheme="minorEastAsia" w:cstheme="minorEastAsia"/>
          <w:color w:val="auto"/>
          <w:sz w:val="24"/>
          <w:szCs w:val="24"/>
          <w:lang w:eastAsia="zh-CN"/>
        </w:rPr>
        <w:t>中选候选人</w:t>
      </w:r>
      <w:r>
        <w:rPr>
          <w:rFonts w:hint="eastAsia" w:asciiTheme="minorEastAsia" w:hAnsiTheme="minorEastAsia" w:eastAsiaTheme="minorEastAsia" w:cstheme="minorEastAsia"/>
          <w:color w:val="auto"/>
          <w:sz w:val="24"/>
          <w:szCs w:val="24"/>
        </w:rPr>
        <w:t>。得分相同的，按</w:t>
      </w:r>
      <w:r>
        <w:rPr>
          <w:rFonts w:hint="eastAsia" w:asciiTheme="minorEastAsia" w:hAnsiTheme="minorEastAsia" w:eastAsiaTheme="minorEastAsia" w:cstheme="minorEastAsia"/>
          <w:color w:val="auto"/>
          <w:sz w:val="24"/>
          <w:szCs w:val="24"/>
          <w:lang w:eastAsia="zh-CN"/>
        </w:rPr>
        <w:t>比选申请报价</w:t>
      </w:r>
      <w:r>
        <w:rPr>
          <w:rFonts w:hint="eastAsia" w:asciiTheme="minorEastAsia" w:hAnsiTheme="minorEastAsia" w:eastAsiaTheme="minorEastAsia" w:cstheme="minorEastAsia"/>
          <w:color w:val="auto"/>
          <w:sz w:val="24"/>
          <w:szCs w:val="24"/>
        </w:rPr>
        <w:t>由低到高顺序排列。得分且</w:t>
      </w:r>
      <w:r>
        <w:rPr>
          <w:rFonts w:hint="eastAsia" w:asciiTheme="minorEastAsia" w:hAnsiTheme="minorEastAsia" w:eastAsiaTheme="minorEastAsia" w:cstheme="minorEastAsia"/>
          <w:color w:val="auto"/>
          <w:sz w:val="24"/>
          <w:szCs w:val="24"/>
          <w:lang w:eastAsia="zh-CN"/>
        </w:rPr>
        <w:t>比选申请报价</w:t>
      </w:r>
      <w:r>
        <w:rPr>
          <w:rFonts w:hint="eastAsia" w:asciiTheme="minorEastAsia" w:hAnsiTheme="minorEastAsia" w:eastAsiaTheme="minorEastAsia" w:cstheme="minorEastAsia"/>
          <w:color w:val="auto"/>
          <w:sz w:val="24"/>
          <w:szCs w:val="24"/>
        </w:rPr>
        <w:t>相同的并列。</w:t>
      </w:r>
    </w:p>
    <w:p w14:paraId="6073B2E2">
      <w:pPr>
        <w:pStyle w:val="3"/>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88" w:name="_Toc1690"/>
      <w:bookmarkStart w:id="189" w:name="_Toc14206"/>
      <w:bookmarkStart w:id="190" w:name="_Toc267320057"/>
      <w:r>
        <w:rPr>
          <w:rFonts w:hint="eastAsia" w:asciiTheme="minorEastAsia" w:hAnsiTheme="minorEastAsia" w:eastAsiaTheme="minorEastAsia" w:cstheme="minorEastAsia"/>
          <w:b/>
          <w:color w:val="auto"/>
          <w:sz w:val="24"/>
          <w:szCs w:val="24"/>
          <w:highlight w:val="none"/>
        </w:rPr>
        <w:t>三、评标标准</w:t>
      </w:r>
      <w:bookmarkEnd w:id="188"/>
      <w:bookmarkEnd w:id="189"/>
      <w:bookmarkEnd w:id="190"/>
    </w:p>
    <w:p w14:paraId="51471741">
      <w:pPr>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（一）评审因素</w:t>
      </w:r>
    </w:p>
    <w:tbl>
      <w:tblPr>
        <w:tblStyle w:val="23"/>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20"/>
        <w:gridCol w:w="1744"/>
        <w:gridCol w:w="843"/>
        <w:gridCol w:w="4572"/>
        <w:gridCol w:w="1939"/>
      </w:tblGrid>
      <w:tr w14:paraId="4F94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2"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6709AA4">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序号</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B82A8E2">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评分因素及权值</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4443CEE">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分值</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67D8047E">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评分标准</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45085291">
            <w:pPr>
              <w:keepNext w:val="0"/>
              <w:keepLines w:val="0"/>
              <w:pageBreakBefore w:val="0"/>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说明</w:t>
            </w:r>
          </w:p>
        </w:tc>
      </w:tr>
      <w:tr w14:paraId="0E84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37DFCA1">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A911069">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比选</w:t>
            </w:r>
            <w:r>
              <w:rPr>
                <w:rFonts w:hint="eastAsia" w:asciiTheme="minorEastAsia" w:hAnsiTheme="minorEastAsia" w:eastAsiaTheme="minorEastAsia" w:cstheme="minorEastAsia"/>
                <w:color w:val="000000"/>
                <w:sz w:val="21"/>
                <w:szCs w:val="21"/>
                <w:highlight w:val="none"/>
              </w:rPr>
              <w:t>报价（</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5486D7">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281D0EDE">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满足采购文件资格性、符合性要求且</w:t>
            </w:r>
            <w:r>
              <w:rPr>
                <w:rFonts w:hint="eastAsia" w:asciiTheme="minorEastAsia" w:hAnsiTheme="minorEastAsia" w:eastAsiaTheme="minorEastAsia" w:cstheme="minorEastAsia"/>
                <w:color w:val="000000"/>
                <w:sz w:val="21"/>
                <w:szCs w:val="21"/>
                <w:highlight w:val="none"/>
              </w:rPr>
              <w:t>报价中的最低</w:t>
            </w:r>
            <w:r>
              <w:rPr>
                <w:rFonts w:hint="eastAsia" w:asciiTheme="minorEastAsia" w:hAnsiTheme="minorEastAsia" w:eastAsiaTheme="minorEastAsia" w:cstheme="minorEastAsia"/>
                <w:color w:val="000000"/>
                <w:sz w:val="21"/>
                <w:szCs w:val="21"/>
                <w:highlight w:val="none"/>
                <w:lang w:val="en-US" w:eastAsia="zh-CN"/>
              </w:rPr>
              <w:t>折扣率</w:t>
            </w:r>
            <w:r>
              <w:rPr>
                <w:rFonts w:hint="eastAsia" w:asciiTheme="minorEastAsia" w:hAnsiTheme="minorEastAsia" w:eastAsiaTheme="minorEastAsia" w:cstheme="minorEastAsia"/>
                <w:color w:val="000000"/>
                <w:sz w:val="21"/>
                <w:szCs w:val="21"/>
                <w:highlight w:val="none"/>
              </w:rPr>
              <w:t>为评标基准价，按照下列公式计算每个投标人的投标价格得分：投标报价得分＝（评标基准价/投标报价）×</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（四舍五入，保留两位小数）</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314830F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有效报价为加权平均折扣率，即分包1折扣率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35%+分包2折扣率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60%+分包3折扣率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p>
        </w:tc>
      </w:tr>
      <w:tr w14:paraId="30CB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942" w:hRule="atLeast"/>
          <w:jc w:val="center"/>
        </w:trPr>
        <w:tc>
          <w:tcPr>
            <w:tcW w:w="720" w:type="dxa"/>
            <w:tcBorders>
              <w:top w:val="nil"/>
              <w:left w:val="single" w:color="auto" w:sz="4" w:space="0"/>
              <w:right w:val="single" w:color="auto" w:sz="4" w:space="0"/>
            </w:tcBorders>
            <w:noWrap w:val="0"/>
            <w:vAlign w:val="center"/>
          </w:tcPr>
          <w:p w14:paraId="198EF1E7">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744" w:type="dxa"/>
            <w:tcBorders>
              <w:top w:val="nil"/>
              <w:left w:val="single" w:color="auto" w:sz="4" w:space="0"/>
              <w:right w:val="single" w:color="auto" w:sz="4" w:space="0"/>
            </w:tcBorders>
            <w:noWrap w:val="0"/>
            <w:vAlign w:val="center"/>
          </w:tcPr>
          <w:p w14:paraId="152BDE96">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技术部分</w:t>
            </w:r>
          </w:p>
          <w:p w14:paraId="699E3919">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w:t>
            </w:r>
          </w:p>
        </w:tc>
        <w:tc>
          <w:tcPr>
            <w:tcW w:w="843" w:type="dxa"/>
            <w:tcBorders>
              <w:top w:val="single" w:color="auto" w:sz="4" w:space="0"/>
              <w:left w:val="single" w:color="auto" w:sz="4" w:space="0"/>
              <w:right w:val="single" w:color="auto" w:sz="4" w:space="0"/>
            </w:tcBorders>
            <w:noWrap w:val="0"/>
            <w:vAlign w:val="center"/>
          </w:tcPr>
          <w:p w14:paraId="3FD4E5BD">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p>
          <w:p w14:paraId="5E8DD830">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服务方案</w:t>
            </w:r>
          </w:p>
          <w:p w14:paraId="3B7E58D6">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21E285C5">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strike/>
                <w:dstrike w:val="0"/>
                <w:color w:val="000000"/>
                <w:sz w:val="21"/>
                <w:szCs w:val="21"/>
                <w:highlight w:val="none"/>
                <w:lang w:eastAsia="zh-CN"/>
              </w:rPr>
            </w:pPr>
            <w:r>
              <w:rPr>
                <w:rFonts w:hint="eastAsia" w:asciiTheme="minorEastAsia" w:hAnsiTheme="minorEastAsia" w:eastAsiaTheme="minorEastAsia" w:cstheme="minorEastAsia"/>
                <w:b w:val="0"/>
                <w:bCs/>
                <w:color w:val="000000"/>
                <w:sz w:val="21"/>
                <w:szCs w:val="21"/>
                <w:highlight w:val="none"/>
              </w:rPr>
              <w:t>供应商针对本项目提供服务方案。</w:t>
            </w:r>
            <w:r>
              <w:rPr>
                <w:rFonts w:hint="eastAsia" w:asciiTheme="minorEastAsia" w:hAnsiTheme="minorEastAsia" w:eastAsiaTheme="minorEastAsia" w:cstheme="minorEastAsia"/>
                <w:b/>
                <w:bCs w:val="0"/>
                <w:color w:val="000000"/>
                <w:sz w:val="21"/>
                <w:szCs w:val="21"/>
                <w:highlight w:val="none"/>
              </w:rPr>
              <w:t>包括但不限于以下内容：</w:t>
            </w:r>
          </w:p>
          <w:p w14:paraId="590BC97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b/>
                <w:bCs/>
                <w:color w:val="000000"/>
                <w:sz w:val="21"/>
                <w:szCs w:val="21"/>
                <w:highlight w:val="none"/>
                <w:lang w:val="en-US" w:eastAsia="zh-CN"/>
              </w:rPr>
              <w:t>1.</w:t>
            </w:r>
            <w:r>
              <w:rPr>
                <w:rFonts w:hint="eastAsia" w:asciiTheme="minorEastAsia" w:hAnsiTheme="minorEastAsia" w:eastAsiaTheme="minorEastAsia" w:cstheme="minorEastAsia"/>
                <w:b/>
                <w:bCs/>
                <w:color w:val="000000"/>
                <w:sz w:val="21"/>
                <w:szCs w:val="21"/>
                <w:highlight w:val="none"/>
                <w:lang w:eastAsia="zh-CN"/>
              </w:rPr>
              <w:t>整体服务流程 （</w:t>
            </w:r>
            <w:r>
              <w:rPr>
                <w:rFonts w:hint="eastAsia" w:asciiTheme="minorEastAsia" w:hAnsiTheme="minorEastAsia" w:eastAsiaTheme="minorEastAsia" w:cstheme="minorEastAsia"/>
                <w:b/>
                <w:bCs/>
                <w:color w:val="000000"/>
                <w:sz w:val="21"/>
                <w:szCs w:val="21"/>
                <w:highlight w:val="none"/>
                <w:lang w:val="en-US" w:eastAsia="zh-CN"/>
              </w:rPr>
              <w:t>5</w:t>
            </w:r>
            <w:r>
              <w:rPr>
                <w:rFonts w:hint="eastAsia" w:asciiTheme="minorEastAsia" w:hAnsiTheme="minorEastAsia" w:eastAsiaTheme="minorEastAsia" w:cstheme="minorEastAsia"/>
                <w:b/>
                <w:bCs/>
                <w:color w:val="000000"/>
                <w:sz w:val="21"/>
                <w:szCs w:val="21"/>
                <w:highlight w:val="none"/>
                <w:lang w:eastAsia="zh-CN"/>
              </w:rPr>
              <w:t>分）</w:t>
            </w:r>
          </w:p>
          <w:p w14:paraId="256DCB82">
            <w:pPr>
              <w:keepNext w:val="0"/>
              <w:keepLines w:val="0"/>
              <w:pageBreakBefore w:val="0"/>
              <w:kinsoku/>
              <w:wordWrap/>
              <w:overflowPunct/>
              <w:topLinePunct w:val="0"/>
              <w:autoSpaceDE/>
              <w:autoSpaceDN/>
              <w:bidi w:val="0"/>
              <w:adjustRightInd/>
              <w:snapToGrid w:val="0"/>
              <w:spacing w:line="300" w:lineRule="exact"/>
              <w:ind w:left="0" w:firstLine="420" w:firstLineChars="20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方案</w:t>
            </w:r>
            <w:r>
              <w:rPr>
                <w:rFonts w:hint="eastAsia" w:asciiTheme="minorEastAsia" w:hAnsiTheme="minorEastAsia" w:eastAsiaTheme="minorEastAsia" w:cstheme="minorEastAsia"/>
                <w:color w:val="000000"/>
                <w:sz w:val="21"/>
                <w:szCs w:val="21"/>
                <w:highlight w:val="none"/>
                <w:lang w:eastAsia="zh-CN"/>
              </w:rPr>
              <w:t>覆盖“标本采集-收取-运输-检测-报告-售后”全链条，流程逻辑清晰、责任主体明确。</w:t>
            </w:r>
          </w:p>
          <w:p w14:paraId="3A8BBFBD">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0F232E6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42E29134">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60A8F5A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42CFE30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p>
          <w:p w14:paraId="7F07462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2.标本接收方案（ 5分）</w:t>
            </w:r>
          </w:p>
          <w:p w14:paraId="0B7EF40A">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涵盖标本采集、标本收取、标本运输，由专业冷链团队负责标本运输，具备标准化SOP及质量控制措施、流程可追溯；</w:t>
            </w:r>
          </w:p>
          <w:p w14:paraId="21441E8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0CB560DD">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11AE6F67">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6D491B14">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7CD06CDE">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3F9F4D97">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3.检测工作流程（ 5分</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b/>
                <w:bCs/>
                <w:color w:val="000000"/>
                <w:sz w:val="21"/>
                <w:szCs w:val="21"/>
                <w:highlight w:val="none"/>
                <w:lang w:val="en-US" w:eastAsia="zh-CN"/>
              </w:rPr>
              <w:t>）</w:t>
            </w:r>
          </w:p>
          <w:p w14:paraId="61EF9B2B">
            <w:pPr>
              <w:keepNext w:val="0"/>
              <w:keepLines w:val="0"/>
              <w:pageBreakBefore w:val="0"/>
              <w:kinsoku/>
              <w:wordWrap/>
              <w:overflowPunct/>
              <w:topLinePunct w:val="0"/>
              <w:autoSpaceDE/>
              <w:autoSpaceDN/>
              <w:bidi w:val="0"/>
              <w:adjustRightInd/>
              <w:snapToGrid w:val="0"/>
              <w:spacing w:line="300" w:lineRule="exact"/>
              <w:ind w:left="0" w:firstLine="420" w:firstLineChars="2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检测SOP完整，覆盖全流程；明确室内、室间质控计划。</w:t>
            </w:r>
          </w:p>
          <w:p w14:paraId="27F320C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68A1C676">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13A34331">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434ABF7D">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563F76B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4E49477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b/>
                <w:bCs w:val="0"/>
                <w:color w:val="000000"/>
                <w:sz w:val="21"/>
                <w:szCs w:val="21"/>
                <w:highlight w:val="none"/>
              </w:rPr>
              <w:t>发送检测结果报告方法</w:t>
            </w:r>
            <w:r>
              <w:rPr>
                <w:rFonts w:hint="eastAsia" w:asciiTheme="minorEastAsia" w:hAnsiTheme="minorEastAsia" w:eastAsiaTheme="minorEastAsia" w:cstheme="minorEastAsia"/>
                <w:b/>
                <w:bCs w:val="0"/>
                <w:color w:val="000000"/>
                <w:sz w:val="21"/>
                <w:szCs w:val="21"/>
                <w:highlight w:val="none"/>
                <w:lang w:eastAsia="zh-CN"/>
              </w:rPr>
              <w:t>（</w:t>
            </w:r>
            <w:r>
              <w:rPr>
                <w:rFonts w:hint="eastAsia" w:asciiTheme="minorEastAsia" w:hAnsiTheme="minorEastAsia" w:eastAsiaTheme="minorEastAsia" w:cstheme="minorEastAsia"/>
                <w:b/>
                <w:bCs w:val="0"/>
                <w:color w:val="000000"/>
                <w:sz w:val="21"/>
                <w:szCs w:val="21"/>
                <w:highlight w:val="none"/>
                <w:lang w:val="en-US" w:eastAsia="zh-CN"/>
              </w:rPr>
              <w:t>2分</w:t>
            </w:r>
            <w:r>
              <w:rPr>
                <w:rFonts w:hint="eastAsia" w:asciiTheme="minorEastAsia" w:hAnsiTheme="minorEastAsia" w:eastAsiaTheme="minorEastAsia" w:cstheme="minorEastAsia"/>
                <w:b/>
                <w:bCs w:val="0"/>
                <w:color w:val="000000"/>
                <w:sz w:val="21"/>
                <w:szCs w:val="21"/>
                <w:highlight w:val="none"/>
                <w:lang w:eastAsia="zh-CN"/>
              </w:rPr>
              <w:t>）</w:t>
            </w:r>
          </w:p>
          <w:p w14:paraId="76357630">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报告发送方式多元（电子+纸质）且可追溯；</w:t>
            </w:r>
          </w:p>
          <w:p w14:paraId="3129AB6C">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分； </w:t>
            </w:r>
          </w:p>
          <w:p w14:paraId="1E792A0B">
            <w:pPr>
              <w:pageBreakBefore w:val="0"/>
              <w:kinsoku/>
              <w:overflowPunct/>
              <w:topLinePunct w:val="0"/>
              <w:autoSpaceDE/>
              <w:autoSpaceDN/>
              <w:bidi w:val="0"/>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方案内容存在1处瑕疵的得0分。</w:t>
            </w:r>
          </w:p>
          <w:p w14:paraId="0EB6C31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015FFD8A">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b/>
                <w:bCs w:val="0"/>
                <w:color w:val="000000"/>
                <w:sz w:val="21"/>
                <w:szCs w:val="21"/>
                <w:highlight w:val="none"/>
              </w:rPr>
              <w:t>出报告时间</w:t>
            </w:r>
            <w:r>
              <w:rPr>
                <w:rFonts w:hint="eastAsia" w:asciiTheme="minorEastAsia" w:hAnsiTheme="minorEastAsia" w:eastAsiaTheme="minorEastAsia" w:cstheme="minorEastAsia"/>
                <w:b/>
                <w:bCs w:val="0"/>
                <w:color w:val="000000"/>
                <w:sz w:val="21"/>
                <w:szCs w:val="21"/>
                <w:highlight w:val="none"/>
                <w:lang w:eastAsia="zh-CN"/>
              </w:rPr>
              <w:t>（</w:t>
            </w:r>
            <w:r>
              <w:rPr>
                <w:rFonts w:hint="eastAsia" w:asciiTheme="minorEastAsia" w:hAnsiTheme="minorEastAsia" w:eastAsiaTheme="minorEastAsia" w:cstheme="minorEastAsia"/>
                <w:b/>
                <w:bCs w:val="0"/>
                <w:color w:val="000000"/>
                <w:sz w:val="21"/>
                <w:szCs w:val="21"/>
                <w:highlight w:val="none"/>
                <w:lang w:val="en-US" w:eastAsia="zh-CN"/>
              </w:rPr>
              <w:t>3分</w:t>
            </w:r>
            <w:r>
              <w:rPr>
                <w:rFonts w:hint="eastAsia" w:asciiTheme="minorEastAsia" w:hAnsiTheme="minorEastAsia" w:eastAsiaTheme="minorEastAsia" w:cstheme="minorEastAsia"/>
                <w:b/>
                <w:bCs w:val="0"/>
                <w:color w:val="000000"/>
                <w:sz w:val="21"/>
                <w:szCs w:val="21"/>
                <w:highlight w:val="none"/>
                <w:lang w:eastAsia="zh-CN"/>
              </w:rPr>
              <w:t>）</w:t>
            </w:r>
          </w:p>
          <w:p w14:paraId="76840694">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明确各项目出报告时间：常规≤项目需求出具报告时间。</w:t>
            </w:r>
          </w:p>
          <w:p w14:paraId="57ABDCF7">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方案内容存在1处瑕疵的得0分。</w:t>
            </w:r>
          </w:p>
          <w:p w14:paraId="573B71DA">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auto"/>
                <w:sz w:val="21"/>
                <w:szCs w:val="21"/>
                <w:lang w:val="en-US" w:eastAsia="zh-CN"/>
              </w:rPr>
            </w:pPr>
          </w:p>
          <w:p w14:paraId="36671C3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6.服务质量保证与保障措施 （5分 ）</w:t>
            </w:r>
          </w:p>
          <w:p w14:paraId="66CC3840">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制定完善的服务质量考核体系（如满意度调查），明确标本损坏、丢失赔偿机制、报告错误整改流程；</w:t>
            </w:r>
          </w:p>
          <w:p w14:paraId="6CE33AAE">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4A749D0F">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6B304196">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11D64FBE">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p w14:paraId="1401CE6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538CE71F">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b/>
                <w:bCs w:val="0"/>
                <w:color w:val="000000"/>
                <w:sz w:val="21"/>
                <w:szCs w:val="21"/>
                <w:highlight w:val="none"/>
              </w:rPr>
              <w:t>提供特急标本优先加急特事特办服务</w:t>
            </w:r>
            <w:r>
              <w:rPr>
                <w:rFonts w:hint="eastAsia" w:asciiTheme="minorEastAsia" w:hAnsiTheme="minorEastAsia" w:eastAsiaTheme="minorEastAsia" w:cstheme="minorEastAsia"/>
                <w:b/>
                <w:bCs w:val="0"/>
                <w:color w:val="000000"/>
                <w:sz w:val="21"/>
                <w:szCs w:val="21"/>
                <w:highlight w:val="none"/>
                <w:lang w:eastAsia="zh-CN"/>
              </w:rPr>
              <w:t>及</w:t>
            </w:r>
            <w:r>
              <w:rPr>
                <w:rFonts w:hint="eastAsia" w:asciiTheme="minorEastAsia" w:hAnsiTheme="minorEastAsia" w:eastAsiaTheme="minorEastAsia" w:cstheme="minorEastAsia"/>
                <w:b/>
                <w:bCs w:val="0"/>
                <w:color w:val="000000"/>
                <w:sz w:val="21"/>
                <w:szCs w:val="21"/>
                <w:highlight w:val="none"/>
              </w:rPr>
              <w:t>增值服务</w:t>
            </w:r>
            <w:r>
              <w:rPr>
                <w:rFonts w:hint="eastAsia" w:asciiTheme="minorEastAsia" w:hAnsiTheme="minorEastAsia" w:eastAsiaTheme="minorEastAsia" w:cstheme="minorEastAsia"/>
                <w:b/>
                <w:bCs w:val="0"/>
                <w:color w:val="000000"/>
                <w:sz w:val="21"/>
                <w:szCs w:val="21"/>
                <w:highlight w:val="none"/>
                <w:lang w:eastAsia="zh-CN"/>
              </w:rPr>
              <w:t>（</w:t>
            </w:r>
            <w:r>
              <w:rPr>
                <w:rFonts w:hint="eastAsia" w:asciiTheme="minorEastAsia" w:hAnsiTheme="minorEastAsia" w:eastAsiaTheme="minorEastAsia" w:cstheme="minorEastAsia"/>
                <w:b/>
                <w:bCs w:val="0"/>
                <w:color w:val="000000"/>
                <w:sz w:val="21"/>
                <w:szCs w:val="21"/>
                <w:highlight w:val="none"/>
                <w:lang w:val="en-US" w:eastAsia="zh-CN"/>
              </w:rPr>
              <w:t>5分</w:t>
            </w:r>
            <w:r>
              <w:rPr>
                <w:rFonts w:hint="eastAsia" w:asciiTheme="minorEastAsia" w:hAnsiTheme="minorEastAsia" w:eastAsiaTheme="minorEastAsia" w:cstheme="minorEastAsia"/>
                <w:b/>
                <w:bCs w:val="0"/>
                <w:color w:val="000000"/>
                <w:sz w:val="21"/>
                <w:szCs w:val="21"/>
                <w:highlight w:val="none"/>
                <w:lang w:eastAsia="zh-CN"/>
              </w:rPr>
              <w:t>）</w:t>
            </w:r>
          </w:p>
          <w:p w14:paraId="646522D3">
            <w:pPr>
              <w:keepNext w:val="0"/>
              <w:keepLines w:val="0"/>
              <w:pageBreakBefore w:val="0"/>
              <w:kinsoku/>
              <w:wordWrap/>
              <w:overflowPunct/>
              <w:topLinePunct w:val="0"/>
              <w:autoSpaceDE/>
              <w:autoSpaceDN/>
              <w:bidi w:val="0"/>
              <w:adjustRightInd/>
              <w:snapToGrid w:val="0"/>
              <w:spacing w:line="300" w:lineRule="exact"/>
              <w:ind w:left="0" w:firstLine="210" w:firstLineChars="10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a.特急标本加急特事特办服务流程清晰；b.提供标本状态查询、检测结果解读等增值服务；</w:t>
            </w:r>
          </w:p>
          <w:p w14:paraId="6412A308">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方案内容不存在瑕疵的得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分； </w:t>
            </w:r>
          </w:p>
          <w:p w14:paraId="5C35A44A">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分； </w:t>
            </w:r>
          </w:p>
          <w:p w14:paraId="6527945E">
            <w:pPr>
              <w:pageBreakBefore w:val="0"/>
              <w:kinsoku/>
              <w:overflowPunct/>
              <w:topLinePunct w:val="0"/>
              <w:autoSpaceDE/>
              <w:autoSpaceDN/>
              <w:bidi w:val="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方案内容存在2处以上瑕疵的得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分； </w:t>
            </w:r>
          </w:p>
          <w:p w14:paraId="60BB673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auto"/>
                <w:sz w:val="21"/>
                <w:szCs w:val="21"/>
              </w:rPr>
              <w:t>未提供得0分。</w:t>
            </w:r>
          </w:p>
        </w:tc>
        <w:tc>
          <w:tcPr>
            <w:tcW w:w="1939" w:type="dxa"/>
            <w:tcBorders>
              <w:top w:val="single" w:color="auto" w:sz="4" w:space="0"/>
              <w:left w:val="single" w:color="auto" w:sz="4" w:space="0"/>
              <w:right w:val="single" w:color="auto" w:sz="4" w:space="0"/>
            </w:tcBorders>
            <w:noWrap w:val="0"/>
            <w:vAlign w:val="center"/>
          </w:tcPr>
          <w:p w14:paraId="7357D529">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auto"/>
                <w:sz w:val="21"/>
                <w:szCs w:val="21"/>
                <w:lang w:val="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673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20" w:type="dxa"/>
            <w:vMerge w:val="restart"/>
            <w:tcBorders>
              <w:left w:val="single" w:color="auto" w:sz="4" w:space="0"/>
              <w:right w:val="single" w:color="auto" w:sz="4" w:space="0"/>
            </w:tcBorders>
            <w:noWrap w:val="0"/>
            <w:vAlign w:val="center"/>
          </w:tcPr>
          <w:p w14:paraId="7A4A0701">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744" w:type="dxa"/>
            <w:vMerge w:val="restart"/>
            <w:tcBorders>
              <w:left w:val="single" w:color="auto" w:sz="4" w:space="0"/>
              <w:right w:val="single" w:color="auto" w:sz="4" w:space="0"/>
            </w:tcBorders>
            <w:noWrap w:val="0"/>
            <w:vAlign w:val="center"/>
          </w:tcPr>
          <w:p w14:paraId="7EE2B923">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商务部分（</w:t>
            </w:r>
            <w:r>
              <w:rPr>
                <w:rFonts w:hint="eastAsia" w:asciiTheme="minorEastAsia" w:hAnsiTheme="minorEastAsia" w:eastAsiaTheme="minorEastAsia" w:cstheme="minorEastAsia"/>
                <w:color w:val="000000"/>
                <w:sz w:val="21"/>
                <w:szCs w:val="21"/>
                <w:highlight w:val="none"/>
                <w:lang w:val="en-US" w:eastAsia="zh-CN"/>
              </w:rPr>
              <w:t>40</w:t>
            </w:r>
            <w:r>
              <w:rPr>
                <w:rFonts w:hint="eastAsia" w:asciiTheme="minorEastAsia" w:hAnsiTheme="minorEastAsia" w:eastAsiaTheme="minorEastAsia" w:cstheme="minorEastAsia"/>
                <w:color w:val="000000"/>
                <w:sz w:val="21"/>
                <w:szCs w:val="21"/>
                <w:highlight w:val="none"/>
              </w:rPr>
              <w:t>%）</w:t>
            </w:r>
          </w:p>
        </w:tc>
        <w:tc>
          <w:tcPr>
            <w:tcW w:w="843" w:type="dxa"/>
            <w:tcBorders>
              <w:left w:val="single" w:color="auto" w:sz="4" w:space="0"/>
              <w:right w:val="single" w:color="auto" w:sz="4" w:space="0"/>
            </w:tcBorders>
            <w:noWrap w:val="0"/>
            <w:vAlign w:val="center"/>
          </w:tcPr>
          <w:p w14:paraId="235D9A72">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基本条件（</w:t>
            </w:r>
            <w:r>
              <w:rPr>
                <w:rFonts w:hint="eastAsia" w:asciiTheme="minorEastAsia" w:hAnsiTheme="minorEastAsia" w:eastAsiaTheme="minorEastAsia" w:cstheme="minorEastAsia"/>
                <w:color w:val="000000"/>
                <w:sz w:val="21"/>
                <w:szCs w:val="21"/>
                <w:highlight w:val="none"/>
                <w:lang w:val="en-US" w:eastAsia="zh-CN"/>
              </w:rPr>
              <w:t>20</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657C345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1.供应商通过ISO9001质量管理体系认证、ISO45001职业健康安全管理认证、ISO27001信息安全管理体系、IS014001环境管理体系认证及获得相应证书，每提供一个证件且在有效期内得2分，</w:t>
            </w:r>
            <w:r>
              <w:rPr>
                <w:rFonts w:hint="eastAsia" w:asciiTheme="minorEastAsia" w:hAnsiTheme="minorEastAsia" w:eastAsiaTheme="minorEastAsia" w:cstheme="minorEastAsia"/>
                <w:color w:val="auto"/>
                <w:sz w:val="21"/>
                <w:szCs w:val="21"/>
                <w:highlight w:val="none"/>
                <w:lang w:val="en-US" w:eastAsia="zh-CN"/>
              </w:rPr>
              <w:t>最多得8分（</w:t>
            </w:r>
            <w:r>
              <w:rPr>
                <w:rFonts w:hint="eastAsia" w:asciiTheme="minorEastAsia" w:hAnsiTheme="minorEastAsia" w:eastAsiaTheme="minorEastAsia" w:cstheme="minorEastAsia"/>
                <w:color w:val="000000"/>
                <w:sz w:val="21"/>
                <w:szCs w:val="21"/>
                <w:highlight w:val="none"/>
                <w:lang w:val="en-US" w:eastAsia="zh-CN"/>
              </w:rPr>
              <w:t>证书名称应与投标人名称一致，否则不得分），未提供不得分。</w:t>
            </w:r>
          </w:p>
          <w:p w14:paraId="17D9E254">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rPr>
              <w:t>2</w:t>
            </w:r>
            <w:r>
              <w:rPr>
                <w:rFonts w:hint="eastAsia" w:asciiTheme="minorEastAsia" w:hAnsiTheme="minorEastAsia" w:eastAsiaTheme="minorEastAsia" w:cstheme="minorEastAsia"/>
                <w:b/>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供应商有独立医学实验室通过中国合格评定国家认可委员会颁发的符合ISO15189标准的实验室认可证书（病理类），</w:t>
            </w:r>
            <w:r>
              <w:rPr>
                <w:rFonts w:hint="eastAsia" w:asciiTheme="minorEastAsia" w:hAnsiTheme="minorEastAsia" w:eastAsiaTheme="minorEastAsia" w:cstheme="minorEastAsia"/>
                <w:color w:val="000000"/>
                <w:sz w:val="21"/>
                <w:szCs w:val="21"/>
                <w:highlight w:val="none"/>
                <w:lang w:eastAsia="zh-CN"/>
              </w:rPr>
              <w:t>提供</w:t>
            </w:r>
            <w:r>
              <w:rPr>
                <w:rFonts w:hint="eastAsia" w:asciiTheme="minorEastAsia" w:hAnsiTheme="minorEastAsia" w:eastAsiaTheme="minorEastAsia" w:cstheme="minorEastAsia"/>
                <w:color w:val="000000"/>
                <w:sz w:val="21"/>
                <w:szCs w:val="21"/>
                <w:highlight w:val="none"/>
              </w:rPr>
              <w:t>得</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r>
              <w:rPr>
                <w:rFonts w:hint="eastAsia" w:asciiTheme="minorEastAsia" w:hAnsiTheme="minorEastAsia" w:eastAsiaTheme="minorEastAsia" w:cstheme="minorEastAsia"/>
                <w:color w:val="000000"/>
                <w:sz w:val="21"/>
                <w:szCs w:val="21"/>
                <w:highlight w:val="none"/>
                <w:lang w:eastAsia="zh-CN"/>
              </w:rPr>
              <w:t>未提供不得分。</w:t>
            </w:r>
          </w:p>
          <w:p w14:paraId="5B72068D">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rPr>
              <w:t>3</w:t>
            </w:r>
            <w:r>
              <w:rPr>
                <w:rFonts w:hint="eastAsia" w:asciiTheme="minorEastAsia" w:hAnsiTheme="minorEastAsia" w:eastAsiaTheme="minorEastAsia" w:cstheme="minorEastAsia"/>
                <w:b/>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供应商符合GB/T42186-2022《医学检验生物样本冷链物流运作规范》国家标准，并取得《医学检验生物样本冷链物流运作规范》国家标准达标证书。</w:t>
            </w:r>
            <w:r>
              <w:rPr>
                <w:rFonts w:hint="eastAsia" w:asciiTheme="minorEastAsia" w:hAnsiTheme="minorEastAsia" w:eastAsiaTheme="minorEastAsia" w:cstheme="minorEastAsia"/>
                <w:color w:val="000000"/>
                <w:sz w:val="21"/>
                <w:szCs w:val="21"/>
                <w:highlight w:val="none"/>
                <w:lang w:eastAsia="zh-CN"/>
              </w:rPr>
              <w:t>提供</w:t>
            </w:r>
            <w:r>
              <w:rPr>
                <w:rFonts w:hint="eastAsia" w:asciiTheme="minorEastAsia" w:hAnsiTheme="minorEastAsia" w:eastAsiaTheme="minorEastAsia" w:cstheme="minorEastAsia"/>
                <w:color w:val="000000"/>
                <w:sz w:val="21"/>
                <w:szCs w:val="21"/>
                <w:highlight w:val="none"/>
              </w:rPr>
              <w:t>得</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分，</w:t>
            </w:r>
            <w:r>
              <w:rPr>
                <w:rFonts w:hint="eastAsia" w:asciiTheme="minorEastAsia" w:hAnsiTheme="minorEastAsia" w:eastAsiaTheme="minorEastAsia" w:cstheme="minorEastAsia"/>
                <w:color w:val="000000"/>
                <w:sz w:val="21"/>
                <w:szCs w:val="21"/>
                <w:highlight w:val="none"/>
                <w:lang w:eastAsia="zh-CN"/>
              </w:rPr>
              <w:t>未提供不得分。</w:t>
            </w:r>
          </w:p>
          <w:p w14:paraId="067CAB78">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kern w:val="2"/>
                <w:sz w:val="21"/>
                <w:szCs w:val="21"/>
                <w:highlight w:val="none"/>
                <w:lang w:val="en-US" w:eastAsia="zh-CN" w:bidi="ar-SA"/>
              </w:rPr>
              <w:t>供应商具备2025年国家病理质控中心颁发的病理室间质评证书，提供得5分，不提供不得分</w:t>
            </w:r>
            <w:r>
              <w:rPr>
                <w:rFonts w:hint="eastAsia" w:asciiTheme="minorEastAsia" w:hAnsiTheme="minorEastAsia" w:eastAsiaTheme="minorEastAsia" w:cstheme="minorEastAsia"/>
                <w:color w:val="000000"/>
                <w:sz w:val="21"/>
                <w:szCs w:val="21"/>
                <w:highlight w:val="none"/>
                <w:lang w:val="en-US" w:eastAsia="zh-CN"/>
              </w:rPr>
              <w:t>。</w:t>
            </w:r>
          </w:p>
        </w:tc>
        <w:tc>
          <w:tcPr>
            <w:tcW w:w="1939" w:type="dxa"/>
            <w:tcBorders>
              <w:left w:val="single" w:color="auto" w:sz="4" w:space="0"/>
              <w:right w:val="single" w:color="auto" w:sz="4" w:space="0"/>
            </w:tcBorders>
            <w:noWrap w:val="0"/>
            <w:vAlign w:val="center"/>
          </w:tcPr>
          <w:p w14:paraId="178C2B5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提供相应证书复印件</w:t>
            </w:r>
            <w:r>
              <w:rPr>
                <w:rFonts w:hint="eastAsia" w:asciiTheme="minorEastAsia" w:hAnsiTheme="minorEastAsia" w:eastAsiaTheme="minorEastAsia" w:cstheme="minorEastAsia"/>
                <w:color w:val="000000"/>
                <w:sz w:val="21"/>
                <w:szCs w:val="21"/>
                <w:highlight w:val="none"/>
                <w:lang w:eastAsia="zh-CN"/>
              </w:rPr>
              <w:t>并加盖公章，原件备查。</w:t>
            </w:r>
          </w:p>
        </w:tc>
      </w:tr>
      <w:tr w14:paraId="3BDE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20" w:type="dxa"/>
            <w:vMerge w:val="continue"/>
            <w:tcBorders>
              <w:left w:val="single" w:color="auto" w:sz="4" w:space="0"/>
              <w:right w:val="single" w:color="auto" w:sz="4" w:space="0"/>
            </w:tcBorders>
            <w:noWrap w:val="0"/>
            <w:vAlign w:val="center"/>
          </w:tcPr>
          <w:p w14:paraId="23830922">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1744" w:type="dxa"/>
            <w:vMerge w:val="continue"/>
            <w:tcBorders>
              <w:left w:val="single" w:color="auto" w:sz="4" w:space="0"/>
              <w:right w:val="single" w:color="auto" w:sz="4" w:space="0"/>
            </w:tcBorders>
            <w:noWrap w:val="0"/>
            <w:vAlign w:val="center"/>
          </w:tcPr>
          <w:p w14:paraId="7C8B8751">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843" w:type="dxa"/>
            <w:tcBorders>
              <w:left w:val="single" w:color="auto" w:sz="4" w:space="0"/>
              <w:right w:val="single" w:color="auto" w:sz="4" w:space="0"/>
            </w:tcBorders>
            <w:noWrap w:val="0"/>
            <w:vAlign w:val="center"/>
          </w:tcPr>
          <w:p w14:paraId="1E88CFD1">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业绩（</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76A16F9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年1月1日至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竞标截止时间</w:t>
            </w:r>
            <w:r>
              <w:rPr>
                <w:rFonts w:hint="eastAsia" w:asciiTheme="minorEastAsia" w:hAnsiTheme="minorEastAsia" w:eastAsiaTheme="minorEastAsia" w:cstheme="minorEastAsia"/>
                <w:color w:val="000000"/>
                <w:sz w:val="21"/>
                <w:szCs w:val="21"/>
                <w:highlight w:val="none"/>
              </w:rPr>
              <w:t>（以合同/合作协议签订时间为准），供应商每具有1个类似外检服务业绩的得</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分，最多不超过</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分。</w:t>
            </w:r>
          </w:p>
        </w:tc>
        <w:tc>
          <w:tcPr>
            <w:tcW w:w="1939" w:type="dxa"/>
            <w:tcBorders>
              <w:left w:val="single" w:color="auto" w:sz="4" w:space="0"/>
              <w:right w:val="single" w:color="auto" w:sz="4" w:space="0"/>
            </w:tcBorders>
            <w:noWrap w:val="0"/>
            <w:vAlign w:val="center"/>
          </w:tcPr>
          <w:p w14:paraId="10787EAB">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提供相应合同或合作协议复印件</w:t>
            </w:r>
            <w:r>
              <w:rPr>
                <w:rFonts w:hint="eastAsia" w:asciiTheme="minorEastAsia" w:hAnsiTheme="minorEastAsia" w:eastAsiaTheme="minorEastAsia" w:cstheme="minorEastAsia"/>
                <w:color w:val="000000"/>
                <w:sz w:val="21"/>
                <w:szCs w:val="21"/>
                <w:highlight w:val="none"/>
                <w:lang w:eastAsia="zh-CN"/>
              </w:rPr>
              <w:t>并加盖公章。</w:t>
            </w:r>
          </w:p>
        </w:tc>
      </w:tr>
      <w:tr w14:paraId="47E5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55" w:hRule="atLeast"/>
          <w:jc w:val="center"/>
        </w:trPr>
        <w:tc>
          <w:tcPr>
            <w:tcW w:w="720" w:type="dxa"/>
            <w:vMerge w:val="continue"/>
            <w:tcBorders>
              <w:left w:val="single" w:color="auto" w:sz="4" w:space="0"/>
              <w:right w:val="single" w:color="auto" w:sz="4" w:space="0"/>
            </w:tcBorders>
            <w:noWrap w:val="0"/>
            <w:vAlign w:val="center"/>
          </w:tcPr>
          <w:p w14:paraId="009C6222">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1744" w:type="dxa"/>
            <w:vMerge w:val="continue"/>
            <w:tcBorders>
              <w:left w:val="single" w:color="auto" w:sz="4" w:space="0"/>
              <w:right w:val="single" w:color="auto" w:sz="4" w:space="0"/>
            </w:tcBorders>
            <w:noWrap w:val="0"/>
            <w:vAlign w:val="center"/>
          </w:tcPr>
          <w:p w14:paraId="30341B7C">
            <w:pPr>
              <w:keepNext w:val="0"/>
              <w:keepLines w:val="0"/>
              <w:pageBreakBefore w:val="0"/>
              <w:widowControl/>
              <w:kinsoku/>
              <w:wordWrap/>
              <w:overflowPunct/>
              <w:topLinePunct w:val="0"/>
              <w:autoSpaceDE/>
              <w:autoSpaceDN/>
              <w:bidi w:val="0"/>
              <w:adjustRightInd/>
              <w:snapToGrid w:val="0"/>
              <w:spacing w:line="300" w:lineRule="exact"/>
              <w:ind w:left="0"/>
              <w:jc w:val="center"/>
              <w:textAlignment w:val="auto"/>
              <w:rPr>
                <w:rFonts w:hint="eastAsia" w:asciiTheme="minorEastAsia" w:hAnsiTheme="minorEastAsia" w:eastAsiaTheme="minorEastAsia" w:cstheme="minorEastAsia"/>
                <w:color w:val="000000"/>
                <w:sz w:val="21"/>
                <w:szCs w:val="21"/>
                <w:highlight w:val="none"/>
              </w:rPr>
            </w:pPr>
          </w:p>
        </w:tc>
        <w:tc>
          <w:tcPr>
            <w:tcW w:w="843" w:type="dxa"/>
            <w:tcBorders>
              <w:left w:val="single" w:color="auto" w:sz="4" w:space="0"/>
              <w:right w:val="single" w:color="auto" w:sz="4" w:space="0"/>
            </w:tcBorders>
            <w:noWrap w:val="0"/>
            <w:vAlign w:val="center"/>
          </w:tcPr>
          <w:p w14:paraId="686108BE">
            <w:pPr>
              <w:keepNext w:val="0"/>
              <w:keepLines w:val="0"/>
              <w:pageBreakBefore w:val="0"/>
              <w:kinsoku/>
              <w:wordWrap/>
              <w:overflowPunct/>
              <w:topLinePunct w:val="0"/>
              <w:autoSpaceDE/>
              <w:autoSpaceDN/>
              <w:bidi w:val="0"/>
              <w:adjustRightInd/>
              <w:snapToGrid w:val="0"/>
              <w:spacing w:line="300" w:lineRule="exact"/>
              <w:ind w:left="0" w:firstLine="28"/>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履约能力（</w:t>
            </w:r>
            <w:r>
              <w:rPr>
                <w:rFonts w:hint="eastAsia" w:asciiTheme="minorEastAsia" w:hAnsiTheme="minorEastAsia" w:eastAsiaTheme="minorEastAsia" w:cstheme="minorEastAsia"/>
                <w:color w:val="000000"/>
                <w:sz w:val="21"/>
                <w:szCs w:val="21"/>
                <w:highlight w:val="none"/>
                <w:lang w:val="en-US" w:eastAsia="zh-CN"/>
              </w:rPr>
              <w:t>15</w:t>
            </w:r>
            <w:r>
              <w:rPr>
                <w:rFonts w:hint="eastAsia" w:asciiTheme="minorEastAsia" w:hAnsiTheme="minorEastAsia" w:eastAsiaTheme="minorEastAsia" w:cstheme="minorEastAsia"/>
                <w:color w:val="000000"/>
                <w:sz w:val="21"/>
                <w:szCs w:val="21"/>
                <w:highlight w:val="none"/>
              </w:rPr>
              <w:t>分）</w:t>
            </w:r>
          </w:p>
        </w:tc>
        <w:tc>
          <w:tcPr>
            <w:tcW w:w="4572" w:type="dxa"/>
            <w:tcBorders>
              <w:top w:val="single" w:color="auto" w:sz="4" w:space="0"/>
              <w:left w:val="single" w:color="auto" w:sz="4" w:space="0"/>
              <w:bottom w:val="single" w:color="auto" w:sz="4" w:space="0"/>
              <w:right w:val="single" w:color="auto" w:sz="4" w:space="0"/>
            </w:tcBorders>
            <w:noWrap w:val="0"/>
            <w:vAlign w:val="center"/>
          </w:tcPr>
          <w:p w14:paraId="79069230">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lang w:val="en-US" w:eastAsia="zh-CN"/>
              </w:rPr>
              <w:t>1</w:t>
            </w:r>
            <w:r>
              <w:rPr>
                <w:rFonts w:hint="eastAsia" w:asciiTheme="minorEastAsia" w:hAnsiTheme="minorEastAsia" w:eastAsiaTheme="minorEastAsia" w:cstheme="minorEastAsia"/>
                <w:b/>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团队实力（</w:t>
            </w:r>
            <w:r>
              <w:rPr>
                <w:rFonts w:hint="eastAsia" w:asciiTheme="minorEastAsia" w:hAnsiTheme="minorEastAsia" w:eastAsiaTheme="minorEastAsia" w:cstheme="minorEastAsia"/>
                <w:color w:val="000000"/>
                <w:sz w:val="21"/>
                <w:szCs w:val="21"/>
                <w:highlight w:val="none"/>
                <w:lang w:val="en-US" w:eastAsia="zh-CN"/>
              </w:rPr>
              <w:t>10</w:t>
            </w:r>
            <w:r>
              <w:rPr>
                <w:rFonts w:hint="eastAsia" w:asciiTheme="minorEastAsia" w:hAnsiTheme="minorEastAsia" w:eastAsiaTheme="minorEastAsia" w:cstheme="minorEastAsia"/>
                <w:color w:val="000000"/>
                <w:sz w:val="21"/>
                <w:szCs w:val="21"/>
                <w:highlight w:val="none"/>
              </w:rPr>
              <w:t>分）</w:t>
            </w:r>
          </w:p>
          <w:p w14:paraId="7DF59E86">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color w:val="000000"/>
                <w:sz w:val="21"/>
                <w:szCs w:val="21"/>
                <w:highlight w:val="none"/>
              </w:rPr>
              <w:t>供应商实验室拥有固定技术人员，提供一名</w:t>
            </w:r>
            <w:r>
              <w:rPr>
                <w:rFonts w:hint="eastAsia" w:asciiTheme="minorEastAsia" w:hAnsiTheme="minorEastAsia" w:eastAsiaTheme="minorEastAsia" w:cstheme="minorEastAsia"/>
                <w:color w:val="000000"/>
                <w:sz w:val="21"/>
                <w:szCs w:val="21"/>
                <w:highlight w:val="none"/>
                <w:lang w:eastAsia="zh-CN"/>
              </w:rPr>
              <w:t>高级职称得</w:t>
            </w:r>
            <w:r>
              <w:rPr>
                <w:rFonts w:hint="eastAsia" w:asciiTheme="minorEastAsia" w:hAnsiTheme="minorEastAsia" w:eastAsiaTheme="minorEastAsia" w:cstheme="minorEastAsia"/>
                <w:color w:val="000000"/>
                <w:sz w:val="21"/>
                <w:szCs w:val="21"/>
                <w:highlight w:val="none"/>
                <w:lang w:val="en-US" w:eastAsia="zh-CN"/>
              </w:rPr>
              <w:t>6分；提供</w:t>
            </w:r>
            <w:r>
              <w:rPr>
                <w:rFonts w:hint="eastAsia" w:asciiTheme="minorEastAsia" w:hAnsiTheme="minorEastAsia" w:eastAsiaTheme="minorEastAsia" w:cstheme="minorEastAsia"/>
                <w:color w:val="000000"/>
                <w:sz w:val="21"/>
                <w:szCs w:val="21"/>
                <w:highlight w:val="none"/>
              </w:rPr>
              <w:t>一名</w:t>
            </w:r>
            <w:r>
              <w:rPr>
                <w:rFonts w:hint="eastAsia" w:asciiTheme="minorEastAsia" w:hAnsiTheme="minorEastAsia" w:eastAsiaTheme="minorEastAsia" w:cstheme="minorEastAsia"/>
                <w:color w:val="000000"/>
                <w:sz w:val="21"/>
                <w:szCs w:val="21"/>
                <w:highlight w:val="none"/>
                <w:lang w:val="en-US" w:eastAsia="zh-CN"/>
              </w:rPr>
              <w:t>中级职称得4分，最多不超过10分。</w:t>
            </w: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rPr>
              <w:t>需提供职称证书复印件</w:t>
            </w: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lang w:val="en-US" w:eastAsia="zh-CN"/>
              </w:rPr>
              <w:t>合同</w:t>
            </w:r>
            <w:r>
              <w:rPr>
                <w:rFonts w:hint="eastAsia" w:asciiTheme="minorEastAsia" w:hAnsiTheme="minorEastAsia" w:eastAsiaTheme="minorEastAsia" w:cstheme="minorEastAsia"/>
                <w:b w:val="0"/>
                <w:bCs w:val="0"/>
                <w:color w:val="000000"/>
                <w:sz w:val="21"/>
                <w:szCs w:val="21"/>
                <w:highlight w:val="none"/>
                <w:lang w:eastAsia="zh-CN"/>
              </w:rPr>
              <w:t>）</w:t>
            </w:r>
          </w:p>
          <w:p w14:paraId="7E623A87">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2.</w:t>
            </w:r>
            <w:r>
              <w:rPr>
                <w:rFonts w:hint="eastAsia" w:asciiTheme="minorEastAsia" w:hAnsiTheme="minorEastAsia" w:eastAsiaTheme="minorEastAsia" w:cstheme="minorEastAsia"/>
                <w:color w:val="000000"/>
                <w:sz w:val="21"/>
                <w:szCs w:val="21"/>
                <w:highlight w:val="none"/>
              </w:rPr>
              <w:t>为保证服务的及时性，采购</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对</w:t>
            </w:r>
            <w:r>
              <w:rPr>
                <w:rFonts w:hint="eastAsia" w:asciiTheme="minorEastAsia" w:hAnsiTheme="minorEastAsia" w:eastAsiaTheme="minorEastAsia" w:cstheme="minorEastAsia"/>
                <w:color w:val="000000"/>
                <w:sz w:val="21"/>
                <w:szCs w:val="21"/>
                <w:highlight w:val="none"/>
                <w:lang w:val="en-US" w:eastAsia="zh-CN"/>
              </w:rPr>
              <w:t>冰冻</w:t>
            </w:r>
            <w:r>
              <w:rPr>
                <w:rFonts w:hint="eastAsia" w:asciiTheme="minorEastAsia" w:hAnsiTheme="minorEastAsia" w:eastAsiaTheme="minorEastAsia" w:cstheme="minorEastAsia"/>
                <w:color w:val="000000"/>
                <w:sz w:val="21"/>
                <w:szCs w:val="21"/>
                <w:highlight w:val="none"/>
              </w:rPr>
              <w:t>标本提出急查需求</w:t>
            </w:r>
            <w:r>
              <w:rPr>
                <w:rFonts w:hint="eastAsia" w:asciiTheme="minorEastAsia" w:hAnsiTheme="minorEastAsia" w:eastAsiaTheme="minorEastAsia" w:cstheme="minorEastAsia"/>
                <w:color w:val="000000"/>
                <w:sz w:val="21"/>
                <w:szCs w:val="21"/>
                <w:highlight w:val="none"/>
                <w:lang w:val="en-US" w:eastAsia="zh-CN"/>
              </w:rPr>
              <w:t>时</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供应商能及时收取标本并在</w:t>
            </w:r>
            <w:r>
              <w:rPr>
                <w:rFonts w:hint="eastAsia" w:asciiTheme="minorEastAsia" w:hAnsiTheme="minorEastAsia" w:eastAsiaTheme="minorEastAsia" w:cstheme="minorEastAsia"/>
                <w:b/>
                <w:bCs/>
                <w:color w:val="000000"/>
                <w:sz w:val="21"/>
                <w:szCs w:val="21"/>
                <w:highlight w:val="none"/>
                <w:lang w:val="en-US" w:eastAsia="zh-CN"/>
              </w:rPr>
              <w:t>规定时间</w:t>
            </w:r>
            <w:r>
              <w:rPr>
                <w:rFonts w:hint="eastAsia" w:asciiTheme="minorEastAsia" w:hAnsiTheme="minorEastAsia" w:eastAsiaTheme="minorEastAsia" w:cstheme="minorEastAsia"/>
                <w:color w:val="000000"/>
                <w:sz w:val="21"/>
                <w:szCs w:val="21"/>
                <w:highlight w:val="none"/>
                <w:lang w:val="en-US" w:eastAsia="zh-CN"/>
              </w:rPr>
              <w:t>内出具诊断报告，得5分（提供承诺函，格式自拟）</w:t>
            </w:r>
          </w:p>
        </w:tc>
        <w:tc>
          <w:tcPr>
            <w:tcW w:w="1939" w:type="dxa"/>
            <w:tcBorders>
              <w:left w:val="single" w:color="auto" w:sz="4" w:space="0"/>
              <w:right w:val="single" w:color="auto" w:sz="4" w:space="0"/>
            </w:tcBorders>
            <w:noWrap w:val="0"/>
            <w:vAlign w:val="center"/>
          </w:tcPr>
          <w:p w14:paraId="1FE8AA8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rPr>
              <w:t>提供相应证明资料</w:t>
            </w:r>
            <w:r>
              <w:rPr>
                <w:rFonts w:hint="eastAsia" w:asciiTheme="minorEastAsia" w:hAnsiTheme="minorEastAsia" w:eastAsiaTheme="minorEastAsia" w:cstheme="minorEastAsia"/>
                <w:color w:val="000000"/>
                <w:sz w:val="21"/>
                <w:szCs w:val="21"/>
                <w:highlight w:val="none"/>
                <w:lang w:eastAsia="zh-CN"/>
              </w:rPr>
              <w:t>的需加盖公章</w:t>
            </w:r>
          </w:p>
          <w:p w14:paraId="2516318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3F72BA53">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67AAF05D">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1C9E8252">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18EC413F">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0AB0AF81">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71EBDB30">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4A8BD105">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p w14:paraId="4A22877C">
            <w:pPr>
              <w:keepNext w:val="0"/>
              <w:keepLines w:val="0"/>
              <w:pageBreakBefore w:val="0"/>
              <w:kinsoku/>
              <w:wordWrap/>
              <w:overflowPunct/>
              <w:topLinePunct w:val="0"/>
              <w:autoSpaceDE/>
              <w:autoSpaceDN/>
              <w:bidi w:val="0"/>
              <w:adjustRightInd/>
              <w:snapToGrid w:val="0"/>
              <w:spacing w:line="300" w:lineRule="exact"/>
              <w:ind w:left="0"/>
              <w:jc w:val="both"/>
              <w:textAlignment w:val="auto"/>
              <w:rPr>
                <w:rFonts w:hint="eastAsia" w:asciiTheme="minorEastAsia" w:hAnsiTheme="minorEastAsia" w:eastAsiaTheme="minorEastAsia" w:cstheme="minorEastAsia"/>
                <w:color w:val="000000"/>
                <w:sz w:val="21"/>
                <w:szCs w:val="21"/>
                <w:highlight w:val="none"/>
                <w:lang w:val="en-US" w:eastAsia="zh-CN"/>
              </w:rPr>
            </w:pPr>
          </w:p>
        </w:tc>
      </w:tr>
    </w:tbl>
    <w:p w14:paraId="1AA19BFF">
      <w:pPr>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52752EF9">
      <w:pPr>
        <w:widowControl w:val="0"/>
        <w:kinsoku/>
        <w:wordWrap/>
        <w:overflowPunct/>
        <w:topLinePunct w:val="0"/>
        <w:autoSpaceDE/>
        <w:autoSpaceDN/>
        <w:bidi w:val="0"/>
        <w:snapToGrid w:val="0"/>
        <w:spacing w:line="240" w:lineRule="auto"/>
        <w:ind w:firstLine="46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说明：比选小组认为</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的报价明显低于其他通过符合性审查</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不能证明其报价合理性的，比选小组应当将其作为无效投标处理。</w:t>
      </w:r>
    </w:p>
    <w:p w14:paraId="429C70B1">
      <w:pPr>
        <w:pStyle w:val="3"/>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rPr>
      </w:pPr>
      <w:bookmarkStart w:id="191" w:name="_Toc527"/>
      <w:bookmarkStart w:id="192" w:name="_Toc9557"/>
      <w:r>
        <w:rPr>
          <w:rFonts w:hint="eastAsia" w:asciiTheme="minorEastAsia" w:hAnsiTheme="minorEastAsia" w:eastAsiaTheme="minorEastAsia" w:cstheme="minorEastAsia"/>
          <w:b/>
          <w:color w:val="auto"/>
          <w:sz w:val="24"/>
          <w:szCs w:val="24"/>
        </w:rPr>
        <w:t>四、无效投标条款</w:t>
      </w:r>
      <w:bookmarkEnd w:id="191"/>
      <w:bookmarkEnd w:id="192"/>
    </w:p>
    <w:p w14:paraId="108092F7">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或其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出现下列情况之一者，应为无效投标：</w:t>
      </w:r>
    </w:p>
    <w:p w14:paraId="76BE45A8">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（一）未按照比选文件的规定提交投标保证金的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7EA662BC">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未按比选文件要求签署、盖章的；</w:t>
      </w:r>
    </w:p>
    <w:p w14:paraId="4F358D0A">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（三）不具备比选文件中规定的资格要求的；</w:t>
      </w:r>
    </w:p>
    <w:p w14:paraId="444F6378">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（四）报价超过比选文件中规定的预算金额或者最高限价的；</w:t>
      </w:r>
    </w:p>
    <w:p w14:paraId="61B6F306">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含有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不能接受的附加条件的；</w:t>
      </w:r>
    </w:p>
    <w:p w14:paraId="10634185">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串通投标的；</w:t>
      </w:r>
    </w:p>
    <w:p w14:paraId="38F6064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以联合体形式参与投标的；</w:t>
      </w:r>
    </w:p>
    <w:p w14:paraId="0AE72A56">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进行合同分包的；</w:t>
      </w:r>
    </w:p>
    <w:p w14:paraId="1D389C44">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九）未按</w:t>
      </w: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文件规定进行线上平台报价和上传响应文件的</w:t>
      </w:r>
    </w:p>
    <w:p w14:paraId="2D5B4027">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lang w:eastAsia="zh-CN"/>
        </w:rPr>
        <w:t>（十）</w:t>
      </w:r>
      <w:r>
        <w:rPr>
          <w:rFonts w:hint="eastAsia" w:asciiTheme="minorEastAsia" w:hAnsiTheme="minorEastAsia" w:eastAsiaTheme="minorEastAsia" w:cstheme="minorEastAsia"/>
          <w:sz w:val="24"/>
          <w:szCs w:val="24"/>
        </w:rPr>
        <w:t>法律、法规</w:t>
      </w:r>
      <w:r>
        <w:rPr>
          <w:rFonts w:hint="eastAsia" w:asciiTheme="minorEastAsia" w:hAnsiTheme="minorEastAsia" w:eastAsiaTheme="minorEastAsia" w:cstheme="minorEastAsia"/>
          <w:color w:val="auto"/>
          <w:sz w:val="24"/>
          <w:szCs w:val="24"/>
          <w:highlight w:val="none"/>
        </w:rPr>
        <w:t>和比选文件规定的其他无效情形。</w:t>
      </w:r>
    </w:p>
    <w:p w14:paraId="46926B71">
      <w:pPr>
        <w:pStyle w:val="3"/>
        <w:pageBreakBefore w:val="0"/>
        <w:widowControl w:val="0"/>
        <w:kinsoku/>
        <w:wordWrap/>
        <w:overflowPunct/>
        <w:topLinePunct w:val="0"/>
        <w:autoSpaceDE/>
        <w:autoSpaceDN/>
        <w:bidi w:val="0"/>
        <w:spacing w:line="240" w:lineRule="auto"/>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93" w:name="_Toc30237"/>
      <w:bookmarkStart w:id="194" w:name="_Toc18894"/>
      <w:bookmarkStart w:id="195" w:name="_Toc31145"/>
      <w:r>
        <w:rPr>
          <w:rFonts w:hint="eastAsia" w:asciiTheme="minorEastAsia" w:hAnsiTheme="minorEastAsia" w:eastAsiaTheme="minorEastAsia" w:cstheme="minorEastAsia"/>
          <w:b/>
          <w:color w:val="auto"/>
          <w:sz w:val="24"/>
          <w:szCs w:val="24"/>
          <w:highlight w:val="none"/>
        </w:rPr>
        <w:t>五、废标条款</w:t>
      </w:r>
      <w:bookmarkEnd w:id="193"/>
      <w:bookmarkEnd w:id="194"/>
      <w:bookmarkEnd w:id="195"/>
    </w:p>
    <w:p w14:paraId="54ADF7EE">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在比选采购中，出现下列情形之一的，应予废标：</w:t>
      </w:r>
    </w:p>
    <w:p w14:paraId="41416CA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（一）符合专业条件的</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或者对比选文件作实质响应的</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不足</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w:t>
      </w:r>
    </w:p>
    <w:p w14:paraId="6043698E">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竞选人</w:t>
      </w:r>
      <w:r>
        <w:rPr>
          <w:rFonts w:hint="eastAsia" w:asciiTheme="minorEastAsia" w:hAnsiTheme="minorEastAsia" w:eastAsiaTheme="minorEastAsia" w:cstheme="minorEastAsia"/>
          <w:color w:val="auto"/>
          <w:sz w:val="24"/>
          <w:szCs w:val="24"/>
          <w:highlight w:val="none"/>
        </w:rPr>
        <w:t>的报价均超过了采购预算，</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不能支付的；</w:t>
      </w:r>
    </w:p>
    <w:p w14:paraId="2DB45640">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（三）出现影响采购公正的违法、违规行为的；</w:t>
      </w:r>
    </w:p>
    <w:p w14:paraId="682B64AE">
      <w:pPr>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（四）因重大变故，采购任务取消的。</w:t>
      </w:r>
    </w:p>
    <w:p w14:paraId="79D4112A">
      <w:pPr>
        <w:pageBreakBefore w:val="0"/>
        <w:kinsoku/>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szCs w:val="24"/>
          <w:highlight w:val="none"/>
        </w:rPr>
        <w:t>废标后，除采购任务取消情形外，应当重新组织采购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highlight w:val="none"/>
        </w:rPr>
        <w:br w:type="page"/>
      </w:r>
    </w:p>
    <w:p w14:paraId="6B6D8BD4">
      <w:pPr>
        <w:pStyle w:val="2"/>
        <w:pageBreakBefore w:val="0"/>
        <w:kinsoku/>
        <w:overflowPunct/>
        <w:topLinePunct w:val="0"/>
        <w:autoSpaceDE/>
        <w:autoSpaceDN/>
        <w:bidi w:val="0"/>
        <w:adjustRightInd/>
        <w:spacing w:line="360" w:lineRule="auto"/>
        <w:textAlignment w:val="auto"/>
        <w:outlineLvl w:val="0"/>
        <w:rPr>
          <w:rFonts w:hint="eastAsia" w:asciiTheme="minorEastAsia" w:hAnsiTheme="minorEastAsia" w:eastAsiaTheme="minorEastAsia" w:cstheme="minorEastAsia"/>
          <w:color w:val="auto"/>
          <w:sz w:val="44"/>
          <w:szCs w:val="44"/>
          <w:highlight w:val="none"/>
        </w:rPr>
      </w:pPr>
      <w:bookmarkStart w:id="196" w:name="_Toc21857"/>
      <w:r>
        <w:rPr>
          <w:rFonts w:hint="eastAsia" w:asciiTheme="minorEastAsia" w:hAnsiTheme="minorEastAsia" w:eastAsiaTheme="minorEastAsia" w:cstheme="minorEastAsia"/>
          <w:b/>
          <w:bCs/>
          <w:color w:val="auto"/>
          <w:sz w:val="44"/>
          <w:szCs w:val="44"/>
          <w:highlight w:val="none"/>
        </w:rPr>
        <w:t>第五篇 供应商须知</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96"/>
    </w:p>
    <w:p w14:paraId="35174CC7">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197" w:name="_Toc9833"/>
      <w:bookmarkStart w:id="198" w:name="_Toc31038"/>
      <w:r>
        <w:rPr>
          <w:rFonts w:hint="eastAsia" w:asciiTheme="minorEastAsia" w:hAnsiTheme="minorEastAsia" w:eastAsiaTheme="minorEastAsia" w:cstheme="minorEastAsia"/>
          <w:color w:val="auto"/>
          <w:highlight w:val="none"/>
        </w:rPr>
        <w:t>一、供应商</w:t>
      </w:r>
      <w:bookmarkEnd w:id="197"/>
      <w:bookmarkEnd w:id="198"/>
    </w:p>
    <w:p w14:paraId="03145F36">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bCs/>
          <w:color w:val="auto"/>
          <w:szCs w:val="28"/>
          <w:highlight w:val="none"/>
        </w:rPr>
        <w:t>（一）供应商</w:t>
      </w:r>
    </w:p>
    <w:p w14:paraId="277590C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供应商是指响应</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采购、参加</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竞争的法人、其他组织或者自然人。</w:t>
      </w:r>
    </w:p>
    <w:p w14:paraId="579A5BD7">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bCs/>
          <w:color w:val="auto"/>
          <w:szCs w:val="28"/>
          <w:highlight w:val="none"/>
        </w:rPr>
        <w:t>（二）合格供应商条件</w:t>
      </w:r>
    </w:p>
    <w:p w14:paraId="7938FCE6">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合格供应商应完全符合</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第一篇中规定的供应商资格条件，并对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作出实质性响应。</w:t>
      </w:r>
    </w:p>
    <w:p w14:paraId="4818BCD1">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（三）供应商的风险</w:t>
      </w:r>
    </w:p>
    <w:p w14:paraId="17978C3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供应商没有按照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要求提供全部资料，或者供应商没有对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在各方面作出实质性响应，可能导致响应被拒绝或评定为无效响应。</w:t>
      </w:r>
    </w:p>
    <w:p w14:paraId="10C180C8">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bCs/>
          <w:color w:val="auto"/>
          <w:szCs w:val="28"/>
          <w:highlight w:val="none"/>
        </w:rPr>
        <w:t>（四）法律责任</w:t>
      </w:r>
    </w:p>
    <w:p w14:paraId="160C08C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供应商违反</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中华人民共和国民法典</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rPr>
        <w:t>等相关规定，将按规定追究供应商法律责任。</w:t>
      </w:r>
    </w:p>
    <w:p w14:paraId="5E2C27A5">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eastAsia="zh-CN"/>
        </w:rPr>
      </w:pPr>
      <w:bookmarkStart w:id="199" w:name="_Toc24271"/>
      <w:bookmarkStart w:id="200" w:name="_Toc11479"/>
      <w:r>
        <w:rPr>
          <w:rFonts w:hint="eastAsia" w:asciiTheme="minorEastAsia" w:hAnsiTheme="minorEastAsia" w:eastAsiaTheme="minorEastAsia" w:cstheme="minorEastAsia"/>
          <w:color w:val="auto"/>
          <w:highlight w:val="none"/>
        </w:rPr>
        <w:t>二、</w:t>
      </w:r>
      <w:bookmarkEnd w:id="199"/>
      <w:r>
        <w:rPr>
          <w:rFonts w:hint="eastAsia" w:asciiTheme="minorEastAsia" w:hAnsiTheme="minorEastAsia" w:eastAsiaTheme="minorEastAsia" w:cstheme="minorEastAsia"/>
          <w:color w:val="auto"/>
          <w:highlight w:val="none"/>
          <w:lang w:eastAsia="zh-CN"/>
        </w:rPr>
        <w:t>比选文件</w:t>
      </w:r>
      <w:bookmarkEnd w:id="200"/>
    </w:p>
    <w:p w14:paraId="08C6CE1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是供应商编制响应文件的依据，是</w:t>
      </w:r>
      <w:r>
        <w:rPr>
          <w:rFonts w:hint="eastAsia" w:asciiTheme="minorEastAsia" w:hAnsiTheme="minorEastAsia" w:eastAsiaTheme="minorEastAsia" w:cstheme="minorEastAsia"/>
          <w:color w:val="auto"/>
          <w:szCs w:val="28"/>
          <w:highlight w:val="none"/>
          <w:lang w:eastAsia="zh-CN"/>
        </w:rPr>
        <w:t>评审小组</w:t>
      </w:r>
      <w:r>
        <w:rPr>
          <w:rFonts w:hint="eastAsia" w:asciiTheme="minorEastAsia" w:hAnsiTheme="minorEastAsia" w:eastAsiaTheme="minorEastAsia" w:cstheme="minorEastAsia"/>
          <w:color w:val="auto"/>
          <w:szCs w:val="28"/>
          <w:highlight w:val="none"/>
        </w:rPr>
        <w:t>评判依据和标准。</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也是</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与成交供应商签订合同的基础。</w:t>
      </w:r>
    </w:p>
    <w:p w14:paraId="69677EF8">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由</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邀请书、项目服务需求、项目商务需求、资格审查及评审办法、供应商须知、响应文件格式等六部分组成。</w:t>
      </w:r>
    </w:p>
    <w:p w14:paraId="26171E19">
      <w:pPr>
        <w:pageBreakBefore w:val="0"/>
        <w:kinsoku/>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（二）采购代理机构对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所作的一切有效的书面通知、修改及补充，都是</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不可分割的部分。</w:t>
      </w:r>
    </w:p>
    <w:p w14:paraId="3E1C360D">
      <w:pPr>
        <w:pageBreakBefore w:val="0"/>
        <w:kinsoku/>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（三）本项目的</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、澄清文件（如果有）一律在行采家（https://www.gec123.com）上发布，请各供应商注意下载或到采购代理机构处领取；无论供应商下载或领取与否，均视同供应商已知晓本项目</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、澄清文件的内容。</w:t>
      </w:r>
    </w:p>
    <w:p w14:paraId="25C5348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（四）采购代理机构对已发出的</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需要进行澄清或修改的，应以书面形式或公告形式通知所有</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收受人。该澄清或者修改的内容为</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的组成部分。</w:t>
      </w:r>
    </w:p>
    <w:p w14:paraId="51B91579">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1" w:name="_Toc21372"/>
      <w:bookmarkStart w:id="202" w:name="_Toc18417"/>
      <w:r>
        <w:rPr>
          <w:rFonts w:hint="eastAsia" w:asciiTheme="minorEastAsia" w:hAnsiTheme="minorEastAsia" w:eastAsiaTheme="minorEastAsia" w:cstheme="minorEastAsia"/>
          <w:color w:val="auto"/>
          <w:highlight w:val="none"/>
        </w:rPr>
        <w:t>三、响应文件</w:t>
      </w:r>
      <w:bookmarkEnd w:id="201"/>
      <w:bookmarkEnd w:id="202"/>
    </w:p>
    <w:p w14:paraId="63E8EE3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供应商应当按照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的要求编制响应文件，并对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提出的要求和条件作出实质性响应。</w:t>
      </w:r>
    </w:p>
    <w:p w14:paraId="1D987CC5">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（一）响应文件组成</w:t>
      </w:r>
    </w:p>
    <w:p w14:paraId="3A3891E7">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4F68FBD0">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二</w:t>
      </w: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eastAsia="zh-CN"/>
        </w:rPr>
        <w:t>比选</w:t>
      </w:r>
      <w:r>
        <w:rPr>
          <w:rFonts w:hint="eastAsia" w:asciiTheme="minorEastAsia" w:hAnsiTheme="minorEastAsia" w:eastAsiaTheme="minorEastAsia" w:cstheme="minorEastAsia"/>
          <w:b/>
          <w:bCs/>
          <w:color w:val="auto"/>
          <w:szCs w:val="28"/>
          <w:highlight w:val="none"/>
        </w:rPr>
        <w:t>有效期</w:t>
      </w:r>
    </w:p>
    <w:p w14:paraId="66E2F40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有效期为</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截止时间起90天。</w:t>
      </w:r>
    </w:p>
    <w:p w14:paraId="65725951">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三</w:t>
      </w:r>
      <w:r>
        <w:rPr>
          <w:rFonts w:hint="eastAsia" w:asciiTheme="minorEastAsia" w:hAnsiTheme="minorEastAsia" w:eastAsiaTheme="minorEastAsia" w:cstheme="minorEastAsia"/>
          <w:b/>
          <w:bCs/>
          <w:color w:val="auto"/>
          <w:szCs w:val="28"/>
          <w:highlight w:val="none"/>
        </w:rPr>
        <w:t>）响应文件的份数和签署</w:t>
      </w:r>
    </w:p>
    <w:p w14:paraId="2EA56FA9">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val="0"/>
          <w:bCs w:val="0"/>
          <w:color w:val="auto"/>
          <w:kern w:val="0"/>
          <w:sz w:val="28"/>
          <w:szCs w:val="28"/>
          <w:highlight w:val="none"/>
        </w:rPr>
        <w:t>1.响应文件一式</w:t>
      </w:r>
      <w:r>
        <w:rPr>
          <w:rFonts w:hint="eastAsia" w:asciiTheme="minorEastAsia" w:hAnsiTheme="minorEastAsia" w:eastAsiaTheme="minorEastAsia" w:cstheme="minorEastAsia"/>
          <w:b w:val="0"/>
          <w:bCs w:val="0"/>
          <w:color w:val="auto"/>
          <w:kern w:val="0"/>
          <w:sz w:val="28"/>
          <w:szCs w:val="28"/>
          <w:highlight w:val="none"/>
          <w:lang w:val="en-US" w:eastAsia="zh-CN"/>
        </w:rPr>
        <w:t>两</w:t>
      </w:r>
      <w:r>
        <w:rPr>
          <w:rFonts w:hint="eastAsia" w:asciiTheme="minorEastAsia" w:hAnsiTheme="minorEastAsia" w:eastAsiaTheme="minorEastAsia" w:cstheme="minorEastAsia"/>
          <w:b w:val="0"/>
          <w:bCs w:val="0"/>
          <w:color w:val="auto"/>
          <w:kern w:val="0"/>
          <w:sz w:val="28"/>
          <w:szCs w:val="28"/>
          <w:highlight w:val="none"/>
        </w:rPr>
        <w:t>份，其中正本一份，副本</w:t>
      </w:r>
      <w:r>
        <w:rPr>
          <w:rFonts w:hint="eastAsia" w:asciiTheme="minorEastAsia" w:hAnsiTheme="minorEastAsia" w:eastAsiaTheme="minorEastAsia" w:cstheme="minorEastAsia"/>
          <w:b w:val="0"/>
          <w:bCs w:val="0"/>
          <w:color w:val="auto"/>
          <w:kern w:val="0"/>
          <w:sz w:val="28"/>
          <w:szCs w:val="28"/>
          <w:highlight w:val="none"/>
          <w:lang w:val="en-US" w:eastAsia="zh-CN"/>
        </w:rPr>
        <w:t>一</w:t>
      </w:r>
      <w:r>
        <w:rPr>
          <w:rFonts w:hint="eastAsia" w:asciiTheme="minorEastAsia" w:hAnsiTheme="minorEastAsia" w:eastAsiaTheme="minorEastAsia" w:cstheme="minorEastAsia"/>
          <w:b w:val="0"/>
          <w:bCs w:val="0"/>
          <w:color w:val="auto"/>
          <w:kern w:val="0"/>
          <w:sz w:val="28"/>
          <w:szCs w:val="28"/>
          <w:highlight w:val="none"/>
        </w:rPr>
        <w:t>份。</w:t>
      </w:r>
      <w:r>
        <w:rPr>
          <w:rFonts w:hint="eastAsia" w:asciiTheme="minorEastAsia" w:hAnsiTheme="minorEastAsia" w:eastAsiaTheme="minorEastAsia" w:cstheme="minorEastAsia"/>
          <w:color w:val="auto"/>
          <w:szCs w:val="28"/>
          <w:highlight w:val="none"/>
        </w:rPr>
        <w:t>每套响应文件须在封面清楚地标明“正本”“副本”，副本应为正本的完整复印件，副本与正本不一致时以正本为准。</w:t>
      </w:r>
    </w:p>
    <w:p w14:paraId="06F8AB8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2.在响应文件中，</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第六篇响应文件格式中规定签署、盖章的地方必须按其规定签署、盖章。</w:t>
      </w:r>
    </w:p>
    <w:p w14:paraId="1C57C0D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3.若供应商对响应文件的错处作必要修改，则应在修改处加盖供应商公章或由法定代表人（或其授权代表）或自然人（供应商为自然人）签署确认。</w:t>
      </w:r>
    </w:p>
    <w:p w14:paraId="4283968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4.电报、电话、传真形式的响应文件概不接受。</w:t>
      </w:r>
    </w:p>
    <w:p w14:paraId="3474D7EB">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四</w:t>
      </w: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eastAsia="zh-CN"/>
        </w:rPr>
        <w:t>比选</w:t>
      </w:r>
      <w:r>
        <w:rPr>
          <w:rFonts w:hint="eastAsia" w:asciiTheme="minorEastAsia" w:hAnsiTheme="minorEastAsia" w:eastAsiaTheme="minorEastAsia" w:cstheme="minorEastAsia"/>
          <w:b/>
          <w:bCs/>
          <w:color w:val="auto"/>
          <w:szCs w:val="28"/>
          <w:highlight w:val="none"/>
        </w:rPr>
        <w:t>报价</w:t>
      </w:r>
    </w:p>
    <w:p w14:paraId="52330DD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1.供应商应严格按照“响应文件格式”中“报价一览表”的格式填写报价。</w:t>
      </w:r>
    </w:p>
    <w:p w14:paraId="73A77E5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2.供应商的报价为一次性报价，即在</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有效期内</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价格固定不变。</w:t>
      </w:r>
    </w:p>
    <w:p w14:paraId="5F1A322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3.本项目只接受一个</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报价，有选择的或有条件的报价将不予接受。</w:t>
      </w:r>
    </w:p>
    <w:p w14:paraId="4BFFC645">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五</w:t>
      </w:r>
      <w:r>
        <w:rPr>
          <w:rFonts w:hint="eastAsia" w:asciiTheme="minorEastAsia" w:hAnsiTheme="minorEastAsia" w:eastAsiaTheme="minorEastAsia" w:cstheme="minorEastAsia"/>
          <w:b/>
          <w:bCs/>
          <w:color w:val="auto"/>
          <w:szCs w:val="28"/>
          <w:highlight w:val="none"/>
        </w:rPr>
        <w:t>）修正错误</w:t>
      </w:r>
    </w:p>
    <w:p w14:paraId="5B88358B">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若响应文件出现计算或表达上的错误，修正错误的原则如下：</w:t>
      </w:r>
    </w:p>
    <w:p w14:paraId="368F8C5C">
      <w:pPr>
        <w:pStyle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8"/>
          <w:highlight w:val="none"/>
          <w:lang w:val="en-US" w:eastAsia="zh-CN"/>
        </w:rPr>
        <w:t xml:space="preserve">   响应文件中报价总金额与单价金额计算不一致的或报价大小写不一致的均为无效报价。</w:t>
      </w:r>
    </w:p>
    <w:p w14:paraId="12416E2B">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六</w:t>
      </w:r>
      <w:r>
        <w:rPr>
          <w:rFonts w:hint="eastAsia" w:asciiTheme="minorEastAsia" w:hAnsiTheme="minorEastAsia" w:eastAsiaTheme="minorEastAsia" w:cstheme="minorEastAsia"/>
          <w:b/>
          <w:bCs/>
          <w:color w:val="auto"/>
          <w:szCs w:val="28"/>
          <w:highlight w:val="none"/>
        </w:rPr>
        <w:t>）响应文件的递交</w:t>
      </w:r>
    </w:p>
    <w:p w14:paraId="29DF364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响应文件的正本、副本均应密封送达评审地点，应在封套上注明项目名称、供应商名称。若正本、副本分别进行密封的，还应在封套上注明“正本”“副本”字样。</w:t>
      </w:r>
    </w:p>
    <w:p w14:paraId="6AC1F1D6">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val="en-US" w:eastAsia="zh-CN"/>
        </w:rPr>
      </w:pPr>
      <w:bookmarkStart w:id="203" w:name="_Toc23201"/>
      <w:bookmarkStart w:id="204" w:name="_Toc27146"/>
      <w:r>
        <w:rPr>
          <w:rFonts w:hint="eastAsia" w:asciiTheme="minorEastAsia" w:hAnsiTheme="minorEastAsia" w:eastAsiaTheme="minorEastAsia" w:cstheme="minorEastAsia"/>
          <w:color w:val="auto"/>
          <w:highlight w:val="none"/>
        </w:rPr>
        <w:t>四、评审</w:t>
      </w:r>
      <w:r>
        <w:rPr>
          <w:rFonts w:hint="eastAsia" w:asciiTheme="minorEastAsia" w:hAnsiTheme="minorEastAsia" w:eastAsiaTheme="minorEastAsia" w:cstheme="minorEastAsia"/>
          <w:color w:val="auto"/>
          <w:highlight w:val="none"/>
          <w:lang w:val="en-US" w:eastAsia="zh-CN"/>
        </w:rPr>
        <w:t>流程</w:t>
      </w:r>
      <w:bookmarkEnd w:id="203"/>
      <w:bookmarkEnd w:id="204"/>
    </w:p>
    <w:p w14:paraId="44AE56F7">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（一）采购代理机构和</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可视采购具体情况，确定开始评审时间、地点。</w:t>
      </w:r>
    </w:p>
    <w:p w14:paraId="0B126214">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（二）评审由</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或采购代理机构主持。</w:t>
      </w:r>
    </w:p>
    <w:p w14:paraId="261D19BB">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strike/>
          <w:dstrike w:val="0"/>
          <w:color w:val="auto"/>
          <w:szCs w:val="28"/>
          <w:highlight w:val="yellow"/>
        </w:rPr>
      </w:pPr>
      <w:r>
        <w:rPr>
          <w:rFonts w:hint="eastAsia" w:asciiTheme="minorEastAsia" w:hAnsiTheme="minorEastAsia" w:eastAsiaTheme="minorEastAsia" w:cstheme="minorEastAsia"/>
          <w:color w:val="auto"/>
          <w:szCs w:val="28"/>
          <w:highlight w:val="none"/>
        </w:rPr>
        <w:t>（三）评审时，经确认无误后，由</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或者采购代理机构工作人员当众拆封，宣布供应商名称、</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价格和《报价一览表》规定的需要宣布的其他内容。</w:t>
      </w:r>
    </w:p>
    <w:p w14:paraId="147DD1F5">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（四）未宣读的</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价格、价格折扣和</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允许提供的备选响应方案等实质性内容等，评审时不予承认。</w:t>
      </w:r>
    </w:p>
    <w:p w14:paraId="41BDEFB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（五）评审过程应由</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或采购代理机构指定专人负责记录，并存档备查。</w:t>
      </w:r>
    </w:p>
    <w:p w14:paraId="117A505A">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val="en-US" w:eastAsia="zh-CN"/>
        </w:rPr>
      </w:pPr>
      <w:bookmarkStart w:id="205" w:name="_Toc7693"/>
      <w:bookmarkStart w:id="206" w:name="_Toc9606"/>
      <w:r>
        <w:rPr>
          <w:rFonts w:hint="eastAsia" w:asciiTheme="minorEastAsia" w:hAnsiTheme="minorEastAsia" w:eastAsiaTheme="minorEastAsia" w:cstheme="minorEastAsia"/>
          <w:color w:val="auto"/>
          <w:highlight w:val="none"/>
        </w:rPr>
        <w:t>五、评审</w:t>
      </w:r>
      <w:r>
        <w:rPr>
          <w:rFonts w:hint="eastAsia" w:asciiTheme="minorEastAsia" w:hAnsiTheme="minorEastAsia" w:eastAsiaTheme="minorEastAsia" w:cstheme="minorEastAsia"/>
          <w:color w:val="auto"/>
          <w:highlight w:val="none"/>
          <w:lang w:val="en-US" w:eastAsia="zh-CN"/>
        </w:rPr>
        <w:t>标准</w:t>
      </w:r>
      <w:bookmarkEnd w:id="205"/>
      <w:bookmarkEnd w:id="206"/>
    </w:p>
    <w:p w14:paraId="7E4BD07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见第四篇“评审”内容。</w:t>
      </w:r>
    </w:p>
    <w:p w14:paraId="769AC6F2">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7" w:name="_Toc28460"/>
      <w:bookmarkStart w:id="208" w:name="_Toc23216"/>
      <w:r>
        <w:rPr>
          <w:rFonts w:hint="eastAsia" w:asciiTheme="minorEastAsia" w:hAnsiTheme="minorEastAsia" w:eastAsiaTheme="minorEastAsia" w:cstheme="minorEastAsia"/>
          <w:color w:val="auto"/>
          <w:highlight w:val="none"/>
        </w:rPr>
        <w:t>六、确认成交供应商</w:t>
      </w:r>
      <w:bookmarkEnd w:id="207"/>
      <w:bookmarkEnd w:id="208"/>
    </w:p>
    <w:p w14:paraId="6F3CE0A3">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（一）原则</w:t>
      </w:r>
    </w:p>
    <w:p w14:paraId="157791B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或其授权的</w:t>
      </w:r>
      <w:r>
        <w:rPr>
          <w:rFonts w:hint="eastAsia" w:asciiTheme="minorEastAsia" w:hAnsiTheme="minorEastAsia" w:eastAsiaTheme="minorEastAsia" w:cstheme="minorEastAsia"/>
          <w:color w:val="auto"/>
          <w:szCs w:val="28"/>
          <w:highlight w:val="none"/>
          <w:lang w:eastAsia="zh-CN"/>
        </w:rPr>
        <w:t>评审小组</w:t>
      </w:r>
      <w:r>
        <w:rPr>
          <w:rFonts w:hint="eastAsia" w:asciiTheme="minorEastAsia" w:hAnsiTheme="minorEastAsia" w:eastAsiaTheme="minorEastAsia" w:cstheme="minorEastAsia"/>
          <w:color w:val="auto"/>
          <w:szCs w:val="28"/>
          <w:highlight w:val="none"/>
        </w:rPr>
        <w:t>应按照评审报告中推荐的成交候选人排名顺序确定成交供应商。</w:t>
      </w:r>
    </w:p>
    <w:p w14:paraId="0E527539">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（二）程序</w:t>
      </w:r>
    </w:p>
    <w:p w14:paraId="2E2391BC">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1.采购代理机构应当在评审结束之日起2个工作日内将评审报告送</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w:t>
      </w:r>
    </w:p>
    <w:p w14:paraId="4F8B1A23">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应当自收到评审报告之日起5个工作日内按评审报告推荐的成交候选人顺序确定成交供应商。</w:t>
      </w:r>
    </w:p>
    <w:p w14:paraId="7B43F86D">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或者采购代理机构应当自成交供应商确定之日起2个工作日内，在行采家（https://www.gec123.com）</w:t>
      </w:r>
      <w:r>
        <w:rPr>
          <w:rFonts w:hint="eastAsia" w:asciiTheme="minorEastAsia" w:hAnsiTheme="minorEastAsia" w:eastAsiaTheme="minorEastAsia" w:cstheme="minorEastAsia"/>
          <w:color w:val="FF0000"/>
          <w:szCs w:val="28"/>
          <w:highlight w:val="none"/>
        </w:rPr>
        <w:t>上公告成交结果</w:t>
      </w:r>
      <w:r>
        <w:rPr>
          <w:rFonts w:hint="eastAsia" w:asciiTheme="minorEastAsia" w:hAnsiTheme="minorEastAsia" w:eastAsiaTheme="minorEastAsia" w:cstheme="minorEastAsia"/>
          <w:color w:val="auto"/>
          <w:szCs w:val="28"/>
          <w:highlight w:val="none"/>
        </w:rPr>
        <w:t>。结果公告期限为1个工作日。</w:t>
      </w:r>
    </w:p>
    <w:p w14:paraId="11B2BA51">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4.成交供应商变更</w:t>
      </w:r>
    </w:p>
    <w:p w14:paraId="7A2A7BB5">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成交供应商拒绝与</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签订合同的，</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可以按照评审报告推荐的成交候选人顺序，确定排名下一位的候选人为成交供应商，也可以重新开展采购活动。</w:t>
      </w:r>
    </w:p>
    <w:p w14:paraId="35063023">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09" w:name="_Toc7093"/>
      <w:bookmarkStart w:id="210" w:name="_Toc14757"/>
      <w:r>
        <w:rPr>
          <w:rFonts w:hint="eastAsia" w:asciiTheme="minorEastAsia" w:hAnsiTheme="minorEastAsia" w:eastAsiaTheme="minorEastAsia" w:cstheme="minorEastAsia"/>
          <w:color w:val="auto"/>
          <w:highlight w:val="none"/>
        </w:rPr>
        <w:t>七、成交</w:t>
      </w:r>
      <w:bookmarkEnd w:id="209"/>
      <w:bookmarkEnd w:id="210"/>
    </w:p>
    <w:p w14:paraId="02504FB2">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依法确定成交供应商后，采购代理机构进行结果公示。</w:t>
      </w:r>
    </w:p>
    <w:p w14:paraId="213591FA">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（二）结果公示，</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改变成交结果，或者成交供应商放弃成交，应当承担相应的法律责任。</w:t>
      </w:r>
    </w:p>
    <w:p w14:paraId="7170731F">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11" w:name="_Toc12557"/>
      <w:bookmarkStart w:id="212" w:name="_Toc12456"/>
      <w:r>
        <w:rPr>
          <w:rFonts w:hint="eastAsia" w:asciiTheme="minorEastAsia" w:hAnsiTheme="minorEastAsia" w:eastAsiaTheme="minorEastAsia" w:cstheme="minorEastAsia"/>
          <w:color w:val="auto"/>
          <w:highlight w:val="none"/>
        </w:rPr>
        <w:t>八、采购代理服务费</w:t>
      </w:r>
      <w:bookmarkEnd w:id="211"/>
      <w:bookmarkEnd w:id="212"/>
    </w:p>
    <w:p w14:paraId="09F84A24">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bookmarkStart w:id="213" w:name="OLE_LINK8"/>
      <w:bookmarkStart w:id="214" w:name="OLE_LINK7"/>
      <w:r>
        <w:rPr>
          <w:rFonts w:hint="eastAsia" w:asciiTheme="minorEastAsia" w:hAnsiTheme="minorEastAsia" w:eastAsiaTheme="minorEastAsia" w:cstheme="minorEastAsia"/>
          <w:color w:val="auto"/>
          <w:szCs w:val="28"/>
          <w:highlight w:val="none"/>
        </w:rPr>
        <w:t>（一）供应商成交后向采购代理机构缴纳采购代理服务费，采购代理服务费的收取标准按照以下标准执行:</w:t>
      </w:r>
    </w:p>
    <w:bookmarkEnd w:id="213"/>
    <w:bookmarkEnd w:id="214"/>
    <w:p w14:paraId="14AF5BAF">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bookmarkStart w:id="215" w:name="_Toc28733"/>
      <w:r>
        <w:rPr>
          <w:rFonts w:hint="eastAsia" w:asciiTheme="minorEastAsia" w:hAnsiTheme="minorEastAsia" w:eastAsiaTheme="minorEastAsia" w:cstheme="minorEastAsia"/>
          <w:color w:val="auto"/>
          <w:szCs w:val="28"/>
          <w:highlight w:val="none"/>
        </w:rPr>
        <w:t>1.本项目代理服务费由成交供应商支付，即成交供应商在项目结果公告公示一个工作日之后以转账形式一次性支付给采购代理机构。本项目的采购代理服务费</w:t>
      </w:r>
      <w:r>
        <w:rPr>
          <w:rFonts w:hint="eastAsia" w:asciiTheme="minorEastAsia" w:hAnsiTheme="minorEastAsia" w:eastAsiaTheme="minorEastAsia" w:cstheme="minorEastAsia"/>
          <w:color w:val="auto"/>
          <w:szCs w:val="28"/>
          <w:highlight w:val="none"/>
          <w:lang w:val="en-US" w:eastAsia="zh-CN"/>
        </w:rPr>
        <w:t>收费标准参照《招标代理服务收费管理暂行办法[2002]1980号文执行》不足6500元的按6500元收取</w:t>
      </w:r>
      <w:r>
        <w:rPr>
          <w:rFonts w:hint="eastAsia" w:asciiTheme="minorEastAsia" w:hAnsiTheme="minorEastAsia" w:eastAsiaTheme="minorEastAsia" w:cstheme="minorEastAsia"/>
          <w:color w:val="auto"/>
          <w:szCs w:val="28"/>
          <w:highlight w:val="none"/>
        </w:rPr>
        <w:t>。</w:t>
      </w:r>
    </w:p>
    <w:p w14:paraId="52ECB436">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2.采购代理服务费缴纳账户信息：</w:t>
      </w:r>
    </w:p>
    <w:p w14:paraId="61F50038">
      <w:pPr>
        <w:pageBreakBefore w:val="0"/>
        <w:kinsoku/>
        <w:overflowPunct/>
        <w:topLinePunct w:val="0"/>
        <w:autoSpaceDE/>
        <w:autoSpaceDN/>
        <w:bidi w:val="0"/>
        <w:adjustRightInd/>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lang w:eastAsia="zh-CN"/>
        </w:rPr>
      </w:pPr>
      <w:r>
        <w:rPr>
          <w:rFonts w:hint="eastAsia" w:asciiTheme="minorEastAsia" w:hAnsiTheme="minorEastAsia" w:eastAsiaTheme="minorEastAsia" w:cstheme="minorEastAsia"/>
          <w:b/>
          <w:bCs/>
          <w:color w:val="auto"/>
          <w:szCs w:val="28"/>
          <w:highlight w:val="none"/>
        </w:rPr>
        <w:t>户  名：重庆泰锐建设工程项目咨询有限公司</w:t>
      </w:r>
    </w:p>
    <w:p w14:paraId="2FA238D6">
      <w:pPr>
        <w:pageBreakBefore w:val="0"/>
        <w:kinsoku/>
        <w:overflowPunct/>
        <w:topLinePunct w:val="0"/>
        <w:autoSpaceDE/>
        <w:autoSpaceDN/>
        <w:bidi w:val="0"/>
        <w:adjustRightInd/>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开户行：重庆农村商业银行两江分行</w:t>
      </w:r>
    </w:p>
    <w:p w14:paraId="542278A3">
      <w:pPr>
        <w:pageBreakBefore w:val="0"/>
        <w:kinsoku/>
        <w:overflowPunct/>
        <w:topLinePunct w:val="0"/>
        <w:autoSpaceDE/>
        <w:autoSpaceDN/>
        <w:bidi w:val="0"/>
        <w:adjustRightInd/>
        <w:spacing w:line="360" w:lineRule="auto"/>
        <w:ind w:firstLine="562" w:firstLineChars="200"/>
        <w:textAlignment w:val="auto"/>
        <w:rPr>
          <w:rFonts w:hint="eastAsia" w:asciiTheme="minorEastAsia" w:hAnsiTheme="minorEastAsia" w:eastAsiaTheme="minorEastAsia" w:cstheme="minorEastAsia"/>
          <w:b/>
          <w:bCs/>
          <w:color w:val="auto"/>
          <w:sz w:val="24"/>
          <w:szCs w:val="32"/>
        </w:rPr>
      </w:pPr>
      <w:r>
        <w:rPr>
          <w:rFonts w:hint="eastAsia" w:asciiTheme="minorEastAsia" w:hAnsiTheme="minorEastAsia" w:eastAsiaTheme="minorEastAsia" w:cstheme="minorEastAsia"/>
          <w:b/>
          <w:bCs/>
          <w:color w:val="auto"/>
          <w:szCs w:val="28"/>
          <w:highlight w:val="none"/>
        </w:rPr>
        <w:t xml:space="preserve">账  号： 5111010120440000259  </w:t>
      </w:r>
    </w:p>
    <w:p w14:paraId="6BB7CD42">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16" w:name="_Toc8774"/>
      <w:r>
        <w:rPr>
          <w:rFonts w:hint="eastAsia" w:asciiTheme="minorEastAsia" w:hAnsiTheme="minorEastAsia" w:eastAsiaTheme="minorEastAsia" w:cstheme="minorEastAsia"/>
          <w:color w:val="auto"/>
          <w:highlight w:val="none"/>
        </w:rPr>
        <w:t>九、签订合同</w:t>
      </w:r>
      <w:bookmarkEnd w:id="215"/>
      <w:bookmarkEnd w:id="216"/>
    </w:p>
    <w:p w14:paraId="3178CA6E">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原则上应在成交确认书发出之日起二十日内和成交供应商签订采购合同，无正当理由不得拒绝或拖延合同签订。所签订的合同不得对</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和成交供应商响应文件作实质性修改。</w:t>
      </w:r>
      <w:r>
        <w:rPr>
          <w:rFonts w:hint="eastAsia" w:asciiTheme="minorEastAsia" w:hAnsiTheme="minorEastAsia" w:eastAsiaTheme="minorEastAsia" w:cstheme="minorEastAsia"/>
          <w:color w:val="auto"/>
          <w:kern w:val="0"/>
          <w:szCs w:val="28"/>
          <w:highlight w:val="none"/>
        </w:rPr>
        <w:t>其他未尽事宜由</w:t>
      </w:r>
      <w:r>
        <w:rPr>
          <w:rFonts w:hint="eastAsia" w:asciiTheme="minorEastAsia" w:hAnsiTheme="minorEastAsia" w:eastAsiaTheme="minorEastAsia" w:cstheme="minorEastAsia"/>
          <w:color w:val="auto"/>
          <w:kern w:val="0"/>
          <w:szCs w:val="28"/>
          <w:highlight w:val="none"/>
          <w:lang w:eastAsia="zh-CN"/>
        </w:rPr>
        <w:t>比选人</w:t>
      </w:r>
      <w:r>
        <w:rPr>
          <w:rFonts w:hint="eastAsia" w:asciiTheme="minorEastAsia" w:hAnsiTheme="minorEastAsia" w:eastAsiaTheme="minorEastAsia" w:cstheme="minorEastAsia"/>
          <w:color w:val="auto"/>
          <w:kern w:val="0"/>
          <w:szCs w:val="28"/>
          <w:highlight w:val="none"/>
        </w:rPr>
        <w:t>和成交供应商在采购合同中详细约定。</w:t>
      </w:r>
    </w:p>
    <w:p w14:paraId="39BD3B82">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、成交供应商的响应文件及澄清文件等，均为签订采购合同的依据。</w:t>
      </w:r>
    </w:p>
    <w:p w14:paraId="1A129077">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（三）合同生效条款由供需双方约定，法律、行政法规规定应当办理批准、登记等手续后生效的合同，依照其规定。</w:t>
      </w:r>
    </w:p>
    <w:p w14:paraId="35B4CC68">
      <w:pPr>
        <w:pStyle w:val="3"/>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217" w:name="_Toc23965"/>
      <w:bookmarkStart w:id="218" w:name="_Toc11558"/>
      <w:bookmarkStart w:id="219" w:name="_Toc11349"/>
      <w:bookmarkStart w:id="220" w:name="_Toc23671"/>
      <w:bookmarkStart w:id="221" w:name="_Toc1406"/>
      <w:bookmarkStart w:id="222" w:name="_Toc4923"/>
      <w:bookmarkStart w:id="223" w:name="_Toc4207"/>
      <w:bookmarkStart w:id="224" w:name="_Toc13934"/>
      <w:bookmarkStart w:id="225" w:name="_Toc106030411"/>
      <w:bookmarkStart w:id="226" w:name="_Toc13027"/>
      <w:bookmarkStart w:id="227" w:name="_Toc25795"/>
      <w:bookmarkStart w:id="228" w:name="_Toc29139"/>
      <w:bookmarkStart w:id="229" w:name="_Toc26438"/>
      <w:bookmarkStart w:id="230" w:name="_Toc9393"/>
      <w:bookmarkStart w:id="231" w:name="_Toc23473"/>
      <w:bookmarkStart w:id="232" w:name="_Toc31656"/>
      <w:r>
        <w:rPr>
          <w:rFonts w:hint="eastAsia" w:asciiTheme="minorEastAsia" w:hAnsiTheme="minorEastAsia" w:eastAsiaTheme="minorEastAsia" w:cstheme="minorEastAsia"/>
          <w:color w:val="auto"/>
          <w:highlight w:val="none"/>
        </w:rPr>
        <w:t>十、</w:t>
      </w:r>
      <w:bookmarkEnd w:id="217"/>
      <w:bookmarkEnd w:id="218"/>
      <w:bookmarkEnd w:id="219"/>
      <w:bookmarkEnd w:id="220"/>
      <w:r>
        <w:rPr>
          <w:rFonts w:hint="eastAsia" w:asciiTheme="minorEastAsia" w:hAnsiTheme="minorEastAsia" w:eastAsiaTheme="minorEastAsia" w:cstheme="minorEastAsia"/>
          <w:color w:val="auto"/>
          <w:highlight w:val="none"/>
        </w:rPr>
        <w:t>项目验收</w:t>
      </w:r>
      <w:bookmarkEnd w:id="221"/>
      <w:bookmarkEnd w:id="222"/>
      <w:bookmarkEnd w:id="223"/>
      <w:bookmarkEnd w:id="224"/>
      <w:bookmarkEnd w:id="225"/>
      <w:bookmarkEnd w:id="226"/>
      <w:bookmarkEnd w:id="227"/>
      <w:bookmarkEnd w:id="228"/>
      <w:bookmarkEnd w:id="229"/>
      <w:bookmarkEnd w:id="230"/>
      <w:bookmarkEnd w:id="231"/>
      <w:bookmarkEnd w:id="232"/>
    </w:p>
    <w:p w14:paraId="08929ABC">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color w:val="auto"/>
          <w:szCs w:val="28"/>
          <w:highlight w:val="none"/>
        </w:rPr>
        <w:t>合同执行完毕，</w:t>
      </w:r>
      <w:r>
        <w:rPr>
          <w:rFonts w:hint="eastAsia" w:asciiTheme="minorEastAsia" w:hAnsiTheme="minorEastAsia" w:eastAsiaTheme="minorEastAsia" w:cstheme="minorEastAsia"/>
          <w:color w:val="auto"/>
          <w:szCs w:val="28"/>
          <w:highlight w:val="none"/>
          <w:lang w:eastAsia="zh-CN"/>
        </w:rPr>
        <w:t>比选人</w:t>
      </w:r>
      <w:r>
        <w:rPr>
          <w:rFonts w:hint="eastAsia" w:asciiTheme="minorEastAsia" w:hAnsiTheme="minorEastAsia" w:eastAsiaTheme="minorEastAsia" w:cstheme="minorEastAsia"/>
          <w:color w:val="auto"/>
          <w:szCs w:val="28"/>
          <w:highlight w:val="none"/>
        </w:rPr>
        <w:t>或采购代理机构原则上应在7个工作日内组织履约情况验收，不得无故拖延或附加额外条件。</w:t>
      </w:r>
      <w:bookmarkStart w:id="233" w:name="_Toc13050"/>
      <w:bookmarkStart w:id="234" w:name="_Toc15435"/>
      <w:bookmarkStart w:id="235" w:name="_Toc31383"/>
      <w:bookmarkStart w:id="236" w:name="_Toc75793535"/>
      <w:bookmarkStart w:id="237" w:name="_Toc19188"/>
      <w:bookmarkStart w:id="238" w:name="_Toc3421"/>
      <w:bookmarkStart w:id="239" w:name="_Toc13002"/>
      <w:bookmarkStart w:id="240" w:name="_Toc21850"/>
      <w:bookmarkStart w:id="241" w:name="_Toc20328"/>
      <w:bookmarkStart w:id="242" w:name="_Toc13368"/>
      <w:bookmarkStart w:id="243" w:name="_Toc2195"/>
      <w:bookmarkStart w:id="244" w:name="_Toc31578"/>
    </w:p>
    <w:bookmarkEnd w:id="233"/>
    <w:bookmarkEnd w:id="234"/>
    <w:bookmarkEnd w:id="235"/>
    <w:bookmarkEnd w:id="236"/>
    <w:bookmarkEnd w:id="237"/>
    <w:bookmarkEnd w:id="238"/>
    <w:bookmarkEnd w:id="239"/>
    <w:bookmarkEnd w:id="240"/>
    <w:bookmarkEnd w:id="241"/>
    <w:bookmarkEnd w:id="242"/>
    <w:bookmarkEnd w:id="243"/>
    <w:bookmarkEnd w:id="244"/>
    <w:p w14:paraId="2926FE3B">
      <w:pPr>
        <w:pageBreakBefore w:val="0"/>
        <w:kinsoku/>
        <w:overflowPunct/>
        <w:topLinePunct w:val="0"/>
        <w:autoSpaceDE/>
        <w:autoSpaceDN/>
        <w:bidi w:val="0"/>
        <w:adjustRightInd/>
        <w:spacing w:line="360" w:lineRule="auto"/>
        <w:textAlignment w:val="auto"/>
        <w:rPr>
          <w:rStyle w:val="35"/>
          <w:rFonts w:hint="eastAsia" w:asciiTheme="minorEastAsia" w:hAnsiTheme="minorEastAsia" w:eastAsiaTheme="minorEastAsia" w:cstheme="minorEastAsia"/>
          <w:color w:val="auto"/>
          <w:highlight w:val="none"/>
        </w:rPr>
      </w:pPr>
    </w:p>
    <w:p w14:paraId="2F2CD5E3">
      <w:pPr>
        <w:rPr>
          <w:rFonts w:hint="eastAsia" w:asciiTheme="minorEastAsia" w:hAnsiTheme="minorEastAsia" w:eastAsiaTheme="minorEastAsia" w:cstheme="minorEastAsia"/>
          <w:color w:val="auto"/>
          <w:highlight w:val="none"/>
        </w:rPr>
      </w:pPr>
      <w:bookmarkStart w:id="245" w:name="_Toc24661"/>
      <w:bookmarkStart w:id="246" w:name="_Toc6070"/>
      <w:bookmarkStart w:id="247" w:name="_Toc27199"/>
      <w:r>
        <w:rPr>
          <w:rFonts w:hint="eastAsia" w:asciiTheme="minorEastAsia" w:hAnsiTheme="minorEastAsia" w:eastAsiaTheme="minorEastAsia" w:cstheme="minorEastAsia"/>
          <w:color w:val="auto"/>
          <w:highlight w:val="none"/>
        </w:rPr>
        <w:br w:type="page"/>
      </w:r>
    </w:p>
    <w:bookmarkEnd w:id="187"/>
    <w:bookmarkEnd w:id="245"/>
    <w:bookmarkEnd w:id="246"/>
    <w:bookmarkEnd w:id="247"/>
    <w:p w14:paraId="6477B573">
      <w:pPr>
        <w:pStyle w:val="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44"/>
          <w:szCs w:val="44"/>
          <w:highlight w:val="none"/>
        </w:rPr>
      </w:pPr>
      <w:bookmarkStart w:id="248" w:name="_Toc3647"/>
      <w:bookmarkStart w:id="249" w:name="_Toc13547"/>
      <w:bookmarkStart w:id="250" w:name="_Toc11398"/>
      <w:bookmarkStart w:id="251" w:name="_Toc27943"/>
      <w:bookmarkStart w:id="252" w:name="_Toc75793540"/>
      <w:bookmarkStart w:id="253" w:name="_Toc31914"/>
      <w:bookmarkStart w:id="254" w:name="_Toc10124"/>
      <w:bookmarkStart w:id="255" w:name="_Toc23145"/>
      <w:bookmarkStart w:id="256" w:name="_Toc29821"/>
      <w:bookmarkStart w:id="257" w:name="_Toc106030417"/>
      <w:bookmarkStart w:id="258" w:name="_Toc21561"/>
      <w:bookmarkStart w:id="259" w:name="_Toc23361"/>
      <w:bookmarkStart w:id="260" w:name="_Toc429584884"/>
      <w:bookmarkStart w:id="261" w:name="_Toc14552"/>
      <w:bookmarkStart w:id="262" w:name="_Toc15893"/>
      <w:bookmarkStart w:id="263" w:name="_Toc27612"/>
      <w:bookmarkStart w:id="264" w:name="_Toc31828"/>
      <w:bookmarkStart w:id="265" w:name="_Toc25659"/>
      <w:bookmarkStart w:id="266" w:name="_Toc14568"/>
      <w:bookmarkStart w:id="267" w:name="_Toc27722"/>
      <w:bookmarkStart w:id="268" w:name="_Toc17074"/>
      <w:r>
        <w:rPr>
          <w:rFonts w:hint="eastAsia" w:asciiTheme="minorEastAsia" w:hAnsiTheme="minorEastAsia" w:eastAsiaTheme="minorEastAsia" w:cstheme="minorEastAsia"/>
          <w:color w:val="auto"/>
          <w:sz w:val="44"/>
          <w:szCs w:val="44"/>
          <w:highlight w:val="none"/>
        </w:rPr>
        <w:t>第六篇 响应文件格式</w:t>
      </w:r>
      <w:bookmarkEnd w:id="248"/>
    </w:p>
    <w:p w14:paraId="5AA61870">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2E7D97F6">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0A4C6B7">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7D8095BA">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71EB0FB">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BB4F763">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16501C4">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1C2E91D">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C706D91">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58DC89D">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D1FEC29">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D3A1220">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6A70FABE">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284BCDF2">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1217E35C">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97495C5">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0A3E5D42">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5B0066D0">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76014AF">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3815EFEF">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66459BEB">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w w:val="99"/>
          <w:kern w:val="0"/>
          <w:sz w:val="32"/>
          <w:szCs w:val="32"/>
          <w:highlight w:val="none"/>
          <w:u w:val="single"/>
          <w:lang w:val="en-US" w:eastAsia="zh-CN"/>
        </w:rPr>
      </w:pPr>
    </w:p>
    <w:p w14:paraId="4912EB76">
      <w:pPr>
        <w:tabs>
          <w:tab w:val="left" w:pos="1695"/>
          <w:tab w:val="left" w:pos="3370"/>
          <w:tab w:val="left" w:pos="5555"/>
        </w:tabs>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w w:val="99"/>
          <w:kern w:val="0"/>
          <w:sz w:val="32"/>
          <w:szCs w:val="32"/>
          <w:highlight w:val="none"/>
          <w:u w:val="single"/>
          <w:lang w:val="en-US" w:eastAsia="zh-CN"/>
        </w:rPr>
        <w:t xml:space="preserve">                                     </w:t>
      </w:r>
      <w:r>
        <w:rPr>
          <w:rFonts w:hint="eastAsia" w:asciiTheme="minorEastAsia" w:hAnsiTheme="minorEastAsia" w:eastAsiaTheme="minorEastAsia" w:cstheme="minorEastAsia"/>
          <w:b/>
          <w:color w:val="auto"/>
          <w:w w:val="99"/>
          <w:kern w:val="0"/>
          <w:sz w:val="32"/>
          <w:szCs w:val="32"/>
          <w:highlight w:val="none"/>
        </w:rPr>
        <w:t>（项目名称）</w:t>
      </w:r>
    </w:p>
    <w:p w14:paraId="099CB248">
      <w:pPr>
        <w:tabs>
          <w:tab w:val="left" w:pos="3600"/>
          <w:tab w:val="left" w:pos="4480"/>
          <w:tab w:val="left" w:pos="5360"/>
        </w:tabs>
        <w:autoSpaceDE w:val="0"/>
        <w:autoSpaceDN w:val="0"/>
        <w:adjustRightInd w:val="0"/>
        <w:snapToGrid w:val="0"/>
        <w:spacing w:line="360" w:lineRule="auto"/>
        <w:jc w:val="right"/>
        <w:rPr>
          <w:rFonts w:hint="eastAsia" w:asciiTheme="minorEastAsia" w:hAnsiTheme="minorEastAsia" w:eastAsiaTheme="minorEastAsia" w:cstheme="minorEastAsia"/>
          <w:color w:val="auto"/>
          <w:kern w:val="0"/>
          <w:sz w:val="32"/>
          <w:szCs w:val="32"/>
          <w:highlight w:val="none"/>
          <w:lang w:val="en-US" w:eastAsia="zh-CN"/>
        </w:rPr>
      </w:pPr>
      <w:r>
        <w:rPr>
          <w:rFonts w:hint="eastAsia" w:asciiTheme="minorEastAsia" w:hAnsiTheme="minorEastAsia" w:eastAsiaTheme="minorEastAsia" w:cstheme="minorEastAsia"/>
          <w:color w:val="auto"/>
          <w:kern w:val="0"/>
          <w:sz w:val="32"/>
          <w:szCs w:val="32"/>
          <w:highlight w:val="none"/>
          <w:lang w:eastAsia="zh-CN"/>
        </w:rPr>
        <w:t>正本</w:t>
      </w:r>
      <w:r>
        <w:rPr>
          <w:rFonts w:hint="eastAsia" w:asciiTheme="minorEastAsia" w:hAnsiTheme="minorEastAsia" w:eastAsiaTheme="minorEastAsia" w:cstheme="minorEastAsia"/>
          <w:color w:val="auto"/>
          <w:kern w:val="0"/>
          <w:sz w:val="32"/>
          <w:szCs w:val="32"/>
          <w:highlight w:val="none"/>
          <w:lang w:val="en-US" w:eastAsia="zh-CN"/>
        </w:rPr>
        <w:t>/副本</w:t>
      </w:r>
    </w:p>
    <w:p w14:paraId="577D12BD">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14:paraId="18F4DDE9">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84"/>
          <w:szCs w:val="84"/>
          <w:highlight w:val="none"/>
        </w:rPr>
      </w:pPr>
    </w:p>
    <w:p w14:paraId="3E9EF3DF">
      <w:pPr>
        <w:tabs>
          <w:tab w:val="left" w:pos="3600"/>
          <w:tab w:val="left" w:pos="4480"/>
          <w:tab w:val="left" w:pos="536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kern w:val="0"/>
          <w:sz w:val="84"/>
          <w:szCs w:val="84"/>
          <w:highlight w:val="none"/>
          <w:lang w:eastAsia="zh-CN"/>
        </w:rPr>
      </w:pPr>
      <w:r>
        <w:rPr>
          <w:rFonts w:hint="eastAsia" w:asciiTheme="minorEastAsia" w:hAnsiTheme="minorEastAsia" w:eastAsiaTheme="minorEastAsia" w:cstheme="minorEastAsia"/>
          <w:b/>
          <w:bCs w:val="0"/>
          <w:color w:val="auto"/>
          <w:kern w:val="0"/>
          <w:sz w:val="84"/>
          <w:szCs w:val="84"/>
          <w:highlight w:val="none"/>
          <w:lang w:val="en-US" w:eastAsia="zh-CN"/>
        </w:rPr>
        <w:t>响应</w:t>
      </w:r>
      <w:r>
        <w:rPr>
          <w:rFonts w:hint="eastAsia" w:asciiTheme="minorEastAsia" w:hAnsiTheme="minorEastAsia" w:eastAsiaTheme="minorEastAsia" w:cstheme="minorEastAsia"/>
          <w:b/>
          <w:bCs w:val="0"/>
          <w:color w:val="auto"/>
          <w:kern w:val="0"/>
          <w:sz w:val="84"/>
          <w:szCs w:val="84"/>
          <w:highlight w:val="none"/>
          <w:lang w:eastAsia="zh-CN"/>
        </w:rPr>
        <w:t>文件</w:t>
      </w:r>
    </w:p>
    <w:p w14:paraId="4F4C184D">
      <w:pPr>
        <w:autoSpaceDE w:val="0"/>
        <w:autoSpaceDN w:val="0"/>
        <w:adjustRightInd w:val="0"/>
        <w:snapToGrid w:val="0"/>
        <w:spacing w:line="360" w:lineRule="auto"/>
        <w:jc w:val="left"/>
        <w:rPr>
          <w:rFonts w:hint="eastAsia" w:asciiTheme="minorEastAsia" w:hAnsiTheme="minorEastAsia" w:eastAsiaTheme="minorEastAsia" w:cstheme="minorEastAsia"/>
          <w:color w:val="auto"/>
          <w:kern w:val="0"/>
          <w:sz w:val="44"/>
          <w:szCs w:val="44"/>
          <w:highlight w:val="none"/>
        </w:rPr>
      </w:pPr>
    </w:p>
    <w:p w14:paraId="72D471DD">
      <w:pPr>
        <w:autoSpaceDE w:val="0"/>
        <w:autoSpaceDN w:val="0"/>
        <w:adjustRightInd w:val="0"/>
        <w:snapToGrid w:val="0"/>
        <w:spacing w:line="360" w:lineRule="auto"/>
        <w:jc w:val="center"/>
        <w:rPr>
          <w:rFonts w:hint="eastAsia" w:asciiTheme="minorEastAsia" w:hAnsiTheme="minorEastAsia" w:eastAsiaTheme="minorEastAsia" w:cstheme="minorEastAsia"/>
          <w:b/>
          <w:color w:val="auto"/>
          <w:kern w:val="0"/>
          <w:sz w:val="44"/>
          <w:szCs w:val="44"/>
          <w:highlight w:val="none"/>
        </w:rPr>
      </w:pPr>
      <w:r>
        <w:rPr>
          <w:rFonts w:hint="eastAsia" w:asciiTheme="minorEastAsia" w:hAnsiTheme="minorEastAsia" w:eastAsiaTheme="minorEastAsia" w:cstheme="minorEastAsia"/>
          <w:color w:val="auto"/>
          <w:sz w:val="44"/>
          <w:szCs w:val="44"/>
          <w:highlight w:val="none"/>
        </w:rPr>
        <w:t xml:space="preserve"> </w:t>
      </w:r>
    </w:p>
    <w:p w14:paraId="61D89D65">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2CA54027">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509EB1B0">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 w:val="24"/>
          <w:szCs w:val="24"/>
          <w:highlight w:val="none"/>
        </w:rPr>
      </w:pPr>
    </w:p>
    <w:p w14:paraId="481C3D40">
      <w:pPr>
        <w:autoSpaceDE w:val="0"/>
        <w:autoSpaceDN w:val="0"/>
        <w:adjustRightInd w:val="0"/>
        <w:snapToGrid w:val="0"/>
        <w:spacing w:line="360" w:lineRule="auto"/>
        <w:jc w:val="left"/>
        <w:rPr>
          <w:rFonts w:hint="eastAsia" w:asciiTheme="minorEastAsia" w:hAnsiTheme="minorEastAsia" w:eastAsiaTheme="minorEastAsia" w:cstheme="minorEastAsia"/>
          <w:b/>
          <w:color w:val="auto"/>
          <w:kern w:val="0"/>
          <w:szCs w:val="28"/>
          <w:highlight w:val="none"/>
        </w:rPr>
      </w:pPr>
    </w:p>
    <w:p w14:paraId="1CFF9A27">
      <w:pPr>
        <w:tabs>
          <w:tab w:val="left" w:pos="6080"/>
          <w:tab w:val="left" w:pos="664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w w:val="99"/>
          <w:kern w:val="0"/>
          <w:szCs w:val="28"/>
          <w:highlight w:val="none"/>
        </w:rPr>
      </w:pPr>
      <w:r>
        <w:rPr>
          <w:rFonts w:hint="eastAsia" w:asciiTheme="minorEastAsia" w:hAnsiTheme="minorEastAsia" w:eastAsiaTheme="minorEastAsia" w:cstheme="minorEastAsia"/>
          <w:b/>
          <w:bCs w:val="0"/>
          <w:color w:val="auto"/>
          <w:w w:val="99"/>
          <w:kern w:val="0"/>
          <w:szCs w:val="28"/>
          <w:highlight w:val="none"/>
          <w:lang w:eastAsia="zh-CN"/>
        </w:rPr>
        <w:t>供应商</w:t>
      </w:r>
      <w:r>
        <w:rPr>
          <w:rFonts w:hint="eastAsia" w:asciiTheme="minorEastAsia" w:hAnsiTheme="minorEastAsia" w:eastAsiaTheme="minorEastAsia" w:cstheme="minorEastAsia"/>
          <w:b/>
          <w:bCs w:val="0"/>
          <w:color w:val="auto"/>
          <w:spacing w:val="1"/>
          <w:w w:val="99"/>
          <w:kern w:val="0"/>
          <w:szCs w:val="28"/>
          <w:highlight w:val="none"/>
        </w:rPr>
        <w:t>：</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（盖单位公章）</w:t>
      </w:r>
    </w:p>
    <w:p w14:paraId="4032E7A2">
      <w:pPr>
        <w:tabs>
          <w:tab w:val="left" w:pos="6080"/>
          <w:tab w:val="left" w:pos="664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w w:val="99"/>
          <w:kern w:val="0"/>
          <w:szCs w:val="28"/>
          <w:highlight w:val="none"/>
        </w:rPr>
      </w:pPr>
      <w:r>
        <w:rPr>
          <w:rFonts w:hint="eastAsia" w:asciiTheme="minorEastAsia" w:hAnsiTheme="minorEastAsia" w:eastAsiaTheme="minorEastAsia" w:cstheme="minorEastAsia"/>
          <w:b/>
          <w:bCs w:val="0"/>
          <w:color w:val="auto"/>
          <w:w w:val="99"/>
          <w:kern w:val="0"/>
          <w:szCs w:val="28"/>
          <w:highlight w:val="none"/>
        </w:rPr>
        <w:t>法定代表人或其委托代理人：</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（签字）</w:t>
      </w:r>
    </w:p>
    <w:p w14:paraId="5151F41B">
      <w:pPr>
        <w:tabs>
          <w:tab w:val="left" w:pos="6080"/>
          <w:tab w:val="left" w:pos="664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kern w:val="0"/>
          <w:szCs w:val="28"/>
          <w:highlight w:val="none"/>
        </w:rPr>
      </w:pPr>
    </w:p>
    <w:p w14:paraId="1E0E3684">
      <w:pPr>
        <w:tabs>
          <w:tab w:val="left" w:pos="3280"/>
          <w:tab w:val="left" w:pos="4680"/>
          <w:tab w:val="left" w:pos="6080"/>
        </w:tabs>
        <w:autoSpaceDE w:val="0"/>
        <w:autoSpaceDN w:val="0"/>
        <w:adjustRightInd w:val="0"/>
        <w:snapToGrid w:val="0"/>
        <w:spacing w:line="360" w:lineRule="auto"/>
        <w:jc w:val="center"/>
        <w:rPr>
          <w:rFonts w:hint="eastAsia" w:asciiTheme="minorEastAsia" w:hAnsiTheme="minorEastAsia" w:eastAsiaTheme="minorEastAsia" w:cstheme="minorEastAsia"/>
          <w:b/>
          <w:bCs w:val="0"/>
          <w:color w:val="auto"/>
          <w:w w:val="99"/>
          <w:kern w:val="0"/>
          <w:szCs w:val="28"/>
          <w:highlight w:val="none"/>
        </w:rPr>
      </w:pP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年</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月</w:t>
      </w:r>
      <w:r>
        <w:rPr>
          <w:rFonts w:hint="eastAsia" w:asciiTheme="minorEastAsia" w:hAnsiTheme="minorEastAsia" w:eastAsiaTheme="minorEastAsia" w:cstheme="minorEastAsia"/>
          <w:b/>
          <w:bCs w:val="0"/>
          <w:color w:val="auto"/>
          <w:w w:val="198"/>
          <w:kern w:val="0"/>
          <w:szCs w:val="28"/>
          <w:highlight w:val="none"/>
          <w:u w:val="single"/>
        </w:rPr>
        <w:t xml:space="preserve">  </w:t>
      </w:r>
      <w:r>
        <w:rPr>
          <w:rFonts w:hint="eastAsia" w:asciiTheme="minorEastAsia" w:hAnsiTheme="minorEastAsia" w:eastAsiaTheme="minorEastAsia" w:cstheme="minorEastAsia"/>
          <w:b/>
          <w:bCs w:val="0"/>
          <w:color w:val="auto"/>
          <w:w w:val="99"/>
          <w:kern w:val="0"/>
          <w:szCs w:val="28"/>
          <w:highlight w:val="none"/>
        </w:rPr>
        <w:t>日</w:t>
      </w:r>
    </w:p>
    <w:p w14:paraId="7E3D7D2F">
      <w:pPr>
        <w:tabs>
          <w:tab w:val="left" w:pos="3280"/>
          <w:tab w:val="left" w:pos="4680"/>
          <w:tab w:val="left" w:pos="6080"/>
        </w:tabs>
        <w:autoSpaceDE w:val="0"/>
        <w:autoSpaceDN w:val="0"/>
        <w:adjustRightInd w:val="0"/>
        <w:snapToGrid w:val="0"/>
        <w:spacing w:line="360" w:lineRule="auto"/>
        <w:jc w:val="center"/>
        <w:rPr>
          <w:rStyle w:val="29"/>
          <w:rFonts w:hint="eastAsia" w:asciiTheme="minorEastAsia" w:hAnsiTheme="minorEastAsia" w:eastAsiaTheme="minorEastAsia" w:cstheme="minorEastAsia"/>
          <w:b/>
          <w:bCs/>
          <w:color w:val="auto"/>
          <w:highlight w:val="none"/>
          <w:lang w:val="en-US" w:eastAsia="zh-CN"/>
        </w:rPr>
      </w:pPr>
    </w:p>
    <w:p w14:paraId="0136BBA3">
      <w:pPr>
        <w:tabs>
          <w:tab w:val="left" w:pos="3280"/>
          <w:tab w:val="left" w:pos="4680"/>
          <w:tab w:val="left" w:pos="6080"/>
        </w:tabs>
        <w:autoSpaceDE w:val="0"/>
        <w:autoSpaceDN w:val="0"/>
        <w:adjustRightInd w:val="0"/>
        <w:snapToGrid w:val="0"/>
        <w:spacing w:line="360" w:lineRule="auto"/>
        <w:jc w:val="center"/>
        <w:rPr>
          <w:rStyle w:val="29"/>
          <w:rFonts w:hint="eastAsia" w:asciiTheme="minorEastAsia" w:hAnsiTheme="minorEastAsia" w:eastAsiaTheme="minorEastAsia" w:cstheme="minorEastAsia"/>
          <w:b/>
          <w:bCs/>
          <w:color w:val="auto"/>
          <w:highlight w:val="none"/>
          <w:lang w:val="en-US" w:eastAsia="zh-CN"/>
        </w:rPr>
      </w:pPr>
    </w:p>
    <w:p w14:paraId="0D43D1B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rPr>
      </w:pPr>
      <w:bookmarkStart w:id="269" w:name="_Toc30939"/>
      <w:bookmarkStart w:id="270" w:name="_Toc9790"/>
      <w:bookmarkStart w:id="271" w:name="_Toc10248"/>
      <w:bookmarkStart w:id="272" w:name="_Toc15251"/>
      <w:bookmarkStart w:id="273" w:name="_Toc22811"/>
    </w:p>
    <w:p w14:paraId="35C056B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目录</w:t>
      </w:r>
    </w:p>
    <w:p w14:paraId="53B711E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一、</w:t>
      </w:r>
      <w:bookmarkEnd w:id="269"/>
      <w:bookmarkEnd w:id="270"/>
      <w:bookmarkEnd w:id="271"/>
      <w:bookmarkEnd w:id="272"/>
      <w:bookmarkEnd w:id="273"/>
      <w:r>
        <w:rPr>
          <w:rFonts w:hint="eastAsia" w:asciiTheme="minorEastAsia" w:hAnsiTheme="minorEastAsia" w:eastAsiaTheme="minorEastAsia" w:cstheme="minorEastAsia"/>
          <w:b/>
          <w:bCs/>
          <w:color w:val="auto"/>
          <w:highlight w:val="none"/>
          <w:lang w:eastAsia="zh-CN"/>
        </w:rPr>
        <w:t>经济部分</w:t>
      </w:r>
    </w:p>
    <w:p w14:paraId="04A5FAF7">
      <w:pPr>
        <w:pageBreakBefore w:val="0"/>
        <w:kinsoku/>
        <w:overflowPunct/>
        <w:topLinePunct w:val="0"/>
        <w:autoSpaceDE/>
        <w:autoSpaceDN/>
        <w:bidi w:val="0"/>
        <w:adjustRightInd/>
        <w:spacing w:line="360" w:lineRule="auto"/>
        <w:ind w:firstLine="1120" w:firstLineChars="4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报价一览表</w:t>
      </w:r>
    </w:p>
    <w:p w14:paraId="086A7EC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rPr>
      </w:pPr>
      <w:bookmarkStart w:id="274" w:name="_Toc18890"/>
      <w:bookmarkStart w:id="275" w:name="_Toc26002"/>
      <w:bookmarkStart w:id="276" w:name="_Toc254"/>
      <w:bookmarkStart w:id="277" w:name="_Toc26419"/>
      <w:bookmarkStart w:id="278" w:name="_Toc24000"/>
      <w:r>
        <w:rPr>
          <w:rFonts w:hint="eastAsia" w:asciiTheme="minorEastAsia" w:hAnsiTheme="minorEastAsia" w:eastAsiaTheme="minorEastAsia" w:cstheme="minorEastAsia"/>
          <w:b/>
          <w:bCs/>
          <w:color w:val="auto"/>
          <w:highlight w:val="none"/>
        </w:rPr>
        <w:t>二、资格</w:t>
      </w:r>
      <w:bookmarkEnd w:id="274"/>
      <w:bookmarkEnd w:id="275"/>
      <w:bookmarkEnd w:id="276"/>
      <w:bookmarkEnd w:id="277"/>
      <w:r>
        <w:rPr>
          <w:rFonts w:hint="eastAsia" w:asciiTheme="minorEastAsia" w:hAnsiTheme="minorEastAsia" w:eastAsiaTheme="minorEastAsia" w:cstheme="minorEastAsia"/>
          <w:b/>
          <w:bCs/>
          <w:color w:val="auto"/>
          <w:highlight w:val="none"/>
        </w:rPr>
        <w:t>文件</w:t>
      </w:r>
      <w:bookmarkEnd w:id="278"/>
    </w:p>
    <w:p w14:paraId="71D9FE8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（一）法人营业执照（副本）或事业单位法人证书（副本）或个体工商户营业执照或有效的自然人身份证明或社会团体法人登记证书复印件</w:t>
      </w:r>
    </w:p>
    <w:p w14:paraId="060D365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（二）法定代表人身份证明书（格式）</w:t>
      </w:r>
    </w:p>
    <w:p w14:paraId="3ECA098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（三）法定代表人授权委托书（格式）</w:t>
      </w:r>
    </w:p>
    <w:p w14:paraId="33B934C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其他</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rPr>
        <w:t>承诺函（格式）</w:t>
      </w:r>
    </w:p>
    <w:p w14:paraId="3ECB05A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（五）特定资格条件（如有）</w:t>
      </w:r>
    </w:p>
    <w:p w14:paraId="44065C5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lang w:eastAsia="zh-CN"/>
        </w:rPr>
      </w:pPr>
      <w:bookmarkStart w:id="279" w:name="_Toc11535"/>
      <w:bookmarkStart w:id="280" w:name="_Toc19972"/>
      <w:bookmarkStart w:id="281" w:name="_Toc16080"/>
      <w:bookmarkStart w:id="282" w:name="_Toc7698"/>
      <w:bookmarkStart w:id="283" w:name="_Toc6114"/>
      <w:r>
        <w:rPr>
          <w:rFonts w:hint="eastAsia" w:asciiTheme="minorEastAsia" w:hAnsiTheme="minorEastAsia" w:eastAsiaTheme="minorEastAsia" w:cstheme="minorEastAsia"/>
          <w:b/>
          <w:bCs/>
          <w:color w:val="auto"/>
          <w:highlight w:val="none"/>
        </w:rPr>
        <w:t>三、</w:t>
      </w:r>
      <w:bookmarkEnd w:id="279"/>
      <w:bookmarkEnd w:id="280"/>
      <w:bookmarkEnd w:id="281"/>
      <w:bookmarkEnd w:id="282"/>
      <w:bookmarkEnd w:id="283"/>
      <w:r>
        <w:rPr>
          <w:rFonts w:hint="eastAsia" w:asciiTheme="minorEastAsia" w:hAnsiTheme="minorEastAsia" w:eastAsiaTheme="minorEastAsia" w:cstheme="minorEastAsia"/>
          <w:b/>
          <w:bCs/>
          <w:color w:val="auto"/>
          <w:highlight w:val="none"/>
          <w:lang w:eastAsia="zh-CN"/>
        </w:rPr>
        <w:t>服务部分</w:t>
      </w:r>
    </w:p>
    <w:p w14:paraId="2F48AD8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rPr>
        <w:t>（一）服务条款差异表</w:t>
      </w:r>
      <w:r>
        <w:rPr>
          <w:rFonts w:hint="eastAsia" w:asciiTheme="minorEastAsia" w:hAnsiTheme="minorEastAsia" w:eastAsiaTheme="minorEastAsia" w:cstheme="minorEastAsia"/>
          <w:color w:val="auto"/>
          <w:szCs w:val="28"/>
          <w:highlight w:val="none"/>
        </w:rPr>
        <w:br w:type="textWrapping"/>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二</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其他优惠承诺</w:t>
      </w:r>
    </w:p>
    <w:p w14:paraId="0E4D17C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lang w:eastAsia="zh-CN"/>
        </w:rPr>
      </w:pPr>
      <w:bookmarkStart w:id="284" w:name="_Toc32049"/>
      <w:bookmarkStart w:id="285" w:name="_Toc29209"/>
      <w:bookmarkStart w:id="286" w:name="_Toc15817"/>
      <w:bookmarkStart w:id="287" w:name="_Toc29874"/>
      <w:bookmarkStart w:id="288" w:name="_Toc8479"/>
      <w:r>
        <w:rPr>
          <w:rFonts w:hint="eastAsia" w:asciiTheme="minorEastAsia" w:hAnsiTheme="minorEastAsia" w:eastAsiaTheme="minorEastAsia" w:cstheme="minorEastAsia"/>
          <w:b/>
          <w:bCs/>
          <w:color w:val="auto"/>
          <w:highlight w:val="none"/>
        </w:rPr>
        <w:t>四、</w:t>
      </w:r>
      <w:bookmarkEnd w:id="284"/>
      <w:bookmarkEnd w:id="285"/>
      <w:bookmarkEnd w:id="286"/>
      <w:bookmarkEnd w:id="287"/>
      <w:bookmarkEnd w:id="288"/>
      <w:r>
        <w:rPr>
          <w:rFonts w:hint="eastAsia" w:asciiTheme="minorEastAsia" w:hAnsiTheme="minorEastAsia" w:eastAsiaTheme="minorEastAsia" w:cstheme="minorEastAsia"/>
          <w:b/>
          <w:bCs/>
          <w:color w:val="auto"/>
          <w:highlight w:val="none"/>
          <w:lang w:eastAsia="zh-CN"/>
        </w:rPr>
        <w:t>商务部分</w:t>
      </w:r>
    </w:p>
    <w:p w14:paraId="0683639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szCs w:val="28"/>
          <w:highlight w:val="none"/>
          <w:lang w:val="en-US" w:eastAsia="zh-CN"/>
        </w:rPr>
        <w:t>响应</w:t>
      </w:r>
      <w:r>
        <w:rPr>
          <w:rFonts w:hint="eastAsia" w:asciiTheme="minorEastAsia" w:hAnsiTheme="minorEastAsia" w:eastAsiaTheme="minorEastAsia" w:cstheme="minorEastAsia"/>
          <w:color w:val="auto"/>
          <w:szCs w:val="28"/>
          <w:highlight w:val="none"/>
        </w:rPr>
        <w:t>函</w:t>
      </w:r>
    </w:p>
    <w:p w14:paraId="5AE3CAC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（二）商务条款差异表</w:t>
      </w:r>
    </w:p>
    <w:p w14:paraId="74108F8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Theme="minorEastAsia" w:hAnsiTheme="minorEastAsia" w:eastAsiaTheme="minorEastAsia" w:cstheme="minorEastAsia"/>
          <w:b/>
          <w:bCs/>
          <w:color w:val="auto"/>
          <w:highlight w:val="none"/>
        </w:rPr>
      </w:pPr>
      <w:bookmarkStart w:id="289" w:name="_Toc8893"/>
      <w:bookmarkStart w:id="290" w:name="_Toc28431"/>
      <w:bookmarkStart w:id="291" w:name="_Toc19746"/>
      <w:bookmarkStart w:id="292" w:name="_Toc29564"/>
      <w:bookmarkStart w:id="293" w:name="_Toc10309"/>
      <w:r>
        <w:rPr>
          <w:rFonts w:hint="eastAsia" w:asciiTheme="minorEastAsia" w:hAnsiTheme="minorEastAsia" w:eastAsiaTheme="minorEastAsia" w:cstheme="minorEastAsia"/>
          <w:b/>
          <w:bCs/>
          <w:color w:val="auto"/>
          <w:highlight w:val="none"/>
        </w:rPr>
        <w:t>五、</w:t>
      </w:r>
      <w:bookmarkEnd w:id="289"/>
      <w:bookmarkEnd w:id="290"/>
      <w:bookmarkEnd w:id="291"/>
      <w:r>
        <w:rPr>
          <w:rFonts w:hint="eastAsia" w:asciiTheme="minorEastAsia" w:hAnsiTheme="minorEastAsia" w:eastAsiaTheme="minorEastAsia" w:cstheme="minorEastAsia"/>
          <w:b/>
          <w:bCs/>
          <w:color w:val="auto"/>
          <w:highlight w:val="none"/>
        </w:rPr>
        <w:t>其他与项目有关的</w:t>
      </w:r>
      <w:bookmarkEnd w:id="292"/>
      <w:r>
        <w:rPr>
          <w:rFonts w:hint="eastAsia" w:asciiTheme="minorEastAsia" w:hAnsiTheme="minorEastAsia" w:eastAsiaTheme="minorEastAsia" w:cstheme="minorEastAsia"/>
          <w:b/>
          <w:bCs/>
          <w:color w:val="auto"/>
          <w:highlight w:val="none"/>
        </w:rPr>
        <w:t>资料</w:t>
      </w:r>
      <w:bookmarkEnd w:id="293"/>
    </w:p>
    <w:p w14:paraId="09FE690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lang w:val="en-US" w:eastAsia="zh-CN"/>
        </w:rPr>
        <w:t>一</w:t>
      </w:r>
      <w:r>
        <w:rPr>
          <w:rFonts w:hint="eastAsia" w:asciiTheme="minorEastAsia" w:hAnsiTheme="minorEastAsia" w:eastAsiaTheme="minorEastAsia" w:cstheme="minorEastAsia"/>
          <w:color w:val="auto"/>
          <w:szCs w:val="28"/>
          <w:highlight w:val="none"/>
        </w:rPr>
        <w:t>）其他与项目有关的资料</w:t>
      </w:r>
    </w:p>
    <w:p w14:paraId="47E06BB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p>
    <w:p w14:paraId="0FFE340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br w:type="page"/>
      </w:r>
    </w:p>
    <w:p w14:paraId="50581640">
      <w:pPr>
        <w:pStyle w:val="3"/>
        <w:pageBreakBefore w:val="0"/>
        <w:kinsoku/>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bCs/>
          <w:color w:val="auto"/>
          <w:kern w:val="2"/>
          <w:sz w:val="28"/>
          <w:highlight w:val="none"/>
          <w:lang w:val="en-US" w:eastAsia="zh-CN" w:bidi="ar-SA"/>
        </w:rPr>
      </w:pPr>
      <w:bookmarkStart w:id="294" w:name="_Toc15861"/>
      <w:r>
        <w:rPr>
          <w:rFonts w:hint="eastAsia" w:asciiTheme="minorEastAsia" w:hAnsiTheme="minorEastAsia" w:eastAsiaTheme="minorEastAsia" w:cstheme="minorEastAsia"/>
          <w:b/>
          <w:bCs/>
          <w:color w:val="auto"/>
          <w:kern w:val="2"/>
          <w:sz w:val="28"/>
          <w:highlight w:val="none"/>
          <w:lang w:val="en-US" w:eastAsia="zh-CN" w:bidi="ar-SA"/>
        </w:rPr>
        <w:t>一、</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Theme="minorEastAsia" w:hAnsiTheme="minorEastAsia" w:eastAsiaTheme="minorEastAsia" w:cstheme="minorEastAsia"/>
          <w:b/>
          <w:bCs/>
          <w:color w:val="auto"/>
          <w:kern w:val="2"/>
          <w:sz w:val="28"/>
          <w:highlight w:val="none"/>
          <w:lang w:val="en-US" w:eastAsia="zh-CN" w:bidi="ar-SA"/>
        </w:rPr>
        <w:t>经济部分</w:t>
      </w:r>
      <w:bookmarkEnd w:id="294"/>
    </w:p>
    <w:p w14:paraId="1DD07575">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（一）报价一览表</w:t>
      </w:r>
    </w:p>
    <w:p w14:paraId="11A75DAF">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lang w:eastAsia="zh-CN"/>
        </w:rPr>
        <w:t>采购编号</w:t>
      </w:r>
      <w:r>
        <w:rPr>
          <w:rFonts w:hint="eastAsia" w:asciiTheme="minorEastAsia" w:hAnsiTheme="minorEastAsia" w:eastAsiaTheme="minorEastAsia" w:cstheme="minorEastAsia"/>
          <w:color w:val="auto"/>
          <w:szCs w:val="32"/>
          <w:highlight w:val="none"/>
        </w:rPr>
        <w:t>：</w:t>
      </w:r>
    </w:p>
    <w:p w14:paraId="710613E0">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项目名称：</w:t>
      </w:r>
    </w:p>
    <w:tbl>
      <w:tblPr>
        <w:tblStyle w:val="2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2906"/>
        <w:gridCol w:w="3840"/>
      </w:tblGrid>
      <w:tr w14:paraId="49A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718" w:type="dxa"/>
            <w:noWrap w:val="0"/>
            <w:vAlign w:val="center"/>
          </w:tcPr>
          <w:p w14:paraId="1C2E76D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投标供应商名称</w:t>
            </w:r>
          </w:p>
        </w:tc>
        <w:tc>
          <w:tcPr>
            <w:tcW w:w="6746" w:type="dxa"/>
            <w:gridSpan w:val="2"/>
            <w:noWrap w:val="0"/>
            <w:vAlign w:val="center"/>
          </w:tcPr>
          <w:p w14:paraId="5CCE3C13">
            <w:pPr>
              <w:keepNext w:val="0"/>
              <w:keepLines w:val="0"/>
              <w:suppressLineNumbers w:val="0"/>
              <w:spacing w:before="0" w:beforeAutospacing="0" w:after="0" w:afterAutospacing="0" w:line="360" w:lineRule="auto"/>
              <w:ind w:left="0" w:right="0" w:firstLine="560"/>
              <w:jc w:val="center"/>
              <w:rPr>
                <w:rFonts w:hint="eastAsia" w:asciiTheme="minorEastAsia" w:hAnsiTheme="minorEastAsia" w:eastAsiaTheme="minorEastAsia" w:cstheme="minorEastAsia"/>
                <w:color w:val="auto"/>
                <w:sz w:val="24"/>
                <w:szCs w:val="24"/>
                <w:highlight w:val="none"/>
              </w:rPr>
            </w:pPr>
          </w:p>
        </w:tc>
      </w:tr>
      <w:tr w14:paraId="1F45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718" w:type="dxa"/>
            <w:noWrap w:val="0"/>
            <w:vAlign w:val="center"/>
          </w:tcPr>
          <w:p w14:paraId="3C827694">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906" w:type="dxa"/>
            <w:noWrap w:val="0"/>
            <w:vAlign w:val="center"/>
          </w:tcPr>
          <w:p w14:paraId="7C0F13D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折扣</w:t>
            </w:r>
            <w:r>
              <w:rPr>
                <w:rFonts w:hint="eastAsia" w:asciiTheme="minorEastAsia" w:hAnsiTheme="minorEastAsia" w:eastAsiaTheme="minorEastAsia" w:cstheme="minorEastAsia"/>
                <w:color w:val="auto"/>
                <w:sz w:val="24"/>
                <w:szCs w:val="24"/>
                <w:highlight w:val="none"/>
                <w:lang w:val="en-US" w:eastAsia="zh-CN"/>
              </w:rPr>
              <w:t>率</w:t>
            </w:r>
          </w:p>
        </w:tc>
        <w:tc>
          <w:tcPr>
            <w:tcW w:w="3840" w:type="dxa"/>
            <w:noWrap w:val="0"/>
            <w:vAlign w:val="center"/>
          </w:tcPr>
          <w:p w14:paraId="07104EA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14:paraId="69E2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718" w:type="dxa"/>
            <w:tcBorders>
              <w:bottom w:val="single" w:color="auto" w:sz="4" w:space="0"/>
            </w:tcBorders>
            <w:noWrap w:val="0"/>
            <w:vAlign w:val="center"/>
          </w:tcPr>
          <w:p w14:paraId="1F252815">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病理远程诊断及外检服务</w:t>
            </w:r>
            <w:r>
              <w:rPr>
                <w:rFonts w:hint="eastAsia" w:asciiTheme="minorEastAsia" w:hAnsiTheme="minorEastAsia" w:eastAsiaTheme="minorEastAsia" w:cstheme="minorEastAsia"/>
                <w:color w:val="auto"/>
                <w:sz w:val="24"/>
                <w:szCs w:val="24"/>
                <w:highlight w:val="none"/>
                <w:lang w:val="en-US" w:eastAsia="zh-CN"/>
              </w:rPr>
              <w:t>分包1</w:t>
            </w:r>
          </w:p>
        </w:tc>
        <w:tc>
          <w:tcPr>
            <w:tcW w:w="2906" w:type="dxa"/>
            <w:tcBorders>
              <w:bottom w:val="single" w:color="auto" w:sz="4" w:space="0"/>
            </w:tcBorders>
            <w:noWrap w:val="0"/>
            <w:vAlign w:val="top"/>
          </w:tcPr>
          <w:p w14:paraId="0F5D6F20">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c>
          <w:tcPr>
            <w:tcW w:w="3840" w:type="dxa"/>
            <w:tcBorders>
              <w:bottom w:val="single" w:color="auto" w:sz="4" w:space="0"/>
            </w:tcBorders>
            <w:noWrap w:val="0"/>
            <w:vAlign w:val="top"/>
          </w:tcPr>
          <w:p w14:paraId="1FF53BF4">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r>
      <w:tr w14:paraId="5077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718" w:type="dxa"/>
            <w:tcBorders>
              <w:bottom w:val="single" w:color="auto" w:sz="4" w:space="0"/>
            </w:tcBorders>
            <w:noWrap w:val="0"/>
            <w:vAlign w:val="center"/>
          </w:tcPr>
          <w:p w14:paraId="1A3C1FE6">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病理远程诊断及外检服务</w:t>
            </w:r>
            <w:r>
              <w:rPr>
                <w:rFonts w:hint="eastAsia" w:asciiTheme="minorEastAsia" w:hAnsiTheme="minorEastAsia" w:eastAsiaTheme="minorEastAsia" w:cstheme="minorEastAsia"/>
                <w:color w:val="auto"/>
                <w:sz w:val="24"/>
                <w:szCs w:val="24"/>
                <w:highlight w:val="none"/>
                <w:lang w:val="en-US" w:eastAsia="zh-CN"/>
              </w:rPr>
              <w:t>分包2</w:t>
            </w:r>
          </w:p>
        </w:tc>
        <w:tc>
          <w:tcPr>
            <w:tcW w:w="2906" w:type="dxa"/>
            <w:tcBorders>
              <w:bottom w:val="single" w:color="auto" w:sz="4" w:space="0"/>
            </w:tcBorders>
            <w:noWrap w:val="0"/>
            <w:vAlign w:val="top"/>
          </w:tcPr>
          <w:p w14:paraId="322C94CE">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c>
          <w:tcPr>
            <w:tcW w:w="3840" w:type="dxa"/>
            <w:tcBorders>
              <w:bottom w:val="single" w:color="auto" w:sz="4" w:space="0"/>
            </w:tcBorders>
            <w:noWrap w:val="0"/>
            <w:vAlign w:val="top"/>
          </w:tcPr>
          <w:p w14:paraId="7710A951">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r>
      <w:tr w14:paraId="16DD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718" w:type="dxa"/>
            <w:tcBorders>
              <w:bottom w:val="single" w:color="auto" w:sz="4" w:space="0"/>
            </w:tcBorders>
            <w:noWrap w:val="0"/>
            <w:vAlign w:val="center"/>
          </w:tcPr>
          <w:p w14:paraId="50B26411">
            <w:pPr>
              <w:keepNext w:val="0"/>
              <w:keepLines w:val="0"/>
              <w:suppressLineNumbers w:val="0"/>
              <w:spacing w:before="0" w:beforeAutospacing="0" w:after="0" w:afterAutospacing="0" w:line="360" w:lineRule="auto"/>
              <w:ind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病理远程诊断及外检服务</w:t>
            </w:r>
            <w:r>
              <w:rPr>
                <w:rFonts w:hint="eastAsia" w:asciiTheme="minorEastAsia" w:hAnsiTheme="minorEastAsia" w:eastAsiaTheme="minorEastAsia" w:cstheme="minorEastAsia"/>
                <w:color w:val="auto"/>
                <w:sz w:val="24"/>
                <w:szCs w:val="24"/>
                <w:highlight w:val="none"/>
                <w:lang w:val="en-US" w:eastAsia="zh-CN"/>
              </w:rPr>
              <w:t>分包3</w:t>
            </w:r>
          </w:p>
        </w:tc>
        <w:tc>
          <w:tcPr>
            <w:tcW w:w="2906" w:type="dxa"/>
            <w:tcBorders>
              <w:bottom w:val="single" w:color="auto" w:sz="4" w:space="0"/>
            </w:tcBorders>
            <w:noWrap w:val="0"/>
            <w:vAlign w:val="top"/>
          </w:tcPr>
          <w:p w14:paraId="3649389F">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c>
          <w:tcPr>
            <w:tcW w:w="3840" w:type="dxa"/>
            <w:tcBorders>
              <w:bottom w:val="single" w:color="auto" w:sz="4" w:space="0"/>
            </w:tcBorders>
            <w:noWrap w:val="0"/>
            <w:vAlign w:val="top"/>
          </w:tcPr>
          <w:p w14:paraId="6DD004BE">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p>
        </w:tc>
      </w:tr>
      <w:tr w14:paraId="060B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464" w:type="dxa"/>
            <w:gridSpan w:val="3"/>
            <w:tcBorders>
              <w:bottom w:val="single" w:color="auto" w:sz="4" w:space="0"/>
            </w:tcBorders>
            <w:noWrap w:val="0"/>
            <w:vAlign w:val="center"/>
          </w:tcPr>
          <w:p w14:paraId="0E0C9490">
            <w:pPr>
              <w:keepNext w:val="0"/>
              <w:keepLines w:val="0"/>
              <w:suppressLineNumbers w:val="0"/>
              <w:spacing w:before="0" w:beforeAutospacing="0" w:after="0" w:afterAutospacing="0" w:line="360" w:lineRule="auto"/>
              <w:ind w:left="0" w:right="0"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投标报价（大写）： </w:t>
            </w:r>
            <w:r>
              <w:rPr>
                <w:rFonts w:hint="eastAsia" w:asciiTheme="minorEastAsia" w:hAnsiTheme="minorEastAsia" w:eastAsiaTheme="minorEastAsia" w:cstheme="minorEastAsia"/>
                <w:color w:val="auto"/>
                <w:sz w:val="24"/>
                <w:szCs w:val="24"/>
                <w:highlight w:val="none"/>
                <w:lang w:val="en-US" w:eastAsia="zh-CN"/>
              </w:rPr>
              <w:t>分包1          分包2             分包3</w:t>
            </w:r>
            <w:r>
              <w:rPr>
                <w:rFonts w:hint="eastAsia" w:asciiTheme="minorEastAsia" w:hAnsiTheme="minorEastAsia" w:eastAsiaTheme="minorEastAsia" w:cstheme="minorEastAsia"/>
                <w:color w:val="auto"/>
                <w:sz w:val="24"/>
                <w:szCs w:val="24"/>
                <w:highlight w:val="none"/>
              </w:rPr>
              <w:t xml:space="preserve">                          </w:t>
            </w:r>
          </w:p>
        </w:tc>
      </w:tr>
    </w:tbl>
    <w:p w14:paraId="6810B66E">
      <w:pPr>
        <w:pStyle w:val="12"/>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1D005BF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32"/>
          <w:szCs w:val="21"/>
          <w:highlight w:val="none"/>
        </w:rPr>
      </w:pPr>
    </w:p>
    <w:p w14:paraId="5628B37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0A31527B">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 xml:space="preserve">供应商：       </w:t>
      </w:r>
      <w:r>
        <w:rPr>
          <w:rFonts w:hint="eastAsia" w:asciiTheme="minorEastAsia" w:hAnsiTheme="minorEastAsia" w:eastAsiaTheme="minorEastAsia" w:cstheme="minorEastAsia"/>
          <w:color w:val="auto"/>
          <w:szCs w:val="32"/>
          <w:highlight w:val="none"/>
          <w:lang w:val="en-US" w:eastAsia="zh-CN"/>
        </w:rPr>
        <w:t xml:space="preserve">   </w:t>
      </w:r>
      <w:r>
        <w:rPr>
          <w:rFonts w:hint="eastAsia" w:asciiTheme="minorEastAsia" w:hAnsiTheme="minorEastAsia" w:eastAsiaTheme="minorEastAsia" w:cstheme="minorEastAsia"/>
          <w:color w:val="auto"/>
          <w:szCs w:val="32"/>
          <w:highlight w:val="none"/>
        </w:rPr>
        <w:t xml:space="preserve"> 法定代表人（或法定代表人授权代表）或自然人：</w:t>
      </w:r>
    </w:p>
    <w:p w14:paraId="41DBE949">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 xml:space="preserve">  （供应商公章）                        （签署或盖章）</w:t>
      </w:r>
    </w:p>
    <w:p w14:paraId="29F9559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309EF50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p>
    <w:p w14:paraId="0258229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 xml:space="preserve">                                            年   月    日</w:t>
      </w:r>
    </w:p>
    <w:p w14:paraId="0A84AA77">
      <w:pPr>
        <w:pageBreakBefore w:val="0"/>
        <w:kinsoku/>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8"/>
          <w:highlight w:val="none"/>
        </w:rPr>
      </w:pPr>
    </w:p>
    <w:p w14:paraId="4BCCD07F">
      <w:pPr>
        <w:rPr>
          <w:rFonts w:hint="eastAsia" w:asciiTheme="minorEastAsia" w:hAnsiTheme="minorEastAsia" w:eastAsiaTheme="minorEastAsia" w:cstheme="minorEastAsia"/>
          <w:color w:val="auto"/>
          <w:lang w:val="en-US" w:eastAsia="zh-CN"/>
        </w:rPr>
      </w:pPr>
      <w:bookmarkStart w:id="295" w:name="_Toc23499"/>
      <w:bookmarkStart w:id="296" w:name="_Toc14140"/>
      <w:bookmarkStart w:id="297" w:name="_Toc553"/>
      <w:bookmarkStart w:id="298" w:name="_Toc18485"/>
      <w:bookmarkStart w:id="299" w:name="_Toc4271"/>
      <w:bookmarkStart w:id="300" w:name="_Toc18310"/>
      <w:bookmarkStart w:id="301" w:name="_Toc6124"/>
    </w:p>
    <w:p w14:paraId="395F616B">
      <w:pPr>
        <w:pStyle w:val="3"/>
        <w:keepNext/>
        <w:keepLines/>
        <w:pageBreakBefore w:val="0"/>
        <w:widowControl w:val="0"/>
        <w:kinsoku/>
        <w:wordWrap/>
        <w:overflowPunct/>
        <w:topLinePunct w:val="0"/>
        <w:autoSpaceDE/>
        <w:autoSpaceDN/>
        <w:bidi w:val="0"/>
        <w:adjustRightInd/>
        <w:snapToGrid/>
        <w:spacing w:before="0" w:beforeLines="0" w:line="360" w:lineRule="auto"/>
        <w:ind w:firstLine="562"/>
        <w:textAlignment w:val="auto"/>
        <w:rPr>
          <w:rFonts w:hint="eastAsia" w:asciiTheme="minorEastAsia" w:hAnsiTheme="minorEastAsia" w:eastAsiaTheme="minorEastAsia" w:cstheme="minorEastAsia"/>
          <w:b/>
          <w:bCs/>
          <w:color w:val="auto"/>
          <w:kern w:val="2"/>
          <w:sz w:val="28"/>
          <w:highlight w:val="none"/>
          <w:lang w:val="en-US" w:eastAsia="zh-CN" w:bidi="ar-SA"/>
        </w:rPr>
      </w:pPr>
      <w:bookmarkStart w:id="302" w:name="_Toc27993"/>
      <w:r>
        <w:rPr>
          <w:rFonts w:hint="eastAsia" w:asciiTheme="minorEastAsia" w:hAnsiTheme="minorEastAsia" w:eastAsiaTheme="minorEastAsia" w:cstheme="minorEastAsia"/>
          <w:b/>
          <w:bCs/>
          <w:color w:val="auto"/>
          <w:kern w:val="2"/>
          <w:sz w:val="28"/>
          <w:highlight w:val="none"/>
          <w:lang w:val="en-US" w:eastAsia="zh-CN" w:bidi="ar-SA"/>
        </w:rPr>
        <w:t>二、资格条件及其他</w:t>
      </w:r>
      <w:bookmarkEnd w:id="295"/>
      <w:bookmarkEnd w:id="296"/>
      <w:bookmarkEnd w:id="297"/>
      <w:bookmarkEnd w:id="298"/>
      <w:bookmarkEnd w:id="299"/>
      <w:bookmarkEnd w:id="300"/>
      <w:bookmarkEnd w:id="301"/>
      <w:bookmarkEnd w:id="302"/>
    </w:p>
    <w:p w14:paraId="100DE191">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（一）法人营业执照（副本）或事业单位法人证书（副本）或个体工商户营业执照或有效的自然人身份证明或社会团体法人登记证书复印件</w:t>
      </w:r>
    </w:p>
    <w:p w14:paraId="0D966F6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highlight w:val="none"/>
          <w:u w:val="single"/>
        </w:rPr>
      </w:pPr>
    </w:p>
    <w:p w14:paraId="6F4D10E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EE926A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D632FE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C67A94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249B68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9B4767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EC4C2F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8C9AD9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A11123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3FCC37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A120DB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D93C73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32523D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C41CAA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0F9287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A33004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3B349BC8">
      <w:pPr>
        <w:pageBreakBefore w:val="0"/>
        <w:kinsoku/>
        <w:overflowPunct/>
        <w:topLinePunct w:val="0"/>
        <w:autoSpaceDE/>
        <w:autoSpaceDN/>
        <w:bidi w:val="0"/>
        <w:adjustRightInd/>
        <w:spacing w:line="360" w:lineRule="auto"/>
        <w:ind w:firstLine="560" w:firstLineChars="200"/>
        <w:jc w:val="left"/>
        <w:textAlignment w:val="auto"/>
        <w:rPr>
          <w:rFonts w:hint="eastAsia" w:asciiTheme="minorEastAsia" w:hAnsiTheme="minorEastAsia" w:eastAsiaTheme="minorEastAsia" w:cstheme="minorEastAsia"/>
          <w:b/>
          <w:color w:val="auto"/>
          <w:sz w:val="2"/>
          <w:szCs w:val="2"/>
          <w:highlight w:val="none"/>
        </w:rPr>
      </w:pPr>
      <w:r>
        <w:rPr>
          <w:rFonts w:hint="eastAsia" w:asciiTheme="minorEastAsia" w:hAnsiTheme="minorEastAsia" w:eastAsiaTheme="minorEastAsia" w:cstheme="minorEastAsia"/>
          <w:color w:val="auto"/>
          <w:highlight w:val="none"/>
        </w:rPr>
        <w:br w:type="page"/>
      </w:r>
      <w:bookmarkStart w:id="303" w:name="_Toc13155"/>
      <w:bookmarkStart w:id="304" w:name="_Toc16414"/>
      <w:bookmarkStart w:id="305" w:name="_Toc22071"/>
      <w:bookmarkStart w:id="306" w:name="_Toc15489"/>
      <w:r>
        <w:rPr>
          <w:rFonts w:hint="eastAsia" w:asciiTheme="minorEastAsia" w:hAnsiTheme="minorEastAsia" w:eastAsiaTheme="minorEastAsia" w:cstheme="minorEastAsia"/>
          <w:b/>
          <w:bCs/>
          <w:color w:val="auto"/>
          <w:highlight w:val="none"/>
        </w:rPr>
        <w:t>（二）法定代表人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b/>
          <w:bCs/>
          <w:color w:val="auto"/>
          <w:highlight w:val="none"/>
        </w:rPr>
        <w:t>身份证明书</w:t>
      </w:r>
      <w:bookmarkEnd w:id="303"/>
      <w:r>
        <w:rPr>
          <w:rFonts w:hint="eastAsia" w:asciiTheme="minorEastAsia" w:hAnsiTheme="minorEastAsia" w:eastAsiaTheme="minorEastAsia" w:cstheme="minorEastAsia"/>
          <w:b/>
          <w:bCs/>
          <w:color w:val="auto"/>
          <w:highlight w:val="none"/>
        </w:rPr>
        <w:t>（格式）</w:t>
      </w:r>
      <w:bookmarkEnd w:id="304"/>
      <w:bookmarkEnd w:id="305"/>
      <w:bookmarkEnd w:id="306"/>
    </w:p>
    <w:p w14:paraId="6DD664A3">
      <w:pPr>
        <w:pageBreakBefore w:val="0"/>
        <w:tabs>
          <w:tab w:val="left" w:pos="6300"/>
        </w:tabs>
        <w:kinsoku/>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highlight w:val="none"/>
        </w:rPr>
      </w:pPr>
    </w:p>
    <w:p w14:paraId="60158A3E">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r>
        <w:rPr>
          <w:rFonts w:hint="eastAsia" w:asciiTheme="minorEastAsia" w:hAnsiTheme="minorEastAsia" w:eastAsiaTheme="minorEastAsia" w:cstheme="minorEastAsia"/>
          <w:color w:val="auto"/>
          <w:szCs w:val="28"/>
          <w:highlight w:val="none"/>
          <w:u w:val="single"/>
        </w:rPr>
        <w:t xml:space="preserve">                                          </w:t>
      </w:r>
    </w:p>
    <w:p w14:paraId="497D15B8">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7783C06A">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（代理机构名称）：</w:t>
      </w:r>
    </w:p>
    <w:p w14:paraId="0C21B9F9">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姓名）在</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（供应商名称）任</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（职务名称）职务，是</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（供应商名称）的法定代表人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w:t>
      </w:r>
    </w:p>
    <w:p w14:paraId="2EF2214B">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2AA10E80">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特此证明。</w:t>
      </w:r>
    </w:p>
    <w:p w14:paraId="070D8773">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1EC1849C">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169B45B4">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3CC75D9A">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（供应商公章）</w:t>
      </w:r>
    </w:p>
    <w:p w14:paraId="4E1059E7">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7D6CBD05">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年   月   日</w:t>
      </w:r>
    </w:p>
    <w:p w14:paraId="452AE997">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电话：XXXXXXX      电子邮箱：XXXXXX@XXXXX（若授权他人办理并签署响应文件的可不填写）</w:t>
      </w:r>
    </w:p>
    <w:p w14:paraId="61FFAA88">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（附：法定代表人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身份证正反面复印件）</w:t>
      </w:r>
    </w:p>
    <w:p w14:paraId="378E147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p>
    <w:p w14:paraId="62EE622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AF6246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highlight w:val="none"/>
        </w:rPr>
      </w:pPr>
    </w:p>
    <w:p w14:paraId="2EE36DD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highlight w:val="none"/>
        </w:rPr>
      </w:pPr>
    </w:p>
    <w:p w14:paraId="1243B79A">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p>
    <w:p w14:paraId="74A1B0AD">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p>
    <w:p w14:paraId="102BE155">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p>
    <w:p w14:paraId="58E181E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highlight w:val="none"/>
        </w:rPr>
      </w:pPr>
    </w:p>
    <w:p w14:paraId="24DC9FE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07" w:name="_Toc5047"/>
      <w:bookmarkStart w:id="308" w:name="_Toc13316"/>
      <w:bookmarkStart w:id="309" w:name="_Toc13955"/>
      <w:bookmarkStart w:id="310" w:name="_Toc22622"/>
      <w:r>
        <w:rPr>
          <w:rFonts w:hint="eastAsia" w:asciiTheme="minorEastAsia" w:hAnsiTheme="minorEastAsia" w:eastAsiaTheme="minorEastAsia" w:cstheme="minorEastAsia"/>
          <w:b/>
          <w:bCs/>
          <w:color w:val="auto"/>
          <w:highlight w:val="none"/>
        </w:rPr>
        <w:t>（三）法定代表人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b/>
          <w:bCs/>
          <w:color w:val="auto"/>
          <w:highlight w:val="none"/>
        </w:rPr>
        <w:t>授权委托书</w:t>
      </w:r>
      <w:bookmarkEnd w:id="307"/>
      <w:r>
        <w:rPr>
          <w:rFonts w:hint="eastAsia" w:asciiTheme="minorEastAsia" w:hAnsiTheme="minorEastAsia" w:eastAsiaTheme="minorEastAsia" w:cstheme="minorEastAsia"/>
          <w:b/>
          <w:bCs/>
          <w:color w:val="auto"/>
          <w:highlight w:val="none"/>
        </w:rPr>
        <w:t>（格式）</w:t>
      </w:r>
      <w:bookmarkEnd w:id="308"/>
      <w:bookmarkEnd w:id="309"/>
      <w:bookmarkEnd w:id="310"/>
    </w:p>
    <w:p w14:paraId="6539A1B1">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r>
        <w:rPr>
          <w:rFonts w:hint="eastAsia" w:asciiTheme="minorEastAsia" w:hAnsiTheme="minorEastAsia" w:eastAsiaTheme="minorEastAsia" w:cstheme="minorEastAsia"/>
          <w:color w:val="auto"/>
          <w:szCs w:val="28"/>
          <w:highlight w:val="none"/>
          <w:u w:val="single"/>
        </w:rPr>
        <w:t xml:space="preserve">                                                </w:t>
      </w:r>
    </w:p>
    <w:p w14:paraId="765BF991">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46F86685">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（采购代理机构名称）：</w:t>
      </w:r>
    </w:p>
    <w:p w14:paraId="2D3DFE65">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名称）是</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（供应商名称）的法定代表人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，特授权</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（被授权人姓名及身份证代码）代表我单位全权办理上述项目</w:t>
      </w:r>
      <w:r>
        <w:rPr>
          <w:rFonts w:hint="eastAsia" w:asciiTheme="minorEastAsia" w:hAnsiTheme="minorEastAsia" w:eastAsiaTheme="minorEastAsia" w:cstheme="minorEastAsia"/>
          <w:color w:val="auto"/>
          <w:szCs w:val="28"/>
          <w:highlight w:val="none"/>
          <w:lang w:eastAsia="zh-CN"/>
        </w:rPr>
        <w:t>的比选</w:t>
      </w:r>
      <w:r>
        <w:rPr>
          <w:rFonts w:hint="eastAsia" w:asciiTheme="minorEastAsia" w:hAnsiTheme="minorEastAsia" w:eastAsiaTheme="minorEastAsia" w:cstheme="minorEastAsia"/>
          <w:color w:val="auto"/>
          <w:szCs w:val="28"/>
          <w:highlight w:val="none"/>
        </w:rPr>
        <w:t>、签约等具体工作，并签署全部有关文件、协议及合同。</w:t>
      </w:r>
    </w:p>
    <w:p w14:paraId="6222DC2A">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我单位对被授权人的签署负全部责任。</w:t>
      </w:r>
    </w:p>
    <w:p w14:paraId="6CA25B46">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在撤销授权的书面通知以前，本授权书一直有效。被授权人在授权书有效期内签署的所有文件不因授权的撤销而失效。</w:t>
      </w:r>
    </w:p>
    <w:p w14:paraId="5259AC6D">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p>
    <w:p w14:paraId="0B33DC66">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被授权人：                               供应商法定</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代表人：</w:t>
      </w:r>
    </w:p>
    <w:p w14:paraId="1B534C26">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（签署或盖章）                                （签署或盖章）</w:t>
      </w:r>
    </w:p>
    <w:p w14:paraId="3792626D">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8"/>
          <w:highlight w:val="none"/>
        </w:rPr>
      </w:pPr>
    </w:p>
    <w:p w14:paraId="721494F9">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（附：被授权人身份证正反面复印件）</w:t>
      </w:r>
    </w:p>
    <w:p w14:paraId="09399CA5">
      <w:pPr>
        <w:pageBreakBefore w:val="0"/>
        <w:tabs>
          <w:tab w:val="left" w:pos="6300"/>
        </w:tabs>
        <w:kinsoku/>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 xml:space="preserve">                                          </w:t>
      </w:r>
    </w:p>
    <w:p w14:paraId="39F12600">
      <w:pPr>
        <w:pageBreakBefore w:val="0"/>
        <w:tabs>
          <w:tab w:val="left" w:pos="6300"/>
        </w:tabs>
        <w:kinsoku/>
        <w:overflowPunct/>
        <w:topLinePunct w:val="0"/>
        <w:autoSpaceDE/>
        <w:autoSpaceDN/>
        <w:bidi w:val="0"/>
        <w:adjustRightInd/>
        <w:snapToGrid w:val="0"/>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（供应商公章）</w:t>
      </w:r>
    </w:p>
    <w:p w14:paraId="22D5022B">
      <w:pPr>
        <w:pageBreakBefore w:val="0"/>
        <w:tabs>
          <w:tab w:val="left" w:pos="6300"/>
        </w:tabs>
        <w:kinsoku/>
        <w:overflowPunct/>
        <w:topLinePunct w:val="0"/>
        <w:autoSpaceDE/>
        <w:autoSpaceDN/>
        <w:bidi w:val="0"/>
        <w:adjustRightInd/>
        <w:snapToGrid w:val="0"/>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年   月   日</w:t>
      </w:r>
    </w:p>
    <w:p w14:paraId="70B6BA6C">
      <w:pPr>
        <w:pageBreakBefore w:val="0"/>
        <w:tabs>
          <w:tab w:val="left" w:pos="6300"/>
        </w:tabs>
        <w:kinsoku/>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被授权人电话：XXXXXXX     电子邮箱：XXXXXX@XXXXX（若法定代表人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办理并签署响应文件的可不填写）</w:t>
      </w:r>
    </w:p>
    <w:p w14:paraId="4EF881E4">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14:paraId="6F33ACE0">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注：1.若为法定代表人</w:t>
      </w:r>
      <w:r>
        <w:rPr>
          <w:rFonts w:hint="eastAsia" w:asciiTheme="minorEastAsia" w:hAnsiTheme="minorEastAsia" w:eastAsiaTheme="minorEastAsia" w:cstheme="minorEastAsia"/>
          <w:b/>
          <w:bCs/>
          <w:color w:val="auto"/>
          <w:highlight w:val="none"/>
          <w:lang w:val="en-US" w:eastAsia="zh-CN"/>
        </w:rPr>
        <w:t>或负责人</w:t>
      </w:r>
      <w:r>
        <w:rPr>
          <w:rFonts w:hint="eastAsia" w:asciiTheme="minorEastAsia" w:hAnsiTheme="minorEastAsia" w:eastAsiaTheme="minorEastAsia" w:cstheme="minorEastAsia"/>
          <w:color w:val="auto"/>
          <w:szCs w:val="28"/>
          <w:highlight w:val="none"/>
        </w:rPr>
        <w:t>办理并签署响应文件的，不提供此文件。</w:t>
      </w:r>
    </w:p>
    <w:p w14:paraId="36AFF31E">
      <w:pPr>
        <w:pageBreakBefore w:val="0"/>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rPr>
        <w:br w:type="page"/>
      </w:r>
    </w:p>
    <w:p w14:paraId="7D7BC06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11" w:name="_Toc16943"/>
      <w:bookmarkStart w:id="312" w:name="_Toc6935"/>
      <w:bookmarkStart w:id="313" w:name="_Toc10882"/>
      <w:bookmarkStart w:id="314" w:name="_Toc30268"/>
      <w:bookmarkStart w:id="315" w:name="_Toc14569"/>
      <w:r>
        <w:rPr>
          <w:rFonts w:hint="eastAsia" w:asciiTheme="minorEastAsia" w:hAnsiTheme="minorEastAsia" w:eastAsiaTheme="minorEastAsia" w:cstheme="minorEastAsia"/>
          <w:b/>
          <w:bCs/>
          <w:color w:val="auto"/>
          <w:highlight w:val="none"/>
        </w:rPr>
        <w:t>（四）</w:t>
      </w:r>
      <w:bookmarkEnd w:id="311"/>
      <w:r>
        <w:rPr>
          <w:rFonts w:hint="eastAsia" w:asciiTheme="minorEastAsia" w:hAnsiTheme="minorEastAsia" w:eastAsiaTheme="minorEastAsia" w:cstheme="minorEastAsia"/>
          <w:b/>
          <w:bCs/>
          <w:color w:val="auto"/>
          <w:highlight w:val="none"/>
          <w:lang w:val="en-US" w:eastAsia="zh-CN"/>
        </w:rPr>
        <w:t>其他</w:t>
      </w:r>
      <w:r>
        <w:rPr>
          <w:rFonts w:hint="eastAsia" w:asciiTheme="minorEastAsia" w:hAnsiTheme="minorEastAsia" w:eastAsiaTheme="minorEastAsia" w:cstheme="minorEastAsia"/>
          <w:b/>
          <w:bCs/>
          <w:color w:val="auto"/>
          <w:highlight w:val="none"/>
        </w:rPr>
        <w:t>承诺函</w:t>
      </w:r>
      <w:bookmarkEnd w:id="312"/>
      <w:r>
        <w:rPr>
          <w:rFonts w:hint="eastAsia" w:asciiTheme="minorEastAsia" w:hAnsiTheme="minorEastAsia" w:eastAsiaTheme="minorEastAsia" w:cstheme="minorEastAsia"/>
          <w:b/>
          <w:bCs/>
          <w:color w:val="auto"/>
          <w:highlight w:val="none"/>
        </w:rPr>
        <w:t>（格式）</w:t>
      </w:r>
      <w:bookmarkEnd w:id="313"/>
      <w:bookmarkEnd w:id="314"/>
      <w:bookmarkEnd w:id="315"/>
    </w:p>
    <w:p w14:paraId="412557B3">
      <w:pPr>
        <w:pageBreakBefore w:val="0"/>
        <w:kinsoku/>
        <w:overflowPunct/>
        <w:topLinePunct w:val="0"/>
        <w:autoSpaceDE/>
        <w:autoSpaceDN/>
        <w:bidi w:val="0"/>
        <w:adjustRightInd/>
        <w:spacing w:line="360" w:lineRule="auto"/>
        <w:ind w:firstLine="562" w:firstLineChars="200"/>
        <w:jc w:val="center"/>
        <w:textAlignment w:val="auto"/>
        <w:rPr>
          <w:rFonts w:hint="eastAsia" w:asciiTheme="minorEastAsia" w:hAnsiTheme="minorEastAsia" w:eastAsiaTheme="minorEastAsia" w:cstheme="minorEastAsia"/>
          <w:b/>
          <w:bCs/>
          <w:color w:val="auto"/>
          <w:szCs w:val="32"/>
          <w:highlight w:val="none"/>
        </w:rPr>
      </w:pPr>
    </w:p>
    <w:p w14:paraId="3A71EFE0">
      <w:pPr>
        <w:pageBreakBefore w:val="0"/>
        <w:kinsoku/>
        <w:overflowPunct/>
        <w:topLinePunct w:val="0"/>
        <w:autoSpaceDE/>
        <w:autoSpaceDN/>
        <w:bidi w:val="0"/>
        <w:adjustRightInd/>
        <w:spacing w:line="360" w:lineRule="auto"/>
        <w:ind w:firstLine="562" w:firstLineChars="20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highlight w:val="none"/>
          <w:lang w:val="en-US" w:eastAsia="zh-CN"/>
        </w:rPr>
        <w:t>其他</w:t>
      </w:r>
      <w:r>
        <w:rPr>
          <w:rFonts w:hint="eastAsia" w:asciiTheme="minorEastAsia" w:hAnsiTheme="minorEastAsia" w:eastAsiaTheme="minorEastAsia" w:cstheme="minorEastAsia"/>
          <w:b/>
          <w:bCs/>
          <w:color w:val="auto"/>
          <w:szCs w:val="32"/>
          <w:highlight w:val="none"/>
        </w:rPr>
        <w:t>承诺函</w:t>
      </w:r>
    </w:p>
    <w:p w14:paraId="0389B5CE">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致</w:t>
      </w:r>
      <w:r>
        <w:rPr>
          <w:rFonts w:hint="eastAsia" w:asciiTheme="minorEastAsia" w:hAnsiTheme="minorEastAsia" w:eastAsiaTheme="minorEastAsia" w:cstheme="minorEastAsia"/>
          <w:color w:val="auto"/>
          <w:szCs w:val="32"/>
          <w:highlight w:val="none"/>
          <w:u w:val="single"/>
        </w:rPr>
        <w:t xml:space="preserve">                    </w:t>
      </w:r>
      <w:r>
        <w:rPr>
          <w:rFonts w:hint="eastAsia" w:asciiTheme="minorEastAsia" w:hAnsiTheme="minorEastAsia" w:eastAsiaTheme="minorEastAsia" w:cstheme="minorEastAsia"/>
          <w:color w:val="auto"/>
          <w:szCs w:val="32"/>
          <w:highlight w:val="none"/>
        </w:rPr>
        <w:t>（代理机构名称）：</w:t>
      </w:r>
    </w:p>
    <w:p w14:paraId="6AC89D67">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u w:val="single"/>
        </w:rPr>
        <w:t xml:space="preserve">                  </w:t>
      </w:r>
      <w:r>
        <w:rPr>
          <w:rFonts w:hint="eastAsia" w:asciiTheme="minorEastAsia" w:hAnsiTheme="minorEastAsia" w:eastAsiaTheme="minorEastAsia" w:cstheme="minorEastAsia"/>
          <w:color w:val="auto"/>
          <w:szCs w:val="32"/>
          <w:highlight w:val="none"/>
        </w:rPr>
        <w:t>（供应商名称）郑重承诺：</w:t>
      </w:r>
    </w:p>
    <w:p w14:paraId="13CF23EA">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Cs w:val="32"/>
          <w:highlight w:val="none"/>
          <w:lang w:val="zh-CN"/>
        </w:rPr>
        <w:t>有依法缴纳税收和社会保障金的良好记录</w:t>
      </w:r>
      <w:r>
        <w:rPr>
          <w:rFonts w:hint="eastAsia" w:asciiTheme="minorEastAsia" w:hAnsiTheme="minorEastAsia" w:eastAsiaTheme="minorEastAsia" w:cstheme="minorEastAsia"/>
          <w:color w:val="auto"/>
          <w:szCs w:val="32"/>
          <w:highlight w:val="none"/>
        </w:rPr>
        <w:t>，参加本项目采购活动前三年内无重大违法活动记录。</w:t>
      </w:r>
    </w:p>
    <w:p w14:paraId="074ABE27">
      <w:pPr>
        <w:pageBreakBefore w:val="0"/>
        <w:kinsoku/>
        <w:overflowPunct/>
        <w:topLinePunct w:val="0"/>
        <w:autoSpaceDE/>
        <w:autoSpaceDN/>
        <w:bidi w:val="0"/>
        <w:adjustRightInd/>
        <w:spacing w:line="360" w:lineRule="auto"/>
        <w:ind w:firstLine="560" w:firstLineChars="200"/>
        <w:jc w:val="left"/>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2.我方未列入在信用中国网站（www.creditchina.gov.cn）“失信被执行人”、“重大税收违法案件当事人名单”中，也未列入中国政府采购（www.ccgp.gov.cn）“政府采购严重违法失信行为记录名单”中。</w:t>
      </w:r>
    </w:p>
    <w:p w14:paraId="154B19D7">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3.我方在采购项目评审（评标）环节结束后，随时接受</w:t>
      </w:r>
      <w:r>
        <w:rPr>
          <w:rFonts w:hint="eastAsia" w:asciiTheme="minorEastAsia" w:hAnsiTheme="minorEastAsia" w:eastAsiaTheme="minorEastAsia" w:cstheme="minorEastAsia"/>
          <w:color w:val="auto"/>
          <w:szCs w:val="32"/>
          <w:highlight w:val="none"/>
          <w:lang w:eastAsia="zh-CN"/>
        </w:rPr>
        <w:t>比选人</w:t>
      </w:r>
      <w:r>
        <w:rPr>
          <w:rFonts w:hint="eastAsia" w:asciiTheme="minorEastAsia" w:hAnsiTheme="minorEastAsia" w:eastAsiaTheme="minorEastAsia" w:cstheme="minorEastAsia"/>
          <w:color w:val="auto"/>
          <w:szCs w:val="32"/>
          <w:highlight w:val="none"/>
        </w:rPr>
        <w:t>、采购代理机构的检查验证，配合提供相关证明材料，证明符合规定的供应商基本资格条件。</w:t>
      </w:r>
    </w:p>
    <w:p w14:paraId="1C96088B">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我方对以上承诺负全部法律责任。</w:t>
      </w:r>
    </w:p>
    <w:p w14:paraId="36744E35">
      <w:pPr>
        <w:pageBreakBefore w:val="0"/>
        <w:tabs>
          <w:tab w:val="left" w:pos="6300"/>
        </w:tabs>
        <w:kinsoku/>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特此承诺。</w:t>
      </w:r>
    </w:p>
    <w:p w14:paraId="227888B7">
      <w:pPr>
        <w:pageBreakBefore w:val="0"/>
        <w:tabs>
          <w:tab w:val="left" w:pos="6300"/>
        </w:tabs>
        <w:kinsoku/>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32"/>
          <w:highlight w:val="none"/>
        </w:rPr>
      </w:pPr>
    </w:p>
    <w:p w14:paraId="6ED79486">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p>
    <w:p w14:paraId="2353C38C">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p>
    <w:p w14:paraId="39B8AD46">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p>
    <w:p w14:paraId="639D64B3">
      <w:pPr>
        <w:pageBreakBefore w:val="0"/>
        <w:tabs>
          <w:tab w:val="left" w:pos="6300"/>
        </w:tabs>
        <w:kinsoku/>
        <w:overflowPunct/>
        <w:topLinePunct w:val="0"/>
        <w:autoSpaceDE/>
        <w:autoSpaceDN/>
        <w:bidi w:val="0"/>
        <w:adjustRightInd/>
        <w:snapToGrid w:val="0"/>
        <w:spacing w:line="360" w:lineRule="auto"/>
        <w:ind w:right="424" w:firstLine="570"/>
        <w:jc w:val="right"/>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（供应商公章）</w:t>
      </w:r>
    </w:p>
    <w:p w14:paraId="2B8E7043">
      <w:pPr>
        <w:pageBreakBefore w:val="0"/>
        <w:tabs>
          <w:tab w:val="left" w:pos="6300"/>
        </w:tabs>
        <w:kinsoku/>
        <w:overflowPunct/>
        <w:topLinePunct w:val="0"/>
        <w:autoSpaceDE/>
        <w:autoSpaceDN/>
        <w:bidi w:val="0"/>
        <w:adjustRightInd/>
        <w:snapToGrid w:val="0"/>
        <w:spacing w:line="360" w:lineRule="auto"/>
        <w:ind w:right="480" w:firstLine="570"/>
        <w:jc w:val="right"/>
        <w:textAlignment w:val="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年   月   日</w:t>
      </w:r>
    </w:p>
    <w:p w14:paraId="3A63ADAF">
      <w:pPr>
        <w:pageBreakBefore w:val="0"/>
        <w:kinsoku/>
        <w:overflowPunct/>
        <w:topLinePunct w:val="0"/>
        <w:autoSpaceDE/>
        <w:autoSpaceDN/>
        <w:bidi w:val="0"/>
        <w:adjustRightInd/>
        <w:spacing w:line="360" w:lineRule="auto"/>
        <w:ind w:right="540" w:firstLine="3080" w:firstLineChars="1100"/>
        <w:jc w:val="right"/>
        <w:textAlignment w:val="auto"/>
        <w:rPr>
          <w:rFonts w:hint="eastAsia" w:asciiTheme="minorEastAsia" w:hAnsiTheme="minorEastAsia" w:eastAsiaTheme="minorEastAsia" w:cstheme="minorEastAsia"/>
          <w:color w:val="auto"/>
          <w:highlight w:val="none"/>
        </w:rPr>
      </w:pPr>
    </w:p>
    <w:bookmarkEnd w:id="268"/>
    <w:p w14:paraId="34C2CBC9">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16" w:name="_Toc32708"/>
      <w:bookmarkStart w:id="317" w:name="_Toc19365"/>
      <w:bookmarkStart w:id="318" w:name="_Toc1814"/>
      <w:bookmarkStart w:id="319" w:name="_Toc22450"/>
      <w:bookmarkStart w:id="320" w:name="_Toc9726"/>
    </w:p>
    <w:p w14:paraId="4FC2E9E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21" w:name="_Toc10274"/>
      <w:bookmarkStart w:id="322" w:name="_Toc23748"/>
      <w:bookmarkStart w:id="323" w:name="_Toc31862"/>
      <w:bookmarkStart w:id="324" w:name="_Toc13006"/>
      <w:r>
        <w:rPr>
          <w:rFonts w:hint="eastAsia" w:asciiTheme="minorEastAsia" w:hAnsiTheme="minorEastAsia" w:eastAsiaTheme="minorEastAsia" w:cstheme="minorEastAsia"/>
          <w:b/>
          <w:bCs/>
          <w:color w:val="auto"/>
          <w:highlight w:val="none"/>
        </w:rPr>
        <w:t>（五）特定资格条件（如有）</w:t>
      </w:r>
    </w:p>
    <w:p w14:paraId="6F409B4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bookmarkEnd w:id="321"/>
    <w:bookmarkEnd w:id="322"/>
    <w:bookmarkEnd w:id="323"/>
    <w:p w14:paraId="04D51D19">
      <w:pPr>
        <w:pStyle w:val="3"/>
        <w:keepNext/>
        <w:keepLines/>
        <w:pageBreakBefore w:val="0"/>
        <w:widowControl w:val="0"/>
        <w:kinsoku/>
        <w:wordWrap/>
        <w:overflowPunct/>
        <w:topLinePunct w:val="0"/>
        <w:autoSpaceDE/>
        <w:autoSpaceDN/>
        <w:bidi w:val="0"/>
        <w:adjustRightInd/>
        <w:snapToGrid/>
        <w:spacing w:before="0" w:beforeLines="0" w:line="360" w:lineRule="auto"/>
        <w:ind w:firstLine="562"/>
        <w:textAlignment w:val="auto"/>
        <w:rPr>
          <w:rFonts w:hint="eastAsia" w:asciiTheme="minorEastAsia" w:hAnsiTheme="minorEastAsia" w:eastAsiaTheme="minorEastAsia" w:cstheme="minorEastAsia"/>
          <w:color w:val="auto"/>
          <w:highlight w:val="none"/>
          <w:lang w:eastAsia="zh-CN"/>
        </w:rPr>
      </w:pPr>
      <w:bookmarkStart w:id="325" w:name="_Toc29622"/>
      <w:bookmarkStart w:id="326" w:name="_Toc12587"/>
      <w:bookmarkStart w:id="327" w:name="_Toc1224"/>
      <w:r>
        <w:rPr>
          <w:rFonts w:hint="eastAsia" w:asciiTheme="minorEastAsia" w:hAnsiTheme="minorEastAsia" w:eastAsiaTheme="minorEastAsia" w:cstheme="minorEastAsia"/>
          <w:color w:val="auto"/>
          <w:highlight w:val="none"/>
        </w:rPr>
        <w:t>三、</w:t>
      </w:r>
      <w:bookmarkEnd w:id="316"/>
      <w:bookmarkEnd w:id="317"/>
      <w:bookmarkEnd w:id="318"/>
      <w:bookmarkEnd w:id="319"/>
      <w:bookmarkEnd w:id="324"/>
      <w:bookmarkEnd w:id="325"/>
      <w:bookmarkEnd w:id="326"/>
      <w:r>
        <w:rPr>
          <w:rFonts w:hint="eastAsia" w:asciiTheme="minorEastAsia" w:hAnsiTheme="minorEastAsia" w:eastAsiaTheme="minorEastAsia" w:cstheme="minorEastAsia"/>
          <w:color w:val="auto"/>
          <w:highlight w:val="none"/>
          <w:lang w:eastAsia="zh-CN"/>
        </w:rPr>
        <w:t>服务部分</w:t>
      </w:r>
      <w:bookmarkEnd w:id="327"/>
    </w:p>
    <w:p w14:paraId="53F51C3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bookmarkStart w:id="328" w:name="_Toc17114"/>
      <w:bookmarkStart w:id="329" w:name="_Toc13297"/>
      <w:bookmarkStart w:id="330" w:name="_Toc8181"/>
      <w:r>
        <w:rPr>
          <w:rFonts w:hint="eastAsia" w:asciiTheme="minorEastAsia" w:hAnsiTheme="minorEastAsia" w:eastAsiaTheme="minorEastAsia" w:cstheme="minorEastAsia"/>
          <w:b/>
          <w:bCs/>
          <w:color w:val="auto"/>
          <w:highlight w:val="none"/>
        </w:rPr>
        <w:t>（一）服务条款差异表</w:t>
      </w:r>
      <w:bookmarkEnd w:id="328"/>
      <w:bookmarkEnd w:id="329"/>
      <w:bookmarkEnd w:id="330"/>
    </w:p>
    <w:bookmarkEnd w:id="320"/>
    <w:p w14:paraId="3461FA28">
      <w:pPr>
        <w:pageBreakBefore w:val="0"/>
        <w:tabs>
          <w:tab w:val="left" w:pos="720"/>
        </w:tabs>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服务条款差异表</w:t>
      </w:r>
    </w:p>
    <w:p w14:paraId="6E4B070D">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采购编号</w:t>
      </w:r>
      <w:r>
        <w:rPr>
          <w:rFonts w:hint="eastAsia" w:asciiTheme="minorEastAsia" w:hAnsiTheme="minorEastAsia" w:eastAsiaTheme="minorEastAsia" w:cstheme="minorEastAsia"/>
          <w:color w:val="auto"/>
          <w:szCs w:val="28"/>
          <w:highlight w:val="none"/>
        </w:rPr>
        <w:t xml:space="preserve">：                                </w:t>
      </w:r>
    </w:p>
    <w:p w14:paraId="19F5C892">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69"/>
        <w:gridCol w:w="3188"/>
        <w:gridCol w:w="2390"/>
      </w:tblGrid>
      <w:tr w14:paraId="455E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15" w:type="dxa"/>
            <w:vAlign w:val="center"/>
          </w:tcPr>
          <w:p w14:paraId="38841B7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31" w:name="_Toc11598"/>
            <w:bookmarkStart w:id="332" w:name="_Toc32321"/>
            <w:bookmarkStart w:id="333" w:name="_Toc19618"/>
            <w:bookmarkStart w:id="334" w:name="_Toc26811"/>
            <w:bookmarkStart w:id="335" w:name="_Toc20881"/>
            <w:bookmarkStart w:id="336" w:name="_Toc11785"/>
            <w:r>
              <w:rPr>
                <w:rFonts w:hint="eastAsia" w:asciiTheme="minorEastAsia" w:hAnsiTheme="minorEastAsia" w:eastAsiaTheme="minorEastAsia" w:cstheme="minorEastAsia"/>
                <w:color w:val="auto"/>
                <w:sz w:val="24"/>
                <w:szCs w:val="24"/>
                <w:highlight w:val="none"/>
              </w:rPr>
              <w:t>序号</w:t>
            </w:r>
            <w:bookmarkEnd w:id="331"/>
            <w:bookmarkEnd w:id="332"/>
            <w:bookmarkEnd w:id="333"/>
            <w:bookmarkEnd w:id="334"/>
            <w:bookmarkEnd w:id="335"/>
            <w:bookmarkEnd w:id="336"/>
          </w:p>
        </w:tc>
        <w:tc>
          <w:tcPr>
            <w:tcW w:w="3069" w:type="dxa"/>
            <w:vAlign w:val="center"/>
          </w:tcPr>
          <w:p w14:paraId="2A17264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37" w:name="_Toc23124"/>
            <w:bookmarkStart w:id="338" w:name="_Toc22837"/>
            <w:bookmarkStart w:id="339" w:name="_Toc25371"/>
            <w:bookmarkStart w:id="340" w:name="_Toc18303"/>
            <w:bookmarkStart w:id="341" w:name="_Toc10531"/>
            <w:bookmarkStart w:id="342" w:name="_Toc22352"/>
            <w:r>
              <w:rPr>
                <w:rFonts w:hint="eastAsia" w:asciiTheme="minorEastAsia" w:hAnsiTheme="minorEastAsia" w:eastAsiaTheme="minorEastAsia" w:cstheme="minorEastAsia"/>
                <w:color w:val="auto"/>
                <w:sz w:val="24"/>
                <w:szCs w:val="24"/>
                <w:highlight w:val="none"/>
              </w:rPr>
              <w:t>采购需求</w:t>
            </w:r>
            <w:bookmarkEnd w:id="337"/>
            <w:bookmarkEnd w:id="338"/>
            <w:bookmarkEnd w:id="339"/>
            <w:bookmarkEnd w:id="340"/>
            <w:bookmarkEnd w:id="341"/>
            <w:bookmarkEnd w:id="342"/>
          </w:p>
        </w:tc>
        <w:tc>
          <w:tcPr>
            <w:tcW w:w="3188" w:type="dxa"/>
            <w:vAlign w:val="center"/>
          </w:tcPr>
          <w:p w14:paraId="7342348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43" w:name="_Toc27763"/>
            <w:bookmarkStart w:id="344" w:name="_Toc2096"/>
            <w:bookmarkStart w:id="345" w:name="_Toc11743"/>
            <w:bookmarkStart w:id="346" w:name="_Toc23328"/>
            <w:bookmarkStart w:id="347" w:name="_Toc2477"/>
            <w:bookmarkStart w:id="348" w:name="_Toc22442"/>
            <w:r>
              <w:rPr>
                <w:rFonts w:hint="eastAsia" w:asciiTheme="minorEastAsia" w:hAnsiTheme="minorEastAsia" w:eastAsiaTheme="minorEastAsia" w:cstheme="minorEastAsia"/>
                <w:color w:val="auto"/>
                <w:sz w:val="24"/>
                <w:szCs w:val="24"/>
                <w:highlight w:val="none"/>
              </w:rPr>
              <w:t>响应情况</w:t>
            </w:r>
            <w:bookmarkEnd w:id="343"/>
            <w:bookmarkEnd w:id="344"/>
            <w:bookmarkEnd w:id="345"/>
            <w:bookmarkEnd w:id="346"/>
            <w:bookmarkEnd w:id="347"/>
            <w:bookmarkEnd w:id="348"/>
          </w:p>
        </w:tc>
        <w:tc>
          <w:tcPr>
            <w:tcW w:w="2390" w:type="dxa"/>
            <w:vAlign w:val="center"/>
          </w:tcPr>
          <w:p w14:paraId="756A55A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49" w:name="_Toc30250"/>
            <w:bookmarkStart w:id="350" w:name="_Toc3009"/>
            <w:bookmarkStart w:id="351" w:name="_Toc5026"/>
            <w:bookmarkStart w:id="352" w:name="_Toc10595"/>
            <w:bookmarkStart w:id="353" w:name="_Toc14056"/>
            <w:bookmarkStart w:id="354" w:name="_Toc16701"/>
            <w:r>
              <w:rPr>
                <w:rFonts w:hint="eastAsia" w:asciiTheme="minorEastAsia" w:hAnsiTheme="minorEastAsia" w:eastAsiaTheme="minorEastAsia" w:cstheme="minorEastAsia"/>
                <w:color w:val="auto"/>
                <w:sz w:val="24"/>
                <w:szCs w:val="24"/>
                <w:highlight w:val="none"/>
              </w:rPr>
              <w:t>差异说明</w:t>
            </w:r>
            <w:bookmarkEnd w:id="349"/>
            <w:bookmarkEnd w:id="350"/>
            <w:bookmarkEnd w:id="351"/>
            <w:bookmarkEnd w:id="352"/>
            <w:bookmarkEnd w:id="353"/>
            <w:bookmarkEnd w:id="354"/>
          </w:p>
        </w:tc>
      </w:tr>
      <w:tr w14:paraId="48ED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087CD18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3A60698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2AAFC746">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F7F26B5">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68AB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71EB623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6C825F8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6D9B374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25819B9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6BAA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5B5B99E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0D1F59D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35F9FCF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55B94C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0FF3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441FE4D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70AB8DF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44F718D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E0FD68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ABD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7D8DF46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6480D41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3DB0EFE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C8B3BB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1F5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7049221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1965848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4C78C82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126E9F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0766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60A3CDD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25B76085">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6BE0FDE8">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82098D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0A9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3974103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7DCE28E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4D9ED6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5D37CF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bl>
    <w:p w14:paraId="338D0ADA">
      <w:pPr>
        <w:pageBreakBefore w:val="0"/>
        <w:kinsoku/>
        <w:overflowPunct/>
        <w:topLinePunct w:val="0"/>
        <w:autoSpaceDE/>
        <w:autoSpaceDN/>
        <w:bidi w:val="0"/>
        <w:adjustRightInd/>
        <w:spacing w:line="360" w:lineRule="auto"/>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供应商名称（公章）：</w:t>
      </w:r>
    </w:p>
    <w:p w14:paraId="2D77DEF1">
      <w:pPr>
        <w:pageBreakBefore w:val="0"/>
        <w:kinsoku/>
        <w:overflowPunct/>
        <w:topLinePunct w:val="0"/>
        <w:autoSpaceDE/>
        <w:autoSpaceDN/>
        <w:bidi w:val="0"/>
        <w:adjustRightInd/>
        <w:spacing w:line="360" w:lineRule="auto"/>
        <w:ind w:firstLine="480"/>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41B64599">
      <w:pPr>
        <w:pStyle w:val="36"/>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35EBFC38">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本表即为对本项目“第二篇</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rPr>
        <w:t>项目服务需求”</w:t>
      </w:r>
      <w:r>
        <w:rPr>
          <w:rFonts w:hint="eastAsia" w:asciiTheme="minorEastAsia" w:hAnsiTheme="minorEastAsia" w:eastAsiaTheme="minorEastAsia" w:cstheme="minorEastAsia"/>
          <w:color w:val="auto"/>
          <w:szCs w:val="28"/>
          <w:highlight w:val="none"/>
          <w:lang w:val="en-US" w:eastAsia="zh-CN"/>
        </w:rPr>
        <w:t>中</w:t>
      </w:r>
      <w:r>
        <w:rPr>
          <w:rFonts w:hint="eastAsia" w:asciiTheme="minorEastAsia" w:hAnsiTheme="minorEastAsia" w:eastAsiaTheme="minorEastAsia" w:cstheme="minorEastAsia"/>
          <w:b w:val="0"/>
          <w:bCs w:val="0"/>
          <w:color w:val="auto"/>
          <w:szCs w:val="28"/>
          <w:highlight w:val="none"/>
          <w:lang w:val="en-US" w:eastAsia="zh-CN"/>
        </w:rPr>
        <w:t>技术要求</w:t>
      </w:r>
      <w:r>
        <w:rPr>
          <w:rFonts w:hint="eastAsia" w:asciiTheme="minorEastAsia" w:hAnsiTheme="minorEastAsia" w:eastAsiaTheme="minorEastAsia" w:cstheme="minorEastAsia"/>
          <w:color w:val="auto"/>
          <w:szCs w:val="28"/>
          <w:highlight w:val="none"/>
        </w:rPr>
        <w:t>进行比较和响应；</w:t>
      </w:r>
    </w:p>
    <w:p w14:paraId="462C2D3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该表必须按照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要求如实填写，根据响应情况在“差异说明”项填写“无差异”或正负偏离说明；</w:t>
      </w:r>
    </w:p>
    <w:p w14:paraId="7F9E9F9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该表可扩展，并逐页签字或盖章；</w:t>
      </w:r>
    </w:p>
    <w:p w14:paraId="2BFE5C4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可附相关技术支撑材料。（格式自定）</w:t>
      </w:r>
    </w:p>
    <w:p w14:paraId="01C44DA5">
      <w:pP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p>
    <w:p w14:paraId="7D78CEAC">
      <w:pPr>
        <w:pStyle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其他优惠承诺</w:t>
      </w:r>
    </w:p>
    <w:p w14:paraId="6E328B1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p>
    <w:p w14:paraId="1B72025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lang w:eastAsia="zh-CN"/>
        </w:rPr>
      </w:pPr>
      <w:bookmarkStart w:id="355" w:name="_Toc18349"/>
      <w:bookmarkStart w:id="356" w:name="_Toc17521"/>
      <w:bookmarkStart w:id="357" w:name="_Toc5262"/>
      <w:bookmarkStart w:id="358" w:name="_Toc2630"/>
      <w:bookmarkStart w:id="359" w:name="_Toc28286"/>
      <w:bookmarkStart w:id="360" w:name="_Toc16264"/>
      <w:bookmarkStart w:id="361" w:name="_Toc27337"/>
      <w:r>
        <w:rPr>
          <w:rFonts w:hint="eastAsia" w:asciiTheme="minorEastAsia" w:hAnsiTheme="minorEastAsia" w:eastAsiaTheme="minorEastAsia" w:cstheme="minorEastAsia"/>
          <w:color w:val="auto"/>
          <w:highlight w:val="none"/>
        </w:rPr>
        <w:t>四、</w:t>
      </w:r>
      <w:bookmarkEnd w:id="355"/>
      <w:bookmarkEnd w:id="356"/>
      <w:bookmarkEnd w:id="357"/>
      <w:bookmarkEnd w:id="358"/>
      <w:bookmarkEnd w:id="359"/>
      <w:bookmarkEnd w:id="360"/>
      <w:bookmarkEnd w:id="361"/>
      <w:r>
        <w:rPr>
          <w:rFonts w:hint="eastAsia" w:asciiTheme="minorEastAsia" w:hAnsiTheme="minorEastAsia" w:eastAsiaTheme="minorEastAsia" w:cstheme="minorEastAsia"/>
          <w:color w:val="auto"/>
          <w:highlight w:val="none"/>
          <w:lang w:eastAsia="zh-CN"/>
        </w:rPr>
        <w:t>商务部分</w:t>
      </w:r>
    </w:p>
    <w:p w14:paraId="3100723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w:t>
      </w:r>
      <w:r>
        <w:rPr>
          <w:rFonts w:hint="eastAsia" w:asciiTheme="minorEastAsia" w:hAnsiTheme="minorEastAsia" w:eastAsiaTheme="minorEastAsia" w:cstheme="minorEastAsia"/>
          <w:b/>
          <w:bCs/>
          <w:color w:val="auto"/>
          <w:highlight w:val="none"/>
          <w:lang w:val="en-US" w:eastAsia="zh-CN"/>
        </w:rPr>
        <w:t>响应</w:t>
      </w:r>
      <w:r>
        <w:rPr>
          <w:rFonts w:hint="eastAsia" w:asciiTheme="minorEastAsia" w:hAnsiTheme="minorEastAsia" w:eastAsiaTheme="minorEastAsia" w:cstheme="minorEastAsia"/>
          <w:b/>
          <w:bCs/>
          <w:color w:val="auto"/>
          <w:highlight w:val="none"/>
        </w:rPr>
        <w:t>函</w:t>
      </w:r>
    </w:p>
    <w:p w14:paraId="42D47DB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r>
        <w:rPr>
          <w:rFonts w:hint="eastAsia" w:asciiTheme="minorEastAsia" w:hAnsiTheme="minorEastAsia" w:eastAsiaTheme="minorEastAsia" w:cstheme="minorEastAsia"/>
          <w:color w:val="auto"/>
          <w:szCs w:val="28"/>
          <w:highlight w:val="none"/>
          <w:u w:val="single"/>
        </w:rPr>
        <w:t xml:space="preserve">                                             </w:t>
      </w:r>
    </w:p>
    <w:p w14:paraId="760C05C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（代理机构名称）：</w:t>
      </w:r>
    </w:p>
    <w:p w14:paraId="47B41E3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（供应商名称）系中华人民共和国合法企业，注册地址：</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。我方就参加本次</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有关事项郑重声明如下：</w:t>
      </w:r>
    </w:p>
    <w:p w14:paraId="1A476C4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bookmarkStart w:id="362" w:name="_Toc15412"/>
      <w:bookmarkStart w:id="363" w:name="_Toc8065"/>
      <w:r>
        <w:rPr>
          <w:rFonts w:hint="eastAsia" w:asciiTheme="minorEastAsia" w:hAnsiTheme="minorEastAsia" w:eastAsiaTheme="minorEastAsia" w:cstheme="minorEastAsia"/>
          <w:color w:val="auto"/>
          <w:szCs w:val="28"/>
          <w:highlight w:val="none"/>
        </w:rPr>
        <w:t>一、我方完全理解并接受该项目</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所有要求。</w:t>
      </w:r>
      <w:bookmarkEnd w:id="362"/>
      <w:bookmarkEnd w:id="363"/>
    </w:p>
    <w:p w14:paraId="4E0ADDC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二、我方提交的所有响应文件、资料都是准确和真实的，如有虚假或隐瞒，我方愿意承担一切法律责任。</w:t>
      </w:r>
    </w:p>
    <w:p w14:paraId="40E6562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三、我方承诺按照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要求，提供</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项目的服务。</w:t>
      </w:r>
    </w:p>
    <w:p w14:paraId="1056657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四、我方按</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要求提交的响应文件为：响应文件</w:t>
      </w:r>
      <w:r>
        <w:rPr>
          <w:rFonts w:hint="eastAsia" w:asciiTheme="minorEastAsia" w:hAnsiTheme="minorEastAsia" w:eastAsiaTheme="minorEastAsia" w:cstheme="minorEastAsia"/>
          <w:color w:val="auto"/>
          <w:szCs w:val="28"/>
          <w:highlight w:val="none"/>
          <w:lang w:val="en-US" w:eastAsia="zh-CN"/>
        </w:rPr>
        <w:t>纸质文档</w:t>
      </w:r>
      <w:r>
        <w:rPr>
          <w:rFonts w:hint="eastAsia" w:asciiTheme="minorEastAsia" w:hAnsiTheme="minorEastAsia" w:eastAsiaTheme="minorEastAsia" w:cstheme="minorEastAsia"/>
          <w:color w:val="auto"/>
          <w:szCs w:val="28"/>
          <w:highlight w:val="none"/>
        </w:rPr>
        <w:t>正本</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份，响应文件</w:t>
      </w:r>
      <w:r>
        <w:rPr>
          <w:rFonts w:hint="eastAsia" w:asciiTheme="minorEastAsia" w:hAnsiTheme="minorEastAsia" w:eastAsiaTheme="minorEastAsia" w:cstheme="minorEastAsia"/>
          <w:color w:val="auto"/>
          <w:szCs w:val="28"/>
          <w:highlight w:val="none"/>
          <w:lang w:val="en-US" w:eastAsia="zh-CN"/>
        </w:rPr>
        <w:t>纸质文档</w:t>
      </w:r>
      <w:r>
        <w:rPr>
          <w:rFonts w:hint="eastAsia" w:asciiTheme="minorEastAsia" w:hAnsiTheme="minorEastAsia" w:eastAsiaTheme="minorEastAsia" w:cstheme="minorEastAsia"/>
          <w:color w:val="auto"/>
          <w:szCs w:val="28"/>
          <w:highlight w:val="none"/>
        </w:rPr>
        <w:t>副本</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份。</w:t>
      </w:r>
    </w:p>
    <w:p w14:paraId="0372A9E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bookmarkStart w:id="364" w:name="_Toc5527"/>
      <w:bookmarkStart w:id="365" w:name="_Toc10192"/>
      <w:r>
        <w:rPr>
          <w:rFonts w:hint="eastAsia" w:asciiTheme="minorEastAsia" w:hAnsiTheme="minorEastAsia" w:eastAsiaTheme="minorEastAsia" w:cstheme="minorEastAsia"/>
          <w:color w:val="auto"/>
          <w:szCs w:val="28"/>
          <w:highlight w:val="none"/>
        </w:rPr>
        <w:t>五、我方承诺：本次</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的</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有效期为</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截止时间起90天。</w:t>
      </w:r>
      <w:bookmarkEnd w:id="364"/>
      <w:bookmarkEnd w:id="365"/>
    </w:p>
    <w:p w14:paraId="1E90DF5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六、我方</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报价为闭口价。即在</w:t>
      </w:r>
      <w:r>
        <w:rPr>
          <w:rFonts w:hint="eastAsia" w:asciiTheme="minorEastAsia" w:hAnsiTheme="minorEastAsia" w:eastAsiaTheme="minorEastAsia" w:cstheme="minorEastAsia"/>
          <w:color w:val="auto"/>
          <w:szCs w:val="28"/>
          <w:highlight w:val="none"/>
          <w:lang w:eastAsia="zh-CN"/>
        </w:rPr>
        <w:t>比选</w:t>
      </w:r>
      <w:r>
        <w:rPr>
          <w:rFonts w:hint="eastAsia" w:asciiTheme="minorEastAsia" w:hAnsiTheme="minorEastAsia" w:eastAsiaTheme="minorEastAsia" w:cstheme="minorEastAsia"/>
          <w:color w:val="auto"/>
          <w:szCs w:val="28"/>
          <w:highlight w:val="none"/>
        </w:rPr>
        <w:t>有效期和合同有效期内，该报价固定不变。</w:t>
      </w:r>
    </w:p>
    <w:p w14:paraId="32B4960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七、如果我方成为成交供应商，我方将履行</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中规定的各项要求以及我方响应文件的各项承诺，按《中华人民共和国民法典》及合同约定条款承担我方责任。</w:t>
      </w:r>
    </w:p>
    <w:p w14:paraId="7826E06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八、我方未为采购项目提供整体设计、规范编制或者项目管理、监理、检测等服务。</w:t>
      </w:r>
    </w:p>
    <w:p w14:paraId="7B34BEB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val="en-US" w:eastAsia="zh-CN"/>
        </w:rPr>
        <w:t>九</w:t>
      </w:r>
      <w:r>
        <w:rPr>
          <w:rFonts w:hint="eastAsia" w:asciiTheme="minorEastAsia" w:hAnsiTheme="minorEastAsia" w:eastAsiaTheme="minorEastAsia" w:cstheme="minorEastAsia"/>
          <w:color w:val="auto"/>
          <w:szCs w:val="28"/>
          <w:highlight w:val="none"/>
        </w:rPr>
        <w:t>、若我方成为成交供应商，愿意按有关规定及</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要求缴纳采购代理服务费。</w:t>
      </w:r>
    </w:p>
    <w:p w14:paraId="5C319F34">
      <w:pPr>
        <w:pageBreakBefore w:val="0"/>
        <w:tabs>
          <w:tab w:val="left" w:pos="6300"/>
        </w:tabs>
        <w:kinsoku/>
        <w:overflowPunct/>
        <w:topLinePunct w:val="0"/>
        <w:autoSpaceDE/>
        <w:autoSpaceDN/>
        <w:bidi w:val="0"/>
        <w:adjustRightInd/>
        <w:snapToGrid w:val="0"/>
        <w:spacing w:line="360" w:lineRule="auto"/>
        <w:ind w:firstLine="5320" w:firstLineChars="19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（供应商公章或自然人签署）</w:t>
      </w:r>
    </w:p>
    <w:p w14:paraId="1DBF968C">
      <w:pPr>
        <w:pageBreakBefore w:val="0"/>
        <w:tabs>
          <w:tab w:val="left" w:pos="6300"/>
        </w:tabs>
        <w:kinsoku/>
        <w:overflowPunct/>
        <w:topLinePunct w:val="0"/>
        <w:autoSpaceDE/>
        <w:autoSpaceDN/>
        <w:bidi w:val="0"/>
        <w:adjustRightInd/>
        <w:snapToGrid w:val="0"/>
        <w:spacing w:line="360" w:lineRule="auto"/>
        <w:ind w:firstLine="7280" w:firstLineChars="26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年    月   日</w:t>
      </w:r>
    </w:p>
    <w:p w14:paraId="523FBD9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8"/>
          <w:highlight w:val="none"/>
        </w:rPr>
        <w:br w:type="page"/>
      </w:r>
      <w:bookmarkStart w:id="366" w:name="_Toc17279"/>
      <w:bookmarkStart w:id="367" w:name="_Toc19167"/>
      <w:bookmarkStart w:id="368" w:name="_Toc10242"/>
      <w:r>
        <w:rPr>
          <w:rFonts w:hint="eastAsia" w:asciiTheme="minorEastAsia" w:hAnsiTheme="minorEastAsia" w:eastAsiaTheme="minorEastAsia" w:cstheme="minorEastAsia"/>
          <w:b/>
          <w:bCs/>
          <w:color w:val="auto"/>
          <w:highlight w:val="none"/>
        </w:rPr>
        <w:t>（二）商务条款差异表</w:t>
      </w:r>
      <w:bookmarkEnd w:id="366"/>
      <w:bookmarkEnd w:id="367"/>
      <w:bookmarkEnd w:id="368"/>
    </w:p>
    <w:p w14:paraId="590A8F95">
      <w:pPr>
        <w:pageBreakBefore w:val="0"/>
        <w:tabs>
          <w:tab w:val="left" w:pos="720"/>
        </w:tabs>
        <w:kinsoku/>
        <w:overflowPunct/>
        <w:topLinePunct w:val="0"/>
        <w:autoSpaceDE/>
        <w:autoSpaceDN/>
        <w:bidi w:val="0"/>
        <w:adjustRightInd/>
        <w:spacing w:line="360" w:lineRule="auto"/>
        <w:ind w:firstLine="527"/>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商务条款差异表</w:t>
      </w:r>
    </w:p>
    <w:p w14:paraId="197C39CC">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采购编号</w:t>
      </w:r>
      <w:r>
        <w:rPr>
          <w:rFonts w:hint="eastAsia" w:asciiTheme="minorEastAsia" w:hAnsiTheme="minorEastAsia" w:eastAsiaTheme="minorEastAsia" w:cstheme="minorEastAsia"/>
          <w:color w:val="auto"/>
          <w:szCs w:val="28"/>
          <w:highlight w:val="none"/>
        </w:rPr>
        <w:t xml:space="preserve">：                                </w:t>
      </w:r>
    </w:p>
    <w:p w14:paraId="10C5FC0A">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项目名称：</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69"/>
        <w:gridCol w:w="3188"/>
        <w:gridCol w:w="2390"/>
      </w:tblGrid>
      <w:tr w14:paraId="7F51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15" w:type="dxa"/>
            <w:vAlign w:val="center"/>
          </w:tcPr>
          <w:p w14:paraId="635AA99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69" w:name="_Toc30909"/>
            <w:bookmarkStart w:id="370" w:name="_Toc12928"/>
            <w:bookmarkStart w:id="371" w:name="_Toc3165"/>
            <w:bookmarkStart w:id="372" w:name="_Toc26650"/>
            <w:r>
              <w:rPr>
                <w:rFonts w:hint="eastAsia" w:asciiTheme="minorEastAsia" w:hAnsiTheme="minorEastAsia" w:eastAsiaTheme="minorEastAsia" w:cstheme="minorEastAsia"/>
                <w:color w:val="auto"/>
                <w:sz w:val="24"/>
                <w:szCs w:val="24"/>
                <w:highlight w:val="none"/>
              </w:rPr>
              <w:t>序号</w:t>
            </w:r>
            <w:bookmarkEnd w:id="369"/>
            <w:bookmarkEnd w:id="370"/>
            <w:bookmarkEnd w:id="371"/>
            <w:bookmarkEnd w:id="372"/>
          </w:p>
        </w:tc>
        <w:tc>
          <w:tcPr>
            <w:tcW w:w="3069" w:type="dxa"/>
            <w:vAlign w:val="center"/>
          </w:tcPr>
          <w:p w14:paraId="181E306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73" w:name="_Toc16284"/>
            <w:bookmarkStart w:id="374" w:name="_Toc31879"/>
            <w:bookmarkStart w:id="375" w:name="_Toc31519"/>
            <w:bookmarkStart w:id="376" w:name="_Toc20839"/>
            <w:r>
              <w:rPr>
                <w:rFonts w:hint="eastAsia" w:asciiTheme="minorEastAsia" w:hAnsiTheme="minorEastAsia" w:eastAsiaTheme="minorEastAsia" w:cstheme="minorEastAsia"/>
                <w:color w:val="auto"/>
                <w:sz w:val="24"/>
                <w:szCs w:val="24"/>
                <w:highlight w:val="none"/>
              </w:rPr>
              <w:t>采购需求</w:t>
            </w:r>
            <w:bookmarkEnd w:id="373"/>
            <w:bookmarkEnd w:id="374"/>
            <w:bookmarkEnd w:id="375"/>
            <w:bookmarkEnd w:id="376"/>
          </w:p>
        </w:tc>
        <w:tc>
          <w:tcPr>
            <w:tcW w:w="3188" w:type="dxa"/>
            <w:vAlign w:val="center"/>
          </w:tcPr>
          <w:p w14:paraId="6E5BAD9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77" w:name="_Toc24660"/>
            <w:bookmarkStart w:id="378" w:name="_Toc3511"/>
            <w:bookmarkStart w:id="379" w:name="_Toc4456"/>
            <w:bookmarkStart w:id="380" w:name="_Toc22122"/>
            <w:r>
              <w:rPr>
                <w:rFonts w:hint="eastAsia" w:asciiTheme="minorEastAsia" w:hAnsiTheme="minorEastAsia" w:eastAsiaTheme="minorEastAsia" w:cstheme="minorEastAsia"/>
                <w:color w:val="auto"/>
                <w:sz w:val="24"/>
                <w:szCs w:val="24"/>
                <w:highlight w:val="none"/>
              </w:rPr>
              <w:t>响应情况</w:t>
            </w:r>
            <w:bookmarkEnd w:id="377"/>
            <w:bookmarkEnd w:id="378"/>
            <w:bookmarkEnd w:id="379"/>
            <w:bookmarkEnd w:id="380"/>
          </w:p>
        </w:tc>
        <w:tc>
          <w:tcPr>
            <w:tcW w:w="2390" w:type="dxa"/>
            <w:vAlign w:val="center"/>
          </w:tcPr>
          <w:p w14:paraId="1C59149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bookmarkStart w:id="381" w:name="_Toc14571"/>
            <w:bookmarkStart w:id="382" w:name="_Toc11128"/>
            <w:bookmarkStart w:id="383" w:name="_Toc13230"/>
            <w:bookmarkStart w:id="384" w:name="_Toc15020"/>
            <w:r>
              <w:rPr>
                <w:rFonts w:hint="eastAsia" w:asciiTheme="minorEastAsia" w:hAnsiTheme="minorEastAsia" w:eastAsiaTheme="minorEastAsia" w:cstheme="minorEastAsia"/>
                <w:color w:val="auto"/>
                <w:sz w:val="24"/>
                <w:szCs w:val="24"/>
                <w:highlight w:val="none"/>
              </w:rPr>
              <w:t>差异说明</w:t>
            </w:r>
            <w:bookmarkEnd w:id="381"/>
            <w:bookmarkEnd w:id="382"/>
            <w:bookmarkEnd w:id="383"/>
            <w:bookmarkEnd w:id="384"/>
          </w:p>
        </w:tc>
      </w:tr>
      <w:tr w14:paraId="4C20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66F539B8">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5C3050AA">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77E289C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2035E26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336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02F6C9A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29707FD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21321C0A">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223B76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BF0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4538C8E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52EB758D">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013BDF0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40AC6F50">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8C1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56C379B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41D6C5C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C53D75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59E8993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7141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4996827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168A1D6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7A2C603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7936062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9C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0AFB0CD7">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39F0E57C">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2A73EDA2">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63561CE4">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2551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3258CFDF">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71DA0923">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5B1497B">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571863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r w14:paraId="1EC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15" w:type="dxa"/>
            <w:vAlign w:val="center"/>
          </w:tcPr>
          <w:p w14:paraId="2EF8AF61">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069" w:type="dxa"/>
            <w:vAlign w:val="center"/>
          </w:tcPr>
          <w:p w14:paraId="57E2D5A9">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3188" w:type="dxa"/>
            <w:vAlign w:val="center"/>
          </w:tcPr>
          <w:p w14:paraId="52FA02FE">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0" w:type="dxa"/>
            <w:vAlign w:val="center"/>
          </w:tcPr>
          <w:p w14:paraId="17DBD4E6">
            <w:pPr>
              <w:pageBreakBefore w:val="0"/>
              <w:kinsoku/>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 w:val="24"/>
                <w:szCs w:val="24"/>
                <w:highlight w:val="none"/>
              </w:rPr>
            </w:pPr>
          </w:p>
        </w:tc>
      </w:tr>
    </w:tbl>
    <w:p w14:paraId="1B8169E7">
      <w:pPr>
        <w:pageBreakBefore w:val="0"/>
        <w:kinsoku/>
        <w:overflowPunct/>
        <w:topLinePunct w:val="0"/>
        <w:autoSpaceDE/>
        <w:autoSpaceDN/>
        <w:bidi w:val="0"/>
        <w:adjustRightInd/>
        <w:spacing w:line="360" w:lineRule="auto"/>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供应商名称（公章）：</w:t>
      </w:r>
    </w:p>
    <w:p w14:paraId="5AC94850">
      <w:pPr>
        <w:pageBreakBefore w:val="0"/>
        <w:kinsoku/>
        <w:overflowPunct/>
        <w:topLinePunct w:val="0"/>
        <w:autoSpaceDE/>
        <w:autoSpaceDN/>
        <w:bidi w:val="0"/>
        <w:adjustRightInd/>
        <w:spacing w:line="360" w:lineRule="auto"/>
        <w:ind w:firstLine="480"/>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6BFB0EC4">
      <w:pPr>
        <w:pStyle w:val="36"/>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753324D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本表即为对本项目“第三篇</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rPr>
        <w:t>项目商务需求”</w:t>
      </w:r>
      <w:r>
        <w:rPr>
          <w:rFonts w:hint="eastAsia" w:asciiTheme="minorEastAsia" w:hAnsiTheme="minorEastAsia" w:eastAsiaTheme="minorEastAsia" w:cstheme="minorEastAsia"/>
          <w:b w:val="0"/>
          <w:bCs w:val="0"/>
          <w:color w:val="auto"/>
          <w:szCs w:val="28"/>
          <w:highlight w:val="none"/>
          <w:lang w:val="en-US" w:eastAsia="zh-CN"/>
        </w:rPr>
        <w:t>所列商务要求</w:t>
      </w:r>
      <w:r>
        <w:rPr>
          <w:rFonts w:hint="eastAsia" w:asciiTheme="minorEastAsia" w:hAnsiTheme="minorEastAsia" w:eastAsiaTheme="minorEastAsia" w:cstheme="minorEastAsia"/>
          <w:color w:val="auto"/>
          <w:szCs w:val="28"/>
          <w:highlight w:val="none"/>
        </w:rPr>
        <w:t>进行比较和响应；</w:t>
      </w:r>
    </w:p>
    <w:p w14:paraId="59C1B7D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该表必须按照</w:t>
      </w:r>
      <w:r>
        <w:rPr>
          <w:rFonts w:hint="eastAsia" w:asciiTheme="minorEastAsia" w:hAnsiTheme="minorEastAsia" w:eastAsiaTheme="minorEastAsia" w:cstheme="minorEastAsia"/>
          <w:color w:val="auto"/>
          <w:szCs w:val="28"/>
          <w:highlight w:val="none"/>
          <w:lang w:eastAsia="zh-CN"/>
        </w:rPr>
        <w:t>比选文件</w:t>
      </w:r>
      <w:r>
        <w:rPr>
          <w:rFonts w:hint="eastAsia" w:asciiTheme="minorEastAsia" w:hAnsiTheme="minorEastAsia" w:eastAsiaTheme="minorEastAsia" w:cstheme="minorEastAsia"/>
          <w:color w:val="auto"/>
          <w:szCs w:val="28"/>
          <w:highlight w:val="none"/>
        </w:rPr>
        <w:t>要求如实填写，根据响应情况在“差异说明”项填写“无差异”或正负偏离说明；</w:t>
      </w:r>
    </w:p>
    <w:p w14:paraId="59BDC52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该表可扩展，并逐页签字或盖章；</w:t>
      </w:r>
    </w:p>
    <w:p w14:paraId="27BBCB5C">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w:t>
      </w:r>
      <w:r>
        <w:rPr>
          <w:rFonts w:hint="eastAsia" w:asciiTheme="minorEastAsia" w:hAnsiTheme="minorEastAsia" w:eastAsiaTheme="minorEastAsia" w:cstheme="minorEastAsia"/>
          <w:color w:val="auto"/>
          <w:szCs w:val="28"/>
          <w:highlight w:val="none"/>
          <w:lang w:val="en-US" w:eastAsia="zh-CN"/>
        </w:rPr>
        <w:t>.</w:t>
      </w:r>
      <w:r>
        <w:rPr>
          <w:rFonts w:hint="eastAsia" w:asciiTheme="minorEastAsia" w:hAnsiTheme="minorEastAsia" w:eastAsiaTheme="minorEastAsia" w:cstheme="minorEastAsia"/>
          <w:color w:val="auto"/>
          <w:szCs w:val="28"/>
          <w:highlight w:val="none"/>
        </w:rPr>
        <w:t>可附相关技术支撑材料。（格式自定）</w:t>
      </w:r>
    </w:p>
    <w:p w14:paraId="14CFB03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bookmarkStart w:id="385" w:name="_Toc20137"/>
      <w:bookmarkStart w:id="386" w:name="_Toc25826"/>
      <w:bookmarkStart w:id="387" w:name="_Toc28259"/>
      <w:bookmarkStart w:id="388" w:name="_Toc13132"/>
      <w:bookmarkStart w:id="389" w:name="_Toc13056"/>
      <w:bookmarkStart w:id="390" w:name="_Toc30526"/>
      <w:r>
        <w:rPr>
          <w:rFonts w:hint="eastAsia" w:asciiTheme="minorEastAsia" w:hAnsiTheme="minorEastAsia" w:eastAsiaTheme="minorEastAsia" w:cstheme="minorEastAsia"/>
          <w:color w:val="auto"/>
          <w:highlight w:val="none"/>
        </w:rPr>
        <w:br w:type="page"/>
      </w:r>
    </w:p>
    <w:p w14:paraId="535808FD">
      <w:pPr>
        <w:pStyle w:val="3"/>
        <w:pageBreakBefore w:val="0"/>
        <w:kinsoku/>
        <w:overflowPunct/>
        <w:topLinePunct w:val="0"/>
        <w:autoSpaceDE/>
        <w:autoSpaceDN/>
        <w:bidi w:val="0"/>
        <w:adjustRightInd/>
        <w:spacing w:line="360" w:lineRule="auto"/>
        <w:ind w:firstLine="562"/>
        <w:textAlignment w:val="auto"/>
        <w:rPr>
          <w:rFonts w:hint="eastAsia" w:asciiTheme="minorEastAsia" w:hAnsiTheme="minorEastAsia" w:eastAsiaTheme="minorEastAsia" w:cstheme="minorEastAsia"/>
          <w:color w:val="auto"/>
          <w:highlight w:val="none"/>
        </w:rPr>
      </w:pPr>
      <w:bookmarkStart w:id="391" w:name="_Toc2353"/>
      <w:bookmarkStart w:id="392" w:name="_Toc27159"/>
      <w:r>
        <w:rPr>
          <w:rFonts w:hint="eastAsia" w:asciiTheme="minorEastAsia" w:hAnsiTheme="minorEastAsia" w:eastAsiaTheme="minorEastAsia" w:cstheme="minorEastAsia"/>
          <w:color w:val="auto"/>
          <w:highlight w:val="none"/>
        </w:rPr>
        <w:t>五、</w:t>
      </w:r>
      <w:bookmarkEnd w:id="385"/>
      <w:bookmarkEnd w:id="386"/>
      <w:bookmarkEnd w:id="387"/>
      <w:r>
        <w:rPr>
          <w:rFonts w:hint="eastAsia" w:asciiTheme="minorEastAsia" w:hAnsiTheme="minorEastAsia" w:eastAsiaTheme="minorEastAsia" w:cstheme="minorEastAsia"/>
          <w:color w:val="auto"/>
          <w:highlight w:val="none"/>
        </w:rPr>
        <w:t>其他与项目有关的资料</w:t>
      </w:r>
      <w:bookmarkEnd w:id="388"/>
      <w:bookmarkEnd w:id="389"/>
      <w:bookmarkEnd w:id="390"/>
      <w:bookmarkEnd w:id="391"/>
      <w:bookmarkEnd w:id="392"/>
    </w:p>
    <w:p w14:paraId="255E9028">
      <w:pPr>
        <w:pageBreakBefore w:val="0"/>
        <w:kinsoku/>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w:t>
      </w:r>
      <w:r>
        <w:rPr>
          <w:rFonts w:hint="eastAsia" w:asciiTheme="minorEastAsia" w:hAnsiTheme="minorEastAsia" w:eastAsiaTheme="minorEastAsia" w:cstheme="minorEastAsia"/>
          <w:b/>
          <w:bCs/>
          <w:color w:val="auto"/>
          <w:szCs w:val="28"/>
          <w:highlight w:val="none"/>
          <w:lang w:val="en-US" w:eastAsia="zh-CN"/>
        </w:rPr>
        <w:t>一</w:t>
      </w:r>
      <w:r>
        <w:rPr>
          <w:rFonts w:hint="eastAsia" w:asciiTheme="minorEastAsia" w:hAnsiTheme="minorEastAsia" w:eastAsiaTheme="minorEastAsia" w:cstheme="minorEastAsia"/>
          <w:b/>
          <w:bCs/>
          <w:color w:val="auto"/>
          <w:szCs w:val="28"/>
          <w:highlight w:val="none"/>
        </w:rPr>
        <w:t>）其他与项目有关的资料</w:t>
      </w:r>
    </w:p>
    <w:p w14:paraId="47773921">
      <w:pPr>
        <w:pageBreakBefore w:val="0"/>
        <w:kinsoku/>
        <w:overflowPunct/>
        <w:topLinePunct w:val="0"/>
        <w:autoSpaceDE/>
        <w:autoSpaceDN/>
        <w:bidi w:val="0"/>
        <w:adjustRightIn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其他与项目有关的资料（自附）：供应商总体情况介绍、其他与本项目有关的资料等。</w:t>
      </w:r>
    </w:p>
    <w:p w14:paraId="593D494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ED26E64">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5BE679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6B25F93">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3AEBBC1">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DBE5FB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4C444A9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7F41A6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67F29D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B247C5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3C1432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F17B1D0">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890458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65EA02E">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2305557">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DBB1BD6">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96D73FD">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7158D42F">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A62AB0E">
      <w:pPr>
        <w:pStyle w:val="3"/>
        <w:bidi w:val="0"/>
        <w:rPr>
          <w:rFonts w:hint="eastAsia" w:asciiTheme="minorEastAsia" w:hAnsiTheme="minorEastAsia" w:eastAsiaTheme="minorEastAsia" w:cstheme="minorEastAsia"/>
          <w:color w:val="auto"/>
          <w:sz w:val="24"/>
          <w:szCs w:val="24"/>
          <w:highlight w:val="none"/>
        </w:rPr>
      </w:pPr>
      <w:bookmarkStart w:id="393" w:name="_Toc8712"/>
      <w:r>
        <w:rPr>
          <w:rFonts w:hint="eastAsia" w:asciiTheme="minorEastAsia" w:hAnsiTheme="minorEastAsia" w:eastAsiaTheme="minorEastAsia" w:cstheme="minorEastAsia"/>
          <w:color w:val="auto"/>
          <w:sz w:val="24"/>
          <w:szCs w:val="24"/>
          <w:highlight w:val="none"/>
        </w:rPr>
        <w:t>（二）购销诚信及不参与围标串标承诺书（格式）</w:t>
      </w:r>
      <w:bookmarkEnd w:id="393"/>
    </w:p>
    <w:p w14:paraId="5A200710">
      <w:pPr>
        <w:spacing w:line="360" w:lineRule="auto"/>
        <w:ind w:firstLine="880"/>
        <w:jc w:val="center"/>
        <w:rPr>
          <w:rFonts w:hint="eastAsia" w:asciiTheme="minorEastAsia" w:hAnsiTheme="minorEastAsia" w:eastAsiaTheme="minorEastAsia" w:cstheme="minorEastAsia"/>
          <w:color w:val="auto"/>
          <w:kern w:val="44"/>
          <w:sz w:val="24"/>
          <w:szCs w:val="24"/>
          <w:highlight w:val="none"/>
        </w:rPr>
      </w:pPr>
    </w:p>
    <w:p w14:paraId="19D0EC90">
      <w:pPr>
        <w:spacing w:line="36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购销诚信及不参与围标串标承诺书</w:t>
      </w:r>
    </w:p>
    <w:p w14:paraId="1276CBBF">
      <w:pPr>
        <w:spacing w:line="360" w:lineRule="auto"/>
        <w:ind w:firstLine="480"/>
        <w:rPr>
          <w:rFonts w:hint="eastAsia" w:asciiTheme="minorEastAsia" w:hAnsiTheme="minorEastAsia" w:eastAsiaTheme="minorEastAsia" w:cstheme="minorEastAsia"/>
          <w:color w:val="auto"/>
          <w:sz w:val="24"/>
          <w:szCs w:val="24"/>
          <w:highlight w:val="none"/>
        </w:rPr>
      </w:pPr>
    </w:p>
    <w:p w14:paraId="0FF12B0A">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云阳县</w:t>
      </w:r>
      <w:r>
        <w:rPr>
          <w:rFonts w:hint="eastAsia" w:asciiTheme="minorEastAsia" w:hAnsiTheme="minorEastAsia" w:eastAsiaTheme="minorEastAsia" w:cstheme="minorEastAsia"/>
          <w:b/>
          <w:bCs/>
          <w:color w:val="auto"/>
          <w:sz w:val="24"/>
          <w:szCs w:val="24"/>
          <w:highlight w:val="none"/>
          <w:lang w:eastAsia="zh-CN"/>
        </w:rPr>
        <w:t>中</w:t>
      </w:r>
      <w:r>
        <w:rPr>
          <w:rFonts w:hint="eastAsia" w:asciiTheme="minorEastAsia" w:hAnsiTheme="minorEastAsia" w:eastAsiaTheme="minorEastAsia" w:cstheme="minorEastAsia"/>
          <w:b/>
          <w:bCs/>
          <w:color w:val="auto"/>
          <w:sz w:val="24"/>
          <w:szCs w:val="24"/>
          <w:highlight w:val="none"/>
        </w:rPr>
        <w:t>医院</w:t>
      </w:r>
      <w:r>
        <w:rPr>
          <w:rFonts w:hint="eastAsia" w:asciiTheme="minorEastAsia" w:hAnsiTheme="minorEastAsia" w:eastAsiaTheme="minorEastAsia" w:cstheme="minorEastAsia"/>
          <w:b/>
          <w:bCs/>
          <w:color w:val="auto"/>
          <w:sz w:val="24"/>
          <w:szCs w:val="24"/>
          <w:highlight w:val="none"/>
          <w:lang w:eastAsia="zh-CN"/>
        </w:rPr>
        <w:t>：</w:t>
      </w:r>
    </w:p>
    <w:p w14:paraId="61F3AD4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我单位参加贵单位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kern w:val="0"/>
          <w:sz w:val="24"/>
          <w:szCs w:val="24"/>
          <w:highlight w:val="none"/>
        </w:rPr>
        <w:t>采购病理远程诊断及外检服务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的竞标，为保证采购活动公开、公平、公正，防止发生侵占、欺诈、不正当竞争、行贿受贿等违法违纪违规行为，现我单位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rPr>
        <w:t>法定代表人/授权委托人</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对以下事项作出承诺</w:t>
      </w:r>
      <w:r>
        <w:rPr>
          <w:rFonts w:hint="eastAsia" w:asciiTheme="minorEastAsia" w:hAnsiTheme="minorEastAsia" w:eastAsiaTheme="minorEastAsia" w:cstheme="minorEastAsia"/>
          <w:color w:val="auto"/>
          <w:sz w:val="24"/>
          <w:szCs w:val="24"/>
          <w:highlight w:val="none"/>
          <w:lang w:eastAsia="zh-CN"/>
        </w:rPr>
        <w:t>：</w:t>
      </w:r>
    </w:p>
    <w:p w14:paraId="26A6CF6E">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在任何采购环节，不以任何理由向医院或委托采购代理机构人员行贿，包括但不限于送钱、物、购物卡、有价证券、免费提供劳务等其他各种变相行贿行为或提供不正当利益。</w:t>
      </w:r>
    </w:p>
    <w:p w14:paraId="08CB937E">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rPr>
        <w:t>在本项目招投标活动中与招标人、</w:t>
      </w:r>
      <w:r>
        <w:rPr>
          <w:rFonts w:hint="eastAsia" w:asciiTheme="minorEastAsia" w:hAnsiTheme="minorEastAsia" w:eastAsiaTheme="minorEastAsia" w:cstheme="minorEastAsia"/>
          <w:color w:val="auto"/>
          <w:sz w:val="24"/>
          <w:szCs w:val="24"/>
          <w:highlight w:val="none"/>
          <w:lang w:eastAsia="zh-CN"/>
        </w:rPr>
        <w:t>与其他</w:t>
      </w:r>
      <w:r>
        <w:rPr>
          <w:rFonts w:hint="eastAsia" w:asciiTheme="minorEastAsia" w:hAnsiTheme="minorEastAsia" w:eastAsiaTheme="minorEastAsia" w:cstheme="minorEastAsia"/>
          <w:color w:val="auto"/>
          <w:sz w:val="24"/>
          <w:szCs w:val="24"/>
          <w:highlight w:val="none"/>
        </w:rPr>
        <w:t>投标人均不存在关联关系。我单位和我本人在本项目招投标活动中，未参与围标、串标。</w:t>
      </w:r>
    </w:p>
    <w:p w14:paraId="6F389BE2">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rPr>
        <w:t>诚信交易，所提供资料和所承诺事项真实可靠。不掺杂掺假、以假充真、以次充好、以不合格冒充合格。</w:t>
      </w:r>
    </w:p>
    <w:p w14:paraId="29D5673C">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rPr>
        <w:t>如发现医院或委托采购代理机构人员提出拿、卡、要等违背本承诺书要求时,我方及时主动向医院纪检部门举报。我方知悉举报电话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023-55186176。</w:t>
      </w:r>
    </w:p>
    <w:p w14:paraId="141B9289">
      <w:pPr>
        <w:numPr>
          <w:ilvl w:val="0"/>
          <w:numId w:val="0"/>
        </w:numPr>
        <w:spacing w:line="360" w:lineRule="auto"/>
        <w:ind w:left="-10" w:leftChars="0" w:firstLine="56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rPr>
        <w:t>我方将严格遵守本承诺，如有违反，我单位和我本人承担相应法律责任，接受相应行政处罚和失信惩戒。医院可单方面取消本次合作项目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如已中标，则中标无效；已签订合同的，中止或终止执行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，同时两年内</w:t>
      </w:r>
      <w:r>
        <w:rPr>
          <w:rFonts w:hint="eastAsia" w:asciiTheme="minorEastAsia" w:hAnsiTheme="minorEastAsia" w:eastAsiaTheme="minorEastAsia" w:cstheme="minorEastAsia"/>
          <w:color w:val="auto"/>
          <w:sz w:val="24"/>
          <w:szCs w:val="24"/>
          <w:highlight w:val="none"/>
          <w:lang w:eastAsia="zh-CN"/>
        </w:rPr>
        <w:t>不参加</w:t>
      </w:r>
      <w:r>
        <w:rPr>
          <w:rFonts w:hint="eastAsia" w:asciiTheme="minorEastAsia" w:hAnsiTheme="minorEastAsia" w:eastAsiaTheme="minorEastAsia" w:cstheme="minorEastAsia"/>
          <w:color w:val="auto"/>
          <w:sz w:val="24"/>
          <w:szCs w:val="24"/>
          <w:highlight w:val="none"/>
        </w:rPr>
        <w:t>医院组织的所有采购活动。</w:t>
      </w:r>
    </w:p>
    <w:p w14:paraId="29C5C770">
      <w:pPr>
        <w:spacing w:line="360" w:lineRule="auto"/>
        <w:ind w:firstLine="560"/>
        <w:rPr>
          <w:rFonts w:hint="eastAsia" w:asciiTheme="minorEastAsia" w:hAnsiTheme="minorEastAsia" w:eastAsiaTheme="minorEastAsia" w:cstheme="minorEastAsia"/>
          <w:color w:val="auto"/>
          <w:sz w:val="24"/>
          <w:szCs w:val="24"/>
          <w:highlight w:val="none"/>
        </w:rPr>
      </w:pPr>
    </w:p>
    <w:p w14:paraId="7A58F76C">
      <w:pPr>
        <w:spacing w:line="360" w:lineRule="auto"/>
        <w:ind w:firstLine="4800" w:firstLineChars="20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w:t>
      </w:r>
      <w:r>
        <w:rPr>
          <w:rFonts w:hint="eastAsia" w:asciiTheme="minorEastAsia" w:hAnsiTheme="minorEastAsia" w:eastAsiaTheme="minorEastAsia" w:cstheme="minorEastAsia"/>
          <w:color w:val="auto"/>
          <w:sz w:val="24"/>
          <w:szCs w:val="24"/>
          <w:highlight w:val="none"/>
          <w:lang w:eastAsia="zh-CN"/>
        </w:rPr>
        <w:t>（盖章）：</w:t>
      </w:r>
    </w:p>
    <w:p w14:paraId="0D88CFCC">
      <w:pPr>
        <w:spacing w:line="360" w:lineRule="auto"/>
        <w:ind w:firstLine="4800" w:firstLineChars="20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43E29EAA">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1D56F93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649AF09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08AD462">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27623625">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5A1C20AB">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p w14:paraId="0DCA36DA">
      <w:pPr>
        <w:spacing w:before="168" w:line="222" w:lineRule="auto"/>
        <w:ind w:left="3891"/>
        <w:outlineLvl w:val="0"/>
        <w:rPr>
          <w:rFonts w:ascii="黑体" w:hAnsi="黑体" w:eastAsia="黑体" w:cs="黑体"/>
          <w:b/>
          <w:bCs/>
          <w:color w:val="0000FF"/>
          <w:spacing w:val="-8"/>
          <w:sz w:val="44"/>
          <w:szCs w:val="44"/>
        </w:rPr>
      </w:pPr>
      <w:r>
        <w:rPr>
          <w:rFonts w:hint="eastAsia" w:ascii="黑体" w:hAnsi="黑体" w:eastAsia="黑体" w:cs="黑体"/>
          <w:b/>
          <w:bCs/>
          <w:color w:val="0000FF"/>
          <w:spacing w:val="-8"/>
          <w:sz w:val="44"/>
          <w:szCs w:val="44"/>
        </w:rPr>
        <w:t>项目报名登记表</w:t>
      </w:r>
    </w:p>
    <w:tbl>
      <w:tblPr>
        <w:tblStyle w:val="45"/>
        <w:tblW w:w="9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187"/>
        <w:gridCol w:w="1488"/>
        <w:gridCol w:w="4131"/>
      </w:tblGrid>
      <w:tr w14:paraId="0010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053" w:type="dxa"/>
            <w:vAlign w:val="top"/>
          </w:tcPr>
          <w:p w14:paraId="4A7B0CA8">
            <w:pPr>
              <w:pStyle w:val="44"/>
              <w:spacing w:line="247" w:lineRule="auto"/>
              <w:rPr>
                <w:color w:val="auto"/>
              </w:rPr>
            </w:pPr>
          </w:p>
          <w:p w14:paraId="2AA0C3E7">
            <w:pPr>
              <w:spacing w:before="88" w:line="220" w:lineRule="auto"/>
              <w:ind w:left="475"/>
              <w:rPr>
                <w:rFonts w:ascii="宋体" w:hAnsi="宋体" w:eastAsia="宋体" w:cs="宋体"/>
                <w:color w:val="auto"/>
                <w:sz w:val="27"/>
                <w:szCs w:val="27"/>
              </w:rPr>
            </w:pPr>
            <w:r>
              <w:rPr>
                <w:rFonts w:ascii="宋体" w:hAnsi="宋体" w:eastAsia="宋体" w:cs="宋体"/>
                <w:color w:val="auto"/>
                <w:spacing w:val="3"/>
                <w:sz w:val="27"/>
                <w:szCs w:val="27"/>
              </w:rPr>
              <w:t>项目名称</w:t>
            </w:r>
          </w:p>
        </w:tc>
        <w:tc>
          <w:tcPr>
            <w:tcW w:w="7806" w:type="dxa"/>
            <w:gridSpan w:val="3"/>
            <w:vAlign w:val="top"/>
          </w:tcPr>
          <w:p w14:paraId="183231F9">
            <w:pPr>
              <w:pStyle w:val="44"/>
              <w:spacing w:line="245" w:lineRule="auto"/>
              <w:rPr>
                <w:color w:val="auto"/>
              </w:rPr>
            </w:pPr>
          </w:p>
          <w:p w14:paraId="2869D26B">
            <w:pPr>
              <w:spacing w:before="87" w:line="219" w:lineRule="auto"/>
              <w:ind w:left="1061"/>
              <w:rPr>
                <w:rFonts w:hint="eastAsia" w:ascii="宋体" w:hAnsi="宋体" w:eastAsia="宋体" w:cs="宋体"/>
                <w:color w:val="auto"/>
                <w:sz w:val="27"/>
                <w:szCs w:val="27"/>
                <w:lang w:eastAsia="zh-CN"/>
              </w:rPr>
            </w:pPr>
            <w:r>
              <w:rPr>
                <w:rFonts w:hint="eastAsia" w:ascii="宋体" w:hAnsi="宋体" w:eastAsia="宋体" w:cs="宋体"/>
                <w:color w:val="auto"/>
                <w:spacing w:val="2"/>
                <w:sz w:val="27"/>
                <w:szCs w:val="27"/>
                <w:lang w:val="en-US" w:eastAsia="zh-CN"/>
              </w:rPr>
              <w:t xml:space="preserve"> </w:t>
            </w:r>
          </w:p>
        </w:tc>
      </w:tr>
      <w:tr w14:paraId="12DB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2053" w:type="dxa"/>
            <w:vAlign w:val="top"/>
          </w:tcPr>
          <w:p w14:paraId="194AF6E2">
            <w:pPr>
              <w:pStyle w:val="44"/>
              <w:spacing w:line="246" w:lineRule="auto"/>
              <w:rPr>
                <w:color w:val="auto"/>
              </w:rPr>
            </w:pPr>
          </w:p>
          <w:p w14:paraId="26DA5EF0">
            <w:pPr>
              <w:pStyle w:val="44"/>
              <w:spacing w:line="246" w:lineRule="auto"/>
              <w:rPr>
                <w:color w:val="auto"/>
              </w:rPr>
            </w:pPr>
          </w:p>
          <w:p w14:paraId="3514E33B">
            <w:pPr>
              <w:pStyle w:val="44"/>
              <w:spacing w:line="247" w:lineRule="auto"/>
              <w:rPr>
                <w:color w:val="auto"/>
              </w:rPr>
            </w:pPr>
          </w:p>
          <w:p w14:paraId="3C663F60">
            <w:pPr>
              <w:pStyle w:val="44"/>
              <w:spacing w:line="247" w:lineRule="auto"/>
              <w:rPr>
                <w:color w:val="auto"/>
              </w:rPr>
            </w:pPr>
          </w:p>
          <w:p w14:paraId="7EFF9043">
            <w:pPr>
              <w:spacing w:before="88" w:line="219" w:lineRule="auto"/>
              <w:ind w:left="344"/>
              <w:rPr>
                <w:rFonts w:ascii="宋体" w:hAnsi="宋体" w:eastAsia="宋体" w:cs="宋体"/>
                <w:color w:val="auto"/>
                <w:sz w:val="27"/>
                <w:szCs w:val="27"/>
              </w:rPr>
            </w:pPr>
            <w:r>
              <w:rPr>
                <w:rFonts w:ascii="宋体" w:hAnsi="宋体" w:eastAsia="宋体" w:cs="宋体"/>
                <w:color w:val="auto"/>
                <w:spacing w:val="2"/>
                <w:sz w:val="27"/>
                <w:szCs w:val="27"/>
              </w:rPr>
              <w:t>供应商名称</w:t>
            </w:r>
          </w:p>
        </w:tc>
        <w:tc>
          <w:tcPr>
            <w:tcW w:w="7806" w:type="dxa"/>
            <w:gridSpan w:val="3"/>
            <w:vAlign w:val="top"/>
          </w:tcPr>
          <w:p w14:paraId="5E5CA15C">
            <w:pPr>
              <w:pStyle w:val="44"/>
              <w:spacing w:line="252" w:lineRule="auto"/>
              <w:rPr>
                <w:color w:val="auto"/>
              </w:rPr>
            </w:pPr>
          </w:p>
          <w:p w14:paraId="78633D3C">
            <w:pPr>
              <w:pStyle w:val="44"/>
              <w:spacing w:line="253" w:lineRule="auto"/>
              <w:rPr>
                <w:color w:val="auto"/>
              </w:rPr>
            </w:pPr>
          </w:p>
          <w:p w14:paraId="54CA11AE">
            <w:pPr>
              <w:pStyle w:val="44"/>
              <w:spacing w:line="253" w:lineRule="auto"/>
              <w:rPr>
                <w:color w:val="auto"/>
              </w:rPr>
            </w:pPr>
          </w:p>
          <w:p w14:paraId="3E957333">
            <w:pPr>
              <w:pStyle w:val="44"/>
              <w:spacing w:line="253" w:lineRule="auto"/>
              <w:rPr>
                <w:color w:val="auto"/>
              </w:rPr>
            </w:pPr>
          </w:p>
          <w:p w14:paraId="7A78F937">
            <w:pPr>
              <w:pStyle w:val="44"/>
              <w:spacing w:line="253" w:lineRule="auto"/>
              <w:rPr>
                <w:color w:val="auto"/>
              </w:rPr>
            </w:pPr>
          </w:p>
          <w:p w14:paraId="463F593D">
            <w:pPr>
              <w:spacing w:before="309" w:line="219" w:lineRule="auto"/>
              <w:ind w:left="5922"/>
              <w:rPr>
                <w:rFonts w:ascii="宋体" w:hAnsi="宋体" w:eastAsia="宋体" w:cs="宋体"/>
                <w:color w:val="auto"/>
                <w:sz w:val="27"/>
                <w:szCs w:val="27"/>
              </w:rPr>
            </w:pPr>
            <w:r>
              <w:rPr>
                <w:rFonts w:ascii="宋体" w:hAnsi="宋体" w:eastAsia="宋体" w:cs="宋体"/>
                <w:color w:val="auto"/>
                <w:spacing w:val="8"/>
                <w:sz w:val="27"/>
                <w:szCs w:val="27"/>
              </w:rPr>
              <w:t>(供应商公章)</w:t>
            </w:r>
          </w:p>
        </w:tc>
      </w:tr>
      <w:tr w14:paraId="2443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53" w:type="dxa"/>
            <w:vAlign w:val="top"/>
          </w:tcPr>
          <w:p w14:paraId="0B6E3BD9">
            <w:pPr>
              <w:pStyle w:val="44"/>
              <w:spacing w:line="248" w:lineRule="auto"/>
              <w:rPr>
                <w:color w:val="auto"/>
              </w:rPr>
            </w:pPr>
          </w:p>
          <w:p w14:paraId="16A8302F">
            <w:pPr>
              <w:spacing w:before="88" w:line="221" w:lineRule="auto"/>
              <w:ind w:left="614"/>
              <w:rPr>
                <w:rFonts w:ascii="宋体" w:hAnsi="宋体" w:eastAsia="宋体" w:cs="宋体"/>
                <w:color w:val="auto"/>
                <w:sz w:val="27"/>
                <w:szCs w:val="27"/>
              </w:rPr>
            </w:pPr>
            <w:r>
              <w:rPr>
                <w:rFonts w:ascii="宋体" w:hAnsi="宋体" w:eastAsia="宋体" w:cs="宋体"/>
                <w:color w:val="auto"/>
                <w:spacing w:val="3"/>
                <w:sz w:val="27"/>
                <w:szCs w:val="27"/>
              </w:rPr>
              <w:t>联系人</w:t>
            </w:r>
          </w:p>
        </w:tc>
        <w:tc>
          <w:tcPr>
            <w:tcW w:w="2187" w:type="dxa"/>
            <w:vAlign w:val="top"/>
          </w:tcPr>
          <w:p w14:paraId="2EA741F1">
            <w:pPr>
              <w:pStyle w:val="44"/>
              <w:spacing w:line="244" w:lineRule="auto"/>
              <w:rPr>
                <w:color w:val="auto"/>
              </w:rPr>
            </w:pPr>
          </w:p>
          <w:p w14:paraId="0B7870B6">
            <w:pPr>
              <w:spacing w:before="88" w:line="219" w:lineRule="auto"/>
              <w:ind w:left="101"/>
              <w:rPr>
                <w:rFonts w:ascii="宋体" w:hAnsi="宋体" w:eastAsia="宋体" w:cs="宋体"/>
                <w:color w:val="auto"/>
                <w:sz w:val="27"/>
                <w:szCs w:val="27"/>
              </w:rPr>
            </w:pPr>
          </w:p>
        </w:tc>
        <w:tc>
          <w:tcPr>
            <w:tcW w:w="1488" w:type="dxa"/>
            <w:vAlign w:val="top"/>
          </w:tcPr>
          <w:p w14:paraId="10848DF3">
            <w:pPr>
              <w:pStyle w:val="44"/>
              <w:spacing w:line="243" w:lineRule="auto"/>
              <w:rPr>
                <w:color w:val="auto"/>
              </w:rPr>
            </w:pPr>
          </w:p>
          <w:p w14:paraId="19CDCE15">
            <w:pPr>
              <w:spacing w:before="87" w:line="219" w:lineRule="auto"/>
              <w:ind w:left="465"/>
              <w:rPr>
                <w:rFonts w:ascii="宋体" w:hAnsi="宋体" w:eastAsia="宋体" w:cs="宋体"/>
                <w:color w:val="auto"/>
                <w:sz w:val="27"/>
                <w:szCs w:val="27"/>
              </w:rPr>
            </w:pPr>
            <w:r>
              <w:rPr>
                <w:rFonts w:ascii="宋体" w:hAnsi="宋体" w:eastAsia="宋体" w:cs="宋体"/>
                <w:color w:val="auto"/>
                <w:spacing w:val="5"/>
                <w:sz w:val="27"/>
                <w:szCs w:val="27"/>
              </w:rPr>
              <w:t>手机</w:t>
            </w:r>
          </w:p>
        </w:tc>
        <w:tc>
          <w:tcPr>
            <w:tcW w:w="4131" w:type="dxa"/>
            <w:vAlign w:val="top"/>
          </w:tcPr>
          <w:p w14:paraId="0FCA7FC0">
            <w:pPr>
              <w:pStyle w:val="44"/>
              <w:spacing w:line="270" w:lineRule="auto"/>
              <w:rPr>
                <w:color w:val="auto"/>
              </w:rPr>
            </w:pPr>
          </w:p>
          <w:p w14:paraId="2BF64838">
            <w:pPr>
              <w:spacing w:before="88"/>
              <w:ind w:left="127"/>
              <w:rPr>
                <w:rFonts w:ascii="宋体" w:hAnsi="宋体" w:eastAsia="宋体" w:cs="宋体"/>
                <w:color w:val="auto"/>
                <w:sz w:val="27"/>
                <w:szCs w:val="27"/>
              </w:rPr>
            </w:pPr>
          </w:p>
        </w:tc>
      </w:tr>
      <w:tr w14:paraId="3CC0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53" w:type="dxa"/>
            <w:vAlign w:val="top"/>
          </w:tcPr>
          <w:p w14:paraId="462E3311">
            <w:pPr>
              <w:pStyle w:val="44"/>
              <w:spacing w:line="245" w:lineRule="auto"/>
              <w:rPr>
                <w:color w:val="auto"/>
              </w:rPr>
            </w:pPr>
          </w:p>
          <w:p w14:paraId="5983C200">
            <w:pPr>
              <w:spacing w:before="88" w:line="219" w:lineRule="auto"/>
              <w:ind w:left="475"/>
              <w:rPr>
                <w:rFonts w:ascii="宋体" w:hAnsi="宋体" w:eastAsia="宋体" w:cs="宋体"/>
                <w:color w:val="auto"/>
                <w:sz w:val="27"/>
                <w:szCs w:val="27"/>
              </w:rPr>
            </w:pPr>
            <w:r>
              <w:rPr>
                <w:rFonts w:ascii="宋体" w:hAnsi="宋体" w:eastAsia="宋体" w:cs="宋体"/>
                <w:color w:val="auto"/>
                <w:spacing w:val="2"/>
                <w:sz w:val="27"/>
                <w:szCs w:val="27"/>
              </w:rPr>
              <w:t>办公电话</w:t>
            </w:r>
          </w:p>
        </w:tc>
        <w:tc>
          <w:tcPr>
            <w:tcW w:w="2187" w:type="dxa"/>
            <w:vAlign w:val="top"/>
          </w:tcPr>
          <w:p w14:paraId="0CD4C6D2">
            <w:pPr>
              <w:pStyle w:val="44"/>
              <w:rPr>
                <w:color w:val="auto"/>
              </w:rPr>
            </w:pPr>
          </w:p>
        </w:tc>
        <w:tc>
          <w:tcPr>
            <w:tcW w:w="1488" w:type="dxa"/>
            <w:vAlign w:val="top"/>
          </w:tcPr>
          <w:p w14:paraId="41A89761">
            <w:pPr>
              <w:pStyle w:val="44"/>
              <w:spacing w:line="244" w:lineRule="auto"/>
              <w:rPr>
                <w:color w:val="auto"/>
              </w:rPr>
            </w:pPr>
          </w:p>
          <w:p w14:paraId="1549EED0">
            <w:pPr>
              <w:spacing w:before="87" w:line="219" w:lineRule="auto"/>
              <w:ind w:left="465"/>
              <w:rPr>
                <w:rFonts w:ascii="宋体" w:hAnsi="宋体" w:eastAsia="宋体" w:cs="宋体"/>
                <w:color w:val="auto"/>
                <w:sz w:val="27"/>
                <w:szCs w:val="27"/>
              </w:rPr>
            </w:pPr>
            <w:r>
              <w:rPr>
                <w:rFonts w:ascii="宋体" w:hAnsi="宋体" w:eastAsia="宋体" w:cs="宋体"/>
                <w:color w:val="auto"/>
                <w:spacing w:val="5"/>
                <w:sz w:val="27"/>
                <w:szCs w:val="27"/>
              </w:rPr>
              <w:t>传真</w:t>
            </w:r>
          </w:p>
        </w:tc>
        <w:tc>
          <w:tcPr>
            <w:tcW w:w="4131" w:type="dxa"/>
            <w:vAlign w:val="top"/>
          </w:tcPr>
          <w:p w14:paraId="2041F0D0">
            <w:pPr>
              <w:pStyle w:val="44"/>
              <w:rPr>
                <w:color w:val="auto"/>
              </w:rPr>
            </w:pPr>
          </w:p>
        </w:tc>
      </w:tr>
      <w:tr w14:paraId="4094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053" w:type="dxa"/>
            <w:vAlign w:val="top"/>
          </w:tcPr>
          <w:p w14:paraId="65BFAA3A">
            <w:pPr>
              <w:pStyle w:val="44"/>
              <w:spacing w:line="273" w:lineRule="auto"/>
              <w:rPr>
                <w:color w:val="auto"/>
              </w:rPr>
            </w:pPr>
          </w:p>
          <w:p w14:paraId="3FE6D610">
            <w:pPr>
              <w:spacing w:before="88"/>
              <w:ind w:left="614"/>
              <w:rPr>
                <w:rFonts w:ascii="宋体" w:hAnsi="宋体" w:eastAsia="宋体" w:cs="宋体"/>
                <w:color w:val="auto"/>
                <w:sz w:val="27"/>
                <w:szCs w:val="27"/>
              </w:rPr>
            </w:pPr>
            <w:r>
              <w:rPr>
                <w:rFonts w:ascii="宋体" w:hAnsi="宋体" w:eastAsia="宋体" w:cs="宋体"/>
                <w:color w:val="auto"/>
                <w:spacing w:val="-2"/>
                <w:sz w:val="27"/>
                <w:szCs w:val="27"/>
              </w:rPr>
              <w:t>E-mail</w:t>
            </w:r>
          </w:p>
        </w:tc>
        <w:tc>
          <w:tcPr>
            <w:tcW w:w="7806" w:type="dxa"/>
            <w:gridSpan w:val="3"/>
            <w:vAlign w:val="top"/>
          </w:tcPr>
          <w:p w14:paraId="5638ADA7">
            <w:pPr>
              <w:spacing w:before="328" w:line="214" w:lineRule="auto"/>
              <w:ind w:left="91"/>
              <w:rPr>
                <w:rFonts w:ascii="宋体" w:hAnsi="宋体" w:eastAsia="宋体" w:cs="宋体"/>
                <w:color w:val="auto"/>
                <w:sz w:val="27"/>
                <w:szCs w:val="27"/>
              </w:rPr>
            </w:pPr>
          </w:p>
        </w:tc>
      </w:tr>
      <w:tr w14:paraId="7778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053" w:type="dxa"/>
            <w:vAlign w:val="top"/>
          </w:tcPr>
          <w:p w14:paraId="75C27E2E">
            <w:pPr>
              <w:pStyle w:val="44"/>
              <w:spacing w:line="477" w:lineRule="auto"/>
              <w:rPr>
                <w:color w:val="auto"/>
              </w:rPr>
            </w:pPr>
          </w:p>
          <w:p w14:paraId="5F6E3A8A">
            <w:pPr>
              <w:spacing w:before="88" w:line="220" w:lineRule="auto"/>
              <w:ind w:left="475"/>
              <w:rPr>
                <w:rFonts w:ascii="宋体" w:hAnsi="宋体" w:eastAsia="宋体" w:cs="宋体"/>
                <w:color w:val="auto"/>
                <w:sz w:val="27"/>
                <w:szCs w:val="27"/>
              </w:rPr>
            </w:pPr>
            <w:r>
              <w:rPr>
                <w:rFonts w:ascii="宋体" w:hAnsi="宋体" w:eastAsia="宋体" w:cs="宋体"/>
                <w:color w:val="auto"/>
                <w:spacing w:val="3"/>
                <w:sz w:val="27"/>
                <w:szCs w:val="27"/>
              </w:rPr>
              <w:t>单位地址</w:t>
            </w:r>
          </w:p>
        </w:tc>
        <w:tc>
          <w:tcPr>
            <w:tcW w:w="7806" w:type="dxa"/>
            <w:gridSpan w:val="3"/>
            <w:vAlign w:val="top"/>
          </w:tcPr>
          <w:p w14:paraId="287E0999">
            <w:pPr>
              <w:pStyle w:val="44"/>
              <w:spacing w:line="476" w:lineRule="auto"/>
              <w:rPr>
                <w:color w:val="auto"/>
              </w:rPr>
            </w:pPr>
          </w:p>
          <w:p w14:paraId="05059AEE">
            <w:pPr>
              <w:spacing w:before="88" w:line="219" w:lineRule="auto"/>
              <w:ind w:left="91"/>
              <w:rPr>
                <w:rFonts w:ascii="宋体" w:hAnsi="宋体" w:eastAsia="宋体" w:cs="宋体"/>
                <w:color w:val="auto"/>
                <w:sz w:val="27"/>
                <w:szCs w:val="27"/>
              </w:rPr>
            </w:pPr>
          </w:p>
        </w:tc>
      </w:tr>
      <w:tr w14:paraId="7ABA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053" w:type="dxa"/>
            <w:vAlign w:val="top"/>
          </w:tcPr>
          <w:p w14:paraId="4EB437E4">
            <w:pPr>
              <w:pStyle w:val="44"/>
              <w:spacing w:line="390" w:lineRule="auto"/>
              <w:rPr>
                <w:color w:val="auto"/>
              </w:rPr>
            </w:pPr>
          </w:p>
          <w:p w14:paraId="6B84CFAB">
            <w:pPr>
              <w:spacing w:before="88" w:line="221" w:lineRule="auto"/>
              <w:ind w:left="475"/>
              <w:rPr>
                <w:rFonts w:ascii="宋体" w:hAnsi="宋体" w:eastAsia="宋体" w:cs="宋体"/>
                <w:color w:val="auto"/>
                <w:sz w:val="27"/>
                <w:szCs w:val="27"/>
              </w:rPr>
            </w:pPr>
            <w:r>
              <w:rPr>
                <w:rFonts w:ascii="宋体" w:hAnsi="宋体" w:eastAsia="宋体" w:cs="宋体"/>
                <w:color w:val="auto"/>
                <w:spacing w:val="6"/>
                <w:sz w:val="27"/>
                <w:szCs w:val="27"/>
              </w:rPr>
              <w:t>递交时间</w:t>
            </w:r>
          </w:p>
        </w:tc>
        <w:tc>
          <w:tcPr>
            <w:tcW w:w="7806" w:type="dxa"/>
            <w:gridSpan w:val="3"/>
            <w:vAlign w:val="top"/>
          </w:tcPr>
          <w:p w14:paraId="7C65FED6">
            <w:pPr>
              <w:pStyle w:val="44"/>
              <w:spacing w:line="389" w:lineRule="auto"/>
              <w:rPr>
                <w:color w:val="auto"/>
              </w:rPr>
            </w:pPr>
          </w:p>
          <w:p w14:paraId="1C23AB7F">
            <w:pPr>
              <w:spacing w:before="87" w:line="219" w:lineRule="auto"/>
              <w:ind w:left="2751"/>
              <w:rPr>
                <w:rFonts w:ascii="宋体" w:hAnsi="宋体" w:eastAsia="宋体" w:cs="宋体"/>
                <w:color w:val="auto"/>
                <w:sz w:val="27"/>
                <w:szCs w:val="27"/>
              </w:rPr>
            </w:pPr>
          </w:p>
        </w:tc>
      </w:tr>
      <w:tr w14:paraId="0766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2053" w:type="dxa"/>
            <w:vAlign w:val="top"/>
          </w:tcPr>
          <w:p w14:paraId="1A37DE44">
            <w:pPr>
              <w:pStyle w:val="44"/>
              <w:spacing w:line="315" w:lineRule="auto"/>
              <w:rPr>
                <w:color w:val="auto"/>
              </w:rPr>
            </w:pPr>
          </w:p>
          <w:p w14:paraId="3E09D385">
            <w:pPr>
              <w:pStyle w:val="44"/>
              <w:spacing w:line="316" w:lineRule="auto"/>
              <w:rPr>
                <w:color w:val="auto"/>
              </w:rPr>
            </w:pPr>
          </w:p>
          <w:p w14:paraId="014F50C4">
            <w:pPr>
              <w:pStyle w:val="44"/>
              <w:spacing w:line="316" w:lineRule="auto"/>
              <w:rPr>
                <w:color w:val="auto"/>
              </w:rPr>
            </w:pPr>
          </w:p>
          <w:p w14:paraId="280FA8C6">
            <w:pPr>
              <w:spacing w:before="88" w:line="221" w:lineRule="auto"/>
              <w:ind w:left="745"/>
              <w:rPr>
                <w:rFonts w:ascii="宋体" w:hAnsi="宋体" w:eastAsia="宋体" w:cs="宋体"/>
                <w:color w:val="auto"/>
                <w:sz w:val="27"/>
                <w:szCs w:val="27"/>
              </w:rPr>
            </w:pPr>
            <w:r>
              <w:rPr>
                <w:rFonts w:ascii="宋体" w:hAnsi="宋体" w:eastAsia="宋体" w:cs="宋体"/>
                <w:color w:val="auto"/>
                <w:spacing w:val="6"/>
                <w:sz w:val="27"/>
                <w:szCs w:val="27"/>
              </w:rPr>
              <w:t>备注</w:t>
            </w:r>
          </w:p>
        </w:tc>
        <w:tc>
          <w:tcPr>
            <w:tcW w:w="7806" w:type="dxa"/>
            <w:gridSpan w:val="3"/>
            <w:vAlign w:val="top"/>
          </w:tcPr>
          <w:p w14:paraId="3A032379">
            <w:pPr>
              <w:pStyle w:val="44"/>
              <w:rPr>
                <w:color w:val="auto"/>
              </w:rPr>
            </w:pPr>
          </w:p>
        </w:tc>
      </w:tr>
    </w:tbl>
    <w:p w14:paraId="5BF4E2C9">
      <w:pPr>
        <w:pageBreakBefore w:val="0"/>
        <w:kinsoku/>
        <w:overflowPunct/>
        <w:topLinePunct w:val="0"/>
        <w:autoSpaceDE/>
        <w:autoSpaceDN/>
        <w:bidi w:val="0"/>
        <w:adjustRightInd/>
        <w:spacing w:line="360" w:lineRule="auto"/>
        <w:textAlignment w:val="auto"/>
        <w:rPr>
          <w:rFonts w:ascii="Times New Roman" w:hAnsi="Times New Roman" w:eastAsia="宋体"/>
          <w:color w:val="auto"/>
          <w:highlight w:val="none"/>
        </w:rPr>
      </w:pPr>
    </w:p>
    <w:p w14:paraId="0488F459">
      <w:pPr>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highlight w:val="none"/>
        </w:rPr>
      </w:pPr>
    </w:p>
    <w:sectPr>
      <w:pgSz w:w="11906" w:h="16838"/>
      <w:pgMar w:top="1440" w:right="1080" w:bottom="1440" w:left="1080" w:header="115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F1B0F4-69B7-4D18-8D41-1C6805186B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AEE70A-F028-4AA4-895B-446B8296C6F7}"/>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embedRegular r:id="rId3" w:fontKey="{DEA1086F-E3D2-4D6B-BF0E-D68FA0A749A1}"/>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238F">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CFB2">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A9ED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A9ED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E8E8">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B0F23">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1B0F23">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AE5A">
    <w:pPr>
      <w:pStyle w:val="15"/>
      <w:pBdr>
        <w:bottom w:val="none" w:color="auto" w:sz="0" w:space="1"/>
      </w:pBdr>
      <w:jc w:val="left"/>
      <w:rPr>
        <w:u w:val="none"/>
      </w:rPr>
    </w:pPr>
    <w:r>
      <w:rPr>
        <w:rFonts w:hint="eastAsia" w:ascii="宋体" w:hAnsi="宋体" w:cs="宋体"/>
        <w:sz w:val="21"/>
        <w:szCs w:val="21"/>
        <w:u w:val="none"/>
      </w:rPr>
      <w:t xml:space="preserve">                                                   </w:t>
    </w:r>
    <w:r>
      <w:rPr>
        <w:rFonts w:hint="eastAsia" w:ascii="方正书宋_GBK" w:hAnsi="方正书宋_GBK" w:eastAsia="方正书宋_GBK" w:cs="方正书宋_GBK"/>
        <w:sz w:val="21"/>
        <w:szCs w:val="21"/>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9C04">
    <w:pPr>
      <w:pStyle w:val="15"/>
      <w:pBdr>
        <w:bottom w:val="none" w:color="auto" w:sz="0" w:space="1"/>
      </w:pBdr>
      <w:jc w:val="left"/>
      <w:rPr>
        <w:rFonts w:hint="default" w:ascii="宋体" w:hAnsi="宋体" w:eastAsia="方正书宋_GBK" w:cs="宋体"/>
        <w:color w:val="595959"/>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1FE7"/>
    <w:multiLevelType w:val="singleLevel"/>
    <w:tmpl w:val="47511FE7"/>
    <w:lvl w:ilvl="0" w:tentative="0">
      <w:start w:val="1"/>
      <w:numFmt w:val="chineseCounting"/>
      <w:suff w:val="nothing"/>
      <w:lvlText w:val="（%1）"/>
      <w:lvlJc w:val="left"/>
      <w:rPr>
        <w:rFonts w:hint="eastAsia"/>
        <w:b w:val="0"/>
        <w:bCs w:val="0"/>
      </w:rPr>
    </w:lvl>
  </w:abstractNum>
  <w:abstractNum w:abstractNumId="1">
    <w:nsid w:val="5794612A"/>
    <w:multiLevelType w:val="singleLevel"/>
    <w:tmpl w:val="5794612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2I1MjliZDc5YWJkYTMzNGFiYzJiNDM1OGRiZDkifQ=="/>
  </w:docVars>
  <w:rsids>
    <w:rsidRoot w:val="00000000"/>
    <w:rsid w:val="004D59BD"/>
    <w:rsid w:val="005749D1"/>
    <w:rsid w:val="006B3085"/>
    <w:rsid w:val="0075194C"/>
    <w:rsid w:val="0098388D"/>
    <w:rsid w:val="00B057ED"/>
    <w:rsid w:val="00EF2B0E"/>
    <w:rsid w:val="00FC02BF"/>
    <w:rsid w:val="01237FC0"/>
    <w:rsid w:val="014A20C9"/>
    <w:rsid w:val="016073E8"/>
    <w:rsid w:val="01685AA9"/>
    <w:rsid w:val="01730582"/>
    <w:rsid w:val="01967DCC"/>
    <w:rsid w:val="01C81F50"/>
    <w:rsid w:val="01D34B7C"/>
    <w:rsid w:val="01EA636A"/>
    <w:rsid w:val="01EC3E90"/>
    <w:rsid w:val="01FF3BC3"/>
    <w:rsid w:val="02021905"/>
    <w:rsid w:val="02385327"/>
    <w:rsid w:val="024B6E08"/>
    <w:rsid w:val="027D2D3A"/>
    <w:rsid w:val="02C473C4"/>
    <w:rsid w:val="02C72207"/>
    <w:rsid w:val="02D53891"/>
    <w:rsid w:val="02F456F2"/>
    <w:rsid w:val="03060419"/>
    <w:rsid w:val="031F2043"/>
    <w:rsid w:val="032612CE"/>
    <w:rsid w:val="0334549D"/>
    <w:rsid w:val="033E0386"/>
    <w:rsid w:val="0371289F"/>
    <w:rsid w:val="038A3960"/>
    <w:rsid w:val="038B593F"/>
    <w:rsid w:val="03BC224B"/>
    <w:rsid w:val="03E7176B"/>
    <w:rsid w:val="03F139E0"/>
    <w:rsid w:val="040D00EE"/>
    <w:rsid w:val="040F3E66"/>
    <w:rsid w:val="041B0A5C"/>
    <w:rsid w:val="044730A1"/>
    <w:rsid w:val="044A3E16"/>
    <w:rsid w:val="045F4DED"/>
    <w:rsid w:val="047A1C27"/>
    <w:rsid w:val="049B394B"/>
    <w:rsid w:val="04E34884"/>
    <w:rsid w:val="04EA1B96"/>
    <w:rsid w:val="050140F6"/>
    <w:rsid w:val="052971A9"/>
    <w:rsid w:val="053D1916"/>
    <w:rsid w:val="058825F3"/>
    <w:rsid w:val="05900FD6"/>
    <w:rsid w:val="0595200F"/>
    <w:rsid w:val="05A75769"/>
    <w:rsid w:val="05A96504"/>
    <w:rsid w:val="05AF3B52"/>
    <w:rsid w:val="05E332FE"/>
    <w:rsid w:val="06191786"/>
    <w:rsid w:val="061E3C37"/>
    <w:rsid w:val="066E1317"/>
    <w:rsid w:val="068F4590"/>
    <w:rsid w:val="06B331CE"/>
    <w:rsid w:val="06CD24E2"/>
    <w:rsid w:val="07140111"/>
    <w:rsid w:val="0738358C"/>
    <w:rsid w:val="076F1953"/>
    <w:rsid w:val="07740BAF"/>
    <w:rsid w:val="0789477F"/>
    <w:rsid w:val="078D3A1F"/>
    <w:rsid w:val="07934F2A"/>
    <w:rsid w:val="07A07E80"/>
    <w:rsid w:val="07A52452"/>
    <w:rsid w:val="07B54D24"/>
    <w:rsid w:val="07BE444A"/>
    <w:rsid w:val="07CA0317"/>
    <w:rsid w:val="07E07FF3"/>
    <w:rsid w:val="084C7436"/>
    <w:rsid w:val="087150EF"/>
    <w:rsid w:val="08855EA9"/>
    <w:rsid w:val="08AA23AF"/>
    <w:rsid w:val="08B97B9F"/>
    <w:rsid w:val="08E27D9B"/>
    <w:rsid w:val="08F726EE"/>
    <w:rsid w:val="0925770E"/>
    <w:rsid w:val="09524EDF"/>
    <w:rsid w:val="09540018"/>
    <w:rsid w:val="09690FDF"/>
    <w:rsid w:val="09B47DDF"/>
    <w:rsid w:val="09EA33AB"/>
    <w:rsid w:val="0A072A97"/>
    <w:rsid w:val="0A2134F6"/>
    <w:rsid w:val="0A456833"/>
    <w:rsid w:val="0A4D717D"/>
    <w:rsid w:val="0A540824"/>
    <w:rsid w:val="0A64315D"/>
    <w:rsid w:val="0A9926DB"/>
    <w:rsid w:val="0AA70248"/>
    <w:rsid w:val="0AF12517"/>
    <w:rsid w:val="0B464611"/>
    <w:rsid w:val="0B4D5164"/>
    <w:rsid w:val="0B521208"/>
    <w:rsid w:val="0B57057A"/>
    <w:rsid w:val="0B667275"/>
    <w:rsid w:val="0B770BFC"/>
    <w:rsid w:val="0B81389B"/>
    <w:rsid w:val="0B957346"/>
    <w:rsid w:val="0B9B6CCA"/>
    <w:rsid w:val="0BBF6171"/>
    <w:rsid w:val="0BDA11FD"/>
    <w:rsid w:val="0BDE4D19"/>
    <w:rsid w:val="0BFB32E4"/>
    <w:rsid w:val="0C05627A"/>
    <w:rsid w:val="0C0E70CD"/>
    <w:rsid w:val="0C1F4E62"/>
    <w:rsid w:val="0C2421D9"/>
    <w:rsid w:val="0C2D26E3"/>
    <w:rsid w:val="0C37664F"/>
    <w:rsid w:val="0C3E353A"/>
    <w:rsid w:val="0C624929"/>
    <w:rsid w:val="0C902DD4"/>
    <w:rsid w:val="0CC55A09"/>
    <w:rsid w:val="0D7C256C"/>
    <w:rsid w:val="0D894C89"/>
    <w:rsid w:val="0DB42637"/>
    <w:rsid w:val="0DDE5F9F"/>
    <w:rsid w:val="0DEF0A31"/>
    <w:rsid w:val="0E1B6F59"/>
    <w:rsid w:val="0E835227"/>
    <w:rsid w:val="0EAF071F"/>
    <w:rsid w:val="0F3D21CF"/>
    <w:rsid w:val="0FA61B22"/>
    <w:rsid w:val="0FBC7598"/>
    <w:rsid w:val="103709CC"/>
    <w:rsid w:val="104D3E92"/>
    <w:rsid w:val="10587DF7"/>
    <w:rsid w:val="107A6B0B"/>
    <w:rsid w:val="10AC760C"/>
    <w:rsid w:val="10AD5132"/>
    <w:rsid w:val="10B93AD7"/>
    <w:rsid w:val="10C33691"/>
    <w:rsid w:val="10C5247C"/>
    <w:rsid w:val="10D50163"/>
    <w:rsid w:val="10DD77C5"/>
    <w:rsid w:val="10E570DF"/>
    <w:rsid w:val="10F20B4A"/>
    <w:rsid w:val="11286567"/>
    <w:rsid w:val="11515ABE"/>
    <w:rsid w:val="119D7604"/>
    <w:rsid w:val="11A064EE"/>
    <w:rsid w:val="11AB1672"/>
    <w:rsid w:val="11EF3F60"/>
    <w:rsid w:val="11F624FE"/>
    <w:rsid w:val="11F748B7"/>
    <w:rsid w:val="122D2087"/>
    <w:rsid w:val="12323B41"/>
    <w:rsid w:val="12413D84"/>
    <w:rsid w:val="124F73DC"/>
    <w:rsid w:val="125F095F"/>
    <w:rsid w:val="129E2F84"/>
    <w:rsid w:val="12D746E8"/>
    <w:rsid w:val="12E84200"/>
    <w:rsid w:val="12F86309"/>
    <w:rsid w:val="130354DD"/>
    <w:rsid w:val="13044E54"/>
    <w:rsid w:val="13207E3D"/>
    <w:rsid w:val="13573133"/>
    <w:rsid w:val="136C6BDF"/>
    <w:rsid w:val="137F156C"/>
    <w:rsid w:val="1399374C"/>
    <w:rsid w:val="13C133CE"/>
    <w:rsid w:val="13EE5846"/>
    <w:rsid w:val="14092FD9"/>
    <w:rsid w:val="14270D58"/>
    <w:rsid w:val="147246C9"/>
    <w:rsid w:val="14860174"/>
    <w:rsid w:val="148B578A"/>
    <w:rsid w:val="14E37374"/>
    <w:rsid w:val="151B4D60"/>
    <w:rsid w:val="152534E9"/>
    <w:rsid w:val="152A7C39"/>
    <w:rsid w:val="152C2AC9"/>
    <w:rsid w:val="153D78B4"/>
    <w:rsid w:val="15802E15"/>
    <w:rsid w:val="15AC7766"/>
    <w:rsid w:val="15AD4406"/>
    <w:rsid w:val="160B0931"/>
    <w:rsid w:val="1629423D"/>
    <w:rsid w:val="16547BA6"/>
    <w:rsid w:val="166D5ECA"/>
    <w:rsid w:val="166E0999"/>
    <w:rsid w:val="16913548"/>
    <w:rsid w:val="16946B78"/>
    <w:rsid w:val="16B965DF"/>
    <w:rsid w:val="16C44F84"/>
    <w:rsid w:val="170C173B"/>
    <w:rsid w:val="173043E2"/>
    <w:rsid w:val="173D181F"/>
    <w:rsid w:val="17D64F6F"/>
    <w:rsid w:val="18023FB5"/>
    <w:rsid w:val="180D5C49"/>
    <w:rsid w:val="18295325"/>
    <w:rsid w:val="183F41D3"/>
    <w:rsid w:val="187A1D9E"/>
    <w:rsid w:val="187F0273"/>
    <w:rsid w:val="188D7D23"/>
    <w:rsid w:val="18AF5EEB"/>
    <w:rsid w:val="18B37049"/>
    <w:rsid w:val="18B8458C"/>
    <w:rsid w:val="18CE5C46"/>
    <w:rsid w:val="191C4C03"/>
    <w:rsid w:val="192E7E81"/>
    <w:rsid w:val="19386FF0"/>
    <w:rsid w:val="1945415A"/>
    <w:rsid w:val="19483C4A"/>
    <w:rsid w:val="19AA66B3"/>
    <w:rsid w:val="19C86B39"/>
    <w:rsid w:val="19CC27E2"/>
    <w:rsid w:val="1A0F4768"/>
    <w:rsid w:val="1A18186E"/>
    <w:rsid w:val="1A630051"/>
    <w:rsid w:val="1A6732D4"/>
    <w:rsid w:val="1A8011C2"/>
    <w:rsid w:val="1A8213DE"/>
    <w:rsid w:val="1A8B10BD"/>
    <w:rsid w:val="1ADB7C95"/>
    <w:rsid w:val="1AE53CF3"/>
    <w:rsid w:val="1B0053F0"/>
    <w:rsid w:val="1B0E2C71"/>
    <w:rsid w:val="1B215345"/>
    <w:rsid w:val="1B341802"/>
    <w:rsid w:val="1B4548E5"/>
    <w:rsid w:val="1B661B3D"/>
    <w:rsid w:val="1B701236"/>
    <w:rsid w:val="1BCC24CC"/>
    <w:rsid w:val="1C0A3439"/>
    <w:rsid w:val="1C0A51E7"/>
    <w:rsid w:val="1C142509"/>
    <w:rsid w:val="1C3D31D9"/>
    <w:rsid w:val="1C3F5862"/>
    <w:rsid w:val="1C542199"/>
    <w:rsid w:val="1C5446B4"/>
    <w:rsid w:val="1C7C5785"/>
    <w:rsid w:val="1C850D11"/>
    <w:rsid w:val="1C872CDB"/>
    <w:rsid w:val="1C8B1CD7"/>
    <w:rsid w:val="1CA732C5"/>
    <w:rsid w:val="1CD1463A"/>
    <w:rsid w:val="1CE53331"/>
    <w:rsid w:val="1D082E8E"/>
    <w:rsid w:val="1D192221"/>
    <w:rsid w:val="1D2F6D72"/>
    <w:rsid w:val="1D3D339A"/>
    <w:rsid w:val="1D445881"/>
    <w:rsid w:val="1D6B7F07"/>
    <w:rsid w:val="1E5B7F7C"/>
    <w:rsid w:val="1E607CAE"/>
    <w:rsid w:val="1E777B20"/>
    <w:rsid w:val="1E7966D4"/>
    <w:rsid w:val="1E873DBF"/>
    <w:rsid w:val="1EAC6A29"/>
    <w:rsid w:val="1EBD22AA"/>
    <w:rsid w:val="1ECE5781"/>
    <w:rsid w:val="1EDF295B"/>
    <w:rsid w:val="1EE2069D"/>
    <w:rsid w:val="1F1E7942"/>
    <w:rsid w:val="1F274C01"/>
    <w:rsid w:val="1F3802BD"/>
    <w:rsid w:val="1F3E1D77"/>
    <w:rsid w:val="1F510E4A"/>
    <w:rsid w:val="1F6B0692"/>
    <w:rsid w:val="1F6D77C8"/>
    <w:rsid w:val="1F973235"/>
    <w:rsid w:val="1FA47700"/>
    <w:rsid w:val="1FD53D5E"/>
    <w:rsid w:val="1FE848C7"/>
    <w:rsid w:val="1FEB452E"/>
    <w:rsid w:val="1FF80297"/>
    <w:rsid w:val="1FFC753C"/>
    <w:rsid w:val="203E1903"/>
    <w:rsid w:val="20407429"/>
    <w:rsid w:val="204D7D98"/>
    <w:rsid w:val="20573EE6"/>
    <w:rsid w:val="208039BF"/>
    <w:rsid w:val="20B17B77"/>
    <w:rsid w:val="20BE47F2"/>
    <w:rsid w:val="20EB03D3"/>
    <w:rsid w:val="21020B82"/>
    <w:rsid w:val="21132D8F"/>
    <w:rsid w:val="213B315A"/>
    <w:rsid w:val="215B0293"/>
    <w:rsid w:val="21967A54"/>
    <w:rsid w:val="21AD478D"/>
    <w:rsid w:val="21FF0FBD"/>
    <w:rsid w:val="220B70F2"/>
    <w:rsid w:val="224C6559"/>
    <w:rsid w:val="22745AB0"/>
    <w:rsid w:val="228C2DF9"/>
    <w:rsid w:val="229F7CA9"/>
    <w:rsid w:val="22CA1B74"/>
    <w:rsid w:val="22F05754"/>
    <w:rsid w:val="231132FF"/>
    <w:rsid w:val="23361EE4"/>
    <w:rsid w:val="2382763C"/>
    <w:rsid w:val="23BE2545"/>
    <w:rsid w:val="23DD1433"/>
    <w:rsid w:val="23DE3438"/>
    <w:rsid w:val="23DE7685"/>
    <w:rsid w:val="23F46EA8"/>
    <w:rsid w:val="23F52C20"/>
    <w:rsid w:val="241067BA"/>
    <w:rsid w:val="2412019E"/>
    <w:rsid w:val="24311EAA"/>
    <w:rsid w:val="247753E3"/>
    <w:rsid w:val="2480073C"/>
    <w:rsid w:val="24861ACA"/>
    <w:rsid w:val="24B16B47"/>
    <w:rsid w:val="24BD373E"/>
    <w:rsid w:val="24C70119"/>
    <w:rsid w:val="24D20950"/>
    <w:rsid w:val="24ED38F7"/>
    <w:rsid w:val="24F133E8"/>
    <w:rsid w:val="24F20F0E"/>
    <w:rsid w:val="24F842F8"/>
    <w:rsid w:val="250C6474"/>
    <w:rsid w:val="25333A00"/>
    <w:rsid w:val="253728AF"/>
    <w:rsid w:val="255120D8"/>
    <w:rsid w:val="255B6AB3"/>
    <w:rsid w:val="25675458"/>
    <w:rsid w:val="25695F41"/>
    <w:rsid w:val="258864A1"/>
    <w:rsid w:val="25886F1E"/>
    <w:rsid w:val="25AC730F"/>
    <w:rsid w:val="25C20003"/>
    <w:rsid w:val="25E1345C"/>
    <w:rsid w:val="26062EC3"/>
    <w:rsid w:val="26067B13"/>
    <w:rsid w:val="26485289"/>
    <w:rsid w:val="26597496"/>
    <w:rsid w:val="26995AE5"/>
    <w:rsid w:val="26BA5C25"/>
    <w:rsid w:val="26C50688"/>
    <w:rsid w:val="26EA4592"/>
    <w:rsid w:val="27024388"/>
    <w:rsid w:val="27A3569D"/>
    <w:rsid w:val="27CC3C98"/>
    <w:rsid w:val="27D1743C"/>
    <w:rsid w:val="27D668C5"/>
    <w:rsid w:val="27EC60E8"/>
    <w:rsid w:val="27F154AD"/>
    <w:rsid w:val="285D414E"/>
    <w:rsid w:val="288B4085"/>
    <w:rsid w:val="288D4E09"/>
    <w:rsid w:val="2890116A"/>
    <w:rsid w:val="289724F8"/>
    <w:rsid w:val="28B05368"/>
    <w:rsid w:val="28B27CA3"/>
    <w:rsid w:val="28F16026"/>
    <w:rsid w:val="291853E7"/>
    <w:rsid w:val="29193321"/>
    <w:rsid w:val="291D0C4F"/>
    <w:rsid w:val="29235B3A"/>
    <w:rsid w:val="29476954"/>
    <w:rsid w:val="295464C2"/>
    <w:rsid w:val="296C2E8C"/>
    <w:rsid w:val="29787C34"/>
    <w:rsid w:val="299D58EC"/>
    <w:rsid w:val="29A0718A"/>
    <w:rsid w:val="29C43714"/>
    <w:rsid w:val="29D37E9B"/>
    <w:rsid w:val="2A6102EC"/>
    <w:rsid w:val="2A832D34"/>
    <w:rsid w:val="2AB5359E"/>
    <w:rsid w:val="2ACC030F"/>
    <w:rsid w:val="2AD25A69"/>
    <w:rsid w:val="2B05199B"/>
    <w:rsid w:val="2B961066"/>
    <w:rsid w:val="2BF235A7"/>
    <w:rsid w:val="2BFF5868"/>
    <w:rsid w:val="2C077995"/>
    <w:rsid w:val="2C2440A3"/>
    <w:rsid w:val="2C2B6A13"/>
    <w:rsid w:val="2C3406FF"/>
    <w:rsid w:val="2C3B5BD3"/>
    <w:rsid w:val="2C4E48A6"/>
    <w:rsid w:val="2C701096"/>
    <w:rsid w:val="2C8065DF"/>
    <w:rsid w:val="2C82701B"/>
    <w:rsid w:val="2C9B7CA1"/>
    <w:rsid w:val="2CD07D87"/>
    <w:rsid w:val="2CF55A3F"/>
    <w:rsid w:val="2D720E3E"/>
    <w:rsid w:val="2DCC67A0"/>
    <w:rsid w:val="2DD90EBD"/>
    <w:rsid w:val="2DEC299E"/>
    <w:rsid w:val="2E782484"/>
    <w:rsid w:val="2E80580F"/>
    <w:rsid w:val="2EAC66D1"/>
    <w:rsid w:val="2EB52FA5"/>
    <w:rsid w:val="2ECF1901"/>
    <w:rsid w:val="2ED81174"/>
    <w:rsid w:val="2EDE1C71"/>
    <w:rsid w:val="2EDF2CF6"/>
    <w:rsid w:val="2F034443"/>
    <w:rsid w:val="2F0401BB"/>
    <w:rsid w:val="2F192425"/>
    <w:rsid w:val="2F2B399A"/>
    <w:rsid w:val="2F451016"/>
    <w:rsid w:val="2F5527C5"/>
    <w:rsid w:val="2F634EE2"/>
    <w:rsid w:val="2F700004"/>
    <w:rsid w:val="2F750AF6"/>
    <w:rsid w:val="2F837332"/>
    <w:rsid w:val="2F994DA8"/>
    <w:rsid w:val="2F9B709C"/>
    <w:rsid w:val="2F9C6646"/>
    <w:rsid w:val="2FB674D6"/>
    <w:rsid w:val="2FF818BA"/>
    <w:rsid w:val="305111DE"/>
    <w:rsid w:val="30590D3B"/>
    <w:rsid w:val="3062163D"/>
    <w:rsid w:val="306929CC"/>
    <w:rsid w:val="306B4F17"/>
    <w:rsid w:val="307A6C32"/>
    <w:rsid w:val="30CA63FC"/>
    <w:rsid w:val="30EB33E1"/>
    <w:rsid w:val="31053E7C"/>
    <w:rsid w:val="31190263"/>
    <w:rsid w:val="312410C4"/>
    <w:rsid w:val="313E77A6"/>
    <w:rsid w:val="31624A09"/>
    <w:rsid w:val="31642CFA"/>
    <w:rsid w:val="317C228B"/>
    <w:rsid w:val="31825326"/>
    <w:rsid w:val="31A84D4A"/>
    <w:rsid w:val="31B22151"/>
    <w:rsid w:val="31D40319"/>
    <w:rsid w:val="31E41CE9"/>
    <w:rsid w:val="31F10E53"/>
    <w:rsid w:val="31F84007"/>
    <w:rsid w:val="32002EBC"/>
    <w:rsid w:val="320D6FA6"/>
    <w:rsid w:val="325A019F"/>
    <w:rsid w:val="326A3B99"/>
    <w:rsid w:val="329971AF"/>
    <w:rsid w:val="32A27614"/>
    <w:rsid w:val="32B6615F"/>
    <w:rsid w:val="32BF68D3"/>
    <w:rsid w:val="32F522F5"/>
    <w:rsid w:val="32F742BF"/>
    <w:rsid w:val="32F81DE5"/>
    <w:rsid w:val="32FB6D81"/>
    <w:rsid w:val="330A3CD4"/>
    <w:rsid w:val="331C3D26"/>
    <w:rsid w:val="33244988"/>
    <w:rsid w:val="33332E1D"/>
    <w:rsid w:val="33501C21"/>
    <w:rsid w:val="33833DA5"/>
    <w:rsid w:val="33A45AC9"/>
    <w:rsid w:val="33AD3470"/>
    <w:rsid w:val="33BC7143"/>
    <w:rsid w:val="340D1B3C"/>
    <w:rsid w:val="341C3E30"/>
    <w:rsid w:val="34376474"/>
    <w:rsid w:val="347B74B6"/>
    <w:rsid w:val="34824EE6"/>
    <w:rsid w:val="349A13A6"/>
    <w:rsid w:val="34A50908"/>
    <w:rsid w:val="34B561E0"/>
    <w:rsid w:val="34C603ED"/>
    <w:rsid w:val="34E432EA"/>
    <w:rsid w:val="35066A3B"/>
    <w:rsid w:val="350E61D1"/>
    <w:rsid w:val="350E769E"/>
    <w:rsid w:val="3543612F"/>
    <w:rsid w:val="35670F33"/>
    <w:rsid w:val="356807E6"/>
    <w:rsid w:val="3586192A"/>
    <w:rsid w:val="35CF1523"/>
    <w:rsid w:val="35FE6F21"/>
    <w:rsid w:val="36056CF3"/>
    <w:rsid w:val="36174C78"/>
    <w:rsid w:val="361E1B63"/>
    <w:rsid w:val="36567DCE"/>
    <w:rsid w:val="367D372A"/>
    <w:rsid w:val="36AA1648"/>
    <w:rsid w:val="36AC3C67"/>
    <w:rsid w:val="36B6623F"/>
    <w:rsid w:val="36C7763D"/>
    <w:rsid w:val="36D30B9F"/>
    <w:rsid w:val="36DF562B"/>
    <w:rsid w:val="36F54A97"/>
    <w:rsid w:val="36FF3742"/>
    <w:rsid w:val="3716260A"/>
    <w:rsid w:val="373A6E70"/>
    <w:rsid w:val="37604C15"/>
    <w:rsid w:val="37C91822"/>
    <w:rsid w:val="37D13DAE"/>
    <w:rsid w:val="37E8067A"/>
    <w:rsid w:val="38325D99"/>
    <w:rsid w:val="383438BF"/>
    <w:rsid w:val="389F58C0"/>
    <w:rsid w:val="38AA721C"/>
    <w:rsid w:val="38C63403"/>
    <w:rsid w:val="38CF5396"/>
    <w:rsid w:val="38D53385"/>
    <w:rsid w:val="38EC3ACE"/>
    <w:rsid w:val="38F31085"/>
    <w:rsid w:val="38F95540"/>
    <w:rsid w:val="391E2CE2"/>
    <w:rsid w:val="39846389"/>
    <w:rsid w:val="39893797"/>
    <w:rsid w:val="39A16D33"/>
    <w:rsid w:val="39B20F40"/>
    <w:rsid w:val="39CC2DEE"/>
    <w:rsid w:val="3A4E3DF5"/>
    <w:rsid w:val="3A93183F"/>
    <w:rsid w:val="3A936E05"/>
    <w:rsid w:val="3AB331C1"/>
    <w:rsid w:val="3AB80978"/>
    <w:rsid w:val="3AD302F2"/>
    <w:rsid w:val="3AD3639A"/>
    <w:rsid w:val="3B07350D"/>
    <w:rsid w:val="3B0A4CF0"/>
    <w:rsid w:val="3B1A12EE"/>
    <w:rsid w:val="3B1C4F63"/>
    <w:rsid w:val="3B1F2605"/>
    <w:rsid w:val="3B581673"/>
    <w:rsid w:val="3B5E72AB"/>
    <w:rsid w:val="3B65253E"/>
    <w:rsid w:val="3B895CD0"/>
    <w:rsid w:val="3BC136BC"/>
    <w:rsid w:val="3BDD426E"/>
    <w:rsid w:val="3BF13876"/>
    <w:rsid w:val="3BF84C04"/>
    <w:rsid w:val="3C2A2785"/>
    <w:rsid w:val="3C895791"/>
    <w:rsid w:val="3CB50CFF"/>
    <w:rsid w:val="3CBE05CE"/>
    <w:rsid w:val="3D1D51DD"/>
    <w:rsid w:val="3D6D517E"/>
    <w:rsid w:val="3D755FB3"/>
    <w:rsid w:val="3D8B74C8"/>
    <w:rsid w:val="3DC41242"/>
    <w:rsid w:val="3DD86A9B"/>
    <w:rsid w:val="3DE96EFA"/>
    <w:rsid w:val="3E2A0839"/>
    <w:rsid w:val="3E492E08"/>
    <w:rsid w:val="3E6959B2"/>
    <w:rsid w:val="3E733D99"/>
    <w:rsid w:val="3E9A1FA2"/>
    <w:rsid w:val="3EAD4FE8"/>
    <w:rsid w:val="3EBE3EE3"/>
    <w:rsid w:val="3ED05AFB"/>
    <w:rsid w:val="3EE871B2"/>
    <w:rsid w:val="3EF913BF"/>
    <w:rsid w:val="3F0E3630"/>
    <w:rsid w:val="3F210422"/>
    <w:rsid w:val="3F60143E"/>
    <w:rsid w:val="3F60708E"/>
    <w:rsid w:val="3F6E1604"/>
    <w:rsid w:val="3FBD23EC"/>
    <w:rsid w:val="3FE2019B"/>
    <w:rsid w:val="3FE94F8F"/>
    <w:rsid w:val="3FFF2A05"/>
    <w:rsid w:val="4001677D"/>
    <w:rsid w:val="40511FF8"/>
    <w:rsid w:val="405F5252"/>
    <w:rsid w:val="40842F0A"/>
    <w:rsid w:val="409A6144"/>
    <w:rsid w:val="40BE466E"/>
    <w:rsid w:val="41135599"/>
    <w:rsid w:val="41314E40"/>
    <w:rsid w:val="413F5BE3"/>
    <w:rsid w:val="414813D4"/>
    <w:rsid w:val="416845DA"/>
    <w:rsid w:val="41B56B45"/>
    <w:rsid w:val="422A188F"/>
    <w:rsid w:val="423027C9"/>
    <w:rsid w:val="42896F75"/>
    <w:rsid w:val="428D4052"/>
    <w:rsid w:val="42A0764D"/>
    <w:rsid w:val="434F15AD"/>
    <w:rsid w:val="435051E9"/>
    <w:rsid w:val="438D657A"/>
    <w:rsid w:val="43986235"/>
    <w:rsid w:val="43AF64F0"/>
    <w:rsid w:val="43B17484"/>
    <w:rsid w:val="43C95804"/>
    <w:rsid w:val="43F91FF0"/>
    <w:rsid w:val="43FE2FD4"/>
    <w:rsid w:val="442C2A84"/>
    <w:rsid w:val="44480F49"/>
    <w:rsid w:val="44621098"/>
    <w:rsid w:val="44BE2E8F"/>
    <w:rsid w:val="44CD1324"/>
    <w:rsid w:val="44D02BC2"/>
    <w:rsid w:val="45053FCB"/>
    <w:rsid w:val="450C4AD6"/>
    <w:rsid w:val="451C1963"/>
    <w:rsid w:val="451E30B0"/>
    <w:rsid w:val="455410FD"/>
    <w:rsid w:val="4582210E"/>
    <w:rsid w:val="45965BB9"/>
    <w:rsid w:val="45D466E2"/>
    <w:rsid w:val="45D64DA2"/>
    <w:rsid w:val="461214CC"/>
    <w:rsid w:val="46192347"/>
    <w:rsid w:val="46222FA9"/>
    <w:rsid w:val="462C02CC"/>
    <w:rsid w:val="46541B0B"/>
    <w:rsid w:val="46946C63"/>
    <w:rsid w:val="46A460B4"/>
    <w:rsid w:val="46A62FBB"/>
    <w:rsid w:val="46FC37FA"/>
    <w:rsid w:val="47205296"/>
    <w:rsid w:val="472D7E58"/>
    <w:rsid w:val="472E03DA"/>
    <w:rsid w:val="4736606C"/>
    <w:rsid w:val="47507FEA"/>
    <w:rsid w:val="476F2CD6"/>
    <w:rsid w:val="47B745D4"/>
    <w:rsid w:val="47C22C96"/>
    <w:rsid w:val="47D61232"/>
    <w:rsid w:val="48184616"/>
    <w:rsid w:val="48405A05"/>
    <w:rsid w:val="4851401A"/>
    <w:rsid w:val="48650C42"/>
    <w:rsid w:val="48780FA3"/>
    <w:rsid w:val="489167A2"/>
    <w:rsid w:val="4893018E"/>
    <w:rsid w:val="48934632"/>
    <w:rsid w:val="48D2689D"/>
    <w:rsid w:val="48FF3A76"/>
    <w:rsid w:val="49060960"/>
    <w:rsid w:val="49373210"/>
    <w:rsid w:val="49393312"/>
    <w:rsid w:val="4953791E"/>
    <w:rsid w:val="49724248"/>
    <w:rsid w:val="49755AE6"/>
    <w:rsid w:val="49830203"/>
    <w:rsid w:val="498E0956"/>
    <w:rsid w:val="49973CAE"/>
    <w:rsid w:val="49D071C0"/>
    <w:rsid w:val="4A054986"/>
    <w:rsid w:val="4A192915"/>
    <w:rsid w:val="4A497F6F"/>
    <w:rsid w:val="4A6718D3"/>
    <w:rsid w:val="4A9D2749"/>
    <w:rsid w:val="4AE21479"/>
    <w:rsid w:val="4B115AA3"/>
    <w:rsid w:val="4B161640"/>
    <w:rsid w:val="4B7C315C"/>
    <w:rsid w:val="4B881BB1"/>
    <w:rsid w:val="4B96177F"/>
    <w:rsid w:val="4B9D6A2F"/>
    <w:rsid w:val="4BCB0138"/>
    <w:rsid w:val="4BED5E07"/>
    <w:rsid w:val="4BF058F8"/>
    <w:rsid w:val="4C0C285D"/>
    <w:rsid w:val="4C1330DF"/>
    <w:rsid w:val="4C545E87"/>
    <w:rsid w:val="4C5F36AF"/>
    <w:rsid w:val="4C6267F5"/>
    <w:rsid w:val="4C76404F"/>
    <w:rsid w:val="4C824411"/>
    <w:rsid w:val="4CB22BAD"/>
    <w:rsid w:val="4CC92CDF"/>
    <w:rsid w:val="4CCA439B"/>
    <w:rsid w:val="4CCE170B"/>
    <w:rsid w:val="4CE3088A"/>
    <w:rsid w:val="4CF52258"/>
    <w:rsid w:val="4D005B8C"/>
    <w:rsid w:val="4D41465D"/>
    <w:rsid w:val="4DAE3F37"/>
    <w:rsid w:val="4DCB2178"/>
    <w:rsid w:val="4DF47921"/>
    <w:rsid w:val="4DF924BF"/>
    <w:rsid w:val="4DFA480C"/>
    <w:rsid w:val="4E013DEC"/>
    <w:rsid w:val="4E200716"/>
    <w:rsid w:val="4E4C33F2"/>
    <w:rsid w:val="4E546137"/>
    <w:rsid w:val="4E695D36"/>
    <w:rsid w:val="4ECF272A"/>
    <w:rsid w:val="4ED834DC"/>
    <w:rsid w:val="4EE07EA5"/>
    <w:rsid w:val="4F363F69"/>
    <w:rsid w:val="4F4026F2"/>
    <w:rsid w:val="4F4246BC"/>
    <w:rsid w:val="4F5A0E97"/>
    <w:rsid w:val="4F5D32A4"/>
    <w:rsid w:val="4F672375"/>
    <w:rsid w:val="4F6B5BA6"/>
    <w:rsid w:val="4F9053B1"/>
    <w:rsid w:val="4FA15887"/>
    <w:rsid w:val="4FB56C3C"/>
    <w:rsid w:val="4FC357FD"/>
    <w:rsid w:val="50216A4B"/>
    <w:rsid w:val="50355FCF"/>
    <w:rsid w:val="50440650"/>
    <w:rsid w:val="50AF7099"/>
    <w:rsid w:val="50BE5FC4"/>
    <w:rsid w:val="50C80047"/>
    <w:rsid w:val="50DA0B86"/>
    <w:rsid w:val="514364CA"/>
    <w:rsid w:val="515D0FE2"/>
    <w:rsid w:val="51646882"/>
    <w:rsid w:val="516721B8"/>
    <w:rsid w:val="518F5ABC"/>
    <w:rsid w:val="51A4219E"/>
    <w:rsid w:val="51C407B0"/>
    <w:rsid w:val="51F1174E"/>
    <w:rsid w:val="52067C23"/>
    <w:rsid w:val="52196A42"/>
    <w:rsid w:val="521A36CE"/>
    <w:rsid w:val="523C53F3"/>
    <w:rsid w:val="527252B8"/>
    <w:rsid w:val="528154FB"/>
    <w:rsid w:val="52854FEC"/>
    <w:rsid w:val="528D1D0A"/>
    <w:rsid w:val="52B96A43"/>
    <w:rsid w:val="52C35B14"/>
    <w:rsid w:val="53424C8B"/>
    <w:rsid w:val="538460DE"/>
    <w:rsid w:val="53876B42"/>
    <w:rsid w:val="538A324D"/>
    <w:rsid w:val="53966D85"/>
    <w:rsid w:val="53A4298E"/>
    <w:rsid w:val="53AF1757"/>
    <w:rsid w:val="53B13BBE"/>
    <w:rsid w:val="53BA0CC5"/>
    <w:rsid w:val="53E06252"/>
    <w:rsid w:val="5403676A"/>
    <w:rsid w:val="54260108"/>
    <w:rsid w:val="54273E81"/>
    <w:rsid w:val="542B7354"/>
    <w:rsid w:val="54642849"/>
    <w:rsid w:val="546B0211"/>
    <w:rsid w:val="54745318"/>
    <w:rsid w:val="54B0392B"/>
    <w:rsid w:val="54B05770"/>
    <w:rsid w:val="54E35FFA"/>
    <w:rsid w:val="55230AEC"/>
    <w:rsid w:val="553B7BE4"/>
    <w:rsid w:val="5548346E"/>
    <w:rsid w:val="5562510A"/>
    <w:rsid w:val="556A04C9"/>
    <w:rsid w:val="55A57753"/>
    <w:rsid w:val="55BD4A9D"/>
    <w:rsid w:val="55CC7E02"/>
    <w:rsid w:val="55FD3C3F"/>
    <w:rsid w:val="561A1F82"/>
    <w:rsid w:val="56204D1B"/>
    <w:rsid w:val="56431446"/>
    <w:rsid w:val="564B02FA"/>
    <w:rsid w:val="56530F5D"/>
    <w:rsid w:val="56586573"/>
    <w:rsid w:val="569725AA"/>
    <w:rsid w:val="56CF2CD9"/>
    <w:rsid w:val="56E1026D"/>
    <w:rsid w:val="57093AD9"/>
    <w:rsid w:val="570E435D"/>
    <w:rsid w:val="570F757A"/>
    <w:rsid w:val="572A43B4"/>
    <w:rsid w:val="572C25B9"/>
    <w:rsid w:val="577D0987"/>
    <w:rsid w:val="57811AFA"/>
    <w:rsid w:val="57833AC4"/>
    <w:rsid w:val="57957FD1"/>
    <w:rsid w:val="57A71560"/>
    <w:rsid w:val="57A803B9"/>
    <w:rsid w:val="57C9597B"/>
    <w:rsid w:val="57E71968"/>
    <w:rsid w:val="580C0D11"/>
    <w:rsid w:val="580D7A8E"/>
    <w:rsid w:val="582E1C82"/>
    <w:rsid w:val="58443253"/>
    <w:rsid w:val="58612B92"/>
    <w:rsid w:val="586E207E"/>
    <w:rsid w:val="58950E5A"/>
    <w:rsid w:val="58DF1EA0"/>
    <w:rsid w:val="591A2316"/>
    <w:rsid w:val="591E3224"/>
    <w:rsid w:val="591E3AA4"/>
    <w:rsid w:val="59417793"/>
    <w:rsid w:val="595347AB"/>
    <w:rsid w:val="59613991"/>
    <w:rsid w:val="598D29D8"/>
    <w:rsid w:val="599C4E91"/>
    <w:rsid w:val="59A12559"/>
    <w:rsid w:val="59D2022C"/>
    <w:rsid w:val="59D44AE4"/>
    <w:rsid w:val="59FE19ED"/>
    <w:rsid w:val="5A0A04CC"/>
    <w:rsid w:val="5A3B7DEC"/>
    <w:rsid w:val="5A646500"/>
    <w:rsid w:val="5ABA0896"/>
    <w:rsid w:val="5AC14CAC"/>
    <w:rsid w:val="5AC93EE4"/>
    <w:rsid w:val="5B1740D8"/>
    <w:rsid w:val="5B1909C7"/>
    <w:rsid w:val="5B2B383E"/>
    <w:rsid w:val="5B2D18D4"/>
    <w:rsid w:val="5B3A26EB"/>
    <w:rsid w:val="5B565263"/>
    <w:rsid w:val="5B7F45A2"/>
    <w:rsid w:val="5B9E711E"/>
    <w:rsid w:val="5BA069F2"/>
    <w:rsid w:val="5BBA09F3"/>
    <w:rsid w:val="5BC85F49"/>
    <w:rsid w:val="5C013209"/>
    <w:rsid w:val="5C1178F0"/>
    <w:rsid w:val="5C3435DF"/>
    <w:rsid w:val="5C6D0731"/>
    <w:rsid w:val="5C8C51C9"/>
    <w:rsid w:val="5C9F0ED9"/>
    <w:rsid w:val="5CE312A0"/>
    <w:rsid w:val="5CF32ADF"/>
    <w:rsid w:val="5D227715"/>
    <w:rsid w:val="5D35760E"/>
    <w:rsid w:val="5D445AA3"/>
    <w:rsid w:val="5D4D372F"/>
    <w:rsid w:val="5D663C6C"/>
    <w:rsid w:val="5D681792"/>
    <w:rsid w:val="5D827A99"/>
    <w:rsid w:val="5D8660BC"/>
    <w:rsid w:val="5D870900"/>
    <w:rsid w:val="5D9E51B4"/>
    <w:rsid w:val="5DBC4E8D"/>
    <w:rsid w:val="5DC612D4"/>
    <w:rsid w:val="5DD619A0"/>
    <w:rsid w:val="5DD62B9F"/>
    <w:rsid w:val="5DE43D51"/>
    <w:rsid w:val="5DF748C4"/>
    <w:rsid w:val="5E3E0745"/>
    <w:rsid w:val="5E5A5379"/>
    <w:rsid w:val="5E5B2FBB"/>
    <w:rsid w:val="5E8C397C"/>
    <w:rsid w:val="5E9860A7"/>
    <w:rsid w:val="5EDF7832"/>
    <w:rsid w:val="5F531FCE"/>
    <w:rsid w:val="5F5741F8"/>
    <w:rsid w:val="5F5E0AA9"/>
    <w:rsid w:val="5F6C02C9"/>
    <w:rsid w:val="5FDF0EC5"/>
    <w:rsid w:val="5FE377F5"/>
    <w:rsid w:val="6025396A"/>
    <w:rsid w:val="602776E2"/>
    <w:rsid w:val="604925E3"/>
    <w:rsid w:val="60882495"/>
    <w:rsid w:val="60BC5356"/>
    <w:rsid w:val="60C05441"/>
    <w:rsid w:val="610B0DB2"/>
    <w:rsid w:val="61137C66"/>
    <w:rsid w:val="6118702B"/>
    <w:rsid w:val="61206FA0"/>
    <w:rsid w:val="61447E20"/>
    <w:rsid w:val="61481125"/>
    <w:rsid w:val="6155027F"/>
    <w:rsid w:val="61572249"/>
    <w:rsid w:val="61574083"/>
    <w:rsid w:val="615C0C4D"/>
    <w:rsid w:val="615F567B"/>
    <w:rsid w:val="61630BEE"/>
    <w:rsid w:val="61693D2A"/>
    <w:rsid w:val="61840F53"/>
    <w:rsid w:val="61907509"/>
    <w:rsid w:val="61A255D6"/>
    <w:rsid w:val="61B37CD9"/>
    <w:rsid w:val="61C251E9"/>
    <w:rsid w:val="61FE0917"/>
    <w:rsid w:val="620D0B5A"/>
    <w:rsid w:val="624125B1"/>
    <w:rsid w:val="624778AB"/>
    <w:rsid w:val="626764BC"/>
    <w:rsid w:val="626926F0"/>
    <w:rsid w:val="628C7CD0"/>
    <w:rsid w:val="62A85ACE"/>
    <w:rsid w:val="62CA25A7"/>
    <w:rsid w:val="62DF2BC6"/>
    <w:rsid w:val="63320DB2"/>
    <w:rsid w:val="6344075B"/>
    <w:rsid w:val="638E5A46"/>
    <w:rsid w:val="639808F7"/>
    <w:rsid w:val="63A728E8"/>
    <w:rsid w:val="642301C1"/>
    <w:rsid w:val="64713622"/>
    <w:rsid w:val="6476316D"/>
    <w:rsid w:val="64813139"/>
    <w:rsid w:val="64A84B6A"/>
    <w:rsid w:val="64AD1B28"/>
    <w:rsid w:val="64BE2CC7"/>
    <w:rsid w:val="64CF5EAF"/>
    <w:rsid w:val="64EB69CB"/>
    <w:rsid w:val="65197815"/>
    <w:rsid w:val="652939C2"/>
    <w:rsid w:val="65654809"/>
    <w:rsid w:val="657A6506"/>
    <w:rsid w:val="65C6174B"/>
    <w:rsid w:val="65D969F1"/>
    <w:rsid w:val="660D2ED6"/>
    <w:rsid w:val="662D17CA"/>
    <w:rsid w:val="663568D1"/>
    <w:rsid w:val="66511098"/>
    <w:rsid w:val="66546D57"/>
    <w:rsid w:val="66651D93"/>
    <w:rsid w:val="668F1B3D"/>
    <w:rsid w:val="66B67F20"/>
    <w:rsid w:val="670E6B05"/>
    <w:rsid w:val="671A0817"/>
    <w:rsid w:val="671F37ED"/>
    <w:rsid w:val="67262C9D"/>
    <w:rsid w:val="67395F4D"/>
    <w:rsid w:val="677D408C"/>
    <w:rsid w:val="67A34CD2"/>
    <w:rsid w:val="67BF46A4"/>
    <w:rsid w:val="67F65BEC"/>
    <w:rsid w:val="68141711"/>
    <w:rsid w:val="681C1D4C"/>
    <w:rsid w:val="684E5A28"/>
    <w:rsid w:val="68790CF7"/>
    <w:rsid w:val="68E11D62"/>
    <w:rsid w:val="68F6116F"/>
    <w:rsid w:val="694F3806"/>
    <w:rsid w:val="698B1D32"/>
    <w:rsid w:val="698C2CAC"/>
    <w:rsid w:val="69EF0463"/>
    <w:rsid w:val="69F525FF"/>
    <w:rsid w:val="6A222CC8"/>
    <w:rsid w:val="6A4B66C3"/>
    <w:rsid w:val="6A9929F4"/>
    <w:rsid w:val="6A9E2C97"/>
    <w:rsid w:val="6AA656A7"/>
    <w:rsid w:val="6AD2649C"/>
    <w:rsid w:val="6AE248C6"/>
    <w:rsid w:val="6AF26367"/>
    <w:rsid w:val="6B1B64B0"/>
    <w:rsid w:val="6B2F3925"/>
    <w:rsid w:val="6B386B50"/>
    <w:rsid w:val="6B754838"/>
    <w:rsid w:val="6B9E0AD0"/>
    <w:rsid w:val="6BCA3618"/>
    <w:rsid w:val="6BE805DE"/>
    <w:rsid w:val="6C0703C8"/>
    <w:rsid w:val="6C1E1C8C"/>
    <w:rsid w:val="6C264CF2"/>
    <w:rsid w:val="6C4C52F4"/>
    <w:rsid w:val="6C4D6722"/>
    <w:rsid w:val="6C59228F"/>
    <w:rsid w:val="6C8639E2"/>
    <w:rsid w:val="6C8B0A6A"/>
    <w:rsid w:val="6C9C4FB4"/>
    <w:rsid w:val="6CA125CA"/>
    <w:rsid w:val="6CA976D1"/>
    <w:rsid w:val="6CCD7863"/>
    <w:rsid w:val="6CCF1673"/>
    <w:rsid w:val="6CDE55CC"/>
    <w:rsid w:val="6CFF105E"/>
    <w:rsid w:val="6D101B68"/>
    <w:rsid w:val="6D4E276C"/>
    <w:rsid w:val="6D57712D"/>
    <w:rsid w:val="6D5C3AC4"/>
    <w:rsid w:val="6D6E2CE4"/>
    <w:rsid w:val="6D765805"/>
    <w:rsid w:val="6DB12CE1"/>
    <w:rsid w:val="6DCF13B9"/>
    <w:rsid w:val="6DF800C1"/>
    <w:rsid w:val="6E146F01"/>
    <w:rsid w:val="6E1A189A"/>
    <w:rsid w:val="6E306F22"/>
    <w:rsid w:val="6E4C52EA"/>
    <w:rsid w:val="6E5A0C83"/>
    <w:rsid w:val="6E755ABD"/>
    <w:rsid w:val="6E7F693B"/>
    <w:rsid w:val="6EC627BC"/>
    <w:rsid w:val="6ED21161"/>
    <w:rsid w:val="6EED5F9B"/>
    <w:rsid w:val="6EFA0749"/>
    <w:rsid w:val="6F411E43"/>
    <w:rsid w:val="6F4B3A64"/>
    <w:rsid w:val="6F6644C2"/>
    <w:rsid w:val="6F774BAC"/>
    <w:rsid w:val="6F806E0F"/>
    <w:rsid w:val="6F871F4B"/>
    <w:rsid w:val="6FB52731"/>
    <w:rsid w:val="700323DB"/>
    <w:rsid w:val="700E61C9"/>
    <w:rsid w:val="70447E3C"/>
    <w:rsid w:val="704718D2"/>
    <w:rsid w:val="705D2CAC"/>
    <w:rsid w:val="709D09ED"/>
    <w:rsid w:val="70AB3A18"/>
    <w:rsid w:val="70AF6726"/>
    <w:rsid w:val="70B809BC"/>
    <w:rsid w:val="71120272"/>
    <w:rsid w:val="71311A98"/>
    <w:rsid w:val="71324139"/>
    <w:rsid w:val="71342650"/>
    <w:rsid w:val="715E2BBD"/>
    <w:rsid w:val="71881FAB"/>
    <w:rsid w:val="71C4033C"/>
    <w:rsid w:val="71D64AC4"/>
    <w:rsid w:val="71E13469"/>
    <w:rsid w:val="71E74F23"/>
    <w:rsid w:val="72404633"/>
    <w:rsid w:val="72417DAB"/>
    <w:rsid w:val="72807126"/>
    <w:rsid w:val="728C28E3"/>
    <w:rsid w:val="72B9250E"/>
    <w:rsid w:val="72C54B39"/>
    <w:rsid w:val="72D43F6F"/>
    <w:rsid w:val="72E6342D"/>
    <w:rsid w:val="72FC46DC"/>
    <w:rsid w:val="73124222"/>
    <w:rsid w:val="73206183"/>
    <w:rsid w:val="735B4658"/>
    <w:rsid w:val="73832670"/>
    <w:rsid w:val="738F7621"/>
    <w:rsid w:val="73A2714D"/>
    <w:rsid w:val="73AE5367"/>
    <w:rsid w:val="73BE73D7"/>
    <w:rsid w:val="73EA4B55"/>
    <w:rsid w:val="73EB2AF2"/>
    <w:rsid w:val="742970E4"/>
    <w:rsid w:val="744F5002"/>
    <w:rsid w:val="74627AEA"/>
    <w:rsid w:val="746F28A8"/>
    <w:rsid w:val="746F4033"/>
    <w:rsid w:val="74B74AFD"/>
    <w:rsid w:val="74CB5A00"/>
    <w:rsid w:val="74D22A91"/>
    <w:rsid w:val="74E83C5E"/>
    <w:rsid w:val="74F160B9"/>
    <w:rsid w:val="750D2EF3"/>
    <w:rsid w:val="751D4BA3"/>
    <w:rsid w:val="752E4C17"/>
    <w:rsid w:val="752E7228"/>
    <w:rsid w:val="75385A96"/>
    <w:rsid w:val="753B10E2"/>
    <w:rsid w:val="75434A0D"/>
    <w:rsid w:val="755448DA"/>
    <w:rsid w:val="75580C3E"/>
    <w:rsid w:val="755C1784"/>
    <w:rsid w:val="75B04091"/>
    <w:rsid w:val="75B16ECE"/>
    <w:rsid w:val="75B710B1"/>
    <w:rsid w:val="75C4732A"/>
    <w:rsid w:val="75D43A11"/>
    <w:rsid w:val="75DB5FA3"/>
    <w:rsid w:val="765132FA"/>
    <w:rsid w:val="76E41A31"/>
    <w:rsid w:val="76F1414E"/>
    <w:rsid w:val="76F53C3E"/>
    <w:rsid w:val="77000835"/>
    <w:rsid w:val="771509A7"/>
    <w:rsid w:val="77427712"/>
    <w:rsid w:val="77687E6F"/>
    <w:rsid w:val="78034139"/>
    <w:rsid w:val="780F53CC"/>
    <w:rsid w:val="78250553"/>
    <w:rsid w:val="782B3839"/>
    <w:rsid w:val="782D6E4E"/>
    <w:rsid w:val="7831514A"/>
    <w:rsid w:val="78415070"/>
    <w:rsid w:val="784B5AE0"/>
    <w:rsid w:val="784C1F84"/>
    <w:rsid w:val="78656BA2"/>
    <w:rsid w:val="788566A9"/>
    <w:rsid w:val="788C05D2"/>
    <w:rsid w:val="78D6184E"/>
    <w:rsid w:val="79052133"/>
    <w:rsid w:val="794D6A8B"/>
    <w:rsid w:val="798F0536"/>
    <w:rsid w:val="79F20909"/>
    <w:rsid w:val="79F41B44"/>
    <w:rsid w:val="79FA2CEE"/>
    <w:rsid w:val="7A156B8B"/>
    <w:rsid w:val="7A232871"/>
    <w:rsid w:val="7A2776B7"/>
    <w:rsid w:val="7A284669"/>
    <w:rsid w:val="7A373056"/>
    <w:rsid w:val="7A5F138C"/>
    <w:rsid w:val="7A6F1B1F"/>
    <w:rsid w:val="7A7B08FF"/>
    <w:rsid w:val="7A8157E9"/>
    <w:rsid w:val="7AB47064"/>
    <w:rsid w:val="7ACA7190"/>
    <w:rsid w:val="7AED1D93"/>
    <w:rsid w:val="7B181DE8"/>
    <w:rsid w:val="7B3F6659"/>
    <w:rsid w:val="7B555B44"/>
    <w:rsid w:val="7B891411"/>
    <w:rsid w:val="7BA34766"/>
    <w:rsid w:val="7BA522FF"/>
    <w:rsid w:val="7BDC361F"/>
    <w:rsid w:val="7BDD1145"/>
    <w:rsid w:val="7BFD3595"/>
    <w:rsid w:val="7C5546E4"/>
    <w:rsid w:val="7C5A68F7"/>
    <w:rsid w:val="7C8021FC"/>
    <w:rsid w:val="7C887303"/>
    <w:rsid w:val="7C9113B6"/>
    <w:rsid w:val="7C9A0DE4"/>
    <w:rsid w:val="7C9E2682"/>
    <w:rsid w:val="7CD75B94"/>
    <w:rsid w:val="7CE02C9B"/>
    <w:rsid w:val="7D344D95"/>
    <w:rsid w:val="7D483EC6"/>
    <w:rsid w:val="7D9F168F"/>
    <w:rsid w:val="7DC611BF"/>
    <w:rsid w:val="7DD766F1"/>
    <w:rsid w:val="7DDA3B8E"/>
    <w:rsid w:val="7DF509C8"/>
    <w:rsid w:val="7E1B0471"/>
    <w:rsid w:val="7E6478FC"/>
    <w:rsid w:val="7E8D617B"/>
    <w:rsid w:val="7ECF1219"/>
    <w:rsid w:val="7EE406E0"/>
    <w:rsid w:val="7F3E5C19"/>
    <w:rsid w:val="7F67469B"/>
    <w:rsid w:val="7F8114E6"/>
    <w:rsid w:val="7F9562A7"/>
    <w:rsid w:val="7FAC3308"/>
    <w:rsid w:val="7FB72124"/>
    <w:rsid w:val="7FD5285F"/>
    <w:rsid w:val="7FE505C8"/>
    <w:rsid w:val="7FF4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5"/>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0"/>
    </w:rPr>
  </w:style>
  <w:style w:type="paragraph" w:styleId="3">
    <w:name w:val="heading 2"/>
    <w:basedOn w:val="1"/>
    <w:next w:val="1"/>
    <w:link w:val="29"/>
    <w:unhideWhenUsed/>
    <w:qFormat/>
    <w:uiPriority w:val="0"/>
    <w:pPr>
      <w:keepNext/>
      <w:keepLines/>
      <w:spacing w:before="50" w:beforeLines="50" w:beforeAutospacing="0" w:afterLines="0" w:afterAutospacing="0" w:line="240" w:lineRule="auto"/>
      <w:ind w:left="0" w:leftChars="0" w:right="0" w:rightChars="0" w:firstLine="1680" w:firstLineChars="200"/>
      <w:outlineLvl w:val="1"/>
    </w:pPr>
    <w:rPr>
      <w:rFonts w:ascii="Arial" w:hAnsi="Arial" w:eastAsia="宋体"/>
      <w:b/>
    </w:rPr>
  </w:style>
  <w:style w:type="paragraph" w:styleId="4">
    <w:name w:val="heading 3"/>
    <w:basedOn w:val="1"/>
    <w:next w:val="1"/>
    <w:link w:val="30"/>
    <w:semiHidden/>
    <w:unhideWhenUsed/>
    <w:qFormat/>
    <w:uiPriority w:val="0"/>
    <w:pPr>
      <w:keepNext/>
      <w:keepLines/>
      <w:spacing w:line="360" w:lineRule="auto"/>
      <w:ind w:firstLine="560" w:firstLineChars="200"/>
      <w:jc w:val="left"/>
      <w:outlineLvl w:val="2"/>
    </w:pPr>
    <w:rPr>
      <w:rFonts w:ascii="Times New Roman" w:hAnsi="Times New Roman" w:eastAsia="宋体"/>
      <w:b/>
    </w:rPr>
  </w:style>
  <w:style w:type="paragraph" w:styleId="5">
    <w:name w:val="heading 4"/>
    <w:basedOn w:val="1"/>
    <w:next w:val="1"/>
    <w:link w:val="31"/>
    <w:semiHidden/>
    <w:unhideWhenUsed/>
    <w:qFormat/>
    <w:uiPriority w:val="0"/>
    <w:pPr>
      <w:keepNext/>
      <w:keepLines/>
      <w:spacing w:beforeLines="0" w:beforeAutospacing="0" w:afterLines="0" w:afterAutospacing="0" w:line="360" w:lineRule="auto"/>
      <w:ind w:firstLine="562" w:firstLineChars="200"/>
      <w:jc w:val="left"/>
      <w:outlineLvl w:val="3"/>
    </w:pPr>
    <w:rPr>
      <w:rFonts w:ascii="Arial" w:hAnsi="Arial"/>
      <w:b/>
    </w:rPr>
  </w:style>
  <w:style w:type="paragraph" w:styleId="6">
    <w:name w:val="heading 5"/>
    <w:basedOn w:val="1"/>
    <w:next w:val="1"/>
    <w:semiHidden/>
    <w:unhideWhenUsed/>
    <w:qFormat/>
    <w:uiPriority w:val="0"/>
    <w:pPr>
      <w:keepNext/>
      <w:keepLines/>
      <w:spacing w:beforeLines="0" w:beforeAutospacing="0" w:afterLines="0" w:afterAutospacing="0" w:line="360" w:lineRule="auto"/>
      <w:jc w:val="center"/>
      <w:outlineLvl w:val="4"/>
    </w:pPr>
    <w:rPr>
      <w:rFonts w:ascii="Times New Roman" w:hAnsi="Times New Roman"/>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List 3"/>
    <w:basedOn w:val="1"/>
    <w:next w:val="1"/>
    <w:qFormat/>
    <w:uiPriority w:val="0"/>
    <w:pPr>
      <w:adjustRightInd w:val="0"/>
      <w:snapToGrid w:val="0"/>
      <w:spacing w:line="360" w:lineRule="auto"/>
      <w:ind w:left="100" w:leftChars="400" w:hanging="200" w:hangingChars="200"/>
    </w:pPr>
    <w:rPr>
      <w:sz w:val="24"/>
    </w:rPr>
  </w:style>
  <w:style w:type="paragraph" w:styleId="8">
    <w:name w:val="annotation text"/>
    <w:basedOn w:val="1"/>
    <w:qFormat/>
    <w:uiPriority w:val="0"/>
    <w:pPr>
      <w:jc w:val="left"/>
    </w:pPr>
  </w:style>
  <w:style w:type="paragraph" w:styleId="9">
    <w:name w:val="Body Text"/>
    <w:basedOn w:val="1"/>
    <w:next w:val="1"/>
    <w:qFormat/>
    <w:uiPriority w:val="0"/>
    <w:pPr>
      <w:spacing w:after="120" w:afterLines="0" w:afterAutospacing="0"/>
    </w:pPr>
  </w:style>
  <w:style w:type="paragraph" w:styleId="10">
    <w:name w:val="Body Text Indent"/>
    <w:basedOn w:val="1"/>
    <w:next w:val="11"/>
    <w:qFormat/>
    <w:uiPriority w:val="0"/>
    <w:pPr>
      <w:spacing w:after="120"/>
      <w:ind w:left="420" w:leftChars="200"/>
    </w:pPr>
  </w:style>
  <w:style w:type="paragraph" w:styleId="11">
    <w:name w:val="envelope return"/>
    <w:basedOn w:val="1"/>
    <w:semiHidden/>
    <w:qFormat/>
    <w:uiPriority w:val="0"/>
    <w:pPr>
      <w:snapToGrid w:val="0"/>
    </w:pPr>
    <w:rPr>
      <w:rFonts w:ascii="Arial" w:hAnsi="Arial" w:cs="Arial"/>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spacing w:line="320" w:lineRule="exact"/>
      <w:jc w:val="left"/>
    </w:pPr>
    <w:rPr>
      <w:rFonts w:ascii="宋体" w:hAnsi="宋体"/>
      <w:sz w:val="24"/>
    </w:rPr>
  </w:style>
  <w:style w:type="paragraph" w:styleId="17">
    <w:name w:val="toc 2"/>
    <w:basedOn w:val="1"/>
    <w:next w:val="1"/>
    <w:qFormat/>
    <w:uiPriority w:val="0"/>
    <w:pPr>
      <w:ind w:left="420" w:leftChars="200"/>
    </w:pPr>
  </w:style>
  <w:style w:type="paragraph" w:styleId="18">
    <w:name w:val="Body Text 2"/>
    <w:basedOn w:val="1"/>
    <w:qFormat/>
    <w:uiPriority w:val="0"/>
    <w:pPr>
      <w:adjustRightInd w:val="0"/>
      <w:snapToGrid w:val="0"/>
      <w:spacing w:after="120" w:afterLines="0" w:afterAutospacing="0" w:line="480" w:lineRule="auto"/>
    </w:pPr>
    <w:rPr>
      <w:sz w:val="24"/>
    </w:rPr>
  </w:style>
  <w:style w:type="paragraph" w:styleId="19">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9"/>
    <w:next w:val="7"/>
    <w:qFormat/>
    <w:uiPriority w:val="0"/>
    <w:pPr>
      <w:spacing w:line="360" w:lineRule="auto"/>
      <w:ind w:firstLine="420"/>
    </w:pPr>
    <w:rPr>
      <w:rFonts w:ascii="宋体" w:hAnsi="宋体"/>
      <w:sz w:val="24"/>
    </w:rPr>
  </w:style>
  <w:style w:type="paragraph" w:styleId="22">
    <w:name w:val="Body Text First Indent 2"/>
    <w:basedOn w:val="10"/>
    <w:qFormat/>
    <w:uiPriority w:val="0"/>
    <w:pPr>
      <w:ind w:firstLine="420" w:firstLineChars="200"/>
    </w:pPr>
  </w:style>
  <w:style w:type="table" w:styleId="24">
    <w:name w:val="Table Grid"/>
    <w:basedOn w:val="23"/>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annotation reference"/>
    <w:basedOn w:val="25"/>
    <w:qFormat/>
    <w:uiPriority w:val="0"/>
    <w:rPr>
      <w:sz w:val="21"/>
      <w:szCs w:val="21"/>
    </w:rPr>
  </w:style>
  <w:style w:type="paragraph" w:customStyle="1" w:styleId="28">
    <w:name w:val="默认"/>
    <w:qFormat/>
    <w:uiPriority w:val="0"/>
    <w:rPr>
      <w:rFonts w:ascii="Helvetica" w:hAnsi="Helvetica" w:eastAsia="Helvetica" w:cs="Helvetica"/>
      <w:color w:val="000000"/>
      <w:sz w:val="22"/>
      <w:szCs w:val="22"/>
      <w:lang w:val="en-US" w:eastAsia="zh-CN" w:bidi="ar-SA"/>
    </w:rPr>
  </w:style>
  <w:style w:type="character" w:customStyle="1" w:styleId="29">
    <w:name w:val="标题 2 Char"/>
    <w:link w:val="3"/>
    <w:qFormat/>
    <w:uiPriority w:val="0"/>
    <w:rPr>
      <w:rFonts w:ascii="Arial" w:hAnsi="Arial" w:eastAsia="宋体" w:cs="Times New Roman"/>
      <w:b/>
      <w:bCs/>
      <w:kern w:val="2"/>
      <w:sz w:val="28"/>
      <w:szCs w:val="32"/>
      <w:lang w:val="en-US" w:eastAsia="zh-CN" w:bidi="ar-SA"/>
    </w:rPr>
  </w:style>
  <w:style w:type="character" w:customStyle="1" w:styleId="30">
    <w:name w:val="标题 3 Char"/>
    <w:link w:val="4"/>
    <w:qFormat/>
    <w:uiPriority w:val="0"/>
    <w:rPr>
      <w:rFonts w:ascii="Times New Roman" w:hAnsi="Times New Roman" w:eastAsia="宋体"/>
      <w:b/>
    </w:rPr>
  </w:style>
  <w:style w:type="character" w:customStyle="1" w:styleId="31">
    <w:name w:val="标题 4 Char"/>
    <w:link w:val="5"/>
    <w:qFormat/>
    <w:uiPriority w:val="0"/>
    <w:rPr>
      <w:rFonts w:ascii="Arial" w:hAnsi="Arial" w:eastAsia="宋体"/>
      <w:b/>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3">
    <w:name w:val="标题 1 Char"/>
    <w:link w:val="2"/>
    <w:qFormat/>
    <w:locked/>
    <w:uiPriority w:val="0"/>
    <w:rPr>
      <w:rFonts w:ascii="Times New Roman" w:hAnsi="Times New Roman" w:eastAsia="宋体" w:cs="Times New Roman"/>
      <w:b/>
      <w:bCs/>
      <w:kern w:val="2"/>
      <w:sz w:val="32"/>
      <w:szCs w:val="32"/>
      <w:lang w:val="en-US" w:eastAsia="zh-CN" w:bidi="ar-SA"/>
    </w:rPr>
  </w:style>
  <w:style w:type="paragraph" w:customStyle="1" w:styleId="34">
    <w:name w:val="图例"/>
    <w:basedOn w:val="1"/>
    <w:qFormat/>
    <w:uiPriority w:val="0"/>
    <w:pPr>
      <w:spacing w:before="120" w:after="120" w:line="360" w:lineRule="auto"/>
      <w:jc w:val="center"/>
    </w:pPr>
    <w:rPr>
      <w:rFonts w:eastAsia="仿宋_GB2312"/>
      <w:b/>
      <w:sz w:val="24"/>
    </w:rPr>
  </w:style>
  <w:style w:type="character" w:customStyle="1" w:styleId="35">
    <w:name w:val="标题 1 字符"/>
    <w:link w:val="2"/>
    <w:qFormat/>
    <w:uiPriority w:val="0"/>
    <w:rPr>
      <w:rFonts w:ascii="Times New Roman" w:hAnsi="Times New Roman" w:eastAsia="宋体" w:cs="Times New Roman"/>
      <w:kern w:val="44"/>
      <w:sz w:val="32"/>
    </w:rPr>
  </w:style>
  <w:style w:type="paragraph" w:customStyle="1" w:styleId="3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
    <w:name w:val="font11"/>
    <w:basedOn w:val="25"/>
    <w:qFormat/>
    <w:uiPriority w:val="0"/>
    <w:rPr>
      <w:rFonts w:hint="default" w:ascii="Segoe UI" w:hAnsi="Segoe UI" w:eastAsia="Segoe UI" w:cs="Segoe UI"/>
      <w:color w:val="000000"/>
      <w:sz w:val="22"/>
      <w:szCs w:val="22"/>
      <w:u w:val="none"/>
    </w:rPr>
  </w:style>
  <w:style w:type="character" w:customStyle="1" w:styleId="38">
    <w:name w:val="font21"/>
    <w:basedOn w:val="25"/>
    <w:qFormat/>
    <w:uiPriority w:val="0"/>
    <w:rPr>
      <w:rFonts w:hint="default" w:ascii="Segoe UI" w:hAnsi="Segoe UI" w:eastAsia="Segoe UI" w:cs="Segoe UI"/>
      <w:color w:val="000000"/>
      <w:sz w:val="21"/>
      <w:szCs w:val="21"/>
      <w:u w:val="none"/>
    </w:rPr>
  </w:style>
  <w:style w:type="character" w:customStyle="1" w:styleId="39">
    <w:name w:val="font51"/>
    <w:basedOn w:val="25"/>
    <w:qFormat/>
    <w:uiPriority w:val="0"/>
    <w:rPr>
      <w:rFonts w:hint="eastAsia" w:ascii="微软雅黑" w:hAnsi="微软雅黑" w:eastAsia="微软雅黑" w:cs="微软雅黑"/>
      <w:color w:val="000000"/>
      <w:sz w:val="20"/>
      <w:szCs w:val="20"/>
      <w:u w:val="none"/>
    </w:rPr>
  </w:style>
  <w:style w:type="character" w:customStyle="1" w:styleId="40">
    <w:name w:val="font61"/>
    <w:basedOn w:val="25"/>
    <w:qFormat/>
    <w:uiPriority w:val="0"/>
    <w:rPr>
      <w:rFonts w:ascii="宋体" w:hAnsi="宋体" w:eastAsia="宋体" w:cs="宋体"/>
      <w:color w:val="000000"/>
      <w:sz w:val="20"/>
      <w:szCs w:val="20"/>
      <w:u w:val="none"/>
    </w:rPr>
  </w:style>
  <w:style w:type="character" w:customStyle="1" w:styleId="41">
    <w:name w:val="font01"/>
    <w:basedOn w:val="25"/>
    <w:qFormat/>
    <w:uiPriority w:val="0"/>
    <w:rPr>
      <w:rFonts w:hint="eastAsia" w:ascii="宋体" w:hAnsi="宋体" w:eastAsia="宋体" w:cs="宋体"/>
      <w:color w:val="000000"/>
      <w:sz w:val="20"/>
      <w:szCs w:val="20"/>
      <w:u w:val="none"/>
    </w:rPr>
  </w:style>
  <w:style w:type="character" w:customStyle="1" w:styleId="42">
    <w:name w:val="font31"/>
    <w:basedOn w:val="25"/>
    <w:qFormat/>
    <w:uiPriority w:val="0"/>
    <w:rPr>
      <w:rFonts w:hint="eastAsia" w:ascii="宋体" w:hAnsi="宋体" w:eastAsia="宋体" w:cs="宋体"/>
      <w:color w:val="000000"/>
      <w:sz w:val="18"/>
      <w:szCs w:val="18"/>
      <w:u w:val="none"/>
    </w:rPr>
  </w:style>
  <w:style w:type="paragraph" w:customStyle="1" w:styleId="43">
    <w:name w:val="列出段落1"/>
    <w:basedOn w:val="1"/>
    <w:qFormat/>
    <w:uiPriority w:val="0"/>
    <w:pPr>
      <w:ind w:firstLine="420" w:firstLineChars="200"/>
    </w:pPr>
    <w:rPr>
      <w:sz w:val="22"/>
    </w:rPr>
  </w:style>
  <w:style w:type="paragraph" w:customStyle="1" w:styleId="44">
    <w:name w:val="Table Text"/>
    <w:basedOn w:val="1"/>
    <w:semiHidden/>
    <w:qFormat/>
    <w:uiPriority w:val="0"/>
    <w:rPr>
      <w:rFonts w:ascii="Arial" w:hAnsi="Arial" w:eastAsia="Arial" w:cs="Arial"/>
      <w:sz w:val="21"/>
      <w:szCs w:val="21"/>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font41"/>
    <w:basedOn w:val="2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5012</Words>
  <Characters>5399</Characters>
  <Lines>0</Lines>
  <Paragraphs>0</Paragraphs>
  <TotalTime>2</TotalTime>
  <ScaleCrop>false</ScaleCrop>
  <LinksUpToDate>false</LinksUpToDate>
  <CharactersWithSpaces>5677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2022-05-17T08:32:00Z</dcterms:created>
  <dc:creator>Admin</dc:creator>
  <cp:lastModifiedBy>瓶瓶儿</cp:lastModifiedBy>
  <cp:lastPrinted>2026-03-12T08:26:00Z</cp:lastPrinted>
  <dcterms:modified xsi:type="dcterms:W3CDTF">2026-03-17T01:54:35Z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108B1828E57C42ACA9975EB206BC1EB2_13</vt:lpwstr>
  </property>
  <property fmtid="{D5CDD505-2E9C-101B-9397-08002B2CF9AE}" pid="4" name="KSOTemplateDocerSaveRecord">
    <vt:lpwstr>eyJoZGlkIjoiMjdmYWQyNzVlNWUyZTY5MGMxN2Y4ZjVkZTc1NTY3OWQiLCJ1c2VySWQiOiIyNjE4MTI1NzQifQ==</vt:lpwstr>
  </property>
</Properties>
</file>