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A1BD2">
      <w:pPr>
        <w:shd w:val="clear"/>
        <w:ind w:firstLine="567"/>
        <w:jc w:val="center"/>
        <w:rPr>
          <w:rFonts w:hint="eastAsia" w:ascii="仿宋" w:hAnsi="仿宋" w:eastAsia="仿宋" w:cs="仿宋"/>
          <w:b/>
          <w:bCs/>
          <w:color w:val="auto"/>
          <w:sz w:val="144"/>
          <w:szCs w:val="52"/>
          <w:highlight w:val="none"/>
        </w:rPr>
      </w:pPr>
      <w:bookmarkStart w:id="0" w:name="_Toc30711"/>
      <w:bookmarkStart w:id="1" w:name="_Toc7408"/>
      <w:bookmarkStart w:id="2" w:name="_Toc17591"/>
      <w:bookmarkStart w:id="3" w:name="_Toc19609"/>
      <w:bookmarkStart w:id="4" w:name="_Toc31917"/>
      <w:bookmarkStart w:id="5" w:name="_Toc30988"/>
      <w:bookmarkStart w:id="6" w:name="_Toc31370"/>
      <w:bookmarkStart w:id="7" w:name="_Toc16779"/>
      <w:r>
        <w:rPr>
          <w:rFonts w:hint="eastAsia" w:ascii="仿宋" w:hAnsi="仿宋" w:eastAsia="仿宋" w:cs="仿宋"/>
          <w:b/>
          <w:bCs/>
          <w:color w:val="auto"/>
          <w:sz w:val="144"/>
          <w:szCs w:val="52"/>
          <w:highlight w:val="none"/>
        </w:rPr>
        <w:t>国企采购</w:t>
      </w:r>
    </w:p>
    <w:p w14:paraId="15BA1F7C">
      <w:pPr>
        <w:shd w:val="clear"/>
        <w:ind w:firstLine="567"/>
        <w:jc w:val="center"/>
        <w:rPr>
          <w:rFonts w:hint="eastAsia" w:ascii="仿宋" w:hAnsi="仿宋" w:eastAsia="仿宋" w:cs="仿宋"/>
          <w:b/>
          <w:bCs/>
          <w:color w:val="auto"/>
          <w:sz w:val="144"/>
          <w:szCs w:val="52"/>
          <w:highlight w:val="none"/>
        </w:rPr>
      </w:pPr>
      <w:r>
        <w:rPr>
          <w:rFonts w:hint="eastAsia" w:ascii="仿宋" w:hAnsi="仿宋" w:eastAsia="仿宋" w:cs="仿宋"/>
          <w:b/>
          <w:bCs/>
          <w:color w:val="auto"/>
          <w:sz w:val="144"/>
          <w:szCs w:val="52"/>
          <w:highlight w:val="none"/>
        </w:rPr>
        <w:t>竞采文件</w:t>
      </w:r>
    </w:p>
    <w:bookmarkEnd w:id="0"/>
    <w:bookmarkEnd w:id="1"/>
    <w:bookmarkEnd w:id="2"/>
    <w:bookmarkEnd w:id="3"/>
    <w:bookmarkEnd w:id="4"/>
    <w:bookmarkEnd w:id="5"/>
    <w:bookmarkEnd w:id="6"/>
    <w:bookmarkEnd w:id="7"/>
    <w:p w14:paraId="3E55C4C9">
      <w:pPr>
        <w:shd w:val="clear"/>
        <w:ind w:firstLine="567"/>
        <w:jc w:val="center"/>
        <w:rPr>
          <w:rFonts w:hint="eastAsia" w:ascii="仿宋" w:hAnsi="仿宋" w:eastAsia="仿宋" w:cs="仿宋"/>
          <w:b/>
          <w:bCs/>
          <w:color w:val="auto"/>
          <w:spacing w:val="80"/>
          <w:sz w:val="44"/>
          <w:szCs w:val="44"/>
          <w:highlight w:val="none"/>
        </w:rPr>
      </w:pPr>
      <w:r>
        <w:rPr>
          <w:rFonts w:hint="eastAsia" w:ascii="仿宋" w:hAnsi="仿宋" w:eastAsia="仿宋" w:cs="仿宋"/>
          <w:b/>
          <w:bCs/>
          <w:color w:val="auto"/>
          <w:sz w:val="72"/>
          <w:szCs w:val="44"/>
          <w:highlight w:val="none"/>
        </w:rPr>
        <w:t>（综合评分）</w:t>
      </w:r>
    </w:p>
    <w:p w14:paraId="23C6F3E0">
      <w:pPr>
        <w:shd w:val="clear"/>
        <w:ind w:firstLine="720" w:firstLineChars="200"/>
        <w:jc w:val="center"/>
        <w:rPr>
          <w:rFonts w:hint="eastAsia" w:ascii="仿宋" w:hAnsi="仿宋" w:eastAsia="仿宋" w:cs="仿宋"/>
          <w:color w:val="auto"/>
          <w:sz w:val="36"/>
          <w:szCs w:val="30"/>
          <w:highlight w:val="none"/>
          <w:lang w:val="en-US" w:eastAsia="zh-CN"/>
        </w:rPr>
      </w:pPr>
      <w:r>
        <w:rPr>
          <w:rFonts w:hint="eastAsia" w:ascii="仿宋" w:hAnsi="仿宋" w:eastAsia="仿宋" w:cs="仿宋"/>
          <w:color w:val="auto"/>
          <w:sz w:val="36"/>
          <w:szCs w:val="30"/>
          <w:highlight w:val="none"/>
          <w:lang w:val="en-US" w:eastAsia="zh-CN"/>
        </w:rPr>
        <w:t xml:space="preserve">项目编号：lfjt25C00147 </w:t>
      </w:r>
    </w:p>
    <w:p w14:paraId="235BC612">
      <w:pPr>
        <w:shd w:val="clear"/>
        <w:ind w:firstLine="720" w:firstLineChars="200"/>
        <w:jc w:val="left"/>
        <w:rPr>
          <w:rFonts w:hint="eastAsia" w:ascii="仿宋" w:hAnsi="仿宋" w:eastAsia="仿宋" w:cs="仿宋"/>
          <w:color w:val="auto"/>
          <w:sz w:val="36"/>
          <w:szCs w:val="30"/>
          <w:highlight w:val="none"/>
        </w:rPr>
      </w:pPr>
    </w:p>
    <w:p w14:paraId="78C09B35">
      <w:pPr>
        <w:shd w:val="clear"/>
        <w:ind w:firstLine="720" w:firstLineChars="200"/>
        <w:jc w:val="left"/>
        <w:rPr>
          <w:rFonts w:hint="eastAsia" w:ascii="仿宋" w:hAnsi="仿宋" w:eastAsia="仿宋" w:cs="仿宋"/>
          <w:color w:val="auto"/>
          <w:sz w:val="36"/>
          <w:szCs w:val="30"/>
          <w:highlight w:val="none"/>
        </w:rPr>
      </w:pPr>
    </w:p>
    <w:p w14:paraId="351AB2F0">
      <w:pPr>
        <w:shd w:val="clear"/>
        <w:ind w:firstLine="720" w:firstLineChars="200"/>
        <w:jc w:val="left"/>
        <w:rPr>
          <w:rFonts w:hint="eastAsia" w:ascii="仿宋" w:hAnsi="仿宋" w:eastAsia="仿宋" w:cs="仿宋"/>
          <w:color w:val="auto"/>
          <w:sz w:val="36"/>
          <w:szCs w:val="30"/>
          <w:highlight w:val="none"/>
        </w:rPr>
      </w:pPr>
    </w:p>
    <w:p w14:paraId="74479111">
      <w:pPr>
        <w:pStyle w:val="7"/>
        <w:shd w:val="clear"/>
        <w:jc w:val="center"/>
        <w:rPr>
          <w:rFonts w:hint="eastAsia" w:ascii="仿宋" w:hAnsi="仿宋" w:eastAsia="仿宋" w:cs="仿宋"/>
          <w:color w:val="auto"/>
          <w:sz w:val="36"/>
          <w:szCs w:val="30"/>
          <w:highlight w:val="none"/>
          <w:lang w:eastAsia="zh-CN"/>
        </w:rPr>
      </w:pPr>
      <w:bookmarkStart w:id="8" w:name="_Hlk111636989"/>
      <w:r>
        <w:rPr>
          <w:rFonts w:hint="eastAsia" w:ascii="仿宋" w:hAnsi="仿宋" w:eastAsia="仿宋" w:cs="仿宋"/>
          <w:color w:val="auto"/>
          <w:sz w:val="36"/>
          <w:szCs w:val="30"/>
          <w:highlight w:val="none"/>
        </w:rPr>
        <w:t>项目名称：</w:t>
      </w:r>
      <w:bookmarkEnd w:id="8"/>
      <w:r>
        <w:rPr>
          <w:rFonts w:hint="eastAsia" w:ascii="仿宋" w:hAnsi="仿宋" w:eastAsia="仿宋" w:cs="仿宋"/>
          <w:color w:val="auto"/>
          <w:sz w:val="36"/>
          <w:szCs w:val="30"/>
          <w:highlight w:val="none"/>
          <w:lang w:eastAsia="zh-CN"/>
        </w:rPr>
        <w:t>重庆知天而作农业科技研究院有限公司30%股权资产评估</w:t>
      </w:r>
    </w:p>
    <w:p w14:paraId="789537CD">
      <w:pPr>
        <w:pStyle w:val="7"/>
        <w:shd w:val="clear"/>
        <w:ind w:firstLine="640"/>
        <w:rPr>
          <w:rFonts w:hint="eastAsia" w:ascii="仿宋" w:hAnsi="仿宋" w:eastAsia="仿宋" w:cs="仿宋"/>
          <w:color w:val="auto"/>
          <w:highlight w:val="none"/>
        </w:rPr>
      </w:pPr>
    </w:p>
    <w:p w14:paraId="30F83EFB">
      <w:pPr>
        <w:pStyle w:val="7"/>
        <w:shd w:val="clear"/>
        <w:ind w:firstLine="640"/>
        <w:rPr>
          <w:rFonts w:hint="eastAsia" w:ascii="仿宋" w:hAnsi="仿宋" w:eastAsia="仿宋" w:cs="仿宋"/>
          <w:color w:val="auto"/>
          <w:highlight w:val="none"/>
        </w:rPr>
      </w:pPr>
    </w:p>
    <w:p w14:paraId="72E15630">
      <w:pPr>
        <w:pStyle w:val="7"/>
        <w:shd w:val="clear"/>
        <w:ind w:firstLine="640"/>
        <w:rPr>
          <w:rFonts w:hint="eastAsia" w:ascii="仿宋" w:hAnsi="仿宋" w:eastAsia="仿宋" w:cs="仿宋"/>
          <w:color w:val="auto"/>
          <w:highlight w:val="none"/>
        </w:rPr>
      </w:pPr>
    </w:p>
    <w:p w14:paraId="53357226">
      <w:pPr>
        <w:pStyle w:val="7"/>
        <w:shd w:val="clear"/>
        <w:ind w:firstLine="640"/>
        <w:rPr>
          <w:rFonts w:hint="eastAsia" w:ascii="仿宋" w:hAnsi="仿宋" w:eastAsia="仿宋" w:cs="仿宋"/>
          <w:color w:val="auto"/>
          <w:highlight w:val="none"/>
        </w:rPr>
      </w:pPr>
    </w:p>
    <w:p w14:paraId="0887F96C">
      <w:pPr>
        <w:pStyle w:val="7"/>
        <w:shd w:val="clear"/>
        <w:ind w:firstLine="640"/>
        <w:rPr>
          <w:rFonts w:hint="eastAsia" w:ascii="仿宋" w:hAnsi="仿宋" w:eastAsia="仿宋" w:cs="仿宋"/>
          <w:color w:val="auto"/>
          <w:highlight w:val="none"/>
        </w:rPr>
      </w:pPr>
    </w:p>
    <w:p w14:paraId="0F8AB2C7">
      <w:pPr>
        <w:pStyle w:val="7"/>
        <w:shd w:val="clear"/>
        <w:ind w:firstLine="640"/>
        <w:rPr>
          <w:rFonts w:hint="eastAsia" w:ascii="仿宋" w:hAnsi="仿宋" w:eastAsia="仿宋" w:cs="仿宋"/>
          <w:color w:val="auto"/>
          <w:highlight w:val="none"/>
        </w:rPr>
      </w:pPr>
    </w:p>
    <w:p w14:paraId="56F94725">
      <w:pPr>
        <w:shd w:val="clear"/>
        <w:ind w:firstLine="720" w:firstLineChars="200"/>
        <w:jc w:val="left"/>
        <w:rPr>
          <w:rFonts w:hint="eastAsia" w:ascii="仿宋" w:hAnsi="仿宋" w:eastAsia="仿宋" w:cs="仿宋"/>
          <w:color w:val="auto"/>
          <w:sz w:val="36"/>
          <w:szCs w:val="30"/>
          <w:highlight w:val="none"/>
          <w:lang w:eastAsia="zh-CN"/>
        </w:rPr>
      </w:pPr>
      <w:r>
        <w:rPr>
          <w:rFonts w:hint="eastAsia" w:ascii="仿宋" w:hAnsi="仿宋" w:eastAsia="仿宋" w:cs="仿宋"/>
          <w:color w:val="auto"/>
          <w:sz w:val="36"/>
          <w:szCs w:val="30"/>
          <w:highlight w:val="none"/>
        </w:rPr>
        <w:t>采购人：</w:t>
      </w:r>
      <w:r>
        <w:rPr>
          <w:rFonts w:hint="eastAsia" w:ascii="仿宋" w:hAnsi="仿宋" w:eastAsia="仿宋" w:cs="仿宋"/>
          <w:color w:val="auto"/>
          <w:sz w:val="36"/>
          <w:szCs w:val="30"/>
          <w:highlight w:val="none"/>
          <w:lang w:eastAsia="zh-CN"/>
        </w:rPr>
        <w:t>重庆绿发资产经营管理有限公司</w:t>
      </w:r>
    </w:p>
    <w:p w14:paraId="342B41E4">
      <w:pPr>
        <w:shd w:val="clear"/>
        <w:ind w:firstLine="720" w:firstLineChars="200"/>
        <w:jc w:val="left"/>
        <w:rPr>
          <w:rFonts w:hint="eastAsia" w:ascii="仿宋" w:hAnsi="仿宋" w:eastAsia="仿宋" w:cs="仿宋"/>
          <w:color w:val="auto"/>
          <w:sz w:val="36"/>
          <w:szCs w:val="30"/>
          <w:highlight w:val="none"/>
          <w:lang w:eastAsia="zh-CN"/>
        </w:rPr>
      </w:pPr>
      <w:r>
        <w:rPr>
          <w:rFonts w:hint="eastAsia" w:ascii="仿宋" w:hAnsi="仿宋" w:eastAsia="仿宋" w:cs="仿宋"/>
          <w:color w:val="auto"/>
          <w:sz w:val="36"/>
          <w:szCs w:val="30"/>
          <w:highlight w:val="none"/>
        </w:rPr>
        <w:t>采购代理机构：</w:t>
      </w:r>
      <w:r>
        <w:rPr>
          <w:rFonts w:hint="eastAsia" w:ascii="仿宋" w:hAnsi="仿宋" w:eastAsia="仿宋" w:cs="仿宋"/>
          <w:color w:val="auto"/>
          <w:sz w:val="36"/>
          <w:szCs w:val="30"/>
          <w:highlight w:val="none"/>
          <w:lang w:eastAsia="zh-CN"/>
        </w:rPr>
        <w:t>重庆标友工程管理咨询有限公司</w:t>
      </w:r>
    </w:p>
    <w:p w14:paraId="7A8B8D6F">
      <w:pPr>
        <w:pStyle w:val="7"/>
        <w:shd w:val="clear"/>
        <w:ind w:firstLine="640"/>
        <w:rPr>
          <w:rFonts w:hint="eastAsia" w:ascii="仿宋" w:hAnsi="仿宋" w:eastAsia="仿宋" w:cs="仿宋"/>
          <w:color w:val="auto"/>
          <w:highlight w:val="none"/>
        </w:rPr>
      </w:pPr>
    </w:p>
    <w:p w14:paraId="56BDD1B6">
      <w:pPr>
        <w:pStyle w:val="7"/>
        <w:shd w:val="clear"/>
        <w:ind w:firstLine="640"/>
        <w:rPr>
          <w:rFonts w:hint="eastAsia" w:ascii="仿宋" w:hAnsi="仿宋" w:eastAsia="仿宋" w:cs="仿宋"/>
          <w:color w:val="auto"/>
          <w:highlight w:val="none"/>
        </w:rPr>
      </w:pPr>
    </w:p>
    <w:p w14:paraId="4B230CA8">
      <w:pPr>
        <w:pStyle w:val="7"/>
        <w:shd w:val="clear"/>
        <w:jc w:val="center"/>
        <w:rPr>
          <w:rFonts w:hint="eastAsia" w:ascii="仿宋" w:hAnsi="仿宋" w:eastAsia="仿宋" w:cs="仿宋"/>
          <w:color w:val="auto"/>
          <w:sz w:val="36"/>
          <w:szCs w:val="30"/>
          <w:highlight w:val="none"/>
        </w:rPr>
      </w:pPr>
      <w:r>
        <w:rPr>
          <w:rFonts w:hint="eastAsia" w:ascii="仿宋" w:hAnsi="仿宋" w:eastAsia="仿宋" w:cs="仿宋"/>
          <w:color w:val="auto"/>
          <w:sz w:val="36"/>
          <w:szCs w:val="30"/>
          <w:highlight w:val="none"/>
        </w:rPr>
        <w:t>二〇二五年</w:t>
      </w:r>
      <w:r>
        <w:rPr>
          <w:rFonts w:hint="eastAsia" w:ascii="仿宋" w:hAnsi="仿宋" w:eastAsia="仿宋" w:cs="仿宋"/>
          <w:color w:val="auto"/>
          <w:sz w:val="36"/>
          <w:szCs w:val="30"/>
          <w:highlight w:val="none"/>
          <w:lang w:val="en-US" w:eastAsia="zh-CN"/>
        </w:rPr>
        <w:t>五</w:t>
      </w:r>
      <w:r>
        <w:rPr>
          <w:rFonts w:hint="eastAsia" w:ascii="仿宋" w:hAnsi="仿宋" w:eastAsia="仿宋" w:cs="仿宋"/>
          <w:color w:val="auto"/>
          <w:sz w:val="36"/>
          <w:szCs w:val="30"/>
          <w:highlight w:val="none"/>
        </w:rPr>
        <w:t>月</w:t>
      </w:r>
    </w:p>
    <w:p w14:paraId="61DE40DB">
      <w:pPr>
        <w:pStyle w:val="7"/>
        <w:shd w:val="clear"/>
        <w:ind w:firstLine="640"/>
        <w:rPr>
          <w:rFonts w:hint="eastAsia" w:ascii="仿宋" w:hAnsi="仿宋" w:eastAsia="仿宋" w:cs="仿宋"/>
          <w:color w:val="auto"/>
          <w:highlight w:val="none"/>
        </w:rPr>
      </w:pPr>
    </w:p>
    <w:p w14:paraId="71875AB0">
      <w:pPr>
        <w:pStyle w:val="7"/>
        <w:shd w:val="clear"/>
        <w:ind w:firstLine="640"/>
        <w:rPr>
          <w:rFonts w:hint="eastAsia" w:ascii="仿宋" w:hAnsi="仿宋" w:eastAsia="仿宋" w:cs="仿宋"/>
          <w:color w:val="auto"/>
          <w:highlight w:val="none"/>
        </w:rPr>
      </w:pPr>
    </w:p>
    <w:p w14:paraId="6272DE9F">
      <w:pPr>
        <w:shd w:val="clear"/>
        <w:rPr>
          <w:rFonts w:hint="eastAsia" w:ascii="仿宋" w:hAnsi="仿宋" w:eastAsia="仿宋" w:cs="仿宋"/>
          <w:color w:val="auto"/>
          <w:highlight w:val="none"/>
        </w:rPr>
      </w:pPr>
      <w:r>
        <w:rPr>
          <w:rFonts w:hint="eastAsia" w:ascii="仿宋" w:hAnsi="仿宋" w:eastAsia="仿宋" w:cs="仿宋"/>
          <w:color w:val="auto"/>
          <w:highlight w:val="none"/>
        </w:rPr>
        <w:br w:type="page"/>
      </w:r>
    </w:p>
    <w:sdt>
      <w:sdtPr>
        <w:rPr>
          <w:rFonts w:hint="eastAsia" w:ascii="仿宋" w:hAnsi="仿宋" w:eastAsia="仿宋" w:cs="仿宋"/>
          <w:color w:val="auto"/>
          <w:sz w:val="21"/>
          <w:highlight w:val="none"/>
        </w:rPr>
        <w:id w:val="147465042"/>
        <w15:color w:val="DBDBDB"/>
        <w:docPartObj>
          <w:docPartGallery w:val="Table of Contents"/>
          <w:docPartUnique/>
        </w:docPartObj>
      </w:sdtPr>
      <w:sdtEndPr>
        <w:rPr>
          <w:rFonts w:hint="eastAsia" w:ascii="仿宋" w:hAnsi="仿宋" w:eastAsia="仿宋" w:cs="仿宋"/>
          <w:color w:val="auto"/>
          <w:sz w:val="28"/>
          <w:szCs w:val="28"/>
          <w:highlight w:val="none"/>
        </w:rPr>
      </w:sdtEndPr>
      <w:sdtContent>
        <w:p w14:paraId="6F9BF2AC">
          <w:pPr>
            <w:shd w:val="clear"/>
            <w:ind w:firstLine="420"/>
            <w:jc w:val="center"/>
            <w:rPr>
              <w:rFonts w:hint="eastAsia" w:ascii="仿宋" w:hAnsi="仿宋" w:eastAsia="仿宋" w:cs="仿宋"/>
              <w:color w:val="auto"/>
              <w:szCs w:val="28"/>
              <w:highlight w:val="none"/>
            </w:rPr>
          </w:pPr>
          <w:r>
            <w:rPr>
              <w:rFonts w:hint="eastAsia" w:ascii="仿宋" w:hAnsi="仿宋" w:eastAsia="仿宋" w:cs="仿宋"/>
              <w:color w:val="auto"/>
              <w:sz w:val="40"/>
              <w:szCs w:val="40"/>
              <w:highlight w:val="none"/>
            </w:rPr>
            <w:t>目录</w:t>
          </w:r>
        </w:p>
        <w:p w14:paraId="26CCCECB">
          <w:pPr>
            <w:pStyle w:val="15"/>
            <w:shd w:val="clear"/>
            <w:tabs>
              <w:tab w:val="right" w:leader="dot" w:pos="9402"/>
            </w:tabs>
            <w:ind w:firstLine="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"1-3"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"_Toc183783127"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第一篇  竞采邀请书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A2616CB">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"_Toc183783128"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一、竞采项目内容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2452371">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"_Toc183783129"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二、资金来源</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16D7AA4">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"_Toc183783130"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三、竞采资格条件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006E88E">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"_Toc183783131"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四、竞采有关说明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414568A">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"_Toc183783132"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五、联系方式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B48ECDC">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"_Toc183783133"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六、其它有关规定</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7B39029">
          <w:pPr>
            <w:pStyle w:val="15"/>
            <w:shd w:val="clear"/>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"_Toc183783134"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第二篇  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EAE3F5F">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"_Toc183783135"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一、招标项目一览表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C20E7C">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"_Toc183783136"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二、招标项目服务需求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8B25EE5">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"_Toc183783137"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三、其他要求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EF6BB5">
          <w:pPr>
            <w:pStyle w:val="15"/>
            <w:shd w:val="clear"/>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"_Toc183783138"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第三篇 项目商务需求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503C38B">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"_Toc183783139"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一、服务期、地点及验收方式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_Toc183783139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C71553A">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"_Toc183783140"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二、报价要求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2DF98F1">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"_Toc183783141"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三、付款方式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6FB2D97">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"_Toc183783142"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四、安全责任</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D10E41B">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"_Toc183783143"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五、其他商务要求内容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C0BA92A">
          <w:pPr>
            <w:pStyle w:val="15"/>
            <w:shd w:val="clear"/>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"_Toc183783144"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第四篇  竞采程序、评标办法、无效响应及采购终止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665836D">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"_Toc183783145"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一、网上竞采程序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F6FDE44">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"_Toc183783146"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二、评审标准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1AE9F3C">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"_Toc183783147"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三、无效响应</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31F940B">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"_Toc183783148"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四、采购终止</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D7F3C44">
          <w:pPr>
            <w:pStyle w:val="15"/>
            <w:shd w:val="clear"/>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"_Toc183783149"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 xml:space="preserve">第五篇 </w:t>
          </w:r>
          <w:r>
            <w:rPr>
              <w:rStyle w:val="23"/>
              <w:rFonts w:hint="eastAsia" w:ascii="仿宋" w:hAnsi="仿宋" w:eastAsia="仿宋" w:cs="仿宋"/>
              <w:color w:val="auto"/>
              <w:highlight w:val="none"/>
              <w:lang w:val="en-US" w:eastAsia="zh-CN"/>
            </w:rPr>
            <w:t xml:space="preserve"> </w:t>
          </w:r>
          <w:r>
            <w:rPr>
              <w:rStyle w:val="23"/>
              <w:rFonts w:hint="eastAsia" w:ascii="仿宋" w:hAnsi="仿宋" w:eastAsia="仿宋" w:cs="仿宋"/>
              <w:color w:val="auto"/>
              <w:highlight w:val="none"/>
              <w:lang w:eastAsia="zh-CN"/>
            </w:rPr>
            <w:t>供应商</w:t>
          </w:r>
          <w:r>
            <w:rPr>
              <w:rStyle w:val="23"/>
              <w:rFonts w:hint="eastAsia" w:ascii="仿宋" w:hAnsi="仿宋" w:eastAsia="仿宋" w:cs="仿宋"/>
              <w:color w:val="auto"/>
              <w:highlight w:val="none"/>
            </w:rPr>
            <w:t>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_Toc183783149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537E779">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"_Toc183783150"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一、竞采费用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CB806F0">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"_Toc183783151"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二、竞采文件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AEF1A4D">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"_Toc183783152"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三、竞采要求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1D0D238">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"_Toc183783153"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五、成交通知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31D6471">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"_Toc183783154"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六、关于质疑和投诉</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9A32270">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"_Toc183783155"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七、采购代理服务费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26CF5EE">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"_Toc183783156"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八、签订合同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23A419">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"_Toc183783157"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九、项目验收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75B177E">
          <w:pPr>
            <w:pStyle w:val="15"/>
            <w:shd w:val="clear"/>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"_Toc183783158"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第六篇  网上竞采合同（格式）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CA11065">
          <w:pPr>
            <w:pStyle w:val="15"/>
            <w:shd w:val="clear"/>
            <w:tabs>
              <w:tab w:val="right" w:leader="dot" w:pos="9402"/>
            </w:tabs>
            <w:ind w:firstLine="60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"_Toc183783159"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第七篇  响应文件编制要求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FEC172">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"_Toc183783160"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一、经济部分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- 24 -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D4FE239">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"_Toc183783161"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二、服务部分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CA653D6">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"_Toc183783162"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三、商务文件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3EB1C40">
          <w:pPr>
            <w:pStyle w:val="17"/>
            <w:shd w:val="clear"/>
            <w:tabs>
              <w:tab w:val="right" w:leader="dot" w:pos="9402"/>
            </w:tabs>
            <w:ind w:left="560"/>
            <w:rPr>
              <w:rFonts w:hint="eastAsia" w:ascii="仿宋" w:hAnsi="仿宋" w:eastAsia="仿宋" w:cs="仿宋"/>
              <w:color w:val="auto"/>
              <w:sz w:val="21"/>
              <w:szCs w:val="22"/>
              <w:highlight w:val="none"/>
              <w14:ligatures w14:val="standardContextual"/>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"_Toc183783163" </w:instrText>
          </w:r>
          <w:r>
            <w:rPr>
              <w:rFonts w:hint="eastAsia" w:ascii="仿宋" w:hAnsi="仿宋" w:eastAsia="仿宋" w:cs="仿宋"/>
              <w:color w:val="auto"/>
              <w:highlight w:val="none"/>
            </w:rPr>
            <w:fldChar w:fldCharType="separate"/>
          </w:r>
          <w:r>
            <w:rPr>
              <w:rStyle w:val="23"/>
              <w:rFonts w:hint="eastAsia" w:ascii="仿宋" w:hAnsi="仿宋" w:eastAsia="仿宋" w:cs="仿宋"/>
              <w:color w:val="auto"/>
              <w:highlight w:val="none"/>
            </w:rPr>
            <w:t>四、资格证明文件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_Toc183783163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CD298A7">
          <w:pPr>
            <w:pStyle w:val="17"/>
            <w:shd w:val="clear"/>
            <w:tabs>
              <w:tab w:val="right" w:leader="dot" w:pos="9402"/>
            </w:tabs>
            <w:ind w:left="560"/>
            <w:rPr>
              <w:rFonts w:hint="eastAsia" w:ascii="仿宋" w:hAnsi="仿宋" w:eastAsia="仿宋" w:cs="仿宋"/>
              <w:color w:val="auto"/>
              <w:szCs w:val="28"/>
              <w:highlight w:val="none"/>
            </w:rPr>
          </w:pPr>
          <w:r>
            <w:rPr>
              <w:rFonts w:hint="eastAsia" w:ascii="仿宋" w:hAnsi="仿宋" w:eastAsia="仿宋" w:cs="仿宋"/>
              <w:color w:val="auto"/>
              <w:szCs w:val="28"/>
              <w:highlight w:val="none"/>
            </w:rPr>
            <w:fldChar w:fldCharType="end"/>
          </w:r>
        </w:p>
      </w:sdtContent>
    </w:sdt>
    <w:p w14:paraId="46370D45">
      <w:pPr>
        <w:pStyle w:val="7"/>
        <w:shd w:val="clear"/>
        <w:ind w:firstLine="880"/>
        <w:jc w:val="center"/>
        <w:rPr>
          <w:rFonts w:hint="eastAsia" w:ascii="仿宋" w:hAnsi="仿宋" w:eastAsia="仿宋" w:cs="仿宋"/>
          <w:b/>
          <w:bCs/>
          <w:color w:val="auto"/>
          <w:spacing w:val="80"/>
          <w:sz w:val="44"/>
          <w:szCs w:val="44"/>
          <w:highlight w:val="none"/>
        </w:rPr>
      </w:pPr>
      <w:r>
        <w:rPr>
          <w:rFonts w:hint="eastAsia" w:ascii="仿宋" w:hAnsi="仿宋" w:eastAsia="仿宋" w:cs="仿宋"/>
          <w:color w:val="auto"/>
          <w:sz w:val="44"/>
          <w:szCs w:val="28"/>
          <w:highlight w:val="none"/>
        </w:rPr>
        <w:t xml:space="preserve">   </w:t>
      </w:r>
      <w:r>
        <w:rPr>
          <w:rFonts w:hint="eastAsia" w:ascii="仿宋" w:hAnsi="仿宋" w:eastAsia="仿宋" w:cs="仿宋"/>
          <w:color w:val="auto"/>
          <w:sz w:val="44"/>
          <w:szCs w:val="28"/>
          <w:highlight w:val="none"/>
        </w:rPr>
        <w:br w:type="page"/>
      </w:r>
    </w:p>
    <w:p w14:paraId="4904D84C">
      <w:pPr>
        <w:pStyle w:val="2"/>
        <w:shd w:val="clear"/>
        <w:spacing w:line="240" w:lineRule="auto"/>
        <w:ind w:firstLine="883"/>
        <w:jc w:val="center"/>
        <w:rPr>
          <w:rFonts w:hint="eastAsia" w:ascii="仿宋" w:hAnsi="仿宋" w:eastAsia="仿宋" w:cs="仿宋"/>
          <w:color w:val="auto"/>
          <w:highlight w:val="none"/>
        </w:rPr>
      </w:pPr>
      <w:bookmarkStart w:id="9" w:name="_Toc12789052"/>
      <w:bookmarkStart w:id="10" w:name="_Toc106030870"/>
      <w:bookmarkStart w:id="11" w:name="_Toc183783127"/>
      <w:bookmarkStart w:id="12" w:name="_Toc76462316"/>
      <w:bookmarkStart w:id="13" w:name="_Toc11641050"/>
      <w:r>
        <w:rPr>
          <w:rFonts w:hint="eastAsia" w:ascii="仿宋" w:hAnsi="仿宋" w:eastAsia="仿宋" w:cs="仿宋"/>
          <w:color w:val="auto"/>
          <w:highlight w:val="none"/>
        </w:rPr>
        <w:t>第一篇  竞采邀请书</w:t>
      </w:r>
      <w:bookmarkEnd w:id="9"/>
      <w:bookmarkEnd w:id="10"/>
      <w:bookmarkEnd w:id="11"/>
      <w:bookmarkEnd w:id="12"/>
      <w:bookmarkEnd w:id="13"/>
    </w:p>
    <w:p w14:paraId="1CD547BA">
      <w:pPr>
        <w:shd w:val="clear"/>
        <w:snapToGrid w:val="0"/>
        <w:ind w:firstLine="480" w:firstLineChars="200"/>
        <w:rPr>
          <w:rFonts w:hint="eastAsia" w:ascii="仿宋" w:hAnsi="仿宋" w:eastAsia="仿宋" w:cs="仿宋"/>
          <w:b/>
          <w:bCs/>
          <w:color w:val="auto"/>
          <w:spacing w:val="80"/>
          <w:sz w:val="44"/>
          <w:szCs w:val="44"/>
          <w:highlight w:val="none"/>
        </w:rPr>
      </w:pPr>
      <w:r>
        <w:rPr>
          <w:rFonts w:hint="eastAsia" w:ascii="仿宋" w:hAnsi="仿宋" w:eastAsia="仿宋" w:cs="仿宋"/>
          <w:color w:val="auto"/>
          <w:sz w:val="24"/>
          <w:szCs w:val="24"/>
          <w:highlight w:val="none"/>
          <w:u w:val="single"/>
          <w:lang w:eastAsia="zh-CN"/>
        </w:rPr>
        <w:t>重庆标友工程管理咨询有限公司</w:t>
      </w:r>
      <w:r>
        <w:rPr>
          <w:rFonts w:hint="eastAsia" w:ascii="仿宋" w:hAnsi="仿宋" w:eastAsia="仿宋" w:cs="仿宋"/>
          <w:color w:val="auto"/>
          <w:sz w:val="24"/>
          <w:szCs w:val="24"/>
          <w:highlight w:val="none"/>
        </w:rPr>
        <w:t>（以下简称：采购代理机构）受</w:t>
      </w:r>
      <w:r>
        <w:rPr>
          <w:rFonts w:hint="eastAsia" w:ascii="仿宋" w:hAnsi="仿宋" w:eastAsia="仿宋" w:cs="仿宋"/>
          <w:color w:val="auto"/>
          <w:sz w:val="24"/>
          <w:szCs w:val="24"/>
          <w:highlight w:val="none"/>
          <w:u w:val="single"/>
          <w:lang w:eastAsia="zh-CN"/>
        </w:rPr>
        <w:t>重庆绿发资产经营管理有限公司</w:t>
      </w:r>
      <w:r>
        <w:rPr>
          <w:rFonts w:hint="eastAsia" w:ascii="仿宋" w:hAnsi="仿宋" w:eastAsia="仿宋" w:cs="仿宋"/>
          <w:color w:val="auto"/>
          <w:sz w:val="24"/>
          <w:szCs w:val="24"/>
          <w:highlight w:val="none"/>
        </w:rPr>
        <w:t>（以下简称：采购人）的委托，对</w:t>
      </w:r>
      <w:r>
        <w:rPr>
          <w:rFonts w:hint="eastAsia" w:ascii="仿宋" w:hAnsi="仿宋" w:eastAsia="仿宋" w:cs="仿宋"/>
          <w:color w:val="auto"/>
          <w:sz w:val="24"/>
          <w:szCs w:val="24"/>
          <w:highlight w:val="none"/>
          <w:u w:val="single"/>
          <w:lang w:eastAsia="zh-CN"/>
        </w:rPr>
        <w:t>重庆知天而作农业科技研究院有限公司30%股权资产评估</w:t>
      </w:r>
      <w:r>
        <w:rPr>
          <w:rFonts w:hint="eastAsia" w:ascii="仿宋" w:hAnsi="仿宋" w:eastAsia="仿宋" w:cs="仿宋"/>
          <w:color w:val="auto"/>
          <w:sz w:val="24"/>
          <w:szCs w:val="24"/>
          <w:highlight w:val="none"/>
        </w:rPr>
        <w:t>进行网上竞采采购。欢迎有资格的供应商前来参与网上竞采。</w:t>
      </w:r>
    </w:p>
    <w:p w14:paraId="3D2D6D7B">
      <w:pPr>
        <w:pStyle w:val="3"/>
        <w:shd w:val="clear"/>
        <w:spacing w:line="240" w:lineRule="auto"/>
        <w:ind w:firstLine="643"/>
        <w:rPr>
          <w:rFonts w:hint="eastAsia" w:ascii="仿宋" w:hAnsi="仿宋" w:eastAsia="仿宋" w:cs="仿宋"/>
          <w:color w:val="auto"/>
          <w:highlight w:val="none"/>
        </w:rPr>
      </w:pPr>
      <w:bookmarkStart w:id="14" w:name="_Toc25458"/>
      <w:bookmarkStart w:id="15" w:name="_Toc3463"/>
      <w:bookmarkStart w:id="16" w:name="_Toc18881"/>
      <w:bookmarkStart w:id="17" w:name="_Toc7625"/>
      <w:bookmarkStart w:id="18" w:name="_Toc313893526"/>
      <w:bookmarkStart w:id="19" w:name="_Toc183783128"/>
      <w:bookmarkStart w:id="20" w:name="_Toc317775175"/>
      <w:bookmarkStart w:id="21" w:name="_Toc18159"/>
      <w:bookmarkStart w:id="22" w:name="_Toc26820"/>
      <w:bookmarkStart w:id="23" w:name="_Toc12808"/>
      <w:r>
        <w:rPr>
          <w:rFonts w:hint="eastAsia" w:ascii="仿宋" w:hAnsi="仿宋" w:eastAsia="仿宋" w:cs="仿宋"/>
          <w:color w:val="auto"/>
          <w:highlight w:val="none"/>
        </w:rPr>
        <w:t>一、竞采项目内容</w:t>
      </w:r>
      <w:bookmarkEnd w:id="14"/>
      <w:bookmarkEnd w:id="15"/>
      <w:bookmarkEnd w:id="16"/>
      <w:bookmarkEnd w:id="17"/>
      <w:bookmarkEnd w:id="18"/>
      <w:bookmarkEnd w:id="19"/>
      <w:bookmarkEnd w:id="20"/>
      <w:bookmarkEnd w:id="21"/>
      <w:bookmarkEnd w:id="22"/>
      <w:bookmarkEnd w:id="23"/>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7"/>
        <w:gridCol w:w="1988"/>
        <w:gridCol w:w="1500"/>
        <w:gridCol w:w="2071"/>
      </w:tblGrid>
      <w:tr w14:paraId="7A52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9" w:type="pct"/>
            <w:tcBorders>
              <w:top w:val="single" w:color="auto" w:sz="4" w:space="0"/>
              <w:left w:val="single" w:color="auto" w:sz="4" w:space="0"/>
              <w:right w:val="single" w:color="auto" w:sz="4" w:space="0"/>
            </w:tcBorders>
            <w:vAlign w:val="center"/>
          </w:tcPr>
          <w:p w14:paraId="12CDE965">
            <w:pPr>
              <w:widowControl/>
              <w:shd w:val="clear"/>
              <w:ind w:firstLine="482"/>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项目名称</w:t>
            </w:r>
          </w:p>
        </w:tc>
        <w:tc>
          <w:tcPr>
            <w:tcW w:w="990" w:type="pct"/>
            <w:tcBorders>
              <w:top w:val="single" w:color="auto" w:sz="4" w:space="0"/>
              <w:left w:val="single" w:color="auto" w:sz="4" w:space="0"/>
              <w:right w:val="single" w:color="auto" w:sz="4" w:space="0"/>
            </w:tcBorders>
            <w:vAlign w:val="center"/>
          </w:tcPr>
          <w:p w14:paraId="34D5FB9B">
            <w:pPr>
              <w:widowControl/>
              <w:shd w:val="clear"/>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最高限价（元）</w:t>
            </w:r>
          </w:p>
        </w:tc>
        <w:tc>
          <w:tcPr>
            <w:tcW w:w="747" w:type="pct"/>
            <w:tcBorders>
              <w:top w:val="single" w:color="auto" w:sz="4" w:space="0"/>
              <w:left w:val="single" w:color="auto" w:sz="4" w:space="0"/>
              <w:right w:val="single" w:color="auto" w:sz="4" w:space="0"/>
            </w:tcBorders>
            <w:vAlign w:val="center"/>
          </w:tcPr>
          <w:p w14:paraId="10223883">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成交供应商数量（名）</w:t>
            </w:r>
          </w:p>
        </w:tc>
        <w:tc>
          <w:tcPr>
            <w:tcW w:w="1031" w:type="pct"/>
            <w:tcBorders>
              <w:top w:val="single" w:color="auto" w:sz="4" w:space="0"/>
              <w:left w:val="single" w:color="auto" w:sz="4" w:space="0"/>
              <w:right w:val="single" w:color="auto" w:sz="4" w:space="0"/>
            </w:tcBorders>
            <w:vAlign w:val="center"/>
          </w:tcPr>
          <w:p w14:paraId="0BDEB859">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545D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229" w:type="pct"/>
            <w:tcBorders>
              <w:top w:val="single" w:color="auto" w:sz="4" w:space="0"/>
              <w:left w:val="single" w:color="auto" w:sz="4" w:space="0"/>
              <w:right w:val="single" w:color="auto" w:sz="4" w:space="0"/>
            </w:tcBorders>
            <w:vAlign w:val="center"/>
          </w:tcPr>
          <w:p w14:paraId="56843CC4">
            <w:pPr>
              <w:widowControl/>
              <w:shd w:val="clear"/>
              <w:jc w:val="center"/>
              <w:rPr>
                <w:rFonts w:hint="eastAsia" w:ascii="仿宋" w:hAnsi="仿宋" w:eastAsia="仿宋" w:cs="仿宋"/>
                <w:color w:val="auto"/>
                <w:kern w:val="0"/>
                <w:sz w:val="24"/>
                <w:szCs w:val="24"/>
                <w:highlight w:val="none"/>
                <w:lang w:eastAsia="zh-CN"/>
              </w:rPr>
            </w:pPr>
            <w:bookmarkStart w:id="24" w:name="_Hlk344477914"/>
            <w:r>
              <w:rPr>
                <w:rFonts w:hint="eastAsia" w:ascii="仿宋" w:hAnsi="仿宋" w:eastAsia="仿宋" w:cs="仿宋"/>
                <w:color w:val="auto"/>
                <w:kern w:val="0"/>
                <w:sz w:val="24"/>
                <w:szCs w:val="24"/>
                <w:highlight w:val="none"/>
                <w:lang w:eastAsia="zh-CN"/>
              </w:rPr>
              <w:t>重庆知天而作农业科技研究院有限公司30%股权资产评估</w:t>
            </w:r>
          </w:p>
        </w:tc>
        <w:tc>
          <w:tcPr>
            <w:tcW w:w="990" w:type="pct"/>
            <w:tcBorders>
              <w:top w:val="single" w:color="auto" w:sz="4" w:space="0"/>
              <w:left w:val="single" w:color="auto" w:sz="4" w:space="0"/>
              <w:right w:val="single" w:color="auto" w:sz="4" w:space="0"/>
            </w:tcBorders>
            <w:vAlign w:val="center"/>
          </w:tcPr>
          <w:p w14:paraId="2A1C0B7D">
            <w:pPr>
              <w:widowControl/>
              <w:shd w:val="clear"/>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28000.00</w:t>
            </w:r>
          </w:p>
        </w:tc>
        <w:tc>
          <w:tcPr>
            <w:tcW w:w="747" w:type="pct"/>
            <w:tcBorders>
              <w:top w:val="single" w:color="auto" w:sz="4" w:space="0"/>
              <w:left w:val="single" w:color="auto" w:sz="4" w:space="0"/>
              <w:right w:val="single" w:color="auto" w:sz="4" w:space="0"/>
            </w:tcBorders>
            <w:vAlign w:val="center"/>
          </w:tcPr>
          <w:p w14:paraId="10F17D8D">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031" w:type="pct"/>
            <w:tcBorders>
              <w:top w:val="single" w:color="auto" w:sz="4" w:space="0"/>
              <w:left w:val="single" w:color="auto" w:sz="4" w:space="0"/>
              <w:right w:val="single" w:color="auto" w:sz="4" w:space="0"/>
            </w:tcBorders>
            <w:vAlign w:val="center"/>
          </w:tcPr>
          <w:p w14:paraId="1B6A341C">
            <w:pPr>
              <w:widowControl/>
              <w:shd w:val="clea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r>
      <w:bookmarkEnd w:id="24"/>
    </w:tbl>
    <w:p w14:paraId="3024336A">
      <w:pPr>
        <w:pStyle w:val="3"/>
        <w:shd w:val="clear"/>
        <w:spacing w:line="240" w:lineRule="auto"/>
        <w:ind w:firstLine="643"/>
        <w:rPr>
          <w:rFonts w:hint="eastAsia" w:ascii="仿宋" w:hAnsi="仿宋" w:eastAsia="仿宋" w:cs="仿宋"/>
          <w:color w:val="auto"/>
          <w:highlight w:val="none"/>
        </w:rPr>
      </w:pPr>
      <w:bookmarkStart w:id="25" w:name="_Toc183783129"/>
      <w:bookmarkStart w:id="26" w:name="_Toc15576"/>
      <w:bookmarkStart w:id="27" w:name="_Toc15727"/>
      <w:bookmarkStart w:id="28" w:name="_Toc1790"/>
      <w:bookmarkStart w:id="29" w:name="_Toc22399"/>
      <w:bookmarkStart w:id="30" w:name="_Toc25190"/>
      <w:bookmarkStart w:id="31" w:name="_Toc19437"/>
      <w:bookmarkStart w:id="32" w:name="_Toc6462"/>
      <w:bookmarkStart w:id="33" w:name="_Toc373860293"/>
      <w:bookmarkStart w:id="34" w:name="_Toc317775178"/>
      <w:r>
        <w:rPr>
          <w:rFonts w:hint="eastAsia" w:ascii="仿宋" w:hAnsi="仿宋" w:eastAsia="仿宋" w:cs="仿宋"/>
          <w:color w:val="auto"/>
          <w:highlight w:val="none"/>
        </w:rPr>
        <w:t>二、资金来源</w:t>
      </w:r>
      <w:bookmarkEnd w:id="25"/>
    </w:p>
    <w:p w14:paraId="77D52E24">
      <w:pPr>
        <w:shd w:val="clear"/>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单位自筹资金，预算金额</w:t>
      </w:r>
      <w:r>
        <w:rPr>
          <w:rFonts w:hint="eastAsia" w:ascii="仿宋" w:hAnsi="仿宋" w:eastAsia="仿宋" w:cs="仿宋"/>
          <w:color w:val="auto"/>
          <w:sz w:val="24"/>
          <w:szCs w:val="24"/>
          <w:highlight w:val="none"/>
          <w:lang w:val="en-US" w:eastAsia="zh-CN"/>
        </w:rPr>
        <w:t>28000.00</w:t>
      </w:r>
      <w:r>
        <w:rPr>
          <w:rFonts w:hint="eastAsia" w:ascii="仿宋" w:hAnsi="仿宋" w:eastAsia="仿宋" w:cs="仿宋"/>
          <w:color w:val="auto"/>
          <w:sz w:val="24"/>
          <w:szCs w:val="24"/>
          <w:highlight w:val="none"/>
        </w:rPr>
        <w:t>元。</w:t>
      </w:r>
    </w:p>
    <w:p w14:paraId="4858039A">
      <w:pPr>
        <w:pStyle w:val="3"/>
        <w:shd w:val="clear"/>
        <w:spacing w:line="240" w:lineRule="auto"/>
        <w:ind w:firstLine="643"/>
        <w:rPr>
          <w:rFonts w:hint="eastAsia" w:ascii="仿宋" w:hAnsi="仿宋" w:eastAsia="仿宋" w:cs="仿宋"/>
          <w:color w:val="auto"/>
          <w:highlight w:val="none"/>
        </w:rPr>
      </w:pPr>
      <w:bookmarkStart w:id="35" w:name="_Toc183783130"/>
      <w:r>
        <w:rPr>
          <w:rFonts w:hint="eastAsia" w:ascii="仿宋" w:hAnsi="仿宋" w:eastAsia="仿宋" w:cs="仿宋"/>
          <w:color w:val="auto"/>
          <w:highlight w:val="none"/>
        </w:rPr>
        <w:t>三、</w:t>
      </w:r>
      <w:bookmarkEnd w:id="26"/>
      <w:bookmarkEnd w:id="27"/>
      <w:bookmarkEnd w:id="28"/>
      <w:bookmarkEnd w:id="29"/>
      <w:bookmarkEnd w:id="30"/>
      <w:bookmarkEnd w:id="31"/>
      <w:bookmarkEnd w:id="32"/>
      <w:r>
        <w:rPr>
          <w:rFonts w:hint="eastAsia" w:ascii="仿宋" w:hAnsi="仿宋" w:eastAsia="仿宋" w:cs="仿宋"/>
          <w:color w:val="auto"/>
          <w:highlight w:val="none"/>
        </w:rPr>
        <w:t>竞采资格条件</w:t>
      </w:r>
      <w:bookmarkEnd w:id="35"/>
    </w:p>
    <w:p w14:paraId="738F13C4">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（一）基本条件</w:t>
      </w:r>
    </w:p>
    <w:p w14:paraId="52F64AD3">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满足《中华人民共和国政府采购法》第二十二条规定；　</w:t>
      </w:r>
    </w:p>
    <w:p w14:paraId="4DA16DF9">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（二）特定资格条件</w:t>
      </w:r>
    </w:p>
    <w:bookmarkEnd w:id="33"/>
    <w:bookmarkEnd w:id="34"/>
    <w:p w14:paraId="7430E7C7">
      <w:pPr>
        <w:pStyle w:val="7"/>
        <w:shd w:val="clear"/>
        <w:ind w:firstLine="480" w:firstLineChars="200"/>
        <w:rPr>
          <w:rFonts w:hint="default" w:eastAsia="仿宋"/>
          <w:b/>
          <w:bCs/>
          <w:color w:val="auto"/>
          <w:highlight w:val="none"/>
          <w:lang w:val="en-US" w:eastAsia="zh-CN"/>
        </w:rPr>
      </w:pPr>
      <w:bookmarkStart w:id="36" w:name="_Toc183783131"/>
      <w:r>
        <w:rPr>
          <w:rFonts w:hint="eastAsia" w:ascii="仿宋" w:hAnsi="仿宋" w:eastAsia="仿宋" w:cs="仿宋"/>
          <w:color w:val="auto"/>
          <w:sz w:val="24"/>
          <w:szCs w:val="24"/>
          <w:highlight w:val="none"/>
          <w:lang w:val="en-US" w:eastAsia="zh-CN"/>
        </w:rPr>
        <w:t>无</w:t>
      </w:r>
      <w:r>
        <w:rPr>
          <w:rFonts w:hint="eastAsia" w:ascii="仿宋" w:hAnsi="仿宋" w:eastAsia="仿宋" w:cs="仿宋"/>
          <w:b/>
          <w:bCs/>
          <w:color w:val="auto"/>
          <w:sz w:val="24"/>
          <w:szCs w:val="24"/>
          <w:highlight w:val="none"/>
          <w:lang w:val="en-US" w:eastAsia="zh-CN"/>
        </w:rPr>
        <w:t>。</w:t>
      </w:r>
    </w:p>
    <w:p w14:paraId="4504C3D2">
      <w:pPr>
        <w:shd w:val="clear"/>
        <w:ind w:firstLine="643" w:firstLineChars="2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四、竞采有关说明</w:t>
      </w:r>
      <w:bookmarkEnd w:id="36"/>
    </w:p>
    <w:p w14:paraId="62D92B60">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（一）供应商应通过行采家采购服务平台（www</w:t>
      </w:r>
      <w:bookmarkStart w:id="225" w:name="_GoBack"/>
      <w:bookmarkEnd w:id="225"/>
      <w:r>
        <w:rPr>
          <w:rFonts w:hint="eastAsia" w:ascii="仿宋" w:hAnsi="仿宋" w:eastAsia="仿宋" w:cs="仿宋"/>
          <w:color w:val="auto"/>
          <w:sz w:val="24"/>
          <w:szCs w:val="24"/>
          <w:highlight w:val="none"/>
        </w:rPr>
        <w:t>.gec123.com）登记加入“重庆市政府采购供应商库”。</w:t>
      </w:r>
    </w:p>
    <w:p w14:paraId="4061E4C8">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采购的供应商，请在“行采家（https://www.gec123.com/）”下载或到采购代理机构处领取本项目询价采购文件以及图纸、澄清等报价前公布的所有项目资料，无论供应商下载或领取与否，均视为已知晓所有实质性要求内容。</w:t>
      </w:r>
    </w:p>
    <w:p w14:paraId="243D185A">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（三）线上报价</w:t>
      </w:r>
    </w:p>
    <w:p w14:paraId="56DBFFEC">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1.线上报价时间：按本项目网上公告规定的报价截止时间为准。</w:t>
      </w:r>
    </w:p>
    <w:p w14:paraId="50F5E8A9">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2.线上报价要求：按本项目规定的时间在“行采家（https://www.gec123.com/）”进行网上报价。</w:t>
      </w:r>
    </w:p>
    <w:p w14:paraId="04EB72C4">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（四）供应商须在平台上报价并按要求上传响应文件，未按要求提供的为无效供应商。</w:t>
      </w:r>
    </w:p>
    <w:p w14:paraId="579E74BC">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74F13E97">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1.供应商线上报价时须上传响应文件一份。</w:t>
      </w:r>
    </w:p>
    <w:p w14:paraId="65FB0F14">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2.采购人将以平台的线上资料作为评判依据。</w:t>
      </w:r>
    </w:p>
    <w:p w14:paraId="6B7E6594">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3.供应商上传的响应文件应按照响应文件编制要求制作，规定签字、盖章的地方必须按规定签字、盖章，未按要求制作响应文件的作无效标处理。</w:t>
      </w:r>
    </w:p>
    <w:p w14:paraId="75422FA3">
      <w:pPr>
        <w:pStyle w:val="3"/>
        <w:shd w:val="clear"/>
        <w:spacing w:line="240" w:lineRule="auto"/>
        <w:ind w:firstLine="643"/>
        <w:rPr>
          <w:rFonts w:hint="eastAsia" w:ascii="仿宋" w:hAnsi="仿宋" w:eastAsia="仿宋" w:cs="仿宋"/>
          <w:color w:val="auto"/>
          <w:highlight w:val="none"/>
        </w:rPr>
      </w:pPr>
      <w:bookmarkStart w:id="37" w:name="_Toc183783132"/>
      <w:r>
        <w:rPr>
          <w:rFonts w:hint="eastAsia" w:ascii="仿宋" w:hAnsi="仿宋" w:eastAsia="仿宋" w:cs="仿宋"/>
          <w:color w:val="auto"/>
          <w:highlight w:val="none"/>
        </w:rPr>
        <w:t>五、</w:t>
      </w:r>
      <w:bookmarkStart w:id="38" w:name="_Toc3475"/>
      <w:bookmarkStart w:id="39" w:name="_Toc25886"/>
      <w:bookmarkStart w:id="40" w:name="_Toc5085"/>
      <w:bookmarkStart w:id="41" w:name="_Toc20778"/>
      <w:bookmarkStart w:id="42" w:name="_Toc9654"/>
      <w:bookmarkStart w:id="43" w:name="_Toc27955"/>
      <w:bookmarkStart w:id="44" w:name="_Toc11828"/>
      <w:bookmarkStart w:id="45" w:name="_Toc13969"/>
      <w:bookmarkStart w:id="46" w:name="_Toc15478"/>
      <w:bookmarkStart w:id="47" w:name="_Toc19730"/>
      <w:bookmarkStart w:id="48" w:name="_Toc31315"/>
      <w:bookmarkStart w:id="49" w:name="_Toc14778"/>
      <w:bookmarkStart w:id="50" w:name="_Toc25516"/>
      <w:bookmarkStart w:id="51" w:name="_Toc9027"/>
      <w:r>
        <w:rPr>
          <w:rFonts w:hint="eastAsia" w:ascii="仿宋" w:hAnsi="仿宋" w:eastAsia="仿宋" w:cs="仿宋"/>
          <w:color w:val="auto"/>
          <w:highlight w:val="none"/>
        </w:rPr>
        <w:t>联系方式</w:t>
      </w:r>
      <w:bookmarkEnd w:id="37"/>
      <w:bookmarkEnd w:id="38"/>
      <w:bookmarkEnd w:id="39"/>
      <w:bookmarkEnd w:id="40"/>
      <w:bookmarkEnd w:id="41"/>
      <w:bookmarkEnd w:id="42"/>
      <w:bookmarkEnd w:id="43"/>
      <w:bookmarkEnd w:id="44"/>
    </w:p>
    <w:p w14:paraId="072A6931">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重庆绿发资产经营管理有限公司</w:t>
      </w:r>
    </w:p>
    <w:p w14:paraId="1169E1BE">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余老师</w:t>
      </w:r>
      <w:r>
        <w:rPr>
          <w:rFonts w:hint="eastAsia" w:ascii="仿宋" w:hAnsi="仿宋" w:eastAsia="仿宋" w:cs="仿宋"/>
          <w:color w:val="auto"/>
          <w:sz w:val="24"/>
          <w:szCs w:val="24"/>
          <w:highlight w:val="none"/>
        </w:rPr>
        <w:t xml:space="preserve">  </w:t>
      </w:r>
    </w:p>
    <w:p w14:paraId="349605A7">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  话：18680837335</w:t>
      </w:r>
      <w:r>
        <w:rPr>
          <w:rFonts w:hint="eastAsia" w:ascii="仿宋" w:hAnsi="仿宋" w:eastAsia="仿宋" w:cs="仿宋"/>
          <w:color w:val="auto"/>
          <w:sz w:val="24"/>
          <w:szCs w:val="24"/>
          <w:highlight w:val="none"/>
          <w:lang w:val="en-US" w:eastAsia="zh-CN"/>
        </w:rPr>
        <w:t xml:space="preserve">  </w:t>
      </w:r>
    </w:p>
    <w:p w14:paraId="7A63A0B9">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址：重庆市璧山区璧泉街道双星大道50号1幢</w:t>
      </w:r>
      <w:r>
        <w:rPr>
          <w:rFonts w:hint="eastAsia" w:ascii="仿宋" w:hAnsi="仿宋" w:eastAsia="仿宋" w:cs="仿宋"/>
          <w:color w:val="auto"/>
          <w:sz w:val="24"/>
          <w:szCs w:val="24"/>
          <w:highlight w:val="none"/>
          <w:lang w:val="en-US" w:eastAsia="zh-CN"/>
        </w:rPr>
        <w:t xml:space="preserve">  </w:t>
      </w:r>
    </w:p>
    <w:p w14:paraId="5B19C25E">
      <w:pPr>
        <w:shd w:val="clear"/>
        <w:snapToGrid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eastAsia="zh-CN"/>
        </w:rPr>
        <w:t>重庆标友工程管理咨询有限公司</w:t>
      </w:r>
    </w:p>
    <w:p w14:paraId="06427AA0">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杨</w:t>
      </w:r>
      <w:r>
        <w:rPr>
          <w:rFonts w:hint="eastAsia" w:ascii="仿宋" w:hAnsi="仿宋" w:eastAsia="仿宋" w:cs="仿宋"/>
          <w:color w:val="auto"/>
          <w:sz w:val="24"/>
          <w:szCs w:val="24"/>
          <w:highlight w:val="none"/>
        </w:rPr>
        <w:t>老师</w:t>
      </w:r>
    </w:p>
    <w:p w14:paraId="3F6703DF">
      <w:pPr>
        <w:shd w:val="clear"/>
        <w:snapToGrid w:val="0"/>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15696551371</w:t>
      </w:r>
    </w:p>
    <w:p w14:paraId="6BFB828E">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址：重庆市渝北区龙溪街道新牌坊三路369号天和美舍1幢</w:t>
      </w:r>
    </w:p>
    <w:p w14:paraId="2ACC6551">
      <w:pPr>
        <w:pStyle w:val="3"/>
        <w:shd w:val="clear"/>
        <w:spacing w:line="240" w:lineRule="auto"/>
        <w:ind w:firstLine="643"/>
        <w:rPr>
          <w:rFonts w:hint="eastAsia" w:ascii="仿宋" w:hAnsi="仿宋" w:eastAsia="仿宋" w:cs="仿宋"/>
          <w:color w:val="auto"/>
          <w:highlight w:val="none"/>
        </w:rPr>
      </w:pPr>
      <w:bookmarkStart w:id="52" w:name="_Toc183783133"/>
      <w:r>
        <w:rPr>
          <w:rFonts w:hint="eastAsia" w:ascii="仿宋" w:hAnsi="仿宋" w:eastAsia="仿宋" w:cs="仿宋"/>
          <w:color w:val="auto"/>
          <w:highlight w:val="none"/>
        </w:rPr>
        <w:t>六、</w:t>
      </w:r>
      <w:bookmarkEnd w:id="45"/>
      <w:bookmarkEnd w:id="46"/>
      <w:bookmarkEnd w:id="47"/>
      <w:bookmarkEnd w:id="48"/>
      <w:bookmarkEnd w:id="49"/>
      <w:bookmarkEnd w:id="50"/>
      <w:bookmarkEnd w:id="51"/>
      <w:r>
        <w:rPr>
          <w:rFonts w:hint="eastAsia" w:ascii="仿宋" w:hAnsi="仿宋" w:eastAsia="仿宋" w:cs="仿宋"/>
          <w:color w:val="auto"/>
          <w:highlight w:val="none"/>
        </w:rPr>
        <w:t>其它有关规定</w:t>
      </w:r>
      <w:bookmarkEnd w:id="52"/>
    </w:p>
    <w:p w14:paraId="7E57A545">
      <w:pPr>
        <w:shd w:val="clea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（一）单位负责人为同一人或者存在直接控股、管理关系的不同供应商，不得参加同一合同项（分包）下的竞采活动，否则均为无效响应。</w:t>
      </w:r>
    </w:p>
    <w:p w14:paraId="036C47E6">
      <w:pPr>
        <w:shd w:val="clea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14:paraId="6C0EF188">
      <w:pPr>
        <w:shd w:val="clea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（三）本项目的变更等文件（如果有）一律在“行采家（https://www.gec123.com/）”上发布，请各供应商注意下载；无论供应商下载与否，均视同供应商已知晓本项目澄清文件（如果有）的内容。</w:t>
      </w:r>
    </w:p>
    <w:p w14:paraId="1454EA57">
      <w:pPr>
        <w:shd w:val="clea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（四）超过响应文件截止时间递交的响应文件，恕不接收。</w:t>
      </w:r>
    </w:p>
    <w:p w14:paraId="18AECFDE">
      <w:pPr>
        <w:shd w:val="clea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（五）竞采费用：无论竞采结果如何，供应商参与本项目竞采的所有成本费用均应由供应商自行承担。</w:t>
      </w:r>
    </w:p>
    <w:p w14:paraId="05693D56">
      <w:pPr>
        <w:shd w:val="clear"/>
        <w:snapToGrid w:val="0"/>
        <w:ind w:firstLine="361" w:firstLineChars="15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（六）本项目不接受联合体参与竞采</w:t>
      </w:r>
      <w:r>
        <w:rPr>
          <w:rFonts w:hint="eastAsia" w:ascii="仿宋" w:hAnsi="仿宋" w:eastAsia="仿宋" w:cs="仿宋"/>
          <w:color w:val="auto"/>
          <w:sz w:val="24"/>
          <w:szCs w:val="24"/>
          <w:highlight w:val="none"/>
        </w:rPr>
        <w:t>。</w:t>
      </w:r>
    </w:p>
    <w:p w14:paraId="4435E3E5">
      <w:pPr>
        <w:shd w:val="clear"/>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网上竞采活动。</w:t>
      </w:r>
      <w:bookmarkStart w:id="53" w:name="_Toc76462324"/>
      <w:bookmarkStart w:id="54" w:name="_Toc106030878"/>
    </w:p>
    <w:p w14:paraId="21544055">
      <w:pPr>
        <w:widowControl/>
        <w:shd w:val="clear"/>
        <w:jc w:val="left"/>
        <w:rPr>
          <w:rFonts w:hint="eastAsia" w:ascii="仿宋" w:hAnsi="仿宋" w:eastAsia="仿宋" w:cs="仿宋"/>
          <w:b/>
          <w:color w:val="auto"/>
          <w:kern w:val="44"/>
          <w:sz w:val="44"/>
          <w:highlight w:val="none"/>
        </w:rPr>
      </w:pPr>
      <w:r>
        <w:rPr>
          <w:rFonts w:hint="eastAsia" w:ascii="仿宋" w:hAnsi="仿宋" w:eastAsia="仿宋" w:cs="仿宋"/>
          <w:color w:val="auto"/>
          <w:highlight w:val="none"/>
        </w:rPr>
        <w:br w:type="page"/>
      </w:r>
    </w:p>
    <w:p w14:paraId="55ABAAE0">
      <w:pPr>
        <w:pStyle w:val="2"/>
        <w:shd w:val="clear"/>
        <w:spacing w:line="240" w:lineRule="auto"/>
        <w:ind w:firstLine="883"/>
        <w:jc w:val="center"/>
        <w:rPr>
          <w:rFonts w:hint="eastAsia" w:ascii="仿宋" w:hAnsi="仿宋" w:eastAsia="仿宋" w:cs="仿宋"/>
          <w:color w:val="auto"/>
          <w:highlight w:val="none"/>
        </w:rPr>
      </w:pPr>
      <w:bookmarkStart w:id="55" w:name="_Toc183783134"/>
      <w:r>
        <w:rPr>
          <w:rFonts w:hint="eastAsia" w:ascii="仿宋" w:hAnsi="仿宋" w:eastAsia="仿宋" w:cs="仿宋"/>
          <w:color w:val="auto"/>
          <w:highlight w:val="none"/>
        </w:rPr>
        <w:t>第二篇  项目</w:t>
      </w:r>
      <w:bookmarkEnd w:id="53"/>
      <w:bookmarkEnd w:id="54"/>
      <w:r>
        <w:rPr>
          <w:rFonts w:hint="eastAsia" w:ascii="仿宋" w:hAnsi="仿宋" w:eastAsia="仿宋" w:cs="仿宋"/>
          <w:color w:val="auto"/>
          <w:highlight w:val="none"/>
        </w:rPr>
        <w:t>服务需</w:t>
      </w:r>
      <w:bookmarkStart w:id="56" w:name="_Toc76462325"/>
      <w:bookmarkStart w:id="57" w:name="_Toc12789058"/>
      <w:r>
        <w:rPr>
          <w:rFonts w:hint="eastAsia" w:ascii="仿宋" w:hAnsi="仿宋" w:eastAsia="仿宋" w:cs="仿宋"/>
          <w:color w:val="auto"/>
          <w:highlight w:val="none"/>
        </w:rPr>
        <w:t>求</w:t>
      </w:r>
      <w:bookmarkEnd w:id="55"/>
    </w:p>
    <w:p w14:paraId="56257EF4">
      <w:pPr>
        <w:shd w:val="clear"/>
        <w:ind w:firstLine="482"/>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本篇服务需求为符合性审查中的实质性要求，响应文件若不满足按无效投标处理。</w:t>
      </w:r>
    </w:p>
    <w:bookmarkEnd w:id="56"/>
    <w:p w14:paraId="3931D9B5">
      <w:pPr>
        <w:pStyle w:val="3"/>
        <w:numPr>
          <w:ilvl w:val="0"/>
          <w:numId w:val="1"/>
        </w:numPr>
        <w:shd w:val="clear"/>
        <w:spacing w:line="240" w:lineRule="auto"/>
        <w:ind w:firstLine="643"/>
        <w:rPr>
          <w:rFonts w:hint="eastAsia" w:ascii="仿宋" w:hAnsi="仿宋" w:eastAsia="仿宋" w:cs="仿宋"/>
          <w:color w:val="auto"/>
          <w:highlight w:val="none"/>
        </w:rPr>
      </w:pPr>
      <w:bookmarkStart w:id="58" w:name="_Toc183783135"/>
      <w:r>
        <w:rPr>
          <w:rFonts w:hint="eastAsia" w:ascii="仿宋" w:hAnsi="仿宋" w:eastAsia="仿宋" w:cs="仿宋"/>
          <w:color w:val="auto"/>
          <w:highlight w:val="none"/>
        </w:rPr>
        <w:t>招标项目一览表</w:t>
      </w:r>
      <w:bookmarkEnd w:id="58"/>
    </w:p>
    <w:tbl>
      <w:tblPr>
        <w:tblStyle w:val="20"/>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172"/>
        <w:gridCol w:w="1694"/>
        <w:gridCol w:w="798"/>
        <w:gridCol w:w="1666"/>
        <w:gridCol w:w="532"/>
      </w:tblGrid>
      <w:tr w14:paraId="28CC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879CE5E">
            <w:pPr>
              <w:widowControl/>
              <w:shd w:val="clea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序号</w:t>
            </w:r>
          </w:p>
        </w:tc>
        <w:tc>
          <w:tcPr>
            <w:tcW w:w="3172" w:type="dxa"/>
            <w:vAlign w:val="center"/>
          </w:tcPr>
          <w:p w14:paraId="03EECF48">
            <w:pPr>
              <w:widowControl/>
              <w:shd w:val="clea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服务名称</w:t>
            </w:r>
          </w:p>
        </w:tc>
        <w:tc>
          <w:tcPr>
            <w:tcW w:w="1694" w:type="dxa"/>
            <w:vAlign w:val="center"/>
          </w:tcPr>
          <w:p w14:paraId="7B92BC8B">
            <w:pPr>
              <w:widowControl/>
              <w:shd w:val="clea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服务范围、标准及</w:t>
            </w:r>
            <w:r>
              <w:rPr>
                <w:rFonts w:hint="eastAsia" w:ascii="仿宋" w:hAnsi="仿宋" w:eastAsia="仿宋" w:cs="仿宋"/>
                <w:b/>
                <w:bCs/>
                <w:color w:val="auto"/>
                <w:kern w:val="0"/>
                <w:sz w:val="24"/>
                <w:szCs w:val="24"/>
                <w:highlight w:val="none"/>
              </w:rPr>
              <w:t>要求</w:t>
            </w:r>
          </w:p>
        </w:tc>
        <w:tc>
          <w:tcPr>
            <w:tcW w:w="798" w:type="dxa"/>
            <w:vAlign w:val="center"/>
          </w:tcPr>
          <w:p w14:paraId="19029AC3">
            <w:pPr>
              <w:widowControl/>
              <w:shd w:val="clea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数量</w:t>
            </w:r>
          </w:p>
        </w:tc>
        <w:tc>
          <w:tcPr>
            <w:tcW w:w="1666" w:type="dxa"/>
            <w:vAlign w:val="center"/>
          </w:tcPr>
          <w:p w14:paraId="13F7EEE1">
            <w:pPr>
              <w:widowControl/>
              <w:shd w:val="clear"/>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最高限价金额</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color w:val="auto"/>
                <w:sz w:val="24"/>
                <w:szCs w:val="24"/>
                <w:highlight w:val="none"/>
              </w:rPr>
              <w:t>元</w:t>
            </w:r>
            <w:r>
              <w:rPr>
                <w:rFonts w:hint="eastAsia" w:ascii="仿宋" w:hAnsi="仿宋" w:eastAsia="仿宋" w:cs="仿宋"/>
                <w:b/>
                <w:bCs/>
                <w:color w:val="auto"/>
                <w:sz w:val="24"/>
                <w:szCs w:val="24"/>
                <w:highlight w:val="none"/>
                <w:lang w:val="en-US" w:eastAsia="zh-CN"/>
              </w:rPr>
              <w:t>)</w:t>
            </w:r>
          </w:p>
        </w:tc>
        <w:tc>
          <w:tcPr>
            <w:tcW w:w="532" w:type="dxa"/>
            <w:vAlign w:val="center"/>
          </w:tcPr>
          <w:p w14:paraId="2993DE85">
            <w:pPr>
              <w:widowControl/>
              <w:shd w:val="clea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1A61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6" w:type="dxa"/>
            <w:vAlign w:val="center"/>
          </w:tcPr>
          <w:p w14:paraId="415817FE">
            <w:pPr>
              <w:widowControl/>
              <w:shd w:val="clea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3172" w:type="dxa"/>
            <w:vAlign w:val="center"/>
          </w:tcPr>
          <w:p w14:paraId="6B9D525F">
            <w:pPr>
              <w:widowControl/>
              <w:shd w:val="clea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重庆知天而作农业科技研究院有限公司30%股权资产评估</w:t>
            </w:r>
          </w:p>
        </w:tc>
        <w:tc>
          <w:tcPr>
            <w:tcW w:w="1694" w:type="dxa"/>
            <w:vAlign w:val="center"/>
          </w:tcPr>
          <w:p w14:paraId="0D6E0452">
            <w:pPr>
              <w:widowControl/>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rPr>
              <w:t>文件</w:t>
            </w:r>
          </w:p>
        </w:tc>
        <w:tc>
          <w:tcPr>
            <w:tcW w:w="798" w:type="dxa"/>
            <w:vAlign w:val="center"/>
          </w:tcPr>
          <w:p w14:paraId="68EB90ED">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66" w:type="dxa"/>
            <w:vAlign w:val="center"/>
          </w:tcPr>
          <w:p w14:paraId="3023B894">
            <w:pPr>
              <w:widowControl/>
              <w:shd w:val="clea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28000.00</w:t>
            </w:r>
          </w:p>
        </w:tc>
        <w:tc>
          <w:tcPr>
            <w:tcW w:w="532" w:type="dxa"/>
            <w:vAlign w:val="center"/>
          </w:tcPr>
          <w:p w14:paraId="656CCF7E">
            <w:pPr>
              <w:widowControl/>
              <w:shd w:val="clea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r>
    </w:tbl>
    <w:p w14:paraId="2BA85609">
      <w:pPr>
        <w:pStyle w:val="3"/>
        <w:shd w:val="clear"/>
        <w:spacing w:line="240" w:lineRule="auto"/>
        <w:ind w:firstLine="643" w:firstLineChars="200"/>
        <w:rPr>
          <w:rFonts w:hint="default" w:ascii="仿宋" w:hAnsi="仿宋" w:eastAsia="仿宋" w:cs="仿宋"/>
          <w:color w:val="auto"/>
          <w:highlight w:val="none"/>
          <w:lang w:val="en-US" w:eastAsia="zh-CN"/>
        </w:rPr>
      </w:pPr>
      <w:bookmarkStart w:id="59" w:name="_Toc183783136"/>
      <w:bookmarkStart w:id="60" w:name="_Toc106030880"/>
      <w:r>
        <w:rPr>
          <w:rFonts w:hint="eastAsia" w:ascii="仿宋" w:hAnsi="仿宋" w:eastAsia="仿宋" w:cs="仿宋"/>
          <w:color w:val="auto"/>
          <w:highlight w:val="none"/>
        </w:rPr>
        <w:t>二、</w:t>
      </w:r>
      <w:bookmarkEnd w:id="59"/>
      <w:bookmarkEnd w:id="60"/>
      <w:r>
        <w:rPr>
          <w:rFonts w:hint="eastAsia" w:ascii="仿宋" w:hAnsi="仿宋" w:eastAsia="仿宋" w:cs="仿宋"/>
          <w:color w:val="auto"/>
          <w:highlight w:val="none"/>
          <w:lang w:val="en-US" w:eastAsia="zh-CN"/>
        </w:rPr>
        <w:t>采购内容</w:t>
      </w:r>
    </w:p>
    <w:p w14:paraId="4E8D7FCE">
      <w:pPr>
        <w:pStyle w:val="3"/>
        <w:numPr>
          <w:ilvl w:val="-1"/>
          <w:numId w:val="0"/>
        </w:numPr>
        <w:shd w:val="clear"/>
        <w:spacing w:line="240" w:lineRule="auto"/>
        <w:ind w:firstLine="480" w:firstLineChars="200"/>
        <w:rPr>
          <w:rFonts w:hint="eastAsia" w:ascii="仿宋" w:hAnsi="仿宋" w:eastAsia="仿宋" w:cs="仿宋"/>
          <w:b w:val="0"/>
          <w:bCs/>
          <w:color w:val="auto"/>
          <w:sz w:val="24"/>
          <w:szCs w:val="24"/>
          <w:highlight w:val="none"/>
          <w:lang w:val="en-US" w:eastAsia="zh-CN"/>
        </w:rPr>
      </w:pPr>
      <w:bookmarkStart w:id="61" w:name="_Toc106030881"/>
      <w:bookmarkStart w:id="62" w:name="_Toc183783137"/>
      <w:bookmarkStart w:id="63" w:name="_Toc76462326"/>
      <w:bookmarkStart w:id="64" w:name="_Toc344475116"/>
      <w:bookmarkStart w:id="65" w:name="_Toc313536013"/>
      <w:r>
        <w:rPr>
          <w:rFonts w:hint="eastAsia" w:ascii="仿宋" w:hAnsi="仿宋" w:eastAsia="仿宋" w:cs="仿宋"/>
          <w:b w:val="0"/>
          <w:bCs/>
          <w:color w:val="auto"/>
          <w:sz w:val="24"/>
          <w:szCs w:val="24"/>
          <w:highlight w:val="none"/>
          <w:lang w:val="en-US" w:eastAsia="zh-CN"/>
        </w:rPr>
        <w:t>完成重庆知天而作农业科技研究院有限公司申报的截止2025年3月31日（暂定）账面反映的全部资产以及相关负债。</w:t>
      </w:r>
    </w:p>
    <w:p w14:paraId="5A3C6D3F">
      <w:pPr>
        <w:pStyle w:val="3"/>
        <w:numPr>
          <w:ilvl w:val="-1"/>
          <w:numId w:val="0"/>
        </w:numPr>
        <w:shd w:val="clear"/>
        <w:spacing w:line="240" w:lineRule="auto"/>
        <w:ind w:firstLine="643"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三、</w:t>
      </w:r>
      <w:bookmarkEnd w:id="61"/>
      <w:bookmarkEnd w:id="62"/>
      <w:bookmarkEnd w:id="63"/>
      <w:bookmarkEnd w:id="64"/>
      <w:bookmarkEnd w:id="65"/>
      <w:r>
        <w:rPr>
          <w:rFonts w:hint="eastAsia" w:ascii="仿宋" w:hAnsi="仿宋" w:eastAsia="仿宋" w:cs="仿宋"/>
          <w:color w:val="auto"/>
          <w:highlight w:val="none"/>
          <w:lang w:val="en-US" w:eastAsia="zh-CN"/>
        </w:rPr>
        <w:t>其他</w:t>
      </w:r>
    </w:p>
    <w:p w14:paraId="2D25B30E">
      <w:pPr>
        <w:pStyle w:val="7"/>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w:t>
      </w:r>
    </w:p>
    <w:p w14:paraId="172C777E">
      <w:pPr>
        <w:shd w:val="clear"/>
        <w:rPr>
          <w:rFonts w:hint="eastAsia" w:ascii="仿宋" w:hAnsi="仿宋" w:eastAsia="仿宋" w:cs="仿宋"/>
          <w:color w:val="auto"/>
          <w:sz w:val="24"/>
          <w:szCs w:val="24"/>
          <w:highlight w:val="none"/>
        </w:rPr>
      </w:pPr>
    </w:p>
    <w:p w14:paraId="02EEAAD1">
      <w:pPr>
        <w:pStyle w:val="7"/>
        <w:shd w:val="clear"/>
        <w:rPr>
          <w:rFonts w:hint="eastAsia" w:ascii="仿宋" w:hAnsi="仿宋" w:eastAsia="仿宋" w:cs="仿宋"/>
          <w:color w:val="auto"/>
          <w:sz w:val="24"/>
          <w:szCs w:val="24"/>
          <w:highlight w:val="none"/>
        </w:rPr>
      </w:pPr>
    </w:p>
    <w:p w14:paraId="32F4E398">
      <w:pPr>
        <w:shd w:val="clear"/>
        <w:rPr>
          <w:rFonts w:hint="eastAsia" w:ascii="仿宋" w:hAnsi="仿宋" w:eastAsia="仿宋" w:cs="仿宋"/>
          <w:color w:val="auto"/>
          <w:sz w:val="24"/>
          <w:szCs w:val="24"/>
          <w:highlight w:val="none"/>
        </w:rPr>
      </w:pPr>
    </w:p>
    <w:p w14:paraId="7BE4E018">
      <w:pPr>
        <w:pStyle w:val="7"/>
        <w:shd w:val="clear"/>
        <w:rPr>
          <w:rFonts w:hint="eastAsia" w:ascii="仿宋" w:hAnsi="仿宋" w:eastAsia="仿宋" w:cs="仿宋"/>
          <w:color w:val="auto"/>
          <w:sz w:val="24"/>
          <w:szCs w:val="24"/>
          <w:highlight w:val="none"/>
        </w:rPr>
      </w:pPr>
    </w:p>
    <w:p w14:paraId="461B8637">
      <w:pPr>
        <w:shd w:val="clear"/>
        <w:rPr>
          <w:rFonts w:hint="eastAsia" w:ascii="仿宋" w:hAnsi="仿宋" w:eastAsia="仿宋" w:cs="仿宋"/>
          <w:color w:val="auto"/>
          <w:highlight w:val="none"/>
        </w:rPr>
      </w:pPr>
    </w:p>
    <w:p w14:paraId="2C86BED7">
      <w:pPr>
        <w:shd w:val="clear"/>
        <w:rPr>
          <w:rFonts w:hint="eastAsia" w:ascii="仿宋" w:hAnsi="仿宋" w:eastAsia="仿宋" w:cs="仿宋"/>
          <w:color w:val="auto"/>
          <w:highlight w:val="none"/>
        </w:rPr>
      </w:pPr>
    </w:p>
    <w:p w14:paraId="60C075FB">
      <w:pPr>
        <w:shd w:val="clear"/>
        <w:rPr>
          <w:rFonts w:hint="eastAsia" w:ascii="仿宋" w:hAnsi="仿宋" w:eastAsia="仿宋" w:cs="仿宋"/>
          <w:color w:val="auto"/>
          <w:highlight w:val="none"/>
        </w:rPr>
      </w:pPr>
    </w:p>
    <w:p w14:paraId="5BBEAC16">
      <w:pPr>
        <w:shd w:val="clear"/>
        <w:rPr>
          <w:rFonts w:hint="eastAsia" w:ascii="仿宋" w:hAnsi="仿宋" w:eastAsia="仿宋" w:cs="仿宋"/>
          <w:color w:val="auto"/>
          <w:highlight w:val="none"/>
        </w:rPr>
      </w:pPr>
    </w:p>
    <w:p w14:paraId="49B502B0">
      <w:pPr>
        <w:shd w:val="clear"/>
        <w:rPr>
          <w:rFonts w:hint="eastAsia" w:ascii="仿宋" w:hAnsi="仿宋" w:eastAsia="仿宋" w:cs="仿宋"/>
          <w:color w:val="auto"/>
          <w:highlight w:val="none"/>
        </w:rPr>
      </w:pPr>
    </w:p>
    <w:p w14:paraId="4EB0D831">
      <w:pPr>
        <w:shd w:val="clear"/>
        <w:rPr>
          <w:rFonts w:hint="eastAsia" w:ascii="仿宋" w:hAnsi="仿宋" w:eastAsia="仿宋" w:cs="仿宋"/>
          <w:color w:val="auto"/>
          <w:highlight w:val="none"/>
        </w:rPr>
      </w:pPr>
    </w:p>
    <w:p w14:paraId="49DB12E4">
      <w:pPr>
        <w:shd w:val="clear"/>
        <w:rPr>
          <w:rFonts w:hint="eastAsia" w:ascii="仿宋" w:hAnsi="仿宋" w:eastAsia="仿宋" w:cs="仿宋"/>
          <w:color w:val="auto"/>
          <w:highlight w:val="none"/>
        </w:rPr>
      </w:pPr>
    </w:p>
    <w:p w14:paraId="0E3BF733">
      <w:pPr>
        <w:shd w:val="clear"/>
        <w:rPr>
          <w:rFonts w:hint="eastAsia" w:ascii="仿宋" w:hAnsi="仿宋" w:eastAsia="仿宋" w:cs="仿宋"/>
          <w:color w:val="auto"/>
          <w:highlight w:val="none"/>
        </w:rPr>
      </w:pPr>
    </w:p>
    <w:p w14:paraId="636F85A0">
      <w:pPr>
        <w:shd w:val="clear"/>
        <w:rPr>
          <w:rFonts w:hint="eastAsia" w:ascii="仿宋" w:hAnsi="仿宋" w:eastAsia="仿宋" w:cs="仿宋"/>
          <w:color w:val="auto"/>
          <w:highlight w:val="none"/>
        </w:rPr>
      </w:pPr>
    </w:p>
    <w:p w14:paraId="3F9C18B2">
      <w:pPr>
        <w:shd w:val="clear"/>
        <w:rPr>
          <w:rFonts w:hint="eastAsia" w:ascii="仿宋" w:hAnsi="仿宋" w:eastAsia="仿宋" w:cs="仿宋"/>
          <w:color w:val="auto"/>
          <w:highlight w:val="none"/>
        </w:rPr>
      </w:pPr>
    </w:p>
    <w:p w14:paraId="0215AB43">
      <w:pPr>
        <w:shd w:val="clear"/>
        <w:rPr>
          <w:rFonts w:hint="eastAsia" w:ascii="仿宋" w:hAnsi="仿宋" w:eastAsia="仿宋" w:cs="仿宋"/>
          <w:color w:val="auto"/>
          <w:highlight w:val="none"/>
        </w:rPr>
      </w:pPr>
    </w:p>
    <w:p w14:paraId="6DE05480">
      <w:pPr>
        <w:shd w:val="clear"/>
        <w:rPr>
          <w:rFonts w:hint="eastAsia" w:ascii="仿宋" w:hAnsi="仿宋" w:eastAsia="仿宋" w:cs="仿宋"/>
          <w:color w:val="auto"/>
          <w:highlight w:val="none"/>
        </w:rPr>
      </w:pPr>
    </w:p>
    <w:p w14:paraId="280CD18F">
      <w:pPr>
        <w:shd w:val="clear"/>
        <w:rPr>
          <w:rFonts w:hint="eastAsia" w:ascii="仿宋" w:hAnsi="仿宋" w:eastAsia="仿宋" w:cs="仿宋"/>
          <w:color w:val="auto"/>
          <w:highlight w:val="none"/>
        </w:rPr>
      </w:pPr>
    </w:p>
    <w:p w14:paraId="2E05C7AC">
      <w:pPr>
        <w:shd w:val="clear"/>
        <w:rPr>
          <w:rFonts w:hint="eastAsia" w:ascii="仿宋" w:hAnsi="仿宋" w:eastAsia="仿宋" w:cs="仿宋"/>
          <w:color w:val="auto"/>
          <w:highlight w:val="none"/>
        </w:rPr>
      </w:pPr>
    </w:p>
    <w:p w14:paraId="05FA470A">
      <w:pPr>
        <w:shd w:val="clear"/>
        <w:rPr>
          <w:rFonts w:hint="eastAsia" w:ascii="仿宋" w:hAnsi="仿宋" w:eastAsia="仿宋" w:cs="仿宋"/>
          <w:color w:val="auto"/>
          <w:highlight w:val="none"/>
        </w:rPr>
      </w:pPr>
    </w:p>
    <w:bookmarkEnd w:id="57"/>
    <w:p w14:paraId="38AF34BA">
      <w:pPr>
        <w:pStyle w:val="2"/>
        <w:numPr>
          <w:ilvl w:val="0"/>
          <w:numId w:val="2"/>
        </w:numPr>
        <w:shd w:val="clear"/>
        <w:spacing w:line="240" w:lineRule="auto"/>
        <w:ind w:firstLine="883"/>
        <w:jc w:val="center"/>
        <w:rPr>
          <w:rFonts w:hint="eastAsia" w:ascii="仿宋" w:hAnsi="仿宋" w:eastAsia="仿宋" w:cs="仿宋"/>
          <w:color w:val="auto"/>
          <w:highlight w:val="none"/>
        </w:rPr>
      </w:pPr>
      <w:bookmarkStart w:id="66" w:name="_Toc106030882"/>
      <w:bookmarkStart w:id="67" w:name="_Toc183783138"/>
      <w:bookmarkStart w:id="68" w:name="_Toc76462327"/>
      <w:r>
        <w:rPr>
          <w:rFonts w:hint="eastAsia" w:ascii="仿宋" w:hAnsi="仿宋" w:eastAsia="仿宋" w:cs="仿宋"/>
          <w:color w:val="auto"/>
          <w:highlight w:val="none"/>
        </w:rPr>
        <w:t>项目商务需求</w:t>
      </w:r>
      <w:bookmarkEnd w:id="66"/>
      <w:bookmarkEnd w:id="67"/>
      <w:bookmarkEnd w:id="68"/>
    </w:p>
    <w:p w14:paraId="34869338">
      <w:pPr>
        <w:shd w:val="clear"/>
        <w:ind w:firstLine="482"/>
        <w:rPr>
          <w:rFonts w:hint="eastAsia" w:ascii="仿宋" w:hAnsi="仿宋" w:eastAsia="仿宋" w:cs="仿宋"/>
          <w:color w:val="auto"/>
          <w:highlight w:val="none"/>
        </w:rPr>
      </w:pPr>
      <w:r>
        <w:rPr>
          <w:rFonts w:hint="eastAsia" w:ascii="仿宋" w:hAnsi="仿宋" w:eastAsia="仿宋" w:cs="仿宋"/>
          <w:b/>
          <w:bCs/>
          <w:color w:val="auto"/>
          <w:sz w:val="24"/>
          <w:szCs w:val="24"/>
          <w:highlight w:val="none"/>
          <w:u w:val="single"/>
        </w:rPr>
        <w:t>本篇商务需求为符合性审查中的实质性要求，响应文件若不满足按无效投标处理。</w:t>
      </w:r>
    </w:p>
    <w:p w14:paraId="29CAA868">
      <w:pPr>
        <w:pStyle w:val="3"/>
        <w:shd w:val="clear"/>
        <w:spacing w:line="240" w:lineRule="auto"/>
        <w:ind w:firstLine="643"/>
        <w:rPr>
          <w:rFonts w:hint="eastAsia" w:ascii="仿宋" w:hAnsi="仿宋" w:eastAsia="仿宋" w:cs="仿宋"/>
          <w:color w:val="auto"/>
          <w:highlight w:val="none"/>
        </w:rPr>
      </w:pPr>
      <w:bookmarkStart w:id="69" w:name="_Toc76462328"/>
      <w:bookmarkStart w:id="70" w:name="_Toc183783139"/>
      <w:bookmarkStart w:id="71" w:name="_Toc344475120"/>
      <w:bookmarkStart w:id="72" w:name="_Toc106030883"/>
      <w:r>
        <w:rPr>
          <w:rFonts w:hint="eastAsia" w:ascii="仿宋" w:hAnsi="仿宋" w:eastAsia="仿宋" w:cs="仿宋"/>
          <w:color w:val="auto"/>
          <w:highlight w:val="none"/>
        </w:rPr>
        <w:t>一、服务期、地点及验收方式</w:t>
      </w:r>
      <w:bookmarkEnd w:id="69"/>
      <w:bookmarkEnd w:id="70"/>
      <w:bookmarkEnd w:id="71"/>
      <w:bookmarkEnd w:id="72"/>
    </w:p>
    <w:p w14:paraId="5F42DDAC">
      <w:pPr>
        <w:shd w:val="clear"/>
        <w:ind w:firstLine="480"/>
        <w:rPr>
          <w:rFonts w:hint="eastAsia" w:ascii="仿宋" w:hAnsi="仿宋" w:eastAsia="仿宋" w:cs="仿宋"/>
          <w:color w:val="auto"/>
          <w:sz w:val="24"/>
          <w:szCs w:val="18"/>
          <w:highlight w:val="none"/>
        </w:rPr>
      </w:pPr>
      <w:bookmarkStart w:id="73" w:name="_Toc344475121"/>
      <w:bookmarkStart w:id="74" w:name="_Toc106030884"/>
      <w:bookmarkStart w:id="75" w:name="_Toc76462329"/>
      <w:r>
        <w:rPr>
          <w:rFonts w:hint="eastAsia" w:ascii="仿宋" w:hAnsi="仿宋" w:eastAsia="仿宋" w:cs="仿宋"/>
          <w:color w:val="auto"/>
          <w:sz w:val="24"/>
          <w:szCs w:val="18"/>
          <w:highlight w:val="none"/>
        </w:rPr>
        <w:t>（一）服务期：</w:t>
      </w:r>
      <w:bookmarkStart w:id="76" w:name="_Hlk187327333"/>
      <w:r>
        <w:rPr>
          <w:rFonts w:hint="eastAsia" w:ascii="仿宋" w:hAnsi="仿宋" w:eastAsia="仿宋" w:cs="仿宋"/>
          <w:color w:val="auto"/>
          <w:sz w:val="24"/>
          <w:szCs w:val="18"/>
          <w:highlight w:val="none"/>
        </w:rPr>
        <w:t>中标次日签订服务合同，并于15个工作日内出具正式评估报告。</w:t>
      </w:r>
      <w:bookmarkEnd w:id="76"/>
    </w:p>
    <w:p w14:paraId="70C8BB12">
      <w:pPr>
        <w:shd w:val="clea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（二）服务地点：采购人指定地点。</w:t>
      </w:r>
    </w:p>
    <w:p w14:paraId="099F4004">
      <w:pPr>
        <w:pStyle w:val="3"/>
        <w:shd w:val="clear"/>
        <w:spacing w:line="240" w:lineRule="auto"/>
        <w:ind w:firstLine="643"/>
        <w:rPr>
          <w:rFonts w:hint="eastAsia" w:ascii="仿宋" w:hAnsi="仿宋" w:eastAsia="仿宋" w:cs="仿宋"/>
          <w:color w:val="auto"/>
          <w:highlight w:val="none"/>
        </w:rPr>
      </w:pPr>
      <w:bookmarkStart w:id="77" w:name="_Toc183783140"/>
      <w:r>
        <w:rPr>
          <w:rFonts w:hint="eastAsia" w:ascii="仿宋" w:hAnsi="仿宋" w:eastAsia="仿宋" w:cs="仿宋"/>
          <w:color w:val="auto"/>
          <w:highlight w:val="none"/>
        </w:rPr>
        <w:t>二、</w:t>
      </w:r>
      <w:bookmarkEnd w:id="73"/>
      <w:r>
        <w:rPr>
          <w:rFonts w:hint="eastAsia" w:ascii="仿宋" w:hAnsi="仿宋" w:eastAsia="仿宋" w:cs="仿宋"/>
          <w:color w:val="auto"/>
          <w:highlight w:val="none"/>
        </w:rPr>
        <w:t>报价要求</w:t>
      </w:r>
      <w:bookmarkEnd w:id="74"/>
      <w:bookmarkEnd w:id="75"/>
      <w:bookmarkEnd w:id="77"/>
    </w:p>
    <w:p w14:paraId="2ABB6E14">
      <w:pPr>
        <w:shd w:val="clear"/>
        <w:ind w:firstLine="480" w:firstLineChars="200"/>
        <w:jc w:val="left"/>
        <w:rPr>
          <w:rFonts w:hint="default" w:ascii="仿宋" w:hAnsi="仿宋" w:eastAsia="仿宋" w:cs="仿宋"/>
          <w:color w:val="auto"/>
          <w:sz w:val="24"/>
          <w:szCs w:val="18"/>
          <w:highlight w:val="none"/>
          <w:lang w:val="en-US" w:eastAsia="zh-CN"/>
        </w:rPr>
      </w:pPr>
      <w:r>
        <w:rPr>
          <w:rFonts w:hint="eastAsia" w:ascii="仿宋" w:hAnsi="仿宋" w:eastAsia="仿宋" w:cs="仿宋"/>
          <w:color w:val="auto"/>
          <w:sz w:val="24"/>
          <w:szCs w:val="18"/>
          <w:highlight w:val="none"/>
        </w:rPr>
        <w:t>供应商按照</w:t>
      </w:r>
      <w:r>
        <w:rPr>
          <w:rFonts w:hint="eastAsia" w:ascii="仿宋" w:hAnsi="仿宋" w:eastAsia="仿宋" w:cs="仿宋"/>
          <w:color w:val="auto"/>
          <w:sz w:val="24"/>
          <w:szCs w:val="18"/>
          <w:highlight w:val="none"/>
          <w:lang w:eastAsia="zh-CN"/>
        </w:rPr>
        <w:t>总价</w:t>
      </w:r>
      <w:r>
        <w:rPr>
          <w:rFonts w:hint="eastAsia" w:ascii="仿宋" w:hAnsi="仿宋" w:eastAsia="仿宋" w:cs="仿宋"/>
          <w:color w:val="auto"/>
          <w:sz w:val="24"/>
          <w:szCs w:val="18"/>
          <w:highlight w:val="none"/>
        </w:rPr>
        <w:t>报价，</w:t>
      </w:r>
      <w:r>
        <w:rPr>
          <w:rFonts w:hint="eastAsia" w:ascii="仿宋" w:hAnsi="仿宋" w:eastAsia="仿宋" w:cs="仿宋"/>
          <w:color w:val="auto"/>
          <w:sz w:val="24"/>
          <w:szCs w:val="18"/>
          <w:highlight w:val="none"/>
          <w:lang w:eastAsia="zh-CN"/>
        </w:rPr>
        <w:t>报价包括完成本项目所需的服务费、人工费及提供服务所需的设备或货物购买（制造）费、交通食宿费、培训费、保险费及各种应纳的税费。因成交供应商自身原因造成漏报、少报皆由其自行承担责任，采购人不再补偿。</w:t>
      </w:r>
    </w:p>
    <w:p w14:paraId="01DAA90F">
      <w:pPr>
        <w:pStyle w:val="3"/>
        <w:numPr>
          <w:ilvl w:val="0"/>
          <w:numId w:val="0"/>
        </w:numPr>
        <w:shd w:val="clear"/>
        <w:spacing w:line="240" w:lineRule="auto"/>
        <w:ind w:firstLine="643"/>
        <w:rPr>
          <w:rFonts w:hint="eastAsia" w:ascii="仿宋" w:hAnsi="仿宋" w:eastAsia="仿宋" w:cs="仿宋"/>
          <w:color w:val="auto"/>
          <w:highlight w:val="none"/>
        </w:rPr>
      </w:pPr>
      <w:r>
        <w:rPr>
          <w:rFonts w:hint="eastAsia" w:ascii="仿宋" w:hAnsi="仿宋" w:eastAsia="仿宋" w:cs="仿宋"/>
          <w:b/>
          <w:color w:val="auto"/>
          <w:sz w:val="32"/>
          <w:highlight w:val="none"/>
          <w:lang w:val="en-US" w:eastAsia="zh-CN"/>
        </w:rPr>
        <w:t>三、</w:t>
      </w:r>
      <w:bookmarkStart w:id="78" w:name="_Toc183783141"/>
      <w:r>
        <w:rPr>
          <w:rFonts w:hint="eastAsia" w:ascii="仿宋" w:hAnsi="仿宋" w:eastAsia="仿宋" w:cs="仿宋"/>
          <w:color w:val="auto"/>
          <w:highlight w:val="none"/>
        </w:rPr>
        <w:t>付款方式</w:t>
      </w:r>
    </w:p>
    <w:p w14:paraId="13A445C4">
      <w:pPr>
        <w:shd w:val="clear"/>
        <w:ind w:firstLine="480" w:firstLineChars="200"/>
        <w:jc w:val="left"/>
        <w:rPr>
          <w:rFonts w:hint="eastAsia" w:ascii="仿宋" w:hAnsi="仿宋" w:eastAsia="仿宋" w:cs="仿宋"/>
          <w:color w:val="auto"/>
          <w:sz w:val="24"/>
          <w:szCs w:val="18"/>
          <w:highlight w:val="none"/>
        </w:rPr>
      </w:pPr>
      <w:r>
        <w:rPr>
          <w:rFonts w:hint="eastAsia" w:ascii="仿宋" w:hAnsi="仿宋" w:eastAsia="仿宋" w:cs="Times New Roman"/>
          <w:color w:val="auto"/>
          <w:sz w:val="24"/>
          <w:szCs w:val="24"/>
          <w:highlight w:val="none"/>
          <w:shd w:val="clear"/>
          <w:lang w:val="en-US" w:eastAsia="zh-CN"/>
        </w:rPr>
        <w:t>供应商</w:t>
      </w:r>
      <w:r>
        <w:rPr>
          <w:rFonts w:hint="eastAsia" w:ascii="仿宋" w:hAnsi="仿宋" w:eastAsia="仿宋" w:cs="Times New Roman"/>
          <w:color w:val="auto"/>
          <w:sz w:val="24"/>
          <w:szCs w:val="24"/>
          <w:highlight w:val="none"/>
          <w:shd w:val="clear"/>
        </w:rPr>
        <w:t>进场后支付</w:t>
      </w:r>
      <w:r>
        <w:rPr>
          <w:rFonts w:hint="eastAsia" w:ascii="仿宋" w:hAnsi="仿宋" w:eastAsia="仿宋" w:cs="Times New Roman"/>
          <w:color w:val="auto"/>
          <w:sz w:val="24"/>
          <w:szCs w:val="24"/>
          <w:highlight w:val="none"/>
          <w:shd w:val="clear"/>
          <w:lang w:val="en-US" w:eastAsia="zh-CN"/>
        </w:rPr>
        <w:t>至总合同金额的</w:t>
      </w:r>
      <w:r>
        <w:rPr>
          <w:rFonts w:hint="eastAsia" w:ascii="仿宋" w:hAnsi="仿宋" w:eastAsia="仿宋" w:cs="Times New Roman"/>
          <w:color w:val="auto"/>
          <w:sz w:val="24"/>
          <w:szCs w:val="24"/>
          <w:highlight w:val="none"/>
          <w:shd w:val="clear"/>
        </w:rPr>
        <w:t>50%，</w:t>
      </w:r>
      <w:r>
        <w:rPr>
          <w:rFonts w:hint="eastAsia" w:ascii="仿宋" w:hAnsi="仿宋" w:eastAsia="仿宋" w:cs="Times New Roman"/>
          <w:color w:val="auto"/>
          <w:sz w:val="24"/>
          <w:szCs w:val="24"/>
          <w:highlight w:val="none"/>
          <w:shd w:val="clear"/>
          <w:lang w:val="en-US" w:eastAsia="zh-CN"/>
        </w:rPr>
        <w:t>供应商</w:t>
      </w:r>
      <w:r>
        <w:rPr>
          <w:rFonts w:hint="eastAsia" w:ascii="仿宋" w:hAnsi="仿宋" w:eastAsia="仿宋" w:cs="Times New Roman"/>
          <w:color w:val="auto"/>
          <w:sz w:val="24"/>
          <w:szCs w:val="24"/>
          <w:highlight w:val="none"/>
          <w:shd w:val="clear"/>
        </w:rPr>
        <w:t>出具正式报告</w:t>
      </w:r>
      <w:r>
        <w:rPr>
          <w:rFonts w:hint="eastAsia" w:ascii="仿宋" w:hAnsi="仿宋" w:eastAsia="仿宋" w:cs="Times New Roman"/>
          <w:color w:val="auto"/>
          <w:sz w:val="24"/>
          <w:szCs w:val="24"/>
          <w:highlight w:val="none"/>
          <w:shd w:val="clear"/>
          <w:lang w:val="en-US" w:eastAsia="zh-CN"/>
        </w:rPr>
        <w:t>且验收合格</w:t>
      </w:r>
      <w:r>
        <w:rPr>
          <w:rFonts w:hint="eastAsia" w:ascii="仿宋" w:hAnsi="仿宋" w:eastAsia="仿宋" w:cs="Times New Roman"/>
          <w:color w:val="auto"/>
          <w:sz w:val="24"/>
          <w:szCs w:val="24"/>
          <w:highlight w:val="none"/>
          <w:shd w:val="clear"/>
          <w:lang w:eastAsia="zh-CN"/>
        </w:rPr>
        <w:t>，</w:t>
      </w:r>
      <w:r>
        <w:rPr>
          <w:rFonts w:hint="eastAsia" w:ascii="仿宋" w:hAnsi="仿宋" w:eastAsia="仿宋" w:cs="Times New Roman"/>
          <w:color w:val="auto"/>
          <w:sz w:val="24"/>
          <w:szCs w:val="24"/>
          <w:highlight w:val="none"/>
          <w:shd w:val="clear"/>
          <w:lang w:val="en-US" w:eastAsia="zh-CN"/>
        </w:rPr>
        <w:t>并</w:t>
      </w:r>
      <w:r>
        <w:rPr>
          <w:rFonts w:hint="eastAsia" w:ascii="仿宋" w:hAnsi="仿宋" w:eastAsia="仿宋"/>
          <w:color w:val="auto"/>
          <w:sz w:val="24"/>
          <w:szCs w:val="24"/>
          <w:highlight w:val="none"/>
        </w:rPr>
        <w:t>开具</w:t>
      </w:r>
      <w:r>
        <w:rPr>
          <w:rFonts w:hint="eastAsia" w:ascii="仿宋" w:hAnsi="仿宋" w:eastAsia="仿宋"/>
          <w:color w:val="auto"/>
          <w:sz w:val="24"/>
          <w:szCs w:val="24"/>
          <w:highlight w:val="none"/>
          <w:lang w:val="en-US" w:eastAsia="zh-CN"/>
        </w:rPr>
        <w:t>总合同</w:t>
      </w:r>
      <w:r>
        <w:rPr>
          <w:rFonts w:hint="eastAsia" w:ascii="仿宋" w:hAnsi="仿宋" w:eastAsia="仿宋"/>
          <w:color w:val="auto"/>
          <w:sz w:val="24"/>
          <w:szCs w:val="24"/>
          <w:highlight w:val="none"/>
        </w:rPr>
        <w:t>金额</w:t>
      </w:r>
      <w:r>
        <w:rPr>
          <w:rFonts w:hint="eastAsia" w:ascii="仿宋" w:hAnsi="仿宋" w:eastAsia="仿宋"/>
          <w:color w:val="auto"/>
          <w:sz w:val="24"/>
          <w:szCs w:val="24"/>
          <w:highlight w:val="none"/>
          <w:lang w:val="en-US" w:eastAsia="zh-CN"/>
        </w:rPr>
        <w:t>且合法</w:t>
      </w:r>
      <w:r>
        <w:rPr>
          <w:rFonts w:hint="eastAsia" w:ascii="仿宋" w:hAnsi="仿宋" w:eastAsia="仿宋"/>
          <w:color w:val="auto"/>
          <w:sz w:val="24"/>
          <w:szCs w:val="24"/>
          <w:highlight w:val="none"/>
        </w:rPr>
        <w:t>的增值税专用发票</w:t>
      </w:r>
      <w:r>
        <w:rPr>
          <w:rFonts w:hint="eastAsia" w:ascii="仿宋" w:hAnsi="仿宋" w:eastAsia="仿宋"/>
          <w:color w:val="auto"/>
          <w:sz w:val="24"/>
          <w:szCs w:val="24"/>
          <w:highlight w:val="none"/>
          <w:lang w:eastAsia="zh-CN"/>
        </w:rPr>
        <w:t>后，</w:t>
      </w:r>
      <w:r>
        <w:rPr>
          <w:rFonts w:hint="eastAsia" w:ascii="仿宋" w:hAnsi="仿宋" w:eastAsia="仿宋" w:cs="Times New Roman"/>
          <w:color w:val="auto"/>
          <w:sz w:val="24"/>
          <w:szCs w:val="24"/>
          <w:highlight w:val="none"/>
          <w:shd w:val="clear"/>
        </w:rPr>
        <w:t>支付</w:t>
      </w:r>
      <w:r>
        <w:rPr>
          <w:rFonts w:hint="eastAsia" w:ascii="仿宋" w:hAnsi="仿宋" w:eastAsia="仿宋"/>
          <w:color w:val="auto"/>
          <w:sz w:val="24"/>
          <w:szCs w:val="24"/>
          <w:highlight w:val="none"/>
        </w:rPr>
        <w:t>至</w:t>
      </w:r>
      <w:r>
        <w:rPr>
          <w:rFonts w:hint="eastAsia" w:ascii="仿宋" w:hAnsi="仿宋" w:eastAsia="仿宋"/>
          <w:color w:val="auto"/>
          <w:sz w:val="24"/>
          <w:szCs w:val="24"/>
          <w:highlight w:val="none"/>
          <w:lang w:val="en-US" w:eastAsia="zh-CN"/>
        </w:rPr>
        <w:t>总</w:t>
      </w:r>
      <w:r>
        <w:rPr>
          <w:rFonts w:hint="eastAsia" w:ascii="仿宋" w:hAnsi="仿宋" w:eastAsia="仿宋"/>
          <w:color w:val="auto"/>
          <w:sz w:val="24"/>
          <w:szCs w:val="24"/>
          <w:highlight w:val="none"/>
        </w:rPr>
        <w:t>合同金额的</w:t>
      </w:r>
      <w:r>
        <w:rPr>
          <w:rFonts w:hint="eastAsia" w:ascii="仿宋" w:hAnsi="仿宋" w:eastAsia="仿宋" w:cs="Times New Roman"/>
          <w:color w:val="auto"/>
          <w:sz w:val="24"/>
          <w:szCs w:val="24"/>
          <w:highlight w:val="none"/>
          <w:shd w:val="clear"/>
          <w:lang w:val="en-US" w:eastAsia="zh-CN"/>
        </w:rPr>
        <w:t>10</w:t>
      </w:r>
      <w:r>
        <w:rPr>
          <w:rFonts w:hint="eastAsia" w:ascii="仿宋" w:hAnsi="仿宋" w:eastAsia="仿宋" w:cs="Times New Roman"/>
          <w:color w:val="auto"/>
          <w:sz w:val="24"/>
          <w:szCs w:val="24"/>
          <w:highlight w:val="none"/>
          <w:shd w:val="clear"/>
        </w:rPr>
        <w:t>0%</w:t>
      </w:r>
      <w:r>
        <w:rPr>
          <w:rFonts w:hint="eastAsia" w:ascii="仿宋" w:hAnsi="仿宋" w:eastAsia="仿宋" w:cs="仿宋"/>
          <w:color w:val="auto"/>
          <w:sz w:val="24"/>
          <w:szCs w:val="18"/>
          <w:highlight w:val="none"/>
          <w:lang w:eastAsia="zh-CN"/>
        </w:rPr>
        <w:t>。</w:t>
      </w:r>
    </w:p>
    <w:p w14:paraId="77AB2CAA">
      <w:pPr>
        <w:pStyle w:val="3"/>
        <w:shd w:val="clear"/>
        <w:spacing w:line="240" w:lineRule="auto"/>
        <w:ind w:firstLine="643"/>
        <w:rPr>
          <w:rFonts w:hint="eastAsia" w:ascii="仿宋" w:hAnsi="仿宋" w:eastAsia="仿宋" w:cs="仿宋"/>
          <w:color w:val="auto"/>
          <w:highlight w:val="none"/>
          <w:lang w:eastAsia="zh-CN"/>
        </w:rPr>
      </w:pPr>
      <w:r>
        <w:rPr>
          <w:rFonts w:hint="eastAsia" w:ascii="仿宋" w:hAnsi="仿宋" w:eastAsia="仿宋" w:cs="仿宋"/>
          <w:b/>
          <w:color w:val="auto"/>
          <w:sz w:val="32"/>
          <w:highlight w:val="none"/>
          <w:lang w:val="en-US" w:eastAsia="zh-CN"/>
        </w:rPr>
        <w:t>四、</w:t>
      </w:r>
      <w:bookmarkEnd w:id="78"/>
      <w:r>
        <w:rPr>
          <w:rFonts w:hint="eastAsia" w:ascii="仿宋" w:hAnsi="仿宋" w:eastAsia="仿宋" w:cs="仿宋"/>
          <w:color w:val="auto"/>
          <w:highlight w:val="none"/>
          <w:lang w:val="en-US" w:eastAsia="zh-CN"/>
        </w:rPr>
        <w:t>知识产权</w:t>
      </w:r>
    </w:p>
    <w:p w14:paraId="37F8F6FE">
      <w:pPr>
        <w:shd w:val="clear"/>
        <w:ind w:firstLine="480" w:firstLineChars="200"/>
        <w:jc w:val="left"/>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采购人在中华人民共和国境内使用供应商提供的货物及服务时免受第三方提出的侵犯其专利权或其它知识产权的起诉。如果第三方提出侵权指控，中标人应承担由此而引起的一切法律责任和费用。</w:t>
      </w:r>
    </w:p>
    <w:p w14:paraId="29BB7FFA">
      <w:pPr>
        <w:pStyle w:val="3"/>
        <w:shd w:val="clear"/>
        <w:spacing w:line="240" w:lineRule="auto"/>
        <w:ind w:firstLine="643"/>
        <w:rPr>
          <w:rFonts w:hint="eastAsia" w:ascii="仿宋" w:hAnsi="仿宋" w:eastAsia="仿宋" w:cs="仿宋"/>
          <w:color w:val="auto"/>
          <w:highlight w:val="none"/>
        </w:rPr>
      </w:pPr>
      <w:bookmarkStart w:id="79" w:name="_Toc267320054"/>
      <w:bookmarkStart w:id="80" w:name="_Toc183783143"/>
      <w:bookmarkStart w:id="81" w:name="_Toc529"/>
      <w:bookmarkStart w:id="82" w:name="_Toc75793516"/>
      <w:bookmarkStart w:id="83" w:name="_Toc17569"/>
      <w:bookmarkStart w:id="84" w:name="_Toc23858"/>
      <w:bookmarkStart w:id="85" w:name="_Toc106030392"/>
      <w:bookmarkStart w:id="86" w:name="_Toc13936"/>
      <w:bookmarkStart w:id="87" w:name="_Toc27175"/>
      <w:bookmarkStart w:id="88" w:name="_Toc1138"/>
      <w:bookmarkStart w:id="89" w:name="_Toc30515"/>
      <w:bookmarkStart w:id="90" w:name="_Toc14923"/>
      <w:bookmarkStart w:id="91" w:name="_Toc6099"/>
      <w:bookmarkStart w:id="92" w:name="_Toc32308"/>
      <w:bookmarkStart w:id="93" w:name="_Toc4353"/>
      <w:bookmarkStart w:id="94" w:name="_Toc10406"/>
      <w:bookmarkStart w:id="95" w:name="_Toc28513"/>
      <w:bookmarkStart w:id="96" w:name="_Toc6385"/>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rPr>
        <w:t>、</w:t>
      </w:r>
      <w:bookmarkEnd w:id="79"/>
      <w:r>
        <w:rPr>
          <w:rFonts w:hint="eastAsia" w:ascii="仿宋" w:hAnsi="仿宋" w:eastAsia="仿宋" w:cs="仿宋"/>
          <w:color w:val="auto"/>
          <w:highlight w:val="none"/>
        </w:rPr>
        <w:t>其他商务要求内容</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2AF1573">
      <w:pPr>
        <w:pStyle w:val="2"/>
        <w:shd w:val="clear"/>
        <w:spacing w:line="24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b w:val="0"/>
          <w:color w:val="auto"/>
          <w:kern w:val="2"/>
          <w:sz w:val="24"/>
          <w:szCs w:val="18"/>
          <w:highlight w:val="none"/>
          <w:lang w:val="en-US" w:eastAsia="zh-CN" w:bidi="ar-SA"/>
        </w:rPr>
        <w:t>其他未尽事宜由供需双方在合同中约定。</w:t>
      </w:r>
      <w:r>
        <w:rPr>
          <w:rFonts w:hint="eastAsia" w:ascii="仿宋" w:hAnsi="仿宋" w:eastAsia="仿宋" w:cs="仿宋"/>
          <w:color w:val="auto"/>
          <w:sz w:val="24"/>
          <w:szCs w:val="24"/>
          <w:highlight w:val="none"/>
        </w:rPr>
        <w:br w:type="page"/>
      </w:r>
      <w:bookmarkStart w:id="97" w:name="_Toc109836389"/>
      <w:bookmarkStart w:id="98" w:name="_Toc183783144"/>
      <w:r>
        <w:rPr>
          <w:rFonts w:hint="eastAsia" w:ascii="仿宋" w:hAnsi="仿宋" w:eastAsia="仿宋" w:cs="仿宋"/>
          <w:color w:val="auto"/>
          <w:sz w:val="40"/>
          <w:szCs w:val="18"/>
          <w:highlight w:val="none"/>
        </w:rPr>
        <w:t>第四篇  竞采程序、评标办法</w:t>
      </w:r>
      <w:bookmarkEnd w:id="97"/>
      <w:r>
        <w:rPr>
          <w:rFonts w:hint="eastAsia" w:ascii="仿宋" w:hAnsi="仿宋" w:eastAsia="仿宋" w:cs="仿宋"/>
          <w:color w:val="auto"/>
          <w:sz w:val="40"/>
          <w:szCs w:val="18"/>
          <w:highlight w:val="none"/>
        </w:rPr>
        <w:t>、无效响应及采购终止</w:t>
      </w:r>
      <w:bookmarkEnd w:id="98"/>
    </w:p>
    <w:p w14:paraId="71D6C48D">
      <w:pPr>
        <w:pStyle w:val="3"/>
        <w:shd w:val="clear"/>
        <w:spacing w:line="240" w:lineRule="auto"/>
        <w:ind w:firstLine="643"/>
        <w:rPr>
          <w:rFonts w:hint="eastAsia" w:ascii="仿宋" w:hAnsi="仿宋" w:eastAsia="仿宋" w:cs="仿宋"/>
          <w:color w:val="auto"/>
          <w:highlight w:val="none"/>
        </w:rPr>
      </w:pPr>
      <w:bookmarkStart w:id="99" w:name="_Toc10124"/>
      <w:bookmarkStart w:id="100" w:name="_Toc183783145"/>
      <w:r>
        <w:rPr>
          <w:rFonts w:hint="eastAsia" w:ascii="仿宋" w:hAnsi="仿宋" w:eastAsia="仿宋" w:cs="仿宋"/>
          <w:color w:val="auto"/>
          <w:highlight w:val="none"/>
        </w:rPr>
        <w:t>一、</w:t>
      </w:r>
      <w:bookmarkEnd w:id="99"/>
      <w:bookmarkStart w:id="101" w:name="_Toc75793518"/>
      <w:r>
        <w:rPr>
          <w:rFonts w:hint="eastAsia" w:ascii="仿宋" w:hAnsi="仿宋" w:eastAsia="仿宋" w:cs="仿宋"/>
          <w:color w:val="auto"/>
          <w:highlight w:val="none"/>
        </w:rPr>
        <w:t>网上竞采程序</w:t>
      </w:r>
      <w:bookmarkEnd w:id="100"/>
      <w:bookmarkEnd w:id="101"/>
    </w:p>
    <w:p w14:paraId="573F4504">
      <w:pPr>
        <w:shd w:val="clea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（一）报价截止后评审小组对各供应商的资格条件、响应文件的有效性、完整性和响应程度进行审查。各供应商只有在完全符合要求的前提下，才能参与正式评审。</w:t>
      </w:r>
    </w:p>
    <w:p w14:paraId="31478498">
      <w:pPr>
        <w:shd w:val="clear"/>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1.资格性检查。</w:t>
      </w:r>
      <w:r>
        <w:rPr>
          <w:rFonts w:hint="eastAsia" w:ascii="仿宋" w:hAnsi="仿宋" w:eastAsia="仿宋" w:cs="仿宋"/>
          <w:color w:val="auto"/>
          <w:sz w:val="24"/>
          <w:szCs w:val="24"/>
          <w:highlight w:val="none"/>
        </w:rPr>
        <w:t>依据法律法规和采购文件的规定，对响应文件中的资格证明等进行审查，以确定供应商是否具备资格。资格性检查资料表如下：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7354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FB68267">
            <w:pPr>
              <w:shd w:val="clea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5" w:type="dxa"/>
            <w:gridSpan w:val="2"/>
            <w:vAlign w:val="center"/>
          </w:tcPr>
          <w:p w14:paraId="37B57253">
            <w:pPr>
              <w:shd w:val="clea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检查因素</w:t>
            </w:r>
          </w:p>
        </w:tc>
        <w:tc>
          <w:tcPr>
            <w:tcW w:w="5155" w:type="dxa"/>
            <w:vAlign w:val="center"/>
          </w:tcPr>
          <w:p w14:paraId="46EFA9E0">
            <w:pPr>
              <w:shd w:val="clea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检查内容</w:t>
            </w:r>
          </w:p>
        </w:tc>
      </w:tr>
      <w:tr w14:paraId="6517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194B8E11">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09" w:type="dxa"/>
            <w:vMerge w:val="restart"/>
            <w:vAlign w:val="center"/>
          </w:tcPr>
          <w:p w14:paraId="0295E457">
            <w:pPr>
              <w:shd w:val="clear"/>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应符合的基本</w:t>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val="zh-CN"/>
              </w:rPr>
              <w:t>条件</w:t>
            </w:r>
          </w:p>
        </w:tc>
        <w:tc>
          <w:tcPr>
            <w:tcW w:w="2976" w:type="dxa"/>
            <w:vAlign w:val="center"/>
          </w:tcPr>
          <w:p w14:paraId="4B659FFE">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155" w:type="dxa"/>
            <w:vAlign w:val="center"/>
          </w:tcPr>
          <w:p w14:paraId="14B7AA92">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供应商法人营业执照（副本）或事业单位法人证书（副本）； 供应商法定代表人身份证明和法定代表人授权代表委托书。</w:t>
            </w:r>
          </w:p>
        </w:tc>
      </w:tr>
      <w:tr w14:paraId="745C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C9549A8">
            <w:pPr>
              <w:shd w:val="clear"/>
              <w:ind w:firstLine="480"/>
              <w:jc w:val="left"/>
              <w:rPr>
                <w:rFonts w:hint="eastAsia" w:ascii="仿宋" w:hAnsi="仿宋" w:eastAsia="仿宋" w:cs="仿宋"/>
                <w:color w:val="auto"/>
                <w:sz w:val="24"/>
                <w:szCs w:val="24"/>
                <w:highlight w:val="none"/>
              </w:rPr>
            </w:pPr>
          </w:p>
        </w:tc>
        <w:tc>
          <w:tcPr>
            <w:tcW w:w="709" w:type="dxa"/>
            <w:vMerge w:val="continue"/>
            <w:vAlign w:val="center"/>
          </w:tcPr>
          <w:p w14:paraId="16379AB5">
            <w:pPr>
              <w:shd w:val="clear"/>
              <w:ind w:firstLine="480"/>
              <w:jc w:val="left"/>
              <w:rPr>
                <w:rFonts w:hint="eastAsia" w:ascii="仿宋" w:hAnsi="仿宋" w:eastAsia="仿宋" w:cs="仿宋"/>
                <w:color w:val="auto"/>
                <w:sz w:val="24"/>
                <w:szCs w:val="24"/>
                <w:highlight w:val="none"/>
                <w:lang w:val="zh-CN"/>
              </w:rPr>
            </w:pPr>
          </w:p>
        </w:tc>
        <w:tc>
          <w:tcPr>
            <w:tcW w:w="2976" w:type="dxa"/>
            <w:vAlign w:val="center"/>
          </w:tcPr>
          <w:p w14:paraId="6E36E213">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tc>
        <w:tc>
          <w:tcPr>
            <w:tcW w:w="5155" w:type="dxa"/>
            <w:vMerge w:val="restart"/>
            <w:vAlign w:val="center"/>
          </w:tcPr>
          <w:p w14:paraId="4A8BE851">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供应商提供承诺函（见格式文件）</w:t>
            </w:r>
          </w:p>
        </w:tc>
      </w:tr>
      <w:tr w14:paraId="0D5D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0BDABB1">
            <w:pPr>
              <w:shd w:val="clear"/>
              <w:ind w:firstLine="480"/>
              <w:jc w:val="left"/>
              <w:rPr>
                <w:rFonts w:hint="eastAsia" w:ascii="仿宋" w:hAnsi="仿宋" w:eastAsia="仿宋" w:cs="仿宋"/>
                <w:color w:val="auto"/>
                <w:sz w:val="24"/>
                <w:szCs w:val="24"/>
                <w:highlight w:val="none"/>
              </w:rPr>
            </w:pPr>
          </w:p>
        </w:tc>
        <w:tc>
          <w:tcPr>
            <w:tcW w:w="709" w:type="dxa"/>
            <w:vMerge w:val="continue"/>
            <w:vAlign w:val="center"/>
          </w:tcPr>
          <w:p w14:paraId="57705FF8">
            <w:pPr>
              <w:shd w:val="clear"/>
              <w:ind w:firstLine="480"/>
              <w:jc w:val="left"/>
              <w:rPr>
                <w:rFonts w:hint="eastAsia" w:ascii="仿宋" w:hAnsi="仿宋" w:eastAsia="仿宋" w:cs="仿宋"/>
                <w:color w:val="auto"/>
                <w:sz w:val="24"/>
                <w:szCs w:val="24"/>
                <w:highlight w:val="none"/>
                <w:lang w:val="zh-CN"/>
              </w:rPr>
            </w:pPr>
          </w:p>
        </w:tc>
        <w:tc>
          <w:tcPr>
            <w:tcW w:w="2976" w:type="dxa"/>
            <w:vAlign w:val="center"/>
          </w:tcPr>
          <w:p w14:paraId="0D1E8F8E">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tc>
        <w:tc>
          <w:tcPr>
            <w:tcW w:w="5155" w:type="dxa"/>
            <w:vMerge w:val="continue"/>
            <w:vAlign w:val="center"/>
          </w:tcPr>
          <w:p w14:paraId="6875E19F">
            <w:pPr>
              <w:shd w:val="clear"/>
              <w:ind w:firstLine="480"/>
              <w:jc w:val="left"/>
              <w:rPr>
                <w:rFonts w:hint="eastAsia" w:ascii="仿宋" w:hAnsi="仿宋" w:eastAsia="仿宋" w:cs="仿宋"/>
                <w:color w:val="auto"/>
                <w:sz w:val="24"/>
                <w:szCs w:val="24"/>
                <w:highlight w:val="none"/>
              </w:rPr>
            </w:pPr>
          </w:p>
        </w:tc>
      </w:tr>
      <w:tr w14:paraId="4F9F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57759D96">
            <w:pPr>
              <w:shd w:val="clear"/>
              <w:ind w:firstLine="480"/>
              <w:jc w:val="left"/>
              <w:rPr>
                <w:rFonts w:hint="eastAsia" w:ascii="仿宋" w:hAnsi="仿宋" w:eastAsia="仿宋" w:cs="仿宋"/>
                <w:color w:val="auto"/>
                <w:sz w:val="24"/>
                <w:szCs w:val="24"/>
                <w:highlight w:val="none"/>
              </w:rPr>
            </w:pPr>
          </w:p>
        </w:tc>
        <w:tc>
          <w:tcPr>
            <w:tcW w:w="709" w:type="dxa"/>
            <w:vMerge w:val="continue"/>
            <w:vAlign w:val="center"/>
          </w:tcPr>
          <w:p w14:paraId="562B6041">
            <w:pPr>
              <w:shd w:val="clear"/>
              <w:ind w:firstLine="480"/>
              <w:jc w:val="left"/>
              <w:rPr>
                <w:rFonts w:hint="eastAsia" w:ascii="仿宋" w:hAnsi="仿宋" w:eastAsia="仿宋" w:cs="仿宋"/>
                <w:color w:val="auto"/>
                <w:sz w:val="24"/>
                <w:szCs w:val="24"/>
                <w:highlight w:val="none"/>
                <w:lang w:val="zh-CN"/>
              </w:rPr>
            </w:pPr>
          </w:p>
        </w:tc>
        <w:tc>
          <w:tcPr>
            <w:tcW w:w="2976" w:type="dxa"/>
            <w:vAlign w:val="center"/>
          </w:tcPr>
          <w:p w14:paraId="59187281">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（4）有依法缴纳税收和社会保障金的良好记录</w:t>
            </w:r>
          </w:p>
        </w:tc>
        <w:tc>
          <w:tcPr>
            <w:tcW w:w="5155" w:type="dxa"/>
            <w:vMerge w:val="continue"/>
            <w:vAlign w:val="center"/>
          </w:tcPr>
          <w:p w14:paraId="19EDB75A">
            <w:pPr>
              <w:shd w:val="clear"/>
              <w:ind w:firstLine="480"/>
              <w:jc w:val="left"/>
              <w:rPr>
                <w:rFonts w:hint="eastAsia" w:ascii="仿宋" w:hAnsi="仿宋" w:eastAsia="仿宋" w:cs="仿宋"/>
                <w:color w:val="auto"/>
                <w:sz w:val="24"/>
                <w:szCs w:val="24"/>
                <w:highlight w:val="none"/>
              </w:rPr>
            </w:pPr>
          </w:p>
        </w:tc>
      </w:tr>
      <w:tr w14:paraId="29C4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BE9837C">
            <w:pPr>
              <w:shd w:val="clear"/>
              <w:ind w:firstLine="480"/>
              <w:jc w:val="left"/>
              <w:rPr>
                <w:rFonts w:hint="eastAsia" w:ascii="仿宋" w:hAnsi="仿宋" w:eastAsia="仿宋" w:cs="仿宋"/>
                <w:color w:val="auto"/>
                <w:sz w:val="24"/>
                <w:szCs w:val="24"/>
                <w:highlight w:val="none"/>
              </w:rPr>
            </w:pPr>
          </w:p>
        </w:tc>
        <w:tc>
          <w:tcPr>
            <w:tcW w:w="709" w:type="dxa"/>
            <w:vMerge w:val="continue"/>
            <w:vAlign w:val="center"/>
          </w:tcPr>
          <w:p w14:paraId="0865FA0D">
            <w:pPr>
              <w:shd w:val="clear"/>
              <w:ind w:firstLine="480"/>
              <w:jc w:val="left"/>
              <w:rPr>
                <w:rFonts w:hint="eastAsia" w:ascii="仿宋" w:hAnsi="仿宋" w:eastAsia="仿宋" w:cs="仿宋"/>
                <w:color w:val="auto"/>
                <w:sz w:val="24"/>
                <w:szCs w:val="24"/>
                <w:highlight w:val="none"/>
                <w:lang w:val="zh-CN"/>
              </w:rPr>
            </w:pPr>
          </w:p>
        </w:tc>
        <w:tc>
          <w:tcPr>
            <w:tcW w:w="2976" w:type="dxa"/>
            <w:vAlign w:val="center"/>
          </w:tcPr>
          <w:p w14:paraId="4B367B92">
            <w:pPr>
              <w:shd w:val="clea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w:t>
            </w:r>
          </w:p>
        </w:tc>
        <w:tc>
          <w:tcPr>
            <w:tcW w:w="5155" w:type="dxa"/>
            <w:vAlign w:val="center"/>
          </w:tcPr>
          <w:p w14:paraId="528B68D0">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1.供应商提供书面声明（见格式文件）；</w:t>
            </w:r>
          </w:p>
          <w:p w14:paraId="5CFCA0FC">
            <w:pPr>
              <w:shd w:val="clea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4AC1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669885B8">
            <w:pPr>
              <w:shd w:val="clear"/>
              <w:ind w:firstLine="480"/>
              <w:jc w:val="left"/>
              <w:rPr>
                <w:rFonts w:hint="eastAsia" w:ascii="仿宋" w:hAnsi="仿宋" w:eastAsia="仿宋" w:cs="仿宋"/>
                <w:color w:val="auto"/>
                <w:sz w:val="24"/>
                <w:szCs w:val="24"/>
                <w:highlight w:val="none"/>
              </w:rPr>
            </w:pPr>
          </w:p>
        </w:tc>
        <w:tc>
          <w:tcPr>
            <w:tcW w:w="709" w:type="dxa"/>
            <w:vMerge w:val="continue"/>
            <w:vAlign w:val="center"/>
          </w:tcPr>
          <w:p w14:paraId="044ED0F1">
            <w:pPr>
              <w:shd w:val="clear"/>
              <w:ind w:firstLine="480"/>
              <w:jc w:val="left"/>
              <w:rPr>
                <w:rFonts w:hint="eastAsia" w:ascii="仿宋" w:hAnsi="仿宋" w:eastAsia="仿宋" w:cs="仿宋"/>
                <w:color w:val="auto"/>
                <w:sz w:val="24"/>
                <w:szCs w:val="24"/>
                <w:highlight w:val="none"/>
                <w:lang w:val="zh-CN"/>
              </w:rPr>
            </w:pPr>
          </w:p>
        </w:tc>
        <w:tc>
          <w:tcPr>
            <w:tcW w:w="2976" w:type="dxa"/>
            <w:vAlign w:val="center"/>
          </w:tcPr>
          <w:p w14:paraId="5EB27302">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5155" w:type="dxa"/>
            <w:vAlign w:val="center"/>
          </w:tcPr>
          <w:p w14:paraId="7EF2FC2C">
            <w:pPr>
              <w:shd w:val="clear"/>
              <w:ind w:firstLine="480"/>
              <w:jc w:val="left"/>
              <w:rPr>
                <w:rFonts w:hint="eastAsia" w:ascii="仿宋" w:hAnsi="仿宋" w:eastAsia="仿宋" w:cs="仿宋"/>
                <w:color w:val="auto"/>
                <w:sz w:val="24"/>
                <w:szCs w:val="24"/>
                <w:highlight w:val="none"/>
              </w:rPr>
            </w:pPr>
          </w:p>
        </w:tc>
      </w:tr>
      <w:tr w14:paraId="3D77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6FC6C979">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85" w:type="dxa"/>
            <w:gridSpan w:val="2"/>
            <w:vAlign w:val="center"/>
          </w:tcPr>
          <w:p w14:paraId="382C1ED8">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tc>
        <w:tc>
          <w:tcPr>
            <w:tcW w:w="5155" w:type="dxa"/>
            <w:vAlign w:val="center"/>
          </w:tcPr>
          <w:p w14:paraId="0FA80FED">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按第一篇“三、供应商资格条件（二）本项目的特定资格要求”的要求提交</w:t>
            </w:r>
          </w:p>
        </w:tc>
      </w:tr>
    </w:tbl>
    <w:p w14:paraId="325640E5">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2046437">
      <w:pPr>
        <w:shd w:val="clear"/>
        <w:snapToGrid w:val="0"/>
        <w:ind w:firstLine="482" w:firstLineChars="200"/>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2.符合性检查。</w:t>
      </w:r>
      <w:r>
        <w:rPr>
          <w:rFonts w:hint="eastAsia" w:ascii="仿宋" w:hAnsi="仿宋" w:eastAsia="仿宋" w:cs="仿宋"/>
          <w:color w:val="auto"/>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06D9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6D854F58">
            <w:pPr>
              <w:shd w:val="clea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384" w:type="dxa"/>
            <w:gridSpan w:val="2"/>
            <w:vAlign w:val="center"/>
          </w:tcPr>
          <w:p w14:paraId="2E41DA1B">
            <w:pPr>
              <w:shd w:val="clear"/>
              <w:ind w:firstLine="482"/>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w:t>
            </w:r>
            <w:r>
              <w:rPr>
                <w:rFonts w:hint="eastAsia" w:ascii="仿宋" w:hAnsi="仿宋" w:eastAsia="仿宋" w:cs="仿宋"/>
                <w:b/>
                <w:bCs/>
                <w:color w:val="auto"/>
                <w:sz w:val="24"/>
                <w:szCs w:val="24"/>
                <w:highlight w:val="none"/>
              </w:rPr>
              <w:t>因素</w:t>
            </w:r>
          </w:p>
        </w:tc>
        <w:tc>
          <w:tcPr>
            <w:tcW w:w="5409" w:type="dxa"/>
            <w:vAlign w:val="center"/>
          </w:tcPr>
          <w:p w14:paraId="2F591075">
            <w:pPr>
              <w:shd w:val="clear"/>
              <w:ind w:firstLine="482"/>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14:paraId="1833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51AFF6B5">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0" w:type="dxa"/>
            <w:vMerge w:val="restart"/>
            <w:vAlign w:val="center"/>
          </w:tcPr>
          <w:p w14:paraId="66984E60">
            <w:pPr>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有效性</w:t>
            </w:r>
            <w:r>
              <w:rPr>
                <w:rFonts w:hint="eastAsia" w:ascii="仿宋" w:hAnsi="仿宋" w:eastAsia="仿宋" w:cs="仿宋"/>
                <w:color w:val="auto"/>
                <w:kern w:val="0"/>
                <w:sz w:val="24"/>
                <w:szCs w:val="24"/>
                <w:highlight w:val="none"/>
              </w:rPr>
              <w:t>审查</w:t>
            </w:r>
          </w:p>
        </w:tc>
        <w:tc>
          <w:tcPr>
            <w:tcW w:w="1884" w:type="dxa"/>
            <w:vAlign w:val="center"/>
          </w:tcPr>
          <w:p w14:paraId="7C03A3CB">
            <w:pPr>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响应文件签署</w:t>
            </w:r>
          </w:p>
        </w:tc>
        <w:tc>
          <w:tcPr>
            <w:tcW w:w="5409" w:type="dxa"/>
            <w:vAlign w:val="center"/>
          </w:tcPr>
          <w:p w14:paraId="32AFAAAB">
            <w:pPr>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响应文件</w:t>
            </w:r>
            <w:r>
              <w:rPr>
                <w:rFonts w:hint="eastAsia" w:ascii="仿宋" w:hAnsi="仿宋" w:eastAsia="仿宋" w:cs="仿宋"/>
                <w:color w:val="auto"/>
                <w:sz w:val="24"/>
                <w:szCs w:val="24"/>
                <w:highlight w:val="none"/>
              </w:rPr>
              <w:t>上法定代表人或其授权代表人的签字齐全。</w:t>
            </w:r>
          </w:p>
        </w:tc>
      </w:tr>
      <w:tr w14:paraId="240D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vMerge w:val="continue"/>
            <w:vAlign w:val="center"/>
          </w:tcPr>
          <w:p w14:paraId="7DB03F25">
            <w:pPr>
              <w:shd w:val="clea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6D735B03">
            <w:pPr>
              <w:shd w:val="clear"/>
              <w:ind w:firstLine="480"/>
              <w:rPr>
                <w:rFonts w:hint="eastAsia" w:ascii="仿宋" w:hAnsi="仿宋" w:eastAsia="仿宋" w:cs="仿宋"/>
                <w:color w:val="auto"/>
                <w:kern w:val="0"/>
                <w:sz w:val="24"/>
                <w:szCs w:val="24"/>
                <w:highlight w:val="none"/>
              </w:rPr>
            </w:pPr>
          </w:p>
        </w:tc>
        <w:tc>
          <w:tcPr>
            <w:tcW w:w="1884" w:type="dxa"/>
            <w:vAlign w:val="center"/>
          </w:tcPr>
          <w:p w14:paraId="7D776391">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409" w:type="dxa"/>
            <w:vAlign w:val="center"/>
          </w:tcPr>
          <w:p w14:paraId="6833BE04">
            <w:pPr>
              <w:shd w:val="clea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法定代表人身份证明及授权委托书有效，符合网上竞采文件规定的格式，签字或盖章齐全。</w:t>
            </w:r>
          </w:p>
        </w:tc>
      </w:tr>
      <w:tr w14:paraId="3AD8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352F35B1">
            <w:pPr>
              <w:shd w:val="clea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6F2BA7BB">
            <w:pPr>
              <w:shd w:val="clear"/>
              <w:ind w:firstLine="480"/>
              <w:rPr>
                <w:rFonts w:hint="eastAsia" w:ascii="仿宋" w:hAnsi="仿宋" w:eastAsia="仿宋" w:cs="仿宋"/>
                <w:color w:val="auto"/>
                <w:kern w:val="0"/>
                <w:sz w:val="24"/>
                <w:szCs w:val="24"/>
                <w:highlight w:val="none"/>
              </w:rPr>
            </w:pPr>
          </w:p>
        </w:tc>
        <w:tc>
          <w:tcPr>
            <w:tcW w:w="1884" w:type="dxa"/>
            <w:vAlign w:val="center"/>
          </w:tcPr>
          <w:p w14:paraId="78CEA85E">
            <w:pPr>
              <w:shd w:val="clea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5409" w:type="dxa"/>
            <w:vAlign w:val="center"/>
          </w:tcPr>
          <w:p w14:paraId="2B1E0CAB">
            <w:pPr>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w:t>
            </w:r>
            <w:r>
              <w:rPr>
                <w:rFonts w:hint="eastAsia" w:ascii="仿宋" w:hAnsi="仿宋" w:eastAsia="仿宋" w:cs="仿宋"/>
                <w:color w:val="auto"/>
                <w:sz w:val="24"/>
                <w:szCs w:val="24"/>
                <w:highlight w:val="none"/>
              </w:rPr>
              <w:t>分包</w:t>
            </w:r>
            <w:r>
              <w:rPr>
                <w:rFonts w:hint="eastAsia" w:ascii="仿宋" w:hAnsi="仿宋" w:eastAsia="仿宋" w:cs="仿宋"/>
                <w:color w:val="auto"/>
                <w:sz w:val="24"/>
                <w:szCs w:val="24"/>
                <w:highlight w:val="none"/>
                <w:lang w:val="zh-CN"/>
              </w:rPr>
              <w:t>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2874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5" w:type="dxa"/>
            <w:vMerge w:val="continue"/>
            <w:vAlign w:val="center"/>
          </w:tcPr>
          <w:p w14:paraId="2B221537">
            <w:pPr>
              <w:shd w:val="clear"/>
              <w:ind w:firstLine="480"/>
              <w:jc w:val="center"/>
              <w:rPr>
                <w:rFonts w:hint="eastAsia" w:ascii="仿宋" w:hAnsi="仿宋" w:eastAsia="仿宋" w:cs="仿宋"/>
                <w:color w:val="auto"/>
                <w:kern w:val="0"/>
                <w:sz w:val="24"/>
                <w:szCs w:val="24"/>
                <w:highlight w:val="none"/>
              </w:rPr>
            </w:pPr>
          </w:p>
        </w:tc>
        <w:tc>
          <w:tcPr>
            <w:tcW w:w="1500" w:type="dxa"/>
            <w:vMerge w:val="continue"/>
            <w:vAlign w:val="center"/>
          </w:tcPr>
          <w:p w14:paraId="55949D65">
            <w:pPr>
              <w:shd w:val="clear"/>
              <w:ind w:firstLine="480"/>
              <w:rPr>
                <w:rFonts w:hint="eastAsia" w:ascii="仿宋" w:hAnsi="仿宋" w:eastAsia="仿宋" w:cs="仿宋"/>
                <w:color w:val="auto"/>
                <w:kern w:val="0"/>
                <w:sz w:val="24"/>
                <w:szCs w:val="24"/>
                <w:highlight w:val="none"/>
              </w:rPr>
            </w:pPr>
          </w:p>
        </w:tc>
        <w:tc>
          <w:tcPr>
            <w:tcW w:w="1884" w:type="dxa"/>
            <w:vAlign w:val="center"/>
          </w:tcPr>
          <w:p w14:paraId="4167114B">
            <w:pPr>
              <w:shd w:val="clea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409" w:type="dxa"/>
            <w:vAlign w:val="center"/>
          </w:tcPr>
          <w:p w14:paraId="2A0F4FC7">
            <w:pPr>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只能在采购预算范围内报价，</w:t>
            </w:r>
            <w:r>
              <w:rPr>
                <w:rFonts w:hint="eastAsia" w:ascii="仿宋" w:hAnsi="仿宋" w:eastAsia="仿宋" w:cs="仿宋"/>
                <w:color w:val="auto"/>
                <w:sz w:val="24"/>
                <w:szCs w:val="24"/>
                <w:highlight w:val="none"/>
              </w:rPr>
              <w:t>只能有一个有效报价，不得提交选择性报价。</w:t>
            </w:r>
          </w:p>
        </w:tc>
      </w:tr>
      <w:tr w14:paraId="16B5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0E67C718">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00" w:type="dxa"/>
            <w:vAlign w:val="center"/>
          </w:tcPr>
          <w:p w14:paraId="3E4D9FA9">
            <w:pPr>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完整性</w:t>
            </w:r>
            <w:r>
              <w:rPr>
                <w:rFonts w:hint="eastAsia" w:ascii="仿宋" w:hAnsi="仿宋" w:eastAsia="仿宋" w:cs="仿宋"/>
                <w:color w:val="auto"/>
                <w:kern w:val="0"/>
                <w:sz w:val="24"/>
                <w:szCs w:val="24"/>
                <w:highlight w:val="none"/>
              </w:rPr>
              <w:t>审查</w:t>
            </w:r>
          </w:p>
        </w:tc>
        <w:tc>
          <w:tcPr>
            <w:tcW w:w="1884" w:type="dxa"/>
            <w:vAlign w:val="center"/>
          </w:tcPr>
          <w:p w14:paraId="42F2FC39">
            <w:pPr>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文件份数</w:t>
            </w:r>
          </w:p>
        </w:tc>
        <w:tc>
          <w:tcPr>
            <w:tcW w:w="5409" w:type="dxa"/>
            <w:vAlign w:val="center"/>
          </w:tcPr>
          <w:p w14:paraId="7EC2EAC6">
            <w:pPr>
              <w:shd w:val="clea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响应</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zh-CN"/>
              </w:rPr>
              <w:t>数量（含电子文档）符合网上竞采文件要求。</w:t>
            </w:r>
          </w:p>
        </w:tc>
      </w:tr>
      <w:tr w14:paraId="7A70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51C0ED4A">
            <w:pPr>
              <w:shd w:val="clea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00" w:type="dxa"/>
            <w:vAlign w:val="center"/>
          </w:tcPr>
          <w:p w14:paraId="715C0E97">
            <w:pPr>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kern w:val="0"/>
                <w:sz w:val="24"/>
                <w:szCs w:val="24"/>
                <w:highlight w:val="none"/>
              </w:rPr>
              <w:t>程度审查</w:t>
            </w:r>
          </w:p>
        </w:tc>
        <w:tc>
          <w:tcPr>
            <w:tcW w:w="1884" w:type="dxa"/>
            <w:vAlign w:val="center"/>
          </w:tcPr>
          <w:p w14:paraId="73A8A778">
            <w:pPr>
              <w:shd w:val="clea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409" w:type="dxa"/>
            <w:vAlign w:val="center"/>
          </w:tcPr>
          <w:p w14:paraId="282DA719">
            <w:pPr>
              <w:shd w:val="clear"/>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对网上竞采文件第二篇、第三篇规定的内容作出实质性响应。</w:t>
            </w:r>
          </w:p>
        </w:tc>
      </w:tr>
    </w:tbl>
    <w:p w14:paraId="3D21A67B">
      <w:pPr>
        <w:shd w:val="clear"/>
        <w:snapToGrid w:val="0"/>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3.评选方法：综合评分法。</w:t>
      </w:r>
    </w:p>
    <w:p w14:paraId="4EFC886F">
      <w:pPr>
        <w:shd w:val="clear"/>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按评审后得分由高到低的排列顺序推荐综合得分排名前三的供应商为本包（项目）中标候选人，排名第一的为第一中标候选人。得分相同的，按投标报价由低到高顺序排列。得分且投标报价相同的并列。</w:t>
      </w:r>
    </w:p>
    <w:p w14:paraId="490AFCAA">
      <w:pPr>
        <w:shd w:val="clea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8BE6A4">
      <w:pPr>
        <w:shd w:val="clea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31BF619">
      <w:pPr>
        <w:shd w:val="clea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（四）在网上竞采过程中网上竞采的任何一方不得向他人透露与网上竞采有关的服务资料、价格或其他信息。</w:t>
      </w:r>
    </w:p>
    <w:p w14:paraId="25B894A7">
      <w:pPr>
        <w:shd w:val="clear"/>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（五）供应商在网上竞采时作出的所有书面承诺须由法定代表人或其授权代表签字。</w:t>
      </w:r>
    </w:p>
    <w:p w14:paraId="352B7E4C">
      <w:pPr>
        <w:pStyle w:val="3"/>
        <w:shd w:val="clear"/>
        <w:spacing w:line="240" w:lineRule="auto"/>
        <w:ind w:firstLine="643"/>
        <w:rPr>
          <w:rFonts w:hint="eastAsia" w:ascii="仿宋" w:hAnsi="仿宋" w:eastAsia="仿宋" w:cs="仿宋"/>
          <w:color w:val="auto"/>
          <w:highlight w:val="none"/>
        </w:rPr>
      </w:pPr>
      <w:bookmarkStart w:id="102" w:name="_Toc183783146"/>
      <w:r>
        <w:rPr>
          <w:rFonts w:hint="eastAsia" w:ascii="仿宋" w:hAnsi="仿宋" w:eastAsia="仿宋" w:cs="仿宋"/>
          <w:color w:val="auto"/>
          <w:highlight w:val="none"/>
        </w:rPr>
        <w:t>二、评审标准</w:t>
      </w:r>
      <w:bookmarkEnd w:id="102"/>
    </w:p>
    <w:p w14:paraId="6098F9DB">
      <w:pPr>
        <w:pStyle w:val="7"/>
        <w:shd w:val="clear"/>
        <w:ind w:firstLine="640"/>
        <w:rPr>
          <w:rFonts w:hint="eastAsia" w:ascii="仿宋" w:hAnsi="仿宋" w:eastAsia="仿宋" w:cs="仿宋"/>
          <w:color w:val="auto"/>
          <w:highlight w:val="none"/>
        </w:rPr>
      </w:pPr>
      <w:bookmarkStart w:id="103" w:name="_Hlk27399823"/>
      <w:r>
        <w:rPr>
          <w:rFonts w:hint="eastAsia" w:ascii="仿宋" w:hAnsi="仿宋" w:eastAsia="仿宋" w:cs="仿宋"/>
          <w:color w:val="auto"/>
          <w:highlight w:val="none"/>
        </w:rPr>
        <w:t>（一）评审因素</w:t>
      </w:r>
    </w:p>
    <w:tbl>
      <w:tblPr>
        <w:tblStyle w:val="20"/>
        <w:tblW w:w="8682"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3"/>
        <w:gridCol w:w="1219"/>
        <w:gridCol w:w="951"/>
        <w:gridCol w:w="832"/>
        <w:gridCol w:w="3742"/>
        <w:gridCol w:w="1375"/>
      </w:tblGrid>
      <w:tr w14:paraId="61BE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63" w:type="dxa"/>
            <w:shd w:val="clear" w:color="auto" w:fill="auto"/>
            <w:vAlign w:val="center"/>
          </w:tcPr>
          <w:p w14:paraId="299C3043">
            <w:pPr>
              <w:shd w:val="clea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219" w:type="dxa"/>
            <w:shd w:val="clear" w:color="auto" w:fill="auto"/>
            <w:vAlign w:val="center"/>
          </w:tcPr>
          <w:p w14:paraId="2336B8A2">
            <w:pPr>
              <w:shd w:val="clea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评分因素</w:t>
            </w:r>
          </w:p>
          <w:p w14:paraId="3F3C0DF4">
            <w:pPr>
              <w:shd w:val="clea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及权重</w:t>
            </w:r>
          </w:p>
        </w:tc>
        <w:tc>
          <w:tcPr>
            <w:tcW w:w="951" w:type="dxa"/>
            <w:shd w:val="clear" w:color="auto" w:fill="auto"/>
            <w:vAlign w:val="center"/>
          </w:tcPr>
          <w:p w14:paraId="1E1DD091">
            <w:pPr>
              <w:shd w:val="clea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分值</w:t>
            </w:r>
          </w:p>
        </w:tc>
        <w:tc>
          <w:tcPr>
            <w:tcW w:w="4574" w:type="dxa"/>
            <w:gridSpan w:val="2"/>
            <w:shd w:val="clear" w:color="auto" w:fill="auto"/>
            <w:vAlign w:val="center"/>
          </w:tcPr>
          <w:p w14:paraId="59D91F15">
            <w:pPr>
              <w:shd w:val="clear"/>
              <w:ind w:firstLine="28"/>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c>
          <w:tcPr>
            <w:tcW w:w="1375" w:type="dxa"/>
            <w:shd w:val="clear" w:color="auto" w:fill="auto"/>
            <w:vAlign w:val="center"/>
          </w:tcPr>
          <w:p w14:paraId="7C908700">
            <w:pPr>
              <w:pStyle w:val="26"/>
              <w:shd w:val="clear"/>
              <w:spacing w:before="0" w:after="0"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tc>
      </w:tr>
      <w:tr w14:paraId="0EEC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shd w:val="clear" w:color="auto" w:fill="auto"/>
            <w:vAlign w:val="center"/>
          </w:tcPr>
          <w:p w14:paraId="0E708C1E">
            <w:pPr>
              <w:shd w:val="clea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19" w:type="dxa"/>
            <w:shd w:val="clear" w:color="auto" w:fill="auto"/>
            <w:vAlign w:val="center"/>
          </w:tcPr>
          <w:p w14:paraId="1F8827D6">
            <w:pPr>
              <w:shd w:val="clea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竞采报价</w:t>
            </w:r>
          </w:p>
          <w:p w14:paraId="6CD254B6">
            <w:pPr>
              <w:shd w:val="clea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p>
        </w:tc>
        <w:tc>
          <w:tcPr>
            <w:tcW w:w="951" w:type="dxa"/>
            <w:shd w:val="clear" w:color="auto" w:fill="auto"/>
            <w:vAlign w:val="center"/>
          </w:tcPr>
          <w:p w14:paraId="70C822C0">
            <w:pPr>
              <w:shd w:val="clear"/>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20分</w:t>
            </w:r>
          </w:p>
        </w:tc>
        <w:tc>
          <w:tcPr>
            <w:tcW w:w="4574" w:type="dxa"/>
            <w:gridSpan w:val="2"/>
            <w:shd w:val="clear" w:color="auto" w:fill="auto"/>
            <w:vAlign w:val="center"/>
          </w:tcPr>
          <w:p w14:paraId="66AEC922">
            <w:pPr>
              <w:shd w:val="clea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满足资格性、符合性要求且</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rPr>
              <w:t>最低为竞采基准价，其价格分为满分。其他供应商的价格分统一按照下列公式计算：</w:t>
            </w:r>
          </w:p>
          <w:p w14:paraId="654EAC22">
            <w:pPr>
              <w:shd w:val="clea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竞采报价得分=（竞采基准价/竞采</w:t>
            </w:r>
            <w:r>
              <w:rPr>
                <w:rFonts w:hint="eastAsia" w:ascii="仿宋" w:hAnsi="仿宋" w:eastAsia="仿宋" w:cs="仿宋"/>
                <w:color w:val="auto"/>
                <w:sz w:val="21"/>
                <w:szCs w:val="21"/>
                <w:highlight w:val="none"/>
                <w:lang w:val="en-US" w:eastAsia="zh-CN"/>
              </w:rPr>
              <w:t>报价</w:t>
            </w:r>
            <w:r>
              <w:rPr>
                <w:rFonts w:hint="eastAsia" w:ascii="仿宋" w:hAnsi="仿宋" w:eastAsia="仿宋" w:cs="仿宋"/>
                <w:color w:val="auto"/>
                <w:sz w:val="21"/>
                <w:szCs w:val="21"/>
                <w:highlight w:val="none"/>
              </w:rPr>
              <w:t>）×价格权值×100（按四舍五入法保留两位小数）</w:t>
            </w:r>
          </w:p>
        </w:tc>
        <w:tc>
          <w:tcPr>
            <w:tcW w:w="1375" w:type="dxa"/>
            <w:shd w:val="clear" w:color="auto" w:fill="auto"/>
            <w:vAlign w:val="center"/>
          </w:tcPr>
          <w:p w14:paraId="76BE2889">
            <w:pPr>
              <w:shd w:val="clear"/>
              <w:ind w:left="-3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高于预算价为无效报价</w:t>
            </w:r>
          </w:p>
        </w:tc>
      </w:tr>
      <w:tr w14:paraId="52F3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63" w:type="dxa"/>
            <w:vMerge w:val="restart"/>
            <w:shd w:val="clear" w:color="auto" w:fill="auto"/>
            <w:vAlign w:val="center"/>
          </w:tcPr>
          <w:p w14:paraId="729D4F9F">
            <w:pPr>
              <w:shd w:val="clea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219" w:type="dxa"/>
            <w:vMerge w:val="restart"/>
            <w:shd w:val="clear" w:color="auto" w:fill="auto"/>
            <w:vAlign w:val="center"/>
          </w:tcPr>
          <w:p w14:paraId="50066B01">
            <w:pPr>
              <w:shd w:val="clea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服务部分</w:t>
            </w:r>
          </w:p>
          <w:p w14:paraId="12068065">
            <w:pPr>
              <w:shd w:val="clea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0%）</w:t>
            </w:r>
          </w:p>
        </w:tc>
        <w:tc>
          <w:tcPr>
            <w:tcW w:w="951" w:type="dxa"/>
            <w:vMerge w:val="restart"/>
            <w:shd w:val="clear" w:color="auto" w:fill="auto"/>
            <w:vAlign w:val="center"/>
          </w:tcPr>
          <w:p w14:paraId="43829E5C">
            <w:pPr>
              <w:shd w:val="clear"/>
              <w:ind w:firstLine="28"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60分</w:t>
            </w:r>
          </w:p>
        </w:tc>
        <w:tc>
          <w:tcPr>
            <w:tcW w:w="832" w:type="dxa"/>
            <w:shd w:val="clear" w:color="auto" w:fill="auto"/>
            <w:vAlign w:val="center"/>
          </w:tcPr>
          <w:p w14:paraId="4E0FB98D">
            <w:pPr>
              <w:shd w:val="clear"/>
              <w:wordWrap/>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整体服务方案</w:t>
            </w:r>
          </w:p>
          <w:p w14:paraId="46A8E544">
            <w:pPr>
              <w:shd w:val="clear"/>
              <w:wordWrap/>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20分</w:t>
            </w:r>
            <w:r>
              <w:rPr>
                <w:rFonts w:hint="eastAsia" w:ascii="仿宋" w:hAnsi="仿宋" w:eastAsia="仿宋" w:cs="仿宋"/>
                <w:color w:val="auto"/>
                <w:sz w:val="21"/>
                <w:szCs w:val="21"/>
                <w:highlight w:val="none"/>
                <w:lang w:eastAsia="zh-CN"/>
              </w:rPr>
              <w:t>）</w:t>
            </w:r>
          </w:p>
        </w:tc>
        <w:tc>
          <w:tcPr>
            <w:tcW w:w="3742" w:type="dxa"/>
            <w:shd w:val="clear" w:color="auto" w:fill="auto"/>
            <w:vAlign w:val="center"/>
          </w:tcPr>
          <w:p w14:paraId="4CFF32BC">
            <w:pPr>
              <w:shd w:val="clear"/>
              <w:snapToGrid/>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供应商</w:t>
            </w:r>
            <w:r>
              <w:rPr>
                <w:rFonts w:hint="eastAsia" w:ascii="仿宋" w:hAnsi="仿宋" w:eastAsia="仿宋" w:cs="仿宋"/>
                <w:color w:val="auto"/>
                <w:sz w:val="21"/>
                <w:szCs w:val="21"/>
                <w:highlight w:val="none"/>
                <w:lang w:val="zh-CN"/>
              </w:rPr>
              <w:t>针对本</w:t>
            </w:r>
            <w:r>
              <w:rPr>
                <w:rFonts w:hint="eastAsia" w:ascii="仿宋" w:hAnsi="仿宋" w:eastAsia="仿宋" w:cs="仿宋"/>
                <w:color w:val="auto"/>
                <w:sz w:val="21"/>
                <w:szCs w:val="21"/>
                <w:highlight w:val="none"/>
              </w:rPr>
              <w:t>项目</w:t>
            </w:r>
            <w:r>
              <w:rPr>
                <w:rFonts w:hint="eastAsia" w:ascii="仿宋" w:hAnsi="仿宋" w:eastAsia="仿宋" w:cs="仿宋"/>
                <w:color w:val="auto"/>
                <w:sz w:val="21"/>
                <w:szCs w:val="21"/>
                <w:highlight w:val="none"/>
                <w:lang w:val="zh-CN"/>
              </w:rPr>
              <w:t>工作内容提供</w:t>
            </w:r>
            <w:r>
              <w:rPr>
                <w:rFonts w:hint="eastAsia" w:ascii="仿宋" w:hAnsi="仿宋" w:eastAsia="仿宋" w:cs="仿宋"/>
                <w:b w:val="0"/>
                <w:bCs w:val="0"/>
                <w:color w:val="auto"/>
                <w:sz w:val="21"/>
                <w:szCs w:val="21"/>
                <w:highlight w:val="none"/>
                <w:lang w:val="zh-CN"/>
              </w:rPr>
              <w:t>“整体服务方案”</w:t>
            </w:r>
            <w:r>
              <w:rPr>
                <w:rFonts w:hint="eastAsia" w:ascii="仿宋" w:hAnsi="仿宋" w:eastAsia="仿宋" w:cs="仿宋"/>
                <w:color w:val="auto"/>
                <w:sz w:val="21"/>
                <w:szCs w:val="21"/>
                <w:highlight w:val="none"/>
                <w:lang w:val="zh-CN"/>
              </w:rPr>
              <w:t>，</w:t>
            </w:r>
            <w:r>
              <w:rPr>
                <w:rFonts w:hint="eastAsia" w:ascii="仿宋" w:hAnsi="仿宋" w:eastAsia="仿宋" w:cs="仿宋"/>
                <w:color w:val="auto"/>
                <w:kern w:val="2"/>
                <w:sz w:val="21"/>
                <w:szCs w:val="21"/>
                <w:highlight w:val="none"/>
                <w:shd w:val="clear"/>
              </w:rPr>
              <w:t>服务</w:t>
            </w:r>
            <w:r>
              <w:rPr>
                <w:rFonts w:hint="eastAsia" w:ascii="仿宋" w:hAnsi="仿宋" w:eastAsia="仿宋" w:cs="仿宋"/>
                <w:color w:val="auto"/>
                <w:kern w:val="2"/>
                <w:sz w:val="21"/>
                <w:szCs w:val="21"/>
                <w:highlight w:val="none"/>
              </w:rPr>
              <w:t>方案</w:t>
            </w:r>
            <w:r>
              <w:rPr>
                <w:rFonts w:hint="eastAsia" w:ascii="仿宋" w:hAnsi="仿宋" w:eastAsia="仿宋" w:cs="仿宋"/>
                <w:color w:val="auto"/>
                <w:sz w:val="21"/>
                <w:szCs w:val="21"/>
                <w:highlight w:val="none"/>
              </w:rPr>
              <w:t>内容包括但不限于：</w:t>
            </w:r>
            <w:r>
              <w:rPr>
                <w:rFonts w:hint="eastAsia" w:ascii="仿宋" w:hAnsi="仿宋" w:eastAsia="仿宋" w:cs="仿宋"/>
                <w:color w:val="auto"/>
                <w:kern w:val="2"/>
                <w:sz w:val="21"/>
                <w:szCs w:val="21"/>
                <w:highlight w:val="none"/>
              </w:rPr>
              <w:t>①</w:t>
            </w:r>
            <w:r>
              <w:rPr>
                <w:rFonts w:hint="eastAsia" w:ascii="仿宋" w:hAnsi="仿宋" w:eastAsia="仿宋" w:cs="仿宋"/>
                <w:color w:val="auto"/>
                <w:kern w:val="2"/>
                <w:sz w:val="21"/>
                <w:szCs w:val="21"/>
                <w:highlight w:val="none"/>
                <w:lang w:val="en-US" w:eastAsia="zh-CN"/>
              </w:rPr>
              <w:t>股权资产评估</w:t>
            </w:r>
            <w:r>
              <w:rPr>
                <w:rFonts w:hint="eastAsia" w:ascii="仿宋" w:hAnsi="仿宋" w:eastAsia="仿宋" w:cs="仿宋"/>
                <w:color w:val="auto"/>
                <w:kern w:val="2"/>
                <w:sz w:val="21"/>
                <w:szCs w:val="21"/>
                <w:highlight w:val="none"/>
              </w:rPr>
              <w:t>人员安排、②</w:t>
            </w:r>
            <w:r>
              <w:rPr>
                <w:rFonts w:hint="eastAsia" w:ascii="仿宋" w:hAnsi="仿宋" w:eastAsia="仿宋" w:cs="仿宋"/>
                <w:color w:val="auto"/>
                <w:kern w:val="2"/>
                <w:sz w:val="21"/>
                <w:szCs w:val="21"/>
                <w:highlight w:val="none"/>
                <w:lang w:val="en-US" w:eastAsia="zh-CN"/>
              </w:rPr>
              <w:t>股权资产评估</w:t>
            </w:r>
            <w:r>
              <w:rPr>
                <w:rFonts w:hint="eastAsia" w:ascii="仿宋" w:hAnsi="仿宋" w:eastAsia="仿宋" w:cs="仿宋"/>
                <w:color w:val="auto"/>
                <w:kern w:val="2"/>
                <w:sz w:val="21"/>
                <w:szCs w:val="21"/>
                <w:highlight w:val="none"/>
              </w:rPr>
              <w:t>流程、③项目的重难点等。</w:t>
            </w:r>
            <w:r>
              <w:rPr>
                <w:rFonts w:hint="eastAsia" w:ascii="仿宋" w:hAnsi="仿宋" w:eastAsia="仿宋" w:cs="仿宋"/>
                <w:color w:val="auto"/>
                <w:sz w:val="21"/>
                <w:szCs w:val="21"/>
                <w:highlight w:val="none"/>
                <w:lang w:val="zh-CN"/>
              </w:rPr>
              <w:t>可从方案的合理性、完整性、针对性及可操作性等方面进行评审。</w:t>
            </w:r>
          </w:p>
          <w:p w14:paraId="25997525">
            <w:pPr>
              <w:shd w:val="clear"/>
              <w:snapToGrid/>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①</w:t>
            </w:r>
            <w:r>
              <w:rPr>
                <w:rFonts w:hint="eastAsia" w:ascii="仿宋" w:hAnsi="仿宋" w:eastAsia="仿宋" w:cs="仿宋"/>
                <w:b w:val="0"/>
                <w:bCs w:val="0"/>
                <w:color w:val="auto"/>
                <w:sz w:val="21"/>
                <w:szCs w:val="21"/>
                <w:highlight w:val="none"/>
                <w:lang w:val="zh-CN"/>
              </w:rPr>
              <w:t>整体服务方案</w:t>
            </w:r>
            <w:r>
              <w:rPr>
                <w:rFonts w:hint="eastAsia" w:ascii="仿宋" w:hAnsi="仿宋" w:eastAsia="仿宋" w:cs="仿宋"/>
                <w:color w:val="auto"/>
                <w:sz w:val="21"/>
                <w:szCs w:val="21"/>
                <w:highlight w:val="none"/>
                <w:lang w:val="zh-CN"/>
              </w:rPr>
              <w:t>优（方案合理、完整性、针对性及可操作性强）得</w:t>
            </w:r>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lang w:val="zh-CN"/>
              </w:rPr>
              <w:t>分；</w:t>
            </w:r>
          </w:p>
          <w:p w14:paraId="78257794">
            <w:pPr>
              <w:shd w:val="clear"/>
              <w:snapToGrid/>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②</w:t>
            </w:r>
            <w:r>
              <w:rPr>
                <w:rFonts w:hint="eastAsia" w:ascii="仿宋" w:hAnsi="仿宋" w:eastAsia="仿宋" w:cs="仿宋"/>
                <w:b w:val="0"/>
                <w:bCs w:val="0"/>
                <w:color w:val="auto"/>
                <w:sz w:val="21"/>
                <w:szCs w:val="21"/>
                <w:highlight w:val="none"/>
                <w:lang w:val="zh-CN"/>
              </w:rPr>
              <w:t>整体服务方案</w:t>
            </w:r>
            <w:r>
              <w:rPr>
                <w:rFonts w:hint="eastAsia" w:ascii="仿宋" w:hAnsi="仿宋" w:eastAsia="仿宋" w:cs="仿宋"/>
                <w:color w:val="auto"/>
                <w:sz w:val="21"/>
                <w:szCs w:val="21"/>
                <w:highlight w:val="none"/>
                <w:lang w:val="zh-CN"/>
              </w:rPr>
              <w:t>良（方案合理、完整性、针对性及可操作性较强）得</w:t>
            </w:r>
            <w:r>
              <w:rPr>
                <w:rFonts w:hint="eastAsia" w:ascii="仿宋" w:hAnsi="仿宋" w:eastAsia="仿宋" w:cs="仿宋"/>
                <w:color w:val="auto"/>
                <w:sz w:val="21"/>
                <w:szCs w:val="21"/>
                <w:highlight w:val="none"/>
              </w:rPr>
              <w:t>15</w:t>
            </w:r>
            <w:r>
              <w:rPr>
                <w:rFonts w:hint="eastAsia" w:ascii="仿宋" w:hAnsi="仿宋" w:eastAsia="仿宋" w:cs="仿宋"/>
                <w:color w:val="auto"/>
                <w:sz w:val="21"/>
                <w:szCs w:val="21"/>
                <w:highlight w:val="none"/>
                <w:lang w:val="zh-CN"/>
              </w:rPr>
              <w:t>分；</w:t>
            </w:r>
          </w:p>
          <w:p w14:paraId="00F86D29">
            <w:pPr>
              <w:shd w:val="clear"/>
              <w:snapToGrid/>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③</w:t>
            </w:r>
            <w:r>
              <w:rPr>
                <w:rFonts w:hint="eastAsia" w:ascii="仿宋" w:hAnsi="仿宋" w:eastAsia="仿宋" w:cs="仿宋"/>
                <w:b w:val="0"/>
                <w:bCs w:val="0"/>
                <w:color w:val="auto"/>
                <w:sz w:val="21"/>
                <w:szCs w:val="21"/>
                <w:highlight w:val="none"/>
                <w:lang w:val="zh-CN"/>
              </w:rPr>
              <w:t>整体服务方案</w:t>
            </w:r>
            <w:r>
              <w:rPr>
                <w:rFonts w:hint="eastAsia" w:ascii="仿宋" w:hAnsi="仿宋" w:eastAsia="仿宋" w:cs="仿宋"/>
                <w:color w:val="auto"/>
                <w:sz w:val="21"/>
                <w:szCs w:val="21"/>
                <w:highlight w:val="none"/>
                <w:lang w:val="zh-CN"/>
              </w:rPr>
              <w:t>一般（方案合理、完整性、针对性及可操作性一般）得</w:t>
            </w:r>
            <w:r>
              <w:rPr>
                <w:rFonts w:hint="eastAsia" w:ascii="仿宋" w:hAnsi="仿宋" w:eastAsia="仿宋" w:cs="仿宋"/>
                <w:color w:val="auto"/>
                <w:sz w:val="21"/>
                <w:szCs w:val="21"/>
                <w:highlight w:val="none"/>
              </w:rPr>
              <w:t>10</w:t>
            </w:r>
            <w:r>
              <w:rPr>
                <w:rFonts w:hint="eastAsia" w:ascii="仿宋" w:hAnsi="仿宋" w:eastAsia="仿宋" w:cs="仿宋"/>
                <w:color w:val="auto"/>
                <w:sz w:val="21"/>
                <w:szCs w:val="21"/>
                <w:highlight w:val="none"/>
                <w:lang w:val="zh-CN"/>
              </w:rPr>
              <w:t>分；</w:t>
            </w:r>
          </w:p>
          <w:p w14:paraId="49B47479">
            <w:pPr>
              <w:shd w:val="clear"/>
              <w:snapToGrid/>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④</w:t>
            </w:r>
            <w:r>
              <w:rPr>
                <w:rFonts w:hint="eastAsia" w:ascii="仿宋" w:hAnsi="仿宋" w:eastAsia="仿宋" w:cs="仿宋"/>
                <w:b w:val="0"/>
                <w:bCs w:val="0"/>
                <w:color w:val="auto"/>
                <w:sz w:val="21"/>
                <w:szCs w:val="21"/>
                <w:highlight w:val="none"/>
                <w:lang w:val="zh-CN"/>
              </w:rPr>
              <w:t>整体服务方案</w:t>
            </w:r>
            <w:r>
              <w:rPr>
                <w:rFonts w:hint="eastAsia" w:ascii="仿宋" w:hAnsi="仿宋" w:eastAsia="仿宋" w:cs="仿宋"/>
                <w:color w:val="auto"/>
                <w:sz w:val="21"/>
                <w:szCs w:val="21"/>
                <w:highlight w:val="none"/>
                <w:lang w:val="zh-CN"/>
              </w:rPr>
              <w:t>差（方案不合理、不完整、没有针对性及可操作性）得</w:t>
            </w: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zh-CN"/>
              </w:rPr>
              <w:t>分；</w:t>
            </w:r>
          </w:p>
          <w:p w14:paraId="65849D5C">
            <w:pPr>
              <w:shd w:val="clear"/>
              <w:wordWrap/>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⑤</w:t>
            </w:r>
            <w:r>
              <w:rPr>
                <w:rFonts w:hint="eastAsia" w:ascii="仿宋" w:hAnsi="仿宋" w:eastAsia="仿宋" w:cs="仿宋"/>
                <w:b w:val="0"/>
                <w:bCs w:val="0"/>
                <w:color w:val="auto"/>
                <w:sz w:val="21"/>
                <w:szCs w:val="21"/>
                <w:highlight w:val="none"/>
                <w:lang w:val="zh-CN"/>
              </w:rPr>
              <w:t>整体服务方案</w:t>
            </w:r>
            <w:r>
              <w:rPr>
                <w:rFonts w:hint="eastAsia" w:ascii="仿宋" w:hAnsi="仿宋" w:eastAsia="仿宋" w:cs="仿宋"/>
                <w:color w:val="auto"/>
                <w:sz w:val="21"/>
                <w:szCs w:val="21"/>
                <w:highlight w:val="none"/>
                <w:lang w:val="zh-CN"/>
              </w:rPr>
              <w:t>未提供得0分。</w:t>
            </w:r>
          </w:p>
        </w:tc>
        <w:tc>
          <w:tcPr>
            <w:tcW w:w="1375" w:type="dxa"/>
            <w:vMerge w:val="restart"/>
            <w:shd w:val="clear" w:color="auto" w:fill="auto"/>
            <w:vAlign w:val="center"/>
          </w:tcPr>
          <w:p w14:paraId="777EB05F">
            <w:pPr>
              <w:shd w:val="clea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供应商在响应文件中提供方案，格式自拟</w:t>
            </w:r>
          </w:p>
        </w:tc>
      </w:tr>
      <w:tr w14:paraId="6296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563" w:type="dxa"/>
            <w:vMerge w:val="continue"/>
            <w:shd w:val="clear" w:color="auto" w:fill="auto"/>
            <w:vAlign w:val="center"/>
          </w:tcPr>
          <w:p w14:paraId="124E8AD3">
            <w:pPr>
              <w:shd w:val="clear"/>
              <w:rPr>
                <w:rFonts w:hint="eastAsia" w:ascii="仿宋" w:hAnsi="仿宋" w:eastAsia="仿宋" w:cs="仿宋"/>
                <w:color w:val="auto"/>
                <w:highlight w:val="none"/>
              </w:rPr>
            </w:pPr>
          </w:p>
        </w:tc>
        <w:tc>
          <w:tcPr>
            <w:tcW w:w="1219" w:type="dxa"/>
            <w:vMerge w:val="continue"/>
            <w:shd w:val="clear" w:color="auto" w:fill="auto"/>
            <w:vAlign w:val="center"/>
          </w:tcPr>
          <w:p w14:paraId="7A6E6B7E">
            <w:pPr>
              <w:shd w:val="clear"/>
              <w:rPr>
                <w:rFonts w:hint="eastAsia" w:ascii="仿宋" w:hAnsi="仿宋" w:eastAsia="仿宋" w:cs="仿宋"/>
                <w:color w:val="auto"/>
                <w:highlight w:val="none"/>
              </w:rPr>
            </w:pPr>
          </w:p>
        </w:tc>
        <w:tc>
          <w:tcPr>
            <w:tcW w:w="951" w:type="dxa"/>
            <w:vMerge w:val="continue"/>
            <w:shd w:val="clear" w:color="auto" w:fill="auto"/>
            <w:vAlign w:val="center"/>
          </w:tcPr>
          <w:p w14:paraId="6346C956">
            <w:pPr>
              <w:shd w:val="clear"/>
              <w:rPr>
                <w:rFonts w:hint="eastAsia" w:ascii="仿宋" w:hAnsi="仿宋" w:eastAsia="仿宋" w:cs="仿宋"/>
                <w:color w:val="auto"/>
                <w:highlight w:val="none"/>
              </w:rPr>
            </w:pPr>
          </w:p>
        </w:tc>
        <w:tc>
          <w:tcPr>
            <w:tcW w:w="832" w:type="dxa"/>
            <w:shd w:val="clear" w:color="auto" w:fill="auto"/>
            <w:vAlign w:val="center"/>
          </w:tcPr>
          <w:p w14:paraId="7CC96EA3">
            <w:pPr>
              <w:shd w:val="clear"/>
              <w:wordWrap/>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进度计划方案</w:t>
            </w:r>
          </w:p>
          <w:p w14:paraId="0C7E871D">
            <w:pPr>
              <w:shd w:val="clear"/>
              <w:wordWrap/>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tc>
        <w:tc>
          <w:tcPr>
            <w:tcW w:w="3742" w:type="dxa"/>
            <w:shd w:val="clear" w:color="auto" w:fill="auto"/>
            <w:vAlign w:val="center"/>
          </w:tcPr>
          <w:p w14:paraId="6892E5F6">
            <w:pPr>
              <w:shd w:val="clear"/>
              <w:snapToGrid/>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供应商</w:t>
            </w:r>
            <w:r>
              <w:rPr>
                <w:rFonts w:hint="eastAsia" w:ascii="仿宋" w:hAnsi="仿宋" w:eastAsia="仿宋" w:cs="仿宋"/>
                <w:color w:val="auto"/>
                <w:sz w:val="21"/>
                <w:szCs w:val="21"/>
                <w:highlight w:val="none"/>
                <w:lang w:val="zh-CN"/>
              </w:rPr>
              <w:t>针对本</w:t>
            </w:r>
            <w:r>
              <w:rPr>
                <w:rFonts w:hint="eastAsia" w:ascii="仿宋" w:hAnsi="仿宋" w:eastAsia="仿宋" w:cs="仿宋"/>
                <w:color w:val="auto"/>
                <w:sz w:val="21"/>
                <w:szCs w:val="21"/>
                <w:highlight w:val="none"/>
              </w:rPr>
              <w:t>项目</w:t>
            </w:r>
            <w:r>
              <w:rPr>
                <w:rFonts w:hint="eastAsia" w:ascii="仿宋" w:hAnsi="仿宋" w:eastAsia="仿宋" w:cs="仿宋"/>
                <w:color w:val="auto"/>
                <w:sz w:val="21"/>
                <w:szCs w:val="21"/>
                <w:highlight w:val="none"/>
                <w:lang w:val="zh-CN"/>
              </w:rPr>
              <w:t>工作内容提供</w:t>
            </w:r>
            <w:r>
              <w:rPr>
                <w:rFonts w:hint="eastAsia" w:ascii="仿宋" w:hAnsi="仿宋" w:eastAsia="仿宋" w:cs="仿宋"/>
                <w:b w:val="0"/>
                <w:bCs w:val="0"/>
                <w:color w:val="auto"/>
                <w:sz w:val="21"/>
                <w:szCs w:val="21"/>
                <w:highlight w:val="none"/>
                <w:lang w:val="zh-CN"/>
              </w:rPr>
              <w:t>“进度计划方案 ”</w:t>
            </w:r>
            <w:r>
              <w:rPr>
                <w:rFonts w:hint="eastAsia" w:ascii="仿宋" w:hAnsi="仿宋" w:eastAsia="仿宋" w:cs="仿宋"/>
                <w:color w:val="auto"/>
                <w:sz w:val="21"/>
                <w:szCs w:val="21"/>
                <w:highlight w:val="none"/>
                <w:lang w:val="zh-CN"/>
              </w:rPr>
              <w:t>，</w:t>
            </w:r>
            <w:r>
              <w:rPr>
                <w:rFonts w:hint="eastAsia" w:ascii="仿宋" w:hAnsi="仿宋" w:eastAsia="仿宋" w:cs="仿宋"/>
                <w:color w:val="auto"/>
                <w:kern w:val="2"/>
                <w:sz w:val="21"/>
                <w:szCs w:val="21"/>
                <w:highlight w:val="none"/>
                <w:shd w:val="clear"/>
              </w:rPr>
              <w:t>进度计划</w:t>
            </w:r>
            <w:r>
              <w:rPr>
                <w:rFonts w:hint="eastAsia" w:ascii="仿宋" w:hAnsi="仿宋" w:eastAsia="仿宋" w:cs="仿宋"/>
                <w:color w:val="auto"/>
                <w:kern w:val="2"/>
                <w:sz w:val="21"/>
                <w:szCs w:val="21"/>
                <w:highlight w:val="none"/>
              </w:rPr>
              <w:t>方案</w:t>
            </w:r>
            <w:r>
              <w:rPr>
                <w:rFonts w:hint="eastAsia" w:ascii="仿宋" w:hAnsi="仿宋" w:eastAsia="仿宋" w:cs="仿宋"/>
                <w:color w:val="auto"/>
                <w:sz w:val="21"/>
                <w:szCs w:val="21"/>
                <w:highlight w:val="none"/>
              </w:rPr>
              <w:t>内容包括但不限于：</w:t>
            </w:r>
            <w:r>
              <w:rPr>
                <w:rFonts w:hint="eastAsia" w:ascii="仿宋" w:hAnsi="仿宋" w:eastAsia="仿宋" w:cs="仿宋"/>
                <w:color w:val="auto"/>
                <w:kern w:val="2"/>
                <w:sz w:val="21"/>
                <w:szCs w:val="21"/>
                <w:highlight w:val="none"/>
              </w:rPr>
              <w:t>①整体进度计划、②各时间节点安排等。</w:t>
            </w:r>
            <w:r>
              <w:rPr>
                <w:rFonts w:hint="eastAsia" w:ascii="仿宋" w:hAnsi="仿宋" w:eastAsia="仿宋" w:cs="仿宋"/>
                <w:color w:val="auto"/>
                <w:sz w:val="21"/>
                <w:szCs w:val="21"/>
                <w:highlight w:val="none"/>
                <w:lang w:val="zh-CN"/>
              </w:rPr>
              <w:t>可从方案的合理性、完整性、针对性及可操作性等方面进行评审。</w:t>
            </w:r>
          </w:p>
          <w:p w14:paraId="2EAFDB7C">
            <w:pPr>
              <w:numPr>
                <w:ilvl w:val="-1"/>
                <w:numId w:val="0"/>
              </w:numPr>
              <w:shd w:val="clear"/>
              <w:snapToGrid/>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①</w:t>
            </w:r>
            <w:r>
              <w:rPr>
                <w:rFonts w:hint="eastAsia" w:ascii="仿宋" w:hAnsi="仿宋" w:eastAsia="仿宋" w:cs="仿宋"/>
                <w:b w:val="0"/>
                <w:bCs w:val="0"/>
                <w:color w:val="auto"/>
                <w:sz w:val="21"/>
                <w:szCs w:val="21"/>
                <w:highlight w:val="none"/>
                <w:lang w:val="zh-CN"/>
              </w:rPr>
              <w:t>进度计划方案</w:t>
            </w:r>
            <w:r>
              <w:rPr>
                <w:rFonts w:hint="eastAsia" w:ascii="仿宋" w:hAnsi="仿宋" w:eastAsia="仿宋" w:cs="仿宋"/>
                <w:color w:val="auto"/>
                <w:sz w:val="21"/>
                <w:szCs w:val="21"/>
                <w:highlight w:val="none"/>
                <w:lang w:val="zh-CN"/>
              </w:rPr>
              <w:t>优（方案合理、完整性、针对性及可操作性强）得</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lang w:val="zh-CN"/>
              </w:rPr>
              <w:t>分；</w:t>
            </w:r>
          </w:p>
          <w:p w14:paraId="0F64DB4A">
            <w:pPr>
              <w:shd w:val="clear"/>
              <w:snapToGrid/>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②</w:t>
            </w:r>
            <w:r>
              <w:rPr>
                <w:rFonts w:hint="eastAsia" w:ascii="仿宋" w:hAnsi="仿宋" w:eastAsia="仿宋" w:cs="仿宋"/>
                <w:b w:val="0"/>
                <w:bCs w:val="0"/>
                <w:color w:val="auto"/>
                <w:sz w:val="21"/>
                <w:szCs w:val="21"/>
                <w:highlight w:val="none"/>
                <w:lang w:val="zh-CN"/>
              </w:rPr>
              <w:t>进度计划方案</w:t>
            </w:r>
            <w:r>
              <w:rPr>
                <w:rFonts w:hint="eastAsia" w:ascii="仿宋" w:hAnsi="仿宋" w:eastAsia="仿宋" w:cs="仿宋"/>
                <w:color w:val="auto"/>
                <w:sz w:val="21"/>
                <w:szCs w:val="21"/>
                <w:highlight w:val="none"/>
                <w:lang w:val="zh-CN"/>
              </w:rPr>
              <w:t>良（方案合理、完整性、针对性及可操作性较强）得</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分；</w:t>
            </w:r>
          </w:p>
          <w:p w14:paraId="67E3DE3E">
            <w:pPr>
              <w:shd w:val="clear"/>
              <w:snapToGrid/>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③</w:t>
            </w:r>
            <w:r>
              <w:rPr>
                <w:rFonts w:hint="eastAsia" w:ascii="仿宋" w:hAnsi="仿宋" w:eastAsia="仿宋" w:cs="仿宋"/>
                <w:b w:val="0"/>
                <w:bCs w:val="0"/>
                <w:color w:val="auto"/>
                <w:sz w:val="21"/>
                <w:szCs w:val="21"/>
                <w:highlight w:val="none"/>
                <w:lang w:val="zh-CN"/>
              </w:rPr>
              <w:t>进度计划方案</w:t>
            </w:r>
            <w:r>
              <w:rPr>
                <w:rFonts w:hint="eastAsia" w:ascii="仿宋" w:hAnsi="仿宋" w:eastAsia="仿宋" w:cs="仿宋"/>
                <w:color w:val="auto"/>
                <w:sz w:val="21"/>
                <w:szCs w:val="21"/>
                <w:highlight w:val="none"/>
                <w:lang w:val="zh-CN"/>
              </w:rPr>
              <w:t>一般（方案合理、完整性、针对性及可操作性一般）得</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lang w:val="zh-CN"/>
              </w:rPr>
              <w:t>分；</w:t>
            </w:r>
          </w:p>
          <w:p w14:paraId="7EEF43EE">
            <w:pPr>
              <w:shd w:val="clear"/>
              <w:snapToGrid/>
              <w:jc w:val="lef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④</w:t>
            </w:r>
            <w:r>
              <w:rPr>
                <w:rFonts w:hint="eastAsia" w:ascii="仿宋" w:hAnsi="仿宋" w:eastAsia="仿宋" w:cs="仿宋"/>
                <w:b w:val="0"/>
                <w:bCs w:val="0"/>
                <w:color w:val="auto"/>
                <w:sz w:val="21"/>
                <w:szCs w:val="21"/>
                <w:highlight w:val="none"/>
                <w:lang w:val="zh-CN"/>
              </w:rPr>
              <w:t>进度计划方案</w:t>
            </w:r>
            <w:r>
              <w:rPr>
                <w:rFonts w:hint="eastAsia" w:ascii="仿宋" w:hAnsi="仿宋" w:eastAsia="仿宋" w:cs="仿宋"/>
                <w:color w:val="auto"/>
                <w:sz w:val="21"/>
                <w:szCs w:val="21"/>
                <w:highlight w:val="none"/>
                <w:lang w:val="zh-CN"/>
              </w:rPr>
              <w:t>差（方案不合理、不完整、没有针对性及可操作性）得</w:t>
            </w: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zh-CN"/>
              </w:rPr>
              <w:t>分；</w:t>
            </w:r>
          </w:p>
          <w:p w14:paraId="5DC9F55E">
            <w:pPr>
              <w:shd w:val="clear"/>
              <w:wordWrap/>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⑤</w:t>
            </w:r>
            <w:r>
              <w:rPr>
                <w:rFonts w:hint="eastAsia" w:ascii="仿宋" w:hAnsi="仿宋" w:eastAsia="仿宋" w:cs="仿宋"/>
                <w:b w:val="0"/>
                <w:bCs w:val="0"/>
                <w:color w:val="auto"/>
                <w:sz w:val="21"/>
                <w:szCs w:val="21"/>
                <w:highlight w:val="none"/>
                <w:lang w:val="zh-CN"/>
              </w:rPr>
              <w:t>进度计划方案</w:t>
            </w:r>
            <w:r>
              <w:rPr>
                <w:rFonts w:hint="eastAsia" w:ascii="仿宋" w:hAnsi="仿宋" w:eastAsia="仿宋" w:cs="仿宋"/>
                <w:color w:val="auto"/>
                <w:sz w:val="21"/>
                <w:szCs w:val="21"/>
                <w:highlight w:val="none"/>
                <w:lang w:val="zh-CN"/>
              </w:rPr>
              <w:t>未提供得0分。</w:t>
            </w:r>
          </w:p>
        </w:tc>
        <w:tc>
          <w:tcPr>
            <w:tcW w:w="1375" w:type="dxa"/>
            <w:vMerge w:val="continue"/>
            <w:shd w:val="clear" w:color="auto" w:fill="auto"/>
            <w:vAlign w:val="center"/>
          </w:tcPr>
          <w:p w14:paraId="60175F75">
            <w:pPr>
              <w:shd w:val="clear"/>
              <w:rPr>
                <w:rFonts w:hint="eastAsia" w:ascii="仿宋" w:hAnsi="仿宋" w:eastAsia="仿宋" w:cs="仿宋"/>
                <w:color w:val="auto"/>
                <w:highlight w:val="none"/>
              </w:rPr>
            </w:pPr>
          </w:p>
        </w:tc>
      </w:tr>
      <w:tr w14:paraId="7594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563" w:type="dxa"/>
            <w:vMerge w:val="continue"/>
            <w:tcBorders>
              <w:bottom w:val="single" w:color="auto" w:sz="4" w:space="0"/>
            </w:tcBorders>
            <w:shd w:val="clear" w:color="auto" w:fill="auto"/>
            <w:vAlign w:val="center"/>
          </w:tcPr>
          <w:p w14:paraId="7B4615CD">
            <w:pPr>
              <w:shd w:val="clear"/>
              <w:rPr>
                <w:color w:val="auto"/>
                <w:highlight w:val="none"/>
              </w:rPr>
            </w:pPr>
          </w:p>
        </w:tc>
        <w:tc>
          <w:tcPr>
            <w:tcW w:w="1219" w:type="dxa"/>
            <w:vMerge w:val="continue"/>
            <w:tcBorders>
              <w:bottom w:val="single" w:color="auto" w:sz="4" w:space="0"/>
            </w:tcBorders>
            <w:shd w:val="clear" w:color="auto" w:fill="auto"/>
            <w:vAlign w:val="center"/>
          </w:tcPr>
          <w:p w14:paraId="44016705">
            <w:pPr>
              <w:shd w:val="clear"/>
              <w:rPr>
                <w:color w:val="auto"/>
                <w:highlight w:val="none"/>
              </w:rPr>
            </w:pPr>
          </w:p>
        </w:tc>
        <w:tc>
          <w:tcPr>
            <w:tcW w:w="951" w:type="dxa"/>
            <w:vMerge w:val="continue"/>
            <w:tcBorders>
              <w:bottom w:val="single" w:color="auto" w:sz="4" w:space="0"/>
            </w:tcBorders>
            <w:shd w:val="clear" w:color="auto" w:fill="auto"/>
            <w:vAlign w:val="center"/>
          </w:tcPr>
          <w:p w14:paraId="66015CD3">
            <w:pPr>
              <w:shd w:val="clear"/>
              <w:rPr>
                <w:color w:val="auto"/>
                <w:highlight w:val="none"/>
              </w:rPr>
            </w:pPr>
          </w:p>
        </w:tc>
        <w:tc>
          <w:tcPr>
            <w:tcW w:w="832" w:type="dxa"/>
            <w:shd w:val="clear" w:color="auto" w:fill="auto"/>
            <w:vAlign w:val="center"/>
          </w:tcPr>
          <w:p w14:paraId="54209DEF">
            <w:pPr>
              <w:shd w:val="clear"/>
              <w:wordWrap/>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质量控制方案</w:t>
            </w:r>
          </w:p>
          <w:p w14:paraId="6BD7693E">
            <w:pPr>
              <w:shd w:val="clear"/>
              <w:wordWrap/>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tc>
        <w:tc>
          <w:tcPr>
            <w:tcW w:w="3742" w:type="dxa"/>
            <w:shd w:val="clear" w:color="auto" w:fill="auto"/>
            <w:vAlign w:val="center"/>
          </w:tcPr>
          <w:p w14:paraId="1F2BC9BE">
            <w:pPr>
              <w:shd w:val="clear"/>
              <w:snapToGrid/>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供应商针对本项目工作内容提供“</w:t>
            </w:r>
            <w:r>
              <w:rPr>
                <w:rFonts w:hint="eastAsia" w:ascii="仿宋" w:hAnsi="仿宋" w:eastAsia="仿宋" w:cs="仿宋"/>
                <w:b w:val="0"/>
                <w:bCs w:val="0"/>
                <w:color w:val="auto"/>
                <w:sz w:val="21"/>
                <w:szCs w:val="21"/>
                <w:highlight w:val="none"/>
              </w:rPr>
              <w:t>质量控制方案</w:t>
            </w:r>
            <w:r>
              <w:rPr>
                <w:rFonts w:hint="eastAsia" w:ascii="仿宋" w:hAnsi="仿宋" w:eastAsia="仿宋" w:cs="仿宋"/>
                <w:color w:val="auto"/>
                <w:sz w:val="21"/>
                <w:szCs w:val="21"/>
                <w:highlight w:val="none"/>
              </w:rPr>
              <w:t>”，</w:t>
            </w:r>
            <w:r>
              <w:rPr>
                <w:rFonts w:hint="eastAsia" w:ascii="仿宋" w:hAnsi="仿宋" w:eastAsia="仿宋" w:cs="仿宋"/>
                <w:color w:val="auto"/>
                <w:kern w:val="2"/>
                <w:sz w:val="21"/>
                <w:szCs w:val="21"/>
                <w:highlight w:val="none"/>
                <w:shd w:val="clear"/>
              </w:rPr>
              <w:t>质量控制</w:t>
            </w:r>
            <w:r>
              <w:rPr>
                <w:rFonts w:hint="eastAsia" w:ascii="仿宋" w:hAnsi="仿宋" w:eastAsia="仿宋" w:cs="仿宋"/>
                <w:color w:val="auto"/>
                <w:sz w:val="21"/>
                <w:szCs w:val="21"/>
                <w:highlight w:val="none"/>
              </w:rPr>
              <w:t>方案内容包括但不限于：①质量控制计划、②质量管理考核体系及措施等。可从方案的合理性、完整性、针对性及可操作性等方面进行评审。</w:t>
            </w:r>
          </w:p>
          <w:p w14:paraId="7AFAB742">
            <w:pPr>
              <w:numPr>
                <w:ilvl w:val="-1"/>
                <w:numId w:val="0"/>
              </w:numPr>
              <w:shd w:val="clear"/>
              <w:snapToGrid/>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①</w:t>
            </w:r>
            <w:r>
              <w:rPr>
                <w:rFonts w:hint="eastAsia" w:ascii="仿宋" w:hAnsi="仿宋" w:eastAsia="仿宋" w:cs="仿宋"/>
                <w:b w:val="0"/>
                <w:bCs w:val="0"/>
                <w:color w:val="auto"/>
                <w:sz w:val="21"/>
                <w:szCs w:val="21"/>
                <w:highlight w:val="none"/>
              </w:rPr>
              <w:t>质量控制方案</w:t>
            </w:r>
            <w:r>
              <w:rPr>
                <w:rFonts w:hint="eastAsia" w:ascii="仿宋" w:hAnsi="仿宋" w:eastAsia="仿宋" w:cs="仿宋"/>
                <w:color w:val="auto"/>
                <w:sz w:val="21"/>
                <w:szCs w:val="21"/>
                <w:highlight w:val="none"/>
              </w:rPr>
              <w:t>优（方案合理、完整性、针对性及可操作性强）得</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w:t>
            </w:r>
          </w:p>
          <w:p w14:paraId="66E517C0">
            <w:pPr>
              <w:numPr>
                <w:ilvl w:val="-1"/>
                <w:numId w:val="0"/>
              </w:numPr>
              <w:shd w:val="clear"/>
              <w:snapToGrid/>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②</w:t>
            </w:r>
            <w:r>
              <w:rPr>
                <w:rFonts w:hint="eastAsia" w:ascii="仿宋" w:hAnsi="仿宋" w:eastAsia="仿宋" w:cs="仿宋"/>
                <w:b w:val="0"/>
                <w:bCs w:val="0"/>
                <w:color w:val="auto"/>
                <w:sz w:val="21"/>
                <w:szCs w:val="21"/>
                <w:highlight w:val="none"/>
              </w:rPr>
              <w:t>质量控制方案</w:t>
            </w:r>
            <w:r>
              <w:rPr>
                <w:rFonts w:hint="eastAsia" w:ascii="仿宋" w:hAnsi="仿宋" w:eastAsia="仿宋" w:cs="仿宋"/>
                <w:color w:val="auto"/>
                <w:sz w:val="21"/>
                <w:szCs w:val="21"/>
                <w:highlight w:val="none"/>
              </w:rPr>
              <w:t>良（方案合理、完整性、针对性及可操作性较强）得1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p w14:paraId="22EDE273">
            <w:pPr>
              <w:numPr>
                <w:ilvl w:val="-1"/>
                <w:numId w:val="0"/>
              </w:numPr>
              <w:shd w:val="clear"/>
              <w:snapToGrid/>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③</w:t>
            </w:r>
            <w:r>
              <w:rPr>
                <w:rFonts w:hint="eastAsia" w:ascii="仿宋" w:hAnsi="仿宋" w:eastAsia="仿宋" w:cs="仿宋"/>
                <w:b w:val="0"/>
                <w:bCs w:val="0"/>
                <w:color w:val="auto"/>
                <w:sz w:val="21"/>
                <w:szCs w:val="21"/>
                <w:highlight w:val="none"/>
              </w:rPr>
              <w:t>质量控制方案</w:t>
            </w:r>
            <w:r>
              <w:rPr>
                <w:rFonts w:hint="eastAsia" w:ascii="仿宋" w:hAnsi="仿宋" w:eastAsia="仿宋" w:cs="仿宋"/>
                <w:color w:val="auto"/>
                <w:sz w:val="21"/>
                <w:szCs w:val="21"/>
                <w:highlight w:val="none"/>
              </w:rPr>
              <w:t>一般（方案合理、完整性、针对性及可操作性一般）得</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p>
          <w:p w14:paraId="4D930054">
            <w:pPr>
              <w:shd w:val="clear"/>
              <w:snapToGrid/>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④</w:t>
            </w:r>
            <w:r>
              <w:rPr>
                <w:rFonts w:hint="eastAsia" w:ascii="仿宋" w:hAnsi="仿宋" w:eastAsia="仿宋" w:cs="仿宋"/>
                <w:b w:val="0"/>
                <w:bCs w:val="0"/>
                <w:color w:val="auto"/>
                <w:sz w:val="21"/>
                <w:szCs w:val="21"/>
                <w:highlight w:val="none"/>
              </w:rPr>
              <w:t>质量控制方案</w:t>
            </w:r>
            <w:r>
              <w:rPr>
                <w:rFonts w:hint="eastAsia" w:ascii="仿宋" w:hAnsi="仿宋" w:eastAsia="仿宋" w:cs="仿宋"/>
                <w:color w:val="auto"/>
                <w:sz w:val="21"/>
                <w:szCs w:val="21"/>
                <w:highlight w:val="none"/>
              </w:rPr>
              <w:t>差（方案不合理、不完整、没有针对性及可操作性）得5分；</w:t>
            </w:r>
          </w:p>
          <w:p w14:paraId="597CE6D7">
            <w:pPr>
              <w:shd w:val="clear"/>
              <w:snapToGrid/>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⑤</w:t>
            </w:r>
            <w:r>
              <w:rPr>
                <w:rFonts w:hint="eastAsia" w:ascii="仿宋" w:hAnsi="仿宋" w:eastAsia="仿宋" w:cs="仿宋"/>
                <w:b w:val="0"/>
                <w:bCs w:val="0"/>
                <w:color w:val="auto"/>
                <w:sz w:val="21"/>
                <w:szCs w:val="21"/>
                <w:highlight w:val="none"/>
              </w:rPr>
              <w:t>质量控制方案</w:t>
            </w:r>
            <w:r>
              <w:rPr>
                <w:rFonts w:hint="eastAsia" w:ascii="仿宋" w:hAnsi="仿宋" w:eastAsia="仿宋" w:cs="仿宋"/>
                <w:color w:val="auto"/>
                <w:sz w:val="21"/>
                <w:szCs w:val="21"/>
                <w:highlight w:val="none"/>
              </w:rPr>
              <w:t>未提供得0分</w:t>
            </w:r>
          </w:p>
        </w:tc>
        <w:tc>
          <w:tcPr>
            <w:tcW w:w="1375" w:type="dxa"/>
            <w:vMerge w:val="continue"/>
            <w:shd w:val="clear" w:color="auto" w:fill="auto"/>
            <w:vAlign w:val="center"/>
          </w:tcPr>
          <w:p w14:paraId="72F8B05F">
            <w:pPr>
              <w:shd w:val="clear"/>
              <w:rPr>
                <w:rFonts w:hint="eastAsia" w:ascii="仿宋" w:hAnsi="仿宋" w:eastAsia="仿宋" w:cs="仿宋"/>
                <w:color w:val="auto"/>
                <w:sz w:val="21"/>
                <w:szCs w:val="21"/>
                <w:highlight w:val="none"/>
                <w:lang w:val="en-US" w:eastAsia="zh-CN"/>
              </w:rPr>
            </w:pPr>
          </w:p>
        </w:tc>
      </w:tr>
      <w:tr w14:paraId="23B4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9"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5BCC081C">
            <w:pPr>
              <w:shd w:val="clea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center"/>
          </w:tcPr>
          <w:p w14:paraId="5344743C">
            <w:pPr>
              <w:shd w:val="clea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商务部分</w:t>
            </w:r>
          </w:p>
          <w:p w14:paraId="460101E8">
            <w:pPr>
              <w:shd w:val="clear"/>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14:paraId="00DBE1AD">
            <w:pPr>
              <w:widowControl/>
              <w:shd w:val="clear"/>
              <w:ind w:firstLine="28"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0"/>
                <w:szCs w:val="20"/>
                <w:highlight w:val="none"/>
                <w:lang w:val="en-US" w:eastAsia="zh-CN" w:bidi="ar"/>
              </w:rPr>
              <w:t>供应商</w:t>
            </w:r>
            <w:r>
              <w:rPr>
                <w:rFonts w:ascii="仿宋" w:hAnsi="仿宋" w:eastAsia="仿宋" w:cs="仿宋"/>
                <w:color w:val="auto"/>
                <w:kern w:val="0"/>
                <w:sz w:val="20"/>
                <w:szCs w:val="20"/>
                <w:highlight w:val="none"/>
                <w:lang w:val="en-US" w:eastAsia="zh-CN" w:bidi="ar"/>
              </w:rPr>
              <w:t>业</w:t>
            </w:r>
            <w:r>
              <w:rPr>
                <w:rFonts w:hint="eastAsia" w:ascii="仿宋" w:hAnsi="仿宋" w:eastAsia="仿宋" w:cs="仿宋"/>
                <w:color w:val="auto"/>
                <w:kern w:val="0"/>
                <w:sz w:val="20"/>
                <w:szCs w:val="20"/>
                <w:highlight w:val="none"/>
                <w:lang w:val="en-US" w:eastAsia="zh-CN" w:bidi="ar"/>
              </w:rPr>
              <w:t>绩（20 分）</w:t>
            </w:r>
          </w:p>
        </w:tc>
        <w:tc>
          <w:tcPr>
            <w:tcW w:w="4574" w:type="dxa"/>
            <w:gridSpan w:val="2"/>
            <w:tcBorders>
              <w:left w:val="single" w:color="auto" w:sz="4" w:space="0"/>
            </w:tcBorders>
            <w:shd w:val="clear" w:color="auto" w:fill="auto"/>
            <w:vAlign w:val="center"/>
          </w:tcPr>
          <w:p w14:paraId="28B6D68A">
            <w:pPr>
              <w:keepNext w:val="0"/>
              <w:keepLines w:val="0"/>
              <w:widowControl/>
              <w:suppressLineNumbers w:val="0"/>
              <w:shd w:val="clear"/>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0"/>
                <w:szCs w:val="20"/>
                <w:highlight w:val="none"/>
                <w:lang w:val="en-US" w:eastAsia="zh-CN" w:bidi="ar"/>
              </w:rPr>
              <w:t>供应商每提供一个</w:t>
            </w:r>
            <w:r>
              <w:rPr>
                <w:rFonts w:ascii="仿宋" w:hAnsi="仿宋" w:eastAsia="仿宋" w:cs="仿宋"/>
                <w:color w:val="auto"/>
                <w:kern w:val="0"/>
                <w:sz w:val="20"/>
                <w:szCs w:val="20"/>
                <w:highlight w:val="none"/>
                <w:lang w:val="en-US" w:eastAsia="zh-CN" w:bidi="ar"/>
              </w:rPr>
              <w:t>自</w:t>
            </w:r>
            <w:r>
              <w:rPr>
                <w:rFonts w:hint="eastAsia" w:ascii="仿宋" w:hAnsi="仿宋" w:eastAsia="仿宋" w:cs="仿宋"/>
                <w:color w:val="auto"/>
                <w:kern w:val="0"/>
                <w:sz w:val="20"/>
                <w:szCs w:val="20"/>
                <w:highlight w:val="none"/>
                <w:lang w:val="en-US" w:eastAsia="zh-CN" w:bidi="ar"/>
              </w:rPr>
              <w:t>2022年1月1日至今的股权资产评估服务业绩得5分，最高得20 分</w:t>
            </w:r>
          </w:p>
        </w:tc>
        <w:tc>
          <w:tcPr>
            <w:tcW w:w="1375" w:type="dxa"/>
            <w:shd w:val="clear" w:color="auto" w:fill="auto"/>
            <w:vAlign w:val="center"/>
          </w:tcPr>
          <w:p w14:paraId="03AA7101">
            <w:pPr>
              <w:widowControl/>
              <w:shd w:val="clear"/>
              <w:ind w:firstLine="0" w:firstLineChars="0"/>
              <w:jc w:val="left"/>
              <w:rPr>
                <w:rFonts w:hint="eastAsia" w:ascii="仿宋" w:hAnsi="仿宋" w:eastAsia="仿宋" w:cs="仿宋"/>
                <w:color w:val="auto"/>
                <w:sz w:val="21"/>
                <w:szCs w:val="21"/>
                <w:highlight w:val="none"/>
                <w:lang w:val="en-US" w:eastAsia="zh-CN"/>
              </w:rPr>
            </w:pPr>
            <w:r>
              <w:rPr>
                <w:rFonts w:ascii="仿宋" w:hAnsi="仿宋" w:eastAsia="仿宋" w:cs="仿宋"/>
                <w:color w:val="auto"/>
                <w:kern w:val="0"/>
                <w:sz w:val="20"/>
                <w:szCs w:val="20"/>
                <w:highlight w:val="none"/>
                <w:lang w:val="en-US" w:eastAsia="zh-CN" w:bidi="ar"/>
              </w:rPr>
              <w:t>提供合同复印件</w:t>
            </w:r>
            <w:r>
              <w:rPr>
                <w:rFonts w:hint="eastAsia" w:ascii="仿宋" w:hAnsi="仿宋" w:eastAsia="仿宋" w:cs="仿宋"/>
                <w:color w:val="auto"/>
                <w:kern w:val="0"/>
                <w:sz w:val="20"/>
                <w:szCs w:val="20"/>
                <w:highlight w:val="none"/>
                <w:lang w:val="en-US" w:eastAsia="zh-CN" w:bidi="ar"/>
              </w:rPr>
              <w:t>并加盖供应商公章。</w:t>
            </w:r>
          </w:p>
        </w:tc>
      </w:tr>
    </w:tbl>
    <w:p w14:paraId="4FE5B440">
      <w:pPr>
        <w:shd w:val="clear"/>
        <w:rPr>
          <w:rFonts w:hint="eastAsia" w:ascii="仿宋" w:hAnsi="仿宋" w:eastAsia="仿宋" w:cs="仿宋"/>
          <w:color w:val="auto"/>
          <w:highlight w:val="none"/>
        </w:rPr>
      </w:pPr>
    </w:p>
    <w:bookmarkEnd w:id="103"/>
    <w:p w14:paraId="58AB485E">
      <w:pPr>
        <w:pStyle w:val="3"/>
        <w:shd w:val="clear"/>
        <w:spacing w:line="240" w:lineRule="auto"/>
        <w:ind w:firstLine="643"/>
        <w:rPr>
          <w:rFonts w:hint="eastAsia" w:ascii="仿宋" w:hAnsi="仿宋" w:eastAsia="仿宋" w:cs="仿宋"/>
          <w:color w:val="auto"/>
          <w:highlight w:val="none"/>
        </w:rPr>
      </w:pPr>
      <w:bookmarkStart w:id="104" w:name="_Toc183783147"/>
      <w:bookmarkStart w:id="105" w:name="_Toc102227313"/>
      <w:bookmarkStart w:id="106" w:name="_Toc76462337"/>
      <w:bookmarkStart w:id="107" w:name="_Toc106030892"/>
      <w:r>
        <w:rPr>
          <w:rFonts w:hint="eastAsia" w:ascii="仿宋" w:hAnsi="仿宋" w:eastAsia="仿宋" w:cs="仿宋"/>
          <w:color w:val="auto"/>
          <w:highlight w:val="none"/>
        </w:rPr>
        <w:t>三、无效响应</w:t>
      </w:r>
      <w:bookmarkEnd w:id="104"/>
    </w:p>
    <w:p w14:paraId="3E0434FC">
      <w:pPr>
        <w:shd w:val="clear"/>
        <w:snapToGrid w:val="0"/>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供应商发生以下条款情况之一者，视为无效报价：</w:t>
      </w:r>
    </w:p>
    <w:p w14:paraId="42718488">
      <w:pPr>
        <w:pStyle w:val="12"/>
        <w:shd w:val="clear"/>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（一）供应商不符合规定的资格条件的；</w:t>
      </w:r>
    </w:p>
    <w:p w14:paraId="17F63F35">
      <w:pPr>
        <w:pStyle w:val="12"/>
        <w:shd w:val="clear"/>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（二）供应商未通过实质性响应审查的；</w:t>
      </w:r>
    </w:p>
    <w:p w14:paraId="5CE39A03">
      <w:pPr>
        <w:pStyle w:val="12"/>
        <w:shd w:val="clear"/>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（三）供应商所提交的响应文件未按“第七篇响应文件格式要求”要求签署或盖章的；</w:t>
      </w:r>
    </w:p>
    <w:p w14:paraId="2298430D">
      <w:pPr>
        <w:pStyle w:val="12"/>
        <w:shd w:val="clear"/>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（四）供应商的报价超过采购预算或最高限价的；</w:t>
      </w:r>
    </w:p>
    <w:p w14:paraId="46511B05">
      <w:pPr>
        <w:pStyle w:val="12"/>
        <w:shd w:val="clear"/>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（五）单位负责人为同一人或者存在直接控股、管理关系的不同供应商，参加同一合同项（包）报价的；</w:t>
      </w:r>
    </w:p>
    <w:p w14:paraId="30866BBB">
      <w:pPr>
        <w:pStyle w:val="12"/>
        <w:shd w:val="clear"/>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（六）为采购项目提供整体设计、规范编制或者项目管理、监理、检测等服务的供应商再参加该采购项目的其他采购活动的；</w:t>
      </w:r>
    </w:p>
    <w:p w14:paraId="2FDFA167">
      <w:pPr>
        <w:pStyle w:val="12"/>
        <w:shd w:val="clear"/>
        <w:spacing w:line="24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（七）法律、法规和竞采邀请书规定的其他无效情形。</w:t>
      </w:r>
    </w:p>
    <w:p w14:paraId="313FB64C">
      <w:pPr>
        <w:pStyle w:val="3"/>
        <w:shd w:val="clear"/>
        <w:spacing w:line="240" w:lineRule="auto"/>
        <w:ind w:firstLine="643"/>
        <w:rPr>
          <w:rFonts w:hint="eastAsia" w:ascii="仿宋" w:hAnsi="仿宋" w:eastAsia="仿宋" w:cs="仿宋"/>
          <w:color w:val="auto"/>
          <w:highlight w:val="none"/>
        </w:rPr>
      </w:pPr>
      <w:bookmarkStart w:id="108" w:name="_Toc30605"/>
      <w:bookmarkStart w:id="109" w:name="_Toc6204"/>
      <w:bookmarkStart w:id="110" w:name="_Toc4422"/>
      <w:bookmarkStart w:id="111" w:name="_Toc14355"/>
      <w:bookmarkStart w:id="112" w:name="_Toc7802"/>
      <w:bookmarkStart w:id="113" w:name="_Toc6719"/>
      <w:bookmarkStart w:id="114" w:name="_Toc23533"/>
      <w:bookmarkStart w:id="115" w:name="_Toc25549"/>
      <w:bookmarkStart w:id="116" w:name="_Toc25960"/>
      <w:bookmarkStart w:id="117" w:name="_Toc75793522"/>
      <w:bookmarkStart w:id="118" w:name="_Toc27133"/>
      <w:bookmarkStart w:id="119" w:name="_Toc106030398"/>
      <w:bookmarkStart w:id="120" w:name="_Toc20005"/>
      <w:bookmarkStart w:id="121" w:name="_Toc6956"/>
      <w:bookmarkStart w:id="122" w:name="_Toc11293"/>
      <w:bookmarkStart w:id="123" w:name="_Toc21946"/>
      <w:bookmarkStart w:id="124" w:name="_Toc183783148"/>
      <w:r>
        <w:rPr>
          <w:rFonts w:hint="eastAsia" w:ascii="仿宋" w:hAnsi="仿宋" w:eastAsia="仿宋" w:cs="仿宋"/>
          <w:color w:val="auto"/>
          <w:highlight w:val="none"/>
        </w:rPr>
        <w:t>四、</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hint="eastAsia" w:ascii="仿宋" w:hAnsi="仿宋" w:eastAsia="仿宋" w:cs="仿宋"/>
          <w:color w:val="auto"/>
          <w:highlight w:val="none"/>
        </w:rPr>
        <w:t>采购终止</w:t>
      </w:r>
      <w:bookmarkEnd w:id="124"/>
    </w:p>
    <w:p w14:paraId="74415F31">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出现下列情形之一的，采购人或者采购代理机构应当终止采购活动，发布项目终止公告并说明原因，重新开展采购活动：</w:t>
      </w:r>
    </w:p>
    <w:p w14:paraId="0AEDD5FD">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（一）因情况变化，不再符合规定的采购方式适用情形的；</w:t>
      </w:r>
    </w:p>
    <w:p w14:paraId="6136EFB3">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139686FD">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（三）在采购过程中符合竞采要求的供应商不足3家的。</w:t>
      </w:r>
    </w:p>
    <w:p w14:paraId="0487B826">
      <w:pPr>
        <w:shd w:val="clear"/>
        <w:snapToGrid w:val="0"/>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（四）项目出现其他实质性影响，可能导致项目无法正常开展的情形。</w:t>
      </w:r>
    </w:p>
    <w:p w14:paraId="2B437FF5">
      <w:pPr>
        <w:widowControl/>
        <w:shd w:val="clear"/>
        <w:ind w:firstLine="723"/>
        <w:jc w:val="left"/>
        <w:rPr>
          <w:rFonts w:hint="eastAsia" w:ascii="仿宋" w:hAnsi="仿宋" w:eastAsia="仿宋" w:cs="仿宋"/>
          <w:b/>
          <w:bCs/>
          <w:color w:val="auto"/>
          <w:kern w:val="0"/>
          <w:sz w:val="36"/>
          <w:szCs w:val="36"/>
          <w:highlight w:val="none"/>
        </w:rPr>
      </w:pPr>
      <w:r>
        <w:rPr>
          <w:rFonts w:hint="eastAsia" w:ascii="仿宋" w:hAnsi="仿宋" w:eastAsia="仿宋" w:cs="仿宋"/>
          <w:b/>
          <w:bCs/>
          <w:color w:val="auto"/>
          <w:sz w:val="36"/>
          <w:szCs w:val="36"/>
          <w:highlight w:val="none"/>
        </w:rPr>
        <w:br w:type="page"/>
      </w:r>
    </w:p>
    <w:p w14:paraId="2C1E4470">
      <w:pPr>
        <w:pStyle w:val="2"/>
        <w:shd w:val="clear"/>
        <w:spacing w:line="240" w:lineRule="auto"/>
        <w:ind w:firstLine="883"/>
        <w:jc w:val="center"/>
        <w:rPr>
          <w:rFonts w:hint="eastAsia" w:ascii="仿宋" w:hAnsi="仿宋" w:eastAsia="仿宋" w:cs="仿宋"/>
          <w:color w:val="auto"/>
          <w:highlight w:val="none"/>
        </w:rPr>
      </w:pPr>
      <w:bookmarkStart w:id="125" w:name="_Toc183783149"/>
      <w:r>
        <w:rPr>
          <w:rFonts w:hint="eastAsia" w:ascii="仿宋" w:hAnsi="仿宋" w:eastAsia="仿宋" w:cs="仿宋"/>
          <w:color w:val="auto"/>
          <w:highlight w:val="none"/>
        </w:rPr>
        <w:t xml:space="preserve">第五篇 </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须知</w:t>
      </w:r>
      <w:bookmarkEnd w:id="105"/>
      <w:bookmarkEnd w:id="106"/>
      <w:bookmarkEnd w:id="107"/>
      <w:bookmarkEnd w:id="125"/>
    </w:p>
    <w:p w14:paraId="203451A9">
      <w:pPr>
        <w:pStyle w:val="3"/>
        <w:shd w:val="clear"/>
        <w:spacing w:line="240" w:lineRule="auto"/>
        <w:ind w:firstLine="643"/>
        <w:rPr>
          <w:rFonts w:hint="eastAsia" w:ascii="仿宋" w:hAnsi="仿宋" w:eastAsia="仿宋" w:cs="仿宋"/>
          <w:color w:val="auto"/>
          <w:highlight w:val="none"/>
        </w:rPr>
      </w:pPr>
      <w:bookmarkStart w:id="126" w:name="_Toc342913389"/>
      <w:bookmarkStart w:id="127" w:name="_Toc76462338"/>
      <w:bookmarkStart w:id="128" w:name="_Toc106030893"/>
      <w:bookmarkStart w:id="129" w:name="_Toc183783150"/>
      <w:r>
        <w:rPr>
          <w:rFonts w:hint="eastAsia" w:ascii="仿宋" w:hAnsi="仿宋" w:eastAsia="仿宋" w:cs="仿宋"/>
          <w:color w:val="auto"/>
          <w:highlight w:val="none"/>
        </w:rPr>
        <w:t>一、竞采费用</w:t>
      </w:r>
      <w:bookmarkEnd w:id="126"/>
      <w:bookmarkEnd w:id="127"/>
      <w:bookmarkEnd w:id="128"/>
      <w:bookmarkEnd w:id="129"/>
    </w:p>
    <w:p w14:paraId="122D7320">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参与竞采的供应商应承担其编制响应文件与递交响应文件所涉及的一切费用，不论竞采结果如何，采购人和采购代理机构在任何情况下无义务也无责任承担这些费用。</w:t>
      </w:r>
    </w:p>
    <w:p w14:paraId="74A644F9">
      <w:pPr>
        <w:pStyle w:val="3"/>
        <w:shd w:val="clear"/>
        <w:spacing w:line="240" w:lineRule="auto"/>
        <w:ind w:firstLine="643"/>
        <w:rPr>
          <w:rFonts w:hint="eastAsia" w:ascii="仿宋" w:hAnsi="仿宋" w:eastAsia="仿宋" w:cs="仿宋"/>
          <w:color w:val="auto"/>
          <w:highlight w:val="none"/>
        </w:rPr>
      </w:pPr>
      <w:bookmarkStart w:id="130" w:name="_Toc183783151"/>
      <w:bookmarkStart w:id="131" w:name="_Toc76462339"/>
      <w:bookmarkStart w:id="132" w:name="_Toc106030894"/>
      <w:bookmarkStart w:id="133" w:name="_Toc342913391"/>
      <w:r>
        <w:rPr>
          <w:rFonts w:hint="eastAsia" w:ascii="仿宋" w:hAnsi="仿宋" w:eastAsia="仿宋" w:cs="仿宋"/>
          <w:color w:val="auto"/>
          <w:highlight w:val="none"/>
        </w:rPr>
        <w:t>二、竞采文件</w:t>
      </w:r>
      <w:bookmarkEnd w:id="130"/>
      <w:bookmarkEnd w:id="131"/>
      <w:bookmarkEnd w:id="132"/>
      <w:bookmarkEnd w:id="133"/>
    </w:p>
    <w:p w14:paraId="29B1070F">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（一）竞采文件由采购邀请书、项目技术（质量）需求、供应商须知、项目商务需求、竞采程序及评审标准、政府采购合同、响应文件编制要求七部分组成。</w:t>
      </w:r>
    </w:p>
    <w:p w14:paraId="07689502">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（二）采购人（或采购代理机构）所作的一切有效的书面通知、修改及补充，都是竞采文件不可分割的部分。</w:t>
      </w:r>
    </w:p>
    <w:p w14:paraId="522916F0">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（三）竞采文件的解释</w:t>
      </w:r>
    </w:p>
    <w:p w14:paraId="0D61CB49">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34" w:name="_Toc318159780"/>
      <w:bookmarkStart w:id="135" w:name="_Toc318166429"/>
      <w:bookmarkStart w:id="136" w:name="_Toc318159160"/>
      <w:bookmarkStart w:id="137" w:name="_Toc318159349"/>
    </w:p>
    <w:p w14:paraId="7BC057AE">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（四）评审的依据为竞采文件和响应文件（含有效的书面承诺）。评审小组判断响应文件对竞采文件的响应，仅基于响应文件本身而不靠外部证据。</w:t>
      </w:r>
    </w:p>
    <w:bookmarkEnd w:id="134"/>
    <w:bookmarkEnd w:id="135"/>
    <w:bookmarkEnd w:id="136"/>
    <w:bookmarkEnd w:id="137"/>
    <w:p w14:paraId="1CF095D7">
      <w:pPr>
        <w:pStyle w:val="3"/>
        <w:shd w:val="clear"/>
        <w:spacing w:line="240" w:lineRule="auto"/>
        <w:ind w:firstLine="643"/>
        <w:rPr>
          <w:rFonts w:hint="eastAsia" w:ascii="仿宋" w:hAnsi="仿宋" w:eastAsia="仿宋" w:cs="仿宋"/>
          <w:color w:val="auto"/>
          <w:highlight w:val="none"/>
        </w:rPr>
      </w:pPr>
      <w:bookmarkStart w:id="138" w:name="_Toc183783152"/>
      <w:bookmarkStart w:id="139" w:name="_Toc76462340"/>
      <w:bookmarkStart w:id="140" w:name="_Toc106030895"/>
      <w:bookmarkStart w:id="141" w:name="_Toc179714297"/>
      <w:bookmarkStart w:id="142" w:name="_Toc102227318"/>
      <w:bookmarkStart w:id="143" w:name="_Toc342913392"/>
      <w:r>
        <w:rPr>
          <w:rFonts w:hint="eastAsia" w:ascii="仿宋" w:hAnsi="仿宋" w:eastAsia="仿宋" w:cs="仿宋"/>
          <w:color w:val="auto"/>
          <w:highlight w:val="none"/>
        </w:rPr>
        <w:t>三、竞采要求</w:t>
      </w:r>
      <w:bookmarkEnd w:id="138"/>
      <w:bookmarkEnd w:id="139"/>
      <w:bookmarkEnd w:id="140"/>
      <w:bookmarkEnd w:id="141"/>
      <w:bookmarkEnd w:id="142"/>
      <w:bookmarkEnd w:id="143"/>
    </w:p>
    <w:p w14:paraId="54B114AC">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（一）响应文件</w:t>
      </w:r>
    </w:p>
    <w:p w14:paraId="2872F3D6">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1.供应商应当按照竞采文件的要求编制响应文件，并对竞采文件提出的要求和条件作出实质性响应。</w:t>
      </w:r>
    </w:p>
    <w:p w14:paraId="5D011B0D">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2.响应文件组成</w:t>
      </w:r>
    </w:p>
    <w:p w14:paraId="0E77B86A">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1EA6332">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（二）竞采有效期：响应文件及有关承诺文件有效期为提交响应文件截止时间起90天。</w:t>
      </w:r>
    </w:p>
    <w:p w14:paraId="37EC40D8">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（三）修正错误</w:t>
      </w:r>
    </w:p>
    <w:p w14:paraId="7D806379">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1.若供应商所递交的响应文件或最后报价中的价格出现大写金额和小写金额不一致的错误，以</w:t>
      </w:r>
      <w:r>
        <w:rPr>
          <w:rFonts w:hint="eastAsia" w:ascii="仿宋" w:hAnsi="仿宋" w:eastAsia="仿宋" w:cs="仿宋"/>
          <w:b/>
          <w:bCs/>
          <w:color w:val="auto"/>
          <w:highlight w:val="none"/>
          <w:u w:val="single"/>
        </w:rPr>
        <w:t>大写金额修正为准</w:t>
      </w:r>
      <w:r>
        <w:rPr>
          <w:rFonts w:hint="eastAsia" w:ascii="仿宋" w:hAnsi="仿宋" w:eastAsia="仿宋" w:cs="仿宋"/>
          <w:color w:val="auto"/>
          <w:highlight w:val="none"/>
        </w:rPr>
        <w:t>。</w:t>
      </w:r>
    </w:p>
    <w:p w14:paraId="41752453">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45FF584C">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（四）提交响应文件的份数和签署</w:t>
      </w:r>
    </w:p>
    <w:p w14:paraId="6FEB34C5">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1.响应文件电子文档一份。</w:t>
      </w:r>
    </w:p>
    <w:p w14:paraId="2D546F9D">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2.响应文件按竞采文件“第七篇响应文件编制要求”要求签署或盖章。</w:t>
      </w:r>
    </w:p>
    <w:p w14:paraId="1B4AB23A">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（五）响应文件的递交</w:t>
      </w:r>
    </w:p>
    <w:p w14:paraId="1BA42CE5">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响应文件的电子文档应在有效报名时间段内，通过竞采系统在线提交。</w:t>
      </w:r>
    </w:p>
    <w:p w14:paraId="045B0E29">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（竞采项目实行在线报名、在线评审，非必需，原则上供应商不参与线下评审环节。）</w:t>
      </w:r>
    </w:p>
    <w:p w14:paraId="343ADA84">
      <w:pPr>
        <w:pStyle w:val="27"/>
        <w:shd w:val="clear"/>
        <w:rPr>
          <w:rFonts w:hint="eastAsia" w:ascii="仿宋" w:hAnsi="仿宋" w:eastAsia="仿宋" w:cs="仿宋"/>
          <w:color w:val="auto"/>
          <w:highlight w:val="none"/>
        </w:rPr>
      </w:pPr>
      <w:bookmarkStart w:id="144" w:name="_Toc76462341"/>
      <w:bookmarkStart w:id="145" w:name="_Toc106030896"/>
      <w:r>
        <w:rPr>
          <w:rFonts w:hint="eastAsia" w:ascii="仿宋" w:hAnsi="仿宋" w:eastAsia="仿宋" w:cs="仿宋"/>
          <w:color w:val="auto"/>
          <w:highlight w:val="none"/>
        </w:rPr>
        <w:t>四、成交供应商的确认和变更</w:t>
      </w:r>
      <w:bookmarkEnd w:id="144"/>
      <w:bookmarkEnd w:id="145"/>
    </w:p>
    <w:p w14:paraId="50DDC674">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（一）成交供应商的确认</w:t>
      </w:r>
    </w:p>
    <w:p w14:paraId="67133B70">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采购人应当在5个工作日内，从评审报告提出的成交候选供应商中，按照排序由高到低的原则确定成交供应商，也可以授权竞采小组直接确定成交供应商。</w:t>
      </w:r>
    </w:p>
    <w:p w14:paraId="67DC15B8">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（二）成交供应商的变更</w:t>
      </w:r>
    </w:p>
    <w:p w14:paraId="013A327A">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成交供应商拒绝与采购人签订合同的，采购人可以按照评标报告推荐的成交候选供应商顺序，确定排名下一位的候选人为成交供应商，也可以重新开展竞采活动。</w:t>
      </w:r>
    </w:p>
    <w:p w14:paraId="30AF24C0">
      <w:pPr>
        <w:pStyle w:val="3"/>
        <w:shd w:val="clear"/>
        <w:spacing w:line="240" w:lineRule="auto"/>
        <w:ind w:firstLine="643"/>
        <w:rPr>
          <w:rFonts w:hint="eastAsia" w:ascii="仿宋" w:hAnsi="仿宋" w:eastAsia="仿宋" w:cs="仿宋"/>
          <w:color w:val="auto"/>
          <w:highlight w:val="none"/>
        </w:rPr>
      </w:pPr>
      <w:bookmarkStart w:id="146" w:name="_Toc183783153"/>
      <w:bookmarkStart w:id="147" w:name="_Toc106030897"/>
      <w:bookmarkStart w:id="148" w:name="_Toc102227321"/>
      <w:bookmarkStart w:id="149" w:name="_Toc342913395"/>
      <w:bookmarkStart w:id="150" w:name="_Toc76462342"/>
      <w:r>
        <w:rPr>
          <w:rFonts w:hint="eastAsia" w:ascii="仿宋" w:hAnsi="仿宋" w:eastAsia="仿宋" w:cs="仿宋"/>
          <w:color w:val="auto"/>
          <w:highlight w:val="none"/>
        </w:rPr>
        <w:t>五、成交通知</w:t>
      </w:r>
      <w:bookmarkEnd w:id="146"/>
      <w:bookmarkEnd w:id="147"/>
      <w:bookmarkEnd w:id="148"/>
      <w:bookmarkEnd w:id="149"/>
      <w:bookmarkEnd w:id="150"/>
    </w:p>
    <w:p w14:paraId="4A219698">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（一）成交供应商确定后，采购人/代理机构将在</w:t>
      </w:r>
      <w:r>
        <w:rPr>
          <w:rFonts w:hint="eastAsia" w:ascii="仿宋" w:hAnsi="仿宋" w:eastAsia="仿宋" w:cs="仿宋"/>
          <w:color w:val="auto"/>
          <w:szCs w:val="24"/>
          <w:highlight w:val="none"/>
        </w:rPr>
        <w:t>（https://www.gec123.com/）行采家</w:t>
      </w:r>
      <w:r>
        <w:rPr>
          <w:rFonts w:hint="eastAsia" w:ascii="仿宋" w:hAnsi="仿宋" w:eastAsia="仿宋" w:cs="仿宋"/>
          <w:color w:val="auto"/>
          <w:highlight w:val="none"/>
        </w:rPr>
        <w:t>上发布成交结果公告。</w:t>
      </w:r>
    </w:p>
    <w:p w14:paraId="059B1715">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（二）结果公告发出同时，采购人/代理机构将以书面形式发出《成交通知书》。《成交通知书》一经发出即发生法律效力。</w:t>
      </w:r>
    </w:p>
    <w:p w14:paraId="29D131EF">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（三）《成交通知书》作为签订合同的依据。</w:t>
      </w:r>
    </w:p>
    <w:p w14:paraId="5975653B">
      <w:pPr>
        <w:pStyle w:val="3"/>
        <w:shd w:val="clear"/>
        <w:spacing w:line="240" w:lineRule="auto"/>
        <w:ind w:firstLine="643"/>
        <w:rPr>
          <w:rFonts w:hint="eastAsia" w:ascii="仿宋" w:hAnsi="仿宋" w:eastAsia="仿宋" w:cs="仿宋"/>
          <w:color w:val="auto"/>
          <w:highlight w:val="none"/>
        </w:rPr>
      </w:pPr>
      <w:bookmarkStart w:id="151" w:name="_Toc76462343"/>
      <w:bookmarkStart w:id="152" w:name="_Toc183783154"/>
      <w:bookmarkStart w:id="153" w:name="_Toc106030898"/>
      <w:r>
        <w:rPr>
          <w:rFonts w:hint="eastAsia" w:ascii="仿宋" w:hAnsi="仿宋" w:eastAsia="仿宋" w:cs="仿宋"/>
          <w:color w:val="auto"/>
          <w:highlight w:val="none"/>
        </w:rPr>
        <w:t>六、关于质疑和投诉</w:t>
      </w:r>
      <w:bookmarkEnd w:id="151"/>
      <w:bookmarkEnd w:id="152"/>
      <w:bookmarkEnd w:id="153"/>
    </w:p>
    <w:p w14:paraId="07B9663F">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（一）质疑</w:t>
      </w:r>
    </w:p>
    <w:p w14:paraId="6E94423F">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供应商认为采购文件、采购过程和成交结果使自己的权益收到伤害的，可向采购人或采购代理机构以书面形式提出质疑。</w:t>
      </w:r>
    </w:p>
    <w:p w14:paraId="48BE500A">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 xml:space="preserve">提出质疑的应当是参与所质疑项目采购活动的供应商。 </w:t>
      </w:r>
    </w:p>
    <w:p w14:paraId="481171DD">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1.质疑时限、内容</w:t>
      </w:r>
    </w:p>
    <w:p w14:paraId="604A0A25">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供应商认为采购文件、采购过程、成交结果使自己的权益受到损害的，可以在知道或者应知其权益受到损害之日起2个工作日内，以书面形式向采购人、采购代理机构提出质疑。</w:t>
      </w:r>
    </w:p>
    <w:p w14:paraId="137405A3">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1.2供应商提出质疑应当提交质疑函和必要的证明材料，质疑函应当包括下列内容：</w:t>
      </w:r>
    </w:p>
    <w:p w14:paraId="6508E9AC">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1.2.1供应商的名称、地址、联系人及联系电话；</w:t>
      </w:r>
    </w:p>
    <w:p w14:paraId="21F952D0">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1.2.2质疑项目的名称、采购编号；</w:t>
      </w:r>
    </w:p>
    <w:p w14:paraId="74EABB8B">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1.2.3具体、明确的质疑事项和与质疑事项相关的请求；</w:t>
      </w:r>
    </w:p>
    <w:p w14:paraId="6C29B65C">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1.2.4事实依据；</w:t>
      </w:r>
    </w:p>
    <w:p w14:paraId="1745D2CC">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1.2.5必要的法律依据；</w:t>
      </w:r>
    </w:p>
    <w:p w14:paraId="6CB49AD2">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1.2.6提出质疑的日期；</w:t>
      </w:r>
    </w:p>
    <w:p w14:paraId="67A46BC3">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1.2.7营业执照（或事业单位法人证书，或个体工商户营业执照或有效的自然人身份证明）复印件；</w:t>
      </w:r>
    </w:p>
    <w:p w14:paraId="29C71340">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1.2.8法定代表人授权委托书原件、法定代表人身份证复印件和其授权代表的身份证复印件（供应商为自然人的提供自然人身份证复印件）；</w:t>
      </w:r>
    </w:p>
    <w:p w14:paraId="553A37F2">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1.3供应商为自然人的，质疑函应当由本人签字；供应商为法人或者其他组织的，质疑函应当由法定代表人、主要负责人，或者其授权代表签字或者盖章，并加盖公章。</w:t>
      </w:r>
    </w:p>
    <w:p w14:paraId="35811382">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2.质疑答复</w:t>
      </w:r>
    </w:p>
    <w:p w14:paraId="33D63ED7">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采购人、采购代理机构应当在收到供应商的书面质疑后2个工作日内作出答复，并以书面形式通知质疑供应商和其他有关供应商。</w:t>
      </w:r>
    </w:p>
    <w:p w14:paraId="3D358510">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3.其他</w:t>
      </w:r>
    </w:p>
    <w:p w14:paraId="493E912D">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（如有）</w:t>
      </w:r>
    </w:p>
    <w:p w14:paraId="00544770">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（二）投诉</w:t>
      </w:r>
    </w:p>
    <w:p w14:paraId="3C45503B">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1.供应商对采购人、采购代理机构的答复不满意，或者采购人、采购代理机构未在规定时间内作出答复的，可以在答复期满后2个工作日内向璧山国资中心提起投诉。</w:t>
      </w:r>
    </w:p>
    <w:p w14:paraId="4A23B848">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2.在确定受理投诉后，璧山国资中心7个工作日内（需要检验、检测、鉴定、专家评审以及需要投诉人补正材料的，所需时间不计算在投诉处理期限内）对投诉事项做出处理决定。</w:t>
      </w:r>
    </w:p>
    <w:p w14:paraId="57618A01">
      <w:pPr>
        <w:pStyle w:val="3"/>
        <w:shd w:val="clear"/>
        <w:spacing w:line="240" w:lineRule="auto"/>
        <w:ind w:firstLine="643"/>
        <w:rPr>
          <w:rFonts w:hint="eastAsia" w:ascii="仿宋" w:hAnsi="仿宋" w:eastAsia="仿宋" w:cs="仿宋"/>
          <w:color w:val="auto"/>
          <w:highlight w:val="none"/>
        </w:rPr>
      </w:pPr>
      <w:bookmarkStart w:id="154" w:name="_Toc76462344"/>
      <w:bookmarkStart w:id="155" w:name="_Toc183783155"/>
      <w:bookmarkStart w:id="156" w:name="_Toc106030899"/>
      <w:r>
        <w:rPr>
          <w:rFonts w:hint="eastAsia" w:ascii="仿宋" w:hAnsi="仿宋" w:eastAsia="仿宋" w:cs="仿宋"/>
          <w:color w:val="auto"/>
          <w:highlight w:val="none"/>
        </w:rPr>
        <w:t>七、采购代理服务费</w:t>
      </w:r>
      <w:bookmarkEnd w:id="154"/>
      <w:bookmarkEnd w:id="155"/>
      <w:bookmarkEnd w:id="156"/>
    </w:p>
    <w:p w14:paraId="75242B88">
      <w:pPr>
        <w:pStyle w:val="27"/>
        <w:shd w:val="clear"/>
        <w:rPr>
          <w:rFonts w:hint="eastAsia" w:ascii="仿宋" w:hAnsi="仿宋" w:eastAsia="仿宋" w:cs="仿宋"/>
          <w:color w:val="auto"/>
          <w:highlight w:val="none"/>
        </w:rPr>
      </w:pPr>
      <w:bookmarkStart w:id="157" w:name="OLE_LINK7"/>
      <w:bookmarkStart w:id="158" w:name="OLE_LINK8"/>
      <w:r>
        <w:rPr>
          <w:rFonts w:hint="eastAsia" w:ascii="仿宋" w:hAnsi="仿宋" w:eastAsia="仿宋" w:cs="仿宋"/>
          <w:color w:val="auto"/>
          <w:highlight w:val="none"/>
        </w:rPr>
        <w:t>（一）供应商中标后向采购代理机构缴纳采购代理服务费，本次采购代理服务费</w:t>
      </w:r>
      <w:bookmarkEnd w:id="157"/>
      <w:bookmarkEnd w:id="158"/>
      <w:r>
        <w:rPr>
          <w:rFonts w:hint="eastAsia" w:ascii="仿宋" w:hAnsi="仿宋" w:eastAsia="仿宋" w:cs="仿宋"/>
          <w:color w:val="auto"/>
          <w:highlight w:val="none"/>
        </w:rPr>
        <w:t>为</w:t>
      </w:r>
      <w:r>
        <w:rPr>
          <w:rFonts w:hint="eastAsia" w:ascii="仿宋" w:hAnsi="仿宋" w:eastAsia="仿宋" w:cs="仿宋"/>
          <w:color w:val="auto"/>
          <w:highlight w:val="none"/>
          <w:lang w:val="en-US" w:eastAsia="zh-CN"/>
        </w:rPr>
        <w:t>3000</w:t>
      </w:r>
      <w:r>
        <w:rPr>
          <w:rFonts w:hint="eastAsia" w:ascii="仿宋" w:hAnsi="仿宋" w:eastAsia="仿宋" w:cs="仿宋"/>
          <w:color w:val="auto"/>
          <w:highlight w:val="none"/>
        </w:rPr>
        <w:t>元。</w:t>
      </w:r>
    </w:p>
    <w:p w14:paraId="34E6ACFD">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采购代理服务费指定收款账户信息：</w:t>
      </w:r>
    </w:p>
    <w:p w14:paraId="108728D3">
      <w:pPr>
        <w:pStyle w:val="27"/>
        <w:shd w:val="clear"/>
        <w:rPr>
          <w:rFonts w:hint="eastAsia" w:ascii="仿宋" w:hAnsi="仿宋" w:eastAsia="仿宋" w:cs="仿宋"/>
          <w:color w:val="auto"/>
          <w:highlight w:val="none"/>
          <w:lang w:eastAsia="zh-CN"/>
        </w:rPr>
      </w:pPr>
      <w:r>
        <w:rPr>
          <w:rFonts w:hint="eastAsia" w:ascii="仿宋" w:hAnsi="仿宋" w:eastAsia="仿宋" w:cs="仿宋"/>
          <w:color w:val="auto"/>
          <w:highlight w:val="none"/>
        </w:rPr>
        <w:t>户名：</w:t>
      </w:r>
      <w:r>
        <w:rPr>
          <w:rFonts w:hint="eastAsia" w:ascii="仿宋" w:hAnsi="仿宋" w:eastAsia="仿宋" w:cs="仿宋"/>
          <w:color w:val="auto"/>
          <w:highlight w:val="none"/>
          <w:lang w:eastAsia="zh-CN"/>
        </w:rPr>
        <w:t>重庆标友工程管理咨询有限公司</w:t>
      </w:r>
    </w:p>
    <w:p w14:paraId="2C35E1FF">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开户银行：交通银行股份有限公司重庆大坪支行</w:t>
      </w:r>
    </w:p>
    <w:p w14:paraId="53F83F20">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开户账号：500500106013001748296</w:t>
      </w:r>
    </w:p>
    <w:p w14:paraId="759A84A4">
      <w:pPr>
        <w:pStyle w:val="3"/>
        <w:shd w:val="clear"/>
        <w:spacing w:line="240" w:lineRule="auto"/>
        <w:ind w:firstLine="643"/>
        <w:rPr>
          <w:rFonts w:hint="eastAsia" w:ascii="仿宋" w:hAnsi="仿宋" w:eastAsia="仿宋" w:cs="仿宋"/>
          <w:color w:val="auto"/>
          <w:highlight w:val="none"/>
        </w:rPr>
      </w:pPr>
      <w:bookmarkStart w:id="159" w:name="_Toc102227322"/>
      <w:bookmarkStart w:id="160" w:name="_Toc183783156"/>
      <w:bookmarkStart w:id="161" w:name="_Toc76462346"/>
      <w:bookmarkStart w:id="162" w:name="_Toc106030901"/>
      <w:bookmarkStart w:id="163" w:name="_Toc342913396"/>
      <w:r>
        <w:rPr>
          <w:rFonts w:hint="eastAsia" w:ascii="仿宋" w:hAnsi="仿宋" w:eastAsia="仿宋" w:cs="仿宋"/>
          <w:color w:val="auto"/>
          <w:highlight w:val="none"/>
        </w:rPr>
        <w:t>八、签订</w:t>
      </w:r>
      <w:bookmarkEnd w:id="159"/>
      <w:r>
        <w:rPr>
          <w:rFonts w:hint="eastAsia" w:ascii="仿宋" w:hAnsi="仿宋" w:eastAsia="仿宋" w:cs="仿宋"/>
          <w:color w:val="auto"/>
          <w:highlight w:val="none"/>
        </w:rPr>
        <w:t>合同</w:t>
      </w:r>
      <w:bookmarkEnd w:id="160"/>
      <w:bookmarkEnd w:id="161"/>
      <w:bookmarkEnd w:id="162"/>
      <w:bookmarkEnd w:id="163"/>
    </w:p>
    <w:p w14:paraId="43DF757F">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（一）采购人原则上应在结果公告发出之日起</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6EAB74F5">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（二）竞采文件、供应商的响应文件及澄清文件等，均为签订采购合同的依据。</w:t>
      </w:r>
    </w:p>
    <w:p w14:paraId="42B2C374">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（三）合同生效条款由供需双方约定，法律、行政法规规定应当办理批准、登记等手续后生效的合同，依照其规定。</w:t>
      </w:r>
    </w:p>
    <w:p w14:paraId="5F011B12">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（四）合同原则上应按照《璧山区国企采购合同》签订，相关单位要求适用合同通用格式版本的，应按其要求另行签订其他合同。</w:t>
      </w:r>
    </w:p>
    <w:p w14:paraId="48786AE3">
      <w:pPr>
        <w:pStyle w:val="3"/>
        <w:shd w:val="clear"/>
        <w:spacing w:line="240" w:lineRule="auto"/>
        <w:ind w:firstLine="643"/>
        <w:rPr>
          <w:rFonts w:hint="eastAsia" w:ascii="仿宋" w:hAnsi="仿宋" w:eastAsia="仿宋" w:cs="仿宋"/>
          <w:color w:val="auto"/>
          <w:highlight w:val="none"/>
        </w:rPr>
      </w:pPr>
      <w:bookmarkStart w:id="164" w:name="_Toc183783157"/>
      <w:bookmarkStart w:id="165" w:name="_Toc106030902"/>
      <w:r>
        <w:rPr>
          <w:rFonts w:hint="eastAsia" w:ascii="仿宋" w:hAnsi="仿宋" w:eastAsia="仿宋" w:cs="仿宋"/>
          <w:color w:val="auto"/>
          <w:highlight w:val="none"/>
        </w:rPr>
        <w:t>九、项目验收</w:t>
      </w:r>
      <w:bookmarkEnd w:id="164"/>
      <w:bookmarkEnd w:id="165"/>
    </w:p>
    <w:p w14:paraId="37B10D72">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t>合同执行完毕，采购人或采购代理机构原则上应在5个工作日内组织履约情况验收，不得无故拖延或附加额外条件。</w:t>
      </w:r>
    </w:p>
    <w:p w14:paraId="51D0F66E">
      <w:pPr>
        <w:pStyle w:val="27"/>
        <w:shd w:val="clea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DA01B6D">
      <w:pPr>
        <w:pStyle w:val="2"/>
        <w:shd w:val="clear"/>
        <w:spacing w:line="240" w:lineRule="auto"/>
        <w:ind w:firstLine="883"/>
        <w:jc w:val="center"/>
        <w:rPr>
          <w:rFonts w:hint="eastAsia" w:ascii="仿宋" w:hAnsi="仿宋" w:eastAsia="仿宋" w:cs="仿宋"/>
          <w:color w:val="auto"/>
          <w:highlight w:val="none"/>
          <w:lang w:eastAsia="zh-CN"/>
        </w:rPr>
      </w:pPr>
      <w:bookmarkStart w:id="166" w:name="_Toc109836391"/>
      <w:bookmarkStart w:id="167" w:name="_Toc183783158"/>
      <w:r>
        <w:rPr>
          <w:rFonts w:hint="eastAsia" w:ascii="仿宋" w:hAnsi="仿宋" w:eastAsia="仿宋" w:cs="仿宋"/>
          <w:color w:val="auto"/>
          <w:highlight w:val="none"/>
        </w:rPr>
        <w:t xml:space="preserve">第六篇  </w:t>
      </w:r>
      <w:bookmarkEnd w:id="166"/>
      <w:bookmarkEnd w:id="167"/>
      <w:r>
        <w:rPr>
          <w:rFonts w:hint="eastAsia" w:ascii="仿宋" w:hAnsi="仿宋" w:eastAsia="仿宋" w:cs="仿宋"/>
          <w:color w:val="auto"/>
          <w:highlight w:val="none"/>
        </w:rPr>
        <w:t>合同</w:t>
      </w:r>
      <w:r>
        <w:rPr>
          <w:rFonts w:hint="eastAsia" w:ascii="仿宋" w:hAnsi="仿宋" w:eastAsia="仿宋" w:cs="仿宋"/>
          <w:color w:val="auto"/>
          <w:highlight w:val="none"/>
          <w:lang w:eastAsia="zh-CN"/>
        </w:rPr>
        <w:t>（</w:t>
      </w:r>
      <w:r>
        <w:rPr>
          <w:rFonts w:hint="eastAsia" w:ascii="仿宋" w:hAnsi="仿宋" w:eastAsia="仿宋" w:cs="仿宋"/>
          <w:b/>
          <w:color w:val="auto"/>
          <w:sz w:val="44"/>
          <w:highlight w:val="none"/>
          <w:lang w:val="en-US" w:eastAsia="zh-CN"/>
        </w:rPr>
        <w:t>模版</w:t>
      </w:r>
      <w:r>
        <w:rPr>
          <w:rFonts w:hint="eastAsia" w:ascii="仿宋" w:hAnsi="仿宋" w:eastAsia="仿宋" w:cs="仿宋"/>
          <w:color w:val="auto"/>
          <w:highlight w:val="none"/>
          <w:lang w:eastAsia="zh-CN"/>
        </w:rPr>
        <w:t>）</w:t>
      </w:r>
    </w:p>
    <w:p w14:paraId="60E3F007">
      <w:pPr>
        <w:jc w:val="center"/>
        <w:rPr>
          <w:rFonts w:hint="eastAsia" w:ascii="仿宋" w:hAnsi="仿宋" w:eastAsia="仿宋" w:cs="仿宋"/>
          <w:color w:val="auto"/>
          <w:sz w:val="44"/>
          <w:szCs w:val="44"/>
          <w:highlight w:val="none"/>
          <w:lang w:val="en-US" w:eastAsia="zh-CN"/>
        </w:rPr>
      </w:pPr>
      <w:bookmarkStart w:id="168" w:name="bookmark3"/>
      <w:bookmarkStart w:id="169" w:name="bookmark2"/>
      <w:bookmarkStart w:id="170" w:name="_Toc10837"/>
      <w:bookmarkStart w:id="171" w:name="_Toc183783159"/>
      <w:r>
        <w:rPr>
          <w:rFonts w:hint="eastAsia" w:ascii="仿宋" w:hAnsi="仿宋" w:eastAsia="仿宋" w:cs="仿宋"/>
          <w:color w:val="auto"/>
          <w:sz w:val="44"/>
          <w:szCs w:val="44"/>
          <w:highlight w:val="none"/>
        </w:rPr>
        <w:t>重庆知天而作农业科技研究院有限公司30%股权资产评估</w:t>
      </w:r>
      <w:r>
        <w:rPr>
          <w:rFonts w:hint="eastAsia" w:ascii="仿宋" w:hAnsi="仿宋" w:eastAsia="仿宋" w:cs="仿宋"/>
          <w:color w:val="auto"/>
          <w:sz w:val="44"/>
          <w:szCs w:val="44"/>
          <w:highlight w:val="none"/>
          <w:lang w:val="en-US" w:eastAsia="zh-CN"/>
        </w:rPr>
        <w:t>委托合同</w:t>
      </w:r>
    </w:p>
    <w:p w14:paraId="41F3371E">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lang w:val="en-US" w:eastAsia="zh-CN"/>
        </w:rPr>
        <w:t>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重庆绿发资产经营管理有限公司 </w:t>
      </w:r>
      <w:r>
        <w:rPr>
          <w:rFonts w:hint="eastAsia" w:ascii="仿宋" w:hAnsi="仿宋" w:eastAsia="仿宋" w:cs="仿宋"/>
          <w:color w:val="auto"/>
          <w:sz w:val="24"/>
          <w:highlight w:val="none"/>
        </w:rPr>
        <w:t xml:space="preserve"> </w:t>
      </w:r>
    </w:p>
    <w:p w14:paraId="29AF82C8">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委托人住所：重庆市璧山区璧泉街道双星大道50号1幢6-6</w:t>
      </w:r>
    </w:p>
    <w:p w14:paraId="11F7F01F">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委托人联系人：              联系电话： </w:t>
      </w:r>
    </w:p>
    <w:p w14:paraId="17D2A756">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受托方</w:t>
      </w:r>
      <w:r>
        <w:rPr>
          <w:rFonts w:hint="eastAsia" w:ascii="仿宋" w:hAnsi="仿宋" w:eastAsia="仿宋" w:cs="仿宋"/>
          <w:color w:val="auto"/>
          <w:sz w:val="24"/>
          <w:highlight w:val="none"/>
          <w:lang w:val="en-US" w:eastAsia="zh-CN"/>
        </w:rPr>
        <w:t>名称</w:t>
      </w:r>
      <w:r>
        <w:rPr>
          <w:rFonts w:hint="eastAsia" w:ascii="仿宋" w:hAnsi="仿宋" w:eastAsia="仿宋" w:cs="仿宋"/>
          <w:color w:val="auto"/>
          <w:sz w:val="24"/>
          <w:highlight w:val="none"/>
        </w:rPr>
        <w:t>：</w:t>
      </w:r>
    </w:p>
    <w:p w14:paraId="186811F8">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受托方住所：</w:t>
      </w:r>
    </w:p>
    <w:p w14:paraId="21F30C72">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受托方联系人：</w:t>
      </w:r>
    </w:p>
    <w:p w14:paraId="78A17221">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val="en-US" w:eastAsia="zh-CN"/>
        </w:rPr>
        <w:t>合同</w:t>
      </w:r>
      <w:r>
        <w:rPr>
          <w:rFonts w:hint="eastAsia" w:ascii="仿宋" w:hAnsi="仿宋" w:eastAsia="仿宋" w:cs="仿宋"/>
          <w:color w:val="auto"/>
          <w:sz w:val="24"/>
          <w:highlight w:val="none"/>
        </w:rPr>
        <w:t>确认</w:t>
      </w:r>
      <w:r>
        <w:rPr>
          <w:rFonts w:hint="eastAsia" w:ascii="仿宋" w:hAnsi="仿宋" w:eastAsia="仿宋" w:cs="仿宋"/>
          <w:color w:val="auto"/>
          <w:kern w:val="144"/>
          <w:sz w:val="24"/>
          <w:highlight w:val="none"/>
          <w:u w:val="single"/>
        </w:rPr>
        <w:t xml:space="preserve"> </w:t>
      </w:r>
      <w:r>
        <w:rPr>
          <w:rFonts w:hint="eastAsia" w:ascii="仿宋" w:hAnsi="仿宋" w:eastAsia="仿宋" w:cs="仿宋"/>
          <w:color w:val="auto"/>
          <w:sz w:val="24"/>
          <w:highlight w:val="none"/>
          <w:u w:val="single"/>
          <w:lang w:val="en-US" w:eastAsia="zh-CN"/>
        </w:rPr>
        <w:t xml:space="preserve">重庆绿发资产经营管理有限公司 </w:t>
      </w:r>
      <w:r>
        <w:rPr>
          <w:rFonts w:hint="eastAsia" w:ascii="仿宋" w:hAnsi="仿宋" w:eastAsia="仿宋" w:cs="仿宋"/>
          <w:color w:val="auto"/>
          <w:sz w:val="24"/>
          <w:highlight w:val="none"/>
        </w:rPr>
        <w:t>委托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就其所委托的资产进行</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。现将有关事项及双方的权利义务约定如下：</w:t>
      </w:r>
    </w:p>
    <w:p w14:paraId="04BAB85D">
      <w:pPr>
        <w:widowControl w:val="0"/>
        <w:wordWrap/>
        <w:adjustRightInd/>
        <w:snapToGrid/>
        <w:spacing w:line="400" w:lineRule="exact"/>
        <w:ind w:left="0" w:leftChars="0" w:right="0" w:firstLine="56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w:t>
      </w:r>
      <w:r>
        <w:rPr>
          <w:rFonts w:hint="eastAsia" w:ascii="仿宋" w:hAnsi="仿宋" w:eastAsia="仿宋" w:cs="仿宋"/>
          <w:b/>
          <w:color w:val="auto"/>
          <w:sz w:val="24"/>
          <w:highlight w:val="none"/>
          <w:lang w:eastAsia="zh-CN"/>
        </w:rPr>
        <w:t>评估</w:t>
      </w:r>
      <w:r>
        <w:rPr>
          <w:rFonts w:hint="eastAsia" w:ascii="仿宋" w:hAnsi="仿宋" w:eastAsia="仿宋" w:cs="仿宋"/>
          <w:b/>
          <w:color w:val="auto"/>
          <w:sz w:val="24"/>
          <w:highlight w:val="none"/>
        </w:rPr>
        <w:t>目的、</w:t>
      </w:r>
      <w:r>
        <w:rPr>
          <w:rFonts w:hint="eastAsia" w:ascii="仿宋" w:hAnsi="仿宋" w:eastAsia="仿宋" w:cs="仿宋"/>
          <w:b/>
          <w:color w:val="auto"/>
          <w:sz w:val="24"/>
          <w:highlight w:val="none"/>
          <w:lang w:eastAsia="zh-CN"/>
        </w:rPr>
        <w:t>评估</w:t>
      </w:r>
      <w:r>
        <w:rPr>
          <w:rFonts w:hint="eastAsia" w:ascii="仿宋" w:hAnsi="仿宋" w:eastAsia="仿宋" w:cs="仿宋"/>
          <w:b/>
          <w:color w:val="auto"/>
          <w:sz w:val="24"/>
          <w:highlight w:val="none"/>
        </w:rPr>
        <w:t>对象和</w:t>
      </w:r>
      <w:r>
        <w:rPr>
          <w:rFonts w:hint="eastAsia" w:ascii="仿宋" w:hAnsi="仿宋" w:eastAsia="仿宋" w:cs="仿宋"/>
          <w:b/>
          <w:color w:val="auto"/>
          <w:sz w:val="24"/>
          <w:highlight w:val="none"/>
          <w:lang w:eastAsia="zh-CN"/>
        </w:rPr>
        <w:t>评估</w:t>
      </w:r>
      <w:r>
        <w:rPr>
          <w:rFonts w:hint="eastAsia" w:ascii="仿宋" w:hAnsi="仿宋" w:eastAsia="仿宋" w:cs="仿宋"/>
          <w:b/>
          <w:color w:val="auto"/>
          <w:sz w:val="24"/>
          <w:highlight w:val="none"/>
        </w:rPr>
        <w:t>范围</w:t>
      </w:r>
    </w:p>
    <w:p w14:paraId="52D3A149">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eastAsia="zh-CN"/>
        </w:rPr>
        <w:t>评估目的：为重庆绿发资产经营管理有限公司</w:t>
      </w:r>
      <w:r>
        <w:rPr>
          <w:rFonts w:hint="eastAsia" w:ascii="仿宋" w:hAnsi="仿宋" w:eastAsia="仿宋" w:cs="仿宋"/>
          <w:color w:val="auto"/>
          <w:sz w:val="24"/>
          <w:highlight w:val="none"/>
          <w:lang w:val="en-US" w:eastAsia="zh-CN"/>
        </w:rPr>
        <w:t>拟转让重庆知天而作农业科技研究院有限公司30%股权所涉及的重庆知天而作农业科技研究院有限公司股东部分权益</w:t>
      </w:r>
      <w:r>
        <w:rPr>
          <w:rFonts w:hint="eastAsia" w:ascii="仿宋" w:hAnsi="仿宋" w:eastAsia="仿宋" w:cs="仿宋"/>
          <w:color w:val="auto"/>
          <w:sz w:val="24"/>
          <w:highlight w:val="none"/>
          <w:lang w:eastAsia="zh-CN"/>
        </w:rPr>
        <w:t>在评估基准日2025年3月31日的市场价值提供参考依据。</w:t>
      </w:r>
    </w:p>
    <w:p w14:paraId="51FEC331">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（二）</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对象和</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范围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评估对象为重庆知天而作农业科技研究院有限公司股东部分权益，评估范围是重庆知天而作农业科技研究院有限公司申报的截至2025年3月31日账内反映的全部资产以及相关负债（具体情况详见评估申报明细表）</w:t>
      </w:r>
      <w:r>
        <w:rPr>
          <w:rFonts w:hint="eastAsia" w:ascii="仿宋" w:hAnsi="仿宋" w:eastAsia="仿宋" w:cs="仿宋"/>
          <w:color w:val="auto"/>
          <w:sz w:val="24"/>
          <w:highlight w:val="none"/>
          <w:lang w:eastAsia="zh-CN"/>
        </w:rPr>
        <w:t>。</w:t>
      </w:r>
    </w:p>
    <w:p w14:paraId="6D5340EB">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eastAsia="zh-CN"/>
        </w:rPr>
        <w:t>评估</w:t>
      </w:r>
      <w:r>
        <w:rPr>
          <w:rFonts w:hint="eastAsia" w:ascii="仿宋" w:hAnsi="仿宋" w:eastAsia="仿宋" w:cs="仿宋"/>
          <w:b/>
          <w:color w:val="auto"/>
          <w:sz w:val="24"/>
          <w:highlight w:val="none"/>
        </w:rPr>
        <w:t>基准日：</w:t>
      </w:r>
      <w:r>
        <w:rPr>
          <w:rFonts w:hint="eastAsia" w:ascii="仿宋" w:hAnsi="仿宋" w:eastAsia="仿宋" w:cs="仿宋"/>
          <w:color w:val="auto"/>
          <w:sz w:val="24"/>
          <w:highlight w:val="none"/>
          <w:lang w:val="en-US" w:eastAsia="zh-CN"/>
        </w:rPr>
        <w:t>2025年3月31日</w:t>
      </w:r>
    </w:p>
    <w:p w14:paraId="3AD34DA2">
      <w:pPr>
        <w:widowControl w:val="0"/>
        <w:wordWrap/>
        <w:adjustRightInd/>
        <w:snapToGrid/>
        <w:spacing w:line="400" w:lineRule="exact"/>
        <w:ind w:left="0" w:leftChars="0" w:right="0" w:firstLine="560"/>
        <w:textAlignment w:val="auto"/>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三、评估报告使用范围</w:t>
      </w:r>
    </w:p>
    <w:p w14:paraId="14FBC28D">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（一）本次资产评估报告仅供资委托人和法律、行政法规规定的使用人使用，其他任何机构和个人不能成为资产评估报告的使用人。</w:t>
      </w:r>
    </w:p>
    <w:p w14:paraId="7BB35433">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委托人或者其他资产评估报告使用人应当按照法律、行政法规规定和资产评估报告载明的评估目的和用途使用资产评估报告，委托人或者其他资产评估报告使用人违反前述约定使用资产评估报告的，资产评估机构及其资产评估专业人员不承担责任。</w:t>
      </w:r>
    </w:p>
    <w:p w14:paraId="77473DA2">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（三）本报告评估结果自资产评估基准日2025年3月31日后一年内有效，超过一年则需重新进行资产评估。</w:t>
      </w:r>
    </w:p>
    <w:p w14:paraId="1FB27081">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（四）未经委托人书面许可，资产评估机构及其资产评估专业人员不得将资产评估报告的内容向第三方提供或者公开，法律、行政法规另有规定的除外。</w:t>
      </w:r>
    </w:p>
    <w:p w14:paraId="6E00DC89">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（五）未征得资产评估机构同意，资产评估报告的内容不得被摘抄、引用或者披露于公开媒体，法律、行政法规规定以及相关当事人另有约定的除外。</w:t>
      </w:r>
    </w:p>
    <w:p w14:paraId="71F56036">
      <w:pPr>
        <w:widowControl w:val="0"/>
        <w:wordWrap/>
        <w:adjustRightInd/>
        <w:snapToGrid/>
        <w:spacing w:line="400" w:lineRule="exact"/>
        <w:ind w:left="0" w:leftChars="0" w:right="0" w:firstLine="482"/>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、资产</w:t>
      </w:r>
      <w:r>
        <w:rPr>
          <w:rFonts w:hint="eastAsia" w:ascii="仿宋" w:hAnsi="仿宋" w:eastAsia="仿宋" w:cs="仿宋"/>
          <w:b/>
          <w:color w:val="auto"/>
          <w:sz w:val="24"/>
          <w:highlight w:val="none"/>
          <w:lang w:eastAsia="zh-CN"/>
        </w:rPr>
        <w:t>评估</w:t>
      </w:r>
      <w:r>
        <w:rPr>
          <w:rFonts w:hint="eastAsia" w:ascii="仿宋" w:hAnsi="仿宋" w:eastAsia="仿宋" w:cs="仿宋"/>
          <w:b/>
          <w:color w:val="auto"/>
          <w:sz w:val="24"/>
          <w:highlight w:val="none"/>
        </w:rPr>
        <w:t>报告的提交</w:t>
      </w:r>
      <w:r>
        <w:rPr>
          <w:rFonts w:hint="eastAsia" w:ascii="仿宋" w:hAnsi="仿宋" w:eastAsia="仿宋" w:cs="仿宋"/>
          <w:b/>
          <w:color w:val="auto"/>
          <w:sz w:val="24"/>
          <w:highlight w:val="none"/>
          <w:lang w:val="en-US" w:eastAsia="zh-CN"/>
        </w:rPr>
        <w:t>期限</w:t>
      </w:r>
      <w:r>
        <w:rPr>
          <w:rFonts w:hint="eastAsia" w:ascii="仿宋" w:hAnsi="仿宋" w:eastAsia="仿宋" w:cs="仿宋"/>
          <w:b/>
          <w:color w:val="auto"/>
          <w:sz w:val="24"/>
          <w:highlight w:val="none"/>
        </w:rPr>
        <w:t>和方式</w:t>
      </w:r>
    </w:p>
    <w:p w14:paraId="55B62AEC">
      <w:pPr>
        <w:widowControl w:val="0"/>
        <w:wordWrap/>
        <w:adjustRightInd/>
        <w:snapToGrid/>
        <w:spacing w:line="400" w:lineRule="exact"/>
        <w:ind w:left="0" w:leftChars="0" w:right="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color w:val="auto"/>
          <w:sz w:val="24"/>
          <w:highlight w:val="none"/>
          <w:lang w:val="en-US" w:eastAsia="zh-CN"/>
        </w:rPr>
        <w:t>受托方</w:t>
      </w:r>
      <w:r>
        <w:rPr>
          <w:rFonts w:hint="eastAsia" w:ascii="仿宋" w:hAnsi="仿宋" w:eastAsia="仿宋" w:cs="仿宋"/>
          <w:color w:val="auto"/>
          <w:sz w:val="24"/>
          <w:highlight w:val="none"/>
        </w:rPr>
        <w:t>将督促</w:t>
      </w:r>
      <w:r>
        <w:rPr>
          <w:rFonts w:hint="eastAsia" w:ascii="仿宋" w:hAnsi="仿宋" w:eastAsia="仿宋" w:cs="仿宋"/>
          <w:color w:val="auto"/>
          <w:sz w:val="24"/>
          <w:highlight w:val="none"/>
          <w:lang w:val="en-US" w:eastAsia="zh-CN"/>
        </w:rPr>
        <w:t>委托人及资产占有方在合同签订后的10天内</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提供资产</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所需全部资料。</w:t>
      </w:r>
    </w:p>
    <w:p w14:paraId="2D86BFE9">
      <w:pPr>
        <w:widowControl w:val="0"/>
        <w:wordWrap/>
        <w:adjustRightInd/>
        <w:snapToGrid/>
        <w:spacing w:line="400" w:lineRule="exact"/>
        <w:ind w:left="0" w:leftChars="0" w:right="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（二）受托方应于</w:t>
      </w:r>
      <w:r>
        <w:rPr>
          <w:rFonts w:hint="eastAsia" w:ascii="仿宋" w:hAnsi="仿宋" w:eastAsia="仿宋" w:cs="仿宋"/>
          <w:color w:val="auto"/>
          <w:sz w:val="24"/>
          <w:highlight w:val="none"/>
          <w:lang w:val="en-US" w:eastAsia="zh-CN"/>
        </w:rPr>
        <w:t>全部资料提供后的15个工作日内</w:t>
      </w:r>
      <w:r>
        <w:rPr>
          <w:rFonts w:hint="eastAsia" w:ascii="仿宋" w:hAnsi="仿宋" w:eastAsia="仿宋" w:cs="仿宋"/>
          <w:color w:val="auto"/>
          <w:sz w:val="24"/>
          <w:highlight w:val="none"/>
        </w:rPr>
        <w:t>出具资产</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初稿。</w:t>
      </w:r>
    </w:p>
    <w:p w14:paraId="364C222B">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如果在</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过程中出现提供</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资料时间延滞，</w:t>
      </w:r>
      <w:r>
        <w:rPr>
          <w:rFonts w:hint="eastAsia" w:ascii="仿宋" w:hAnsi="仿宋" w:eastAsia="仿宋" w:cs="仿宋"/>
          <w:color w:val="auto"/>
          <w:sz w:val="24"/>
          <w:highlight w:val="none"/>
          <w:lang w:val="en-US" w:eastAsia="zh-CN"/>
        </w:rPr>
        <w:t>受托</w:t>
      </w:r>
      <w:r>
        <w:rPr>
          <w:rFonts w:hint="eastAsia" w:ascii="仿宋" w:hAnsi="仿宋" w:eastAsia="仿宋" w:cs="仿宋"/>
          <w:color w:val="auto"/>
          <w:sz w:val="24"/>
          <w:highlight w:val="none"/>
        </w:rPr>
        <w:t>方出具资产</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报告的时间相应顺延，在顺延事由消除后，</w:t>
      </w:r>
      <w:r>
        <w:rPr>
          <w:rFonts w:hint="eastAsia" w:ascii="仿宋" w:hAnsi="仿宋" w:eastAsia="仿宋" w:cs="仿宋"/>
          <w:color w:val="auto"/>
          <w:sz w:val="24"/>
          <w:highlight w:val="none"/>
          <w:lang w:eastAsia="zh-CN"/>
        </w:rPr>
        <w:t>受托方</w:t>
      </w:r>
      <w:r>
        <w:rPr>
          <w:rFonts w:hint="eastAsia" w:ascii="仿宋" w:hAnsi="仿宋" w:eastAsia="仿宋" w:cs="仿宋"/>
          <w:color w:val="auto"/>
          <w:sz w:val="24"/>
          <w:highlight w:val="none"/>
        </w:rPr>
        <w:t>应尽快出具评估报告书；如评估工作量显著增加、</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对象异常及其他不可预见的情况，影响资产</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工作如期完成的，受托方应立刻向</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汇报，商议变更约定事项。</w:t>
      </w:r>
    </w:p>
    <w:p w14:paraId="75C5CE07">
      <w:pPr>
        <w:widowControl w:val="0"/>
        <w:wordWrap/>
        <w:adjustRightInd/>
        <w:snapToGrid/>
        <w:spacing w:line="400" w:lineRule="exact"/>
        <w:ind w:left="0" w:leftChars="0" w:right="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（三）在</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确认可以出具正式</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报告的</w:t>
      </w: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个工作日内，受托方应向</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提交正式</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报告。</w:t>
      </w:r>
    </w:p>
    <w:p w14:paraId="01A1458C">
      <w:pPr>
        <w:widowControl w:val="0"/>
        <w:wordWrap/>
        <w:adjustRightInd/>
        <w:snapToGrid/>
        <w:spacing w:line="400" w:lineRule="exact"/>
        <w:ind w:left="0" w:leftChars="0" w:right="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）若涉及国有资产监督管理的备案或核准程序，在</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确认后，受托方可将</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报告报送予相关国资部门或其授权单位。通过备案或核准程序后的三个工作日内，受托方应向</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提交正式</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报告。</w:t>
      </w:r>
    </w:p>
    <w:p w14:paraId="7FD0079D">
      <w:pPr>
        <w:widowControl w:val="0"/>
        <w:wordWrap/>
        <w:adjustRightInd/>
        <w:snapToGrid/>
        <w:spacing w:line="400" w:lineRule="exact"/>
        <w:ind w:left="0" w:leftChars="0" w:right="0" w:firstLine="480" w:firstLineChars="200"/>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）资产</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 xml:space="preserve">报告一式 </w:t>
      </w:r>
      <w:r>
        <w:rPr>
          <w:rFonts w:hint="eastAsia" w:ascii="仿宋" w:hAnsi="仿宋" w:eastAsia="仿宋" w:cs="仿宋"/>
          <w:color w:val="auto"/>
          <w:sz w:val="24"/>
          <w:highlight w:val="none"/>
          <w:u w:val="single"/>
          <w:lang w:eastAsia="zh-CN"/>
        </w:rPr>
        <w:t>叁</w:t>
      </w:r>
      <w:r>
        <w:rPr>
          <w:rFonts w:hint="eastAsia" w:ascii="仿宋" w:hAnsi="仿宋" w:eastAsia="仿宋" w:cs="仿宋"/>
          <w:color w:val="auto"/>
          <w:sz w:val="24"/>
          <w:highlight w:val="none"/>
        </w:rPr>
        <w:t xml:space="preserve"> 份，提交方式为</w:t>
      </w:r>
      <w:r>
        <w:rPr>
          <w:rFonts w:hint="eastAsia" w:ascii="仿宋" w:hAnsi="仿宋" w:eastAsia="仿宋" w:cs="仿宋"/>
          <w:color w:val="auto"/>
          <w:sz w:val="24"/>
          <w:highlight w:val="none"/>
          <w:lang w:val="en-US" w:eastAsia="zh-CN"/>
        </w:rPr>
        <w:t>按委托人要求</w:t>
      </w:r>
      <w:r>
        <w:rPr>
          <w:rFonts w:hint="eastAsia" w:ascii="仿宋" w:hAnsi="仿宋" w:eastAsia="仿宋" w:cs="仿宋"/>
          <w:color w:val="auto"/>
          <w:sz w:val="24"/>
          <w:highlight w:val="none"/>
        </w:rPr>
        <w:t>（邮寄、</w:t>
      </w:r>
      <w:r>
        <w:rPr>
          <w:rFonts w:hint="eastAsia" w:ascii="仿宋" w:hAnsi="仿宋" w:eastAsia="仿宋" w:cs="仿宋"/>
          <w:color w:val="auto"/>
          <w:sz w:val="24"/>
          <w:highlight w:val="none"/>
          <w:u w:val="none"/>
        </w:rPr>
        <w:t>当面送达</w:t>
      </w:r>
      <w:r>
        <w:rPr>
          <w:rFonts w:hint="eastAsia" w:ascii="仿宋" w:hAnsi="仿宋" w:eastAsia="仿宋" w:cs="仿宋"/>
          <w:color w:val="auto"/>
          <w:sz w:val="24"/>
          <w:highlight w:val="none"/>
        </w:rPr>
        <w:t>或其他方式）。</w:t>
      </w:r>
    </w:p>
    <w:p w14:paraId="052BD385">
      <w:pPr>
        <w:widowControl w:val="0"/>
        <w:wordWrap/>
        <w:adjustRightInd/>
        <w:snapToGrid/>
        <w:spacing w:line="400" w:lineRule="exact"/>
        <w:ind w:left="0" w:leftChars="0" w:right="0" w:firstLine="480" w:firstLineChars="20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）受托方提供正式</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报告，视为完成合约；</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支付</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服务费完毕，视为完成</w:t>
      </w:r>
      <w:r>
        <w:rPr>
          <w:rFonts w:hint="eastAsia" w:ascii="仿宋" w:hAnsi="仿宋" w:eastAsia="仿宋" w:cs="仿宋"/>
          <w:color w:val="auto"/>
          <w:sz w:val="24"/>
          <w:highlight w:val="none"/>
          <w:lang w:val="en-US" w:eastAsia="zh-CN"/>
        </w:rPr>
        <w:t>合约。</w:t>
      </w:r>
    </w:p>
    <w:p w14:paraId="3D56DE7E">
      <w:pPr>
        <w:widowControl w:val="0"/>
        <w:wordWrap/>
        <w:adjustRightInd/>
        <w:snapToGrid/>
        <w:spacing w:line="400" w:lineRule="exact"/>
        <w:ind w:left="0" w:leftChars="0" w:right="0" w:firstLine="56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评估</w:t>
      </w:r>
      <w:r>
        <w:rPr>
          <w:rFonts w:hint="eastAsia" w:ascii="仿宋" w:hAnsi="仿宋" w:eastAsia="仿宋" w:cs="仿宋"/>
          <w:b/>
          <w:color w:val="auto"/>
          <w:sz w:val="24"/>
          <w:highlight w:val="none"/>
        </w:rPr>
        <w:t>服务费</w:t>
      </w:r>
      <w:r>
        <w:rPr>
          <w:rFonts w:hint="eastAsia" w:ascii="仿宋" w:hAnsi="仿宋" w:eastAsia="仿宋" w:cs="仿宋"/>
          <w:b/>
          <w:color w:val="auto"/>
          <w:sz w:val="24"/>
          <w:highlight w:val="none"/>
          <w:lang w:val="en-US" w:eastAsia="zh-CN"/>
        </w:rPr>
        <w:t>总额或者支付标准、支付时间</w:t>
      </w:r>
      <w:r>
        <w:rPr>
          <w:rFonts w:hint="eastAsia" w:ascii="仿宋" w:hAnsi="仿宋" w:eastAsia="仿宋" w:cs="仿宋"/>
          <w:b/>
          <w:color w:val="auto"/>
          <w:sz w:val="24"/>
          <w:highlight w:val="none"/>
        </w:rPr>
        <w:t>及支付方式</w:t>
      </w:r>
    </w:p>
    <w:p w14:paraId="32673322">
      <w:pPr>
        <w:widowControl w:val="0"/>
        <w:wordWrap/>
        <w:adjustRightInd/>
        <w:snapToGrid/>
        <w:spacing w:line="400" w:lineRule="exact"/>
        <w:ind w:left="0" w:leftChars="0" w:right="0" w:firstLine="480" w:firstLineChars="200"/>
        <w:textAlignment w:val="auto"/>
        <w:outlineLvl w:val="9"/>
        <w:rPr>
          <w:rFonts w:hint="eastAsia" w:ascii="仿宋" w:hAnsi="仿宋" w:eastAsia="仿宋" w:cs="仿宋"/>
          <w:color w:val="auto"/>
          <w:kern w:val="144"/>
          <w:sz w:val="24"/>
          <w:highlight w:val="none"/>
        </w:rPr>
      </w:pPr>
      <w:r>
        <w:rPr>
          <w:rFonts w:hint="eastAsia" w:ascii="仿宋" w:hAnsi="仿宋" w:eastAsia="仿宋" w:cs="仿宋"/>
          <w:color w:val="auto"/>
          <w:kern w:val="144"/>
          <w:sz w:val="24"/>
          <w:highlight w:val="none"/>
        </w:rPr>
        <w:t>（一）本项目的</w:t>
      </w:r>
      <w:r>
        <w:rPr>
          <w:rFonts w:hint="eastAsia" w:ascii="仿宋" w:hAnsi="仿宋" w:eastAsia="仿宋" w:cs="仿宋"/>
          <w:color w:val="auto"/>
          <w:kern w:val="144"/>
          <w:sz w:val="24"/>
          <w:highlight w:val="none"/>
          <w:lang w:eastAsia="zh-CN"/>
        </w:rPr>
        <w:t>评估</w:t>
      </w:r>
      <w:r>
        <w:rPr>
          <w:rFonts w:hint="eastAsia" w:ascii="仿宋" w:hAnsi="仿宋" w:eastAsia="仿宋" w:cs="仿宋"/>
          <w:color w:val="auto"/>
          <w:kern w:val="144"/>
          <w:sz w:val="24"/>
          <w:highlight w:val="none"/>
        </w:rPr>
        <w:t>服务费计人民币</w:t>
      </w:r>
      <w:r>
        <w:rPr>
          <w:rFonts w:hint="eastAsia" w:ascii="仿宋" w:hAnsi="仿宋" w:eastAsia="仿宋" w:cs="仿宋"/>
          <w:color w:val="auto"/>
          <w:kern w:val="144"/>
          <w:sz w:val="24"/>
          <w:highlight w:val="none"/>
          <w:u w:val="single"/>
        </w:rPr>
        <w:t xml:space="preserve"> </w:t>
      </w:r>
      <w:r>
        <w:rPr>
          <w:rFonts w:hint="eastAsia" w:ascii="仿宋" w:hAnsi="仿宋" w:eastAsia="仿宋" w:cs="仿宋"/>
          <w:color w:val="auto"/>
          <w:kern w:val="144"/>
          <w:sz w:val="24"/>
          <w:highlight w:val="none"/>
          <w:u w:val="single"/>
          <w:lang w:val="en-US" w:eastAsia="zh-CN"/>
        </w:rPr>
        <w:t xml:space="preserve">     </w:t>
      </w:r>
      <w:r>
        <w:rPr>
          <w:rFonts w:hint="eastAsia" w:ascii="仿宋" w:hAnsi="仿宋" w:eastAsia="仿宋" w:cs="仿宋"/>
          <w:color w:val="auto"/>
          <w:kern w:val="144"/>
          <w:sz w:val="24"/>
          <w:highlight w:val="none"/>
          <w:u w:val="single"/>
        </w:rPr>
        <w:t xml:space="preserve">  </w:t>
      </w:r>
      <w:r>
        <w:rPr>
          <w:rFonts w:hint="eastAsia" w:ascii="仿宋" w:hAnsi="仿宋" w:eastAsia="仿宋" w:cs="仿宋"/>
          <w:color w:val="auto"/>
          <w:kern w:val="144"/>
          <w:sz w:val="24"/>
          <w:highlight w:val="none"/>
        </w:rPr>
        <w:t>元</w:t>
      </w:r>
      <w:r>
        <w:rPr>
          <w:rFonts w:hint="eastAsia" w:ascii="仿宋" w:hAnsi="仿宋" w:eastAsia="仿宋" w:cs="仿宋"/>
          <w:color w:val="auto"/>
          <w:kern w:val="144"/>
          <w:sz w:val="24"/>
          <w:highlight w:val="none"/>
          <w:lang w:eastAsia="zh-CN"/>
        </w:rPr>
        <w:t>（大写人民币</w:t>
      </w:r>
      <w:r>
        <w:rPr>
          <w:rFonts w:hint="eastAsia" w:ascii="仿宋" w:hAnsi="仿宋" w:eastAsia="仿宋" w:cs="仿宋"/>
          <w:color w:val="auto"/>
          <w:kern w:val="144"/>
          <w:sz w:val="24"/>
          <w:highlight w:val="none"/>
          <w:u w:val="single"/>
          <w:lang w:val="en-US" w:eastAsia="zh-CN"/>
        </w:rPr>
        <w:t xml:space="preserve">      </w:t>
      </w:r>
      <w:r>
        <w:rPr>
          <w:rFonts w:hint="eastAsia" w:ascii="仿宋" w:hAnsi="仿宋" w:eastAsia="仿宋" w:cs="仿宋"/>
          <w:color w:val="auto"/>
          <w:kern w:val="144"/>
          <w:sz w:val="24"/>
          <w:highlight w:val="none"/>
          <w:lang w:eastAsia="zh-CN"/>
        </w:rPr>
        <w:t>正）（</w:t>
      </w:r>
      <w:r>
        <w:rPr>
          <w:rFonts w:hint="eastAsia" w:ascii="仿宋" w:hAnsi="仿宋" w:eastAsia="仿宋" w:cs="仿宋"/>
          <w:color w:val="auto"/>
          <w:kern w:val="144"/>
          <w:sz w:val="24"/>
          <w:highlight w:val="none"/>
          <w:lang w:val="en-US" w:eastAsia="zh-CN"/>
        </w:rPr>
        <w:t>含税</w:t>
      </w:r>
      <w:r>
        <w:rPr>
          <w:rFonts w:hint="eastAsia" w:ascii="仿宋" w:hAnsi="仿宋" w:eastAsia="仿宋" w:cs="仿宋"/>
          <w:color w:val="auto"/>
          <w:kern w:val="144"/>
          <w:sz w:val="24"/>
          <w:highlight w:val="none"/>
          <w:lang w:eastAsia="zh-CN"/>
        </w:rPr>
        <w:t>）</w:t>
      </w:r>
      <w:r>
        <w:rPr>
          <w:rFonts w:hint="eastAsia" w:ascii="仿宋" w:hAnsi="仿宋" w:eastAsia="仿宋" w:cs="仿宋"/>
          <w:color w:val="auto"/>
          <w:kern w:val="144"/>
          <w:sz w:val="24"/>
          <w:highlight w:val="none"/>
        </w:rPr>
        <w:t>，</w:t>
      </w:r>
      <w:r>
        <w:rPr>
          <w:rFonts w:hint="eastAsia" w:ascii="仿宋" w:hAnsi="仿宋" w:eastAsia="仿宋" w:cs="仿宋"/>
          <w:color w:val="auto"/>
          <w:kern w:val="144"/>
          <w:sz w:val="24"/>
          <w:highlight w:val="none"/>
          <w:lang w:eastAsia="zh-CN"/>
        </w:rPr>
        <w:t>委托人</w:t>
      </w:r>
      <w:r>
        <w:rPr>
          <w:rFonts w:hint="eastAsia" w:ascii="仿宋" w:hAnsi="仿宋" w:eastAsia="仿宋" w:cs="仿宋"/>
          <w:color w:val="auto"/>
          <w:kern w:val="144"/>
          <w:sz w:val="24"/>
          <w:highlight w:val="none"/>
        </w:rPr>
        <w:t>在受托方提供正式评估报告，以及</w:t>
      </w:r>
      <w:r>
        <w:rPr>
          <w:rFonts w:hint="eastAsia" w:ascii="仿宋" w:hAnsi="仿宋" w:eastAsia="仿宋" w:cs="仿宋"/>
          <w:color w:val="auto"/>
          <w:kern w:val="144"/>
          <w:sz w:val="24"/>
          <w:highlight w:val="none"/>
          <w:lang w:eastAsia="zh-CN"/>
        </w:rPr>
        <w:t>发票</w:t>
      </w:r>
      <w:r>
        <w:rPr>
          <w:rFonts w:hint="eastAsia" w:ascii="仿宋" w:hAnsi="仿宋" w:eastAsia="仿宋" w:cs="仿宋"/>
          <w:color w:val="auto"/>
          <w:kern w:val="144"/>
          <w:sz w:val="24"/>
          <w:highlight w:val="none"/>
        </w:rPr>
        <w:t>后</w:t>
      </w:r>
      <w:r>
        <w:rPr>
          <w:rFonts w:hint="eastAsia" w:ascii="仿宋" w:hAnsi="仿宋" w:eastAsia="仿宋" w:cs="仿宋"/>
          <w:color w:val="auto"/>
          <w:kern w:val="144"/>
          <w:sz w:val="24"/>
          <w:highlight w:val="none"/>
          <w:lang w:val="en-US" w:eastAsia="zh-CN"/>
        </w:rPr>
        <w:t>10</w:t>
      </w:r>
      <w:r>
        <w:rPr>
          <w:rFonts w:hint="eastAsia" w:ascii="仿宋" w:hAnsi="仿宋" w:eastAsia="仿宋" w:cs="仿宋"/>
          <w:color w:val="auto"/>
          <w:kern w:val="144"/>
          <w:sz w:val="24"/>
          <w:highlight w:val="none"/>
        </w:rPr>
        <w:t>日内结清。</w:t>
      </w:r>
    </w:p>
    <w:p w14:paraId="015E7966">
      <w:pPr>
        <w:widowControl w:val="0"/>
        <w:wordWrap/>
        <w:adjustRightInd/>
        <w:snapToGrid/>
        <w:spacing w:line="400" w:lineRule="exact"/>
        <w:ind w:left="0" w:leftChars="0" w:right="0" w:firstLine="480" w:firstLineChars="200"/>
        <w:textAlignment w:val="auto"/>
        <w:outlineLvl w:val="9"/>
        <w:rPr>
          <w:rFonts w:hint="eastAsia" w:ascii="仿宋" w:hAnsi="仿宋" w:eastAsia="仿宋" w:cs="仿宋"/>
          <w:b/>
          <w:color w:val="auto"/>
          <w:sz w:val="24"/>
          <w:highlight w:val="none"/>
          <w:lang w:val="en-US" w:eastAsia="zh-CN"/>
        </w:rPr>
      </w:pPr>
      <w:r>
        <w:rPr>
          <w:rFonts w:hint="eastAsia" w:ascii="仿宋" w:hAnsi="仿宋" w:eastAsia="仿宋" w:cs="仿宋"/>
          <w:color w:val="auto"/>
          <w:kern w:val="144"/>
          <w:sz w:val="24"/>
          <w:highlight w:val="none"/>
        </w:rPr>
        <w:t>（二）</w:t>
      </w:r>
      <w:r>
        <w:rPr>
          <w:rFonts w:hint="eastAsia" w:ascii="仿宋" w:hAnsi="仿宋" w:eastAsia="仿宋" w:cs="仿宋"/>
          <w:color w:val="auto"/>
          <w:kern w:val="144"/>
          <w:sz w:val="24"/>
          <w:highlight w:val="none"/>
          <w:lang w:val="en-US" w:eastAsia="zh-CN"/>
        </w:rPr>
        <w:t>上述服务价款包括</w:t>
      </w:r>
      <w:r>
        <w:rPr>
          <w:rFonts w:hint="eastAsia" w:ascii="仿宋" w:hAnsi="仿宋" w:eastAsia="仿宋" w:cs="仿宋"/>
          <w:color w:val="auto"/>
          <w:kern w:val="144"/>
          <w:sz w:val="24"/>
          <w:highlight w:val="none"/>
        </w:rPr>
        <w:t>出差外省市或郊区（县）的差旅费、住勤费</w:t>
      </w:r>
      <w:r>
        <w:rPr>
          <w:rFonts w:hint="eastAsia" w:ascii="仿宋" w:hAnsi="仿宋" w:eastAsia="仿宋" w:cs="仿宋"/>
          <w:color w:val="auto"/>
          <w:kern w:val="144"/>
          <w:sz w:val="24"/>
          <w:highlight w:val="none"/>
          <w:lang w:val="en-US" w:eastAsia="zh-CN"/>
        </w:rPr>
        <w:t>等所有费用，委托人不额外支付其他任何费用</w:t>
      </w:r>
      <w:r>
        <w:rPr>
          <w:rFonts w:hint="eastAsia" w:ascii="仿宋" w:hAnsi="仿宋" w:eastAsia="仿宋" w:cs="仿宋"/>
          <w:color w:val="auto"/>
          <w:kern w:val="144"/>
          <w:sz w:val="24"/>
          <w:highlight w:val="none"/>
        </w:rPr>
        <w:t>。</w:t>
      </w:r>
    </w:p>
    <w:p w14:paraId="6F1E474E">
      <w:pPr>
        <w:widowControl w:val="0"/>
        <w:wordWrap/>
        <w:adjustRightInd/>
        <w:snapToGrid/>
        <w:spacing w:line="400" w:lineRule="exact"/>
        <w:ind w:left="0" w:leftChars="0" w:right="0" w:firstLine="56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资产评估机构和委托人的其他权利和义务</w:t>
      </w:r>
    </w:p>
    <w:p w14:paraId="738ECD74">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（一）受托方的权利和义务：</w:t>
      </w:r>
    </w:p>
    <w:p w14:paraId="3467E73C">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1、受托方应按照国家有关评估法规和行业评估准则，对标的公司提供的</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资料，实施必要的</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程序，选用恰当的</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方法，按照约定的</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目的、对象、范围和基准日，对所委托的资产进行</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，并出具资产</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报告。</w:t>
      </w:r>
    </w:p>
    <w:p w14:paraId="04CBE552">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2、受托方应按照约定的时间完成资产</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业务，出具资产</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报告。若</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报告涉及中国政府部门（不限于国有资产监督管理委员会）的备案、核准或问答程序，受托方有义务积极配合、协助并按政府部门的要求提供相应文件。</w:t>
      </w:r>
    </w:p>
    <w:p w14:paraId="2A6A178C">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3、受托方在执行资产</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业务过程中，有义务接受</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的询问并及时回复和提供相应文件。</w:t>
      </w:r>
    </w:p>
    <w:p w14:paraId="3613F8C7">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受托方</w:t>
      </w:r>
      <w:r>
        <w:rPr>
          <w:rFonts w:hint="eastAsia" w:ascii="仿宋" w:hAnsi="仿宋" w:eastAsia="仿宋" w:cs="仿宋"/>
          <w:color w:val="auto"/>
          <w:sz w:val="24"/>
          <w:highlight w:val="none"/>
        </w:rPr>
        <w:t>在履行本合同义务向</w:t>
      </w:r>
      <w:r>
        <w:rPr>
          <w:rFonts w:hint="eastAsia" w:ascii="仿宋" w:hAnsi="仿宋" w:eastAsia="仿宋" w:cs="仿宋"/>
          <w:color w:val="auto"/>
          <w:sz w:val="24"/>
          <w:highlight w:val="none"/>
          <w:lang w:val="en-US" w:eastAsia="zh-CN"/>
        </w:rPr>
        <w:t>委托人</w:t>
      </w:r>
      <w:r>
        <w:rPr>
          <w:rFonts w:hint="eastAsia" w:ascii="仿宋" w:hAnsi="仿宋" w:eastAsia="仿宋" w:cs="仿宋"/>
          <w:color w:val="auto"/>
          <w:sz w:val="24"/>
          <w:highlight w:val="none"/>
        </w:rPr>
        <w:t>提供资产评估服务时应注意安全，操作规范，</w:t>
      </w:r>
      <w:r>
        <w:rPr>
          <w:rFonts w:hint="eastAsia" w:ascii="仿宋" w:hAnsi="仿宋" w:eastAsia="仿宋" w:cs="仿宋"/>
          <w:color w:val="auto"/>
          <w:sz w:val="24"/>
          <w:highlight w:val="none"/>
          <w:lang w:val="en-US" w:eastAsia="zh-CN"/>
        </w:rPr>
        <w:t>受托方</w:t>
      </w:r>
      <w:r>
        <w:rPr>
          <w:rFonts w:hint="eastAsia" w:ascii="仿宋" w:hAnsi="仿宋" w:eastAsia="仿宋" w:cs="仿宋"/>
          <w:color w:val="auto"/>
          <w:sz w:val="24"/>
          <w:highlight w:val="none"/>
        </w:rPr>
        <w:t>派来的人员应系</w:t>
      </w:r>
      <w:r>
        <w:rPr>
          <w:rFonts w:hint="eastAsia" w:ascii="仿宋" w:hAnsi="仿宋" w:eastAsia="仿宋" w:cs="仿宋"/>
          <w:color w:val="auto"/>
          <w:sz w:val="24"/>
          <w:highlight w:val="none"/>
          <w:lang w:val="en-US" w:eastAsia="zh-CN"/>
        </w:rPr>
        <w:t>其</w:t>
      </w:r>
      <w:r>
        <w:rPr>
          <w:rFonts w:hint="eastAsia" w:ascii="仿宋" w:hAnsi="仿宋" w:eastAsia="仿宋" w:cs="仿宋"/>
          <w:color w:val="auto"/>
          <w:sz w:val="24"/>
          <w:highlight w:val="none"/>
        </w:rPr>
        <w:t>资产评估专业工作人员，</w:t>
      </w:r>
      <w:r>
        <w:rPr>
          <w:rFonts w:hint="eastAsia" w:ascii="仿宋" w:hAnsi="仿宋" w:eastAsia="仿宋" w:cs="仿宋"/>
          <w:color w:val="auto"/>
          <w:sz w:val="24"/>
          <w:highlight w:val="none"/>
          <w:lang w:val="en-US" w:eastAsia="zh-CN"/>
        </w:rPr>
        <w:t>委托人</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val="en-US" w:eastAsia="zh-CN"/>
        </w:rPr>
        <w:t>受托方</w:t>
      </w:r>
      <w:r>
        <w:rPr>
          <w:rFonts w:hint="eastAsia" w:ascii="仿宋" w:hAnsi="仿宋" w:eastAsia="仿宋" w:cs="仿宋"/>
          <w:color w:val="auto"/>
          <w:sz w:val="24"/>
          <w:highlight w:val="none"/>
        </w:rPr>
        <w:t>资产评估专业人员中涉及与</w:t>
      </w:r>
      <w:r>
        <w:rPr>
          <w:rFonts w:hint="eastAsia" w:ascii="仿宋" w:hAnsi="仿宋" w:eastAsia="仿宋" w:cs="仿宋"/>
          <w:color w:val="auto"/>
          <w:sz w:val="24"/>
          <w:highlight w:val="none"/>
          <w:lang w:val="en-US" w:eastAsia="zh-CN"/>
        </w:rPr>
        <w:t>委托人</w:t>
      </w:r>
      <w:r>
        <w:rPr>
          <w:rFonts w:hint="eastAsia" w:ascii="仿宋" w:hAnsi="仿宋" w:eastAsia="仿宋" w:cs="仿宋"/>
          <w:color w:val="auto"/>
          <w:sz w:val="24"/>
          <w:highlight w:val="none"/>
        </w:rPr>
        <w:t>有利害关系的人员有权要求其回避，</w:t>
      </w:r>
      <w:r>
        <w:rPr>
          <w:rFonts w:hint="eastAsia" w:ascii="仿宋" w:hAnsi="仿宋" w:eastAsia="仿宋" w:cs="仿宋"/>
          <w:color w:val="auto"/>
          <w:sz w:val="24"/>
          <w:highlight w:val="none"/>
          <w:lang w:val="en-US" w:eastAsia="zh-CN"/>
        </w:rPr>
        <w:t>受托方</w:t>
      </w:r>
      <w:r>
        <w:rPr>
          <w:rFonts w:hint="eastAsia" w:ascii="仿宋" w:hAnsi="仿宋" w:eastAsia="仿宋" w:cs="仿宋"/>
          <w:color w:val="auto"/>
          <w:sz w:val="24"/>
          <w:highlight w:val="none"/>
        </w:rPr>
        <w:t>在工作期间造成的任何人身损害或财产损失，应由</w:t>
      </w:r>
      <w:r>
        <w:rPr>
          <w:rFonts w:hint="eastAsia" w:ascii="仿宋" w:hAnsi="仿宋" w:eastAsia="仿宋" w:cs="仿宋"/>
          <w:color w:val="auto"/>
          <w:sz w:val="24"/>
          <w:highlight w:val="none"/>
          <w:lang w:eastAsia="zh-CN"/>
        </w:rPr>
        <w:t>受托方</w:t>
      </w:r>
      <w:r>
        <w:rPr>
          <w:rFonts w:hint="eastAsia" w:ascii="仿宋" w:hAnsi="仿宋" w:eastAsia="仿宋" w:cs="仿宋"/>
          <w:color w:val="auto"/>
          <w:sz w:val="24"/>
          <w:highlight w:val="none"/>
        </w:rPr>
        <w:t>承担全部的经济责任与法律责任。</w:t>
      </w:r>
    </w:p>
    <w:p w14:paraId="4C745865">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5、受托方对在执行业务过程中知悉的商业秘密和完成的</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报告，负有保密责任。除法律、法规另有规定外，未经</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的书面许可，受托方不得将</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提供的资料或</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报告的内容提供给第三方或公开。</w:t>
      </w:r>
    </w:p>
    <w:p w14:paraId="2EDA8B5A">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6、受托方有依约按期收取</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服务费的权利。</w:t>
      </w:r>
    </w:p>
    <w:p w14:paraId="6CAEC1C6">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受托方</w:t>
      </w:r>
      <w:r>
        <w:rPr>
          <w:rFonts w:hint="eastAsia" w:ascii="仿宋" w:hAnsi="仿宋" w:eastAsia="仿宋" w:cs="仿宋"/>
          <w:color w:val="auto"/>
          <w:sz w:val="24"/>
          <w:highlight w:val="none"/>
        </w:rPr>
        <w:t>出具的评估报告书存在与</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资产实际情况不符、错误等情形的，</w:t>
      </w:r>
      <w:r>
        <w:rPr>
          <w:rFonts w:hint="eastAsia" w:ascii="仿宋" w:hAnsi="仿宋" w:eastAsia="仿宋" w:cs="仿宋"/>
          <w:color w:val="auto"/>
          <w:sz w:val="24"/>
          <w:highlight w:val="none"/>
          <w:lang w:eastAsia="zh-CN"/>
        </w:rPr>
        <w:t>受托方</w:t>
      </w:r>
      <w:r>
        <w:rPr>
          <w:rFonts w:hint="eastAsia" w:ascii="仿宋" w:hAnsi="仿宋" w:eastAsia="仿宋" w:cs="仿宋"/>
          <w:color w:val="auto"/>
          <w:sz w:val="24"/>
          <w:highlight w:val="none"/>
        </w:rPr>
        <w:t>应当免费修改或重新评估，</w:t>
      </w:r>
      <w:r>
        <w:rPr>
          <w:rFonts w:hint="eastAsia" w:ascii="仿宋" w:hAnsi="仿宋" w:eastAsia="仿宋" w:cs="仿宋"/>
          <w:color w:val="auto"/>
          <w:sz w:val="24"/>
          <w:highlight w:val="none"/>
          <w:lang w:eastAsia="zh-CN"/>
        </w:rPr>
        <w:t>受托方</w:t>
      </w:r>
      <w:r>
        <w:rPr>
          <w:rFonts w:hint="eastAsia" w:ascii="仿宋" w:hAnsi="仿宋" w:eastAsia="仿宋" w:cs="仿宋"/>
          <w:color w:val="auto"/>
          <w:sz w:val="24"/>
          <w:highlight w:val="none"/>
        </w:rPr>
        <w:t>不履行上述义务的，超过三天</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有权自行委托他人进行评估，并要求</w:t>
      </w:r>
      <w:r>
        <w:rPr>
          <w:rFonts w:hint="eastAsia" w:ascii="仿宋" w:hAnsi="仿宋" w:eastAsia="仿宋" w:cs="仿宋"/>
          <w:color w:val="auto"/>
          <w:sz w:val="24"/>
          <w:highlight w:val="none"/>
          <w:lang w:eastAsia="zh-CN"/>
        </w:rPr>
        <w:t>受托方</w:t>
      </w:r>
      <w:r>
        <w:rPr>
          <w:rFonts w:hint="eastAsia" w:ascii="仿宋" w:hAnsi="仿宋" w:eastAsia="仿宋" w:cs="仿宋"/>
          <w:color w:val="auto"/>
          <w:sz w:val="24"/>
          <w:highlight w:val="none"/>
        </w:rPr>
        <w:t>承担全部评估费用。</w:t>
      </w:r>
    </w:p>
    <w:p w14:paraId="31816438">
      <w:pPr>
        <w:widowControl w:val="0"/>
        <w:wordWrap/>
        <w:adjustRightInd/>
        <w:snapToGrid/>
        <w:spacing w:line="400" w:lineRule="exact"/>
        <w:ind w:left="0" w:leftChars="0" w:right="0" w:firstLine="360" w:firstLineChars="15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（二）</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的权利和义务：</w:t>
      </w:r>
    </w:p>
    <w:p w14:paraId="2D6A84D8">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应督促标的公司对受托方开展资产</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工作给予充分的合作，并按受托方的要求，提供资产</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所需的全部文件、会计记录、财产物资清单、产权证书及其他有关资料。</w:t>
      </w:r>
    </w:p>
    <w:p w14:paraId="243C700D">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应对标的公司所提供的文件资料、会计记录、财产物资清单的真实、准确、合法和完整性承担全部责任。</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应当知晓：受托方的</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责任，并不能替代、减轻或免除</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应承担的提供资料的责任。</w:t>
      </w:r>
    </w:p>
    <w:p w14:paraId="6C140A3F">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3、受托方认为需要发函向有关部门询证时，</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应提供方便并承担必要的费用。</w:t>
      </w:r>
    </w:p>
    <w:p w14:paraId="0BFD8AC7">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4、若按照国有资产管理规定，评估报告需要履行国有资产监督管理的核准备案程序，</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有义务按照规定履行程序。</w:t>
      </w:r>
    </w:p>
    <w:p w14:paraId="726A92EF">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5、作为资产</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程序的一部分，</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应提供一份资产</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的承诺书，对所涉及资产、负债的权属状况作必要的承诺。</w:t>
      </w:r>
    </w:p>
    <w:p w14:paraId="7DBE2B3A">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6、作为资产</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程序的一部分，</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应督促被评估企业提供一份资产</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的承诺书，对所涉及资产、负债的权属状况作必要的承诺。</w:t>
      </w:r>
    </w:p>
    <w:p w14:paraId="51639CD4">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和其他评估报告使用者应正确使用资产</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报告。对不当使用</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报告所造成的后果，受托方不承担责任。</w:t>
      </w:r>
    </w:p>
    <w:p w14:paraId="41280D2B">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8、除法律、法规及合约双方另有约定外，未经受托方同意，</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不得将</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报告的内容摘抄、引用或披露于公开媒体。</w:t>
      </w:r>
    </w:p>
    <w:p w14:paraId="098C604F">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应按照约定条件，及时足额支付</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服务费。</w:t>
      </w:r>
    </w:p>
    <w:p w14:paraId="08436D51">
      <w:pPr>
        <w:widowControl w:val="0"/>
        <w:wordWrap/>
        <w:adjustRightInd/>
        <w:snapToGrid/>
        <w:spacing w:line="400" w:lineRule="exact"/>
        <w:ind w:left="0" w:leftChars="0" w:right="0" w:firstLine="560"/>
        <w:textAlignment w:val="auto"/>
        <w:outlineLvl w:val="9"/>
        <w:rPr>
          <w:rFonts w:hint="eastAsia" w:ascii="仿宋" w:hAnsi="仿宋" w:eastAsia="仿宋" w:cs="仿宋"/>
          <w:color w:val="auto"/>
          <w:kern w:val="144"/>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有依约按期获取</w:t>
      </w:r>
      <w:r>
        <w:rPr>
          <w:rFonts w:hint="eastAsia" w:ascii="仿宋" w:hAnsi="仿宋" w:eastAsia="仿宋" w:cs="仿宋"/>
          <w:color w:val="auto"/>
          <w:sz w:val="24"/>
          <w:highlight w:val="none"/>
          <w:lang w:eastAsia="zh-CN"/>
        </w:rPr>
        <w:t>评估</w:t>
      </w:r>
      <w:r>
        <w:rPr>
          <w:rFonts w:hint="eastAsia" w:ascii="仿宋" w:hAnsi="仿宋" w:eastAsia="仿宋" w:cs="仿宋"/>
          <w:color w:val="auto"/>
          <w:sz w:val="24"/>
          <w:highlight w:val="none"/>
        </w:rPr>
        <w:t>报告的权利。</w:t>
      </w:r>
    </w:p>
    <w:p w14:paraId="3C1FD55B">
      <w:pPr>
        <w:widowControl w:val="0"/>
        <w:wordWrap/>
        <w:adjustRightInd/>
        <w:snapToGrid/>
        <w:spacing w:line="400" w:lineRule="exact"/>
        <w:ind w:left="0" w:leftChars="0" w:right="0" w:firstLine="56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w:t>
      </w:r>
      <w:r>
        <w:rPr>
          <w:rFonts w:hint="eastAsia" w:ascii="仿宋" w:hAnsi="仿宋" w:eastAsia="仿宋" w:cs="仿宋"/>
          <w:b/>
          <w:color w:val="auto"/>
          <w:sz w:val="24"/>
          <w:highlight w:val="none"/>
          <w:lang w:eastAsia="zh-CN"/>
        </w:rPr>
        <w:t>委托合同</w:t>
      </w:r>
      <w:r>
        <w:rPr>
          <w:rFonts w:hint="eastAsia" w:ascii="仿宋" w:hAnsi="仿宋" w:eastAsia="仿宋" w:cs="仿宋"/>
          <w:b/>
          <w:color w:val="auto"/>
          <w:sz w:val="24"/>
          <w:highlight w:val="none"/>
        </w:rPr>
        <w:t>的履行、变更、中止和解除</w:t>
      </w:r>
    </w:p>
    <w:p w14:paraId="06648B38">
      <w:pPr>
        <w:widowControl w:val="0"/>
        <w:wordWrap/>
        <w:adjustRightInd/>
        <w:snapToGrid/>
        <w:spacing w:line="400" w:lineRule="exact"/>
        <w:ind w:left="0" w:leftChars="0" w:right="0" w:firstLine="480" w:firstLineChars="200"/>
        <w:textAlignment w:val="auto"/>
        <w:outlineLvl w:val="9"/>
        <w:rPr>
          <w:rFonts w:hint="eastAsia" w:ascii="仿宋" w:hAnsi="仿宋" w:eastAsia="仿宋" w:cs="仿宋"/>
          <w:color w:val="auto"/>
          <w:kern w:val="144"/>
          <w:sz w:val="24"/>
          <w:highlight w:val="none"/>
        </w:rPr>
      </w:pPr>
      <w:r>
        <w:rPr>
          <w:rFonts w:hint="eastAsia" w:ascii="仿宋" w:hAnsi="仿宋" w:eastAsia="仿宋" w:cs="仿宋"/>
          <w:color w:val="auto"/>
          <w:kern w:val="144"/>
          <w:sz w:val="24"/>
          <w:highlight w:val="none"/>
        </w:rPr>
        <w:t>（一）双方应当按照</w:t>
      </w:r>
      <w:r>
        <w:rPr>
          <w:rFonts w:hint="eastAsia" w:ascii="仿宋" w:hAnsi="仿宋" w:eastAsia="仿宋" w:cs="仿宋"/>
          <w:color w:val="auto"/>
          <w:kern w:val="144"/>
          <w:sz w:val="24"/>
          <w:highlight w:val="none"/>
          <w:lang w:eastAsia="zh-CN"/>
        </w:rPr>
        <w:t>委托合同</w:t>
      </w:r>
      <w:r>
        <w:rPr>
          <w:rFonts w:hint="eastAsia" w:ascii="仿宋" w:hAnsi="仿宋" w:eastAsia="仿宋" w:cs="仿宋"/>
          <w:color w:val="auto"/>
          <w:kern w:val="144"/>
          <w:sz w:val="24"/>
          <w:highlight w:val="none"/>
        </w:rPr>
        <w:t>全面履行义务。</w:t>
      </w:r>
    </w:p>
    <w:p w14:paraId="1DCDD693">
      <w:pPr>
        <w:widowControl w:val="0"/>
        <w:wordWrap/>
        <w:adjustRightInd/>
        <w:snapToGrid/>
        <w:spacing w:line="400" w:lineRule="exact"/>
        <w:ind w:left="0" w:leftChars="0" w:right="0" w:firstLine="480" w:firstLineChars="200"/>
        <w:textAlignment w:val="auto"/>
        <w:outlineLvl w:val="9"/>
        <w:rPr>
          <w:rFonts w:hint="eastAsia" w:ascii="仿宋" w:hAnsi="仿宋" w:eastAsia="仿宋" w:cs="仿宋"/>
          <w:color w:val="auto"/>
          <w:kern w:val="144"/>
          <w:sz w:val="24"/>
          <w:highlight w:val="none"/>
        </w:rPr>
      </w:pPr>
      <w:r>
        <w:rPr>
          <w:rFonts w:hint="eastAsia" w:ascii="仿宋" w:hAnsi="仿宋" w:eastAsia="仿宋" w:cs="仿宋"/>
          <w:color w:val="auto"/>
          <w:kern w:val="144"/>
          <w:sz w:val="24"/>
          <w:highlight w:val="none"/>
        </w:rPr>
        <w:t>（二）</w:t>
      </w:r>
      <w:r>
        <w:rPr>
          <w:rFonts w:hint="eastAsia" w:ascii="仿宋" w:hAnsi="仿宋" w:eastAsia="仿宋" w:cs="仿宋"/>
          <w:color w:val="auto"/>
          <w:kern w:val="144"/>
          <w:sz w:val="24"/>
          <w:highlight w:val="none"/>
          <w:lang w:eastAsia="zh-CN"/>
        </w:rPr>
        <w:t>委托合同</w:t>
      </w:r>
      <w:r>
        <w:rPr>
          <w:rFonts w:hint="eastAsia" w:ascii="仿宋" w:hAnsi="仿宋" w:eastAsia="仿宋" w:cs="仿宋"/>
          <w:color w:val="auto"/>
          <w:kern w:val="144"/>
          <w:sz w:val="24"/>
          <w:highlight w:val="none"/>
        </w:rPr>
        <w:t>生效后，发现相关事项没有约定、约定不明确，或</w:t>
      </w:r>
      <w:r>
        <w:rPr>
          <w:rFonts w:hint="eastAsia" w:ascii="仿宋" w:hAnsi="仿宋" w:eastAsia="仿宋" w:cs="仿宋"/>
          <w:color w:val="auto"/>
          <w:kern w:val="144"/>
          <w:sz w:val="24"/>
          <w:highlight w:val="none"/>
          <w:lang w:eastAsia="zh-CN"/>
        </w:rPr>
        <w:t>评估</w:t>
      </w:r>
      <w:r>
        <w:rPr>
          <w:rFonts w:hint="eastAsia" w:ascii="仿宋" w:hAnsi="仿宋" w:eastAsia="仿宋" w:cs="仿宋"/>
          <w:color w:val="auto"/>
          <w:kern w:val="144"/>
          <w:sz w:val="24"/>
          <w:highlight w:val="none"/>
        </w:rPr>
        <w:t>目的、</w:t>
      </w:r>
      <w:r>
        <w:rPr>
          <w:rFonts w:hint="eastAsia" w:ascii="仿宋" w:hAnsi="仿宋" w:eastAsia="仿宋" w:cs="仿宋"/>
          <w:color w:val="auto"/>
          <w:kern w:val="144"/>
          <w:sz w:val="24"/>
          <w:highlight w:val="none"/>
          <w:lang w:eastAsia="zh-CN"/>
        </w:rPr>
        <w:t>评估</w:t>
      </w:r>
      <w:r>
        <w:rPr>
          <w:rFonts w:hint="eastAsia" w:ascii="仿宋" w:hAnsi="仿宋" w:eastAsia="仿宋" w:cs="仿宋"/>
          <w:color w:val="auto"/>
          <w:kern w:val="144"/>
          <w:sz w:val="24"/>
          <w:highlight w:val="none"/>
        </w:rPr>
        <w:t>对象、</w:t>
      </w:r>
      <w:r>
        <w:rPr>
          <w:rFonts w:hint="eastAsia" w:ascii="仿宋" w:hAnsi="仿宋" w:eastAsia="仿宋" w:cs="仿宋"/>
          <w:color w:val="auto"/>
          <w:kern w:val="144"/>
          <w:sz w:val="24"/>
          <w:highlight w:val="none"/>
          <w:lang w:eastAsia="zh-CN"/>
        </w:rPr>
        <w:t>评估</w:t>
      </w:r>
      <w:r>
        <w:rPr>
          <w:rFonts w:hint="eastAsia" w:ascii="仿宋" w:hAnsi="仿宋" w:eastAsia="仿宋" w:cs="仿宋"/>
          <w:color w:val="auto"/>
          <w:kern w:val="144"/>
          <w:sz w:val="24"/>
          <w:highlight w:val="none"/>
        </w:rPr>
        <w:t>基准日、价值类型、</w:t>
      </w:r>
      <w:r>
        <w:rPr>
          <w:rFonts w:hint="eastAsia" w:ascii="仿宋" w:hAnsi="仿宋" w:eastAsia="仿宋" w:cs="仿宋"/>
          <w:color w:val="auto"/>
          <w:kern w:val="144"/>
          <w:sz w:val="24"/>
          <w:highlight w:val="none"/>
          <w:lang w:eastAsia="zh-CN"/>
        </w:rPr>
        <w:t>评估</w:t>
      </w:r>
      <w:r>
        <w:rPr>
          <w:rFonts w:hint="eastAsia" w:ascii="仿宋" w:hAnsi="仿宋" w:eastAsia="仿宋" w:cs="仿宋"/>
          <w:color w:val="auto"/>
          <w:kern w:val="144"/>
          <w:sz w:val="24"/>
          <w:highlight w:val="none"/>
        </w:rPr>
        <w:t>报告类型等基本事项发生变化，或评估范围发生重大变化时，双方应当签订补充协议或重新签订</w:t>
      </w:r>
      <w:r>
        <w:rPr>
          <w:rFonts w:hint="eastAsia" w:ascii="仿宋" w:hAnsi="仿宋" w:eastAsia="仿宋" w:cs="仿宋"/>
          <w:color w:val="auto"/>
          <w:kern w:val="144"/>
          <w:sz w:val="24"/>
          <w:highlight w:val="none"/>
          <w:lang w:eastAsia="zh-CN"/>
        </w:rPr>
        <w:t>委托合同</w:t>
      </w:r>
      <w:r>
        <w:rPr>
          <w:rFonts w:hint="eastAsia" w:ascii="仿宋" w:hAnsi="仿宋" w:eastAsia="仿宋" w:cs="仿宋"/>
          <w:color w:val="auto"/>
          <w:kern w:val="144"/>
          <w:sz w:val="24"/>
          <w:highlight w:val="none"/>
        </w:rPr>
        <w:t>。</w:t>
      </w:r>
    </w:p>
    <w:p w14:paraId="40BEE128">
      <w:pPr>
        <w:widowControl w:val="0"/>
        <w:wordWrap/>
        <w:adjustRightInd/>
        <w:snapToGrid/>
        <w:spacing w:line="400" w:lineRule="exact"/>
        <w:ind w:left="0" w:leftChars="0" w:right="0" w:firstLine="480" w:firstLineChars="200"/>
        <w:textAlignment w:val="auto"/>
        <w:outlineLvl w:val="9"/>
        <w:rPr>
          <w:rFonts w:hint="eastAsia" w:ascii="仿宋" w:hAnsi="仿宋" w:eastAsia="仿宋" w:cs="仿宋"/>
          <w:color w:val="auto"/>
          <w:kern w:val="144"/>
          <w:sz w:val="24"/>
          <w:highlight w:val="none"/>
        </w:rPr>
      </w:pPr>
      <w:r>
        <w:rPr>
          <w:rFonts w:hint="eastAsia" w:ascii="仿宋" w:hAnsi="仿宋" w:eastAsia="仿宋" w:cs="仿宋"/>
          <w:color w:val="auto"/>
          <w:kern w:val="144"/>
          <w:sz w:val="24"/>
          <w:highlight w:val="none"/>
        </w:rPr>
        <w:t>（三）如果受托方资产评估师在执行评估业务过程中受到限制，无法完整实施</w:t>
      </w:r>
      <w:r>
        <w:rPr>
          <w:rFonts w:hint="eastAsia" w:ascii="仿宋" w:hAnsi="仿宋" w:eastAsia="仿宋" w:cs="仿宋"/>
          <w:color w:val="auto"/>
          <w:kern w:val="144"/>
          <w:sz w:val="24"/>
          <w:highlight w:val="none"/>
          <w:lang w:eastAsia="zh-CN"/>
        </w:rPr>
        <w:t>评估</w:t>
      </w:r>
      <w:r>
        <w:rPr>
          <w:rFonts w:hint="eastAsia" w:ascii="仿宋" w:hAnsi="仿宋" w:eastAsia="仿宋" w:cs="仿宋"/>
          <w:color w:val="auto"/>
          <w:kern w:val="144"/>
          <w:sz w:val="24"/>
          <w:highlight w:val="none"/>
        </w:rPr>
        <w:t>计划、执行</w:t>
      </w:r>
      <w:r>
        <w:rPr>
          <w:rFonts w:hint="eastAsia" w:ascii="仿宋" w:hAnsi="仿宋" w:eastAsia="仿宋" w:cs="仿宋"/>
          <w:color w:val="auto"/>
          <w:kern w:val="144"/>
          <w:sz w:val="24"/>
          <w:highlight w:val="none"/>
          <w:lang w:eastAsia="zh-CN"/>
        </w:rPr>
        <w:t>评估</w:t>
      </w:r>
      <w:r>
        <w:rPr>
          <w:rFonts w:hint="eastAsia" w:ascii="仿宋" w:hAnsi="仿宋" w:eastAsia="仿宋" w:cs="仿宋"/>
          <w:color w:val="auto"/>
          <w:kern w:val="144"/>
          <w:sz w:val="24"/>
          <w:highlight w:val="none"/>
        </w:rPr>
        <w:t>程序，且所受限制对</w:t>
      </w:r>
      <w:r>
        <w:rPr>
          <w:rFonts w:hint="eastAsia" w:ascii="仿宋" w:hAnsi="仿宋" w:eastAsia="仿宋" w:cs="仿宋"/>
          <w:color w:val="auto"/>
          <w:kern w:val="144"/>
          <w:sz w:val="24"/>
          <w:highlight w:val="none"/>
          <w:lang w:eastAsia="zh-CN"/>
        </w:rPr>
        <w:t>评估</w:t>
      </w:r>
      <w:r>
        <w:rPr>
          <w:rFonts w:hint="eastAsia" w:ascii="仿宋" w:hAnsi="仿宋" w:eastAsia="仿宋" w:cs="仿宋"/>
          <w:color w:val="auto"/>
          <w:kern w:val="144"/>
          <w:sz w:val="24"/>
          <w:highlight w:val="none"/>
        </w:rPr>
        <w:t>结论和</w:t>
      </w:r>
      <w:r>
        <w:rPr>
          <w:rFonts w:hint="eastAsia" w:ascii="仿宋" w:hAnsi="仿宋" w:eastAsia="仿宋" w:cs="仿宋"/>
          <w:color w:val="auto"/>
          <w:kern w:val="144"/>
          <w:sz w:val="24"/>
          <w:highlight w:val="none"/>
          <w:lang w:eastAsia="zh-CN"/>
        </w:rPr>
        <w:t>评估</w:t>
      </w:r>
      <w:r>
        <w:rPr>
          <w:rFonts w:hint="eastAsia" w:ascii="仿宋" w:hAnsi="仿宋" w:eastAsia="仿宋" w:cs="仿宋"/>
          <w:color w:val="auto"/>
          <w:kern w:val="144"/>
          <w:sz w:val="24"/>
          <w:highlight w:val="none"/>
        </w:rPr>
        <w:t>目的所对应的经济行为构成重大影响，注册资产评估师采取必要措施仍无法确信评估结论合理性不受影响，受托方可以中止履行</w:t>
      </w:r>
      <w:r>
        <w:rPr>
          <w:rFonts w:hint="eastAsia" w:ascii="仿宋" w:hAnsi="仿宋" w:eastAsia="仿宋" w:cs="仿宋"/>
          <w:color w:val="auto"/>
          <w:kern w:val="144"/>
          <w:sz w:val="24"/>
          <w:highlight w:val="none"/>
          <w:lang w:eastAsia="zh-CN"/>
        </w:rPr>
        <w:t>委托合同</w:t>
      </w:r>
      <w:r>
        <w:rPr>
          <w:rFonts w:hint="eastAsia" w:ascii="仿宋" w:hAnsi="仿宋" w:eastAsia="仿宋" w:cs="仿宋"/>
          <w:color w:val="auto"/>
          <w:kern w:val="144"/>
          <w:sz w:val="24"/>
          <w:highlight w:val="none"/>
        </w:rPr>
        <w:t>，并及时以书面形式通知</w:t>
      </w:r>
      <w:r>
        <w:rPr>
          <w:rFonts w:hint="eastAsia" w:ascii="仿宋" w:hAnsi="仿宋" w:eastAsia="仿宋" w:cs="仿宋"/>
          <w:color w:val="auto"/>
          <w:kern w:val="144"/>
          <w:sz w:val="24"/>
          <w:highlight w:val="none"/>
          <w:lang w:eastAsia="zh-CN"/>
        </w:rPr>
        <w:t>委托人</w:t>
      </w:r>
      <w:r>
        <w:rPr>
          <w:rFonts w:hint="eastAsia" w:ascii="仿宋" w:hAnsi="仿宋" w:eastAsia="仿宋" w:cs="仿宋"/>
          <w:color w:val="auto"/>
          <w:kern w:val="144"/>
          <w:sz w:val="24"/>
          <w:highlight w:val="none"/>
        </w:rPr>
        <w:t>。</w:t>
      </w:r>
    </w:p>
    <w:p w14:paraId="3F5179F6">
      <w:pPr>
        <w:widowControl w:val="0"/>
        <w:wordWrap/>
        <w:adjustRightInd/>
        <w:snapToGrid/>
        <w:spacing w:line="400" w:lineRule="exact"/>
        <w:ind w:left="0" w:leftChars="0" w:right="0" w:firstLine="600" w:firstLineChars="250"/>
        <w:textAlignment w:val="auto"/>
        <w:outlineLvl w:val="9"/>
        <w:rPr>
          <w:rFonts w:hint="eastAsia" w:ascii="仿宋" w:hAnsi="仿宋" w:eastAsia="仿宋" w:cs="仿宋"/>
          <w:color w:val="auto"/>
          <w:kern w:val="144"/>
          <w:sz w:val="24"/>
          <w:highlight w:val="none"/>
        </w:rPr>
      </w:pPr>
      <w:r>
        <w:rPr>
          <w:rFonts w:hint="eastAsia" w:ascii="仿宋" w:hAnsi="仿宋" w:eastAsia="仿宋" w:cs="仿宋"/>
          <w:color w:val="auto"/>
          <w:kern w:val="144"/>
          <w:sz w:val="24"/>
          <w:highlight w:val="none"/>
        </w:rPr>
        <w:t>如</w:t>
      </w:r>
      <w:r>
        <w:rPr>
          <w:rFonts w:hint="eastAsia" w:ascii="仿宋" w:hAnsi="仿宋" w:eastAsia="仿宋" w:cs="仿宋"/>
          <w:color w:val="auto"/>
          <w:kern w:val="144"/>
          <w:sz w:val="24"/>
          <w:highlight w:val="none"/>
          <w:lang w:eastAsia="zh-CN"/>
        </w:rPr>
        <w:t>委托人</w:t>
      </w:r>
      <w:r>
        <w:rPr>
          <w:rFonts w:hint="eastAsia" w:ascii="仿宋" w:hAnsi="仿宋" w:eastAsia="仿宋" w:cs="仿宋"/>
          <w:color w:val="auto"/>
          <w:kern w:val="144"/>
          <w:sz w:val="24"/>
          <w:highlight w:val="none"/>
        </w:rPr>
        <w:t>在</w:t>
      </w:r>
      <w:r>
        <w:rPr>
          <w:rFonts w:hint="eastAsia" w:ascii="仿宋" w:hAnsi="仿宋" w:eastAsia="仿宋" w:cs="仿宋"/>
          <w:color w:val="auto"/>
          <w:kern w:val="144"/>
          <w:sz w:val="24"/>
          <w:highlight w:val="none"/>
          <w:u w:val="single"/>
        </w:rPr>
        <w:t xml:space="preserve"> </w:t>
      </w:r>
      <w:r>
        <w:rPr>
          <w:rFonts w:hint="eastAsia" w:ascii="仿宋" w:hAnsi="仿宋" w:eastAsia="仿宋" w:cs="仿宋"/>
          <w:color w:val="auto"/>
          <w:kern w:val="144"/>
          <w:sz w:val="24"/>
          <w:highlight w:val="none"/>
          <w:u w:val="single"/>
          <w:lang w:val="en-US" w:eastAsia="zh-CN"/>
        </w:rPr>
        <w:t>10</w:t>
      </w:r>
      <w:r>
        <w:rPr>
          <w:rFonts w:hint="eastAsia" w:ascii="仿宋" w:hAnsi="仿宋" w:eastAsia="仿宋" w:cs="仿宋"/>
          <w:color w:val="auto"/>
          <w:kern w:val="144"/>
          <w:sz w:val="24"/>
          <w:highlight w:val="none"/>
          <w:u w:val="single"/>
        </w:rPr>
        <w:t xml:space="preserve"> </w:t>
      </w:r>
      <w:r>
        <w:rPr>
          <w:rFonts w:hint="eastAsia" w:ascii="仿宋" w:hAnsi="仿宋" w:eastAsia="仿宋" w:cs="仿宋"/>
          <w:color w:val="auto"/>
          <w:kern w:val="144"/>
          <w:sz w:val="24"/>
          <w:highlight w:val="none"/>
        </w:rPr>
        <w:t>天的合理期限内能排除限制，并及时以书面形式通知受托方，双方应当继续履行约定，并根据排除限制后的实际情况变更及签订补充协议；如</w:t>
      </w:r>
      <w:r>
        <w:rPr>
          <w:rFonts w:hint="eastAsia" w:ascii="仿宋" w:hAnsi="仿宋" w:eastAsia="仿宋" w:cs="仿宋"/>
          <w:color w:val="auto"/>
          <w:kern w:val="144"/>
          <w:sz w:val="24"/>
          <w:highlight w:val="none"/>
          <w:lang w:eastAsia="zh-CN"/>
        </w:rPr>
        <w:t>委托人</w:t>
      </w:r>
      <w:r>
        <w:rPr>
          <w:rFonts w:hint="eastAsia" w:ascii="仿宋" w:hAnsi="仿宋" w:eastAsia="仿宋" w:cs="仿宋"/>
          <w:color w:val="auto"/>
          <w:kern w:val="144"/>
          <w:sz w:val="24"/>
          <w:highlight w:val="none"/>
        </w:rPr>
        <w:t>未能在上述期限内排除限制，双方应当解除</w:t>
      </w:r>
      <w:r>
        <w:rPr>
          <w:rFonts w:hint="eastAsia" w:ascii="仿宋" w:hAnsi="仿宋" w:eastAsia="仿宋" w:cs="仿宋"/>
          <w:color w:val="auto"/>
          <w:kern w:val="144"/>
          <w:sz w:val="24"/>
          <w:highlight w:val="none"/>
          <w:lang w:eastAsia="zh-CN"/>
        </w:rPr>
        <w:t>评估委托合同</w:t>
      </w:r>
      <w:r>
        <w:rPr>
          <w:rFonts w:hint="eastAsia" w:ascii="仿宋" w:hAnsi="仿宋" w:eastAsia="仿宋" w:cs="仿宋"/>
          <w:color w:val="auto"/>
          <w:kern w:val="144"/>
          <w:sz w:val="24"/>
          <w:highlight w:val="none"/>
        </w:rPr>
        <w:t>。</w:t>
      </w:r>
    </w:p>
    <w:p w14:paraId="4452E83C">
      <w:pPr>
        <w:widowControl w:val="0"/>
        <w:wordWrap/>
        <w:adjustRightInd/>
        <w:snapToGrid/>
        <w:spacing w:line="400" w:lineRule="exact"/>
        <w:ind w:left="0" w:leftChars="0" w:right="0" w:firstLine="480" w:firstLineChars="200"/>
        <w:textAlignment w:val="auto"/>
        <w:outlineLvl w:val="9"/>
        <w:rPr>
          <w:rFonts w:hint="eastAsia" w:ascii="仿宋" w:hAnsi="仿宋" w:eastAsia="仿宋" w:cs="仿宋"/>
          <w:color w:val="auto"/>
          <w:kern w:val="144"/>
          <w:sz w:val="24"/>
          <w:highlight w:val="none"/>
        </w:rPr>
      </w:pPr>
      <w:r>
        <w:rPr>
          <w:rFonts w:hint="eastAsia" w:ascii="仿宋" w:hAnsi="仿宋" w:eastAsia="仿宋" w:cs="仿宋"/>
          <w:color w:val="auto"/>
          <w:kern w:val="144"/>
          <w:sz w:val="24"/>
          <w:highlight w:val="none"/>
        </w:rPr>
        <w:t>（四）</w:t>
      </w:r>
      <w:r>
        <w:rPr>
          <w:rFonts w:hint="eastAsia" w:ascii="仿宋" w:hAnsi="仿宋" w:eastAsia="仿宋" w:cs="仿宋"/>
          <w:color w:val="auto"/>
          <w:kern w:val="144"/>
          <w:sz w:val="24"/>
          <w:highlight w:val="none"/>
          <w:lang w:eastAsia="zh-CN"/>
        </w:rPr>
        <w:t>评估委托合同</w:t>
      </w:r>
      <w:r>
        <w:rPr>
          <w:rFonts w:hint="eastAsia" w:ascii="仿宋" w:hAnsi="仿宋" w:eastAsia="仿宋" w:cs="仿宋"/>
          <w:color w:val="auto"/>
          <w:kern w:val="144"/>
          <w:sz w:val="24"/>
          <w:highlight w:val="none"/>
        </w:rPr>
        <w:t>解除后，</w:t>
      </w:r>
      <w:r>
        <w:rPr>
          <w:rFonts w:hint="eastAsia" w:ascii="仿宋" w:hAnsi="仿宋" w:eastAsia="仿宋" w:cs="仿宋"/>
          <w:color w:val="auto"/>
          <w:kern w:val="144"/>
          <w:sz w:val="24"/>
          <w:highlight w:val="none"/>
          <w:lang w:eastAsia="zh-CN"/>
        </w:rPr>
        <w:t>委托人</w:t>
      </w:r>
      <w:r>
        <w:rPr>
          <w:rFonts w:hint="eastAsia" w:ascii="仿宋" w:hAnsi="仿宋" w:eastAsia="仿宋" w:cs="仿宋"/>
          <w:color w:val="auto"/>
          <w:kern w:val="144"/>
          <w:sz w:val="24"/>
          <w:highlight w:val="none"/>
        </w:rPr>
        <w:t>和受托方可以根据双方责任、已投入的工作量和工作进度，确定</w:t>
      </w:r>
      <w:r>
        <w:rPr>
          <w:rFonts w:hint="eastAsia" w:ascii="仿宋" w:hAnsi="仿宋" w:eastAsia="仿宋" w:cs="仿宋"/>
          <w:color w:val="auto"/>
          <w:kern w:val="144"/>
          <w:sz w:val="24"/>
          <w:highlight w:val="none"/>
          <w:lang w:eastAsia="zh-CN"/>
        </w:rPr>
        <w:t>评估</w:t>
      </w:r>
      <w:r>
        <w:rPr>
          <w:rFonts w:hint="eastAsia" w:ascii="仿宋" w:hAnsi="仿宋" w:eastAsia="仿宋" w:cs="仿宋"/>
          <w:color w:val="auto"/>
          <w:kern w:val="144"/>
          <w:sz w:val="24"/>
          <w:highlight w:val="none"/>
        </w:rPr>
        <w:t>服务费收取或退回的比例或金额；同时受托方应该妥善处理已经取得的相关</w:t>
      </w:r>
      <w:r>
        <w:rPr>
          <w:rFonts w:hint="eastAsia" w:ascii="仿宋" w:hAnsi="仿宋" w:eastAsia="仿宋" w:cs="仿宋"/>
          <w:color w:val="auto"/>
          <w:kern w:val="144"/>
          <w:sz w:val="24"/>
          <w:highlight w:val="none"/>
          <w:lang w:eastAsia="zh-CN"/>
        </w:rPr>
        <w:t>评估</w:t>
      </w:r>
      <w:r>
        <w:rPr>
          <w:rFonts w:hint="eastAsia" w:ascii="仿宋" w:hAnsi="仿宋" w:eastAsia="仿宋" w:cs="仿宋"/>
          <w:color w:val="auto"/>
          <w:kern w:val="144"/>
          <w:sz w:val="24"/>
          <w:highlight w:val="none"/>
        </w:rPr>
        <w:t>资料。</w:t>
      </w:r>
    </w:p>
    <w:p w14:paraId="54BF8BCB">
      <w:pPr>
        <w:widowControl w:val="0"/>
        <w:wordWrap/>
        <w:adjustRightInd/>
        <w:snapToGrid/>
        <w:spacing w:line="400" w:lineRule="exact"/>
        <w:ind w:left="0" w:leftChars="0" w:right="0" w:firstLine="56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八、违约责任和争议解决</w:t>
      </w:r>
    </w:p>
    <w:p w14:paraId="196A0A97">
      <w:pPr>
        <w:widowControl w:val="0"/>
        <w:wordWrap/>
        <w:adjustRightInd/>
        <w:snapToGrid/>
        <w:spacing w:line="400" w:lineRule="exact"/>
        <w:ind w:left="0" w:leftChars="0" w:right="0" w:firstLine="480" w:firstLineChars="200"/>
        <w:textAlignment w:val="auto"/>
        <w:outlineLvl w:val="9"/>
        <w:rPr>
          <w:rFonts w:hint="eastAsia" w:ascii="仿宋" w:hAnsi="仿宋" w:eastAsia="仿宋" w:cs="仿宋"/>
          <w:color w:val="auto"/>
          <w:kern w:val="144"/>
          <w:sz w:val="24"/>
          <w:highlight w:val="none"/>
        </w:rPr>
      </w:pPr>
      <w:r>
        <w:rPr>
          <w:rFonts w:hint="eastAsia" w:ascii="仿宋" w:hAnsi="仿宋" w:eastAsia="仿宋" w:cs="仿宋"/>
          <w:color w:val="auto"/>
          <w:kern w:val="144"/>
          <w:sz w:val="24"/>
          <w:highlight w:val="none"/>
        </w:rPr>
        <w:t>（一）签约双方的任何一方不履行</w:t>
      </w:r>
      <w:r>
        <w:rPr>
          <w:rFonts w:hint="eastAsia" w:ascii="仿宋" w:hAnsi="仿宋" w:eastAsia="仿宋" w:cs="仿宋"/>
          <w:color w:val="auto"/>
          <w:kern w:val="144"/>
          <w:sz w:val="24"/>
          <w:highlight w:val="none"/>
          <w:lang w:eastAsia="zh-CN"/>
        </w:rPr>
        <w:t>委托合同</w:t>
      </w:r>
      <w:r>
        <w:rPr>
          <w:rFonts w:hint="eastAsia" w:ascii="仿宋" w:hAnsi="仿宋" w:eastAsia="仿宋" w:cs="仿宋"/>
          <w:color w:val="auto"/>
          <w:kern w:val="144"/>
          <w:sz w:val="24"/>
          <w:highlight w:val="none"/>
        </w:rPr>
        <w:t>义务或履行义务不符合约定的，应当按照约定承担继续履行、采取补救措施或者赔偿损失等违约责任。</w:t>
      </w:r>
    </w:p>
    <w:p w14:paraId="482E6ACC">
      <w:pPr>
        <w:widowControl w:val="0"/>
        <w:wordWrap/>
        <w:adjustRightInd/>
        <w:snapToGrid/>
        <w:spacing w:line="400" w:lineRule="exact"/>
        <w:ind w:left="0" w:leftChars="0" w:right="0" w:firstLine="480" w:firstLineChars="200"/>
        <w:textAlignment w:val="auto"/>
        <w:outlineLvl w:val="9"/>
        <w:rPr>
          <w:rFonts w:hint="eastAsia" w:ascii="仿宋" w:hAnsi="仿宋" w:eastAsia="仿宋" w:cs="仿宋"/>
          <w:color w:val="auto"/>
          <w:kern w:val="144"/>
          <w:sz w:val="24"/>
          <w:highlight w:val="none"/>
        </w:rPr>
      </w:pPr>
      <w:r>
        <w:rPr>
          <w:rFonts w:hint="eastAsia" w:ascii="仿宋" w:hAnsi="仿宋" w:eastAsia="仿宋" w:cs="仿宋"/>
          <w:color w:val="auto"/>
          <w:kern w:val="144"/>
          <w:sz w:val="24"/>
          <w:highlight w:val="none"/>
        </w:rPr>
        <w:t>（二）签约双方的任何一方因不可抗力无法履行</w:t>
      </w:r>
      <w:r>
        <w:rPr>
          <w:rFonts w:hint="eastAsia" w:ascii="仿宋" w:hAnsi="仿宋" w:eastAsia="仿宋" w:cs="仿宋"/>
          <w:color w:val="auto"/>
          <w:kern w:val="144"/>
          <w:sz w:val="24"/>
          <w:highlight w:val="none"/>
          <w:lang w:eastAsia="zh-CN"/>
        </w:rPr>
        <w:t>委托合同</w:t>
      </w:r>
      <w:r>
        <w:rPr>
          <w:rFonts w:hint="eastAsia" w:ascii="仿宋" w:hAnsi="仿宋" w:eastAsia="仿宋" w:cs="仿宋"/>
          <w:color w:val="auto"/>
          <w:kern w:val="144"/>
          <w:sz w:val="24"/>
          <w:highlight w:val="none"/>
        </w:rPr>
        <w:t>的，应当根据不可抗力的影响,部分或者全部免除责任，法律另有规定的除外。</w:t>
      </w:r>
    </w:p>
    <w:p w14:paraId="133B82CB">
      <w:pPr>
        <w:widowControl w:val="0"/>
        <w:tabs>
          <w:tab w:val="left" w:pos="0"/>
        </w:tabs>
        <w:wordWrap/>
        <w:adjustRightInd/>
        <w:snapToGrid/>
        <w:spacing w:line="400" w:lineRule="exact"/>
        <w:ind w:left="0" w:leftChars="0" w:right="0" w:firstLine="424" w:firstLineChars="177"/>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144"/>
          <w:sz w:val="24"/>
          <w:highlight w:val="none"/>
        </w:rPr>
        <w:t>（三）签约双方产生争议的，应协商解决；协商无法解决的，可选择</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rPr>
        <w:t>种解决方式：</w:t>
      </w:r>
    </w:p>
    <w:p w14:paraId="38691C2B">
      <w:pPr>
        <w:widowControl w:val="0"/>
        <w:wordWrap/>
        <w:adjustRightInd/>
        <w:snapToGrid/>
        <w:spacing w:line="400" w:lineRule="exact"/>
        <w:ind w:left="0" w:leftChars="0" w:right="0" w:firstLine="662" w:firstLineChars="276"/>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val="en-US" w:eastAsia="zh-CN"/>
        </w:rPr>
        <w:t>委托人</w:t>
      </w:r>
      <w:r>
        <w:rPr>
          <w:rFonts w:hint="eastAsia" w:ascii="仿宋" w:hAnsi="仿宋" w:eastAsia="仿宋" w:cs="仿宋"/>
          <w:color w:val="auto"/>
          <w:sz w:val="24"/>
          <w:highlight w:val="none"/>
        </w:rPr>
        <w:t>所在地人民法院提起诉讼；</w:t>
      </w:r>
    </w:p>
    <w:p w14:paraId="404E874F">
      <w:pPr>
        <w:widowControl w:val="0"/>
        <w:wordWrap/>
        <w:adjustRightInd/>
        <w:snapToGrid/>
        <w:spacing w:line="400" w:lineRule="exact"/>
        <w:ind w:left="0" w:leftChars="0" w:right="0" w:firstLine="662" w:firstLineChars="276"/>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提交重庆市仲裁委员会仲裁。</w:t>
      </w:r>
    </w:p>
    <w:p w14:paraId="09A55BC0">
      <w:pPr>
        <w:widowControl w:val="0"/>
        <w:wordWrap/>
        <w:adjustRightInd/>
        <w:snapToGrid/>
        <w:spacing w:line="400" w:lineRule="exact"/>
        <w:ind w:left="0" w:leftChars="0" w:right="0" w:firstLine="56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w:t>
      </w:r>
      <w:r>
        <w:rPr>
          <w:rFonts w:hint="eastAsia" w:ascii="仿宋" w:hAnsi="仿宋" w:eastAsia="仿宋" w:cs="仿宋"/>
          <w:b/>
          <w:color w:val="auto"/>
          <w:sz w:val="24"/>
          <w:highlight w:val="none"/>
          <w:lang w:eastAsia="zh-CN"/>
        </w:rPr>
        <w:t>委托合同</w:t>
      </w:r>
      <w:r>
        <w:rPr>
          <w:rFonts w:hint="eastAsia" w:ascii="仿宋" w:hAnsi="仿宋" w:eastAsia="仿宋" w:cs="仿宋"/>
          <w:b/>
          <w:color w:val="auto"/>
          <w:sz w:val="24"/>
          <w:highlight w:val="none"/>
        </w:rPr>
        <w:t>的生效和期限</w:t>
      </w:r>
    </w:p>
    <w:p w14:paraId="19916B64">
      <w:pPr>
        <w:widowControl w:val="0"/>
        <w:wordWrap/>
        <w:adjustRightInd/>
        <w:snapToGrid/>
        <w:spacing w:line="400" w:lineRule="exact"/>
        <w:ind w:left="0" w:leftChars="0" w:right="0" w:firstLine="480" w:firstLineChars="200"/>
        <w:textAlignment w:val="auto"/>
        <w:outlineLvl w:val="9"/>
        <w:rPr>
          <w:rFonts w:hint="eastAsia" w:ascii="仿宋" w:hAnsi="仿宋" w:eastAsia="仿宋" w:cs="仿宋"/>
          <w:color w:val="auto"/>
          <w:kern w:val="144"/>
          <w:sz w:val="24"/>
          <w:highlight w:val="none"/>
        </w:rPr>
      </w:pPr>
      <w:r>
        <w:rPr>
          <w:rFonts w:hint="eastAsia" w:ascii="仿宋" w:hAnsi="仿宋" w:eastAsia="仿宋" w:cs="仿宋"/>
          <w:color w:val="auto"/>
          <w:kern w:val="144"/>
          <w:sz w:val="24"/>
          <w:highlight w:val="none"/>
        </w:rPr>
        <w:t>（一）本</w:t>
      </w:r>
      <w:r>
        <w:rPr>
          <w:rFonts w:hint="eastAsia" w:ascii="仿宋" w:hAnsi="仿宋" w:eastAsia="仿宋" w:cs="仿宋"/>
          <w:color w:val="auto"/>
          <w:kern w:val="144"/>
          <w:sz w:val="24"/>
          <w:highlight w:val="none"/>
          <w:lang w:eastAsia="zh-CN"/>
        </w:rPr>
        <w:t>委托合同</w:t>
      </w:r>
      <w:r>
        <w:rPr>
          <w:rFonts w:hint="eastAsia" w:ascii="仿宋" w:hAnsi="仿宋" w:eastAsia="仿宋" w:cs="仿宋"/>
          <w:color w:val="auto"/>
          <w:kern w:val="144"/>
          <w:sz w:val="24"/>
          <w:highlight w:val="none"/>
        </w:rPr>
        <w:t>一式</w:t>
      </w:r>
      <w:r>
        <w:rPr>
          <w:rFonts w:hint="eastAsia" w:ascii="仿宋" w:hAnsi="仿宋" w:eastAsia="仿宋" w:cs="仿宋"/>
          <w:color w:val="auto"/>
          <w:kern w:val="144"/>
          <w:sz w:val="24"/>
          <w:highlight w:val="none"/>
          <w:lang w:val="en-US" w:eastAsia="zh-CN"/>
        </w:rPr>
        <w:t>肆</w:t>
      </w:r>
      <w:r>
        <w:rPr>
          <w:rFonts w:hint="eastAsia" w:ascii="仿宋" w:hAnsi="仿宋" w:eastAsia="仿宋" w:cs="仿宋"/>
          <w:color w:val="auto"/>
          <w:kern w:val="144"/>
          <w:sz w:val="24"/>
          <w:highlight w:val="none"/>
        </w:rPr>
        <w:t>份，</w:t>
      </w:r>
      <w:r>
        <w:rPr>
          <w:rFonts w:hint="eastAsia" w:ascii="仿宋" w:hAnsi="仿宋" w:eastAsia="仿宋" w:cs="仿宋"/>
          <w:color w:val="auto"/>
          <w:kern w:val="144"/>
          <w:sz w:val="24"/>
          <w:highlight w:val="none"/>
          <w:lang w:val="en-US" w:eastAsia="zh-CN"/>
        </w:rPr>
        <w:t>双</w:t>
      </w:r>
      <w:r>
        <w:rPr>
          <w:rFonts w:hint="eastAsia" w:ascii="仿宋" w:hAnsi="仿宋" w:eastAsia="仿宋" w:cs="仿宋"/>
          <w:color w:val="auto"/>
          <w:kern w:val="144"/>
          <w:sz w:val="24"/>
          <w:highlight w:val="none"/>
        </w:rPr>
        <w:t>方各执</w:t>
      </w:r>
      <w:r>
        <w:rPr>
          <w:rFonts w:hint="eastAsia" w:ascii="仿宋" w:hAnsi="仿宋" w:eastAsia="仿宋" w:cs="仿宋"/>
          <w:color w:val="auto"/>
          <w:kern w:val="144"/>
          <w:sz w:val="24"/>
          <w:highlight w:val="none"/>
          <w:lang w:val="en-US" w:eastAsia="zh-CN"/>
        </w:rPr>
        <w:t>贰</w:t>
      </w:r>
      <w:r>
        <w:rPr>
          <w:rFonts w:hint="eastAsia" w:ascii="仿宋" w:hAnsi="仿宋" w:eastAsia="仿宋" w:cs="仿宋"/>
          <w:color w:val="auto"/>
          <w:kern w:val="144"/>
          <w:sz w:val="24"/>
          <w:highlight w:val="none"/>
        </w:rPr>
        <w:t>份。经各方盖章、签字后生效。除出现本约定书约定终止之情形或经双方同意终止约定书之外，则受托方完成</w:t>
      </w:r>
      <w:r>
        <w:rPr>
          <w:rFonts w:hint="eastAsia" w:ascii="仿宋" w:hAnsi="仿宋" w:eastAsia="仿宋" w:cs="仿宋"/>
          <w:color w:val="auto"/>
          <w:kern w:val="144"/>
          <w:sz w:val="24"/>
          <w:highlight w:val="none"/>
          <w:lang w:eastAsia="zh-CN"/>
        </w:rPr>
        <w:t>评估</w:t>
      </w:r>
      <w:r>
        <w:rPr>
          <w:rFonts w:hint="eastAsia" w:ascii="仿宋" w:hAnsi="仿宋" w:eastAsia="仿宋" w:cs="仿宋"/>
          <w:color w:val="auto"/>
          <w:kern w:val="144"/>
          <w:sz w:val="24"/>
          <w:highlight w:val="none"/>
        </w:rPr>
        <w:t>报告书并提交</w:t>
      </w:r>
      <w:r>
        <w:rPr>
          <w:rFonts w:hint="eastAsia" w:ascii="仿宋" w:hAnsi="仿宋" w:eastAsia="仿宋" w:cs="仿宋"/>
          <w:color w:val="auto"/>
          <w:kern w:val="144"/>
          <w:sz w:val="24"/>
          <w:highlight w:val="none"/>
          <w:lang w:eastAsia="zh-CN"/>
        </w:rPr>
        <w:t>委托人</w:t>
      </w:r>
      <w:r>
        <w:rPr>
          <w:rFonts w:hint="eastAsia" w:ascii="仿宋" w:hAnsi="仿宋" w:eastAsia="仿宋" w:cs="仿宋"/>
          <w:color w:val="auto"/>
          <w:kern w:val="144"/>
          <w:sz w:val="24"/>
          <w:highlight w:val="none"/>
        </w:rPr>
        <w:t>，</w:t>
      </w:r>
      <w:r>
        <w:rPr>
          <w:rFonts w:hint="eastAsia" w:ascii="仿宋" w:hAnsi="仿宋" w:eastAsia="仿宋" w:cs="仿宋"/>
          <w:color w:val="auto"/>
          <w:kern w:val="144"/>
          <w:sz w:val="24"/>
          <w:highlight w:val="none"/>
          <w:lang w:eastAsia="zh-CN"/>
        </w:rPr>
        <w:t>委托人</w:t>
      </w:r>
      <w:r>
        <w:rPr>
          <w:rFonts w:hint="eastAsia" w:ascii="仿宋" w:hAnsi="仿宋" w:eastAsia="仿宋" w:cs="仿宋"/>
          <w:color w:val="auto"/>
          <w:kern w:val="144"/>
          <w:sz w:val="24"/>
          <w:highlight w:val="none"/>
        </w:rPr>
        <w:t>按本约定书第</w:t>
      </w:r>
      <w:r>
        <w:rPr>
          <w:rFonts w:hint="eastAsia" w:ascii="仿宋" w:hAnsi="仿宋" w:eastAsia="仿宋" w:cs="仿宋"/>
          <w:color w:val="auto"/>
          <w:kern w:val="144"/>
          <w:sz w:val="24"/>
          <w:highlight w:val="none"/>
          <w:lang w:val="en-US" w:eastAsia="zh-CN"/>
        </w:rPr>
        <w:t>五</w:t>
      </w:r>
      <w:r>
        <w:rPr>
          <w:rFonts w:hint="eastAsia" w:ascii="仿宋" w:hAnsi="仿宋" w:eastAsia="仿宋" w:cs="仿宋"/>
          <w:color w:val="auto"/>
          <w:kern w:val="144"/>
          <w:sz w:val="24"/>
          <w:highlight w:val="none"/>
        </w:rPr>
        <w:t>条支付完</w:t>
      </w:r>
      <w:r>
        <w:rPr>
          <w:rFonts w:hint="eastAsia" w:ascii="仿宋" w:hAnsi="仿宋" w:eastAsia="仿宋" w:cs="仿宋"/>
          <w:color w:val="auto"/>
          <w:kern w:val="144"/>
          <w:sz w:val="24"/>
          <w:highlight w:val="none"/>
          <w:lang w:eastAsia="zh-CN"/>
        </w:rPr>
        <w:t>评估</w:t>
      </w:r>
      <w:r>
        <w:rPr>
          <w:rFonts w:hint="eastAsia" w:ascii="仿宋" w:hAnsi="仿宋" w:eastAsia="仿宋" w:cs="仿宋"/>
          <w:color w:val="auto"/>
          <w:kern w:val="144"/>
          <w:sz w:val="24"/>
          <w:highlight w:val="none"/>
        </w:rPr>
        <w:t>服务费为本</w:t>
      </w:r>
      <w:r>
        <w:rPr>
          <w:rFonts w:hint="eastAsia" w:ascii="仿宋" w:hAnsi="仿宋" w:eastAsia="仿宋" w:cs="仿宋"/>
          <w:color w:val="auto"/>
          <w:kern w:val="144"/>
          <w:sz w:val="24"/>
          <w:highlight w:val="none"/>
          <w:lang w:val="en-US" w:eastAsia="zh-CN"/>
        </w:rPr>
        <w:t>委托合同</w:t>
      </w:r>
      <w:r>
        <w:rPr>
          <w:rFonts w:hint="eastAsia" w:ascii="仿宋" w:hAnsi="仿宋" w:eastAsia="仿宋" w:cs="仿宋"/>
          <w:color w:val="auto"/>
          <w:kern w:val="144"/>
          <w:sz w:val="24"/>
          <w:highlight w:val="none"/>
        </w:rPr>
        <w:t>的终止时间。</w:t>
      </w:r>
    </w:p>
    <w:p w14:paraId="1827BA9E">
      <w:pPr>
        <w:widowControl w:val="0"/>
        <w:wordWrap/>
        <w:adjustRightInd/>
        <w:snapToGrid/>
        <w:spacing w:line="400" w:lineRule="exact"/>
        <w:ind w:left="0" w:leftChars="0" w:right="0" w:firstLine="480" w:firstLineChars="200"/>
        <w:textAlignment w:val="auto"/>
        <w:outlineLvl w:val="9"/>
        <w:rPr>
          <w:rFonts w:hint="eastAsia" w:ascii="仿宋" w:hAnsi="仿宋" w:eastAsia="仿宋" w:cs="仿宋"/>
          <w:color w:val="auto"/>
          <w:kern w:val="144"/>
          <w:sz w:val="24"/>
          <w:highlight w:val="none"/>
        </w:rPr>
      </w:pPr>
      <w:r>
        <w:rPr>
          <w:rFonts w:hint="eastAsia" w:ascii="仿宋" w:hAnsi="仿宋" w:eastAsia="仿宋" w:cs="仿宋"/>
          <w:color w:val="auto"/>
          <w:kern w:val="144"/>
          <w:sz w:val="24"/>
          <w:highlight w:val="none"/>
        </w:rPr>
        <w:t>（二）本</w:t>
      </w:r>
      <w:r>
        <w:rPr>
          <w:rFonts w:hint="eastAsia" w:ascii="仿宋" w:hAnsi="仿宋" w:eastAsia="仿宋" w:cs="仿宋"/>
          <w:color w:val="auto"/>
          <w:kern w:val="144"/>
          <w:sz w:val="24"/>
          <w:highlight w:val="none"/>
          <w:lang w:eastAsia="zh-CN"/>
        </w:rPr>
        <w:t>委托合同</w:t>
      </w:r>
      <w:r>
        <w:rPr>
          <w:rFonts w:hint="eastAsia" w:ascii="仿宋" w:hAnsi="仿宋" w:eastAsia="仿宋" w:cs="仿宋"/>
          <w:color w:val="auto"/>
          <w:kern w:val="144"/>
          <w:sz w:val="24"/>
          <w:highlight w:val="none"/>
        </w:rPr>
        <w:t>履行完毕或解除，所规定的双方权利和义务自行终止。</w:t>
      </w:r>
    </w:p>
    <w:p w14:paraId="309B472D">
      <w:pPr>
        <w:spacing w:line="360" w:lineRule="auto"/>
        <w:ind w:firstLine="480" w:firstLineChars="200"/>
        <w:rPr>
          <w:rFonts w:hint="eastAsia" w:ascii="仿宋" w:hAnsi="仿宋" w:eastAsia="仿宋" w:cs="仿宋"/>
          <w:color w:val="auto"/>
          <w:kern w:val="144"/>
          <w:sz w:val="24"/>
          <w:highlight w:val="none"/>
        </w:rPr>
      </w:pPr>
    </w:p>
    <w:p w14:paraId="2C892B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委托人</w:t>
      </w:r>
      <w:r>
        <w:rPr>
          <w:rFonts w:hint="eastAsia" w:ascii="仿宋" w:hAnsi="仿宋" w:eastAsia="仿宋" w:cs="仿宋"/>
          <w:color w:val="auto"/>
          <w:sz w:val="24"/>
          <w:highlight w:val="none"/>
        </w:rPr>
        <w:t xml:space="preserve">：（盖章）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受托方：（盖章）</w:t>
      </w:r>
    </w:p>
    <w:p w14:paraId="5E1680A1">
      <w:pPr>
        <w:spacing w:line="360" w:lineRule="auto"/>
        <w:ind w:left="4320" w:hanging="4320" w:hangingChars="18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重庆绿发资产经营管理有限公司       </w:t>
      </w:r>
    </w:p>
    <w:p w14:paraId="63F45115">
      <w:pPr>
        <w:spacing w:line="360" w:lineRule="auto"/>
        <w:ind w:right="560"/>
        <w:rPr>
          <w:rFonts w:hint="eastAsia" w:ascii="仿宋" w:hAnsi="仿宋" w:eastAsia="仿宋" w:cs="仿宋"/>
          <w:color w:val="auto"/>
          <w:sz w:val="24"/>
          <w:highlight w:val="none"/>
          <w:lang w:val="en-US" w:eastAsia="zh-CN"/>
        </w:rPr>
      </w:pPr>
    </w:p>
    <w:p w14:paraId="172CE1D8">
      <w:pPr>
        <w:spacing w:line="360" w:lineRule="auto"/>
        <w:ind w:right="56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法定代表</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en-US" w:eastAsia="zh-CN"/>
        </w:rPr>
        <w:t>或经办</w:t>
      </w:r>
      <w:r>
        <w:rPr>
          <w:rFonts w:hint="eastAsia" w:ascii="仿宋" w:hAnsi="仿宋" w:eastAsia="仿宋" w:cs="仿宋"/>
          <w:color w:val="auto"/>
          <w:sz w:val="24"/>
          <w:highlight w:val="none"/>
        </w:rPr>
        <w:t xml:space="preserve">人：                    </w:t>
      </w:r>
      <w:r>
        <w:rPr>
          <w:rFonts w:hint="eastAsia" w:ascii="仿宋" w:hAnsi="仿宋" w:eastAsia="仿宋" w:cs="仿宋"/>
          <w:color w:val="auto"/>
          <w:sz w:val="24"/>
          <w:highlight w:val="none"/>
          <w:lang w:val="en-US" w:eastAsia="zh-CN"/>
        </w:rPr>
        <w:t>法定代表</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en-US" w:eastAsia="zh-CN"/>
        </w:rPr>
        <w:t>或经办</w:t>
      </w:r>
      <w:r>
        <w:rPr>
          <w:rFonts w:hint="eastAsia" w:ascii="仿宋" w:hAnsi="仿宋" w:eastAsia="仿宋" w:cs="仿宋"/>
          <w:color w:val="auto"/>
          <w:sz w:val="24"/>
          <w:highlight w:val="none"/>
        </w:rPr>
        <w:t xml:space="preserve">人：            </w:t>
      </w:r>
    </w:p>
    <w:p w14:paraId="70B0A0BC">
      <w:pPr>
        <w:spacing w:line="360" w:lineRule="auto"/>
        <w:ind w:right="560"/>
        <w:rPr>
          <w:rFonts w:hint="eastAsia" w:ascii="仿宋" w:hAnsi="仿宋" w:eastAsia="仿宋" w:cs="仿宋"/>
          <w:color w:val="auto"/>
          <w:sz w:val="24"/>
          <w:highlight w:val="none"/>
        </w:rPr>
      </w:pPr>
    </w:p>
    <w:p w14:paraId="60752822">
      <w:pPr>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lang w:val="en-US" w:eastAsia="zh-CN"/>
        </w:rPr>
        <w:t>2025年  月  日</w:t>
      </w:r>
      <w:r>
        <w:rPr>
          <w:rFonts w:hint="eastAsia" w:ascii="仿宋" w:hAnsi="仿宋" w:eastAsia="仿宋" w:cs="仿宋"/>
          <w:color w:val="auto"/>
          <w:sz w:val="24"/>
          <w:highlight w:val="none"/>
        </w:rPr>
        <w:t xml:space="preserve">            签订日期：</w:t>
      </w:r>
      <w:r>
        <w:rPr>
          <w:rFonts w:hint="eastAsia" w:ascii="仿宋" w:hAnsi="仿宋" w:eastAsia="仿宋" w:cs="仿宋"/>
          <w:color w:val="auto"/>
          <w:sz w:val="24"/>
          <w:highlight w:val="none"/>
          <w:lang w:val="en-US" w:eastAsia="zh-CN"/>
        </w:rPr>
        <w:t>2025年  月   日</w:t>
      </w:r>
    </w:p>
    <w:p w14:paraId="429486FF">
      <w:pPr>
        <w:ind w:firstLine="480" w:firstLineChars="200"/>
        <w:rPr>
          <w:rFonts w:hint="eastAsia" w:ascii="仿宋" w:hAnsi="仿宋" w:eastAsia="仿宋" w:cs="仿宋"/>
          <w:color w:val="auto"/>
          <w:sz w:val="24"/>
          <w:highlight w:val="none"/>
        </w:rPr>
      </w:pPr>
    </w:p>
    <w:p w14:paraId="5A347A87">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签订地点：</w:t>
      </w:r>
      <w:r>
        <w:rPr>
          <w:rFonts w:hint="eastAsia" w:ascii="仿宋" w:hAnsi="仿宋" w:eastAsia="仿宋" w:cs="仿宋"/>
          <w:color w:val="auto"/>
          <w:sz w:val="24"/>
          <w:highlight w:val="none"/>
          <w:lang w:val="en-US" w:eastAsia="zh-CN"/>
        </w:rPr>
        <w:t>重庆绿发资产经营管理有限公司</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p>
    <w:bookmarkEnd w:id="168"/>
    <w:bookmarkEnd w:id="169"/>
    <w:p w14:paraId="553D89D7">
      <w:pPr>
        <w:widowControl/>
        <w:shd w:val="clear"/>
        <w:jc w:val="left"/>
        <w:rPr>
          <w:rFonts w:hint="eastAsia" w:ascii="仿宋" w:hAnsi="仿宋" w:eastAsia="仿宋" w:cs="仿宋"/>
          <w:color w:val="auto"/>
          <w:highlight w:val="none"/>
        </w:rPr>
      </w:pPr>
    </w:p>
    <w:p w14:paraId="35699A89">
      <w:pPr>
        <w:widowControl/>
        <w:shd w:val="clear"/>
        <w:jc w:val="left"/>
        <w:rPr>
          <w:rFonts w:hint="eastAsia" w:ascii="仿宋" w:hAnsi="仿宋" w:eastAsia="仿宋" w:cs="仿宋"/>
          <w:color w:val="auto"/>
          <w:highlight w:val="none"/>
        </w:rPr>
      </w:pPr>
    </w:p>
    <w:p w14:paraId="4F150672">
      <w:pPr>
        <w:widowControl/>
        <w:shd w:val="clear"/>
        <w:jc w:val="left"/>
        <w:rPr>
          <w:rFonts w:hint="eastAsia" w:ascii="仿宋" w:hAnsi="仿宋" w:eastAsia="仿宋" w:cs="仿宋"/>
          <w:color w:val="auto"/>
          <w:highlight w:val="none"/>
        </w:rPr>
      </w:pPr>
    </w:p>
    <w:p w14:paraId="0482484F">
      <w:pPr>
        <w:widowControl/>
        <w:shd w:val="clear"/>
        <w:jc w:val="left"/>
        <w:rPr>
          <w:rFonts w:hint="eastAsia" w:ascii="仿宋" w:hAnsi="仿宋" w:eastAsia="仿宋" w:cs="仿宋"/>
          <w:color w:val="auto"/>
          <w:highlight w:val="none"/>
        </w:rPr>
      </w:pPr>
    </w:p>
    <w:p w14:paraId="2DB6D584">
      <w:pPr>
        <w:widowControl/>
        <w:shd w:val="clear"/>
        <w:jc w:val="left"/>
        <w:rPr>
          <w:rFonts w:hint="eastAsia" w:ascii="仿宋" w:hAnsi="仿宋" w:eastAsia="仿宋" w:cs="仿宋"/>
          <w:color w:val="auto"/>
          <w:highlight w:val="none"/>
        </w:rPr>
      </w:pPr>
    </w:p>
    <w:p w14:paraId="5CBAE5B5">
      <w:pPr>
        <w:widowControl/>
        <w:shd w:val="clear"/>
        <w:jc w:val="left"/>
        <w:rPr>
          <w:rFonts w:hint="eastAsia" w:ascii="仿宋" w:hAnsi="仿宋" w:eastAsia="仿宋" w:cs="仿宋"/>
          <w:color w:val="auto"/>
          <w:highlight w:val="none"/>
        </w:rPr>
      </w:pPr>
    </w:p>
    <w:p w14:paraId="352F53E9">
      <w:pPr>
        <w:widowControl/>
        <w:shd w:val="clear"/>
        <w:jc w:val="left"/>
        <w:rPr>
          <w:rFonts w:hint="eastAsia" w:ascii="仿宋" w:hAnsi="仿宋" w:eastAsia="仿宋" w:cs="仿宋"/>
          <w:color w:val="auto"/>
          <w:highlight w:val="none"/>
        </w:rPr>
      </w:pPr>
    </w:p>
    <w:p w14:paraId="6FB6C599">
      <w:pPr>
        <w:widowControl/>
        <w:shd w:val="clear"/>
        <w:jc w:val="left"/>
        <w:rPr>
          <w:rFonts w:hint="eastAsia" w:ascii="仿宋" w:hAnsi="仿宋" w:eastAsia="仿宋" w:cs="仿宋"/>
          <w:color w:val="auto"/>
          <w:highlight w:val="none"/>
        </w:rPr>
      </w:pPr>
    </w:p>
    <w:p w14:paraId="1B70D218">
      <w:pPr>
        <w:widowControl/>
        <w:shd w:val="clear"/>
        <w:jc w:val="left"/>
        <w:rPr>
          <w:rFonts w:hint="eastAsia" w:ascii="仿宋" w:hAnsi="仿宋" w:eastAsia="仿宋" w:cs="仿宋"/>
          <w:color w:val="auto"/>
          <w:highlight w:val="none"/>
        </w:rPr>
      </w:pPr>
    </w:p>
    <w:p w14:paraId="373F9D7A">
      <w:pPr>
        <w:widowControl/>
        <w:shd w:val="clear"/>
        <w:jc w:val="left"/>
        <w:rPr>
          <w:rFonts w:hint="eastAsia" w:ascii="仿宋" w:hAnsi="仿宋" w:eastAsia="仿宋" w:cs="仿宋"/>
          <w:color w:val="auto"/>
          <w:highlight w:val="none"/>
        </w:rPr>
      </w:pPr>
    </w:p>
    <w:p w14:paraId="6831CE60">
      <w:pPr>
        <w:widowControl/>
        <w:shd w:val="clear"/>
        <w:jc w:val="left"/>
        <w:rPr>
          <w:rFonts w:hint="eastAsia" w:ascii="仿宋" w:hAnsi="仿宋" w:eastAsia="仿宋" w:cs="仿宋"/>
          <w:color w:val="auto"/>
          <w:highlight w:val="none"/>
        </w:rPr>
      </w:pPr>
    </w:p>
    <w:p w14:paraId="47975080">
      <w:pPr>
        <w:pStyle w:val="2"/>
        <w:shd w:val="clear"/>
        <w:spacing w:line="240" w:lineRule="auto"/>
        <w:ind w:firstLine="883"/>
        <w:jc w:val="center"/>
        <w:rPr>
          <w:rFonts w:hint="eastAsia" w:ascii="仿宋" w:hAnsi="仿宋" w:eastAsia="仿宋" w:cs="仿宋"/>
          <w:color w:val="auto"/>
          <w:highlight w:val="none"/>
        </w:rPr>
      </w:pPr>
      <w:r>
        <w:rPr>
          <w:rFonts w:hint="eastAsia" w:ascii="仿宋" w:hAnsi="仿宋" w:eastAsia="仿宋" w:cs="仿宋"/>
          <w:color w:val="auto"/>
          <w:highlight w:val="none"/>
        </w:rPr>
        <w:t>第七篇  响应文件编制要求</w:t>
      </w:r>
      <w:bookmarkEnd w:id="170"/>
      <w:bookmarkEnd w:id="171"/>
    </w:p>
    <w:p w14:paraId="12F81738">
      <w:pPr>
        <w:shd w:val="clea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一、经济部分</w:t>
      </w:r>
    </w:p>
    <w:p w14:paraId="529F7537">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7A45FA41">
      <w:pPr>
        <w:shd w:val="clea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二、服务部分</w:t>
      </w:r>
    </w:p>
    <w:p w14:paraId="699E9030">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8"/>
          <w:highlight w:val="none"/>
        </w:rPr>
        <w:t>服务要求应答</w:t>
      </w:r>
    </w:p>
    <w:p w14:paraId="5CCFD66C">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8"/>
          <w:highlight w:val="none"/>
        </w:rPr>
        <w:t>服务响应偏离表</w:t>
      </w:r>
    </w:p>
    <w:p w14:paraId="2C61E3B3">
      <w:pPr>
        <w:shd w:val="clea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三、商务文件</w:t>
      </w:r>
    </w:p>
    <w:p w14:paraId="42691B2D">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（一）服务要求响应情况：服务时间、服务地点、质量保证、售后服务条款等。</w:t>
      </w:r>
    </w:p>
    <w:p w14:paraId="55445C52">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）商务响应偏离表</w:t>
      </w:r>
    </w:p>
    <w:p w14:paraId="3A96A0DD">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）其它优惠承诺</w:t>
      </w:r>
    </w:p>
    <w:p w14:paraId="3FA6076A">
      <w:pPr>
        <w:shd w:val="clear"/>
        <w:snapToGrid w:val="0"/>
        <w:ind w:firstLine="64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四、资格证明文件</w:t>
      </w:r>
    </w:p>
    <w:p w14:paraId="5F775223">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7F96E061">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5A2AD702">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3887459D">
      <w:pPr>
        <w:shd w:val="clear"/>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34290EB2">
      <w:pPr>
        <w:shd w:val="clear"/>
        <w:snapToGrid w:val="0"/>
        <w:ind w:firstLine="480" w:firstLineChars="200"/>
        <w:rPr>
          <w:rFonts w:hint="eastAsia" w:ascii="仿宋" w:hAnsi="仿宋" w:eastAsia="仿宋" w:cs="仿宋"/>
          <w:color w:val="auto"/>
          <w:sz w:val="24"/>
          <w:szCs w:val="24"/>
          <w:highlight w:val="none"/>
        </w:rPr>
        <w:sectPr>
          <w:footerReference r:id="rId3" w:type="default"/>
          <w:pgSz w:w="11907" w:h="16840"/>
          <w:pgMar w:top="1134" w:right="1023" w:bottom="1134" w:left="1064" w:header="851" w:footer="992" w:gutter="0"/>
          <w:pgNumType w:fmt="numberInDash"/>
          <w:cols w:space="720" w:num="1"/>
          <w:docGrid w:linePitch="380" w:charSpace="-5735"/>
        </w:sectPr>
      </w:pPr>
      <w:r>
        <w:rPr>
          <w:rFonts w:hint="eastAsia" w:ascii="仿宋" w:hAnsi="仿宋" w:eastAsia="仿宋" w:cs="仿宋"/>
          <w:color w:val="auto"/>
          <w:sz w:val="24"/>
          <w:szCs w:val="24"/>
          <w:highlight w:val="none"/>
        </w:rPr>
        <w:t>（五）特定资格条件证书或证明</w:t>
      </w:r>
    </w:p>
    <w:p w14:paraId="2DDA4131">
      <w:pPr>
        <w:pStyle w:val="3"/>
        <w:shd w:val="clear"/>
        <w:spacing w:line="240" w:lineRule="auto"/>
        <w:ind w:firstLine="643"/>
        <w:rPr>
          <w:rFonts w:hint="eastAsia" w:ascii="仿宋" w:hAnsi="仿宋" w:eastAsia="仿宋" w:cs="仿宋"/>
          <w:color w:val="auto"/>
          <w:highlight w:val="none"/>
        </w:rPr>
      </w:pPr>
      <w:bookmarkStart w:id="172" w:name="_Toc183783160"/>
      <w:r>
        <w:rPr>
          <w:rFonts w:hint="eastAsia" w:ascii="仿宋" w:hAnsi="仿宋" w:eastAsia="仿宋" w:cs="仿宋"/>
          <w:color w:val="auto"/>
          <w:highlight w:val="none"/>
        </w:rPr>
        <w:t>一、经济部分</w:t>
      </w:r>
      <w:bookmarkEnd w:id="172"/>
    </w:p>
    <w:p w14:paraId="2903C7C0">
      <w:pPr>
        <w:shd w:val="clear"/>
        <w:ind w:firstLine="480"/>
        <w:rPr>
          <w:rFonts w:hint="eastAsia" w:ascii="仿宋" w:hAnsi="仿宋" w:eastAsia="仿宋" w:cs="仿宋"/>
          <w:bCs/>
          <w:color w:val="auto"/>
          <w:szCs w:val="24"/>
          <w:highlight w:val="none"/>
        </w:rPr>
      </w:pPr>
      <w:r>
        <w:rPr>
          <w:rFonts w:hint="eastAsia" w:ascii="仿宋" w:hAnsi="仿宋" w:eastAsia="仿宋" w:cs="仿宋"/>
          <w:color w:val="auto"/>
          <w:sz w:val="24"/>
          <w:szCs w:val="18"/>
          <w:highlight w:val="none"/>
        </w:rPr>
        <w:t>（一）报价函</w:t>
      </w:r>
    </w:p>
    <w:p w14:paraId="0C213616">
      <w:pPr>
        <w:shd w:val="clear"/>
        <w:tabs>
          <w:tab w:val="left" w:pos="6300"/>
        </w:tabs>
        <w:snapToGrid w:val="0"/>
        <w:ind w:left="14" w:leftChars="5" w:firstLine="611" w:firstLineChars="19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报价函</w:t>
      </w:r>
    </w:p>
    <w:p w14:paraId="712498E5">
      <w:pPr>
        <w:shd w:val="clear"/>
        <w:tabs>
          <w:tab w:val="left" w:pos="6300"/>
        </w:tabs>
        <w:snapToGrid w:val="0"/>
        <w:ind w:left="14" w:leftChars="5" w:firstLine="611" w:firstLineChars="191"/>
        <w:jc w:val="center"/>
        <w:rPr>
          <w:rFonts w:hint="eastAsia" w:ascii="仿宋" w:hAnsi="仿宋" w:eastAsia="仿宋" w:cs="仿宋"/>
          <w:color w:val="auto"/>
          <w:sz w:val="32"/>
          <w:szCs w:val="32"/>
          <w:highlight w:val="none"/>
        </w:rPr>
      </w:pPr>
    </w:p>
    <w:p w14:paraId="240A7E28">
      <w:pPr>
        <w:shd w:val="clear"/>
        <w:tabs>
          <w:tab w:val="left" w:pos="6300"/>
        </w:tabs>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rPr>
        <w:t>：</w:t>
      </w:r>
    </w:p>
    <w:p w14:paraId="41968CD6">
      <w:pPr>
        <w:shd w:val="clea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我方收到____________________________（项目名称）的竞采采购文件，经详细研究，决定参加该项目的竞采。</w:t>
      </w:r>
    </w:p>
    <w:p w14:paraId="47A5D272">
      <w:pPr>
        <w:numPr>
          <w:ilvl w:val="0"/>
          <w:numId w:val="3"/>
        </w:numPr>
        <w:shd w:val="clear"/>
        <w:tabs>
          <w:tab w:val="left" w:pos="6300"/>
        </w:tabs>
        <w:snapToGrid w:val="0"/>
        <w:ind w:left="476" w:leftChars="17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愿意按照竞采采购文件中的一切要求，提供本项目的技术服务，</w:t>
      </w:r>
      <w:r>
        <w:rPr>
          <w:rFonts w:hint="eastAsia" w:ascii="仿宋" w:hAnsi="仿宋" w:eastAsia="仿宋" w:cs="仿宋"/>
          <w:color w:val="auto"/>
          <w:sz w:val="24"/>
          <w:szCs w:val="24"/>
          <w:highlight w:val="none"/>
          <w:lang w:val="en-US" w:eastAsia="zh-CN"/>
        </w:rPr>
        <w:t>投标总</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价</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val="en-US" w:eastAsia="zh-CN"/>
        </w:rPr>
        <w:t>人民币</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元（大写：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p w14:paraId="3F873E0D">
      <w:pPr>
        <w:shd w:val="clea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2、我方现提交的响应文件为：响应文件电子文档壹份。</w:t>
      </w:r>
    </w:p>
    <w:p w14:paraId="42643C02">
      <w:pPr>
        <w:shd w:val="clea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3、我方承诺：本次竞采的有效期为90天。</w:t>
      </w:r>
    </w:p>
    <w:p w14:paraId="1A5EF6EA">
      <w:pPr>
        <w:shd w:val="clea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4、我方完全理解和接受贵方竞采采购文件的一切规定和要求及评审办法。</w:t>
      </w:r>
    </w:p>
    <w:p w14:paraId="48332ED9">
      <w:pPr>
        <w:shd w:val="clea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5、在整个竞采采购过程中，我方若有违规行为，接受按照重庆市政府采购云平台规定给予惩罚。</w:t>
      </w:r>
    </w:p>
    <w:p w14:paraId="6E990B61">
      <w:pPr>
        <w:shd w:val="clea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6、我方若中选，将按照竞采结果签订合同，并且严格履行合同义务。本承诺函将成为合同不可分割的一部分，与合同具有同等的法律效力。</w:t>
      </w:r>
    </w:p>
    <w:p w14:paraId="00566C32">
      <w:pPr>
        <w:shd w:val="clea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7、我方理解，最低报价不是成交的唯一条件。</w:t>
      </w:r>
    </w:p>
    <w:p w14:paraId="0E8179A2">
      <w:pPr>
        <w:shd w:val="clear"/>
        <w:tabs>
          <w:tab w:val="left" w:pos="6300"/>
        </w:tabs>
        <w:snapToGrid w:val="0"/>
        <w:spacing w:line="360" w:lineRule="auto"/>
        <w:ind w:firstLine="570"/>
        <w:rPr>
          <w:rFonts w:hint="eastAsia" w:ascii="仿宋" w:hAnsi="仿宋" w:eastAsia="仿宋" w:cs="仿宋"/>
          <w:color w:val="auto"/>
          <w:sz w:val="24"/>
          <w:szCs w:val="24"/>
          <w:highlight w:val="none"/>
        </w:rPr>
      </w:pPr>
    </w:p>
    <w:p w14:paraId="1823E990">
      <w:pPr>
        <w:shd w:val="clear"/>
        <w:tabs>
          <w:tab w:val="left" w:pos="6300"/>
        </w:tabs>
        <w:snapToGrid w:val="0"/>
        <w:spacing w:line="360" w:lineRule="auto"/>
        <w:ind w:firstLine="570"/>
        <w:rPr>
          <w:rFonts w:hint="eastAsia" w:ascii="仿宋" w:hAnsi="仿宋" w:eastAsia="仿宋" w:cs="仿宋"/>
          <w:color w:val="auto"/>
          <w:sz w:val="24"/>
          <w:szCs w:val="24"/>
          <w:highlight w:val="none"/>
        </w:rPr>
      </w:pPr>
    </w:p>
    <w:p w14:paraId="34C3F384">
      <w:pPr>
        <w:shd w:val="clear"/>
        <w:tabs>
          <w:tab w:val="left" w:pos="6300"/>
        </w:tabs>
        <w:snapToGrid w:val="0"/>
        <w:spacing w:line="360" w:lineRule="auto"/>
        <w:ind w:firstLine="570"/>
        <w:rPr>
          <w:rFonts w:hint="eastAsia" w:ascii="仿宋" w:hAnsi="仿宋" w:eastAsia="仿宋" w:cs="仿宋"/>
          <w:color w:val="auto"/>
          <w:sz w:val="24"/>
          <w:szCs w:val="24"/>
          <w:highlight w:val="none"/>
        </w:rPr>
      </w:pPr>
    </w:p>
    <w:p w14:paraId="5C61CF72">
      <w:pPr>
        <w:shd w:val="clear"/>
        <w:tabs>
          <w:tab w:val="left" w:pos="6300"/>
        </w:tabs>
        <w:snapToGrid w:val="0"/>
        <w:spacing w:line="360" w:lineRule="auto"/>
        <w:ind w:firstLine="570"/>
        <w:rPr>
          <w:rFonts w:hint="eastAsia" w:ascii="仿宋" w:hAnsi="仿宋" w:eastAsia="仿宋" w:cs="仿宋"/>
          <w:color w:val="auto"/>
          <w:sz w:val="24"/>
          <w:szCs w:val="24"/>
          <w:highlight w:val="none"/>
        </w:rPr>
      </w:pPr>
    </w:p>
    <w:p w14:paraId="2F60392F">
      <w:pPr>
        <w:shd w:val="clea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供应商名称（公章）：</w:t>
      </w:r>
    </w:p>
    <w:p w14:paraId="197E81B7">
      <w:pPr>
        <w:shd w:val="clea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67182EED">
      <w:pPr>
        <w:pStyle w:val="7"/>
        <w:shd w:val="clear"/>
        <w:rPr>
          <w:rFonts w:hint="eastAsia" w:ascii="仿宋" w:hAnsi="仿宋" w:eastAsia="仿宋" w:cs="仿宋"/>
          <w:color w:val="auto"/>
          <w:sz w:val="24"/>
          <w:szCs w:val="24"/>
          <w:highlight w:val="none"/>
        </w:rPr>
      </w:pPr>
    </w:p>
    <w:p w14:paraId="0DBE98B8">
      <w:pPr>
        <w:shd w:val="clear"/>
        <w:rPr>
          <w:rFonts w:hint="eastAsia" w:ascii="仿宋" w:hAnsi="仿宋" w:eastAsia="仿宋" w:cs="仿宋"/>
          <w:color w:val="auto"/>
          <w:sz w:val="24"/>
          <w:szCs w:val="24"/>
          <w:highlight w:val="none"/>
        </w:rPr>
      </w:pPr>
    </w:p>
    <w:p w14:paraId="7CDED5D8">
      <w:pPr>
        <w:pStyle w:val="7"/>
        <w:shd w:val="clear"/>
        <w:rPr>
          <w:rFonts w:hint="eastAsia" w:ascii="仿宋" w:hAnsi="仿宋" w:eastAsia="仿宋" w:cs="仿宋"/>
          <w:color w:val="auto"/>
          <w:sz w:val="24"/>
          <w:szCs w:val="24"/>
          <w:highlight w:val="none"/>
        </w:rPr>
      </w:pPr>
    </w:p>
    <w:p w14:paraId="6A5FE4C0">
      <w:pPr>
        <w:shd w:val="clear"/>
        <w:rPr>
          <w:rFonts w:hint="eastAsia" w:ascii="仿宋" w:hAnsi="仿宋" w:eastAsia="仿宋" w:cs="仿宋"/>
          <w:color w:val="auto"/>
          <w:sz w:val="24"/>
          <w:szCs w:val="24"/>
          <w:highlight w:val="none"/>
        </w:rPr>
      </w:pPr>
    </w:p>
    <w:p w14:paraId="3FF28D94">
      <w:pPr>
        <w:pStyle w:val="7"/>
        <w:shd w:val="clear"/>
        <w:rPr>
          <w:rFonts w:hint="eastAsia" w:ascii="仿宋" w:hAnsi="仿宋" w:eastAsia="仿宋" w:cs="仿宋"/>
          <w:color w:val="auto"/>
          <w:sz w:val="24"/>
          <w:szCs w:val="24"/>
          <w:highlight w:val="none"/>
        </w:rPr>
      </w:pPr>
    </w:p>
    <w:p w14:paraId="26E01BFF">
      <w:pPr>
        <w:shd w:val="clear"/>
        <w:rPr>
          <w:rFonts w:hint="eastAsia" w:ascii="仿宋" w:hAnsi="仿宋" w:eastAsia="仿宋" w:cs="仿宋"/>
          <w:color w:val="auto"/>
          <w:sz w:val="24"/>
          <w:szCs w:val="24"/>
          <w:highlight w:val="none"/>
        </w:rPr>
      </w:pPr>
    </w:p>
    <w:p w14:paraId="54D2C43A">
      <w:pPr>
        <w:pStyle w:val="7"/>
        <w:shd w:val="clear"/>
        <w:rPr>
          <w:rFonts w:hint="eastAsia" w:ascii="仿宋" w:hAnsi="仿宋" w:eastAsia="仿宋" w:cs="仿宋"/>
          <w:color w:val="auto"/>
          <w:sz w:val="24"/>
          <w:szCs w:val="24"/>
          <w:highlight w:val="none"/>
        </w:rPr>
      </w:pPr>
    </w:p>
    <w:p w14:paraId="4681FDEB">
      <w:pPr>
        <w:shd w:val="clear"/>
        <w:rPr>
          <w:rFonts w:hint="eastAsia" w:ascii="仿宋" w:hAnsi="仿宋" w:eastAsia="仿宋" w:cs="仿宋"/>
          <w:color w:val="auto"/>
          <w:sz w:val="24"/>
          <w:szCs w:val="24"/>
          <w:highlight w:val="none"/>
        </w:rPr>
      </w:pPr>
    </w:p>
    <w:p w14:paraId="792E5867">
      <w:pPr>
        <w:pStyle w:val="7"/>
        <w:shd w:val="clear"/>
        <w:rPr>
          <w:rFonts w:hint="eastAsia" w:ascii="仿宋" w:hAnsi="仿宋" w:eastAsia="仿宋" w:cs="仿宋"/>
          <w:color w:val="auto"/>
          <w:sz w:val="24"/>
          <w:szCs w:val="24"/>
          <w:highlight w:val="none"/>
        </w:rPr>
      </w:pPr>
    </w:p>
    <w:p w14:paraId="06DB4D18">
      <w:pPr>
        <w:shd w:val="clear"/>
        <w:rPr>
          <w:rFonts w:hint="eastAsia" w:ascii="仿宋" w:hAnsi="仿宋" w:eastAsia="仿宋" w:cs="仿宋"/>
          <w:color w:val="auto"/>
          <w:sz w:val="24"/>
          <w:szCs w:val="24"/>
          <w:highlight w:val="none"/>
        </w:rPr>
      </w:pPr>
    </w:p>
    <w:p w14:paraId="0EC48AA0">
      <w:pPr>
        <w:pStyle w:val="7"/>
        <w:shd w:val="clear"/>
        <w:rPr>
          <w:rFonts w:hint="eastAsia" w:ascii="仿宋" w:hAnsi="仿宋" w:eastAsia="仿宋" w:cs="仿宋"/>
          <w:color w:val="auto"/>
          <w:sz w:val="24"/>
          <w:szCs w:val="24"/>
          <w:highlight w:val="none"/>
        </w:rPr>
      </w:pPr>
    </w:p>
    <w:p w14:paraId="54DEC4A2">
      <w:pPr>
        <w:shd w:val="clear"/>
        <w:rPr>
          <w:rFonts w:hint="eastAsia" w:ascii="仿宋" w:hAnsi="仿宋" w:eastAsia="仿宋" w:cs="仿宋"/>
          <w:color w:val="auto"/>
          <w:sz w:val="24"/>
          <w:szCs w:val="24"/>
          <w:highlight w:val="none"/>
        </w:rPr>
      </w:pPr>
    </w:p>
    <w:p w14:paraId="54D84581">
      <w:pPr>
        <w:pStyle w:val="7"/>
        <w:shd w:val="clear"/>
        <w:rPr>
          <w:rFonts w:hint="eastAsia" w:ascii="仿宋" w:hAnsi="仿宋" w:eastAsia="仿宋" w:cs="仿宋"/>
          <w:color w:val="auto"/>
          <w:sz w:val="24"/>
          <w:szCs w:val="24"/>
          <w:highlight w:val="none"/>
        </w:rPr>
      </w:pPr>
    </w:p>
    <w:p w14:paraId="705B0987">
      <w:pPr>
        <w:shd w:val="clear"/>
        <w:tabs>
          <w:tab w:val="left" w:pos="6300"/>
        </w:tabs>
        <w:snapToGrid w:val="0"/>
        <w:ind w:firstLine="480"/>
        <w:rPr>
          <w:rFonts w:hint="eastAsia" w:ascii="仿宋" w:hAnsi="仿宋" w:eastAsia="仿宋" w:cs="仿宋"/>
          <w:color w:val="auto"/>
          <w:sz w:val="24"/>
          <w:szCs w:val="24"/>
          <w:highlight w:val="none"/>
        </w:rPr>
      </w:pPr>
    </w:p>
    <w:p w14:paraId="6F896FD5">
      <w:pPr>
        <w:shd w:val="clea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97DE6FB">
      <w:pPr>
        <w:shd w:val="clear"/>
        <w:snapToGrid w:val="0"/>
        <w:ind w:firstLine="480" w:firstLineChars="200"/>
        <w:rPr>
          <w:rFonts w:hint="eastAsia" w:ascii="仿宋" w:hAnsi="仿宋" w:eastAsia="仿宋" w:cs="仿宋"/>
          <w:color w:val="auto"/>
          <w:sz w:val="24"/>
          <w:szCs w:val="24"/>
          <w:highlight w:val="none"/>
        </w:rPr>
        <w:sectPr>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color w:val="auto"/>
          <w:sz w:val="24"/>
          <w:szCs w:val="24"/>
          <w:highlight w:val="none"/>
        </w:rPr>
        <w:t xml:space="preserve">                                                  </w:t>
      </w:r>
    </w:p>
    <w:p w14:paraId="4B71521B">
      <w:pPr>
        <w:pStyle w:val="3"/>
        <w:shd w:val="clear"/>
        <w:spacing w:line="240" w:lineRule="auto"/>
        <w:ind w:firstLine="643"/>
        <w:rPr>
          <w:rFonts w:hint="eastAsia" w:ascii="仿宋" w:hAnsi="仿宋" w:eastAsia="仿宋" w:cs="仿宋"/>
          <w:color w:val="auto"/>
          <w:highlight w:val="none"/>
        </w:rPr>
      </w:pPr>
      <w:bookmarkStart w:id="173" w:name="_Toc183783161"/>
      <w:bookmarkStart w:id="174" w:name="_Toc487204798"/>
      <w:bookmarkStart w:id="175" w:name="_Toc486585241"/>
      <w:bookmarkStart w:id="176" w:name="_Toc486608278"/>
      <w:bookmarkStart w:id="177" w:name="_Toc9090"/>
      <w:bookmarkStart w:id="178" w:name="_Toc3192"/>
      <w:r>
        <w:rPr>
          <w:rFonts w:hint="eastAsia" w:ascii="仿宋" w:hAnsi="仿宋" w:eastAsia="仿宋" w:cs="仿宋"/>
          <w:color w:val="auto"/>
          <w:highlight w:val="none"/>
        </w:rPr>
        <w:t>二、服务部分</w:t>
      </w:r>
      <w:bookmarkEnd w:id="173"/>
      <w:bookmarkEnd w:id="174"/>
      <w:bookmarkEnd w:id="175"/>
      <w:bookmarkEnd w:id="176"/>
      <w:bookmarkEnd w:id="177"/>
      <w:bookmarkEnd w:id="178"/>
    </w:p>
    <w:p w14:paraId="5567A8C1">
      <w:pPr>
        <w:shd w:val="clear"/>
        <w:snapToGrid w:val="0"/>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（一）服务要求应答</w:t>
      </w:r>
    </w:p>
    <w:p w14:paraId="04C1D0E1">
      <w:pPr>
        <w:shd w:val="clear"/>
        <w:rPr>
          <w:rFonts w:hint="eastAsia" w:ascii="仿宋" w:hAnsi="仿宋" w:eastAsia="仿宋" w:cs="仿宋"/>
          <w:color w:val="auto"/>
          <w:szCs w:val="24"/>
          <w:highlight w:val="none"/>
        </w:rPr>
      </w:pPr>
    </w:p>
    <w:p w14:paraId="1A76F645">
      <w:pPr>
        <w:shd w:val="clear"/>
        <w:ind w:firstLine="480"/>
        <w:rPr>
          <w:rFonts w:hint="eastAsia" w:ascii="仿宋" w:hAnsi="仿宋" w:eastAsia="仿宋" w:cs="仿宋"/>
          <w:color w:val="auto"/>
          <w:sz w:val="24"/>
          <w:szCs w:val="18"/>
          <w:highlight w:val="none"/>
        </w:rPr>
      </w:pPr>
      <w:r>
        <w:rPr>
          <w:rFonts w:hint="eastAsia" w:ascii="仿宋" w:hAnsi="仿宋" w:eastAsia="仿宋" w:cs="仿宋"/>
          <w:color w:val="auto"/>
          <w:sz w:val="24"/>
          <w:szCs w:val="18"/>
          <w:highlight w:val="none"/>
        </w:rPr>
        <w:t>（二）服务响应偏离表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4A03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60D28730">
            <w:pPr>
              <w:shd w:val="clear"/>
              <w:ind w:firstLine="420"/>
              <w:jc w:val="center"/>
              <w:rPr>
                <w:rFonts w:hint="eastAsia" w:ascii="仿宋" w:hAnsi="仿宋" w:eastAsia="仿宋" w:cs="仿宋"/>
                <w:bCs/>
                <w:color w:val="auto"/>
                <w:szCs w:val="21"/>
                <w:highlight w:val="none"/>
              </w:rPr>
            </w:pPr>
            <w:r>
              <w:rPr>
                <w:rFonts w:hint="eastAsia" w:ascii="仿宋" w:hAnsi="仿宋" w:eastAsia="仿宋" w:cs="仿宋"/>
                <w:bCs/>
                <w:color w:val="auto"/>
                <w:sz w:val="21"/>
                <w:szCs w:val="21"/>
                <w:highlight w:val="none"/>
              </w:rPr>
              <w:t>序号</w:t>
            </w:r>
          </w:p>
        </w:tc>
        <w:tc>
          <w:tcPr>
            <w:tcW w:w="1542" w:type="pct"/>
            <w:vAlign w:val="center"/>
          </w:tcPr>
          <w:p w14:paraId="07991947">
            <w:pPr>
              <w:shd w:val="clea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招标要求</w:t>
            </w:r>
          </w:p>
        </w:tc>
        <w:tc>
          <w:tcPr>
            <w:tcW w:w="1600" w:type="pct"/>
            <w:vAlign w:val="center"/>
          </w:tcPr>
          <w:p w14:paraId="176B6E4B">
            <w:pPr>
              <w:shd w:val="clea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投标应答</w:t>
            </w:r>
          </w:p>
        </w:tc>
        <w:tc>
          <w:tcPr>
            <w:tcW w:w="1199" w:type="pct"/>
            <w:vAlign w:val="center"/>
          </w:tcPr>
          <w:p w14:paraId="0F730140">
            <w:pPr>
              <w:shd w:val="clear"/>
              <w:ind w:firstLine="420"/>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差异说明</w:t>
            </w:r>
          </w:p>
        </w:tc>
      </w:tr>
      <w:tr w14:paraId="0650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C7B66D">
            <w:pPr>
              <w:shd w:val="clear"/>
              <w:tabs>
                <w:tab w:val="left" w:pos="6300"/>
              </w:tabs>
              <w:snapToGrid w:val="0"/>
              <w:ind w:firstLine="420"/>
              <w:jc w:val="center"/>
              <w:rPr>
                <w:rFonts w:hint="eastAsia" w:ascii="仿宋" w:hAnsi="仿宋" w:eastAsia="仿宋" w:cs="仿宋"/>
                <w:bCs/>
                <w:color w:val="auto"/>
                <w:sz w:val="21"/>
                <w:szCs w:val="21"/>
                <w:highlight w:val="none"/>
              </w:rPr>
            </w:pPr>
          </w:p>
        </w:tc>
        <w:tc>
          <w:tcPr>
            <w:tcW w:w="1542" w:type="pct"/>
            <w:vAlign w:val="center"/>
          </w:tcPr>
          <w:p w14:paraId="4DAE2CFE">
            <w:pPr>
              <w:shd w:val="clear"/>
              <w:ind w:firstLine="420"/>
              <w:jc w:val="center"/>
              <w:rPr>
                <w:rFonts w:hint="eastAsia" w:ascii="仿宋" w:hAnsi="仿宋" w:eastAsia="仿宋" w:cs="仿宋"/>
                <w:bCs/>
                <w:color w:val="auto"/>
                <w:sz w:val="21"/>
                <w:szCs w:val="21"/>
                <w:highlight w:val="none"/>
              </w:rPr>
            </w:pPr>
          </w:p>
        </w:tc>
        <w:tc>
          <w:tcPr>
            <w:tcW w:w="1600" w:type="pct"/>
            <w:vAlign w:val="center"/>
          </w:tcPr>
          <w:p w14:paraId="2E00EB5C">
            <w:pPr>
              <w:shd w:val="clear"/>
              <w:ind w:firstLine="420"/>
              <w:jc w:val="center"/>
              <w:rPr>
                <w:rFonts w:hint="eastAsia" w:ascii="仿宋" w:hAnsi="仿宋" w:eastAsia="仿宋" w:cs="仿宋"/>
                <w:bCs/>
                <w:color w:val="auto"/>
                <w:sz w:val="21"/>
                <w:szCs w:val="21"/>
                <w:highlight w:val="none"/>
              </w:rPr>
            </w:pPr>
          </w:p>
        </w:tc>
        <w:tc>
          <w:tcPr>
            <w:tcW w:w="1199" w:type="pct"/>
            <w:vAlign w:val="center"/>
          </w:tcPr>
          <w:p w14:paraId="7451EF27">
            <w:pPr>
              <w:shd w:val="clear"/>
              <w:ind w:firstLine="420"/>
              <w:jc w:val="center"/>
              <w:rPr>
                <w:rFonts w:hint="eastAsia" w:ascii="仿宋" w:hAnsi="仿宋" w:eastAsia="仿宋" w:cs="仿宋"/>
                <w:bCs/>
                <w:color w:val="auto"/>
                <w:sz w:val="21"/>
                <w:szCs w:val="21"/>
                <w:highlight w:val="none"/>
              </w:rPr>
            </w:pPr>
          </w:p>
        </w:tc>
      </w:tr>
      <w:tr w14:paraId="2770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CBD506F">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5C39B12">
            <w:pPr>
              <w:shd w:val="clear"/>
              <w:ind w:firstLine="420"/>
              <w:jc w:val="center"/>
              <w:rPr>
                <w:rFonts w:hint="eastAsia" w:ascii="仿宋" w:hAnsi="仿宋" w:eastAsia="仿宋" w:cs="仿宋"/>
                <w:color w:val="auto"/>
                <w:sz w:val="21"/>
                <w:szCs w:val="21"/>
                <w:highlight w:val="none"/>
              </w:rPr>
            </w:pPr>
          </w:p>
        </w:tc>
        <w:tc>
          <w:tcPr>
            <w:tcW w:w="1600" w:type="pct"/>
            <w:vAlign w:val="center"/>
          </w:tcPr>
          <w:p w14:paraId="1C20FF32">
            <w:pPr>
              <w:shd w:val="clear"/>
              <w:ind w:firstLine="420"/>
              <w:jc w:val="center"/>
              <w:rPr>
                <w:rFonts w:hint="eastAsia" w:ascii="仿宋" w:hAnsi="仿宋" w:eastAsia="仿宋" w:cs="仿宋"/>
                <w:color w:val="auto"/>
                <w:sz w:val="21"/>
                <w:szCs w:val="21"/>
                <w:highlight w:val="none"/>
              </w:rPr>
            </w:pPr>
          </w:p>
        </w:tc>
        <w:tc>
          <w:tcPr>
            <w:tcW w:w="1199" w:type="pct"/>
            <w:vAlign w:val="center"/>
          </w:tcPr>
          <w:p w14:paraId="38EAEC18">
            <w:pPr>
              <w:shd w:val="clear"/>
              <w:ind w:firstLine="420"/>
              <w:jc w:val="center"/>
              <w:rPr>
                <w:rFonts w:hint="eastAsia" w:ascii="仿宋" w:hAnsi="仿宋" w:eastAsia="仿宋" w:cs="仿宋"/>
                <w:color w:val="auto"/>
                <w:sz w:val="21"/>
                <w:szCs w:val="21"/>
                <w:highlight w:val="none"/>
              </w:rPr>
            </w:pPr>
          </w:p>
        </w:tc>
      </w:tr>
      <w:tr w14:paraId="2D19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3A60D6C">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45D9244">
            <w:pPr>
              <w:shd w:val="clear"/>
              <w:ind w:firstLine="420"/>
              <w:jc w:val="center"/>
              <w:rPr>
                <w:rFonts w:hint="eastAsia" w:ascii="仿宋" w:hAnsi="仿宋" w:eastAsia="仿宋" w:cs="仿宋"/>
                <w:color w:val="auto"/>
                <w:sz w:val="21"/>
                <w:szCs w:val="21"/>
                <w:highlight w:val="none"/>
              </w:rPr>
            </w:pPr>
          </w:p>
        </w:tc>
        <w:tc>
          <w:tcPr>
            <w:tcW w:w="1600" w:type="pct"/>
            <w:vAlign w:val="center"/>
          </w:tcPr>
          <w:p w14:paraId="74C13715">
            <w:pPr>
              <w:shd w:val="clear"/>
              <w:ind w:firstLine="420"/>
              <w:jc w:val="center"/>
              <w:rPr>
                <w:rFonts w:hint="eastAsia" w:ascii="仿宋" w:hAnsi="仿宋" w:eastAsia="仿宋" w:cs="仿宋"/>
                <w:color w:val="auto"/>
                <w:sz w:val="21"/>
                <w:szCs w:val="21"/>
                <w:highlight w:val="none"/>
              </w:rPr>
            </w:pPr>
          </w:p>
        </w:tc>
        <w:tc>
          <w:tcPr>
            <w:tcW w:w="1199" w:type="pct"/>
            <w:vAlign w:val="center"/>
          </w:tcPr>
          <w:p w14:paraId="336B0E8D">
            <w:pPr>
              <w:shd w:val="clear"/>
              <w:ind w:firstLine="420"/>
              <w:jc w:val="center"/>
              <w:rPr>
                <w:rFonts w:hint="eastAsia" w:ascii="仿宋" w:hAnsi="仿宋" w:eastAsia="仿宋" w:cs="仿宋"/>
                <w:color w:val="auto"/>
                <w:sz w:val="21"/>
                <w:szCs w:val="21"/>
                <w:highlight w:val="none"/>
              </w:rPr>
            </w:pPr>
          </w:p>
        </w:tc>
      </w:tr>
      <w:tr w14:paraId="7F3E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8FF87A9">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5E04402D">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41ED9C2">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0E94D866">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08C4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7F88CC">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6FAFC8B5">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5B3B659">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1A675212">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5C80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AC8EBBC">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39086D01">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134A93CF">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2F153AE0">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45ED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B84B04">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2722BB96">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7A8328E1">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14C43335">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77C4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62F3C8E">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4D32EABA">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3563C4ED">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4F868C64">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4787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F0B667">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1A92665C">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7D6DA232">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71F46301">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39DE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31EF11A">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2" w:type="pct"/>
            <w:vAlign w:val="center"/>
          </w:tcPr>
          <w:p w14:paraId="75142BFD">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21E875EF">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9" w:type="pct"/>
            <w:vAlign w:val="center"/>
          </w:tcPr>
          <w:p w14:paraId="6E011063">
            <w:pPr>
              <w:shd w:val="clear"/>
              <w:tabs>
                <w:tab w:val="left" w:pos="6300"/>
              </w:tabs>
              <w:snapToGrid w:val="0"/>
              <w:ind w:firstLine="420"/>
              <w:jc w:val="center"/>
              <w:rPr>
                <w:rFonts w:hint="eastAsia" w:ascii="仿宋" w:hAnsi="仿宋" w:eastAsia="仿宋" w:cs="仿宋"/>
                <w:color w:val="auto"/>
                <w:sz w:val="21"/>
                <w:szCs w:val="21"/>
                <w:highlight w:val="none"/>
              </w:rPr>
            </w:pPr>
          </w:p>
        </w:tc>
      </w:tr>
    </w:tbl>
    <w:p w14:paraId="2BB3C74D">
      <w:pPr>
        <w:shd w:val="clear"/>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法定代表人（或法定代表人授权代表）或自然人：</w:t>
      </w:r>
    </w:p>
    <w:p w14:paraId="2AF19BDB">
      <w:pPr>
        <w:shd w:val="clear"/>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11F4F3F5">
      <w:pPr>
        <w:shd w:val="clear"/>
        <w:ind w:firstLine="720" w:firstLineChars="3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7D3FB7D8">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107CE25E">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204DE3B">
      <w:pPr>
        <w:shd w:val="clea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1.本表即为对本项目“第二篇  项目服务需求”中所列条款进行比较和响应；</w:t>
      </w:r>
    </w:p>
    <w:p w14:paraId="2FCE4C1C">
      <w:pPr>
        <w:shd w:val="clea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2.本表可扩展；</w:t>
      </w:r>
    </w:p>
    <w:p w14:paraId="184A9D60">
      <w:pPr>
        <w:shd w:val="clea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3.可附相关技术（质量）支撑材料。（格式自定）</w:t>
      </w:r>
    </w:p>
    <w:p w14:paraId="44AAF1C1">
      <w:pPr>
        <w:shd w:val="clear"/>
        <w:snapToGrid w:val="0"/>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4"/>
          <w:highlight w:val="none"/>
        </w:rPr>
        <w:br w:type="page"/>
      </w:r>
    </w:p>
    <w:p w14:paraId="6D095EDD">
      <w:pPr>
        <w:pStyle w:val="3"/>
        <w:shd w:val="clear"/>
        <w:spacing w:line="240" w:lineRule="auto"/>
        <w:ind w:firstLine="643"/>
        <w:rPr>
          <w:rFonts w:hint="eastAsia" w:ascii="仿宋" w:hAnsi="仿宋" w:eastAsia="仿宋" w:cs="仿宋"/>
          <w:color w:val="auto"/>
          <w:highlight w:val="none"/>
        </w:rPr>
      </w:pPr>
      <w:bookmarkStart w:id="179" w:name="_Toc26494"/>
      <w:bookmarkStart w:id="180" w:name="_Toc22113"/>
      <w:bookmarkStart w:id="181" w:name="_Toc493178791"/>
      <w:bookmarkStart w:id="182" w:name="_Toc183783162"/>
      <w:bookmarkStart w:id="183" w:name="_Toc14954"/>
      <w:bookmarkStart w:id="184" w:name="_Toc30496"/>
      <w:bookmarkStart w:id="185" w:name="_Toc23523"/>
      <w:bookmarkStart w:id="186" w:name="_Toc75793542"/>
      <w:bookmarkStart w:id="187" w:name="_Toc28242"/>
      <w:bookmarkStart w:id="188" w:name="_Toc492721039"/>
      <w:bookmarkStart w:id="189" w:name="_Toc5573"/>
      <w:bookmarkStart w:id="190" w:name="_Toc6786"/>
      <w:bookmarkStart w:id="191" w:name="_Toc17290"/>
      <w:bookmarkStart w:id="192" w:name="_Toc7069"/>
      <w:bookmarkStart w:id="193" w:name="_Toc32670"/>
      <w:bookmarkStart w:id="194" w:name="_Toc8958"/>
      <w:bookmarkStart w:id="195" w:name="_Toc106030419"/>
      <w:bookmarkStart w:id="196" w:name="_Toc10372"/>
      <w:bookmarkStart w:id="197" w:name="_Toc4362"/>
      <w:r>
        <w:rPr>
          <w:rFonts w:hint="eastAsia" w:ascii="仿宋" w:hAnsi="仿宋" w:eastAsia="仿宋" w:cs="仿宋"/>
          <w:color w:val="auto"/>
          <w:highlight w:val="none"/>
        </w:rPr>
        <w:t>三、商务文件</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1B894337">
      <w:pPr>
        <w:shd w:val="clear"/>
        <w:ind w:firstLine="440"/>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（一）服务要求响应情况</w:t>
      </w:r>
    </w:p>
    <w:p w14:paraId="7BE4636D">
      <w:pPr>
        <w:shd w:val="clear"/>
        <w:ind w:firstLine="482"/>
        <w:rPr>
          <w:rFonts w:hint="eastAsia" w:ascii="仿宋" w:hAnsi="仿宋" w:eastAsia="仿宋" w:cs="仿宋"/>
          <w:b/>
          <w:color w:val="auto"/>
          <w:szCs w:val="28"/>
          <w:highlight w:val="none"/>
        </w:rPr>
      </w:pPr>
    </w:p>
    <w:p w14:paraId="03C7539F">
      <w:pPr>
        <w:shd w:val="clear"/>
        <w:ind w:firstLine="440"/>
        <w:rPr>
          <w:rFonts w:hint="eastAsia" w:ascii="仿宋" w:hAnsi="仿宋" w:eastAsia="仿宋" w:cs="仿宋"/>
          <w:color w:val="auto"/>
          <w:sz w:val="22"/>
          <w:szCs w:val="16"/>
          <w:highlight w:val="none"/>
        </w:rPr>
      </w:pPr>
      <w:r>
        <w:rPr>
          <w:rFonts w:hint="eastAsia" w:ascii="仿宋" w:hAnsi="仿宋" w:eastAsia="仿宋" w:cs="仿宋"/>
          <w:color w:val="auto"/>
          <w:sz w:val="22"/>
          <w:szCs w:val="16"/>
          <w:highlight w:val="none"/>
        </w:rPr>
        <w:t>（二）商务响应偏离表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4338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0DFBA87">
            <w:pPr>
              <w:shd w:val="clear"/>
              <w:ind w:firstLine="440"/>
              <w:jc w:val="center"/>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序号</w:t>
            </w:r>
          </w:p>
        </w:tc>
        <w:tc>
          <w:tcPr>
            <w:tcW w:w="1541" w:type="pct"/>
            <w:vAlign w:val="center"/>
          </w:tcPr>
          <w:p w14:paraId="7203969F">
            <w:pPr>
              <w:shd w:val="clea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招标商务</w:t>
            </w:r>
            <w:r>
              <w:rPr>
                <w:rFonts w:hint="eastAsia" w:ascii="仿宋" w:hAnsi="仿宋" w:eastAsia="仿宋" w:cs="仿宋"/>
                <w:bCs/>
                <w:color w:val="auto"/>
                <w:sz w:val="22"/>
                <w:szCs w:val="22"/>
                <w:highlight w:val="none"/>
              </w:rPr>
              <w:t>要求</w:t>
            </w:r>
          </w:p>
        </w:tc>
        <w:tc>
          <w:tcPr>
            <w:tcW w:w="1600" w:type="pct"/>
            <w:vAlign w:val="center"/>
          </w:tcPr>
          <w:p w14:paraId="0EB639D7">
            <w:pPr>
              <w:shd w:val="clea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投标商务应答</w:t>
            </w:r>
          </w:p>
        </w:tc>
        <w:tc>
          <w:tcPr>
            <w:tcW w:w="1198" w:type="pct"/>
            <w:vAlign w:val="center"/>
          </w:tcPr>
          <w:p w14:paraId="7FD5AC1E">
            <w:pPr>
              <w:shd w:val="clear"/>
              <w:ind w:firstLine="44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差异</w:t>
            </w:r>
            <w:r>
              <w:rPr>
                <w:rFonts w:hint="eastAsia" w:ascii="仿宋" w:hAnsi="仿宋" w:eastAsia="仿宋" w:cs="仿宋"/>
                <w:bCs/>
                <w:color w:val="auto"/>
                <w:sz w:val="22"/>
                <w:szCs w:val="22"/>
                <w:highlight w:val="none"/>
              </w:rPr>
              <w:t>说明</w:t>
            </w:r>
          </w:p>
        </w:tc>
      </w:tr>
      <w:tr w14:paraId="4A9A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AA45605">
            <w:pPr>
              <w:shd w:val="clear"/>
              <w:ind w:firstLine="440"/>
              <w:rPr>
                <w:rFonts w:hint="eastAsia" w:ascii="仿宋" w:hAnsi="仿宋" w:eastAsia="仿宋" w:cs="仿宋"/>
                <w:color w:val="auto"/>
                <w:sz w:val="22"/>
                <w:szCs w:val="22"/>
                <w:highlight w:val="none"/>
              </w:rPr>
            </w:pPr>
          </w:p>
        </w:tc>
        <w:tc>
          <w:tcPr>
            <w:tcW w:w="1541" w:type="pct"/>
            <w:vAlign w:val="center"/>
          </w:tcPr>
          <w:p w14:paraId="0D8505BD">
            <w:pPr>
              <w:shd w:val="clear"/>
              <w:ind w:firstLine="440"/>
              <w:rPr>
                <w:rFonts w:hint="eastAsia" w:ascii="仿宋" w:hAnsi="仿宋" w:eastAsia="仿宋" w:cs="仿宋"/>
                <w:color w:val="auto"/>
                <w:sz w:val="22"/>
                <w:szCs w:val="22"/>
                <w:highlight w:val="none"/>
              </w:rPr>
            </w:pPr>
          </w:p>
        </w:tc>
        <w:tc>
          <w:tcPr>
            <w:tcW w:w="1600" w:type="pct"/>
            <w:vAlign w:val="center"/>
          </w:tcPr>
          <w:p w14:paraId="4339EA51">
            <w:pPr>
              <w:shd w:val="clear"/>
              <w:ind w:firstLine="440"/>
              <w:jc w:val="center"/>
              <w:rPr>
                <w:rFonts w:hint="eastAsia" w:ascii="仿宋" w:hAnsi="仿宋" w:eastAsia="仿宋" w:cs="仿宋"/>
                <w:color w:val="auto"/>
                <w:sz w:val="22"/>
                <w:szCs w:val="22"/>
                <w:highlight w:val="none"/>
              </w:rPr>
            </w:pPr>
          </w:p>
        </w:tc>
        <w:tc>
          <w:tcPr>
            <w:tcW w:w="1198" w:type="pct"/>
            <w:vAlign w:val="center"/>
          </w:tcPr>
          <w:p w14:paraId="1FDF0A48">
            <w:pPr>
              <w:shd w:val="clear"/>
              <w:ind w:firstLine="440"/>
              <w:rPr>
                <w:rFonts w:hint="eastAsia" w:ascii="仿宋" w:hAnsi="仿宋" w:eastAsia="仿宋" w:cs="仿宋"/>
                <w:color w:val="auto"/>
                <w:sz w:val="22"/>
                <w:szCs w:val="22"/>
                <w:highlight w:val="none"/>
              </w:rPr>
            </w:pPr>
          </w:p>
        </w:tc>
      </w:tr>
      <w:tr w14:paraId="733F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8AFB32">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26D365BD">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16F2BC75">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934A234">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2382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80165AE">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18A6A28C">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BB6A2A2">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88A0F85">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3F79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50C73">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3D7B816D">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62110C8">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D8DAEDB">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7DAD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24259F">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3C43168">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8A84B28">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7B58186A">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613A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9FAD3F0">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6A14B5E">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24D5434C">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24836EB0">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182E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BE98947">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194413A8">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3B2C39C">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5C071E9F">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0702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2E6698">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7C22BEA4">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5BF88938">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68B51C0F">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326A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DB01379">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66E806D6">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6E5B1F93">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8D73075">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3180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39EF379">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43EF45A5">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D4F98DE">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01A852E5">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15B4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5E9E345">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68C095CF">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3F401026">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17B85581">
            <w:pPr>
              <w:shd w:val="clear"/>
              <w:tabs>
                <w:tab w:val="left" w:pos="6300"/>
              </w:tabs>
              <w:snapToGrid w:val="0"/>
              <w:ind w:firstLine="420"/>
              <w:jc w:val="center"/>
              <w:rPr>
                <w:rFonts w:hint="eastAsia" w:ascii="仿宋" w:hAnsi="仿宋" w:eastAsia="仿宋" w:cs="仿宋"/>
                <w:color w:val="auto"/>
                <w:sz w:val="21"/>
                <w:szCs w:val="21"/>
                <w:highlight w:val="none"/>
              </w:rPr>
            </w:pPr>
          </w:p>
        </w:tc>
      </w:tr>
      <w:tr w14:paraId="735D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7CA6764">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541" w:type="pct"/>
            <w:vAlign w:val="center"/>
          </w:tcPr>
          <w:p w14:paraId="0AED3D33">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600" w:type="pct"/>
            <w:vAlign w:val="center"/>
          </w:tcPr>
          <w:p w14:paraId="4A518726">
            <w:pPr>
              <w:shd w:val="clear"/>
              <w:tabs>
                <w:tab w:val="left" w:pos="6300"/>
              </w:tabs>
              <w:snapToGrid w:val="0"/>
              <w:ind w:firstLine="420"/>
              <w:jc w:val="center"/>
              <w:rPr>
                <w:rFonts w:hint="eastAsia" w:ascii="仿宋" w:hAnsi="仿宋" w:eastAsia="仿宋" w:cs="仿宋"/>
                <w:color w:val="auto"/>
                <w:sz w:val="21"/>
                <w:szCs w:val="21"/>
                <w:highlight w:val="none"/>
              </w:rPr>
            </w:pPr>
          </w:p>
        </w:tc>
        <w:tc>
          <w:tcPr>
            <w:tcW w:w="1198" w:type="pct"/>
            <w:vAlign w:val="center"/>
          </w:tcPr>
          <w:p w14:paraId="34BA8A6E">
            <w:pPr>
              <w:shd w:val="clear"/>
              <w:tabs>
                <w:tab w:val="left" w:pos="6300"/>
              </w:tabs>
              <w:snapToGrid w:val="0"/>
              <w:ind w:firstLine="420"/>
              <w:jc w:val="center"/>
              <w:rPr>
                <w:rFonts w:hint="eastAsia" w:ascii="仿宋" w:hAnsi="仿宋" w:eastAsia="仿宋" w:cs="仿宋"/>
                <w:color w:val="auto"/>
                <w:sz w:val="21"/>
                <w:szCs w:val="21"/>
                <w:highlight w:val="none"/>
              </w:rPr>
            </w:pPr>
          </w:p>
        </w:tc>
      </w:tr>
    </w:tbl>
    <w:p w14:paraId="64D2393F">
      <w:pPr>
        <w:shd w:val="clear"/>
        <w:ind w:firstLine="600" w:firstLineChars="250"/>
        <w:rPr>
          <w:rFonts w:hint="eastAsia" w:ascii="仿宋" w:hAnsi="仿宋" w:eastAsia="仿宋" w:cs="仿宋"/>
          <w:color w:val="auto"/>
          <w:sz w:val="24"/>
          <w:szCs w:val="28"/>
          <w:highlight w:val="none"/>
        </w:rPr>
      </w:pPr>
    </w:p>
    <w:p w14:paraId="6FEB03EB">
      <w:pPr>
        <w:shd w:val="clear"/>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                     法定代表人（或法定代表人授权代表）或自然人：</w:t>
      </w:r>
    </w:p>
    <w:p w14:paraId="26024D00">
      <w:pPr>
        <w:shd w:val="clear"/>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公章）                               （签署或盖章）</w:t>
      </w:r>
    </w:p>
    <w:p w14:paraId="4150D1F1">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5492D554">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00EDBFF">
      <w:pPr>
        <w:shd w:val="clea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项目商务需求”中所列条款进行比较和响应；</w:t>
      </w:r>
    </w:p>
    <w:p w14:paraId="751A8F5D">
      <w:pPr>
        <w:shd w:val="clear"/>
        <w:tabs>
          <w:tab w:val="left" w:pos="6300"/>
        </w:tabs>
        <w:snapToGrid w:val="0"/>
        <w:ind w:firstLine="48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2.本表可扩展。</w:t>
      </w:r>
    </w:p>
    <w:p w14:paraId="16FAD8CD">
      <w:pPr>
        <w:shd w:val="clear"/>
        <w:tabs>
          <w:tab w:val="left" w:pos="6300"/>
        </w:tabs>
        <w:snapToGrid w:val="0"/>
        <w:ind w:firstLine="480"/>
        <w:rPr>
          <w:rFonts w:hint="eastAsia" w:ascii="仿宋" w:hAnsi="仿宋" w:eastAsia="仿宋" w:cs="仿宋"/>
          <w:color w:val="auto"/>
          <w:sz w:val="24"/>
          <w:szCs w:val="24"/>
          <w:highlight w:val="none"/>
        </w:rPr>
      </w:pPr>
    </w:p>
    <w:p w14:paraId="305BE73F">
      <w:pPr>
        <w:shd w:val="clear"/>
        <w:tabs>
          <w:tab w:val="left" w:pos="6300"/>
        </w:tabs>
        <w:snapToGrid w:val="0"/>
        <w:ind w:firstLine="560" w:firstLineChars="200"/>
        <w:rPr>
          <w:rFonts w:hint="eastAsia" w:ascii="仿宋" w:hAnsi="仿宋" w:eastAsia="仿宋" w:cs="仿宋"/>
          <w:color w:val="auto"/>
          <w:sz w:val="24"/>
          <w:szCs w:val="28"/>
          <w:highlight w:val="none"/>
        </w:rPr>
      </w:pPr>
      <w:r>
        <w:rPr>
          <w:rFonts w:hint="eastAsia" w:ascii="仿宋" w:hAnsi="仿宋" w:eastAsia="仿宋" w:cs="仿宋"/>
          <w:color w:val="auto"/>
          <w:szCs w:val="28"/>
          <w:highlight w:val="none"/>
        </w:rPr>
        <w:br w:type="page"/>
      </w:r>
      <w:r>
        <w:rPr>
          <w:rFonts w:hint="eastAsia" w:ascii="仿宋" w:hAnsi="仿宋" w:eastAsia="仿宋" w:cs="仿宋"/>
          <w:color w:val="auto"/>
          <w:sz w:val="24"/>
          <w:szCs w:val="28"/>
          <w:highlight w:val="none"/>
        </w:rPr>
        <w:t>（三）其它优惠承诺</w:t>
      </w:r>
    </w:p>
    <w:p w14:paraId="50C32D42">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AAC20DB">
      <w:pPr>
        <w:pStyle w:val="3"/>
        <w:shd w:val="clear"/>
        <w:spacing w:line="240" w:lineRule="auto"/>
        <w:ind w:firstLine="643"/>
        <w:rPr>
          <w:rFonts w:hint="eastAsia" w:ascii="仿宋" w:hAnsi="仿宋" w:eastAsia="仿宋" w:cs="仿宋"/>
          <w:color w:val="auto"/>
          <w:highlight w:val="none"/>
        </w:rPr>
      </w:pPr>
      <w:bookmarkStart w:id="198" w:name="_Toc23187"/>
      <w:bookmarkStart w:id="199" w:name="_Toc13249"/>
      <w:bookmarkStart w:id="200" w:name="_Toc30818"/>
      <w:bookmarkStart w:id="201" w:name="_Toc6108"/>
      <w:bookmarkStart w:id="202" w:name="_Toc4000"/>
      <w:bookmarkStart w:id="203" w:name="_Toc28432"/>
      <w:bookmarkStart w:id="204" w:name="_Toc11324"/>
      <w:bookmarkStart w:id="205" w:name="_Toc183783163"/>
      <w:bookmarkStart w:id="206" w:name="_Toc17848"/>
      <w:bookmarkStart w:id="207" w:name="_Toc493178793"/>
      <w:bookmarkStart w:id="208" w:name="_Toc12509"/>
      <w:bookmarkStart w:id="209" w:name="_Toc75793544"/>
      <w:bookmarkStart w:id="210" w:name="_Toc17829"/>
      <w:bookmarkStart w:id="211" w:name="_Toc16577"/>
      <w:bookmarkStart w:id="212" w:name="_Toc492721038"/>
      <w:bookmarkStart w:id="213" w:name="_Toc106030421"/>
      <w:bookmarkStart w:id="214" w:name="_Toc26381"/>
      <w:bookmarkStart w:id="215" w:name="_Toc21121"/>
      <w:r>
        <w:rPr>
          <w:rFonts w:hint="eastAsia" w:ascii="仿宋" w:hAnsi="仿宋" w:eastAsia="仿宋" w:cs="仿宋"/>
          <w:color w:val="auto"/>
          <w:highlight w:val="none"/>
        </w:rPr>
        <w:t>四、资格证明文件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8755044">
      <w:pPr>
        <w:shd w:val="clear"/>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（一）法人营业执照（副本）或事业单位法人证书（副本）或个体工商户营业执照或有效的自然人身份证明或社会团体法人登记证书复印件</w:t>
      </w:r>
    </w:p>
    <w:p w14:paraId="77953151">
      <w:pPr>
        <w:shd w:val="clear"/>
        <w:tabs>
          <w:tab w:val="left" w:pos="6300"/>
        </w:tabs>
        <w:snapToGrid w:val="0"/>
        <w:ind w:firstLine="480"/>
        <w:rPr>
          <w:rFonts w:hint="eastAsia" w:ascii="仿宋" w:hAnsi="仿宋" w:eastAsia="仿宋" w:cs="仿宋"/>
          <w:color w:val="auto"/>
          <w:highlight w:val="none"/>
        </w:rPr>
      </w:pPr>
    </w:p>
    <w:p w14:paraId="3191F0DB">
      <w:pPr>
        <w:shd w:val="clear"/>
        <w:tabs>
          <w:tab w:val="left" w:pos="6300"/>
        </w:tabs>
        <w:snapToGrid w:val="0"/>
        <w:ind w:firstLine="480"/>
        <w:rPr>
          <w:rFonts w:hint="eastAsia" w:ascii="仿宋" w:hAnsi="仿宋" w:eastAsia="仿宋" w:cs="仿宋"/>
          <w:color w:val="auto"/>
          <w:highlight w:val="none"/>
        </w:rPr>
      </w:pPr>
    </w:p>
    <w:p w14:paraId="46D1C1EC">
      <w:pPr>
        <w:shd w:val="clear"/>
        <w:tabs>
          <w:tab w:val="left" w:pos="6300"/>
        </w:tabs>
        <w:snapToGrid w:val="0"/>
        <w:ind w:firstLine="480"/>
        <w:rPr>
          <w:rFonts w:hint="eastAsia" w:ascii="仿宋" w:hAnsi="仿宋" w:eastAsia="仿宋" w:cs="仿宋"/>
          <w:color w:val="auto"/>
          <w:highlight w:val="none"/>
        </w:rPr>
      </w:pPr>
    </w:p>
    <w:p w14:paraId="780955B2">
      <w:pPr>
        <w:shd w:val="clear"/>
        <w:tabs>
          <w:tab w:val="left" w:pos="6300"/>
        </w:tabs>
        <w:snapToGrid w:val="0"/>
        <w:ind w:firstLine="480"/>
        <w:rPr>
          <w:rFonts w:hint="eastAsia" w:ascii="仿宋" w:hAnsi="仿宋" w:eastAsia="仿宋" w:cs="仿宋"/>
          <w:color w:val="auto"/>
          <w:highlight w:val="none"/>
        </w:rPr>
      </w:pPr>
    </w:p>
    <w:p w14:paraId="19297B23">
      <w:pPr>
        <w:shd w:val="clear"/>
        <w:tabs>
          <w:tab w:val="left" w:pos="6300"/>
        </w:tabs>
        <w:snapToGrid w:val="0"/>
        <w:ind w:firstLine="480"/>
        <w:rPr>
          <w:rFonts w:hint="eastAsia" w:ascii="仿宋" w:hAnsi="仿宋" w:eastAsia="仿宋" w:cs="仿宋"/>
          <w:color w:val="auto"/>
          <w:highlight w:val="none"/>
        </w:rPr>
      </w:pPr>
    </w:p>
    <w:p w14:paraId="6765AFB9">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（二）法定代表人身份证明书（格式）</w:t>
      </w:r>
    </w:p>
    <w:p w14:paraId="43134D62">
      <w:pPr>
        <w:shd w:val="clear"/>
        <w:tabs>
          <w:tab w:val="left" w:pos="6300"/>
        </w:tabs>
        <w:snapToGrid w:val="0"/>
        <w:ind w:firstLine="480"/>
        <w:rPr>
          <w:rFonts w:hint="eastAsia" w:ascii="仿宋" w:hAnsi="仿宋" w:eastAsia="仿宋" w:cs="仿宋"/>
          <w:color w:val="auto"/>
          <w:sz w:val="24"/>
          <w:highlight w:val="none"/>
        </w:rPr>
      </w:pPr>
    </w:p>
    <w:p w14:paraId="568C8822">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84F70E4">
      <w:pPr>
        <w:shd w:val="clear"/>
        <w:tabs>
          <w:tab w:val="left" w:pos="6300"/>
        </w:tabs>
        <w:snapToGrid w:val="0"/>
        <w:ind w:firstLine="480"/>
        <w:rPr>
          <w:rFonts w:hint="eastAsia" w:ascii="仿宋" w:hAnsi="仿宋" w:eastAsia="仿宋" w:cs="仿宋"/>
          <w:color w:val="auto"/>
          <w:sz w:val="24"/>
          <w:highlight w:val="none"/>
        </w:rPr>
      </w:pPr>
    </w:p>
    <w:p w14:paraId="4AAAD449">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169EDF38">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（性别）在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（职务名称）职务，是（</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的法定代表人。</w:t>
      </w:r>
    </w:p>
    <w:p w14:paraId="67E633FE">
      <w:pPr>
        <w:shd w:val="clear"/>
        <w:tabs>
          <w:tab w:val="left" w:pos="6300"/>
        </w:tabs>
        <w:snapToGrid w:val="0"/>
        <w:ind w:firstLine="480"/>
        <w:rPr>
          <w:rFonts w:hint="eastAsia" w:ascii="仿宋" w:hAnsi="仿宋" w:eastAsia="仿宋" w:cs="仿宋"/>
          <w:color w:val="auto"/>
          <w:sz w:val="24"/>
          <w:highlight w:val="none"/>
        </w:rPr>
      </w:pPr>
    </w:p>
    <w:p w14:paraId="05659083">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465A105">
      <w:pPr>
        <w:shd w:val="clear"/>
        <w:tabs>
          <w:tab w:val="left" w:pos="6300"/>
        </w:tabs>
        <w:snapToGrid w:val="0"/>
        <w:ind w:firstLine="480"/>
        <w:rPr>
          <w:rFonts w:hint="eastAsia" w:ascii="仿宋" w:hAnsi="仿宋" w:eastAsia="仿宋" w:cs="仿宋"/>
          <w:color w:val="auto"/>
          <w:sz w:val="24"/>
          <w:highlight w:val="none"/>
        </w:rPr>
      </w:pPr>
    </w:p>
    <w:p w14:paraId="69DF15D4">
      <w:pPr>
        <w:shd w:val="clear"/>
        <w:tabs>
          <w:tab w:val="left" w:pos="6300"/>
        </w:tabs>
        <w:snapToGrid w:val="0"/>
        <w:ind w:firstLine="480"/>
        <w:rPr>
          <w:rFonts w:hint="eastAsia" w:ascii="仿宋" w:hAnsi="仿宋" w:eastAsia="仿宋" w:cs="仿宋"/>
          <w:color w:val="auto"/>
          <w:sz w:val="24"/>
          <w:highlight w:val="none"/>
        </w:rPr>
      </w:pPr>
    </w:p>
    <w:p w14:paraId="2E555E21">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w:t>
      </w:r>
    </w:p>
    <w:p w14:paraId="1C08D1FC">
      <w:pPr>
        <w:shd w:val="clear"/>
        <w:tabs>
          <w:tab w:val="left" w:pos="6300"/>
        </w:tabs>
        <w:snapToGrid w:val="0"/>
        <w:ind w:firstLine="5848" w:firstLineChars="2437"/>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公章）</w:t>
      </w:r>
    </w:p>
    <w:p w14:paraId="196C7AA7">
      <w:pPr>
        <w:shd w:val="clear"/>
        <w:tabs>
          <w:tab w:val="left" w:pos="6300"/>
        </w:tabs>
        <w:snapToGrid w:val="0"/>
        <w:ind w:firstLine="480"/>
        <w:rPr>
          <w:rFonts w:hint="eastAsia" w:ascii="仿宋" w:hAnsi="仿宋" w:eastAsia="仿宋" w:cs="仿宋"/>
          <w:color w:val="auto"/>
          <w:sz w:val="24"/>
          <w:highlight w:val="none"/>
        </w:rPr>
      </w:pPr>
    </w:p>
    <w:p w14:paraId="71AA24CB">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27526E91">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法定代表人电话：XXXXXXX      电子邮箱：XXXXXX@XXXXX（若授权他人办理并签署投标文件的可不填写）</w:t>
      </w:r>
    </w:p>
    <w:p w14:paraId="20687D08">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14:paraId="639152E7">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CCEF9F8">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（三）法定代表人授权委托书（格式）</w:t>
      </w:r>
    </w:p>
    <w:p w14:paraId="59D37BA4">
      <w:pPr>
        <w:shd w:val="clear"/>
        <w:tabs>
          <w:tab w:val="left" w:pos="6300"/>
        </w:tabs>
        <w:snapToGrid w:val="0"/>
        <w:ind w:firstLine="480"/>
        <w:jc w:val="center"/>
        <w:rPr>
          <w:rFonts w:hint="eastAsia" w:ascii="仿宋" w:hAnsi="仿宋" w:eastAsia="仿宋" w:cs="仿宋"/>
          <w:color w:val="auto"/>
          <w:sz w:val="24"/>
          <w:szCs w:val="24"/>
          <w:highlight w:val="none"/>
        </w:rPr>
      </w:pPr>
    </w:p>
    <w:p w14:paraId="213B1A06">
      <w:pPr>
        <w:shd w:val="clea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73620AAE">
      <w:pPr>
        <w:shd w:val="clear"/>
        <w:tabs>
          <w:tab w:val="left" w:pos="6300"/>
        </w:tabs>
        <w:snapToGrid w:val="0"/>
        <w:ind w:firstLine="480" w:firstLineChars="200"/>
        <w:rPr>
          <w:rFonts w:hint="eastAsia" w:ascii="仿宋" w:hAnsi="仿宋" w:eastAsia="仿宋" w:cs="仿宋"/>
          <w:color w:val="auto"/>
          <w:sz w:val="24"/>
          <w:szCs w:val="24"/>
          <w:highlight w:val="none"/>
        </w:rPr>
      </w:pPr>
    </w:p>
    <w:p w14:paraId="44A18421">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rPr>
        <w:t>（采购代理机构名称）：</w:t>
      </w:r>
    </w:p>
    <w:p w14:paraId="312F5B47">
      <w:pPr>
        <w:shd w:val="clea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（被授权人姓名及身份证代码）代表我单位全权办理上述项目的投标、谈判、签约等具体工作，并签署全部有关文件、协议及合同。</w:t>
      </w:r>
    </w:p>
    <w:p w14:paraId="00CD831F">
      <w:pPr>
        <w:shd w:val="clea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我单位对被授权人的签署负全部责任。</w:t>
      </w:r>
    </w:p>
    <w:p w14:paraId="672BE4F2">
      <w:pPr>
        <w:shd w:val="clear"/>
        <w:tabs>
          <w:tab w:val="left" w:pos="6300"/>
        </w:tabs>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在撤销授权的书面通知以前，本授权书一直有效。被授权人在授权书有效期内签署的所有文件不因授权的撤销而失效。</w:t>
      </w:r>
    </w:p>
    <w:p w14:paraId="19FB09F5">
      <w:pPr>
        <w:shd w:val="clear"/>
        <w:tabs>
          <w:tab w:val="left" w:pos="6300"/>
        </w:tabs>
        <w:snapToGrid w:val="0"/>
        <w:ind w:firstLine="480"/>
        <w:rPr>
          <w:rFonts w:hint="eastAsia" w:ascii="仿宋" w:hAnsi="仿宋" w:eastAsia="仿宋" w:cs="仿宋"/>
          <w:color w:val="auto"/>
          <w:sz w:val="24"/>
          <w:szCs w:val="24"/>
          <w:highlight w:val="none"/>
        </w:rPr>
      </w:pPr>
    </w:p>
    <w:p w14:paraId="4EB9CC7A">
      <w:pPr>
        <w:shd w:val="clear"/>
        <w:tabs>
          <w:tab w:val="left" w:pos="6300"/>
        </w:tabs>
        <w:snapToGrid w:val="0"/>
        <w:ind w:firstLine="480"/>
        <w:rPr>
          <w:rFonts w:hint="eastAsia" w:ascii="仿宋" w:hAnsi="仿宋" w:eastAsia="仿宋" w:cs="仿宋"/>
          <w:color w:val="auto"/>
          <w:sz w:val="24"/>
          <w:szCs w:val="24"/>
          <w:highlight w:val="none"/>
        </w:rPr>
      </w:pPr>
    </w:p>
    <w:p w14:paraId="48E6414E">
      <w:pPr>
        <w:shd w:val="clear"/>
        <w:tabs>
          <w:tab w:val="left" w:pos="6300"/>
        </w:tabs>
        <w:snapToGrid w:val="0"/>
        <w:ind w:firstLine="480"/>
        <w:rPr>
          <w:rFonts w:hint="eastAsia" w:ascii="仿宋" w:hAnsi="仿宋" w:eastAsia="仿宋" w:cs="仿宋"/>
          <w:color w:val="auto"/>
          <w:sz w:val="24"/>
          <w:szCs w:val="24"/>
          <w:highlight w:val="none"/>
        </w:rPr>
      </w:pPr>
      <w:bookmarkStart w:id="216" w:name="_Hlk517194860"/>
      <w:r>
        <w:rPr>
          <w:rFonts w:hint="eastAsia" w:ascii="仿宋" w:hAnsi="仿宋" w:eastAsia="仿宋" w:cs="仿宋"/>
          <w:color w:val="auto"/>
          <w:sz w:val="24"/>
          <w:szCs w:val="24"/>
          <w:highlight w:val="none"/>
        </w:rPr>
        <w:t xml:space="preserve">被授权人：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w:t>
      </w:r>
    </w:p>
    <w:p w14:paraId="44643722">
      <w:pPr>
        <w:shd w:val="clear"/>
        <w:tabs>
          <w:tab w:val="left" w:pos="6300"/>
        </w:tabs>
        <w:snapToGrid w:val="0"/>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（签署或盖章）              （签署或盖章）</w:t>
      </w:r>
    </w:p>
    <w:bookmarkEnd w:id="216"/>
    <w:p w14:paraId="53A3FF79">
      <w:pPr>
        <w:shd w:val="clea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58CA2EB">
      <w:pPr>
        <w:shd w:val="clear"/>
        <w:tabs>
          <w:tab w:val="left" w:pos="6300"/>
        </w:tabs>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14:paraId="0F52E2AC">
      <w:pPr>
        <w:shd w:val="clear"/>
        <w:tabs>
          <w:tab w:val="left" w:pos="6300"/>
        </w:tabs>
        <w:snapToGrid w:val="0"/>
        <w:ind w:firstLine="480"/>
        <w:rPr>
          <w:rFonts w:hint="eastAsia" w:ascii="仿宋" w:hAnsi="仿宋" w:eastAsia="仿宋" w:cs="仿宋"/>
          <w:color w:val="auto"/>
          <w:sz w:val="24"/>
          <w:szCs w:val="24"/>
          <w:highlight w:val="none"/>
        </w:rPr>
      </w:pPr>
    </w:p>
    <w:p w14:paraId="79CE9707">
      <w:pPr>
        <w:shd w:val="clear"/>
        <w:tabs>
          <w:tab w:val="left" w:pos="6300"/>
        </w:tabs>
        <w:snapToGrid w:val="0"/>
        <w:ind w:firstLine="480"/>
        <w:rPr>
          <w:rFonts w:hint="eastAsia" w:ascii="仿宋" w:hAnsi="仿宋" w:eastAsia="仿宋" w:cs="仿宋"/>
          <w:color w:val="auto"/>
          <w:sz w:val="24"/>
          <w:szCs w:val="24"/>
          <w:highlight w:val="none"/>
        </w:rPr>
      </w:pPr>
    </w:p>
    <w:p w14:paraId="0584F0BE">
      <w:pPr>
        <w:shd w:val="clear"/>
        <w:tabs>
          <w:tab w:val="left" w:pos="5670"/>
        </w:tabs>
        <w:snapToGrid w:val="0"/>
        <w:ind w:firstLine="5760" w:firstLineChars="2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58144C9D">
      <w:pPr>
        <w:shd w:val="clear"/>
        <w:tabs>
          <w:tab w:val="left" w:pos="6300"/>
        </w:tabs>
        <w:snapToGrid w:val="0"/>
        <w:ind w:right="600"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DCC0797">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被授权人电话：        电子邮箱：     （若法定代表人办理并签署投标文件的可不填写）</w:t>
      </w:r>
    </w:p>
    <w:p w14:paraId="374BFC8E">
      <w:pPr>
        <w:shd w:val="clea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p>
    <w:p w14:paraId="6ED1120B">
      <w:pPr>
        <w:shd w:val="clear"/>
        <w:ind w:firstLine="480" w:firstLineChars="200"/>
        <w:jc w:val="left"/>
        <w:rPr>
          <w:rFonts w:hint="eastAsia" w:ascii="仿宋" w:hAnsi="仿宋" w:eastAsia="仿宋" w:cs="仿宋"/>
          <w:color w:val="auto"/>
          <w:sz w:val="24"/>
          <w:szCs w:val="24"/>
          <w:highlight w:val="none"/>
        </w:rPr>
      </w:pPr>
      <w:bookmarkStart w:id="217" w:name="_Toc27402"/>
      <w:bookmarkStart w:id="218" w:name="_Toc10914"/>
      <w:bookmarkStart w:id="219" w:name="_Toc10358"/>
      <w:bookmarkStart w:id="220" w:name="_Toc31225"/>
      <w:bookmarkStart w:id="221" w:name="_Toc25283"/>
      <w:bookmarkStart w:id="222" w:name="_Toc4003"/>
      <w:bookmarkStart w:id="223" w:name="_Toc26813"/>
      <w:bookmarkStart w:id="224" w:name="_Toc26496"/>
      <w:r>
        <w:rPr>
          <w:rFonts w:hint="eastAsia" w:ascii="仿宋" w:hAnsi="仿宋" w:eastAsia="仿宋" w:cs="仿宋"/>
          <w:color w:val="auto"/>
          <w:sz w:val="24"/>
          <w:szCs w:val="24"/>
          <w:highlight w:val="none"/>
        </w:rPr>
        <w:t>1．若为法定代表人办理并签署投标文件的，不提供此文件。</w:t>
      </w:r>
      <w:bookmarkEnd w:id="217"/>
      <w:bookmarkEnd w:id="218"/>
      <w:bookmarkEnd w:id="219"/>
      <w:bookmarkEnd w:id="220"/>
      <w:bookmarkEnd w:id="221"/>
      <w:bookmarkEnd w:id="222"/>
      <w:bookmarkEnd w:id="223"/>
      <w:bookmarkEnd w:id="224"/>
    </w:p>
    <w:p w14:paraId="65AE160C">
      <w:pPr>
        <w:shd w:val="clear"/>
        <w:tabs>
          <w:tab w:val="left" w:pos="6300"/>
        </w:tabs>
        <w:snapToGrid w:val="0"/>
        <w:ind w:firstLine="480"/>
        <w:rPr>
          <w:rFonts w:hint="eastAsia" w:ascii="仿宋" w:hAnsi="仿宋" w:eastAsia="仿宋" w:cs="仿宋"/>
          <w:color w:val="auto"/>
          <w:sz w:val="24"/>
          <w:highlight w:val="none"/>
        </w:rPr>
      </w:pPr>
    </w:p>
    <w:p w14:paraId="6290B37B">
      <w:pPr>
        <w:shd w:val="clear"/>
        <w:tabs>
          <w:tab w:val="left" w:pos="6300"/>
        </w:tabs>
        <w:snapToGrid w:val="0"/>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column"/>
      </w:r>
      <w:r>
        <w:rPr>
          <w:rFonts w:hint="eastAsia" w:ascii="仿宋" w:hAnsi="仿宋" w:eastAsia="仿宋" w:cs="仿宋"/>
          <w:color w:val="auto"/>
          <w:sz w:val="24"/>
          <w:highlight w:val="none"/>
        </w:rPr>
        <w:t>（四）基本资格条件承诺函</w:t>
      </w:r>
    </w:p>
    <w:p w14:paraId="64426FD1">
      <w:pPr>
        <w:shd w:val="clear"/>
        <w:jc w:val="center"/>
        <w:rPr>
          <w:rFonts w:hint="eastAsia" w:ascii="仿宋" w:hAnsi="仿宋" w:eastAsia="仿宋" w:cs="仿宋"/>
          <w:color w:val="auto"/>
          <w:highlight w:val="none"/>
        </w:rPr>
      </w:pPr>
      <w:r>
        <w:rPr>
          <w:rFonts w:hint="eastAsia" w:ascii="仿宋" w:hAnsi="仿宋" w:eastAsia="仿宋" w:cs="仿宋"/>
          <w:color w:val="auto"/>
          <w:highlight w:val="none"/>
        </w:rPr>
        <w:t>基本资格条件承诺函</w:t>
      </w:r>
    </w:p>
    <w:p w14:paraId="63C8819C">
      <w:pPr>
        <w:shd w:val="clear"/>
        <w:tabs>
          <w:tab w:val="left" w:pos="6300"/>
        </w:tabs>
        <w:snapToGrid w:val="0"/>
        <w:ind w:firstLine="480"/>
        <w:rPr>
          <w:rFonts w:hint="eastAsia" w:ascii="仿宋" w:hAnsi="仿宋" w:eastAsia="仿宋" w:cs="仿宋"/>
          <w:color w:val="auto"/>
          <w:sz w:val="24"/>
          <w:highlight w:val="none"/>
        </w:rPr>
      </w:pPr>
    </w:p>
    <w:p w14:paraId="1E2131F7">
      <w:pPr>
        <w:shd w:val="clea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7A86809B">
      <w:pPr>
        <w:shd w:val="clea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名称）郑重承诺：</w:t>
      </w:r>
    </w:p>
    <w:p w14:paraId="1500BD23">
      <w:pPr>
        <w:shd w:val="clea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1.我方具有良好的商业信誉和健全的财务会计制度，具有履行合同所必需的设备和专业技术能力，具</w:t>
      </w:r>
      <w:r>
        <w:rPr>
          <w:rFonts w:hint="eastAsia" w:ascii="仿宋" w:hAnsi="仿宋" w:eastAsia="仿宋" w:cs="仿宋"/>
          <w:color w:val="auto"/>
          <w:sz w:val="24"/>
          <w:highlight w:val="none"/>
          <w:lang w:val="zh-CN"/>
        </w:rPr>
        <w:t>有依法缴纳税收和社会保障金的良好记录</w:t>
      </w:r>
      <w:r>
        <w:rPr>
          <w:rFonts w:hint="eastAsia" w:ascii="仿宋" w:hAnsi="仿宋" w:eastAsia="仿宋" w:cs="仿宋"/>
          <w:color w:val="auto"/>
          <w:sz w:val="24"/>
          <w:highlight w:val="none"/>
        </w:rPr>
        <w:t>，参加本项目采购活动前三年内无重大违法活动记录。</w:t>
      </w:r>
    </w:p>
    <w:p w14:paraId="5864A0E2">
      <w:pPr>
        <w:shd w:val="clea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77CEEA5">
      <w:pPr>
        <w:shd w:val="clea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基本资格条件。</w:t>
      </w:r>
    </w:p>
    <w:p w14:paraId="7EDC0309">
      <w:pPr>
        <w:shd w:val="clea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我方对以上承诺负全部法律责任。</w:t>
      </w:r>
    </w:p>
    <w:p w14:paraId="596D5AF7">
      <w:pPr>
        <w:shd w:val="clear"/>
        <w:tabs>
          <w:tab w:val="left" w:pos="6300"/>
        </w:tabs>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5347A8BF">
      <w:pPr>
        <w:shd w:val="clear"/>
        <w:tabs>
          <w:tab w:val="left" w:pos="6300"/>
        </w:tabs>
        <w:snapToGrid w:val="0"/>
        <w:ind w:firstLine="480" w:firstLineChars="200"/>
        <w:rPr>
          <w:rFonts w:hint="eastAsia" w:ascii="仿宋" w:hAnsi="仿宋" w:eastAsia="仿宋" w:cs="仿宋"/>
          <w:color w:val="auto"/>
          <w:sz w:val="24"/>
          <w:highlight w:val="none"/>
        </w:rPr>
      </w:pPr>
    </w:p>
    <w:p w14:paraId="7F217A41">
      <w:pPr>
        <w:shd w:val="clear"/>
        <w:tabs>
          <w:tab w:val="left" w:pos="6300"/>
        </w:tabs>
        <w:snapToGrid w:val="0"/>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公章）</w:t>
      </w:r>
    </w:p>
    <w:p w14:paraId="425C0BC5">
      <w:pPr>
        <w:shd w:val="clear"/>
        <w:tabs>
          <w:tab w:val="left" w:pos="6300"/>
        </w:tabs>
        <w:snapToGrid w:val="0"/>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603C5DA8">
      <w:pPr>
        <w:shd w:val="clear"/>
        <w:snapToGrid w:val="0"/>
        <w:ind w:firstLine="480" w:firstLineChars="200"/>
        <w:rPr>
          <w:rFonts w:hint="eastAsia" w:ascii="仿宋" w:hAnsi="仿宋" w:eastAsia="仿宋" w:cs="仿宋"/>
          <w:color w:val="auto"/>
          <w:sz w:val="24"/>
          <w:szCs w:val="24"/>
          <w:highlight w:val="none"/>
        </w:rPr>
      </w:pPr>
    </w:p>
    <w:p w14:paraId="06E1CEC0">
      <w:pPr>
        <w:shd w:val="clea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4730645">
      <w:pPr>
        <w:shd w:val="clear"/>
        <w:tabs>
          <w:tab w:val="left" w:pos="6300"/>
        </w:tabs>
        <w:snapToGrid w:val="0"/>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（五）特定资格条件证书或证明文件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p>
    <w:p w14:paraId="5BC464E6">
      <w:pPr>
        <w:shd w:val="clear"/>
        <w:tabs>
          <w:tab w:val="left" w:pos="6300"/>
        </w:tabs>
        <w:snapToGrid w:val="0"/>
        <w:ind w:firstLine="480"/>
        <w:jc w:val="left"/>
        <w:rPr>
          <w:rFonts w:hint="eastAsia" w:ascii="仿宋" w:hAnsi="仿宋" w:eastAsia="仿宋" w:cs="仿宋"/>
          <w:color w:val="auto"/>
          <w:sz w:val="24"/>
          <w:highlight w:val="none"/>
        </w:rPr>
      </w:pPr>
    </w:p>
    <w:p w14:paraId="185FB19C">
      <w:pPr>
        <w:shd w:val="clear"/>
        <w:tabs>
          <w:tab w:val="left" w:pos="6300"/>
        </w:tabs>
        <w:snapToGrid w:val="0"/>
        <w:ind w:firstLine="480"/>
        <w:jc w:val="left"/>
        <w:rPr>
          <w:rFonts w:hint="eastAsia" w:ascii="仿宋" w:hAnsi="仿宋" w:eastAsia="仿宋" w:cs="仿宋"/>
          <w:color w:val="auto"/>
          <w:sz w:val="24"/>
          <w:highlight w:val="none"/>
        </w:rPr>
      </w:pPr>
    </w:p>
    <w:p w14:paraId="2A2D7049">
      <w:pPr>
        <w:shd w:val="clear"/>
        <w:tabs>
          <w:tab w:val="left" w:pos="6300"/>
        </w:tabs>
        <w:snapToGrid w:val="0"/>
        <w:ind w:firstLine="480"/>
        <w:jc w:val="left"/>
        <w:rPr>
          <w:rFonts w:hint="eastAsia" w:ascii="仿宋" w:hAnsi="仿宋" w:eastAsia="仿宋" w:cs="仿宋"/>
          <w:color w:val="auto"/>
          <w:sz w:val="24"/>
          <w:highlight w:val="none"/>
        </w:rPr>
      </w:pPr>
    </w:p>
    <w:p w14:paraId="2C39665B">
      <w:pPr>
        <w:shd w:val="clear"/>
        <w:tabs>
          <w:tab w:val="left" w:pos="6300"/>
        </w:tabs>
        <w:snapToGrid w:val="0"/>
        <w:ind w:firstLine="480"/>
        <w:jc w:val="left"/>
        <w:rPr>
          <w:rFonts w:hint="eastAsia" w:ascii="仿宋" w:hAnsi="仿宋" w:eastAsia="仿宋" w:cs="仿宋"/>
          <w:color w:val="auto"/>
          <w:sz w:val="24"/>
          <w:highlight w:val="none"/>
        </w:rPr>
      </w:pPr>
    </w:p>
    <w:p w14:paraId="31186FA0">
      <w:pPr>
        <w:shd w:val="clear"/>
        <w:tabs>
          <w:tab w:val="left" w:pos="6300"/>
        </w:tabs>
        <w:snapToGrid w:val="0"/>
        <w:ind w:firstLine="480"/>
        <w:jc w:val="left"/>
        <w:rPr>
          <w:rFonts w:hint="eastAsia" w:ascii="仿宋" w:hAnsi="仿宋" w:eastAsia="仿宋" w:cs="仿宋"/>
          <w:color w:val="auto"/>
          <w:sz w:val="24"/>
          <w:highlight w:val="none"/>
        </w:rPr>
      </w:pPr>
    </w:p>
    <w:p w14:paraId="117F1A4E">
      <w:pPr>
        <w:shd w:val="clear"/>
        <w:tabs>
          <w:tab w:val="left" w:pos="6300"/>
        </w:tabs>
        <w:snapToGrid w:val="0"/>
        <w:ind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（结束）</w:t>
      </w:r>
    </w:p>
    <w:p w14:paraId="5420D942">
      <w:pPr>
        <w:shd w:val="clear"/>
        <w:tabs>
          <w:tab w:val="left" w:pos="6300"/>
        </w:tabs>
        <w:snapToGrid w:val="0"/>
        <w:ind w:firstLine="480"/>
        <w:jc w:val="left"/>
        <w:rPr>
          <w:rFonts w:hint="eastAsia" w:ascii="仿宋" w:hAnsi="仿宋" w:eastAsia="仿宋" w:cs="仿宋"/>
          <w:color w:val="auto"/>
          <w:sz w:val="24"/>
          <w:highlight w:val="none"/>
        </w:rPr>
      </w:pPr>
    </w:p>
    <w:p w14:paraId="0B3B984A">
      <w:pPr>
        <w:shd w:val="clear"/>
        <w:tabs>
          <w:tab w:val="left" w:pos="6300"/>
        </w:tabs>
        <w:snapToGrid w:val="0"/>
        <w:ind w:firstLine="480"/>
        <w:jc w:val="left"/>
        <w:rPr>
          <w:rFonts w:hint="eastAsia" w:ascii="仿宋" w:hAnsi="仿宋" w:eastAsia="仿宋" w:cs="仿宋"/>
          <w:color w:val="auto"/>
          <w:sz w:val="24"/>
          <w:highlight w:val="none"/>
        </w:rPr>
      </w:pPr>
    </w:p>
    <w:p w14:paraId="084E0429">
      <w:pPr>
        <w:shd w:val="clear"/>
        <w:tabs>
          <w:tab w:val="left" w:pos="6300"/>
        </w:tabs>
        <w:snapToGrid w:val="0"/>
        <w:ind w:firstLine="480"/>
        <w:jc w:val="left"/>
        <w:rPr>
          <w:rFonts w:hint="eastAsia" w:ascii="仿宋" w:hAnsi="仿宋" w:eastAsia="仿宋" w:cs="仿宋"/>
          <w:color w:val="auto"/>
          <w:sz w:val="24"/>
          <w:highlight w:val="none"/>
        </w:rPr>
      </w:pPr>
    </w:p>
    <w:p w14:paraId="340251FE">
      <w:pPr>
        <w:shd w:val="clear"/>
        <w:tabs>
          <w:tab w:val="left" w:pos="6300"/>
        </w:tabs>
        <w:snapToGrid w:val="0"/>
        <w:ind w:firstLine="480"/>
        <w:jc w:val="left"/>
        <w:rPr>
          <w:rFonts w:hint="eastAsia" w:ascii="仿宋" w:hAnsi="仿宋" w:eastAsia="仿宋" w:cs="仿宋"/>
          <w:color w:val="auto"/>
          <w:sz w:val="24"/>
          <w:highlight w:val="none"/>
        </w:rPr>
      </w:pPr>
    </w:p>
    <w:p w14:paraId="5810407C">
      <w:pPr>
        <w:shd w:val="clear"/>
        <w:tabs>
          <w:tab w:val="left" w:pos="6300"/>
        </w:tabs>
        <w:snapToGrid w:val="0"/>
        <w:ind w:firstLine="480"/>
        <w:jc w:val="left"/>
        <w:rPr>
          <w:rFonts w:hint="eastAsia" w:ascii="仿宋" w:hAnsi="仿宋" w:eastAsia="仿宋" w:cs="仿宋"/>
          <w:color w:val="auto"/>
          <w:sz w:val="24"/>
          <w:highlight w:val="none"/>
        </w:rPr>
      </w:pPr>
    </w:p>
    <w:p w14:paraId="0286AC44">
      <w:pPr>
        <w:shd w:val="clear"/>
        <w:tabs>
          <w:tab w:val="left" w:pos="6300"/>
        </w:tabs>
        <w:snapToGrid w:val="0"/>
        <w:ind w:firstLine="480"/>
        <w:jc w:val="left"/>
        <w:rPr>
          <w:rFonts w:hint="eastAsia" w:ascii="仿宋" w:hAnsi="仿宋" w:eastAsia="仿宋" w:cs="仿宋"/>
          <w:color w:val="auto"/>
          <w:sz w:val="24"/>
          <w:highlight w:val="none"/>
        </w:rPr>
      </w:pPr>
    </w:p>
    <w:p w14:paraId="038B70AB">
      <w:pPr>
        <w:shd w:val="clear"/>
        <w:tabs>
          <w:tab w:val="left" w:pos="6300"/>
        </w:tabs>
        <w:snapToGrid w:val="0"/>
        <w:ind w:firstLine="480"/>
        <w:jc w:val="left"/>
        <w:rPr>
          <w:rFonts w:hint="eastAsia" w:ascii="仿宋" w:hAnsi="仿宋" w:eastAsia="仿宋" w:cs="仿宋"/>
          <w:color w:val="auto"/>
          <w:sz w:val="24"/>
          <w:highlight w:val="none"/>
        </w:rPr>
      </w:pPr>
    </w:p>
    <w:p w14:paraId="176DF9F0">
      <w:pPr>
        <w:shd w:val="clear"/>
        <w:tabs>
          <w:tab w:val="left" w:pos="6300"/>
        </w:tabs>
        <w:snapToGrid w:val="0"/>
        <w:ind w:firstLine="480"/>
        <w:jc w:val="left"/>
        <w:rPr>
          <w:rFonts w:hint="eastAsia" w:ascii="仿宋" w:hAnsi="仿宋" w:eastAsia="仿宋" w:cs="仿宋"/>
          <w:color w:val="auto"/>
          <w:sz w:val="24"/>
          <w:highlight w:val="none"/>
        </w:rPr>
      </w:pPr>
    </w:p>
    <w:p w14:paraId="291EB5D3">
      <w:pPr>
        <w:shd w:val="clear"/>
        <w:tabs>
          <w:tab w:val="left" w:pos="6300"/>
        </w:tabs>
        <w:snapToGrid w:val="0"/>
        <w:jc w:val="left"/>
        <w:rPr>
          <w:rFonts w:hint="eastAsia" w:ascii="仿宋" w:hAnsi="仿宋" w:eastAsia="仿宋" w:cs="仿宋"/>
          <w:color w:val="auto"/>
          <w:sz w:val="24"/>
          <w:highlight w:val="none"/>
        </w:rPr>
      </w:pPr>
    </w:p>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9D9E">
    <w:pPr>
      <w:pStyle w:val="13"/>
      <w:ind w:firstLine="422"/>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12925">
                          <w:pPr>
                            <w:pStyle w:val="13"/>
                          </w:pPr>
                          <w:r>
                            <w:fldChar w:fldCharType="begin"/>
                          </w:r>
                          <w:r>
                            <w:instrText xml:space="preserve"> PAGE  \* MERGEFORMAT </w:instrText>
                          </w:r>
                          <w:r>
                            <w:fldChar w:fldCharType="separate"/>
                          </w:r>
                          <w:r>
                            <w:t>- 16 -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9012925">
                    <w:pPr>
                      <w:pStyle w:val="13"/>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65E7">
    <w:pPr>
      <w:pStyle w:val="13"/>
      <w:ind w:firstLine="36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FBF11">
                          <w:pPr>
                            <w:pStyle w:val="13"/>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3D0FBF11">
                    <w:pPr>
                      <w:pStyle w:val="13"/>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1E48F">
    <w:pPr>
      <w:pStyle w:val="13"/>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0F786EB5">
                          <w:pPr>
                            <w:pStyle w:val="1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0F786EB5">
                    <w:pPr>
                      <w:pStyle w:val="13"/>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507B">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62896"/>
    <w:multiLevelType w:val="singleLevel"/>
    <w:tmpl w:val="E9662896"/>
    <w:lvl w:ilvl="0" w:tentative="0">
      <w:start w:val="1"/>
      <w:numFmt w:val="decimal"/>
      <w:suff w:val="nothing"/>
      <w:lvlText w:val="%1、"/>
      <w:lvlJc w:val="left"/>
    </w:lvl>
  </w:abstractNum>
  <w:abstractNum w:abstractNumId="1">
    <w:nsid w:val="77ABF0D0"/>
    <w:multiLevelType w:val="singleLevel"/>
    <w:tmpl w:val="77ABF0D0"/>
    <w:lvl w:ilvl="0" w:tentative="0">
      <w:start w:val="1"/>
      <w:numFmt w:val="chineseCounting"/>
      <w:suff w:val="nothing"/>
      <w:lvlText w:val="%1、"/>
      <w:lvlJc w:val="left"/>
      <w:rPr>
        <w:rFonts w:hint="eastAsia"/>
      </w:rPr>
    </w:lvl>
  </w:abstractNum>
  <w:abstractNum w:abstractNumId="2">
    <w:nsid w:val="7D764751"/>
    <w:multiLevelType w:val="singleLevel"/>
    <w:tmpl w:val="7D764751"/>
    <w:lvl w:ilvl="0" w:tentative="0">
      <w:start w:val="3"/>
      <w:numFmt w:val="chineseCounting"/>
      <w:suff w:val="space"/>
      <w:lvlText w:val="第%1篇"/>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iNGUyNTkzN2JmZWY3ZGNiZjA5YmE1MGM1OTIwM2EifQ=="/>
  </w:docVars>
  <w:rsids>
    <w:rsidRoot w:val="4DEF5E83"/>
    <w:rsid w:val="0003329A"/>
    <w:rsid w:val="000351F5"/>
    <w:rsid w:val="00040D43"/>
    <w:rsid w:val="00044494"/>
    <w:rsid w:val="00060B4A"/>
    <w:rsid w:val="0006406A"/>
    <w:rsid w:val="00091BED"/>
    <w:rsid w:val="000A2D8D"/>
    <w:rsid w:val="000B2A3D"/>
    <w:rsid w:val="000F008F"/>
    <w:rsid w:val="000F6268"/>
    <w:rsid w:val="0011596B"/>
    <w:rsid w:val="001172C9"/>
    <w:rsid w:val="001255A8"/>
    <w:rsid w:val="00144741"/>
    <w:rsid w:val="00190ED5"/>
    <w:rsid w:val="001960DE"/>
    <w:rsid w:val="001A012C"/>
    <w:rsid w:val="001A23C7"/>
    <w:rsid w:val="001A6C1A"/>
    <w:rsid w:val="001B67DD"/>
    <w:rsid w:val="001F0ECD"/>
    <w:rsid w:val="001F39AF"/>
    <w:rsid w:val="002117E9"/>
    <w:rsid w:val="002653FC"/>
    <w:rsid w:val="00266182"/>
    <w:rsid w:val="002728BA"/>
    <w:rsid w:val="002A0829"/>
    <w:rsid w:val="002B71A4"/>
    <w:rsid w:val="002C2D8E"/>
    <w:rsid w:val="002E4203"/>
    <w:rsid w:val="00300C1D"/>
    <w:rsid w:val="00313F21"/>
    <w:rsid w:val="003229F9"/>
    <w:rsid w:val="00373D29"/>
    <w:rsid w:val="00385457"/>
    <w:rsid w:val="00386A67"/>
    <w:rsid w:val="00386AF7"/>
    <w:rsid w:val="003C4373"/>
    <w:rsid w:val="003D1678"/>
    <w:rsid w:val="003D72A5"/>
    <w:rsid w:val="003D758D"/>
    <w:rsid w:val="004162B9"/>
    <w:rsid w:val="004263AE"/>
    <w:rsid w:val="0047123F"/>
    <w:rsid w:val="004955B3"/>
    <w:rsid w:val="004A08B7"/>
    <w:rsid w:val="004A47A5"/>
    <w:rsid w:val="004B68AC"/>
    <w:rsid w:val="004E094B"/>
    <w:rsid w:val="004E0C27"/>
    <w:rsid w:val="004E6683"/>
    <w:rsid w:val="004F4F90"/>
    <w:rsid w:val="004F5A0F"/>
    <w:rsid w:val="0052157A"/>
    <w:rsid w:val="00525483"/>
    <w:rsid w:val="00551838"/>
    <w:rsid w:val="00554349"/>
    <w:rsid w:val="005643B3"/>
    <w:rsid w:val="005665D2"/>
    <w:rsid w:val="00587F23"/>
    <w:rsid w:val="005C4F4E"/>
    <w:rsid w:val="005E76E9"/>
    <w:rsid w:val="005F038B"/>
    <w:rsid w:val="005F5AED"/>
    <w:rsid w:val="00624EA5"/>
    <w:rsid w:val="00634590"/>
    <w:rsid w:val="006377C1"/>
    <w:rsid w:val="00642350"/>
    <w:rsid w:val="0065667C"/>
    <w:rsid w:val="006722B8"/>
    <w:rsid w:val="00684D24"/>
    <w:rsid w:val="006B6399"/>
    <w:rsid w:val="006D2F09"/>
    <w:rsid w:val="006E1374"/>
    <w:rsid w:val="00715EB3"/>
    <w:rsid w:val="00717D99"/>
    <w:rsid w:val="00727077"/>
    <w:rsid w:val="00732380"/>
    <w:rsid w:val="0074794A"/>
    <w:rsid w:val="00760B1D"/>
    <w:rsid w:val="0076667C"/>
    <w:rsid w:val="00781B2F"/>
    <w:rsid w:val="00796B8A"/>
    <w:rsid w:val="007A4050"/>
    <w:rsid w:val="007A481E"/>
    <w:rsid w:val="007A605B"/>
    <w:rsid w:val="007B5373"/>
    <w:rsid w:val="007C6825"/>
    <w:rsid w:val="007D4E90"/>
    <w:rsid w:val="008150E5"/>
    <w:rsid w:val="0083718B"/>
    <w:rsid w:val="00844285"/>
    <w:rsid w:val="008502BA"/>
    <w:rsid w:val="00855BC6"/>
    <w:rsid w:val="008602C6"/>
    <w:rsid w:val="0087082E"/>
    <w:rsid w:val="00875BFD"/>
    <w:rsid w:val="008A65C4"/>
    <w:rsid w:val="008C7377"/>
    <w:rsid w:val="008E005D"/>
    <w:rsid w:val="008E5E57"/>
    <w:rsid w:val="00903458"/>
    <w:rsid w:val="009137CC"/>
    <w:rsid w:val="00926A85"/>
    <w:rsid w:val="00947A16"/>
    <w:rsid w:val="009621C3"/>
    <w:rsid w:val="00984D6C"/>
    <w:rsid w:val="00990827"/>
    <w:rsid w:val="009B3460"/>
    <w:rsid w:val="009C0EE9"/>
    <w:rsid w:val="009C19F2"/>
    <w:rsid w:val="009C39A1"/>
    <w:rsid w:val="009D6F85"/>
    <w:rsid w:val="009D73C2"/>
    <w:rsid w:val="009E17CD"/>
    <w:rsid w:val="00A00658"/>
    <w:rsid w:val="00A14B2E"/>
    <w:rsid w:val="00A2059A"/>
    <w:rsid w:val="00A414B8"/>
    <w:rsid w:val="00A46228"/>
    <w:rsid w:val="00A6633E"/>
    <w:rsid w:val="00AA1B06"/>
    <w:rsid w:val="00AA1C7E"/>
    <w:rsid w:val="00AA2A97"/>
    <w:rsid w:val="00AA72A9"/>
    <w:rsid w:val="00AB08F4"/>
    <w:rsid w:val="00AB0EE4"/>
    <w:rsid w:val="00AC0187"/>
    <w:rsid w:val="00AC3144"/>
    <w:rsid w:val="00AD558A"/>
    <w:rsid w:val="00B00B47"/>
    <w:rsid w:val="00B06297"/>
    <w:rsid w:val="00B258B3"/>
    <w:rsid w:val="00B31F3F"/>
    <w:rsid w:val="00B35773"/>
    <w:rsid w:val="00B534C2"/>
    <w:rsid w:val="00B6602F"/>
    <w:rsid w:val="00B73330"/>
    <w:rsid w:val="00B837FF"/>
    <w:rsid w:val="00B919A5"/>
    <w:rsid w:val="00BE683F"/>
    <w:rsid w:val="00BF40EF"/>
    <w:rsid w:val="00C209F9"/>
    <w:rsid w:val="00C76ED6"/>
    <w:rsid w:val="00CC3589"/>
    <w:rsid w:val="00CD6F8D"/>
    <w:rsid w:val="00D008CE"/>
    <w:rsid w:val="00D07940"/>
    <w:rsid w:val="00D37B4C"/>
    <w:rsid w:val="00D54920"/>
    <w:rsid w:val="00D63828"/>
    <w:rsid w:val="00DA1366"/>
    <w:rsid w:val="00DE644D"/>
    <w:rsid w:val="00DF047C"/>
    <w:rsid w:val="00DF0A25"/>
    <w:rsid w:val="00DF10AD"/>
    <w:rsid w:val="00DF1E46"/>
    <w:rsid w:val="00E0647C"/>
    <w:rsid w:val="00E119C5"/>
    <w:rsid w:val="00E16445"/>
    <w:rsid w:val="00E17CDD"/>
    <w:rsid w:val="00E300F4"/>
    <w:rsid w:val="00E30F02"/>
    <w:rsid w:val="00E47434"/>
    <w:rsid w:val="00E631B0"/>
    <w:rsid w:val="00E70824"/>
    <w:rsid w:val="00E7173D"/>
    <w:rsid w:val="00EA2284"/>
    <w:rsid w:val="00EA39B6"/>
    <w:rsid w:val="00EA3EE7"/>
    <w:rsid w:val="00EB01A4"/>
    <w:rsid w:val="00EB3EB5"/>
    <w:rsid w:val="00EB478E"/>
    <w:rsid w:val="00EB4F4B"/>
    <w:rsid w:val="00EC3E8B"/>
    <w:rsid w:val="00ED4FCC"/>
    <w:rsid w:val="00EE2EF4"/>
    <w:rsid w:val="00F07EA2"/>
    <w:rsid w:val="00F10508"/>
    <w:rsid w:val="00F216DC"/>
    <w:rsid w:val="00F318F4"/>
    <w:rsid w:val="00F67EFD"/>
    <w:rsid w:val="00F8598F"/>
    <w:rsid w:val="00F93DF8"/>
    <w:rsid w:val="00F941FA"/>
    <w:rsid w:val="00FA4452"/>
    <w:rsid w:val="00FA72E3"/>
    <w:rsid w:val="00FA78DE"/>
    <w:rsid w:val="00FB33CC"/>
    <w:rsid w:val="00FC1F73"/>
    <w:rsid w:val="00FC2C6C"/>
    <w:rsid w:val="00FD7029"/>
    <w:rsid w:val="00FE23CE"/>
    <w:rsid w:val="00FF177E"/>
    <w:rsid w:val="010131A7"/>
    <w:rsid w:val="010B22B0"/>
    <w:rsid w:val="01207B0A"/>
    <w:rsid w:val="01453A14"/>
    <w:rsid w:val="01522069"/>
    <w:rsid w:val="01782C45"/>
    <w:rsid w:val="018D0F17"/>
    <w:rsid w:val="021138F7"/>
    <w:rsid w:val="023A4BFB"/>
    <w:rsid w:val="023D0B8F"/>
    <w:rsid w:val="02532161"/>
    <w:rsid w:val="027F2F56"/>
    <w:rsid w:val="027F4D04"/>
    <w:rsid w:val="02825F48"/>
    <w:rsid w:val="02C72207"/>
    <w:rsid w:val="02CF7A3A"/>
    <w:rsid w:val="02E334E5"/>
    <w:rsid w:val="02ED4364"/>
    <w:rsid w:val="02F474A0"/>
    <w:rsid w:val="02F96864"/>
    <w:rsid w:val="03127926"/>
    <w:rsid w:val="03393105"/>
    <w:rsid w:val="037E30D1"/>
    <w:rsid w:val="03A70F25"/>
    <w:rsid w:val="03AC20C9"/>
    <w:rsid w:val="03FF434E"/>
    <w:rsid w:val="042E69E2"/>
    <w:rsid w:val="045533CC"/>
    <w:rsid w:val="04975000"/>
    <w:rsid w:val="04EA6DAD"/>
    <w:rsid w:val="05047743"/>
    <w:rsid w:val="055A55B4"/>
    <w:rsid w:val="056E4905"/>
    <w:rsid w:val="057332A8"/>
    <w:rsid w:val="05AE345A"/>
    <w:rsid w:val="064A5629"/>
    <w:rsid w:val="064F2C3F"/>
    <w:rsid w:val="069C665E"/>
    <w:rsid w:val="06A40784"/>
    <w:rsid w:val="06B238FA"/>
    <w:rsid w:val="06E15F8D"/>
    <w:rsid w:val="06E25862"/>
    <w:rsid w:val="070752C8"/>
    <w:rsid w:val="07846919"/>
    <w:rsid w:val="07862691"/>
    <w:rsid w:val="078A03D3"/>
    <w:rsid w:val="079C56BF"/>
    <w:rsid w:val="07D8162D"/>
    <w:rsid w:val="07DD49A7"/>
    <w:rsid w:val="07ED2710"/>
    <w:rsid w:val="07EE6482"/>
    <w:rsid w:val="07F67816"/>
    <w:rsid w:val="081303C8"/>
    <w:rsid w:val="081952B3"/>
    <w:rsid w:val="085A5FF7"/>
    <w:rsid w:val="090917CB"/>
    <w:rsid w:val="09420839"/>
    <w:rsid w:val="09616F12"/>
    <w:rsid w:val="09CC2259"/>
    <w:rsid w:val="09DE12E6"/>
    <w:rsid w:val="09EA6F07"/>
    <w:rsid w:val="0A9652E1"/>
    <w:rsid w:val="0AB94B2B"/>
    <w:rsid w:val="0AD11E75"/>
    <w:rsid w:val="0AE0030A"/>
    <w:rsid w:val="0AFB5144"/>
    <w:rsid w:val="0B7F3FC7"/>
    <w:rsid w:val="0BD51E39"/>
    <w:rsid w:val="0BD95485"/>
    <w:rsid w:val="0C3B1C9C"/>
    <w:rsid w:val="0C434FF4"/>
    <w:rsid w:val="0C450D6C"/>
    <w:rsid w:val="0C476893"/>
    <w:rsid w:val="0D1F5B01"/>
    <w:rsid w:val="0D8C6527"/>
    <w:rsid w:val="0D9E3B2D"/>
    <w:rsid w:val="0DAA56D6"/>
    <w:rsid w:val="0DAD6BC9"/>
    <w:rsid w:val="0DE16873"/>
    <w:rsid w:val="0E4C540B"/>
    <w:rsid w:val="0EA774F2"/>
    <w:rsid w:val="0EC248F6"/>
    <w:rsid w:val="0EE83C31"/>
    <w:rsid w:val="0F052A35"/>
    <w:rsid w:val="0F234C69"/>
    <w:rsid w:val="0F307AB2"/>
    <w:rsid w:val="0F6E2388"/>
    <w:rsid w:val="0FD50659"/>
    <w:rsid w:val="0FEF4DD2"/>
    <w:rsid w:val="102B7629"/>
    <w:rsid w:val="106877E7"/>
    <w:rsid w:val="106F1535"/>
    <w:rsid w:val="10A87B1C"/>
    <w:rsid w:val="10B464C1"/>
    <w:rsid w:val="10BB784F"/>
    <w:rsid w:val="10CD7582"/>
    <w:rsid w:val="1109680C"/>
    <w:rsid w:val="112371A2"/>
    <w:rsid w:val="116544B1"/>
    <w:rsid w:val="11691059"/>
    <w:rsid w:val="118E0AC0"/>
    <w:rsid w:val="119F2CCD"/>
    <w:rsid w:val="11A007F3"/>
    <w:rsid w:val="11DF131B"/>
    <w:rsid w:val="11E701D0"/>
    <w:rsid w:val="12280F14"/>
    <w:rsid w:val="12445768"/>
    <w:rsid w:val="129E11D6"/>
    <w:rsid w:val="12D1335A"/>
    <w:rsid w:val="12FD3C8D"/>
    <w:rsid w:val="130C25E4"/>
    <w:rsid w:val="132B5121"/>
    <w:rsid w:val="13540CE3"/>
    <w:rsid w:val="13DC1FB6"/>
    <w:rsid w:val="13EB3FA7"/>
    <w:rsid w:val="14530483"/>
    <w:rsid w:val="147F0B94"/>
    <w:rsid w:val="148461AA"/>
    <w:rsid w:val="149A777C"/>
    <w:rsid w:val="14AE0CDA"/>
    <w:rsid w:val="14BC5BE5"/>
    <w:rsid w:val="14E82BDD"/>
    <w:rsid w:val="14E84241"/>
    <w:rsid w:val="14FD2831"/>
    <w:rsid w:val="152139F9"/>
    <w:rsid w:val="15344EF4"/>
    <w:rsid w:val="1546345F"/>
    <w:rsid w:val="154C622F"/>
    <w:rsid w:val="15770AE8"/>
    <w:rsid w:val="161517B0"/>
    <w:rsid w:val="162D4D4B"/>
    <w:rsid w:val="168626AD"/>
    <w:rsid w:val="16C56D1D"/>
    <w:rsid w:val="171639BF"/>
    <w:rsid w:val="176302F9"/>
    <w:rsid w:val="17650515"/>
    <w:rsid w:val="17C84600"/>
    <w:rsid w:val="17E21B65"/>
    <w:rsid w:val="1807337A"/>
    <w:rsid w:val="18626802"/>
    <w:rsid w:val="18E84F59"/>
    <w:rsid w:val="18FC0A05"/>
    <w:rsid w:val="1957287E"/>
    <w:rsid w:val="19A846E9"/>
    <w:rsid w:val="19B65058"/>
    <w:rsid w:val="19E75211"/>
    <w:rsid w:val="1A1F2BFD"/>
    <w:rsid w:val="1A200723"/>
    <w:rsid w:val="1A5A3C35"/>
    <w:rsid w:val="1A7647E7"/>
    <w:rsid w:val="1A774C9C"/>
    <w:rsid w:val="1AE73242"/>
    <w:rsid w:val="1AE87493"/>
    <w:rsid w:val="1B701236"/>
    <w:rsid w:val="1BB6167F"/>
    <w:rsid w:val="1BC7354C"/>
    <w:rsid w:val="1C1468DE"/>
    <w:rsid w:val="1C3261F4"/>
    <w:rsid w:val="1C4865E5"/>
    <w:rsid w:val="1C4C57FF"/>
    <w:rsid w:val="1C69015F"/>
    <w:rsid w:val="1C8925AF"/>
    <w:rsid w:val="1C8B4B07"/>
    <w:rsid w:val="1C93342E"/>
    <w:rsid w:val="1CAC44F0"/>
    <w:rsid w:val="1CCC06EE"/>
    <w:rsid w:val="1CD048C1"/>
    <w:rsid w:val="1CD37CCF"/>
    <w:rsid w:val="1D0E0D07"/>
    <w:rsid w:val="1D350989"/>
    <w:rsid w:val="1D862F93"/>
    <w:rsid w:val="1D925B8A"/>
    <w:rsid w:val="1E0A3BC4"/>
    <w:rsid w:val="1E0F4D36"/>
    <w:rsid w:val="1E2A7DC2"/>
    <w:rsid w:val="1E2B7565"/>
    <w:rsid w:val="1E5135A1"/>
    <w:rsid w:val="1E537319"/>
    <w:rsid w:val="1E6828C2"/>
    <w:rsid w:val="1EA47B74"/>
    <w:rsid w:val="1EDA17E8"/>
    <w:rsid w:val="1F2D7B6A"/>
    <w:rsid w:val="1F460C2C"/>
    <w:rsid w:val="1F505606"/>
    <w:rsid w:val="1F7405B1"/>
    <w:rsid w:val="1FBF0FF0"/>
    <w:rsid w:val="202E28ED"/>
    <w:rsid w:val="20390790"/>
    <w:rsid w:val="203B62B7"/>
    <w:rsid w:val="209B4FA7"/>
    <w:rsid w:val="214E201A"/>
    <w:rsid w:val="215D5D90"/>
    <w:rsid w:val="21674E89"/>
    <w:rsid w:val="21785657"/>
    <w:rsid w:val="2181419D"/>
    <w:rsid w:val="219D08AB"/>
    <w:rsid w:val="21C916A0"/>
    <w:rsid w:val="220152DE"/>
    <w:rsid w:val="223B582C"/>
    <w:rsid w:val="225856E4"/>
    <w:rsid w:val="23272B22"/>
    <w:rsid w:val="232C638A"/>
    <w:rsid w:val="236723EA"/>
    <w:rsid w:val="23B02B18"/>
    <w:rsid w:val="23C216B3"/>
    <w:rsid w:val="240D1D18"/>
    <w:rsid w:val="24343749"/>
    <w:rsid w:val="2451716B"/>
    <w:rsid w:val="246868E6"/>
    <w:rsid w:val="24AA7567"/>
    <w:rsid w:val="24E000A4"/>
    <w:rsid w:val="25290DD3"/>
    <w:rsid w:val="252E63EA"/>
    <w:rsid w:val="253046F8"/>
    <w:rsid w:val="25421E95"/>
    <w:rsid w:val="258242A3"/>
    <w:rsid w:val="25893620"/>
    <w:rsid w:val="259358AB"/>
    <w:rsid w:val="25AD37B3"/>
    <w:rsid w:val="25CA6354"/>
    <w:rsid w:val="25E94F63"/>
    <w:rsid w:val="261A4BC0"/>
    <w:rsid w:val="26865DB2"/>
    <w:rsid w:val="268838D8"/>
    <w:rsid w:val="26A51B1F"/>
    <w:rsid w:val="26AA7CF2"/>
    <w:rsid w:val="26B446CD"/>
    <w:rsid w:val="26D60AE7"/>
    <w:rsid w:val="26ED5E31"/>
    <w:rsid w:val="26F47310"/>
    <w:rsid w:val="27337CE7"/>
    <w:rsid w:val="27483067"/>
    <w:rsid w:val="27677991"/>
    <w:rsid w:val="277246F6"/>
    <w:rsid w:val="27767BD4"/>
    <w:rsid w:val="27B5050A"/>
    <w:rsid w:val="27BF5BC8"/>
    <w:rsid w:val="28697739"/>
    <w:rsid w:val="286F5B1F"/>
    <w:rsid w:val="287700A8"/>
    <w:rsid w:val="28846321"/>
    <w:rsid w:val="288E0F4E"/>
    <w:rsid w:val="28A236DD"/>
    <w:rsid w:val="28DF032D"/>
    <w:rsid w:val="28FE60D3"/>
    <w:rsid w:val="29177195"/>
    <w:rsid w:val="295757E3"/>
    <w:rsid w:val="296323DA"/>
    <w:rsid w:val="29A70519"/>
    <w:rsid w:val="29A7676B"/>
    <w:rsid w:val="2A047719"/>
    <w:rsid w:val="2A1A0CEB"/>
    <w:rsid w:val="2A8645D2"/>
    <w:rsid w:val="2A8D3BB3"/>
    <w:rsid w:val="2A9F5694"/>
    <w:rsid w:val="2AA131BA"/>
    <w:rsid w:val="2ADC0696"/>
    <w:rsid w:val="2AEF03C9"/>
    <w:rsid w:val="2B5B780D"/>
    <w:rsid w:val="2BB94533"/>
    <w:rsid w:val="2BEA4DF9"/>
    <w:rsid w:val="2C212804"/>
    <w:rsid w:val="2C4604BD"/>
    <w:rsid w:val="2C666469"/>
    <w:rsid w:val="2C7A1F15"/>
    <w:rsid w:val="2C903500"/>
    <w:rsid w:val="2CBD0053"/>
    <w:rsid w:val="2CF0667B"/>
    <w:rsid w:val="2CF47F19"/>
    <w:rsid w:val="2CFE2B46"/>
    <w:rsid w:val="2D0F6B01"/>
    <w:rsid w:val="2D1E6D44"/>
    <w:rsid w:val="2D340315"/>
    <w:rsid w:val="2D656721"/>
    <w:rsid w:val="2D811081"/>
    <w:rsid w:val="2D987795"/>
    <w:rsid w:val="2D9E7E85"/>
    <w:rsid w:val="2DBF0527"/>
    <w:rsid w:val="2E112405"/>
    <w:rsid w:val="2E206AEC"/>
    <w:rsid w:val="2E864BA1"/>
    <w:rsid w:val="2EC93486"/>
    <w:rsid w:val="2F065CE2"/>
    <w:rsid w:val="2F236894"/>
    <w:rsid w:val="2F6E343A"/>
    <w:rsid w:val="2F837332"/>
    <w:rsid w:val="2FA33530"/>
    <w:rsid w:val="30281C88"/>
    <w:rsid w:val="30470360"/>
    <w:rsid w:val="30542A7D"/>
    <w:rsid w:val="30907F59"/>
    <w:rsid w:val="30CB71E3"/>
    <w:rsid w:val="30CE0A81"/>
    <w:rsid w:val="30E16A06"/>
    <w:rsid w:val="310426F5"/>
    <w:rsid w:val="31815AF3"/>
    <w:rsid w:val="31994BEB"/>
    <w:rsid w:val="31A517E2"/>
    <w:rsid w:val="31D04385"/>
    <w:rsid w:val="3268462F"/>
    <w:rsid w:val="32803FFD"/>
    <w:rsid w:val="328F34B6"/>
    <w:rsid w:val="32B011BC"/>
    <w:rsid w:val="32E4458C"/>
    <w:rsid w:val="330D3AE3"/>
    <w:rsid w:val="3310738B"/>
    <w:rsid w:val="332F1B24"/>
    <w:rsid w:val="334868C9"/>
    <w:rsid w:val="33955886"/>
    <w:rsid w:val="33A2238B"/>
    <w:rsid w:val="33A855B9"/>
    <w:rsid w:val="33DC1707"/>
    <w:rsid w:val="34750E92"/>
    <w:rsid w:val="348C0A37"/>
    <w:rsid w:val="34C93A39"/>
    <w:rsid w:val="34CE5636"/>
    <w:rsid w:val="34E83FCE"/>
    <w:rsid w:val="35170C48"/>
    <w:rsid w:val="351A50CE"/>
    <w:rsid w:val="3547648D"/>
    <w:rsid w:val="355E6877"/>
    <w:rsid w:val="356544C7"/>
    <w:rsid w:val="3586192A"/>
    <w:rsid w:val="35987B8D"/>
    <w:rsid w:val="359F0C3E"/>
    <w:rsid w:val="35A95619"/>
    <w:rsid w:val="35B46497"/>
    <w:rsid w:val="35DC154A"/>
    <w:rsid w:val="36280C33"/>
    <w:rsid w:val="36444420"/>
    <w:rsid w:val="364A6DFC"/>
    <w:rsid w:val="36763B54"/>
    <w:rsid w:val="36CA3A99"/>
    <w:rsid w:val="36EE59D9"/>
    <w:rsid w:val="37074CED"/>
    <w:rsid w:val="372C6501"/>
    <w:rsid w:val="37441A9D"/>
    <w:rsid w:val="3789228D"/>
    <w:rsid w:val="379C2703"/>
    <w:rsid w:val="37B409D1"/>
    <w:rsid w:val="37B95FE7"/>
    <w:rsid w:val="37FD732F"/>
    <w:rsid w:val="384653A1"/>
    <w:rsid w:val="386B4E07"/>
    <w:rsid w:val="388C36FB"/>
    <w:rsid w:val="38BE762D"/>
    <w:rsid w:val="38CD0F8C"/>
    <w:rsid w:val="38F372D7"/>
    <w:rsid w:val="390019F4"/>
    <w:rsid w:val="390908A8"/>
    <w:rsid w:val="391D25A6"/>
    <w:rsid w:val="39317DFF"/>
    <w:rsid w:val="39704576"/>
    <w:rsid w:val="3979525D"/>
    <w:rsid w:val="3986639D"/>
    <w:rsid w:val="39A24859"/>
    <w:rsid w:val="39D91E06"/>
    <w:rsid w:val="39E96DD6"/>
    <w:rsid w:val="3A276B75"/>
    <w:rsid w:val="3A5F274A"/>
    <w:rsid w:val="3AAF3477"/>
    <w:rsid w:val="3AB160D5"/>
    <w:rsid w:val="3ABE3914"/>
    <w:rsid w:val="3B1654FE"/>
    <w:rsid w:val="3B81506E"/>
    <w:rsid w:val="3B954675"/>
    <w:rsid w:val="3BDD7DCA"/>
    <w:rsid w:val="3C7F1558"/>
    <w:rsid w:val="3CA935B6"/>
    <w:rsid w:val="3CC72F54"/>
    <w:rsid w:val="3CCD6091"/>
    <w:rsid w:val="3D6E2D89"/>
    <w:rsid w:val="3D753879"/>
    <w:rsid w:val="3D7D2A20"/>
    <w:rsid w:val="3D9B1CEB"/>
    <w:rsid w:val="3DAE01F1"/>
    <w:rsid w:val="3DBE08A9"/>
    <w:rsid w:val="3DD31670"/>
    <w:rsid w:val="3DFD4754"/>
    <w:rsid w:val="3E241CE0"/>
    <w:rsid w:val="3E8B1D5F"/>
    <w:rsid w:val="3E9A0C6C"/>
    <w:rsid w:val="3EA11583"/>
    <w:rsid w:val="3EF0645B"/>
    <w:rsid w:val="3F4940F4"/>
    <w:rsid w:val="3F9115F7"/>
    <w:rsid w:val="3F9B4224"/>
    <w:rsid w:val="3FB026E8"/>
    <w:rsid w:val="3FB35A12"/>
    <w:rsid w:val="3FBB48C6"/>
    <w:rsid w:val="3FD339BE"/>
    <w:rsid w:val="3FEC4A80"/>
    <w:rsid w:val="40526FD9"/>
    <w:rsid w:val="41684B4C"/>
    <w:rsid w:val="416B0395"/>
    <w:rsid w:val="419F6289"/>
    <w:rsid w:val="41A35612"/>
    <w:rsid w:val="41F83BB0"/>
    <w:rsid w:val="41FD2F74"/>
    <w:rsid w:val="42010CB6"/>
    <w:rsid w:val="42A653BA"/>
    <w:rsid w:val="42EA799C"/>
    <w:rsid w:val="42F205FF"/>
    <w:rsid w:val="42FC3F0D"/>
    <w:rsid w:val="42FC4EA8"/>
    <w:rsid w:val="435B2648"/>
    <w:rsid w:val="43664B49"/>
    <w:rsid w:val="43FA7557"/>
    <w:rsid w:val="441B5933"/>
    <w:rsid w:val="453018B3"/>
    <w:rsid w:val="45603F46"/>
    <w:rsid w:val="45980BF0"/>
    <w:rsid w:val="45C049E4"/>
    <w:rsid w:val="45D71D2E"/>
    <w:rsid w:val="46040D75"/>
    <w:rsid w:val="460F14C8"/>
    <w:rsid w:val="46731A57"/>
    <w:rsid w:val="468C0D6B"/>
    <w:rsid w:val="468C2B19"/>
    <w:rsid w:val="46963997"/>
    <w:rsid w:val="46B3312C"/>
    <w:rsid w:val="46BC1650"/>
    <w:rsid w:val="46F04E55"/>
    <w:rsid w:val="47281E8B"/>
    <w:rsid w:val="472E3BD0"/>
    <w:rsid w:val="473E1408"/>
    <w:rsid w:val="47482EE3"/>
    <w:rsid w:val="47A367A5"/>
    <w:rsid w:val="47D6229D"/>
    <w:rsid w:val="47D91D8D"/>
    <w:rsid w:val="48055C08"/>
    <w:rsid w:val="485B27A2"/>
    <w:rsid w:val="48710218"/>
    <w:rsid w:val="487A21AE"/>
    <w:rsid w:val="49027FE8"/>
    <w:rsid w:val="49902920"/>
    <w:rsid w:val="49973CAE"/>
    <w:rsid w:val="49B52386"/>
    <w:rsid w:val="49CA74E0"/>
    <w:rsid w:val="49CD147E"/>
    <w:rsid w:val="49E369F5"/>
    <w:rsid w:val="49F70BF1"/>
    <w:rsid w:val="4A38723F"/>
    <w:rsid w:val="4A802994"/>
    <w:rsid w:val="4B056479"/>
    <w:rsid w:val="4B215F25"/>
    <w:rsid w:val="4B2D688D"/>
    <w:rsid w:val="4B594059"/>
    <w:rsid w:val="4B92297F"/>
    <w:rsid w:val="4B9C37FE"/>
    <w:rsid w:val="4BCA6B34"/>
    <w:rsid w:val="4C003045"/>
    <w:rsid w:val="4C26756B"/>
    <w:rsid w:val="4C770C39"/>
    <w:rsid w:val="4C8C608C"/>
    <w:rsid w:val="4D0104F9"/>
    <w:rsid w:val="4D0F047A"/>
    <w:rsid w:val="4D461C73"/>
    <w:rsid w:val="4D714816"/>
    <w:rsid w:val="4D9D385D"/>
    <w:rsid w:val="4DB424A5"/>
    <w:rsid w:val="4DBC7F1B"/>
    <w:rsid w:val="4DC1754C"/>
    <w:rsid w:val="4DEF5E83"/>
    <w:rsid w:val="4E61488B"/>
    <w:rsid w:val="4E676345"/>
    <w:rsid w:val="4E712D20"/>
    <w:rsid w:val="4E797E26"/>
    <w:rsid w:val="4E9E4ABB"/>
    <w:rsid w:val="4ECE0172"/>
    <w:rsid w:val="4F0516BA"/>
    <w:rsid w:val="4F1277F7"/>
    <w:rsid w:val="4F3B2EF4"/>
    <w:rsid w:val="4F563CC4"/>
    <w:rsid w:val="4F977F9F"/>
    <w:rsid w:val="4FB8672C"/>
    <w:rsid w:val="4FD322A6"/>
    <w:rsid w:val="4FD33566"/>
    <w:rsid w:val="4FE45692"/>
    <w:rsid w:val="503D071F"/>
    <w:rsid w:val="504852D5"/>
    <w:rsid w:val="504B30B2"/>
    <w:rsid w:val="504F52E3"/>
    <w:rsid w:val="50690566"/>
    <w:rsid w:val="50720FD1"/>
    <w:rsid w:val="50884351"/>
    <w:rsid w:val="509E1DC6"/>
    <w:rsid w:val="50AA42C7"/>
    <w:rsid w:val="50AD025B"/>
    <w:rsid w:val="50D60D7C"/>
    <w:rsid w:val="513F5357"/>
    <w:rsid w:val="5186459D"/>
    <w:rsid w:val="518F170F"/>
    <w:rsid w:val="51C75820"/>
    <w:rsid w:val="51D57A6A"/>
    <w:rsid w:val="51D84E64"/>
    <w:rsid w:val="52391DA6"/>
    <w:rsid w:val="525C5004"/>
    <w:rsid w:val="5290573F"/>
    <w:rsid w:val="52C5188C"/>
    <w:rsid w:val="52CF6267"/>
    <w:rsid w:val="52EE43DB"/>
    <w:rsid w:val="52FD2E8D"/>
    <w:rsid w:val="530E05BC"/>
    <w:rsid w:val="535A7887"/>
    <w:rsid w:val="5373753A"/>
    <w:rsid w:val="53BC2C8F"/>
    <w:rsid w:val="53BF4C42"/>
    <w:rsid w:val="53C34AA9"/>
    <w:rsid w:val="53CD66E0"/>
    <w:rsid w:val="53F57F4F"/>
    <w:rsid w:val="53FE4420"/>
    <w:rsid w:val="5486504B"/>
    <w:rsid w:val="54B971CF"/>
    <w:rsid w:val="54D2203E"/>
    <w:rsid w:val="55047725"/>
    <w:rsid w:val="550F5041"/>
    <w:rsid w:val="557773FB"/>
    <w:rsid w:val="55821CB6"/>
    <w:rsid w:val="55CB16B9"/>
    <w:rsid w:val="560B1CAC"/>
    <w:rsid w:val="563A60ED"/>
    <w:rsid w:val="563F54B2"/>
    <w:rsid w:val="565432B3"/>
    <w:rsid w:val="56576C9F"/>
    <w:rsid w:val="566B44F9"/>
    <w:rsid w:val="569A4DDE"/>
    <w:rsid w:val="56A54175"/>
    <w:rsid w:val="570858F2"/>
    <w:rsid w:val="570A3D11"/>
    <w:rsid w:val="57471324"/>
    <w:rsid w:val="575C2093"/>
    <w:rsid w:val="57AA2DFF"/>
    <w:rsid w:val="57C230D5"/>
    <w:rsid w:val="57DC0F5F"/>
    <w:rsid w:val="583B614D"/>
    <w:rsid w:val="585C67EF"/>
    <w:rsid w:val="586631C9"/>
    <w:rsid w:val="588C08D1"/>
    <w:rsid w:val="58A43CF2"/>
    <w:rsid w:val="58AB7E44"/>
    <w:rsid w:val="58B32187"/>
    <w:rsid w:val="58BE1257"/>
    <w:rsid w:val="592866D1"/>
    <w:rsid w:val="598C6238"/>
    <w:rsid w:val="59AC5554"/>
    <w:rsid w:val="59B9269D"/>
    <w:rsid w:val="59F023FC"/>
    <w:rsid w:val="59F91D02"/>
    <w:rsid w:val="5A094754"/>
    <w:rsid w:val="5A105AE3"/>
    <w:rsid w:val="5A180D4E"/>
    <w:rsid w:val="5A4E2167"/>
    <w:rsid w:val="5A7B6CD4"/>
    <w:rsid w:val="5AC8016B"/>
    <w:rsid w:val="5AF01470"/>
    <w:rsid w:val="5B025E57"/>
    <w:rsid w:val="5B231846"/>
    <w:rsid w:val="5B435A44"/>
    <w:rsid w:val="5B7A6F8C"/>
    <w:rsid w:val="5B7C2D04"/>
    <w:rsid w:val="5B8F3C7E"/>
    <w:rsid w:val="5BAD55B3"/>
    <w:rsid w:val="5BDB7A2A"/>
    <w:rsid w:val="5BE63730"/>
    <w:rsid w:val="5C5251DF"/>
    <w:rsid w:val="5C534E4A"/>
    <w:rsid w:val="5C902F0B"/>
    <w:rsid w:val="5CB62246"/>
    <w:rsid w:val="5CD03307"/>
    <w:rsid w:val="5CE9261B"/>
    <w:rsid w:val="5D0D6309"/>
    <w:rsid w:val="5D66733F"/>
    <w:rsid w:val="5DAB78D0"/>
    <w:rsid w:val="5DBB5D65"/>
    <w:rsid w:val="5DCF1811"/>
    <w:rsid w:val="5DDE7CA6"/>
    <w:rsid w:val="5DFE04B3"/>
    <w:rsid w:val="5E09755D"/>
    <w:rsid w:val="5E203E1A"/>
    <w:rsid w:val="5E671A49"/>
    <w:rsid w:val="5EA22A81"/>
    <w:rsid w:val="5F335DCF"/>
    <w:rsid w:val="5F4D50E3"/>
    <w:rsid w:val="5FC30F01"/>
    <w:rsid w:val="5FC66C44"/>
    <w:rsid w:val="5FCB425A"/>
    <w:rsid w:val="5FE536D5"/>
    <w:rsid w:val="60327E35"/>
    <w:rsid w:val="606A3A73"/>
    <w:rsid w:val="60BB42CE"/>
    <w:rsid w:val="60EC092C"/>
    <w:rsid w:val="612C6F7A"/>
    <w:rsid w:val="614F3918"/>
    <w:rsid w:val="61515E49"/>
    <w:rsid w:val="616E30EF"/>
    <w:rsid w:val="61880654"/>
    <w:rsid w:val="61E635CD"/>
    <w:rsid w:val="61EB473F"/>
    <w:rsid w:val="6232470C"/>
    <w:rsid w:val="624327CD"/>
    <w:rsid w:val="62EA2C49"/>
    <w:rsid w:val="634C56B2"/>
    <w:rsid w:val="636E49DC"/>
    <w:rsid w:val="63957059"/>
    <w:rsid w:val="64177A6E"/>
    <w:rsid w:val="642018F9"/>
    <w:rsid w:val="64596B4E"/>
    <w:rsid w:val="648F5856"/>
    <w:rsid w:val="64D4770D"/>
    <w:rsid w:val="64DD4813"/>
    <w:rsid w:val="64E75692"/>
    <w:rsid w:val="654E5711"/>
    <w:rsid w:val="65962C14"/>
    <w:rsid w:val="65B23EF2"/>
    <w:rsid w:val="65EE47FE"/>
    <w:rsid w:val="65F06D2C"/>
    <w:rsid w:val="6609788A"/>
    <w:rsid w:val="661A55F3"/>
    <w:rsid w:val="661B7F24"/>
    <w:rsid w:val="665723A3"/>
    <w:rsid w:val="666F3B91"/>
    <w:rsid w:val="66A60C9C"/>
    <w:rsid w:val="66BB2590"/>
    <w:rsid w:val="66C54162"/>
    <w:rsid w:val="66E203D8"/>
    <w:rsid w:val="671B7922"/>
    <w:rsid w:val="67577EB7"/>
    <w:rsid w:val="677F153E"/>
    <w:rsid w:val="68091DC3"/>
    <w:rsid w:val="68262975"/>
    <w:rsid w:val="68396BCD"/>
    <w:rsid w:val="684B23DC"/>
    <w:rsid w:val="689C6793"/>
    <w:rsid w:val="68BE670A"/>
    <w:rsid w:val="68BF2482"/>
    <w:rsid w:val="690946BA"/>
    <w:rsid w:val="699F7D3A"/>
    <w:rsid w:val="69AA3132"/>
    <w:rsid w:val="69DD52B6"/>
    <w:rsid w:val="6A170931"/>
    <w:rsid w:val="6A617C95"/>
    <w:rsid w:val="6AA81420"/>
    <w:rsid w:val="6AB623DF"/>
    <w:rsid w:val="6ACE4BFE"/>
    <w:rsid w:val="6AD40467"/>
    <w:rsid w:val="6AE04B74"/>
    <w:rsid w:val="6AF01C56"/>
    <w:rsid w:val="6B2B3DFF"/>
    <w:rsid w:val="6B451364"/>
    <w:rsid w:val="6B4D0219"/>
    <w:rsid w:val="6B6C069F"/>
    <w:rsid w:val="6BAE0CB8"/>
    <w:rsid w:val="6BAF4A30"/>
    <w:rsid w:val="6BD61FBC"/>
    <w:rsid w:val="6C501D6F"/>
    <w:rsid w:val="6C6D0B73"/>
    <w:rsid w:val="6C710B23"/>
    <w:rsid w:val="6CAB51F7"/>
    <w:rsid w:val="6CBD4F2A"/>
    <w:rsid w:val="6CBF0CA2"/>
    <w:rsid w:val="6CC462B9"/>
    <w:rsid w:val="6D38471B"/>
    <w:rsid w:val="6D4573FA"/>
    <w:rsid w:val="6D837F22"/>
    <w:rsid w:val="6DB8307B"/>
    <w:rsid w:val="6DC76061"/>
    <w:rsid w:val="6DD54C21"/>
    <w:rsid w:val="6E1E4550"/>
    <w:rsid w:val="6E1F5E9D"/>
    <w:rsid w:val="6E2C05BA"/>
    <w:rsid w:val="6E3336F6"/>
    <w:rsid w:val="6E557B10"/>
    <w:rsid w:val="6E5F1847"/>
    <w:rsid w:val="6EA14120"/>
    <w:rsid w:val="6F0357BE"/>
    <w:rsid w:val="6F0626E6"/>
    <w:rsid w:val="6F443096"/>
    <w:rsid w:val="6F5778B8"/>
    <w:rsid w:val="6F926B42"/>
    <w:rsid w:val="6F93401E"/>
    <w:rsid w:val="6FA83C70"/>
    <w:rsid w:val="702E23C7"/>
    <w:rsid w:val="704020FA"/>
    <w:rsid w:val="70B2124A"/>
    <w:rsid w:val="70D21129"/>
    <w:rsid w:val="70DD5B9B"/>
    <w:rsid w:val="70E51287"/>
    <w:rsid w:val="70FD7FEB"/>
    <w:rsid w:val="71184E25"/>
    <w:rsid w:val="71C64881"/>
    <w:rsid w:val="721929A1"/>
    <w:rsid w:val="72275320"/>
    <w:rsid w:val="72693B8A"/>
    <w:rsid w:val="72A72905"/>
    <w:rsid w:val="72D1172F"/>
    <w:rsid w:val="72D37256"/>
    <w:rsid w:val="72F571CC"/>
    <w:rsid w:val="739C7F8F"/>
    <w:rsid w:val="74185868"/>
    <w:rsid w:val="74406B6D"/>
    <w:rsid w:val="74BD640F"/>
    <w:rsid w:val="74BE7A92"/>
    <w:rsid w:val="74FF07D6"/>
    <w:rsid w:val="74FF4332"/>
    <w:rsid w:val="750202C6"/>
    <w:rsid w:val="75287D2D"/>
    <w:rsid w:val="75363ACC"/>
    <w:rsid w:val="75530B22"/>
    <w:rsid w:val="759E1D9D"/>
    <w:rsid w:val="75F05AFC"/>
    <w:rsid w:val="75F7317D"/>
    <w:rsid w:val="76625752"/>
    <w:rsid w:val="76BB072D"/>
    <w:rsid w:val="76D75FBA"/>
    <w:rsid w:val="76F87D58"/>
    <w:rsid w:val="771A0A72"/>
    <w:rsid w:val="777110D9"/>
    <w:rsid w:val="777F7CC7"/>
    <w:rsid w:val="77CF26E1"/>
    <w:rsid w:val="77D53B2E"/>
    <w:rsid w:val="77ED2B68"/>
    <w:rsid w:val="78414C61"/>
    <w:rsid w:val="785B5D23"/>
    <w:rsid w:val="78DE7519"/>
    <w:rsid w:val="791553F6"/>
    <w:rsid w:val="79334EF2"/>
    <w:rsid w:val="7947274B"/>
    <w:rsid w:val="796B468C"/>
    <w:rsid w:val="797B41A3"/>
    <w:rsid w:val="799B1910"/>
    <w:rsid w:val="79BF0534"/>
    <w:rsid w:val="7A230AC3"/>
    <w:rsid w:val="7A373298"/>
    <w:rsid w:val="7A41363F"/>
    <w:rsid w:val="7A456C8B"/>
    <w:rsid w:val="7A542AC5"/>
    <w:rsid w:val="7A97325F"/>
    <w:rsid w:val="7A9C6DC1"/>
    <w:rsid w:val="7AC2652D"/>
    <w:rsid w:val="7AC31DEF"/>
    <w:rsid w:val="7AFC1B2D"/>
    <w:rsid w:val="7B160627"/>
    <w:rsid w:val="7B4E1B6F"/>
    <w:rsid w:val="7B4E58F5"/>
    <w:rsid w:val="7B5628D6"/>
    <w:rsid w:val="7BB816DF"/>
    <w:rsid w:val="7BF30969"/>
    <w:rsid w:val="7C025669"/>
    <w:rsid w:val="7C331A1A"/>
    <w:rsid w:val="7C374CF9"/>
    <w:rsid w:val="7C3C6BAC"/>
    <w:rsid w:val="7C4C02E1"/>
    <w:rsid w:val="7C4D101A"/>
    <w:rsid w:val="7C7D2A53"/>
    <w:rsid w:val="7CAA7279"/>
    <w:rsid w:val="7CAD17BD"/>
    <w:rsid w:val="7CDB0441"/>
    <w:rsid w:val="7CE0713F"/>
    <w:rsid w:val="7D4D5E56"/>
    <w:rsid w:val="7D6F401F"/>
    <w:rsid w:val="7D747887"/>
    <w:rsid w:val="7D7635FF"/>
    <w:rsid w:val="7D7D3DAB"/>
    <w:rsid w:val="7DD00F61"/>
    <w:rsid w:val="7E040C0B"/>
    <w:rsid w:val="7E0714B7"/>
    <w:rsid w:val="7E501EBB"/>
    <w:rsid w:val="7E553215"/>
    <w:rsid w:val="7EE534A5"/>
    <w:rsid w:val="7F3379FA"/>
    <w:rsid w:val="7F385010"/>
    <w:rsid w:val="7F3B240A"/>
    <w:rsid w:val="7F5636E8"/>
    <w:rsid w:val="7F98785D"/>
    <w:rsid w:val="7F9B153D"/>
    <w:rsid w:val="7FA21106"/>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32"/>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3"/>
    <w:next w:val="1"/>
    <w:autoRedefine/>
    <w:qFormat/>
    <w:uiPriority w:val="0"/>
    <w:pPr>
      <w:keepNext/>
      <w:keepLines/>
      <w:spacing w:before="260" w:after="260" w:line="413" w:lineRule="auto"/>
      <w:outlineLvl w:val="2"/>
    </w:pPr>
    <w:rPr>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annotation text"/>
    <w:basedOn w:val="1"/>
    <w:qFormat/>
    <w:uiPriority w:val="0"/>
    <w:pPr>
      <w:jc w:val="left"/>
    </w:pPr>
  </w:style>
  <w:style w:type="paragraph" w:styleId="7">
    <w:name w:val="Body Text"/>
    <w:basedOn w:val="1"/>
    <w:next w:val="1"/>
    <w:autoRedefine/>
    <w:qFormat/>
    <w:uiPriority w:val="0"/>
    <w:rPr>
      <w:rFonts w:ascii="仿宋_GB2312" w:eastAsia="仿宋_GB2312"/>
      <w:sz w:val="32"/>
    </w:rPr>
  </w:style>
  <w:style w:type="paragraph" w:styleId="8">
    <w:name w:val="Body Text Indent"/>
    <w:basedOn w:val="1"/>
    <w:autoRedefine/>
    <w:qFormat/>
    <w:uiPriority w:val="0"/>
    <w:pPr>
      <w:spacing w:line="700" w:lineRule="exact"/>
      <w:ind w:left="960"/>
    </w:pPr>
    <w:rPr>
      <w:sz w:val="44"/>
    </w:rPr>
  </w:style>
  <w:style w:type="paragraph" w:styleId="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0">
    <w:name w:val="toc 3"/>
    <w:basedOn w:val="1"/>
    <w:next w:val="1"/>
    <w:qFormat/>
    <w:uiPriority w:val="0"/>
    <w:pPr>
      <w:ind w:left="840" w:leftChars="400"/>
    </w:pPr>
  </w:style>
  <w:style w:type="paragraph" w:styleId="11">
    <w:name w:val="Date"/>
    <w:basedOn w:val="1"/>
    <w:next w:val="1"/>
    <w:autoRedefine/>
    <w:qFormat/>
    <w:uiPriority w:val="0"/>
  </w:style>
  <w:style w:type="paragraph" w:styleId="12">
    <w:name w:val="Body Text Indent 2"/>
    <w:basedOn w:val="1"/>
    <w:autoRedefine/>
    <w:qFormat/>
    <w:uiPriority w:val="0"/>
    <w:pPr>
      <w:snapToGrid w:val="0"/>
      <w:spacing w:line="560" w:lineRule="atLeast"/>
      <w:ind w:firstLine="540"/>
    </w:pPr>
  </w:style>
  <w:style w:type="paragraph" w:styleId="13">
    <w:name w:val="footer"/>
    <w:basedOn w:val="1"/>
    <w:link w:val="34"/>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bottom w:val="none" w:color="auto" w:sz="0" w:space="1"/>
      </w:pBdr>
      <w:tabs>
        <w:tab w:val="center" w:pos="4153"/>
        <w:tab w:val="right" w:pos="8306"/>
      </w:tabs>
      <w:snapToGrid w:val="0"/>
      <w:ind w:firstLine="420"/>
      <w:jc w:val="center"/>
    </w:pPr>
    <w:rPr>
      <w:sz w:val="18"/>
    </w:rPr>
  </w:style>
  <w:style w:type="paragraph" w:styleId="15">
    <w:name w:val="toc 1"/>
    <w:basedOn w:val="1"/>
    <w:next w:val="1"/>
    <w:autoRedefine/>
    <w:qFormat/>
    <w:uiPriority w:val="39"/>
    <w:pPr>
      <w:spacing w:line="180" w:lineRule="auto"/>
      <w:jc w:val="center"/>
    </w:pPr>
    <w:rPr>
      <w:sz w:val="30"/>
    </w:rPr>
  </w:style>
  <w:style w:type="paragraph" w:styleId="16">
    <w:name w:val="List"/>
    <w:basedOn w:val="1"/>
    <w:autoRedefine/>
    <w:semiHidden/>
    <w:qFormat/>
    <w:uiPriority w:val="0"/>
    <w:pPr>
      <w:ind w:left="200" w:hanging="200" w:hangingChars="200"/>
    </w:pPr>
  </w:style>
  <w:style w:type="paragraph" w:styleId="17">
    <w:name w:val="toc 2"/>
    <w:basedOn w:val="1"/>
    <w:next w:val="1"/>
    <w:qFormat/>
    <w:uiPriority w:val="39"/>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w:basedOn w:val="7"/>
    <w:qFormat/>
    <w:uiPriority w:val="0"/>
    <w:pPr>
      <w:widowControl w:val="0"/>
      <w:spacing w:line="360" w:lineRule="auto"/>
      <w:ind w:firstLine="420"/>
    </w:pPr>
    <w:rPr>
      <w:sz w:val="24"/>
      <w:szCs w:val="24"/>
      <w:lang w:eastAsia="zh-CN"/>
    </w:rPr>
  </w:style>
  <w:style w:type="character" w:styleId="22">
    <w:name w:val="page number"/>
    <w:basedOn w:val="21"/>
    <w:autoRedefine/>
    <w:qFormat/>
    <w:uiPriority w:val="0"/>
  </w:style>
  <w:style w:type="character" w:styleId="23">
    <w:name w:val="Hyperlink"/>
    <w:basedOn w:val="21"/>
    <w:autoRedefine/>
    <w:qFormat/>
    <w:uiPriority w:val="99"/>
    <w:rPr>
      <w:color w:val="0000FF"/>
      <w:u w:val="single"/>
    </w:rPr>
  </w:style>
  <w:style w:type="paragraph" w:customStyle="1" w:styleId="24">
    <w:name w:val="索引 51"/>
    <w:basedOn w:val="1"/>
    <w:next w:val="1"/>
    <w:qFormat/>
    <w:uiPriority w:val="0"/>
    <w:pPr>
      <w:ind w:left="1680"/>
    </w:pPr>
  </w:style>
  <w:style w:type="paragraph" w:customStyle="1" w:styleId="2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
    <w:name w:val="图例"/>
    <w:basedOn w:val="1"/>
    <w:autoRedefine/>
    <w:qFormat/>
    <w:uiPriority w:val="0"/>
    <w:pPr>
      <w:spacing w:before="120" w:after="120" w:line="360" w:lineRule="auto"/>
      <w:jc w:val="center"/>
    </w:pPr>
    <w:rPr>
      <w:rFonts w:eastAsia="仿宋_GB2312"/>
      <w:b/>
      <w:sz w:val="24"/>
    </w:rPr>
  </w:style>
  <w:style w:type="paragraph" w:customStyle="1" w:styleId="27">
    <w:name w:val="电建正文"/>
    <w:basedOn w:val="28"/>
    <w:autoRedefine/>
    <w:qFormat/>
    <w:uiPriority w:val="0"/>
    <w:pPr>
      <w:tabs>
        <w:tab w:val="left" w:pos="720"/>
      </w:tabs>
      <w:ind w:firstLine="480" w:firstLineChars="200"/>
    </w:pPr>
    <w:rPr>
      <w:rFonts w:ascii="方正仿宋_GBK" w:hAnsi="方正仿宋_GBK" w:eastAsia="方正仿宋_GBK" w:cs="方正仿宋_GBK"/>
      <w:sz w:val="24"/>
      <w:szCs w:val="28"/>
    </w:rPr>
  </w:style>
  <w:style w:type="paragraph" w:customStyle="1" w:styleId="28">
    <w:name w:val="List First"/>
    <w:basedOn w:val="16"/>
    <w:next w:val="16"/>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2">
    <w:name w:val="标题 2 字符"/>
    <w:link w:val="3"/>
    <w:qFormat/>
    <w:uiPriority w:val="0"/>
    <w:rPr>
      <w:rFonts w:ascii="Arial" w:hAnsi="Arial" w:eastAsia="黑体"/>
      <w:b/>
      <w:kern w:val="2"/>
      <w:sz w:val="32"/>
    </w:rPr>
  </w:style>
  <w:style w:type="character" w:customStyle="1" w:styleId="33">
    <w:name w:val="Unresolved Mention"/>
    <w:basedOn w:val="21"/>
    <w:semiHidden/>
    <w:unhideWhenUsed/>
    <w:qFormat/>
    <w:uiPriority w:val="99"/>
    <w:rPr>
      <w:color w:val="605E5C"/>
      <w:shd w:val="clear" w:color="auto" w:fill="E1DFDD"/>
    </w:rPr>
  </w:style>
  <w:style w:type="character" w:customStyle="1" w:styleId="34">
    <w:name w:val="页脚 字符"/>
    <w:link w:val="13"/>
    <w:qFormat/>
    <w:uiPriority w:val="99"/>
    <w:rPr>
      <w:kern w:val="2"/>
      <w:sz w:val="18"/>
    </w:rPr>
  </w:style>
  <w:style w:type="character" w:customStyle="1" w:styleId="35">
    <w:name w:val="页眉或页脚 (2)_"/>
    <w:basedOn w:val="21"/>
    <w:link w:val="36"/>
    <w:qFormat/>
    <w:uiPriority w:val="0"/>
    <w:rPr>
      <w:rFonts w:eastAsia="Times New Roman"/>
      <w:shd w:val="clear" w:color="auto" w:fill="FFFFFF"/>
      <w:lang w:val="zh-CN" w:bidi="zh-CN"/>
    </w:rPr>
  </w:style>
  <w:style w:type="paragraph" w:customStyle="1" w:styleId="36">
    <w:name w:val="页眉或页脚 (2)"/>
    <w:basedOn w:val="1"/>
    <w:link w:val="35"/>
    <w:qFormat/>
    <w:uiPriority w:val="0"/>
    <w:pPr>
      <w:shd w:val="clear" w:color="auto" w:fill="FFFFFF"/>
      <w:jc w:val="left"/>
    </w:pPr>
    <w:rPr>
      <w:rFonts w:eastAsia="Times New Roman"/>
      <w:kern w:val="0"/>
      <w:sz w:val="20"/>
      <w:lang w:val="zh-CN" w:bidi="zh-CN"/>
    </w:rPr>
  </w:style>
  <w:style w:type="character" w:customStyle="1" w:styleId="37">
    <w:name w:val="正文文本_"/>
    <w:basedOn w:val="21"/>
    <w:link w:val="38"/>
    <w:qFormat/>
    <w:uiPriority w:val="0"/>
    <w:rPr>
      <w:rFonts w:ascii="MingLiU" w:hAnsi="MingLiU" w:eastAsia="MingLiU" w:cs="MingLiU"/>
      <w:sz w:val="22"/>
      <w:szCs w:val="22"/>
      <w:shd w:val="clear" w:color="auto" w:fill="FFFFFF"/>
      <w:lang w:val="zh-CN" w:bidi="zh-CN"/>
    </w:rPr>
  </w:style>
  <w:style w:type="paragraph" w:customStyle="1" w:styleId="38">
    <w:name w:val="正文文本1"/>
    <w:basedOn w:val="1"/>
    <w:link w:val="37"/>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character" w:customStyle="1" w:styleId="39">
    <w:name w:val="标题 #1_"/>
    <w:basedOn w:val="21"/>
    <w:link w:val="40"/>
    <w:qFormat/>
    <w:uiPriority w:val="0"/>
    <w:rPr>
      <w:rFonts w:ascii="MingLiU" w:hAnsi="MingLiU" w:eastAsia="MingLiU" w:cs="MingLiU"/>
      <w:sz w:val="28"/>
      <w:szCs w:val="28"/>
      <w:shd w:val="clear" w:color="auto" w:fill="FFFFFF"/>
      <w:lang w:val="zh-CN" w:bidi="zh-CN"/>
    </w:rPr>
  </w:style>
  <w:style w:type="paragraph" w:customStyle="1" w:styleId="40">
    <w:name w:val="标题 #1"/>
    <w:basedOn w:val="1"/>
    <w:link w:val="39"/>
    <w:qFormat/>
    <w:uiPriority w:val="0"/>
    <w:pPr>
      <w:shd w:val="clear" w:color="auto" w:fill="FFFFFF"/>
      <w:spacing w:after="200"/>
      <w:jc w:val="center"/>
      <w:outlineLvl w:val="0"/>
    </w:pPr>
    <w:rPr>
      <w:rFonts w:ascii="MingLiU" w:hAnsi="MingLiU" w:eastAsia="MingLiU" w:cs="MingLiU"/>
      <w:kern w:val="0"/>
      <w:szCs w:val="28"/>
      <w:lang w:val="zh-CN" w:bidi="zh-CN"/>
    </w:rPr>
  </w:style>
  <w:style w:type="character" w:customStyle="1" w:styleId="41">
    <w:name w:val="正文文本 (2)_"/>
    <w:basedOn w:val="21"/>
    <w:link w:val="42"/>
    <w:qFormat/>
    <w:uiPriority w:val="0"/>
    <w:rPr>
      <w:rFonts w:ascii="Gulim" w:hAnsi="Gulim" w:eastAsia="Gulim" w:cs="Gulim"/>
      <w:shd w:val="clear" w:color="auto" w:fill="FFFFFF"/>
      <w:lang w:val="zh-CN" w:bidi="zh-CN"/>
    </w:rPr>
  </w:style>
  <w:style w:type="paragraph" w:customStyle="1" w:styleId="42">
    <w:name w:val="正文文本 (2)"/>
    <w:basedOn w:val="1"/>
    <w:link w:val="41"/>
    <w:qFormat/>
    <w:uiPriority w:val="0"/>
    <w:pPr>
      <w:shd w:val="clear" w:color="auto" w:fill="FFFFFF"/>
      <w:spacing w:after="180"/>
      <w:ind w:firstLine="220"/>
      <w:jc w:val="left"/>
    </w:pPr>
    <w:rPr>
      <w:rFonts w:ascii="Gulim" w:hAnsi="Gulim" w:eastAsia="Gulim" w:cs="Gulim"/>
      <w:kern w:val="0"/>
      <w:sz w:val="20"/>
      <w:lang w:val="zh-CN" w:bidi="zh-CN"/>
    </w:rPr>
  </w:style>
  <w:style w:type="character" w:customStyle="1" w:styleId="43">
    <w:name w:val="其他_"/>
    <w:basedOn w:val="21"/>
    <w:link w:val="44"/>
    <w:qFormat/>
    <w:uiPriority w:val="0"/>
    <w:rPr>
      <w:rFonts w:ascii="MingLiU" w:hAnsi="MingLiU" w:eastAsia="MingLiU" w:cs="MingLiU"/>
      <w:sz w:val="22"/>
      <w:szCs w:val="22"/>
      <w:shd w:val="clear" w:color="auto" w:fill="FFFFFF"/>
      <w:lang w:val="zh-CN" w:bidi="zh-CN"/>
    </w:rPr>
  </w:style>
  <w:style w:type="paragraph" w:customStyle="1" w:styleId="44">
    <w:name w:val="其他"/>
    <w:basedOn w:val="1"/>
    <w:link w:val="43"/>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paragraph" w:styleId="45">
    <w:name w:val="List Paragraph"/>
    <w:basedOn w:val="1"/>
    <w:qFormat/>
    <w:uiPriority w:val="99"/>
    <w:pPr>
      <w:ind w:firstLine="420" w:firstLineChars="200"/>
    </w:pPr>
  </w:style>
  <w:style w:type="paragraph" w:customStyle="1" w:styleId="46">
    <w:name w:val="DTZ normal"/>
    <w:basedOn w:val="1"/>
    <w:qFormat/>
    <w:uiPriority w:val="0"/>
    <w:pPr>
      <w:widowControl/>
      <w:spacing w:after="260" w:line="260" w:lineRule="exact"/>
      <w:jc w:val="left"/>
    </w:pPr>
    <w:rPr>
      <w:rFonts w:ascii="Arial" w:hAnsi="Arial"/>
      <w:kern w:val="0"/>
      <w:sz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6937</Words>
  <Characters>7257</Characters>
  <Lines>143</Lines>
  <Paragraphs>40</Paragraphs>
  <TotalTime>4</TotalTime>
  <ScaleCrop>false</ScaleCrop>
  <LinksUpToDate>false</LinksUpToDate>
  <CharactersWithSpaces>7413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2025-01-22T07:58:00Z</dcterms:created>
  <dc:creator>Administrator</dc:creator>
  <cp:lastModifiedBy>叶飞舞</cp:lastModifiedBy>
  <cp:lastPrinted>2024-11-21T08:25:00Z</cp:lastPrinted>
  <dcterms:modified xsi:type="dcterms:W3CDTF">2025-06-03T06:51:36Z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881613C7BDB64341844D6B594E0BBFAB_13</vt:lpwstr>
  </property>
  <property fmtid="{D5CDD505-2E9C-101B-9397-08002B2CF9AE}" pid="4" name="KSOTemplateDocerSaveRecord">
    <vt:lpwstr>eyJoZGlkIjoiMTA3ZDY3YzY2ZWQ4ZGM2MWRhY2M5ODkwNGFkZWU0NTciLCJ1c2VySWQiOiIzOTY5MDA3OTEifQ==</vt:lpwstr>
  </property>
</Properties>
</file>