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E5B3">
      <w:pPr>
        <w:keepNext/>
        <w:keepLines/>
        <w:widowControl w:val="0"/>
        <w:spacing w:before="0" w:beforeLines="0" w:beforeAutospacing="0" w:after="0" w:afterLines="0" w:afterAutospacing="0" w:line="360" w:lineRule="auto"/>
        <w:jc w:val="center"/>
        <w:outlineLvl w:val="1"/>
        <w:rPr>
          <w:rFonts w:hint="eastAsia" w:ascii="方正小标宋_GBK" w:hAnsi="Arial" w:eastAsia="方正小标宋_GBK" w:cs="Times New Roman"/>
          <w:b w:val="0"/>
          <w:color w:val="auto"/>
          <w:kern w:val="2"/>
          <w:sz w:val="36"/>
          <w:szCs w:val="30"/>
          <w:highlight w:val="none"/>
          <w:lang w:val="en-US" w:eastAsia="zh-CN" w:bidi="ar-SA"/>
        </w:rPr>
      </w:pPr>
      <w:r>
        <w:rPr>
          <w:rFonts w:hint="eastAsia" w:ascii="方正小标宋_GBK" w:hAnsi="Arial" w:eastAsia="方正小标宋_GBK" w:cs="Arial"/>
          <w:b w:val="0"/>
          <w:color w:val="auto"/>
          <w:kern w:val="2"/>
          <w:sz w:val="36"/>
          <w:highlight w:val="none"/>
          <w:lang w:val="en-US" w:eastAsia="zh-CN" w:bidi="ar-SA"/>
        </w:rPr>
        <w:t>询价采购邀请书</w:t>
      </w:r>
    </w:p>
    <w:p w14:paraId="634ED186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重庆市工程管理有限公司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（以下简称：采购代理机构）接受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（以下简称：采购人）的委托，对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日常办公用品采购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项目进行询价采购。欢迎有资格的供应商前来参加报价。</w:t>
      </w:r>
    </w:p>
    <w:p w14:paraId="37E27FBA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0" w:name="_Toc317775175"/>
      <w:bookmarkStart w:id="1" w:name="_Toc26091"/>
      <w:bookmarkStart w:id="2" w:name="_Toc65660330"/>
      <w:bookmarkStart w:id="3" w:name="_Toc2087"/>
      <w:bookmarkStart w:id="4" w:name="_Toc18246"/>
      <w:bookmarkStart w:id="5" w:name="_Toc313893526"/>
      <w:bookmarkStart w:id="6" w:name="_Toc7758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一、询价内容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2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1875"/>
        <w:gridCol w:w="1470"/>
        <w:gridCol w:w="2251"/>
      </w:tblGrid>
      <w:tr w14:paraId="654B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85E4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包号及名称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48A9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最高限价（元）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FD2A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保证金（元）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B936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成交供应商数量（名）</w:t>
            </w:r>
          </w:p>
        </w:tc>
      </w:tr>
      <w:tr w14:paraId="0D5C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6F16"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</w:pPr>
            <w:bookmarkStart w:id="7" w:name="_Hlk344477914"/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  <w:t>包1：重庆市第五中级人民法院日常办公用品采购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7C19">
            <w:pPr>
              <w:jc w:val="center"/>
              <w:rPr>
                <w:rFonts w:hint="default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167094.16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0658">
            <w:pPr>
              <w:jc w:val="center"/>
              <w:rPr>
                <w:rFonts w:hint="default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099F">
            <w:pPr>
              <w:jc w:val="center"/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bookmarkEnd w:id="7"/>
    </w:tbl>
    <w:p w14:paraId="5E144304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8" w:name="_Toc13635"/>
      <w:bookmarkStart w:id="9" w:name="_Toc27028"/>
      <w:bookmarkStart w:id="10" w:name="_Toc3256"/>
      <w:bookmarkStart w:id="11" w:name="_Toc4424"/>
      <w:bookmarkStart w:id="12" w:name="_Toc65660331"/>
      <w:bookmarkStart w:id="13" w:name="_Toc373860293"/>
      <w:bookmarkStart w:id="14" w:name="_Toc317775178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二、资金来源</w:t>
      </w:r>
      <w:bookmarkEnd w:id="8"/>
      <w:bookmarkEnd w:id="9"/>
      <w:bookmarkEnd w:id="10"/>
      <w:bookmarkEnd w:id="11"/>
      <w:bookmarkEnd w:id="12"/>
    </w:p>
    <w:p w14:paraId="25043589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财政预算资金，采购预算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167094.16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元。</w:t>
      </w:r>
    </w:p>
    <w:p w14:paraId="475BA8FA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15" w:name="_Toc65660332"/>
      <w:bookmarkStart w:id="16" w:name="_Toc13541"/>
      <w:bookmarkStart w:id="17" w:name="_Toc65"/>
      <w:bookmarkStart w:id="18" w:name="_Toc64731996"/>
      <w:bookmarkStart w:id="19" w:name="_Toc18548"/>
      <w:bookmarkStart w:id="20" w:name="_Toc20867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三、供应商资格条件</w:t>
      </w:r>
      <w:bookmarkEnd w:id="15"/>
      <w:bookmarkEnd w:id="16"/>
      <w:bookmarkEnd w:id="17"/>
      <w:bookmarkEnd w:id="18"/>
      <w:bookmarkEnd w:id="19"/>
      <w:bookmarkEnd w:id="20"/>
    </w:p>
    <w:p w14:paraId="5D296ADF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基本资格条件</w:t>
      </w:r>
    </w:p>
    <w:p w14:paraId="31044B65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1．具有独立承担民事责任的能力。</w:t>
      </w:r>
    </w:p>
    <w:p w14:paraId="28F8D9D2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2．具有良好的商业信誉和健全的财务会计制度。</w:t>
      </w:r>
    </w:p>
    <w:p w14:paraId="0BCB3CE7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3．具有履行合同所必需的设备和专业技术能力。</w:t>
      </w:r>
    </w:p>
    <w:p w14:paraId="7DC6F0BB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4．有依法缴纳税收和社会保障资金的良好记录。</w:t>
      </w:r>
    </w:p>
    <w:p w14:paraId="07888B44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5．参加本次采购活动前三年内，在经营活动中没有重大违法记录。</w:t>
      </w:r>
    </w:p>
    <w:p w14:paraId="2B6C9FD3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6．法律、行政法规规定的其他条件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62F84B10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（二）本项目的特定资格要求：</w:t>
      </w:r>
    </w:p>
    <w:p w14:paraId="001E6E2C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21" w:name="_Toc13903"/>
      <w:bookmarkStart w:id="22" w:name="_Toc11908"/>
      <w:bookmarkStart w:id="23" w:name="_Toc1386"/>
      <w:bookmarkStart w:id="24" w:name="_Toc10690"/>
      <w:bookmarkStart w:id="25" w:name="_Toc65660333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无。</w:t>
      </w:r>
    </w:p>
    <w:p w14:paraId="6E63B981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四、询价有关说明</w:t>
      </w:r>
      <w:bookmarkEnd w:id="13"/>
      <w:bookmarkEnd w:id="21"/>
      <w:bookmarkEnd w:id="22"/>
      <w:bookmarkEnd w:id="23"/>
      <w:bookmarkEnd w:id="24"/>
      <w:bookmarkEnd w:id="25"/>
    </w:p>
    <w:p w14:paraId="01C89098">
      <w:pPr>
        <w:snapToGrid w:val="0"/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（一）供应商应通过“行采家”平台（http://www.gec123.com）登记加入“行采家平台供应商”。</w:t>
      </w:r>
    </w:p>
    <w:p w14:paraId="613A2195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凡有意参加询价的供应商，请在“行采家”平台（http://www.gec123.com）上下载或到采购代理机构处领取本项目询价通知书以及图纸、澄清等报价前公布的所有项目资料，无论供应商下载或领取与否，均视为已知晓所有实质性要求内容。</w:t>
      </w:r>
    </w:p>
    <w:p w14:paraId="4210ECF8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（三）询价公告期限：自采购公告发布之日起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个工作日。</w:t>
      </w:r>
    </w:p>
    <w:p w14:paraId="0DAC73AE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（四）获取询价通知书期限：</w:t>
      </w:r>
    </w:p>
    <w:p w14:paraId="715C3DA2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1.询价通知书提供期限：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日至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10</w:t>
      </w:r>
      <w:bookmarkStart w:id="48" w:name="_GoBack"/>
      <w:bookmarkEnd w:id="48"/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日。</w:t>
      </w:r>
    </w:p>
    <w:p w14:paraId="6D0EB167">
      <w:pPr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2.报名方式：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在询价通知书发售期内，将填写完成的《询价通知书发售登记表》（加盖供应商公章）扫描后发送至269370680@qq.com（邮箱）（致电代理机构联系电话：023-67960950确认）获取询价通知书及相关资料。</w:t>
      </w:r>
    </w:p>
    <w:p w14:paraId="568BD831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3.询价通知书售价：人民币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 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 xml:space="preserve"> 元/包。</w:t>
      </w:r>
    </w:p>
    <w:p w14:paraId="3BD7E8F9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（五）递交响应文件地点：重庆市江北五里店五简路2号重庆咨询大厦（地址：重庆市江北区五里店五简路2号重庆咨询大厦A栋）</w:t>
      </w:r>
    </w:p>
    <w:p w14:paraId="725C5288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（六）提交响应文件截止时间：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日北京时间10:00</w:t>
      </w:r>
    </w:p>
    <w:p w14:paraId="032E5E03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（七）评审开始时间：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日北京时间10:00</w:t>
      </w:r>
    </w:p>
    <w:bookmarkEnd w:id="14"/>
    <w:p w14:paraId="237093C5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26" w:name="_Toc11956"/>
      <w:bookmarkStart w:id="27" w:name="_Toc525047161"/>
      <w:bookmarkStart w:id="28" w:name="_Toc521053053"/>
      <w:bookmarkStart w:id="29" w:name="_Toc65660334"/>
      <w:bookmarkStart w:id="30" w:name="_Toc373860294"/>
      <w:bookmarkStart w:id="31" w:name="_Toc18815"/>
      <w:bookmarkStart w:id="32" w:name="_Toc6178"/>
      <w:bookmarkStart w:id="33" w:name="_Toc4638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五、保证金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B4F06D4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（一）保证金递交</w:t>
      </w:r>
    </w:p>
    <w:p w14:paraId="6F0CA832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1.供应商应足额交纳保证金（保证金金额详见本篇，一、询价内容），并汇至所参与包对应的任一账户，保证金的到账截止时间同提交响应文件截止时间。</w:t>
      </w:r>
    </w:p>
    <w:p w14:paraId="064D7F0A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户  名：</w:t>
      </w:r>
      <w:r>
        <w:rPr>
          <w:rFonts w:hint="eastAsia" w:ascii="方正仿宋_GBK" w:hAnsi="宋体" w:eastAsia="方正仿宋_GBK" w:cs="Times New Roman"/>
          <w:color w:val="auto"/>
          <w:kern w:val="2"/>
          <w:sz w:val="24"/>
          <w:highlight w:val="none"/>
          <w:lang w:val="en-US" w:eastAsia="zh-CN" w:bidi="ar-SA"/>
        </w:rPr>
        <w:t>重庆市工程管理有限公司</w:t>
      </w:r>
    </w:p>
    <w:p w14:paraId="12A61E93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</w:rPr>
        <w:t>开户行：</w:t>
      </w:r>
      <w:r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  <w:lang w:val="en-US" w:eastAsia="zh-CN"/>
        </w:rPr>
        <w:t>兴业银行股份有限公司重庆分行营业部</w:t>
      </w:r>
    </w:p>
    <w:p w14:paraId="65D44E8D">
      <w:pPr>
        <w:widowControl w:val="0"/>
        <w:snapToGrid w:val="0"/>
        <w:spacing w:line="400" w:lineRule="exact"/>
        <w:ind w:firstLine="480" w:firstLineChars="200"/>
        <w:jc w:val="both"/>
        <w:rPr>
          <w:rFonts w:hint="default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保证金账户：346010100105415993010326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</w:t>
      </w:r>
    </w:p>
    <w:p w14:paraId="55B32E0E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2.各供应商在银行转账（电汇）时，须充分考虑银行转账（电汇）的时间差风险，如同城转账、异地转账或汇款、跨行转账或电汇的时间要求。</w:t>
      </w:r>
    </w:p>
    <w:p w14:paraId="67379CAF">
      <w:pPr>
        <w:snapToGrid w:val="0"/>
        <w:spacing w:line="400" w:lineRule="exact"/>
        <w:ind w:firstLine="360" w:firstLineChars="15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（二）保证金退还方式</w:t>
      </w:r>
    </w:p>
    <w:p w14:paraId="32BEF622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1.未成交供应商的保证金，在成交通知书发放后，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重庆市工程管理有限公司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在五个工作日内按来款渠道直接退还。</w:t>
      </w:r>
    </w:p>
    <w:p w14:paraId="2294867E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2.成交供应商的保证金，在成交供应商与采购人签订合同后，重庆市公共资源交易中心在五个工作日内按资金来款渠道直接退还。</w:t>
      </w:r>
    </w:p>
    <w:p w14:paraId="1A3EDAFF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34" w:name="_Toc65660336"/>
      <w:bookmarkStart w:id="35" w:name="_Toc4728"/>
      <w:bookmarkStart w:id="36" w:name="_Toc6563"/>
      <w:bookmarkStart w:id="37" w:name="_Toc8829"/>
      <w:bookmarkStart w:id="38" w:name="_Toc525047163"/>
      <w:bookmarkStart w:id="39" w:name="_Toc16269"/>
      <w:bookmarkStart w:id="40" w:name="_Toc521053055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六、其它有关规定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39F16D2E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（一）单位负责人为同一人或者存在直接控股、管理关系的不同供应商，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不得参加同一合同项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（包）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下的政府采购活动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，否则均为无效报价。</w:t>
      </w:r>
    </w:p>
    <w:p w14:paraId="23B5F8A7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（二）为采购项目提供整体设计、规范编制或者项目管理、监理、检测等服务的供应商，不得再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参加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该采购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项目的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其他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采购活动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。</w:t>
      </w:r>
    </w:p>
    <w:p w14:paraId="776E0946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（三）同一合同项（包）下的货物，制造商参与报价的，不得再委托代理商参与报价。</w:t>
      </w:r>
    </w:p>
    <w:p w14:paraId="138352DE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四）本项目的澄清文件（如果有）一律在“行采家”平台（http://www.gec123.com）上发布，请各供应商注意下载或到采购代理机构处领取；无论供应商下载或领取与否，均视同供应商已知晓本项目澄清文件（如果有）的内容。</w:t>
      </w:r>
    </w:p>
    <w:p w14:paraId="60102C81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（五）超过响应文件截止时间递交的响应文件，恕不接收。</w:t>
      </w:r>
    </w:p>
    <w:p w14:paraId="4AF55F24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（六）询价费用：无论询价结果如何，供应商参与本项目询价的所有费用均应由供应商自行承担。</w:t>
      </w:r>
    </w:p>
    <w:p w14:paraId="1D653AE9">
      <w:pPr>
        <w:snapToGrid w:val="0"/>
        <w:spacing w:line="400" w:lineRule="exact"/>
        <w:ind w:firstLine="361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sz w:val="24"/>
          <w:szCs w:val="24"/>
          <w:highlight w:val="none"/>
        </w:rPr>
        <w:t>（七）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本项目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接受联合体参与报价</w:t>
      </w:r>
      <w:r>
        <w:rPr>
          <w:rFonts w:hint="eastAsia" w:ascii="方正仿宋_GBK" w:hAnsi="宋体" w:eastAsia="方正仿宋_GBK" w:cs="Times New Roman"/>
          <w:b/>
          <w:i w:val="0"/>
          <w:iCs w:val="0"/>
          <w:color w:val="auto"/>
          <w:sz w:val="24"/>
          <w:szCs w:val="24"/>
          <w:highlight w:val="none"/>
        </w:rPr>
        <w:t>，否则按无效处理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。</w:t>
      </w:r>
    </w:p>
    <w:p w14:paraId="6907832B">
      <w:pPr>
        <w:snapToGrid w:val="0"/>
        <w:spacing w:line="400" w:lineRule="exact"/>
        <w:ind w:firstLine="361" w:firstLineChars="150"/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（八）本项目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接受合同分包</w:t>
      </w:r>
      <w:r>
        <w:rPr>
          <w:rFonts w:hint="eastAsia" w:ascii="方正仿宋_GBK" w:hAnsi="宋体" w:eastAsia="方正仿宋_GBK" w:cs="Times New Roman"/>
          <w:b/>
          <w:i w:val="0"/>
          <w:iCs w:val="0"/>
          <w:color w:val="auto"/>
          <w:sz w:val="24"/>
          <w:szCs w:val="24"/>
          <w:highlight w:val="none"/>
        </w:rPr>
        <w:t>，否则按无效处理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。</w:t>
      </w:r>
    </w:p>
    <w:p w14:paraId="369FC28D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Cs/>
          <w:color w:val="auto"/>
          <w:sz w:val="24"/>
          <w:szCs w:val="24"/>
          <w:highlight w:val="none"/>
        </w:rPr>
        <w:t>（九）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08B3B8A8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41" w:name="_Toc2067"/>
      <w:bookmarkStart w:id="42" w:name="_Toc1552"/>
      <w:bookmarkStart w:id="43" w:name="_Toc525047164"/>
      <w:bookmarkStart w:id="44" w:name="_Toc1733"/>
      <w:bookmarkStart w:id="45" w:name="_Toc65660337"/>
      <w:bookmarkStart w:id="46" w:name="_Toc10415"/>
      <w:bookmarkStart w:id="47" w:name="_Toc521053056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七、联系方式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67077A69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（一）采购人：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</w:p>
    <w:p w14:paraId="190CFDEE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张老师</w:t>
      </w:r>
    </w:p>
    <w:p w14:paraId="56483765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电  话：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023-63905325      </w:t>
      </w:r>
    </w:p>
    <w:p w14:paraId="2615C092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地  址：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重庆市渝中区经纬大道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486号</w:t>
      </w:r>
    </w:p>
    <w:p w14:paraId="3ADED39A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（二）采购代理机构：重庆市工程管理有限公司</w:t>
      </w:r>
    </w:p>
    <w:p w14:paraId="0A4E50EE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廖老师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 xml:space="preserve"> </w:t>
      </w:r>
    </w:p>
    <w:p w14:paraId="3141552A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电  话：023-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67960950</w:t>
      </w:r>
    </w:p>
    <w:p w14:paraId="0B1B1F4A">
      <w:pPr>
        <w:snapToGrid w:val="0"/>
        <w:spacing w:line="400" w:lineRule="exact"/>
        <w:ind w:firstLine="480" w:firstLineChars="200"/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地  址：重庆市江北区五简路2号重庆咨询大厦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座</w:t>
      </w: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62979CE-B659-4D76-B553-CC8C01B4888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D31ACC-7641-4D57-AC73-D1A834F2A83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D82035D-4081-4924-9E47-E47B8959052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FBC7C2F-A975-4A55-A006-60A10D77F7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DF6B7B9-7F10-4A6B-9D0D-0E0916C930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DQ5ZDkwYzA4ZmM2YThiZWIzZjFmYWYxYmViZDcifQ=="/>
  </w:docVars>
  <w:rsids>
    <w:rsidRoot w:val="D7BBD07C"/>
    <w:rsid w:val="00952E84"/>
    <w:rsid w:val="08322CB3"/>
    <w:rsid w:val="0C9E464A"/>
    <w:rsid w:val="0EBB0B78"/>
    <w:rsid w:val="1A885809"/>
    <w:rsid w:val="24C027C6"/>
    <w:rsid w:val="265468F2"/>
    <w:rsid w:val="2A96507B"/>
    <w:rsid w:val="2CC04BE2"/>
    <w:rsid w:val="3EBB6FFF"/>
    <w:rsid w:val="4AB97E44"/>
    <w:rsid w:val="51F583A3"/>
    <w:rsid w:val="546354CA"/>
    <w:rsid w:val="5BFD522B"/>
    <w:rsid w:val="613F25D5"/>
    <w:rsid w:val="6F1B5509"/>
    <w:rsid w:val="6F1D3FBB"/>
    <w:rsid w:val="75360459"/>
    <w:rsid w:val="757D322C"/>
    <w:rsid w:val="7BC9728B"/>
    <w:rsid w:val="7CF956CB"/>
    <w:rsid w:val="96FEB65B"/>
    <w:rsid w:val="BE33541F"/>
    <w:rsid w:val="D7BBD07C"/>
    <w:rsid w:val="F5FFCF44"/>
    <w:rsid w:val="FCC7F8F1"/>
    <w:rsid w:val="FEFF2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1668</Words>
  <Characters>1857</Characters>
  <Lines>0</Lines>
  <Paragraphs>0</Paragraphs>
  <TotalTime>0</TotalTime>
  <ScaleCrop>false</ScaleCrop>
  <LinksUpToDate>false</LinksUpToDate>
  <CharactersWithSpaces>1895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2023-12-07T23:15:00Z</dcterms:created>
  <dc:creator>cqfy</dc:creator>
  <cp:lastModifiedBy>NTKO</cp:lastModifiedBy>
  <dcterms:modified xsi:type="dcterms:W3CDTF">2024-12-31T07:54:01Z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2CC54DD50BD24E29A06B61E5A1B0F667_13</vt:lpwstr>
  </property>
  <property fmtid="{D5CDD505-2E9C-101B-9397-08002B2CF9AE}" pid="4" name="KSOTemplateDocerSaveRecord">
    <vt:lpwstr>eyJoZGlkIjoiYmM3ZDQ5ZDkwYzA4ZmM2YThiZWIzZjFmYWYxYmViZDciLCJ1c2VySWQiOiIzMzg2MTA2In0=</vt:lpwstr>
  </property>
</Properties>
</file>