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5EB7A">
      <w:pPr>
        <w:kinsoku/>
        <w:wordWrap/>
        <w:overflowPunct/>
        <w:topLinePunct w:val="0"/>
        <w:bidi w:val="0"/>
        <w:snapToGrid/>
        <w:spacing w:line="360" w:lineRule="auto"/>
        <w:jc w:val="center"/>
        <w:textAlignment w:val="auto"/>
        <w:rPr>
          <w:rFonts w:hint="eastAsia" w:ascii="宋体" w:hAnsi="宋体" w:cs="宋体"/>
          <w:color w:val="auto"/>
          <w:sz w:val="112"/>
          <w:szCs w:val="112"/>
          <w:highlight w:val="none"/>
        </w:rPr>
      </w:pPr>
      <w:r>
        <w:rPr>
          <w:color w:val="auto"/>
          <w:sz w:val="28"/>
          <w:highlight w:val="none"/>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color w:val="auto"/>
          <w:sz w:val="28"/>
          <w:highlight w:val="none"/>
        </w:rPr>
        <w:instrText xml:space="preserve">ADDIN CNKISM.UserStyle</w:instrText>
      </w:r>
      <w:r>
        <w:rPr>
          <w:color w:val="auto"/>
          <w:sz w:val="28"/>
          <w:highlight w:val="none"/>
        </w:rPr>
        <w:fldChar w:fldCharType="separate"/>
      </w:r>
      <w:r>
        <w:rPr>
          <w:color w:val="auto"/>
          <w:sz w:val="28"/>
          <w:highlight w:val="none"/>
        </w:rPr>
        <w:fldChar w:fldCharType="end"/>
      </w:r>
    </w:p>
    <w:p w14:paraId="49D8E81D">
      <w:pPr>
        <w:kinsoku/>
        <w:wordWrap/>
        <w:overflowPunct/>
        <w:topLinePunct w:val="0"/>
        <w:bidi w:val="0"/>
        <w:spacing w:line="360" w:lineRule="auto"/>
        <w:jc w:val="center"/>
        <w:textAlignment w:val="auto"/>
        <w:outlineLvl w:val="0"/>
        <w:rPr>
          <w:rFonts w:hint="eastAsia" w:ascii="宋体" w:hAnsi="宋体" w:cs="宋体"/>
          <w:color w:val="auto"/>
          <w:sz w:val="72"/>
          <w:szCs w:val="72"/>
          <w:highlight w:val="none"/>
        </w:rPr>
      </w:pPr>
      <w:r>
        <w:rPr>
          <w:rFonts w:hint="eastAsia" w:ascii="宋体" w:hAnsi="宋体" w:cs="宋体"/>
          <w:color w:val="auto"/>
          <w:sz w:val="112"/>
          <w:szCs w:val="112"/>
          <w:highlight w:val="none"/>
        </w:rPr>
        <w:t>竞争性磋商文件</w:t>
      </w:r>
      <w:r>
        <w:rPr>
          <w:rFonts w:hint="eastAsia" w:ascii="宋体" w:hAnsi="宋体" w:cs="宋体"/>
          <w:color w:val="auto"/>
          <w:sz w:val="72"/>
          <w:szCs w:val="72"/>
          <w:highlight w:val="none"/>
        </w:rPr>
        <w:t xml:space="preserve"> </w:t>
      </w:r>
    </w:p>
    <w:p w14:paraId="7350F061">
      <w:pPr>
        <w:pStyle w:val="23"/>
        <w:kinsoku/>
        <w:wordWrap/>
        <w:overflowPunct/>
        <w:topLinePunct w:val="0"/>
        <w:bidi w:val="0"/>
        <w:spacing w:line="360" w:lineRule="auto"/>
        <w:ind w:left="0"/>
        <w:jc w:val="center"/>
        <w:textAlignment w:val="auto"/>
        <w:rPr>
          <w:rFonts w:hint="eastAsia" w:ascii="宋体" w:hAnsi="宋体" w:cs="宋体"/>
          <w:color w:val="auto"/>
          <w:szCs w:val="44"/>
          <w:highlight w:val="none"/>
        </w:rPr>
      </w:pPr>
      <w:r>
        <w:rPr>
          <w:rFonts w:hint="eastAsia" w:ascii="宋体" w:hAnsi="宋体" w:cs="宋体"/>
          <w:color w:val="auto"/>
          <w:szCs w:val="44"/>
          <w:highlight w:val="none"/>
        </w:rPr>
        <w:t xml:space="preserve"> </w:t>
      </w:r>
    </w:p>
    <w:p w14:paraId="7DA52E86">
      <w:pPr>
        <w:pStyle w:val="23"/>
        <w:kinsoku/>
        <w:wordWrap/>
        <w:overflowPunct/>
        <w:topLinePunct w:val="0"/>
        <w:bidi w:val="0"/>
        <w:spacing w:line="360" w:lineRule="auto"/>
        <w:ind w:left="0"/>
        <w:jc w:val="center"/>
        <w:textAlignment w:val="auto"/>
        <w:rPr>
          <w:rFonts w:hint="eastAsia" w:ascii="宋体" w:hAnsi="宋体" w:cs="宋体"/>
          <w:color w:val="auto"/>
          <w:sz w:val="32"/>
          <w:highlight w:val="none"/>
        </w:rPr>
      </w:pPr>
    </w:p>
    <w:p w14:paraId="67C7E72B">
      <w:pPr>
        <w:kinsoku/>
        <w:wordWrap/>
        <w:overflowPunct/>
        <w:topLinePunct w:val="0"/>
        <w:bidi w:val="0"/>
        <w:spacing w:line="360" w:lineRule="auto"/>
        <w:jc w:val="center"/>
        <w:textAlignment w:val="auto"/>
        <w:outlineLvl w:val="0"/>
        <w:rPr>
          <w:rFonts w:hint="eastAsia" w:ascii="宋体" w:hAnsi="宋体" w:cs="宋体"/>
          <w:color w:val="auto"/>
          <w:sz w:val="32"/>
          <w:highlight w:val="none"/>
        </w:rPr>
      </w:pPr>
      <w:r>
        <w:rPr>
          <w:rFonts w:hint="eastAsia" w:ascii="宋体" w:hAnsi="宋体" w:cs="宋体"/>
          <w:color w:val="auto"/>
          <w:sz w:val="32"/>
          <w:highlight w:val="none"/>
        </w:rPr>
        <w:t xml:space="preserve"> </w:t>
      </w:r>
    </w:p>
    <w:p w14:paraId="3AF7F98D">
      <w:pPr>
        <w:kinsoku/>
        <w:wordWrap/>
        <w:overflowPunct/>
        <w:topLinePunct w:val="0"/>
        <w:bidi w:val="0"/>
        <w:spacing w:line="360" w:lineRule="auto"/>
        <w:jc w:val="center"/>
        <w:textAlignment w:val="auto"/>
        <w:rPr>
          <w:rFonts w:hint="eastAsia" w:ascii="宋体" w:hAnsi="宋体" w:cs="宋体"/>
          <w:color w:val="auto"/>
          <w:sz w:val="32"/>
          <w:highlight w:val="none"/>
        </w:rPr>
      </w:pPr>
    </w:p>
    <w:p w14:paraId="3AD66217">
      <w:pPr>
        <w:kinsoku/>
        <w:wordWrap/>
        <w:overflowPunct/>
        <w:topLinePunct w:val="0"/>
        <w:bidi w:val="0"/>
        <w:spacing w:line="360" w:lineRule="auto"/>
        <w:ind w:firstLine="640" w:firstLineChars="200"/>
        <w:textAlignment w:val="auto"/>
        <w:outlineLvl w:val="0"/>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rPr>
        <w:t xml:space="preserve">项 </w:t>
      </w:r>
      <w:r>
        <w:rPr>
          <w:rFonts w:hint="eastAsia" w:ascii="宋体" w:hAnsi="宋体" w:cs="宋体"/>
          <w:color w:val="auto"/>
          <w:sz w:val="32"/>
          <w:szCs w:val="32"/>
          <w:highlight w:val="none"/>
          <w:lang w:val="en-US" w:eastAsia="zh-CN"/>
        </w:rPr>
        <w:t xml:space="preserve"> </w:t>
      </w:r>
      <w:r>
        <w:rPr>
          <w:rFonts w:hint="eastAsia" w:ascii="宋体" w:hAnsi="宋体" w:cs="宋体"/>
          <w:color w:val="auto"/>
          <w:sz w:val="32"/>
          <w:szCs w:val="32"/>
          <w:highlight w:val="none"/>
        </w:rPr>
        <w:t>目</w:t>
      </w:r>
      <w:r>
        <w:rPr>
          <w:rFonts w:hint="eastAsia" w:ascii="宋体" w:hAnsi="宋体" w:cs="宋体"/>
          <w:color w:val="auto"/>
          <w:sz w:val="32"/>
          <w:szCs w:val="32"/>
          <w:highlight w:val="none"/>
          <w:lang w:val="en-US" w:eastAsia="zh-CN"/>
        </w:rPr>
        <w:t xml:space="preserve"> 编</w:t>
      </w:r>
      <w:r>
        <w:rPr>
          <w:rFonts w:hint="eastAsia" w:ascii="宋体" w:hAnsi="宋体" w:cs="宋体"/>
          <w:color w:val="auto"/>
          <w:sz w:val="32"/>
          <w:szCs w:val="32"/>
          <w:highlight w:val="none"/>
        </w:rPr>
        <w:t xml:space="preserve"> 号：</w:t>
      </w:r>
      <w:r>
        <w:rPr>
          <w:rFonts w:hint="eastAsia" w:ascii="宋体" w:hAnsi="宋体" w:cs="宋体"/>
          <w:color w:val="auto"/>
          <w:sz w:val="32"/>
          <w:szCs w:val="32"/>
          <w:highlight w:val="none"/>
          <w:lang w:val="en-US" w:eastAsia="zh-CN"/>
        </w:rPr>
        <w:t>RSZB-2025-095</w:t>
      </w:r>
    </w:p>
    <w:p w14:paraId="7334DDD7">
      <w:pPr>
        <w:kinsoku/>
        <w:wordWrap/>
        <w:overflowPunct/>
        <w:topLinePunct w:val="0"/>
        <w:bidi w:val="0"/>
        <w:spacing w:line="360" w:lineRule="auto"/>
        <w:ind w:firstLine="640" w:firstLineChars="200"/>
        <w:textAlignment w:val="auto"/>
        <w:outlineLvl w:val="0"/>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磋商项目名称：</w:t>
      </w:r>
      <w:r>
        <w:rPr>
          <w:rFonts w:hint="eastAsia" w:ascii="宋体" w:hAnsi="宋体" w:cs="宋体"/>
          <w:color w:val="auto"/>
          <w:sz w:val="32"/>
          <w:szCs w:val="32"/>
          <w:highlight w:val="none"/>
          <w:lang w:eastAsia="zh-CN"/>
        </w:rPr>
        <w:t>2024年大渡口区配售型保障性住房项目质量检测</w:t>
      </w:r>
    </w:p>
    <w:p w14:paraId="083039A4">
      <w:pPr>
        <w:kinsoku/>
        <w:wordWrap/>
        <w:overflowPunct/>
        <w:topLinePunct w:val="0"/>
        <w:bidi w:val="0"/>
        <w:spacing w:line="360" w:lineRule="auto"/>
        <w:jc w:val="center"/>
        <w:textAlignment w:val="auto"/>
        <w:outlineLvl w:val="0"/>
        <w:rPr>
          <w:rFonts w:hint="eastAsia" w:ascii="宋体" w:hAnsi="宋体" w:cs="宋体"/>
          <w:color w:val="auto"/>
          <w:sz w:val="36"/>
          <w:szCs w:val="36"/>
          <w:highlight w:val="none"/>
        </w:rPr>
      </w:pPr>
    </w:p>
    <w:p w14:paraId="6FF6FE33">
      <w:pPr>
        <w:kinsoku/>
        <w:wordWrap/>
        <w:overflowPunct/>
        <w:topLinePunct w:val="0"/>
        <w:bidi w:val="0"/>
        <w:spacing w:line="360" w:lineRule="auto"/>
        <w:jc w:val="center"/>
        <w:textAlignment w:val="auto"/>
        <w:outlineLvl w:val="0"/>
        <w:rPr>
          <w:rFonts w:hint="eastAsia" w:ascii="宋体" w:hAnsi="宋体" w:cs="宋体"/>
          <w:color w:val="auto"/>
          <w:sz w:val="36"/>
          <w:szCs w:val="36"/>
          <w:highlight w:val="none"/>
        </w:rPr>
      </w:pPr>
    </w:p>
    <w:p w14:paraId="44ED4283">
      <w:pPr>
        <w:kinsoku/>
        <w:wordWrap/>
        <w:overflowPunct/>
        <w:topLinePunct w:val="0"/>
        <w:bidi w:val="0"/>
        <w:spacing w:line="360" w:lineRule="auto"/>
        <w:jc w:val="center"/>
        <w:textAlignment w:val="auto"/>
        <w:outlineLvl w:val="0"/>
        <w:rPr>
          <w:rFonts w:hint="eastAsia" w:ascii="宋体" w:hAnsi="宋体" w:cs="宋体"/>
          <w:color w:val="auto"/>
          <w:sz w:val="36"/>
          <w:szCs w:val="36"/>
          <w:highlight w:val="none"/>
        </w:rPr>
      </w:pPr>
    </w:p>
    <w:p w14:paraId="55A00E39">
      <w:pPr>
        <w:pStyle w:val="28"/>
        <w:kinsoku/>
        <w:wordWrap/>
        <w:overflowPunct/>
        <w:topLinePunct w:val="0"/>
        <w:bidi w:val="0"/>
        <w:spacing w:line="360" w:lineRule="auto"/>
        <w:ind w:left="0" w:leftChars="0" w:firstLine="0" w:firstLineChars="0"/>
        <w:textAlignment w:val="auto"/>
        <w:rPr>
          <w:rFonts w:hint="eastAsia" w:ascii="宋体" w:hAnsi="宋体" w:cs="宋体"/>
          <w:color w:val="auto"/>
          <w:highlight w:val="none"/>
        </w:rPr>
      </w:pPr>
    </w:p>
    <w:p w14:paraId="7BC65E18">
      <w:pPr>
        <w:kinsoku/>
        <w:wordWrap/>
        <w:overflowPunct/>
        <w:topLinePunct w:val="0"/>
        <w:bidi w:val="0"/>
        <w:spacing w:line="360" w:lineRule="auto"/>
        <w:jc w:val="center"/>
        <w:textAlignment w:val="auto"/>
        <w:outlineLvl w:val="0"/>
        <w:rPr>
          <w:rFonts w:hint="eastAsia" w:ascii="宋体" w:hAnsi="宋体" w:cs="宋体"/>
          <w:color w:val="auto"/>
          <w:sz w:val="36"/>
          <w:szCs w:val="36"/>
          <w:highlight w:val="none"/>
        </w:rPr>
      </w:pPr>
    </w:p>
    <w:p w14:paraId="2B3DDD07">
      <w:pPr>
        <w:kinsoku/>
        <w:wordWrap/>
        <w:overflowPunct/>
        <w:topLinePunct w:val="0"/>
        <w:bidi w:val="0"/>
        <w:spacing w:line="360" w:lineRule="auto"/>
        <w:ind w:firstLine="640" w:firstLineChars="200"/>
        <w:jc w:val="center"/>
        <w:textAlignment w:val="auto"/>
        <w:outlineLvl w:val="0"/>
        <w:rPr>
          <w:rFonts w:hint="eastAsia" w:ascii="宋体" w:hAnsi="宋体" w:cs="宋体"/>
          <w:color w:val="auto"/>
          <w:sz w:val="32"/>
          <w:szCs w:val="32"/>
          <w:highlight w:val="none"/>
          <w:lang w:eastAsia="zh-CN"/>
        </w:rPr>
      </w:pPr>
      <w:r>
        <w:rPr>
          <w:rFonts w:hint="eastAsia" w:ascii="宋体" w:hAnsi="宋体" w:cs="宋体"/>
          <w:color w:val="auto"/>
          <w:sz w:val="32"/>
          <w:szCs w:val="32"/>
          <w:highlight w:val="none"/>
          <w:lang w:eastAsia="zh-CN"/>
        </w:rPr>
        <w:t>采购人：重庆建桥置业有限公司</w:t>
      </w:r>
    </w:p>
    <w:p w14:paraId="739EC679">
      <w:pPr>
        <w:kinsoku/>
        <w:wordWrap/>
        <w:overflowPunct/>
        <w:topLinePunct w:val="0"/>
        <w:bidi w:val="0"/>
        <w:spacing w:line="360" w:lineRule="auto"/>
        <w:ind w:firstLine="640" w:firstLineChars="200"/>
        <w:jc w:val="center"/>
        <w:textAlignment w:val="auto"/>
        <w:outlineLvl w:val="0"/>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重庆市大渡口区城乡建设发展有限公司</w:t>
      </w:r>
    </w:p>
    <w:p w14:paraId="1CA9AE8F">
      <w:pPr>
        <w:kinsoku/>
        <w:wordWrap/>
        <w:overflowPunct/>
        <w:topLinePunct w:val="0"/>
        <w:bidi w:val="0"/>
        <w:spacing w:line="360" w:lineRule="auto"/>
        <w:ind w:firstLine="640" w:firstLineChars="200"/>
        <w:jc w:val="center"/>
        <w:textAlignment w:val="auto"/>
        <w:outlineLvl w:val="0"/>
        <w:rPr>
          <w:rFonts w:hint="eastAsia" w:ascii="宋体" w:hAnsi="宋体" w:cs="宋体"/>
          <w:color w:val="auto"/>
          <w:sz w:val="32"/>
          <w:szCs w:val="32"/>
          <w:highlight w:val="none"/>
          <w:lang w:eastAsia="zh-CN"/>
        </w:rPr>
      </w:pPr>
      <w:r>
        <w:rPr>
          <w:rFonts w:hint="eastAsia" w:ascii="宋体" w:hAnsi="宋体" w:cs="宋体"/>
          <w:color w:val="auto"/>
          <w:sz w:val="32"/>
          <w:szCs w:val="32"/>
          <w:highlight w:val="none"/>
          <w:lang w:eastAsia="zh-CN"/>
        </w:rPr>
        <w:t>采购代理机构：重庆瑞盛工程咨询有限公司</w:t>
      </w:r>
    </w:p>
    <w:p w14:paraId="2EE58EA6">
      <w:pPr>
        <w:kinsoku/>
        <w:wordWrap/>
        <w:overflowPunct/>
        <w:topLinePunct w:val="0"/>
        <w:bidi w:val="0"/>
        <w:spacing w:line="360" w:lineRule="auto"/>
        <w:jc w:val="center"/>
        <w:textAlignment w:val="auto"/>
        <w:rPr>
          <w:rFonts w:hint="eastAsia" w:ascii="宋体" w:hAnsi="宋体" w:eastAsia="宋体" w:cs="宋体"/>
          <w:color w:val="auto"/>
          <w:sz w:val="32"/>
          <w:highlight w:val="none"/>
          <w:lang w:val="en-US" w:eastAsia="zh-CN"/>
        </w:rPr>
      </w:pPr>
      <w:r>
        <w:rPr>
          <w:rFonts w:hint="eastAsia" w:ascii="宋体" w:hAnsi="宋体" w:cs="宋体"/>
          <w:color w:val="auto"/>
          <w:sz w:val="36"/>
          <w:szCs w:val="36"/>
          <w:highlight w:val="none"/>
        </w:rPr>
        <w:t>二〇二</w:t>
      </w:r>
      <w:r>
        <w:rPr>
          <w:rFonts w:hint="eastAsia" w:ascii="宋体" w:hAnsi="宋体" w:cs="宋体"/>
          <w:color w:val="auto"/>
          <w:sz w:val="36"/>
          <w:szCs w:val="36"/>
          <w:highlight w:val="none"/>
          <w:lang w:val="en-US" w:eastAsia="zh-CN"/>
        </w:rPr>
        <w:t>五</w:t>
      </w:r>
      <w:r>
        <w:rPr>
          <w:rFonts w:hint="eastAsia" w:ascii="宋体" w:hAnsi="宋体" w:cs="宋体"/>
          <w:color w:val="auto"/>
          <w:sz w:val="36"/>
          <w:szCs w:val="36"/>
          <w:highlight w:val="none"/>
        </w:rPr>
        <w:t>年</w:t>
      </w:r>
      <w:r>
        <w:rPr>
          <w:rFonts w:hint="eastAsia" w:ascii="宋体" w:hAnsi="宋体" w:cs="宋体"/>
          <w:color w:val="auto"/>
          <w:sz w:val="36"/>
          <w:szCs w:val="36"/>
          <w:highlight w:val="none"/>
          <w:lang w:val="en-US" w:eastAsia="zh-CN"/>
        </w:rPr>
        <w:t>十</w:t>
      </w:r>
      <w:r>
        <w:rPr>
          <w:rFonts w:hint="eastAsia" w:ascii="宋体" w:hAnsi="宋体" w:cs="宋体"/>
          <w:color w:val="auto"/>
          <w:sz w:val="36"/>
          <w:szCs w:val="36"/>
          <w:highlight w:val="none"/>
        </w:rPr>
        <w:t>月</w:t>
      </w:r>
      <w:r>
        <w:rPr>
          <w:rFonts w:hint="eastAsia" w:ascii="宋体" w:hAnsi="宋体" w:cs="宋体"/>
          <w:color w:val="auto"/>
          <w:sz w:val="36"/>
          <w:szCs w:val="36"/>
          <w:highlight w:val="none"/>
          <w:lang w:val="en-US" w:eastAsia="zh-CN"/>
        </w:rPr>
        <w:tab/>
      </w:r>
    </w:p>
    <w:p w14:paraId="65F40FC2">
      <w:pPr>
        <w:pageBreakBefore/>
        <w:kinsoku/>
        <w:wordWrap/>
        <w:overflowPunct/>
        <w:topLinePunct w:val="0"/>
        <w:bidi w:val="0"/>
        <w:spacing w:line="360" w:lineRule="auto"/>
        <w:jc w:val="center"/>
        <w:textAlignment w:val="auto"/>
        <w:outlineLvl w:val="0"/>
        <w:rPr>
          <w:rFonts w:hint="eastAsia" w:ascii="宋体" w:hAnsi="宋体"/>
          <w:color w:val="auto"/>
          <w:sz w:val="44"/>
          <w:szCs w:val="28"/>
          <w:highlight w:val="none"/>
        </w:rPr>
      </w:pPr>
      <w:r>
        <w:rPr>
          <w:rFonts w:hint="eastAsia" w:ascii="宋体" w:hAnsi="宋体"/>
          <w:color w:val="auto"/>
          <w:sz w:val="44"/>
          <w:szCs w:val="28"/>
          <w:highlight w:val="none"/>
        </w:rPr>
        <w:t>目   录</w:t>
      </w:r>
    </w:p>
    <w:p w14:paraId="6B21943E">
      <w:pPr>
        <w:pStyle w:val="47"/>
        <w:tabs>
          <w:tab w:val="right" w:leader="dot" w:pos="9525"/>
        </w:tabs>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TOC \o "1-3" \h \z </w:instrText>
      </w:r>
      <w:r>
        <w:rPr>
          <w:rFonts w:hint="eastAsia" w:ascii="宋体" w:hAnsi="宋体"/>
          <w:color w:val="auto"/>
          <w:szCs w:val="24"/>
          <w:highlight w:val="none"/>
        </w:rPr>
        <w:fldChar w:fldCharType="separate"/>
      </w: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_Toc14893 </w:instrText>
      </w:r>
      <w:r>
        <w:rPr>
          <w:rFonts w:hint="eastAsia" w:ascii="宋体" w:hAnsi="宋体"/>
          <w:szCs w:val="24"/>
          <w:highlight w:val="none"/>
        </w:rPr>
        <w:fldChar w:fldCharType="separate"/>
      </w:r>
      <w:r>
        <w:rPr>
          <w:rFonts w:hint="eastAsia" w:ascii="宋体" w:hAnsi="宋体" w:eastAsia="宋体"/>
          <w:szCs w:val="30"/>
          <w:highlight w:val="none"/>
        </w:rPr>
        <w:t>第一篇  采购邀请书</w:t>
      </w:r>
      <w:r>
        <w:tab/>
      </w:r>
      <w:r>
        <w:fldChar w:fldCharType="begin"/>
      </w:r>
      <w:r>
        <w:instrText xml:space="preserve"> PAGEREF _Toc14893 \h </w:instrText>
      </w:r>
      <w:r>
        <w:fldChar w:fldCharType="separate"/>
      </w:r>
      <w:r>
        <w:t>- 1 -</w:t>
      </w:r>
      <w:r>
        <w:fldChar w:fldCharType="end"/>
      </w:r>
      <w:r>
        <w:rPr>
          <w:rFonts w:hint="eastAsia" w:ascii="宋体" w:hAnsi="宋体"/>
          <w:color w:val="auto"/>
          <w:szCs w:val="24"/>
          <w:highlight w:val="none"/>
        </w:rPr>
        <w:fldChar w:fldCharType="end"/>
      </w:r>
    </w:p>
    <w:p w14:paraId="316E60C7">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_Toc28569 </w:instrText>
      </w:r>
      <w:r>
        <w:rPr>
          <w:rFonts w:hint="eastAsia" w:ascii="宋体" w:hAnsi="宋体"/>
          <w:szCs w:val="24"/>
          <w:highlight w:val="none"/>
        </w:rPr>
        <w:fldChar w:fldCharType="separate"/>
      </w:r>
      <w:r>
        <w:rPr>
          <w:rFonts w:hint="eastAsia" w:ascii="宋体" w:hAnsi="宋体"/>
          <w:szCs w:val="24"/>
          <w:highlight w:val="none"/>
        </w:rPr>
        <w:t>一、竞争性磋商内容</w:t>
      </w:r>
      <w:r>
        <w:tab/>
      </w:r>
      <w:r>
        <w:fldChar w:fldCharType="begin"/>
      </w:r>
      <w:r>
        <w:instrText xml:space="preserve"> PAGEREF _Toc28569 \h </w:instrText>
      </w:r>
      <w:r>
        <w:fldChar w:fldCharType="separate"/>
      </w:r>
      <w:r>
        <w:t>- 1 -</w:t>
      </w:r>
      <w:r>
        <w:fldChar w:fldCharType="end"/>
      </w:r>
      <w:r>
        <w:rPr>
          <w:rFonts w:hint="eastAsia" w:ascii="宋体" w:hAnsi="宋体"/>
          <w:color w:val="auto"/>
          <w:szCs w:val="24"/>
          <w:highlight w:val="none"/>
        </w:rPr>
        <w:fldChar w:fldCharType="end"/>
      </w:r>
    </w:p>
    <w:p w14:paraId="752F4DAC">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_Toc22703 </w:instrText>
      </w:r>
      <w:r>
        <w:rPr>
          <w:rFonts w:hint="eastAsia" w:ascii="宋体" w:hAnsi="宋体"/>
          <w:szCs w:val="24"/>
          <w:highlight w:val="none"/>
        </w:rPr>
        <w:fldChar w:fldCharType="separate"/>
      </w:r>
      <w:r>
        <w:rPr>
          <w:rFonts w:hint="eastAsia" w:ascii="宋体" w:hAnsi="宋体"/>
          <w:szCs w:val="24"/>
          <w:highlight w:val="none"/>
        </w:rPr>
        <w:t>二、资金来源</w:t>
      </w:r>
      <w:r>
        <w:tab/>
      </w:r>
      <w:r>
        <w:fldChar w:fldCharType="begin"/>
      </w:r>
      <w:r>
        <w:instrText xml:space="preserve"> PAGEREF _Toc22703 \h </w:instrText>
      </w:r>
      <w:r>
        <w:fldChar w:fldCharType="separate"/>
      </w:r>
      <w:r>
        <w:t>- 1 -</w:t>
      </w:r>
      <w:r>
        <w:fldChar w:fldCharType="end"/>
      </w:r>
      <w:r>
        <w:rPr>
          <w:rFonts w:hint="eastAsia" w:ascii="宋体" w:hAnsi="宋体"/>
          <w:color w:val="auto"/>
          <w:szCs w:val="24"/>
          <w:highlight w:val="none"/>
        </w:rPr>
        <w:fldChar w:fldCharType="end"/>
      </w:r>
    </w:p>
    <w:p w14:paraId="771DC1A0">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_Toc8268 </w:instrText>
      </w:r>
      <w:r>
        <w:rPr>
          <w:rFonts w:hint="eastAsia" w:ascii="宋体" w:hAnsi="宋体"/>
          <w:szCs w:val="24"/>
          <w:highlight w:val="none"/>
        </w:rPr>
        <w:fldChar w:fldCharType="separate"/>
      </w:r>
      <w:r>
        <w:rPr>
          <w:rFonts w:hint="eastAsia" w:ascii="宋体" w:hAnsi="宋体"/>
          <w:szCs w:val="24"/>
          <w:highlight w:val="none"/>
        </w:rPr>
        <w:t>三、供应商资格条件</w:t>
      </w:r>
      <w:r>
        <w:tab/>
      </w:r>
      <w:r>
        <w:fldChar w:fldCharType="begin"/>
      </w:r>
      <w:r>
        <w:instrText xml:space="preserve"> PAGEREF _Toc8268 \h </w:instrText>
      </w:r>
      <w:r>
        <w:fldChar w:fldCharType="separate"/>
      </w:r>
      <w:r>
        <w:t>- 1 -</w:t>
      </w:r>
      <w:r>
        <w:fldChar w:fldCharType="end"/>
      </w:r>
      <w:r>
        <w:rPr>
          <w:rFonts w:hint="eastAsia" w:ascii="宋体" w:hAnsi="宋体"/>
          <w:color w:val="auto"/>
          <w:szCs w:val="24"/>
          <w:highlight w:val="none"/>
        </w:rPr>
        <w:fldChar w:fldCharType="end"/>
      </w:r>
    </w:p>
    <w:p w14:paraId="225A4211">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_Toc9225 </w:instrText>
      </w:r>
      <w:r>
        <w:rPr>
          <w:rFonts w:hint="eastAsia" w:ascii="宋体" w:hAnsi="宋体"/>
          <w:szCs w:val="24"/>
          <w:highlight w:val="none"/>
        </w:rPr>
        <w:fldChar w:fldCharType="separate"/>
      </w:r>
      <w:r>
        <w:rPr>
          <w:rFonts w:hint="eastAsia" w:ascii="宋体" w:hAnsi="宋体"/>
          <w:szCs w:val="24"/>
          <w:highlight w:val="none"/>
        </w:rPr>
        <w:t>四、磋商有关说明</w:t>
      </w:r>
      <w:r>
        <w:tab/>
      </w:r>
      <w:r>
        <w:fldChar w:fldCharType="begin"/>
      </w:r>
      <w:r>
        <w:instrText xml:space="preserve"> PAGEREF _Toc9225 \h </w:instrText>
      </w:r>
      <w:r>
        <w:fldChar w:fldCharType="separate"/>
      </w:r>
      <w:r>
        <w:t>- 2 -</w:t>
      </w:r>
      <w:r>
        <w:fldChar w:fldCharType="end"/>
      </w:r>
      <w:r>
        <w:rPr>
          <w:rFonts w:hint="eastAsia" w:ascii="宋体" w:hAnsi="宋体"/>
          <w:color w:val="auto"/>
          <w:szCs w:val="24"/>
          <w:highlight w:val="none"/>
        </w:rPr>
        <w:fldChar w:fldCharType="end"/>
      </w:r>
    </w:p>
    <w:p w14:paraId="75DF92D9">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_Toc8072 </w:instrText>
      </w:r>
      <w:r>
        <w:rPr>
          <w:rFonts w:hint="eastAsia" w:ascii="宋体" w:hAnsi="宋体"/>
          <w:szCs w:val="24"/>
          <w:highlight w:val="none"/>
        </w:rPr>
        <w:fldChar w:fldCharType="separate"/>
      </w:r>
      <w:r>
        <w:rPr>
          <w:rFonts w:hint="eastAsia" w:ascii="宋体" w:hAnsi="宋体"/>
          <w:szCs w:val="24"/>
          <w:highlight w:val="none"/>
        </w:rPr>
        <w:t>五、磋商保证金</w:t>
      </w:r>
      <w:r>
        <w:tab/>
      </w:r>
      <w:r>
        <w:fldChar w:fldCharType="begin"/>
      </w:r>
      <w:r>
        <w:instrText xml:space="preserve"> PAGEREF _Toc8072 \h </w:instrText>
      </w:r>
      <w:r>
        <w:fldChar w:fldCharType="separate"/>
      </w:r>
      <w:r>
        <w:t>- 2 -</w:t>
      </w:r>
      <w:r>
        <w:fldChar w:fldCharType="end"/>
      </w:r>
      <w:r>
        <w:rPr>
          <w:rFonts w:hint="eastAsia" w:ascii="宋体" w:hAnsi="宋体"/>
          <w:color w:val="auto"/>
          <w:szCs w:val="24"/>
          <w:highlight w:val="none"/>
        </w:rPr>
        <w:fldChar w:fldCharType="end"/>
      </w:r>
    </w:p>
    <w:p w14:paraId="2F61079D">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_Toc5525 </w:instrText>
      </w:r>
      <w:r>
        <w:rPr>
          <w:rFonts w:hint="eastAsia" w:ascii="宋体" w:hAnsi="宋体"/>
          <w:szCs w:val="24"/>
          <w:highlight w:val="none"/>
        </w:rPr>
        <w:fldChar w:fldCharType="separate"/>
      </w:r>
      <w:r>
        <w:rPr>
          <w:rFonts w:hint="eastAsia" w:ascii="宋体" w:hAnsi="宋体"/>
          <w:szCs w:val="24"/>
          <w:highlight w:val="none"/>
        </w:rPr>
        <w:t>六、</w:t>
      </w:r>
      <w:r>
        <w:rPr>
          <w:rFonts w:hint="eastAsia" w:ascii="宋体" w:hAnsi="宋体" w:cs="宋体"/>
          <w:szCs w:val="24"/>
          <w:highlight w:val="none"/>
        </w:rPr>
        <w:t>履约</w:t>
      </w:r>
      <w:r>
        <w:rPr>
          <w:rFonts w:hint="eastAsia" w:ascii="宋体" w:hAnsi="宋体" w:cs="宋体"/>
          <w:szCs w:val="24"/>
          <w:highlight w:val="none"/>
          <w:lang w:eastAsia="zh-CN"/>
        </w:rPr>
        <w:t>保证金</w:t>
      </w:r>
      <w:r>
        <w:tab/>
      </w:r>
      <w:r>
        <w:fldChar w:fldCharType="begin"/>
      </w:r>
      <w:r>
        <w:instrText xml:space="preserve"> PAGEREF _Toc5525 \h </w:instrText>
      </w:r>
      <w:r>
        <w:fldChar w:fldCharType="separate"/>
      </w:r>
      <w:r>
        <w:t>- 2 -</w:t>
      </w:r>
      <w:r>
        <w:fldChar w:fldCharType="end"/>
      </w:r>
      <w:r>
        <w:rPr>
          <w:rFonts w:hint="eastAsia" w:ascii="宋体" w:hAnsi="宋体"/>
          <w:color w:val="auto"/>
          <w:szCs w:val="24"/>
          <w:highlight w:val="none"/>
        </w:rPr>
        <w:fldChar w:fldCharType="end"/>
      </w:r>
    </w:p>
    <w:p w14:paraId="20FE182A">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_Toc17344 </w:instrText>
      </w:r>
      <w:r>
        <w:rPr>
          <w:rFonts w:hint="eastAsia" w:ascii="宋体" w:hAnsi="宋体"/>
          <w:szCs w:val="24"/>
          <w:highlight w:val="none"/>
        </w:rPr>
        <w:fldChar w:fldCharType="separate"/>
      </w:r>
      <w:r>
        <w:rPr>
          <w:rFonts w:hint="eastAsia" w:ascii="宋体" w:hAnsi="宋体"/>
          <w:szCs w:val="24"/>
          <w:highlight w:val="none"/>
          <w:lang w:val="en-US" w:eastAsia="zh-CN"/>
        </w:rPr>
        <w:t>七</w:t>
      </w:r>
      <w:r>
        <w:rPr>
          <w:rFonts w:hint="eastAsia" w:ascii="宋体" w:hAnsi="宋体"/>
          <w:szCs w:val="24"/>
          <w:highlight w:val="none"/>
        </w:rPr>
        <w:t>、其它有关规定</w:t>
      </w:r>
      <w:r>
        <w:tab/>
      </w:r>
      <w:r>
        <w:fldChar w:fldCharType="begin"/>
      </w:r>
      <w:r>
        <w:instrText xml:space="preserve"> PAGEREF _Toc17344 \h </w:instrText>
      </w:r>
      <w:r>
        <w:fldChar w:fldCharType="separate"/>
      </w:r>
      <w:r>
        <w:t>- 3 -</w:t>
      </w:r>
      <w:r>
        <w:fldChar w:fldCharType="end"/>
      </w:r>
      <w:r>
        <w:rPr>
          <w:rFonts w:hint="eastAsia" w:ascii="宋体" w:hAnsi="宋体"/>
          <w:color w:val="auto"/>
          <w:szCs w:val="24"/>
          <w:highlight w:val="none"/>
        </w:rPr>
        <w:fldChar w:fldCharType="end"/>
      </w:r>
    </w:p>
    <w:p w14:paraId="0A1FA6E9">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_Toc27256 </w:instrText>
      </w:r>
      <w:r>
        <w:rPr>
          <w:rFonts w:hint="eastAsia" w:ascii="宋体" w:hAnsi="宋体"/>
          <w:szCs w:val="24"/>
          <w:highlight w:val="none"/>
        </w:rPr>
        <w:fldChar w:fldCharType="separate"/>
      </w:r>
      <w:r>
        <w:rPr>
          <w:rFonts w:hint="eastAsia" w:ascii="宋体" w:hAnsi="宋体"/>
          <w:szCs w:val="24"/>
          <w:highlight w:val="none"/>
          <w:lang w:val="en-US" w:eastAsia="zh-CN"/>
        </w:rPr>
        <w:t>八</w:t>
      </w:r>
      <w:r>
        <w:rPr>
          <w:rFonts w:hint="eastAsia" w:ascii="宋体" w:hAnsi="宋体"/>
          <w:szCs w:val="24"/>
          <w:highlight w:val="none"/>
        </w:rPr>
        <w:t>、联系方式</w:t>
      </w:r>
      <w:r>
        <w:tab/>
      </w:r>
      <w:r>
        <w:fldChar w:fldCharType="begin"/>
      </w:r>
      <w:r>
        <w:instrText xml:space="preserve"> PAGEREF _Toc27256 \h </w:instrText>
      </w:r>
      <w:r>
        <w:fldChar w:fldCharType="separate"/>
      </w:r>
      <w:r>
        <w:t>- 3 -</w:t>
      </w:r>
      <w:r>
        <w:fldChar w:fldCharType="end"/>
      </w:r>
      <w:r>
        <w:rPr>
          <w:rFonts w:hint="eastAsia" w:ascii="宋体" w:hAnsi="宋体"/>
          <w:color w:val="auto"/>
          <w:szCs w:val="24"/>
          <w:highlight w:val="none"/>
        </w:rPr>
        <w:fldChar w:fldCharType="end"/>
      </w:r>
    </w:p>
    <w:p w14:paraId="649559DC">
      <w:pPr>
        <w:pStyle w:val="47"/>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_Toc31768 </w:instrText>
      </w:r>
      <w:r>
        <w:rPr>
          <w:rFonts w:hint="eastAsia" w:ascii="宋体" w:hAnsi="宋体"/>
          <w:szCs w:val="24"/>
          <w:highlight w:val="none"/>
        </w:rPr>
        <w:fldChar w:fldCharType="separate"/>
      </w:r>
      <w:r>
        <w:rPr>
          <w:rFonts w:hint="eastAsia" w:ascii="宋体" w:hAnsi="宋体" w:eastAsia="宋体"/>
          <w:szCs w:val="30"/>
        </w:rPr>
        <w:t xml:space="preserve">第二篇 </w:t>
      </w:r>
      <w:r>
        <w:rPr>
          <w:rFonts w:hint="eastAsia" w:ascii="宋体" w:hAnsi="宋体" w:eastAsia="宋体"/>
          <w:szCs w:val="30"/>
          <w:highlight w:val="none"/>
        </w:rPr>
        <w:t>项目服务需求</w:t>
      </w:r>
      <w:r>
        <w:tab/>
      </w:r>
      <w:r>
        <w:fldChar w:fldCharType="begin"/>
      </w:r>
      <w:r>
        <w:instrText xml:space="preserve"> PAGEREF _Toc31768 \h </w:instrText>
      </w:r>
      <w:r>
        <w:fldChar w:fldCharType="separate"/>
      </w:r>
      <w:r>
        <w:t>- 5 -</w:t>
      </w:r>
      <w:r>
        <w:fldChar w:fldCharType="end"/>
      </w:r>
      <w:r>
        <w:rPr>
          <w:rFonts w:hint="eastAsia" w:ascii="宋体" w:hAnsi="宋体"/>
          <w:color w:val="auto"/>
          <w:szCs w:val="24"/>
          <w:highlight w:val="none"/>
        </w:rPr>
        <w:fldChar w:fldCharType="end"/>
      </w:r>
    </w:p>
    <w:p w14:paraId="6C1EA7F9">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_Toc10638 </w:instrText>
      </w:r>
      <w:r>
        <w:rPr>
          <w:rFonts w:hint="eastAsia" w:ascii="宋体" w:hAnsi="宋体"/>
          <w:szCs w:val="24"/>
          <w:highlight w:val="none"/>
        </w:rPr>
        <w:fldChar w:fldCharType="separate"/>
      </w:r>
      <w:r>
        <w:rPr>
          <w:rFonts w:hint="eastAsia" w:ascii="宋体" w:hAnsi="宋体"/>
          <w:szCs w:val="24"/>
          <w:highlight w:val="none"/>
        </w:rPr>
        <w:t>一、项目基本概况</w:t>
      </w:r>
      <w:r>
        <w:tab/>
      </w:r>
      <w:r>
        <w:fldChar w:fldCharType="begin"/>
      </w:r>
      <w:r>
        <w:instrText xml:space="preserve"> PAGEREF _Toc10638 \h </w:instrText>
      </w:r>
      <w:r>
        <w:fldChar w:fldCharType="separate"/>
      </w:r>
      <w:r>
        <w:t>- 5 -</w:t>
      </w:r>
      <w:r>
        <w:fldChar w:fldCharType="end"/>
      </w:r>
      <w:r>
        <w:rPr>
          <w:rFonts w:hint="eastAsia" w:ascii="宋体" w:hAnsi="宋体"/>
          <w:color w:val="auto"/>
          <w:szCs w:val="24"/>
          <w:highlight w:val="none"/>
        </w:rPr>
        <w:fldChar w:fldCharType="end"/>
      </w:r>
    </w:p>
    <w:p w14:paraId="42F969FA">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_Toc24348 </w:instrText>
      </w:r>
      <w:r>
        <w:rPr>
          <w:rFonts w:hint="eastAsia" w:ascii="宋体" w:hAnsi="宋体"/>
          <w:szCs w:val="24"/>
          <w:highlight w:val="none"/>
        </w:rPr>
        <w:fldChar w:fldCharType="separate"/>
      </w:r>
      <w:r>
        <w:rPr>
          <w:rFonts w:hint="eastAsia" w:ascii="宋体" w:hAnsi="宋体"/>
          <w:szCs w:val="24"/>
          <w:highlight w:val="none"/>
        </w:rPr>
        <w:t>二、服务范围</w:t>
      </w:r>
      <w:r>
        <w:tab/>
      </w:r>
      <w:r>
        <w:fldChar w:fldCharType="begin"/>
      </w:r>
      <w:r>
        <w:instrText xml:space="preserve"> PAGEREF _Toc24348 \h </w:instrText>
      </w:r>
      <w:r>
        <w:fldChar w:fldCharType="separate"/>
      </w:r>
      <w:r>
        <w:t>- 5 -</w:t>
      </w:r>
      <w:r>
        <w:fldChar w:fldCharType="end"/>
      </w:r>
      <w:r>
        <w:rPr>
          <w:rFonts w:hint="eastAsia" w:ascii="宋体" w:hAnsi="宋体"/>
          <w:color w:val="auto"/>
          <w:szCs w:val="24"/>
          <w:highlight w:val="none"/>
        </w:rPr>
        <w:fldChar w:fldCharType="end"/>
      </w:r>
    </w:p>
    <w:p w14:paraId="01F64835">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_Toc5579 </w:instrText>
      </w:r>
      <w:r>
        <w:rPr>
          <w:rFonts w:hint="eastAsia" w:ascii="宋体" w:hAnsi="宋体"/>
          <w:szCs w:val="24"/>
          <w:highlight w:val="none"/>
        </w:rPr>
        <w:fldChar w:fldCharType="separate"/>
      </w:r>
      <w:r>
        <w:rPr>
          <w:rFonts w:hint="eastAsia" w:ascii="宋体" w:hAnsi="宋体"/>
          <w:szCs w:val="24"/>
          <w:highlight w:val="none"/>
          <w:lang w:eastAsia="zh-CN"/>
        </w:rPr>
        <w:t>三、</w:t>
      </w:r>
      <w:r>
        <w:rPr>
          <w:rFonts w:hint="eastAsia" w:ascii="宋体" w:hAnsi="宋体"/>
          <w:szCs w:val="24"/>
          <w:highlight w:val="none"/>
        </w:rPr>
        <w:t>质量要求</w:t>
      </w:r>
      <w:r>
        <w:tab/>
      </w:r>
      <w:r>
        <w:fldChar w:fldCharType="begin"/>
      </w:r>
      <w:r>
        <w:instrText xml:space="preserve"> PAGEREF _Toc5579 \h </w:instrText>
      </w:r>
      <w:r>
        <w:fldChar w:fldCharType="separate"/>
      </w:r>
      <w:r>
        <w:t>- 5 -</w:t>
      </w:r>
      <w:r>
        <w:fldChar w:fldCharType="end"/>
      </w:r>
      <w:r>
        <w:rPr>
          <w:rFonts w:hint="eastAsia" w:ascii="宋体" w:hAnsi="宋体"/>
          <w:color w:val="auto"/>
          <w:szCs w:val="24"/>
          <w:highlight w:val="none"/>
        </w:rPr>
        <w:fldChar w:fldCharType="end"/>
      </w:r>
    </w:p>
    <w:p w14:paraId="4479DE02">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_Toc30758 </w:instrText>
      </w:r>
      <w:r>
        <w:rPr>
          <w:rFonts w:hint="eastAsia" w:ascii="宋体" w:hAnsi="宋体"/>
          <w:szCs w:val="24"/>
          <w:highlight w:val="none"/>
        </w:rPr>
        <w:fldChar w:fldCharType="separate"/>
      </w:r>
      <w:r>
        <w:rPr>
          <w:rFonts w:hint="eastAsia" w:ascii="宋体" w:hAnsi="宋体"/>
          <w:szCs w:val="24"/>
          <w:highlight w:val="none"/>
          <w:lang w:eastAsia="zh-CN"/>
        </w:rPr>
        <w:t>四</w:t>
      </w:r>
      <w:r>
        <w:rPr>
          <w:rFonts w:hint="eastAsia" w:ascii="宋体" w:hAnsi="宋体"/>
          <w:szCs w:val="24"/>
          <w:highlight w:val="none"/>
        </w:rPr>
        <w:t>、其他要求</w:t>
      </w:r>
      <w:r>
        <w:tab/>
      </w:r>
      <w:r>
        <w:fldChar w:fldCharType="begin"/>
      </w:r>
      <w:r>
        <w:instrText xml:space="preserve"> PAGEREF _Toc30758 \h </w:instrText>
      </w:r>
      <w:r>
        <w:fldChar w:fldCharType="separate"/>
      </w:r>
      <w:r>
        <w:t>- 5 -</w:t>
      </w:r>
      <w:r>
        <w:fldChar w:fldCharType="end"/>
      </w:r>
      <w:r>
        <w:rPr>
          <w:rFonts w:hint="eastAsia" w:ascii="宋体" w:hAnsi="宋体"/>
          <w:color w:val="auto"/>
          <w:szCs w:val="24"/>
          <w:highlight w:val="none"/>
        </w:rPr>
        <w:fldChar w:fldCharType="end"/>
      </w:r>
    </w:p>
    <w:p w14:paraId="342A1F47">
      <w:pPr>
        <w:pStyle w:val="47"/>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_Toc22673 </w:instrText>
      </w:r>
      <w:r>
        <w:rPr>
          <w:rFonts w:hint="eastAsia" w:ascii="宋体" w:hAnsi="宋体"/>
          <w:szCs w:val="24"/>
          <w:highlight w:val="none"/>
        </w:rPr>
        <w:fldChar w:fldCharType="separate"/>
      </w:r>
      <w:r>
        <w:rPr>
          <w:rFonts w:hint="eastAsia" w:ascii="宋体" w:hAnsi="宋体" w:eastAsia="宋体"/>
          <w:szCs w:val="30"/>
        </w:rPr>
        <w:t xml:space="preserve">第三篇 </w:t>
      </w:r>
      <w:r>
        <w:rPr>
          <w:rFonts w:hint="eastAsia" w:ascii="宋体" w:hAnsi="宋体" w:eastAsia="宋体"/>
          <w:szCs w:val="30"/>
          <w:highlight w:val="none"/>
        </w:rPr>
        <w:t>项目商务需求</w:t>
      </w:r>
      <w:r>
        <w:tab/>
      </w:r>
      <w:r>
        <w:fldChar w:fldCharType="begin"/>
      </w:r>
      <w:r>
        <w:instrText xml:space="preserve"> PAGEREF _Toc22673 \h </w:instrText>
      </w:r>
      <w:r>
        <w:fldChar w:fldCharType="separate"/>
      </w:r>
      <w:r>
        <w:t>- 7 -</w:t>
      </w:r>
      <w:r>
        <w:fldChar w:fldCharType="end"/>
      </w:r>
      <w:r>
        <w:rPr>
          <w:rFonts w:hint="eastAsia" w:ascii="宋体" w:hAnsi="宋体"/>
          <w:color w:val="auto"/>
          <w:szCs w:val="24"/>
          <w:highlight w:val="none"/>
        </w:rPr>
        <w:fldChar w:fldCharType="end"/>
      </w:r>
    </w:p>
    <w:p w14:paraId="7A0BEE6D">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_Toc4303 </w:instrText>
      </w:r>
      <w:r>
        <w:rPr>
          <w:rFonts w:hint="eastAsia" w:ascii="宋体" w:hAnsi="宋体"/>
          <w:szCs w:val="24"/>
          <w:highlight w:val="none"/>
        </w:rPr>
        <w:fldChar w:fldCharType="separate"/>
      </w:r>
      <w:r>
        <w:rPr>
          <w:rFonts w:hint="eastAsia" w:ascii="宋体" w:hAnsi="宋体"/>
          <w:szCs w:val="24"/>
          <w:highlight w:val="none"/>
        </w:rPr>
        <w:t>一、</w:t>
      </w:r>
      <w:r>
        <w:rPr>
          <w:rFonts w:hint="eastAsia" w:ascii="宋体" w:hAnsi="宋体" w:eastAsia="宋体" w:cs="宋体"/>
          <w:bCs/>
          <w:szCs w:val="24"/>
          <w:highlight w:val="none"/>
          <w:lang w:val="zh-CN"/>
        </w:rPr>
        <w:t>服务期、地点及验收方式</w:t>
      </w:r>
      <w:r>
        <w:tab/>
      </w:r>
      <w:r>
        <w:fldChar w:fldCharType="begin"/>
      </w:r>
      <w:r>
        <w:instrText xml:space="preserve"> PAGEREF _Toc4303 \h </w:instrText>
      </w:r>
      <w:r>
        <w:fldChar w:fldCharType="separate"/>
      </w:r>
      <w:r>
        <w:t>- 7 -</w:t>
      </w:r>
      <w:r>
        <w:fldChar w:fldCharType="end"/>
      </w:r>
      <w:r>
        <w:rPr>
          <w:rFonts w:hint="eastAsia" w:ascii="宋体" w:hAnsi="宋体"/>
          <w:color w:val="auto"/>
          <w:szCs w:val="24"/>
          <w:highlight w:val="none"/>
        </w:rPr>
        <w:fldChar w:fldCharType="end"/>
      </w:r>
    </w:p>
    <w:p w14:paraId="0FB91AC6">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_Toc19402 </w:instrText>
      </w:r>
      <w:r>
        <w:rPr>
          <w:rFonts w:hint="eastAsia" w:ascii="宋体" w:hAnsi="宋体"/>
          <w:szCs w:val="24"/>
          <w:highlight w:val="none"/>
        </w:rPr>
        <w:fldChar w:fldCharType="separate"/>
      </w:r>
      <w:r>
        <w:rPr>
          <w:rFonts w:hint="eastAsia" w:ascii="宋体" w:hAnsi="宋体"/>
          <w:szCs w:val="24"/>
          <w:highlight w:val="none"/>
        </w:rPr>
        <w:t>二、报价要求</w:t>
      </w:r>
      <w:r>
        <w:tab/>
      </w:r>
      <w:r>
        <w:fldChar w:fldCharType="begin"/>
      </w:r>
      <w:r>
        <w:instrText xml:space="preserve"> PAGEREF _Toc19402 \h </w:instrText>
      </w:r>
      <w:r>
        <w:fldChar w:fldCharType="separate"/>
      </w:r>
      <w:r>
        <w:t>- 7 -</w:t>
      </w:r>
      <w:r>
        <w:fldChar w:fldCharType="end"/>
      </w:r>
      <w:r>
        <w:rPr>
          <w:rFonts w:hint="eastAsia" w:ascii="宋体" w:hAnsi="宋体"/>
          <w:color w:val="auto"/>
          <w:szCs w:val="24"/>
          <w:highlight w:val="none"/>
        </w:rPr>
        <w:fldChar w:fldCharType="end"/>
      </w:r>
    </w:p>
    <w:p w14:paraId="29A53083">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_Toc24360 </w:instrText>
      </w:r>
      <w:r>
        <w:rPr>
          <w:rFonts w:hint="eastAsia" w:ascii="宋体" w:hAnsi="宋体"/>
          <w:szCs w:val="24"/>
          <w:highlight w:val="none"/>
        </w:rPr>
        <w:fldChar w:fldCharType="separate"/>
      </w:r>
      <w:r>
        <w:rPr>
          <w:rFonts w:hint="eastAsia" w:ascii="宋体" w:hAnsi="宋体"/>
          <w:szCs w:val="24"/>
          <w:highlight w:val="none"/>
          <w:lang w:val="en-US" w:eastAsia="zh-CN"/>
        </w:rPr>
        <w:t>五</w:t>
      </w:r>
      <w:r>
        <w:rPr>
          <w:rFonts w:hint="eastAsia" w:ascii="宋体" w:hAnsi="宋体"/>
          <w:szCs w:val="24"/>
          <w:highlight w:val="none"/>
        </w:rPr>
        <w:t>、成果要求</w:t>
      </w:r>
      <w:r>
        <w:tab/>
      </w:r>
      <w:r>
        <w:fldChar w:fldCharType="begin"/>
      </w:r>
      <w:r>
        <w:instrText xml:space="preserve"> PAGEREF _Toc24360 \h </w:instrText>
      </w:r>
      <w:r>
        <w:fldChar w:fldCharType="separate"/>
      </w:r>
      <w:r>
        <w:t>- 9 -</w:t>
      </w:r>
      <w:r>
        <w:fldChar w:fldCharType="end"/>
      </w:r>
      <w:r>
        <w:rPr>
          <w:rFonts w:hint="eastAsia" w:ascii="宋体" w:hAnsi="宋体"/>
          <w:color w:val="auto"/>
          <w:szCs w:val="24"/>
          <w:highlight w:val="none"/>
        </w:rPr>
        <w:fldChar w:fldCharType="end"/>
      </w:r>
    </w:p>
    <w:p w14:paraId="3363747E">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_Toc18893 </w:instrText>
      </w:r>
      <w:r>
        <w:rPr>
          <w:rFonts w:hint="eastAsia" w:ascii="宋体" w:hAnsi="宋体"/>
          <w:szCs w:val="24"/>
          <w:highlight w:val="none"/>
        </w:rPr>
        <w:fldChar w:fldCharType="separate"/>
      </w:r>
      <w:r>
        <w:rPr>
          <w:rFonts w:hint="eastAsia" w:ascii="宋体" w:hAnsi="宋体"/>
          <w:szCs w:val="24"/>
          <w:highlight w:val="none"/>
          <w:lang w:val="en-US" w:eastAsia="zh-CN"/>
        </w:rPr>
        <w:t>六</w:t>
      </w:r>
      <w:r>
        <w:rPr>
          <w:rFonts w:hint="eastAsia" w:ascii="宋体" w:hAnsi="宋体"/>
          <w:szCs w:val="24"/>
          <w:highlight w:val="none"/>
        </w:rPr>
        <w:t>、付款方式</w:t>
      </w:r>
      <w:r>
        <w:tab/>
      </w:r>
      <w:r>
        <w:fldChar w:fldCharType="begin"/>
      </w:r>
      <w:r>
        <w:instrText xml:space="preserve"> PAGEREF _Toc18893 \h </w:instrText>
      </w:r>
      <w:r>
        <w:fldChar w:fldCharType="separate"/>
      </w:r>
      <w:r>
        <w:t>- 9 -</w:t>
      </w:r>
      <w:r>
        <w:fldChar w:fldCharType="end"/>
      </w:r>
      <w:r>
        <w:rPr>
          <w:rFonts w:hint="eastAsia" w:ascii="宋体" w:hAnsi="宋体"/>
          <w:color w:val="auto"/>
          <w:szCs w:val="24"/>
          <w:highlight w:val="none"/>
        </w:rPr>
        <w:fldChar w:fldCharType="end"/>
      </w:r>
    </w:p>
    <w:p w14:paraId="60C90E5F">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_Toc1684 </w:instrText>
      </w:r>
      <w:r>
        <w:rPr>
          <w:rFonts w:hint="eastAsia" w:ascii="宋体" w:hAnsi="宋体"/>
          <w:szCs w:val="24"/>
          <w:highlight w:val="none"/>
        </w:rPr>
        <w:fldChar w:fldCharType="separate"/>
      </w:r>
      <w:r>
        <w:rPr>
          <w:rFonts w:hint="eastAsia" w:ascii="宋体" w:hAnsi="宋体"/>
          <w:szCs w:val="24"/>
          <w:highlight w:val="none"/>
          <w:lang w:val="en-US" w:eastAsia="zh-CN"/>
        </w:rPr>
        <w:t>七</w:t>
      </w:r>
      <w:r>
        <w:rPr>
          <w:rFonts w:hint="eastAsia" w:ascii="宋体" w:hAnsi="宋体"/>
          <w:szCs w:val="24"/>
          <w:highlight w:val="none"/>
        </w:rPr>
        <w:t>、知识产权</w:t>
      </w:r>
      <w:r>
        <w:tab/>
      </w:r>
      <w:r>
        <w:fldChar w:fldCharType="begin"/>
      </w:r>
      <w:r>
        <w:instrText xml:space="preserve"> PAGEREF _Toc1684 \h </w:instrText>
      </w:r>
      <w:r>
        <w:fldChar w:fldCharType="separate"/>
      </w:r>
      <w:r>
        <w:t>- 9 -</w:t>
      </w:r>
      <w:r>
        <w:fldChar w:fldCharType="end"/>
      </w:r>
      <w:r>
        <w:rPr>
          <w:rFonts w:hint="eastAsia" w:ascii="宋体" w:hAnsi="宋体"/>
          <w:color w:val="auto"/>
          <w:szCs w:val="24"/>
          <w:highlight w:val="none"/>
        </w:rPr>
        <w:fldChar w:fldCharType="end"/>
      </w:r>
    </w:p>
    <w:p w14:paraId="11D59EA3">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_Toc22859 </w:instrText>
      </w:r>
      <w:r>
        <w:rPr>
          <w:rFonts w:hint="eastAsia" w:ascii="宋体" w:hAnsi="宋体"/>
          <w:szCs w:val="24"/>
          <w:highlight w:val="none"/>
        </w:rPr>
        <w:fldChar w:fldCharType="separate"/>
      </w:r>
      <w:r>
        <w:rPr>
          <w:rFonts w:hint="eastAsia" w:ascii="宋体" w:hAnsi="宋体" w:cs="Times New Roman"/>
          <w:szCs w:val="24"/>
          <w:highlight w:val="none"/>
          <w:lang w:val="en-US" w:eastAsia="zh-CN"/>
        </w:rPr>
        <w:t>八</w:t>
      </w:r>
      <w:r>
        <w:rPr>
          <w:rFonts w:hint="eastAsia" w:ascii="宋体" w:hAnsi="宋体" w:eastAsia="宋体" w:cs="Times New Roman"/>
          <w:szCs w:val="24"/>
          <w:highlight w:val="none"/>
          <w:lang w:val="en-US" w:eastAsia="zh-CN"/>
        </w:rPr>
        <w:t>、保密义务</w:t>
      </w:r>
      <w:r>
        <w:tab/>
      </w:r>
      <w:r>
        <w:fldChar w:fldCharType="begin"/>
      </w:r>
      <w:r>
        <w:instrText xml:space="preserve"> PAGEREF _Toc22859 \h </w:instrText>
      </w:r>
      <w:r>
        <w:fldChar w:fldCharType="separate"/>
      </w:r>
      <w:r>
        <w:t>- 9 -</w:t>
      </w:r>
      <w:r>
        <w:fldChar w:fldCharType="end"/>
      </w:r>
      <w:r>
        <w:rPr>
          <w:rFonts w:hint="eastAsia" w:ascii="宋体" w:hAnsi="宋体"/>
          <w:color w:val="auto"/>
          <w:szCs w:val="24"/>
          <w:highlight w:val="none"/>
        </w:rPr>
        <w:fldChar w:fldCharType="end"/>
      </w:r>
    </w:p>
    <w:p w14:paraId="2C891E54">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_Toc2158 </w:instrText>
      </w:r>
      <w:r>
        <w:rPr>
          <w:rFonts w:hint="eastAsia" w:ascii="宋体" w:hAnsi="宋体"/>
          <w:szCs w:val="24"/>
          <w:highlight w:val="none"/>
        </w:rPr>
        <w:fldChar w:fldCharType="separate"/>
      </w:r>
      <w:r>
        <w:rPr>
          <w:rFonts w:hint="eastAsia" w:ascii="宋体" w:hAnsi="宋体" w:cs="Times New Roman"/>
          <w:szCs w:val="24"/>
          <w:highlight w:val="none"/>
          <w:lang w:val="en-US" w:eastAsia="zh-CN"/>
        </w:rPr>
        <w:t>九</w:t>
      </w:r>
      <w:r>
        <w:rPr>
          <w:rFonts w:hint="eastAsia" w:ascii="宋体" w:hAnsi="宋体" w:eastAsia="宋体" w:cs="Times New Roman"/>
          <w:szCs w:val="24"/>
          <w:highlight w:val="none"/>
          <w:lang w:val="en-US" w:eastAsia="zh-CN"/>
        </w:rPr>
        <w:t>、其他</w:t>
      </w:r>
      <w:r>
        <w:tab/>
      </w:r>
      <w:r>
        <w:fldChar w:fldCharType="begin"/>
      </w:r>
      <w:r>
        <w:instrText xml:space="preserve"> PAGEREF _Toc2158 \h </w:instrText>
      </w:r>
      <w:r>
        <w:fldChar w:fldCharType="separate"/>
      </w:r>
      <w:r>
        <w:t>- 10 -</w:t>
      </w:r>
      <w:r>
        <w:fldChar w:fldCharType="end"/>
      </w:r>
      <w:r>
        <w:rPr>
          <w:rFonts w:hint="eastAsia" w:ascii="宋体" w:hAnsi="宋体"/>
          <w:color w:val="auto"/>
          <w:szCs w:val="24"/>
          <w:highlight w:val="none"/>
        </w:rPr>
        <w:fldChar w:fldCharType="end"/>
      </w:r>
    </w:p>
    <w:p w14:paraId="0EE808D9">
      <w:pPr>
        <w:pStyle w:val="47"/>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_Toc32225 </w:instrText>
      </w:r>
      <w:r>
        <w:rPr>
          <w:rFonts w:hint="eastAsia" w:ascii="宋体" w:hAnsi="宋体"/>
          <w:szCs w:val="24"/>
          <w:highlight w:val="none"/>
        </w:rPr>
        <w:fldChar w:fldCharType="separate"/>
      </w:r>
      <w:r>
        <w:rPr>
          <w:rFonts w:hint="eastAsia" w:ascii="宋体" w:hAnsi="宋体" w:eastAsia="宋体"/>
          <w:szCs w:val="30"/>
          <w:highlight w:val="none"/>
        </w:rPr>
        <w:t>第四篇  磋商程序及方法、评审标准、无效响应和采购终止</w:t>
      </w:r>
      <w:r>
        <w:tab/>
      </w:r>
      <w:r>
        <w:fldChar w:fldCharType="begin"/>
      </w:r>
      <w:r>
        <w:instrText xml:space="preserve"> PAGEREF _Toc32225 \h </w:instrText>
      </w:r>
      <w:r>
        <w:fldChar w:fldCharType="separate"/>
      </w:r>
      <w:r>
        <w:t>- 11 -</w:t>
      </w:r>
      <w:r>
        <w:fldChar w:fldCharType="end"/>
      </w:r>
      <w:r>
        <w:rPr>
          <w:rFonts w:hint="eastAsia" w:ascii="宋体" w:hAnsi="宋体"/>
          <w:color w:val="auto"/>
          <w:szCs w:val="24"/>
          <w:highlight w:val="none"/>
        </w:rPr>
        <w:fldChar w:fldCharType="end"/>
      </w:r>
    </w:p>
    <w:p w14:paraId="0A6314D8">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_Toc27362 </w:instrText>
      </w:r>
      <w:r>
        <w:rPr>
          <w:rFonts w:hint="eastAsia" w:ascii="宋体" w:hAnsi="宋体"/>
          <w:szCs w:val="24"/>
          <w:highlight w:val="none"/>
        </w:rPr>
        <w:fldChar w:fldCharType="separate"/>
      </w:r>
      <w:r>
        <w:rPr>
          <w:rFonts w:hint="eastAsia" w:ascii="宋体" w:hAnsi="宋体"/>
          <w:szCs w:val="24"/>
          <w:highlight w:val="none"/>
        </w:rPr>
        <w:t>一、磋商程序及方法</w:t>
      </w:r>
      <w:r>
        <w:tab/>
      </w:r>
      <w:r>
        <w:fldChar w:fldCharType="begin"/>
      </w:r>
      <w:r>
        <w:instrText xml:space="preserve"> PAGEREF _Toc27362 \h </w:instrText>
      </w:r>
      <w:r>
        <w:fldChar w:fldCharType="separate"/>
      </w:r>
      <w:r>
        <w:t>- 11 -</w:t>
      </w:r>
      <w:r>
        <w:fldChar w:fldCharType="end"/>
      </w:r>
      <w:r>
        <w:rPr>
          <w:rFonts w:hint="eastAsia" w:ascii="宋体" w:hAnsi="宋体"/>
          <w:color w:val="auto"/>
          <w:szCs w:val="24"/>
          <w:highlight w:val="none"/>
        </w:rPr>
        <w:fldChar w:fldCharType="end"/>
      </w:r>
    </w:p>
    <w:p w14:paraId="2F1FEA63">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_Toc31235 </w:instrText>
      </w:r>
      <w:r>
        <w:rPr>
          <w:rFonts w:hint="eastAsia" w:ascii="宋体" w:hAnsi="宋体"/>
          <w:szCs w:val="24"/>
          <w:highlight w:val="none"/>
        </w:rPr>
        <w:fldChar w:fldCharType="separate"/>
      </w:r>
      <w:r>
        <w:rPr>
          <w:rFonts w:hint="eastAsia" w:ascii="宋体" w:hAnsi="宋体"/>
          <w:szCs w:val="24"/>
          <w:highlight w:val="none"/>
        </w:rPr>
        <w:t>二、评审标准</w:t>
      </w:r>
      <w:r>
        <w:tab/>
      </w:r>
      <w:r>
        <w:fldChar w:fldCharType="begin"/>
      </w:r>
      <w:r>
        <w:instrText xml:space="preserve"> PAGEREF _Toc31235 \h </w:instrText>
      </w:r>
      <w:r>
        <w:fldChar w:fldCharType="separate"/>
      </w:r>
      <w:r>
        <w:t>- 13 -</w:t>
      </w:r>
      <w:r>
        <w:fldChar w:fldCharType="end"/>
      </w:r>
      <w:r>
        <w:rPr>
          <w:rFonts w:hint="eastAsia" w:ascii="宋体" w:hAnsi="宋体"/>
          <w:color w:val="auto"/>
          <w:szCs w:val="24"/>
          <w:highlight w:val="none"/>
        </w:rPr>
        <w:fldChar w:fldCharType="end"/>
      </w:r>
    </w:p>
    <w:p w14:paraId="68231812">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_Toc20392 </w:instrText>
      </w:r>
      <w:r>
        <w:rPr>
          <w:rFonts w:hint="eastAsia" w:ascii="宋体" w:hAnsi="宋体"/>
          <w:szCs w:val="24"/>
          <w:highlight w:val="none"/>
        </w:rPr>
        <w:fldChar w:fldCharType="separate"/>
      </w:r>
      <w:r>
        <w:rPr>
          <w:rFonts w:hint="eastAsia" w:ascii="宋体" w:hAnsi="宋体"/>
          <w:szCs w:val="24"/>
          <w:highlight w:val="none"/>
        </w:rPr>
        <w:t>三、无效响应</w:t>
      </w:r>
      <w:r>
        <w:tab/>
      </w:r>
      <w:r>
        <w:fldChar w:fldCharType="begin"/>
      </w:r>
      <w:r>
        <w:instrText xml:space="preserve"> PAGEREF _Toc20392 \h </w:instrText>
      </w:r>
      <w:r>
        <w:fldChar w:fldCharType="separate"/>
      </w:r>
      <w:r>
        <w:t>- 16 -</w:t>
      </w:r>
      <w:r>
        <w:fldChar w:fldCharType="end"/>
      </w:r>
      <w:r>
        <w:rPr>
          <w:rFonts w:hint="eastAsia" w:ascii="宋体" w:hAnsi="宋体"/>
          <w:color w:val="auto"/>
          <w:szCs w:val="24"/>
          <w:highlight w:val="none"/>
        </w:rPr>
        <w:fldChar w:fldCharType="end"/>
      </w:r>
    </w:p>
    <w:p w14:paraId="5327B74A">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_Toc30031 </w:instrText>
      </w:r>
      <w:r>
        <w:rPr>
          <w:rFonts w:hint="eastAsia" w:ascii="宋体" w:hAnsi="宋体"/>
          <w:szCs w:val="24"/>
          <w:highlight w:val="none"/>
        </w:rPr>
        <w:fldChar w:fldCharType="separate"/>
      </w:r>
      <w:r>
        <w:rPr>
          <w:rFonts w:hint="eastAsia" w:ascii="宋体" w:hAnsi="宋体"/>
          <w:szCs w:val="24"/>
          <w:highlight w:val="none"/>
        </w:rPr>
        <w:t>四、采购终止</w:t>
      </w:r>
      <w:r>
        <w:tab/>
      </w:r>
      <w:r>
        <w:fldChar w:fldCharType="begin"/>
      </w:r>
      <w:r>
        <w:instrText xml:space="preserve"> PAGEREF _Toc30031 \h </w:instrText>
      </w:r>
      <w:r>
        <w:fldChar w:fldCharType="separate"/>
      </w:r>
      <w:r>
        <w:t>- 16 -</w:t>
      </w:r>
      <w:r>
        <w:fldChar w:fldCharType="end"/>
      </w:r>
      <w:r>
        <w:rPr>
          <w:rFonts w:hint="eastAsia" w:ascii="宋体" w:hAnsi="宋体"/>
          <w:color w:val="auto"/>
          <w:szCs w:val="24"/>
          <w:highlight w:val="none"/>
        </w:rPr>
        <w:fldChar w:fldCharType="end"/>
      </w:r>
    </w:p>
    <w:p w14:paraId="57AFD11B">
      <w:pPr>
        <w:pStyle w:val="47"/>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_Toc16771 </w:instrText>
      </w:r>
      <w:r>
        <w:rPr>
          <w:rFonts w:hint="eastAsia" w:ascii="宋体" w:hAnsi="宋体"/>
          <w:szCs w:val="24"/>
          <w:highlight w:val="none"/>
        </w:rPr>
        <w:fldChar w:fldCharType="separate"/>
      </w:r>
      <w:r>
        <w:rPr>
          <w:rFonts w:hint="eastAsia" w:ascii="宋体" w:hAnsi="宋体" w:eastAsia="宋体"/>
          <w:szCs w:val="30"/>
          <w:highlight w:val="none"/>
        </w:rPr>
        <w:t>第五篇  供应商须知</w:t>
      </w:r>
      <w:r>
        <w:tab/>
      </w:r>
      <w:r>
        <w:fldChar w:fldCharType="begin"/>
      </w:r>
      <w:r>
        <w:instrText xml:space="preserve"> PAGEREF _Toc16771 \h </w:instrText>
      </w:r>
      <w:r>
        <w:fldChar w:fldCharType="separate"/>
      </w:r>
      <w:r>
        <w:t>17</w:t>
      </w:r>
      <w:r>
        <w:fldChar w:fldCharType="end"/>
      </w:r>
      <w:r>
        <w:rPr>
          <w:rFonts w:hint="eastAsia" w:ascii="宋体" w:hAnsi="宋体"/>
          <w:color w:val="auto"/>
          <w:szCs w:val="24"/>
          <w:highlight w:val="none"/>
        </w:rPr>
        <w:fldChar w:fldCharType="end"/>
      </w:r>
    </w:p>
    <w:p w14:paraId="4484C54E">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_Toc21147 </w:instrText>
      </w:r>
      <w:r>
        <w:rPr>
          <w:rFonts w:hint="eastAsia" w:ascii="宋体" w:hAnsi="宋体"/>
          <w:szCs w:val="24"/>
          <w:highlight w:val="none"/>
        </w:rPr>
        <w:fldChar w:fldCharType="separate"/>
      </w:r>
      <w:r>
        <w:rPr>
          <w:rFonts w:hint="eastAsia" w:ascii="宋体" w:hAnsi="宋体"/>
          <w:szCs w:val="24"/>
          <w:highlight w:val="none"/>
        </w:rPr>
        <w:t>一、磋商费用</w:t>
      </w:r>
      <w:r>
        <w:tab/>
      </w:r>
      <w:r>
        <w:fldChar w:fldCharType="begin"/>
      </w:r>
      <w:r>
        <w:instrText xml:space="preserve"> PAGEREF _Toc21147 \h </w:instrText>
      </w:r>
      <w:r>
        <w:fldChar w:fldCharType="separate"/>
      </w:r>
      <w:r>
        <w:t>17</w:t>
      </w:r>
      <w:r>
        <w:fldChar w:fldCharType="end"/>
      </w:r>
      <w:r>
        <w:rPr>
          <w:rFonts w:hint="eastAsia" w:ascii="宋体" w:hAnsi="宋体"/>
          <w:color w:val="auto"/>
          <w:szCs w:val="24"/>
          <w:highlight w:val="none"/>
        </w:rPr>
        <w:fldChar w:fldCharType="end"/>
      </w:r>
    </w:p>
    <w:p w14:paraId="610968E1">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_Toc30377 </w:instrText>
      </w:r>
      <w:r>
        <w:rPr>
          <w:rFonts w:hint="eastAsia" w:ascii="宋体" w:hAnsi="宋体"/>
          <w:szCs w:val="24"/>
          <w:highlight w:val="none"/>
        </w:rPr>
        <w:fldChar w:fldCharType="separate"/>
      </w:r>
      <w:r>
        <w:rPr>
          <w:rFonts w:hint="eastAsia" w:ascii="宋体" w:hAnsi="宋体"/>
          <w:szCs w:val="24"/>
          <w:highlight w:val="none"/>
        </w:rPr>
        <w:t>二、竞争性磋商文件</w:t>
      </w:r>
      <w:r>
        <w:tab/>
      </w:r>
      <w:r>
        <w:fldChar w:fldCharType="begin"/>
      </w:r>
      <w:r>
        <w:instrText xml:space="preserve"> PAGEREF _Toc30377 \h </w:instrText>
      </w:r>
      <w:r>
        <w:fldChar w:fldCharType="separate"/>
      </w:r>
      <w:r>
        <w:t>17</w:t>
      </w:r>
      <w:r>
        <w:fldChar w:fldCharType="end"/>
      </w:r>
      <w:r>
        <w:rPr>
          <w:rFonts w:hint="eastAsia" w:ascii="宋体" w:hAnsi="宋体"/>
          <w:color w:val="auto"/>
          <w:szCs w:val="24"/>
          <w:highlight w:val="none"/>
        </w:rPr>
        <w:fldChar w:fldCharType="end"/>
      </w:r>
    </w:p>
    <w:p w14:paraId="475C1FA9">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_Toc6958 </w:instrText>
      </w:r>
      <w:r>
        <w:rPr>
          <w:rFonts w:hint="eastAsia" w:ascii="宋体" w:hAnsi="宋体"/>
          <w:szCs w:val="24"/>
          <w:highlight w:val="none"/>
        </w:rPr>
        <w:fldChar w:fldCharType="separate"/>
      </w:r>
      <w:r>
        <w:rPr>
          <w:rFonts w:hint="eastAsia" w:ascii="宋体" w:hAnsi="宋体"/>
          <w:szCs w:val="24"/>
          <w:highlight w:val="none"/>
        </w:rPr>
        <w:t>三、磋商要求</w:t>
      </w:r>
      <w:r>
        <w:tab/>
      </w:r>
      <w:r>
        <w:fldChar w:fldCharType="begin"/>
      </w:r>
      <w:r>
        <w:instrText xml:space="preserve"> PAGEREF _Toc6958 \h </w:instrText>
      </w:r>
      <w:r>
        <w:fldChar w:fldCharType="separate"/>
      </w:r>
      <w:r>
        <w:t>17</w:t>
      </w:r>
      <w:r>
        <w:fldChar w:fldCharType="end"/>
      </w:r>
      <w:r>
        <w:rPr>
          <w:rFonts w:hint="eastAsia" w:ascii="宋体" w:hAnsi="宋体"/>
          <w:color w:val="auto"/>
          <w:szCs w:val="24"/>
          <w:highlight w:val="none"/>
        </w:rPr>
        <w:fldChar w:fldCharType="end"/>
      </w:r>
    </w:p>
    <w:p w14:paraId="3CCC4CB4">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_Toc30594 </w:instrText>
      </w:r>
      <w:r>
        <w:rPr>
          <w:rFonts w:hint="eastAsia" w:ascii="宋体" w:hAnsi="宋体"/>
          <w:szCs w:val="24"/>
          <w:highlight w:val="none"/>
        </w:rPr>
        <w:fldChar w:fldCharType="separate"/>
      </w:r>
      <w:r>
        <w:rPr>
          <w:rFonts w:hint="eastAsia" w:ascii="宋体" w:hAnsi="宋体"/>
          <w:szCs w:val="24"/>
          <w:highlight w:val="none"/>
        </w:rPr>
        <w:t>四、成交供应商的确认和变更</w:t>
      </w:r>
      <w:r>
        <w:tab/>
      </w:r>
      <w:r>
        <w:fldChar w:fldCharType="begin"/>
      </w:r>
      <w:r>
        <w:instrText xml:space="preserve"> PAGEREF _Toc30594 \h </w:instrText>
      </w:r>
      <w:r>
        <w:fldChar w:fldCharType="separate"/>
      </w:r>
      <w:r>
        <w:t>18</w:t>
      </w:r>
      <w:r>
        <w:fldChar w:fldCharType="end"/>
      </w:r>
      <w:r>
        <w:rPr>
          <w:rFonts w:hint="eastAsia" w:ascii="宋体" w:hAnsi="宋体"/>
          <w:color w:val="auto"/>
          <w:szCs w:val="24"/>
          <w:highlight w:val="none"/>
        </w:rPr>
        <w:fldChar w:fldCharType="end"/>
      </w:r>
    </w:p>
    <w:p w14:paraId="0736940E">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_Toc20742 </w:instrText>
      </w:r>
      <w:r>
        <w:rPr>
          <w:rFonts w:hint="eastAsia" w:ascii="宋体" w:hAnsi="宋体"/>
          <w:szCs w:val="24"/>
          <w:highlight w:val="none"/>
        </w:rPr>
        <w:fldChar w:fldCharType="separate"/>
      </w:r>
      <w:r>
        <w:rPr>
          <w:rFonts w:hint="eastAsia" w:ascii="宋体" w:hAnsi="宋体"/>
          <w:szCs w:val="24"/>
          <w:highlight w:val="none"/>
        </w:rPr>
        <w:t>五、成交通知</w:t>
      </w:r>
      <w:r>
        <w:tab/>
      </w:r>
      <w:r>
        <w:fldChar w:fldCharType="begin"/>
      </w:r>
      <w:r>
        <w:instrText xml:space="preserve"> PAGEREF _Toc20742 \h </w:instrText>
      </w:r>
      <w:r>
        <w:fldChar w:fldCharType="separate"/>
      </w:r>
      <w:r>
        <w:t>19</w:t>
      </w:r>
      <w:r>
        <w:fldChar w:fldCharType="end"/>
      </w:r>
      <w:r>
        <w:rPr>
          <w:rFonts w:hint="eastAsia" w:ascii="宋体" w:hAnsi="宋体"/>
          <w:color w:val="auto"/>
          <w:szCs w:val="24"/>
          <w:highlight w:val="none"/>
        </w:rPr>
        <w:fldChar w:fldCharType="end"/>
      </w:r>
    </w:p>
    <w:p w14:paraId="2096235D">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_Toc21610 </w:instrText>
      </w:r>
      <w:r>
        <w:rPr>
          <w:rFonts w:hint="eastAsia" w:ascii="宋体" w:hAnsi="宋体"/>
          <w:szCs w:val="24"/>
          <w:highlight w:val="none"/>
        </w:rPr>
        <w:fldChar w:fldCharType="separate"/>
      </w:r>
      <w:r>
        <w:rPr>
          <w:rFonts w:hint="eastAsia" w:ascii="宋体" w:hAnsi="宋体"/>
          <w:szCs w:val="24"/>
          <w:highlight w:val="none"/>
        </w:rPr>
        <w:t>六、关于质疑</w:t>
      </w:r>
      <w:r>
        <w:tab/>
      </w:r>
      <w:r>
        <w:fldChar w:fldCharType="begin"/>
      </w:r>
      <w:r>
        <w:instrText xml:space="preserve"> PAGEREF _Toc21610 \h </w:instrText>
      </w:r>
      <w:r>
        <w:fldChar w:fldCharType="separate"/>
      </w:r>
      <w:r>
        <w:t>19</w:t>
      </w:r>
      <w:r>
        <w:fldChar w:fldCharType="end"/>
      </w:r>
      <w:r>
        <w:rPr>
          <w:rFonts w:hint="eastAsia" w:ascii="宋体" w:hAnsi="宋体"/>
          <w:color w:val="auto"/>
          <w:szCs w:val="24"/>
          <w:highlight w:val="none"/>
        </w:rPr>
        <w:fldChar w:fldCharType="end"/>
      </w:r>
    </w:p>
    <w:p w14:paraId="146F3B92">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_Toc18464 </w:instrText>
      </w:r>
      <w:r>
        <w:rPr>
          <w:rFonts w:hint="eastAsia" w:ascii="宋体" w:hAnsi="宋体"/>
          <w:szCs w:val="24"/>
          <w:highlight w:val="none"/>
        </w:rPr>
        <w:fldChar w:fldCharType="separate"/>
      </w:r>
      <w:r>
        <w:rPr>
          <w:rFonts w:hint="eastAsia" w:ascii="宋体" w:hAnsi="宋体"/>
          <w:szCs w:val="24"/>
          <w:highlight w:val="none"/>
        </w:rPr>
        <w:t>七、采购代理服务费</w:t>
      </w:r>
      <w:r>
        <w:tab/>
      </w:r>
      <w:r>
        <w:fldChar w:fldCharType="begin"/>
      </w:r>
      <w:r>
        <w:instrText xml:space="preserve"> PAGEREF _Toc18464 \h </w:instrText>
      </w:r>
      <w:r>
        <w:fldChar w:fldCharType="separate"/>
      </w:r>
      <w:r>
        <w:t>20</w:t>
      </w:r>
      <w:r>
        <w:fldChar w:fldCharType="end"/>
      </w:r>
      <w:r>
        <w:rPr>
          <w:rFonts w:hint="eastAsia" w:ascii="宋体" w:hAnsi="宋体"/>
          <w:color w:val="auto"/>
          <w:szCs w:val="24"/>
          <w:highlight w:val="none"/>
        </w:rPr>
        <w:fldChar w:fldCharType="end"/>
      </w:r>
    </w:p>
    <w:p w14:paraId="641207F9">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_Toc10827 </w:instrText>
      </w:r>
      <w:r>
        <w:rPr>
          <w:rFonts w:hint="eastAsia" w:ascii="宋体" w:hAnsi="宋体"/>
          <w:szCs w:val="24"/>
          <w:highlight w:val="none"/>
        </w:rPr>
        <w:fldChar w:fldCharType="separate"/>
      </w:r>
      <w:r>
        <w:rPr>
          <w:rFonts w:hint="eastAsia" w:ascii="宋体" w:hAnsi="宋体"/>
          <w:szCs w:val="24"/>
          <w:highlight w:val="none"/>
        </w:rPr>
        <w:t>八、签订合同</w:t>
      </w:r>
      <w:r>
        <w:tab/>
      </w:r>
      <w:r>
        <w:fldChar w:fldCharType="begin"/>
      </w:r>
      <w:r>
        <w:instrText xml:space="preserve"> PAGEREF _Toc10827 \h </w:instrText>
      </w:r>
      <w:r>
        <w:fldChar w:fldCharType="separate"/>
      </w:r>
      <w:r>
        <w:t>20</w:t>
      </w:r>
      <w:r>
        <w:fldChar w:fldCharType="end"/>
      </w:r>
      <w:r>
        <w:rPr>
          <w:rFonts w:hint="eastAsia" w:ascii="宋体" w:hAnsi="宋体"/>
          <w:color w:val="auto"/>
          <w:szCs w:val="24"/>
          <w:highlight w:val="none"/>
        </w:rPr>
        <w:fldChar w:fldCharType="end"/>
      </w:r>
    </w:p>
    <w:p w14:paraId="01CE1E6F">
      <w:pPr>
        <w:pStyle w:val="47"/>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_Toc26387 </w:instrText>
      </w:r>
      <w:r>
        <w:rPr>
          <w:rFonts w:hint="eastAsia" w:ascii="宋体" w:hAnsi="宋体"/>
          <w:szCs w:val="24"/>
          <w:highlight w:val="none"/>
        </w:rPr>
        <w:fldChar w:fldCharType="separate"/>
      </w:r>
      <w:r>
        <w:rPr>
          <w:rFonts w:hint="eastAsia" w:ascii="宋体" w:hAnsi="宋体" w:eastAsia="宋体"/>
          <w:szCs w:val="30"/>
          <w:highlight w:val="none"/>
        </w:rPr>
        <w:t>第六篇  采购合同</w:t>
      </w:r>
      <w:r>
        <w:tab/>
      </w:r>
      <w:r>
        <w:fldChar w:fldCharType="begin"/>
      </w:r>
      <w:r>
        <w:instrText xml:space="preserve"> PAGEREF _Toc26387 \h </w:instrText>
      </w:r>
      <w:r>
        <w:fldChar w:fldCharType="separate"/>
      </w:r>
      <w:r>
        <w:t>22</w:t>
      </w:r>
      <w:r>
        <w:fldChar w:fldCharType="end"/>
      </w:r>
      <w:r>
        <w:rPr>
          <w:rFonts w:hint="eastAsia" w:ascii="宋体" w:hAnsi="宋体"/>
          <w:color w:val="auto"/>
          <w:szCs w:val="24"/>
          <w:highlight w:val="none"/>
        </w:rPr>
        <w:fldChar w:fldCharType="end"/>
      </w:r>
    </w:p>
    <w:p w14:paraId="726791F4">
      <w:pPr>
        <w:pStyle w:val="47"/>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_Toc30034 </w:instrText>
      </w:r>
      <w:r>
        <w:rPr>
          <w:rFonts w:hint="eastAsia" w:ascii="宋体" w:hAnsi="宋体"/>
          <w:szCs w:val="24"/>
          <w:highlight w:val="none"/>
        </w:rPr>
        <w:fldChar w:fldCharType="separate"/>
      </w:r>
      <w:r>
        <w:rPr>
          <w:rFonts w:ascii="宋体" w:hAnsi="宋体" w:eastAsia="宋体"/>
          <w:szCs w:val="30"/>
          <w:highlight w:val="none"/>
        </w:rPr>
        <w:t>第七篇  响应文件编制要求</w:t>
      </w:r>
      <w:r>
        <w:tab/>
      </w:r>
      <w:r>
        <w:fldChar w:fldCharType="begin"/>
      </w:r>
      <w:r>
        <w:instrText xml:space="preserve"> PAGEREF _Toc30034 \h </w:instrText>
      </w:r>
      <w:r>
        <w:fldChar w:fldCharType="separate"/>
      </w:r>
      <w:r>
        <w:t>- 34 -</w:t>
      </w:r>
      <w:r>
        <w:fldChar w:fldCharType="end"/>
      </w:r>
      <w:r>
        <w:rPr>
          <w:rFonts w:hint="eastAsia" w:ascii="宋体" w:hAnsi="宋体"/>
          <w:color w:val="auto"/>
          <w:szCs w:val="24"/>
          <w:highlight w:val="none"/>
        </w:rPr>
        <w:fldChar w:fldCharType="end"/>
      </w:r>
    </w:p>
    <w:p w14:paraId="0CD7A666">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_Toc29060 </w:instrText>
      </w:r>
      <w:r>
        <w:rPr>
          <w:rFonts w:hint="eastAsia" w:ascii="宋体" w:hAnsi="宋体"/>
          <w:szCs w:val="24"/>
          <w:highlight w:val="none"/>
        </w:rPr>
        <w:fldChar w:fldCharType="separate"/>
      </w:r>
      <w:r>
        <w:rPr>
          <w:rFonts w:ascii="宋体" w:hAnsi="宋体"/>
          <w:szCs w:val="24"/>
          <w:highlight w:val="none"/>
        </w:rPr>
        <w:t>一、经济</w:t>
      </w:r>
      <w:r>
        <w:rPr>
          <w:rFonts w:hint="eastAsia" w:ascii="宋体" w:hAnsi="宋体"/>
          <w:szCs w:val="24"/>
          <w:highlight w:val="none"/>
        </w:rPr>
        <w:t>部分</w:t>
      </w:r>
      <w:r>
        <w:tab/>
      </w:r>
      <w:r>
        <w:fldChar w:fldCharType="begin"/>
      </w:r>
      <w:r>
        <w:instrText xml:space="preserve"> PAGEREF _Toc29060 \h </w:instrText>
      </w:r>
      <w:r>
        <w:fldChar w:fldCharType="separate"/>
      </w:r>
      <w:r>
        <w:t>- 34 -</w:t>
      </w:r>
      <w:r>
        <w:fldChar w:fldCharType="end"/>
      </w:r>
      <w:r>
        <w:rPr>
          <w:rFonts w:hint="eastAsia" w:ascii="宋体" w:hAnsi="宋体"/>
          <w:color w:val="auto"/>
          <w:szCs w:val="24"/>
          <w:highlight w:val="none"/>
        </w:rPr>
        <w:fldChar w:fldCharType="end"/>
      </w:r>
    </w:p>
    <w:p w14:paraId="03111E9F">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_Toc27150 </w:instrText>
      </w:r>
      <w:r>
        <w:rPr>
          <w:rFonts w:hint="eastAsia" w:ascii="宋体" w:hAnsi="宋体"/>
          <w:szCs w:val="24"/>
          <w:highlight w:val="none"/>
        </w:rPr>
        <w:fldChar w:fldCharType="separate"/>
      </w:r>
      <w:r>
        <w:rPr>
          <w:rFonts w:hint="eastAsia" w:ascii="宋体" w:hAnsi="宋体"/>
          <w:szCs w:val="24"/>
          <w:highlight w:val="none"/>
        </w:rPr>
        <w:t>二、</w:t>
      </w:r>
      <w:r>
        <w:rPr>
          <w:rFonts w:hint="eastAsia" w:ascii="宋体" w:hAnsi="宋体"/>
          <w:szCs w:val="24"/>
          <w:highlight w:val="none"/>
          <w:lang w:eastAsia="zh-CN"/>
        </w:rPr>
        <w:t>服务</w:t>
      </w:r>
      <w:r>
        <w:rPr>
          <w:rFonts w:hint="eastAsia" w:ascii="宋体" w:hAnsi="宋体"/>
          <w:szCs w:val="24"/>
          <w:highlight w:val="none"/>
        </w:rPr>
        <w:t>部分</w:t>
      </w:r>
      <w:r>
        <w:tab/>
      </w:r>
      <w:r>
        <w:fldChar w:fldCharType="begin"/>
      </w:r>
      <w:r>
        <w:instrText xml:space="preserve"> PAGEREF _Toc27150 \h </w:instrText>
      </w:r>
      <w:r>
        <w:fldChar w:fldCharType="separate"/>
      </w:r>
      <w:r>
        <w:t>- 34 -</w:t>
      </w:r>
      <w:r>
        <w:fldChar w:fldCharType="end"/>
      </w:r>
      <w:r>
        <w:rPr>
          <w:rFonts w:hint="eastAsia" w:ascii="宋体" w:hAnsi="宋体"/>
          <w:color w:val="auto"/>
          <w:szCs w:val="24"/>
          <w:highlight w:val="none"/>
        </w:rPr>
        <w:fldChar w:fldCharType="end"/>
      </w:r>
    </w:p>
    <w:p w14:paraId="7A1AFC9B">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_Toc21310 </w:instrText>
      </w:r>
      <w:r>
        <w:rPr>
          <w:rFonts w:hint="eastAsia" w:ascii="宋体" w:hAnsi="宋体"/>
          <w:szCs w:val="24"/>
          <w:highlight w:val="none"/>
        </w:rPr>
        <w:fldChar w:fldCharType="separate"/>
      </w:r>
      <w:r>
        <w:rPr>
          <w:rFonts w:ascii="宋体" w:hAnsi="宋体"/>
          <w:szCs w:val="24"/>
          <w:highlight w:val="none"/>
        </w:rPr>
        <w:t>三、商务</w:t>
      </w:r>
      <w:r>
        <w:rPr>
          <w:rFonts w:hint="eastAsia" w:ascii="宋体" w:hAnsi="宋体"/>
          <w:szCs w:val="24"/>
          <w:highlight w:val="none"/>
        </w:rPr>
        <w:t>部分</w:t>
      </w:r>
      <w:r>
        <w:tab/>
      </w:r>
      <w:r>
        <w:fldChar w:fldCharType="begin"/>
      </w:r>
      <w:r>
        <w:instrText xml:space="preserve"> PAGEREF _Toc21310 \h </w:instrText>
      </w:r>
      <w:r>
        <w:fldChar w:fldCharType="separate"/>
      </w:r>
      <w:r>
        <w:t>- 34 -</w:t>
      </w:r>
      <w:r>
        <w:fldChar w:fldCharType="end"/>
      </w:r>
      <w:r>
        <w:rPr>
          <w:rFonts w:hint="eastAsia" w:ascii="宋体" w:hAnsi="宋体"/>
          <w:color w:val="auto"/>
          <w:szCs w:val="24"/>
          <w:highlight w:val="none"/>
        </w:rPr>
        <w:fldChar w:fldCharType="end"/>
      </w:r>
    </w:p>
    <w:p w14:paraId="34B2D4CA">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_Toc4276 </w:instrText>
      </w:r>
      <w:r>
        <w:rPr>
          <w:rFonts w:hint="eastAsia" w:ascii="宋体" w:hAnsi="宋体"/>
          <w:szCs w:val="24"/>
          <w:highlight w:val="none"/>
        </w:rPr>
        <w:fldChar w:fldCharType="separate"/>
      </w:r>
      <w:r>
        <w:rPr>
          <w:rFonts w:hint="eastAsia" w:ascii="宋体" w:hAnsi="宋体"/>
          <w:szCs w:val="24"/>
          <w:highlight w:val="none"/>
        </w:rPr>
        <w:t>四、资格条件</w:t>
      </w:r>
      <w:r>
        <w:tab/>
      </w:r>
      <w:r>
        <w:fldChar w:fldCharType="begin"/>
      </w:r>
      <w:r>
        <w:instrText xml:space="preserve"> PAGEREF _Toc4276 \h </w:instrText>
      </w:r>
      <w:r>
        <w:fldChar w:fldCharType="separate"/>
      </w:r>
      <w:r>
        <w:t>- 34 -</w:t>
      </w:r>
      <w:r>
        <w:fldChar w:fldCharType="end"/>
      </w:r>
      <w:r>
        <w:rPr>
          <w:rFonts w:hint="eastAsia" w:ascii="宋体" w:hAnsi="宋体"/>
          <w:color w:val="auto"/>
          <w:szCs w:val="24"/>
          <w:highlight w:val="none"/>
        </w:rPr>
        <w:fldChar w:fldCharType="end"/>
      </w:r>
    </w:p>
    <w:p w14:paraId="5AC212EB">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_Toc22765 </w:instrText>
      </w:r>
      <w:r>
        <w:rPr>
          <w:rFonts w:hint="eastAsia" w:ascii="宋体" w:hAnsi="宋体"/>
          <w:szCs w:val="24"/>
          <w:highlight w:val="none"/>
        </w:rPr>
        <w:fldChar w:fldCharType="separate"/>
      </w:r>
      <w:r>
        <w:rPr>
          <w:rFonts w:hint="eastAsia" w:ascii="宋体" w:hAnsi="宋体"/>
          <w:szCs w:val="24"/>
          <w:highlight w:val="none"/>
        </w:rPr>
        <w:t>五</w:t>
      </w:r>
      <w:r>
        <w:rPr>
          <w:rFonts w:ascii="宋体" w:hAnsi="宋体"/>
          <w:szCs w:val="24"/>
          <w:highlight w:val="none"/>
        </w:rPr>
        <w:t>、其他</w:t>
      </w:r>
      <w:r>
        <w:tab/>
      </w:r>
      <w:r>
        <w:fldChar w:fldCharType="begin"/>
      </w:r>
      <w:r>
        <w:instrText xml:space="preserve"> PAGEREF _Toc22765 \h </w:instrText>
      </w:r>
      <w:r>
        <w:fldChar w:fldCharType="separate"/>
      </w:r>
      <w:r>
        <w:t>- 34 -</w:t>
      </w:r>
      <w:r>
        <w:fldChar w:fldCharType="end"/>
      </w:r>
      <w:r>
        <w:rPr>
          <w:rFonts w:hint="eastAsia" w:ascii="宋体" w:hAnsi="宋体"/>
          <w:color w:val="auto"/>
          <w:szCs w:val="24"/>
          <w:highlight w:val="none"/>
        </w:rPr>
        <w:fldChar w:fldCharType="end"/>
      </w:r>
    </w:p>
    <w:p w14:paraId="21DAE0A8">
      <w:pPr>
        <w:pStyle w:val="29"/>
        <w:tabs>
          <w:tab w:val="right" w:leader="dot" w:pos="9525"/>
        </w:tabs>
      </w:pPr>
      <w:r>
        <w:rPr>
          <w:rFonts w:hint="eastAsia" w:ascii="宋体" w:hAnsi="宋体"/>
          <w:color w:val="auto"/>
          <w:szCs w:val="24"/>
          <w:highlight w:val="none"/>
        </w:rPr>
        <w:fldChar w:fldCharType="begin"/>
      </w:r>
      <w:r>
        <w:rPr>
          <w:rFonts w:hint="eastAsia" w:ascii="宋体" w:hAnsi="宋体"/>
          <w:szCs w:val="24"/>
          <w:highlight w:val="none"/>
        </w:rPr>
        <w:instrText xml:space="preserve"> HYPERLINK \l _Toc31588 </w:instrText>
      </w:r>
      <w:r>
        <w:rPr>
          <w:rFonts w:hint="eastAsia" w:ascii="宋体" w:hAnsi="宋体"/>
          <w:szCs w:val="24"/>
          <w:highlight w:val="none"/>
        </w:rPr>
        <w:fldChar w:fldCharType="separate"/>
      </w:r>
      <w:r>
        <w:rPr>
          <w:rFonts w:hint="eastAsia" w:ascii="宋体" w:hAnsi="宋体" w:eastAsia="宋体" w:cs="宋体"/>
          <w:highlight w:val="none"/>
        </w:rPr>
        <w:t>五、其他资料</w:t>
      </w:r>
      <w:r>
        <w:tab/>
      </w:r>
      <w:r>
        <w:fldChar w:fldCharType="begin"/>
      </w:r>
      <w:r>
        <w:instrText xml:space="preserve"> PAGEREF _Toc31588 \h </w:instrText>
      </w:r>
      <w:r>
        <w:fldChar w:fldCharType="separate"/>
      </w:r>
      <w:r>
        <w:t>- 46 -</w:t>
      </w:r>
      <w:r>
        <w:fldChar w:fldCharType="end"/>
      </w:r>
      <w:r>
        <w:rPr>
          <w:rFonts w:hint="eastAsia" w:ascii="宋体" w:hAnsi="宋体"/>
          <w:color w:val="auto"/>
          <w:szCs w:val="24"/>
          <w:highlight w:val="none"/>
        </w:rPr>
        <w:fldChar w:fldCharType="end"/>
      </w:r>
    </w:p>
    <w:p w14:paraId="4CF925B2">
      <w:pPr>
        <w:pStyle w:val="47"/>
        <w:tabs>
          <w:tab w:val="right" w:leader="dot" w:pos="9402"/>
        </w:tabs>
        <w:kinsoku/>
        <w:wordWrap/>
        <w:overflowPunct/>
        <w:topLinePunct w:val="0"/>
        <w:bidi w:val="0"/>
        <w:spacing w:line="360" w:lineRule="auto"/>
        <w:ind w:left="480"/>
        <w:jc w:val="center"/>
        <w:textAlignment w:val="auto"/>
        <w:rPr>
          <w:rFonts w:hint="eastAsia" w:ascii="宋体" w:hAnsi="宋体"/>
          <w:color w:val="auto"/>
          <w:szCs w:val="24"/>
          <w:highlight w:val="none"/>
        </w:rPr>
        <w:sectPr>
          <w:headerReference r:id="rId5" w:type="default"/>
          <w:pgSz w:w="11907" w:h="16840"/>
          <w:pgMar w:top="1134" w:right="1191" w:bottom="1134" w:left="1191" w:header="851" w:footer="992" w:gutter="0"/>
          <w:pgNumType w:fmt="numberInDash" w:start="1"/>
          <w:cols w:space="720" w:num="1"/>
          <w:docGrid w:linePitch="380" w:charSpace="-5735"/>
        </w:sectPr>
      </w:pPr>
      <w:r>
        <w:rPr>
          <w:rFonts w:hint="eastAsia" w:ascii="宋体" w:hAnsi="宋体"/>
          <w:color w:val="auto"/>
          <w:szCs w:val="24"/>
          <w:highlight w:val="none"/>
        </w:rPr>
        <w:fldChar w:fldCharType="end"/>
      </w:r>
    </w:p>
    <w:p w14:paraId="25DD945E">
      <w:pPr>
        <w:pStyle w:val="3"/>
        <w:pageBreakBefore/>
        <w:kinsoku/>
        <w:wordWrap/>
        <w:overflowPunct/>
        <w:topLinePunct w:val="0"/>
        <w:bidi w:val="0"/>
        <w:spacing w:before="120" w:beforeLines="50" w:line="360" w:lineRule="auto"/>
        <w:jc w:val="center"/>
        <w:textAlignment w:val="auto"/>
        <w:rPr>
          <w:rFonts w:hint="eastAsia" w:ascii="宋体" w:hAnsi="宋体" w:eastAsia="宋体"/>
          <w:color w:val="auto"/>
          <w:sz w:val="36"/>
          <w:szCs w:val="30"/>
          <w:highlight w:val="none"/>
        </w:rPr>
      </w:pPr>
      <w:bookmarkStart w:id="0" w:name="_Toc14893"/>
      <w:bookmarkStart w:id="1" w:name="_Toc11641050"/>
      <w:bookmarkStart w:id="2" w:name="_Toc12789052"/>
      <w:r>
        <w:rPr>
          <w:rFonts w:hint="eastAsia" w:ascii="宋体" w:hAnsi="宋体" w:eastAsia="宋体"/>
          <w:color w:val="auto"/>
          <w:sz w:val="36"/>
          <w:szCs w:val="30"/>
          <w:highlight w:val="none"/>
        </w:rPr>
        <w:t>第一篇  采购邀请书</w:t>
      </w:r>
      <w:bookmarkEnd w:id="0"/>
      <w:bookmarkEnd w:id="1"/>
      <w:bookmarkEnd w:id="2"/>
    </w:p>
    <w:p w14:paraId="4091B111">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u w:val="single"/>
          <w:lang w:eastAsia="zh-CN"/>
        </w:rPr>
        <w:t>重庆瑞盛工程咨询有限公司</w:t>
      </w:r>
      <w:r>
        <w:rPr>
          <w:rFonts w:hint="eastAsia" w:ascii="宋体" w:hAnsi="宋体"/>
          <w:color w:val="auto"/>
          <w:szCs w:val="24"/>
          <w:highlight w:val="none"/>
        </w:rPr>
        <w:t>（以下简称：采购代理机构）接</w:t>
      </w:r>
      <w:r>
        <w:rPr>
          <w:rFonts w:hint="eastAsia" w:ascii="宋体" w:hAnsi="宋体"/>
          <w:color w:val="auto"/>
          <w:szCs w:val="24"/>
          <w:highlight w:val="none"/>
          <w:u w:val="none"/>
          <w:lang w:eastAsia="zh-CN"/>
        </w:rPr>
        <w:t>受</w:t>
      </w:r>
      <w:r>
        <w:rPr>
          <w:rFonts w:hint="eastAsia" w:ascii="宋体" w:hAnsi="宋体" w:cs="Times New Roman"/>
          <w:color w:val="auto"/>
          <w:szCs w:val="24"/>
          <w:highlight w:val="none"/>
          <w:u w:val="single"/>
          <w:lang w:eastAsia="zh-CN"/>
        </w:rPr>
        <w:t>重庆建桥置业有限公司、</w:t>
      </w:r>
      <w:r>
        <w:rPr>
          <w:rFonts w:hint="eastAsia" w:ascii="宋体" w:hAnsi="宋体" w:cs="Times New Roman"/>
          <w:color w:val="auto"/>
          <w:szCs w:val="24"/>
          <w:highlight w:val="none"/>
          <w:u w:val="single"/>
          <w:lang w:val="en-US" w:eastAsia="zh-CN"/>
        </w:rPr>
        <w:t>重庆市大渡口区城乡建设发展有限公司</w:t>
      </w:r>
      <w:r>
        <w:rPr>
          <w:rFonts w:hint="eastAsia" w:ascii="宋体" w:hAnsi="宋体"/>
          <w:color w:val="auto"/>
          <w:szCs w:val="24"/>
          <w:highlight w:val="none"/>
        </w:rPr>
        <w:t>（以下简称：采购人）的委托，对</w:t>
      </w:r>
      <w:r>
        <w:rPr>
          <w:rFonts w:hint="eastAsia" w:ascii="宋体" w:hAnsi="宋体"/>
          <w:color w:val="auto"/>
          <w:szCs w:val="24"/>
          <w:highlight w:val="none"/>
          <w:u w:val="single"/>
          <w:lang w:eastAsia="zh-CN"/>
        </w:rPr>
        <w:t>2024年大渡口区配售型保障性住房项目质量检测</w:t>
      </w:r>
      <w:r>
        <w:rPr>
          <w:rFonts w:hint="eastAsia" w:ascii="宋体" w:hAnsi="宋体"/>
          <w:color w:val="auto"/>
          <w:szCs w:val="24"/>
          <w:highlight w:val="none"/>
        </w:rPr>
        <w:t>采购项目进行竞争性磋商采购。欢迎有资格的供应商前来参与磋商。</w:t>
      </w:r>
    </w:p>
    <w:p w14:paraId="3042A7A1">
      <w:pPr>
        <w:pStyle w:val="4"/>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3" w:name="_Toc28569"/>
      <w:bookmarkStart w:id="4" w:name="_Toc317775175"/>
      <w:bookmarkStart w:id="5" w:name="_Toc313893526"/>
      <w:r>
        <w:rPr>
          <w:rFonts w:hint="eastAsia" w:ascii="宋体" w:hAnsi="宋体"/>
          <w:color w:val="auto"/>
          <w:sz w:val="24"/>
          <w:szCs w:val="24"/>
          <w:highlight w:val="none"/>
        </w:rPr>
        <w:t>一、竞争性磋商内容</w:t>
      </w:r>
      <w:bookmarkEnd w:id="3"/>
      <w:bookmarkEnd w:id="4"/>
      <w:bookmarkEnd w:id="5"/>
    </w:p>
    <w:tbl>
      <w:tblPr>
        <w:tblStyle w:val="59"/>
        <w:tblW w:w="9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7"/>
        <w:gridCol w:w="1415"/>
        <w:gridCol w:w="1025"/>
        <w:gridCol w:w="1750"/>
        <w:gridCol w:w="2273"/>
      </w:tblGrid>
      <w:tr w14:paraId="62CB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037" w:type="dxa"/>
            <w:tcBorders>
              <w:top w:val="single" w:color="auto" w:sz="4" w:space="0"/>
              <w:left w:val="single" w:color="auto" w:sz="4" w:space="0"/>
              <w:right w:val="single" w:color="auto" w:sz="4" w:space="0"/>
            </w:tcBorders>
            <w:vAlign w:val="center"/>
          </w:tcPr>
          <w:p w14:paraId="082585C9">
            <w:pPr>
              <w:widowControl/>
              <w:kinsoku/>
              <w:wordWrap/>
              <w:overflowPunct/>
              <w:topLinePunct w:val="0"/>
              <w:bidi w:val="0"/>
              <w:spacing w:line="360" w:lineRule="auto"/>
              <w:jc w:val="center"/>
              <w:textAlignment w:val="auto"/>
              <w:rPr>
                <w:rFonts w:hint="eastAsia" w:ascii="宋体" w:hAnsi="宋体" w:cs="宋体"/>
                <w:b/>
                <w:bCs/>
                <w:color w:val="auto"/>
                <w:kern w:val="0"/>
                <w:sz w:val="21"/>
                <w:szCs w:val="24"/>
                <w:highlight w:val="none"/>
              </w:rPr>
            </w:pPr>
            <w:bookmarkStart w:id="6" w:name="_Toc373860293"/>
            <w:bookmarkStart w:id="7" w:name="_Toc317775178"/>
            <w:r>
              <w:rPr>
                <w:rFonts w:hint="eastAsia" w:ascii="宋体" w:hAnsi="宋体" w:cs="宋体"/>
                <w:b/>
                <w:bCs/>
                <w:color w:val="auto"/>
                <w:kern w:val="0"/>
                <w:sz w:val="21"/>
                <w:szCs w:val="24"/>
                <w:highlight w:val="none"/>
              </w:rPr>
              <w:t>项目内容</w:t>
            </w:r>
          </w:p>
        </w:tc>
        <w:tc>
          <w:tcPr>
            <w:tcW w:w="1415" w:type="dxa"/>
            <w:tcBorders>
              <w:top w:val="single" w:color="auto" w:sz="4" w:space="0"/>
              <w:left w:val="single" w:color="auto" w:sz="4" w:space="0"/>
              <w:right w:val="single" w:color="auto" w:sz="4" w:space="0"/>
            </w:tcBorders>
            <w:vAlign w:val="center"/>
          </w:tcPr>
          <w:p w14:paraId="228A2FA3">
            <w:pPr>
              <w:widowControl/>
              <w:kinsoku/>
              <w:wordWrap/>
              <w:overflowPunct/>
              <w:topLinePunct w:val="0"/>
              <w:bidi w:val="0"/>
              <w:spacing w:line="360" w:lineRule="auto"/>
              <w:jc w:val="center"/>
              <w:textAlignment w:val="auto"/>
              <w:rPr>
                <w:rFonts w:hint="default" w:ascii="宋体" w:hAnsi="宋体" w:eastAsia="宋体" w:cs="宋体"/>
                <w:b/>
                <w:bCs/>
                <w:color w:val="auto"/>
                <w:kern w:val="0"/>
                <w:sz w:val="21"/>
                <w:szCs w:val="24"/>
                <w:highlight w:val="none"/>
                <w:lang w:val="en-US" w:eastAsia="zh-CN"/>
              </w:rPr>
            </w:pPr>
            <w:r>
              <w:rPr>
                <w:rFonts w:hint="eastAsia" w:ascii="宋体" w:hAnsi="宋体" w:cs="宋体"/>
                <w:b/>
                <w:bCs/>
                <w:color w:val="auto"/>
                <w:kern w:val="0"/>
                <w:sz w:val="21"/>
                <w:szCs w:val="24"/>
                <w:highlight w:val="none"/>
              </w:rPr>
              <w:t>最高限价</w:t>
            </w:r>
            <w:r>
              <w:rPr>
                <w:rFonts w:hint="eastAsia" w:ascii="宋体" w:hAnsi="宋体" w:cs="宋体"/>
                <w:b/>
                <w:bCs/>
                <w:color w:val="auto"/>
                <w:kern w:val="0"/>
                <w:sz w:val="21"/>
                <w:szCs w:val="24"/>
                <w:highlight w:val="none"/>
                <w:lang w:eastAsia="zh-CN"/>
              </w:rPr>
              <w:t>（</w:t>
            </w:r>
            <w:r>
              <w:rPr>
                <w:rFonts w:hint="eastAsia" w:ascii="宋体" w:hAnsi="宋体" w:cs="宋体"/>
                <w:b/>
                <w:bCs/>
                <w:color w:val="auto"/>
                <w:kern w:val="0"/>
                <w:sz w:val="21"/>
                <w:szCs w:val="24"/>
                <w:highlight w:val="none"/>
                <w:lang w:val="en-US" w:eastAsia="zh-CN"/>
              </w:rPr>
              <w:t>元）</w:t>
            </w:r>
          </w:p>
        </w:tc>
        <w:tc>
          <w:tcPr>
            <w:tcW w:w="1025" w:type="dxa"/>
            <w:tcBorders>
              <w:top w:val="single" w:color="auto" w:sz="4" w:space="0"/>
              <w:left w:val="single" w:color="auto" w:sz="4" w:space="0"/>
              <w:right w:val="single" w:color="auto" w:sz="4" w:space="0"/>
            </w:tcBorders>
            <w:vAlign w:val="center"/>
          </w:tcPr>
          <w:p w14:paraId="2A523BDC">
            <w:pPr>
              <w:widowControl/>
              <w:kinsoku/>
              <w:wordWrap/>
              <w:overflowPunct/>
              <w:topLinePunct w:val="0"/>
              <w:bidi w:val="0"/>
              <w:spacing w:line="360" w:lineRule="auto"/>
              <w:jc w:val="center"/>
              <w:textAlignment w:val="auto"/>
              <w:rPr>
                <w:rFonts w:hint="eastAsia"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磋商保证金</w:t>
            </w:r>
          </w:p>
        </w:tc>
        <w:tc>
          <w:tcPr>
            <w:tcW w:w="1750" w:type="dxa"/>
            <w:tcBorders>
              <w:top w:val="single" w:color="auto" w:sz="4" w:space="0"/>
              <w:left w:val="single" w:color="auto" w:sz="4" w:space="0"/>
              <w:right w:val="single" w:color="auto" w:sz="4" w:space="0"/>
            </w:tcBorders>
            <w:vAlign w:val="center"/>
          </w:tcPr>
          <w:p w14:paraId="2FCF30E1">
            <w:pPr>
              <w:widowControl/>
              <w:kinsoku/>
              <w:wordWrap/>
              <w:overflowPunct/>
              <w:topLinePunct w:val="0"/>
              <w:bidi w:val="0"/>
              <w:spacing w:line="360" w:lineRule="auto"/>
              <w:jc w:val="center"/>
              <w:textAlignment w:val="auto"/>
              <w:rPr>
                <w:rFonts w:hint="eastAsia"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成交供应商数量（名）</w:t>
            </w:r>
          </w:p>
        </w:tc>
        <w:tc>
          <w:tcPr>
            <w:tcW w:w="2273" w:type="dxa"/>
            <w:tcBorders>
              <w:top w:val="single" w:color="auto" w:sz="4" w:space="0"/>
              <w:left w:val="single" w:color="auto" w:sz="4" w:space="0"/>
              <w:right w:val="single" w:color="auto" w:sz="4" w:space="0"/>
            </w:tcBorders>
            <w:vAlign w:val="center"/>
          </w:tcPr>
          <w:p w14:paraId="1FBDF5DA">
            <w:pPr>
              <w:widowControl/>
              <w:kinsoku/>
              <w:wordWrap/>
              <w:overflowPunct/>
              <w:topLinePunct w:val="0"/>
              <w:bidi w:val="0"/>
              <w:spacing w:line="360" w:lineRule="auto"/>
              <w:jc w:val="center"/>
              <w:textAlignment w:val="auto"/>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采购标的对应的中小企业划分标准所属行业</w:t>
            </w:r>
          </w:p>
        </w:tc>
      </w:tr>
      <w:tr w14:paraId="1A84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3037" w:type="dxa"/>
            <w:tcBorders>
              <w:top w:val="single" w:color="auto" w:sz="4" w:space="0"/>
              <w:left w:val="single" w:color="auto" w:sz="4" w:space="0"/>
              <w:right w:val="single" w:color="auto" w:sz="4" w:space="0"/>
            </w:tcBorders>
            <w:vAlign w:val="center"/>
          </w:tcPr>
          <w:p w14:paraId="308BAC29">
            <w:pPr>
              <w:pStyle w:val="23"/>
              <w:kinsoku/>
              <w:wordWrap/>
              <w:overflowPunct/>
              <w:topLinePunct w:val="0"/>
              <w:bidi w:val="0"/>
              <w:spacing w:line="360" w:lineRule="auto"/>
              <w:ind w:left="0"/>
              <w:jc w:val="center"/>
              <w:textAlignment w:val="auto"/>
              <w:outlineLvl w:val="0"/>
              <w:rPr>
                <w:rFonts w:hint="eastAsia" w:ascii="宋体" w:hAnsi="宋体" w:eastAsia="宋体" w:cs="Times New Roman"/>
                <w:color w:val="auto"/>
                <w:sz w:val="24"/>
                <w:szCs w:val="24"/>
                <w:highlight w:val="none"/>
                <w:lang w:val="en-US" w:eastAsia="zh-CN"/>
              </w:rPr>
            </w:pPr>
            <w:bookmarkStart w:id="8" w:name="_Hlk344477914"/>
            <w:r>
              <w:rPr>
                <w:rFonts w:hint="eastAsia" w:ascii="宋体" w:hAnsi="宋体" w:eastAsia="宋体" w:cs="Times New Roman"/>
                <w:color w:val="auto"/>
                <w:sz w:val="24"/>
                <w:szCs w:val="24"/>
                <w:highlight w:val="none"/>
                <w:lang w:val="en-US" w:eastAsia="zh-CN"/>
              </w:rPr>
              <w:t>2024年大渡口区配售型保障性住房项目质量检测</w:t>
            </w:r>
          </w:p>
        </w:tc>
        <w:tc>
          <w:tcPr>
            <w:tcW w:w="1415" w:type="dxa"/>
            <w:tcBorders>
              <w:top w:val="single" w:color="auto" w:sz="4" w:space="0"/>
              <w:left w:val="single" w:color="auto" w:sz="4" w:space="0"/>
              <w:bottom w:val="single" w:color="auto" w:sz="4" w:space="0"/>
              <w:right w:val="single" w:color="auto" w:sz="4" w:space="0"/>
            </w:tcBorders>
            <w:vAlign w:val="center"/>
          </w:tcPr>
          <w:p w14:paraId="79586C6B">
            <w:pPr>
              <w:pStyle w:val="23"/>
              <w:kinsoku/>
              <w:wordWrap/>
              <w:overflowPunct/>
              <w:topLinePunct w:val="0"/>
              <w:bidi w:val="0"/>
              <w:spacing w:line="360" w:lineRule="auto"/>
              <w:ind w:left="0"/>
              <w:jc w:val="center"/>
              <w:textAlignment w:val="auto"/>
              <w:outlineLvl w:val="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895291.94</w:t>
            </w:r>
          </w:p>
        </w:tc>
        <w:tc>
          <w:tcPr>
            <w:tcW w:w="1025" w:type="dxa"/>
            <w:tcBorders>
              <w:top w:val="single" w:color="auto" w:sz="4" w:space="0"/>
              <w:left w:val="single" w:color="auto" w:sz="4" w:space="0"/>
              <w:bottom w:val="single" w:color="auto" w:sz="4" w:space="0"/>
              <w:right w:val="single" w:color="auto" w:sz="4" w:space="0"/>
            </w:tcBorders>
            <w:vAlign w:val="center"/>
          </w:tcPr>
          <w:p w14:paraId="504448AB">
            <w:pPr>
              <w:pStyle w:val="23"/>
              <w:kinsoku/>
              <w:wordWrap/>
              <w:overflowPunct/>
              <w:topLinePunct w:val="0"/>
              <w:bidi w:val="0"/>
              <w:spacing w:line="360" w:lineRule="auto"/>
              <w:ind w:left="0"/>
              <w:jc w:val="center"/>
              <w:textAlignment w:val="auto"/>
              <w:outlineLvl w:val="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无</w:t>
            </w:r>
          </w:p>
        </w:tc>
        <w:tc>
          <w:tcPr>
            <w:tcW w:w="1750" w:type="dxa"/>
            <w:tcBorders>
              <w:top w:val="single" w:color="auto" w:sz="4" w:space="0"/>
              <w:left w:val="single" w:color="auto" w:sz="4" w:space="0"/>
              <w:right w:val="single" w:color="auto" w:sz="4" w:space="0"/>
            </w:tcBorders>
            <w:vAlign w:val="center"/>
          </w:tcPr>
          <w:p w14:paraId="66A4B570">
            <w:pPr>
              <w:pStyle w:val="23"/>
              <w:kinsoku/>
              <w:wordWrap/>
              <w:overflowPunct/>
              <w:topLinePunct w:val="0"/>
              <w:bidi w:val="0"/>
              <w:spacing w:line="360" w:lineRule="auto"/>
              <w:ind w:left="0"/>
              <w:jc w:val="center"/>
              <w:textAlignment w:val="auto"/>
              <w:outlineLvl w:val="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w:t>
            </w:r>
          </w:p>
        </w:tc>
        <w:tc>
          <w:tcPr>
            <w:tcW w:w="2273" w:type="dxa"/>
            <w:tcBorders>
              <w:top w:val="single" w:color="auto" w:sz="4" w:space="0"/>
              <w:left w:val="single" w:color="auto" w:sz="4" w:space="0"/>
              <w:right w:val="single" w:color="auto" w:sz="4" w:space="0"/>
            </w:tcBorders>
            <w:vAlign w:val="center"/>
          </w:tcPr>
          <w:p w14:paraId="34D53B1D">
            <w:pPr>
              <w:pStyle w:val="23"/>
              <w:kinsoku/>
              <w:wordWrap/>
              <w:overflowPunct/>
              <w:topLinePunct w:val="0"/>
              <w:bidi w:val="0"/>
              <w:spacing w:line="360" w:lineRule="auto"/>
              <w:ind w:left="0"/>
              <w:jc w:val="center"/>
              <w:textAlignment w:val="auto"/>
              <w:outlineLvl w:val="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建筑业</w:t>
            </w:r>
          </w:p>
        </w:tc>
      </w:tr>
      <w:bookmarkEnd w:id="8"/>
    </w:tbl>
    <w:p w14:paraId="1CB7E099">
      <w:pPr>
        <w:pStyle w:val="4"/>
        <w:kinsoku/>
        <w:wordWrap/>
        <w:overflowPunct/>
        <w:topLinePunct w:val="0"/>
        <w:bidi w:val="0"/>
        <w:spacing w:before="120" w:beforeLines="50" w:line="360" w:lineRule="auto"/>
        <w:ind w:firstLine="482" w:firstLineChars="200"/>
        <w:textAlignment w:val="auto"/>
        <w:rPr>
          <w:rFonts w:hint="eastAsia" w:ascii="宋体" w:hAnsi="宋体"/>
          <w:color w:val="auto"/>
          <w:sz w:val="24"/>
          <w:szCs w:val="24"/>
          <w:highlight w:val="none"/>
        </w:rPr>
      </w:pPr>
      <w:bookmarkStart w:id="9" w:name="_Toc22703"/>
      <w:r>
        <w:rPr>
          <w:rFonts w:hint="eastAsia" w:ascii="宋体" w:hAnsi="宋体"/>
          <w:color w:val="auto"/>
          <w:sz w:val="24"/>
          <w:szCs w:val="24"/>
          <w:highlight w:val="none"/>
        </w:rPr>
        <w:t>二、资金来源</w:t>
      </w:r>
      <w:bookmarkEnd w:id="9"/>
    </w:p>
    <w:bookmarkEnd w:id="6"/>
    <w:bookmarkEnd w:id="7"/>
    <w:p w14:paraId="2B19397C">
      <w:pPr>
        <w:kinsoku/>
        <w:wordWrap/>
        <w:overflowPunct/>
        <w:topLinePunct w:val="0"/>
        <w:bidi w:val="0"/>
        <w:spacing w:line="360" w:lineRule="auto"/>
        <w:ind w:firstLine="480" w:firstLineChars="200"/>
        <w:textAlignment w:val="auto"/>
        <w:rPr>
          <w:rFonts w:hint="eastAsia" w:ascii="宋体" w:hAnsi="宋体" w:cs="宋体"/>
          <w:color w:val="auto"/>
          <w:szCs w:val="24"/>
          <w:highlight w:val="none"/>
          <w:lang w:val="en-US" w:eastAsia="zh-CN"/>
        </w:rPr>
      </w:pPr>
      <w:bookmarkStart w:id="10" w:name="_Toc75258773"/>
      <w:r>
        <w:rPr>
          <w:rFonts w:hint="eastAsia" w:ascii="宋体" w:hAnsi="宋体" w:cs="宋体"/>
          <w:color w:val="auto"/>
          <w:szCs w:val="24"/>
          <w:highlight w:val="none"/>
          <w:lang w:eastAsia="zh-CN"/>
        </w:rPr>
        <w:t>区级财政资金、中央补助资金、银行贷款资金和业主自筹资金</w:t>
      </w:r>
    </w:p>
    <w:p w14:paraId="2F013E79">
      <w:pPr>
        <w:pStyle w:val="4"/>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11" w:name="_Toc8268"/>
      <w:r>
        <w:rPr>
          <w:rFonts w:hint="eastAsia" w:ascii="宋体" w:hAnsi="宋体"/>
          <w:color w:val="auto"/>
          <w:sz w:val="24"/>
          <w:szCs w:val="24"/>
          <w:highlight w:val="none"/>
        </w:rPr>
        <w:t>三、供应商资格条件</w:t>
      </w:r>
      <w:bookmarkEnd w:id="10"/>
      <w:bookmarkEnd w:id="11"/>
    </w:p>
    <w:p w14:paraId="5DC6816B">
      <w:pPr>
        <w:kinsoku/>
        <w:wordWrap/>
        <w:overflowPunct/>
        <w:topLinePunct w:val="0"/>
        <w:bidi w:val="0"/>
        <w:spacing w:line="360" w:lineRule="auto"/>
        <w:ind w:firstLine="480" w:firstLineChars="200"/>
        <w:textAlignment w:val="auto"/>
        <w:rPr>
          <w:rFonts w:hint="eastAsia" w:ascii="宋体" w:hAnsi="宋体" w:cs="宋体"/>
          <w:color w:val="auto"/>
          <w:szCs w:val="24"/>
          <w:highlight w:val="none"/>
        </w:rPr>
      </w:pPr>
      <w:bookmarkStart w:id="12" w:name="_Toc75258774"/>
      <w:r>
        <w:rPr>
          <w:rFonts w:hint="eastAsia" w:ascii="宋体" w:hAnsi="宋体" w:cs="宋体"/>
          <w:color w:val="auto"/>
          <w:szCs w:val="24"/>
          <w:highlight w:val="none"/>
        </w:rPr>
        <w:t>供应商是指向采购人提供服务或者货物的法人、其他组织或者自然人。合格的供应商应首先符合政府采购法第二十二条规定的基本资格条件，同时符合根据该项目特殊要求设置的特定资格条件。</w:t>
      </w:r>
    </w:p>
    <w:p w14:paraId="235FE16E">
      <w:pPr>
        <w:kinsoku/>
        <w:wordWrap/>
        <w:overflowPunct/>
        <w:topLinePunct w:val="0"/>
        <w:bidi w:val="0"/>
        <w:spacing w:line="360" w:lineRule="auto"/>
        <w:ind w:firstLine="480" w:firstLineChars="200"/>
        <w:textAlignment w:val="auto"/>
        <w:rPr>
          <w:rFonts w:hint="eastAsia" w:ascii="宋体" w:hAnsi="宋体" w:cs="宋体"/>
          <w:color w:val="auto"/>
          <w:szCs w:val="24"/>
          <w:highlight w:val="none"/>
        </w:rPr>
      </w:pPr>
      <w:r>
        <w:rPr>
          <w:rFonts w:hint="eastAsia" w:ascii="宋体" w:hAnsi="宋体" w:cs="宋体"/>
          <w:color w:val="auto"/>
          <w:szCs w:val="24"/>
          <w:highlight w:val="none"/>
        </w:rPr>
        <w:t>（一）基本资格条件</w:t>
      </w:r>
    </w:p>
    <w:p w14:paraId="30580098">
      <w:pPr>
        <w:kinsoku/>
        <w:wordWrap/>
        <w:overflowPunct/>
        <w:topLinePunct w:val="0"/>
        <w:bidi w:val="0"/>
        <w:spacing w:line="360" w:lineRule="auto"/>
        <w:ind w:firstLine="480" w:firstLineChars="200"/>
        <w:textAlignment w:val="auto"/>
        <w:rPr>
          <w:rFonts w:hint="eastAsia" w:ascii="宋体" w:hAnsi="宋体" w:cs="宋体"/>
          <w:color w:val="auto"/>
          <w:szCs w:val="24"/>
          <w:highlight w:val="none"/>
        </w:rPr>
      </w:pPr>
      <w:r>
        <w:rPr>
          <w:rFonts w:hint="eastAsia" w:ascii="宋体" w:hAnsi="宋体" w:cs="宋体"/>
          <w:color w:val="auto"/>
          <w:szCs w:val="24"/>
          <w:highlight w:val="none"/>
        </w:rPr>
        <w:t>1.具有独立承担民事责任的能力；</w:t>
      </w:r>
    </w:p>
    <w:p w14:paraId="3B1B9392">
      <w:pPr>
        <w:kinsoku/>
        <w:wordWrap/>
        <w:overflowPunct/>
        <w:topLinePunct w:val="0"/>
        <w:bidi w:val="0"/>
        <w:spacing w:line="360" w:lineRule="auto"/>
        <w:ind w:firstLine="480" w:firstLineChars="200"/>
        <w:textAlignment w:val="auto"/>
        <w:rPr>
          <w:rFonts w:hint="eastAsia" w:ascii="宋体" w:hAnsi="宋体" w:cs="宋体"/>
          <w:color w:val="auto"/>
          <w:szCs w:val="24"/>
          <w:highlight w:val="none"/>
        </w:rPr>
      </w:pPr>
      <w:r>
        <w:rPr>
          <w:rFonts w:hint="eastAsia" w:ascii="宋体" w:hAnsi="宋体" w:cs="宋体"/>
          <w:color w:val="auto"/>
          <w:szCs w:val="24"/>
          <w:highlight w:val="none"/>
        </w:rPr>
        <w:t>2.具有良好的商业信誉和健全的财务会计制度；</w:t>
      </w:r>
    </w:p>
    <w:p w14:paraId="2BF92567">
      <w:pPr>
        <w:kinsoku/>
        <w:wordWrap/>
        <w:overflowPunct/>
        <w:topLinePunct w:val="0"/>
        <w:bidi w:val="0"/>
        <w:spacing w:line="360" w:lineRule="auto"/>
        <w:ind w:firstLine="480" w:firstLineChars="200"/>
        <w:textAlignment w:val="auto"/>
        <w:rPr>
          <w:rFonts w:hint="eastAsia" w:ascii="宋体" w:hAnsi="宋体" w:cs="宋体"/>
          <w:color w:val="auto"/>
          <w:szCs w:val="24"/>
          <w:highlight w:val="none"/>
        </w:rPr>
      </w:pPr>
      <w:r>
        <w:rPr>
          <w:rFonts w:hint="eastAsia" w:ascii="宋体" w:hAnsi="宋体" w:cs="宋体"/>
          <w:color w:val="auto"/>
          <w:szCs w:val="24"/>
          <w:highlight w:val="none"/>
        </w:rPr>
        <w:t>3.具有履行合同所必需的设备和专业技术能力；</w:t>
      </w:r>
    </w:p>
    <w:p w14:paraId="101CA056">
      <w:pPr>
        <w:kinsoku/>
        <w:wordWrap/>
        <w:overflowPunct/>
        <w:topLinePunct w:val="0"/>
        <w:bidi w:val="0"/>
        <w:spacing w:line="360" w:lineRule="auto"/>
        <w:ind w:firstLine="480" w:firstLineChars="200"/>
        <w:textAlignment w:val="auto"/>
        <w:rPr>
          <w:rFonts w:hint="eastAsia" w:ascii="宋体" w:hAnsi="宋体" w:cs="宋体"/>
          <w:color w:val="auto"/>
          <w:szCs w:val="24"/>
          <w:highlight w:val="none"/>
        </w:rPr>
      </w:pPr>
      <w:r>
        <w:rPr>
          <w:rFonts w:hint="eastAsia" w:ascii="宋体" w:hAnsi="宋体" w:cs="宋体"/>
          <w:color w:val="auto"/>
          <w:szCs w:val="24"/>
          <w:highlight w:val="none"/>
        </w:rPr>
        <w:t>4.有依法缴纳税收和社会保障资金的良好记录；</w:t>
      </w:r>
    </w:p>
    <w:p w14:paraId="353FB465">
      <w:pPr>
        <w:kinsoku/>
        <w:wordWrap/>
        <w:overflowPunct/>
        <w:topLinePunct w:val="0"/>
        <w:bidi w:val="0"/>
        <w:spacing w:line="360" w:lineRule="auto"/>
        <w:ind w:firstLine="480" w:firstLineChars="200"/>
        <w:textAlignment w:val="auto"/>
        <w:rPr>
          <w:rFonts w:hint="eastAsia" w:ascii="宋体" w:hAnsi="宋体" w:cs="宋体"/>
          <w:color w:val="auto"/>
          <w:szCs w:val="24"/>
          <w:highlight w:val="none"/>
        </w:rPr>
      </w:pPr>
      <w:r>
        <w:rPr>
          <w:rFonts w:hint="eastAsia" w:ascii="宋体" w:hAnsi="宋体" w:cs="宋体"/>
          <w:color w:val="auto"/>
          <w:szCs w:val="24"/>
          <w:highlight w:val="none"/>
        </w:rPr>
        <w:t>5.参加政府采购活动前三年内，在经营活动中没有重大违法记录；</w:t>
      </w:r>
    </w:p>
    <w:p w14:paraId="67F86686">
      <w:pPr>
        <w:kinsoku/>
        <w:wordWrap/>
        <w:overflowPunct/>
        <w:topLinePunct w:val="0"/>
        <w:bidi w:val="0"/>
        <w:spacing w:line="360" w:lineRule="auto"/>
        <w:ind w:firstLine="480" w:firstLineChars="200"/>
        <w:textAlignment w:val="auto"/>
        <w:rPr>
          <w:rFonts w:hint="eastAsia" w:ascii="宋体" w:hAnsi="宋体" w:cs="宋体"/>
          <w:color w:val="auto"/>
          <w:szCs w:val="24"/>
          <w:highlight w:val="none"/>
        </w:rPr>
      </w:pPr>
      <w:r>
        <w:rPr>
          <w:rFonts w:hint="eastAsia" w:ascii="宋体" w:hAnsi="宋体" w:cs="宋体"/>
          <w:color w:val="auto"/>
          <w:szCs w:val="24"/>
          <w:highlight w:val="none"/>
        </w:rPr>
        <w:t>6.法律、行政法规规定的其他条件。</w:t>
      </w:r>
    </w:p>
    <w:p w14:paraId="368A8525">
      <w:pPr>
        <w:kinsoku/>
        <w:wordWrap/>
        <w:overflowPunct/>
        <w:topLinePunct w:val="0"/>
        <w:bidi w:val="0"/>
        <w:spacing w:line="360" w:lineRule="auto"/>
        <w:ind w:firstLine="480" w:firstLineChars="200"/>
        <w:textAlignment w:val="auto"/>
        <w:rPr>
          <w:rFonts w:hint="eastAsia" w:ascii="宋体" w:hAnsi="宋体" w:cs="宋体"/>
          <w:color w:val="auto"/>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）本项目的特定资格要求：</w:t>
      </w:r>
    </w:p>
    <w:p w14:paraId="199C3D56">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供应商</w:t>
      </w:r>
      <w:r>
        <w:rPr>
          <w:rFonts w:hint="eastAsia" w:ascii="宋体" w:hAnsi="宋体" w:eastAsia="宋体" w:cs="宋体"/>
          <w:color w:val="auto"/>
          <w:szCs w:val="24"/>
          <w:highlight w:val="none"/>
        </w:rPr>
        <w:t>具备建设行政主管部门颁发的建设工程质量检测机构资质证书。</w:t>
      </w:r>
    </w:p>
    <w:p w14:paraId="52CC3244">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检测资质类别须满足以下①</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②</w:t>
      </w:r>
      <w:r>
        <w:rPr>
          <w:rFonts w:hint="eastAsia" w:ascii="宋体" w:hAnsi="宋体" w:eastAsia="宋体" w:cs="宋体"/>
          <w:color w:val="auto"/>
          <w:szCs w:val="24"/>
          <w:highlight w:val="none"/>
          <w:lang w:val="en-US" w:eastAsia="zh-CN"/>
        </w:rPr>
        <w:t>任意一项</w:t>
      </w:r>
    </w:p>
    <w:p w14:paraId="5E7A28FE">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①检测资质类别为综合类资质；</w:t>
      </w:r>
    </w:p>
    <w:p w14:paraId="051EE910">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②检测资质类别须同时包含：建筑材料及构配件、主体结构及装饰装修、地基基础、钢结构、建筑节能。</w:t>
      </w:r>
    </w:p>
    <w:p w14:paraId="372A0C29">
      <w:pPr>
        <w:kinsoku/>
        <w:wordWrap/>
        <w:overflowPunct/>
        <w:topLinePunct w:val="0"/>
        <w:bidi w:val="0"/>
        <w:spacing w:line="360" w:lineRule="auto"/>
        <w:ind w:left="480" w:leftChars="200" w:firstLine="0" w:firstLineChars="0"/>
        <w:textAlignment w:val="auto"/>
        <w:rPr>
          <w:rFonts w:hint="eastAsia" w:ascii="宋体" w:hAnsi="宋体" w:eastAsia="宋体" w:cs="宋体"/>
          <w:color w:val="auto"/>
          <w:szCs w:val="24"/>
          <w:highlight w:val="none"/>
        </w:rPr>
      </w:pPr>
      <w:r>
        <w:rPr>
          <w:rFonts w:hint="eastAsia" w:ascii="宋体" w:hAnsi="宋体" w:cs="宋体"/>
          <w:color w:val="auto"/>
          <w:szCs w:val="24"/>
          <w:highlight w:val="none"/>
          <w:lang w:val="en-US" w:eastAsia="zh-CN"/>
        </w:rPr>
        <w:t>2.</w:t>
      </w:r>
      <w:r>
        <w:rPr>
          <w:rFonts w:hint="eastAsia" w:ascii="宋体" w:hAnsi="宋体" w:eastAsia="宋体" w:cs="宋体"/>
          <w:color w:val="auto"/>
          <w:szCs w:val="24"/>
          <w:highlight w:val="none"/>
        </w:rPr>
        <w:t>具有省级（含直辖市或自治区）及以上质量技术监督部门颁发的有效的CMA认证证书。提供</w:t>
      </w:r>
      <w:r>
        <w:rPr>
          <w:rFonts w:hint="eastAsia" w:ascii="宋体" w:hAnsi="宋体" w:cs="宋体"/>
          <w:color w:val="auto"/>
          <w:szCs w:val="24"/>
          <w:highlight w:val="none"/>
          <w:lang w:eastAsia="zh-CN"/>
        </w:rPr>
        <w:t>有效的</w:t>
      </w:r>
      <w:r>
        <w:rPr>
          <w:rFonts w:hint="eastAsia" w:ascii="宋体" w:hAnsi="宋体" w:eastAsia="宋体" w:cs="宋体"/>
          <w:color w:val="auto"/>
          <w:szCs w:val="24"/>
          <w:highlight w:val="none"/>
        </w:rPr>
        <w:t>证书复印件并加盖</w:t>
      </w:r>
      <w:r>
        <w:rPr>
          <w:rFonts w:hint="eastAsia" w:ascii="宋体" w:hAnsi="宋体" w:eastAsia="宋体" w:cs="宋体"/>
          <w:color w:val="auto"/>
          <w:szCs w:val="24"/>
          <w:highlight w:val="none"/>
          <w:lang w:val="en-US" w:eastAsia="zh-CN"/>
        </w:rPr>
        <w:t>供应商</w:t>
      </w:r>
      <w:r>
        <w:rPr>
          <w:rFonts w:hint="eastAsia" w:ascii="宋体" w:hAnsi="宋体" w:eastAsia="宋体" w:cs="宋体"/>
          <w:color w:val="auto"/>
          <w:szCs w:val="24"/>
          <w:highlight w:val="none"/>
        </w:rPr>
        <w:t>公章。</w:t>
      </w:r>
    </w:p>
    <w:p w14:paraId="3F8208BB">
      <w:pPr>
        <w:pStyle w:val="4"/>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13" w:name="_Toc9225"/>
      <w:r>
        <w:rPr>
          <w:rFonts w:hint="eastAsia" w:ascii="宋体" w:hAnsi="宋体"/>
          <w:color w:val="auto"/>
          <w:sz w:val="24"/>
          <w:szCs w:val="24"/>
          <w:highlight w:val="none"/>
        </w:rPr>
        <w:t>四、磋商有关说明</w:t>
      </w:r>
      <w:bookmarkEnd w:id="12"/>
      <w:bookmarkEnd w:id="13"/>
    </w:p>
    <w:p w14:paraId="7A95D6E8">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（一）供应商应通过“行采家”平台（https://www.gec123.com）进行注册，成为行采家平台供应商。</w:t>
      </w:r>
    </w:p>
    <w:p w14:paraId="61626E7A">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二）凡有意参加磋商的供应商，请在采购代理机构进行报名并在“行采家”平台（https://www.gec123.com）下载竞争性磋商文件以及图纸、澄清等磋商前公布的所有项目资料，无论供应商下载或领取与否，均视为已知晓所有磋商实质性要求内容。</w:t>
      </w:r>
    </w:p>
    <w:p w14:paraId="18352340">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（三）竞争性磋商公告期限：自采购公告发布之日起</w:t>
      </w:r>
      <w:r>
        <w:rPr>
          <w:rFonts w:hint="eastAsia" w:ascii="宋体" w:hAnsi="宋体"/>
          <w:color w:val="auto"/>
          <w:szCs w:val="24"/>
          <w:highlight w:val="none"/>
          <w:lang w:val="en-US" w:eastAsia="zh-CN"/>
        </w:rPr>
        <w:t>三</w:t>
      </w:r>
      <w:r>
        <w:rPr>
          <w:rFonts w:hint="eastAsia" w:ascii="宋体" w:hAnsi="宋体"/>
          <w:color w:val="auto"/>
          <w:szCs w:val="24"/>
          <w:highlight w:val="none"/>
        </w:rPr>
        <w:t>个工</w:t>
      </w:r>
      <w:bookmarkStart w:id="127" w:name="_GoBack"/>
      <w:bookmarkEnd w:id="127"/>
      <w:r>
        <w:rPr>
          <w:rFonts w:hint="eastAsia" w:ascii="宋体" w:hAnsi="宋体"/>
          <w:color w:val="auto"/>
          <w:szCs w:val="24"/>
          <w:highlight w:val="none"/>
        </w:rPr>
        <w:t>作日。</w:t>
      </w:r>
    </w:p>
    <w:p w14:paraId="49961B6D">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（四）竞争性磋商文件提供期限：</w:t>
      </w:r>
    </w:p>
    <w:p w14:paraId="1EA701E3">
      <w:pPr>
        <w:kinsoku/>
        <w:wordWrap/>
        <w:overflowPunct/>
        <w:topLinePunct w:val="0"/>
        <w:bidi w:val="0"/>
        <w:spacing w:line="360" w:lineRule="auto"/>
        <w:ind w:firstLine="480" w:firstLineChars="200"/>
        <w:textAlignment w:val="auto"/>
        <w:rPr>
          <w:rFonts w:hint="eastAsia" w:ascii="宋体" w:hAnsi="宋体" w:eastAsia="方正仿宋_GBK"/>
          <w:color w:val="auto"/>
          <w:szCs w:val="24"/>
          <w:highlight w:val="none"/>
        </w:rPr>
      </w:pPr>
      <w:r>
        <w:rPr>
          <w:rFonts w:hint="eastAsia" w:ascii="宋体" w:hAnsi="宋体"/>
          <w:color w:val="auto"/>
          <w:szCs w:val="24"/>
          <w:highlight w:val="none"/>
        </w:rPr>
        <w:t>1.竞争性磋商文件提供期：202</w:t>
      </w:r>
      <w:r>
        <w:rPr>
          <w:rFonts w:hint="eastAsia" w:ascii="宋体" w:hAnsi="宋体"/>
          <w:color w:val="auto"/>
          <w:szCs w:val="24"/>
          <w:highlight w:val="none"/>
          <w:lang w:val="en-US" w:eastAsia="zh-CN"/>
        </w:rPr>
        <w:t>5</w:t>
      </w:r>
      <w:r>
        <w:rPr>
          <w:rFonts w:hint="eastAsia" w:ascii="宋体" w:hAnsi="宋体"/>
          <w:color w:val="auto"/>
          <w:szCs w:val="24"/>
          <w:highlight w:val="none"/>
        </w:rPr>
        <w:t>年</w:t>
      </w:r>
      <w:r>
        <w:rPr>
          <w:rFonts w:hint="eastAsia" w:ascii="宋体" w:hAnsi="宋体"/>
          <w:color w:val="auto"/>
          <w:szCs w:val="24"/>
          <w:highlight w:val="none"/>
          <w:lang w:val="en-US" w:eastAsia="zh-CN"/>
        </w:rPr>
        <w:t>10</w:t>
      </w:r>
      <w:r>
        <w:rPr>
          <w:rFonts w:hint="eastAsia" w:ascii="宋体" w:hAnsi="宋体"/>
          <w:color w:val="auto"/>
          <w:szCs w:val="24"/>
          <w:highlight w:val="none"/>
        </w:rPr>
        <w:t>月</w:t>
      </w:r>
      <w:r>
        <w:rPr>
          <w:rFonts w:hint="eastAsia" w:ascii="宋体" w:hAnsi="宋体"/>
          <w:color w:val="auto"/>
          <w:szCs w:val="24"/>
          <w:highlight w:val="none"/>
          <w:lang w:val="en-US" w:eastAsia="zh-CN"/>
        </w:rPr>
        <w:t>11</w:t>
      </w:r>
      <w:r>
        <w:rPr>
          <w:rFonts w:hint="eastAsia" w:ascii="宋体" w:hAnsi="宋体"/>
          <w:color w:val="auto"/>
          <w:szCs w:val="24"/>
          <w:highlight w:val="none"/>
        </w:rPr>
        <w:t>日至202</w:t>
      </w:r>
      <w:r>
        <w:rPr>
          <w:rFonts w:hint="eastAsia" w:ascii="宋体" w:hAnsi="宋体"/>
          <w:color w:val="auto"/>
          <w:szCs w:val="24"/>
          <w:highlight w:val="none"/>
          <w:lang w:val="en-US" w:eastAsia="zh-CN"/>
        </w:rPr>
        <w:t>5</w:t>
      </w:r>
      <w:r>
        <w:rPr>
          <w:rFonts w:hint="eastAsia" w:ascii="宋体" w:hAnsi="宋体"/>
          <w:color w:val="auto"/>
          <w:szCs w:val="24"/>
          <w:highlight w:val="none"/>
        </w:rPr>
        <w:t>年</w:t>
      </w:r>
      <w:r>
        <w:rPr>
          <w:rFonts w:hint="eastAsia" w:ascii="宋体" w:hAnsi="宋体"/>
          <w:color w:val="auto"/>
          <w:szCs w:val="24"/>
          <w:highlight w:val="none"/>
          <w:lang w:val="en-US" w:eastAsia="zh-CN"/>
        </w:rPr>
        <w:t>10</w:t>
      </w:r>
      <w:r>
        <w:rPr>
          <w:rFonts w:hint="eastAsia" w:ascii="宋体" w:hAnsi="宋体"/>
          <w:color w:val="auto"/>
          <w:szCs w:val="24"/>
          <w:highlight w:val="none"/>
        </w:rPr>
        <w:t>月</w:t>
      </w:r>
      <w:r>
        <w:rPr>
          <w:rFonts w:hint="eastAsia" w:ascii="宋体" w:hAnsi="宋体"/>
          <w:color w:val="auto"/>
          <w:szCs w:val="24"/>
          <w:highlight w:val="none"/>
          <w:lang w:val="en-US" w:eastAsia="zh-CN"/>
        </w:rPr>
        <w:t>16</w:t>
      </w:r>
      <w:r>
        <w:rPr>
          <w:rFonts w:hint="eastAsia" w:ascii="宋体" w:hAnsi="宋体"/>
          <w:color w:val="auto"/>
          <w:szCs w:val="24"/>
          <w:highlight w:val="none"/>
        </w:rPr>
        <w:t>日（9:00-17:00）。</w:t>
      </w:r>
    </w:p>
    <w:p w14:paraId="08001A6A">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2.报名方式：</w:t>
      </w:r>
    </w:p>
    <w:p w14:paraId="434FC877">
      <w:pPr>
        <w:kinsoku/>
        <w:wordWrap/>
        <w:overflowPunct/>
        <w:topLinePunct w:val="0"/>
        <w:bidi w:val="0"/>
        <w:spacing w:line="360" w:lineRule="auto"/>
        <w:ind w:firstLine="480" w:firstLineChars="200"/>
        <w:textAlignment w:val="auto"/>
        <w:rPr>
          <w:color w:val="auto"/>
          <w:highlight w:val="none"/>
        </w:rPr>
      </w:pPr>
      <w:r>
        <w:rPr>
          <w:rFonts w:hint="eastAsia" w:ascii="宋体" w:hAnsi="宋体"/>
          <w:color w:val="auto"/>
          <w:szCs w:val="24"/>
          <w:highlight w:val="none"/>
        </w:rPr>
        <w:t>（1）潜在供应商将《报名登记表》（加盖供应商公章）</w:t>
      </w:r>
      <w:r>
        <w:rPr>
          <w:rFonts w:hint="eastAsia" w:ascii="宋体" w:hAnsi="宋体"/>
          <w:color w:val="auto"/>
          <w:szCs w:val="24"/>
          <w:highlight w:val="none"/>
          <w:lang w:val="en-US" w:eastAsia="zh-CN"/>
        </w:rPr>
        <w:t>扫描成PDF文档后</w:t>
      </w:r>
      <w:r>
        <w:rPr>
          <w:rFonts w:hint="eastAsia" w:ascii="宋体" w:hAnsi="宋体"/>
          <w:color w:val="auto"/>
          <w:szCs w:val="24"/>
          <w:highlight w:val="none"/>
        </w:rPr>
        <w:t>发送至</w:t>
      </w:r>
      <w:r>
        <w:rPr>
          <w:rFonts w:hint="eastAsia" w:ascii="宋体" w:hAnsi="宋体"/>
          <w:color w:val="auto"/>
          <w:szCs w:val="24"/>
          <w:highlight w:val="none"/>
          <w:u w:val="none"/>
          <w:lang w:val="en-US" w:eastAsia="zh-CN"/>
        </w:rPr>
        <w:fldChar w:fldCharType="begin"/>
      </w:r>
      <w:r>
        <w:rPr>
          <w:rFonts w:hint="eastAsia" w:ascii="宋体" w:hAnsi="宋体"/>
          <w:color w:val="auto"/>
          <w:szCs w:val="24"/>
          <w:highlight w:val="none"/>
          <w:u w:val="none"/>
          <w:lang w:val="en-US" w:eastAsia="zh-CN"/>
        </w:rPr>
        <w:instrText xml:space="preserve"> HYPERLINK "mailto:330890131@qq.com。" </w:instrText>
      </w:r>
      <w:r>
        <w:rPr>
          <w:rFonts w:hint="eastAsia" w:ascii="宋体" w:hAnsi="宋体"/>
          <w:color w:val="auto"/>
          <w:szCs w:val="24"/>
          <w:highlight w:val="none"/>
          <w:u w:val="none"/>
          <w:lang w:val="en-US" w:eastAsia="zh-CN"/>
        </w:rPr>
        <w:fldChar w:fldCharType="separate"/>
      </w:r>
      <w:r>
        <w:rPr>
          <w:rStyle w:val="66"/>
          <w:rFonts w:hint="eastAsia" w:ascii="宋体" w:hAnsi="宋体"/>
          <w:color w:val="auto"/>
          <w:szCs w:val="24"/>
          <w:highlight w:val="none"/>
          <w:u w:val="none"/>
          <w:lang w:val="en-US" w:eastAsia="zh-CN"/>
        </w:rPr>
        <w:t>330890131</w:t>
      </w:r>
      <w:r>
        <w:rPr>
          <w:rStyle w:val="66"/>
          <w:rFonts w:hint="eastAsia" w:ascii="宋体" w:hAnsi="宋体"/>
          <w:color w:val="auto"/>
          <w:szCs w:val="24"/>
          <w:highlight w:val="none"/>
          <w:u w:val="none"/>
        </w:rPr>
        <w:t>@q</w:t>
      </w:r>
      <w:bookmarkStart w:id="14" w:name="_Hlt182767489"/>
      <w:bookmarkStart w:id="15" w:name="_Hlt182767490"/>
      <w:r>
        <w:rPr>
          <w:rStyle w:val="66"/>
          <w:rFonts w:hint="eastAsia" w:ascii="宋体" w:hAnsi="宋体"/>
          <w:color w:val="auto"/>
          <w:szCs w:val="24"/>
          <w:highlight w:val="none"/>
          <w:u w:val="none"/>
        </w:rPr>
        <w:t>q</w:t>
      </w:r>
      <w:bookmarkEnd w:id="14"/>
      <w:bookmarkEnd w:id="15"/>
      <w:r>
        <w:rPr>
          <w:rStyle w:val="66"/>
          <w:rFonts w:hint="eastAsia" w:ascii="宋体" w:hAnsi="宋体"/>
          <w:color w:val="auto"/>
          <w:szCs w:val="24"/>
          <w:highlight w:val="none"/>
          <w:u w:val="none"/>
        </w:rPr>
        <w:t>.com</w:t>
      </w:r>
      <w:r>
        <w:rPr>
          <w:rStyle w:val="66"/>
          <w:rFonts w:hint="eastAsia" w:ascii="宋体" w:hAnsi="宋体"/>
          <w:color w:val="auto"/>
          <w:szCs w:val="24"/>
          <w:highlight w:val="none"/>
          <w:u w:val="none"/>
          <w:lang w:eastAsia="zh-CN"/>
        </w:rPr>
        <w:t>，</w:t>
      </w:r>
      <w:r>
        <w:rPr>
          <w:rFonts w:hint="eastAsia" w:ascii="宋体" w:hAnsi="宋体"/>
          <w:color w:val="auto"/>
          <w:szCs w:val="24"/>
          <w:highlight w:val="none"/>
          <w:u w:val="none"/>
          <w:lang w:val="en-US" w:eastAsia="zh-CN"/>
        </w:rPr>
        <w:fldChar w:fldCharType="end"/>
      </w:r>
      <w:r>
        <w:rPr>
          <w:rFonts w:hint="eastAsia" w:ascii="宋体" w:hAnsi="宋体"/>
          <w:color w:val="auto"/>
          <w:szCs w:val="24"/>
          <w:highlight w:val="none"/>
        </w:rPr>
        <w:t>发送邮箱请标注供应商名称</w:t>
      </w:r>
      <w:r>
        <w:rPr>
          <w:rFonts w:hint="eastAsia" w:ascii="宋体" w:hAnsi="宋体"/>
          <w:color w:val="auto"/>
          <w:szCs w:val="24"/>
          <w:highlight w:val="none"/>
          <w:lang w:eastAsia="zh-CN"/>
        </w:rPr>
        <w:t>－</w:t>
      </w:r>
      <w:r>
        <w:rPr>
          <w:rFonts w:hint="eastAsia" w:ascii="宋体" w:hAnsi="宋体" w:eastAsia="宋体" w:cs="Times New Roman"/>
          <w:color w:val="auto"/>
          <w:szCs w:val="24"/>
          <w:highlight w:val="none"/>
        </w:rPr>
        <w:t>（</w:t>
      </w:r>
      <w:r>
        <w:rPr>
          <w:rFonts w:hint="eastAsia" w:ascii="宋体" w:hAnsi="宋体" w:eastAsia="宋体" w:cs="Times New Roman"/>
          <w:color w:val="auto"/>
          <w:szCs w:val="24"/>
          <w:highlight w:val="none"/>
          <w:lang w:eastAsia="zh-CN"/>
        </w:rPr>
        <w:t>2024年大渡口区配售型保障性住房项目质量检测</w:t>
      </w:r>
      <w:r>
        <w:rPr>
          <w:rFonts w:hint="eastAsia" w:ascii="宋体" w:hAnsi="宋体" w:eastAsia="宋体" w:cs="Times New Roman"/>
          <w:color w:val="auto"/>
          <w:szCs w:val="24"/>
          <w:highlight w:val="none"/>
        </w:rPr>
        <w:t>）</w:t>
      </w:r>
      <w:r>
        <w:rPr>
          <w:rFonts w:hint="eastAsia" w:ascii="宋体" w:hAnsi="宋体"/>
          <w:color w:val="auto"/>
          <w:szCs w:val="24"/>
          <w:highlight w:val="none"/>
        </w:rPr>
        <w:t>。</w:t>
      </w:r>
    </w:p>
    <w:p w14:paraId="66CA4828">
      <w:pPr>
        <w:kinsoku/>
        <w:wordWrap/>
        <w:overflowPunct/>
        <w:topLinePunct w:val="0"/>
        <w:bidi w:val="0"/>
        <w:spacing w:line="360" w:lineRule="auto"/>
        <w:ind w:firstLine="480" w:firstLineChars="200"/>
        <w:textAlignment w:val="auto"/>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rPr>
        <w:t>竞争性磋商文件售价：人民币300元。</w:t>
      </w:r>
    </w:p>
    <w:p w14:paraId="734982FB">
      <w:pPr>
        <w:kinsoku/>
        <w:wordWrap/>
        <w:overflowPunct/>
        <w:topLinePunct w:val="0"/>
        <w:bidi w:val="0"/>
        <w:spacing w:line="360" w:lineRule="auto"/>
        <w:ind w:firstLine="480" w:firstLineChars="200"/>
        <w:textAlignment w:val="auto"/>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（五）供应商须满足</w:t>
      </w:r>
      <w:r>
        <w:rPr>
          <w:rFonts w:hint="eastAsia" w:ascii="宋体" w:hAnsi="宋体" w:cs="Times New Roman"/>
          <w:color w:val="auto"/>
          <w:szCs w:val="24"/>
          <w:highlight w:val="none"/>
          <w:lang w:eastAsia="zh-CN"/>
        </w:rPr>
        <w:t>以下两种</w:t>
      </w:r>
      <w:r>
        <w:rPr>
          <w:rFonts w:hint="eastAsia" w:ascii="宋体" w:hAnsi="宋体" w:eastAsia="宋体" w:cs="Times New Roman"/>
          <w:color w:val="auto"/>
          <w:szCs w:val="24"/>
          <w:highlight w:val="none"/>
        </w:rPr>
        <w:t>要求，其响应文件</w:t>
      </w:r>
      <w:r>
        <w:rPr>
          <w:rFonts w:hint="eastAsia" w:ascii="宋体" w:hAnsi="宋体" w:cs="Times New Roman"/>
          <w:color w:val="auto"/>
          <w:szCs w:val="24"/>
          <w:highlight w:val="none"/>
          <w:lang w:eastAsia="zh-CN"/>
        </w:rPr>
        <w:t>才能</w:t>
      </w:r>
      <w:r>
        <w:rPr>
          <w:rFonts w:hint="eastAsia" w:ascii="宋体" w:hAnsi="宋体" w:eastAsia="宋体" w:cs="Times New Roman"/>
          <w:color w:val="auto"/>
          <w:szCs w:val="24"/>
          <w:highlight w:val="none"/>
        </w:rPr>
        <w:t>被接受：</w:t>
      </w:r>
    </w:p>
    <w:p w14:paraId="724430F9">
      <w:pPr>
        <w:kinsoku/>
        <w:wordWrap/>
        <w:overflowPunct/>
        <w:topLinePunct w:val="0"/>
        <w:bidi w:val="0"/>
        <w:spacing w:line="360" w:lineRule="auto"/>
        <w:ind w:firstLine="480" w:firstLineChars="200"/>
        <w:textAlignment w:val="auto"/>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1</w:t>
      </w:r>
      <w:r>
        <w:rPr>
          <w:rFonts w:hint="eastAsia" w:ascii="宋体" w:hAnsi="宋体" w:eastAsia="宋体" w:cs="Times New Roman"/>
          <w:color w:val="auto"/>
          <w:szCs w:val="24"/>
          <w:highlight w:val="none"/>
        </w:rPr>
        <w:t>.按要求完成报名</w:t>
      </w:r>
      <w:r>
        <w:rPr>
          <w:rFonts w:hint="eastAsia" w:ascii="宋体" w:hAnsi="宋体" w:cs="Times New Roman"/>
          <w:color w:val="auto"/>
          <w:szCs w:val="24"/>
          <w:highlight w:val="none"/>
          <w:lang w:val="en-US" w:eastAsia="zh-CN"/>
        </w:rPr>
        <w:t>并缴纳文件费</w:t>
      </w:r>
      <w:r>
        <w:rPr>
          <w:rFonts w:hint="eastAsia" w:ascii="宋体" w:hAnsi="宋体" w:eastAsia="宋体" w:cs="Times New Roman"/>
          <w:color w:val="auto"/>
          <w:szCs w:val="24"/>
          <w:highlight w:val="none"/>
        </w:rPr>
        <w:t>。</w:t>
      </w:r>
    </w:p>
    <w:p w14:paraId="06F01190">
      <w:pPr>
        <w:kinsoku/>
        <w:wordWrap/>
        <w:overflowPunct/>
        <w:topLinePunct w:val="0"/>
        <w:bidi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rPr>
        <w:t>.在</w:t>
      </w:r>
      <w:r>
        <w:rPr>
          <w:rFonts w:hint="eastAsia" w:ascii="宋体" w:hAnsi="宋体" w:eastAsia="宋体" w:cs="Times New Roman"/>
          <w:color w:val="auto"/>
          <w:szCs w:val="24"/>
          <w:highlight w:val="none"/>
          <w:lang w:val="en-US" w:eastAsia="zh-CN"/>
        </w:rPr>
        <w:t>竞争性磋商</w:t>
      </w:r>
      <w:r>
        <w:rPr>
          <w:rFonts w:hint="eastAsia" w:ascii="宋体" w:hAnsi="宋体" w:eastAsia="宋体" w:cs="Times New Roman"/>
          <w:color w:val="auto"/>
          <w:szCs w:val="24"/>
          <w:highlight w:val="none"/>
        </w:rPr>
        <w:t>文件规定的时间内递交了纸质响应文件</w:t>
      </w:r>
      <w:r>
        <w:rPr>
          <w:rFonts w:hint="eastAsia" w:ascii="宋体" w:hAnsi="宋体" w:eastAsia="宋体" w:cs="宋体"/>
          <w:color w:val="auto"/>
          <w:sz w:val="24"/>
          <w:szCs w:val="24"/>
          <w:highlight w:val="none"/>
        </w:rPr>
        <w:t>。</w:t>
      </w:r>
    </w:p>
    <w:p w14:paraId="793F18F2">
      <w:pPr>
        <w:kinsoku/>
        <w:wordWrap/>
        <w:overflowPunct/>
        <w:topLinePunct w:val="0"/>
        <w:bidi w:val="0"/>
        <w:spacing w:line="360" w:lineRule="auto"/>
        <w:ind w:firstLine="480" w:firstLineChars="200"/>
        <w:textAlignment w:val="auto"/>
        <w:rPr>
          <w:rFonts w:hint="eastAsia" w:ascii="宋体" w:hAnsi="宋体"/>
          <w:color w:val="auto"/>
          <w:szCs w:val="24"/>
          <w:highlight w:val="none"/>
          <w:u w:val="none"/>
        </w:rPr>
      </w:pPr>
      <w:r>
        <w:rPr>
          <w:rFonts w:hint="eastAsia" w:ascii="宋体" w:hAnsi="宋体"/>
          <w:color w:val="auto"/>
          <w:szCs w:val="24"/>
          <w:highlight w:val="none"/>
        </w:rPr>
        <w:t>（</w:t>
      </w:r>
      <w:r>
        <w:rPr>
          <w:rFonts w:hint="eastAsia" w:ascii="宋体" w:hAnsi="宋体"/>
          <w:color w:val="auto"/>
          <w:szCs w:val="24"/>
          <w:highlight w:val="none"/>
          <w:lang w:val="en-US" w:eastAsia="zh-CN"/>
        </w:rPr>
        <w:t>六</w:t>
      </w:r>
      <w:r>
        <w:rPr>
          <w:rFonts w:hint="eastAsia" w:ascii="宋体" w:hAnsi="宋体"/>
          <w:color w:val="auto"/>
          <w:szCs w:val="24"/>
          <w:highlight w:val="none"/>
        </w:rPr>
        <w:t>）递交响应文件地点：</w:t>
      </w:r>
      <w:r>
        <w:rPr>
          <w:rFonts w:hint="eastAsia" w:ascii="宋体" w:hAnsi="宋体" w:cs="宋体"/>
          <w:color w:val="auto"/>
          <w:szCs w:val="24"/>
          <w:highlight w:val="none"/>
          <w:u w:val="none"/>
        </w:rPr>
        <w:t>重庆大渡口区金桥路8号金桥大楼619会议室</w:t>
      </w:r>
    </w:p>
    <w:p w14:paraId="04ACE3C5">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val="en-US" w:eastAsia="zh-CN"/>
        </w:rPr>
        <w:t>七</w:t>
      </w:r>
      <w:r>
        <w:rPr>
          <w:rFonts w:hint="eastAsia" w:ascii="宋体" w:hAnsi="宋体"/>
          <w:color w:val="auto"/>
          <w:szCs w:val="24"/>
          <w:highlight w:val="none"/>
        </w:rPr>
        <w:t>）响应文件递交开始和截止时间：202</w:t>
      </w:r>
      <w:r>
        <w:rPr>
          <w:rFonts w:hint="eastAsia" w:ascii="宋体" w:hAnsi="宋体"/>
          <w:color w:val="auto"/>
          <w:szCs w:val="24"/>
          <w:highlight w:val="none"/>
          <w:lang w:val="en-US" w:eastAsia="zh-CN"/>
        </w:rPr>
        <w:t>5</w:t>
      </w:r>
      <w:r>
        <w:rPr>
          <w:rFonts w:hint="eastAsia" w:ascii="宋体" w:hAnsi="宋体"/>
          <w:color w:val="auto"/>
          <w:szCs w:val="24"/>
          <w:highlight w:val="none"/>
        </w:rPr>
        <w:t>年</w:t>
      </w:r>
      <w:r>
        <w:rPr>
          <w:rFonts w:hint="eastAsia" w:ascii="宋体" w:hAnsi="宋体"/>
          <w:color w:val="auto"/>
          <w:szCs w:val="24"/>
          <w:highlight w:val="none"/>
          <w:lang w:val="en-US" w:eastAsia="zh-CN"/>
        </w:rPr>
        <w:t>10</w:t>
      </w:r>
      <w:r>
        <w:rPr>
          <w:rFonts w:hint="eastAsia" w:ascii="宋体" w:hAnsi="宋体"/>
          <w:color w:val="auto"/>
          <w:szCs w:val="24"/>
          <w:highlight w:val="none"/>
        </w:rPr>
        <w:t>月</w:t>
      </w:r>
      <w:r>
        <w:rPr>
          <w:rFonts w:hint="eastAsia" w:ascii="宋体" w:hAnsi="宋体"/>
          <w:color w:val="auto"/>
          <w:szCs w:val="24"/>
          <w:highlight w:val="none"/>
          <w:lang w:val="en-US" w:eastAsia="zh-CN"/>
        </w:rPr>
        <w:t>22</w:t>
      </w:r>
      <w:r>
        <w:rPr>
          <w:rFonts w:hint="eastAsia" w:ascii="宋体" w:hAnsi="宋体"/>
          <w:color w:val="auto"/>
          <w:szCs w:val="24"/>
          <w:highlight w:val="none"/>
        </w:rPr>
        <w:t>日北京时间14:00-14:30</w:t>
      </w:r>
    </w:p>
    <w:p w14:paraId="77AAA6BF">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val="en-US" w:eastAsia="zh-CN"/>
        </w:rPr>
        <w:t>八</w:t>
      </w:r>
      <w:r>
        <w:rPr>
          <w:rFonts w:hint="eastAsia" w:ascii="宋体" w:hAnsi="宋体"/>
          <w:color w:val="auto"/>
          <w:szCs w:val="24"/>
          <w:highlight w:val="none"/>
        </w:rPr>
        <w:t>）磋商开始时间：202</w:t>
      </w:r>
      <w:r>
        <w:rPr>
          <w:rFonts w:hint="eastAsia" w:ascii="宋体" w:hAnsi="宋体"/>
          <w:color w:val="auto"/>
          <w:szCs w:val="24"/>
          <w:highlight w:val="none"/>
          <w:lang w:val="en-US" w:eastAsia="zh-CN"/>
        </w:rPr>
        <w:t>5</w:t>
      </w:r>
      <w:r>
        <w:rPr>
          <w:rFonts w:hint="eastAsia" w:ascii="宋体" w:hAnsi="宋体"/>
          <w:color w:val="auto"/>
          <w:szCs w:val="24"/>
          <w:highlight w:val="none"/>
        </w:rPr>
        <w:t>年</w:t>
      </w:r>
      <w:r>
        <w:rPr>
          <w:rFonts w:hint="eastAsia" w:ascii="宋体" w:hAnsi="宋体"/>
          <w:color w:val="auto"/>
          <w:szCs w:val="24"/>
          <w:highlight w:val="none"/>
          <w:lang w:val="en-US" w:eastAsia="zh-CN"/>
        </w:rPr>
        <w:t>10</w:t>
      </w:r>
      <w:r>
        <w:rPr>
          <w:rFonts w:hint="eastAsia" w:ascii="宋体" w:hAnsi="宋体"/>
          <w:color w:val="auto"/>
          <w:szCs w:val="24"/>
          <w:highlight w:val="none"/>
        </w:rPr>
        <w:t>月</w:t>
      </w:r>
      <w:r>
        <w:rPr>
          <w:rFonts w:hint="eastAsia" w:ascii="宋体" w:hAnsi="宋体"/>
          <w:color w:val="auto"/>
          <w:szCs w:val="24"/>
          <w:highlight w:val="none"/>
          <w:lang w:val="en-US" w:eastAsia="zh-CN"/>
        </w:rPr>
        <w:t>22</w:t>
      </w:r>
      <w:r>
        <w:rPr>
          <w:rFonts w:hint="eastAsia" w:ascii="宋体" w:hAnsi="宋体"/>
          <w:color w:val="auto"/>
          <w:szCs w:val="24"/>
          <w:highlight w:val="none"/>
        </w:rPr>
        <w:t>日北京时间14:30</w:t>
      </w:r>
    </w:p>
    <w:p w14:paraId="68CBF7B4">
      <w:pPr>
        <w:pStyle w:val="4"/>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16" w:name="_Toc181801418"/>
      <w:bookmarkStart w:id="17" w:name="_Toc373860294"/>
      <w:bookmarkStart w:id="18" w:name="_Toc8072"/>
      <w:bookmarkStart w:id="19" w:name="_Toc179791535"/>
      <w:bookmarkStart w:id="20" w:name="_Toc182584078"/>
      <w:bookmarkStart w:id="21" w:name="_Toc75258775"/>
      <w:r>
        <w:rPr>
          <w:rFonts w:hint="eastAsia" w:ascii="宋体" w:hAnsi="宋体"/>
          <w:color w:val="auto"/>
          <w:sz w:val="24"/>
          <w:szCs w:val="24"/>
          <w:highlight w:val="none"/>
        </w:rPr>
        <w:t>五、磋商保证金</w:t>
      </w:r>
      <w:bookmarkEnd w:id="16"/>
      <w:bookmarkEnd w:id="17"/>
      <w:bookmarkEnd w:id="18"/>
      <w:bookmarkEnd w:id="19"/>
      <w:bookmarkEnd w:id="20"/>
      <w:bookmarkEnd w:id="21"/>
    </w:p>
    <w:p w14:paraId="73EA9A37">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无。</w:t>
      </w:r>
    </w:p>
    <w:p w14:paraId="0A2B2A6B">
      <w:pPr>
        <w:pStyle w:val="4"/>
        <w:kinsoku/>
        <w:wordWrap/>
        <w:overflowPunct/>
        <w:topLinePunct w:val="0"/>
        <w:bidi w:val="0"/>
        <w:spacing w:line="360" w:lineRule="auto"/>
        <w:ind w:firstLine="482" w:firstLineChars="200"/>
        <w:textAlignment w:val="auto"/>
        <w:rPr>
          <w:rFonts w:hint="eastAsia" w:ascii="宋体" w:hAnsi="宋体" w:eastAsia="宋体"/>
          <w:color w:val="auto"/>
          <w:sz w:val="24"/>
          <w:szCs w:val="24"/>
          <w:highlight w:val="none"/>
          <w:lang w:eastAsia="zh-CN"/>
        </w:rPr>
      </w:pPr>
      <w:bookmarkStart w:id="22" w:name="_Toc75258776"/>
      <w:bookmarkStart w:id="23" w:name="_Toc530038692"/>
      <w:bookmarkStart w:id="24" w:name="_Toc7304"/>
      <w:bookmarkStart w:id="25" w:name="_Toc5525"/>
      <w:r>
        <w:rPr>
          <w:rFonts w:hint="eastAsia" w:ascii="宋体" w:hAnsi="宋体"/>
          <w:color w:val="auto"/>
          <w:sz w:val="24"/>
          <w:szCs w:val="24"/>
          <w:highlight w:val="none"/>
        </w:rPr>
        <w:t>六、</w:t>
      </w:r>
      <w:bookmarkEnd w:id="22"/>
      <w:bookmarkEnd w:id="23"/>
      <w:r>
        <w:rPr>
          <w:rFonts w:hint="eastAsia" w:ascii="宋体" w:hAnsi="宋体" w:cs="宋体"/>
          <w:color w:val="auto"/>
          <w:sz w:val="24"/>
          <w:szCs w:val="24"/>
          <w:highlight w:val="none"/>
        </w:rPr>
        <w:t>履约</w:t>
      </w:r>
      <w:bookmarkEnd w:id="24"/>
      <w:r>
        <w:rPr>
          <w:rFonts w:hint="eastAsia" w:ascii="宋体" w:hAnsi="宋体" w:cs="宋体"/>
          <w:color w:val="auto"/>
          <w:sz w:val="24"/>
          <w:szCs w:val="24"/>
          <w:highlight w:val="none"/>
          <w:lang w:eastAsia="zh-CN"/>
        </w:rPr>
        <w:t>保证金</w:t>
      </w:r>
      <w:bookmarkEnd w:id="25"/>
    </w:p>
    <w:p w14:paraId="3D42C123">
      <w:pPr>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履约保证金金额为：项目成交金额的</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w:t>
      </w:r>
    </w:p>
    <w:p w14:paraId="2BA6F72B">
      <w:pPr>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应当在</w:t>
      </w:r>
      <w:r>
        <w:rPr>
          <w:rFonts w:hint="eastAsia" w:ascii="宋体" w:hAnsi="宋体" w:eastAsia="宋体" w:cs="宋体"/>
          <w:color w:val="auto"/>
          <w:sz w:val="24"/>
          <w:szCs w:val="24"/>
          <w:highlight w:val="none"/>
          <w:lang w:eastAsia="zh-CN"/>
        </w:rPr>
        <w:t>领取成交通知书后</w:t>
      </w:r>
      <w:r>
        <w:rPr>
          <w:rFonts w:hint="eastAsia" w:ascii="宋体" w:hAnsi="宋体" w:cs="宋体"/>
          <w:color w:val="auto"/>
          <w:sz w:val="24"/>
          <w:szCs w:val="24"/>
          <w:highlight w:val="none"/>
          <w:lang w:val="en-US" w:eastAsia="zh-CN"/>
        </w:rPr>
        <w:t>20天</w:t>
      </w:r>
      <w:r>
        <w:rPr>
          <w:rFonts w:hint="eastAsia" w:ascii="宋体" w:hAnsi="宋体" w:eastAsia="宋体" w:cs="宋体"/>
          <w:color w:val="auto"/>
          <w:sz w:val="24"/>
          <w:szCs w:val="24"/>
          <w:highlight w:val="none"/>
          <w:lang w:val="en-US" w:eastAsia="zh-CN"/>
        </w:rPr>
        <w:t>内且合同签订之前</w:t>
      </w:r>
      <w:r>
        <w:rPr>
          <w:rFonts w:hint="eastAsia" w:ascii="宋体" w:hAnsi="宋体" w:cs="宋体"/>
          <w:color w:val="auto"/>
          <w:sz w:val="24"/>
          <w:szCs w:val="24"/>
          <w:highlight w:val="none"/>
          <w:lang w:val="en-US" w:eastAsia="zh-CN"/>
        </w:rPr>
        <w:t>（以</w:t>
      </w:r>
      <w:r>
        <w:rPr>
          <w:rFonts w:hint="eastAsia" w:ascii="宋体" w:hAnsi="宋体" w:eastAsia="宋体" w:cs="宋体"/>
          <w:color w:val="auto"/>
          <w:sz w:val="24"/>
          <w:szCs w:val="24"/>
          <w:highlight w:val="none"/>
        </w:rPr>
        <w:t>重庆建桥置业有限公司开具收据为准）将履约担保汇入下列</w:t>
      </w:r>
      <w:r>
        <w:rPr>
          <w:rFonts w:hint="eastAsia" w:ascii="宋体" w:hAnsi="宋体" w:cs="宋体"/>
          <w:color w:val="auto"/>
          <w:sz w:val="24"/>
          <w:szCs w:val="24"/>
          <w:highlight w:val="none"/>
          <w:lang w:eastAsia="zh-CN"/>
        </w:rPr>
        <w:t>账户</w:t>
      </w:r>
      <w:r>
        <w:rPr>
          <w:rFonts w:hint="eastAsia" w:ascii="宋体" w:hAnsi="宋体" w:eastAsia="宋体" w:cs="宋体"/>
          <w:color w:val="auto"/>
          <w:sz w:val="24"/>
          <w:szCs w:val="24"/>
          <w:highlight w:val="none"/>
        </w:rPr>
        <w:t>：</w:t>
      </w:r>
    </w:p>
    <w:p w14:paraId="6F968841">
      <w:pPr>
        <w:keepNext/>
        <w:keepLines/>
        <w:pageBreakBefore w:val="0"/>
        <w:widowControl w:val="0"/>
        <w:kinsoku/>
        <w:wordWrap/>
        <w:overflowPunct/>
        <w:topLinePunct w:val="0"/>
        <w:autoSpaceDE/>
        <w:autoSpaceDN/>
        <w:bidi w:val="0"/>
        <w:adjustRightInd/>
        <w:snapToGrid/>
        <w:spacing w:line="440" w:lineRule="exact"/>
        <w:ind w:left="0" w:leftChars="0" w:right="0" w:rightChars="0" w:firstLine="482" w:firstLineChars="200"/>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公司相关账号如下：</w:t>
      </w:r>
    </w:p>
    <w:p w14:paraId="422B2E05">
      <w:pPr>
        <w:keepNext/>
        <w:keepLines/>
        <w:pageBreakBefore w:val="0"/>
        <w:widowControl w:val="0"/>
        <w:kinsoku/>
        <w:wordWrap/>
        <w:overflowPunct/>
        <w:topLinePunct w:val="0"/>
        <w:autoSpaceDE/>
        <w:autoSpaceDN/>
        <w:bidi w:val="0"/>
        <w:adjustRightInd/>
        <w:snapToGrid/>
        <w:spacing w:line="440" w:lineRule="exact"/>
        <w:ind w:left="0" w:leftChars="0" w:right="0" w:rightChars="0" w:firstLine="482" w:firstLineChars="200"/>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账户名称：重庆建桥置业有限公司</w:t>
      </w:r>
    </w:p>
    <w:p w14:paraId="09B9A716">
      <w:pPr>
        <w:keepNext/>
        <w:keepLines/>
        <w:pageBreakBefore w:val="0"/>
        <w:widowControl w:val="0"/>
        <w:kinsoku/>
        <w:wordWrap/>
        <w:overflowPunct/>
        <w:topLinePunct w:val="0"/>
        <w:autoSpaceDE/>
        <w:autoSpaceDN/>
        <w:bidi w:val="0"/>
        <w:adjustRightInd/>
        <w:snapToGrid/>
        <w:spacing w:line="440" w:lineRule="exact"/>
        <w:ind w:left="0" w:leftChars="0" w:right="0" w:rightChars="0" w:firstLine="482" w:firstLineChars="200"/>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开户行：交通银行重庆大渡口支行</w:t>
      </w:r>
    </w:p>
    <w:p w14:paraId="53BB7B55">
      <w:pPr>
        <w:pageBreakBefore w:val="0"/>
        <w:widowControl w:val="0"/>
        <w:kinsoku/>
        <w:wordWrap/>
        <w:overflowPunct/>
        <w:topLinePunct w:val="0"/>
        <w:autoSpaceDE/>
        <w:autoSpaceDN/>
        <w:bidi w:val="0"/>
        <w:adjustRightInd/>
        <w:snapToGrid/>
        <w:spacing w:line="440" w:lineRule="exact"/>
        <w:ind w:left="0" w:leftChars="0" w:right="0" w:righ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账  号：500103011018000004126</w:t>
      </w:r>
    </w:p>
    <w:p w14:paraId="4EDE71AC">
      <w:pPr>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color w:val="auto"/>
          <w:highlight w:val="none"/>
          <w:lang w:val="en-US" w:eastAsia="zh-CN"/>
        </w:rPr>
      </w:pPr>
      <w:r>
        <w:rPr>
          <w:rFonts w:hint="eastAsia" w:ascii="宋体" w:hAnsi="宋体" w:cs="宋体"/>
          <w:b w:val="0"/>
          <w:color w:val="auto"/>
          <w:kern w:val="2"/>
          <w:sz w:val="24"/>
          <w:szCs w:val="24"/>
          <w:highlight w:val="none"/>
          <w:lang w:val="en-US" w:eastAsia="zh-CN" w:bidi="ar-SA"/>
        </w:rPr>
        <w:t>汇入履约保证金时需备注项目名称。</w:t>
      </w:r>
    </w:p>
    <w:p w14:paraId="3FDD1F13">
      <w:pPr>
        <w:kinsoku/>
        <w:wordWrap/>
        <w:overflowPunct/>
        <w:topLinePunct w:val="0"/>
        <w:bidi w:val="0"/>
        <w:spacing w:line="360" w:lineRule="auto"/>
        <w:ind w:firstLine="480" w:firstLineChars="200"/>
        <w:textAlignment w:val="auto"/>
        <w:rPr>
          <w:rFonts w:hint="eastAsia" w:ascii="宋体" w:hAnsi="宋体" w:cs="宋体"/>
          <w:color w:val="auto"/>
          <w:szCs w:val="24"/>
          <w:highlight w:val="none"/>
        </w:rPr>
      </w:pPr>
      <w:r>
        <w:rPr>
          <w:rFonts w:hint="eastAsia" w:ascii="宋体" w:hAnsi="宋体" w:cs="宋体"/>
          <w:color w:val="auto"/>
          <w:szCs w:val="24"/>
          <w:highlight w:val="none"/>
        </w:rPr>
        <w:t>退还时间：</w:t>
      </w:r>
      <w:r>
        <w:rPr>
          <w:rFonts w:hint="eastAsia" w:ascii="宋体" w:hAnsi="宋体" w:cs="宋体"/>
          <w:color w:val="auto"/>
          <w:szCs w:val="24"/>
          <w:highlight w:val="none"/>
          <w:lang w:eastAsia="zh-CN"/>
        </w:rPr>
        <w:t>采用现金担保的</w:t>
      </w:r>
      <w:r>
        <w:rPr>
          <w:rFonts w:hint="eastAsia" w:ascii="宋体" w:hAnsi="宋体" w:eastAsia="宋体" w:cs="宋体"/>
          <w:color w:val="auto"/>
          <w:szCs w:val="24"/>
          <w:highlight w:val="none"/>
        </w:rPr>
        <w:t>，工程竣工验收合格后14天内退还（不计息）。</w:t>
      </w:r>
    </w:p>
    <w:p w14:paraId="2E8DE154">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s="宋体"/>
          <w:color w:val="auto"/>
          <w:szCs w:val="24"/>
          <w:highlight w:val="none"/>
        </w:rPr>
        <w:t>注：如成交供应商未在规定时间内按要求提交履约保证金，视为放弃中标，采购人有权重新采购，给采购人造成损失的，采购人有权要求成交供应商予以赔偿。</w:t>
      </w:r>
    </w:p>
    <w:p w14:paraId="4A020B69">
      <w:pPr>
        <w:pStyle w:val="4"/>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26" w:name="_Toc75258777"/>
      <w:bookmarkStart w:id="27" w:name="_Toc17344"/>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、其它有关规定</w:t>
      </w:r>
      <w:bookmarkEnd w:id="26"/>
      <w:bookmarkEnd w:id="27"/>
    </w:p>
    <w:p w14:paraId="4B7C90F0">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（一）单位负责人为同一人或者存在直接控股、管理关系的不同供应商，不得参加同一合同项下的采购活动，否则均为无效响应。</w:t>
      </w:r>
    </w:p>
    <w:p w14:paraId="04D12035">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（二）为采购项目提供整体设计、规范编制或者项目管理、监理、检测等服务的供应商，不得再参加该采购项目的其他采购活动，否则均为无效响应。</w:t>
      </w:r>
    </w:p>
    <w:p w14:paraId="65CD3CA3">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三）本项目在响应文件提交截止时间前发布的竞争性磋商文件及补遗文件（如果有）一律在行采家网（www.gec123.com）上发布，请各供应商注意下载；无论供应商下载与否，均视同供应商已知晓本项目竞争性磋商文件、补遗文件（如果有）的内容。</w:t>
      </w:r>
    </w:p>
    <w:p w14:paraId="0D9C1993">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（四）超过响应文件截止时间递交的响应文件为无效文件，恕不接收。</w:t>
      </w:r>
    </w:p>
    <w:p w14:paraId="388DE682">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（五）磋商费用：无论磋商结果如何，供应商参与本项目磋商的所有费用均应由供应商自行承担。</w:t>
      </w:r>
    </w:p>
    <w:p w14:paraId="36D0D55B">
      <w:pPr>
        <w:kinsoku/>
        <w:wordWrap/>
        <w:overflowPunct/>
        <w:topLinePunct w:val="0"/>
        <w:bidi w:val="0"/>
        <w:spacing w:line="360" w:lineRule="auto"/>
        <w:ind w:firstLine="482" w:firstLineChars="200"/>
        <w:textAlignment w:val="auto"/>
        <w:rPr>
          <w:rFonts w:hint="eastAsia" w:ascii="宋体" w:hAnsi="宋体"/>
          <w:b/>
          <w:color w:val="auto"/>
          <w:szCs w:val="24"/>
          <w:highlight w:val="none"/>
        </w:rPr>
      </w:pPr>
      <w:r>
        <w:rPr>
          <w:rFonts w:hint="eastAsia" w:ascii="宋体" w:hAnsi="宋体"/>
          <w:b/>
          <w:color w:val="auto"/>
          <w:szCs w:val="24"/>
          <w:highlight w:val="none"/>
        </w:rPr>
        <w:t>（六）本项目不接受联合体形式磋商，否则按无效</w:t>
      </w:r>
      <w:r>
        <w:rPr>
          <w:rFonts w:hint="eastAsia" w:ascii="宋体" w:hAnsi="宋体"/>
          <w:b/>
          <w:color w:val="auto"/>
          <w:szCs w:val="24"/>
          <w:highlight w:val="none"/>
          <w:lang w:val="en-US" w:eastAsia="zh-CN"/>
        </w:rPr>
        <w:t>响应</w:t>
      </w:r>
      <w:r>
        <w:rPr>
          <w:rFonts w:hint="eastAsia" w:ascii="宋体" w:hAnsi="宋体"/>
          <w:b/>
          <w:color w:val="auto"/>
          <w:szCs w:val="24"/>
          <w:highlight w:val="none"/>
        </w:rPr>
        <w:t>处理。</w:t>
      </w:r>
    </w:p>
    <w:p w14:paraId="089ECC46">
      <w:pPr>
        <w:kinsoku/>
        <w:wordWrap/>
        <w:overflowPunct/>
        <w:topLinePunct w:val="0"/>
        <w:bidi w:val="0"/>
        <w:spacing w:line="360" w:lineRule="auto"/>
        <w:ind w:firstLine="482" w:firstLineChars="200"/>
        <w:textAlignment w:val="auto"/>
        <w:rPr>
          <w:rFonts w:hint="eastAsia" w:ascii="宋体" w:hAnsi="宋体" w:eastAsia="宋体" w:cs="Times New Roman"/>
          <w:b/>
          <w:color w:val="auto"/>
          <w:szCs w:val="24"/>
          <w:highlight w:val="none"/>
        </w:rPr>
      </w:pPr>
      <w:r>
        <w:rPr>
          <w:rFonts w:hint="eastAsia" w:ascii="宋体" w:hAnsi="宋体" w:eastAsia="宋体" w:cs="Times New Roman"/>
          <w:b/>
          <w:color w:val="auto"/>
          <w:szCs w:val="24"/>
          <w:highlight w:val="none"/>
        </w:rPr>
        <w:t>（七）</w:t>
      </w:r>
      <w:r>
        <w:rPr>
          <w:rFonts w:hint="eastAsia" w:ascii="宋体" w:hAnsi="宋体" w:cs="Times New Roman"/>
          <w:b/>
          <w:color w:val="auto"/>
          <w:szCs w:val="24"/>
          <w:highlight w:val="none"/>
          <w:lang w:val="en-US" w:eastAsia="zh-CN"/>
        </w:rPr>
        <w:t>成交供应商</w:t>
      </w:r>
      <w:r>
        <w:rPr>
          <w:rFonts w:hint="eastAsia" w:ascii="宋体" w:hAnsi="宋体" w:eastAsia="宋体" w:cs="Times New Roman"/>
          <w:b/>
          <w:color w:val="auto"/>
          <w:szCs w:val="24"/>
          <w:highlight w:val="none"/>
          <w:lang w:eastAsia="zh-CN"/>
        </w:rPr>
        <w:t>检测资质范围内的检测项目禁止分包；资质范围外的检测项目经</w:t>
      </w:r>
      <w:r>
        <w:rPr>
          <w:rFonts w:hint="eastAsia" w:ascii="宋体" w:hAnsi="宋体" w:cs="Times New Roman"/>
          <w:b/>
          <w:color w:val="auto"/>
          <w:szCs w:val="24"/>
          <w:highlight w:val="none"/>
          <w:lang w:val="en-US" w:eastAsia="zh-CN"/>
        </w:rPr>
        <w:t>采购人</w:t>
      </w:r>
      <w:r>
        <w:rPr>
          <w:rFonts w:hint="eastAsia" w:ascii="宋体" w:hAnsi="宋体" w:eastAsia="宋体" w:cs="Times New Roman"/>
          <w:b/>
          <w:color w:val="auto"/>
          <w:szCs w:val="24"/>
          <w:highlight w:val="none"/>
          <w:lang w:eastAsia="zh-CN"/>
        </w:rPr>
        <w:t>同意之后允许分包，</w:t>
      </w:r>
      <w:r>
        <w:rPr>
          <w:rFonts w:hint="eastAsia" w:ascii="宋体" w:hAnsi="宋体" w:cs="Times New Roman"/>
          <w:b/>
          <w:color w:val="auto"/>
          <w:szCs w:val="24"/>
          <w:highlight w:val="none"/>
          <w:lang w:eastAsia="zh-CN"/>
        </w:rPr>
        <w:t>成交供应商</w:t>
      </w:r>
      <w:r>
        <w:rPr>
          <w:rFonts w:hint="eastAsia" w:ascii="宋体" w:hAnsi="宋体" w:eastAsia="宋体" w:cs="Times New Roman"/>
          <w:b/>
          <w:color w:val="auto"/>
          <w:szCs w:val="24"/>
          <w:highlight w:val="none"/>
          <w:lang w:eastAsia="zh-CN"/>
        </w:rPr>
        <w:t>所选择的分包单位须具备相应的资质及能力，分包费用包含在本合同价格中，不再另计。</w:t>
      </w:r>
    </w:p>
    <w:p w14:paraId="01D3B03C">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（八）按照《财政部关于在政府采购活动中查询及使用信用记录有关问题的通知》财库〔</w:t>
      </w:r>
      <w:r>
        <w:rPr>
          <w:rFonts w:ascii="宋体" w:hAnsi="宋体"/>
          <w:color w:val="auto"/>
          <w:szCs w:val="24"/>
          <w:highlight w:val="none"/>
        </w:rPr>
        <w:t>2016</w:t>
      </w:r>
      <w:r>
        <w:rPr>
          <w:rFonts w:hint="eastAsia" w:ascii="宋体" w:hAnsi="宋体"/>
          <w:color w:val="auto"/>
          <w:szCs w:val="24"/>
          <w:highlight w:val="none"/>
        </w:rPr>
        <w:t>〕</w:t>
      </w:r>
      <w:r>
        <w:rPr>
          <w:rFonts w:ascii="宋体" w:hAnsi="宋体"/>
          <w:color w:val="auto"/>
          <w:szCs w:val="24"/>
          <w:highlight w:val="none"/>
        </w:rPr>
        <w:t>125</w:t>
      </w:r>
      <w:r>
        <w:rPr>
          <w:rFonts w:hint="eastAsia" w:ascii="宋体" w:hAnsi="宋体"/>
          <w:color w:val="auto"/>
          <w:szCs w:val="24"/>
          <w:highlight w:val="none"/>
        </w:rPr>
        <w:t>号，供应商列入失信被执行人、重大税收违法案件当事人名单、政府采购严重违法失信行为记录名单及其他不符合《中华人民共和国政府采购法》第二十二条规定条件的供应商，将拒绝其参与政府采购活动。</w:t>
      </w:r>
    </w:p>
    <w:p w14:paraId="311C9DD4">
      <w:pPr>
        <w:pStyle w:val="4"/>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28" w:name="_Toc27256"/>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、联系方式</w:t>
      </w:r>
      <w:bookmarkEnd w:id="28"/>
    </w:p>
    <w:p w14:paraId="31DF920E">
      <w:pPr>
        <w:kinsoku/>
        <w:wordWrap/>
        <w:overflowPunct/>
        <w:topLinePunct w:val="0"/>
        <w:bidi w:val="0"/>
        <w:spacing w:line="360" w:lineRule="auto"/>
        <w:ind w:firstLine="360" w:firstLineChars="150"/>
        <w:textAlignment w:val="auto"/>
        <w:rPr>
          <w:rFonts w:hint="eastAsia" w:ascii="宋体" w:hAnsi="宋体" w:eastAsia="宋体" w:cs="宋体"/>
          <w:color w:val="auto"/>
          <w:szCs w:val="24"/>
          <w:highlight w:val="none"/>
        </w:rPr>
      </w:pPr>
      <w:bookmarkStart w:id="29" w:name="_Toc216163282"/>
      <w:bookmarkStart w:id="30" w:name="_Toc180051219"/>
      <w:bookmarkStart w:id="31" w:name="_Toc178828108"/>
      <w:r>
        <w:rPr>
          <w:rFonts w:hint="eastAsia" w:ascii="宋体" w:hAnsi="宋体" w:eastAsia="宋体" w:cs="宋体"/>
          <w:color w:val="auto"/>
          <w:szCs w:val="24"/>
          <w:highlight w:val="none"/>
        </w:rPr>
        <w:t>采购人：重庆建桥置业有限公司</w:t>
      </w:r>
    </w:p>
    <w:p w14:paraId="10B22818">
      <w:pPr>
        <w:kinsoku/>
        <w:wordWrap/>
        <w:overflowPunct/>
        <w:topLinePunct w:val="0"/>
        <w:bidi w:val="0"/>
        <w:spacing w:line="360" w:lineRule="auto"/>
        <w:ind w:firstLine="1320" w:firstLineChars="550"/>
        <w:textAlignment w:val="auto"/>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eastAsia="zh-CN"/>
        </w:rPr>
        <w:t>重庆市大渡口区城乡建设发展有限公司</w:t>
      </w:r>
    </w:p>
    <w:p w14:paraId="68F2EADD">
      <w:pPr>
        <w:kinsoku/>
        <w:wordWrap/>
        <w:overflowPunct/>
        <w:topLinePunct w:val="0"/>
        <w:bidi w:val="0"/>
        <w:spacing w:line="360" w:lineRule="auto"/>
        <w:ind w:firstLine="360" w:firstLineChars="15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联系人：</w:t>
      </w:r>
      <w:r>
        <w:rPr>
          <w:rFonts w:hint="eastAsia" w:ascii="宋体" w:hAnsi="宋体" w:eastAsia="宋体" w:cs="宋体"/>
          <w:color w:val="auto"/>
          <w:szCs w:val="24"/>
          <w:highlight w:val="none"/>
          <w:lang w:val="en-US" w:eastAsia="zh-CN"/>
        </w:rPr>
        <w:t>冉</w:t>
      </w:r>
      <w:r>
        <w:rPr>
          <w:rFonts w:hint="eastAsia" w:ascii="宋体" w:hAnsi="宋体" w:cs="宋体"/>
          <w:color w:val="auto"/>
          <w:szCs w:val="24"/>
          <w:highlight w:val="none"/>
          <w:lang w:eastAsia="zh-CN"/>
        </w:rPr>
        <w:t>松</w:t>
      </w:r>
    </w:p>
    <w:p w14:paraId="4A2920F0">
      <w:pPr>
        <w:kinsoku/>
        <w:wordWrap/>
        <w:overflowPunct/>
        <w:topLinePunct w:val="0"/>
        <w:bidi w:val="0"/>
        <w:spacing w:line="360" w:lineRule="auto"/>
        <w:ind w:firstLine="360" w:firstLineChars="15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  话：023-68533888</w:t>
      </w:r>
    </w:p>
    <w:p w14:paraId="3104D35D">
      <w:pPr>
        <w:kinsoku/>
        <w:wordWrap/>
        <w:overflowPunct/>
        <w:topLinePunct w:val="0"/>
        <w:bidi w:val="0"/>
        <w:spacing w:line="360" w:lineRule="auto"/>
        <w:ind w:firstLine="360" w:firstLineChars="15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地  址：重庆市大渡口区金桥路8号金桥大楼6楼 </w:t>
      </w:r>
    </w:p>
    <w:p w14:paraId="212D6743">
      <w:pPr>
        <w:kinsoku/>
        <w:wordWrap/>
        <w:overflowPunct/>
        <w:topLinePunct w:val="0"/>
        <w:bidi w:val="0"/>
        <w:spacing w:line="360" w:lineRule="auto"/>
        <w:ind w:firstLine="360" w:firstLineChars="15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采购代理机构：</w:t>
      </w:r>
      <w:r>
        <w:rPr>
          <w:rFonts w:hint="eastAsia" w:ascii="宋体" w:hAnsi="宋体" w:eastAsia="宋体" w:cs="宋体"/>
          <w:color w:val="auto"/>
          <w:szCs w:val="24"/>
          <w:highlight w:val="none"/>
          <w:lang w:eastAsia="zh-CN"/>
        </w:rPr>
        <w:t>重庆瑞盛工程咨询有限公司</w:t>
      </w:r>
    </w:p>
    <w:p w14:paraId="65DF2BF6">
      <w:pPr>
        <w:kinsoku/>
        <w:wordWrap/>
        <w:overflowPunct/>
        <w:topLinePunct w:val="0"/>
        <w:bidi w:val="0"/>
        <w:spacing w:line="360" w:lineRule="auto"/>
        <w:ind w:firstLine="360" w:firstLineChars="150"/>
        <w:textAlignment w:val="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联系人：</w:t>
      </w:r>
      <w:r>
        <w:rPr>
          <w:rFonts w:hint="eastAsia" w:ascii="宋体" w:hAnsi="宋体" w:eastAsia="宋体" w:cs="宋体"/>
          <w:color w:val="auto"/>
          <w:szCs w:val="24"/>
          <w:highlight w:val="none"/>
          <w:lang w:val="en-US" w:eastAsia="zh-CN"/>
        </w:rPr>
        <w:t>颜卿</w:t>
      </w:r>
    </w:p>
    <w:p w14:paraId="4E10BC25">
      <w:pPr>
        <w:kinsoku/>
        <w:wordWrap/>
        <w:overflowPunct/>
        <w:topLinePunct w:val="0"/>
        <w:bidi w:val="0"/>
        <w:spacing w:line="360" w:lineRule="auto"/>
        <w:ind w:firstLine="360" w:firstLineChars="15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电  话：1</w:t>
      </w:r>
      <w:r>
        <w:rPr>
          <w:rFonts w:hint="eastAsia" w:ascii="宋体" w:hAnsi="宋体" w:eastAsia="宋体" w:cs="宋体"/>
          <w:color w:val="auto"/>
          <w:szCs w:val="24"/>
          <w:highlight w:val="none"/>
          <w:lang w:val="en-US" w:eastAsia="zh-CN"/>
        </w:rPr>
        <w:t>3883905504</w:t>
      </w:r>
    </w:p>
    <w:p w14:paraId="33AA4561">
      <w:pPr>
        <w:kinsoku/>
        <w:wordWrap/>
        <w:overflowPunct/>
        <w:topLinePunct w:val="0"/>
        <w:bidi w:val="0"/>
        <w:spacing w:line="360" w:lineRule="auto"/>
        <w:ind w:firstLine="360" w:firstLineChars="15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  址：重庆市大渡口区钢花路1039号附33号2-1</w:t>
      </w:r>
    </w:p>
    <w:p w14:paraId="5B795EF2">
      <w:pPr>
        <w:kinsoku/>
        <w:wordWrap/>
        <w:overflowPunct/>
        <w:topLinePunct w:val="0"/>
        <w:bidi w:val="0"/>
        <w:spacing w:line="360" w:lineRule="auto"/>
        <w:ind w:firstLine="480" w:firstLineChars="200"/>
        <w:textAlignment w:val="auto"/>
        <w:rPr>
          <w:rFonts w:hint="eastAsia" w:ascii="宋体" w:hAnsi="宋体" w:cs="宋体"/>
          <w:color w:val="auto"/>
          <w:sz w:val="24"/>
          <w:szCs w:val="24"/>
          <w:highlight w:val="none"/>
        </w:rPr>
      </w:pPr>
    </w:p>
    <w:p w14:paraId="2A9DAE16">
      <w:pPr>
        <w:kinsoku/>
        <w:wordWrap/>
        <w:overflowPunct/>
        <w:topLinePunct w:val="0"/>
        <w:bidi w:val="0"/>
        <w:spacing w:line="360" w:lineRule="auto"/>
        <w:ind w:firstLine="480" w:firstLineChars="200"/>
        <w:textAlignment w:val="auto"/>
        <w:rPr>
          <w:rFonts w:hint="eastAsia" w:ascii="宋体" w:hAnsi="宋体" w:cs="宋体"/>
          <w:color w:val="auto"/>
          <w:sz w:val="24"/>
          <w:szCs w:val="24"/>
          <w:highlight w:val="none"/>
        </w:rPr>
      </w:pPr>
    </w:p>
    <w:p w14:paraId="3438D487">
      <w:pPr>
        <w:kinsoku/>
        <w:wordWrap/>
        <w:overflowPunct/>
        <w:topLinePunct w:val="0"/>
        <w:bidi w:val="0"/>
        <w:spacing w:line="360" w:lineRule="auto"/>
        <w:ind w:firstLine="480" w:firstLineChars="200"/>
        <w:textAlignment w:val="auto"/>
        <w:rPr>
          <w:rFonts w:hint="eastAsia" w:ascii="宋体" w:hAnsi="宋体" w:cs="宋体"/>
          <w:color w:val="auto"/>
          <w:sz w:val="24"/>
          <w:szCs w:val="24"/>
          <w:highlight w:val="none"/>
        </w:rPr>
      </w:pPr>
    </w:p>
    <w:p w14:paraId="5F57C3A0">
      <w:pPr>
        <w:kinsoku/>
        <w:wordWrap/>
        <w:overflowPunct/>
        <w:topLinePunct w:val="0"/>
        <w:bidi w:val="0"/>
        <w:spacing w:line="360" w:lineRule="auto"/>
        <w:ind w:firstLine="480" w:firstLineChars="200"/>
        <w:textAlignment w:val="auto"/>
        <w:rPr>
          <w:rFonts w:hint="eastAsia" w:ascii="宋体" w:hAnsi="宋体" w:cs="宋体"/>
          <w:color w:val="auto"/>
          <w:sz w:val="24"/>
          <w:szCs w:val="24"/>
          <w:highlight w:val="none"/>
        </w:rPr>
      </w:pPr>
    </w:p>
    <w:p w14:paraId="4398CF95">
      <w:pPr>
        <w:kinsoku/>
        <w:wordWrap/>
        <w:overflowPunct/>
        <w:topLinePunct w:val="0"/>
        <w:bidi w:val="0"/>
        <w:spacing w:line="360" w:lineRule="auto"/>
        <w:ind w:firstLine="480" w:firstLineChars="200"/>
        <w:textAlignment w:val="auto"/>
        <w:rPr>
          <w:rFonts w:hint="eastAsia" w:ascii="宋体" w:hAnsi="宋体" w:cs="宋体"/>
          <w:color w:val="auto"/>
          <w:sz w:val="24"/>
          <w:szCs w:val="24"/>
          <w:highlight w:val="none"/>
        </w:rPr>
      </w:pPr>
    </w:p>
    <w:p w14:paraId="2F4B3109">
      <w:pPr>
        <w:kinsoku/>
        <w:wordWrap/>
        <w:overflowPunct/>
        <w:topLinePunct w:val="0"/>
        <w:bidi w:val="0"/>
        <w:spacing w:line="360" w:lineRule="auto"/>
        <w:ind w:firstLine="480" w:firstLineChars="200"/>
        <w:textAlignment w:val="auto"/>
        <w:rPr>
          <w:rFonts w:hint="eastAsia" w:ascii="宋体" w:hAnsi="宋体" w:cs="宋体"/>
          <w:color w:val="auto"/>
          <w:sz w:val="24"/>
          <w:szCs w:val="24"/>
          <w:highlight w:val="none"/>
        </w:rPr>
      </w:pPr>
    </w:p>
    <w:p w14:paraId="36B81121">
      <w:pPr>
        <w:kinsoku/>
        <w:wordWrap/>
        <w:overflowPunct/>
        <w:topLinePunct w:val="0"/>
        <w:bidi w:val="0"/>
        <w:spacing w:line="360" w:lineRule="auto"/>
        <w:ind w:firstLine="480" w:firstLineChars="200"/>
        <w:textAlignment w:val="auto"/>
        <w:rPr>
          <w:rFonts w:hint="eastAsia" w:ascii="宋体" w:hAnsi="宋体" w:cs="宋体"/>
          <w:color w:val="auto"/>
          <w:sz w:val="24"/>
          <w:szCs w:val="24"/>
          <w:highlight w:val="none"/>
        </w:rPr>
      </w:pPr>
    </w:p>
    <w:p w14:paraId="5BBF3320">
      <w:pPr>
        <w:kinsoku/>
        <w:wordWrap/>
        <w:overflowPunct/>
        <w:topLinePunct w:val="0"/>
        <w:bidi w:val="0"/>
        <w:spacing w:line="360" w:lineRule="auto"/>
        <w:ind w:firstLine="480" w:firstLineChars="200"/>
        <w:textAlignment w:val="auto"/>
        <w:rPr>
          <w:rFonts w:hint="eastAsia" w:ascii="宋体" w:hAnsi="宋体" w:cs="宋体"/>
          <w:color w:val="auto"/>
          <w:sz w:val="24"/>
          <w:szCs w:val="24"/>
          <w:highlight w:val="none"/>
        </w:rPr>
      </w:pPr>
    </w:p>
    <w:p w14:paraId="4F01B64A">
      <w:pPr>
        <w:kinsoku/>
        <w:wordWrap/>
        <w:overflowPunct/>
        <w:topLinePunct w:val="0"/>
        <w:bidi w:val="0"/>
        <w:spacing w:line="360" w:lineRule="auto"/>
        <w:ind w:firstLine="480" w:firstLineChars="200"/>
        <w:textAlignment w:val="auto"/>
        <w:rPr>
          <w:rFonts w:hint="eastAsia" w:ascii="宋体" w:hAnsi="宋体" w:cs="宋体"/>
          <w:color w:val="auto"/>
          <w:sz w:val="24"/>
          <w:szCs w:val="24"/>
          <w:highlight w:val="none"/>
        </w:rPr>
      </w:pPr>
    </w:p>
    <w:p w14:paraId="5C2E6703">
      <w:pPr>
        <w:kinsoku/>
        <w:wordWrap/>
        <w:overflowPunct/>
        <w:topLinePunct w:val="0"/>
        <w:bidi w:val="0"/>
        <w:spacing w:line="360" w:lineRule="auto"/>
        <w:ind w:firstLine="480" w:firstLineChars="200"/>
        <w:textAlignment w:val="auto"/>
        <w:rPr>
          <w:rFonts w:hint="eastAsia" w:ascii="宋体" w:hAnsi="宋体" w:cs="宋体"/>
          <w:color w:val="auto"/>
          <w:sz w:val="24"/>
          <w:szCs w:val="24"/>
          <w:highlight w:val="none"/>
        </w:rPr>
      </w:pPr>
    </w:p>
    <w:p w14:paraId="2D701AA3">
      <w:pPr>
        <w:kinsoku/>
        <w:wordWrap/>
        <w:overflowPunct/>
        <w:topLinePunct w:val="0"/>
        <w:bidi w:val="0"/>
        <w:spacing w:line="360" w:lineRule="auto"/>
        <w:ind w:firstLine="480" w:firstLineChars="200"/>
        <w:textAlignment w:val="auto"/>
        <w:rPr>
          <w:rFonts w:hint="eastAsia" w:ascii="宋体" w:hAnsi="宋体" w:cs="宋体"/>
          <w:color w:val="auto"/>
          <w:sz w:val="24"/>
          <w:szCs w:val="24"/>
          <w:highlight w:val="none"/>
        </w:rPr>
      </w:pPr>
    </w:p>
    <w:p w14:paraId="3F382227">
      <w:pPr>
        <w:kinsoku/>
        <w:wordWrap/>
        <w:overflowPunct/>
        <w:topLinePunct w:val="0"/>
        <w:bidi w:val="0"/>
        <w:spacing w:line="360" w:lineRule="auto"/>
        <w:ind w:firstLine="480" w:firstLineChars="200"/>
        <w:textAlignment w:val="auto"/>
        <w:rPr>
          <w:rFonts w:hint="eastAsia" w:ascii="宋体" w:hAnsi="宋体" w:cs="宋体"/>
          <w:color w:val="auto"/>
          <w:sz w:val="24"/>
          <w:szCs w:val="24"/>
          <w:highlight w:val="none"/>
        </w:rPr>
      </w:pPr>
    </w:p>
    <w:p w14:paraId="7C5B511D">
      <w:pPr>
        <w:kinsoku/>
        <w:wordWrap/>
        <w:overflowPunct/>
        <w:topLinePunct w:val="0"/>
        <w:bidi w:val="0"/>
        <w:spacing w:line="360" w:lineRule="auto"/>
        <w:textAlignment w:val="auto"/>
        <w:rPr>
          <w:rFonts w:hint="eastAsia" w:ascii="宋体" w:hAnsi="宋体" w:cs="宋体"/>
          <w:color w:val="auto"/>
          <w:sz w:val="24"/>
          <w:szCs w:val="24"/>
          <w:highlight w:val="none"/>
        </w:rPr>
      </w:pPr>
    </w:p>
    <w:p w14:paraId="59D806F9">
      <w:pPr>
        <w:pStyle w:val="288"/>
        <w:pageBreakBefore w:val="0"/>
        <w:tabs>
          <w:tab w:val="left" w:pos="3023"/>
        </w:tabs>
        <w:kinsoku/>
        <w:wordWrap/>
        <w:overflowPunct/>
        <w:topLinePunct w:val="0"/>
        <w:bidi w:val="0"/>
        <w:spacing w:line="360" w:lineRule="auto"/>
        <w:jc w:val="left"/>
        <w:textAlignment w:val="auto"/>
        <w:outlineLvl w:val="2"/>
        <w:rPr>
          <w:rFonts w:hint="eastAsia" w:ascii="宋体" w:hAnsi="宋体" w:eastAsia="宋体" w:cs="宋体"/>
          <w:color w:val="auto"/>
          <w:sz w:val="24"/>
          <w:szCs w:val="24"/>
          <w:highlight w:val="none"/>
        </w:rPr>
      </w:pPr>
      <w:bookmarkStart w:id="32" w:name="_Toc12053"/>
    </w:p>
    <w:p w14:paraId="47C84A85">
      <w:pPr>
        <w:rPr>
          <w:rFonts w:hint="eastAsia" w:ascii="宋体" w:hAnsi="宋体" w:eastAsia="宋体" w:cs="宋体"/>
          <w:color w:val="auto"/>
          <w:sz w:val="24"/>
          <w:szCs w:val="24"/>
          <w:highlight w:val="none"/>
        </w:rPr>
      </w:pPr>
    </w:p>
    <w:p w14:paraId="74ED5FFF">
      <w:pPr>
        <w:pStyle w:val="22"/>
        <w:rPr>
          <w:rFonts w:hint="eastAsia" w:ascii="宋体" w:hAnsi="宋体" w:eastAsia="宋体" w:cs="宋体"/>
          <w:color w:val="auto"/>
          <w:sz w:val="24"/>
          <w:szCs w:val="24"/>
          <w:highlight w:val="none"/>
        </w:rPr>
      </w:pPr>
    </w:p>
    <w:p w14:paraId="7058550C">
      <w:pPr>
        <w:rPr>
          <w:rFonts w:hint="eastAsia" w:ascii="宋体" w:hAnsi="宋体" w:eastAsia="宋体" w:cs="宋体"/>
          <w:color w:val="auto"/>
          <w:sz w:val="24"/>
          <w:szCs w:val="24"/>
          <w:highlight w:val="none"/>
        </w:rPr>
      </w:pPr>
    </w:p>
    <w:p w14:paraId="1C136E15">
      <w:pPr>
        <w:pStyle w:val="22"/>
        <w:rPr>
          <w:rFonts w:hint="eastAsia" w:ascii="宋体" w:hAnsi="宋体" w:eastAsia="宋体" w:cs="宋体"/>
          <w:color w:val="auto"/>
          <w:sz w:val="24"/>
          <w:szCs w:val="24"/>
          <w:highlight w:val="none"/>
        </w:rPr>
      </w:pPr>
    </w:p>
    <w:p w14:paraId="5ED9788A">
      <w:pPr>
        <w:rPr>
          <w:rFonts w:hint="eastAsia" w:ascii="宋体" w:hAnsi="宋体" w:eastAsia="宋体" w:cs="宋体"/>
          <w:color w:val="auto"/>
          <w:sz w:val="24"/>
          <w:szCs w:val="24"/>
          <w:highlight w:val="none"/>
        </w:rPr>
      </w:pPr>
    </w:p>
    <w:p w14:paraId="06BE6426">
      <w:pPr>
        <w:pStyle w:val="22"/>
        <w:rPr>
          <w:rFonts w:hint="eastAsia" w:ascii="宋体" w:hAnsi="宋体" w:eastAsia="宋体" w:cs="宋体"/>
          <w:color w:val="auto"/>
          <w:sz w:val="24"/>
          <w:szCs w:val="24"/>
          <w:highlight w:val="none"/>
        </w:rPr>
      </w:pPr>
    </w:p>
    <w:p w14:paraId="0E3C2029">
      <w:pPr>
        <w:rPr>
          <w:rFonts w:hint="eastAsia" w:ascii="宋体" w:hAnsi="宋体" w:eastAsia="宋体" w:cs="宋体"/>
          <w:color w:val="auto"/>
          <w:sz w:val="24"/>
          <w:szCs w:val="24"/>
          <w:highlight w:val="none"/>
        </w:rPr>
      </w:pPr>
    </w:p>
    <w:bookmarkEnd w:id="32"/>
    <w:p w14:paraId="1EA7DBFD">
      <w:pPr>
        <w:kinsoku/>
        <w:wordWrap/>
        <w:overflowPunct/>
        <w:topLinePunct w:val="0"/>
        <w:bidi w:val="0"/>
        <w:spacing w:line="360" w:lineRule="auto"/>
        <w:textAlignment w:val="auto"/>
        <w:rPr>
          <w:rFonts w:hint="eastAsia" w:ascii="宋体" w:hAnsi="宋体" w:cs="宋体"/>
          <w:color w:val="auto"/>
          <w:sz w:val="24"/>
          <w:szCs w:val="24"/>
          <w:highlight w:val="none"/>
        </w:rPr>
      </w:pPr>
    </w:p>
    <w:bookmarkEnd w:id="29"/>
    <w:bookmarkEnd w:id="30"/>
    <w:bookmarkEnd w:id="31"/>
    <w:p w14:paraId="26347833">
      <w:pPr>
        <w:pStyle w:val="3"/>
        <w:pageBreakBefore/>
        <w:numPr>
          <w:ilvl w:val="0"/>
          <w:numId w:val="14"/>
        </w:numPr>
        <w:kinsoku/>
        <w:wordWrap/>
        <w:overflowPunct/>
        <w:topLinePunct w:val="0"/>
        <w:bidi w:val="0"/>
        <w:spacing w:before="120" w:beforeLines="50" w:line="360" w:lineRule="auto"/>
        <w:jc w:val="center"/>
        <w:textAlignment w:val="auto"/>
        <w:rPr>
          <w:rFonts w:hint="eastAsia" w:ascii="宋体" w:hAnsi="宋体" w:eastAsia="宋体"/>
          <w:color w:val="auto"/>
          <w:sz w:val="36"/>
          <w:szCs w:val="30"/>
          <w:highlight w:val="none"/>
        </w:rPr>
      </w:pPr>
      <w:r>
        <w:rPr>
          <w:rFonts w:hint="eastAsia" w:ascii="宋体" w:hAnsi="宋体" w:eastAsia="宋体"/>
          <w:color w:val="auto"/>
          <w:sz w:val="36"/>
          <w:szCs w:val="30"/>
          <w:highlight w:val="none"/>
        </w:rPr>
        <w:t xml:space="preserve"> </w:t>
      </w:r>
      <w:bookmarkStart w:id="33" w:name="_Toc31768"/>
      <w:r>
        <w:rPr>
          <w:rFonts w:hint="eastAsia" w:ascii="宋体" w:hAnsi="宋体" w:eastAsia="宋体"/>
          <w:color w:val="auto"/>
          <w:sz w:val="36"/>
          <w:szCs w:val="30"/>
          <w:highlight w:val="none"/>
        </w:rPr>
        <w:t>项目服务需求</w:t>
      </w:r>
      <w:bookmarkEnd w:id="33"/>
      <w:bookmarkStart w:id="34" w:name="_Toc24743"/>
      <w:bookmarkStart w:id="35" w:name="_Toc6232092"/>
      <w:bookmarkStart w:id="36" w:name="_Toc5006885"/>
      <w:bookmarkStart w:id="37" w:name="_Toc12789058"/>
    </w:p>
    <w:p w14:paraId="194E2B2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color w:val="auto"/>
          <w:highlight w:val="none"/>
        </w:rPr>
      </w:pPr>
      <w:bookmarkStart w:id="38" w:name="_Toc149062814"/>
      <w:bookmarkStart w:id="39" w:name="_Toc16659"/>
      <w:bookmarkStart w:id="40" w:name="_Toc23361"/>
      <w:r>
        <w:rPr>
          <w:rFonts w:hint="eastAsia" w:ascii="宋体" w:hAnsi="宋体" w:eastAsia="宋体" w:cs="宋体"/>
          <w:b w:val="0"/>
          <w:bCs w:val="0"/>
          <w:color w:val="auto"/>
          <w:sz w:val="24"/>
          <w:szCs w:val="24"/>
          <w:highlight w:val="none"/>
        </w:rPr>
        <w:t>项目</w:t>
      </w:r>
      <w:r>
        <w:rPr>
          <w:rFonts w:hint="eastAsia" w:ascii="宋体" w:hAnsi="宋体" w:eastAsia="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rPr>
        <w:t>需求中所有要求均为符合性审查中的实质性要求，响应文件若不满足按无效响应处理。</w:t>
      </w:r>
      <w:bookmarkEnd w:id="38"/>
      <w:bookmarkEnd w:id="39"/>
      <w:bookmarkEnd w:id="40"/>
    </w:p>
    <w:p w14:paraId="45F40DD3">
      <w:pPr>
        <w:pStyle w:val="4"/>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41" w:name="_Toc140225115"/>
      <w:bookmarkStart w:id="42" w:name="_Toc10638"/>
      <w:r>
        <w:rPr>
          <w:rFonts w:hint="eastAsia" w:ascii="宋体" w:hAnsi="宋体"/>
          <w:color w:val="auto"/>
          <w:sz w:val="24"/>
          <w:szCs w:val="24"/>
          <w:highlight w:val="none"/>
        </w:rPr>
        <w:t>一、</w:t>
      </w:r>
      <w:bookmarkEnd w:id="41"/>
      <w:r>
        <w:rPr>
          <w:rFonts w:hint="eastAsia" w:ascii="宋体" w:hAnsi="宋体"/>
          <w:color w:val="auto"/>
          <w:sz w:val="24"/>
          <w:szCs w:val="24"/>
          <w:highlight w:val="none"/>
        </w:rPr>
        <w:t>项目基本概况</w:t>
      </w:r>
      <w:bookmarkEnd w:id="42"/>
    </w:p>
    <w:p w14:paraId="3EC33490">
      <w:pPr>
        <w:pStyle w:val="22"/>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本项目位于</w:t>
      </w:r>
      <w:r>
        <w:rPr>
          <w:rFonts w:hint="eastAsia" w:ascii="宋体" w:hAnsi="宋体" w:eastAsia="宋体" w:cs="宋体"/>
          <w:color w:val="auto"/>
          <w:sz w:val="24"/>
          <w:szCs w:val="24"/>
          <w:highlight w:val="none"/>
          <w:lang w:eastAsia="zh-CN"/>
        </w:rPr>
        <w:t>大渡口区建胜镇</w:t>
      </w:r>
      <w:r>
        <w:rPr>
          <w:rFonts w:hint="eastAsia" w:ascii="宋体" w:hAnsi="宋体" w:eastAsia="宋体" w:cs="宋体"/>
          <w:color w:val="auto"/>
          <w:sz w:val="24"/>
          <w:szCs w:val="24"/>
          <w:highlight w:val="none"/>
          <w:lang w:val="en-US" w:eastAsia="zh-CN"/>
        </w:rPr>
        <w:t>G01-7地块，总占地面积约30亩，拟建设保障性住房504套，总建筑面积约74060平方米，其中住宅面积约48800平方米，配套及商业设施建筑面积约25260平方米。建设内容包含土石方工程、场内建筑物土建、安装、室内初装及室外道路、绿化、硬质铺装、室外停车场、综合管网等工程。</w:t>
      </w:r>
    </w:p>
    <w:p w14:paraId="61C45B24">
      <w:pPr>
        <w:pStyle w:val="4"/>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43" w:name="_Toc24348"/>
      <w:r>
        <w:rPr>
          <w:rFonts w:hint="eastAsia" w:ascii="宋体" w:hAnsi="宋体"/>
          <w:color w:val="auto"/>
          <w:sz w:val="24"/>
          <w:szCs w:val="24"/>
          <w:highlight w:val="none"/>
        </w:rPr>
        <w:t>二、服务范围</w:t>
      </w:r>
      <w:bookmarkEnd w:id="43"/>
    </w:p>
    <w:p w14:paraId="23CD91CD">
      <w:pPr>
        <w:keepNext w:val="0"/>
        <w:keepLines w:val="0"/>
        <w:pageBreakBefore w:val="0"/>
        <w:widowControl w:val="0"/>
        <w:tabs>
          <w:tab w:val="left" w:pos="4080"/>
        </w:tabs>
        <w:kinsoku/>
        <w:wordWrap/>
        <w:overflowPunct/>
        <w:topLinePunct w:val="0"/>
        <w:autoSpaceDE/>
        <w:autoSpaceDN/>
        <w:bidi w:val="0"/>
        <w:adjustRightInd/>
        <w:snapToGrid w:val="0"/>
        <w:ind w:firstLine="480" w:firstLineChars="200"/>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color w:val="auto"/>
          <w:sz w:val="24"/>
          <w:szCs w:val="24"/>
          <w:highlight w:val="none"/>
          <w:lang w:val="en-US" w:eastAsia="zh-CN"/>
        </w:rPr>
        <w:t>主要服务内容包括施工阶段、竣工验收阶段及缺陷责任期的见证取样检测、一般质量检测、专项质量检测、特殊质量检测、变形检测、质量抽检检测等所有检测内容。如因政策调整、变化等原因增加的检测内容也包含在本次招标范围内。具体检测内容包括但不限于：见证取样检测、地基基础工程检测、主体结构工程现场检测、建筑门窗检测、室内和室外环境质量检测、建筑节能检测、建筑智能检测、绿色建筑、建筑制品检测、建筑幕墙工程检测、钢结构工程检测、市政道路工程检测、专项检测、建</w:t>
      </w:r>
      <w:r>
        <w:rPr>
          <w:rFonts w:hint="eastAsia" w:ascii="宋体" w:hAnsi="宋体" w:cs="宋体"/>
          <w:color w:val="auto"/>
          <w:sz w:val="24"/>
          <w:szCs w:val="24"/>
          <w:highlight w:val="none"/>
          <w:lang w:val="en-US" w:eastAsia="zh-CN"/>
        </w:rPr>
        <w:t>（构）</w:t>
      </w:r>
      <w:r>
        <w:rPr>
          <w:rFonts w:hint="eastAsia" w:ascii="宋体" w:hAnsi="宋体" w:eastAsia="宋体" w:cs="宋体"/>
          <w:color w:val="auto"/>
          <w:sz w:val="24"/>
          <w:szCs w:val="24"/>
          <w:highlight w:val="none"/>
          <w:lang w:val="en-US" w:eastAsia="zh-CN"/>
        </w:rPr>
        <w:t>筑物检测（排水管网内窥检测、防雷检测、消防检测等按国家及地方相关建设工程检测规范要求需检测的其他内容）等项目，以及供应商根据项目概况、现场情况、磋商文件、法律法规标准规范、工程相关设计及技术文件规定预判需检测的项目和项目属地质量管理等部门要求检测的项目</w:t>
      </w:r>
      <w:r>
        <w:rPr>
          <w:rFonts w:hint="eastAsia" w:ascii="宋体" w:hAnsi="宋体" w:eastAsia="宋体" w:cs="宋体"/>
          <w:b w:val="0"/>
          <w:bCs w:val="0"/>
          <w:color w:val="auto"/>
          <w:sz w:val="24"/>
          <w:szCs w:val="24"/>
          <w:highlight w:val="none"/>
          <w:u w:val="none"/>
          <w:lang w:eastAsia="zh-CN"/>
        </w:rPr>
        <w:t>。</w:t>
      </w:r>
    </w:p>
    <w:p w14:paraId="0A6E05D2">
      <w:pPr>
        <w:pStyle w:val="4"/>
        <w:numPr>
          <w:ilvl w:val="0"/>
          <w:numId w:val="0"/>
        </w:numPr>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44" w:name="_Toc5579"/>
      <w:r>
        <w:rPr>
          <w:rFonts w:hint="eastAsia" w:ascii="宋体" w:hAnsi="宋体"/>
          <w:color w:val="auto"/>
          <w:sz w:val="24"/>
          <w:szCs w:val="24"/>
          <w:highlight w:val="none"/>
          <w:lang w:eastAsia="zh-CN"/>
        </w:rPr>
        <w:t>三、</w:t>
      </w:r>
      <w:r>
        <w:rPr>
          <w:rFonts w:hint="eastAsia" w:ascii="宋体" w:hAnsi="宋体"/>
          <w:color w:val="auto"/>
          <w:sz w:val="24"/>
          <w:szCs w:val="24"/>
          <w:highlight w:val="none"/>
        </w:rPr>
        <w:t>质量要求</w:t>
      </w:r>
      <w:bookmarkEnd w:id="44"/>
    </w:p>
    <w:p w14:paraId="2EBBD097">
      <w:pPr>
        <w:pStyle w:val="22"/>
        <w:kinsoku/>
        <w:wordWrap/>
        <w:overflowPunct/>
        <w:topLinePunct w:val="0"/>
        <w:bidi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符合国家、行业、重庆市相关的技术标准、技术规范/规程以及设计要求，达到一次性验收合格标准。</w:t>
      </w:r>
    </w:p>
    <w:p w14:paraId="1EB672D8">
      <w:pPr>
        <w:pStyle w:val="4"/>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45" w:name="_Toc30758"/>
      <w:r>
        <w:rPr>
          <w:rFonts w:hint="eastAsia" w:ascii="宋体" w:hAnsi="宋体"/>
          <w:color w:val="auto"/>
          <w:sz w:val="24"/>
          <w:szCs w:val="24"/>
          <w:highlight w:val="none"/>
          <w:lang w:eastAsia="zh-CN"/>
        </w:rPr>
        <w:t>四</w:t>
      </w:r>
      <w:r>
        <w:rPr>
          <w:rFonts w:hint="eastAsia" w:ascii="宋体" w:hAnsi="宋体"/>
          <w:color w:val="auto"/>
          <w:sz w:val="24"/>
          <w:szCs w:val="24"/>
          <w:highlight w:val="none"/>
        </w:rPr>
        <w:t>、其他要求</w:t>
      </w:r>
      <w:bookmarkEnd w:id="45"/>
    </w:p>
    <w:p w14:paraId="0ED1CA7C">
      <w:pPr>
        <w:pStyle w:val="18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color w:val="auto"/>
          <w:szCs w:val="24"/>
          <w:highlight w:val="none"/>
          <w:lang w:val="en-US" w:eastAsia="zh-CN"/>
        </w:rPr>
      </w:pPr>
      <w:r>
        <w:rPr>
          <w:rFonts w:hint="eastAsia" w:hAnsi="宋体" w:cs="宋体"/>
          <w:b w:val="0"/>
          <w:bCs w:val="0"/>
          <w:color w:val="auto"/>
          <w:szCs w:val="24"/>
          <w:highlight w:val="none"/>
          <w:lang w:val="en-US" w:eastAsia="zh-CN"/>
        </w:rPr>
        <w:t>1.成交供应商</w:t>
      </w:r>
      <w:r>
        <w:rPr>
          <w:rFonts w:hint="eastAsia" w:ascii="宋体" w:hAnsi="宋体" w:eastAsia="宋体" w:cs="宋体"/>
          <w:b w:val="0"/>
          <w:bCs w:val="0"/>
          <w:color w:val="auto"/>
          <w:szCs w:val="24"/>
          <w:highlight w:val="none"/>
          <w:lang w:val="en-US" w:eastAsia="zh-CN"/>
        </w:rPr>
        <w:t xml:space="preserve">资质范围内的试验检测项目禁止分包， </w:t>
      </w:r>
      <w:r>
        <w:rPr>
          <w:rFonts w:hint="eastAsia" w:hAnsi="宋体" w:cs="宋体"/>
          <w:b w:val="0"/>
          <w:bCs w:val="0"/>
          <w:color w:val="auto"/>
          <w:szCs w:val="24"/>
          <w:highlight w:val="none"/>
          <w:lang w:val="en-US" w:eastAsia="zh-CN"/>
        </w:rPr>
        <w:t>成交供应商</w:t>
      </w:r>
      <w:r>
        <w:rPr>
          <w:rFonts w:hint="eastAsia" w:ascii="宋体" w:hAnsi="宋体" w:eastAsia="宋体" w:cs="宋体"/>
          <w:b w:val="0"/>
          <w:bCs w:val="0"/>
          <w:color w:val="auto"/>
          <w:szCs w:val="24"/>
          <w:highlight w:val="none"/>
          <w:lang w:val="en-US" w:eastAsia="zh-CN"/>
        </w:rPr>
        <w:t>资质范围以外的经试验检测项目采购人同意之后允许分包，所选的分包单位须具备相应的资质及能力，如不具备，所造成的后果及损失由</w:t>
      </w:r>
      <w:r>
        <w:rPr>
          <w:rFonts w:hint="eastAsia" w:hAnsi="宋体" w:cs="宋体"/>
          <w:b w:val="0"/>
          <w:bCs w:val="0"/>
          <w:color w:val="auto"/>
          <w:szCs w:val="24"/>
          <w:highlight w:val="none"/>
          <w:lang w:val="en-US" w:eastAsia="zh-CN"/>
        </w:rPr>
        <w:t>成交供应商</w:t>
      </w:r>
      <w:r>
        <w:rPr>
          <w:rFonts w:hint="eastAsia" w:ascii="宋体" w:hAnsi="宋体" w:eastAsia="宋体" w:cs="宋体"/>
          <w:b w:val="0"/>
          <w:bCs w:val="0"/>
          <w:color w:val="auto"/>
          <w:szCs w:val="24"/>
          <w:highlight w:val="none"/>
          <w:lang w:val="en-US" w:eastAsia="zh-CN"/>
        </w:rPr>
        <w:t>承担。</w:t>
      </w:r>
    </w:p>
    <w:p w14:paraId="359B05AE">
      <w:pPr>
        <w:pStyle w:val="18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color w:val="auto"/>
          <w:szCs w:val="24"/>
          <w:highlight w:val="none"/>
          <w:lang w:val="en-US" w:eastAsia="zh-CN"/>
        </w:rPr>
      </w:pPr>
      <w:r>
        <w:rPr>
          <w:rFonts w:hint="eastAsia" w:hAnsi="宋体" w:cs="宋体"/>
          <w:b w:val="0"/>
          <w:bCs w:val="0"/>
          <w:color w:val="auto"/>
          <w:szCs w:val="24"/>
          <w:highlight w:val="none"/>
          <w:lang w:val="en-US" w:eastAsia="zh-CN"/>
        </w:rPr>
        <w:t>2.</w:t>
      </w:r>
      <w:r>
        <w:rPr>
          <w:rFonts w:hint="eastAsia" w:ascii="宋体" w:hAnsi="宋体" w:eastAsia="宋体" w:cs="宋体"/>
          <w:b w:val="0"/>
          <w:bCs w:val="0"/>
          <w:color w:val="auto"/>
          <w:szCs w:val="24"/>
          <w:highlight w:val="none"/>
          <w:lang w:val="en-US" w:eastAsia="zh-CN"/>
        </w:rPr>
        <w:t>部分检测项目若</w:t>
      </w:r>
      <w:r>
        <w:rPr>
          <w:rFonts w:hint="eastAsia" w:hAnsi="宋体" w:cs="宋体"/>
          <w:b w:val="0"/>
          <w:bCs w:val="0"/>
          <w:color w:val="auto"/>
          <w:szCs w:val="24"/>
          <w:highlight w:val="none"/>
          <w:lang w:val="en-US" w:eastAsia="zh-CN"/>
        </w:rPr>
        <w:t>成交供应商</w:t>
      </w:r>
      <w:r>
        <w:rPr>
          <w:rFonts w:hint="eastAsia" w:ascii="宋体" w:hAnsi="宋体" w:eastAsia="宋体" w:cs="宋体"/>
          <w:b w:val="0"/>
          <w:bCs w:val="0"/>
          <w:color w:val="auto"/>
          <w:szCs w:val="24"/>
          <w:highlight w:val="none"/>
          <w:lang w:val="en-US" w:eastAsia="zh-CN"/>
        </w:rPr>
        <w:t>无相应检测资质的，须由</w:t>
      </w:r>
      <w:r>
        <w:rPr>
          <w:rFonts w:hint="eastAsia" w:hAnsi="宋体" w:cs="宋体"/>
          <w:b w:val="0"/>
          <w:bCs w:val="0"/>
          <w:color w:val="auto"/>
          <w:szCs w:val="24"/>
          <w:highlight w:val="none"/>
          <w:lang w:val="en-US" w:eastAsia="zh-CN"/>
        </w:rPr>
        <w:t>成交供应商</w:t>
      </w:r>
      <w:r>
        <w:rPr>
          <w:rFonts w:hint="eastAsia" w:ascii="宋体" w:hAnsi="宋体" w:eastAsia="宋体" w:cs="宋体"/>
          <w:b w:val="0"/>
          <w:bCs w:val="0"/>
          <w:color w:val="auto"/>
          <w:szCs w:val="24"/>
          <w:highlight w:val="none"/>
          <w:lang w:val="en-US" w:eastAsia="zh-CN"/>
        </w:rPr>
        <w:t>分包给有资质的检测机构出具符合规范要求的检测报告（分包前需向采购人提供分包商资质材料审核备案），相关费用由</w:t>
      </w:r>
      <w:r>
        <w:rPr>
          <w:rFonts w:hint="eastAsia" w:hAnsi="宋体" w:cs="宋体"/>
          <w:b w:val="0"/>
          <w:bCs w:val="0"/>
          <w:color w:val="auto"/>
          <w:szCs w:val="24"/>
          <w:highlight w:val="none"/>
          <w:lang w:val="en-US" w:eastAsia="zh-CN"/>
        </w:rPr>
        <w:t>成交供应商</w:t>
      </w:r>
      <w:r>
        <w:rPr>
          <w:rFonts w:hint="eastAsia" w:ascii="宋体" w:hAnsi="宋体" w:eastAsia="宋体" w:cs="宋体"/>
          <w:b w:val="0"/>
          <w:bCs w:val="0"/>
          <w:color w:val="auto"/>
          <w:szCs w:val="24"/>
          <w:highlight w:val="none"/>
          <w:lang w:val="en-US" w:eastAsia="zh-CN"/>
        </w:rPr>
        <w:t>在本项目成交价中</w:t>
      </w:r>
      <w:r>
        <w:rPr>
          <w:rFonts w:hint="eastAsia" w:hAnsi="宋体" w:cs="宋体"/>
          <w:b w:val="0"/>
          <w:bCs w:val="0"/>
          <w:color w:val="auto"/>
          <w:szCs w:val="24"/>
          <w:highlight w:val="none"/>
          <w:lang w:val="en-US" w:eastAsia="zh-CN"/>
        </w:rPr>
        <w:t>计取</w:t>
      </w:r>
      <w:r>
        <w:rPr>
          <w:rFonts w:hint="eastAsia" w:ascii="宋体" w:hAnsi="宋体" w:eastAsia="宋体" w:cs="宋体"/>
          <w:b w:val="0"/>
          <w:bCs w:val="0"/>
          <w:color w:val="auto"/>
          <w:szCs w:val="24"/>
          <w:highlight w:val="none"/>
          <w:lang w:val="en-US" w:eastAsia="zh-CN"/>
        </w:rPr>
        <w:t>（此类检测项目检测报告的委托人需为采购人，否则各项单体工程不能通过档案验收，也不能通过本项目采购人组织的验收），采购人不再另行支付费用给分包的检测单位。</w:t>
      </w:r>
      <w:r>
        <w:rPr>
          <w:rFonts w:hint="eastAsia" w:ascii="宋体" w:hAnsi="宋体" w:eastAsia="宋体" w:cs="宋体"/>
          <w:b w:val="0"/>
          <w:bCs w:val="0"/>
          <w:color w:val="auto"/>
          <w:szCs w:val="24"/>
          <w:highlight w:val="none"/>
          <w:lang w:val="en-US" w:eastAsia="zh-CN"/>
        </w:rPr>
        <w:tab/>
      </w:r>
    </w:p>
    <w:p w14:paraId="2F6A09E6">
      <w:pPr>
        <w:pStyle w:val="18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color w:val="auto"/>
          <w:szCs w:val="24"/>
          <w:highlight w:val="none"/>
          <w:lang w:val="en-US" w:eastAsia="zh-CN"/>
        </w:rPr>
      </w:pPr>
      <w:r>
        <w:rPr>
          <w:rFonts w:hint="eastAsia" w:hAnsi="宋体" w:cs="宋体"/>
          <w:b w:val="0"/>
          <w:bCs w:val="0"/>
          <w:color w:val="auto"/>
          <w:szCs w:val="24"/>
          <w:highlight w:val="none"/>
          <w:lang w:val="en-US" w:eastAsia="zh-CN"/>
        </w:rPr>
        <w:t>3.</w:t>
      </w:r>
      <w:r>
        <w:rPr>
          <w:rFonts w:hint="eastAsia" w:ascii="宋体" w:hAnsi="宋体" w:eastAsia="宋体" w:cs="宋体"/>
          <w:b w:val="0"/>
          <w:bCs w:val="0"/>
          <w:color w:val="auto"/>
          <w:szCs w:val="24"/>
          <w:highlight w:val="none"/>
          <w:lang w:val="en-US" w:eastAsia="zh-CN"/>
        </w:rPr>
        <w:t>供应商必须符合《关于印发重庆市建设工程质量检测管理规定的通知》（渝建发</w:t>
      </w:r>
      <w:r>
        <w:rPr>
          <w:rFonts w:hint="eastAsia" w:hAnsi="宋体" w:cs="宋体"/>
          <w:b w:val="0"/>
          <w:bCs w:val="0"/>
          <w:color w:val="auto"/>
          <w:szCs w:val="24"/>
          <w:highlight w:val="none"/>
          <w:lang w:val="en-US" w:eastAsia="zh-CN"/>
        </w:rPr>
        <w:t>〔2024〕3号</w:t>
      </w:r>
      <w:r>
        <w:rPr>
          <w:rFonts w:hint="eastAsia" w:ascii="宋体" w:hAnsi="宋体" w:eastAsia="宋体" w:cs="宋体"/>
          <w:b w:val="0"/>
          <w:bCs w:val="0"/>
          <w:color w:val="auto"/>
          <w:szCs w:val="24"/>
          <w:highlight w:val="none"/>
          <w:lang w:val="en-US" w:eastAsia="zh-CN"/>
        </w:rPr>
        <w:t>）文件要求，</w:t>
      </w:r>
      <w:r>
        <w:rPr>
          <w:rFonts w:hint="eastAsia" w:ascii="宋体" w:hAnsi="宋体" w:eastAsia="宋体" w:cs="宋体"/>
          <w:b/>
          <w:bCs/>
          <w:color w:val="auto"/>
          <w:szCs w:val="24"/>
          <w:highlight w:val="none"/>
          <w:lang w:val="en-US" w:eastAsia="zh-CN"/>
        </w:rPr>
        <w:t>市外检测机构须满足“第三十条 市外检测机构入渝承接质量检测业务的，应按照本市资质标准要求，配备相应的在渝人员、仪器设备、检测场所、质量保证体系等，并符合本市建设工程质量检测信息化管理相关要求。”，并提供检测场所的房屋产权证明材料或房屋租赁合同或协议（复印件加盖供应商公章）。</w:t>
      </w:r>
      <w:r>
        <w:rPr>
          <w:rFonts w:hint="eastAsia" w:ascii="宋体" w:hAnsi="宋体" w:eastAsia="宋体" w:cs="宋体"/>
          <w:b/>
          <w:bCs/>
          <w:color w:val="auto"/>
          <w:szCs w:val="24"/>
          <w:highlight w:val="none"/>
          <w:lang w:val="en-US" w:eastAsia="zh-CN"/>
        </w:rPr>
        <w:br w:type="textWrapping"/>
      </w:r>
    </w:p>
    <w:bookmarkEnd w:id="34"/>
    <w:bookmarkEnd w:id="35"/>
    <w:bookmarkEnd w:id="36"/>
    <w:p w14:paraId="7A97E161">
      <w:pPr>
        <w:pStyle w:val="3"/>
        <w:pageBreakBefore/>
        <w:numPr>
          <w:ilvl w:val="0"/>
          <w:numId w:val="14"/>
        </w:numPr>
        <w:kinsoku/>
        <w:wordWrap/>
        <w:overflowPunct/>
        <w:topLinePunct w:val="0"/>
        <w:bidi w:val="0"/>
        <w:spacing w:before="120" w:beforeLines="50" w:line="360" w:lineRule="auto"/>
        <w:ind w:left="0" w:leftChars="0" w:firstLine="0" w:firstLineChars="0"/>
        <w:jc w:val="center"/>
        <w:textAlignment w:val="auto"/>
        <w:rPr>
          <w:rFonts w:hint="eastAsia" w:ascii="宋体" w:hAnsi="宋体" w:eastAsia="宋体"/>
          <w:color w:val="auto"/>
          <w:sz w:val="36"/>
          <w:szCs w:val="30"/>
          <w:highlight w:val="none"/>
        </w:rPr>
      </w:pPr>
      <w:r>
        <w:rPr>
          <w:rFonts w:hint="eastAsia" w:ascii="宋体" w:hAnsi="宋体" w:eastAsia="宋体"/>
          <w:color w:val="auto"/>
          <w:sz w:val="36"/>
          <w:szCs w:val="30"/>
          <w:highlight w:val="none"/>
        </w:rPr>
        <w:t xml:space="preserve"> </w:t>
      </w:r>
      <w:bookmarkStart w:id="46" w:name="_Toc22673"/>
      <w:r>
        <w:rPr>
          <w:rFonts w:hint="eastAsia" w:ascii="宋体" w:hAnsi="宋体" w:eastAsia="宋体"/>
          <w:color w:val="auto"/>
          <w:sz w:val="36"/>
          <w:szCs w:val="30"/>
          <w:highlight w:val="none"/>
        </w:rPr>
        <w:t>项目商务需求</w:t>
      </w:r>
      <w:bookmarkEnd w:id="37"/>
      <w:bookmarkEnd w:id="46"/>
      <w:bookmarkStart w:id="47" w:name="_Toc68094765"/>
    </w:p>
    <w:p w14:paraId="3965A73D">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color w:val="auto"/>
          <w:highlight w:val="none"/>
        </w:rPr>
      </w:pPr>
      <w:bookmarkStart w:id="48" w:name="_Toc344475120"/>
      <w:bookmarkStart w:id="49" w:name="_Toc32052"/>
      <w:bookmarkStart w:id="50" w:name="_Toc6335"/>
      <w:bookmarkStart w:id="51" w:name="_Toc76462328"/>
      <w:bookmarkStart w:id="52" w:name="_Toc28468"/>
      <w:bookmarkStart w:id="53" w:name="_Toc106030883"/>
      <w:r>
        <w:rPr>
          <w:rFonts w:hint="eastAsia" w:ascii="宋体" w:hAnsi="宋体" w:eastAsia="宋体" w:cs="宋体"/>
          <w:b w:val="0"/>
          <w:bCs w:val="0"/>
          <w:color w:val="auto"/>
          <w:sz w:val="24"/>
          <w:szCs w:val="24"/>
          <w:highlight w:val="none"/>
        </w:rPr>
        <w:t>项目商务需求中所有要求均为符合性审查中的实质性要求，响应文件若不满足按无效响应处理。</w:t>
      </w:r>
      <w:bookmarkEnd w:id="48"/>
      <w:bookmarkEnd w:id="49"/>
      <w:bookmarkEnd w:id="50"/>
      <w:bookmarkEnd w:id="51"/>
      <w:bookmarkEnd w:id="52"/>
      <w:bookmarkEnd w:id="53"/>
    </w:p>
    <w:bookmarkEnd w:id="47"/>
    <w:p w14:paraId="2FAE39DB">
      <w:pPr>
        <w:pStyle w:val="4"/>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54" w:name="_Toc4303"/>
      <w:r>
        <w:rPr>
          <w:rFonts w:hint="eastAsia" w:ascii="宋体" w:hAnsi="宋体"/>
          <w:color w:val="auto"/>
          <w:sz w:val="24"/>
          <w:szCs w:val="24"/>
          <w:highlight w:val="none"/>
        </w:rPr>
        <w:t>一、</w:t>
      </w:r>
      <w:r>
        <w:rPr>
          <w:rFonts w:hint="eastAsia" w:ascii="宋体" w:hAnsi="宋体" w:eastAsia="宋体" w:cs="宋体"/>
          <w:b/>
          <w:bCs/>
          <w:color w:val="auto"/>
          <w:sz w:val="24"/>
          <w:szCs w:val="24"/>
          <w:highlight w:val="none"/>
          <w:lang w:val="zh-CN"/>
        </w:rPr>
        <w:t>服务期、地点及验收方式</w:t>
      </w:r>
      <w:bookmarkEnd w:id="54"/>
    </w:p>
    <w:p w14:paraId="22133B0A">
      <w:pPr>
        <w:kinsoku/>
        <w:wordWrap/>
        <w:overflowPunct/>
        <w:topLinePunct w:val="0"/>
        <w:bidi w:val="0"/>
        <w:spacing w:line="360" w:lineRule="auto"/>
        <w:ind w:firstLine="360" w:firstLineChars="150"/>
        <w:textAlignment w:val="auto"/>
        <w:rPr>
          <w:rFonts w:hint="eastAsia" w:ascii="宋体" w:hAnsi="宋体" w:eastAsia="宋体" w:cs="宋体"/>
          <w:color w:val="auto"/>
          <w:szCs w:val="24"/>
          <w:highlight w:val="none"/>
          <w:lang w:eastAsia="zh-Hans"/>
        </w:rPr>
      </w:pPr>
      <w:r>
        <w:rPr>
          <w:rFonts w:hint="eastAsia" w:ascii="宋体" w:hAnsi="宋体" w:eastAsia="宋体" w:cs="宋体"/>
          <w:color w:val="auto"/>
          <w:szCs w:val="24"/>
          <w:highlight w:val="none"/>
          <w:lang w:eastAsia="zh-Hans"/>
        </w:rPr>
        <w:t>（一）</w:t>
      </w:r>
      <w:r>
        <w:rPr>
          <w:rFonts w:hint="eastAsia" w:ascii="宋体" w:hAnsi="宋体" w:eastAsia="宋体" w:cs="宋体"/>
          <w:color w:val="auto"/>
          <w:szCs w:val="24"/>
          <w:highlight w:val="none"/>
          <w:lang w:eastAsia="zh-CN"/>
        </w:rPr>
        <w:t>服务</w:t>
      </w:r>
      <w:r>
        <w:rPr>
          <w:rFonts w:hint="eastAsia" w:ascii="宋体" w:hAnsi="宋体" w:eastAsia="宋体" w:cs="宋体"/>
          <w:color w:val="auto"/>
          <w:szCs w:val="24"/>
          <w:highlight w:val="none"/>
          <w:lang w:eastAsia="zh-Hans"/>
        </w:rPr>
        <w:t>期：完成项目施工阶段及缺陷责任期全过程试验检测服务。本项目计划工期为</w:t>
      </w:r>
      <w:r>
        <w:rPr>
          <w:rFonts w:hint="eastAsia" w:ascii="宋体" w:hAnsi="宋体" w:cs="宋体"/>
          <w:color w:val="auto"/>
          <w:szCs w:val="24"/>
          <w:highlight w:val="none"/>
          <w:lang w:val="en-US" w:eastAsia="zh-CN"/>
        </w:rPr>
        <w:t>900</w:t>
      </w:r>
      <w:r>
        <w:rPr>
          <w:rFonts w:hint="eastAsia" w:ascii="宋体" w:hAnsi="宋体" w:eastAsia="宋体" w:cs="宋体"/>
          <w:color w:val="auto"/>
          <w:szCs w:val="24"/>
          <w:highlight w:val="none"/>
          <w:lang w:eastAsia="zh-Hans"/>
        </w:rPr>
        <w:t>日历天（暂定），如实际工期与计划工期不符的，服务期限以实际工期为准。</w:t>
      </w:r>
      <w:r>
        <w:rPr>
          <w:rFonts w:hint="eastAsia" w:ascii="宋体" w:hAnsi="宋体" w:cs="宋体"/>
          <w:color w:val="auto"/>
          <w:szCs w:val="24"/>
          <w:highlight w:val="none"/>
          <w:lang w:val="en-US" w:eastAsia="zh-CN"/>
        </w:rPr>
        <w:t>成交供应商</w:t>
      </w:r>
      <w:r>
        <w:rPr>
          <w:rFonts w:hint="eastAsia" w:ascii="宋体" w:hAnsi="宋体" w:eastAsia="宋体" w:cs="宋体"/>
          <w:color w:val="auto"/>
          <w:szCs w:val="24"/>
          <w:highlight w:val="none"/>
          <w:lang w:eastAsia="zh-Hans"/>
        </w:rPr>
        <w:t>应于接到</w:t>
      </w:r>
      <w:r>
        <w:rPr>
          <w:rFonts w:hint="eastAsia" w:ascii="宋体" w:hAnsi="宋体" w:cs="宋体"/>
          <w:color w:val="auto"/>
          <w:szCs w:val="24"/>
          <w:highlight w:val="none"/>
          <w:lang w:val="en-US" w:eastAsia="zh-CN"/>
        </w:rPr>
        <w:t>采购人</w:t>
      </w:r>
      <w:r>
        <w:rPr>
          <w:rFonts w:hint="eastAsia" w:ascii="宋体" w:hAnsi="宋体" w:eastAsia="宋体" w:cs="宋体"/>
          <w:color w:val="auto"/>
          <w:szCs w:val="24"/>
          <w:highlight w:val="none"/>
          <w:lang w:eastAsia="zh-Hans"/>
        </w:rPr>
        <w:t>出具的进场通知之日起【3】个工作日内到现场进行检测工作。</w:t>
      </w:r>
    </w:p>
    <w:p w14:paraId="10D6DAC0">
      <w:pPr>
        <w:kinsoku/>
        <w:wordWrap/>
        <w:overflowPunct/>
        <w:topLinePunct w:val="0"/>
        <w:bidi w:val="0"/>
        <w:spacing w:line="360" w:lineRule="auto"/>
        <w:ind w:firstLine="1080" w:firstLineChars="450"/>
        <w:textAlignment w:val="auto"/>
        <w:rPr>
          <w:rFonts w:hint="eastAsia" w:ascii="宋体" w:hAnsi="宋体" w:eastAsia="宋体" w:cs="宋体"/>
          <w:color w:val="auto"/>
          <w:szCs w:val="24"/>
          <w:highlight w:val="none"/>
          <w:lang w:eastAsia="zh-Hans"/>
        </w:rPr>
      </w:pPr>
      <w:r>
        <w:rPr>
          <w:rFonts w:hint="eastAsia" w:ascii="宋体" w:hAnsi="宋体" w:eastAsia="宋体" w:cs="宋体"/>
          <w:color w:val="auto"/>
          <w:szCs w:val="24"/>
          <w:highlight w:val="none"/>
          <w:lang w:eastAsia="zh-Hans"/>
        </w:rPr>
        <w:t>缺陷责任期：24个月。</w:t>
      </w:r>
    </w:p>
    <w:p w14:paraId="5DFB919E">
      <w:pPr>
        <w:kinsoku/>
        <w:wordWrap/>
        <w:overflowPunct/>
        <w:topLinePunct w:val="0"/>
        <w:bidi w:val="0"/>
        <w:spacing w:line="360" w:lineRule="auto"/>
        <w:ind w:firstLine="360" w:firstLineChars="150"/>
        <w:textAlignment w:val="auto"/>
        <w:rPr>
          <w:rFonts w:hint="eastAsia" w:ascii="宋体" w:hAnsi="宋体" w:eastAsia="宋体" w:cs="宋体"/>
          <w:color w:val="auto"/>
          <w:szCs w:val="24"/>
          <w:highlight w:val="none"/>
          <w:lang w:eastAsia="zh-Hans"/>
        </w:rPr>
      </w:pPr>
      <w:r>
        <w:rPr>
          <w:rFonts w:hint="eastAsia" w:ascii="宋体" w:hAnsi="宋体" w:eastAsia="宋体" w:cs="宋体"/>
          <w:color w:val="auto"/>
          <w:szCs w:val="24"/>
          <w:highlight w:val="none"/>
          <w:lang w:eastAsia="zh-Hans"/>
        </w:rPr>
        <w:t>（二）</w:t>
      </w:r>
      <w:r>
        <w:rPr>
          <w:rFonts w:hint="eastAsia" w:ascii="宋体" w:hAnsi="宋体" w:eastAsia="宋体" w:cs="宋体"/>
          <w:color w:val="auto"/>
          <w:szCs w:val="24"/>
          <w:highlight w:val="none"/>
          <w:lang w:eastAsia="zh-CN"/>
        </w:rPr>
        <w:t>服务</w:t>
      </w:r>
      <w:r>
        <w:rPr>
          <w:rFonts w:hint="eastAsia" w:ascii="宋体" w:hAnsi="宋体" w:eastAsia="宋体" w:cs="宋体"/>
          <w:color w:val="auto"/>
          <w:szCs w:val="24"/>
          <w:highlight w:val="none"/>
          <w:lang w:eastAsia="zh-Hans"/>
        </w:rPr>
        <w:t>地点：</w:t>
      </w:r>
      <w:r>
        <w:rPr>
          <w:rFonts w:hint="eastAsia" w:ascii="宋体" w:hAnsi="宋体" w:cs="宋体"/>
          <w:color w:val="auto"/>
          <w:szCs w:val="24"/>
          <w:highlight w:val="none"/>
          <w:lang w:eastAsia="zh-CN"/>
        </w:rPr>
        <w:t>重庆市大渡口区</w:t>
      </w:r>
      <w:r>
        <w:rPr>
          <w:rFonts w:hint="eastAsia" w:ascii="宋体" w:hAnsi="宋体" w:cs="宋体"/>
          <w:color w:val="auto"/>
          <w:szCs w:val="24"/>
          <w:highlight w:val="none"/>
          <w:lang w:val="en-US" w:eastAsia="zh-CN"/>
        </w:rPr>
        <w:t>G01-7地块</w:t>
      </w:r>
      <w:r>
        <w:rPr>
          <w:rFonts w:hint="eastAsia" w:ascii="宋体" w:hAnsi="宋体" w:eastAsia="宋体" w:cs="宋体"/>
          <w:color w:val="auto"/>
          <w:szCs w:val="24"/>
          <w:highlight w:val="none"/>
          <w:lang w:eastAsia="zh-Hans"/>
        </w:rPr>
        <w:t>。</w:t>
      </w:r>
    </w:p>
    <w:p w14:paraId="3D3F4B46">
      <w:pPr>
        <w:kinsoku/>
        <w:wordWrap/>
        <w:overflowPunct/>
        <w:topLinePunct w:val="0"/>
        <w:bidi w:val="0"/>
        <w:spacing w:line="360" w:lineRule="auto"/>
        <w:ind w:firstLine="360" w:firstLineChars="15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三</w:t>
      </w:r>
      <w:r>
        <w:rPr>
          <w:rFonts w:hint="eastAsia" w:ascii="宋体" w:hAnsi="宋体" w:eastAsia="宋体" w:cs="宋体"/>
          <w:color w:val="auto"/>
          <w:szCs w:val="24"/>
          <w:highlight w:val="none"/>
        </w:rPr>
        <w:t>）验收</w:t>
      </w:r>
      <w:r>
        <w:rPr>
          <w:rFonts w:hint="eastAsia" w:ascii="宋体" w:hAnsi="宋体" w:eastAsia="宋体" w:cs="宋体"/>
          <w:color w:val="auto"/>
          <w:szCs w:val="24"/>
          <w:highlight w:val="none"/>
          <w:lang w:val="en-US" w:eastAsia="zh-CN"/>
        </w:rPr>
        <w:t>方式：</w:t>
      </w:r>
      <w:r>
        <w:rPr>
          <w:rFonts w:hint="eastAsia" w:ascii="宋体" w:hAnsi="宋体" w:eastAsia="宋体" w:cs="宋体"/>
          <w:color w:val="auto"/>
          <w:szCs w:val="24"/>
          <w:highlight w:val="none"/>
          <w:lang w:eastAsia="zh-Hans"/>
        </w:rPr>
        <w:t>工程完工后，采购人组织按国家相关标准验收程序和规程进行验收</w:t>
      </w:r>
      <w:r>
        <w:rPr>
          <w:rFonts w:hint="eastAsia" w:ascii="宋体" w:hAnsi="宋体" w:eastAsia="宋体" w:cs="宋体"/>
          <w:color w:val="auto"/>
          <w:szCs w:val="24"/>
          <w:highlight w:val="none"/>
          <w:lang w:val="en-US" w:eastAsia="zh-CN"/>
        </w:rPr>
        <w:t>。</w:t>
      </w:r>
    </w:p>
    <w:p w14:paraId="12C116B5">
      <w:pPr>
        <w:pStyle w:val="4"/>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55" w:name="_Toc19402"/>
      <w:r>
        <w:rPr>
          <w:rFonts w:hint="eastAsia" w:ascii="宋体" w:hAnsi="宋体"/>
          <w:color w:val="auto"/>
          <w:sz w:val="24"/>
          <w:szCs w:val="24"/>
          <w:highlight w:val="none"/>
        </w:rPr>
        <w:t>二、报价要求</w:t>
      </w:r>
      <w:bookmarkEnd w:id="55"/>
    </w:p>
    <w:p w14:paraId="31A369AE">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本项目以建设工程规划许可证</w:t>
      </w:r>
      <w:r>
        <w:rPr>
          <w:rFonts w:hint="eastAsia" w:ascii="宋体" w:hAnsi="宋体" w:eastAsia="宋体" w:cs="宋体"/>
          <w:b/>
          <w:bCs/>
          <w:color w:val="auto"/>
          <w:sz w:val="24"/>
          <w:szCs w:val="24"/>
          <w:highlight w:val="none"/>
          <w:u w:val="single"/>
          <w:lang w:val="en-US" w:eastAsia="zh-CN"/>
        </w:rPr>
        <w:t>总建筑面积72669.80平方米</w:t>
      </w:r>
      <w:r>
        <w:rPr>
          <w:rFonts w:hint="eastAsia" w:ascii="宋体" w:hAnsi="宋体" w:eastAsia="宋体" w:cs="宋体"/>
          <w:b w:val="0"/>
          <w:bCs w:val="0"/>
          <w:color w:val="auto"/>
          <w:sz w:val="24"/>
          <w:szCs w:val="24"/>
          <w:highlight w:val="none"/>
          <w:lang w:val="en-US" w:eastAsia="zh-CN"/>
        </w:rPr>
        <w:t>作为计费基数，按照《重庆市住房和城乡建设工程质量总站、重庆市住房和城乡建设工程造价总站、重庆市住房和城乡建设行政审批服务中心</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关于房屋建筑和市政基础设施工程质量检测分级实施差异化监管的通知</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（渝建质量〔2023〕29号）的规定计算检测费用为</w:t>
      </w:r>
      <w:r>
        <w:rPr>
          <w:rFonts w:hint="eastAsia" w:ascii="宋体" w:hAnsi="宋体" w:eastAsia="宋体" w:cs="宋体"/>
          <w:b/>
          <w:bCs/>
          <w:color w:val="auto"/>
          <w:sz w:val="24"/>
          <w:szCs w:val="24"/>
          <w:highlight w:val="none"/>
          <w:u w:val="single"/>
          <w:lang w:val="en-US" w:eastAsia="zh-CN"/>
        </w:rPr>
        <w:t>1119114.92</w:t>
      </w:r>
      <w:r>
        <w:rPr>
          <w:rFonts w:hint="eastAsia" w:ascii="宋体" w:hAnsi="宋体" w:eastAsia="宋体" w:cs="宋体"/>
          <w:b w:val="0"/>
          <w:bCs w:val="0"/>
          <w:color w:val="auto"/>
          <w:sz w:val="24"/>
          <w:szCs w:val="24"/>
          <w:highlight w:val="none"/>
          <w:lang w:val="en-US" w:eastAsia="zh-CN"/>
        </w:rPr>
        <w:t>元。本项目最高限价下浮20%，最终以</w:t>
      </w:r>
      <w:r>
        <w:rPr>
          <w:rFonts w:hint="eastAsia" w:ascii="宋体" w:hAnsi="宋体" w:eastAsia="宋体" w:cs="宋体"/>
          <w:b/>
          <w:bCs/>
          <w:color w:val="auto"/>
          <w:sz w:val="24"/>
          <w:szCs w:val="24"/>
          <w:highlight w:val="none"/>
          <w:u w:val="single"/>
          <w:lang w:val="en-US" w:eastAsia="zh-CN"/>
        </w:rPr>
        <w:t>895291.94元</w:t>
      </w:r>
      <w:r>
        <w:rPr>
          <w:rFonts w:hint="eastAsia" w:ascii="宋体" w:hAnsi="宋体" w:eastAsia="宋体" w:cs="宋体"/>
          <w:b w:val="0"/>
          <w:bCs w:val="0"/>
          <w:color w:val="auto"/>
          <w:sz w:val="24"/>
          <w:szCs w:val="24"/>
          <w:highlight w:val="none"/>
          <w:lang w:val="en-US" w:eastAsia="zh-CN"/>
        </w:rPr>
        <w:t>作为最高限价。供应商的</w:t>
      </w:r>
      <w:r>
        <w:rPr>
          <w:rFonts w:hint="eastAsia" w:ascii="宋体" w:hAnsi="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lang w:val="en-US" w:eastAsia="zh-CN"/>
        </w:rPr>
        <w:t>总报价不得超过其最高限价，否则由磋商小组作</w:t>
      </w:r>
      <w:r>
        <w:rPr>
          <w:rFonts w:hint="eastAsia" w:ascii="宋体" w:hAnsi="宋体" w:cs="宋体"/>
          <w:b w:val="0"/>
          <w:bCs w:val="0"/>
          <w:color w:val="auto"/>
          <w:sz w:val="24"/>
          <w:szCs w:val="24"/>
          <w:highlight w:val="none"/>
          <w:lang w:val="en-US" w:eastAsia="zh-CN"/>
        </w:rPr>
        <w:t>无效响应</w:t>
      </w:r>
      <w:r>
        <w:rPr>
          <w:rFonts w:hint="eastAsia" w:ascii="宋体" w:hAnsi="宋体" w:eastAsia="宋体" w:cs="宋体"/>
          <w:b w:val="0"/>
          <w:bCs w:val="0"/>
          <w:color w:val="auto"/>
          <w:sz w:val="24"/>
          <w:szCs w:val="24"/>
          <w:highlight w:val="none"/>
          <w:lang w:val="en-US" w:eastAsia="zh-CN"/>
        </w:rPr>
        <w:t>处理。</w:t>
      </w:r>
    </w:p>
    <w:p w14:paraId="6BB1B96F">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lang w:val="en-US" w:eastAsia="zh-CN"/>
        </w:rPr>
        <w:t>报价中的数值保留两位小数，小数点后第三位四舍五入，小数点后不足两位的按实际位数保留。报价保留小数点位数的要求仅为方便</w:t>
      </w:r>
      <w:r>
        <w:rPr>
          <w:rFonts w:hint="eastAsia" w:ascii="宋体" w:hAnsi="宋体" w:cs="宋体"/>
          <w:b w:val="0"/>
          <w:bCs w:val="0"/>
          <w:color w:val="auto"/>
          <w:sz w:val="24"/>
          <w:szCs w:val="24"/>
          <w:highlight w:val="none"/>
          <w:lang w:val="en-US" w:eastAsia="zh-CN"/>
        </w:rPr>
        <w:t>评审</w:t>
      </w:r>
      <w:r>
        <w:rPr>
          <w:rFonts w:hint="eastAsia" w:ascii="宋体" w:hAnsi="宋体" w:eastAsia="宋体" w:cs="宋体"/>
          <w:b w:val="0"/>
          <w:bCs w:val="0"/>
          <w:color w:val="auto"/>
          <w:sz w:val="24"/>
          <w:szCs w:val="24"/>
          <w:highlight w:val="none"/>
          <w:lang w:val="en-US" w:eastAsia="zh-CN"/>
        </w:rPr>
        <w:t>使用，不作为</w:t>
      </w:r>
      <w:r>
        <w:rPr>
          <w:rFonts w:hint="eastAsia" w:ascii="宋体" w:hAnsi="宋体" w:cs="宋体"/>
          <w:b w:val="0"/>
          <w:bCs w:val="0"/>
          <w:color w:val="auto"/>
          <w:sz w:val="24"/>
          <w:szCs w:val="24"/>
          <w:highlight w:val="none"/>
          <w:lang w:val="en-US" w:eastAsia="zh-CN"/>
        </w:rPr>
        <w:t>无效响应</w:t>
      </w:r>
      <w:r>
        <w:rPr>
          <w:rFonts w:hint="eastAsia" w:ascii="宋体" w:hAnsi="宋体" w:eastAsia="宋体" w:cs="宋体"/>
          <w:b w:val="0"/>
          <w:bCs w:val="0"/>
          <w:color w:val="auto"/>
          <w:sz w:val="24"/>
          <w:szCs w:val="24"/>
          <w:highlight w:val="none"/>
          <w:lang w:val="en-US" w:eastAsia="zh-CN"/>
        </w:rPr>
        <w:t>条件。</w:t>
      </w:r>
    </w:p>
    <w:p w14:paraId="1F5102C0">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（1）供应商参照《重庆市住房和城乡建设工程质量总站、重庆市住房和城乡建设工程造价总站、重庆市住房和城乡建设行政审批服务中心</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关于房屋建筑和市政基础设施工程质量检测分级实施差异化监管的通知</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（渝建质量〔2023〕29号）、重庆市建设工程质量协会公布的《重庆市建设工程质量检测行业综合要素价格》（2023 版）并结合本项目的实际情况，根据市场行情及本企业的经营状况、自身实力和</w:t>
      </w:r>
      <w:r>
        <w:rPr>
          <w:rFonts w:hint="eastAsia" w:ascii="宋体" w:hAnsi="宋体" w:cs="宋体"/>
          <w:b w:val="0"/>
          <w:bCs w:val="0"/>
          <w:color w:val="auto"/>
          <w:sz w:val="24"/>
          <w:szCs w:val="24"/>
          <w:highlight w:val="none"/>
          <w:lang w:val="en-US" w:eastAsia="zh-CN"/>
        </w:rPr>
        <w:t>竞争性磋商</w:t>
      </w:r>
      <w:r>
        <w:rPr>
          <w:rFonts w:hint="eastAsia" w:ascii="宋体" w:hAnsi="宋体" w:eastAsia="宋体" w:cs="宋体"/>
          <w:b w:val="0"/>
          <w:bCs w:val="0"/>
          <w:color w:val="auto"/>
          <w:sz w:val="24"/>
          <w:szCs w:val="24"/>
          <w:highlight w:val="none"/>
          <w:lang w:val="en-US" w:eastAsia="zh-CN"/>
        </w:rPr>
        <w:t>文件对检测工作内容（招标范围）、项目质量、周期、深度的要求，结合市场行情自行报价。</w:t>
      </w:r>
    </w:p>
    <w:p w14:paraId="5F110D61">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lang w:val="en-US" w:eastAsia="zh-CN"/>
        </w:rPr>
        <w:t>报价由完成全部检测内容的鉴定费、检测费（包括多次检测、复检及加大检测范围所产生的相关费用）、试验费等组成，包括但不限于该工程检测的成本、技术工作费、人工费、材料费、利润、规费、税金、管理费、保险费、二维码标签费、数字化监管费、检测仪器设备使用费、开办费、驻场费、措施费、配合费（含智慧工地建设的配合费）、专家费、设备进出场费、交通工具购置及使用费、资料费等以及政策性文件规定的全部费用。</w:t>
      </w:r>
    </w:p>
    <w:p w14:paraId="5841EFD5">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（3）超过供应商检测资质以外的检测内容</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由供应商自行委托其他具有相应资质的检测机构检测，由此产生的所有费用包含在报价中，采购人不再另行支付。</w:t>
      </w:r>
    </w:p>
    <w:p w14:paraId="7287182E">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（4）如因采购人质量管理需要而对施工单位自检环节抽检增加的相关检测、试验，费用包含在</w:t>
      </w:r>
      <w:r>
        <w:rPr>
          <w:rFonts w:hint="eastAsia" w:ascii="宋体" w:hAnsi="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lang w:val="en-US" w:eastAsia="zh-CN"/>
        </w:rPr>
        <w:t>报价中，采购人不再另行支付。</w:t>
      </w:r>
    </w:p>
    <w:p w14:paraId="196A6FF1">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（5）供应商根据项目进展情况，结合相关标准和规定自行安排检测工作（包括人员、设备进出场等），满足工程进度需要；所有进出场费均由供应商自行测算，费用纳入</w:t>
      </w:r>
      <w:r>
        <w:rPr>
          <w:rFonts w:hint="eastAsia" w:ascii="宋体" w:hAnsi="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lang w:val="en-US" w:eastAsia="zh-CN"/>
        </w:rPr>
        <w:t>报价中，采购人不再另行支付。</w:t>
      </w:r>
    </w:p>
    <w:p w14:paraId="4B0CCEAC">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r>
        <w:rPr>
          <w:rFonts w:hint="eastAsia" w:ascii="宋体" w:hAnsi="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lang w:val="en-US" w:eastAsia="zh-CN"/>
        </w:rPr>
        <w:t>报价包含但不限于采购人已在本</w:t>
      </w:r>
      <w:r>
        <w:rPr>
          <w:rFonts w:hint="eastAsia" w:ascii="宋体" w:hAnsi="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lang w:val="en-US" w:eastAsia="zh-CN"/>
        </w:rPr>
        <w:t>文件中明示的检测项目，以及根据项目概况、现场情况、</w:t>
      </w:r>
      <w:r>
        <w:rPr>
          <w:rFonts w:hint="eastAsia" w:ascii="宋体" w:hAnsi="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lang w:val="en-US" w:eastAsia="zh-CN"/>
        </w:rPr>
        <w:t>文件、法律法规、标准规范、工程相关设计及技术文件规定预判需检测的项目和项目属地质量管理等部门要求检测的项目。</w:t>
      </w:r>
    </w:p>
    <w:p w14:paraId="2E78735C">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（7）本工程风险费已包含在</w:t>
      </w:r>
      <w:r>
        <w:rPr>
          <w:rFonts w:hint="eastAsia" w:ascii="宋体" w:hAnsi="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lang w:val="en-US" w:eastAsia="zh-CN"/>
        </w:rPr>
        <w:t>报价中。供应商应充分考虑根据现场实际工艺情况、材料设备进料情况等因素，不同检测条件和检测复杂程度的变化</w:t>
      </w:r>
      <w:r>
        <w:rPr>
          <w:rFonts w:hint="eastAsia" w:ascii="宋体" w:hAnsi="宋体" w:cs="宋体"/>
          <w:b w:val="0"/>
          <w:bCs w:val="0"/>
          <w:color w:val="auto"/>
          <w:sz w:val="24"/>
          <w:szCs w:val="24"/>
          <w:highlight w:val="none"/>
          <w:lang w:val="en-US" w:eastAsia="zh-CN"/>
        </w:rPr>
        <w:t>，以</w:t>
      </w:r>
      <w:r>
        <w:rPr>
          <w:rFonts w:hint="eastAsia" w:ascii="宋体" w:hAnsi="宋体" w:eastAsia="宋体" w:cs="宋体"/>
          <w:b w:val="0"/>
          <w:bCs w:val="0"/>
          <w:color w:val="auto"/>
          <w:sz w:val="24"/>
          <w:szCs w:val="24"/>
          <w:highlight w:val="none"/>
          <w:lang w:val="en-US" w:eastAsia="zh-CN"/>
        </w:rPr>
        <w:t>及现场设计变更所带来的风险。风险费包括但不限于因工艺情况、材料设备进料、政策变化、项目属地质量管理等部门要求等情况造成的检测数量增加及检测内容增加，应在</w:t>
      </w:r>
      <w:r>
        <w:rPr>
          <w:rFonts w:hint="eastAsia" w:ascii="宋体" w:hAnsi="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lang w:val="en-US" w:eastAsia="zh-CN"/>
        </w:rPr>
        <w:t>报价中一并考虑，采购人不再另行支付。</w:t>
      </w:r>
    </w:p>
    <w:p w14:paraId="0586FD65">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（8）供应商应充分考虑现场实际情况、交通转换等因素，各类试验检测存在分期、分批次实施，存在多次进出场，其相关费用均由供应商自行测算，费用纳入</w:t>
      </w:r>
      <w:r>
        <w:rPr>
          <w:rFonts w:hint="eastAsia" w:ascii="宋体" w:hAnsi="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lang w:val="en-US" w:eastAsia="zh-CN"/>
        </w:rPr>
        <w:t>报价中，采购人不再另行支付。</w:t>
      </w:r>
    </w:p>
    <w:p w14:paraId="452F4DBF">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（9）无论施工工期是否顺延，或者施工工程增量，均不再增加检测服务费。</w:t>
      </w:r>
    </w:p>
    <w:p w14:paraId="3C732421">
      <w:pPr>
        <w:keepNext w:val="0"/>
        <w:keepLines w:val="0"/>
        <w:pageBreakBefore w:val="0"/>
        <w:widowControl w:val="0"/>
        <w:kinsoku/>
        <w:wordWrap/>
        <w:overflowPunct/>
        <w:topLinePunct w:val="0"/>
        <w:autoSpaceDE/>
        <w:autoSpaceDN/>
        <w:bidi w:val="0"/>
        <w:adjustRightInd/>
        <w:spacing w:line="440" w:lineRule="exact"/>
        <w:ind w:left="0" w:leftChars="0" w:right="0" w:rightChars="0" w:firstLine="482" w:firstLineChars="200"/>
        <w:jc w:val="left"/>
        <w:textAlignment w:val="auto"/>
        <w:outlineLvl w:val="2"/>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eastAsia="zh-CN"/>
        </w:rPr>
        <w:t>三、业绩要求</w:t>
      </w:r>
    </w:p>
    <w:p w14:paraId="24B01825">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在</w:t>
      </w:r>
      <w:r>
        <w:rPr>
          <w:rFonts w:hint="eastAsia" w:ascii="宋体" w:hAnsi="宋体" w:eastAsia="宋体" w:cs="宋体"/>
          <w:b w:val="0"/>
          <w:bCs w:val="0"/>
          <w:color w:val="auto"/>
          <w:sz w:val="24"/>
          <w:szCs w:val="24"/>
          <w:highlight w:val="none"/>
          <w:u w:val="single"/>
        </w:rPr>
        <w:t>2022</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1</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1</w:t>
      </w:r>
      <w:r>
        <w:rPr>
          <w:rFonts w:hint="eastAsia" w:ascii="宋体" w:hAnsi="宋体" w:eastAsia="宋体" w:cs="宋体"/>
          <w:b w:val="0"/>
          <w:bCs w:val="0"/>
          <w:color w:val="auto"/>
          <w:sz w:val="24"/>
          <w:szCs w:val="24"/>
          <w:highlight w:val="none"/>
        </w:rPr>
        <w:t>日起至</w:t>
      </w:r>
      <w:r>
        <w:rPr>
          <w:rFonts w:hint="eastAsia" w:ascii="宋体" w:hAnsi="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截止日止（业绩时间以</w:t>
      </w:r>
      <w:r>
        <w:rPr>
          <w:rFonts w:hint="eastAsia" w:ascii="宋体" w:hAnsi="宋体" w:eastAsia="宋体" w:cs="宋体"/>
          <w:b w:val="0"/>
          <w:bCs w:val="0"/>
          <w:color w:val="auto"/>
          <w:sz w:val="24"/>
          <w:szCs w:val="24"/>
          <w:highlight w:val="none"/>
          <w:lang w:eastAsia="zh-CN"/>
        </w:rPr>
        <w:t>竣工验收</w:t>
      </w:r>
      <w:r>
        <w:rPr>
          <w:rFonts w:hint="eastAsia" w:ascii="宋体" w:hAnsi="宋体" w:eastAsia="宋体" w:cs="宋体"/>
          <w:b w:val="0"/>
          <w:bCs w:val="0"/>
          <w:color w:val="auto"/>
          <w:sz w:val="24"/>
          <w:szCs w:val="24"/>
          <w:highlight w:val="none"/>
        </w:rPr>
        <w:t>时间为准），至少</w:t>
      </w:r>
      <w:r>
        <w:rPr>
          <w:rFonts w:hint="eastAsia" w:ascii="宋体" w:hAnsi="宋体" w:eastAsia="宋体" w:cs="宋体"/>
          <w:b w:val="0"/>
          <w:bCs w:val="0"/>
          <w:color w:val="auto"/>
          <w:sz w:val="24"/>
          <w:szCs w:val="24"/>
          <w:highlight w:val="none"/>
          <w:lang w:eastAsia="zh-CN"/>
        </w:rPr>
        <w:t>完成过</w:t>
      </w:r>
      <w:r>
        <w:rPr>
          <w:rFonts w:hint="eastAsia" w:ascii="宋体" w:hAnsi="宋体" w:eastAsia="宋体" w:cs="宋体"/>
          <w:b w:val="0"/>
          <w:bCs w:val="0"/>
          <w:color w:val="auto"/>
          <w:sz w:val="24"/>
          <w:szCs w:val="24"/>
          <w:highlight w:val="none"/>
        </w:rPr>
        <w:t>1个</w:t>
      </w:r>
      <w:r>
        <w:rPr>
          <w:rFonts w:hint="eastAsia" w:ascii="宋体" w:hAnsi="宋体" w:eastAsia="宋体" w:cs="宋体"/>
          <w:b w:val="0"/>
          <w:bCs w:val="0"/>
          <w:color w:val="auto"/>
          <w:sz w:val="24"/>
          <w:szCs w:val="24"/>
          <w:highlight w:val="none"/>
          <w:u w:val="single"/>
        </w:rPr>
        <w:t>单项合同金额不少于</w:t>
      </w:r>
      <w:r>
        <w:rPr>
          <w:rFonts w:hint="eastAsia" w:ascii="宋体" w:hAnsi="宋体" w:eastAsia="宋体" w:cs="宋体"/>
          <w:b w:val="0"/>
          <w:bCs w:val="0"/>
          <w:color w:val="auto"/>
          <w:sz w:val="24"/>
          <w:szCs w:val="24"/>
          <w:highlight w:val="none"/>
          <w:u w:val="single"/>
          <w:lang w:val="en-US" w:eastAsia="zh-CN"/>
        </w:rPr>
        <w:t>80</w:t>
      </w:r>
      <w:r>
        <w:rPr>
          <w:rFonts w:hint="eastAsia" w:ascii="宋体" w:hAnsi="宋体" w:eastAsia="宋体" w:cs="宋体"/>
          <w:b w:val="0"/>
          <w:bCs w:val="0"/>
          <w:color w:val="auto"/>
          <w:sz w:val="24"/>
          <w:szCs w:val="24"/>
          <w:highlight w:val="none"/>
          <w:u w:val="single"/>
        </w:rPr>
        <w:t>万元</w:t>
      </w:r>
      <w:r>
        <w:rPr>
          <w:rFonts w:hint="eastAsia" w:ascii="宋体" w:hAnsi="宋体" w:eastAsia="宋体" w:cs="宋体"/>
          <w:b w:val="0"/>
          <w:bCs w:val="0"/>
          <w:color w:val="auto"/>
          <w:sz w:val="24"/>
          <w:szCs w:val="24"/>
          <w:highlight w:val="none"/>
          <w:u w:val="single"/>
          <w:lang w:eastAsia="zh-CN"/>
        </w:rPr>
        <w:t>（或单个项目总建筑面积不少于</w:t>
      </w:r>
      <w:r>
        <w:rPr>
          <w:rFonts w:hint="eastAsia" w:ascii="宋体" w:hAnsi="宋体" w:eastAsia="宋体" w:cs="宋体"/>
          <w:b w:val="0"/>
          <w:bCs w:val="0"/>
          <w:color w:val="auto"/>
          <w:sz w:val="24"/>
          <w:szCs w:val="24"/>
          <w:highlight w:val="none"/>
          <w:u w:val="single"/>
          <w:lang w:val="en-US" w:eastAsia="zh-CN"/>
        </w:rPr>
        <w:t>70000平方米</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lang w:eastAsia="zh-CN"/>
        </w:rPr>
        <w:t>的类似房屋</w:t>
      </w:r>
      <w:r>
        <w:rPr>
          <w:rFonts w:hint="eastAsia" w:ascii="宋体" w:hAnsi="宋体" w:eastAsia="宋体" w:cs="宋体"/>
          <w:b w:val="0"/>
          <w:bCs w:val="0"/>
          <w:color w:val="auto"/>
          <w:sz w:val="24"/>
          <w:szCs w:val="24"/>
          <w:highlight w:val="none"/>
        </w:rPr>
        <w:t>建筑工程</w:t>
      </w:r>
      <w:r>
        <w:rPr>
          <w:rFonts w:hint="eastAsia" w:ascii="宋体" w:hAnsi="宋体" w:eastAsia="宋体" w:cs="宋体"/>
          <w:b w:val="0"/>
          <w:bCs w:val="0"/>
          <w:color w:val="auto"/>
          <w:sz w:val="24"/>
          <w:szCs w:val="24"/>
          <w:highlight w:val="none"/>
          <w:lang w:eastAsia="zh-CN"/>
        </w:rPr>
        <w:t>检测业绩。</w:t>
      </w:r>
    </w:p>
    <w:p w14:paraId="0106E265">
      <w:pPr>
        <w:keepNext w:val="0"/>
        <w:keepLines w:val="0"/>
        <w:pageBreakBefore w:val="0"/>
        <w:widowControl w:val="0"/>
        <w:kinsoku/>
        <w:wordWrap/>
        <w:overflowPunct/>
        <w:topLinePunct w:val="0"/>
        <w:autoSpaceDE/>
        <w:autoSpaceDN/>
        <w:bidi w:val="0"/>
        <w:adjustRightInd/>
        <w:spacing w:line="440" w:lineRule="exact"/>
        <w:ind w:left="0" w:leftChars="0" w:right="0" w:rightChars="0"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注：</w:t>
      </w:r>
      <w:r>
        <w:rPr>
          <w:rFonts w:hint="eastAsia" w:ascii="宋体" w:hAnsi="宋体" w:eastAsia="宋体" w:cs="宋体"/>
          <w:b/>
          <w:bCs/>
          <w:color w:val="auto"/>
          <w:sz w:val="24"/>
          <w:szCs w:val="24"/>
          <w:highlight w:val="none"/>
          <w:lang w:eastAsia="zh-CN"/>
        </w:rPr>
        <w:t>须提供</w:t>
      </w:r>
      <w:r>
        <w:rPr>
          <w:rFonts w:hint="eastAsia" w:ascii="宋体" w:hAnsi="宋体" w:cs="宋体"/>
          <w:b/>
          <w:bCs/>
          <w:color w:val="auto"/>
          <w:sz w:val="24"/>
          <w:szCs w:val="24"/>
          <w:highlight w:val="none"/>
          <w:lang w:eastAsia="zh-CN"/>
        </w:rPr>
        <w:t>中标通知书（直接发包的项目可提供项目甲方出具的项目直接发包情况说明或证明文书代替）、</w:t>
      </w:r>
      <w:r>
        <w:rPr>
          <w:rFonts w:hint="eastAsia" w:ascii="宋体" w:hAnsi="宋体" w:eastAsia="宋体" w:cs="宋体"/>
          <w:b/>
          <w:bCs/>
          <w:color w:val="auto"/>
          <w:sz w:val="24"/>
          <w:szCs w:val="24"/>
          <w:highlight w:val="none"/>
          <w:lang w:eastAsia="zh-CN"/>
        </w:rPr>
        <w:t>合同协议书</w:t>
      </w:r>
      <w:r>
        <w:rPr>
          <w:rFonts w:hint="eastAsia" w:ascii="宋体" w:hAnsi="宋体" w:cs="宋体"/>
          <w:b/>
          <w:bCs/>
          <w:color w:val="auto"/>
          <w:sz w:val="24"/>
          <w:szCs w:val="24"/>
          <w:highlight w:val="none"/>
          <w:lang w:eastAsia="zh-CN"/>
        </w:rPr>
        <w:t>、工程竣工验收合格证明材料复印件并加盖供应商单位公章。</w:t>
      </w:r>
    </w:p>
    <w:p w14:paraId="0971B83D">
      <w:pPr>
        <w:keepNext w:val="0"/>
        <w:keepLines w:val="0"/>
        <w:pageBreakBefore w:val="0"/>
        <w:widowControl w:val="0"/>
        <w:kinsoku/>
        <w:wordWrap/>
        <w:overflowPunct/>
        <w:topLinePunct w:val="0"/>
        <w:autoSpaceDE/>
        <w:autoSpaceDN/>
        <w:bidi w:val="0"/>
        <w:adjustRightInd/>
        <w:spacing w:line="440" w:lineRule="exact"/>
        <w:ind w:left="0" w:leftChars="0" w:right="0" w:rightChars="0" w:firstLine="482" w:firstLineChars="200"/>
        <w:jc w:val="left"/>
        <w:textAlignment w:val="auto"/>
        <w:outlineLvl w:val="2"/>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四、人员要求</w:t>
      </w:r>
    </w:p>
    <w:p w14:paraId="13EB174F">
      <w:pPr>
        <w:keepNext w:val="0"/>
        <w:keepLines w:val="0"/>
        <w:pageBreakBefore w:val="0"/>
        <w:widowControl w:val="0"/>
        <w:kinsoku/>
        <w:wordWrap/>
        <w:overflowPunct/>
        <w:topLinePunct w:val="0"/>
        <w:autoSpaceDE/>
        <w:autoSpaceDN/>
        <w:bidi w:val="0"/>
        <w:adjustRightInd/>
        <w:spacing w:line="44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项目负责人</w:t>
      </w:r>
    </w:p>
    <w:p w14:paraId="75185BA3">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必须是</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本单位人员，</w:t>
      </w:r>
      <w:r>
        <w:rPr>
          <w:rFonts w:hint="eastAsia"/>
          <w:color w:val="auto"/>
          <w:szCs w:val="21"/>
          <w:highlight w:val="none"/>
        </w:rPr>
        <w:t>具备工程类高级及以上技术职称；同时具有建设行政主管部门颁发的检测人员岗位证书。</w:t>
      </w:r>
    </w:p>
    <w:p w14:paraId="20074C7C">
      <w:pPr>
        <w:keepNext w:val="0"/>
        <w:keepLines w:val="0"/>
        <w:pageBreakBefore w:val="0"/>
        <w:widowControl w:val="0"/>
        <w:kinsoku/>
        <w:wordWrap/>
        <w:overflowPunct/>
        <w:topLinePunct w:val="0"/>
        <w:autoSpaceDE/>
        <w:autoSpaceDN/>
        <w:bidi w:val="0"/>
        <w:adjustRightInd/>
        <w:spacing w:line="440" w:lineRule="exact"/>
        <w:ind w:left="0" w:leftChars="0" w:right="0" w:rightChars="0"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须提供有效的拟派项目负责人身份证、职称证（若要求技术职称专业但职称证书无法体现专业的，可以提供学历证书或注册证书）、</w:t>
      </w:r>
      <w:r>
        <w:rPr>
          <w:rFonts w:hint="eastAsia" w:ascii="宋体" w:hAnsi="宋体" w:cs="宋体"/>
          <w:color w:val="auto"/>
          <w:sz w:val="24"/>
          <w:szCs w:val="24"/>
          <w:highlight w:val="none"/>
          <w:lang w:val="en-US" w:eastAsia="zh-CN"/>
        </w:rPr>
        <w:t>岗位证书（或行业主管部门网站的电子证书截图，截图信息清晰显示完整的网站名称、查询网址、人员信息）、供应商为其缴纳的磋商截止时间前连续三个月的养老保险复印件加盖供应商公章。</w:t>
      </w:r>
    </w:p>
    <w:p w14:paraId="0EE306B3">
      <w:pPr>
        <w:keepNext w:val="0"/>
        <w:keepLines w:val="0"/>
        <w:pageBreakBefore w:val="0"/>
        <w:widowControl w:val="0"/>
        <w:kinsoku/>
        <w:wordWrap/>
        <w:overflowPunct/>
        <w:topLinePunct w:val="0"/>
        <w:autoSpaceDE/>
        <w:autoSpaceDN/>
        <w:bidi w:val="0"/>
        <w:adjustRightInd/>
        <w:spacing w:line="440" w:lineRule="exact"/>
        <w:ind w:left="0" w:leftChars="0" w:right="0" w:rightChars="0"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（二）其他主要人员要求</w:t>
      </w:r>
    </w:p>
    <w:p w14:paraId="2870C788">
      <w:pPr>
        <w:keepNext w:val="0"/>
        <w:keepLines w:val="0"/>
        <w:pageBreakBefore w:val="0"/>
        <w:tabs>
          <w:tab w:val="left" w:pos="360"/>
        </w:tabs>
        <w:kinsoku/>
        <w:wordWrap/>
        <w:overflowPunct/>
        <w:topLinePunct w:val="0"/>
        <w:bidi w:val="0"/>
        <w:adjustRightInd w:val="0"/>
        <w:snapToGrid w:val="0"/>
        <w:spacing w:line="420" w:lineRule="exact"/>
        <w:ind w:firstLine="480" w:firstLineChars="200"/>
        <w:textAlignment w:val="auto"/>
        <w:rPr>
          <w:rFonts w:ascii="宋体" w:hAnsi="宋体" w:cs="宋体"/>
          <w:b w:val="0"/>
          <w:bCs w:val="0"/>
          <w:color w:val="auto"/>
          <w:szCs w:val="21"/>
          <w:highlight w:val="none"/>
        </w:rPr>
      </w:pPr>
      <w:r>
        <w:rPr>
          <w:rFonts w:hint="eastAsia" w:ascii="宋体" w:hAnsi="宋体" w:eastAsia="宋体" w:cs="宋体"/>
          <w:b w:val="0"/>
          <w:bCs w:val="0"/>
          <w:color w:val="auto"/>
          <w:highlight w:val="none"/>
        </w:rPr>
        <w:t>地基基础工程检测</w:t>
      </w:r>
      <w:r>
        <w:rPr>
          <w:rFonts w:hint="eastAsia" w:ascii="宋体" w:hAnsi="宋体" w:eastAsia="宋体" w:cs="宋体"/>
          <w:b w:val="0"/>
          <w:bCs w:val="0"/>
          <w:color w:val="auto"/>
          <w:highlight w:val="none"/>
          <w:lang w:eastAsia="zh-CN"/>
        </w:rPr>
        <w:t>人员</w:t>
      </w:r>
      <w:r>
        <w:rPr>
          <w:rFonts w:hint="eastAsia" w:ascii="宋体" w:hAnsi="宋体" w:eastAsia="宋体" w:cs="宋体"/>
          <w:b w:val="0"/>
          <w:bCs w:val="0"/>
          <w:color w:val="auto"/>
          <w:highlight w:val="none"/>
          <w:lang w:val="en-US" w:eastAsia="zh-CN"/>
        </w:rPr>
        <w:t>1人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lang w:val="en-US" w:eastAsia="zh-CN"/>
        </w:rPr>
        <w:t>建筑材料及构配件检测</w:t>
      </w:r>
      <w:r>
        <w:rPr>
          <w:rFonts w:hint="eastAsia" w:ascii="宋体" w:hAnsi="宋体" w:eastAsia="宋体" w:cs="宋体"/>
          <w:b w:val="0"/>
          <w:bCs w:val="0"/>
          <w:color w:val="auto"/>
          <w:highlight w:val="none"/>
          <w:lang w:eastAsia="zh-CN"/>
        </w:rPr>
        <w:t>人员</w:t>
      </w:r>
      <w:r>
        <w:rPr>
          <w:rFonts w:hint="eastAsia" w:ascii="宋体" w:hAnsi="宋体" w:eastAsia="宋体" w:cs="宋体"/>
          <w:b w:val="0"/>
          <w:bCs w:val="0"/>
          <w:color w:val="auto"/>
          <w:highlight w:val="none"/>
          <w:lang w:val="en-US" w:eastAsia="zh-CN"/>
        </w:rPr>
        <w:t>1人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lang w:val="en-US" w:eastAsia="zh-CN"/>
        </w:rPr>
        <w:t>主体结构及装饰装修（主体结构）</w:t>
      </w:r>
      <w:r>
        <w:rPr>
          <w:rFonts w:hint="eastAsia" w:ascii="宋体" w:hAnsi="宋体" w:eastAsia="宋体" w:cs="宋体"/>
          <w:b w:val="0"/>
          <w:bCs w:val="0"/>
          <w:color w:val="auto"/>
          <w:highlight w:val="none"/>
        </w:rPr>
        <w:t>检测</w:t>
      </w:r>
      <w:r>
        <w:rPr>
          <w:rFonts w:hint="eastAsia" w:ascii="宋体" w:hAnsi="宋体" w:eastAsia="宋体" w:cs="宋体"/>
          <w:b w:val="0"/>
          <w:bCs w:val="0"/>
          <w:color w:val="auto"/>
          <w:highlight w:val="none"/>
          <w:lang w:eastAsia="zh-CN"/>
        </w:rPr>
        <w:t>人员</w:t>
      </w:r>
      <w:r>
        <w:rPr>
          <w:rFonts w:hint="eastAsia" w:ascii="宋体" w:hAnsi="宋体" w:eastAsia="宋体" w:cs="宋体"/>
          <w:b w:val="0"/>
          <w:bCs w:val="0"/>
          <w:color w:val="auto"/>
          <w:highlight w:val="none"/>
          <w:lang w:val="en-US" w:eastAsia="zh-CN"/>
        </w:rPr>
        <w:t>1人</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钢结构</w:t>
      </w:r>
      <w:r>
        <w:rPr>
          <w:rFonts w:hint="eastAsia" w:ascii="宋体" w:hAnsi="宋体" w:eastAsia="宋体" w:cs="宋体"/>
          <w:b w:val="0"/>
          <w:bCs w:val="0"/>
          <w:color w:val="auto"/>
          <w:highlight w:val="none"/>
          <w:lang w:eastAsia="zh-CN"/>
        </w:rPr>
        <w:t>检测人员</w:t>
      </w:r>
      <w:r>
        <w:rPr>
          <w:rFonts w:hint="eastAsia" w:ascii="宋体" w:hAnsi="宋体" w:eastAsia="宋体" w:cs="宋体"/>
          <w:b w:val="0"/>
          <w:bCs w:val="0"/>
          <w:color w:val="auto"/>
          <w:highlight w:val="none"/>
          <w:lang w:val="en-US" w:eastAsia="zh-CN"/>
        </w:rPr>
        <w:t>1人</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主体结构及装饰装修（室内环境</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检测</w:t>
      </w:r>
      <w:r>
        <w:rPr>
          <w:rFonts w:hint="eastAsia" w:ascii="宋体" w:hAnsi="宋体" w:eastAsia="宋体" w:cs="宋体"/>
          <w:b w:val="0"/>
          <w:bCs w:val="0"/>
          <w:color w:val="auto"/>
          <w:highlight w:val="none"/>
          <w:lang w:eastAsia="zh-CN"/>
        </w:rPr>
        <w:t>人员</w:t>
      </w:r>
      <w:r>
        <w:rPr>
          <w:rFonts w:hint="eastAsia" w:ascii="宋体" w:hAnsi="宋体" w:eastAsia="宋体" w:cs="宋体"/>
          <w:b w:val="0"/>
          <w:bCs w:val="0"/>
          <w:color w:val="auto"/>
          <w:highlight w:val="none"/>
          <w:lang w:val="en-US" w:eastAsia="zh-CN"/>
        </w:rPr>
        <w:t>1人</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建筑幕墙</w:t>
      </w:r>
      <w:r>
        <w:rPr>
          <w:rFonts w:hint="eastAsia" w:ascii="宋体" w:hAnsi="宋体" w:eastAsia="宋体" w:cs="宋体"/>
          <w:b w:val="0"/>
          <w:bCs w:val="0"/>
          <w:color w:val="auto"/>
          <w:highlight w:val="none"/>
          <w:lang w:eastAsia="zh-CN"/>
        </w:rPr>
        <w:t>检测人员</w:t>
      </w:r>
      <w:r>
        <w:rPr>
          <w:rFonts w:hint="eastAsia" w:ascii="宋体" w:hAnsi="宋体" w:eastAsia="宋体" w:cs="宋体"/>
          <w:b w:val="0"/>
          <w:bCs w:val="0"/>
          <w:color w:val="auto"/>
          <w:highlight w:val="none"/>
          <w:lang w:val="en-US" w:eastAsia="zh-CN"/>
        </w:rPr>
        <w:t>1人</w:t>
      </w:r>
      <w:r>
        <w:rPr>
          <w:rFonts w:hint="eastAsia" w:ascii="宋体" w:hAnsi="宋体" w:eastAsia="宋体" w:cs="宋体"/>
          <w:b w:val="0"/>
          <w:bCs w:val="0"/>
          <w:color w:val="auto"/>
          <w:highlight w:val="none"/>
          <w:lang w:eastAsia="zh-CN"/>
        </w:rPr>
        <w:t>、建筑节能检测人员</w:t>
      </w:r>
      <w:r>
        <w:rPr>
          <w:rFonts w:hint="eastAsia" w:ascii="宋体" w:hAnsi="宋体" w:eastAsia="宋体" w:cs="宋体"/>
          <w:b w:val="0"/>
          <w:bCs w:val="0"/>
          <w:color w:val="auto"/>
          <w:highlight w:val="none"/>
          <w:lang w:val="en-US" w:eastAsia="zh-CN"/>
        </w:rPr>
        <w:t>1人，</w:t>
      </w:r>
      <w:r>
        <w:rPr>
          <w:rFonts w:hint="eastAsia" w:ascii="宋体" w:hAnsi="宋体" w:cs="宋体"/>
          <w:b w:val="0"/>
          <w:bCs w:val="0"/>
          <w:color w:val="auto"/>
          <w:szCs w:val="21"/>
          <w:highlight w:val="none"/>
        </w:rPr>
        <w:t>以上人员不得相互兼任。</w:t>
      </w:r>
    </w:p>
    <w:p w14:paraId="3572959F">
      <w:pPr>
        <w:keepNext w:val="0"/>
        <w:keepLines w:val="0"/>
        <w:pageBreakBefore w:val="0"/>
        <w:widowControl w:val="0"/>
        <w:kinsoku/>
        <w:wordWrap/>
        <w:overflowPunct/>
        <w:topLinePunct w:val="0"/>
        <w:autoSpaceDE/>
        <w:autoSpaceDN/>
        <w:bidi w:val="0"/>
        <w:adjustRightInd/>
        <w:spacing w:line="440" w:lineRule="exact"/>
        <w:ind w:left="0" w:leftChars="0" w:right="0" w:rightChars="0"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注：供应商应提供有效的主要检测人员的身份证、对应岗位的岗位证书（或行业主管部门网站的电子证书截图，截图信息清晰显示完整的网站名称、查询网址、人员信息）、</w:t>
      </w:r>
      <w:r>
        <w:rPr>
          <w:rFonts w:hint="eastAsia" w:ascii="宋体" w:hAnsi="宋体" w:cs="宋体"/>
          <w:color w:val="auto"/>
          <w:sz w:val="24"/>
          <w:szCs w:val="24"/>
          <w:highlight w:val="none"/>
          <w:lang w:eastAsia="zh-CN"/>
        </w:rPr>
        <w:t>供应商为其缴纳的磋商截止时间前</w:t>
      </w:r>
      <w:r>
        <w:rPr>
          <w:rFonts w:hint="eastAsia" w:ascii="宋体" w:hAnsi="宋体" w:cs="宋体"/>
          <w:color w:val="auto"/>
          <w:sz w:val="24"/>
          <w:szCs w:val="24"/>
          <w:highlight w:val="none"/>
          <w:lang w:val="en-US" w:eastAsia="zh-CN"/>
        </w:rPr>
        <w:t>连续三</w:t>
      </w:r>
      <w:r>
        <w:rPr>
          <w:rFonts w:hint="eastAsia" w:ascii="宋体" w:hAnsi="宋体" w:cs="宋体"/>
          <w:color w:val="auto"/>
          <w:sz w:val="24"/>
          <w:szCs w:val="24"/>
          <w:highlight w:val="none"/>
          <w:lang w:eastAsia="zh-CN"/>
        </w:rPr>
        <w:t>个月的养老保险复印件加盖供应商公章</w:t>
      </w:r>
      <w:r>
        <w:rPr>
          <w:rFonts w:hint="eastAsia" w:ascii="宋体" w:hAnsi="宋体" w:eastAsia="宋体" w:cs="宋体"/>
          <w:color w:val="auto"/>
          <w:sz w:val="24"/>
          <w:szCs w:val="24"/>
          <w:highlight w:val="none"/>
        </w:rPr>
        <w:t>。</w:t>
      </w:r>
    </w:p>
    <w:p w14:paraId="0E2E6F3B">
      <w:pPr>
        <w:keepNext w:val="0"/>
        <w:keepLines w:val="0"/>
        <w:pageBreakBefore w:val="0"/>
        <w:widowControl w:val="0"/>
        <w:kinsoku/>
        <w:wordWrap/>
        <w:overflowPunct/>
        <w:topLinePunct w:val="0"/>
        <w:autoSpaceDE/>
        <w:autoSpaceDN/>
        <w:bidi w:val="0"/>
        <w:adjustRightInd/>
        <w:spacing w:line="440" w:lineRule="exact"/>
        <w:ind w:left="0" w:leftChars="0" w:right="0" w:rightChars="0" w:firstLine="480" w:firstLineChars="200"/>
        <w:jc w:val="left"/>
        <w:textAlignment w:val="auto"/>
        <w:rPr>
          <w:rFonts w:hint="eastAsia"/>
          <w:color w:val="auto"/>
          <w:highlight w:val="none"/>
          <w:lang w:val="en-US" w:eastAsia="zh-CN"/>
        </w:rPr>
      </w:pPr>
      <w:r>
        <w:rPr>
          <w:rFonts w:hint="eastAsia" w:ascii="宋体" w:hAnsi="宋体" w:cs="宋体"/>
          <w:color w:val="auto"/>
          <w:sz w:val="24"/>
          <w:szCs w:val="24"/>
          <w:highlight w:val="none"/>
          <w:lang w:val="en-US" w:eastAsia="zh-CN"/>
        </w:rPr>
        <w:t>（三）委托代理人</w:t>
      </w:r>
    </w:p>
    <w:p w14:paraId="05A9FCAB">
      <w:pPr>
        <w:pStyle w:val="2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本项目委托代理人必须为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kern w:val="2"/>
          <w:sz w:val="24"/>
          <w:szCs w:val="24"/>
          <w:highlight w:val="none"/>
          <w:lang w:val="en-US" w:eastAsia="zh-CN" w:bidi="ar-SA"/>
        </w:rPr>
        <w:t>单位职工。</w:t>
      </w:r>
    </w:p>
    <w:p w14:paraId="0A3A8297">
      <w:pPr>
        <w:keepNext w:val="0"/>
        <w:keepLines w:val="0"/>
        <w:pageBreakBefore w:val="0"/>
        <w:widowControl w:val="0"/>
        <w:kinsoku/>
        <w:wordWrap/>
        <w:overflowPunct/>
        <w:topLinePunct w:val="0"/>
        <w:autoSpaceDE/>
        <w:autoSpaceDN/>
        <w:bidi w:val="0"/>
        <w:adjustRightInd/>
        <w:spacing w:line="44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须提供有效的</w:t>
      </w:r>
      <w:r>
        <w:rPr>
          <w:rFonts w:hint="eastAsia" w:ascii="宋体" w:hAnsi="宋体" w:eastAsia="宋体" w:cs="宋体"/>
          <w:color w:val="auto"/>
          <w:sz w:val="24"/>
          <w:szCs w:val="24"/>
          <w:highlight w:val="none"/>
          <w:lang w:val="en-US" w:eastAsia="zh-CN"/>
        </w:rPr>
        <w:t>委托代理人</w:t>
      </w:r>
      <w:r>
        <w:rPr>
          <w:rFonts w:hint="eastAsia" w:ascii="宋体" w:hAnsi="宋体" w:eastAsia="宋体" w:cs="宋体"/>
          <w:color w:val="auto"/>
          <w:sz w:val="24"/>
          <w:szCs w:val="24"/>
          <w:highlight w:val="none"/>
        </w:rPr>
        <w:t>身份证、</w:t>
      </w:r>
      <w:r>
        <w:rPr>
          <w:rFonts w:hint="eastAsia" w:ascii="宋体" w:hAnsi="宋体" w:cs="宋体"/>
          <w:color w:val="auto"/>
          <w:sz w:val="24"/>
          <w:szCs w:val="24"/>
          <w:highlight w:val="none"/>
          <w:lang w:eastAsia="zh-CN"/>
        </w:rPr>
        <w:t>供应商为其缴纳的磋商截止时间前</w:t>
      </w:r>
      <w:r>
        <w:rPr>
          <w:rFonts w:hint="eastAsia" w:ascii="宋体" w:hAnsi="宋体" w:cs="宋体"/>
          <w:color w:val="auto"/>
          <w:sz w:val="24"/>
          <w:szCs w:val="24"/>
          <w:highlight w:val="none"/>
          <w:lang w:val="en-US" w:eastAsia="zh-CN"/>
        </w:rPr>
        <w:t>连续三</w:t>
      </w:r>
      <w:r>
        <w:rPr>
          <w:rFonts w:hint="eastAsia" w:ascii="宋体" w:hAnsi="宋体" w:cs="宋体"/>
          <w:color w:val="auto"/>
          <w:sz w:val="24"/>
          <w:szCs w:val="24"/>
          <w:highlight w:val="none"/>
          <w:lang w:eastAsia="zh-CN"/>
        </w:rPr>
        <w:t>个月的养老保险复印件加盖供应商公章</w:t>
      </w:r>
      <w:r>
        <w:rPr>
          <w:rFonts w:hint="eastAsia" w:ascii="宋体" w:hAnsi="宋体" w:eastAsia="宋体" w:cs="宋体"/>
          <w:color w:val="auto"/>
          <w:sz w:val="24"/>
          <w:szCs w:val="24"/>
          <w:highlight w:val="none"/>
        </w:rPr>
        <w:t>。</w:t>
      </w:r>
    </w:p>
    <w:p w14:paraId="080FD7FD">
      <w:pPr>
        <w:pStyle w:val="4"/>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56" w:name="_Toc24360"/>
      <w:r>
        <w:rPr>
          <w:rFonts w:hint="eastAsia" w:ascii="宋体" w:hAnsi="宋体"/>
          <w:color w:val="auto"/>
          <w:sz w:val="24"/>
          <w:szCs w:val="24"/>
          <w:highlight w:val="none"/>
          <w:lang w:val="en-US" w:eastAsia="zh-CN"/>
        </w:rPr>
        <w:t>五</w:t>
      </w:r>
      <w:r>
        <w:rPr>
          <w:rFonts w:hint="eastAsia" w:ascii="宋体" w:hAnsi="宋体"/>
          <w:color w:val="auto"/>
          <w:sz w:val="24"/>
          <w:szCs w:val="24"/>
          <w:highlight w:val="none"/>
        </w:rPr>
        <w:t>、成果要求</w:t>
      </w:r>
      <w:bookmarkEnd w:id="56"/>
    </w:p>
    <w:p w14:paraId="695964DE">
      <w:pPr>
        <w:kinsoku/>
        <w:wordWrap/>
        <w:overflowPunct/>
        <w:topLinePunct w:val="0"/>
        <w:bidi w:val="0"/>
        <w:spacing w:line="360" w:lineRule="auto"/>
        <w:ind w:firstLine="360" w:firstLineChars="150"/>
        <w:textAlignment w:val="auto"/>
        <w:rPr>
          <w:rFonts w:hint="eastAsia" w:ascii="宋体" w:hAnsi="宋体" w:cs="宋体"/>
          <w:color w:val="auto"/>
          <w:szCs w:val="24"/>
          <w:highlight w:val="none"/>
        </w:rPr>
      </w:pPr>
      <w:r>
        <w:rPr>
          <w:rFonts w:hint="eastAsia" w:ascii="宋体" w:hAnsi="宋体" w:cs="宋体"/>
          <w:color w:val="auto"/>
          <w:highlight w:val="none"/>
          <w:lang w:val="en-US" w:eastAsia="zh-CN"/>
        </w:rPr>
        <w:t>成交供应商出具</w:t>
      </w:r>
      <w:r>
        <w:rPr>
          <w:rFonts w:hint="eastAsia" w:ascii="宋体" w:hAnsi="宋体" w:eastAsia="宋体" w:cs="宋体"/>
          <w:color w:val="auto"/>
          <w:highlight w:val="none"/>
        </w:rPr>
        <w:t>的检测报告必须符合国家规范要求，各类印章齐全，检测人、校核人、审批人均应签字，否则报告无效。所有检测报告一式4份原件。因报告无效而造成的重新检测费用以及由此给</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rPr>
        <w:t>造成的一切损失由</w:t>
      </w:r>
      <w:r>
        <w:rPr>
          <w:rFonts w:hint="eastAsia" w:ascii="宋体" w:hAnsi="宋体" w:cs="宋体"/>
          <w:color w:val="auto"/>
          <w:highlight w:val="none"/>
          <w:lang w:val="en-US" w:eastAsia="zh-CN"/>
        </w:rPr>
        <w:t>成交供应商</w:t>
      </w:r>
      <w:r>
        <w:rPr>
          <w:rFonts w:hint="eastAsia" w:ascii="宋体" w:hAnsi="宋体" w:eastAsia="宋体" w:cs="宋体"/>
          <w:color w:val="auto"/>
          <w:highlight w:val="none"/>
        </w:rPr>
        <w:t>承担。</w:t>
      </w:r>
    </w:p>
    <w:p w14:paraId="6D42934B">
      <w:pPr>
        <w:pStyle w:val="4"/>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57" w:name="_Toc18893"/>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、付款方式</w:t>
      </w:r>
      <w:bookmarkEnd w:id="57"/>
    </w:p>
    <w:p w14:paraId="40F2ED81">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cs="宋体"/>
          <w:color w:val="auto"/>
          <w:szCs w:val="24"/>
          <w:highlight w:val="none"/>
        </w:rPr>
      </w:pPr>
      <w:r>
        <w:rPr>
          <w:rFonts w:hint="eastAsia" w:ascii="宋体" w:hAnsi="宋体" w:eastAsia="宋体" w:cs="宋体"/>
          <w:b w:val="0"/>
          <w:bCs w:val="0"/>
          <w:color w:val="auto"/>
          <w:sz w:val="24"/>
          <w:szCs w:val="24"/>
          <w:highlight w:val="none"/>
          <w:u w:val="none"/>
          <w:lang w:eastAsia="zh-CN"/>
        </w:rPr>
        <w:t>总工程量完成30%后30日内支付合同金额的30%，总工程量完成60%后30日内支付合同金额的30%，竣工验收合格后30日内支付至合同金额的97%，余3%质保金待施工缺陷责任期满后30日内支付</w:t>
      </w:r>
      <w:r>
        <w:rPr>
          <w:rFonts w:hint="eastAsia" w:ascii="宋体" w:hAnsi="宋体" w:cs="宋体"/>
          <w:color w:val="auto"/>
          <w:szCs w:val="24"/>
          <w:highlight w:val="none"/>
        </w:rPr>
        <w:t>。</w:t>
      </w:r>
      <w:r>
        <w:rPr>
          <w:rFonts w:hint="eastAsia" w:ascii="宋体" w:hAnsi="宋体" w:eastAsia="宋体" w:cs="宋体"/>
          <w:b w:val="0"/>
          <w:bCs w:val="0"/>
          <w:color w:val="auto"/>
          <w:sz w:val="24"/>
          <w:szCs w:val="24"/>
          <w:highlight w:val="none"/>
          <w:u w:val="none"/>
          <w:lang w:eastAsia="zh-CN"/>
        </w:rPr>
        <w:t>采购人凭</w:t>
      </w:r>
      <w:r>
        <w:rPr>
          <w:rFonts w:hint="eastAsia" w:ascii="宋体" w:hAnsi="宋体" w:cs="宋体"/>
          <w:b w:val="0"/>
          <w:bCs w:val="0"/>
          <w:color w:val="auto"/>
          <w:sz w:val="24"/>
          <w:szCs w:val="24"/>
          <w:highlight w:val="none"/>
          <w:u w:val="none"/>
          <w:lang w:eastAsia="zh-CN"/>
        </w:rPr>
        <w:t>成交供应商</w:t>
      </w:r>
      <w:r>
        <w:rPr>
          <w:rFonts w:hint="eastAsia" w:ascii="宋体" w:hAnsi="宋体" w:eastAsia="宋体" w:cs="宋体"/>
          <w:b w:val="0"/>
          <w:bCs w:val="0"/>
          <w:color w:val="auto"/>
          <w:sz w:val="24"/>
          <w:szCs w:val="24"/>
          <w:highlight w:val="none"/>
          <w:u w:val="none"/>
          <w:lang w:eastAsia="zh-CN"/>
        </w:rPr>
        <w:t>出具的合规等额发票向</w:t>
      </w:r>
      <w:r>
        <w:rPr>
          <w:rFonts w:hint="eastAsia" w:ascii="宋体" w:hAnsi="宋体" w:cs="宋体"/>
          <w:b w:val="0"/>
          <w:bCs w:val="0"/>
          <w:color w:val="auto"/>
          <w:sz w:val="24"/>
          <w:szCs w:val="24"/>
          <w:highlight w:val="none"/>
          <w:u w:val="none"/>
          <w:lang w:eastAsia="zh-CN"/>
        </w:rPr>
        <w:t>成交供应商</w:t>
      </w:r>
      <w:r>
        <w:rPr>
          <w:rFonts w:hint="eastAsia" w:ascii="宋体" w:hAnsi="宋体" w:eastAsia="宋体" w:cs="宋体"/>
          <w:b w:val="0"/>
          <w:bCs w:val="0"/>
          <w:color w:val="auto"/>
          <w:sz w:val="24"/>
          <w:szCs w:val="24"/>
          <w:highlight w:val="none"/>
          <w:u w:val="none"/>
          <w:lang w:eastAsia="zh-CN"/>
        </w:rPr>
        <w:t>支付上述检测试验服务费，</w:t>
      </w:r>
      <w:r>
        <w:rPr>
          <w:rFonts w:hint="eastAsia" w:ascii="宋体" w:hAnsi="宋体" w:cs="宋体"/>
          <w:b w:val="0"/>
          <w:bCs w:val="0"/>
          <w:color w:val="auto"/>
          <w:sz w:val="24"/>
          <w:szCs w:val="24"/>
          <w:highlight w:val="none"/>
          <w:u w:val="none"/>
          <w:lang w:eastAsia="zh-CN"/>
        </w:rPr>
        <w:t>成交供应商</w:t>
      </w:r>
      <w:r>
        <w:rPr>
          <w:rFonts w:hint="eastAsia" w:ascii="宋体" w:hAnsi="宋体" w:eastAsia="宋体" w:cs="宋体"/>
          <w:b w:val="0"/>
          <w:bCs w:val="0"/>
          <w:color w:val="auto"/>
          <w:sz w:val="24"/>
          <w:szCs w:val="24"/>
          <w:highlight w:val="none"/>
          <w:u w:val="none"/>
          <w:lang w:eastAsia="zh-CN"/>
        </w:rPr>
        <w:t>未提供发票的，采购人有权拒付且不构成违约。</w:t>
      </w:r>
    </w:p>
    <w:p w14:paraId="22EAAC4F">
      <w:pPr>
        <w:pStyle w:val="4"/>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58" w:name="_Toc1684"/>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、知识产权</w:t>
      </w:r>
      <w:bookmarkEnd w:id="58"/>
    </w:p>
    <w:p w14:paraId="1FE10CC5">
      <w:pPr>
        <w:kinsoku/>
        <w:wordWrap/>
        <w:overflowPunct/>
        <w:topLinePunct w:val="0"/>
        <w:bidi w:val="0"/>
        <w:spacing w:line="360" w:lineRule="auto"/>
        <w:ind w:firstLine="360" w:firstLineChars="150"/>
        <w:textAlignment w:val="auto"/>
        <w:rPr>
          <w:rFonts w:hint="eastAsia" w:ascii="宋体" w:hAnsi="宋体" w:cs="宋体"/>
          <w:color w:val="auto"/>
          <w:szCs w:val="24"/>
          <w:highlight w:val="none"/>
        </w:rPr>
      </w:pPr>
      <w:r>
        <w:rPr>
          <w:rFonts w:hint="eastAsia" w:ascii="宋体" w:hAnsi="宋体" w:cs="宋体"/>
          <w:color w:val="auto"/>
          <w:szCs w:val="24"/>
          <w:highlight w:val="none"/>
        </w:rPr>
        <w:t>采购人在中华人民共和国境内使用供应商提供的货物及服务时免受第三方提出的侵犯其专利权或</w:t>
      </w:r>
      <w:r>
        <w:rPr>
          <w:rFonts w:hint="eastAsia" w:ascii="宋体" w:hAnsi="宋体" w:cs="宋体"/>
          <w:color w:val="auto"/>
          <w:szCs w:val="24"/>
          <w:highlight w:val="none"/>
          <w:lang w:eastAsia="zh-CN"/>
        </w:rPr>
        <w:t>其他</w:t>
      </w:r>
      <w:r>
        <w:rPr>
          <w:rFonts w:hint="eastAsia" w:ascii="宋体" w:hAnsi="宋体" w:cs="宋体"/>
          <w:color w:val="auto"/>
          <w:szCs w:val="24"/>
          <w:highlight w:val="none"/>
        </w:rPr>
        <w:t>知识产权的起诉。如果第三方提出侵权指控，</w:t>
      </w:r>
      <w:r>
        <w:rPr>
          <w:rFonts w:hint="eastAsia" w:ascii="宋体" w:hAnsi="宋体" w:cs="宋体"/>
          <w:color w:val="auto"/>
          <w:szCs w:val="24"/>
          <w:highlight w:val="none"/>
          <w:lang w:eastAsia="zh-CN"/>
        </w:rPr>
        <w:t>成交供应商</w:t>
      </w:r>
      <w:r>
        <w:rPr>
          <w:rFonts w:hint="eastAsia" w:ascii="宋体" w:hAnsi="宋体" w:cs="宋体"/>
          <w:color w:val="auto"/>
          <w:szCs w:val="24"/>
          <w:highlight w:val="none"/>
        </w:rPr>
        <w:t>应承担由此而引起的一切法律责任和费用。</w:t>
      </w:r>
    </w:p>
    <w:p w14:paraId="451B235E">
      <w:pPr>
        <w:pStyle w:val="4"/>
        <w:kinsoku/>
        <w:wordWrap/>
        <w:overflowPunct/>
        <w:topLinePunct w:val="0"/>
        <w:bidi w:val="0"/>
        <w:spacing w:line="360" w:lineRule="auto"/>
        <w:ind w:firstLine="482" w:firstLineChars="200"/>
        <w:textAlignment w:val="auto"/>
        <w:rPr>
          <w:rFonts w:hint="eastAsia" w:ascii="宋体" w:hAnsi="宋体" w:eastAsia="宋体" w:cs="Times New Roman"/>
          <w:color w:val="auto"/>
          <w:sz w:val="24"/>
          <w:szCs w:val="24"/>
          <w:highlight w:val="none"/>
          <w:lang w:val="en-US" w:eastAsia="zh-CN"/>
        </w:rPr>
      </w:pPr>
      <w:bookmarkStart w:id="59" w:name="_Toc22859"/>
      <w:r>
        <w:rPr>
          <w:rFonts w:hint="eastAsia" w:ascii="宋体" w:hAnsi="宋体" w:cs="Times New Roman"/>
          <w:color w:val="auto"/>
          <w:sz w:val="24"/>
          <w:szCs w:val="24"/>
          <w:highlight w:val="none"/>
          <w:lang w:val="en-US" w:eastAsia="zh-CN"/>
        </w:rPr>
        <w:t>八</w:t>
      </w:r>
      <w:r>
        <w:rPr>
          <w:rFonts w:hint="eastAsia" w:ascii="宋体" w:hAnsi="宋体" w:eastAsia="宋体" w:cs="Times New Roman"/>
          <w:color w:val="auto"/>
          <w:sz w:val="24"/>
          <w:szCs w:val="24"/>
          <w:highlight w:val="none"/>
          <w:lang w:val="en-US" w:eastAsia="zh-CN"/>
        </w:rPr>
        <w:t>、保密义务</w:t>
      </w:r>
      <w:bookmarkEnd w:id="59"/>
    </w:p>
    <w:p w14:paraId="0A04C834">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应对本项目检测结果及</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rPr>
        <w:t>所提供的技术信息和资料承担保密义务。非因法律、法规及有权机关的要求或</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rPr>
        <w:t>同意，不得将前述保密信息向</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rPr>
        <w:t>（含</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rPr>
        <w:t>指定的单位或人员）以外的单位及人员泄露。</w:t>
      </w:r>
    </w:p>
    <w:p w14:paraId="342228FD">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cs="宋体"/>
          <w:color w:val="auto"/>
          <w:szCs w:val="24"/>
          <w:highlight w:val="none"/>
        </w:rPr>
      </w:pPr>
      <w:r>
        <w:rPr>
          <w:rFonts w:hint="eastAsia" w:ascii="宋体" w:hAnsi="宋体" w:eastAsia="宋体" w:cs="宋体"/>
          <w:color w:val="auto"/>
          <w:highlight w:val="none"/>
        </w:rPr>
        <w:t>（二）</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rPr>
        <w:t>应对</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所提供的技术信息和资料及非正式出版物等</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就履行本协议向</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rPr>
        <w:t>提供的各类风险评估、检测报表、报告、文件承担保密义务，非因法律、法规及有权机关的要求或</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同意，不得将前述保密信息向任何第三方透露。</w:t>
      </w:r>
    </w:p>
    <w:p w14:paraId="17B3B2A4">
      <w:pPr>
        <w:pStyle w:val="4"/>
        <w:kinsoku/>
        <w:wordWrap/>
        <w:overflowPunct/>
        <w:topLinePunct w:val="0"/>
        <w:bidi w:val="0"/>
        <w:spacing w:line="360" w:lineRule="auto"/>
        <w:ind w:firstLine="482" w:firstLineChars="200"/>
        <w:textAlignment w:val="auto"/>
        <w:rPr>
          <w:rFonts w:hint="eastAsia" w:ascii="宋体" w:hAnsi="宋体" w:eastAsia="宋体" w:cs="Times New Roman"/>
          <w:color w:val="auto"/>
          <w:sz w:val="24"/>
          <w:szCs w:val="24"/>
          <w:highlight w:val="none"/>
          <w:lang w:val="en-US" w:eastAsia="zh-CN"/>
        </w:rPr>
      </w:pPr>
      <w:bookmarkStart w:id="60" w:name="_Toc2158"/>
      <w:r>
        <w:rPr>
          <w:rFonts w:hint="eastAsia" w:ascii="宋体" w:hAnsi="宋体" w:cs="Times New Roman"/>
          <w:color w:val="auto"/>
          <w:sz w:val="24"/>
          <w:szCs w:val="24"/>
          <w:highlight w:val="none"/>
          <w:lang w:val="en-US" w:eastAsia="zh-CN"/>
        </w:rPr>
        <w:t>九</w:t>
      </w:r>
      <w:r>
        <w:rPr>
          <w:rFonts w:hint="eastAsia" w:ascii="宋体" w:hAnsi="宋体" w:eastAsia="宋体" w:cs="Times New Roman"/>
          <w:color w:val="auto"/>
          <w:sz w:val="24"/>
          <w:szCs w:val="24"/>
          <w:highlight w:val="none"/>
          <w:lang w:val="en-US" w:eastAsia="zh-CN"/>
        </w:rPr>
        <w:t>、其他</w:t>
      </w:r>
      <w:bookmarkEnd w:id="60"/>
    </w:p>
    <w:p w14:paraId="63D90595">
      <w:pPr>
        <w:kinsoku/>
        <w:wordWrap/>
        <w:overflowPunct/>
        <w:topLinePunct w:val="0"/>
        <w:bidi w:val="0"/>
        <w:spacing w:line="360" w:lineRule="auto"/>
        <w:ind w:firstLine="360" w:firstLineChars="150"/>
        <w:textAlignment w:val="auto"/>
        <w:rPr>
          <w:rFonts w:hint="eastAsia" w:ascii="宋体" w:hAnsi="宋体" w:cs="宋体"/>
          <w:color w:val="auto"/>
          <w:szCs w:val="24"/>
          <w:highlight w:val="none"/>
        </w:rPr>
      </w:pPr>
      <w:r>
        <w:rPr>
          <w:rFonts w:hint="eastAsia" w:ascii="宋体" w:hAnsi="宋体" w:cs="宋体"/>
          <w:color w:val="auto"/>
          <w:szCs w:val="24"/>
          <w:highlight w:val="none"/>
          <w:lang w:eastAsia="zh-CN"/>
        </w:rPr>
        <w:t>（1）</w:t>
      </w:r>
      <w:r>
        <w:rPr>
          <w:rFonts w:hint="eastAsia" w:ascii="宋体" w:hAnsi="宋体" w:cs="宋体"/>
          <w:color w:val="auto"/>
          <w:szCs w:val="24"/>
          <w:highlight w:val="none"/>
        </w:rPr>
        <w:t>供应商必须在</w:t>
      </w:r>
      <w:r>
        <w:rPr>
          <w:rFonts w:hint="eastAsia" w:ascii="宋体" w:hAnsi="宋体" w:cs="宋体"/>
          <w:color w:val="auto"/>
          <w:szCs w:val="24"/>
          <w:highlight w:val="none"/>
          <w:lang w:val="en-US" w:eastAsia="zh-CN"/>
        </w:rPr>
        <w:t>响应</w:t>
      </w:r>
      <w:r>
        <w:rPr>
          <w:rFonts w:hint="eastAsia" w:ascii="宋体" w:hAnsi="宋体" w:cs="宋体"/>
          <w:color w:val="auto"/>
          <w:szCs w:val="24"/>
          <w:highlight w:val="none"/>
        </w:rPr>
        <w:t>文件中对以上条款和服务承诺明确列出，承诺内容必须达到本篇及</w:t>
      </w:r>
      <w:r>
        <w:rPr>
          <w:rFonts w:hint="eastAsia" w:ascii="宋体" w:hAnsi="宋体" w:cs="宋体"/>
          <w:color w:val="auto"/>
          <w:szCs w:val="24"/>
          <w:highlight w:val="none"/>
          <w:lang w:eastAsia="zh-CN"/>
        </w:rPr>
        <w:t>竞争性磋商</w:t>
      </w:r>
      <w:r>
        <w:rPr>
          <w:rFonts w:hint="eastAsia" w:ascii="宋体" w:hAnsi="宋体" w:cs="宋体"/>
          <w:color w:val="auto"/>
          <w:szCs w:val="24"/>
          <w:highlight w:val="none"/>
        </w:rPr>
        <w:t>其他条款的要求。</w:t>
      </w:r>
    </w:p>
    <w:p w14:paraId="17B81453">
      <w:pPr>
        <w:kinsoku/>
        <w:wordWrap/>
        <w:overflowPunct/>
        <w:topLinePunct w:val="0"/>
        <w:bidi w:val="0"/>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szCs w:val="24"/>
          <w:highlight w:val="none"/>
          <w:lang w:eastAsia="zh-CN"/>
        </w:rPr>
        <w:t>（2）</w:t>
      </w:r>
      <w:r>
        <w:rPr>
          <w:rFonts w:hint="eastAsia" w:ascii="宋体" w:hAnsi="宋体" w:cs="宋体"/>
          <w:color w:val="auto"/>
          <w:szCs w:val="24"/>
          <w:highlight w:val="none"/>
        </w:rPr>
        <w:t>其他未尽事宜由供需双方在采购合同中详细约定。</w:t>
      </w:r>
    </w:p>
    <w:p w14:paraId="0BF07CE9">
      <w:pPr>
        <w:pStyle w:val="3"/>
        <w:pageBreakBefore/>
        <w:kinsoku/>
        <w:wordWrap/>
        <w:overflowPunct/>
        <w:topLinePunct w:val="0"/>
        <w:bidi w:val="0"/>
        <w:spacing w:before="120" w:beforeLines="50" w:line="360" w:lineRule="auto"/>
        <w:jc w:val="center"/>
        <w:textAlignment w:val="auto"/>
        <w:rPr>
          <w:rFonts w:hint="eastAsia" w:ascii="宋体" w:hAnsi="宋体" w:eastAsia="宋体"/>
          <w:color w:val="auto"/>
          <w:sz w:val="36"/>
          <w:szCs w:val="30"/>
          <w:highlight w:val="none"/>
        </w:rPr>
      </w:pPr>
      <w:bookmarkStart w:id="61" w:name="_Toc32225"/>
      <w:r>
        <w:rPr>
          <w:rFonts w:hint="eastAsia" w:ascii="宋体" w:hAnsi="宋体" w:eastAsia="宋体"/>
          <w:color w:val="auto"/>
          <w:sz w:val="36"/>
          <w:szCs w:val="30"/>
          <w:highlight w:val="none"/>
        </w:rPr>
        <w:t>第四篇  磋商程序及方法、评审标准、无效响应和采购终止</w:t>
      </w:r>
      <w:bookmarkEnd w:id="61"/>
    </w:p>
    <w:p w14:paraId="23F4B86F">
      <w:pPr>
        <w:pStyle w:val="4"/>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62" w:name="_Toc27362"/>
      <w:r>
        <w:rPr>
          <w:rFonts w:hint="eastAsia" w:ascii="宋体" w:hAnsi="宋体"/>
          <w:color w:val="auto"/>
          <w:sz w:val="24"/>
          <w:szCs w:val="24"/>
          <w:highlight w:val="none"/>
        </w:rPr>
        <w:t>一、磋商程序及方法</w:t>
      </w:r>
      <w:bookmarkEnd w:id="62"/>
    </w:p>
    <w:p w14:paraId="7E54403B">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（一）磋商按竞争性磋商文件规定的时间和地点进行，供应商须有法定代表人或其授权代表参加并签到。竞争性磋商以抽签的形式确定磋商顺序，由本项目依法组建的磋商小组分别与各供应商进行磋商。</w:t>
      </w:r>
    </w:p>
    <w:p w14:paraId="01310356">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（二）磋商小组对各供应商的资格条件、响应文件的有效性、完整性和响应程度进行审查。各供应商只有在完全符合要求的前提下，才能参与正式磋商。</w:t>
      </w:r>
    </w:p>
    <w:p w14:paraId="50599CEF">
      <w:pPr>
        <w:kinsoku/>
        <w:wordWrap/>
        <w:overflowPunct/>
        <w:topLinePunct w:val="0"/>
        <w:bidi w:val="0"/>
        <w:spacing w:line="360" w:lineRule="auto"/>
        <w:ind w:firstLine="480" w:firstLineChars="200"/>
        <w:textAlignment w:val="auto"/>
        <w:rPr>
          <w:rFonts w:hint="eastAsia" w:ascii="宋体" w:hAnsi="宋体" w:cs="宋体"/>
          <w:color w:val="auto"/>
          <w:kern w:val="0"/>
          <w:szCs w:val="24"/>
          <w:highlight w:val="none"/>
        </w:rPr>
      </w:pPr>
      <w:r>
        <w:rPr>
          <w:rFonts w:hint="eastAsia" w:ascii="宋体" w:hAnsi="宋体"/>
          <w:color w:val="auto"/>
          <w:szCs w:val="24"/>
          <w:highlight w:val="none"/>
        </w:rPr>
        <w:t>1.</w:t>
      </w:r>
      <w:r>
        <w:rPr>
          <w:rFonts w:hint="eastAsia" w:ascii="宋体" w:hAnsi="宋体" w:cs="宋体"/>
          <w:color w:val="auto"/>
          <w:kern w:val="0"/>
          <w:szCs w:val="24"/>
          <w:highlight w:val="none"/>
        </w:rPr>
        <w:t>资格性检查。依据法律法规和竞争性磋商文件的规定，对响应文件中的资格证明等进行审查，以确定供应商是否具备磋商资格。资格性检查资料表如下：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4421"/>
        <w:gridCol w:w="3579"/>
      </w:tblGrid>
      <w:tr w14:paraId="3CC9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vAlign w:val="center"/>
          </w:tcPr>
          <w:p w14:paraId="18E65A7D">
            <w:pPr>
              <w:kinsoku/>
              <w:wordWrap/>
              <w:overflowPunct/>
              <w:topLinePunct w:val="0"/>
              <w:bidi w:val="0"/>
              <w:spacing w:line="360" w:lineRule="auto"/>
              <w:jc w:val="center"/>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5272" w:type="dxa"/>
            <w:gridSpan w:val="2"/>
            <w:vAlign w:val="center"/>
          </w:tcPr>
          <w:p w14:paraId="582A2E4C">
            <w:pPr>
              <w:kinsoku/>
              <w:wordWrap/>
              <w:overflowPunct/>
              <w:topLinePunct w:val="0"/>
              <w:bidi w:val="0"/>
              <w:spacing w:line="360" w:lineRule="auto"/>
              <w:jc w:val="center"/>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检查因素</w:t>
            </w:r>
          </w:p>
        </w:tc>
        <w:tc>
          <w:tcPr>
            <w:tcW w:w="3579" w:type="dxa"/>
            <w:vAlign w:val="center"/>
          </w:tcPr>
          <w:p w14:paraId="653EFEFC">
            <w:pPr>
              <w:kinsoku/>
              <w:wordWrap/>
              <w:overflowPunct/>
              <w:topLinePunct w:val="0"/>
              <w:bidi w:val="0"/>
              <w:spacing w:line="360" w:lineRule="auto"/>
              <w:jc w:val="center"/>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检查内容</w:t>
            </w:r>
          </w:p>
        </w:tc>
      </w:tr>
      <w:tr w14:paraId="6128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817" w:type="dxa"/>
            <w:vMerge w:val="restart"/>
            <w:vAlign w:val="center"/>
          </w:tcPr>
          <w:p w14:paraId="06264C55">
            <w:pPr>
              <w:kinsoku/>
              <w:wordWrap/>
              <w:overflowPunct/>
              <w:topLinePunct w:val="0"/>
              <w:bidi w:val="0"/>
              <w:spacing w:line="36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（一）</w:t>
            </w:r>
          </w:p>
        </w:tc>
        <w:tc>
          <w:tcPr>
            <w:tcW w:w="851" w:type="dxa"/>
            <w:vMerge w:val="restart"/>
            <w:vAlign w:val="center"/>
          </w:tcPr>
          <w:p w14:paraId="064B1413">
            <w:pPr>
              <w:kinsoku/>
              <w:wordWrap/>
              <w:overflowPunct/>
              <w:topLinePunct w:val="0"/>
              <w:bidi w:val="0"/>
              <w:spacing w:line="360" w:lineRule="auto"/>
              <w:textAlignment w:val="auto"/>
              <w:rPr>
                <w:rFonts w:hint="eastAsia"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《中华人民共和国政府采购法》第二十二条规定</w:t>
            </w:r>
          </w:p>
        </w:tc>
        <w:tc>
          <w:tcPr>
            <w:tcW w:w="4421" w:type="dxa"/>
            <w:vAlign w:val="center"/>
          </w:tcPr>
          <w:p w14:paraId="094DE36A">
            <w:pPr>
              <w:kinsoku/>
              <w:wordWrap/>
              <w:overflowPunct/>
              <w:topLinePunct w:val="0"/>
              <w:bidi w:val="0"/>
              <w:spacing w:line="36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1.具有独立承担民事责任的能力</w:t>
            </w:r>
          </w:p>
        </w:tc>
        <w:tc>
          <w:tcPr>
            <w:tcW w:w="3579" w:type="dxa"/>
            <w:vAlign w:val="center"/>
          </w:tcPr>
          <w:p w14:paraId="0C1A0A11">
            <w:pPr>
              <w:kinsoku/>
              <w:wordWrap/>
              <w:overflowPunct/>
              <w:topLinePunct w:val="0"/>
              <w:bidi w:val="0"/>
              <w:spacing w:line="36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1.供应商法人营业执照（副本）或事业单位法人证书（副本）或个体工商户营业执照或有效的自然人身份证明或社会团体法人登记证书（提供复印件）。</w:t>
            </w:r>
          </w:p>
          <w:p w14:paraId="5E00D643">
            <w:pPr>
              <w:kinsoku/>
              <w:wordWrap/>
              <w:overflowPunct/>
              <w:topLinePunct w:val="0"/>
              <w:bidi w:val="0"/>
              <w:spacing w:line="36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2.供应商法定代表人身份证明和法定代表人授权代表委托书。</w:t>
            </w:r>
          </w:p>
        </w:tc>
      </w:tr>
      <w:tr w14:paraId="4CB1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817" w:type="dxa"/>
            <w:vMerge w:val="continue"/>
            <w:vAlign w:val="center"/>
          </w:tcPr>
          <w:p w14:paraId="6FE8249D">
            <w:pPr>
              <w:kinsoku/>
              <w:wordWrap/>
              <w:overflowPunct/>
              <w:topLinePunct w:val="0"/>
              <w:bidi w:val="0"/>
              <w:spacing w:line="360" w:lineRule="auto"/>
              <w:jc w:val="center"/>
              <w:textAlignment w:val="auto"/>
              <w:rPr>
                <w:rFonts w:hint="eastAsia" w:ascii="宋体" w:hAnsi="宋体"/>
                <w:color w:val="auto"/>
                <w:sz w:val="21"/>
                <w:szCs w:val="21"/>
                <w:highlight w:val="none"/>
              </w:rPr>
            </w:pPr>
          </w:p>
        </w:tc>
        <w:tc>
          <w:tcPr>
            <w:tcW w:w="851" w:type="dxa"/>
            <w:vMerge w:val="continue"/>
            <w:vAlign w:val="center"/>
          </w:tcPr>
          <w:p w14:paraId="37D17D0B">
            <w:pPr>
              <w:kinsoku/>
              <w:wordWrap/>
              <w:overflowPunct/>
              <w:topLinePunct w:val="0"/>
              <w:bidi w:val="0"/>
              <w:spacing w:line="360" w:lineRule="auto"/>
              <w:textAlignment w:val="auto"/>
              <w:rPr>
                <w:rFonts w:hint="eastAsia" w:ascii="宋体" w:hAnsi="宋体" w:cs="仿宋_GB2312"/>
                <w:color w:val="auto"/>
                <w:sz w:val="21"/>
                <w:szCs w:val="21"/>
                <w:highlight w:val="none"/>
                <w:lang w:val="zh-CN"/>
              </w:rPr>
            </w:pPr>
          </w:p>
        </w:tc>
        <w:tc>
          <w:tcPr>
            <w:tcW w:w="4421" w:type="dxa"/>
            <w:vAlign w:val="center"/>
          </w:tcPr>
          <w:p w14:paraId="7AB6D8F2">
            <w:pPr>
              <w:kinsoku/>
              <w:wordWrap/>
              <w:overflowPunct/>
              <w:topLinePunct w:val="0"/>
              <w:bidi w:val="0"/>
              <w:spacing w:line="360" w:lineRule="auto"/>
              <w:textAlignment w:val="auto"/>
              <w:rPr>
                <w:rFonts w:hint="eastAsia" w:ascii="宋体" w:hAnsi="宋体"/>
                <w:color w:val="auto"/>
                <w:sz w:val="21"/>
                <w:szCs w:val="21"/>
                <w:highlight w:val="none"/>
              </w:rPr>
            </w:pPr>
            <w:r>
              <w:rPr>
                <w:rFonts w:hint="eastAsia" w:ascii="宋体" w:hAnsi="宋体" w:cs="仿宋_GB2312"/>
                <w:color w:val="auto"/>
                <w:sz w:val="21"/>
                <w:szCs w:val="21"/>
                <w:highlight w:val="none"/>
                <w:lang w:val="zh-CN"/>
              </w:rPr>
              <w:t>2.</w:t>
            </w:r>
            <w:r>
              <w:rPr>
                <w:rFonts w:hint="eastAsia" w:ascii="宋体" w:hAnsi="宋体"/>
                <w:color w:val="auto"/>
                <w:sz w:val="21"/>
                <w:szCs w:val="21"/>
                <w:highlight w:val="none"/>
              </w:rPr>
              <w:t>具有良好的商业信誉和健全的财务会计制度</w:t>
            </w:r>
          </w:p>
        </w:tc>
        <w:tc>
          <w:tcPr>
            <w:tcW w:w="3579" w:type="dxa"/>
            <w:vMerge w:val="restart"/>
            <w:vAlign w:val="center"/>
          </w:tcPr>
          <w:p w14:paraId="53ADC6D5">
            <w:pPr>
              <w:kinsoku/>
              <w:wordWrap/>
              <w:overflowPunct/>
              <w:topLinePunct w:val="0"/>
              <w:bidi w:val="0"/>
              <w:spacing w:line="36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提供《基本资格条件承诺函》（见格式文件）</w:t>
            </w:r>
          </w:p>
        </w:tc>
      </w:tr>
      <w:tr w14:paraId="759C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817" w:type="dxa"/>
            <w:vMerge w:val="continue"/>
            <w:vAlign w:val="center"/>
          </w:tcPr>
          <w:p w14:paraId="56DC4C89">
            <w:pPr>
              <w:kinsoku/>
              <w:wordWrap/>
              <w:overflowPunct/>
              <w:topLinePunct w:val="0"/>
              <w:bidi w:val="0"/>
              <w:spacing w:line="360" w:lineRule="auto"/>
              <w:jc w:val="center"/>
              <w:textAlignment w:val="auto"/>
              <w:rPr>
                <w:rFonts w:hint="eastAsia" w:ascii="宋体" w:hAnsi="宋体"/>
                <w:color w:val="auto"/>
                <w:sz w:val="21"/>
                <w:szCs w:val="21"/>
                <w:highlight w:val="none"/>
              </w:rPr>
            </w:pPr>
          </w:p>
        </w:tc>
        <w:tc>
          <w:tcPr>
            <w:tcW w:w="851" w:type="dxa"/>
            <w:vMerge w:val="continue"/>
            <w:vAlign w:val="center"/>
          </w:tcPr>
          <w:p w14:paraId="5C70F8F6">
            <w:pPr>
              <w:kinsoku/>
              <w:wordWrap/>
              <w:overflowPunct/>
              <w:topLinePunct w:val="0"/>
              <w:bidi w:val="0"/>
              <w:spacing w:line="360" w:lineRule="auto"/>
              <w:textAlignment w:val="auto"/>
              <w:rPr>
                <w:rFonts w:hint="eastAsia" w:ascii="宋体" w:hAnsi="宋体" w:cs="仿宋_GB2312"/>
                <w:color w:val="auto"/>
                <w:sz w:val="21"/>
                <w:szCs w:val="21"/>
                <w:highlight w:val="none"/>
                <w:lang w:val="zh-CN"/>
              </w:rPr>
            </w:pPr>
          </w:p>
        </w:tc>
        <w:tc>
          <w:tcPr>
            <w:tcW w:w="4421" w:type="dxa"/>
            <w:vAlign w:val="center"/>
          </w:tcPr>
          <w:p w14:paraId="750BE35C">
            <w:pPr>
              <w:kinsoku/>
              <w:wordWrap/>
              <w:overflowPunct/>
              <w:topLinePunct w:val="0"/>
              <w:bidi w:val="0"/>
              <w:spacing w:line="360" w:lineRule="auto"/>
              <w:textAlignment w:val="auto"/>
              <w:rPr>
                <w:rFonts w:hint="eastAsia"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3.具有履行合同所必需的设备和专业技术能力</w:t>
            </w:r>
          </w:p>
        </w:tc>
        <w:tc>
          <w:tcPr>
            <w:tcW w:w="3579" w:type="dxa"/>
            <w:vMerge w:val="continue"/>
            <w:vAlign w:val="center"/>
          </w:tcPr>
          <w:p w14:paraId="641E3323">
            <w:pPr>
              <w:kinsoku/>
              <w:wordWrap/>
              <w:overflowPunct/>
              <w:topLinePunct w:val="0"/>
              <w:bidi w:val="0"/>
              <w:spacing w:line="360" w:lineRule="auto"/>
              <w:textAlignment w:val="auto"/>
              <w:rPr>
                <w:rFonts w:hint="eastAsia" w:ascii="宋体" w:hAnsi="宋体"/>
                <w:color w:val="auto"/>
                <w:sz w:val="21"/>
                <w:szCs w:val="21"/>
                <w:highlight w:val="none"/>
              </w:rPr>
            </w:pPr>
          </w:p>
        </w:tc>
      </w:tr>
      <w:tr w14:paraId="5ED1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vAlign w:val="center"/>
          </w:tcPr>
          <w:p w14:paraId="152BD60E">
            <w:pPr>
              <w:kinsoku/>
              <w:wordWrap/>
              <w:overflowPunct/>
              <w:topLinePunct w:val="0"/>
              <w:bidi w:val="0"/>
              <w:spacing w:line="360" w:lineRule="auto"/>
              <w:jc w:val="center"/>
              <w:textAlignment w:val="auto"/>
              <w:rPr>
                <w:rFonts w:hint="eastAsia" w:ascii="宋体" w:hAnsi="宋体"/>
                <w:color w:val="auto"/>
                <w:sz w:val="21"/>
                <w:szCs w:val="21"/>
                <w:highlight w:val="none"/>
              </w:rPr>
            </w:pPr>
          </w:p>
        </w:tc>
        <w:tc>
          <w:tcPr>
            <w:tcW w:w="851" w:type="dxa"/>
            <w:vMerge w:val="continue"/>
            <w:vAlign w:val="center"/>
          </w:tcPr>
          <w:p w14:paraId="4DBF8444">
            <w:pPr>
              <w:kinsoku/>
              <w:wordWrap/>
              <w:overflowPunct/>
              <w:topLinePunct w:val="0"/>
              <w:bidi w:val="0"/>
              <w:spacing w:line="360" w:lineRule="auto"/>
              <w:textAlignment w:val="auto"/>
              <w:rPr>
                <w:rFonts w:hint="eastAsia" w:ascii="宋体" w:hAnsi="宋体" w:cs="仿宋_GB2312"/>
                <w:color w:val="auto"/>
                <w:sz w:val="21"/>
                <w:szCs w:val="21"/>
                <w:highlight w:val="none"/>
                <w:lang w:val="zh-CN"/>
              </w:rPr>
            </w:pPr>
          </w:p>
        </w:tc>
        <w:tc>
          <w:tcPr>
            <w:tcW w:w="4421" w:type="dxa"/>
            <w:vAlign w:val="center"/>
          </w:tcPr>
          <w:p w14:paraId="474212D9">
            <w:pPr>
              <w:kinsoku/>
              <w:wordWrap/>
              <w:overflowPunct/>
              <w:topLinePunct w:val="0"/>
              <w:bidi w:val="0"/>
              <w:spacing w:line="360" w:lineRule="auto"/>
              <w:textAlignment w:val="auto"/>
              <w:rPr>
                <w:rFonts w:hint="eastAsia"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4.有依法缴纳税收和社会保障资金的良好记录</w:t>
            </w:r>
          </w:p>
        </w:tc>
        <w:tc>
          <w:tcPr>
            <w:tcW w:w="3579" w:type="dxa"/>
            <w:vMerge w:val="continue"/>
            <w:vAlign w:val="center"/>
          </w:tcPr>
          <w:p w14:paraId="4CD9E91F">
            <w:pPr>
              <w:kinsoku/>
              <w:wordWrap/>
              <w:overflowPunct/>
              <w:topLinePunct w:val="0"/>
              <w:bidi w:val="0"/>
              <w:spacing w:line="360" w:lineRule="auto"/>
              <w:textAlignment w:val="auto"/>
              <w:rPr>
                <w:rFonts w:hint="eastAsia" w:ascii="宋体" w:hAnsi="宋体"/>
                <w:color w:val="auto"/>
                <w:sz w:val="21"/>
                <w:szCs w:val="21"/>
                <w:highlight w:val="none"/>
              </w:rPr>
            </w:pPr>
          </w:p>
        </w:tc>
      </w:tr>
      <w:tr w14:paraId="0E01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trPr>
        <w:tc>
          <w:tcPr>
            <w:tcW w:w="817" w:type="dxa"/>
            <w:vMerge w:val="continue"/>
            <w:vAlign w:val="center"/>
          </w:tcPr>
          <w:p w14:paraId="17ADB344">
            <w:pPr>
              <w:kinsoku/>
              <w:wordWrap/>
              <w:overflowPunct/>
              <w:topLinePunct w:val="0"/>
              <w:bidi w:val="0"/>
              <w:spacing w:line="360" w:lineRule="auto"/>
              <w:jc w:val="center"/>
              <w:textAlignment w:val="auto"/>
              <w:rPr>
                <w:rFonts w:hint="eastAsia" w:ascii="宋体" w:hAnsi="宋体"/>
                <w:color w:val="auto"/>
                <w:sz w:val="21"/>
                <w:szCs w:val="21"/>
                <w:highlight w:val="none"/>
              </w:rPr>
            </w:pPr>
          </w:p>
        </w:tc>
        <w:tc>
          <w:tcPr>
            <w:tcW w:w="851" w:type="dxa"/>
            <w:vMerge w:val="continue"/>
            <w:vAlign w:val="center"/>
          </w:tcPr>
          <w:p w14:paraId="7DC3082C">
            <w:pPr>
              <w:kinsoku/>
              <w:wordWrap/>
              <w:overflowPunct/>
              <w:topLinePunct w:val="0"/>
              <w:bidi w:val="0"/>
              <w:spacing w:line="360" w:lineRule="auto"/>
              <w:textAlignment w:val="auto"/>
              <w:rPr>
                <w:rFonts w:hint="eastAsia" w:ascii="宋体" w:hAnsi="宋体" w:cs="仿宋_GB2312"/>
                <w:color w:val="auto"/>
                <w:sz w:val="21"/>
                <w:szCs w:val="21"/>
                <w:highlight w:val="none"/>
                <w:lang w:val="zh-CN"/>
              </w:rPr>
            </w:pPr>
          </w:p>
        </w:tc>
        <w:tc>
          <w:tcPr>
            <w:tcW w:w="4421" w:type="dxa"/>
            <w:vAlign w:val="center"/>
          </w:tcPr>
          <w:p w14:paraId="3E1D8356">
            <w:pPr>
              <w:kinsoku/>
              <w:wordWrap/>
              <w:overflowPunct/>
              <w:topLinePunct w:val="0"/>
              <w:bidi w:val="0"/>
              <w:spacing w:line="360" w:lineRule="auto"/>
              <w:textAlignment w:val="auto"/>
              <w:rPr>
                <w:rFonts w:hint="eastAsia" w:ascii="宋体" w:hAnsi="宋体" w:cs="仿宋_GB2312"/>
                <w:color w:val="auto"/>
                <w:sz w:val="21"/>
                <w:szCs w:val="21"/>
                <w:highlight w:val="none"/>
                <w:lang w:val="zh-CN"/>
              </w:rPr>
            </w:pPr>
            <w:r>
              <w:rPr>
                <w:rFonts w:hint="eastAsia" w:ascii="宋体" w:hAnsi="宋体"/>
                <w:color w:val="auto"/>
                <w:sz w:val="21"/>
                <w:szCs w:val="21"/>
                <w:highlight w:val="none"/>
              </w:rPr>
              <w:t>5.参加政府采购活动前三年内，在经营活动中没有重大违法记录（注①）</w:t>
            </w:r>
          </w:p>
        </w:tc>
        <w:tc>
          <w:tcPr>
            <w:tcW w:w="3579" w:type="dxa"/>
            <w:vMerge w:val="continue"/>
            <w:vAlign w:val="center"/>
          </w:tcPr>
          <w:p w14:paraId="0D443DC2">
            <w:pPr>
              <w:kinsoku/>
              <w:wordWrap/>
              <w:overflowPunct/>
              <w:topLinePunct w:val="0"/>
              <w:bidi w:val="0"/>
              <w:spacing w:line="360" w:lineRule="auto"/>
              <w:textAlignment w:val="auto"/>
              <w:rPr>
                <w:rFonts w:hint="eastAsia" w:ascii="宋体" w:hAnsi="宋体"/>
                <w:b/>
                <w:color w:val="auto"/>
                <w:sz w:val="21"/>
                <w:szCs w:val="21"/>
                <w:highlight w:val="none"/>
              </w:rPr>
            </w:pPr>
          </w:p>
        </w:tc>
      </w:tr>
      <w:tr w14:paraId="7D21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vAlign w:val="center"/>
          </w:tcPr>
          <w:p w14:paraId="7941CEF1">
            <w:pPr>
              <w:kinsoku/>
              <w:wordWrap/>
              <w:overflowPunct/>
              <w:topLinePunct w:val="0"/>
              <w:bidi w:val="0"/>
              <w:spacing w:line="360" w:lineRule="auto"/>
              <w:jc w:val="center"/>
              <w:textAlignment w:val="auto"/>
              <w:rPr>
                <w:rFonts w:hint="eastAsia" w:ascii="宋体" w:hAnsi="宋体"/>
                <w:color w:val="auto"/>
                <w:sz w:val="21"/>
                <w:szCs w:val="21"/>
                <w:highlight w:val="none"/>
              </w:rPr>
            </w:pPr>
          </w:p>
        </w:tc>
        <w:tc>
          <w:tcPr>
            <w:tcW w:w="851" w:type="dxa"/>
            <w:vMerge w:val="continue"/>
            <w:vAlign w:val="center"/>
          </w:tcPr>
          <w:p w14:paraId="6CACEB95">
            <w:pPr>
              <w:kinsoku/>
              <w:wordWrap/>
              <w:overflowPunct/>
              <w:topLinePunct w:val="0"/>
              <w:bidi w:val="0"/>
              <w:spacing w:line="360" w:lineRule="auto"/>
              <w:textAlignment w:val="auto"/>
              <w:rPr>
                <w:rFonts w:hint="eastAsia" w:ascii="宋体" w:hAnsi="宋体" w:cs="仿宋_GB2312"/>
                <w:color w:val="auto"/>
                <w:sz w:val="21"/>
                <w:szCs w:val="21"/>
                <w:highlight w:val="none"/>
                <w:lang w:val="zh-CN"/>
              </w:rPr>
            </w:pPr>
          </w:p>
        </w:tc>
        <w:tc>
          <w:tcPr>
            <w:tcW w:w="4421" w:type="dxa"/>
            <w:vAlign w:val="center"/>
          </w:tcPr>
          <w:p w14:paraId="40D6B308">
            <w:pPr>
              <w:kinsoku/>
              <w:wordWrap/>
              <w:overflowPunct/>
              <w:topLinePunct w:val="0"/>
              <w:bidi w:val="0"/>
              <w:spacing w:line="36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6.法律、行政法规规定的其他条件</w:t>
            </w:r>
          </w:p>
        </w:tc>
        <w:tc>
          <w:tcPr>
            <w:tcW w:w="3579" w:type="dxa"/>
            <w:vMerge w:val="continue"/>
            <w:vAlign w:val="center"/>
          </w:tcPr>
          <w:p w14:paraId="079F1626">
            <w:pPr>
              <w:kinsoku/>
              <w:wordWrap/>
              <w:overflowPunct/>
              <w:topLinePunct w:val="0"/>
              <w:bidi w:val="0"/>
              <w:spacing w:line="360" w:lineRule="auto"/>
              <w:textAlignment w:val="auto"/>
              <w:rPr>
                <w:rFonts w:hint="eastAsia" w:ascii="宋体" w:hAnsi="宋体"/>
                <w:color w:val="auto"/>
                <w:sz w:val="21"/>
                <w:szCs w:val="21"/>
                <w:highlight w:val="none"/>
              </w:rPr>
            </w:pPr>
          </w:p>
        </w:tc>
      </w:tr>
      <w:tr w14:paraId="69E7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vAlign w:val="center"/>
          </w:tcPr>
          <w:p w14:paraId="52D04036">
            <w:pPr>
              <w:kinsoku/>
              <w:wordWrap/>
              <w:overflowPunct/>
              <w:topLinePunct w:val="0"/>
              <w:bidi w:val="0"/>
              <w:spacing w:line="360" w:lineRule="auto"/>
              <w:jc w:val="center"/>
              <w:textAlignment w:val="auto"/>
              <w:rPr>
                <w:rFonts w:hint="eastAsia" w:ascii="宋体" w:hAnsi="宋体"/>
                <w:color w:val="auto"/>
                <w:sz w:val="21"/>
                <w:szCs w:val="21"/>
                <w:highlight w:val="none"/>
              </w:rPr>
            </w:pPr>
          </w:p>
        </w:tc>
        <w:tc>
          <w:tcPr>
            <w:tcW w:w="851" w:type="dxa"/>
            <w:vAlign w:val="center"/>
          </w:tcPr>
          <w:p w14:paraId="57953D53">
            <w:pPr>
              <w:kinsoku/>
              <w:wordWrap/>
              <w:overflowPunct/>
              <w:topLinePunct w:val="0"/>
              <w:bidi w:val="0"/>
              <w:spacing w:line="360" w:lineRule="auto"/>
              <w:textAlignment w:val="auto"/>
              <w:rPr>
                <w:rFonts w:hint="eastAsia" w:ascii="宋体" w:hAnsi="宋体" w:cs="仿宋_GB2312"/>
                <w:color w:val="auto"/>
                <w:sz w:val="21"/>
                <w:szCs w:val="21"/>
                <w:highlight w:val="none"/>
                <w:lang w:val="zh-CN"/>
              </w:rPr>
            </w:pPr>
          </w:p>
        </w:tc>
        <w:tc>
          <w:tcPr>
            <w:tcW w:w="4421" w:type="dxa"/>
            <w:vAlign w:val="center"/>
          </w:tcPr>
          <w:p w14:paraId="4B212936">
            <w:pPr>
              <w:kinsoku/>
              <w:wordWrap/>
              <w:overflowPunct/>
              <w:topLinePunct w:val="0"/>
              <w:bidi w:val="0"/>
              <w:spacing w:line="360" w:lineRule="auto"/>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7.本项目的特定资格要求</w:t>
            </w:r>
          </w:p>
        </w:tc>
        <w:tc>
          <w:tcPr>
            <w:tcW w:w="3579" w:type="dxa"/>
            <w:vAlign w:val="center"/>
          </w:tcPr>
          <w:p w14:paraId="16E60116">
            <w:pPr>
              <w:kinsoku/>
              <w:wordWrap/>
              <w:overflowPunct/>
              <w:topLinePunct w:val="0"/>
              <w:bidi w:val="0"/>
              <w:spacing w:line="360" w:lineRule="auto"/>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按“第一篇三、</w:t>
            </w:r>
            <w:r>
              <w:rPr>
                <w:rFonts w:hint="eastAsia" w:ascii="宋体" w:hAnsi="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资格要求（三）本项目的特定资格要求”的要求提交。</w:t>
            </w:r>
          </w:p>
        </w:tc>
      </w:tr>
    </w:tbl>
    <w:p w14:paraId="09F8F37E">
      <w:pPr>
        <w:kinsoku/>
        <w:wordWrap/>
        <w:overflowPunct/>
        <w:topLinePunct w:val="0"/>
        <w:bidi w:val="0"/>
        <w:spacing w:line="360" w:lineRule="auto"/>
        <w:ind w:firstLine="480" w:firstLineChars="20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rPr>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中华人民共和国政府采购法实施条例</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第十九条第一款“较大数额罚款”具体适用问题的意见》（财库〔2022〕3号）执行。供应商可于响应文件递交截止时间前通过 “信用中国”网站</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www.creditchina.gov.cn</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、“中国政府采购网”</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www.ccgp.gov.cn</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等渠道查询信用记录。</w:t>
      </w:r>
    </w:p>
    <w:p w14:paraId="2EA1EE29">
      <w:pPr>
        <w:kinsoku/>
        <w:wordWrap/>
        <w:overflowPunct/>
        <w:topLinePunct w:val="0"/>
        <w:bidi w:val="0"/>
        <w:spacing w:line="360" w:lineRule="auto"/>
        <w:ind w:firstLine="480" w:firstLineChars="200"/>
        <w:textAlignment w:val="auto"/>
        <w:rPr>
          <w:rFonts w:hint="eastAsia" w:ascii="宋体" w:hAnsi="宋体"/>
          <w:color w:val="auto"/>
          <w:kern w:val="0"/>
          <w:szCs w:val="24"/>
          <w:highlight w:val="none"/>
        </w:rPr>
      </w:pPr>
      <w:r>
        <w:rPr>
          <w:rFonts w:hint="eastAsia" w:ascii="宋体" w:hAnsi="宋体"/>
          <w:color w:val="auto"/>
          <w:szCs w:val="24"/>
          <w:highlight w:val="none"/>
        </w:rPr>
        <w:t>2.</w:t>
      </w:r>
      <w:r>
        <w:rPr>
          <w:rFonts w:hint="eastAsia" w:ascii="宋体" w:hAnsi="宋体" w:cs="宋体"/>
          <w:color w:val="auto"/>
          <w:kern w:val="0"/>
          <w:szCs w:val="24"/>
          <w:highlight w:val="none"/>
        </w:rPr>
        <w:t>符合性检查。依据竞争性磋商文件的规定，从响应文件的有效性、完整性和对竞争性磋商文件的响应程度进行审查，以确定是否对竞争性磋商文件的实质性要求作出响应。</w:t>
      </w:r>
      <w:r>
        <w:rPr>
          <w:rFonts w:hint="eastAsia" w:ascii="宋体" w:hAnsi="宋体"/>
          <w:color w:val="auto"/>
          <w:kern w:val="0"/>
          <w:szCs w:val="24"/>
          <w:highlight w:val="none"/>
        </w:rPr>
        <w:t>符合性检查资料表如下：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71"/>
        <w:gridCol w:w="1998"/>
        <w:gridCol w:w="5220"/>
      </w:tblGrid>
      <w:tr w14:paraId="2A3F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75" w:type="dxa"/>
            <w:vAlign w:val="center"/>
          </w:tcPr>
          <w:p w14:paraId="153A5604">
            <w:pPr>
              <w:kinsoku/>
              <w:wordWrap/>
              <w:overflowPunct/>
              <w:topLinePunct w:val="0"/>
              <w:autoSpaceDE/>
              <w:autoSpaceDN/>
              <w:bidi w:val="0"/>
              <w:spacing w:line="440" w:lineRule="exact"/>
              <w:ind w:left="0" w:leftChars="0" w:right="0" w:rightChars="0"/>
              <w:jc w:val="center"/>
              <w:textAlignment w:val="auto"/>
              <w:rPr>
                <w:rFonts w:hint="eastAsia" w:ascii="宋体" w:hAnsi="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569" w:type="dxa"/>
            <w:gridSpan w:val="2"/>
            <w:vAlign w:val="center"/>
          </w:tcPr>
          <w:p w14:paraId="7A0296FD">
            <w:pPr>
              <w:kinsoku/>
              <w:wordWrap/>
              <w:overflowPunct/>
              <w:topLinePunct w:val="0"/>
              <w:autoSpaceDE/>
              <w:autoSpaceDN/>
              <w:bidi w:val="0"/>
              <w:spacing w:line="440" w:lineRule="exact"/>
              <w:ind w:left="0" w:leftChars="0" w:right="0" w:rightChars="0"/>
              <w:jc w:val="center"/>
              <w:textAlignment w:val="auto"/>
              <w:rPr>
                <w:rFonts w:hint="eastAsia" w:ascii="宋体" w:hAnsi="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5220" w:type="dxa"/>
            <w:vAlign w:val="center"/>
          </w:tcPr>
          <w:p w14:paraId="50676950">
            <w:pPr>
              <w:kinsoku/>
              <w:wordWrap/>
              <w:overflowPunct/>
              <w:topLinePunct w:val="0"/>
              <w:autoSpaceDE/>
              <w:autoSpaceDN/>
              <w:bidi w:val="0"/>
              <w:spacing w:line="440" w:lineRule="exact"/>
              <w:ind w:left="0" w:leftChars="0" w:right="0" w:rightChars="0"/>
              <w:jc w:val="center"/>
              <w:textAlignment w:val="auto"/>
              <w:rPr>
                <w:rFonts w:hint="eastAsia" w:ascii="宋体" w:hAnsi="宋体" w:cs="宋体"/>
                <w:b/>
                <w:color w:val="auto"/>
                <w:kern w:val="0"/>
                <w:sz w:val="21"/>
                <w:szCs w:val="21"/>
                <w:highlight w:val="none"/>
              </w:rPr>
            </w:pPr>
            <w:r>
              <w:rPr>
                <w:rFonts w:hint="eastAsia" w:ascii="宋体" w:hAnsi="宋体" w:eastAsia="宋体" w:cs="宋体"/>
                <w:b/>
                <w:color w:val="auto"/>
                <w:kern w:val="0"/>
                <w:sz w:val="21"/>
                <w:szCs w:val="21"/>
                <w:highlight w:val="none"/>
              </w:rPr>
              <w:t>评审标准</w:t>
            </w:r>
          </w:p>
        </w:tc>
      </w:tr>
      <w:tr w14:paraId="258D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75" w:type="dxa"/>
            <w:vMerge w:val="restart"/>
            <w:vAlign w:val="center"/>
          </w:tcPr>
          <w:p w14:paraId="71EF32C3">
            <w:pPr>
              <w:kinsoku/>
              <w:wordWrap/>
              <w:overflowPunct/>
              <w:topLinePunct w:val="0"/>
              <w:autoSpaceDE/>
              <w:autoSpaceDN/>
              <w:bidi w:val="0"/>
              <w:spacing w:line="440" w:lineRule="exact"/>
              <w:ind w:left="0" w:leftChars="0" w:right="0" w:rightChars="0"/>
              <w:jc w:val="center"/>
              <w:textAlignment w:val="auto"/>
              <w:rPr>
                <w:rFonts w:hint="eastAsia" w:ascii="宋体" w:hAnsi="宋体" w:cs="仿宋_GB2312"/>
                <w:color w:val="auto"/>
                <w:sz w:val="21"/>
                <w:szCs w:val="21"/>
                <w:highlight w:val="none"/>
                <w:lang w:val="zh-CN"/>
              </w:rPr>
            </w:pPr>
            <w:r>
              <w:rPr>
                <w:rFonts w:hint="eastAsia" w:ascii="宋体" w:hAnsi="宋体" w:eastAsia="宋体" w:cs="宋体"/>
                <w:color w:val="auto"/>
                <w:kern w:val="0"/>
                <w:sz w:val="21"/>
                <w:szCs w:val="21"/>
                <w:highlight w:val="none"/>
              </w:rPr>
              <w:t>1</w:t>
            </w:r>
          </w:p>
        </w:tc>
        <w:tc>
          <w:tcPr>
            <w:tcW w:w="1571" w:type="dxa"/>
            <w:vMerge w:val="restart"/>
            <w:vAlign w:val="center"/>
          </w:tcPr>
          <w:p w14:paraId="007B594E">
            <w:pPr>
              <w:kinsoku/>
              <w:wordWrap/>
              <w:overflowPunct/>
              <w:topLinePunct w:val="0"/>
              <w:autoSpaceDE/>
              <w:autoSpaceDN/>
              <w:bidi w:val="0"/>
              <w:spacing w:line="440" w:lineRule="exact"/>
              <w:ind w:left="0" w:leftChars="0" w:right="0" w:rightChars="0"/>
              <w:textAlignment w:val="auto"/>
              <w:rPr>
                <w:rFonts w:hint="eastAsia" w:ascii="宋体" w:hAnsi="宋体" w:cs="仿宋_GB2312"/>
                <w:color w:val="auto"/>
                <w:sz w:val="21"/>
                <w:szCs w:val="21"/>
                <w:highlight w:val="none"/>
                <w:lang w:val="zh-CN"/>
              </w:rPr>
            </w:pPr>
            <w:r>
              <w:rPr>
                <w:rFonts w:hint="eastAsia" w:ascii="宋体" w:hAnsi="宋体" w:eastAsia="宋体" w:cs="宋体"/>
                <w:color w:val="auto"/>
                <w:kern w:val="0"/>
                <w:sz w:val="21"/>
                <w:szCs w:val="21"/>
                <w:highlight w:val="none"/>
              </w:rPr>
              <w:t>有效性审查</w:t>
            </w:r>
          </w:p>
        </w:tc>
        <w:tc>
          <w:tcPr>
            <w:tcW w:w="1998" w:type="dxa"/>
            <w:vAlign w:val="center"/>
          </w:tcPr>
          <w:p w14:paraId="171DBF8F">
            <w:pPr>
              <w:kinsoku/>
              <w:wordWrap/>
              <w:overflowPunct/>
              <w:topLinePunct w:val="0"/>
              <w:autoSpaceDE/>
              <w:autoSpaceDN/>
              <w:bidi w:val="0"/>
              <w:spacing w:line="440" w:lineRule="exact"/>
              <w:ind w:left="0" w:leftChars="0" w:right="0" w:rightChars="0"/>
              <w:textAlignment w:val="auto"/>
              <w:rPr>
                <w:rFonts w:hint="eastAsia" w:ascii="宋体" w:hAnsi="宋体" w:cs="仿宋_GB2312"/>
                <w:color w:val="auto"/>
                <w:sz w:val="21"/>
                <w:szCs w:val="21"/>
                <w:highlight w:val="none"/>
                <w:lang w:val="zh-CN"/>
              </w:rPr>
            </w:pPr>
            <w:r>
              <w:rPr>
                <w:rFonts w:hint="eastAsia" w:ascii="宋体" w:hAnsi="宋体" w:eastAsia="宋体" w:cs="宋体"/>
                <w:color w:val="auto"/>
                <w:sz w:val="21"/>
                <w:szCs w:val="21"/>
                <w:highlight w:val="none"/>
              </w:rPr>
              <w:t>响应文件签署</w:t>
            </w:r>
          </w:p>
        </w:tc>
        <w:tc>
          <w:tcPr>
            <w:tcW w:w="5220" w:type="dxa"/>
            <w:vAlign w:val="center"/>
          </w:tcPr>
          <w:p w14:paraId="6B4A8998">
            <w:pPr>
              <w:kinsoku/>
              <w:wordWrap/>
              <w:overflowPunct/>
              <w:topLinePunct w:val="0"/>
              <w:autoSpaceDE/>
              <w:autoSpaceDN/>
              <w:bidi w:val="0"/>
              <w:spacing w:line="440" w:lineRule="exact"/>
              <w:ind w:left="0" w:leftChars="0" w:right="0" w:rightChars="0"/>
              <w:textAlignment w:val="auto"/>
              <w:rPr>
                <w:rFonts w:hint="eastAsia" w:ascii="宋体" w:hAnsi="宋体" w:cs="仿宋_GB2312"/>
                <w:color w:val="auto"/>
                <w:sz w:val="21"/>
                <w:szCs w:val="21"/>
                <w:highlight w:val="none"/>
                <w:lang w:val="zh-CN"/>
              </w:rPr>
            </w:pPr>
            <w:r>
              <w:rPr>
                <w:rFonts w:hint="eastAsia" w:ascii="宋体" w:hAnsi="宋体" w:eastAsia="宋体" w:cs="宋体"/>
                <w:color w:val="auto"/>
                <w:sz w:val="21"/>
                <w:szCs w:val="21"/>
                <w:highlight w:val="none"/>
              </w:rPr>
              <w:t>响应文件上法定代表人或其授权代表人的签字齐全。</w:t>
            </w:r>
          </w:p>
        </w:tc>
      </w:tr>
      <w:tr w14:paraId="7A2D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75" w:type="dxa"/>
            <w:vMerge w:val="continue"/>
            <w:vAlign w:val="center"/>
          </w:tcPr>
          <w:p w14:paraId="4021C62C">
            <w:pPr>
              <w:kinsoku/>
              <w:wordWrap/>
              <w:overflowPunct/>
              <w:topLinePunct w:val="0"/>
              <w:autoSpaceDE/>
              <w:autoSpaceDN/>
              <w:bidi w:val="0"/>
              <w:spacing w:line="440" w:lineRule="exact"/>
              <w:ind w:left="0" w:leftChars="0" w:right="0" w:rightChars="0"/>
              <w:jc w:val="center"/>
              <w:textAlignment w:val="auto"/>
              <w:rPr>
                <w:rFonts w:hint="eastAsia" w:ascii="宋体" w:hAnsi="宋体" w:cs="仿宋_GB2312"/>
                <w:color w:val="auto"/>
                <w:sz w:val="21"/>
                <w:szCs w:val="21"/>
                <w:highlight w:val="none"/>
                <w:lang w:val="zh-CN"/>
              </w:rPr>
            </w:pPr>
          </w:p>
        </w:tc>
        <w:tc>
          <w:tcPr>
            <w:tcW w:w="1571" w:type="dxa"/>
            <w:vMerge w:val="continue"/>
            <w:vAlign w:val="center"/>
          </w:tcPr>
          <w:p w14:paraId="6ABC65BE">
            <w:pPr>
              <w:kinsoku/>
              <w:wordWrap/>
              <w:overflowPunct/>
              <w:topLinePunct w:val="0"/>
              <w:autoSpaceDE/>
              <w:autoSpaceDN/>
              <w:bidi w:val="0"/>
              <w:spacing w:line="440" w:lineRule="exact"/>
              <w:ind w:left="0" w:leftChars="0" w:right="0" w:rightChars="0"/>
              <w:textAlignment w:val="auto"/>
              <w:rPr>
                <w:rFonts w:hint="eastAsia" w:ascii="宋体" w:hAnsi="宋体" w:cs="仿宋_GB2312"/>
                <w:color w:val="auto"/>
                <w:sz w:val="21"/>
                <w:szCs w:val="21"/>
                <w:highlight w:val="none"/>
                <w:lang w:val="zh-CN"/>
              </w:rPr>
            </w:pPr>
          </w:p>
        </w:tc>
        <w:tc>
          <w:tcPr>
            <w:tcW w:w="1998" w:type="dxa"/>
            <w:vAlign w:val="center"/>
          </w:tcPr>
          <w:p w14:paraId="5898091B">
            <w:pPr>
              <w:kinsoku/>
              <w:wordWrap/>
              <w:overflowPunct/>
              <w:topLinePunct w:val="0"/>
              <w:autoSpaceDE/>
              <w:autoSpaceDN/>
              <w:bidi w:val="0"/>
              <w:spacing w:line="440" w:lineRule="exact"/>
              <w:ind w:left="0" w:leftChars="0" w:right="0" w:rightChars="0"/>
              <w:textAlignment w:val="auto"/>
              <w:rPr>
                <w:rFonts w:hint="eastAsia" w:ascii="宋体" w:hAnsi="宋体" w:cs="仿宋_GB2312"/>
                <w:color w:val="auto"/>
                <w:sz w:val="21"/>
                <w:szCs w:val="21"/>
                <w:highlight w:val="none"/>
                <w:lang w:val="zh-CN"/>
              </w:rPr>
            </w:pPr>
            <w:r>
              <w:rPr>
                <w:rFonts w:hint="eastAsia" w:ascii="宋体" w:hAnsi="宋体" w:eastAsia="宋体" w:cs="宋体"/>
                <w:color w:val="auto"/>
                <w:sz w:val="21"/>
                <w:szCs w:val="21"/>
                <w:highlight w:val="none"/>
              </w:rPr>
              <w:t>法定代表人身份证明及授权委托书</w:t>
            </w:r>
          </w:p>
        </w:tc>
        <w:tc>
          <w:tcPr>
            <w:tcW w:w="5220" w:type="dxa"/>
            <w:vAlign w:val="center"/>
          </w:tcPr>
          <w:p w14:paraId="5BA23DE7">
            <w:pPr>
              <w:kinsoku/>
              <w:wordWrap/>
              <w:overflowPunct/>
              <w:topLinePunct w:val="0"/>
              <w:autoSpaceDE/>
              <w:autoSpaceDN/>
              <w:bidi w:val="0"/>
              <w:spacing w:line="440" w:lineRule="exact"/>
              <w:ind w:left="0" w:leftChars="0" w:right="0" w:rightChars="0"/>
              <w:textAlignment w:val="auto"/>
              <w:rPr>
                <w:rFonts w:hint="eastAsia" w:ascii="宋体" w:hAnsi="宋体" w:cs="仿宋_GB2312"/>
                <w:color w:val="auto"/>
                <w:sz w:val="21"/>
                <w:szCs w:val="21"/>
                <w:highlight w:val="none"/>
                <w:lang w:val="zh-CN"/>
              </w:rPr>
            </w:pPr>
            <w:r>
              <w:rPr>
                <w:rFonts w:hint="eastAsia" w:ascii="宋体" w:hAnsi="宋体" w:eastAsia="宋体" w:cs="宋体"/>
                <w:color w:val="auto"/>
                <w:sz w:val="21"/>
                <w:szCs w:val="21"/>
                <w:highlight w:val="none"/>
              </w:rPr>
              <w:t>法定代表人身份证明及授权委托书有效，符合竞争性磋商文件规定的格式，签字或盖章齐全。</w:t>
            </w:r>
          </w:p>
        </w:tc>
      </w:tr>
      <w:tr w14:paraId="67FB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75" w:type="dxa"/>
            <w:vMerge w:val="continue"/>
            <w:vAlign w:val="center"/>
          </w:tcPr>
          <w:p w14:paraId="462EE51C">
            <w:pPr>
              <w:kinsoku/>
              <w:wordWrap/>
              <w:overflowPunct/>
              <w:topLinePunct w:val="0"/>
              <w:autoSpaceDE/>
              <w:autoSpaceDN/>
              <w:bidi w:val="0"/>
              <w:spacing w:line="440" w:lineRule="exact"/>
              <w:ind w:left="0" w:leftChars="0" w:right="0" w:rightChars="0"/>
              <w:jc w:val="center"/>
              <w:textAlignment w:val="auto"/>
              <w:rPr>
                <w:rFonts w:hint="eastAsia" w:ascii="宋体" w:hAnsi="宋体" w:cs="仿宋_GB2312"/>
                <w:color w:val="auto"/>
                <w:sz w:val="21"/>
                <w:szCs w:val="21"/>
                <w:highlight w:val="none"/>
                <w:lang w:val="zh-CN"/>
              </w:rPr>
            </w:pPr>
          </w:p>
        </w:tc>
        <w:tc>
          <w:tcPr>
            <w:tcW w:w="1571" w:type="dxa"/>
            <w:vMerge w:val="continue"/>
            <w:vAlign w:val="center"/>
          </w:tcPr>
          <w:p w14:paraId="1018451B">
            <w:pPr>
              <w:kinsoku/>
              <w:wordWrap/>
              <w:overflowPunct/>
              <w:topLinePunct w:val="0"/>
              <w:autoSpaceDE/>
              <w:autoSpaceDN/>
              <w:bidi w:val="0"/>
              <w:spacing w:line="440" w:lineRule="exact"/>
              <w:ind w:left="0" w:leftChars="0" w:right="0" w:rightChars="0"/>
              <w:textAlignment w:val="auto"/>
              <w:rPr>
                <w:rFonts w:hint="eastAsia" w:ascii="宋体" w:hAnsi="宋体" w:cs="仿宋_GB2312"/>
                <w:color w:val="auto"/>
                <w:sz w:val="21"/>
                <w:szCs w:val="21"/>
                <w:highlight w:val="none"/>
                <w:lang w:val="zh-CN"/>
              </w:rPr>
            </w:pPr>
          </w:p>
        </w:tc>
        <w:tc>
          <w:tcPr>
            <w:tcW w:w="1998" w:type="dxa"/>
            <w:vAlign w:val="center"/>
          </w:tcPr>
          <w:p w14:paraId="0E1FDFCC">
            <w:pPr>
              <w:kinsoku/>
              <w:wordWrap/>
              <w:overflowPunct/>
              <w:topLinePunct w:val="0"/>
              <w:autoSpaceDE/>
              <w:autoSpaceDN/>
              <w:bidi w:val="0"/>
              <w:spacing w:line="440" w:lineRule="exact"/>
              <w:ind w:left="0" w:leftChars="0" w:right="0" w:rightChars="0"/>
              <w:textAlignment w:val="auto"/>
              <w:rPr>
                <w:rFonts w:hint="eastAsia" w:ascii="宋体" w:hAnsi="宋体" w:cs="仿宋_GB2312"/>
                <w:color w:val="auto"/>
                <w:sz w:val="21"/>
                <w:szCs w:val="21"/>
                <w:highlight w:val="none"/>
                <w:lang w:val="zh-CN"/>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c>
          <w:tcPr>
            <w:tcW w:w="5220" w:type="dxa"/>
            <w:vAlign w:val="center"/>
          </w:tcPr>
          <w:p w14:paraId="77D9576B">
            <w:pPr>
              <w:kinsoku/>
              <w:wordWrap/>
              <w:overflowPunct/>
              <w:topLinePunct w:val="0"/>
              <w:autoSpaceDE/>
              <w:autoSpaceDN/>
              <w:bidi w:val="0"/>
              <w:spacing w:line="440" w:lineRule="exact"/>
              <w:ind w:left="0" w:leftChars="0" w:right="0" w:rightChars="0"/>
              <w:textAlignment w:val="auto"/>
              <w:rPr>
                <w:rFonts w:hint="eastAsia" w:ascii="宋体" w:hAnsi="宋体" w:cs="仿宋_GB2312"/>
                <w:color w:val="auto"/>
                <w:sz w:val="21"/>
                <w:szCs w:val="21"/>
                <w:highlight w:val="none"/>
                <w:lang w:val="zh-CN"/>
              </w:rPr>
            </w:pPr>
            <w:r>
              <w:rPr>
                <w:rFonts w:hint="eastAsia" w:ascii="宋体" w:hAnsi="宋体" w:eastAsia="宋体" w:cs="宋体"/>
                <w:color w:val="auto"/>
                <w:sz w:val="21"/>
                <w:szCs w:val="21"/>
                <w:highlight w:val="none"/>
                <w:lang w:val="zh-CN"/>
              </w:rPr>
              <w:t>每个分包只能有一个</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r>
      <w:tr w14:paraId="5AFF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75" w:type="dxa"/>
            <w:vMerge w:val="continue"/>
            <w:vAlign w:val="center"/>
          </w:tcPr>
          <w:p w14:paraId="3A652F00">
            <w:pPr>
              <w:kinsoku/>
              <w:wordWrap/>
              <w:overflowPunct/>
              <w:topLinePunct w:val="0"/>
              <w:autoSpaceDE/>
              <w:autoSpaceDN/>
              <w:bidi w:val="0"/>
              <w:spacing w:line="440" w:lineRule="exact"/>
              <w:ind w:left="0" w:leftChars="0" w:right="0" w:rightChars="0"/>
              <w:jc w:val="center"/>
              <w:textAlignment w:val="auto"/>
              <w:rPr>
                <w:rFonts w:hint="eastAsia" w:ascii="宋体" w:hAnsi="宋体" w:cs="仿宋_GB2312"/>
                <w:color w:val="auto"/>
                <w:sz w:val="21"/>
                <w:szCs w:val="21"/>
                <w:highlight w:val="none"/>
                <w:lang w:val="zh-CN"/>
              </w:rPr>
            </w:pPr>
          </w:p>
        </w:tc>
        <w:tc>
          <w:tcPr>
            <w:tcW w:w="1571" w:type="dxa"/>
            <w:vMerge w:val="continue"/>
            <w:vAlign w:val="center"/>
          </w:tcPr>
          <w:p w14:paraId="56C8DEAD">
            <w:pPr>
              <w:kinsoku/>
              <w:wordWrap/>
              <w:overflowPunct/>
              <w:topLinePunct w:val="0"/>
              <w:autoSpaceDE/>
              <w:autoSpaceDN/>
              <w:bidi w:val="0"/>
              <w:spacing w:line="440" w:lineRule="exact"/>
              <w:ind w:left="0" w:leftChars="0" w:right="0" w:rightChars="0"/>
              <w:textAlignment w:val="auto"/>
              <w:rPr>
                <w:rFonts w:hint="eastAsia" w:ascii="宋体" w:hAnsi="宋体" w:cs="仿宋_GB2312"/>
                <w:color w:val="auto"/>
                <w:sz w:val="21"/>
                <w:szCs w:val="21"/>
                <w:highlight w:val="none"/>
                <w:lang w:val="zh-CN"/>
              </w:rPr>
            </w:pPr>
          </w:p>
        </w:tc>
        <w:tc>
          <w:tcPr>
            <w:tcW w:w="1998" w:type="dxa"/>
            <w:vAlign w:val="center"/>
          </w:tcPr>
          <w:p w14:paraId="73137E38">
            <w:pPr>
              <w:kinsoku/>
              <w:wordWrap/>
              <w:overflowPunct/>
              <w:topLinePunct w:val="0"/>
              <w:autoSpaceDE/>
              <w:autoSpaceDN/>
              <w:bidi w:val="0"/>
              <w:spacing w:line="440" w:lineRule="exact"/>
              <w:ind w:left="0" w:leftChars="0" w:right="0" w:rightChars="0"/>
              <w:textAlignment w:val="auto"/>
              <w:rPr>
                <w:rFonts w:hint="eastAsia" w:ascii="宋体" w:hAnsi="宋体" w:cs="仿宋_GB2312"/>
                <w:color w:val="auto"/>
                <w:sz w:val="21"/>
                <w:szCs w:val="21"/>
                <w:highlight w:val="none"/>
                <w:lang w:val="zh-CN"/>
              </w:rPr>
            </w:pPr>
            <w:r>
              <w:rPr>
                <w:rFonts w:hint="eastAsia" w:ascii="宋体" w:hAnsi="宋体" w:eastAsia="宋体" w:cs="宋体"/>
                <w:color w:val="auto"/>
                <w:sz w:val="21"/>
                <w:szCs w:val="21"/>
                <w:highlight w:val="none"/>
              </w:rPr>
              <w:t>报价唯一</w:t>
            </w:r>
          </w:p>
        </w:tc>
        <w:tc>
          <w:tcPr>
            <w:tcW w:w="5220" w:type="dxa"/>
            <w:vAlign w:val="center"/>
          </w:tcPr>
          <w:p w14:paraId="4DDE0F59">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只能有一个有效报价，不得提交选择性报价。</w:t>
            </w:r>
          </w:p>
        </w:tc>
      </w:tr>
      <w:tr w14:paraId="6D66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75" w:type="dxa"/>
            <w:vAlign w:val="center"/>
          </w:tcPr>
          <w:p w14:paraId="1B492A7D">
            <w:pPr>
              <w:kinsoku/>
              <w:wordWrap/>
              <w:overflowPunct/>
              <w:topLinePunct w:val="0"/>
              <w:autoSpaceDE/>
              <w:autoSpaceDN/>
              <w:bidi w:val="0"/>
              <w:spacing w:line="440" w:lineRule="exact"/>
              <w:ind w:left="0" w:leftChars="0" w:right="0" w:rightChars="0"/>
              <w:jc w:val="center"/>
              <w:textAlignment w:val="auto"/>
              <w:rPr>
                <w:rFonts w:hint="eastAsia" w:ascii="宋体" w:hAnsi="宋体" w:cs="仿宋_GB2312"/>
                <w:color w:val="auto"/>
                <w:sz w:val="21"/>
                <w:szCs w:val="21"/>
                <w:highlight w:val="none"/>
                <w:lang w:val="zh-CN"/>
              </w:rPr>
            </w:pPr>
            <w:r>
              <w:rPr>
                <w:rFonts w:hint="eastAsia" w:ascii="宋体" w:hAnsi="宋体" w:eastAsia="宋体" w:cs="宋体"/>
                <w:color w:val="auto"/>
                <w:kern w:val="0"/>
                <w:sz w:val="21"/>
                <w:szCs w:val="21"/>
                <w:highlight w:val="none"/>
              </w:rPr>
              <w:t>2</w:t>
            </w:r>
          </w:p>
        </w:tc>
        <w:tc>
          <w:tcPr>
            <w:tcW w:w="1571" w:type="dxa"/>
            <w:vAlign w:val="center"/>
          </w:tcPr>
          <w:p w14:paraId="60EFB6BB">
            <w:pPr>
              <w:kinsoku/>
              <w:wordWrap/>
              <w:overflowPunct/>
              <w:topLinePunct w:val="0"/>
              <w:autoSpaceDE/>
              <w:autoSpaceDN/>
              <w:bidi w:val="0"/>
              <w:spacing w:line="440" w:lineRule="exact"/>
              <w:ind w:left="0" w:leftChars="0" w:right="0" w:rightChars="0"/>
              <w:textAlignment w:val="auto"/>
              <w:rPr>
                <w:rFonts w:hint="eastAsia" w:ascii="宋体" w:hAnsi="宋体" w:cs="仿宋_GB2312"/>
                <w:color w:val="auto"/>
                <w:sz w:val="21"/>
                <w:szCs w:val="21"/>
                <w:highlight w:val="none"/>
                <w:lang w:val="zh-CN"/>
              </w:rPr>
            </w:pPr>
            <w:r>
              <w:rPr>
                <w:rFonts w:hint="eastAsia" w:ascii="宋体" w:hAnsi="宋体" w:eastAsia="宋体" w:cs="宋体"/>
                <w:color w:val="auto"/>
                <w:kern w:val="0"/>
                <w:sz w:val="21"/>
                <w:szCs w:val="21"/>
                <w:highlight w:val="none"/>
              </w:rPr>
              <w:t>完整性审查</w:t>
            </w:r>
          </w:p>
        </w:tc>
        <w:tc>
          <w:tcPr>
            <w:tcW w:w="1998" w:type="dxa"/>
            <w:vAlign w:val="center"/>
          </w:tcPr>
          <w:p w14:paraId="6741FC0C">
            <w:pPr>
              <w:kinsoku/>
              <w:wordWrap/>
              <w:overflowPunct/>
              <w:topLinePunct w:val="0"/>
              <w:autoSpaceDE/>
              <w:autoSpaceDN/>
              <w:bidi w:val="0"/>
              <w:spacing w:line="440" w:lineRule="exact"/>
              <w:ind w:left="0" w:leftChars="0" w:right="0" w:rightChars="0"/>
              <w:textAlignment w:val="auto"/>
              <w:rPr>
                <w:rFonts w:hint="eastAsia" w:ascii="宋体" w:hAnsi="宋体" w:cs="仿宋_GB2312"/>
                <w:color w:val="auto"/>
                <w:sz w:val="21"/>
                <w:szCs w:val="21"/>
                <w:highlight w:val="none"/>
                <w:lang w:val="zh-CN"/>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文件份数</w:t>
            </w:r>
          </w:p>
        </w:tc>
        <w:tc>
          <w:tcPr>
            <w:tcW w:w="5220" w:type="dxa"/>
            <w:vAlign w:val="center"/>
          </w:tcPr>
          <w:p w14:paraId="696F4993">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响应文件正、副本数量（含电子文档）符合竞争性磋商文件要求。</w:t>
            </w:r>
          </w:p>
        </w:tc>
      </w:tr>
      <w:tr w14:paraId="0D8D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75" w:type="dxa"/>
            <w:vMerge w:val="restart"/>
            <w:vAlign w:val="center"/>
          </w:tcPr>
          <w:p w14:paraId="0F10ABCF">
            <w:pPr>
              <w:kinsoku/>
              <w:wordWrap/>
              <w:overflowPunct/>
              <w:topLinePunct w:val="0"/>
              <w:autoSpaceDE/>
              <w:autoSpaceDN/>
              <w:bidi w:val="0"/>
              <w:spacing w:line="440" w:lineRule="exact"/>
              <w:ind w:left="0" w:leftChars="0" w:right="0" w:rightChars="0"/>
              <w:jc w:val="center"/>
              <w:textAlignment w:val="auto"/>
              <w:rPr>
                <w:rFonts w:hint="eastAsia" w:ascii="宋体" w:hAnsi="宋体" w:cs="仿宋_GB2312"/>
                <w:color w:val="auto"/>
                <w:sz w:val="21"/>
                <w:szCs w:val="21"/>
                <w:highlight w:val="none"/>
                <w:lang w:val="zh-CN"/>
              </w:rPr>
            </w:pPr>
            <w:r>
              <w:rPr>
                <w:rFonts w:hint="eastAsia" w:ascii="宋体" w:hAnsi="宋体" w:eastAsia="宋体" w:cs="宋体"/>
                <w:color w:val="auto"/>
                <w:kern w:val="0"/>
                <w:sz w:val="21"/>
                <w:szCs w:val="21"/>
                <w:highlight w:val="none"/>
              </w:rPr>
              <w:t>3</w:t>
            </w:r>
          </w:p>
        </w:tc>
        <w:tc>
          <w:tcPr>
            <w:tcW w:w="1571" w:type="dxa"/>
            <w:vMerge w:val="restart"/>
            <w:vAlign w:val="center"/>
          </w:tcPr>
          <w:p w14:paraId="0D9BCDF0">
            <w:pPr>
              <w:kinsoku/>
              <w:wordWrap/>
              <w:overflowPunct/>
              <w:topLinePunct w:val="0"/>
              <w:autoSpaceDE/>
              <w:autoSpaceDN/>
              <w:bidi w:val="0"/>
              <w:spacing w:line="440" w:lineRule="exact"/>
              <w:ind w:left="0" w:leftChars="0" w:right="0" w:rightChars="0"/>
              <w:textAlignment w:val="auto"/>
              <w:rPr>
                <w:rFonts w:hint="eastAsia" w:ascii="宋体" w:hAnsi="宋体" w:cs="仿宋_GB2312"/>
                <w:color w:val="auto"/>
                <w:sz w:val="21"/>
                <w:szCs w:val="21"/>
                <w:highlight w:val="none"/>
                <w:lang w:val="zh-CN"/>
              </w:rPr>
            </w:pPr>
            <w:r>
              <w:rPr>
                <w:rFonts w:hint="eastAsia" w:ascii="宋体" w:hAnsi="宋体" w:eastAsia="宋体" w:cs="宋体"/>
                <w:color w:val="auto"/>
                <w:kern w:val="0"/>
                <w:sz w:val="21"/>
                <w:szCs w:val="21"/>
                <w:highlight w:val="none"/>
              </w:rPr>
              <w:t>竞争性磋商文件的响应程度审查</w:t>
            </w:r>
          </w:p>
        </w:tc>
        <w:tc>
          <w:tcPr>
            <w:tcW w:w="1998" w:type="dxa"/>
            <w:vAlign w:val="center"/>
          </w:tcPr>
          <w:p w14:paraId="2D382A55">
            <w:pPr>
              <w:kinsoku/>
              <w:wordWrap/>
              <w:overflowPunct/>
              <w:topLinePunct w:val="0"/>
              <w:autoSpaceDE/>
              <w:autoSpaceDN/>
              <w:bidi w:val="0"/>
              <w:spacing w:line="440" w:lineRule="exact"/>
              <w:ind w:left="0" w:leftChars="0" w:right="0" w:rightChars="0"/>
              <w:textAlignment w:val="auto"/>
              <w:rPr>
                <w:rFonts w:hint="eastAsia" w:ascii="宋体" w:hAnsi="宋体" w:cs="仿宋_GB2312"/>
                <w:color w:val="auto"/>
                <w:sz w:val="21"/>
                <w:szCs w:val="21"/>
                <w:highlight w:val="none"/>
                <w:lang w:val="zh-CN"/>
              </w:rPr>
            </w:pPr>
            <w:r>
              <w:rPr>
                <w:rFonts w:hint="eastAsia" w:ascii="宋体" w:hAnsi="宋体" w:eastAsia="宋体" w:cs="宋体"/>
                <w:color w:val="auto"/>
                <w:kern w:val="0"/>
                <w:sz w:val="21"/>
                <w:szCs w:val="21"/>
                <w:highlight w:val="none"/>
              </w:rPr>
              <w:t>响应文件内容</w:t>
            </w:r>
          </w:p>
        </w:tc>
        <w:tc>
          <w:tcPr>
            <w:tcW w:w="5220" w:type="dxa"/>
            <w:vAlign w:val="center"/>
          </w:tcPr>
          <w:p w14:paraId="5EBCD6EB">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竞争性磋商文件第二篇、第三篇。</w:t>
            </w:r>
          </w:p>
        </w:tc>
      </w:tr>
      <w:tr w14:paraId="398B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75" w:type="dxa"/>
            <w:vMerge w:val="continue"/>
            <w:vAlign w:val="center"/>
          </w:tcPr>
          <w:p w14:paraId="00079AF9">
            <w:pPr>
              <w:kinsoku/>
              <w:wordWrap/>
              <w:overflowPunct/>
              <w:topLinePunct w:val="0"/>
              <w:autoSpaceDE/>
              <w:autoSpaceDN/>
              <w:bidi w:val="0"/>
              <w:spacing w:line="440" w:lineRule="exact"/>
              <w:ind w:left="0" w:leftChars="0" w:right="0" w:rightChars="0"/>
              <w:jc w:val="center"/>
              <w:textAlignment w:val="auto"/>
              <w:rPr>
                <w:rFonts w:hint="eastAsia" w:ascii="宋体" w:hAnsi="宋体" w:eastAsia="宋体" w:cs="宋体"/>
                <w:color w:val="auto"/>
                <w:kern w:val="0"/>
                <w:sz w:val="21"/>
                <w:szCs w:val="21"/>
                <w:highlight w:val="none"/>
              </w:rPr>
            </w:pPr>
          </w:p>
        </w:tc>
        <w:tc>
          <w:tcPr>
            <w:tcW w:w="1571" w:type="dxa"/>
            <w:vMerge w:val="continue"/>
            <w:vAlign w:val="center"/>
          </w:tcPr>
          <w:p w14:paraId="1B51BC7F">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kern w:val="0"/>
                <w:sz w:val="21"/>
                <w:szCs w:val="21"/>
                <w:highlight w:val="none"/>
              </w:rPr>
            </w:pPr>
          </w:p>
        </w:tc>
        <w:tc>
          <w:tcPr>
            <w:tcW w:w="1998" w:type="dxa"/>
            <w:vAlign w:val="center"/>
          </w:tcPr>
          <w:p w14:paraId="6D28800D">
            <w:pPr>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磋商有效期</w:t>
            </w:r>
          </w:p>
        </w:tc>
        <w:tc>
          <w:tcPr>
            <w:tcW w:w="5220" w:type="dxa"/>
            <w:vAlign w:val="center"/>
          </w:tcPr>
          <w:p w14:paraId="799E38A1">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响应文件及有关承诺文件有效期为提交响应文件截止时间起90天。</w:t>
            </w:r>
          </w:p>
        </w:tc>
      </w:tr>
    </w:tbl>
    <w:p w14:paraId="16C89FF8">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注：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29ADB254">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79F1410">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CD17197">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（五）在磋商过程中磋商的任何一方不得向他人透露与磋商有关的技术资料、价格或其他信息。</w:t>
      </w:r>
    </w:p>
    <w:p w14:paraId="09FFAE83">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30D6866C">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（七）供应商在磋商时作出的所有书面承诺须由法定代表人或其授权代表签字。</w:t>
      </w:r>
    </w:p>
    <w:p w14:paraId="30EFA4DE">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w:t>
      </w:r>
      <w:r>
        <w:rPr>
          <w:rFonts w:hint="eastAsia" w:ascii="宋体" w:hAnsi="宋体"/>
          <w:color w:val="auto"/>
          <w:szCs w:val="24"/>
          <w:highlight w:val="none"/>
          <w:lang w:eastAsia="zh-CN"/>
        </w:rPr>
        <w:t>（</w:t>
      </w:r>
      <w:r>
        <w:rPr>
          <w:rFonts w:hint="eastAsia" w:ascii="宋体" w:hAnsi="宋体"/>
          <w:color w:val="auto"/>
          <w:szCs w:val="24"/>
          <w:highlight w:val="none"/>
        </w:rPr>
        <w:t>《最后报价表》在磋商现场向供应商提供）。</w:t>
      </w:r>
      <w:r>
        <w:rPr>
          <w:rFonts w:ascii="宋体" w:hAnsi="宋体"/>
          <w:color w:val="auto"/>
          <w:szCs w:val="24"/>
          <w:highlight w:val="none"/>
        </w:rPr>
        <w:t>已提交响应文件</w:t>
      </w:r>
      <w:r>
        <w:rPr>
          <w:rFonts w:hint="eastAsia" w:ascii="宋体" w:hAnsi="宋体"/>
          <w:color w:val="auto"/>
          <w:szCs w:val="24"/>
          <w:highlight w:val="none"/>
        </w:rPr>
        <w:t>但未在规定时间内进行最后报价</w:t>
      </w:r>
      <w:r>
        <w:rPr>
          <w:rFonts w:ascii="宋体" w:hAnsi="宋体"/>
          <w:color w:val="auto"/>
          <w:szCs w:val="24"/>
          <w:highlight w:val="none"/>
        </w:rPr>
        <w:t>的供应商，</w:t>
      </w:r>
      <w:r>
        <w:rPr>
          <w:rFonts w:hint="eastAsia" w:ascii="宋体" w:hAnsi="宋体"/>
          <w:color w:val="auto"/>
          <w:szCs w:val="24"/>
          <w:highlight w:val="none"/>
        </w:rPr>
        <w:t>视为放弃最后报价，以供应商响应文件中的报价为准。</w:t>
      </w:r>
    </w:p>
    <w:p w14:paraId="7494A4FF">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详见评审标准）。</w:t>
      </w:r>
    </w:p>
    <w:p w14:paraId="058ACE5D">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十）磋商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若供应商的服务部分为0分，将失去成为成交候选供应商的资格。</w:t>
      </w:r>
    </w:p>
    <w:p w14:paraId="391B85D9">
      <w:pPr>
        <w:pStyle w:val="4"/>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63" w:name="_Toc31235"/>
      <w:r>
        <w:rPr>
          <w:rFonts w:hint="eastAsia" w:ascii="宋体" w:hAnsi="宋体"/>
          <w:color w:val="auto"/>
          <w:sz w:val="24"/>
          <w:szCs w:val="24"/>
          <w:highlight w:val="none"/>
        </w:rPr>
        <w:t>二、</w:t>
      </w:r>
      <w:bookmarkStart w:id="64" w:name="_Toc342913394"/>
      <w:bookmarkStart w:id="65" w:name="_Toc102227320"/>
      <w:r>
        <w:rPr>
          <w:rFonts w:hint="eastAsia" w:ascii="宋体" w:hAnsi="宋体"/>
          <w:color w:val="auto"/>
          <w:sz w:val="24"/>
          <w:szCs w:val="24"/>
          <w:highlight w:val="none"/>
        </w:rPr>
        <w:t>评审标准</w:t>
      </w:r>
      <w:bookmarkEnd w:id="63"/>
    </w:p>
    <w:tbl>
      <w:tblPr>
        <w:tblStyle w:val="59"/>
        <w:tblW w:w="9658"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0"/>
        <w:gridCol w:w="995"/>
        <w:gridCol w:w="848"/>
        <w:gridCol w:w="5091"/>
        <w:gridCol w:w="2144"/>
      </w:tblGrid>
      <w:tr w14:paraId="3EC1B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580" w:type="dxa"/>
            <w:noWrap/>
            <w:tcMar>
              <w:top w:w="15" w:type="dxa"/>
              <w:left w:w="15" w:type="dxa"/>
              <w:right w:w="15" w:type="dxa"/>
            </w:tcMar>
            <w:vAlign w:val="center"/>
          </w:tcPr>
          <w:p w14:paraId="6FEABB48">
            <w:pPr>
              <w:kinsoku/>
              <w:wordWrap/>
              <w:overflowPunct/>
              <w:topLinePunct w:val="0"/>
              <w:bidi w:val="0"/>
              <w:snapToGrid/>
              <w:spacing w:line="360" w:lineRule="auto"/>
              <w:ind w:firstLine="28"/>
              <w:jc w:val="center"/>
              <w:textAlignment w:val="auto"/>
              <w:rPr>
                <w:rFonts w:hint="eastAsia" w:ascii="宋体" w:hAnsi="宋体"/>
                <w:b/>
                <w:color w:val="auto"/>
                <w:sz w:val="21"/>
                <w:szCs w:val="21"/>
                <w:highlight w:val="none"/>
              </w:rPr>
            </w:pPr>
            <w:r>
              <w:rPr>
                <w:rFonts w:hint="eastAsia" w:ascii="宋体" w:hAnsi="宋体"/>
                <w:b/>
                <w:color w:val="auto"/>
                <w:sz w:val="21"/>
                <w:szCs w:val="21"/>
                <w:highlight w:val="none"/>
              </w:rPr>
              <w:t>序号</w:t>
            </w:r>
          </w:p>
        </w:tc>
        <w:tc>
          <w:tcPr>
            <w:tcW w:w="995" w:type="dxa"/>
            <w:noWrap/>
            <w:tcMar>
              <w:top w:w="15" w:type="dxa"/>
              <w:left w:w="15" w:type="dxa"/>
              <w:right w:w="15" w:type="dxa"/>
            </w:tcMar>
            <w:vAlign w:val="center"/>
          </w:tcPr>
          <w:p w14:paraId="1B1FB71D">
            <w:pPr>
              <w:kinsoku/>
              <w:wordWrap/>
              <w:overflowPunct/>
              <w:topLinePunct w:val="0"/>
              <w:bidi w:val="0"/>
              <w:snapToGrid/>
              <w:spacing w:line="360" w:lineRule="auto"/>
              <w:ind w:firstLine="28"/>
              <w:jc w:val="center"/>
              <w:textAlignment w:val="auto"/>
              <w:rPr>
                <w:rFonts w:hint="eastAsia" w:ascii="宋体" w:hAnsi="宋体"/>
                <w:b/>
                <w:color w:val="auto"/>
                <w:sz w:val="21"/>
                <w:szCs w:val="21"/>
                <w:highlight w:val="none"/>
              </w:rPr>
            </w:pPr>
            <w:r>
              <w:rPr>
                <w:rFonts w:hint="eastAsia" w:ascii="宋体" w:hAnsi="宋体"/>
                <w:b/>
                <w:color w:val="auto"/>
                <w:sz w:val="21"/>
                <w:szCs w:val="21"/>
                <w:highlight w:val="none"/>
              </w:rPr>
              <w:t>评分因素及权重</w:t>
            </w:r>
          </w:p>
        </w:tc>
        <w:tc>
          <w:tcPr>
            <w:tcW w:w="848" w:type="dxa"/>
            <w:noWrap/>
            <w:tcMar>
              <w:top w:w="15" w:type="dxa"/>
              <w:left w:w="15" w:type="dxa"/>
              <w:right w:w="15" w:type="dxa"/>
            </w:tcMar>
            <w:vAlign w:val="center"/>
          </w:tcPr>
          <w:p w14:paraId="2AC0940D">
            <w:pPr>
              <w:kinsoku/>
              <w:wordWrap/>
              <w:overflowPunct/>
              <w:topLinePunct w:val="0"/>
              <w:bidi w:val="0"/>
              <w:snapToGrid/>
              <w:spacing w:line="360" w:lineRule="auto"/>
              <w:ind w:firstLine="28"/>
              <w:jc w:val="center"/>
              <w:textAlignment w:val="auto"/>
              <w:rPr>
                <w:rFonts w:hint="eastAsia" w:ascii="宋体" w:hAnsi="宋体"/>
                <w:b/>
                <w:color w:val="auto"/>
                <w:sz w:val="21"/>
                <w:szCs w:val="21"/>
                <w:highlight w:val="none"/>
              </w:rPr>
            </w:pPr>
            <w:r>
              <w:rPr>
                <w:rFonts w:hint="eastAsia" w:ascii="宋体" w:hAnsi="宋体"/>
                <w:b/>
                <w:color w:val="auto"/>
                <w:sz w:val="21"/>
                <w:szCs w:val="21"/>
                <w:highlight w:val="none"/>
              </w:rPr>
              <w:t>分值</w:t>
            </w:r>
          </w:p>
        </w:tc>
        <w:tc>
          <w:tcPr>
            <w:tcW w:w="5091" w:type="dxa"/>
            <w:noWrap/>
            <w:tcMar>
              <w:top w:w="15" w:type="dxa"/>
              <w:left w:w="15" w:type="dxa"/>
              <w:right w:w="15" w:type="dxa"/>
            </w:tcMar>
            <w:vAlign w:val="center"/>
          </w:tcPr>
          <w:p w14:paraId="38FC7942">
            <w:pPr>
              <w:kinsoku/>
              <w:wordWrap/>
              <w:overflowPunct/>
              <w:topLinePunct w:val="0"/>
              <w:bidi w:val="0"/>
              <w:snapToGrid/>
              <w:spacing w:line="360" w:lineRule="auto"/>
              <w:ind w:firstLine="28"/>
              <w:jc w:val="center"/>
              <w:textAlignment w:val="auto"/>
              <w:rPr>
                <w:rFonts w:hint="eastAsia" w:ascii="宋体" w:hAnsi="宋体"/>
                <w:b/>
                <w:color w:val="auto"/>
                <w:sz w:val="21"/>
                <w:szCs w:val="21"/>
                <w:highlight w:val="none"/>
              </w:rPr>
            </w:pPr>
            <w:r>
              <w:rPr>
                <w:rFonts w:hint="eastAsia" w:ascii="宋体" w:hAnsi="宋体"/>
                <w:b/>
                <w:color w:val="auto"/>
                <w:sz w:val="21"/>
                <w:szCs w:val="21"/>
                <w:highlight w:val="none"/>
              </w:rPr>
              <w:t>评分标准</w:t>
            </w:r>
          </w:p>
        </w:tc>
        <w:tc>
          <w:tcPr>
            <w:tcW w:w="2144" w:type="dxa"/>
            <w:noWrap/>
            <w:tcMar>
              <w:top w:w="15" w:type="dxa"/>
              <w:left w:w="15" w:type="dxa"/>
              <w:right w:w="15" w:type="dxa"/>
            </w:tcMar>
            <w:vAlign w:val="center"/>
          </w:tcPr>
          <w:p w14:paraId="48C4BE34">
            <w:pPr>
              <w:kinsoku/>
              <w:wordWrap/>
              <w:overflowPunct/>
              <w:topLinePunct w:val="0"/>
              <w:bidi w:val="0"/>
              <w:snapToGrid/>
              <w:spacing w:line="360" w:lineRule="auto"/>
              <w:ind w:firstLine="28"/>
              <w:jc w:val="center"/>
              <w:textAlignment w:val="auto"/>
              <w:rPr>
                <w:rFonts w:hint="eastAsia" w:ascii="宋体" w:hAnsi="宋体"/>
                <w:b/>
                <w:color w:val="auto"/>
                <w:sz w:val="21"/>
                <w:szCs w:val="21"/>
                <w:highlight w:val="none"/>
              </w:rPr>
            </w:pPr>
            <w:r>
              <w:rPr>
                <w:rFonts w:hint="eastAsia" w:ascii="宋体" w:hAnsi="宋体"/>
                <w:b/>
                <w:color w:val="auto"/>
                <w:sz w:val="21"/>
                <w:szCs w:val="21"/>
                <w:highlight w:val="none"/>
              </w:rPr>
              <w:t>说明</w:t>
            </w:r>
          </w:p>
        </w:tc>
      </w:tr>
      <w:tr w14:paraId="262AC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580" w:type="dxa"/>
            <w:noWrap/>
            <w:tcMar>
              <w:top w:w="15" w:type="dxa"/>
              <w:left w:w="15" w:type="dxa"/>
              <w:right w:w="15" w:type="dxa"/>
            </w:tcMar>
            <w:vAlign w:val="center"/>
          </w:tcPr>
          <w:p w14:paraId="29071F5B">
            <w:pPr>
              <w:kinsoku/>
              <w:wordWrap/>
              <w:overflowPunct/>
              <w:topLinePunct w:val="0"/>
              <w:bidi w:val="0"/>
              <w:snapToGrid/>
              <w:spacing w:line="360" w:lineRule="auto"/>
              <w:ind w:firstLine="28"/>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1</w:t>
            </w:r>
          </w:p>
        </w:tc>
        <w:tc>
          <w:tcPr>
            <w:tcW w:w="995" w:type="dxa"/>
            <w:noWrap/>
            <w:tcMar>
              <w:top w:w="15" w:type="dxa"/>
              <w:left w:w="15" w:type="dxa"/>
              <w:right w:w="15" w:type="dxa"/>
            </w:tcMar>
            <w:vAlign w:val="center"/>
          </w:tcPr>
          <w:p w14:paraId="114AA081">
            <w:pPr>
              <w:kinsoku/>
              <w:wordWrap/>
              <w:overflowPunct/>
              <w:topLinePunct w:val="0"/>
              <w:bidi w:val="0"/>
              <w:spacing w:line="360" w:lineRule="auto"/>
              <w:jc w:val="center"/>
              <w:textAlignment w:val="auto"/>
              <w:rPr>
                <w:rFonts w:hint="eastAsia"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磋商报价</w:t>
            </w:r>
          </w:p>
          <w:p w14:paraId="76FC4269">
            <w:pPr>
              <w:kinsoku/>
              <w:wordWrap/>
              <w:overflowPunct/>
              <w:topLinePunct w:val="0"/>
              <w:bidi w:val="0"/>
              <w:spacing w:line="360" w:lineRule="auto"/>
              <w:jc w:val="center"/>
              <w:textAlignment w:val="auto"/>
              <w:rPr>
                <w:rFonts w:hint="eastAsia"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w:t>
            </w:r>
            <w:r>
              <w:rPr>
                <w:rFonts w:hint="eastAsia" w:ascii="宋体" w:hAnsi="宋体" w:cs="仿宋_GB2312"/>
                <w:color w:val="auto"/>
                <w:sz w:val="21"/>
                <w:szCs w:val="21"/>
                <w:highlight w:val="none"/>
                <w:lang w:val="en-US" w:eastAsia="zh-CN"/>
              </w:rPr>
              <w:t>30</w:t>
            </w:r>
            <w:r>
              <w:rPr>
                <w:rFonts w:hint="eastAsia" w:ascii="宋体" w:hAnsi="宋体" w:cs="仿宋_GB2312"/>
                <w:color w:val="auto"/>
                <w:sz w:val="21"/>
                <w:szCs w:val="21"/>
                <w:highlight w:val="none"/>
                <w:lang w:val="zh-CN"/>
              </w:rPr>
              <w:t>%)</w:t>
            </w:r>
          </w:p>
        </w:tc>
        <w:tc>
          <w:tcPr>
            <w:tcW w:w="848" w:type="dxa"/>
            <w:noWrap/>
            <w:tcMar>
              <w:top w:w="15" w:type="dxa"/>
              <w:left w:w="15" w:type="dxa"/>
              <w:right w:w="15" w:type="dxa"/>
            </w:tcMar>
            <w:vAlign w:val="center"/>
          </w:tcPr>
          <w:p w14:paraId="468CB646">
            <w:pPr>
              <w:kinsoku/>
              <w:wordWrap/>
              <w:overflowPunct/>
              <w:topLinePunct w:val="0"/>
              <w:bidi w:val="0"/>
              <w:spacing w:line="360" w:lineRule="auto"/>
              <w:jc w:val="center"/>
              <w:textAlignment w:val="auto"/>
              <w:rPr>
                <w:rFonts w:hint="eastAsia" w:ascii="宋体" w:hAnsi="宋体" w:cs="仿宋_GB2312"/>
                <w:color w:val="auto"/>
                <w:sz w:val="21"/>
                <w:szCs w:val="21"/>
                <w:highlight w:val="none"/>
                <w:lang w:val="zh-CN"/>
              </w:rPr>
            </w:pPr>
            <w:r>
              <w:rPr>
                <w:rFonts w:hint="eastAsia" w:ascii="宋体" w:hAnsi="宋体" w:cs="仿宋_GB2312"/>
                <w:color w:val="auto"/>
                <w:sz w:val="21"/>
                <w:szCs w:val="21"/>
                <w:highlight w:val="none"/>
                <w:lang w:val="en-US" w:eastAsia="zh-CN"/>
              </w:rPr>
              <w:t>30</w:t>
            </w:r>
            <w:r>
              <w:rPr>
                <w:rFonts w:hint="eastAsia" w:ascii="宋体" w:hAnsi="宋体" w:cs="仿宋_GB2312"/>
                <w:color w:val="auto"/>
                <w:sz w:val="21"/>
                <w:szCs w:val="21"/>
                <w:highlight w:val="none"/>
                <w:lang w:val="zh-CN"/>
              </w:rPr>
              <w:t>分</w:t>
            </w:r>
          </w:p>
        </w:tc>
        <w:tc>
          <w:tcPr>
            <w:tcW w:w="5091" w:type="dxa"/>
            <w:noWrap/>
            <w:tcMar>
              <w:top w:w="15" w:type="dxa"/>
              <w:left w:w="15" w:type="dxa"/>
              <w:right w:w="15" w:type="dxa"/>
            </w:tcMar>
            <w:vAlign w:val="center"/>
          </w:tcPr>
          <w:p w14:paraId="1F396649">
            <w:pPr>
              <w:kinsoku/>
              <w:wordWrap/>
              <w:overflowPunct/>
              <w:topLinePunct w:val="0"/>
              <w:bidi w:val="0"/>
              <w:snapToGrid/>
              <w:spacing w:line="36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满足资格性、符合性要求且最后报价最低的供应商的价格为磋商基准价，其价格分为满分。其他供应商的价格分统一按照下列公式计算：</w:t>
            </w:r>
          </w:p>
          <w:p w14:paraId="7815C39A">
            <w:pPr>
              <w:kinsoku/>
              <w:wordWrap/>
              <w:overflowPunct/>
              <w:topLinePunct w:val="0"/>
              <w:bidi w:val="0"/>
              <w:snapToGrid/>
              <w:spacing w:line="36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磋商报价得分=（磋商基准价/最后磋商报价）×价格权值×100</w:t>
            </w:r>
          </w:p>
        </w:tc>
        <w:tc>
          <w:tcPr>
            <w:tcW w:w="2144" w:type="dxa"/>
            <w:vAlign w:val="center"/>
          </w:tcPr>
          <w:p w14:paraId="75FDD6EA">
            <w:pPr>
              <w:kinsoku/>
              <w:wordWrap/>
              <w:overflowPunct/>
              <w:topLinePunct w:val="0"/>
              <w:bidi w:val="0"/>
              <w:snapToGrid/>
              <w:spacing w:line="360" w:lineRule="auto"/>
              <w:textAlignment w:val="auto"/>
              <w:rPr>
                <w:rFonts w:hint="eastAsia" w:ascii="宋体" w:hAnsi="宋体"/>
                <w:color w:val="auto"/>
                <w:sz w:val="21"/>
                <w:szCs w:val="21"/>
                <w:highlight w:val="none"/>
              </w:rPr>
            </w:pPr>
            <w:r>
              <w:rPr>
                <w:rFonts w:hint="eastAsia" w:ascii="宋体" w:hAnsi="宋体" w:cs="宋体"/>
                <w:color w:val="auto"/>
                <w:kern w:val="0"/>
                <w:sz w:val="21"/>
                <w:szCs w:val="21"/>
                <w:highlight w:val="none"/>
              </w:rPr>
              <w:t>对小微企业的价格用扣除后的价格参与评审，详见“关于小微企业报价扣除比例说明”。</w:t>
            </w:r>
          </w:p>
        </w:tc>
      </w:tr>
      <w:tr w14:paraId="73AFF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580" w:type="dxa"/>
            <w:vMerge w:val="restart"/>
            <w:noWrap/>
            <w:tcMar>
              <w:top w:w="15" w:type="dxa"/>
              <w:left w:w="15" w:type="dxa"/>
              <w:right w:w="15" w:type="dxa"/>
            </w:tcMar>
            <w:vAlign w:val="center"/>
          </w:tcPr>
          <w:p w14:paraId="51E66D2D">
            <w:pPr>
              <w:kinsoku/>
              <w:wordWrap/>
              <w:overflowPunct/>
              <w:topLinePunct w:val="0"/>
              <w:bidi w:val="0"/>
              <w:snapToGrid/>
              <w:spacing w:line="360" w:lineRule="auto"/>
              <w:ind w:firstLine="28"/>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2</w:t>
            </w:r>
          </w:p>
        </w:tc>
        <w:tc>
          <w:tcPr>
            <w:tcW w:w="995" w:type="dxa"/>
            <w:vMerge w:val="restart"/>
            <w:noWrap/>
            <w:tcMar>
              <w:top w:w="15" w:type="dxa"/>
              <w:left w:w="15" w:type="dxa"/>
              <w:right w:w="15" w:type="dxa"/>
            </w:tcMar>
            <w:vAlign w:val="center"/>
          </w:tcPr>
          <w:p w14:paraId="0FF7365C">
            <w:pPr>
              <w:kinsoku/>
              <w:wordWrap/>
              <w:overflowPunct/>
              <w:topLinePunct w:val="0"/>
              <w:bidi w:val="0"/>
              <w:spacing w:line="360" w:lineRule="auto"/>
              <w:jc w:val="center"/>
              <w:textAlignment w:val="auto"/>
              <w:rPr>
                <w:rFonts w:hint="eastAsia" w:ascii="宋体" w:hAnsi="宋体" w:cs="仿宋_GB2312"/>
                <w:color w:val="auto"/>
                <w:sz w:val="21"/>
                <w:szCs w:val="21"/>
                <w:highlight w:val="none"/>
                <w:lang w:val="zh-CN"/>
              </w:rPr>
            </w:pPr>
            <w:r>
              <w:rPr>
                <w:rFonts w:hint="eastAsia" w:ascii="宋体" w:hAnsi="宋体" w:cs="仿宋_GB2312"/>
                <w:color w:val="auto"/>
                <w:sz w:val="21"/>
                <w:szCs w:val="21"/>
                <w:highlight w:val="none"/>
                <w:lang w:val="en-US" w:eastAsia="zh-CN"/>
              </w:rPr>
              <w:t>服务</w:t>
            </w:r>
            <w:r>
              <w:rPr>
                <w:rFonts w:hint="eastAsia" w:ascii="宋体" w:hAnsi="宋体" w:cs="仿宋_GB2312"/>
                <w:color w:val="auto"/>
                <w:sz w:val="21"/>
                <w:szCs w:val="21"/>
                <w:highlight w:val="none"/>
                <w:lang w:val="zh-CN"/>
              </w:rPr>
              <w:t>部分</w:t>
            </w:r>
          </w:p>
          <w:p w14:paraId="19ED2730">
            <w:pPr>
              <w:kinsoku/>
              <w:wordWrap/>
              <w:overflowPunct/>
              <w:topLinePunct w:val="0"/>
              <w:bidi w:val="0"/>
              <w:spacing w:line="360" w:lineRule="auto"/>
              <w:jc w:val="center"/>
              <w:textAlignment w:val="auto"/>
              <w:rPr>
                <w:rFonts w:hint="eastAsia"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w:t>
            </w:r>
            <w:r>
              <w:rPr>
                <w:rFonts w:hint="eastAsia" w:ascii="宋体" w:hAnsi="宋体" w:cs="仿宋_GB2312"/>
                <w:color w:val="auto"/>
                <w:sz w:val="21"/>
                <w:szCs w:val="21"/>
                <w:highlight w:val="none"/>
                <w:lang w:val="en-US" w:eastAsia="zh-CN"/>
              </w:rPr>
              <w:t>50</w:t>
            </w:r>
            <w:r>
              <w:rPr>
                <w:rFonts w:hint="eastAsia" w:ascii="宋体" w:hAnsi="宋体" w:cs="仿宋_GB2312"/>
                <w:color w:val="auto"/>
                <w:sz w:val="21"/>
                <w:szCs w:val="21"/>
                <w:highlight w:val="none"/>
                <w:lang w:val="zh-CN"/>
              </w:rPr>
              <w:t>%)</w:t>
            </w:r>
          </w:p>
        </w:tc>
        <w:tc>
          <w:tcPr>
            <w:tcW w:w="848" w:type="dxa"/>
            <w:noWrap/>
            <w:tcMar>
              <w:top w:w="15" w:type="dxa"/>
              <w:left w:w="15" w:type="dxa"/>
              <w:right w:w="15" w:type="dxa"/>
            </w:tcMar>
            <w:vAlign w:val="center"/>
          </w:tcPr>
          <w:p w14:paraId="63CD01B9">
            <w:pPr>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color w:val="auto"/>
                <w:sz w:val="21"/>
                <w:szCs w:val="21"/>
                <w:highlight w:val="none"/>
              </w:rPr>
              <w:t>详细的检测试验方案</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5F277A12">
            <w:pPr>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rPr>
            </w:pPr>
          </w:p>
        </w:tc>
        <w:tc>
          <w:tcPr>
            <w:tcW w:w="5091" w:type="dxa"/>
            <w:tcBorders>
              <w:bottom w:val="single" w:color="auto" w:sz="4" w:space="0"/>
            </w:tcBorders>
            <w:noWrap/>
            <w:tcMar>
              <w:top w:w="15" w:type="dxa"/>
              <w:left w:w="15" w:type="dxa"/>
              <w:right w:w="15" w:type="dxa"/>
            </w:tcMar>
            <w:vAlign w:val="center"/>
          </w:tcPr>
          <w:p w14:paraId="50DD58CC">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针对本项目提供完整的检测方案及措施（与本项目相关的检验和能力，对服务范围内提出任务的理解、</w:t>
            </w:r>
            <w:r>
              <w:rPr>
                <w:rFonts w:hint="eastAsia" w:ascii="宋体" w:hAnsi="宋体" w:cs="宋体"/>
                <w:color w:val="auto"/>
                <w:sz w:val="21"/>
                <w:szCs w:val="21"/>
                <w:highlight w:val="none"/>
                <w:lang w:eastAsia="zh-CN"/>
              </w:rPr>
              <w:t>实施</w:t>
            </w:r>
            <w:r>
              <w:rPr>
                <w:rFonts w:hint="eastAsia" w:ascii="宋体" w:hAnsi="宋体" w:eastAsia="宋体" w:cs="宋体"/>
                <w:color w:val="auto"/>
                <w:sz w:val="21"/>
                <w:szCs w:val="21"/>
                <w:highlight w:val="none"/>
              </w:rPr>
              <w:t>思路，对招标项目的特点理解、对策、措施等）。评委根据各</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所报方案进行评审。</w:t>
            </w:r>
          </w:p>
          <w:p w14:paraId="59D0B715">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方案内容不存在瑕疵得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254877EC">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方案内容存在1处瑕疵得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64D7CE34">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方案内容存在2处瑕疵</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6C917DFE">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处瑕疵</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07FA5BFA">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处</w:t>
            </w:r>
            <w:r>
              <w:rPr>
                <w:rFonts w:hint="eastAsia" w:ascii="宋体" w:hAnsi="宋体" w:eastAsia="宋体" w:cs="宋体"/>
                <w:color w:val="auto"/>
                <w:sz w:val="21"/>
                <w:szCs w:val="21"/>
                <w:highlight w:val="none"/>
                <w:lang w:val="en-US" w:eastAsia="zh-CN"/>
              </w:rPr>
              <w:t>及以上</w:t>
            </w:r>
            <w:r>
              <w:rPr>
                <w:rFonts w:hint="eastAsia" w:ascii="宋体" w:hAnsi="宋体" w:eastAsia="宋体" w:cs="宋体"/>
                <w:color w:val="auto"/>
                <w:sz w:val="21"/>
                <w:szCs w:val="21"/>
                <w:highlight w:val="none"/>
              </w:rPr>
              <w:t>瑕疵</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4FEC36E7">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无方案不得分</w:t>
            </w:r>
            <w:r>
              <w:rPr>
                <w:rFonts w:hint="eastAsia" w:ascii="宋体" w:hAnsi="宋体" w:eastAsia="宋体" w:cs="宋体"/>
                <w:color w:val="auto"/>
                <w:sz w:val="21"/>
                <w:szCs w:val="21"/>
                <w:highlight w:val="none"/>
              </w:rPr>
              <w:t>。</w:t>
            </w:r>
          </w:p>
        </w:tc>
        <w:tc>
          <w:tcPr>
            <w:tcW w:w="2144" w:type="dxa"/>
            <w:vMerge w:val="restart"/>
            <w:noWrap/>
            <w:tcMar>
              <w:top w:w="15" w:type="dxa"/>
              <w:left w:w="15" w:type="dxa"/>
              <w:right w:w="15" w:type="dxa"/>
            </w:tcMar>
            <w:vAlign w:val="center"/>
          </w:tcPr>
          <w:p w14:paraId="321C89EA">
            <w:pPr>
              <w:kinsoku/>
              <w:wordWrap/>
              <w:overflowPunct/>
              <w:topLinePunct w:val="0"/>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提供方案，格式自拟。</w:t>
            </w:r>
          </w:p>
          <w:p w14:paraId="6DA1D0F0">
            <w:pPr>
              <w:kinsoku/>
              <w:wordWrap/>
              <w:overflowPunct/>
              <w:topLinePunct w:val="0"/>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p>
          <w:p w14:paraId="5E94AB77">
            <w:pPr>
              <w:kinsoku/>
              <w:wordWrap/>
              <w:overflowPunct/>
              <w:topLinePunct w:val="0"/>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1.本项内容中所称的“瑕疵”指方案存在</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内容缺项或内容表述不完整；</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缺少任意一项内容的针对性描述分析或缺少关键分析点；</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方案内容表述前后矛盾、无连贯性；</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方案操作性不强或内容存在逻辑不合理；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内容存在常识错误、科学原理错误；</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6</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措施保障安排并不适</w:t>
            </w:r>
            <w:r>
              <w:rPr>
                <w:rFonts w:hint="eastAsia" w:ascii="宋体" w:hAnsi="宋体" w:cs="宋体"/>
                <w:color w:val="auto"/>
                <w:sz w:val="21"/>
                <w:szCs w:val="21"/>
                <w:highlight w:val="none"/>
                <w:lang w:val="en-US" w:eastAsia="zh-CN"/>
              </w:rPr>
              <w:t>用于</w:t>
            </w:r>
            <w:r>
              <w:rPr>
                <w:rFonts w:hint="eastAsia" w:ascii="宋体" w:hAnsi="宋体" w:eastAsia="宋体" w:cs="宋体"/>
                <w:color w:val="auto"/>
                <w:sz w:val="21"/>
                <w:szCs w:val="21"/>
                <w:highlight w:val="none"/>
                <w:lang w:val="en-US" w:eastAsia="zh-CN"/>
              </w:rPr>
              <w:t>本项目；</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方案不是专门针对本项目制定；</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8</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方案中提出的措施举措不符合采购人工作流程要求或不利于本项目目标的实现；</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9</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现有条件下不可能实现的情形。</w:t>
            </w:r>
          </w:p>
          <w:p w14:paraId="0BC40B38">
            <w:pPr>
              <w:kinsoku/>
              <w:wordWrap/>
              <w:overflowPunct/>
              <w:topLinePunct w:val="0"/>
              <w:bidi w:val="0"/>
              <w:spacing w:line="360" w:lineRule="auto"/>
              <w:textAlignment w:val="auto"/>
              <w:rPr>
                <w:rFonts w:hint="eastAsia" w:ascii="宋体" w:hAnsi="宋体"/>
                <w:color w:val="auto"/>
                <w:sz w:val="21"/>
                <w:szCs w:val="21"/>
                <w:highlight w:val="none"/>
              </w:rPr>
            </w:pPr>
            <w:r>
              <w:rPr>
                <w:rFonts w:hint="eastAsia" w:ascii="宋体" w:hAnsi="宋体" w:eastAsia="宋体" w:cs="宋体"/>
                <w:color w:val="auto"/>
                <w:sz w:val="21"/>
                <w:szCs w:val="21"/>
                <w:highlight w:val="none"/>
                <w:lang w:val="en-US" w:eastAsia="zh-CN"/>
              </w:rPr>
              <w:t>2.技术方案原则上不超过200页，但不得将页数作为评审因</w:t>
            </w:r>
            <w:r>
              <w:rPr>
                <w:rFonts w:hint="eastAsia" w:ascii="仿宋" w:hAnsi="仿宋" w:eastAsia="仿宋" w:cs="仿宋"/>
                <w:color w:val="auto"/>
                <w:sz w:val="21"/>
                <w:szCs w:val="21"/>
                <w:highlight w:val="none"/>
                <w:lang w:val="en-US" w:eastAsia="zh-CN"/>
              </w:rPr>
              <w:t>素。</w:t>
            </w:r>
          </w:p>
        </w:tc>
      </w:tr>
      <w:tr w14:paraId="61D2D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8" w:hRule="atLeast"/>
        </w:trPr>
        <w:tc>
          <w:tcPr>
            <w:tcW w:w="580" w:type="dxa"/>
            <w:vMerge w:val="continue"/>
            <w:noWrap/>
            <w:tcMar>
              <w:top w:w="15" w:type="dxa"/>
              <w:left w:w="15" w:type="dxa"/>
              <w:right w:w="15" w:type="dxa"/>
            </w:tcMar>
            <w:vAlign w:val="center"/>
          </w:tcPr>
          <w:p w14:paraId="41C2368F">
            <w:pPr>
              <w:kinsoku/>
              <w:wordWrap/>
              <w:overflowPunct/>
              <w:topLinePunct w:val="0"/>
              <w:bidi w:val="0"/>
              <w:snapToGrid/>
              <w:spacing w:line="360" w:lineRule="auto"/>
              <w:ind w:firstLine="28"/>
              <w:jc w:val="center"/>
              <w:textAlignment w:val="auto"/>
              <w:rPr>
                <w:rFonts w:hint="eastAsia" w:ascii="宋体" w:hAnsi="宋体"/>
                <w:color w:val="auto"/>
                <w:sz w:val="21"/>
                <w:szCs w:val="21"/>
                <w:highlight w:val="none"/>
              </w:rPr>
            </w:pPr>
          </w:p>
        </w:tc>
        <w:tc>
          <w:tcPr>
            <w:tcW w:w="995" w:type="dxa"/>
            <w:vMerge w:val="continue"/>
            <w:noWrap/>
            <w:tcMar>
              <w:top w:w="15" w:type="dxa"/>
              <w:left w:w="15" w:type="dxa"/>
              <w:right w:w="15" w:type="dxa"/>
            </w:tcMar>
            <w:vAlign w:val="center"/>
          </w:tcPr>
          <w:p w14:paraId="52B3D441">
            <w:pPr>
              <w:kinsoku/>
              <w:wordWrap/>
              <w:overflowPunct/>
              <w:topLinePunct w:val="0"/>
              <w:bidi w:val="0"/>
              <w:spacing w:line="360" w:lineRule="auto"/>
              <w:jc w:val="center"/>
              <w:textAlignment w:val="auto"/>
              <w:rPr>
                <w:rFonts w:hint="eastAsia" w:ascii="宋体" w:hAnsi="宋体" w:cs="仿宋_GB2312"/>
                <w:color w:val="auto"/>
                <w:sz w:val="21"/>
                <w:szCs w:val="21"/>
                <w:highlight w:val="none"/>
                <w:lang w:val="zh-CN"/>
              </w:rPr>
            </w:pPr>
          </w:p>
        </w:tc>
        <w:tc>
          <w:tcPr>
            <w:tcW w:w="848" w:type="dxa"/>
            <w:tcBorders>
              <w:bottom w:val="single" w:color="auto" w:sz="4" w:space="0"/>
            </w:tcBorders>
            <w:noWrap/>
            <w:tcMar>
              <w:top w:w="15" w:type="dxa"/>
              <w:left w:w="15" w:type="dxa"/>
              <w:right w:w="15" w:type="dxa"/>
            </w:tcMar>
            <w:vAlign w:val="center"/>
          </w:tcPr>
          <w:p w14:paraId="178BCE19">
            <w:pPr>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项目重点、难点分析与解决措施（</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2E54F11B">
            <w:pPr>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val="zh-CN"/>
              </w:rPr>
            </w:pPr>
          </w:p>
        </w:tc>
        <w:tc>
          <w:tcPr>
            <w:tcW w:w="5091" w:type="dxa"/>
            <w:tcBorders>
              <w:top w:val="single" w:color="auto" w:sz="4" w:space="0"/>
            </w:tcBorders>
            <w:noWrap/>
            <w:tcMar>
              <w:top w:w="15" w:type="dxa"/>
              <w:left w:w="15" w:type="dxa"/>
              <w:right w:w="15" w:type="dxa"/>
            </w:tcMar>
            <w:vAlign w:val="center"/>
          </w:tcPr>
          <w:p w14:paraId="1B90B5C0">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针对本项目提供完整的项目重点、难点分析与解决措施。评委根据各</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所报方案进行评审。</w:t>
            </w:r>
          </w:p>
          <w:p w14:paraId="6CB3B8F7">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方案内容不存在瑕疵得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4E0F5749">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方案内容存在1处瑕疵得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0CD0BA13">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方案内容存在2处瑕疵</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13F2A298">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处瑕疵</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02B17FF5">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处</w:t>
            </w:r>
            <w:r>
              <w:rPr>
                <w:rFonts w:hint="eastAsia" w:ascii="宋体" w:hAnsi="宋体" w:eastAsia="宋体" w:cs="宋体"/>
                <w:color w:val="auto"/>
                <w:sz w:val="21"/>
                <w:szCs w:val="21"/>
                <w:highlight w:val="none"/>
                <w:lang w:val="en-US" w:eastAsia="zh-CN"/>
              </w:rPr>
              <w:t>及以上</w:t>
            </w:r>
            <w:r>
              <w:rPr>
                <w:rFonts w:hint="eastAsia" w:ascii="宋体" w:hAnsi="宋体" w:eastAsia="宋体" w:cs="宋体"/>
                <w:color w:val="auto"/>
                <w:sz w:val="21"/>
                <w:szCs w:val="21"/>
                <w:highlight w:val="none"/>
              </w:rPr>
              <w:t>瑕疵</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27DFC0FA">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无方案不得分</w:t>
            </w:r>
            <w:r>
              <w:rPr>
                <w:rFonts w:hint="eastAsia" w:ascii="宋体" w:hAnsi="宋体" w:eastAsia="宋体" w:cs="宋体"/>
                <w:color w:val="auto"/>
                <w:sz w:val="21"/>
                <w:szCs w:val="21"/>
                <w:highlight w:val="none"/>
              </w:rPr>
              <w:t>。</w:t>
            </w:r>
          </w:p>
        </w:tc>
        <w:tc>
          <w:tcPr>
            <w:tcW w:w="2144" w:type="dxa"/>
            <w:vMerge w:val="continue"/>
            <w:noWrap/>
            <w:tcMar>
              <w:top w:w="15" w:type="dxa"/>
              <w:left w:w="15" w:type="dxa"/>
              <w:right w:w="15" w:type="dxa"/>
            </w:tcMar>
            <w:vAlign w:val="center"/>
          </w:tcPr>
          <w:p w14:paraId="4334F61F">
            <w:pPr>
              <w:kinsoku/>
              <w:wordWrap/>
              <w:overflowPunct/>
              <w:topLinePunct w:val="0"/>
              <w:bidi w:val="0"/>
              <w:spacing w:line="360" w:lineRule="auto"/>
              <w:textAlignment w:val="auto"/>
              <w:rPr>
                <w:rFonts w:hint="eastAsia" w:ascii="宋体" w:hAnsi="宋体"/>
                <w:color w:val="auto"/>
                <w:sz w:val="21"/>
                <w:szCs w:val="21"/>
                <w:highlight w:val="none"/>
              </w:rPr>
            </w:pPr>
          </w:p>
        </w:tc>
      </w:tr>
      <w:tr w14:paraId="067B9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7" w:hRule="atLeast"/>
        </w:trPr>
        <w:tc>
          <w:tcPr>
            <w:tcW w:w="580" w:type="dxa"/>
            <w:vMerge w:val="continue"/>
            <w:noWrap/>
            <w:tcMar>
              <w:top w:w="15" w:type="dxa"/>
              <w:left w:w="15" w:type="dxa"/>
              <w:right w:w="15" w:type="dxa"/>
            </w:tcMar>
            <w:vAlign w:val="center"/>
          </w:tcPr>
          <w:p w14:paraId="2BE9F1A3">
            <w:pPr>
              <w:kinsoku/>
              <w:wordWrap/>
              <w:overflowPunct/>
              <w:topLinePunct w:val="0"/>
              <w:bidi w:val="0"/>
              <w:snapToGrid/>
              <w:spacing w:line="360" w:lineRule="auto"/>
              <w:ind w:firstLine="28"/>
              <w:jc w:val="center"/>
              <w:textAlignment w:val="auto"/>
              <w:rPr>
                <w:rFonts w:hint="eastAsia" w:ascii="宋体" w:hAnsi="宋体"/>
                <w:color w:val="auto"/>
                <w:sz w:val="21"/>
                <w:szCs w:val="21"/>
                <w:highlight w:val="none"/>
              </w:rPr>
            </w:pPr>
          </w:p>
        </w:tc>
        <w:tc>
          <w:tcPr>
            <w:tcW w:w="995" w:type="dxa"/>
            <w:vMerge w:val="continue"/>
            <w:noWrap/>
            <w:tcMar>
              <w:top w:w="15" w:type="dxa"/>
              <w:left w:w="15" w:type="dxa"/>
              <w:right w:w="15" w:type="dxa"/>
            </w:tcMar>
            <w:vAlign w:val="center"/>
          </w:tcPr>
          <w:p w14:paraId="48E7B40F">
            <w:pPr>
              <w:kinsoku/>
              <w:wordWrap/>
              <w:overflowPunct/>
              <w:topLinePunct w:val="0"/>
              <w:bidi w:val="0"/>
              <w:spacing w:line="360" w:lineRule="auto"/>
              <w:textAlignment w:val="auto"/>
              <w:rPr>
                <w:rFonts w:hint="eastAsia" w:ascii="宋体" w:hAnsi="宋体" w:cs="仿宋_GB2312"/>
                <w:color w:val="auto"/>
                <w:sz w:val="21"/>
                <w:szCs w:val="21"/>
                <w:highlight w:val="none"/>
                <w:lang w:val="zh-CN"/>
              </w:rPr>
            </w:pPr>
          </w:p>
        </w:tc>
        <w:tc>
          <w:tcPr>
            <w:tcW w:w="848" w:type="dxa"/>
            <w:tcBorders>
              <w:top w:val="single" w:color="auto" w:sz="4" w:space="0"/>
            </w:tcBorders>
            <w:noWrap/>
            <w:tcMar>
              <w:top w:w="15" w:type="dxa"/>
              <w:left w:w="15" w:type="dxa"/>
              <w:right w:w="15" w:type="dxa"/>
            </w:tcMar>
            <w:vAlign w:val="center"/>
          </w:tcPr>
          <w:p w14:paraId="23E47024">
            <w:pPr>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质量检测</w:t>
            </w:r>
            <w:r>
              <w:rPr>
                <w:rFonts w:hint="eastAsia" w:ascii="宋体" w:hAnsi="宋体" w:eastAsia="宋体" w:cs="宋体"/>
                <w:color w:val="auto"/>
                <w:sz w:val="21"/>
                <w:szCs w:val="21"/>
                <w:highlight w:val="none"/>
              </w:rPr>
              <w:t>工作安排内容（</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759800B4">
            <w:pPr>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val="zh-CN"/>
              </w:rPr>
            </w:pPr>
          </w:p>
        </w:tc>
        <w:tc>
          <w:tcPr>
            <w:tcW w:w="5091" w:type="dxa"/>
            <w:tcBorders>
              <w:top w:val="single" w:color="auto" w:sz="4" w:space="0"/>
            </w:tcBorders>
            <w:noWrap/>
            <w:tcMar>
              <w:top w:w="15" w:type="dxa"/>
              <w:left w:w="15" w:type="dxa"/>
              <w:right w:w="15" w:type="dxa"/>
            </w:tcMar>
            <w:vAlign w:val="center"/>
          </w:tcPr>
          <w:p w14:paraId="4F9F8971">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提供的工作完成时间进行评审。工作内容安排是否科学、规范、合理，服务期安排紧凑进行评定。评委根据各</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所报方案进行评审。</w:t>
            </w:r>
          </w:p>
          <w:p w14:paraId="70ED3C75">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方案内容不存在瑕疵得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68369A52">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方案内容存在1处瑕疵得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2989776C">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方案内容存在2处瑕疵</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57A8CF15">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处瑕疵</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12035774">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处</w:t>
            </w:r>
            <w:r>
              <w:rPr>
                <w:rFonts w:hint="eastAsia" w:ascii="宋体" w:hAnsi="宋体" w:eastAsia="宋体" w:cs="宋体"/>
                <w:color w:val="auto"/>
                <w:sz w:val="21"/>
                <w:szCs w:val="21"/>
                <w:highlight w:val="none"/>
                <w:lang w:val="en-US" w:eastAsia="zh-CN"/>
              </w:rPr>
              <w:t>及以上</w:t>
            </w:r>
            <w:r>
              <w:rPr>
                <w:rFonts w:hint="eastAsia" w:ascii="宋体" w:hAnsi="宋体" w:eastAsia="宋体" w:cs="宋体"/>
                <w:color w:val="auto"/>
                <w:sz w:val="21"/>
                <w:szCs w:val="21"/>
                <w:highlight w:val="none"/>
              </w:rPr>
              <w:t>瑕疵</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1EE371DD">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无方案不得分</w:t>
            </w:r>
            <w:r>
              <w:rPr>
                <w:rFonts w:hint="eastAsia" w:ascii="宋体" w:hAnsi="宋体" w:eastAsia="宋体" w:cs="宋体"/>
                <w:color w:val="auto"/>
                <w:sz w:val="21"/>
                <w:szCs w:val="21"/>
                <w:highlight w:val="none"/>
              </w:rPr>
              <w:t>。</w:t>
            </w:r>
          </w:p>
        </w:tc>
        <w:tc>
          <w:tcPr>
            <w:tcW w:w="2144" w:type="dxa"/>
            <w:vMerge w:val="continue"/>
            <w:noWrap/>
            <w:tcMar>
              <w:top w:w="15" w:type="dxa"/>
              <w:left w:w="15" w:type="dxa"/>
              <w:right w:w="15" w:type="dxa"/>
            </w:tcMar>
            <w:vAlign w:val="center"/>
          </w:tcPr>
          <w:p w14:paraId="404DDF48">
            <w:pPr>
              <w:kinsoku/>
              <w:wordWrap/>
              <w:overflowPunct/>
              <w:topLinePunct w:val="0"/>
              <w:bidi w:val="0"/>
              <w:spacing w:line="360" w:lineRule="auto"/>
              <w:textAlignment w:val="auto"/>
              <w:rPr>
                <w:rFonts w:hint="eastAsia" w:ascii="宋体" w:hAnsi="宋体"/>
                <w:color w:val="auto"/>
                <w:sz w:val="21"/>
                <w:szCs w:val="21"/>
                <w:highlight w:val="none"/>
              </w:rPr>
            </w:pPr>
          </w:p>
        </w:tc>
      </w:tr>
      <w:tr w14:paraId="48A82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rPr>
        <w:tc>
          <w:tcPr>
            <w:tcW w:w="580" w:type="dxa"/>
            <w:vMerge w:val="continue"/>
            <w:noWrap/>
            <w:tcMar>
              <w:top w:w="15" w:type="dxa"/>
              <w:left w:w="15" w:type="dxa"/>
              <w:right w:w="15" w:type="dxa"/>
            </w:tcMar>
            <w:vAlign w:val="center"/>
          </w:tcPr>
          <w:p w14:paraId="4F862489">
            <w:pPr>
              <w:kinsoku/>
              <w:wordWrap/>
              <w:overflowPunct/>
              <w:topLinePunct w:val="0"/>
              <w:bidi w:val="0"/>
              <w:snapToGrid/>
              <w:spacing w:line="360" w:lineRule="auto"/>
              <w:ind w:firstLine="28"/>
              <w:jc w:val="center"/>
              <w:textAlignment w:val="auto"/>
              <w:rPr>
                <w:rFonts w:hint="eastAsia" w:ascii="宋体" w:hAnsi="宋体"/>
                <w:color w:val="auto"/>
                <w:sz w:val="21"/>
                <w:szCs w:val="21"/>
                <w:highlight w:val="none"/>
              </w:rPr>
            </w:pPr>
          </w:p>
        </w:tc>
        <w:tc>
          <w:tcPr>
            <w:tcW w:w="995" w:type="dxa"/>
            <w:vMerge w:val="continue"/>
            <w:noWrap/>
            <w:tcMar>
              <w:top w:w="15" w:type="dxa"/>
              <w:left w:w="15" w:type="dxa"/>
              <w:right w:w="15" w:type="dxa"/>
            </w:tcMar>
            <w:vAlign w:val="center"/>
          </w:tcPr>
          <w:p w14:paraId="68346E1D">
            <w:pPr>
              <w:kinsoku/>
              <w:wordWrap/>
              <w:overflowPunct/>
              <w:topLinePunct w:val="0"/>
              <w:bidi w:val="0"/>
              <w:spacing w:line="360" w:lineRule="auto"/>
              <w:textAlignment w:val="auto"/>
              <w:rPr>
                <w:rFonts w:hint="eastAsia" w:ascii="宋体" w:hAnsi="宋体" w:cs="仿宋_GB2312"/>
                <w:color w:val="auto"/>
                <w:sz w:val="21"/>
                <w:szCs w:val="21"/>
                <w:highlight w:val="none"/>
                <w:lang w:val="zh-CN"/>
              </w:rPr>
            </w:pPr>
          </w:p>
        </w:tc>
        <w:tc>
          <w:tcPr>
            <w:tcW w:w="848" w:type="dxa"/>
            <w:tcBorders>
              <w:top w:val="single" w:color="auto" w:sz="4" w:space="0"/>
            </w:tcBorders>
            <w:noWrap/>
            <w:tcMar>
              <w:top w:w="15" w:type="dxa"/>
              <w:left w:w="15" w:type="dxa"/>
              <w:right w:w="15" w:type="dxa"/>
            </w:tcMar>
            <w:vAlign w:val="center"/>
          </w:tcPr>
          <w:p w14:paraId="4949ABAF">
            <w:pPr>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投入方案</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rPr>
              <w:t>资源配置情况（</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05AB644F">
            <w:pPr>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val="zh-CN"/>
              </w:rPr>
            </w:pPr>
          </w:p>
        </w:tc>
        <w:tc>
          <w:tcPr>
            <w:tcW w:w="5091" w:type="dxa"/>
            <w:tcBorders>
              <w:top w:val="single" w:color="auto" w:sz="4" w:space="0"/>
            </w:tcBorders>
            <w:noWrap/>
            <w:tcMar>
              <w:top w:w="15" w:type="dxa"/>
              <w:left w:w="15" w:type="dxa"/>
              <w:right w:w="15" w:type="dxa"/>
            </w:tcMar>
            <w:vAlign w:val="center"/>
          </w:tcPr>
          <w:p w14:paraId="1785998B">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需在方案中描述本项目检测试验所需配备的设备类型、型号、数量、质量、先进性等内容。投入的检测试验机械及设备先进，投入计划与进度计划协调，调配计划合理，保证措施具体；评委根据各</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所报方案进行评审。</w:t>
            </w:r>
          </w:p>
          <w:p w14:paraId="5FFA224B">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方案内容不存在瑕疵得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7F7E24CB">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方案内容存在1处瑕疵得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5054516E">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方案内容存在2处瑕疵</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50E1B8C1">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处瑕疵</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239028F3">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处</w:t>
            </w:r>
            <w:r>
              <w:rPr>
                <w:rFonts w:hint="eastAsia" w:ascii="宋体" w:hAnsi="宋体" w:eastAsia="宋体" w:cs="宋体"/>
                <w:color w:val="auto"/>
                <w:sz w:val="21"/>
                <w:szCs w:val="21"/>
                <w:highlight w:val="none"/>
                <w:lang w:val="en-US" w:eastAsia="zh-CN"/>
              </w:rPr>
              <w:t>及以上</w:t>
            </w:r>
            <w:r>
              <w:rPr>
                <w:rFonts w:hint="eastAsia" w:ascii="宋体" w:hAnsi="宋体" w:eastAsia="宋体" w:cs="宋体"/>
                <w:color w:val="auto"/>
                <w:sz w:val="21"/>
                <w:szCs w:val="21"/>
                <w:highlight w:val="none"/>
              </w:rPr>
              <w:t>瑕疵</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77FDD610">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无方案不得分</w:t>
            </w:r>
            <w:r>
              <w:rPr>
                <w:rFonts w:hint="eastAsia" w:ascii="宋体" w:hAnsi="宋体" w:eastAsia="宋体" w:cs="宋体"/>
                <w:color w:val="auto"/>
                <w:sz w:val="21"/>
                <w:szCs w:val="21"/>
                <w:highlight w:val="none"/>
              </w:rPr>
              <w:t>。</w:t>
            </w:r>
          </w:p>
        </w:tc>
        <w:tc>
          <w:tcPr>
            <w:tcW w:w="2144" w:type="dxa"/>
            <w:vMerge w:val="continue"/>
            <w:noWrap/>
            <w:tcMar>
              <w:top w:w="15" w:type="dxa"/>
              <w:left w:w="15" w:type="dxa"/>
              <w:right w:w="15" w:type="dxa"/>
            </w:tcMar>
            <w:vAlign w:val="center"/>
          </w:tcPr>
          <w:p w14:paraId="40B3B15E">
            <w:pPr>
              <w:kinsoku/>
              <w:wordWrap/>
              <w:overflowPunct/>
              <w:topLinePunct w:val="0"/>
              <w:bidi w:val="0"/>
              <w:spacing w:line="360" w:lineRule="auto"/>
              <w:textAlignment w:val="auto"/>
              <w:rPr>
                <w:rFonts w:hint="eastAsia" w:ascii="宋体" w:hAnsi="宋体"/>
                <w:color w:val="auto"/>
                <w:sz w:val="21"/>
                <w:szCs w:val="21"/>
                <w:highlight w:val="none"/>
              </w:rPr>
            </w:pPr>
          </w:p>
        </w:tc>
      </w:tr>
      <w:tr w14:paraId="603A1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7" w:hRule="atLeast"/>
        </w:trPr>
        <w:tc>
          <w:tcPr>
            <w:tcW w:w="580" w:type="dxa"/>
            <w:vMerge w:val="continue"/>
            <w:noWrap/>
            <w:tcMar>
              <w:top w:w="15" w:type="dxa"/>
              <w:left w:w="15" w:type="dxa"/>
              <w:right w:w="15" w:type="dxa"/>
            </w:tcMar>
            <w:vAlign w:val="center"/>
          </w:tcPr>
          <w:p w14:paraId="43326A7E">
            <w:pPr>
              <w:kinsoku/>
              <w:wordWrap/>
              <w:overflowPunct/>
              <w:topLinePunct w:val="0"/>
              <w:bidi w:val="0"/>
              <w:snapToGrid/>
              <w:spacing w:line="360" w:lineRule="auto"/>
              <w:ind w:firstLine="28"/>
              <w:jc w:val="center"/>
              <w:textAlignment w:val="auto"/>
              <w:rPr>
                <w:rFonts w:hint="eastAsia" w:ascii="宋体" w:hAnsi="宋体"/>
                <w:color w:val="auto"/>
                <w:sz w:val="21"/>
                <w:szCs w:val="21"/>
                <w:highlight w:val="none"/>
              </w:rPr>
            </w:pPr>
          </w:p>
        </w:tc>
        <w:tc>
          <w:tcPr>
            <w:tcW w:w="995" w:type="dxa"/>
            <w:vMerge w:val="continue"/>
            <w:noWrap/>
            <w:tcMar>
              <w:top w:w="15" w:type="dxa"/>
              <w:left w:w="15" w:type="dxa"/>
              <w:right w:w="15" w:type="dxa"/>
            </w:tcMar>
            <w:vAlign w:val="center"/>
          </w:tcPr>
          <w:p w14:paraId="3E40E254">
            <w:pPr>
              <w:kinsoku/>
              <w:wordWrap/>
              <w:overflowPunct/>
              <w:topLinePunct w:val="0"/>
              <w:bidi w:val="0"/>
              <w:spacing w:line="360" w:lineRule="auto"/>
              <w:textAlignment w:val="auto"/>
              <w:rPr>
                <w:rFonts w:hint="eastAsia" w:ascii="宋体" w:hAnsi="宋体" w:cs="仿宋_GB2312"/>
                <w:color w:val="auto"/>
                <w:sz w:val="21"/>
                <w:szCs w:val="21"/>
                <w:highlight w:val="none"/>
                <w:lang w:val="zh-CN"/>
              </w:rPr>
            </w:pPr>
          </w:p>
        </w:tc>
        <w:tc>
          <w:tcPr>
            <w:tcW w:w="848" w:type="dxa"/>
            <w:tcBorders>
              <w:top w:val="single" w:color="auto" w:sz="4" w:space="0"/>
            </w:tcBorders>
            <w:noWrap/>
            <w:tcMar>
              <w:top w:w="15" w:type="dxa"/>
              <w:left w:w="15" w:type="dxa"/>
              <w:right w:w="15" w:type="dxa"/>
            </w:tcMar>
            <w:vAlign w:val="center"/>
          </w:tcPr>
          <w:p w14:paraId="515DDD6F">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color w:val="auto"/>
                <w:kern w:val="0"/>
                <w:sz w:val="21"/>
                <w:szCs w:val="21"/>
                <w:highlight w:val="none"/>
              </w:rPr>
              <w:t>服务承诺</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4D904E4C">
            <w:pPr>
              <w:kinsoku/>
              <w:wordWrap/>
              <w:overflowPunct/>
              <w:topLinePunct w:val="0"/>
              <w:bidi w:val="0"/>
              <w:spacing w:line="360" w:lineRule="auto"/>
              <w:textAlignment w:val="auto"/>
              <w:rPr>
                <w:rFonts w:hint="eastAsia" w:ascii="宋体" w:hAnsi="宋体" w:eastAsia="宋体" w:cs="宋体"/>
                <w:color w:val="auto"/>
                <w:sz w:val="21"/>
                <w:szCs w:val="21"/>
                <w:highlight w:val="none"/>
                <w:lang w:val="zh-CN"/>
              </w:rPr>
            </w:pPr>
          </w:p>
        </w:tc>
        <w:tc>
          <w:tcPr>
            <w:tcW w:w="5091" w:type="dxa"/>
            <w:tcBorders>
              <w:top w:val="single" w:color="auto" w:sz="4" w:space="0"/>
            </w:tcBorders>
            <w:noWrap/>
            <w:tcMar>
              <w:top w:w="15" w:type="dxa"/>
              <w:left w:w="15" w:type="dxa"/>
              <w:right w:w="15" w:type="dxa"/>
            </w:tcMar>
            <w:vAlign w:val="center"/>
          </w:tcPr>
          <w:p w14:paraId="4F127F21">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应商</w:t>
            </w:r>
            <w:r>
              <w:rPr>
                <w:rFonts w:hint="eastAsia" w:ascii="宋体" w:hAnsi="宋体" w:eastAsia="宋体" w:cs="宋体"/>
                <w:color w:val="auto"/>
                <w:sz w:val="21"/>
                <w:szCs w:val="21"/>
                <w:highlight w:val="none"/>
              </w:rPr>
              <w:t>需在方案中制定针对本项目的服务承诺。服务承诺满足招标要求，且有具体的违约责任承诺，对有检测试验质量保证措施阐述，措施得力；</w:t>
            </w:r>
          </w:p>
          <w:p w14:paraId="04300A86">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方案内容不存在瑕疵得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2E2E1020">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方案内容存在1处瑕疵得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166970E6">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方案内容存在2处瑕疵</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756563DB">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处瑕疵</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0C4F1E14">
            <w:p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处</w:t>
            </w:r>
            <w:r>
              <w:rPr>
                <w:rFonts w:hint="eastAsia" w:ascii="宋体" w:hAnsi="宋体" w:eastAsia="宋体" w:cs="宋体"/>
                <w:color w:val="auto"/>
                <w:sz w:val="21"/>
                <w:szCs w:val="21"/>
                <w:highlight w:val="none"/>
                <w:lang w:val="en-US" w:eastAsia="zh-CN"/>
              </w:rPr>
              <w:t>及以上</w:t>
            </w:r>
            <w:r>
              <w:rPr>
                <w:rFonts w:hint="eastAsia" w:ascii="宋体" w:hAnsi="宋体" w:eastAsia="宋体" w:cs="宋体"/>
                <w:color w:val="auto"/>
                <w:sz w:val="21"/>
                <w:szCs w:val="21"/>
                <w:highlight w:val="none"/>
              </w:rPr>
              <w:t>瑕疵</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7CC5865E">
            <w:pPr>
              <w:kinsoku/>
              <w:wordWrap/>
              <w:overflowPunct/>
              <w:topLinePunct w:val="0"/>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无方案不得分</w:t>
            </w:r>
            <w:r>
              <w:rPr>
                <w:rFonts w:hint="eastAsia" w:ascii="宋体" w:hAnsi="宋体" w:eastAsia="宋体" w:cs="宋体"/>
                <w:color w:val="auto"/>
                <w:sz w:val="21"/>
                <w:szCs w:val="21"/>
                <w:highlight w:val="none"/>
              </w:rPr>
              <w:t>。</w:t>
            </w:r>
          </w:p>
        </w:tc>
        <w:tc>
          <w:tcPr>
            <w:tcW w:w="2144" w:type="dxa"/>
            <w:noWrap/>
            <w:tcMar>
              <w:top w:w="15" w:type="dxa"/>
              <w:left w:w="15" w:type="dxa"/>
              <w:right w:w="15" w:type="dxa"/>
            </w:tcMar>
            <w:vAlign w:val="center"/>
          </w:tcPr>
          <w:p w14:paraId="4A9872AC">
            <w:pPr>
              <w:kinsoku/>
              <w:wordWrap/>
              <w:overflowPunct/>
              <w:topLinePunct w:val="0"/>
              <w:bidi w:val="0"/>
              <w:spacing w:line="360" w:lineRule="auto"/>
              <w:textAlignment w:val="auto"/>
              <w:rPr>
                <w:rFonts w:hint="eastAsia" w:ascii="宋体" w:hAnsi="宋体"/>
                <w:color w:val="auto"/>
                <w:sz w:val="21"/>
                <w:szCs w:val="21"/>
                <w:highlight w:val="none"/>
              </w:rPr>
            </w:pPr>
          </w:p>
        </w:tc>
      </w:tr>
      <w:tr w14:paraId="07363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580" w:type="dxa"/>
            <w:vMerge w:val="restart"/>
            <w:noWrap/>
            <w:tcMar>
              <w:top w:w="15" w:type="dxa"/>
              <w:left w:w="15" w:type="dxa"/>
              <w:right w:w="15" w:type="dxa"/>
            </w:tcMar>
            <w:vAlign w:val="center"/>
          </w:tcPr>
          <w:p w14:paraId="76B1C4AD">
            <w:pPr>
              <w:kinsoku/>
              <w:wordWrap/>
              <w:overflowPunct/>
              <w:topLinePunct w:val="0"/>
              <w:bidi w:val="0"/>
              <w:snapToGrid/>
              <w:spacing w:line="360" w:lineRule="auto"/>
              <w:ind w:firstLine="28"/>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3</w:t>
            </w:r>
          </w:p>
        </w:tc>
        <w:tc>
          <w:tcPr>
            <w:tcW w:w="995" w:type="dxa"/>
            <w:vMerge w:val="restart"/>
            <w:noWrap/>
            <w:tcMar>
              <w:top w:w="15" w:type="dxa"/>
              <w:left w:w="15" w:type="dxa"/>
              <w:right w:w="15" w:type="dxa"/>
            </w:tcMar>
            <w:vAlign w:val="center"/>
          </w:tcPr>
          <w:p w14:paraId="1CD3271F">
            <w:pPr>
              <w:kinsoku/>
              <w:wordWrap/>
              <w:overflowPunct/>
              <w:topLinePunct w:val="0"/>
              <w:bidi w:val="0"/>
              <w:spacing w:line="360" w:lineRule="auto"/>
              <w:jc w:val="center"/>
              <w:textAlignment w:val="auto"/>
              <w:rPr>
                <w:rFonts w:hint="eastAsia"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商务部分</w:t>
            </w:r>
          </w:p>
          <w:p w14:paraId="6B9096EB">
            <w:pPr>
              <w:kinsoku/>
              <w:wordWrap/>
              <w:overflowPunct/>
              <w:topLinePunct w:val="0"/>
              <w:bidi w:val="0"/>
              <w:spacing w:line="360" w:lineRule="auto"/>
              <w:jc w:val="center"/>
              <w:textAlignment w:val="auto"/>
              <w:rPr>
                <w:rFonts w:hint="eastAsia"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w:t>
            </w:r>
            <w:r>
              <w:rPr>
                <w:rFonts w:hint="eastAsia" w:ascii="宋体" w:hAnsi="宋体" w:cs="仿宋_GB2312"/>
                <w:color w:val="auto"/>
                <w:sz w:val="21"/>
                <w:szCs w:val="21"/>
                <w:highlight w:val="none"/>
                <w:lang w:val="en-US" w:eastAsia="zh-CN"/>
              </w:rPr>
              <w:t>20</w:t>
            </w:r>
            <w:r>
              <w:rPr>
                <w:rFonts w:hint="eastAsia" w:ascii="宋体" w:hAnsi="宋体" w:cs="仿宋_GB2312"/>
                <w:color w:val="auto"/>
                <w:sz w:val="21"/>
                <w:szCs w:val="21"/>
                <w:highlight w:val="none"/>
                <w:lang w:val="zh-CN"/>
              </w:rPr>
              <w:t>%)</w:t>
            </w:r>
          </w:p>
        </w:tc>
        <w:tc>
          <w:tcPr>
            <w:tcW w:w="848" w:type="dxa"/>
            <w:noWrap/>
            <w:tcMar>
              <w:top w:w="15" w:type="dxa"/>
              <w:left w:w="15" w:type="dxa"/>
              <w:right w:w="15" w:type="dxa"/>
            </w:tcMar>
            <w:vAlign w:val="center"/>
          </w:tcPr>
          <w:p w14:paraId="24FA9A3A">
            <w:pPr>
              <w:keepNext w:val="0"/>
              <w:keepLines w:val="0"/>
              <w:widowControl/>
              <w:suppressLineNumbers w:val="0"/>
              <w:kinsoku/>
              <w:wordWrap/>
              <w:overflowPunct/>
              <w:topLinePunct w:val="0"/>
              <w:bidi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lang w:val="en-US" w:eastAsia="zh-CN"/>
              </w:rPr>
              <w:t>分）</w:t>
            </w:r>
          </w:p>
        </w:tc>
        <w:tc>
          <w:tcPr>
            <w:tcW w:w="5091" w:type="dxa"/>
            <w:tcBorders>
              <w:bottom w:val="single" w:color="auto" w:sz="4" w:space="0"/>
            </w:tcBorders>
            <w:noWrap/>
            <w:tcMar>
              <w:top w:w="15" w:type="dxa"/>
              <w:left w:w="15" w:type="dxa"/>
              <w:right w:w="15" w:type="dxa"/>
            </w:tcMar>
          </w:tcPr>
          <w:p w14:paraId="4E4413CE">
            <w:pPr>
              <w:kinsoku/>
              <w:wordWrap/>
              <w:overflowPunct/>
              <w:topLinePunct w:val="0"/>
              <w:bidi w:val="0"/>
              <w:spacing w:line="360" w:lineRule="auto"/>
              <w:textAlignment w:val="auto"/>
              <w:rPr>
                <w:rFonts w:hint="eastAsia" w:ascii="宋体" w:hAnsi="宋体" w:eastAsia="宋体" w:cs="宋体"/>
                <w:color w:val="auto"/>
                <w:sz w:val="21"/>
                <w:szCs w:val="21"/>
                <w:highlight w:val="none"/>
                <w:lang w:val="en-US" w:eastAsia="zh-CN"/>
              </w:rPr>
            </w:pPr>
          </w:p>
          <w:p w14:paraId="701279CB">
            <w:pPr>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供应商在2022年1月1日起至</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en-US" w:eastAsia="zh-CN"/>
              </w:rPr>
              <w:t>截止日止（业绩时间以竣工验收时间为准）</w:t>
            </w:r>
            <w:r>
              <w:rPr>
                <w:rFonts w:hint="eastAsia" w:ascii="宋体" w:hAnsi="宋体" w:cs="宋体"/>
                <w:color w:val="auto"/>
                <w:sz w:val="21"/>
                <w:szCs w:val="21"/>
                <w:highlight w:val="none"/>
                <w:lang w:val="en-US" w:eastAsia="zh-CN"/>
              </w:rPr>
              <w:t>完成</w:t>
            </w:r>
            <w:r>
              <w:rPr>
                <w:rFonts w:hint="eastAsia" w:ascii="宋体" w:hAnsi="宋体" w:eastAsia="宋体" w:cs="宋体"/>
                <w:color w:val="auto"/>
                <w:sz w:val="21"/>
                <w:szCs w:val="21"/>
                <w:highlight w:val="none"/>
                <w:lang w:val="en-US" w:eastAsia="zh-CN"/>
              </w:rPr>
              <w:t>过类似单项合同金额不少于</w:t>
            </w:r>
            <w:r>
              <w:rPr>
                <w:rFonts w:hint="eastAsia" w:ascii="宋体" w:hAnsi="宋体" w:cs="宋体"/>
                <w:color w:val="auto"/>
                <w:sz w:val="21"/>
                <w:szCs w:val="21"/>
                <w:highlight w:val="none"/>
                <w:lang w:val="en-US" w:eastAsia="zh-CN"/>
              </w:rPr>
              <w:t>80</w:t>
            </w:r>
            <w:r>
              <w:rPr>
                <w:rFonts w:hint="eastAsia" w:ascii="宋体" w:hAnsi="宋体" w:eastAsia="宋体" w:cs="宋体"/>
                <w:color w:val="auto"/>
                <w:sz w:val="21"/>
                <w:szCs w:val="21"/>
                <w:highlight w:val="none"/>
                <w:lang w:val="en-US" w:eastAsia="zh-CN"/>
              </w:rPr>
              <w:t>万元（或单个项目总建筑面积不少于</w:t>
            </w:r>
            <w:r>
              <w:rPr>
                <w:rFonts w:hint="eastAsia" w:ascii="宋体" w:hAnsi="宋体" w:cs="宋体"/>
                <w:color w:val="auto"/>
                <w:sz w:val="21"/>
                <w:szCs w:val="21"/>
                <w:highlight w:val="none"/>
                <w:lang w:val="en-US" w:eastAsia="zh-CN"/>
              </w:rPr>
              <w:t>70</w:t>
            </w:r>
            <w:r>
              <w:rPr>
                <w:rFonts w:hint="eastAsia" w:ascii="宋体" w:hAnsi="宋体" w:eastAsia="宋体" w:cs="宋体"/>
                <w:color w:val="auto"/>
                <w:sz w:val="21"/>
                <w:szCs w:val="21"/>
                <w:highlight w:val="none"/>
                <w:lang w:val="en-US" w:eastAsia="zh-CN"/>
              </w:rPr>
              <w:t>000平方米）的类似房屋建筑工程检测业绩的1个得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分，本项最多得</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lang w:val="en-US" w:eastAsia="zh-CN"/>
              </w:rPr>
              <w:t>分。</w:t>
            </w:r>
          </w:p>
        </w:tc>
        <w:tc>
          <w:tcPr>
            <w:tcW w:w="2144" w:type="dxa"/>
            <w:noWrap/>
            <w:tcMar>
              <w:top w:w="15" w:type="dxa"/>
              <w:left w:w="15" w:type="dxa"/>
              <w:right w:w="15" w:type="dxa"/>
            </w:tcMar>
            <w:vAlign w:val="center"/>
          </w:tcPr>
          <w:p w14:paraId="438293A9">
            <w:pPr>
              <w:kinsoku/>
              <w:wordWrap/>
              <w:overflowPunct/>
              <w:topLinePunct w:val="0"/>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注：须提供中标通知书（直接发包的项目可提供项目甲方出具的项目直接发包情况说明或证明文书代替）、合同协议书、工程竣工验收合格证明材料复印件并加盖供应商单位公章。</w:t>
            </w:r>
          </w:p>
        </w:tc>
      </w:tr>
      <w:tr w14:paraId="04B2D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1" w:hRule="atLeast"/>
        </w:trPr>
        <w:tc>
          <w:tcPr>
            <w:tcW w:w="580" w:type="dxa"/>
            <w:vMerge w:val="continue"/>
            <w:noWrap/>
            <w:tcMar>
              <w:top w:w="15" w:type="dxa"/>
              <w:left w:w="15" w:type="dxa"/>
              <w:right w:w="15" w:type="dxa"/>
            </w:tcMar>
            <w:vAlign w:val="center"/>
          </w:tcPr>
          <w:p w14:paraId="7A9D745A">
            <w:pPr>
              <w:kinsoku/>
              <w:wordWrap/>
              <w:overflowPunct/>
              <w:topLinePunct w:val="0"/>
              <w:bidi w:val="0"/>
              <w:snapToGrid/>
              <w:spacing w:line="360" w:lineRule="auto"/>
              <w:ind w:firstLine="28"/>
              <w:jc w:val="center"/>
              <w:textAlignment w:val="auto"/>
              <w:rPr>
                <w:rFonts w:hint="eastAsia" w:ascii="宋体" w:hAnsi="宋体"/>
                <w:color w:val="auto"/>
                <w:sz w:val="21"/>
                <w:szCs w:val="21"/>
                <w:highlight w:val="none"/>
              </w:rPr>
            </w:pPr>
          </w:p>
        </w:tc>
        <w:tc>
          <w:tcPr>
            <w:tcW w:w="995" w:type="dxa"/>
            <w:vMerge w:val="continue"/>
            <w:noWrap/>
            <w:tcMar>
              <w:top w:w="15" w:type="dxa"/>
              <w:left w:w="15" w:type="dxa"/>
              <w:right w:w="15" w:type="dxa"/>
            </w:tcMar>
            <w:vAlign w:val="center"/>
          </w:tcPr>
          <w:p w14:paraId="1EEE4851">
            <w:pPr>
              <w:kinsoku/>
              <w:wordWrap/>
              <w:overflowPunct/>
              <w:topLinePunct w:val="0"/>
              <w:bidi w:val="0"/>
              <w:spacing w:line="360" w:lineRule="auto"/>
              <w:jc w:val="center"/>
              <w:textAlignment w:val="auto"/>
              <w:rPr>
                <w:rFonts w:hint="eastAsia" w:ascii="宋体" w:hAnsi="宋体" w:cs="仿宋_GB2312"/>
                <w:color w:val="auto"/>
                <w:sz w:val="21"/>
                <w:szCs w:val="21"/>
                <w:highlight w:val="none"/>
                <w:lang w:val="zh-CN"/>
              </w:rPr>
            </w:pPr>
          </w:p>
        </w:tc>
        <w:tc>
          <w:tcPr>
            <w:tcW w:w="848" w:type="dxa"/>
            <w:noWrap/>
            <w:tcMar>
              <w:top w:w="15" w:type="dxa"/>
              <w:left w:w="15" w:type="dxa"/>
              <w:right w:w="15" w:type="dxa"/>
            </w:tcMar>
            <w:vAlign w:val="center"/>
          </w:tcPr>
          <w:p w14:paraId="1C94CC4D">
            <w:pPr>
              <w:kinsoku/>
              <w:wordWrap/>
              <w:overflowPunct/>
              <w:topLinePunct w:val="0"/>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人员资质（</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7D0B58D9">
            <w:pPr>
              <w:kinsoku/>
              <w:wordWrap/>
              <w:overflowPunct/>
              <w:topLinePunct w:val="0"/>
              <w:bidi w:val="0"/>
              <w:spacing w:line="360" w:lineRule="auto"/>
              <w:jc w:val="center"/>
              <w:textAlignment w:val="auto"/>
              <w:rPr>
                <w:rFonts w:hint="eastAsia" w:ascii="宋体" w:hAnsi="宋体" w:cs="仿宋_GB2312"/>
                <w:color w:val="auto"/>
                <w:sz w:val="21"/>
                <w:szCs w:val="21"/>
                <w:highlight w:val="none"/>
                <w:lang w:val="zh-CN"/>
              </w:rPr>
            </w:pPr>
          </w:p>
        </w:tc>
        <w:tc>
          <w:tcPr>
            <w:tcW w:w="5091" w:type="dxa"/>
            <w:tcBorders>
              <w:top w:val="single" w:color="auto" w:sz="4" w:space="0"/>
            </w:tcBorders>
            <w:noWrap/>
            <w:tcMar>
              <w:top w:w="15" w:type="dxa"/>
              <w:left w:w="15" w:type="dxa"/>
              <w:right w:w="15" w:type="dxa"/>
            </w:tcMar>
            <w:vAlign w:val="center"/>
          </w:tcPr>
          <w:p w14:paraId="1FA71BBD">
            <w:pPr>
              <w:kinsoku/>
              <w:wordWrap/>
              <w:overflowPunct/>
              <w:topLinePunct w:val="0"/>
              <w:bidi w:val="0"/>
              <w:spacing w:line="360" w:lineRule="auto"/>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cs="宋体"/>
                <w:color w:val="auto"/>
                <w:sz w:val="21"/>
                <w:szCs w:val="21"/>
                <w:highlight w:val="none"/>
              </w:rPr>
              <w:t>拟派本项目负责人</w:t>
            </w:r>
            <w:r>
              <w:rPr>
                <w:rFonts w:hint="eastAsia" w:ascii="宋体" w:hAnsi="宋体" w:cs="宋体"/>
                <w:color w:val="auto"/>
                <w:sz w:val="21"/>
                <w:szCs w:val="21"/>
                <w:highlight w:val="none"/>
                <w:lang w:eastAsia="zh-CN"/>
              </w:rPr>
              <w:t>同时</w:t>
            </w:r>
            <w:r>
              <w:rPr>
                <w:rFonts w:hint="eastAsia" w:ascii="宋体" w:hAnsi="宋体" w:cs="宋体"/>
                <w:color w:val="auto"/>
                <w:sz w:val="21"/>
                <w:szCs w:val="21"/>
                <w:highlight w:val="none"/>
              </w:rPr>
              <w:t>具有一级注册结构工程师</w:t>
            </w:r>
            <w:r>
              <w:rPr>
                <w:rFonts w:hint="eastAsia" w:ascii="宋体" w:hAnsi="宋体" w:cs="宋体"/>
                <w:color w:val="auto"/>
                <w:sz w:val="21"/>
                <w:szCs w:val="21"/>
                <w:highlight w:val="none"/>
                <w:lang w:eastAsia="zh-CN"/>
              </w:rPr>
              <w:t>和</w:t>
            </w:r>
            <w:r>
              <w:rPr>
                <w:rFonts w:hint="eastAsia" w:ascii="宋体" w:hAnsi="宋体" w:cs="宋体"/>
                <w:color w:val="auto"/>
                <w:sz w:val="21"/>
                <w:szCs w:val="21"/>
                <w:highlight w:val="none"/>
              </w:rPr>
              <w:t>检测人员岗位证书（至少包含地基基础、主体结构）</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且具有2年及以上检测经历得</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分。</w:t>
            </w:r>
          </w:p>
          <w:p w14:paraId="2017D96E">
            <w:pPr>
              <w:kinsoku/>
              <w:wordWrap/>
              <w:overflowPunct/>
              <w:topLinePunct w:val="0"/>
              <w:bidi w:val="0"/>
              <w:spacing w:line="360" w:lineRule="auto"/>
              <w:textAlignment w:val="auto"/>
              <w:rPr>
                <w:rFonts w:hint="eastAsia" w:ascii="宋体" w:hAnsi="宋体" w:cs="宋体"/>
                <w:color w:val="auto"/>
                <w:sz w:val="21"/>
                <w:szCs w:val="21"/>
                <w:highlight w:val="none"/>
              </w:rPr>
            </w:pPr>
          </w:p>
        </w:tc>
        <w:tc>
          <w:tcPr>
            <w:tcW w:w="2144" w:type="dxa"/>
            <w:noWrap/>
            <w:tcMar>
              <w:top w:w="15" w:type="dxa"/>
              <w:left w:w="15" w:type="dxa"/>
              <w:right w:w="15" w:type="dxa"/>
            </w:tcMar>
            <w:vAlign w:val="center"/>
          </w:tcPr>
          <w:p w14:paraId="513C0A74">
            <w:pPr>
              <w:kinsoku/>
              <w:wordWrap/>
              <w:overflowPunct/>
              <w:topLinePunct w:val="0"/>
              <w:bidi w:val="0"/>
              <w:spacing w:line="36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注：需提供项目负责人身份证、注册证、</w:t>
            </w:r>
            <w:r>
              <w:rPr>
                <w:rFonts w:hint="eastAsia" w:ascii="宋体" w:hAnsi="宋体" w:cs="宋体"/>
                <w:color w:val="auto"/>
                <w:sz w:val="21"/>
                <w:szCs w:val="21"/>
                <w:highlight w:val="none"/>
                <w:lang w:val="en-US" w:eastAsia="zh-CN"/>
              </w:rPr>
              <w:t>岗位证书（或行业主管部门网站的电子证书截图，截图信息清晰显示完整的网站名称、查询网址、人员信息）</w:t>
            </w:r>
            <w:r>
              <w:rPr>
                <w:rFonts w:hint="eastAsia" w:ascii="宋体" w:hAnsi="宋体" w:eastAsia="宋体" w:cs="宋体"/>
                <w:color w:val="auto"/>
                <w:sz w:val="21"/>
                <w:szCs w:val="21"/>
                <w:highlight w:val="none"/>
                <w:lang w:val="en-US" w:eastAsia="zh-CN"/>
              </w:rPr>
              <w:t>、供应商为其缴纳的磋商截止时间前连续三个月的养老保险复印件加盖供应商公章。</w:t>
            </w:r>
          </w:p>
          <w:p w14:paraId="0A40B6EF">
            <w:pPr>
              <w:kinsoku/>
              <w:wordWrap/>
              <w:overflowPunct/>
              <w:topLinePunct w:val="0"/>
              <w:bidi w:val="0"/>
              <w:spacing w:line="36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2年以上检测经历以</w:t>
            </w:r>
            <w:r>
              <w:rPr>
                <w:rFonts w:hint="eastAsia" w:ascii="宋体" w:hAnsi="宋体" w:cs="宋体"/>
                <w:color w:val="auto"/>
                <w:sz w:val="21"/>
                <w:szCs w:val="21"/>
                <w:highlight w:val="none"/>
                <w:lang w:val="en-US" w:eastAsia="zh-CN"/>
              </w:rPr>
              <w:t>岗位证书</w:t>
            </w:r>
            <w:r>
              <w:rPr>
                <w:rFonts w:hint="eastAsia" w:ascii="宋体" w:hAnsi="宋体" w:cs="宋体"/>
                <w:color w:val="auto"/>
                <w:sz w:val="21"/>
                <w:szCs w:val="21"/>
                <w:highlight w:val="none"/>
              </w:rPr>
              <w:t>颁发时间（2023年</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日前）为准</w:t>
            </w:r>
            <w:r>
              <w:rPr>
                <w:rFonts w:hint="eastAsia" w:ascii="宋体" w:hAnsi="宋体" w:eastAsia="宋体" w:cs="宋体"/>
                <w:color w:val="auto"/>
                <w:kern w:val="2"/>
                <w:sz w:val="21"/>
                <w:szCs w:val="21"/>
                <w:highlight w:val="none"/>
                <w:lang w:val="en-US" w:eastAsia="zh-CN" w:bidi="ar-SA"/>
              </w:rPr>
              <w:t>。</w:t>
            </w:r>
          </w:p>
        </w:tc>
      </w:tr>
    </w:tbl>
    <w:p w14:paraId="4FFC8711">
      <w:pPr>
        <w:pStyle w:val="19"/>
        <w:bidi w:val="0"/>
        <w:ind w:firstLine="480" w:firstLineChars="200"/>
        <w:rPr>
          <w:rFonts w:hint="eastAsia"/>
          <w:color w:val="auto"/>
          <w:highlight w:val="none"/>
        </w:rPr>
      </w:pPr>
      <w:r>
        <w:rPr>
          <w:rFonts w:hint="eastAsia"/>
          <w:color w:val="auto"/>
          <w:highlight w:val="none"/>
          <w:lang w:val="en-US" w:eastAsia="zh-CN"/>
        </w:rPr>
        <w:t>注：（一）</w:t>
      </w:r>
      <w:r>
        <w:rPr>
          <w:rFonts w:hint="eastAsia"/>
          <w:color w:val="auto"/>
          <w:highlight w:val="none"/>
        </w:rPr>
        <w:t>所有计算及得分保留至小数点后两位，小数点后第三位四舍五入。</w:t>
      </w:r>
    </w:p>
    <w:p w14:paraId="48F1E3D1">
      <w:pPr>
        <w:kinsoku/>
        <w:wordWrap/>
        <w:overflowPunct/>
        <w:topLinePunct w:val="0"/>
        <w:autoSpaceDE/>
        <w:autoSpaceDN/>
        <w:bidi w:val="0"/>
        <w:snapToGrid w:val="0"/>
        <w:spacing w:line="440" w:lineRule="exact"/>
        <w:ind w:right="0" w:rightChars="0" w:firstLine="960" w:firstLineChars="4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关于小微企业报价扣除比例说明</w:t>
      </w:r>
    </w:p>
    <w:p w14:paraId="422179E2">
      <w:pPr>
        <w:kinsoku/>
        <w:wordWrap/>
        <w:overflowPunct/>
        <w:topLinePunct w:val="0"/>
        <w:autoSpaceDE/>
        <w:autoSpaceDN/>
        <w:bidi w:val="0"/>
        <w:snapToGrid w:val="0"/>
        <w:spacing w:line="440" w:lineRule="exact"/>
        <w:ind w:left="0" w:leftChars="0" w:right="0" w:rightChars="0" w:firstLine="943" w:firstLineChars="39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1.对小微型企业给予</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的扣除，以扣除后的报价参与评审。</w:t>
      </w:r>
    </w:p>
    <w:p w14:paraId="540469BC">
      <w:pPr>
        <w:kinsoku/>
        <w:wordWrap/>
        <w:overflowPunct/>
        <w:topLinePunct w:val="0"/>
        <w:autoSpaceDE/>
        <w:autoSpaceDN/>
        <w:bidi w:val="0"/>
        <w:snapToGrid w:val="0"/>
        <w:spacing w:line="440" w:lineRule="exact"/>
        <w:ind w:left="0" w:leftChars="0" w:right="0" w:rightChars="0" w:firstLine="943" w:firstLineChars="393"/>
        <w:textAlignment w:val="auto"/>
        <w:rPr>
          <w:rFonts w:hint="eastAsia" w:ascii="宋体" w:hAnsi="宋体"/>
          <w:color w:val="auto"/>
          <w:sz w:val="24"/>
          <w:szCs w:val="24"/>
          <w:highlight w:val="none"/>
        </w:rPr>
      </w:pPr>
      <w:r>
        <w:rPr>
          <w:rFonts w:hint="eastAsia" w:ascii="宋体" w:hAnsi="宋体" w:eastAsia="宋体" w:cs="宋体"/>
          <w:color w:val="auto"/>
          <w:sz w:val="24"/>
          <w:szCs w:val="24"/>
          <w:highlight w:val="none"/>
        </w:rPr>
        <w:t>2.监狱企业、残疾人福利性单位视同小型、微型企业。</w:t>
      </w:r>
    </w:p>
    <w:p w14:paraId="78E67E79">
      <w:pPr>
        <w:pStyle w:val="4"/>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66" w:name="_Toc20392"/>
      <w:r>
        <w:rPr>
          <w:rFonts w:hint="eastAsia" w:ascii="宋体" w:hAnsi="宋体"/>
          <w:color w:val="auto"/>
          <w:sz w:val="24"/>
          <w:szCs w:val="24"/>
          <w:highlight w:val="none"/>
        </w:rPr>
        <w:t>三、无效响应</w:t>
      </w:r>
      <w:bookmarkEnd w:id="66"/>
    </w:p>
    <w:p w14:paraId="3D8EDEDE">
      <w:pPr>
        <w:kinsoku/>
        <w:wordWrap/>
        <w:overflowPunct/>
        <w:topLinePunct w:val="0"/>
        <w:bidi w:val="0"/>
        <w:spacing w:line="360" w:lineRule="auto"/>
        <w:ind w:firstLine="465"/>
        <w:textAlignment w:val="auto"/>
        <w:rPr>
          <w:rFonts w:hint="eastAsia" w:ascii="宋体" w:hAnsi="宋体"/>
          <w:color w:val="auto"/>
          <w:szCs w:val="24"/>
          <w:highlight w:val="none"/>
        </w:rPr>
      </w:pPr>
      <w:r>
        <w:rPr>
          <w:rFonts w:hint="eastAsia" w:ascii="宋体" w:hAnsi="宋体"/>
          <w:color w:val="auto"/>
          <w:szCs w:val="24"/>
          <w:highlight w:val="none"/>
        </w:rPr>
        <w:t>供应商发生以下条款情况之一者，视为无效响应，其响应文件将被拒绝：</w:t>
      </w:r>
    </w:p>
    <w:p w14:paraId="2D08CEAE">
      <w:pPr>
        <w:kinsoku/>
        <w:wordWrap/>
        <w:overflowPunct/>
        <w:topLinePunct w:val="0"/>
        <w:bidi w:val="0"/>
        <w:spacing w:line="360" w:lineRule="auto"/>
        <w:ind w:firstLine="465"/>
        <w:textAlignment w:val="auto"/>
        <w:rPr>
          <w:rFonts w:hint="eastAsia" w:ascii="宋体" w:hAnsi="宋体"/>
          <w:color w:val="auto"/>
          <w:szCs w:val="24"/>
          <w:highlight w:val="none"/>
        </w:rPr>
      </w:pPr>
      <w:r>
        <w:rPr>
          <w:rFonts w:hint="eastAsia" w:ascii="宋体" w:hAnsi="宋体"/>
          <w:color w:val="auto"/>
          <w:szCs w:val="24"/>
          <w:highlight w:val="none"/>
        </w:rPr>
        <w:t>（一）供应商不符合规定的资格条件；</w:t>
      </w:r>
    </w:p>
    <w:p w14:paraId="45EDAF7E">
      <w:pPr>
        <w:kinsoku/>
        <w:wordWrap/>
        <w:overflowPunct/>
        <w:topLinePunct w:val="0"/>
        <w:bidi w:val="0"/>
        <w:spacing w:line="360" w:lineRule="auto"/>
        <w:ind w:firstLine="465"/>
        <w:textAlignment w:val="auto"/>
        <w:rPr>
          <w:rFonts w:hint="eastAsia" w:ascii="宋体" w:hAnsi="宋体"/>
          <w:color w:val="auto"/>
          <w:szCs w:val="24"/>
          <w:highlight w:val="none"/>
        </w:rPr>
      </w:pPr>
      <w:r>
        <w:rPr>
          <w:rFonts w:hint="eastAsia" w:ascii="宋体" w:hAnsi="宋体"/>
          <w:color w:val="auto"/>
          <w:szCs w:val="24"/>
          <w:highlight w:val="none"/>
        </w:rPr>
        <w:t>（二）供应商的法定代表人（或其授权代表）或自然人未参加磋商；</w:t>
      </w:r>
    </w:p>
    <w:p w14:paraId="206C559F">
      <w:pPr>
        <w:kinsoku/>
        <w:wordWrap/>
        <w:overflowPunct/>
        <w:topLinePunct w:val="0"/>
        <w:bidi w:val="0"/>
        <w:spacing w:line="360" w:lineRule="auto"/>
        <w:ind w:firstLine="465"/>
        <w:textAlignment w:val="auto"/>
        <w:rPr>
          <w:rFonts w:hint="eastAsia"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val="en-US" w:eastAsia="zh-CN"/>
        </w:rPr>
        <w:t>三</w:t>
      </w:r>
      <w:r>
        <w:rPr>
          <w:rFonts w:hint="eastAsia" w:ascii="宋体" w:hAnsi="宋体"/>
          <w:color w:val="auto"/>
          <w:szCs w:val="24"/>
          <w:highlight w:val="none"/>
        </w:rPr>
        <w:t>）供应商所提交的响应文件不按“第七篇响应文件编制要求”要求签署或盖章；</w:t>
      </w:r>
    </w:p>
    <w:p w14:paraId="771D6DEE">
      <w:pPr>
        <w:kinsoku/>
        <w:wordWrap/>
        <w:overflowPunct/>
        <w:topLinePunct w:val="0"/>
        <w:bidi w:val="0"/>
        <w:spacing w:line="360" w:lineRule="auto"/>
        <w:ind w:firstLine="465"/>
        <w:textAlignment w:val="auto"/>
        <w:rPr>
          <w:rFonts w:hint="eastAsia"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val="en-US" w:eastAsia="zh-CN"/>
        </w:rPr>
        <w:t>四</w:t>
      </w:r>
      <w:r>
        <w:rPr>
          <w:rFonts w:hint="eastAsia" w:ascii="宋体" w:hAnsi="宋体"/>
          <w:color w:val="auto"/>
          <w:szCs w:val="24"/>
          <w:highlight w:val="none"/>
        </w:rPr>
        <w:t>）供应商的最后报价超过采购预算金额或最高限价的；</w:t>
      </w:r>
    </w:p>
    <w:p w14:paraId="3F0F3401">
      <w:pPr>
        <w:kinsoku/>
        <w:wordWrap/>
        <w:overflowPunct/>
        <w:topLinePunct w:val="0"/>
        <w:bidi w:val="0"/>
        <w:spacing w:line="360" w:lineRule="auto"/>
        <w:ind w:firstLine="465"/>
        <w:textAlignment w:val="auto"/>
        <w:rPr>
          <w:rFonts w:hint="eastAsia"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val="en-US" w:eastAsia="zh-CN"/>
        </w:rPr>
        <w:t>五</w:t>
      </w:r>
      <w:r>
        <w:rPr>
          <w:rFonts w:hint="eastAsia" w:ascii="宋体" w:hAnsi="宋体"/>
          <w:color w:val="auto"/>
          <w:szCs w:val="24"/>
          <w:highlight w:val="none"/>
        </w:rPr>
        <w:t>）法定代表人为同一个人的两个及两个以上法人，母公司、全资子公司及其控股公司，在同一包采购中同时参与磋商；</w:t>
      </w:r>
    </w:p>
    <w:p w14:paraId="454ADD9C">
      <w:pPr>
        <w:kinsoku/>
        <w:wordWrap/>
        <w:overflowPunct/>
        <w:topLinePunct w:val="0"/>
        <w:bidi w:val="0"/>
        <w:spacing w:line="360" w:lineRule="auto"/>
        <w:ind w:firstLine="465"/>
        <w:textAlignment w:val="auto"/>
        <w:rPr>
          <w:rFonts w:hint="eastAsia"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val="en-US" w:eastAsia="zh-CN"/>
        </w:rPr>
        <w:t>六</w:t>
      </w:r>
      <w:r>
        <w:rPr>
          <w:rFonts w:hint="eastAsia" w:ascii="宋体" w:hAnsi="宋体"/>
          <w:color w:val="auto"/>
          <w:szCs w:val="24"/>
          <w:highlight w:val="none"/>
        </w:rPr>
        <w:t>）单位负责人为同一人或者存在直接控股、管理关系的不同供应商，参加同一合同项下的政府采购活动的；</w:t>
      </w:r>
    </w:p>
    <w:p w14:paraId="64247BF1">
      <w:pPr>
        <w:kinsoku/>
        <w:wordWrap/>
        <w:overflowPunct/>
        <w:topLinePunct w:val="0"/>
        <w:bidi w:val="0"/>
        <w:spacing w:line="360" w:lineRule="auto"/>
        <w:ind w:firstLine="465"/>
        <w:textAlignment w:val="auto"/>
        <w:rPr>
          <w:rFonts w:hint="eastAsia"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val="en-US" w:eastAsia="zh-CN"/>
        </w:rPr>
        <w:t>七</w:t>
      </w:r>
      <w:r>
        <w:rPr>
          <w:rFonts w:hint="eastAsia" w:ascii="宋体" w:hAnsi="宋体"/>
          <w:color w:val="auto"/>
          <w:szCs w:val="24"/>
          <w:highlight w:val="none"/>
        </w:rPr>
        <w:t>）为采购项目提供整体设计、规范编制或者项目管理、监理、检测等服务的供应商，不能再参加该采购项目的其他采购活动；</w:t>
      </w:r>
    </w:p>
    <w:p w14:paraId="66B3B752">
      <w:pPr>
        <w:kinsoku/>
        <w:wordWrap/>
        <w:overflowPunct/>
        <w:topLinePunct w:val="0"/>
        <w:bidi w:val="0"/>
        <w:spacing w:line="360" w:lineRule="auto"/>
        <w:ind w:firstLine="465"/>
        <w:textAlignment w:val="auto"/>
        <w:rPr>
          <w:rFonts w:hint="eastAsia"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val="en-US" w:eastAsia="zh-CN"/>
        </w:rPr>
        <w:t>八</w:t>
      </w:r>
      <w:r>
        <w:rPr>
          <w:rFonts w:hint="eastAsia" w:ascii="宋体" w:hAnsi="宋体"/>
          <w:color w:val="auto"/>
          <w:szCs w:val="24"/>
          <w:highlight w:val="none"/>
        </w:rPr>
        <w:t>）供应商磋商有效期不满足竞争性磋商文件要求的；</w:t>
      </w:r>
    </w:p>
    <w:p w14:paraId="178CBEC6">
      <w:pPr>
        <w:kinsoku/>
        <w:wordWrap/>
        <w:overflowPunct/>
        <w:topLinePunct w:val="0"/>
        <w:bidi w:val="0"/>
        <w:spacing w:line="360" w:lineRule="auto"/>
        <w:ind w:firstLine="465"/>
        <w:textAlignment w:val="auto"/>
        <w:rPr>
          <w:rFonts w:hint="eastAsia"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val="en-US" w:eastAsia="zh-CN"/>
        </w:rPr>
        <w:t>九</w:t>
      </w:r>
      <w:r>
        <w:rPr>
          <w:rFonts w:hint="eastAsia" w:ascii="宋体" w:hAnsi="宋体"/>
          <w:color w:val="auto"/>
          <w:szCs w:val="24"/>
          <w:highlight w:val="none"/>
        </w:rPr>
        <w:t>）供应商响应文件内容有与国家现行法律法规相违背的内容，或附有采购人无法接受的条件；</w:t>
      </w:r>
    </w:p>
    <w:p w14:paraId="0D7F80AF">
      <w:pPr>
        <w:kinsoku/>
        <w:wordWrap/>
        <w:overflowPunct/>
        <w:topLinePunct w:val="0"/>
        <w:bidi w:val="0"/>
        <w:spacing w:line="360" w:lineRule="auto"/>
        <w:ind w:firstLine="465"/>
        <w:textAlignment w:val="auto"/>
        <w:rPr>
          <w:rFonts w:hint="eastAsia" w:ascii="宋体" w:hAnsi="宋体"/>
          <w:color w:val="auto"/>
          <w:szCs w:val="24"/>
          <w:highlight w:val="none"/>
        </w:rPr>
      </w:pPr>
      <w:r>
        <w:rPr>
          <w:rFonts w:hint="eastAsia" w:ascii="宋体" w:hAnsi="宋体"/>
          <w:color w:val="auto"/>
          <w:szCs w:val="24"/>
          <w:highlight w:val="none"/>
        </w:rPr>
        <w:t>（十）法律、法规和竞争性磋商文件规定的其他无效情形。</w:t>
      </w:r>
    </w:p>
    <w:p w14:paraId="6F786960">
      <w:pPr>
        <w:pStyle w:val="4"/>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67" w:name="_Toc30031"/>
      <w:r>
        <w:rPr>
          <w:rFonts w:hint="eastAsia" w:ascii="宋体" w:hAnsi="宋体"/>
          <w:color w:val="auto"/>
          <w:sz w:val="24"/>
          <w:szCs w:val="24"/>
          <w:highlight w:val="none"/>
        </w:rPr>
        <w:t>四、</w:t>
      </w:r>
      <w:bookmarkEnd w:id="64"/>
      <w:bookmarkEnd w:id="65"/>
      <w:r>
        <w:rPr>
          <w:rFonts w:hint="eastAsia" w:ascii="宋体" w:hAnsi="宋体"/>
          <w:color w:val="auto"/>
          <w:sz w:val="24"/>
          <w:szCs w:val="24"/>
          <w:highlight w:val="none"/>
        </w:rPr>
        <w:t>采购终止</w:t>
      </w:r>
      <w:bookmarkEnd w:id="67"/>
    </w:p>
    <w:p w14:paraId="796F83BA">
      <w:pPr>
        <w:kinsoku/>
        <w:wordWrap/>
        <w:overflowPunct/>
        <w:topLinePunct w:val="0"/>
        <w:bidi w:val="0"/>
        <w:spacing w:line="360" w:lineRule="auto"/>
        <w:ind w:firstLine="465"/>
        <w:textAlignment w:val="auto"/>
        <w:rPr>
          <w:rFonts w:hint="eastAsia" w:ascii="宋体" w:hAnsi="宋体"/>
          <w:color w:val="auto"/>
          <w:szCs w:val="24"/>
          <w:highlight w:val="none"/>
        </w:rPr>
      </w:pPr>
      <w:r>
        <w:rPr>
          <w:rFonts w:hint="eastAsia" w:ascii="宋体" w:hAnsi="宋体"/>
          <w:color w:val="auto"/>
          <w:szCs w:val="24"/>
          <w:highlight w:val="none"/>
        </w:rPr>
        <w:t>出现下列情形之一的，采购人或者采购代理机构应当终止竞争性磋商采购活动，发布项目终止公告并说明原因，重新开展采购活动：</w:t>
      </w:r>
    </w:p>
    <w:p w14:paraId="461D8083">
      <w:pPr>
        <w:kinsoku/>
        <w:wordWrap/>
        <w:overflowPunct/>
        <w:topLinePunct w:val="0"/>
        <w:bidi w:val="0"/>
        <w:spacing w:line="360" w:lineRule="auto"/>
        <w:ind w:firstLine="465"/>
        <w:textAlignment w:val="auto"/>
        <w:rPr>
          <w:rFonts w:hint="eastAsia" w:ascii="宋体" w:hAnsi="宋体"/>
          <w:color w:val="auto"/>
          <w:szCs w:val="24"/>
          <w:highlight w:val="none"/>
        </w:rPr>
      </w:pPr>
      <w:r>
        <w:rPr>
          <w:rFonts w:hint="eastAsia" w:ascii="宋体" w:hAnsi="宋体"/>
          <w:color w:val="auto"/>
          <w:szCs w:val="24"/>
          <w:highlight w:val="none"/>
        </w:rPr>
        <w:t>（一）因情况变化，不再符合规定的竞争性磋商采购方式适用情形的；</w:t>
      </w:r>
    </w:p>
    <w:p w14:paraId="74D80ADC">
      <w:pPr>
        <w:kinsoku/>
        <w:wordWrap/>
        <w:overflowPunct/>
        <w:topLinePunct w:val="0"/>
        <w:bidi w:val="0"/>
        <w:spacing w:line="360" w:lineRule="auto"/>
        <w:ind w:firstLine="465"/>
        <w:textAlignment w:val="auto"/>
        <w:rPr>
          <w:rFonts w:hint="eastAsia" w:ascii="宋体" w:hAnsi="宋体"/>
          <w:color w:val="auto"/>
          <w:szCs w:val="24"/>
          <w:highlight w:val="none"/>
        </w:rPr>
      </w:pPr>
      <w:r>
        <w:rPr>
          <w:rFonts w:hint="eastAsia" w:ascii="宋体" w:hAnsi="宋体"/>
          <w:color w:val="auto"/>
          <w:szCs w:val="24"/>
          <w:highlight w:val="none"/>
        </w:rPr>
        <w:t>（二）出现影响采购公正的违法、违规行为的；</w:t>
      </w:r>
    </w:p>
    <w:p w14:paraId="1F25A1FE">
      <w:pPr>
        <w:kinsoku/>
        <w:wordWrap/>
        <w:overflowPunct/>
        <w:topLinePunct w:val="0"/>
        <w:bidi w:val="0"/>
        <w:spacing w:line="360" w:lineRule="auto"/>
        <w:ind w:firstLine="465"/>
        <w:textAlignment w:val="auto"/>
        <w:rPr>
          <w:rFonts w:hint="eastAsia" w:ascii="宋体" w:hAnsi="宋体"/>
          <w:color w:val="auto"/>
          <w:szCs w:val="24"/>
          <w:highlight w:val="none"/>
        </w:rPr>
      </w:pPr>
      <w:r>
        <w:rPr>
          <w:rFonts w:hint="eastAsia" w:ascii="宋体" w:hAnsi="宋体"/>
          <w:color w:val="auto"/>
          <w:szCs w:val="24"/>
          <w:highlight w:val="none"/>
        </w:rPr>
        <w:t>（三）在采购过程中符合要求的供应商或者报价未超过采购预算的供应商不足3家的，但《政府采购竞争性磋商采购方式管理暂行办法》第二十一条第三款及《财政部关于政府采购竞争性磋商采购方式管理暂行办法有关问题的补充通知》规定的情形除外。</w:t>
      </w:r>
    </w:p>
    <w:p w14:paraId="0004459A">
      <w:pPr>
        <w:kinsoku/>
        <w:wordWrap/>
        <w:overflowPunct/>
        <w:topLinePunct w:val="0"/>
        <w:bidi w:val="0"/>
        <w:spacing w:line="360" w:lineRule="auto"/>
        <w:ind w:firstLine="480" w:firstLineChars="200"/>
        <w:textAlignment w:val="auto"/>
        <w:rPr>
          <w:rFonts w:hint="eastAsia" w:ascii="宋体" w:hAnsi="宋体"/>
          <w:color w:val="auto"/>
          <w:szCs w:val="24"/>
          <w:highlight w:val="none"/>
        </w:rPr>
        <w:sectPr>
          <w:footerReference r:id="rId6" w:type="default"/>
          <w:footerReference r:id="rId7" w:type="even"/>
          <w:pgSz w:w="11907" w:h="16840"/>
          <w:pgMar w:top="1134" w:right="1191" w:bottom="1134" w:left="1191" w:header="964" w:footer="992" w:gutter="0"/>
          <w:pgNumType w:fmt="numberInDash" w:start="1"/>
          <w:cols w:space="720" w:num="1"/>
          <w:docGrid w:linePitch="312" w:charSpace="0"/>
        </w:sectPr>
      </w:pPr>
    </w:p>
    <w:p w14:paraId="65E59E84">
      <w:pPr>
        <w:pStyle w:val="3"/>
        <w:pageBreakBefore/>
        <w:kinsoku/>
        <w:wordWrap/>
        <w:overflowPunct/>
        <w:topLinePunct w:val="0"/>
        <w:bidi w:val="0"/>
        <w:spacing w:before="120" w:beforeLines="50" w:line="360" w:lineRule="auto"/>
        <w:jc w:val="center"/>
        <w:textAlignment w:val="auto"/>
        <w:rPr>
          <w:rFonts w:hint="eastAsia" w:ascii="宋体" w:hAnsi="宋体" w:eastAsia="宋体"/>
          <w:color w:val="auto"/>
          <w:sz w:val="36"/>
          <w:szCs w:val="30"/>
          <w:highlight w:val="none"/>
        </w:rPr>
      </w:pPr>
      <w:bookmarkStart w:id="68" w:name="_Toc102227313"/>
      <w:bookmarkStart w:id="69" w:name="_Toc16771"/>
      <w:r>
        <w:rPr>
          <w:rFonts w:hint="eastAsia" w:ascii="宋体" w:hAnsi="宋体" w:eastAsia="宋体"/>
          <w:color w:val="auto"/>
          <w:sz w:val="36"/>
          <w:szCs w:val="30"/>
          <w:highlight w:val="none"/>
        </w:rPr>
        <w:t>第五篇  供应商须知</w:t>
      </w:r>
      <w:bookmarkEnd w:id="68"/>
      <w:bookmarkEnd w:id="69"/>
    </w:p>
    <w:p w14:paraId="34FF2385">
      <w:pPr>
        <w:pStyle w:val="4"/>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70" w:name="_Toc342913389"/>
      <w:bookmarkStart w:id="71" w:name="_Toc21147"/>
      <w:r>
        <w:rPr>
          <w:rFonts w:hint="eastAsia" w:ascii="宋体" w:hAnsi="宋体"/>
          <w:color w:val="auto"/>
          <w:sz w:val="24"/>
          <w:szCs w:val="24"/>
          <w:highlight w:val="none"/>
        </w:rPr>
        <w:t>一、磋商费用</w:t>
      </w:r>
      <w:bookmarkEnd w:id="70"/>
      <w:bookmarkEnd w:id="71"/>
    </w:p>
    <w:p w14:paraId="3B026F92">
      <w:pPr>
        <w:pStyle w:val="165"/>
        <w:kinsoku/>
        <w:wordWrap/>
        <w:overflowPunct/>
        <w:topLinePunct w:val="0"/>
        <w:bidi w:val="0"/>
        <w:spacing w:line="360" w:lineRule="auto"/>
        <w:ind w:firstLine="480" w:firstLineChars="200"/>
        <w:textAlignment w:val="auto"/>
        <w:rPr>
          <w:rFonts w:hint="eastAsia" w:hAnsi="宋体"/>
          <w:color w:val="auto"/>
          <w:sz w:val="24"/>
          <w:szCs w:val="24"/>
          <w:highlight w:val="none"/>
        </w:rPr>
      </w:pPr>
      <w:r>
        <w:rPr>
          <w:rFonts w:hint="eastAsia" w:hAnsi="宋体"/>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677F0E1A">
      <w:pPr>
        <w:pStyle w:val="4"/>
        <w:tabs>
          <w:tab w:val="left" w:pos="2640"/>
        </w:tabs>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72" w:name="_Toc342913391"/>
      <w:bookmarkStart w:id="73" w:name="_Toc30377"/>
      <w:r>
        <w:rPr>
          <w:rFonts w:hint="eastAsia" w:ascii="宋体" w:hAnsi="宋体"/>
          <w:color w:val="auto"/>
          <w:sz w:val="24"/>
          <w:szCs w:val="24"/>
          <w:highlight w:val="none"/>
        </w:rPr>
        <w:t>二、竞争性磋商文件</w:t>
      </w:r>
      <w:bookmarkEnd w:id="72"/>
      <w:bookmarkEnd w:id="73"/>
    </w:p>
    <w:p w14:paraId="104CE206">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（一）竞争性磋商文件由采购邀请书；采购服务需求；采购商务需求；磋商程序及方法、评审标准、无效响应和采购终止；供应商须知；政府采购合同；响应文件编制要求共七部分组成。</w:t>
      </w:r>
    </w:p>
    <w:p w14:paraId="7087CD34">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（二）采购人（或采购代理机构）所作的一切有效的书面通知、修改及补充，都是竞争性磋商文件不可分割的部分。</w:t>
      </w:r>
    </w:p>
    <w:p w14:paraId="24D8399B">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（三）竞争性磋商文件的解释</w:t>
      </w:r>
    </w:p>
    <w:p w14:paraId="1626B093">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74" w:name="_Toc318159160"/>
      <w:bookmarkStart w:id="75" w:name="_Toc318166429"/>
      <w:bookmarkStart w:id="76" w:name="_Toc318159780"/>
      <w:bookmarkStart w:id="77" w:name="_Toc318159349"/>
    </w:p>
    <w:p w14:paraId="6550B2E5">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（四）本竞争性磋商文件中，磋商小组根据与供应商进行磋商可能实质性变动的内容为竞争性磋商文件第二、三、六篇全部内容。</w:t>
      </w:r>
    </w:p>
    <w:p w14:paraId="63EBDD92">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（五）评审的依据为竞争性磋商文件和响应文件（含有效的书面承诺）。磋商小组判断响应文件对竞争性磋商文件的响应，仅基于响应文件本身而不靠外部证据。</w:t>
      </w:r>
    </w:p>
    <w:bookmarkEnd w:id="74"/>
    <w:bookmarkEnd w:id="75"/>
    <w:bookmarkEnd w:id="76"/>
    <w:bookmarkEnd w:id="77"/>
    <w:p w14:paraId="6AA016D5">
      <w:pPr>
        <w:pStyle w:val="4"/>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78" w:name="_Toc342913392"/>
      <w:bookmarkStart w:id="79" w:name="_Toc6958"/>
      <w:bookmarkStart w:id="80" w:name="_Toc102227318"/>
      <w:bookmarkStart w:id="81" w:name="_Toc179714297"/>
      <w:r>
        <w:rPr>
          <w:rFonts w:hint="eastAsia" w:ascii="宋体" w:hAnsi="宋体"/>
          <w:color w:val="auto"/>
          <w:sz w:val="24"/>
          <w:szCs w:val="24"/>
          <w:highlight w:val="none"/>
        </w:rPr>
        <w:t>三、磋商要求</w:t>
      </w:r>
      <w:bookmarkEnd w:id="78"/>
      <w:bookmarkEnd w:id="79"/>
      <w:bookmarkEnd w:id="80"/>
      <w:bookmarkEnd w:id="81"/>
    </w:p>
    <w:p w14:paraId="1A98DFB1">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（一）响应文件</w:t>
      </w:r>
    </w:p>
    <w:p w14:paraId="75CA5BDE">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1.供应商应当按照竞争性磋商文件的要求编制响应文件，并对竞争性磋商文件提出的要求和条件作出实质性响应，响应文件原则上采用软面订本，同时应编制完整的页码、目录。</w:t>
      </w:r>
    </w:p>
    <w:p w14:paraId="6F335A4B">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2.响应文件组成</w:t>
      </w:r>
    </w:p>
    <w:p w14:paraId="201BD8D3">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759C794">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（二）联合体</w:t>
      </w:r>
    </w:p>
    <w:p w14:paraId="7A4A6A0E">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本项目不接受联合体磋商。</w:t>
      </w:r>
    </w:p>
    <w:p w14:paraId="13D38D81">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（三）磋商有效期：响应文件及有关承诺文件有效期为提交响应文件截止时间起90天。</w:t>
      </w:r>
    </w:p>
    <w:p w14:paraId="35E84F6D">
      <w:pPr>
        <w:kinsoku/>
        <w:wordWrap/>
        <w:overflowPunct/>
        <w:topLinePunct w:val="0"/>
        <w:bidi w:val="0"/>
        <w:spacing w:line="360" w:lineRule="auto"/>
        <w:textAlignment w:val="auto"/>
        <w:rPr>
          <w:rFonts w:hint="default" w:ascii="宋体" w:hAnsi="宋体" w:eastAsia="宋体"/>
          <w:color w:val="auto"/>
          <w:szCs w:val="24"/>
          <w:highlight w:val="none"/>
          <w:lang w:val="en-US" w:eastAsia="zh-CN"/>
        </w:rPr>
      </w:pPr>
      <w:r>
        <w:rPr>
          <w:rFonts w:hint="eastAsia" w:ascii="宋体" w:hAnsi="宋体"/>
          <w:color w:val="auto"/>
          <w:szCs w:val="24"/>
          <w:highlight w:val="none"/>
        </w:rPr>
        <w:t>（四）磋商保证金</w:t>
      </w:r>
      <w:r>
        <w:rPr>
          <w:rFonts w:hint="eastAsia" w:ascii="宋体" w:hAnsi="宋体"/>
          <w:color w:val="auto"/>
          <w:szCs w:val="24"/>
          <w:highlight w:val="none"/>
          <w:lang w:eastAsia="zh-CN"/>
        </w:rPr>
        <w:t>：</w:t>
      </w:r>
      <w:r>
        <w:rPr>
          <w:rFonts w:hint="eastAsia" w:ascii="宋体" w:hAnsi="宋体"/>
          <w:color w:val="auto"/>
          <w:szCs w:val="24"/>
          <w:highlight w:val="none"/>
          <w:lang w:val="en-US" w:eastAsia="zh-CN"/>
        </w:rPr>
        <w:t>无。</w:t>
      </w:r>
    </w:p>
    <w:p w14:paraId="4D41E560">
      <w:pPr>
        <w:kinsoku/>
        <w:wordWrap/>
        <w:overflowPunct/>
        <w:topLinePunct w:val="0"/>
        <w:bidi w:val="0"/>
        <w:spacing w:line="360" w:lineRule="auto"/>
        <w:textAlignment w:val="auto"/>
        <w:rPr>
          <w:rFonts w:hint="eastAsia" w:ascii="宋体" w:hAnsi="宋体"/>
          <w:color w:val="auto"/>
          <w:szCs w:val="24"/>
          <w:highlight w:val="none"/>
        </w:rPr>
      </w:pPr>
      <w:r>
        <w:rPr>
          <w:rFonts w:hint="eastAsia" w:ascii="宋体" w:hAnsi="宋体"/>
          <w:color w:val="auto"/>
          <w:szCs w:val="24"/>
          <w:highlight w:val="none"/>
        </w:rPr>
        <w:t>（五）修正错误</w:t>
      </w:r>
    </w:p>
    <w:p w14:paraId="74097A26">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1.若供应商所递交的响应文件或最后报价中的价格出现大写金额和小写金额不一致的错误，以大写金额修正为准。</w:t>
      </w:r>
    </w:p>
    <w:p w14:paraId="2AA001B0">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2.磋商小组按上述修正错误的原则及方法修正供应商的报价</w:t>
      </w:r>
      <w:r>
        <w:rPr>
          <w:rFonts w:hint="eastAsia" w:ascii="宋体" w:hAnsi="宋体"/>
          <w:color w:val="auto"/>
          <w:szCs w:val="24"/>
          <w:highlight w:val="none"/>
          <w:lang w:eastAsia="zh-CN"/>
        </w:rPr>
        <w:t>，经</w:t>
      </w:r>
      <w:r>
        <w:rPr>
          <w:rFonts w:hint="eastAsia" w:ascii="宋体" w:hAnsi="宋体"/>
          <w:color w:val="auto"/>
          <w:szCs w:val="24"/>
          <w:highlight w:val="none"/>
        </w:rPr>
        <w:t>供应商同意并签字确认后，修正后的报价对供应商具有约束作用。如果供应商不接受修正后的价格，将失去成为成交供应商的资格。</w:t>
      </w:r>
    </w:p>
    <w:p w14:paraId="576D7668">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（六）提交响应文件的份数和签署</w:t>
      </w:r>
    </w:p>
    <w:p w14:paraId="1D6459D6">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2DD7295B">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2.响应文件按竞争性磋商文件“第七篇响应文件编制要求”要求签署或盖章</w:t>
      </w:r>
      <w:r>
        <w:rPr>
          <w:rFonts w:hint="eastAsia" w:ascii="宋体" w:hAnsi="宋体"/>
          <w:color w:val="auto"/>
          <w:highlight w:val="none"/>
        </w:rPr>
        <w:t>。</w:t>
      </w:r>
    </w:p>
    <w:p w14:paraId="325A4DE5">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（七）响应文件的递交</w:t>
      </w:r>
    </w:p>
    <w:p w14:paraId="4D6B08C2">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1.响应文件的密封与标记</w:t>
      </w:r>
    </w:p>
    <w:p w14:paraId="1E3BC7A8">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响应文件的正本、副本以及电子文档均应密封送达递交响应文件地点，应在封套上注明项目名称、供应商名称。若正本、副本以及电子文档分别进行密封的，还应在封套上注明“正本</w:t>
      </w:r>
      <w:r>
        <w:rPr>
          <w:rFonts w:hint="eastAsia" w:ascii="宋体" w:hAnsi="宋体"/>
          <w:color w:val="auto"/>
          <w:szCs w:val="24"/>
          <w:highlight w:val="none"/>
          <w:lang w:eastAsia="zh-CN"/>
        </w:rPr>
        <w:t>”“</w:t>
      </w:r>
      <w:r>
        <w:rPr>
          <w:rFonts w:hint="eastAsia" w:ascii="宋体" w:hAnsi="宋体"/>
          <w:color w:val="auto"/>
          <w:szCs w:val="24"/>
          <w:highlight w:val="none"/>
        </w:rPr>
        <w:t>副本</w:t>
      </w:r>
      <w:r>
        <w:rPr>
          <w:rFonts w:hint="eastAsia" w:ascii="宋体" w:hAnsi="宋体"/>
          <w:color w:val="auto"/>
          <w:szCs w:val="24"/>
          <w:highlight w:val="none"/>
          <w:lang w:eastAsia="zh-CN"/>
        </w:rPr>
        <w:t>”“</w:t>
      </w:r>
      <w:r>
        <w:rPr>
          <w:rFonts w:hint="eastAsia" w:ascii="宋体" w:hAnsi="宋体"/>
          <w:color w:val="auto"/>
          <w:szCs w:val="24"/>
          <w:highlight w:val="none"/>
        </w:rPr>
        <w:t>电子文档”字样。</w:t>
      </w:r>
    </w:p>
    <w:p w14:paraId="76672EF3">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2.响应文件递交截止时间：参阅采购邀请书。</w:t>
      </w:r>
    </w:p>
    <w:p w14:paraId="6F8125F2">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3.响应文件语言：简体中文</w:t>
      </w:r>
    </w:p>
    <w:p w14:paraId="4899B6EA">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（八）供应商参与人员</w:t>
      </w:r>
    </w:p>
    <w:p w14:paraId="4C0B0E8A">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各个供应商可派1-2名代表参与磋商，至少1人应为法定代表人或具有法定代表人授权委托书的授权代表。</w:t>
      </w:r>
    </w:p>
    <w:p w14:paraId="5F39B4AC">
      <w:pPr>
        <w:pStyle w:val="4"/>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82" w:name="_Toc30594"/>
      <w:r>
        <w:rPr>
          <w:rFonts w:hint="eastAsia" w:ascii="宋体" w:hAnsi="宋体"/>
          <w:color w:val="auto"/>
          <w:sz w:val="24"/>
          <w:szCs w:val="24"/>
          <w:highlight w:val="none"/>
        </w:rPr>
        <w:t>四、成交供应商的确认和变更</w:t>
      </w:r>
      <w:bookmarkEnd w:id="82"/>
    </w:p>
    <w:p w14:paraId="43D523F1">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（一）成交供应商的确认</w:t>
      </w:r>
    </w:p>
    <w:p w14:paraId="62D0BF3F">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ascii="宋体" w:hAnsi="宋体"/>
          <w:color w:val="auto"/>
          <w:szCs w:val="24"/>
          <w:highlight w:val="none"/>
        </w:rPr>
        <w:t>采购代理机构应当在评审结束后2个工作日内将评审报告送采购人确认。采购人应当在收到评审报告后5个工作日内</w:t>
      </w:r>
      <w:r>
        <w:rPr>
          <w:rFonts w:hint="eastAsia" w:ascii="宋体" w:hAnsi="宋体"/>
          <w:color w:val="auto"/>
          <w:szCs w:val="24"/>
          <w:highlight w:val="none"/>
        </w:rPr>
        <w:t>，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D45C6E6">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（二）成交供应商的变更</w:t>
      </w:r>
    </w:p>
    <w:p w14:paraId="78EC5EC9">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1EFD4154">
      <w:pPr>
        <w:pStyle w:val="4"/>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83" w:name="_Toc20742"/>
      <w:bookmarkStart w:id="84" w:name="_Toc342913395"/>
      <w:bookmarkStart w:id="85" w:name="_Toc102227321"/>
      <w:r>
        <w:rPr>
          <w:rFonts w:hint="eastAsia" w:ascii="宋体" w:hAnsi="宋体"/>
          <w:color w:val="auto"/>
          <w:sz w:val="24"/>
          <w:szCs w:val="24"/>
          <w:highlight w:val="none"/>
        </w:rPr>
        <w:t>五、成交通知</w:t>
      </w:r>
      <w:bookmarkEnd w:id="83"/>
      <w:bookmarkEnd w:id="84"/>
      <w:bookmarkEnd w:id="85"/>
    </w:p>
    <w:p w14:paraId="74BFF42D">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（一）成交供应商确定后，采购代理机构将在行采家网上发布成交结果公告。</w:t>
      </w:r>
    </w:p>
    <w:p w14:paraId="03075930">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（二）结果公告发布的同时，采购代理机构将以书面形式发出《成交通知书》。《成交通知书》一经发出即发生法律效力。</w:t>
      </w:r>
    </w:p>
    <w:p w14:paraId="4BF53D36">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（三）《成交通知书》将作为签订合同的依据。</w:t>
      </w:r>
    </w:p>
    <w:p w14:paraId="1A3A11FF">
      <w:pPr>
        <w:kinsoku/>
        <w:wordWrap/>
        <w:overflowPunct/>
        <w:topLinePunct w:val="0"/>
        <w:bidi w:val="0"/>
        <w:spacing w:line="360" w:lineRule="auto"/>
        <w:ind w:firstLine="480" w:firstLineChars="200"/>
        <w:textAlignment w:val="auto"/>
        <w:rPr>
          <w:rFonts w:hint="eastAsia" w:ascii="宋体" w:hAnsi="宋体"/>
          <w:color w:val="auto"/>
          <w:highlight w:val="none"/>
        </w:rPr>
      </w:pPr>
      <w:r>
        <w:rPr>
          <w:rFonts w:hint="eastAsia" w:ascii="宋体" w:hAnsi="宋体"/>
          <w:color w:val="auto"/>
          <w:szCs w:val="24"/>
          <w:highlight w:val="none"/>
        </w:rPr>
        <w:t>（四）如有供应商对成交结果提出质疑的，在质疑处理完毕后发出成交通知书。</w:t>
      </w:r>
    </w:p>
    <w:p w14:paraId="40D111CB">
      <w:pPr>
        <w:pStyle w:val="4"/>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86" w:name="_Toc21610"/>
      <w:r>
        <w:rPr>
          <w:rFonts w:hint="eastAsia" w:ascii="宋体" w:hAnsi="宋体"/>
          <w:color w:val="auto"/>
          <w:sz w:val="24"/>
          <w:szCs w:val="24"/>
          <w:highlight w:val="none"/>
        </w:rPr>
        <w:t>六、关于质疑</w:t>
      </w:r>
      <w:bookmarkEnd w:id="86"/>
    </w:p>
    <w:p w14:paraId="2FA46E64">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（一）质疑</w:t>
      </w:r>
    </w:p>
    <w:p w14:paraId="522BBD68">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供应商认为磋商文件、采购过程和成交结果使自己的权益</w:t>
      </w:r>
      <w:r>
        <w:rPr>
          <w:rFonts w:hint="eastAsia" w:ascii="宋体" w:hAnsi="宋体"/>
          <w:color w:val="auto"/>
          <w:szCs w:val="24"/>
          <w:highlight w:val="none"/>
          <w:lang w:eastAsia="zh-CN"/>
        </w:rPr>
        <w:t>受到</w:t>
      </w:r>
      <w:r>
        <w:rPr>
          <w:rFonts w:hint="eastAsia" w:ascii="宋体" w:hAnsi="宋体"/>
          <w:color w:val="auto"/>
          <w:szCs w:val="24"/>
          <w:highlight w:val="none"/>
        </w:rPr>
        <w:t>伤害的，可向采购人或采购代理机构以书面形式提出质疑。</w:t>
      </w:r>
    </w:p>
    <w:p w14:paraId="730E18C4">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提出质疑的应当是参与所质疑项目采购活动的供应商。</w:t>
      </w:r>
    </w:p>
    <w:p w14:paraId="7ED91D2C">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1.质疑内容、时限</w:t>
      </w:r>
    </w:p>
    <w:p w14:paraId="6A41187E">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1.1供应商认为磋商文件、采购过程、成交结果使自己的权益受到损害的，可以在知道或者应知其权益受到损害之日起7个工作日内，以书面形式向采购人、采购代理机构提出质疑。</w:t>
      </w:r>
    </w:p>
    <w:p w14:paraId="5E558F2F">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1.2 供应商提出质疑应当提交质疑函和必要的证明材料，质疑函应当包括下列内容：</w:t>
      </w:r>
    </w:p>
    <w:p w14:paraId="1362F01E">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（1）供应商的姓名或者名称、地址、邮编、联系人及联系电话；</w:t>
      </w:r>
    </w:p>
    <w:p w14:paraId="55A273E8">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（2）质疑项目的名称、项目号以及采购项目编号；</w:t>
      </w:r>
    </w:p>
    <w:p w14:paraId="54457049">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（3）具体、明确的质疑事项和与质疑事项相关的请求；</w:t>
      </w:r>
    </w:p>
    <w:p w14:paraId="06F174AB">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（4）事实依据；</w:t>
      </w:r>
    </w:p>
    <w:p w14:paraId="781576EB">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（5）必要的法律依据；</w:t>
      </w:r>
    </w:p>
    <w:p w14:paraId="6A801B6A">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（6）提出质疑的日期；</w:t>
      </w:r>
    </w:p>
    <w:p w14:paraId="4FA8B010">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（7）营业执照（或事业单位法人证书或个体工商户营业执照或有效的自然人身份证明）复印件；</w:t>
      </w:r>
    </w:p>
    <w:p w14:paraId="157727A3">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（8）法定代表人授权委托书原件、法定代表人身份证复印件和其授权代表的身份证复印件（供应商为自然人的提供自然人身份证复印件）；</w:t>
      </w:r>
    </w:p>
    <w:p w14:paraId="1738592E">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1.3 供应商为自然人的，质疑函应当由本人签字；供应商为法人或者其他组织的，质疑函应当由法定代表人、主要负责人，或者其授权代表签字或者盖章，并加盖公章。</w:t>
      </w:r>
    </w:p>
    <w:p w14:paraId="67C1FFB1">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2.质疑答复</w:t>
      </w:r>
    </w:p>
    <w:p w14:paraId="187B1C2B">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采购人、采购代理机构应当在收到供应商的书面质疑后七个工作日内作出答复，并以书面形式通知质疑供应商和其他有关供应商。</w:t>
      </w:r>
    </w:p>
    <w:p w14:paraId="45F4628E">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3.其他</w:t>
      </w:r>
    </w:p>
    <w:p w14:paraId="4B75BF9F">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3.1 供应商应按照《政府采购质疑和投诉办法》（财政部令第94号）及相关法律法规要求，在法定质疑期内一次性提出针对同一采购程序环节的质疑。</w:t>
      </w:r>
    </w:p>
    <w:p w14:paraId="7F450F06">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3.2 质疑函范本可在财政部门户网站和中国政府采购网下载。</w:t>
      </w:r>
    </w:p>
    <w:p w14:paraId="175E5856">
      <w:pPr>
        <w:pStyle w:val="4"/>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87" w:name="_Toc18464"/>
      <w:r>
        <w:rPr>
          <w:rFonts w:hint="eastAsia" w:ascii="宋体" w:hAnsi="宋体"/>
          <w:color w:val="auto"/>
          <w:sz w:val="24"/>
          <w:szCs w:val="24"/>
          <w:highlight w:val="none"/>
        </w:rPr>
        <w:t>七、采购代理服务费</w:t>
      </w:r>
      <w:bookmarkEnd w:id="87"/>
    </w:p>
    <w:p w14:paraId="196F9829">
      <w:pPr>
        <w:kinsoku/>
        <w:wordWrap/>
        <w:overflowPunct/>
        <w:topLinePunct w:val="0"/>
        <w:bidi w:val="0"/>
        <w:spacing w:line="360" w:lineRule="auto"/>
        <w:ind w:firstLine="480" w:firstLineChars="200"/>
        <w:textAlignment w:val="auto"/>
        <w:rPr>
          <w:rFonts w:hint="eastAsia" w:ascii="宋体" w:hAnsi="宋体"/>
          <w:color w:val="auto"/>
          <w:highlight w:val="none"/>
        </w:rPr>
      </w:pPr>
      <w:r>
        <w:rPr>
          <w:rFonts w:hint="eastAsia" w:ascii="宋体" w:hAnsi="宋体"/>
          <w:color w:val="auto"/>
          <w:highlight w:val="none"/>
        </w:rPr>
        <w:t>（一）本项目</w:t>
      </w:r>
      <w:r>
        <w:rPr>
          <w:rFonts w:hint="eastAsia" w:ascii="宋体" w:hAnsi="宋体"/>
          <w:color w:val="auto"/>
          <w:highlight w:val="none"/>
          <w:lang w:val="en-US" w:eastAsia="zh-CN"/>
        </w:rPr>
        <w:t>采购</w:t>
      </w:r>
      <w:r>
        <w:rPr>
          <w:rFonts w:hint="eastAsia" w:ascii="宋体" w:hAnsi="宋体"/>
          <w:color w:val="auto"/>
          <w:highlight w:val="none"/>
        </w:rPr>
        <w:t>代理服务费由</w:t>
      </w:r>
      <w:r>
        <w:rPr>
          <w:rFonts w:hint="eastAsia" w:ascii="宋体" w:hAnsi="宋体"/>
          <w:color w:val="auto"/>
          <w:highlight w:val="none"/>
          <w:lang w:eastAsia="zh-CN"/>
        </w:rPr>
        <w:t>成交供应商</w:t>
      </w:r>
      <w:r>
        <w:rPr>
          <w:rFonts w:hint="eastAsia" w:ascii="宋体" w:hAnsi="宋体"/>
          <w:color w:val="auto"/>
          <w:highlight w:val="none"/>
        </w:rPr>
        <w:t>支付，</w:t>
      </w:r>
      <w:r>
        <w:rPr>
          <w:rFonts w:hint="eastAsia" w:ascii="宋体" w:hAnsi="宋体"/>
          <w:color w:val="auto"/>
          <w:highlight w:val="none"/>
          <w:lang w:val="en-US" w:eastAsia="zh-CN"/>
        </w:rPr>
        <w:t>采购</w:t>
      </w:r>
      <w:r>
        <w:rPr>
          <w:rFonts w:hint="eastAsia" w:ascii="宋体" w:hAnsi="宋体"/>
          <w:color w:val="auto"/>
          <w:highlight w:val="none"/>
        </w:rPr>
        <w:t>代理服务费以本次代理项目的中标金额为取费基数，参照《国家计委关于印发</w:t>
      </w:r>
      <w:r>
        <w:rPr>
          <w:rFonts w:hint="eastAsia" w:ascii="宋体" w:hAnsi="宋体"/>
          <w:color w:val="auto"/>
          <w:highlight w:val="none"/>
          <w:lang w:eastAsia="zh-CN"/>
        </w:rPr>
        <w:t>〈</w:t>
      </w:r>
      <w:r>
        <w:rPr>
          <w:rFonts w:hint="eastAsia" w:ascii="宋体" w:hAnsi="宋体"/>
          <w:color w:val="auto"/>
          <w:highlight w:val="none"/>
        </w:rPr>
        <w:t>招标代理服务收费管理暂行办法&gt;的通知》（计价格〔2002〕1980号）、《国家</w:t>
      </w:r>
      <w:r>
        <w:rPr>
          <w:rFonts w:hint="eastAsia" w:ascii="宋体" w:hAnsi="宋体"/>
          <w:color w:val="auto"/>
          <w:highlight w:val="none"/>
          <w:lang w:eastAsia="zh-CN"/>
        </w:rPr>
        <w:t>发展改革委办公厅</w:t>
      </w:r>
      <w:r>
        <w:rPr>
          <w:rFonts w:hint="eastAsia" w:ascii="宋体" w:hAnsi="宋体"/>
          <w:color w:val="auto"/>
          <w:highlight w:val="none"/>
        </w:rPr>
        <w:t>关于招标代理服务费收费有关问题的通知》（发改办价格〔2003〕857号）和《国家发展改革委关于降低部分建设项目收费标准规范收费行为等有关问题的通知》发改价格〔2011〕534号文规定的收费标准的80%计取（最高不超过20万元，中标金额100</w:t>
      </w:r>
      <w:r>
        <w:rPr>
          <w:rFonts w:hint="eastAsia" w:ascii="宋体" w:hAnsi="宋体"/>
          <w:color w:val="auto"/>
          <w:highlight w:val="none"/>
          <w:lang w:eastAsia="zh-CN"/>
        </w:rPr>
        <w:t>万元</w:t>
      </w:r>
      <w:r>
        <w:rPr>
          <w:rFonts w:hint="eastAsia" w:ascii="宋体" w:hAnsi="宋体"/>
          <w:color w:val="auto"/>
          <w:highlight w:val="none"/>
        </w:rPr>
        <w:t>以内代理费不打折）</w:t>
      </w:r>
      <w:r>
        <w:rPr>
          <w:rFonts w:hint="eastAsia" w:ascii="宋体" w:hAnsi="宋体" w:cs="宋体"/>
          <w:color w:val="auto"/>
          <w:szCs w:val="24"/>
          <w:highlight w:val="none"/>
          <w:lang w:val="en-US" w:eastAsia="zh-CN"/>
        </w:rPr>
        <w:t>。</w:t>
      </w:r>
      <w:r>
        <w:rPr>
          <w:rFonts w:hint="eastAsia" w:ascii="宋体" w:hAnsi="宋体" w:cs="宋体"/>
          <w:color w:val="auto"/>
          <w:szCs w:val="24"/>
          <w:highlight w:val="none"/>
          <w:lang w:eastAsia="zh-CN"/>
        </w:rPr>
        <w:t>成交供应商</w:t>
      </w:r>
      <w:r>
        <w:rPr>
          <w:rFonts w:hint="eastAsia" w:ascii="宋体" w:hAnsi="宋体" w:cs="宋体"/>
          <w:color w:val="auto"/>
          <w:szCs w:val="24"/>
          <w:highlight w:val="none"/>
        </w:rPr>
        <w:t>在领取成交通知书时一次性支付。该费用供应商自行考虑在磋商报价中，采购人不单独支付费用</w:t>
      </w:r>
      <w:r>
        <w:rPr>
          <w:rFonts w:hint="eastAsia" w:ascii="宋体" w:hAnsi="宋体"/>
          <w:color w:val="auto"/>
          <w:highlight w:val="none"/>
        </w:rPr>
        <w:t>。</w:t>
      </w:r>
    </w:p>
    <w:p w14:paraId="692D2A38">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（二）采购代理服务费缴纳账户信息：</w:t>
      </w:r>
    </w:p>
    <w:p w14:paraId="5458478A">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bookmarkStart w:id="88" w:name="_Toc102227322"/>
      <w:bookmarkStart w:id="89" w:name="_Toc342913396"/>
      <w:bookmarkStart w:id="90" w:name="_Toc11641055"/>
      <w:bookmarkStart w:id="91" w:name="_Toc12789059"/>
      <w:r>
        <w:rPr>
          <w:rFonts w:hint="eastAsia" w:ascii="宋体" w:hAnsi="宋体" w:eastAsia="宋体" w:cs="宋体"/>
          <w:color w:val="auto"/>
          <w:szCs w:val="24"/>
          <w:highlight w:val="none"/>
        </w:rPr>
        <w:t>单位名称：重庆瑞盛工程咨询有限公司</w:t>
      </w:r>
    </w:p>
    <w:p w14:paraId="6122C6F2">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账    号：15678261020076</w:t>
      </w:r>
    </w:p>
    <w:p w14:paraId="3F04ADA9">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 户 行：平安银行重庆沙坪坝支行</w:t>
      </w:r>
    </w:p>
    <w:p w14:paraId="31D72390">
      <w:pPr>
        <w:pStyle w:val="4"/>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92" w:name="_Toc10827"/>
      <w:r>
        <w:rPr>
          <w:rFonts w:hint="eastAsia" w:ascii="宋体" w:hAnsi="宋体"/>
          <w:color w:val="auto"/>
          <w:sz w:val="24"/>
          <w:szCs w:val="24"/>
          <w:highlight w:val="none"/>
        </w:rPr>
        <w:t>八、签订</w:t>
      </w:r>
      <w:bookmarkEnd w:id="88"/>
      <w:r>
        <w:rPr>
          <w:rFonts w:hint="eastAsia" w:ascii="宋体" w:hAnsi="宋体"/>
          <w:color w:val="auto"/>
          <w:sz w:val="24"/>
          <w:szCs w:val="24"/>
          <w:highlight w:val="none"/>
        </w:rPr>
        <w:t>合同</w:t>
      </w:r>
      <w:bookmarkEnd w:id="89"/>
      <w:bookmarkEnd w:id="92"/>
    </w:p>
    <w:p w14:paraId="257C0BAE">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一）采购人原则上应在成交通知书发出之日起二十日内和成交供应商签订合同，无正当理由不得拒绝或拖延合同签订。所签订的合同不得对竞争性磋商文件和供应商的响应文件作实质性修改。其他未尽事宜由采购人和成交供应商在采购合同中详细约定。</w:t>
      </w:r>
    </w:p>
    <w:p w14:paraId="22D8C6D0">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（二）竞争性磋商文件、成交供应商的响应文件及有效承诺文件等，均为签订合同的依据。</w:t>
      </w:r>
    </w:p>
    <w:p w14:paraId="714FE0AB">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（三）如成交供应商放弃成交项目或在签订合同时擅自改变成交状态的，采购人将按照相关法律法规处理。</w:t>
      </w:r>
    </w:p>
    <w:p w14:paraId="206AE86C">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四）采购人不得向成交供应商提出超出竞争性磋商文件以外的任何要求作为签订合同的条件，不得与成交供应商订立背离竞争性磋商确定的合同文本以及采购标的、规格型号、采购金额、采购数量、技术和服务要求等实质性内容的协议。</w:t>
      </w:r>
    </w:p>
    <w:p w14:paraId="40634B14">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（五）除不可抗力等因素外，成交通知书发出后，采购人改变成交结果，或者成交供应商拒绝签订政府采购合同的，应当承担相应的法律责任。</w:t>
      </w:r>
    </w:p>
    <w:p w14:paraId="3C4421EC">
      <w:pPr>
        <w:pStyle w:val="3"/>
        <w:pageBreakBefore/>
        <w:kinsoku/>
        <w:wordWrap/>
        <w:overflowPunct/>
        <w:topLinePunct w:val="0"/>
        <w:bidi w:val="0"/>
        <w:spacing w:before="120" w:beforeLines="50" w:line="360" w:lineRule="auto"/>
        <w:jc w:val="center"/>
        <w:textAlignment w:val="auto"/>
        <w:rPr>
          <w:rFonts w:hint="eastAsia" w:ascii="宋体" w:hAnsi="宋体" w:eastAsia="宋体"/>
          <w:color w:val="auto"/>
          <w:sz w:val="36"/>
          <w:szCs w:val="30"/>
          <w:highlight w:val="none"/>
        </w:rPr>
      </w:pPr>
      <w:bookmarkStart w:id="93" w:name="_Toc26387"/>
      <w:r>
        <w:rPr>
          <w:rFonts w:hint="eastAsia" w:ascii="宋体" w:hAnsi="宋体" w:eastAsia="宋体"/>
          <w:color w:val="auto"/>
          <w:sz w:val="36"/>
          <w:szCs w:val="30"/>
          <w:highlight w:val="none"/>
        </w:rPr>
        <w:t xml:space="preserve">第六篇  </w:t>
      </w:r>
      <w:bookmarkEnd w:id="90"/>
      <w:bookmarkEnd w:id="91"/>
      <w:r>
        <w:rPr>
          <w:rFonts w:hint="eastAsia" w:ascii="宋体" w:hAnsi="宋体" w:eastAsia="宋体"/>
          <w:color w:val="auto"/>
          <w:sz w:val="36"/>
          <w:szCs w:val="30"/>
          <w:highlight w:val="none"/>
        </w:rPr>
        <w:t>采购合同</w:t>
      </w:r>
      <w:bookmarkEnd w:id="93"/>
    </w:p>
    <w:p w14:paraId="25CDA4BD">
      <w:pPr>
        <w:kinsoku/>
        <w:wordWrap/>
        <w:overflowPunct/>
        <w:topLinePunct w:val="0"/>
        <w:bidi w:val="0"/>
        <w:spacing w:line="360" w:lineRule="auto"/>
        <w:textAlignment w:val="auto"/>
        <w:rPr>
          <w:rFonts w:hint="eastAsia" w:ascii="宋体" w:hAnsi="宋体" w:cs="宋体"/>
          <w:color w:val="auto"/>
          <w:highlight w:val="none"/>
          <w:shd w:val="clear" w:color="auto" w:fill="FFFFFF"/>
        </w:rPr>
      </w:pPr>
      <w:bookmarkStart w:id="94" w:name="_Hlt41879464"/>
      <w:bookmarkEnd w:id="94"/>
      <w:bookmarkStart w:id="95" w:name="_Toc12789072"/>
    </w:p>
    <w:bookmarkEnd w:id="95"/>
    <w:p w14:paraId="6FABC839">
      <w:pPr>
        <w:tabs>
          <w:tab w:val="left" w:pos="4080"/>
        </w:tabs>
        <w:spacing w:line="500" w:lineRule="exact"/>
        <w:jc w:val="left"/>
        <w:rPr>
          <w:rFonts w:ascii="仿宋" w:hAnsi="仿宋" w:cs="仿宋"/>
          <w:b/>
          <w:color w:val="auto"/>
          <w:sz w:val="30"/>
          <w:szCs w:val="30"/>
          <w:highlight w:val="none"/>
        </w:rPr>
      </w:pPr>
      <w:bookmarkStart w:id="96" w:name="_Toc23764521"/>
      <w:r>
        <w:rPr>
          <w:rFonts w:hint="eastAsia" w:ascii="仿宋" w:hAnsi="仿宋" w:cs="仿宋"/>
          <w:b/>
          <w:color w:val="auto"/>
          <w:highlight w:val="none"/>
        </w:rPr>
        <w:t>合同编号：</w:t>
      </w:r>
    </w:p>
    <w:p w14:paraId="33249840">
      <w:pPr>
        <w:tabs>
          <w:tab w:val="left" w:pos="4080"/>
        </w:tabs>
        <w:spacing w:line="500" w:lineRule="exact"/>
        <w:jc w:val="center"/>
        <w:rPr>
          <w:rFonts w:ascii="仿宋" w:hAnsi="仿宋" w:cs="仿宋"/>
          <w:b/>
          <w:color w:val="auto"/>
          <w:sz w:val="30"/>
          <w:szCs w:val="30"/>
          <w:highlight w:val="none"/>
        </w:rPr>
      </w:pPr>
    </w:p>
    <w:p w14:paraId="25CC1876">
      <w:pPr>
        <w:tabs>
          <w:tab w:val="left" w:pos="4080"/>
        </w:tabs>
        <w:jc w:val="center"/>
        <w:rPr>
          <w:rFonts w:ascii="仿宋" w:hAnsi="仿宋" w:cs="仿宋"/>
          <w:b/>
          <w:color w:val="auto"/>
          <w:sz w:val="72"/>
          <w:szCs w:val="72"/>
          <w:highlight w:val="none"/>
        </w:rPr>
      </w:pPr>
      <w:r>
        <w:rPr>
          <w:rFonts w:hint="eastAsia" w:ascii="仿宋" w:hAnsi="仿宋" w:cs="仿宋"/>
          <w:b/>
          <w:color w:val="auto"/>
          <w:sz w:val="72"/>
          <w:szCs w:val="72"/>
          <w:highlight w:val="none"/>
        </w:rPr>
        <w:t>建设工程质量检测</w:t>
      </w:r>
    </w:p>
    <w:p w14:paraId="1155F01C">
      <w:pPr>
        <w:tabs>
          <w:tab w:val="left" w:pos="4080"/>
        </w:tabs>
        <w:jc w:val="center"/>
        <w:rPr>
          <w:rFonts w:ascii="仿宋" w:hAnsi="仿宋" w:cs="仿宋"/>
          <w:b/>
          <w:color w:val="auto"/>
          <w:sz w:val="32"/>
          <w:szCs w:val="32"/>
          <w:highlight w:val="none"/>
        </w:rPr>
      </w:pPr>
      <w:r>
        <w:rPr>
          <w:rFonts w:hint="eastAsia" w:ascii="仿宋" w:hAnsi="仿宋" w:cs="仿宋"/>
          <w:b/>
          <w:color w:val="auto"/>
          <w:sz w:val="72"/>
          <w:szCs w:val="72"/>
          <w:highlight w:val="none"/>
        </w:rPr>
        <w:t>服务合同</w:t>
      </w:r>
    </w:p>
    <w:p w14:paraId="4EF75B00">
      <w:pPr>
        <w:tabs>
          <w:tab w:val="left" w:pos="4080"/>
        </w:tabs>
        <w:spacing w:line="500" w:lineRule="exact"/>
        <w:jc w:val="center"/>
        <w:rPr>
          <w:rFonts w:ascii="仿宋" w:hAnsi="仿宋" w:cs="仿宋"/>
          <w:b/>
          <w:color w:val="auto"/>
          <w:sz w:val="32"/>
          <w:szCs w:val="32"/>
          <w:highlight w:val="none"/>
        </w:rPr>
      </w:pPr>
    </w:p>
    <w:p w14:paraId="709B4725">
      <w:pPr>
        <w:tabs>
          <w:tab w:val="left" w:pos="4080"/>
        </w:tabs>
        <w:spacing w:line="500" w:lineRule="exact"/>
        <w:jc w:val="center"/>
        <w:rPr>
          <w:rFonts w:ascii="仿宋" w:hAnsi="仿宋" w:cs="仿宋"/>
          <w:b/>
          <w:color w:val="auto"/>
          <w:sz w:val="32"/>
          <w:szCs w:val="32"/>
          <w:highlight w:val="none"/>
        </w:rPr>
      </w:pPr>
    </w:p>
    <w:p w14:paraId="10DF3A88">
      <w:pPr>
        <w:tabs>
          <w:tab w:val="left" w:pos="4080"/>
        </w:tabs>
        <w:spacing w:line="500" w:lineRule="exact"/>
        <w:jc w:val="center"/>
        <w:rPr>
          <w:rFonts w:ascii="仿宋" w:hAnsi="仿宋" w:cs="仿宋"/>
          <w:b/>
          <w:color w:val="auto"/>
          <w:sz w:val="32"/>
          <w:szCs w:val="32"/>
          <w:highlight w:val="none"/>
        </w:rPr>
      </w:pPr>
    </w:p>
    <w:p w14:paraId="6247FFC6">
      <w:pPr>
        <w:tabs>
          <w:tab w:val="left" w:pos="4080"/>
        </w:tabs>
        <w:spacing w:line="500" w:lineRule="exact"/>
        <w:jc w:val="center"/>
        <w:rPr>
          <w:rFonts w:ascii="仿宋" w:hAnsi="仿宋" w:cs="仿宋"/>
          <w:b/>
          <w:color w:val="auto"/>
          <w:sz w:val="32"/>
          <w:szCs w:val="32"/>
          <w:highlight w:val="none"/>
        </w:rPr>
      </w:pPr>
    </w:p>
    <w:p w14:paraId="57947EF6">
      <w:pPr>
        <w:tabs>
          <w:tab w:val="left" w:pos="4080"/>
        </w:tabs>
        <w:spacing w:line="500" w:lineRule="exact"/>
        <w:jc w:val="center"/>
        <w:rPr>
          <w:rFonts w:ascii="仿宋" w:hAnsi="仿宋" w:cs="仿宋"/>
          <w:b/>
          <w:color w:val="auto"/>
          <w:sz w:val="32"/>
          <w:szCs w:val="32"/>
          <w:highlight w:val="none"/>
        </w:rPr>
      </w:pPr>
    </w:p>
    <w:p w14:paraId="58E2AD94">
      <w:pPr>
        <w:tabs>
          <w:tab w:val="left" w:pos="4080"/>
        </w:tabs>
        <w:spacing w:line="500" w:lineRule="exact"/>
        <w:jc w:val="center"/>
        <w:rPr>
          <w:rFonts w:ascii="仿宋" w:hAnsi="仿宋" w:cs="仿宋"/>
          <w:b/>
          <w:color w:val="auto"/>
          <w:sz w:val="32"/>
          <w:szCs w:val="32"/>
          <w:highlight w:val="none"/>
        </w:rPr>
      </w:pPr>
    </w:p>
    <w:p w14:paraId="1A047846">
      <w:pPr>
        <w:tabs>
          <w:tab w:val="left" w:pos="4080"/>
        </w:tabs>
        <w:spacing w:line="500" w:lineRule="exact"/>
        <w:jc w:val="center"/>
        <w:rPr>
          <w:rFonts w:ascii="仿宋" w:hAnsi="仿宋" w:cs="仿宋"/>
          <w:b/>
          <w:color w:val="auto"/>
          <w:sz w:val="32"/>
          <w:szCs w:val="32"/>
          <w:highlight w:val="none"/>
        </w:rPr>
      </w:pPr>
    </w:p>
    <w:p w14:paraId="431ECB24">
      <w:pPr>
        <w:tabs>
          <w:tab w:val="left" w:pos="4080"/>
        </w:tabs>
        <w:spacing w:line="500" w:lineRule="exact"/>
        <w:jc w:val="center"/>
        <w:rPr>
          <w:rFonts w:ascii="仿宋" w:hAnsi="仿宋" w:cs="仿宋"/>
          <w:b/>
          <w:color w:val="auto"/>
          <w:sz w:val="32"/>
          <w:szCs w:val="32"/>
          <w:highlight w:val="none"/>
        </w:rPr>
      </w:pPr>
    </w:p>
    <w:p w14:paraId="66B75E68">
      <w:pPr>
        <w:tabs>
          <w:tab w:val="left" w:pos="4080"/>
        </w:tabs>
        <w:spacing w:line="500" w:lineRule="exact"/>
        <w:jc w:val="left"/>
        <w:rPr>
          <w:rFonts w:ascii="仿宋" w:hAnsi="仿宋" w:cs="仿宋"/>
          <w:b/>
          <w:color w:val="auto"/>
          <w:sz w:val="28"/>
          <w:szCs w:val="28"/>
          <w:highlight w:val="none"/>
        </w:rPr>
      </w:pPr>
    </w:p>
    <w:p w14:paraId="0170D5DF">
      <w:pPr>
        <w:tabs>
          <w:tab w:val="left" w:pos="4080"/>
        </w:tabs>
        <w:spacing w:line="500" w:lineRule="exact"/>
        <w:jc w:val="left"/>
        <w:rPr>
          <w:rFonts w:ascii="仿宋" w:hAnsi="仿宋" w:cs="仿宋"/>
          <w:b/>
          <w:color w:val="auto"/>
          <w:sz w:val="28"/>
          <w:szCs w:val="28"/>
          <w:highlight w:val="none"/>
        </w:rPr>
      </w:pPr>
    </w:p>
    <w:p w14:paraId="0DABA28B">
      <w:pPr>
        <w:tabs>
          <w:tab w:val="left" w:pos="4080"/>
        </w:tabs>
        <w:spacing w:line="360" w:lineRule="auto"/>
        <w:jc w:val="left"/>
        <w:rPr>
          <w:rFonts w:ascii="仿宋" w:hAnsi="仿宋" w:cs="仿宋"/>
          <w:b/>
          <w:color w:val="auto"/>
          <w:sz w:val="28"/>
          <w:szCs w:val="28"/>
          <w:highlight w:val="none"/>
          <w:u w:val="single"/>
        </w:rPr>
      </w:pPr>
      <w:r>
        <w:rPr>
          <w:rFonts w:hint="eastAsia" w:ascii="仿宋" w:hAnsi="仿宋" w:cs="仿宋"/>
          <w:b/>
          <w:color w:val="auto"/>
          <w:sz w:val="28"/>
          <w:szCs w:val="28"/>
          <w:highlight w:val="none"/>
        </w:rPr>
        <w:t>工  程  名  称：</w:t>
      </w:r>
      <w:r>
        <w:rPr>
          <w:rFonts w:hint="eastAsia" w:ascii="仿宋" w:hAnsi="仿宋" w:cs="仿宋"/>
          <w:b/>
          <w:color w:val="auto"/>
          <w:sz w:val="28"/>
          <w:szCs w:val="28"/>
          <w:highlight w:val="none"/>
          <w:u w:val="single"/>
          <w:lang w:eastAsia="zh-CN"/>
        </w:rPr>
        <w:t>2024年大渡口区配售型保障性住房项目质量检测</w:t>
      </w:r>
      <w:r>
        <w:rPr>
          <w:rFonts w:hint="eastAsia" w:ascii="仿宋" w:hAnsi="仿宋" w:cs="仿宋"/>
          <w:b/>
          <w:color w:val="auto"/>
          <w:sz w:val="28"/>
          <w:szCs w:val="28"/>
          <w:highlight w:val="none"/>
          <w:u w:val="single"/>
        </w:rPr>
        <w:t xml:space="preserve"> </w:t>
      </w:r>
    </w:p>
    <w:p w14:paraId="5F82FE58">
      <w:pPr>
        <w:tabs>
          <w:tab w:val="left" w:pos="4080"/>
        </w:tabs>
        <w:spacing w:line="360" w:lineRule="auto"/>
        <w:jc w:val="left"/>
        <w:rPr>
          <w:rFonts w:hint="default" w:ascii="仿宋" w:hAnsi="仿宋" w:eastAsia="宋体" w:cs="仿宋"/>
          <w:b/>
          <w:color w:val="auto"/>
          <w:sz w:val="28"/>
          <w:szCs w:val="28"/>
          <w:highlight w:val="none"/>
          <w:u w:val="single"/>
          <w:lang w:val="en-US" w:eastAsia="zh-CN"/>
        </w:rPr>
      </w:pPr>
      <w:r>
        <w:rPr>
          <w:rFonts w:hint="eastAsia" w:ascii="仿宋" w:hAnsi="仿宋" w:cs="仿宋"/>
          <w:b/>
          <w:color w:val="auto"/>
          <w:sz w:val="28"/>
          <w:szCs w:val="28"/>
          <w:highlight w:val="none"/>
        </w:rPr>
        <w:t>委托单位（甲方）：</w:t>
      </w:r>
      <w:r>
        <w:rPr>
          <w:rFonts w:hint="eastAsia" w:ascii="仿宋" w:hAnsi="仿宋" w:cs="仿宋"/>
          <w:b/>
          <w:color w:val="auto"/>
          <w:sz w:val="28"/>
          <w:szCs w:val="28"/>
          <w:highlight w:val="none"/>
          <w:u w:val="single"/>
        </w:rPr>
        <w:t>重庆建桥置业有限公司</w:t>
      </w:r>
      <w:r>
        <w:rPr>
          <w:rFonts w:hint="eastAsia" w:ascii="仿宋" w:hAnsi="仿宋" w:cs="仿宋"/>
          <w:b/>
          <w:color w:val="auto"/>
          <w:sz w:val="28"/>
          <w:szCs w:val="28"/>
          <w:highlight w:val="none"/>
          <w:u w:val="single"/>
          <w:lang w:val="en-US" w:eastAsia="zh-CN"/>
        </w:rPr>
        <w:t xml:space="preserve">                     </w:t>
      </w:r>
    </w:p>
    <w:p w14:paraId="2667C44C">
      <w:pPr>
        <w:tabs>
          <w:tab w:val="left" w:pos="4080"/>
        </w:tabs>
        <w:spacing w:line="360" w:lineRule="auto"/>
        <w:ind w:firstLine="2530" w:firstLineChars="900"/>
        <w:jc w:val="left"/>
        <w:rPr>
          <w:rFonts w:hint="default" w:ascii="仿宋" w:hAnsi="仿宋" w:cs="仿宋"/>
          <w:b/>
          <w:color w:val="auto"/>
          <w:sz w:val="28"/>
          <w:szCs w:val="28"/>
          <w:highlight w:val="none"/>
          <w:lang w:val="en-US"/>
        </w:rPr>
      </w:pPr>
      <w:r>
        <w:rPr>
          <w:rFonts w:hint="eastAsia" w:ascii="仿宋" w:hAnsi="仿宋" w:cs="仿宋"/>
          <w:b/>
          <w:color w:val="auto"/>
          <w:sz w:val="28"/>
          <w:szCs w:val="28"/>
          <w:highlight w:val="none"/>
          <w:u w:val="single"/>
          <w:lang w:eastAsia="zh-CN"/>
        </w:rPr>
        <w:t>重庆市大渡口区城乡建设发展有限公司</w:t>
      </w:r>
      <w:r>
        <w:rPr>
          <w:rFonts w:hint="eastAsia" w:ascii="仿宋" w:hAnsi="仿宋" w:cs="仿宋"/>
          <w:b/>
          <w:color w:val="auto"/>
          <w:sz w:val="28"/>
          <w:szCs w:val="28"/>
          <w:highlight w:val="none"/>
          <w:u w:val="single"/>
          <w:lang w:val="en-US" w:eastAsia="zh-CN"/>
        </w:rPr>
        <w:t xml:space="preserve">      </w:t>
      </w:r>
    </w:p>
    <w:p w14:paraId="21FDAE3E">
      <w:pPr>
        <w:tabs>
          <w:tab w:val="left" w:pos="4080"/>
        </w:tabs>
        <w:spacing w:line="360" w:lineRule="auto"/>
        <w:jc w:val="left"/>
        <w:rPr>
          <w:rFonts w:ascii="仿宋" w:hAnsi="仿宋" w:cs="仿宋"/>
          <w:b/>
          <w:color w:val="auto"/>
          <w:sz w:val="28"/>
          <w:szCs w:val="28"/>
          <w:highlight w:val="none"/>
        </w:rPr>
      </w:pPr>
      <w:r>
        <w:rPr>
          <w:rFonts w:hint="eastAsia" w:ascii="仿宋" w:hAnsi="仿宋" w:cs="仿宋"/>
          <w:b/>
          <w:color w:val="auto"/>
          <w:sz w:val="28"/>
          <w:szCs w:val="28"/>
          <w:highlight w:val="none"/>
        </w:rPr>
        <w:t>检测单位（乙方）：</w:t>
      </w:r>
      <w:r>
        <w:rPr>
          <w:rFonts w:hint="eastAsia" w:ascii="仿宋" w:hAnsi="仿宋" w:cs="仿宋"/>
          <w:b/>
          <w:color w:val="auto"/>
          <w:sz w:val="28"/>
          <w:szCs w:val="28"/>
          <w:highlight w:val="none"/>
          <w:u w:val="single"/>
        </w:rPr>
        <w:t xml:space="preserve">                                          </w:t>
      </w:r>
      <w:r>
        <w:rPr>
          <w:rFonts w:hint="eastAsia" w:ascii="仿宋" w:hAnsi="仿宋" w:cs="仿宋"/>
          <w:b/>
          <w:color w:val="auto"/>
          <w:sz w:val="28"/>
          <w:szCs w:val="28"/>
          <w:highlight w:val="none"/>
        </w:rPr>
        <w:t xml:space="preserve"> </w:t>
      </w:r>
    </w:p>
    <w:p w14:paraId="6BA0BA30">
      <w:pPr>
        <w:tabs>
          <w:tab w:val="left" w:pos="4080"/>
        </w:tabs>
        <w:spacing w:line="360" w:lineRule="auto"/>
        <w:jc w:val="left"/>
        <w:rPr>
          <w:rFonts w:ascii="仿宋" w:hAnsi="仿宋" w:cs="仿宋"/>
          <w:b/>
          <w:color w:val="auto"/>
          <w:sz w:val="28"/>
          <w:szCs w:val="28"/>
          <w:highlight w:val="none"/>
        </w:rPr>
      </w:pPr>
      <w:r>
        <w:rPr>
          <w:rFonts w:hint="eastAsia" w:ascii="仿宋" w:hAnsi="仿宋" w:cs="仿宋"/>
          <w:b/>
          <w:color w:val="auto"/>
          <w:sz w:val="28"/>
          <w:szCs w:val="28"/>
          <w:highlight w:val="none"/>
        </w:rPr>
        <w:t>签订日期：    年  月  日</w:t>
      </w:r>
    </w:p>
    <w:p w14:paraId="35020706">
      <w:pPr>
        <w:tabs>
          <w:tab w:val="left" w:pos="4080"/>
        </w:tabs>
        <w:spacing w:line="360" w:lineRule="auto"/>
        <w:jc w:val="left"/>
        <w:rPr>
          <w:rFonts w:ascii="仿宋" w:hAnsi="仿宋" w:cs="仿宋"/>
          <w:b/>
          <w:color w:val="auto"/>
          <w:sz w:val="28"/>
          <w:szCs w:val="28"/>
          <w:highlight w:val="none"/>
        </w:rPr>
      </w:pPr>
      <w:r>
        <w:rPr>
          <w:rFonts w:hint="eastAsia" w:ascii="仿宋" w:hAnsi="仿宋" w:cs="仿宋"/>
          <w:b/>
          <w:color w:val="auto"/>
          <w:sz w:val="28"/>
          <w:szCs w:val="28"/>
          <w:highlight w:val="none"/>
        </w:rPr>
        <w:t>签订地点：重庆市大渡口区</w:t>
      </w:r>
      <w:r>
        <w:rPr>
          <w:rFonts w:ascii="仿宋" w:hAnsi="仿宋" w:cs="仿宋"/>
          <w:b/>
          <w:color w:val="auto"/>
          <w:sz w:val="28"/>
          <w:szCs w:val="28"/>
          <w:highlight w:val="none"/>
        </w:rPr>
        <w:t xml:space="preserve"> </w:t>
      </w:r>
    </w:p>
    <w:p w14:paraId="4ED8DC50">
      <w:pPr>
        <w:tabs>
          <w:tab w:val="left" w:pos="4080"/>
        </w:tabs>
        <w:spacing w:line="500" w:lineRule="exact"/>
        <w:jc w:val="center"/>
        <w:rPr>
          <w:rFonts w:ascii="仿宋" w:hAnsi="仿宋" w:cs="仿宋"/>
          <w:b/>
          <w:color w:val="auto"/>
          <w:sz w:val="30"/>
          <w:szCs w:val="30"/>
          <w:highlight w:val="none"/>
        </w:rPr>
        <w:sectPr>
          <w:footerReference r:id="rId8" w:type="default"/>
          <w:pgSz w:w="11905" w:h="16838"/>
          <w:pgMar w:top="1134" w:right="1191" w:bottom="1134" w:left="1191" w:header="851" w:footer="992" w:gutter="0"/>
          <w:cols w:space="0" w:num="1"/>
          <w:rtlGutter w:val="0"/>
          <w:docGrid w:type="lines" w:linePitch="312" w:charSpace="0"/>
        </w:sectPr>
      </w:pPr>
    </w:p>
    <w:p w14:paraId="4E34AA38">
      <w:pPr>
        <w:tabs>
          <w:tab w:val="left" w:pos="4080"/>
        </w:tabs>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甲方：</w:t>
      </w:r>
      <w:r>
        <w:rPr>
          <w:rFonts w:hint="eastAsia" w:ascii="宋体" w:hAnsi="宋体" w:eastAsia="宋体" w:cs="宋体"/>
          <w:b w:val="0"/>
          <w:bCs w:val="0"/>
          <w:color w:val="auto"/>
          <w:sz w:val="24"/>
          <w:szCs w:val="24"/>
          <w:highlight w:val="none"/>
          <w:u w:val="single"/>
        </w:rPr>
        <w:t>重庆建桥置业有限公司</w:t>
      </w:r>
      <w:r>
        <w:rPr>
          <w:rFonts w:hint="eastAsia" w:ascii="宋体" w:hAnsi="宋体" w:cs="宋体"/>
          <w:b w:val="0"/>
          <w:bCs w:val="0"/>
          <w:color w:val="auto"/>
          <w:sz w:val="24"/>
          <w:szCs w:val="24"/>
          <w:highlight w:val="none"/>
          <w:u w:val="single"/>
          <w:lang w:eastAsia="zh-CN"/>
        </w:rPr>
        <w:t>、重庆市大渡口区城乡建设发展有限公司</w:t>
      </w:r>
    </w:p>
    <w:p w14:paraId="52EA555D">
      <w:pPr>
        <w:tabs>
          <w:tab w:val="left" w:pos="4080"/>
        </w:tabs>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 xml:space="preserve">乙方: </w:t>
      </w:r>
      <w:r>
        <w:rPr>
          <w:rFonts w:hint="eastAsia" w:ascii="宋体" w:hAnsi="宋体" w:eastAsia="宋体" w:cs="宋体"/>
          <w:b w:val="0"/>
          <w:bCs w:val="0"/>
          <w:color w:val="auto"/>
          <w:sz w:val="24"/>
          <w:szCs w:val="24"/>
          <w:highlight w:val="none"/>
          <w:u w:val="single"/>
        </w:rPr>
        <w:t xml:space="preserve">                                         </w:t>
      </w:r>
    </w:p>
    <w:p w14:paraId="58D7571E">
      <w:pPr>
        <w:keepNext w:val="0"/>
        <w:keepLines w:val="0"/>
        <w:pageBreakBefore w:val="0"/>
        <w:widowControl w:val="0"/>
        <w:tabs>
          <w:tab w:val="left" w:pos="4080"/>
        </w:tabs>
        <w:kinsoku/>
        <w:wordWrap/>
        <w:overflowPunct/>
        <w:topLinePunct w:val="0"/>
        <w:autoSpaceDE/>
        <w:autoSpaceDN/>
        <w:bidi w:val="0"/>
        <w:adjustRightInd/>
        <w:snapToGrid w:val="0"/>
        <w:ind w:firstLine="480" w:firstLineChars="200"/>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根据《中华人民共和国民法典》、《中华人民共和国建筑法》以及其他有关法律、行政法规之规定，甲乙双方遵循平等、公开、自愿和诚信的原则，就乙方为甲方提供【2024年大渡口区配售型保障性住房项目质量检测】检测服务之相关事宜，协商一致后达成如下条款：</w:t>
      </w:r>
    </w:p>
    <w:p w14:paraId="286C82AD">
      <w:pPr>
        <w:keepNext w:val="0"/>
        <w:keepLines w:val="0"/>
        <w:pageBreakBefore w:val="0"/>
        <w:widowControl w:val="0"/>
        <w:tabs>
          <w:tab w:val="left" w:pos="4080"/>
        </w:tabs>
        <w:kinsoku/>
        <w:wordWrap/>
        <w:overflowPunct/>
        <w:topLinePunct w:val="0"/>
        <w:autoSpaceDE/>
        <w:autoSpaceDN/>
        <w:bidi w:val="0"/>
        <w:adjustRightInd/>
        <w:snapToGrid w:val="0"/>
        <w:ind w:firstLine="480" w:firstLineChars="200"/>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一、工程概况</w:t>
      </w:r>
    </w:p>
    <w:p w14:paraId="23DF133A">
      <w:pPr>
        <w:keepNext w:val="0"/>
        <w:keepLines w:val="0"/>
        <w:pageBreakBefore w:val="0"/>
        <w:widowControl w:val="0"/>
        <w:tabs>
          <w:tab w:val="left" w:pos="4080"/>
        </w:tabs>
        <w:kinsoku/>
        <w:wordWrap/>
        <w:overflowPunct/>
        <w:topLinePunct w:val="0"/>
        <w:autoSpaceDE/>
        <w:autoSpaceDN/>
        <w:bidi w:val="0"/>
        <w:adjustRightInd/>
        <w:snapToGrid w:val="0"/>
        <w:ind w:firstLine="480" w:firstLineChars="200"/>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（一）工程名称：2024年大渡口区配售型保障性住房项目质量检测</w:t>
      </w:r>
    </w:p>
    <w:p w14:paraId="133C18F1">
      <w:pPr>
        <w:keepNext w:val="0"/>
        <w:keepLines w:val="0"/>
        <w:pageBreakBefore w:val="0"/>
        <w:widowControl w:val="0"/>
        <w:tabs>
          <w:tab w:val="left" w:pos="4080"/>
        </w:tabs>
        <w:kinsoku/>
        <w:wordWrap/>
        <w:overflowPunct/>
        <w:topLinePunct w:val="0"/>
        <w:autoSpaceDE/>
        <w:autoSpaceDN/>
        <w:bidi w:val="0"/>
        <w:adjustRightInd/>
        <w:snapToGrid w:val="0"/>
        <w:ind w:firstLine="480" w:firstLineChars="200"/>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（二）工程地点：</w:t>
      </w:r>
      <w:r>
        <w:rPr>
          <w:rFonts w:hint="eastAsia" w:ascii="宋体" w:hAnsi="宋体" w:eastAsia="宋体" w:cs="宋体"/>
          <w:color w:val="auto"/>
          <w:sz w:val="24"/>
          <w:szCs w:val="24"/>
          <w:highlight w:val="none"/>
          <w:lang w:eastAsia="zh-CN"/>
        </w:rPr>
        <w:t>大渡口区建胜镇</w:t>
      </w:r>
      <w:r>
        <w:rPr>
          <w:rFonts w:hint="eastAsia" w:ascii="宋体" w:hAnsi="宋体" w:eastAsia="宋体" w:cs="宋体"/>
          <w:color w:val="auto"/>
          <w:sz w:val="24"/>
          <w:szCs w:val="24"/>
          <w:highlight w:val="none"/>
          <w:lang w:val="en-US" w:eastAsia="zh-CN"/>
        </w:rPr>
        <w:t>G01-7地块</w:t>
      </w:r>
      <w:r>
        <w:rPr>
          <w:rFonts w:hint="eastAsia" w:ascii="宋体" w:hAnsi="宋体" w:eastAsia="宋体" w:cs="宋体"/>
          <w:b w:val="0"/>
          <w:bCs w:val="0"/>
          <w:color w:val="auto"/>
          <w:sz w:val="24"/>
          <w:szCs w:val="24"/>
          <w:highlight w:val="none"/>
          <w:u w:val="none"/>
          <w:lang w:eastAsia="zh-CN"/>
        </w:rPr>
        <w:t>。</w:t>
      </w:r>
    </w:p>
    <w:p w14:paraId="450A48D4">
      <w:pPr>
        <w:keepNext w:val="0"/>
        <w:keepLines w:val="0"/>
        <w:pageBreakBefore w:val="0"/>
        <w:widowControl w:val="0"/>
        <w:tabs>
          <w:tab w:val="left" w:pos="4080"/>
        </w:tabs>
        <w:kinsoku/>
        <w:wordWrap/>
        <w:overflowPunct/>
        <w:topLinePunct w:val="0"/>
        <w:autoSpaceDE/>
        <w:autoSpaceDN/>
        <w:bidi w:val="0"/>
        <w:adjustRightInd/>
        <w:snapToGrid w:val="0"/>
        <w:ind w:firstLine="480" w:firstLineChars="200"/>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二、建设规模：</w:t>
      </w:r>
    </w:p>
    <w:p w14:paraId="3E0F1229">
      <w:pPr>
        <w:keepNext w:val="0"/>
        <w:keepLines w:val="0"/>
        <w:pageBreakBefore w:val="0"/>
        <w:widowControl w:val="0"/>
        <w:tabs>
          <w:tab w:val="left" w:pos="4080"/>
        </w:tabs>
        <w:kinsoku/>
        <w:wordWrap/>
        <w:overflowPunct/>
        <w:topLinePunct w:val="0"/>
        <w:autoSpaceDE/>
        <w:autoSpaceDN/>
        <w:bidi w:val="0"/>
        <w:adjustRightInd/>
        <w:snapToGrid w:val="0"/>
        <w:ind w:firstLine="480" w:firstLineChars="200"/>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color w:val="auto"/>
          <w:sz w:val="24"/>
          <w:szCs w:val="24"/>
          <w:highlight w:val="none"/>
          <w:lang w:val="en-US" w:eastAsia="zh-CN"/>
        </w:rPr>
        <w:t>本项目位于</w:t>
      </w:r>
      <w:r>
        <w:rPr>
          <w:rFonts w:hint="eastAsia" w:ascii="宋体" w:hAnsi="宋体" w:eastAsia="宋体" w:cs="宋体"/>
          <w:color w:val="auto"/>
          <w:sz w:val="24"/>
          <w:szCs w:val="24"/>
          <w:highlight w:val="none"/>
          <w:lang w:eastAsia="zh-CN"/>
        </w:rPr>
        <w:t>大渡口区建胜镇</w:t>
      </w:r>
      <w:r>
        <w:rPr>
          <w:rFonts w:hint="eastAsia" w:ascii="宋体" w:hAnsi="宋体" w:eastAsia="宋体" w:cs="宋体"/>
          <w:color w:val="auto"/>
          <w:sz w:val="24"/>
          <w:szCs w:val="24"/>
          <w:highlight w:val="none"/>
          <w:lang w:val="en-US" w:eastAsia="zh-CN"/>
        </w:rPr>
        <w:t>G01-7地块，总占地面积约30亩，拟建设保障性住房504套，总建筑面积约74060平方米，其中住宅面积约48800平方米，配套及商业设施建筑面积约25260平方米。建设内容包含土石方工程、场内建筑物土建、安装、室内初装及室外道路、绿化、硬质铺装、室外停车场、综合管网等工程</w:t>
      </w:r>
      <w:r>
        <w:rPr>
          <w:rFonts w:hint="eastAsia" w:ascii="宋体" w:hAnsi="宋体" w:eastAsia="宋体" w:cs="宋体"/>
          <w:b w:val="0"/>
          <w:bCs w:val="0"/>
          <w:color w:val="auto"/>
          <w:sz w:val="24"/>
          <w:szCs w:val="24"/>
          <w:highlight w:val="none"/>
          <w:u w:val="none"/>
          <w:lang w:eastAsia="zh-CN"/>
        </w:rPr>
        <w:t>。</w:t>
      </w:r>
    </w:p>
    <w:p w14:paraId="051089F4">
      <w:pPr>
        <w:keepNext w:val="0"/>
        <w:keepLines w:val="0"/>
        <w:pageBreakBefore w:val="0"/>
        <w:widowControl w:val="0"/>
        <w:tabs>
          <w:tab w:val="left" w:pos="4080"/>
        </w:tabs>
        <w:kinsoku/>
        <w:wordWrap/>
        <w:overflowPunct/>
        <w:topLinePunct w:val="0"/>
        <w:autoSpaceDE/>
        <w:autoSpaceDN/>
        <w:bidi w:val="0"/>
        <w:adjustRightInd/>
        <w:snapToGrid w:val="0"/>
        <w:ind w:firstLine="480" w:firstLineChars="200"/>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三、检测服务范围</w:t>
      </w:r>
    </w:p>
    <w:p w14:paraId="2D9D40E0">
      <w:pPr>
        <w:keepNext w:val="0"/>
        <w:keepLines w:val="0"/>
        <w:pageBreakBefore w:val="0"/>
        <w:widowControl w:val="0"/>
        <w:tabs>
          <w:tab w:val="left" w:pos="4080"/>
        </w:tabs>
        <w:kinsoku/>
        <w:wordWrap/>
        <w:overflowPunct/>
        <w:topLinePunct w:val="0"/>
        <w:autoSpaceDE/>
        <w:autoSpaceDN/>
        <w:bidi w:val="0"/>
        <w:adjustRightInd/>
        <w:snapToGrid w:val="0"/>
        <w:ind w:firstLine="480" w:firstLineChars="200"/>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color w:val="auto"/>
          <w:sz w:val="24"/>
          <w:szCs w:val="24"/>
          <w:highlight w:val="none"/>
          <w:lang w:val="en-US" w:eastAsia="zh-CN"/>
        </w:rPr>
        <w:t>主要服务内容包括施工阶段、竣工验收阶段及缺陷责任期的见证取样检测、一般质量检测、专项质量检测、特殊质量检测、变形检测、质量抽检检测等所有检测内容。如因政策调整、变化等原因增加的检测内容也包含在本次招标范围内。具体检测内容包括但不限于：见证取样检测、地基基础工程检测、主体结构工程现场检测、建筑门窗检测、室内和室外环境质量检测、建筑节能检测、建筑智能检测、绿色建筑、建筑制品检测、建筑幕墙工程检测、钢结构工程检测、市政道路工程检测、专项检测、建</w:t>
      </w:r>
      <w:r>
        <w:rPr>
          <w:rFonts w:hint="eastAsia" w:ascii="宋体" w:hAnsi="宋体" w:cs="宋体"/>
          <w:color w:val="auto"/>
          <w:sz w:val="24"/>
          <w:szCs w:val="24"/>
          <w:highlight w:val="none"/>
          <w:lang w:val="en-US" w:eastAsia="zh-CN"/>
        </w:rPr>
        <w:t>（构）</w:t>
      </w:r>
      <w:r>
        <w:rPr>
          <w:rFonts w:hint="eastAsia" w:ascii="宋体" w:hAnsi="宋体" w:eastAsia="宋体" w:cs="宋体"/>
          <w:color w:val="auto"/>
          <w:sz w:val="24"/>
          <w:szCs w:val="24"/>
          <w:highlight w:val="none"/>
          <w:lang w:val="en-US" w:eastAsia="zh-CN"/>
        </w:rPr>
        <w:t>筑物检测（排水管网内窥检测、防雷检测、消防检测等按国家及地方相关建设工程检测规范要求需检测的其他内容）等项目，以及</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根据项目概况、现场情况、磋商文件、法律法规标准规范、工程相关设计及技术文件规定预判需检测的项目和项目属地质量管理等部门要求检测的项目</w:t>
      </w:r>
      <w:r>
        <w:rPr>
          <w:rFonts w:hint="eastAsia" w:ascii="宋体" w:hAnsi="宋体" w:eastAsia="宋体" w:cs="宋体"/>
          <w:b w:val="0"/>
          <w:bCs w:val="0"/>
          <w:color w:val="auto"/>
          <w:sz w:val="24"/>
          <w:szCs w:val="24"/>
          <w:highlight w:val="none"/>
          <w:u w:val="none"/>
          <w:lang w:eastAsia="zh-CN"/>
        </w:rPr>
        <w:t>。</w:t>
      </w:r>
    </w:p>
    <w:p w14:paraId="19DACE05">
      <w:pPr>
        <w:keepNext w:val="0"/>
        <w:keepLines w:val="0"/>
        <w:pageBreakBefore w:val="0"/>
        <w:widowControl w:val="0"/>
        <w:tabs>
          <w:tab w:val="left" w:pos="4080"/>
        </w:tabs>
        <w:kinsoku/>
        <w:wordWrap/>
        <w:overflowPunct/>
        <w:topLinePunct w:val="0"/>
        <w:autoSpaceDE/>
        <w:autoSpaceDN/>
        <w:bidi w:val="0"/>
        <w:adjustRightInd/>
        <w:snapToGrid w:val="0"/>
        <w:ind w:firstLine="480" w:firstLineChars="200"/>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四、合同工期</w:t>
      </w:r>
    </w:p>
    <w:p w14:paraId="63D14EFE">
      <w:pPr>
        <w:keepNext w:val="0"/>
        <w:keepLines w:val="0"/>
        <w:pageBreakBefore w:val="0"/>
        <w:widowControl w:val="0"/>
        <w:tabs>
          <w:tab w:val="left" w:pos="4080"/>
        </w:tabs>
        <w:kinsoku/>
        <w:wordWrap/>
        <w:overflowPunct/>
        <w:topLinePunct w:val="0"/>
        <w:autoSpaceDE/>
        <w:autoSpaceDN/>
        <w:bidi w:val="0"/>
        <w:adjustRightInd/>
        <w:snapToGrid w:val="0"/>
        <w:ind w:firstLine="480" w:firstLineChars="200"/>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1、 检测服务期：完成项目施工阶段及缺陷责任期全过程试验检测服务。本项目计划工期为</w:t>
      </w:r>
      <w:r>
        <w:rPr>
          <w:rFonts w:hint="eastAsia" w:ascii="宋体" w:hAnsi="宋体" w:cs="宋体"/>
          <w:b w:val="0"/>
          <w:bCs w:val="0"/>
          <w:color w:val="auto"/>
          <w:sz w:val="24"/>
          <w:szCs w:val="24"/>
          <w:highlight w:val="none"/>
          <w:u w:val="none"/>
          <w:lang w:val="en-US" w:eastAsia="zh-CN"/>
        </w:rPr>
        <w:t>1080</w:t>
      </w:r>
      <w:r>
        <w:rPr>
          <w:rFonts w:hint="eastAsia" w:ascii="宋体" w:hAnsi="宋体" w:eastAsia="宋体" w:cs="宋体"/>
          <w:b w:val="0"/>
          <w:bCs w:val="0"/>
          <w:color w:val="auto"/>
          <w:sz w:val="24"/>
          <w:szCs w:val="24"/>
          <w:highlight w:val="none"/>
          <w:u w:val="none"/>
          <w:lang w:eastAsia="zh-CN"/>
        </w:rPr>
        <w:t>日历天（暂定），如实际工期与计划工期不符的，服务期限以实际工期为准。乙方应于接到甲方出具的进场通知之日起【3】个工作日内到现场进行检测工作。</w:t>
      </w:r>
    </w:p>
    <w:p w14:paraId="5D2A877A">
      <w:pPr>
        <w:keepNext w:val="0"/>
        <w:keepLines w:val="0"/>
        <w:pageBreakBefore w:val="0"/>
        <w:widowControl w:val="0"/>
        <w:tabs>
          <w:tab w:val="left" w:pos="4080"/>
        </w:tabs>
        <w:kinsoku/>
        <w:wordWrap/>
        <w:overflowPunct/>
        <w:topLinePunct w:val="0"/>
        <w:autoSpaceDE/>
        <w:autoSpaceDN/>
        <w:bidi w:val="0"/>
        <w:adjustRightInd/>
        <w:snapToGrid w:val="0"/>
        <w:ind w:firstLine="480" w:firstLineChars="200"/>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2、缺陷责任期：24个月。</w:t>
      </w:r>
    </w:p>
    <w:p w14:paraId="48E29D85">
      <w:pPr>
        <w:keepNext w:val="0"/>
        <w:keepLines w:val="0"/>
        <w:pageBreakBefore w:val="0"/>
        <w:widowControl w:val="0"/>
        <w:tabs>
          <w:tab w:val="left" w:pos="4080"/>
        </w:tabs>
        <w:kinsoku/>
        <w:wordWrap/>
        <w:overflowPunct/>
        <w:topLinePunct w:val="0"/>
        <w:autoSpaceDE/>
        <w:autoSpaceDN/>
        <w:bidi w:val="0"/>
        <w:adjustRightInd/>
        <w:snapToGrid w:val="0"/>
        <w:ind w:firstLine="480" w:firstLineChars="200"/>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五、合同价款、付款方式、履约保证金</w:t>
      </w:r>
    </w:p>
    <w:p w14:paraId="56BF05E8">
      <w:pPr>
        <w:keepNext w:val="0"/>
        <w:keepLines w:val="0"/>
        <w:pageBreakBefore w:val="0"/>
        <w:widowControl w:val="0"/>
        <w:tabs>
          <w:tab w:val="left" w:pos="4080"/>
        </w:tabs>
        <w:kinsoku/>
        <w:wordWrap/>
        <w:overflowPunct/>
        <w:topLinePunct w:val="0"/>
        <w:autoSpaceDE/>
        <w:autoSpaceDN/>
        <w:bidi w:val="0"/>
        <w:adjustRightInd/>
        <w:snapToGrid w:val="0"/>
        <w:ind w:firstLine="480" w:firstLineChars="200"/>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（一）合同价款</w:t>
      </w:r>
    </w:p>
    <w:p w14:paraId="794F46D4">
      <w:pPr>
        <w:keepNext w:val="0"/>
        <w:keepLines w:val="0"/>
        <w:pageBreakBefore w:val="0"/>
        <w:widowControl w:val="0"/>
        <w:tabs>
          <w:tab w:val="left" w:pos="4080"/>
        </w:tabs>
        <w:kinsoku/>
        <w:wordWrap/>
        <w:overflowPunct/>
        <w:topLinePunct w:val="0"/>
        <w:autoSpaceDE/>
        <w:autoSpaceDN/>
        <w:bidi w:val="0"/>
        <w:adjustRightInd/>
        <w:snapToGrid w:val="0"/>
        <w:ind w:firstLine="480" w:firstLineChars="200"/>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1、按约定检测内容，本合同为总价包干，合同金额人民币      元（大写：          )。</w:t>
      </w:r>
    </w:p>
    <w:p w14:paraId="14976B69">
      <w:pPr>
        <w:keepNext w:val="0"/>
        <w:keepLines w:val="0"/>
        <w:pageBreakBefore w:val="0"/>
        <w:widowControl w:val="0"/>
        <w:tabs>
          <w:tab w:val="left" w:pos="4080"/>
        </w:tabs>
        <w:kinsoku/>
        <w:wordWrap/>
        <w:overflowPunct/>
        <w:topLinePunct w:val="0"/>
        <w:autoSpaceDE/>
        <w:autoSpaceDN/>
        <w:bidi w:val="0"/>
        <w:adjustRightInd/>
        <w:snapToGrid w:val="0"/>
        <w:ind w:firstLine="480" w:firstLineChars="200"/>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2、合同价款包括完成全部检测内容的鉴定费、检测费（包括多次检测、复检及加大检测范围所产生的相关费用）、试验费等组成，包括但不限于该工程检测的成本、技术工作费、人工费、材料费、利润、规费、税金、管理费、保险费、二维码标签费、数字化监管费、检测仪器设备使用费、开办费、驻场费、措施费、配合费（含智慧工地建设的配合费）、专家费、设备进出场费、交通工具购置及使用费、资料费等以及政策性文件规定的全部费用，以及乙方因不具备检测资质而需另行分包的检测项目的检测费用，均已包含在合同价款中，甲方不再支付</w:t>
      </w:r>
      <w:r>
        <w:rPr>
          <w:rFonts w:hint="eastAsia" w:ascii="宋体" w:hAnsi="宋体" w:cs="宋体"/>
          <w:b w:val="0"/>
          <w:bCs w:val="0"/>
          <w:color w:val="auto"/>
          <w:sz w:val="24"/>
          <w:szCs w:val="24"/>
          <w:highlight w:val="none"/>
          <w:u w:val="none"/>
          <w:lang w:eastAsia="zh-CN"/>
        </w:rPr>
        <w:t>其他</w:t>
      </w:r>
      <w:r>
        <w:rPr>
          <w:rFonts w:hint="eastAsia" w:ascii="宋体" w:hAnsi="宋体" w:eastAsia="宋体" w:cs="宋体"/>
          <w:b w:val="0"/>
          <w:bCs w:val="0"/>
          <w:color w:val="auto"/>
          <w:sz w:val="24"/>
          <w:szCs w:val="24"/>
          <w:highlight w:val="none"/>
          <w:u w:val="none"/>
          <w:lang w:eastAsia="zh-CN"/>
        </w:rPr>
        <w:t>任何费用。乙方检测资质范围内的检测项目禁止分包；资质范围外的检测项目经</w:t>
      </w:r>
      <w:r>
        <w:rPr>
          <w:rFonts w:hint="eastAsia" w:ascii="宋体" w:hAnsi="宋体" w:cs="宋体"/>
          <w:b w:val="0"/>
          <w:bCs w:val="0"/>
          <w:color w:val="auto"/>
          <w:sz w:val="24"/>
          <w:szCs w:val="24"/>
          <w:highlight w:val="none"/>
          <w:u w:val="none"/>
          <w:lang w:eastAsia="zh-CN"/>
        </w:rPr>
        <w:t>甲方</w:t>
      </w:r>
      <w:r>
        <w:rPr>
          <w:rFonts w:hint="eastAsia" w:ascii="宋体" w:hAnsi="宋体" w:eastAsia="宋体" w:cs="宋体"/>
          <w:b w:val="0"/>
          <w:bCs w:val="0"/>
          <w:color w:val="auto"/>
          <w:sz w:val="24"/>
          <w:szCs w:val="24"/>
          <w:highlight w:val="none"/>
          <w:u w:val="none"/>
          <w:lang w:eastAsia="zh-CN"/>
        </w:rPr>
        <w:t>同意之后允许分包，乙方所选择的分包单位须具备相应的资质及能力，分包费用包含在本合同价格中，不再另计。</w:t>
      </w:r>
    </w:p>
    <w:p w14:paraId="519FBF94">
      <w:pPr>
        <w:keepNext w:val="0"/>
        <w:keepLines w:val="0"/>
        <w:pageBreakBefore w:val="0"/>
        <w:widowControl w:val="0"/>
        <w:tabs>
          <w:tab w:val="left" w:pos="4080"/>
        </w:tabs>
        <w:kinsoku/>
        <w:wordWrap/>
        <w:overflowPunct/>
        <w:topLinePunct w:val="0"/>
        <w:autoSpaceDE/>
        <w:autoSpaceDN/>
        <w:bidi w:val="0"/>
        <w:adjustRightInd/>
        <w:snapToGrid w:val="0"/>
        <w:ind w:firstLine="480" w:firstLineChars="200"/>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3、若因乙方原因造成的暂停工、二次进出场费、以及工程发生重新检测产生的费用，由乙方自行测算，费用包含在合同价款中，甲方将不再另行支付，乙方应做好安全防范和保护工作，若因乙方原因发生一切事故均由乙方自行负责。若因甲方原因发生一切事故均由甲方自行负责。</w:t>
      </w:r>
    </w:p>
    <w:p w14:paraId="3867B9E6">
      <w:pPr>
        <w:keepNext w:val="0"/>
        <w:keepLines w:val="0"/>
        <w:pageBreakBefore w:val="0"/>
        <w:widowControl w:val="0"/>
        <w:tabs>
          <w:tab w:val="left" w:pos="4080"/>
        </w:tabs>
        <w:kinsoku/>
        <w:wordWrap/>
        <w:overflowPunct/>
        <w:topLinePunct w:val="0"/>
        <w:autoSpaceDE/>
        <w:autoSpaceDN/>
        <w:bidi w:val="0"/>
        <w:adjustRightInd/>
        <w:snapToGrid w:val="0"/>
        <w:ind w:firstLine="480" w:firstLineChars="200"/>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4、乙方在投标时承诺的拟派人员无法满足本项目检测试验的实际需要，必须按甲方要求无条件增加检测试验人员配备，不调整合同价款。</w:t>
      </w:r>
    </w:p>
    <w:p w14:paraId="5EB4C78E">
      <w:pPr>
        <w:keepNext w:val="0"/>
        <w:keepLines w:val="0"/>
        <w:pageBreakBefore w:val="0"/>
        <w:widowControl w:val="0"/>
        <w:tabs>
          <w:tab w:val="left" w:pos="4080"/>
        </w:tabs>
        <w:kinsoku/>
        <w:wordWrap/>
        <w:overflowPunct/>
        <w:topLinePunct w:val="0"/>
        <w:autoSpaceDE/>
        <w:autoSpaceDN/>
        <w:bidi w:val="0"/>
        <w:adjustRightInd/>
        <w:snapToGrid w:val="0"/>
        <w:ind w:firstLine="480" w:firstLineChars="200"/>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5、非乙方原因发生检测试验不合格的项目，其复测费用由责任方承担。</w:t>
      </w:r>
    </w:p>
    <w:p w14:paraId="2B5E7270">
      <w:pPr>
        <w:keepNext w:val="0"/>
        <w:keepLines w:val="0"/>
        <w:pageBreakBefore w:val="0"/>
        <w:widowControl w:val="0"/>
        <w:tabs>
          <w:tab w:val="left" w:pos="4080"/>
        </w:tabs>
        <w:kinsoku/>
        <w:wordWrap/>
        <w:overflowPunct/>
        <w:topLinePunct w:val="0"/>
        <w:autoSpaceDE/>
        <w:autoSpaceDN/>
        <w:bidi w:val="0"/>
        <w:adjustRightInd/>
        <w:snapToGrid w:val="0"/>
        <w:ind w:firstLine="480" w:firstLineChars="200"/>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（二）付款方式</w:t>
      </w:r>
    </w:p>
    <w:p w14:paraId="1E52A023">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b w:val="0"/>
          <w:bCs w:val="0"/>
          <w:color w:val="auto"/>
          <w:sz w:val="24"/>
          <w:szCs w:val="24"/>
          <w:highlight w:val="none"/>
          <w:u w:val="none"/>
          <w:lang w:eastAsia="zh-CN"/>
        </w:rPr>
        <w:t>总工程量完成30%后30日内支付合同金额的30%，总工程量完成60%后30日内支付合同金额的30%，竣工验收合格后30日内支付至合同金额的97%，余3%质保金待施工缺陷责任期满后30日内支付。甲方凭乙方出具的合规等额发票向乙方支付上述检测试验服务费，</w:t>
      </w:r>
      <w:r>
        <w:rPr>
          <w:rFonts w:hint="eastAsia" w:ascii="宋体" w:hAnsi="宋体" w:eastAsia="宋体" w:cs="宋体"/>
          <w:color w:val="auto"/>
          <w:highlight w:val="none"/>
          <w:lang w:eastAsia="zh-CN"/>
        </w:rPr>
        <w:t>乙方未提供发票的，甲方有权拒付且不构成违约。</w:t>
      </w:r>
    </w:p>
    <w:p w14:paraId="2A5185CC">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）履约保证金</w:t>
      </w:r>
    </w:p>
    <w:p w14:paraId="14A26E3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履约保证金金额为：项目成交金额的5%（即：</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元）。</w:t>
      </w:r>
    </w:p>
    <w:p w14:paraId="3775B69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成交供应商应当在领取成交通知书后20天内且合同签订之前（重庆建桥置业有限公司开具收据为准）将履约保证金汇入下列</w:t>
      </w:r>
      <w:r>
        <w:rPr>
          <w:rFonts w:hint="eastAsia" w:ascii="宋体" w:hAnsi="宋体" w:cs="宋体"/>
          <w:color w:val="auto"/>
          <w:sz w:val="24"/>
          <w:szCs w:val="24"/>
          <w:highlight w:val="none"/>
          <w:lang w:eastAsia="zh-CN"/>
        </w:rPr>
        <w:t>账户</w:t>
      </w:r>
      <w:r>
        <w:rPr>
          <w:rFonts w:hint="eastAsia" w:ascii="宋体" w:hAnsi="宋体" w:cs="宋体"/>
          <w:color w:val="auto"/>
          <w:sz w:val="24"/>
          <w:szCs w:val="24"/>
          <w:highlight w:val="none"/>
        </w:rPr>
        <w:t>：</w:t>
      </w:r>
    </w:p>
    <w:p w14:paraId="51A82701">
      <w:pPr>
        <w:keepNext/>
        <w:keepLines/>
        <w:spacing w:line="44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公司相关账号如下：</w:t>
      </w:r>
    </w:p>
    <w:p w14:paraId="460C9DFD">
      <w:pPr>
        <w:keepNext/>
        <w:keepLines/>
        <w:spacing w:line="44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账户名称：重庆建桥置业有限公司  </w:t>
      </w:r>
    </w:p>
    <w:p w14:paraId="1B6EC3CF">
      <w:pPr>
        <w:keepNext/>
        <w:keepLines/>
        <w:spacing w:line="44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开户行：交通银行重庆大渡口支行 </w:t>
      </w:r>
      <w:r>
        <w:rPr>
          <w:rFonts w:ascii="宋体" w:hAnsi="宋体" w:cs="宋体"/>
          <w:b/>
          <w:bCs/>
          <w:color w:val="auto"/>
          <w:sz w:val="24"/>
          <w:szCs w:val="24"/>
          <w:highlight w:val="none"/>
        </w:rPr>
        <w:t xml:space="preserve"> </w:t>
      </w:r>
    </w:p>
    <w:p w14:paraId="39E8E7C6">
      <w:pPr>
        <w:spacing w:line="44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账  号：500103011018000004126</w:t>
      </w:r>
    </w:p>
    <w:p w14:paraId="7CC2B347">
      <w:pPr>
        <w:spacing w:line="440" w:lineRule="exact"/>
        <w:ind w:firstLine="480" w:firstLineChars="200"/>
        <w:rPr>
          <w:color w:val="auto"/>
          <w:highlight w:val="none"/>
        </w:rPr>
      </w:pPr>
      <w:r>
        <w:rPr>
          <w:rFonts w:hint="eastAsia" w:ascii="宋体" w:hAnsi="宋体" w:cs="宋体"/>
          <w:color w:val="auto"/>
          <w:sz w:val="24"/>
          <w:szCs w:val="24"/>
          <w:highlight w:val="none"/>
        </w:rPr>
        <w:t>汇入履约保证金时需备注项目名称</w:t>
      </w:r>
    </w:p>
    <w:p w14:paraId="368E0915">
      <w:pPr>
        <w:kinsoku/>
        <w:wordWrap/>
        <w:overflowPunct/>
        <w:topLinePunct w:val="0"/>
        <w:bidi w:val="0"/>
        <w:spacing w:line="360" w:lineRule="auto"/>
        <w:ind w:firstLine="480" w:firstLineChars="200"/>
        <w:textAlignment w:val="auto"/>
        <w:rPr>
          <w:rFonts w:hint="eastAsia" w:ascii="宋体" w:hAnsi="宋体" w:cs="宋体"/>
          <w:color w:val="auto"/>
          <w:szCs w:val="24"/>
          <w:highlight w:val="none"/>
        </w:rPr>
      </w:pPr>
      <w:r>
        <w:rPr>
          <w:rFonts w:hint="eastAsia" w:ascii="宋体" w:hAnsi="宋体" w:cs="宋体"/>
          <w:color w:val="auto"/>
          <w:szCs w:val="24"/>
          <w:highlight w:val="none"/>
        </w:rPr>
        <w:t>退还时间：</w:t>
      </w:r>
      <w:r>
        <w:rPr>
          <w:rFonts w:hint="eastAsia" w:ascii="宋体" w:hAnsi="宋体" w:cs="宋体"/>
          <w:color w:val="auto"/>
          <w:szCs w:val="24"/>
          <w:highlight w:val="none"/>
          <w:lang w:eastAsia="zh-CN"/>
        </w:rPr>
        <w:t>采用现金担保的</w:t>
      </w:r>
      <w:r>
        <w:rPr>
          <w:rFonts w:hint="eastAsia" w:ascii="宋体" w:hAnsi="宋体" w:cs="宋体"/>
          <w:color w:val="auto"/>
          <w:szCs w:val="24"/>
          <w:highlight w:val="none"/>
        </w:rPr>
        <w:t>，工程竣工验收合格后14天内退还（不计息）。</w:t>
      </w:r>
    </w:p>
    <w:p w14:paraId="112E9D72">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六、检测质量标准</w:t>
      </w:r>
    </w:p>
    <w:p w14:paraId="73057BFD">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符合国家、行业、重庆市相关的技术标准、技术规范/规程以及设计要求，达到一次性验收合格标准。</w:t>
      </w:r>
    </w:p>
    <w:p w14:paraId="41FAC15E">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七、双方职责</w:t>
      </w:r>
    </w:p>
    <w:p w14:paraId="2A3AAD0C">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（一）甲方职责</w:t>
      </w:r>
    </w:p>
    <w:p w14:paraId="2110CC7D">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1．提供本工程待检测部位、标高等资料以及本工程与检测相关的图纸，如实向乙方提供相关的各项技术数据，并填好合格的委托单；</w:t>
      </w:r>
    </w:p>
    <w:p w14:paraId="41BC268A">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2．按技术规范/规程、技术标准和乙方的有关管理制度的规定，做好检测配合工作，包括但不限于协调工程施工单位与检测相关各方，配合乙方开展检测工作；</w:t>
      </w:r>
    </w:p>
    <w:p w14:paraId="7762570E">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3．如采取样本寄送检测，甲方应按相关规定办理见证取样手续，并认真履行见证取样制度，对取样代表性和真实性负责；</w:t>
      </w:r>
    </w:p>
    <w:p w14:paraId="3095E2EF">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4．甲方应提前通知乙方与待检部位、样品有关的、实际上或潜在的危害或危险，包括但不限于辐射、有毒或易爆成分或材料的存在和风险；</w:t>
      </w:r>
    </w:p>
    <w:p w14:paraId="05912FBA">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若乙方到现场进行检测，甲方应指派现场联系人配合乙方开展工作，并应于现场检测前1天将现场联系人的相关信息告知乙方；甲方应事先将现场安全管理制度、安全注意事项告知乙方及乙方现场检测人员，并为乙方现场检测人员提供必要的安全设备，保证乙方现场检测人员及检测设备的安全；</w:t>
      </w:r>
    </w:p>
    <w:p w14:paraId="5D2F3037">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6．根据检测的实际情况，为乙方现场检测人员提供必要的办公场所及设备存放场所；</w:t>
      </w:r>
    </w:p>
    <w:p w14:paraId="1D9743C5">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7．确保检测工作正常开展，甲方不得以任何方式干预检测工作的独立性、公正性与准确性；</w:t>
      </w:r>
    </w:p>
    <w:p w14:paraId="4FFFEB9A">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甲方对检测结果有异议的，应于收到检测报告之日起【3】工作日内以书面的形式向乙方提出，乙方经初步审查认为异议成立的，应进行复检，复检费用另行协商，由甲方向乙方支付（甲方与最终责任方之间的责任分配及追偿事宜由甲方自行处理）；如复检系乙方原因所导致，甲方无需支付复检费用；</w:t>
      </w:r>
    </w:p>
    <w:p w14:paraId="6C47038C">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9．按照法律法规的规定，正确使用检测结果，不得自行修改检测结果，不得实施利用检测报告误导第三方的行为，不得对检测报告进行取舍后使用，否则，由此导致的纠纷或损失由甲方自行负责处理、承担；</w:t>
      </w:r>
    </w:p>
    <w:p w14:paraId="15A622F9">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10．甲方有权要求补发、增发检测报告，乙方不得拒绝并由此提出增加检测费用。</w:t>
      </w:r>
    </w:p>
    <w:p w14:paraId="635469DF">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（二）乙方职责</w:t>
      </w:r>
    </w:p>
    <w:p w14:paraId="057CF98E">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1．编制检测项目相关的检测方案、计划，报甲方备案；针对本项目的检测内容单独建立检测</w:t>
      </w:r>
      <w:r>
        <w:rPr>
          <w:rFonts w:hint="eastAsia" w:ascii="宋体" w:hAnsi="宋体" w:cs="宋体"/>
          <w:color w:val="auto"/>
          <w:highlight w:val="none"/>
          <w:lang w:eastAsia="zh-CN"/>
        </w:rPr>
        <w:t>台账</w:t>
      </w:r>
      <w:r>
        <w:rPr>
          <w:rFonts w:hint="eastAsia" w:ascii="宋体" w:hAnsi="宋体" w:eastAsia="宋体" w:cs="宋体"/>
          <w:color w:val="auto"/>
          <w:highlight w:val="none"/>
        </w:rPr>
        <w:t>，供甲方或甲方委托的监理人查阅；</w:t>
      </w:r>
    </w:p>
    <w:p w14:paraId="48CF5176">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2．按照国家、行业、重庆市相关的技术标准、规范/规程以及设计要求开展检测工作、并对检测报告的真实性、准确性负责；</w:t>
      </w:r>
    </w:p>
    <w:p w14:paraId="37BE72BF">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3．配备具备相应资格的的检测人员、设备，按约开展检测工作，及时向甲方提供检测报告，并提供优质检测服务；检测人员做到持证上岗，检测设备须具有计量认证和年检证明；</w:t>
      </w:r>
    </w:p>
    <w:p w14:paraId="3F451375">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4．乙方在检测完毕后的第二天告知甲方检测结果，按规范时间要求出具检测报告，一式肆份；在甲方需要紧急检测时，乙方检测及出报告时间需满足甲方的时间安排；</w:t>
      </w:r>
    </w:p>
    <w:p w14:paraId="19433737">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5．向甲方提供与本检测项目相关的技术服务；</w:t>
      </w:r>
    </w:p>
    <w:p w14:paraId="6390496D">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6．检测员现场工作期间，严格遵守工程的安全管理制度，严防安全事故发生。当检测结果出现异常时（包括不合格或明显低于设计要求），及时通知甲方或甲方委托的监理人；</w:t>
      </w:r>
    </w:p>
    <w:p w14:paraId="0EC029C7">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乙方出据的检测报告必须符合国家规范要求，各类印章齐全，检测人、校核人、审批人均应签字，否则报告无效。所有检测报告一式4份原件。因报告无效而造成的重新检测费用以及由此给甲方造成的一切损失由乙方承担。 若乙方出具的报告有误，甲方依照该检测报告施工导致工程质量事故或其他损失，由乙方承担相关损失及责任；</w:t>
      </w:r>
    </w:p>
    <w:p w14:paraId="0C7A48C0">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8．按照甲方的要求和试验目的进行符合国家标准的试验，保证在规定期限内完成试验并出具标准的试验报告提交给甲方。乙方不得以未收到工程款为由，拒绝按时提供检测或出具检测报告。</w:t>
      </w:r>
    </w:p>
    <w:p w14:paraId="556C69B4">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八、保密义务</w:t>
      </w:r>
    </w:p>
    <w:p w14:paraId="51797F69">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（一）乙方应对本项目检测结果及甲方所提供的技术信息和资料承担保密义务。非因法律、法规及有权机关的要求或甲方同意，不得将前述保密信息向甲方（含甲方指定的单位或人员）以外的单位及人员泄露。</w:t>
      </w:r>
    </w:p>
    <w:p w14:paraId="55D266DF">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甲方应对乙方所提供的技术信息和资料及非正式出版物等乙方就履行本协议向甲方提供的各类风险评估、检测报表、报告、文件承担保密义务，非因法律、法规及有权机关的要求或乙方同意，不得将前述保密信息向任何第三方透露。</w:t>
      </w:r>
    </w:p>
    <w:p w14:paraId="057D5E83">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九、违约责任</w:t>
      </w:r>
    </w:p>
    <w:p w14:paraId="7678B4E3">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1.乙方在踏勘现场及现场检测时要认真做好安全工作，对现场质量检测过程中出现的人员伤亡事故，由乙方单位自行承担；</w:t>
      </w:r>
    </w:p>
    <w:p w14:paraId="642E3E2C">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2.乙方试验出现影响结果正确性的差错，必须及时改正，并按3000元/次处以违约金,其它差错1000~2000元/次处以违约金，并视情况上报质量监督机构；</w:t>
      </w:r>
    </w:p>
    <w:p w14:paraId="3AFD164E">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3.在合同实施期间发现乙方提供了虚假资料，甲方有权扣除合同总金额10%检测服务费的金额作为违约金，并上报质量监督机构；</w:t>
      </w:r>
    </w:p>
    <w:p w14:paraId="19CE3D1D">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4.乙方未能在最佳检测时机进行测试，使检测数据缺项或不准确，一经甲方发现则处以1000元/次扣除乙方的违约金；</w:t>
      </w:r>
    </w:p>
    <w:p w14:paraId="5AED999F">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5.被上级主管部门及所属质量监督机构检查出现的其它问题的，视情况处以1000-3000元/次扣除乙方的违约金；</w:t>
      </w:r>
    </w:p>
    <w:p w14:paraId="6035861F">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6.未经甲方批准，乙方擅自撤离设备。一经甲方发现，则处以2000元/次扣除乙方的违约金；</w:t>
      </w:r>
    </w:p>
    <w:p w14:paraId="786CC5D4">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7.合同履行期间，因甲方原因要求需停止质量检测工作或解除合同时，按已完成且委托方认可的实际工作量协商支付费用，甲方不支付违约金，也不赔偿其他损失。</w:t>
      </w:r>
    </w:p>
    <w:p w14:paraId="0B678A13">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8.因</w:t>
      </w:r>
      <w:r>
        <w:rPr>
          <w:rFonts w:hint="eastAsia" w:ascii="宋体" w:hAnsi="宋体" w:cs="宋体"/>
          <w:color w:val="auto"/>
          <w:highlight w:val="none"/>
          <w:lang w:eastAsia="zh-CN"/>
        </w:rPr>
        <w:t>成交供应商</w:t>
      </w:r>
      <w:r>
        <w:rPr>
          <w:rFonts w:hint="eastAsia" w:ascii="宋体" w:hAnsi="宋体" w:eastAsia="宋体" w:cs="宋体"/>
          <w:color w:val="auto"/>
          <w:highlight w:val="none"/>
        </w:rPr>
        <w:t>原因，未在约定时间内进场检测，或检测完毕后未在约定时间内提交正式检测报告的，按1000元/次的标准处违约金；</w:t>
      </w:r>
    </w:p>
    <w:p w14:paraId="16C98665">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9．违约金累计计算，在支付竣工验收合格后的检测费用时一次性扣除。</w:t>
      </w:r>
    </w:p>
    <w:p w14:paraId="73AF0221">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十、免责条款</w:t>
      </w:r>
    </w:p>
    <w:p w14:paraId="4350F516">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在本合同履行过程中，任一方因不可抗力导致本合同全部或部分无法履行，无法履行的一方无须承担违约责任，但应及时通知另一方。</w:t>
      </w:r>
    </w:p>
    <w:p w14:paraId="223533D5">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十一、其他</w:t>
      </w:r>
    </w:p>
    <w:p w14:paraId="069221E0">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（一）本合同一式陆份；甲方肆份，乙方贰份，各份具有同等法律效力。</w:t>
      </w:r>
    </w:p>
    <w:p w14:paraId="67E9D1F7">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本合同未尽事宜以及双方在履行合同过程中需对本合同作出的变更，双方应另行协商并签署书面补充协议，补充协议作为本合同的附件，与本合同具有同等法律效力，本合同与补充协议若存在不一致之处，以补充协议为准。</w:t>
      </w:r>
    </w:p>
    <w:p w14:paraId="383925B3">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（三）本合同在履行过程中如出现争议，双方应首先本着公平友好的态度协商解决，协商不成，按以下第【2】种方式解决：</w:t>
      </w:r>
    </w:p>
    <w:p w14:paraId="67562310">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1．仲裁：提交重庆仲裁委员会仲裁，按照申请仲裁时该仲裁机构有效的仲裁规则进行仲裁。仲裁裁决是终局的，对双方均有约束力。</w:t>
      </w:r>
    </w:p>
    <w:p w14:paraId="0C8B5614">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2．诉讼：任何一方可向甲方所在地法院提请诉讼解决。</w:t>
      </w:r>
    </w:p>
    <w:p w14:paraId="718BFB6C">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解决争议的费用（包括但不限于律师费、诉讼费、仲裁费、差旅费、误工费等费用）由败诉方承担。</w:t>
      </w:r>
    </w:p>
    <w:p w14:paraId="33D77B5F">
      <w:pPr>
        <w:keepNext w:val="0"/>
        <w:keepLines w:val="0"/>
        <w:pageBreakBefore w:val="0"/>
        <w:widowControl w:val="0"/>
        <w:numPr>
          <w:ilvl w:val="0"/>
          <w:numId w:val="15"/>
        </w:numPr>
        <w:kinsoku/>
        <w:wordWrap/>
        <w:overflowPunct/>
        <w:topLinePunct w:val="0"/>
        <w:autoSpaceDE/>
        <w:autoSpaceDN/>
        <w:bidi w:val="0"/>
        <w:adjustRightInd/>
        <w:snapToGrid w:val="0"/>
        <w:ind w:firstLine="480" w:firstLineChars="200"/>
        <w:textAlignment w:val="auto"/>
        <w:rPr>
          <w:rFonts w:hint="default"/>
          <w:color w:val="auto"/>
          <w:highlight w:val="none"/>
        </w:rPr>
      </w:pPr>
      <w:r>
        <w:rPr>
          <w:rFonts w:hint="eastAsia" w:ascii="宋体" w:hAnsi="宋体" w:eastAsia="宋体" w:cs="宋体"/>
          <w:color w:val="auto"/>
          <w:highlight w:val="none"/>
        </w:rPr>
        <w:t>本合同从甲、乙双方法定代表人（负责人）或授权代表签署并加盖双方公章或合同专用章之日起生效。</w:t>
      </w:r>
    </w:p>
    <w:p w14:paraId="2456834C">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default"/>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w:t>
      </w:r>
      <w:r>
        <w:rPr>
          <w:color w:val="auto"/>
          <w:highlight w:val="none"/>
        </w:rPr>
        <w:t>合同附件</w:t>
      </w:r>
    </w:p>
    <w:p w14:paraId="4B3B6F7C">
      <w:pPr>
        <w:spacing w:line="360" w:lineRule="auto"/>
        <w:ind w:firstLine="480" w:firstLineChars="200"/>
        <w:rPr>
          <w:rFonts w:ascii="宋体" w:hAnsi="宋体" w:cs="宋体"/>
          <w:color w:val="auto"/>
          <w:kern w:val="0"/>
          <w:szCs w:val="21"/>
          <w:highlight w:val="none"/>
        </w:rPr>
      </w:pPr>
      <w:r>
        <w:rPr>
          <w:rFonts w:hint="eastAsia" w:ascii="宋体" w:hAnsi="宋体" w:cs="宋体"/>
          <w:color w:val="auto"/>
          <w:kern w:val="0"/>
          <w:szCs w:val="21"/>
          <w:highlight w:val="none"/>
        </w:rPr>
        <w:t>以下两个附件是本合同的有效组成部分：</w:t>
      </w:r>
    </w:p>
    <w:p w14:paraId="1D70844E">
      <w:pPr>
        <w:widowControl/>
        <w:tabs>
          <w:tab w:val="left" w:pos="9072"/>
          <w:tab w:val="left" w:pos="9781"/>
        </w:tabs>
        <w:adjustRightInd w:val="0"/>
        <w:snapToGrid w:val="0"/>
        <w:spacing w:line="360" w:lineRule="auto"/>
        <w:ind w:right="137" w:rightChars="57" w:firstLine="480" w:firstLineChars="200"/>
        <w:jc w:val="left"/>
        <w:rPr>
          <w:rFonts w:ascii="宋体" w:hAnsi="宋体"/>
          <w:color w:val="auto"/>
          <w:kern w:val="0"/>
          <w:szCs w:val="21"/>
          <w:highlight w:val="none"/>
        </w:rPr>
      </w:pPr>
      <w:r>
        <w:rPr>
          <w:rFonts w:ascii="宋体" w:hAnsi="宋体"/>
          <w:color w:val="auto"/>
          <w:kern w:val="0"/>
          <w:szCs w:val="21"/>
          <w:highlight w:val="none"/>
        </w:rPr>
        <w:t>附件一：派驻本项目</w:t>
      </w:r>
      <w:r>
        <w:rPr>
          <w:rFonts w:hint="eastAsia" w:ascii="宋体" w:hAnsi="宋体"/>
          <w:color w:val="auto"/>
          <w:kern w:val="0"/>
          <w:szCs w:val="21"/>
          <w:highlight w:val="none"/>
          <w:lang w:eastAsia="zh-CN"/>
        </w:rPr>
        <w:t>质量检测</w:t>
      </w:r>
      <w:r>
        <w:rPr>
          <w:rFonts w:ascii="宋体" w:hAnsi="宋体"/>
          <w:color w:val="auto"/>
          <w:kern w:val="0"/>
          <w:szCs w:val="21"/>
          <w:highlight w:val="none"/>
        </w:rPr>
        <w:t>人员一览表</w:t>
      </w:r>
    </w:p>
    <w:p w14:paraId="275D211F">
      <w:pPr>
        <w:widowControl/>
        <w:tabs>
          <w:tab w:val="left" w:pos="9072"/>
          <w:tab w:val="left" w:pos="9781"/>
        </w:tabs>
        <w:adjustRightInd w:val="0"/>
        <w:snapToGrid w:val="0"/>
        <w:spacing w:line="360" w:lineRule="auto"/>
        <w:ind w:right="137" w:rightChars="57" w:firstLine="480" w:firstLineChars="200"/>
        <w:jc w:val="left"/>
        <w:rPr>
          <w:rFonts w:ascii="宋体" w:hAnsi="宋体"/>
          <w:color w:val="auto"/>
          <w:kern w:val="0"/>
          <w:szCs w:val="21"/>
          <w:highlight w:val="none"/>
        </w:rPr>
      </w:pPr>
      <w:r>
        <w:rPr>
          <w:rFonts w:ascii="宋体" w:hAnsi="宋体"/>
          <w:color w:val="auto"/>
          <w:kern w:val="0"/>
          <w:szCs w:val="21"/>
          <w:highlight w:val="none"/>
        </w:rPr>
        <w:t>附件二：廉洁从业合同</w:t>
      </w:r>
    </w:p>
    <w:p w14:paraId="508A1FF3">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宋体" w:hAnsi="宋体" w:eastAsia="宋体" w:cs="宋体"/>
          <w:color w:val="auto"/>
          <w:highlight w:val="none"/>
        </w:rPr>
      </w:pPr>
    </w:p>
    <w:p w14:paraId="588C5CAE">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宋体" w:hAnsi="宋体" w:eastAsia="宋体" w:cs="宋体"/>
          <w:color w:val="auto"/>
          <w:highlight w:val="none"/>
        </w:rPr>
      </w:pPr>
    </w:p>
    <w:p w14:paraId="336ED2C8">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宋体" w:hAnsi="宋体" w:eastAsia="宋体" w:cs="宋体"/>
          <w:color w:val="auto"/>
          <w:highlight w:val="none"/>
        </w:rPr>
      </w:pPr>
    </w:p>
    <w:p w14:paraId="3250A2B7">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宋体" w:hAnsi="宋体" w:eastAsia="宋体" w:cs="宋体"/>
          <w:color w:val="auto"/>
          <w:highlight w:val="none"/>
        </w:rPr>
      </w:pPr>
    </w:p>
    <w:p w14:paraId="3C0174CF">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宋体" w:hAnsi="宋体" w:eastAsia="宋体" w:cs="宋体"/>
          <w:color w:val="auto"/>
          <w:highlight w:val="none"/>
        </w:rPr>
      </w:pPr>
    </w:p>
    <w:p w14:paraId="26F158C2">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宋体" w:hAnsi="宋体" w:eastAsia="宋体" w:cs="宋体"/>
          <w:color w:val="auto"/>
          <w:highlight w:val="none"/>
        </w:rPr>
      </w:pPr>
    </w:p>
    <w:p w14:paraId="0DC62F6B">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宋体" w:hAnsi="宋体" w:eastAsia="宋体" w:cs="宋体"/>
          <w:color w:val="auto"/>
          <w:highlight w:val="none"/>
        </w:rPr>
      </w:pPr>
    </w:p>
    <w:p w14:paraId="43D2B8AA">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宋体" w:hAnsi="宋体" w:eastAsia="宋体" w:cs="宋体"/>
          <w:color w:val="auto"/>
          <w:highlight w:val="none"/>
        </w:rPr>
      </w:pPr>
    </w:p>
    <w:p w14:paraId="2223EAF9">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宋体" w:hAnsi="宋体" w:eastAsia="宋体" w:cs="宋体"/>
          <w:color w:val="auto"/>
          <w:highlight w:val="none"/>
        </w:rPr>
      </w:pPr>
    </w:p>
    <w:p w14:paraId="3BFF2CD0">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宋体" w:hAnsi="宋体" w:eastAsia="宋体" w:cs="宋体"/>
          <w:color w:val="auto"/>
          <w:highlight w:val="none"/>
        </w:rPr>
      </w:pPr>
    </w:p>
    <w:p w14:paraId="119D11AF">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宋体" w:hAnsi="宋体" w:eastAsia="宋体" w:cs="宋体"/>
          <w:color w:val="auto"/>
          <w:highlight w:val="none"/>
        </w:rPr>
      </w:pPr>
    </w:p>
    <w:p w14:paraId="07E59135">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宋体" w:hAnsi="宋体" w:eastAsia="宋体" w:cs="宋体"/>
          <w:color w:val="auto"/>
          <w:highlight w:val="none"/>
        </w:rPr>
      </w:pPr>
    </w:p>
    <w:p w14:paraId="65AEACF2">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宋体" w:hAnsi="宋体" w:eastAsia="宋体" w:cs="宋体"/>
          <w:color w:val="auto"/>
          <w:highlight w:val="none"/>
        </w:rPr>
      </w:pPr>
    </w:p>
    <w:p w14:paraId="3CBBC85C">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宋体" w:hAnsi="宋体" w:eastAsia="宋体" w:cs="宋体"/>
          <w:color w:val="auto"/>
          <w:highlight w:val="none"/>
        </w:rPr>
      </w:pPr>
    </w:p>
    <w:p w14:paraId="3FF64F37">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宋体" w:hAnsi="宋体" w:eastAsia="宋体" w:cs="宋体"/>
          <w:color w:val="auto"/>
          <w:highlight w:val="none"/>
        </w:rPr>
      </w:pPr>
    </w:p>
    <w:p w14:paraId="5CC85582">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宋体" w:hAnsi="宋体" w:eastAsia="宋体" w:cs="宋体"/>
          <w:color w:val="auto"/>
          <w:highlight w:val="none"/>
        </w:rPr>
      </w:pPr>
    </w:p>
    <w:p w14:paraId="512136ED">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宋体" w:hAnsi="宋体" w:eastAsia="宋体" w:cs="宋体"/>
          <w:color w:val="auto"/>
          <w:highlight w:val="none"/>
        </w:rPr>
      </w:pPr>
    </w:p>
    <w:p w14:paraId="7A94A7F0">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宋体" w:hAnsi="宋体" w:eastAsia="宋体" w:cs="宋体"/>
          <w:color w:val="auto"/>
          <w:highlight w:val="none"/>
        </w:rPr>
      </w:pPr>
    </w:p>
    <w:p w14:paraId="339B9C27">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宋体" w:hAnsi="宋体" w:eastAsia="宋体" w:cs="宋体"/>
          <w:color w:val="auto"/>
          <w:highlight w:val="none"/>
        </w:rPr>
      </w:pPr>
    </w:p>
    <w:p w14:paraId="7C74226D">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宋体" w:hAnsi="宋体" w:eastAsia="宋体" w:cs="宋体"/>
          <w:color w:val="auto"/>
          <w:highlight w:val="none"/>
        </w:rPr>
      </w:pPr>
    </w:p>
    <w:p w14:paraId="493FCADB">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宋体" w:hAnsi="宋体" w:eastAsia="宋体" w:cs="宋体"/>
          <w:color w:val="auto"/>
          <w:highlight w:val="none"/>
        </w:rPr>
      </w:pPr>
    </w:p>
    <w:p w14:paraId="1994DDAF">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宋体" w:hAnsi="宋体" w:eastAsia="宋体" w:cs="宋体"/>
          <w:color w:val="auto"/>
          <w:highlight w:val="none"/>
        </w:rPr>
      </w:pPr>
    </w:p>
    <w:p w14:paraId="796D0B38">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宋体" w:hAnsi="宋体" w:eastAsia="宋体" w:cs="宋体"/>
          <w:color w:val="auto"/>
          <w:highlight w:val="none"/>
        </w:rPr>
      </w:pPr>
    </w:p>
    <w:p w14:paraId="22DE7EAA">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宋体" w:hAnsi="宋体" w:eastAsia="宋体" w:cs="宋体"/>
          <w:color w:val="auto"/>
          <w:highlight w:val="none"/>
        </w:rPr>
      </w:pPr>
    </w:p>
    <w:p w14:paraId="550E99A5">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宋体" w:hAnsi="宋体" w:eastAsia="宋体" w:cs="宋体"/>
          <w:color w:val="auto"/>
          <w:highlight w:val="none"/>
        </w:rPr>
      </w:pPr>
    </w:p>
    <w:p w14:paraId="2D421103">
      <w:pPr>
        <w:rPr>
          <w:rFonts w:hint="eastAsia" w:ascii="宋体" w:hAnsi="宋体" w:eastAsia="宋体" w:cs="宋体"/>
          <w:color w:val="auto"/>
          <w:highlight w:val="none"/>
        </w:rPr>
      </w:pPr>
    </w:p>
    <w:p w14:paraId="4810778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合同签署页</w:t>
      </w:r>
    </w:p>
    <w:p w14:paraId="3971A98B">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甲方：（盖章）                          乙方：（盖章）</w:t>
      </w:r>
    </w:p>
    <w:p w14:paraId="1E493439">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4CF23B7">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p>
    <w:p w14:paraId="63CE7C85">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D765275">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08153F5">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法人代表：                              法人代表：</w:t>
      </w:r>
    </w:p>
    <w:p w14:paraId="7222658C">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委托代理人：                            委托代理人：</w:t>
      </w:r>
    </w:p>
    <w:p w14:paraId="53202C51">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联 系 人：                              联 系 人： </w:t>
      </w:r>
    </w:p>
    <w:p w14:paraId="71E8C03E">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电 话：                                 电 话：</w:t>
      </w:r>
    </w:p>
    <w:p w14:paraId="74C6DD11">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地  址：                                地  址：                                                                           </w:t>
      </w:r>
    </w:p>
    <w:p w14:paraId="442ECCA2">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开 户 行：                              开户行： </w:t>
      </w:r>
    </w:p>
    <w:p w14:paraId="143AC282">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帐    号：                              帐  号：</w:t>
      </w:r>
    </w:p>
    <w:p w14:paraId="32AAFAFD">
      <w:pPr>
        <w:rPr>
          <w:color w:val="auto"/>
          <w:highlight w:val="none"/>
        </w:rPr>
      </w:pPr>
      <w:r>
        <w:rPr>
          <w:color w:val="auto"/>
          <w:highlight w:val="none"/>
        </w:rPr>
        <w:br w:type="page"/>
      </w:r>
    </w:p>
    <w:p w14:paraId="528235E1">
      <w:pPr>
        <w:spacing w:line="360" w:lineRule="auto"/>
        <w:rPr>
          <w:rFonts w:hint="eastAsia" w:asciiTheme="minorEastAsia" w:hAnsiTheme="minorEastAsia" w:eastAsiaTheme="minorEastAsia"/>
          <w:color w:val="auto"/>
          <w:szCs w:val="21"/>
          <w:highlight w:val="none"/>
        </w:rPr>
      </w:pPr>
      <w:bookmarkStart w:id="97" w:name="_Toc536709899"/>
      <w:bookmarkStart w:id="98" w:name="_Toc536778420"/>
      <w:bookmarkStart w:id="99" w:name="_Toc531678512"/>
      <w:r>
        <w:rPr>
          <w:rFonts w:asciiTheme="minorEastAsia" w:hAnsiTheme="minorEastAsia" w:eastAsiaTheme="minorEastAsia"/>
          <w:color w:val="auto"/>
          <w:szCs w:val="21"/>
          <w:highlight w:val="none"/>
        </w:rPr>
        <w:t>附件</w:t>
      </w:r>
      <w:r>
        <w:rPr>
          <w:rFonts w:hint="eastAsia" w:asciiTheme="minorEastAsia" w:hAnsiTheme="minorEastAsia" w:eastAsiaTheme="minorEastAsia"/>
          <w:color w:val="auto"/>
          <w:szCs w:val="21"/>
          <w:highlight w:val="none"/>
          <w:lang w:val="en-US" w:eastAsia="zh-CN"/>
        </w:rPr>
        <w:t>一</w:t>
      </w:r>
      <w:r>
        <w:rPr>
          <w:rFonts w:asciiTheme="minorEastAsia" w:hAnsiTheme="minorEastAsia" w:eastAsiaTheme="minorEastAsia"/>
          <w:color w:val="auto"/>
          <w:szCs w:val="21"/>
          <w:highlight w:val="none"/>
        </w:rPr>
        <w:t xml:space="preserve"> 派驻本项目</w:t>
      </w:r>
      <w:r>
        <w:rPr>
          <w:rFonts w:hint="eastAsia" w:asciiTheme="minorEastAsia" w:hAnsiTheme="minorEastAsia" w:eastAsiaTheme="minorEastAsia"/>
          <w:color w:val="auto"/>
          <w:szCs w:val="21"/>
          <w:highlight w:val="none"/>
          <w:lang w:eastAsia="zh-CN"/>
        </w:rPr>
        <w:t>质量检测</w:t>
      </w:r>
      <w:r>
        <w:rPr>
          <w:rFonts w:asciiTheme="minorEastAsia" w:hAnsiTheme="minorEastAsia" w:eastAsiaTheme="minorEastAsia"/>
          <w:color w:val="auto"/>
          <w:szCs w:val="21"/>
          <w:highlight w:val="none"/>
        </w:rPr>
        <w:t>人员一览表</w:t>
      </w:r>
      <w:bookmarkEnd w:id="97"/>
      <w:bookmarkEnd w:id="98"/>
      <w:bookmarkEnd w:id="99"/>
    </w:p>
    <w:p w14:paraId="68EA0972">
      <w:pPr>
        <w:spacing w:line="360" w:lineRule="auto"/>
        <w:jc w:val="center"/>
        <w:rPr>
          <w:rFonts w:hint="eastAsia"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派驻本项目</w:t>
      </w:r>
      <w:r>
        <w:rPr>
          <w:rFonts w:hint="eastAsia" w:asciiTheme="minorEastAsia" w:hAnsiTheme="minorEastAsia" w:eastAsiaTheme="minorEastAsia"/>
          <w:b/>
          <w:color w:val="auto"/>
          <w:szCs w:val="21"/>
          <w:highlight w:val="none"/>
          <w:lang w:eastAsia="zh-CN"/>
        </w:rPr>
        <w:t>质量检测</w:t>
      </w:r>
      <w:r>
        <w:rPr>
          <w:rFonts w:asciiTheme="minorEastAsia" w:hAnsiTheme="minorEastAsia" w:eastAsiaTheme="minorEastAsia"/>
          <w:b/>
          <w:color w:val="auto"/>
          <w:szCs w:val="21"/>
          <w:highlight w:val="none"/>
        </w:rPr>
        <w:t>人员一览表</w:t>
      </w:r>
    </w:p>
    <w:tbl>
      <w:tblPr>
        <w:tblStyle w:val="59"/>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900"/>
        <w:gridCol w:w="690"/>
        <w:gridCol w:w="660"/>
        <w:gridCol w:w="750"/>
        <w:gridCol w:w="1515"/>
        <w:gridCol w:w="1695"/>
        <w:gridCol w:w="2330"/>
      </w:tblGrid>
      <w:tr w14:paraId="3129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9" w:type="dxa"/>
            <w:vAlign w:val="center"/>
          </w:tcPr>
          <w:p w14:paraId="5E0DBBAD">
            <w:pPr>
              <w:spacing w:line="400" w:lineRule="exact"/>
              <w:jc w:val="center"/>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序号</w:t>
            </w:r>
          </w:p>
        </w:tc>
        <w:tc>
          <w:tcPr>
            <w:tcW w:w="900" w:type="dxa"/>
            <w:vAlign w:val="center"/>
          </w:tcPr>
          <w:p w14:paraId="455029E5">
            <w:pPr>
              <w:spacing w:line="400" w:lineRule="exact"/>
              <w:jc w:val="center"/>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姓  名</w:t>
            </w:r>
          </w:p>
        </w:tc>
        <w:tc>
          <w:tcPr>
            <w:tcW w:w="690" w:type="dxa"/>
            <w:vAlign w:val="center"/>
          </w:tcPr>
          <w:p w14:paraId="3A770386">
            <w:pPr>
              <w:spacing w:line="400" w:lineRule="exact"/>
              <w:jc w:val="center"/>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性别</w:t>
            </w:r>
          </w:p>
        </w:tc>
        <w:tc>
          <w:tcPr>
            <w:tcW w:w="660" w:type="dxa"/>
            <w:vAlign w:val="center"/>
          </w:tcPr>
          <w:p w14:paraId="74E6D714">
            <w:pPr>
              <w:spacing w:line="400" w:lineRule="exact"/>
              <w:jc w:val="center"/>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年龄</w:t>
            </w:r>
          </w:p>
        </w:tc>
        <w:tc>
          <w:tcPr>
            <w:tcW w:w="750" w:type="dxa"/>
            <w:vAlign w:val="center"/>
          </w:tcPr>
          <w:p w14:paraId="51D3BF95">
            <w:pPr>
              <w:spacing w:line="400" w:lineRule="exact"/>
              <w:jc w:val="center"/>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学历</w:t>
            </w:r>
          </w:p>
        </w:tc>
        <w:tc>
          <w:tcPr>
            <w:tcW w:w="1515" w:type="dxa"/>
            <w:vAlign w:val="center"/>
          </w:tcPr>
          <w:p w14:paraId="311738A6">
            <w:pPr>
              <w:spacing w:line="400" w:lineRule="exact"/>
              <w:jc w:val="center"/>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技术职称</w:t>
            </w:r>
          </w:p>
        </w:tc>
        <w:tc>
          <w:tcPr>
            <w:tcW w:w="1695" w:type="dxa"/>
            <w:vAlign w:val="center"/>
          </w:tcPr>
          <w:p w14:paraId="2CEB41DD">
            <w:pPr>
              <w:spacing w:line="400" w:lineRule="exact"/>
              <w:jc w:val="center"/>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拟担任</w:t>
            </w:r>
          </w:p>
          <w:p w14:paraId="4C6E3FD6">
            <w:pPr>
              <w:spacing w:line="400" w:lineRule="exact"/>
              <w:jc w:val="center"/>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职务</w:t>
            </w:r>
          </w:p>
        </w:tc>
        <w:tc>
          <w:tcPr>
            <w:tcW w:w="2330" w:type="dxa"/>
            <w:vAlign w:val="center"/>
          </w:tcPr>
          <w:p w14:paraId="17956141">
            <w:pPr>
              <w:spacing w:line="400" w:lineRule="exact"/>
              <w:jc w:val="center"/>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执业资格及证件号码</w:t>
            </w:r>
          </w:p>
        </w:tc>
      </w:tr>
      <w:tr w14:paraId="148D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9" w:type="dxa"/>
            <w:vAlign w:val="center"/>
          </w:tcPr>
          <w:p w14:paraId="11877ED7">
            <w:pPr>
              <w:widowControl/>
              <w:spacing w:line="400" w:lineRule="exact"/>
              <w:jc w:val="center"/>
              <w:rPr>
                <w:rFonts w:hint="eastAsia" w:asciiTheme="minorEastAsia" w:hAnsiTheme="minorEastAsia" w:eastAsiaTheme="minorEastAsia"/>
                <w:color w:val="auto"/>
                <w:szCs w:val="21"/>
                <w:highlight w:val="none"/>
                <w:lang w:val="en-US" w:eastAsia="zh-CN"/>
              </w:rPr>
            </w:pPr>
          </w:p>
        </w:tc>
        <w:tc>
          <w:tcPr>
            <w:tcW w:w="900" w:type="dxa"/>
            <w:vAlign w:val="center"/>
          </w:tcPr>
          <w:p w14:paraId="51B70A68">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lang w:val="en-US" w:eastAsia="zh-CN"/>
              </w:rPr>
            </w:pPr>
          </w:p>
        </w:tc>
        <w:tc>
          <w:tcPr>
            <w:tcW w:w="690" w:type="dxa"/>
            <w:vAlign w:val="center"/>
          </w:tcPr>
          <w:p w14:paraId="5995AB0D">
            <w:pPr>
              <w:spacing w:line="400" w:lineRule="exact"/>
              <w:jc w:val="center"/>
              <w:rPr>
                <w:rFonts w:hint="eastAsia" w:asciiTheme="minorEastAsia" w:hAnsiTheme="minorEastAsia" w:eastAsiaTheme="minorEastAsia"/>
                <w:color w:val="auto"/>
                <w:szCs w:val="21"/>
                <w:highlight w:val="none"/>
                <w:lang w:val="en-US" w:eastAsia="zh-CN"/>
              </w:rPr>
            </w:pPr>
          </w:p>
        </w:tc>
        <w:tc>
          <w:tcPr>
            <w:tcW w:w="660" w:type="dxa"/>
            <w:vAlign w:val="center"/>
          </w:tcPr>
          <w:p w14:paraId="1DDE89D4">
            <w:pPr>
              <w:autoSpaceDE w:val="0"/>
              <w:autoSpaceDN w:val="0"/>
              <w:adjustRightInd w:val="0"/>
              <w:snapToGrid w:val="0"/>
              <w:spacing w:line="400" w:lineRule="exact"/>
              <w:jc w:val="center"/>
              <w:rPr>
                <w:rFonts w:hint="default" w:asciiTheme="minorEastAsia" w:hAnsiTheme="minorEastAsia" w:eastAsiaTheme="minorEastAsia"/>
                <w:color w:val="auto"/>
                <w:kern w:val="0"/>
                <w:szCs w:val="21"/>
                <w:highlight w:val="none"/>
                <w:lang w:val="en-US" w:eastAsia="zh-CN"/>
              </w:rPr>
            </w:pPr>
          </w:p>
        </w:tc>
        <w:tc>
          <w:tcPr>
            <w:tcW w:w="750" w:type="dxa"/>
            <w:vAlign w:val="center"/>
          </w:tcPr>
          <w:p w14:paraId="001E0994">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lang w:val="en-US" w:eastAsia="zh-CN"/>
              </w:rPr>
            </w:pPr>
          </w:p>
        </w:tc>
        <w:tc>
          <w:tcPr>
            <w:tcW w:w="1515" w:type="dxa"/>
            <w:vAlign w:val="center"/>
          </w:tcPr>
          <w:p w14:paraId="316595DE">
            <w:pPr>
              <w:autoSpaceDE w:val="0"/>
              <w:autoSpaceDN w:val="0"/>
              <w:adjustRightInd w:val="0"/>
              <w:snapToGrid w:val="0"/>
              <w:spacing w:line="400" w:lineRule="exact"/>
              <w:jc w:val="center"/>
              <w:rPr>
                <w:rFonts w:hint="default" w:asciiTheme="minorEastAsia" w:hAnsiTheme="minorEastAsia" w:eastAsiaTheme="minorEastAsia"/>
                <w:color w:val="auto"/>
                <w:kern w:val="0"/>
                <w:szCs w:val="21"/>
                <w:highlight w:val="none"/>
                <w:lang w:val="en-US" w:eastAsia="zh-CN"/>
              </w:rPr>
            </w:pPr>
          </w:p>
        </w:tc>
        <w:tc>
          <w:tcPr>
            <w:tcW w:w="1695" w:type="dxa"/>
            <w:vAlign w:val="center"/>
          </w:tcPr>
          <w:p w14:paraId="06D05DB9">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lang w:val="en-US" w:eastAsia="zh-CN"/>
              </w:rPr>
            </w:pPr>
          </w:p>
        </w:tc>
        <w:tc>
          <w:tcPr>
            <w:tcW w:w="2330" w:type="dxa"/>
            <w:vAlign w:val="center"/>
          </w:tcPr>
          <w:p w14:paraId="36195C67">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r>
      <w:tr w14:paraId="212D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9" w:type="dxa"/>
            <w:vAlign w:val="center"/>
          </w:tcPr>
          <w:p w14:paraId="7D30160D">
            <w:pPr>
              <w:widowControl/>
              <w:spacing w:line="400" w:lineRule="exact"/>
              <w:jc w:val="center"/>
              <w:rPr>
                <w:rFonts w:hint="eastAsia" w:asciiTheme="minorEastAsia" w:hAnsiTheme="minorEastAsia" w:eastAsiaTheme="minorEastAsia"/>
                <w:color w:val="auto"/>
                <w:szCs w:val="21"/>
                <w:highlight w:val="none"/>
                <w:lang w:val="en-US" w:eastAsia="zh-CN"/>
              </w:rPr>
            </w:pPr>
          </w:p>
        </w:tc>
        <w:tc>
          <w:tcPr>
            <w:tcW w:w="900" w:type="dxa"/>
            <w:vAlign w:val="center"/>
          </w:tcPr>
          <w:p w14:paraId="12AD9BE1">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lang w:val="en-US" w:eastAsia="zh-CN"/>
              </w:rPr>
            </w:pPr>
          </w:p>
        </w:tc>
        <w:tc>
          <w:tcPr>
            <w:tcW w:w="690" w:type="dxa"/>
            <w:vAlign w:val="center"/>
          </w:tcPr>
          <w:p w14:paraId="08D6C6E2">
            <w:pPr>
              <w:spacing w:line="400" w:lineRule="exact"/>
              <w:jc w:val="center"/>
              <w:rPr>
                <w:rFonts w:hint="eastAsia" w:asciiTheme="minorEastAsia" w:hAnsiTheme="minorEastAsia" w:eastAsiaTheme="minorEastAsia"/>
                <w:color w:val="auto"/>
                <w:szCs w:val="21"/>
                <w:highlight w:val="none"/>
                <w:lang w:val="en-US" w:eastAsia="zh-CN"/>
              </w:rPr>
            </w:pPr>
          </w:p>
        </w:tc>
        <w:tc>
          <w:tcPr>
            <w:tcW w:w="660" w:type="dxa"/>
            <w:vAlign w:val="center"/>
          </w:tcPr>
          <w:p w14:paraId="5D6EA53B">
            <w:pPr>
              <w:autoSpaceDE w:val="0"/>
              <w:autoSpaceDN w:val="0"/>
              <w:adjustRightInd w:val="0"/>
              <w:snapToGrid w:val="0"/>
              <w:spacing w:line="400" w:lineRule="exact"/>
              <w:jc w:val="center"/>
              <w:rPr>
                <w:rFonts w:hint="default" w:asciiTheme="minorEastAsia" w:hAnsiTheme="minorEastAsia" w:eastAsiaTheme="minorEastAsia"/>
                <w:color w:val="auto"/>
                <w:kern w:val="0"/>
                <w:szCs w:val="21"/>
                <w:highlight w:val="none"/>
                <w:lang w:val="en-US" w:eastAsia="zh-CN"/>
              </w:rPr>
            </w:pPr>
          </w:p>
        </w:tc>
        <w:tc>
          <w:tcPr>
            <w:tcW w:w="750" w:type="dxa"/>
            <w:vAlign w:val="center"/>
          </w:tcPr>
          <w:p w14:paraId="14A09BA6">
            <w:pPr>
              <w:autoSpaceDE w:val="0"/>
              <w:autoSpaceDN w:val="0"/>
              <w:adjustRightInd w:val="0"/>
              <w:snapToGrid w:val="0"/>
              <w:spacing w:line="400" w:lineRule="exact"/>
              <w:jc w:val="center"/>
              <w:rPr>
                <w:rFonts w:hint="default" w:asciiTheme="minorEastAsia" w:hAnsiTheme="minorEastAsia" w:eastAsiaTheme="minorEastAsia"/>
                <w:color w:val="auto"/>
                <w:kern w:val="0"/>
                <w:szCs w:val="21"/>
                <w:highlight w:val="none"/>
                <w:lang w:val="en-US" w:eastAsia="zh-CN"/>
              </w:rPr>
            </w:pPr>
          </w:p>
        </w:tc>
        <w:tc>
          <w:tcPr>
            <w:tcW w:w="1515" w:type="dxa"/>
            <w:vAlign w:val="center"/>
          </w:tcPr>
          <w:p w14:paraId="4DF959F4">
            <w:pPr>
              <w:autoSpaceDE w:val="0"/>
              <w:autoSpaceDN w:val="0"/>
              <w:adjustRightInd w:val="0"/>
              <w:snapToGrid w:val="0"/>
              <w:spacing w:line="400" w:lineRule="exact"/>
              <w:jc w:val="center"/>
              <w:rPr>
                <w:rFonts w:hint="default" w:asciiTheme="minorEastAsia" w:hAnsiTheme="minorEastAsia" w:eastAsiaTheme="minorEastAsia"/>
                <w:color w:val="auto"/>
                <w:kern w:val="0"/>
                <w:szCs w:val="21"/>
                <w:highlight w:val="none"/>
                <w:lang w:val="en-US" w:eastAsia="zh-CN"/>
              </w:rPr>
            </w:pPr>
          </w:p>
        </w:tc>
        <w:tc>
          <w:tcPr>
            <w:tcW w:w="1695" w:type="dxa"/>
            <w:vAlign w:val="center"/>
          </w:tcPr>
          <w:p w14:paraId="2863ED14">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2330" w:type="dxa"/>
            <w:vAlign w:val="center"/>
          </w:tcPr>
          <w:p w14:paraId="5EBF11F7">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r>
      <w:tr w14:paraId="3C60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9" w:type="dxa"/>
            <w:vAlign w:val="center"/>
          </w:tcPr>
          <w:p w14:paraId="51940EAC">
            <w:pPr>
              <w:widowControl/>
              <w:spacing w:line="400" w:lineRule="exact"/>
              <w:jc w:val="center"/>
              <w:rPr>
                <w:rFonts w:hint="eastAsia" w:asciiTheme="minorEastAsia" w:hAnsiTheme="minorEastAsia" w:eastAsiaTheme="minorEastAsia"/>
                <w:color w:val="auto"/>
                <w:szCs w:val="21"/>
                <w:highlight w:val="none"/>
                <w:lang w:val="en-US" w:eastAsia="zh-CN"/>
              </w:rPr>
            </w:pPr>
          </w:p>
        </w:tc>
        <w:tc>
          <w:tcPr>
            <w:tcW w:w="900" w:type="dxa"/>
            <w:vAlign w:val="center"/>
          </w:tcPr>
          <w:p w14:paraId="7B574AEA">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lang w:val="en-US" w:eastAsia="zh-CN"/>
              </w:rPr>
            </w:pPr>
          </w:p>
        </w:tc>
        <w:tc>
          <w:tcPr>
            <w:tcW w:w="690" w:type="dxa"/>
            <w:vAlign w:val="center"/>
          </w:tcPr>
          <w:p w14:paraId="5CB802AC">
            <w:pPr>
              <w:spacing w:line="400" w:lineRule="exact"/>
              <w:jc w:val="center"/>
              <w:rPr>
                <w:rFonts w:hint="eastAsia" w:asciiTheme="minorEastAsia" w:hAnsiTheme="minorEastAsia" w:eastAsiaTheme="minorEastAsia"/>
                <w:color w:val="auto"/>
                <w:szCs w:val="21"/>
                <w:highlight w:val="none"/>
                <w:lang w:val="en-US" w:eastAsia="zh-CN"/>
              </w:rPr>
            </w:pPr>
          </w:p>
        </w:tc>
        <w:tc>
          <w:tcPr>
            <w:tcW w:w="660" w:type="dxa"/>
            <w:vAlign w:val="center"/>
          </w:tcPr>
          <w:p w14:paraId="11AACC91">
            <w:pPr>
              <w:autoSpaceDE w:val="0"/>
              <w:autoSpaceDN w:val="0"/>
              <w:adjustRightInd w:val="0"/>
              <w:snapToGrid w:val="0"/>
              <w:spacing w:line="400" w:lineRule="exact"/>
              <w:jc w:val="center"/>
              <w:rPr>
                <w:rFonts w:hint="default" w:asciiTheme="minorEastAsia" w:hAnsiTheme="minorEastAsia" w:eastAsiaTheme="minorEastAsia"/>
                <w:color w:val="auto"/>
                <w:kern w:val="0"/>
                <w:szCs w:val="21"/>
                <w:highlight w:val="none"/>
                <w:lang w:val="en-US" w:eastAsia="zh-CN"/>
              </w:rPr>
            </w:pPr>
          </w:p>
        </w:tc>
        <w:tc>
          <w:tcPr>
            <w:tcW w:w="750" w:type="dxa"/>
            <w:vAlign w:val="center"/>
          </w:tcPr>
          <w:p w14:paraId="71B22B14">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lang w:val="en-US" w:eastAsia="zh-CN"/>
              </w:rPr>
            </w:pPr>
          </w:p>
        </w:tc>
        <w:tc>
          <w:tcPr>
            <w:tcW w:w="1515" w:type="dxa"/>
            <w:vAlign w:val="center"/>
          </w:tcPr>
          <w:p w14:paraId="7B8E73AF">
            <w:pPr>
              <w:autoSpaceDE w:val="0"/>
              <w:autoSpaceDN w:val="0"/>
              <w:adjustRightInd w:val="0"/>
              <w:snapToGrid w:val="0"/>
              <w:spacing w:line="400" w:lineRule="exact"/>
              <w:jc w:val="center"/>
              <w:rPr>
                <w:rFonts w:hint="default" w:asciiTheme="minorEastAsia" w:hAnsiTheme="minorEastAsia" w:eastAsiaTheme="minorEastAsia"/>
                <w:color w:val="auto"/>
                <w:kern w:val="0"/>
                <w:szCs w:val="21"/>
                <w:highlight w:val="none"/>
                <w:lang w:val="en-US" w:eastAsia="zh-CN"/>
              </w:rPr>
            </w:pPr>
          </w:p>
        </w:tc>
        <w:tc>
          <w:tcPr>
            <w:tcW w:w="1695" w:type="dxa"/>
            <w:vAlign w:val="center"/>
          </w:tcPr>
          <w:p w14:paraId="587B192B">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2330" w:type="dxa"/>
            <w:vAlign w:val="center"/>
          </w:tcPr>
          <w:p w14:paraId="0F9233C1">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r>
      <w:tr w14:paraId="34E6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9" w:type="dxa"/>
            <w:vAlign w:val="center"/>
          </w:tcPr>
          <w:p w14:paraId="7672C7DC">
            <w:pPr>
              <w:widowControl/>
              <w:spacing w:line="400" w:lineRule="exact"/>
              <w:jc w:val="center"/>
              <w:rPr>
                <w:rFonts w:hint="eastAsia" w:asciiTheme="minorEastAsia" w:hAnsiTheme="minorEastAsia" w:eastAsiaTheme="minorEastAsia"/>
                <w:color w:val="auto"/>
                <w:szCs w:val="21"/>
                <w:highlight w:val="none"/>
              </w:rPr>
            </w:pPr>
          </w:p>
        </w:tc>
        <w:tc>
          <w:tcPr>
            <w:tcW w:w="900" w:type="dxa"/>
            <w:vAlign w:val="center"/>
          </w:tcPr>
          <w:p w14:paraId="0B542BC8">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690" w:type="dxa"/>
            <w:vAlign w:val="center"/>
          </w:tcPr>
          <w:p w14:paraId="018633FA">
            <w:pPr>
              <w:spacing w:line="400" w:lineRule="exact"/>
              <w:jc w:val="center"/>
              <w:rPr>
                <w:rFonts w:hint="eastAsia" w:asciiTheme="minorEastAsia" w:hAnsiTheme="minorEastAsia" w:eastAsiaTheme="minorEastAsia"/>
                <w:color w:val="auto"/>
                <w:szCs w:val="21"/>
                <w:highlight w:val="none"/>
              </w:rPr>
            </w:pPr>
          </w:p>
        </w:tc>
        <w:tc>
          <w:tcPr>
            <w:tcW w:w="660" w:type="dxa"/>
            <w:vAlign w:val="center"/>
          </w:tcPr>
          <w:p w14:paraId="53E6D86B">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750" w:type="dxa"/>
            <w:vAlign w:val="center"/>
          </w:tcPr>
          <w:p w14:paraId="7AE3F125">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1515" w:type="dxa"/>
            <w:vAlign w:val="center"/>
          </w:tcPr>
          <w:p w14:paraId="60A3C60F">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1695" w:type="dxa"/>
            <w:vAlign w:val="center"/>
          </w:tcPr>
          <w:p w14:paraId="5EC8A5E1">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2330" w:type="dxa"/>
            <w:vAlign w:val="center"/>
          </w:tcPr>
          <w:p w14:paraId="1BE757DE">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r>
      <w:tr w14:paraId="6E4B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9" w:type="dxa"/>
            <w:vAlign w:val="center"/>
          </w:tcPr>
          <w:p w14:paraId="3124463C">
            <w:pPr>
              <w:widowControl/>
              <w:spacing w:line="400" w:lineRule="exact"/>
              <w:jc w:val="center"/>
              <w:rPr>
                <w:rFonts w:hint="eastAsia" w:asciiTheme="minorEastAsia" w:hAnsiTheme="minorEastAsia" w:eastAsiaTheme="minorEastAsia"/>
                <w:color w:val="auto"/>
                <w:szCs w:val="21"/>
                <w:highlight w:val="none"/>
              </w:rPr>
            </w:pPr>
          </w:p>
        </w:tc>
        <w:tc>
          <w:tcPr>
            <w:tcW w:w="900" w:type="dxa"/>
            <w:vAlign w:val="center"/>
          </w:tcPr>
          <w:p w14:paraId="5C976E81">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690" w:type="dxa"/>
            <w:vAlign w:val="center"/>
          </w:tcPr>
          <w:p w14:paraId="0DADE229">
            <w:pPr>
              <w:spacing w:line="400" w:lineRule="exact"/>
              <w:jc w:val="center"/>
              <w:rPr>
                <w:rFonts w:hint="eastAsia" w:asciiTheme="minorEastAsia" w:hAnsiTheme="minorEastAsia" w:eastAsiaTheme="minorEastAsia"/>
                <w:color w:val="auto"/>
                <w:szCs w:val="21"/>
                <w:highlight w:val="none"/>
              </w:rPr>
            </w:pPr>
          </w:p>
        </w:tc>
        <w:tc>
          <w:tcPr>
            <w:tcW w:w="660" w:type="dxa"/>
            <w:vAlign w:val="center"/>
          </w:tcPr>
          <w:p w14:paraId="27CB737E">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750" w:type="dxa"/>
            <w:vAlign w:val="center"/>
          </w:tcPr>
          <w:p w14:paraId="4AFD3018">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1515" w:type="dxa"/>
            <w:vAlign w:val="center"/>
          </w:tcPr>
          <w:p w14:paraId="73CA0267">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1695" w:type="dxa"/>
            <w:vAlign w:val="center"/>
          </w:tcPr>
          <w:p w14:paraId="3DD8EB55">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2330" w:type="dxa"/>
            <w:vAlign w:val="center"/>
          </w:tcPr>
          <w:p w14:paraId="48E3654D">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r>
      <w:tr w14:paraId="3D7D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9" w:type="dxa"/>
            <w:vAlign w:val="center"/>
          </w:tcPr>
          <w:p w14:paraId="31C26BB8">
            <w:pPr>
              <w:widowControl/>
              <w:spacing w:line="400" w:lineRule="exact"/>
              <w:jc w:val="center"/>
              <w:rPr>
                <w:rFonts w:hint="eastAsia" w:asciiTheme="minorEastAsia" w:hAnsiTheme="minorEastAsia" w:eastAsiaTheme="minorEastAsia"/>
                <w:color w:val="auto"/>
                <w:szCs w:val="21"/>
                <w:highlight w:val="none"/>
              </w:rPr>
            </w:pPr>
          </w:p>
        </w:tc>
        <w:tc>
          <w:tcPr>
            <w:tcW w:w="900" w:type="dxa"/>
            <w:vAlign w:val="center"/>
          </w:tcPr>
          <w:p w14:paraId="4A42CB47">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690" w:type="dxa"/>
            <w:vAlign w:val="center"/>
          </w:tcPr>
          <w:p w14:paraId="7EEB5EF0">
            <w:pPr>
              <w:spacing w:line="400" w:lineRule="exact"/>
              <w:jc w:val="center"/>
              <w:rPr>
                <w:rFonts w:hint="eastAsia" w:asciiTheme="minorEastAsia" w:hAnsiTheme="minorEastAsia" w:eastAsiaTheme="minorEastAsia"/>
                <w:color w:val="auto"/>
                <w:szCs w:val="21"/>
                <w:highlight w:val="none"/>
              </w:rPr>
            </w:pPr>
          </w:p>
        </w:tc>
        <w:tc>
          <w:tcPr>
            <w:tcW w:w="660" w:type="dxa"/>
            <w:vAlign w:val="center"/>
          </w:tcPr>
          <w:p w14:paraId="7D3E1FAF">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750" w:type="dxa"/>
            <w:vAlign w:val="center"/>
          </w:tcPr>
          <w:p w14:paraId="482D072E">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1515" w:type="dxa"/>
            <w:vAlign w:val="center"/>
          </w:tcPr>
          <w:p w14:paraId="742BE8D4">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1695" w:type="dxa"/>
            <w:vAlign w:val="center"/>
          </w:tcPr>
          <w:p w14:paraId="7DF649C6">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2330" w:type="dxa"/>
            <w:vAlign w:val="center"/>
          </w:tcPr>
          <w:p w14:paraId="757B6FE3">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r>
      <w:tr w14:paraId="1ED53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9" w:type="dxa"/>
            <w:vAlign w:val="center"/>
          </w:tcPr>
          <w:p w14:paraId="72883A31">
            <w:pPr>
              <w:widowControl/>
              <w:spacing w:line="400" w:lineRule="exact"/>
              <w:jc w:val="center"/>
              <w:rPr>
                <w:rFonts w:hint="eastAsia" w:asciiTheme="minorEastAsia" w:hAnsiTheme="minorEastAsia" w:eastAsiaTheme="minorEastAsia"/>
                <w:color w:val="auto"/>
                <w:szCs w:val="21"/>
                <w:highlight w:val="none"/>
              </w:rPr>
            </w:pPr>
          </w:p>
        </w:tc>
        <w:tc>
          <w:tcPr>
            <w:tcW w:w="900" w:type="dxa"/>
            <w:vAlign w:val="center"/>
          </w:tcPr>
          <w:p w14:paraId="354EFCCF">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690" w:type="dxa"/>
            <w:vAlign w:val="center"/>
          </w:tcPr>
          <w:p w14:paraId="7F6B878D">
            <w:pPr>
              <w:spacing w:line="400" w:lineRule="exact"/>
              <w:jc w:val="center"/>
              <w:rPr>
                <w:rFonts w:hint="eastAsia" w:asciiTheme="minorEastAsia" w:hAnsiTheme="minorEastAsia" w:eastAsiaTheme="minorEastAsia"/>
                <w:color w:val="auto"/>
                <w:szCs w:val="21"/>
                <w:highlight w:val="none"/>
              </w:rPr>
            </w:pPr>
          </w:p>
        </w:tc>
        <w:tc>
          <w:tcPr>
            <w:tcW w:w="660" w:type="dxa"/>
            <w:vAlign w:val="center"/>
          </w:tcPr>
          <w:p w14:paraId="19078C09">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750" w:type="dxa"/>
            <w:vAlign w:val="center"/>
          </w:tcPr>
          <w:p w14:paraId="77919F4D">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1515" w:type="dxa"/>
            <w:vAlign w:val="center"/>
          </w:tcPr>
          <w:p w14:paraId="28D1335D">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1695" w:type="dxa"/>
            <w:vAlign w:val="center"/>
          </w:tcPr>
          <w:p w14:paraId="72BBF993">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2330" w:type="dxa"/>
            <w:vAlign w:val="center"/>
          </w:tcPr>
          <w:p w14:paraId="6E4D43BD">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r>
      <w:tr w14:paraId="1011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9" w:type="dxa"/>
            <w:vAlign w:val="center"/>
          </w:tcPr>
          <w:p w14:paraId="3089F107">
            <w:pPr>
              <w:widowControl/>
              <w:spacing w:line="400" w:lineRule="exact"/>
              <w:jc w:val="center"/>
              <w:rPr>
                <w:rFonts w:hint="eastAsia" w:asciiTheme="minorEastAsia" w:hAnsiTheme="minorEastAsia" w:eastAsiaTheme="minorEastAsia"/>
                <w:color w:val="auto"/>
                <w:szCs w:val="21"/>
                <w:highlight w:val="none"/>
              </w:rPr>
            </w:pPr>
          </w:p>
        </w:tc>
        <w:tc>
          <w:tcPr>
            <w:tcW w:w="900" w:type="dxa"/>
            <w:vAlign w:val="center"/>
          </w:tcPr>
          <w:p w14:paraId="79CDCBA1">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690" w:type="dxa"/>
            <w:vAlign w:val="center"/>
          </w:tcPr>
          <w:p w14:paraId="41F946D9">
            <w:pPr>
              <w:spacing w:line="400" w:lineRule="exact"/>
              <w:jc w:val="center"/>
              <w:rPr>
                <w:rFonts w:hint="eastAsia" w:asciiTheme="minorEastAsia" w:hAnsiTheme="minorEastAsia" w:eastAsiaTheme="minorEastAsia"/>
                <w:color w:val="auto"/>
                <w:szCs w:val="21"/>
                <w:highlight w:val="none"/>
              </w:rPr>
            </w:pPr>
          </w:p>
        </w:tc>
        <w:tc>
          <w:tcPr>
            <w:tcW w:w="660" w:type="dxa"/>
            <w:vAlign w:val="center"/>
          </w:tcPr>
          <w:p w14:paraId="71A98DAB">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750" w:type="dxa"/>
            <w:vAlign w:val="center"/>
          </w:tcPr>
          <w:p w14:paraId="004C7E2A">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1515" w:type="dxa"/>
            <w:vAlign w:val="center"/>
          </w:tcPr>
          <w:p w14:paraId="5795BE1F">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1695" w:type="dxa"/>
            <w:vAlign w:val="center"/>
          </w:tcPr>
          <w:p w14:paraId="6C98E866">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2330" w:type="dxa"/>
            <w:vAlign w:val="center"/>
          </w:tcPr>
          <w:p w14:paraId="105A829F">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r>
      <w:tr w14:paraId="2BBB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9" w:type="dxa"/>
            <w:vAlign w:val="center"/>
          </w:tcPr>
          <w:p w14:paraId="3F66555B">
            <w:pPr>
              <w:widowControl/>
              <w:spacing w:line="400" w:lineRule="exact"/>
              <w:jc w:val="center"/>
              <w:rPr>
                <w:rFonts w:hint="eastAsia" w:asciiTheme="minorEastAsia" w:hAnsiTheme="minorEastAsia" w:eastAsiaTheme="minorEastAsia"/>
                <w:color w:val="auto"/>
                <w:szCs w:val="21"/>
                <w:highlight w:val="none"/>
              </w:rPr>
            </w:pPr>
          </w:p>
        </w:tc>
        <w:tc>
          <w:tcPr>
            <w:tcW w:w="900" w:type="dxa"/>
            <w:vAlign w:val="center"/>
          </w:tcPr>
          <w:p w14:paraId="62CBC113">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690" w:type="dxa"/>
            <w:vAlign w:val="center"/>
          </w:tcPr>
          <w:p w14:paraId="2CFA8A54">
            <w:pPr>
              <w:spacing w:line="400" w:lineRule="exact"/>
              <w:jc w:val="center"/>
              <w:rPr>
                <w:rFonts w:hint="eastAsia" w:asciiTheme="minorEastAsia" w:hAnsiTheme="minorEastAsia" w:eastAsiaTheme="minorEastAsia"/>
                <w:color w:val="auto"/>
                <w:szCs w:val="21"/>
                <w:highlight w:val="none"/>
              </w:rPr>
            </w:pPr>
          </w:p>
        </w:tc>
        <w:tc>
          <w:tcPr>
            <w:tcW w:w="660" w:type="dxa"/>
            <w:vAlign w:val="center"/>
          </w:tcPr>
          <w:p w14:paraId="7616AD1F">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750" w:type="dxa"/>
            <w:vAlign w:val="center"/>
          </w:tcPr>
          <w:p w14:paraId="0F7C5703">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1515" w:type="dxa"/>
            <w:vAlign w:val="center"/>
          </w:tcPr>
          <w:p w14:paraId="3D4634A2">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1695" w:type="dxa"/>
            <w:vAlign w:val="center"/>
          </w:tcPr>
          <w:p w14:paraId="012BA535">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2330" w:type="dxa"/>
            <w:vAlign w:val="center"/>
          </w:tcPr>
          <w:p w14:paraId="3120492F">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r>
      <w:tr w14:paraId="05E4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9" w:type="dxa"/>
            <w:vAlign w:val="center"/>
          </w:tcPr>
          <w:p w14:paraId="6BD62B37">
            <w:pPr>
              <w:widowControl/>
              <w:spacing w:line="400" w:lineRule="exact"/>
              <w:jc w:val="center"/>
              <w:rPr>
                <w:rFonts w:hint="eastAsia" w:asciiTheme="minorEastAsia" w:hAnsiTheme="minorEastAsia" w:eastAsiaTheme="minorEastAsia"/>
                <w:color w:val="auto"/>
                <w:szCs w:val="21"/>
                <w:highlight w:val="none"/>
              </w:rPr>
            </w:pPr>
          </w:p>
        </w:tc>
        <w:tc>
          <w:tcPr>
            <w:tcW w:w="900" w:type="dxa"/>
            <w:vAlign w:val="center"/>
          </w:tcPr>
          <w:p w14:paraId="04321A8F">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690" w:type="dxa"/>
            <w:vAlign w:val="center"/>
          </w:tcPr>
          <w:p w14:paraId="470C6E84">
            <w:pPr>
              <w:spacing w:line="400" w:lineRule="exact"/>
              <w:jc w:val="center"/>
              <w:rPr>
                <w:rFonts w:hint="eastAsia" w:asciiTheme="minorEastAsia" w:hAnsiTheme="minorEastAsia" w:eastAsiaTheme="minorEastAsia"/>
                <w:color w:val="auto"/>
                <w:szCs w:val="21"/>
                <w:highlight w:val="none"/>
              </w:rPr>
            </w:pPr>
          </w:p>
        </w:tc>
        <w:tc>
          <w:tcPr>
            <w:tcW w:w="660" w:type="dxa"/>
            <w:vAlign w:val="center"/>
          </w:tcPr>
          <w:p w14:paraId="7657198C">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750" w:type="dxa"/>
            <w:vAlign w:val="center"/>
          </w:tcPr>
          <w:p w14:paraId="223DDDC7">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1515" w:type="dxa"/>
            <w:vAlign w:val="center"/>
          </w:tcPr>
          <w:p w14:paraId="593DF787">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1695" w:type="dxa"/>
            <w:vAlign w:val="center"/>
          </w:tcPr>
          <w:p w14:paraId="2C52B3E8">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2330" w:type="dxa"/>
            <w:vAlign w:val="center"/>
          </w:tcPr>
          <w:p w14:paraId="23E73D7F">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r>
      <w:tr w14:paraId="1185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9" w:type="dxa"/>
            <w:vAlign w:val="center"/>
          </w:tcPr>
          <w:p w14:paraId="44173260">
            <w:pPr>
              <w:widowControl/>
              <w:spacing w:line="400" w:lineRule="exact"/>
              <w:jc w:val="center"/>
              <w:rPr>
                <w:rFonts w:hint="eastAsia" w:asciiTheme="minorEastAsia" w:hAnsiTheme="minorEastAsia" w:eastAsiaTheme="minorEastAsia"/>
                <w:color w:val="auto"/>
                <w:szCs w:val="21"/>
                <w:highlight w:val="none"/>
              </w:rPr>
            </w:pPr>
          </w:p>
        </w:tc>
        <w:tc>
          <w:tcPr>
            <w:tcW w:w="900" w:type="dxa"/>
            <w:vAlign w:val="center"/>
          </w:tcPr>
          <w:p w14:paraId="53CBF852">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690" w:type="dxa"/>
            <w:vAlign w:val="center"/>
          </w:tcPr>
          <w:p w14:paraId="38D75C5E">
            <w:pPr>
              <w:spacing w:line="400" w:lineRule="exact"/>
              <w:jc w:val="center"/>
              <w:rPr>
                <w:rFonts w:hint="eastAsia" w:asciiTheme="minorEastAsia" w:hAnsiTheme="minorEastAsia" w:eastAsiaTheme="minorEastAsia"/>
                <w:color w:val="auto"/>
                <w:szCs w:val="21"/>
                <w:highlight w:val="none"/>
              </w:rPr>
            </w:pPr>
          </w:p>
        </w:tc>
        <w:tc>
          <w:tcPr>
            <w:tcW w:w="660" w:type="dxa"/>
            <w:vAlign w:val="center"/>
          </w:tcPr>
          <w:p w14:paraId="5AEEBD66">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750" w:type="dxa"/>
            <w:vAlign w:val="center"/>
          </w:tcPr>
          <w:p w14:paraId="6F8BE663">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1515" w:type="dxa"/>
            <w:vAlign w:val="center"/>
          </w:tcPr>
          <w:p w14:paraId="6392AE68">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1695" w:type="dxa"/>
            <w:vAlign w:val="center"/>
          </w:tcPr>
          <w:p w14:paraId="3C9EBAE7">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2330" w:type="dxa"/>
            <w:vAlign w:val="center"/>
          </w:tcPr>
          <w:p w14:paraId="0BFF2002">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r>
      <w:tr w14:paraId="79F8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9" w:type="dxa"/>
            <w:vAlign w:val="center"/>
          </w:tcPr>
          <w:p w14:paraId="7D23B3B1">
            <w:pPr>
              <w:widowControl/>
              <w:spacing w:line="400" w:lineRule="exact"/>
              <w:jc w:val="center"/>
              <w:rPr>
                <w:rFonts w:hint="eastAsia" w:asciiTheme="minorEastAsia" w:hAnsiTheme="minorEastAsia" w:eastAsiaTheme="minorEastAsia"/>
                <w:color w:val="auto"/>
                <w:szCs w:val="21"/>
                <w:highlight w:val="none"/>
              </w:rPr>
            </w:pPr>
          </w:p>
        </w:tc>
        <w:tc>
          <w:tcPr>
            <w:tcW w:w="900" w:type="dxa"/>
            <w:vAlign w:val="center"/>
          </w:tcPr>
          <w:p w14:paraId="6832C916">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690" w:type="dxa"/>
            <w:vAlign w:val="center"/>
          </w:tcPr>
          <w:p w14:paraId="0CFD6166">
            <w:pPr>
              <w:spacing w:line="400" w:lineRule="exact"/>
              <w:jc w:val="center"/>
              <w:rPr>
                <w:rFonts w:hint="eastAsia" w:asciiTheme="minorEastAsia" w:hAnsiTheme="minorEastAsia" w:eastAsiaTheme="minorEastAsia"/>
                <w:color w:val="auto"/>
                <w:szCs w:val="21"/>
                <w:highlight w:val="none"/>
              </w:rPr>
            </w:pPr>
          </w:p>
        </w:tc>
        <w:tc>
          <w:tcPr>
            <w:tcW w:w="660" w:type="dxa"/>
            <w:vAlign w:val="center"/>
          </w:tcPr>
          <w:p w14:paraId="719803F7">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750" w:type="dxa"/>
            <w:vAlign w:val="center"/>
          </w:tcPr>
          <w:p w14:paraId="4096B97F">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1515" w:type="dxa"/>
            <w:vAlign w:val="center"/>
          </w:tcPr>
          <w:p w14:paraId="45C48D9C">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1695" w:type="dxa"/>
            <w:vAlign w:val="center"/>
          </w:tcPr>
          <w:p w14:paraId="103F2974">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2330" w:type="dxa"/>
            <w:vAlign w:val="center"/>
          </w:tcPr>
          <w:p w14:paraId="12A237FA">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r>
      <w:tr w14:paraId="5822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9" w:type="dxa"/>
            <w:vAlign w:val="center"/>
          </w:tcPr>
          <w:p w14:paraId="6FB97E3D">
            <w:pPr>
              <w:widowControl/>
              <w:spacing w:line="400" w:lineRule="exact"/>
              <w:jc w:val="center"/>
              <w:rPr>
                <w:rFonts w:hint="eastAsia" w:asciiTheme="minorEastAsia" w:hAnsiTheme="minorEastAsia" w:eastAsiaTheme="minorEastAsia"/>
                <w:color w:val="auto"/>
                <w:szCs w:val="21"/>
                <w:highlight w:val="none"/>
              </w:rPr>
            </w:pPr>
          </w:p>
        </w:tc>
        <w:tc>
          <w:tcPr>
            <w:tcW w:w="900" w:type="dxa"/>
            <w:vAlign w:val="center"/>
          </w:tcPr>
          <w:p w14:paraId="09ADED69">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690" w:type="dxa"/>
            <w:vAlign w:val="center"/>
          </w:tcPr>
          <w:p w14:paraId="1E7C7AD6">
            <w:pPr>
              <w:spacing w:line="400" w:lineRule="exact"/>
              <w:jc w:val="center"/>
              <w:rPr>
                <w:rFonts w:hint="eastAsia" w:asciiTheme="minorEastAsia" w:hAnsiTheme="minorEastAsia" w:eastAsiaTheme="minorEastAsia"/>
                <w:color w:val="auto"/>
                <w:szCs w:val="21"/>
                <w:highlight w:val="none"/>
              </w:rPr>
            </w:pPr>
          </w:p>
        </w:tc>
        <w:tc>
          <w:tcPr>
            <w:tcW w:w="660" w:type="dxa"/>
            <w:vAlign w:val="center"/>
          </w:tcPr>
          <w:p w14:paraId="527ACE34">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750" w:type="dxa"/>
            <w:vAlign w:val="center"/>
          </w:tcPr>
          <w:p w14:paraId="17E506A3">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1515" w:type="dxa"/>
            <w:vAlign w:val="center"/>
          </w:tcPr>
          <w:p w14:paraId="619BD2F9">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1695" w:type="dxa"/>
            <w:vAlign w:val="center"/>
          </w:tcPr>
          <w:p w14:paraId="1871FA58">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2330" w:type="dxa"/>
            <w:vAlign w:val="center"/>
          </w:tcPr>
          <w:p w14:paraId="4DF35289">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r>
      <w:tr w14:paraId="528F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9" w:type="dxa"/>
            <w:vAlign w:val="center"/>
          </w:tcPr>
          <w:p w14:paraId="6A009477">
            <w:pPr>
              <w:widowControl/>
              <w:spacing w:line="400" w:lineRule="exact"/>
              <w:jc w:val="center"/>
              <w:rPr>
                <w:rFonts w:hint="eastAsia" w:asciiTheme="minorEastAsia" w:hAnsiTheme="minorEastAsia" w:eastAsiaTheme="minorEastAsia"/>
                <w:color w:val="auto"/>
                <w:szCs w:val="21"/>
                <w:highlight w:val="none"/>
              </w:rPr>
            </w:pPr>
          </w:p>
        </w:tc>
        <w:tc>
          <w:tcPr>
            <w:tcW w:w="900" w:type="dxa"/>
            <w:vAlign w:val="center"/>
          </w:tcPr>
          <w:p w14:paraId="7774C13E">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690" w:type="dxa"/>
            <w:vAlign w:val="center"/>
          </w:tcPr>
          <w:p w14:paraId="4D5D2427">
            <w:pPr>
              <w:spacing w:line="400" w:lineRule="exact"/>
              <w:jc w:val="center"/>
              <w:rPr>
                <w:rFonts w:hint="eastAsia" w:asciiTheme="minorEastAsia" w:hAnsiTheme="minorEastAsia" w:eastAsiaTheme="minorEastAsia"/>
                <w:color w:val="auto"/>
                <w:szCs w:val="21"/>
                <w:highlight w:val="none"/>
              </w:rPr>
            </w:pPr>
          </w:p>
        </w:tc>
        <w:tc>
          <w:tcPr>
            <w:tcW w:w="660" w:type="dxa"/>
            <w:vAlign w:val="center"/>
          </w:tcPr>
          <w:p w14:paraId="6A34E9BE">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750" w:type="dxa"/>
            <w:vAlign w:val="center"/>
          </w:tcPr>
          <w:p w14:paraId="060F8BAB">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1515" w:type="dxa"/>
            <w:vAlign w:val="center"/>
          </w:tcPr>
          <w:p w14:paraId="4CE7B6F4">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1695" w:type="dxa"/>
            <w:vAlign w:val="center"/>
          </w:tcPr>
          <w:p w14:paraId="50217529">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2330" w:type="dxa"/>
            <w:vAlign w:val="center"/>
          </w:tcPr>
          <w:p w14:paraId="29492569">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r>
      <w:tr w14:paraId="7DAFD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9" w:type="dxa"/>
            <w:vAlign w:val="center"/>
          </w:tcPr>
          <w:p w14:paraId="12E2799C">
            <w:pPr>
              <w:widowControl/>
              <w:spacing w:line="400" w:lineRule="exact"/>
              <w:jc w:val="center"/>
              <w:rPr>
                <w:rFonts w:hint="eastAsia" w:asciiTheme="minorEastAsia" w:hAnsiTheme="minorEastAsia" w:eastAsiaTheme="minorEastAsia"/>
                <w:color w:val="auto"/>
                <w:szCs w:val="21"/>
                <w:highlight w:val="none"/>
              </w:rPr>
            </w:pPr>
          </w:p>
        </w:tc>
        <w:tc>
          <w:tcPr>
            <w:tcW w:w="900" w:type="dxa"/>
            <w:vAlign w:val="center"/>
          </w:tcPr>
          <w:p w14:paraId="526ABB50">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690" w:type="dxa"/>
            <w:vAlign w:val="center"/>
          </w:tcPr>
          <w:p w14:paraId="69781863">
            <w:pPr>
              <w:spacing w:line="400" w:lineRule="exact"/>
              <w:jc w:val="center"/>
              <w:rPr>
                <w:rFonts w:hint="eastAsia" w:asciiTheme="minorEastAsia" w:hAnsiTheme="minorEastAsia" w:eastAsiaTheme="minorEastAsia"/>
                <w:color w:val="auto"/>
                <w:szCs w:val="21"/>
                <w:highlight w:val="none"/>
              </w:rPr>
            </w:pPr>
          </w:p>
        </w:tc>
        <w:tc>
          <w:tcPr>
            <w:tcW w:w="660" w:type="dxa"/>
            <w:vAlign w:val="center"/>
          </w:tcPr>
          <w:p w14:paraId="3960CBA4">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750" w:type="dxa"/>
            <w:vAlign w:val="center"/>
          </w:tcPr>
          <w:p w14:paraId="5ED90ABD">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1515" w:type="dxa"/>
            <w:vAlign w:val="center"/>
          </w:tcPr>
          <w:p w14:paraId="52C81220">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1695" w:type="dxa"/>
            <w:vAlign w:val="center"/>
          </w:tcPr>
          <w:p w14:paraId="4965066C">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2330" w:type="dxa"/>
            <w:vAlign w:val="center"/>
          </w:tcPr>
          <w:p w14:paraId="218DB3E9">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r>
      <w:tr w14:paraId="53D8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9" w:type="dxa"/>
            <w:vAlign w:val="center"/>
          </w:tcPr>
          <w:p w14:paraId="52945A0E">
            <w:pPr>
              <w:widowControl/>
              <w:spacing w:line="400" w:lineRule="exact"/>
              <w:jc w:val="center"/>
              <w:rPr>
                <w:rFonts w:hint="eastAsia" w:asciiTheme="minorEastAsia" w:hAnsiTheme="minorEastAsia" w:eastAsiaTheme="minorEastAsia"/>
                <w:color w:val="auto"/>
                <w:szCs w:val="21"/>
                <w:highlight w:val="none"/>
              </w:rPr>
            </w:pPr>
          </w:p>
        </w:tc>
        <w:tc>
          <w:tcPr>
            <w:tcW w:w="900" w:type="dxa"/>
            <w:vAlign w:val="center"/>
          </w:tcPr>
          <w:p w14:paraId="174D57FC">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690" w:type="dxa"/>
            <w:vAlign w:val="center"/>
          </w:tcPr>
          <w:p w14:paraId="0A379403">
            <w:pPr>
              <w:spacing w:line="400" w:lineRule="exact"/>
              <w:jc w:val="center"/>
              <w:rPr>
                <w:rFonts w:hint="eastAsia" w:asciiTheme="minorEastAsia" w:hAnsiTheme="minorEastAsia" w:eastAsiaTheme="minorEastAsia"/>
                <w:color w:val="auto"/>
                <w:szCs w:val="21"/>
                <w:highlight w:val="none"/>
              </w:rPr>
            </w:pPr>
          </w:p>
        </w:tc>
        <w:tc>
          <w:tcPr>
            <w:tcW w:w="660" w:type="dxa"/>
            <w:vAlign w:val="center"/>
          </w:tcPr>
          <w:p w14:paraId="7020F897">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750" w:type="dxa"/>
            <w:vAlign w:val="center"/>
          </w:tcPr>
          <w:p w14:paraId="16F0A408">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1515" w:type="dxa"/>
            <w:vAlign w:val="center"/>
          </w:tcPr>
          <w:p w14:paraId="4ABA6B46">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1695" w:type="dxa"/>
            <w:vAlign w:val="center"/>
          </w:tcPr>
          <w:p w14:paraId="6A76C866">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2330" w:type="dxa"/>
            <w:vAlign w:val="center"/>
          </w:tcPr>
          <w:p w14:paraId="4370CC12">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r>
      <w:tr w14:paraId="3289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9" w:type="dxa"/>
            <w:vAlign w:val="center"/>
          </w:tcPr>
          <w:p w14:paraId="7DA1733E">
            <w:pPr>
              <w:widowControl/>
              <w:spacing w:line="400" w:lineRule="exact"/>
              <w:jc w:val="center"/>
              <w:rPr>
                <w:rFonts w:hint="eastAsia" w:asciiTheme="minorEastAsia" w:hAnsiTheme="minorEastAsia" w:eastAsiaTheme="minorEastAsia"/>
                <w:color w:val="auto"/>
                <w:szCs w:val="21"/>
                <w:highlight w:val="none"/>
              </w:rPr>
            </w:pPr>
          </w:p>
        </w:tc>
        <w:tc>
          <w:tcPr>
            <w:tcW w:w="900" w:type="dxa"/>
            <w:vAlign w:val="center"/>
          </w:tcPr>
          <w:p w14:paraId="7F5EF038">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690" w:type="dxa"/>
            <w:vAlign w:val="center"/>
          </w:tcPr>
          <w:p w14:paraId="68857AA7">
            <w:pPr>
              <w:spacing w:line="400" w:lineRule="exact"/>
              <w:jc w:val="center"/>
              <w:rPr>
                <w:rFonts w:hint="eastAsia" w:asciiTheme="minorEastAsia" w:hAnsiTheme="minorEastAsia" w:eastAsiaTheme="minorEastAsia"/>
                <w:color w:val="auto"/>
                <w:szCs w:val="21"/>
                <w:highlight w:val="none"/>
              </w:rPr>
            </w:pPr>
          </w:p>
        </w:tc>
        <w:tc>
          <w:tcPr>
            <w:tcW w:w="660" w:type="dxa"/>
            <w:vAlign w:val="center"/>
          </w:tcPr>
          <w:p w14:paraId="502ECE70">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750" w:type="dxa"/>
            <w:vAlign w:val="center"/>
          </w:tcPr>
          <w:p w14:paraId="09976914">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1515" w:type="dxa"/>
            <w:vAlign w:val="center"/>
          </w:tcPr>
          <w:p w14:paraId="2DF19F41">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1695" w:type="dxa"/>
            <w:vAlign w:val="center"/>
          </w:tcPr>
          <w:p w14:paraId="3CD6D619">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2330" w:type="dxa"/>
            <w:vAlign w:val="center"/>
          </w:tcPr>
          <w:p w14:paraId="05398CBA">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r>
      <w:tr w14:paraId="22FD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9" w:type="dxa"/>
            <w:vAlign w:val="center"/>
          </w:tcPr>
          <w:p w14:paraId="7434C319">
            <w:pPr>
              <w:widowControl/>
              <w:spacing w:line="400" w:lineRule="exact"/>
              <w:jc w:val="center"/>
              <w:rPr>
                <w:rFonts w:hint="eastAsia" w:asciiTheme="minorEastAsia" w:hAnsiTheme="minorEastAsia" w:eastAsiaTheme="minorEastAsia"/>
                <w:color w:val="auto"/>
                <w:szCs w:val="21"/>
                <w:highlight w:val="none"/>
              </w:rPr>
            </w:pPr>
          </w:p>
        </w:tc>
        <w:tc>
          <w:tcPr>
            <w:tcW w:w="900" w:type="dxa"/>
            <w:vAlign w:val="center"/>
          </w:tcPr>
          <w:p w14:paraId="0717FA49">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690" w:type="dxa"/>
            <w:vAlign w:val="center"/>
          </w:tcPr>
          <w:p w14:paraId="6FD7CADE">
            <w:pPr>
              <w:spacing w:line="400" w:lineRule="exact"/>
              <w:jc w:val="center"/>
              <w:rPr>
                <w:rFonts w:hint="eastAsia" w:asciiTheme="minorEastAsia" w:hAnsiTheme="minorEastAsia" w:eastAsiaTheme="minorEastAsia"/>
                <w:color w:val="auto"/>
                <w:szCs w:val="21"/>
                <w:highlight w:val="none"/>
              </w:rPr>
            </w:pPr>
          </w:p>
        </w:tc>
        <w:tc>
          <w:tcPr>
            <w:tcW w:w="660" w:type="dxa"/>
            <w:vAlign w:val="center"/>
          </w:tcPr>
          <w:p w14:paraId="77C0BC43">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750" w:type="dxa"/>
            <w:vAlign w:val="center"/>
          </w:tcPr>
          <w:p w14:paraId="1FCDA1FB">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1515" w:type="dxa"/>
            <w:vAlign w:val="center"/>
          </w:tcPr>
          <w:p w14:paraId="2860B4F9">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1695" w:type="dxa"/>
            <w:vAlign w:val="center"/>
          </w:tcPr>
          <w:p w14:paraId="10D182D0">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2330" w:type="dxa"/>
            <w:vAlign w:val="center"/>
          </w:tcPr>
          <w:p w14:paraId="3434056A">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r>
      <w:tr w14:paraId="2075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9" w:type="dxa"/>
            <w:vAlign w:val="center"/>
          </w:tcPr>
          <w:p w14:paraId="41187F46">
            <w:pPr>
              <w:widowControl/>
              <w:spacing w:line="400" w:lineRule="exact"/>
              <w:jc w:val="center"/>
              <w:rPr>
                <w:rFonts w:hint="eastAsia" w:asciiTheme="minorEastAsia" w:hAnsiTheme="minorEastAsia" w:eastAsiaTheme="minorEastAsia"/>
                <w:color w:val="auto"/>
                <w:szCs w:val="21"/>
                <w:highlight w:val="none"/>
              </w:rPr>
            </w:pPr>
          </w:p>
        </w:tc>
        <w:tc>
          <w:tcPr>
            <w:tcW w:w="900" w:type="dxa"/>
            <w:vAlign w:val="center"/>
          </w:tcPr>
          <w:p w14:paraId="70FE92C1">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690" w:type="dxa"/>
            <w:vAlign w:val="center"/>
          </w:tcPr>
          <w:p w14:paraId="4876F04E">
            <w:pPr>
              <w:spacing w:line="400" w:lineRule="exact"/>
              <w:jc w:val="center"/>
              <w:rPr>
                <w:rFonts w:hint="eastAsia" w:asciiTheme="minorEastAsia" w:hAnsiTheme="minorEastAsia" w:eastAsiaTheme="minorEastAsia"/>
                <w:color w:val="auto"/>
                <w:szCs w:val="21"/>
                <w:highlight w:val="none"/>
              </w:rPr>
            </w:pPr>
          </w:p>
        </w:tc>
        <w:tc>
          <w:tcPr>
            <w:tcW w:w="660" w:type="dxa"/>
            <w:vAlign w:val="center"/>
          </w:tcPr>
          <w:p w14:paraId="1168153C">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750" w:type="dxa"/>
            <w:vAlign w:val="center"/>
          </w:tcPr>
          <w:p w14:paraId="4D405C10">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1515" w:type="dxa"/>
            <w:vAlign w:val="center"/>
          </w:tcPr>
          <w:p w14:paraId="31B3BCC2">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1695" w:type="dxa"/>
            <w:vAlign w:val="center"/>
          </w:tcPr>
          <w:p w14:paraId="75F0182A">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c>
          <w:tcPr>
            <w:tcW w:w="2330" w:type="dxa"/>
            <w:vAlign w:val="center"/>
          </w:tcPr>
          <w:p w14:paraId="4D486BA9">
            <w:pPr>
              <w:autoSpaceDE w:val="0"/>
              <w:autoSpaceDN w:val="0"/>
              <w:adjustRightInd w:val="0"/>
              <w:snapToGrid w:val="0"/>
              <w:spacing w:line="400" w:lineRule="exact"/>
              <w:jc w:val="center"/>
              <w:rPr>
                <w:rFonts w:hint="eastAsia" w:asciiTheme="minorEastAsia" w:hAnsiTheme="minorEastAsia" w:eastAsiaTheme="minorEastAsia"/>
                <w:color w:val="auto"/>
                <w:kern w:val="0"/>
                <w:szCs w:val="21"/>
                <w:highlight w:val="none"/>
              </w:rPr>
            </w:pPr>
          </w:p>
        </w:tc>
      </w:tr>
    </w:tbl>
    <w:p w14:paraId="4E5E031D">
      <w:pPr>
        <w:widowControl/>
        <w:tabs>
          <w:tab w:val="left" w:pos="9072"/>
          <w:tab w:val="left" w:pos="9781"/>
        </w:tabs>
        <w:adjustRightInd w:val="0"/>
        <w:snapToGrid w:val="0"/>
        <w:spacing w:line="360" w:lineRule="auto"/>
        <w:ind w:right="137" w:rightChars="57" w:firstLine="600" w:firstLineChars="200"/>
        <w:jc w:val="center"/>
        <w:outlineLvl w:val="3"/>
        <w:rPr>
          <w:rFonts w:eastAsia="黑体"/>
          <w:color w:val="auto"/>
          <w:sz w:val="30"/>
          <w:szCs w:val="30"/>
          <w:highlight w:val="none"/>
        </w:rPr>
      </w:pPr>
      <w:bookmarkStart w:id="100" w:name="_Toc531632629"/>
    </w:p>
    <w:p w14:paraId="04E05AB3">
      <w:pPr>
        <w:widowControl/>
        <w:tabs>
          <w:tab w:val="left" w:pos="9072"/>
          <w:tab w:val="left" w:pos="9781"/>
        </w:tabs>
        <w:adjustRightInd w:val="0"/>
        <w:snapToGrid w:val="0"/>
        <w:spacing w:line="360" w:lineRule="auto"/>
        <w:ind w:right="137" w:rightChars="57" w:firstLine="600" w:firstLineChars="200"/>
        <w:jc w:val="center"/>
        <w:outlineLvl w:val="3"/>
        <w:rPr>
          <w:rFonts w:eastAsia="黑体"/>
          <w:color w:val="auto"/>
          <w:sz w:val="30"/>
          <w:szCs w:val="30"/>
          <w:highlight w:val="none"/>
        </w:rPr>
      </w:pPr>
    </w:p>
    <w:p w14:paraId="16EA2489">
      <w:pPr>
        <w:widowControl/>
        <w:tabs>
          <w:tab w:val="left" w:pos="9072"/>
          <w:tab w:val="left" w:pos="9781"/>
        </w:tabs>
        <w:adjustRightInd w:val="0"/>
        <w:snapToGrid w:val="0"/>
        <w:spacing w:line="360" w:lineRule="auto"/>
        <w:ind w:right="137" w:rightChars="57" w:firstLine="600" w:firstLineChars="200"/>
        <w:jc w:val="center"/>
        <w:outlineLvl w:val="3"/>
        <w:rPr>
          <w:rFonts w:eastAsia="黑体"/>
          <w:color w:val="auto"/>
          <w:sz w:val="30"/>
          <w:szCs w:val="30"/>
          <w:highlight w:val="none"/>
        </w:rPr>
      </w:pPr>
    </w:p>
    <w:p w14:paraId="65E60709">
      <w:pPr>
        <w:widowControl/>
        <w:tabs>
          <w:tab w:val="left" w:pos="9072"/>
          <w:tab w:val="left" w:pos="9781"/>
        </w:tabs>
        <w:adjustRightInd w:val="0"/>
        <w:snapToGrid w:val="0"/>
        <w:spacing w:line="360" w:lineRule="auto"/>
        <w:ind w:right="137" w:rightChars="57" w:firstLine="600" w:firstLineChars="200"/>
        <w:jc w:val="center"/>
        <w:outlineLvl w:val="3"/>
        <w:rPr>
          <w:rFonts w:eastAsia="黑体"/>
          <w:color w:val="auto"/>
          <w:sz w:val="30"/>
          <w:szCs w:val="30"/>
          <w:highlight w:val="none"/>
        </w:rPr>
      </w:pPr>
    </w:p>
    <w:p w14:paraId="69BEE9C7">
      <w:pPr>
        <w:widowControl/>
        <w:tabs>
          <w:tab w:val="left" w:pos="9072"/>
          <w:tab w:val="left" w:pos="9781"/>
        </w:tabs>
        <w:adjustRightInd w:val="0"/>
        <w:snapToGrid w:val="0"/>
        <w:spacing w:line="360" w:lineRule="auto"/>
        <w:ind w:right="137" w:rightChars="57" w:firstLine="600" w:firstLineChars="200"/>
        <w:jc w:val="center"/>
        <w:outlineLvl w:val="3"/>
        <w:rPr>
          <w:rFonts w:eastAsia="黑体"/>
          <w:color w:val="auto"/>
          <w:sz w:val="30"/>
          <w:szCs w:val="30"/>
          <w:highlight w:val="none"/>
        </w:rPr>
      </w:pPr>
    </w:p>
    <w:p w14:paraId="27B858C9">
      <w:pPr>
        <w:widowControl/>
        <w:tabs>
          <w:tab w:val="left" w:pos="9072"/>
          <w:tab w:val="left" w:pos="9781"/>
        </w:tabs>
        <w:adjustRightInd w:val="0"/>
        <w:snapToGrid w:val="0"/>
        <w:spacing w:line="360" w:lineRule="auto"/>
        <w:ind w:right="137" w:rightChars="57" w:firstLine="600" w:firstLineChars="200"/>
        <w:jc w:val="center"/>
        <w:outlineLvl w:val="3"/>
        <w:rPr>
          <w:rFonts w:eastAsia="黑体"/>
          <w:color w:val="auto"/>
          <w:sz w:val="30"/>
          <w:szCs w:val="30"/>
          <w:highlight w:val="none"/>
        </w:rPr>
      </w:pPr>
    </w:p>
    <w:p w14:paraId="5FCDCF99">
      <w:pPr>
        <w:widowControl/>
        <w:tabs>
          <w:tab w:val="left" w:pos="9072"/>
          <w:tab w:val="left" w:pos="9781"/>
        </w:tabs>
        <w:adjustRightInd w:val="0"/>
        <w:snapToGrid w:val="0"/>
        <w:spacing w:line="360" w:lineRule="auto"/>
        <w:ind w:right="137" w:rightChars="57" w:firstLine="600" w:firstLineChars="200"/>
        <w:jc w:val="center"/>
        <w:outlineLvl w:val="3"/>
        <w:rPr>
          <w:rFonts w:eastAsia="黑体"/>
          <w:color w:val="auto"/>
          <w:sz w:val="30"/>
          <w:szCs w:val="30"/>
          <w:highlight w:val="none"/>
        </w:rPr>
      </w:pPr>
    </w:p>
    <w:p w14:paraId="67829097">
      <w:pPr>
        <w:widowControl/>
        <w:tabs>
          <w:tab w:val="left" w:pos="9072"/>
          <w:tab w:val="left" w:pos="9781"/>
        </w:tabs>
        <w:adjustRightInd w:val="0"/>
        <w:snapToGrid w:val="0"/>
        <w:spacing w:line="360" w:lineRule="auto"/>
        <w:ind w:right="137" w:rightChars="57" w:firstLine="600" w:firstLineChars="200"/>
        <w:jc w:val="center"/>
        <w:outlineLvl w:val="3"/>
        <w:rPr>
          <w:rFonts w:eastAsia="黑体"/>
          <w:color w:val="auto"/>
          <w:sz w:val="30"/>
          <w:szCs w:val="30"/>
          <w:highlight w:val="none"/>
        </w:rPr>
      </w:pPr>
    </w:p>
    <w:p w14:paraId="3C67E095">
      <w:pPr>
        <w:widowControl/>
        <w:tabs>
          <w:tab w:val="left" w:pos="9072"/>
          <w:tab w:val="left" w:pos="9781"/>
        </w:tabs>
        <w:adjustRightInd w:val="0"/>
        <w:snapToGrid w:val="0"/>
        <w:spacing w:line="360" w:lineRule="auto"/>
        <w:ind w:right="137" w:rightChars="57" w:firstLine="600" w:firstLineChars="200"/>
        <w:jc w:val="center"/>
        <w:outlineLvl w:val="3"/>
        <w:rPr>
          <w:rFonts w:eastAsia="黑体"/>
          <w:color w:val="auto"/>
          <w:sz w:val="30"/>
          <w:szCs w:val="30"/>
          <w:highlight w:val="none"/>
        </w:rPr>
      </w:pPr>
    </w:p>
    <w:p w14:paraId="6A6CA740">
      <w:pPr>
        <w:widowControl/>
        <w:tabs>
          <w:tab w:val="left" w:pos="9072"/>
          <w:tab w:val="left" w:pos="9781"/>
        </w:tabs>
        <w:adjustRightInd w:val="0"/>
        <w:snapToGrid w:val="0"/>
        <w:spacing w:line="360" w:lineRule="auto"/>
        <w:ind w:right="137" w:rightChars="57" w:firstLine="600" w:firstLineChars="200"/>
        <w:jc w:val="center"/>
        <w:outlineLvl w:val="3"/>
        <w:rPr>
          <w:rFonts w:eastAsia="黑体"/>
          <w:color w:val="auto"/>
          <w:sz w:val="30"/>
          <w:szCs w:val="30"/>
          <w:highlight w:val="none"/>
        </w:rPr>
      </w:pPr>
      <w:r>
        <w:rPr>
          <w:rFonts w:eastAsia="黑体"/>
          <w:color w:val="auto"/>
          <w:sz w:val="30"/>
          <w:szCs w:val="30"/>
          <w:highlight w:val="none"/>
        </w:rPr>
        <w:t>附件二：廉洁从业合同</w:t>
      </w:r>
      <w:bookmarkEnd w:id="100"/>
    </w:p>
    <w:p w14:paraId="09768442">
      <w:pPr>
        <w:widowControl/>
        <w:spacing w:line="360" w:lineRule="auto"/>
        <w:ind w:firstLine="600" w:firstLineChars="200"/>
        <w:jc w:val="center"/>
        <w:rPr>
          <w:rFonts w:eastAsia="仿宋_GB2312"/>
          <w:color w:val="auto"/>
          <w:kern w:val="0"/>
          <w:sz w:val="30"/>
          <w:szCs w:val="30"/>
          <w:highlight w:val="none"/>
        </w:rPr>
      </w:pPr>
      <w:r>
        <w:rPr>
          <w:rFonts w:hint="eastAsia" w:eastAsia="黑体"/>
          <w:color w:val="auto"/>
          <w:sz w:val="30"/>
          <w:szCs w:val="30"/>
          <w:highlight w:val="none"/>
        </w:rPr>
        <w:t>（参考格式）</w:t>
      </w:r>
    </w:p>
    <w:p w14:paraId="6182B218">
      <w:pPr>
        <w:widowControl/>
        <w:spacing w:line="360" w:lineRule="auto"/>
        <w:ind w:firstLine="480" w:firstLineChars="200"/>
        <w:jc w:val="left"/>
        <w:rPr>
          <w:rFonts w:ascii="宋体" w:hAnsi="宋体"/>
          <w:color w:val="auto"/>
          <w:kern w:val="0"/>
          <w:szCs w:val="21"/>
          <w:highlight w:val="none"/>
        </w:rPr>
      </w:pPr>
      <w:r>
        <w:rPr>
          <w:rFonts w:hint="eastAsia" w:ascii="宋体" w:hAnsi="宋体"/>
          <w:color w:val="auto"/>
          <w:kern w:val="0"/>
          <w:szCs w:val="21"/>
          <w:highlight w:val="none"/>
          <w:lang w:eastAsia="zh-CN"/>
        </w:rPr>
        <w:t>甲方</w:t>
      </w:r>
      <w:r>
        <w:rPr>
          <w:rFonts w:ascii="宋体" w:hAnsi="宋体"/>
          <w:color w:val="auto"/>
          <w:kern w:val="0"/>
          <w:szCs w:val="21"/>
          <w:highlight w:val="none"/>
        </w:rPr>
        <w:t>：</w:t>
      </w:r>
      <w:r>
        <w:rPr>
          <w:rFonts w:hint="eastAsia" w:ascii="宋体" w:hAnsi="宋体"/>
          <w:color w:val="auto"/>
          <w:kern w:val="0"/>
          <w:szCs w:val="21"/>
          <w:highlight w:val="none"/>
          <w:u w:val="single"/>
        </w:rPr>
        <w:t xml:space="preserve">                            </w:t>
      </w:r>
    </w:p>
    <w:p w14:paraId="6492BBC8">
      <w:pPr>
        <w:widowControl/>
        <w:spacing w:line="360" w:lineRule="auto"/>
        <w:ind w:firstLine="480" w:firstLineChars="200"/>
        <w:jc w:val="left"/>
        <w:rPr>
          <w:rFonts w:eastAsia="仿宋_GB2312"/>
          <w:color w:val="auto"/>
          <w:kern w:val="0"/>
          <w:sz w:val="30"/>
          <w:szCs w:val="30"/>
          <w:highlight w:val="none"/>
        </w:rPr>
      </w:pPr>
      <w:r>
        <w:rPr>
          <w:rFonts w:hint="eastAsia" w:ascii="宋体" w:hAnsi="宋体"/>
          <w:color w:val="auto"/>
          <w:kern w:val="0"/>
          <w:szCs w:val="21"/>
          <w:highlight w:val="none"/>
          <w:lang w:eastAsia="zh-CN"/>
        </w:rPr>
        <w:t>乙方</w:t>
      </w:r>
      <w:r>
        <w:rPr>
          <w:rFonts w:ascii="宋体" w:hAnsi="宋体"/>
          <w:color w:val="auto"/>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eastAsia="仿宋_GB2312"/>
          <w:color w:val="auto"/>
          <w:kern w:val="0"/>
          <w:sz w:val="30"/>
          <w:szCs w:val="30"/>
          <w:highlight w:val="none"/>
        </w:rPr>
        <w:t xml:space="preserve">                       </w:t>
      </w:r>
    </w:p>
    <w:p w14:paraId="6E0104E9">
      <w:pPr>
        <w:widowControl/>
        <w:spacing w:line="36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为加强工程建设中的廉政建设，规范工程建设</w:t>
      </w:r>
      <w:r>
        <w:rPr>
          <w:rFonts w:hint="eastAsia" w:ascii="宋体" w:hAnsi="宋体"/>
          <w:color w:val="auto"/>
          <w:kern w:val="0"/>
          <w:szCs w:val="21"/>
          <w:highlight w:val="none"/>
          <w:lang w:eastAsia="zh-CN"/>
        </w:rPr>
        <w:t>乙方</w:t>
      </w:r>
      <w:r>
        <w:rPr>
          <w:rFonts w:ascii="宋体" w:hAnsi="宋体"/>
          <w:color w:val="auto"/>
          <w:kern w:val="0"/>
          <w:szCs w:val="21"/>
          <w:highlight w:val="none"/>
        </w:rPr>
        <w:t>与</w:t>
      </w:r>
      <w:r>
        <w:rPr>
          <w:rFonts w:hint="eastAsia" w:ascii="宋体" w:hAnsi="宋体"/>
          <w:color w:val="auto"/>
          <w:kern w:val="0"/>
          <w:szCs w:val="21"/>
          <w:highlight w:val="none"/>
          <w:lang w:eastAsia="zh-CN"/>
        </w:rPr>
        <w:t>甲方</w:t>
      </w:r>
      <w:r>
        <w:rPr>
          <w:rFonts w:ascii="宋体" w:hAnsi="宋体"/>
          <w:color w:val="auto"/>
          <w:kern w:val="0"/>
          <w:szCs w:val="21"/>
          <w:highlight w:val="none"/>
        </w:rPr>
        <w:t>双方的各项活动，防止发生各种谋取不正当利益的违法违纪行为，保护国家、集体和当事人的合法权益，根据国家有关工程建设的法律法规和廉政建设责任制规定，特订立廉洁从业合同。</w:t>
      </w:r>
    </w:p>
    <w:p w14:paraId="572AFB88">
      <w:pPr>
        <w:widowControl/>
        <w:spacing w:line="36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一、总则</w:t>
      </w:r>
    </w:p>
    <w:p w14:paraId="0B0F969F">
      <w:pPr>
        <w:widowControl/>
        <w:spacing w:line="36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1、应严格遵守国家关于市场准入、项目招标投标和市场活动的有关法律、法规，相关政策，以及廉政建设的各项规定。</w:t>
      </w:r>
    </w:p>
    <w:p w14:paraId="33A0B4E1">
      <w:pPr>
        <w:widowControl/>
        <w:spacing w:line="36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2、严格执行合同文件，自觉按合同办事。</w:t>
      </w:r>
    </w:p>
    <w:p w14:paraId="37DD3E0E">
      <w:pPr>
        <w:widowControl/>
        <w:spacing w:line="36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3、业务活动必须坚持公开、公平、公正、诚信、透明的原则（除法律法规另有规定者外），不得为获取不正当的利益，损害国家、集体和对方利益，不得违反工程建设管理的规章制度。</w:t>
      </w:r>
    </w:p>
    <w:p w14:paraId="45DFEE69">
      <w:pPr>
        <w:widowControl/>
        <w:spacing w:line="36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4、发现对方在业务活动中有违规、违纪、违法行为的，应及时提醒对方，情节严重的，应向其上级主管部门或纪检监察、司法等有关机关举报。</w:t>
      </w:r>
    </w:p>
    <w:p w14:paraId="67133637">
      <w:pPr>
        <w:widowControl/>
        <w:spacing w:line="36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二、</w:t>
      </w:r>
      <w:r>
        <w:rPr>
          <w:rFonts w:hint="eastAsia" w:ascii="宋体" w:hAnsi="宋体"/>
          <w:color w:val="auto"/>
          <w:kern w:val="0"/>
          <w:szCs w:val="21"/>
          <w:highlight w:val="none"/>
          <w:lang w:eastAsia="zh-CN"/>
        </w:rPr>
        <w:t>甲方</w:t>
      </w:r>
      <w:r>
        <w:rPr>
          <w:rFonts w:ascii="宋体" w:hAnsi="宋体"/>
          <w:color w:val="auto"/>
          <w:kern w:val="0"/>
          <w:szCs w:val="21"/>
          <w:highlight w:val="none"/>
        </w:rPr>
        <w:t>的责任</w:t>
      </w:r>
    </w:p>
    <w:p w14:paraId="4C2A624D">
      <w:pPr>
        <w:widowControl/>
        <w:spacing w:line="360" w:lineRule="auto"/>
        <w:ind w:firstLine="480" w:firstLineChars="200"/>
        <w:jc w:val="left"/>
        <w:rPr>
          <w:rFonts w:ascii="宋体" w:hAnsi="宋体"/>
          <w:color w:val="auto"/>
          <w:kern w:val="0"/>
          <w:szCs w:val="21"/>
          <w:highlight w:val="none"/>
        </w:rPr>
      </w:pPr>
      <w:r>
        <w:rPr>
          <w:rFonts w:hint="eastAsia" w:ascii="宋体" w:hAnsi="宋体"/>
          <w:color w:val="auto"/>
          <w:kern w:val="0"/>
          <w:szCs w:val="21"/>
          <w:highlight w:val="none"/>
          <w:lang w:eastAsia="zh-CN"/>
        </w:rPr>
        <w:t>甲方</w:t>
      </w:r>
      <w:r>
        <w:rPr>
          <w:rFonts w:ascii="宋体" w:hAnsi="宋体"/>
          <w:color w:val="auto"/>
          <w:kern w:val="0"/>
          <w:szCs w:val="21"/>
          <w:highlight w:val="none"/>
        </w:rPr>
        <w:t>的领导和从事该建设工程项目的工作人员在工程建设的事前、事中、事后应遵守以下规定：</w:t>
      </w:r>
    </w:p>
    <w:p w14:paraId="74B53B85">
      <w:pPr>
        <w:widowControl/>
        <w:spacing w:line="36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lang w:eastAsia="zh-CN"/>
        </w:rPr>
        <w:t>甲方</w:t>
      </w:r>
      <w:r>
        <w:rPr>
          <w:rFonts w:ascii="宋体" w:hAnsi="宋体"/>
          <w:color w:val="auto"/>
          <w:kern w:val="0"/>
          <w:szCs w:val="21"/>
          <w:highlight w:val="none"/>
        </w:rPr>
        <w:t>及其工作人员不得索要或接受</w:t>
      </w:r>
      <w:r>
        <w:rPr>
          <w:rFonts w:hint="eastAsia" w:ascii="宋体" w:hAnsi="宋体"/>
          <w:color w:val="auto"/>
          <w:kern w:val="0"/>
          <w:szCs w:val="21"/>
          <w:highlight w:val="none"/>
          <w:lang w:eastAsia="zh-CN"/>
        </w:rPr>
        <w:t>乙方</w:t>
      </w:r>
      <w:r>
        <w:rPr>
          <w:rFonts w:ascii="宋体" w:hAnsi="宋体"/>
          <w:color w:val="auto"/>
          <w:kern w:val="0"/>
          <w:szCs w:val="21"/>
          <w:highlight w:val="none"/>
        </w:rPr>
        <w:t>的礼金、有价证券和贵重物品，不得在</w:t>
      </w:r>
      <w:r>
        <w:rPr>
          <w:rFonts w:hint="eastAsia" w:ascii="宋体" w:hAnsi="宋体"/>
          <w:color w:val="auto"/>
          <w:kern w:val="0"/>
          <w:szCs w:val="21"/>
          <w:highlight w:val="none"/>
          <w:lang w:eastAsia="zh-CN"/>
        </w:rPr>
        <w:t>乙方</w:t>
      </w:r>
      <w:r>
        <w:rPr>
          <w:rFonts w:ascii="宋体" w:hAnsi="宋体"/>
          <w:color w:val="auto"/>
          <w:kern w:val="0"/>
          <w:szCs w:val="21"/>
          <w:highlight w:val="none"/>
        </w:rPr>
        <w:t>报销任何应由</w:t>
      </w:r>
      <w:r>
        <w:rPr>
          <w:rFonts w:hint="eastAsia" w:ascii="宋体" w:hAnsi="宋体"/>
          <w:color w:val="auto"/>
          <w:kern w:val="0"/>
          <w:szCs w:val="21"/>
          <w:highlight w:val="none"/>
          <w:lang w:eastAsia="zh-CN"/>
        </w:rPr>
        <w:t>甲方</w:t>
      </w:r>
      <w:r>
        <w:rPr>
          <w:rFonts w:ascii="宋体" w:hAnsi="宋体"/>
          <w:color w:val="auto"/>
          <w:kern w:val="0"/>
          <w:szCs w:val="21"/>
          <w:highlight w:val="none"/>
        </w:rPr>
        <w:t>或个人支付的费用。</w:t>
      </w:r>
    </w:p>
    <w:p w14:paraId="5F0BDC57">
      <w:pPr>
        <w:widowControl/>
        <w:spacing w:line="36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lang w:eastAsia="zh-CN"/>
        </w:rPr>
        <w:t>甲方</w:t>
      </w:r>
      <w:r>
        <w:rPr>
          <w:rFonts w:ascii="宋体" w:hAnsi="宋体"/>
          <w:color w:val="auto"/>
          <w:kern w:val="0"/>
          <w:szCs w:val="21"/>
          <w:highlight w:val="none"/>
        </w:rPr>
        <w:t>工作人员不得参加</w:t>
      </w:r>
      <w:r>
        <w:rPr>
          <w:rFonts w:hint="eastAsia" w:ascii="宋体" w:hAnsi="宋体"/>
          <w:color w:val="auto"/>
          <w:kern w:val="0"/>
          <w:szCs w:val="21"/>
          <w:highlight w:val="none"/>
          <w:lang w:eastAsia="zh-CN"/>
        </w:rPr>
        <w:t>乙方</w:t>
      </w:r>
      <w:r>
        <w:rPr>
          <w:rFonts w:ascii="宋体" w:hAnsi="宋体"/>
          <w:color w:val="auto"/>
          <w:kern w:val="0"/>
          <w:szCs w:val="21"/>
          <w:highlight w:val="none"/>
        </w:rPr>
        <w:t>安排的宴请或可能对公正执行建设管理行为有影响的其他活动；不得接受</w:t>
      </w:r>
      <w:r>
        <w:rPr>
          <w:rFonts w:hint="eastAsia" w:ascii="宋体" w:hAnsi="宋体"/>
          <w:color w:val="auto"/>
          <w:kern w:val="0"/>
          <w:szCs w:val="21"/>
          <w:highlight w:val="none"/>
          <w:lang w:eastAsia="zh-CN"/>
        </w:rPr>
        <w:t>乙方</w:t>
      </w:r>
      <w:r>
        <w:rPr>
          <w:rFonts w:ascii="宋体" w:hAnsi="宋体"/>
          <w:color w:val="auto"/>
          <w:kern w:val="0"/>
          <w:szCs w:val="21"/>
          <w:highlight w:val="none"/>
        </w:rPr>
        <w:t>提供的通讯工具、交通工具和高档办公用品。</w:t>
      </w:r>
    </w:p>
    <w:p w14:paraId="5450B457">
      <w:pPr>
        <w:widowControl/>
        <w:spacing w:line="36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lang w:eastAsia="zh-CN"/>
        </w:rPr>
        <w:t>甲方</w:t>
      </w:r>
      <w:r>
        <w:rPr>
          <w:rFonts w:ascii="宋体" w:hAnsi="宋体"/>
          <w:color w:val="auto"/>
          <w:kern w:val="0"/>
          <w:szCs w:val="21"/>
          <w:highlight w:val="none"/>
        </w:rPr>
        <w:t>及其工作人员不得要求或接受</w:t>
      </w:r>
      <w:r>
        <w:rPr>
          <w:rFonts w:hint="eastAsia" w:ascii="宋体" w:hAnsi="宋体"/>
          <w:color w:val="auto"/>
          <w:kern w:val="0"/>
          <w:szCs w:val="21"/>
          <w:highlight w:val="none"/>
          <w:lang w:eastAsia="zh-CN"/>
        </w:rPr>
        <w:t>乙方</w:t>
      </w:r>
      <w:r>
        <w:rPr>
          <w:rFonts w:ascii="宋体" w:hAnsi="宋体"/>
          <w:color w:val="auto"/>
          <w:kern w:val="0"/>
          <w:szCs w:val="21"/>
          <w:highlight w:val="none"/>
        </w:rPr>
        <w:t>为其住房装修、婚丧嫁娶活动、旅游等提供方便。</w:t>
      </w:r>
    </w:p>
    <w:p w14:paraId="2802999B">
      <w:pPr>
        <w:widowControl/>
        <w:spacing w:line="36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4、</w:t>
      </w:r>
      <w:r>
        <w:rPr>
          <w:rFonts w:hint="eastAsia" w:ascii="宋体" w:hAnsi="宋体"/>
          <w:color w:val="auto"/>
          <w:kern w:val="0"/>
          <w:szCs w:val="21"/>
          <w:highlight w:val="none"/>
          <w:lang w:eastAsia="zh-CN"/>
        </w:rPr>
        <w:t>甲方</w:t>
      </w:r>
      <w:r>
        <w:rPr>
          <w:rFonts w:ascii="宋体" w:hAnsi="宋体"/>
          <w:color w:val="auto"/>
          <w:kern w:val="0"/>
          <w:szCs w:val="21"/>
          <w:highlight w:val="none"/>
        </w:rPr>
        <w:t>工作人员的家属、亲戚不得从事与</w:t>
      </w:r>
      <w:r>
        <w:rPr>
          <w:rFonts w:hint="eastAsia" w:ascii="宋体" w:hAnsi="宋体"/>
          <w:color w:val="auto"/>
          <w:kern w:val="0"/>
          <w:szCs w:val="21"/>
          <w:highlight w:val="none"/>
          <w:lang w:eastAsia="zh-CN"/>
        </w:rPr>
        <w:t>甲方</w:t>
      </w:r>
      <w:r>
        <w:rPr>
          <w:rFonts w:ascii="宋体" w:hAnsi="宋体"/>
          <w:color w:val="auto"/>
          <w:kern w:val="0"/>
          <w:szCs w:val="21"/>
          <w:highlight w:val="none"/>
        </w:rPr>
        <w:t>工程有关的材料设备供应、工程分包、劳务等经济活动。</w:t>
      </w:r>
    </w:p>
    <w:p w14:paraId="7A95D2E6">
      <w:pPr>
        <w:widowControl/>
        <w:spacing w:line="36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 xml:space="preserve">三、 </w:t>
      </w:r>
      <w:r>
        <w:rPr>
          <w:rFonts w:hint="eastAsia" w:ascii="宋体" w:hAnsi="宋体"/>
          <w:color w:val="auto"/>
          <w:kern w:val="0"/>
          <w:szCs w:val="21"/>
          <w:highlight w:val="none"/>
          <w:lang w:eastAsia="zh-CN"/>
        </w:rPr>
        <w:t>乙方</w:t>
      </w:r>
      <w:r>
        <w:rPr>
          <w:rFonts w:ascii="宋体" w:hAnsi="宋体"/>
          <w:color w:val="auto"/>
          <w:kern w:val="0"/>
          <w:szCs w:val="21"/>
          <w:highlight w:val="none"/>
        </w:rPr>
        <w:t>的责任</w:t>
      </w:r>
    </w:p>
    <w:p w14:paraId="6F0A5B0B">
      <w:pPr>
        <w:widowControl/>
        <w:spacing w:line="36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应与</w:t>
      </w:r>
      <w:r>
        <w:rPr>
          <w:rFonts w:hint="eastAsia" w:ascii="宋体" w:hAnsi="宋体"/>
          <w:color w:val="auto"/>
          <w:kern w:val="0"/>
          <w:szCs w:val="21"/>
          <w:highlight w:val="none"/>
          <w:lang w:eastAsia="zh-CN"/>
        </w:rPr>
        <w:t>甲方</w:t>
      </w:r>
      <w:r>
        <w:rPr>
          <w:rFonts w:ascii="宋体" w:hAnsi="宋体"/>
          <w:color w:val="auto"/>
          <w:kern w:val="0"/>
          <w:szCs w:val="21"/>
          <w:highlight w:val="none"/>
        </w:rPr>
        <w:t>和相关单位保持正常的业务交往，按照有关法律法规和程序开展业务工作。严格执行工程建设的方针、政策，尤其是有关</w:t>
      </w:r>
      <w:r>
        <w:rPr>
          <w:rFonts w:hint="eastAsia" w:ascii="宋体" w:hAnsi="宋体"/>
          <w:color w:val="auto"/>
          <w:kern w:val="0"/>
          <w:szCs w:val="21"/>
          <w:highlight w:val="none"/>
        </w:rPr>
        <w:t>质量检测</w:t>
      </w:r>
      <w:r>
        <w:rPr>
          <w:rFonts w:ascii="宋体" w:hAnsi="宋体"/>
          <w:color w:val="auto"/>
          <w:kern w:val="0"/>
          <w:szCs w:val="21"/>
          <w:highlight w:val="none"/>
        </w:rPr>
        <w:t>、建筑施工安装的强制性标准和规范以及</w:t>
      </w:r>
      <w:r>
        <w:rPr>
          <w:rFonts w:hint="eastAsia" w:ascii="宋体" w:hAnsi="宋体"/>
          <w:color w:val="auto"/>
          <w:kern w:val="0"/>
          <w:szCs w:val="21"/>
          <w:highlight w:val="none"/>
        </w:rPr>
        <w:t>法律</w:t>
      </w:r>
      <w:r>
        <w:rPr>
          <w:rFonts w:ascii="宋体" w:hAnsi="宋体"/>
          <w:color w:val="auto"/>
          <w:kern w:val="0"/>
          <w:szCs w:val="21"/>
          <w:highlight w:val="none"/>
        </w:rPr>
        <w:t>法规，认真履行</w:t>
      </w:r>
      <w:r>
        <w:rPr>
          <w:rFonts w:hint="eastAsia" w:ascii="宋体" w:hAnsi="宋体"/>
          <w:color w:val="auto"/>
          <w:kern w:val="0"/>
          <w:szCs w:val="21"/>
          <w:highlight w:val="none"/>
        </w:rPr>
        <w:t>质量检测</w:t>
      </w:r>
      <w:r>
        <w:rPr>
          <w:rFonts w:ascii="宋体" w:hAnsi="宋体"/>
          <w:color w:val="auto"/>
          <w:kern w:val="0"/>
          <w:szCs w:val="21"/>
          <w:highlight w:val="none"/>
        </w:rPr>
        <w:t>职责，并遵守以下规定：</w:t>
      </w:r>
    </w:p>
    <w:p w14:paraId="0E070D4D">
      <w:pPr>
        <w:widowControl/>
        <w:spacing w:line="36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lang w:eastAsia="zh-CN"/>
        </w:rPr>
        <w:t>乙方</w:t>
      </w:r>
      <w:r>
        <w:rPr>
          <w:rFonts w:ascii="宋体" w:hAnsi="宋体"/>
          <w:color w:val="auto"/>
          <w:kern w:val="0"/>
          <w:szCs w:val="21"/>
          <w:highlight w:val="none"/>
        </w:rPr>
        <w:t>不得以任何理由向</w:t>
      </w:r>
      <w:r>
        <w:rPr>
          <w:rFonts w:hint="eastAsia" w:ascii="宋体" w:hAnsi="宋体"/>
          <w:color w:val="auto"/>
          <w:kern w:val="0"/>
          <w:szCs w:val="21"/>
          <w:highlight w:val="none"/>
          <w:lang w:eastAsia="zh-CN"/>
        </w:rPr>
        <w:t>甲方</w:t>
      </w:r>
      <w:r>
        <w:rPr>
          <w:rFonts w:ascii="宋体" w:hAnsi="宋体"/>
          <w:color w:val="auto"/>
          <w:kern w:val="0"/>
          <w:szCs w:val="21"/>
          <w:highlight w:val="none"/>
        </w:rPr>
        <w:t>及其工作人员行贿或馈赠礼金、有价证券、贵重礼品。</w:t>
      </w:r>
    </w:p>
    <w:p w14:paraId="00151F39">
      <w:pPr>
        <w:widowControl/>
        <w:spacing w:line="36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lang w:eastAsia="zh-CN"/>
        </w:rPr>
        <w:t>乙方</w:t>
      </w:r>
      <w:r>
        <w:rPr>
          <w:rFonts w:ascii="宋体" w:hAnsi="宋体"/>
          <w:color w:val="auto"/>
          <w:kern w:val="0"/>
          <w:szCs w:val="21"/>
          <w:highlight w:val="none"/>
        </w:rPr>
        <w:t>不得以任何名义为</w:t>
      </w:r>
      <w:r>
        <w:rPr>
          <w:rFonts w:hint="eastAsia" w:ascii="宋体" w:hAnsi="宋体"/>
          <w:color w:val="auto"/>
          <w:kern w:val="0"/>
          <w:szCs w:val="21"/>
          <w:highlight w:val="none"/>
          <w:lang w:eastAsia="zh-CN"/>
        </w:rPr>
        <w:t>甲方</w:t>
      </w:r>
      <w:r>
        <w:rPr>
          <w:rFonts w:ascii="宋体" w:hAnsi="宋体"/>
          <w:color w:val="auto"/>
          <w:kern w:val="0"/>
          <w:szCs w:val="21"/>
          <w:highlight w:val="none"/>
        </w:rPr>
        <w:t>及其工作人员报销应由</w:t>
      </w:r>
      <w:r>
        <w:rPr>
          <w:rFonts w:hint="eastAsia" w:ascii="宋体" w:hAnsi="宋体"/>
          <w:color w:val="auto"/>
          <w:kern w:val="0"/>
          <w:szCs w:val="21"/>
          <w:highlight w:val="none"/>
          <w:lang w:eastAsia="zh-CN"/>
        </w:rPr>
        <w:t>甲方</w:t>
      </w:r>
      <w:r>
        <w:rPr>
          <w:rFonts w:ascii="宋体" w:hAnsi="宋体"/>
          <w:color w:val="auto"/>
          <w:kern w:val="0"/>
          <w:szCs w:val="21"/>
          <w:highlight w:val="none"/>
        </w:rPr>
        <w:t>单位或个人支付的费用。</w:t>
      </w:r>
    </w:p>
    <w:p w14:paraId="2F0ACB9D">
      <w:pPr>
        <w:widowControl/>
        <w:spacing w:line="36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lang w:eastAsia="zh-CN"/>
        </w:rPr>
        <w:t>乙方</w:t>
      </w:r>
      <w:r>
        <w:rPr>
          <w:rFonts w:ascii="宋体" w:hAnsi="宋体"/>
          <w:color w:val="auto"/>
          <w:kern w:val="0"/>
          <w:szCs w:val="21"/>
          <w:highlight w:val="none"/>
        </w:rPr>
        <w:t>不得以任何理由邀请</w:t>
      </w:r>
      <w:r>
        <w:rPr>
          <w:rFonts w:hint="eastAsia" w:ascii="宋体" w:hAnsi="宋体"/>
          <w:color w:val="auto"/>
          <w:kern w:val="0"/>
          <w:szCs w:val="21"/>
          <w:highlight w:val="none"/>
          <w:lang w:eastAsia="zh-CN"/>
        </w:rPr>
        <w:t>甲方</w:t>
      </w:r>
      <w:r>
        <w:rPr>
          <w:rFonts w:ascii="宋体" w:hAnsi="宋体"/>
          <w:color w:val="auto"/>
          <w:kern w:val="0"/>
          <w:szCs w:val="21"/>
          <w:highlight w:val="none"/>
        </w:rPr>
        <w:t>工作人员外出旅游或安排</w:t>
      </w:r>
      <w:r>
        <w:rPr>
          <w:rFonts w:hint="eastAsia" w:ascii="宋体" w:hAnsi="宋体"/>
          <w:color w:val="auto"/>
          <w:kern w:val="0"/>
          <w:szCs w:val="21"/>
          <w:highlight w:val="none"/>
          <w:lang w:eastAsia="zh-CN"/>
        </w:rPr>
        <w:t>甲方</w:t>
      </w:r>
      <w:r>
        <w:rPr>
          <w:rFonts w:ascii="宋体" w:hAnsi="宋体"/>
          <w:color w:val="auto"/>
          <w:kern w:val="0"/>
          <w:szCs w:val="21"/>
          <w:highlight w:val="none"/>
        </w:rPr>
        <w:t>工作人员参加宴请、健身、娱乐等活动。</w:t>
      </w:r>
    </w:p>
    <w:p w14:paraId="1F56F1ED">
      <w:pPr>
        <w:widowControl/>
        <w:spacing w:line="36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4、</w:t>
      </w:r>
      <w:r>
        <w:rPr>
          <w:rFonts w:hint="eastAsia" w:ascii="宋体" w:hAnsi="宋体"/>
          <w:color w:val="auto"/>
          <w:kern w:val="0"/>
          <w:szCs w:val="21"/>
          <w:highlight w:val="none"/>
          <w:lang w:eastAsia="zh-CN"/>
        </w:rPr>
        <w:t>乙方</w:t>
      </w:r>
      <w:r>
        <w:rPr>
          <w:rFonts w:ascii="宋体" w:hAnsi="宋体"/>
          <w:color w:val="auto"/>
          <w:kern w:val="0"/>
          <w:szCs w:val="21"/>
          <w:highlight w:val="none"/>
        </w:rPr>
        <w:t>不得与工程承包人联合作假，如计量、验收，提供虚假资料，接收好处或提成。</w:t>
      </w:r>
    </w:p>
    <w:p w14:paraId="2BF39F48">
      <w:pPr>
        <w:widowControl/>
        <w:spacing w:line="36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5、</w:t>
      </w:r>
      <w:r>
        <w:rPr>
          <w:rFonts w:hint="eastAsia" w:ascii="宋体" w:hAnsi="宋体"/>
          <w:color w:val="auto"/>
          <w:kern w:val="0"/>
          <w:szCs w:val="21"/>
          <w:highlight w:val="none"/>
          <w:lang w:eastAsia="zh-CN"/>
        </w:rPr>
        <w:t>乙方</w:t>
      </w:r>
      <w:r>
        <w:rPr>
          <w:rFonts w:ascii="宋体" w:hAnsi="宋体"/>
          <w:color w:val="auto"/>
          <w:kern w:val="0"/>
          <w:szCs w:val="21"/>
          <w:highlight w:val="none"/>
        </w:rPr>
        <w:t>不得以任何理由索要或接受工程承包人的礼金、有价证券和贵重物品，不得在工程承包人报销任何应由</w:t>
      </w:r>
      <w:r>
        <w:rPr>
          <w:rFonts w:hint="eastAsia" w:ascii="宋体" w:hAnsi="宋体"/>
          <w:color w:val="auto"/>
          <w:kern w:val="0"/>
          <w:szCs w:val="21"/>
          <w:highlight w:val="none"/>
          <w:lang w:eastAsia="zh-CN"/>
        </w:rPr>
        <w:t>乙方</w:t>
      </w:r>
      <w:r>
        <w:rPr>
          <w:rFonts w:ascii="宋体" w:hAnsi="宋体"/>
          <w:color w:val="auto"/>
          <w:kern w:val="0"/>
          <w:szCs w:val="21"/>
          <w:highlight w:val="none"/>
        </w:rPr>
        <w:t>或个人支付的费用。</w:t>
      </w:r>
    </w:p>
    <w:p w14:paraId="0A6A9F07">
      <w:pPr>
        <w:widowControl/>
        <w:spacing w:line="36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6、</w:t>
      </w:r>
      <w:r>
        <w:rPr>
          <w:rFonts w:hint="eastAsia" w:ascii="宋体" w:hAnsi="宋体"/>
          <w:color w:val="auto"/>
          <w:kern w:val="0"/>
          <w:szCs w:val="21"/>
          <w:highlight w:val="none"/>
          <w:lang w:eastAsia="zh-CN"/>
        </w:rPr>
        <w:t>乙方</w:t>
      </w:r>
      <w:r>
        <w:rPr>
          <w:rFonts w:ascii="宋体" w:hAnsi="宋体"/>
          <w:color w:val="auto"/>
          <w:kern w:val="0"/>
          <w:szCs w:val="21"/>
          <w:highlight w:val="none"/>
        </w:rPr>
        <w:t>不准参加有可能影响公正执行公务的工程承包人的宴请、健身、娱乐等活动。</w:t>
      </w:r>
    </w:p>
    <w:p w14:paraId="6A1FEBBC">
      <w:pPr>
        <w:widowControl/>
        <w:spacing w:line="36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7、</w:t>
      </w:r>
      <w:r>
        <w:rPr>
          <w:rFonts w:hint="eastAsia" w:ascii="宋体" w:hAnsi="宋体"/>
          <w:color w:val="auto"/>
          <w:kern w:val="0"/>
          <w:szCs w:val="21"/>
          <w:highlight w:val="none"/>
          <w:lang w:eastAsia="zh-CN"/>
        </w:rPr>
        <w:t>乙方</w:t>
      </w:r>
      <w:r>
        <w:rPr>
          <w:rFonts w:ascii="宋体" w:hAnsi="宋体"/>
          <w:color w:val="auto"/>
          <w:kern w:val="0"/>
          <w:szCs w:val="21"/>
          <w:highlight w:val="none"/>
        </w:rPr>
        <w:t>及其工作人员不得要求或接受工程承包人为其住房装修、婚丧嫁娶活动、旅游等提供方便。</w:t>
      </w:r>
    </w:p>
    <w:p w14:paraId="05473038">
      <w:pPr>
        <w:widowControl/>
        <w:spacing w:line="36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8、</w:t>
      </w:r>
      <w:r>
        <w:rPr>
          <w:rFonts w:hint="eastAsia" w:ascii="宋体" w:hAnsi="宋体"/>
          <w:color w:val="auto"/>
          <w:kern w:val="0"/>
          <w:szCs w:val="21"/>
          <w:highlight w:val="none"/>
          <w:lang w:eastAsia="zh-CN"/>
        </w:rPr>
        <w:t>乙方</w:t>
      </w:r>
      <w:r>
        <w:rPr>
          <w:rFonts w:ascii="宋体" w:hAnsi="宋体"/>
          <w:color w:val="auto"/>
          <w:kern w:val="0"/>
          <w:szCs w:val="21"/>
          <w:highlight w:val="none"/>
        </w:rPr>
        <w:t>不准向工程承包人介绍或为配偶、子女、亲属参与同项目工程合同有关的设备、材料、工程分包、劳务等经济活动。不得以任何理由向施工单位推荐分包单位和要求购买与项目工程合同规定以外的材料、设备等。</w:t>
      </w:r>
    </w:p>
    <w:p w14:paraId="42088FBD">
      <w:pPr>
        <w:widowControl/>
        <w:spacing w:line="36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9、</w:t>
      </w:r>
      <w:r>
        <w:rPr>
          <w:rFonts w:hint="eastAsia" w:ascii="宋体" w:hAnsi="宋体"/>
          <w:color w:val="auto"/>
          <w:kern w:val="0"/>
          <w:szCs w:val="21"/>
          <w:highlight w:val="none"/>
          <w:lang w:eastAsia="zh-CN"/>
        </w:rPr>
        <w:t>乙方</w:t>
      </w:r>
      <w:r>
        <w:rPr>
          <w:rFonts w:ascii="宋体" w:hAnsi="宋体"/>
          <w:color w:val="auto"/>
          <w:kern w:val="0"/>
          <w:szCs w:val="21"/>
          <w:highlight w:val="none"/>
        </w:rPr>
        <w:t>及其工作人员应严格按规程办事，不得为谋取私利向</w:t>
      </w:r>
      <w:r>
        <w:rPr>
          <w:rFonts w:hint="eastAsia" w:ascii="宋体" w:hAnsi="宋体"/>
          <w:color w:val="auto"/>
          <w:kern w:val="0"/>
          <w:szCs w:val="21"/>
          <w:highlight w:val="none"/>
          <w:lang w:eastAsia="zh-CN"/>
        </w:rPr>
        <w:t>甲方</w:t>
      </w:r>
      <w:r>
        <w:rPr>
          <w:rFonts w:ascii="宋体" w:hAnsi="宋体"/>
          <w:color w:val="auto"/>
          <w:kern w:val="0"/>
          <w:szCs w:val="21"/>
          <w:highlight w:val="none"/>
        </w:rPr>
        <w:t>人员非法行贿，私下串通，损害</w:t>
      </w:r>
      <w:r>
        <w:rPr>
          <w:rFonts w:hint="eastAsia" w:ascii="宋体" w:hAnsi="宋体"/>
          <w:color w:val="auto"/>
          <w:kern w:val="0"/>
          <w:szCs w:val="21"/>
          <w:highlight w:val="none"/>
          <w:lang w:eastAsia="zh-CN"/>
        </w:rPr>
        <w:t>甲方</w:t>
      </w:r>
      <w:r>
        <w:rPr>
          <w:rFonts w:ascii="宋体" w:hAnsi="宋体"/>
          <w:color w:val="auto"/>
          <w:kern w:val="0"/>
          <w:szCs w:val="21"/>
          <w:highlight w:val="none"/>
        </w:rPr>
        <w:t>利益，同时必须履行向</w:t>
      </w:r>
      <w:r>
        <w:rPr>
          <w:rFonts w:hint="eastAsia" w:ascii="宋体" w:hAnsi="宋体"/>
          <w:color w:val="auto"/>
          <w:kern w:val="0"/>
          <w:szCs w:val="21"/>
          <w:highlight w:val="none"/>
          <w:lang w:eastAsia="zh-CN"/>
        </w:rPr>
        <w:t>甲方</w:t>
      </w:r>
      <w:r>
        <w:rPr>
          <w:rFonts w:ascii="宋体" w:hAnsi="宋体"/>
          <w:color w:val="auto"/>
          <w:kern w:val="0"/>
          <w:szCs w:val="21"/>
          <w:highlight w:val="none"/>
        </w:rPr>
        <w:t>承诺的上述其他的廉政义务。</w:t>
      </w:r>
    </w:p>
    <w:p w14:paraId="7F38B810">
      <w:pPr>
        <w:widowControl/>
        <w:spacing w:line="36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10、</w:t>
      </w:r>
      <w:r>
        <w:rPr>
          <w:rFonts w:hint="eastAsia" w:ascii="宋体" w:hAnsi="宋体"/>
          <w:color w:val="auto"/>
          <w:kern w:val="0"/>
          <w:szCs w:val="21"/>
          <w:highlight w:val="none"/>
          <w:lang w:eastAsia="zh-CN"/>
        </w:rPr>
        <w:t>乙方</w:t>
      </w:r>
      <w:r>
        <w:rPr>
          <w:rFonts w:ascii="宋体" w:hAnsi="宋体"/>
          <w:color w:val="auto"/>
          <w:kern w:val="0"/>
          <w:szCs w:val="21"/>
          <w:highlight w:val="none"/>
        </w:rPr>
        <w:t>如果发现</w:t>
      </w:r>
      <w:r>
        <w:rPr>
          <w:rFonts w:hint="eastAsia" w:ascii="宋体" w:hAnsi="宋体"/>
          <w:color w:val="auto"/>
          <w:kern w:val="0"/>
          <w:szCs w:val="21"/>
          <w:highlight w:val="none"/>
          <w:lang w:eastAsia="zh-CN"/>
        </w:rPr>
        <w:t>甲方</w:t>
      </w:r>
      <w:r>
        <w:rPr>
          <w:rFonts w:ascii="宋体" w:hAnsi="宋体"/>
          <w:color w:val="auto"/>
          <w:kern w:val="0"/>
          <w:szCs w:val="21"/>
          <w:highlight w:val="none"/>
        </w:rPr>
        <w:t>工作人员有违反廉政规定的行为，应向</w:t>
      </w:r>
      <w:r>
        <w:rPr>
          <w:rFonts w:hint="eastAsia" w:ascii="宋体" w:hAnsi="宋体"/>
          <w:color w:val="auto"/>
          <w:kern w:val="0"/>
          <w:szCs w:val="21"/>
          <w:highlight w:val="none"/>
          <w:lang w:eastAsia="zh-CN"/>
        </w:rPr>
        <w:t>甲方</w:t>
      </w:r>
      <w:r>
        <w:rPr>
          <w:rFonts w:ascii="宋体" w:hAnsi="宋体"/>
          <w:color w:val="auto"/>
          <w:kern w:val="0"/>
          <w:szCs w:val="21"/>
          <w:highlight w:val="none"/>
        </w:rPr>
        <w:t>组织或上级单位举报。</w:t>
      </w:r>
      <w:r>
        <w:rPr>
          <w:rFonts w:hint="eastAsia" w:ascii="宋体" w:hAnsi="宋体"/>
          <w:color w:val="auto"/>
          <w:kern w:val="0"/>
          <w:szCs w:val="21"/>
          <w:highlight w:val="none"/>
          <w:lang w:eastAsia="zh-CN"/>
        </w:rPr>
        <w:t>甲方</w:t>
      </w:r>
      <w:r>
        <w:rPr>
          <w:rFonts w:ascii="宋体" w:hAnsi="宋体"/>
          <w:color w:val="auto"/>
          <w:kern w:val="0"/>
          <w:szCs w:val="21"/>
          <w:highlight w:val="none"/>
        </w:rPr>
        <w:t>均不得找任何借口对</w:t>
      </w:r>
      <w:r>
        <w:rPr>
          <w:rFonts w:hint="eastAsia" w:ascii="宋体" w:hAnsi="宋体"/>
          <w:color w:val="auto"/>
          <w:kern w:val="0"/>
          <w:szCs w:val="21"/>
          <w:highlight w:val="none"/>
          <w:lang w:eastAsia="zh-CN"/>
        </w:rPr>
        <w:t>乙方</w:t>
      </w:r>
      <w:r>
        <w:rPr>
          <w:rFonts w:ascii="宋体" w:hAnsi="宋体"/>
          <w:color w:val="auto"/>
          <w:kern w:val="0"/>
          <w:szCs w:val="21"/>
          <w:highlight w:val="none"/>
        </w:rPr>
        <w:t>进行报复。</w:t>
      </w:r>
    </w:p>
    <w:p w14:paraId="43E00FB5">
      <w:pPr>
        <w:widowControl/>
        <w:spacing w:line="36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四、违约责任及相关处罚</w:t>
      </w:r>
    </w:p>
    <w:p w14:paraId="64C5EE72">
      <w:pPr>
        <w:widowControl/>
        <w:spacing w:line="36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lang w:eastAsia="zh-CN"/>
        </w:rPr>
        <w:t>甲方</w:t>
      </w:r>
      <w:r>
        <w:rPr>
          <w:rFonts w:ascii="宋体" w:hAnsi="宋体"/>
          <w:color w:val="auto"/>
          <w:kern w:val="0"/>
          <w:szCs w:val="21"/>
          <w:highlight w:val="none"/>
        </w:rPr>
        <w:t>工作人员有违反本合同第一、二条责任行为的，按照管理权限，依据有关法律法规和规定给予党纪、政纪处分或组织处理；涉嫌犯罪的，移交司法机关追究刑事责任；给</w:t>
      </w:r>
      <w:r>
        <w:rPr>
          <w:rFonts w:hint="eastAsia" w:ascii="宋体" w:hAnsi="宋体"/>
          <w:color w:val="auto"/>
          <w:kern w:val="0"/>
          <w:szCs w:val="21"/>
          <w:highlight w:val="none"/>
          <w:lang w:eastAsia="zh-CN"/>
        </w:rPr>
        <w:t>乙方</w:t>
      </w:r>
      <w:r>
        <w:rPr>
          <w:rFonts w:ascii="宋体" w:hAnsi="宋体"/>
          <w:color w:val="auto"/>
          <w:kern w:val="0"/>
          <w:szCs w:val="21"/>
          <w:highlight w:val="none"/>
        </w:rPr>
        <w:t>造成经济损失的，应予以赔偿。</w:t>
      </w:r>
    </w:p>
    <w:p w14:paraId="644F987E">
      <w:pPr>
        <w:widowControl/>
        <w:spacing w:line="36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lang w:eastAsia="zh-CN"/>
        </w:rPr>
        <w:t>乙方</w:t>
      </w:r>
      <w:r>
        <w:rPr>
          <w:rFonts w:ascii="宋体" w:hAnsi="宋体"/>
          <w:color w:val="auto"/>
          <w:kern w:val="0"/>
          <w:szCs w:val="21"/>
          <w:highlight w:val="none"/>
        </w:rPr>
        <w:t>工作人员有违反本合同第一、三条责任行为的，将自觉接受</w:t>
      </w:r>
      <w:r>
        <w:rPr>
          <w:rFonts w:hint="eastAsia" w:ascii="宋体" w:hAnsi="宋体"/>
          <w:color w:val="auto"/>
          <w:kern w:val="0"/>
          <w:szCs w:val="21"/>
          <w:highlight w:val="none"/>
          <w:lang w:eastAsia="zh-CN"/>
        </w:rPr>
        <w:t>甲方</w:t>
      </w:r>
      <w:r>
        <w:rPr>
          <w:rFonts w:ascii="宋体" w:hAnsi="宋体"/>
          <w:color w:val="auto"/>
          <w:kern w:val="0"/>
          <w:szCs w:val="21"/>
          <w:highlight w:val="none"/>
        </w:rPr>
        <w:t>相应的处罚，具体内容如下：</w:t>
      </w:r>
    </w:p>
    <w:p w14:paraId="5AAE1EC2">
      <w:pPr>
        <w:widowControl/>
        <w:spacing w:line="36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2.1 发现</w:t>
      </w:r>
      <w:r>
        <w:rPr>
          <w:rFonts w:hint="eastAsia" w:ascii="宋体" w:hAnsi="宋体"/>
          <w:color w:val="auto"/>
          <w:kern w:val="0"/>
          <w:szCs w:val="21"/>
          <w:highlight w:val="none"/>
          <w:lang w:eastAsia="zh-CN"/>
        </w:rPr>
        <w:t>乙方</w:t>
      </w:r>
      <w:r>
        <w:rPr>
          <w:rFonts w:ascii="宋体" w:hAnsi="宋体"/>
          <w:color w:val="auto"/>
          <w:kern w:val="0"/>
          <w:szCs w:val="21"/>
          <w:highlight w:val="none"/>
        </w:rPr>
        <w:t>接受工程承包人的宴请或娱乐活动，第一次给予警告；发现第二次，参与宴请或娱乐活动的</w:t>
      </w:r>
      <w:r>
        <w:rPr>
          <w:rFonts w:hint="eastAsia" w:ascii="宋体" w:hAnsi="宋体"/>
          <w:color w:val="auto"/>
          <w:kern w:val="0"/>
          <w:szCs w:val="21"/>
          <w:highlight w:val="none"/>
        </w:rPr>
        <w:t>质检</w:t>
      </w:r>
      <w:r>
        <w:rPr>
          <w:rFonts w:ascii="宋体" w:hAnsi="宋体"/>
          <w:color w:val="auto"/>
          <w:kern w:val="0"/>
          <w:szCs w:val="21"/>
          <w:highlight w:val="none"/>
        </w:rPr>
        <w:t>人员写出书面检查，并接受</w:t>
      </w:r>
      <w:r>
        <w:rPr>
          <w:rFonts w:ascii="宋体" w:hAnsi="宋体"/>
          <w:color w:val="auto"/>
          <w:kern w:val="0"/>
          <w:szCs w:val="21"/>
          <w:highlight w:val="none"/>
          <w:u w:val="single"/>
        </w:rPr>
        <w:t>500</w:t>
      </w:r>
      <w:r>
        <w:rPr>
          <w:rFonts w:ascii="宋体" w:hAnsi="宋体"/>
          <w:color w:val="auto"/>
          <w:kern w:val="0"/>
          <w:szCs w:val="21"/>
          <w:highlight w:val="none"/>
        </w:rPr>
        <w:t>元/人的经济处罚，项目负责人接受</w:t>
      </w:r>
      <w:r>
        <w:rPr>
          <w:rFonts w:ascii="宋体" w:hAnsi="宋体"/>
          <w:color w:val="auto"/>
          <w:kern w:val="0"/>
          <w:szCs w:val="21"/>
          <w:highlight w:val="none"/>
          <w:u w:val="single"/>
        </w:rPr>
        <w:t>1000</w:t>
      </w:r>
      <w:r>
        <w:rPr>
          <w:rFonts w:ascii="宋体" w:hAnsi="宋体"/>
          <w:color w:val="auto"/>
          <w:kern w:val="0"/>
          <w:szCs w:val="21"/>
          <w:highlight w:val="none"/>
        </w:rPr>
        <w:t>元的经济处罚；发现第三次，参与宴请或娱乐活动的</w:t>
      </w:r>
      <w:r>
        <w:rPr>
          <w:rFonts w:hint="eastAsia" w:ascii="宋体" w:hAnsi="宋体"/>
          <w:color w:val="auto"/>
          <w:kern w:val="0"/>
          <w:szCs w:val="21"/>
          <w:highlight w:val="none"/>
        </w:rPr>
        <w:t>质检</w:t>
      </w:r>
      <w:r>
        <w:rPr>
          <w:rFonts w:ascii="宋体" w:hAnsi="宋体"/>
          <w:color w:val="auto"/>
          <w:kern w:val="0"/>
          <w:szCs w:val="21"/>
          <w:highlight w:val="none"/>
        </w:rPr>
        <w:t>人员清退出场，</w:t>
      </w:r>
      <w:r>
        <w:rPr>
          <w:rFonts w:hint="eastAsia" w:ascii="宋体" w:hAnsi="宋体"/>
          <w:color w:val="auto"/>
          <w:kern w:val="0"/>
          <w:szCs w:val="21"/>
          <w:highlight w:val="none"/>
          <w:lang w:eastAsia="zh-CN"/>
        </w:rPr>
        <w:t>乙方</w:t>
      </w:r>
      <w:r>
        <w:rPr>
          <w:rFonts w:ascii="宋体" w:hAnsi="宋体"/>
          <w:color w:val="auto"/>
          <w:kern w:val="0"/>
          <w:szCs w:val="21"/>
          <w:highlight w:val="none"/>
        </w:rPr>
        <w:t>接受</w:t>
      </w:r>
      <w:r>
        <w:rPr>
          <w:rFonts w:ascii="宋体" w:hAnsi="宋体"/>
          <w:color w:val="auto"/>
          <w:kern w:val="0"/>
          <w:szCs w:val="21"/>
          <w:highlight w:val="none"/>
          <w:u w:val="single"/>
        </w:rPr>
        <w:t>5000</w:t>
      </w:r>
      <w:r>
        <w:rPr>
          <w:rFonts w:ascii="宋体" w:hAnsi="宋体"/>
          <w:color w:val="auto"/>
          <w:kern w:val="0"/>
          <w:szCs w:val="21"/>
          <w:highlight w:val="none"/>
        </w:rPr>
        <w:t>元的经济处罚。</w:t>
      </w:r>
    </w:p>
    <w:p w14:paraId="5189DDC4">
      <w:pPr>
        <w:widowControl/>
        <w:spacing w:line="36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2.2 发现</w:t>
      </w:r>
      <w:r>
        <w:rPr>
          <w:rFonts w:hint="eastAsia" w:ascii="宋体" w:hAnsi="宋体"/>
          <w:color w:val="auto"/>
          <w:kern w:val="0"/>
          <w:szCs w:val="21"/>
          <w:highlight w:val="none"/>
          <w:lang w:eastAsia="zh-CN"/>
        </w:rPr>
        <w:t>乙方</w:t>
      </w:r>
      <w:r>
        <w:rPr>
          <w:rFonts w:ascii="宋体" w:hAnsi="宋体"/>
          <w:color w:val="auto"/>
          <w:kern w:val="0"/>
          <w:szCs w:val="21"/>
          <w:highlight w:val="none"/>
        </w:rPr>
        <w:t>工作人员接受工程承包人为其住房装修、婚丧嫁娶活动、旅游等提供方便的行为，发现一次处罚一次。第一次发现，对</w:t>
      </w:r>
      <w:r>
        <w:rPr>
          <w:rFonts w:hint="eastAsia" w:ascii="宋体" w:hAnsi="宋体"/>
          <w:color w:val="auto"/>
          <w:kern w:val="0"/>
          <w:szCs w:val="21"/>
          <w:highlight w:val="none"/>
          <w:lang w:eastAsia="zh-CN"/>
        </w:rPr>
        <w:t>乙方</w:t>
      </w:r>
      <w:r>
        <w:rPr>
          <w:rFonts w:ascii="宋体" w:hAnsi="宋体"/>
          <w:color w:val="auto"/>
          <w:kern w:val="0"/>
          <w:szCs w:val="21"/>
          <w:highlight w:val="none"/>
        </w:rPr>
        <w:t>处以</w:t>
      </w:r>
      <w:r>
        <w:rPr>
          <w:rFonts w:ascii="宋体" w:hAnsi="宋体"/>
          <w:color w:val="auto"/>
          <w:kern w:val="0"/>
          <w:szCs w:val="21"/>
          <w:highlight w:val="none"/>
          <w:u w:val="single"/>
        </w:rPr>
        <w:t>2000</w:t>
      </w:r>
      <w:r>
        <w:rPr>
          <w:rFonts w:ascii="宋体" w:hAnsi="宋体"/>
          <w:color w:val="auto"/>
          <w:kern w:val="0"/>
          <w:szCs w:val="21"/>
          <w:highlight w:val="none"/>
        </w:rPr>
        <w:t>元的罚款，对</w:t>
      </w:r>
      <w:r>
        <w:rPr>
          <w:rFonts w:hint="eastAsia" w:ascii="宋体" w:hAnsi="宋体"/>
          <w:color w:val="auto"/>
          <w:kern w:val="0"/>
          <w:szCs w:val="21"/>
          <w:highlight w:val="none"/>
          <w:lang w:eastAsia="zh-CN"/>
        </w:rPr>
        <w:t>乙方</w:t>
      </w:r>
      <w:r>
        <w:rPr>
          <w:rFonts w:ascii="宋体" w:hAnsi="宋体"/>
          <w:color w:val="auto"/>
          <w:kern w:val="0"/>
          <w:szCs w:val="21"/>
          <w:highlight w:val="none"/>
        </w:rPr>
        <w:t>警告，相关人员写出书面检查；以后每发现一次，对</w:t>
      </w:r>
      <w:r>
        <w:rPr>
          <w:rFonts w:hint="eastAsia" w:ascii="宋体" w:hAnsi="宋体"/>
          <w:color w:val="auto"/>
          <w:kern w:val="0"/>
          <w:szCs w:val="21"/>
          <w:highlight w:val="none"/>
          <w:lang w:eastAsia="zh-CN"/>
        </w:rPr>
        <w:t>乙方</w:t>
      </w:r>
      <w:r>
        <w:rPr>
          <w:rFonts w:ascii="宋体" w:hAnsi="宋体"/>
          <w:color w:val="auto"/>
          <w:kern w:val="0"/>
          <w:szCs w:val="21"/>
          <w:highlight w:val="none"/>
        </w:rPr>
        <w:t>处以</w:t>
      </w:r>
      <w:r>
        <w:rPr>
          <w:rFonts w:ascii="宋体" w:hAnsi="宋体"/>
          <w:color w:val="auto"/>
          <w:kern w:val="0"/>
          <w:szCs w:val="21"/>
          <w:highlight w:val="none"/>
          <w:u w:val="single"/>
        </w:rPr>
        <w:t>5000</w:t>
      </w:r>
      <w:r>
        <w:rPr>
          <w:rFonts w:ascii="宋体" w:hAnsi="宋体"/>
          <w:color w:val="auto"/>
          <w:kern w:val="0"/>
          <w:szCs w:val="21"/>
          <w:highlight w:val="none"/>
        </w:rPr>
        <w:t>元的罚款，清退相关</w:t>
      </w:r>
      <w:r>
        <w:rPr>
          <w:rFonts w:hint="eastAsia" w:ascii="宋体" w:hAnsi="宋体"/>
          <w:color w:val="auto"/>
          <w:kern w:val="0"/>
          <w:szCs w:val="21"/>
          <w:highlight w:val="none"/>
        </w:rPr>
        <w:t>质检</w:t>
      </w:r>
      <w:r>
        <w:rPr>
          <w:rFonts w:ascii="宋体" w:hAnsi="宋体"/>
          <w:color w:val="auto"/>
          <w:kern w:val="0"/>
          <w:szCs w:val="21"/>
          <w:highlight w:val="none"/>
        </w:rPr>
        <w:t>人员。</w:t>
      </w:r>
    </w:p>
    <w:p w14:paraId="7307AA70">
      <w:pPr>
        <w:widowControl/>
        <w:spacing w:line="36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 xml:space="preserve">2.3 </w:t>
      </w:r>
      <w:r>
        <w:rPr>
          <w:rFonts w:hint="eastAsia" w:ascii="宋体" w:hAnsi="宋体"/>
          <w:color w:val="auto"/>
          <w:kern w:val="0"/>
          <w:szCs w:val="21"/>
          <w:highlight w:val="none"/>
          <w:lang w:eastAsia="zh-CN"/>
        </w:rPr>
        <w:t>乙方</w:t>
      </w:r>
      <w:r>
        <w:rPr>
          <w:rFonts w:ascii="宋体" w:hAnsi="宋体"/>
          <w:color w:val="auto"/>
          <w:kern w:val="0"/>
          <w:szCs w:val="21"/>
          <w:highlight w:val="none"/>
        </w:rPr>
        <w:t>不得索要或接受工程承包人的礼金、有价证券和贵重物品。若情况属实，</w:t>
      </w:r>
      <w:r>
        <w:rPr>
          <w:rFonts w:hint="eastAsia" w:ascii="宋体" w:hAnsi="宋体"/>
          <w:color w:val="auto"/>
          <w:kern w:val="0"/>
          <w:szCs w:val="21"/>
          <w:highlight w:val="none"/>
          <w:lang w:eastAsia="zh-CN"/>
        </w:rPr>
        <w:t>乙方</w:t>
      </w:r>
      <w:r>
        <w:rPr>
          <w:rFonts w:ascii="宋体" w:hAnsi="宋体"/>
          <w:color w:val="auto"/>
          <w:kern w:val="0"/>
          <w:szCs w:val="21"/>
          <w:highlight w:val="none"/>
        </w:rPr>
        <w:t>除了退还所收物品外，还要接受</w:t>
      </w:r>
      <w:r>
        <w:rPr>
          <w:rFonts w:hint="eastAsia" w:ascii="宋体" w:hAnsi="宋体"/>
          <w:color w:val="auto"/>
          <w:kern w:val="0"/>
          <w:szCs w:val="21"/>
          <w:highlight w:val="none"/>
          <w:lang w:eastAsia="zh-CN"/>
        </w:rPr>
        <w:t>甲方</w:t>
      </w:r>
      <w:r>
        <w:rPr>
          <w:rFonts w:ascii="宋体" w:hAnsi="宋体"/>
          <w:color w:val="auto"/>
          <w:kern w:val="0"/>
          <w:szCs w:val="21"/>
          <w:highlight w:val="none"/>
        </w:rPr>
        <w:t>的处罚，即：第一次发现，对</w:t>
      </w:r>
      <w:r>
        <w:rPr>
          <w:rFonts w:hint="eastAsia" w:ascii="宋体" w:hAnsi="宋体"/>
          <w:color w:val="auto"/>
          <w:kern w:val="0"/>
          <w:szCs w:val="21"/>
          <w:highlight w:val="none"/>
          <w:lang w:eastAsia="zh-CN"/>
        </w:rPr>
        <w:t>乙方</w:t>
      </w:r>
      <w:r>
        <w:rPr>
          <w:rFonts w:ascii="宋体" w:hAnsi="宋体"/>
          <w:color w:val="auto"/>
          <w:kern w:val="0"/>
          <w:szCs w:val="21"/>
          <w:highlight w:val="none"/>
        </w:rPr>
        <w:t>警告，相关人员写出书面检查；第二次发现，对</w:t>
      </w:r>
      <w:r>
        <w:rPr>
          <w:rFonts w:hint="eastAsia" w:ascii="宋体" w:hAnsi="宋体"/>
          <w:color w:val="auto"/>
          <w:kern w:val="0"/>
          <w:szCs w:val="21"/>
          <w:highlight w:val="none"/>
          <w:lang w:eastAsia="zh-CN"/>
        </w:rPr>
        <w:t>乙方</w:t>
      </w:r>
      <w:r>
        <w:rPr>
          <w:rFonts w:ascii="宋体" w:hAnsi="宋体"/>
          <w:color w:val="auto"/>
          <w:kern w:val="0"/>
          <w:szCs w:val="21"/>
          <w:highlight w:val="none"/>
        </w:rPr>
        <w:t>处以</w:t>
      </w:r>
      <w:r>
        <w:rPr>
          <w:rFonts w:ascii="宋体" w:hAnsi="宋体"/>
          <w:color w:val="auto"/>
          <w:kern w:val="0"/>
          <w:szCs w:val="21"/>
          <w:highlight w:val="none"/>
          <w:u w:val="single"/>
        </w:rPr>
        <w:t>1000</w:t>
      </w:r>
      <w:r>
        <w:rPr>
          <w:rFonts w:ascii="宋体" w:hAnsi="宋体"/>
          <w:color w:val="auto"/>
          <w:kern w:val="0"/>
          <w:szCs w:val="21"/>
          <w:highlight w:val="none"/>
        </w:rPr>
        <w:t>元的罚款，清退相关</w:t>
      </w:r>
      <w:r>
        <w:rPr>
          <w:rFonts w:hint="eastAsia" w:ascii="宋体" w:hAnsi="宋体"/>
          <w:color w:val="auto"/>
          <w:kern w:val="0"/>
          <w:szCs w:val="21"/>
          <w:highlight w:val="none"/>
        </w:rPr>
        <w:t>质检</w:t>
      </w:r>
      <w:r>
        <w:rPr>
          <w:rFonts w:ascii="宋体" w:hAnsi="宋体"/>
          <w:color w:val="auto"/>
          <w:kern w:val="0"/>
          <w:szCs w:val="21"/>
          <w:highlight w:val="none"/>
        </w:rPr>
        <w:t xml:space="preserve">人员。 </w:t>
      </w:r>
    </w:p>
    <w:p w14:paraId="31AFEF3B">
      <w:pPr>
        <w:widowControl/>
        <w:spacing w:line="36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 xml:space="preserve">2.4 </w:t>
      </w:r>
      <w:r>
        <w:rPr>
          <w:rFonts w:hint="eastAsia" w:ascii="宋体" w:hAnsi="宋体"/>
          <w:color w:val="auto"/>
          <w:kern w:val="0"/>
          <w:szCs w:val="21"/>
          <w:highlight w:val="none"/>
          <w:lang w:eastAsia="zh-CN"/>
        </w:rPr>
        <w:t>乙方</w:t>
      </w:r>
      <w:r>
        <w:rPr>
          <w:rFonts w:ascii="宋体" w:hAnsi="宋体"/>
          <w:color w:val="auto"/>
          <w:kern w:val="0"/>
          <w:szCs w:val="21"/>
          <w:highlight w:val="none"/>
        </w:rPr>
        <w:t>不得介绍建筑材料或介绍劳务单位参与工程建设。若情况属实，发现一次处罚一次，每发现一次对</w:t>
      </w:r>
      <w:r>
        <w:rPr>
          <w:rFonts w:hint="eastAsia" w:ascii="宋体" w:hAnsi="宋体"/>
          <w:color w:val="auto"/>
          <w:kern w:val="0"/>
          <w:szCs w:val="21"/>
          <w:highlight w:val="none"/>
          <w:lang w:eastAsia="zh-CN"/>
        </w:rPr>
        <w:t>乙方</w:t>
      </w:r>
      <w:r>
        <w:rPr>
          <w:rFonts w:ascii="宋体" w:hAnsi="宋体"/>
          <w:color w:val="auto"/>
          <w:kern w:val="0"/>
          <w:szCs w:val="21"/>
          <w:highlight w:val="none"/>
        </w:rPr>
        <w:t>处以</w:t>
      </w:r>
      <w:r>
        <w:rPr>
          <w:rFonts w:ascii="宋体" w:hAnsi="宋体"/>
          <w:color w:val="auto"/>
          <w:kern w:val="0"/>
          <w:szCs w:val="21"/>
          <w:highlight w:val="none"/>
          <w:u w:val="single"/>
        </w:rPr>
        <w:t>5000</w:t>
      </w:r>
      <w:r>
        <w:rPr>
          <w:rFonts w:ascii="宋体" w:hAnsi="宋体"/>
          <w:color w:val="auto"/>
          <w:kern w:val="0"/>
          <w:szCs w:val="21"/>
          <w:highlight w:val="none"/>
        </w:rPr>
        <w:t>元的罚款。</w:t>
      </w:r>
    </w:p>
    <w:p w14:paraId="666C90F3">
      <w:pPr>
        <w:widowControl/>
        <w:spacing w:line="36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lang w:eastAsia="zh-CN"/>
        </w:rPr>
        <w:t>乙方</w:t>
      </w:r>
      <w:r>
        <w:rPr>
          <w:rFonts w:ascii="宋体" w:hAnsi="宋体"/>
          <w:color w:val="auto"/>
          <w:kern w:val="0"/>
          <w:szCs w:val="21"/>
          <w:highlight w:val="none"/>
        </w:rPr>
        <w:t>有违反本合同第一、三条责任行为情节严重的，除接受以上第2条处罚外，还依据有关法律法规和规定给予相关责任人党纪、政纪处分或组织处理；涉嫌犯罪的，移交司法机关追究刑事责任；给</w:t>
      </w:r>
      <w:r>
        <w:rPr>
          <w:rFonts w:hint="eastAsia" w:ascii="宋体" w:hAnsi="宋体"/>
          <w:color w:val="auto"/>
          <w:kern w:val="0"/>
          <w:szCs w:val="21"/>
          <w:highlight w:val="none"/>
          <w:lang w:eastAsia="zh-CN"/>
        </w:rPr>
        <w:t>甲方</w:t>
      </w:r>
      <w:r>
        <w:rPr>
          <w:rFonts w:ascii="宋体" w:hAnsi="宋体"/>
          <w:color w:val="auto"/>
          <w:kern w:val="0"/>
          <w:szCs w:val="21"/>
          <w:highlight w:val="none"/>
        </w:rPr>
        <w:t>单位造成经济损失的，应予以赔偿。</w:t>
      </w:r>
    </w:p>
    <w:p w14:paraId="1DB03DA9">
      <w:pPr>
        <w:widowControl/>
        <w:spacing w:line="36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（以下无正文）</w:t>
      </w:r>
    </w:p>
    <w:p w14:paraId="68EF7953">
      <w:pPr>
        <w:widowControl/>
        <w:spacing w:line="360" w:lineRule="auto"/>
        <w:jc w:val="left"/>
        <w:rPr>
          <w:rFonts w:ascii="宋体" w:hAnsi="宋体"/>
          <w:color w:val="auto"/>
          <w:kern w:val="0"/>
          <w:szCs w:val="21"/>
          <w:highlight w:val="none"/>
        </w:rPr>
      </w:pPr>
    </w:p>
    <w:p w14:paraId="1AF250D3">
      <w:pPr>
        <w:widowControl/>
        <w:spacing w:line="480" w:lineRule="auto"/>
        <w:ind w:firstLine="480" w:firstLineChars="200"/>
        <w:jc w:val="left"/>
        <w:rPr>
          <w:rFonts w:ascii="宋体" w:hAnsi="宋体"/>
          <w:color w:val="auto"/>
          <w:kern w:val="0"/>
          <w:szCs w:val="21"/>
          <w:highlight w:val="none"/>
        </w:rPr>
      </w:pPr>
      <w:r>
        <w:rPr>
          <w:rFonts w:hint="eastAsia" w:ascii="宋体" w:hAnsi="宋体"/>
          <w:color w:val="auto"/>
          <w:kern w:val="0"/>
          <w:szCs w:val="21"/>
          <w:highlight w:val="none"/>
          <w:lang w:eastAsia="zh-CN"/>
        </w:rPr>
        <w:t>甲方</w:t>
      </w:r>
      <w:r>
        <w:rPr>
          <w:rFonts w:ascii="宋体" w:hAnsi="宋体"/>
          <w:color w:val="auto"/>
          <w:kern w:val="0"/>
          <w:szCs w:val="21"/>
          <w:highlight w:val="none"/>
        </w:rPr>
        <w:t>（盖</w:t>
      </w:r>
      <w:r>
        <w:rPr>
          <w:rFonts w:hint="eastAsia" w:ascii="宋体" w:hAnsi="宋体"/>
          <w:color w:val="auto"/>
          <w:kern w:val="0"/>
          <w:szCs w:val="21"/>
          <w:highlight w:val="none"/>
        </w:rPr>
        <w:t>单位法人章</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hint="eastAsia" w:ascii="宋体" w:hAnsi="宋体"/>
          <w:color w:val="auto"/>
          <w:kern w:val="0"/>
          <w:szCs w:val="21"/>
          <w:highlight w:val="none"/>
          <w:lang w:eastAsia="zh-CN"/>
        </w:rPr>
        <w:t>乙方</w:t>
      </w:r>
      <w:r>
        <w:rPr>
          <w:rFonts w:ascii="宋体" w:hAnsi="宋体"/>
          <w:color w:val="auto"/>
          <w:kern w:val="0"/>
          <w:szCs w:val="21"/>
          <w:highlight w:val="none"/>
        </w:rPr>
        <w:t>（盖</w:t>
      </w:r>
      <w:r>
        <w:rPr>
          <w:rFonts w:hint="eastAsia" w:ascii="宋体" w:hAnsi="宋体"/>
          <w:color w:val="auto"/>
          <w:kern w:val="0"/>
          <w:szCs w:val="21"/>
          <w:highlight w:val="none"/>
        </w:rPr>
        <w:t>单位法人章</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p>
    <w:p w14:paraId="55B1AA12">
      <w:pPr>
        <w:pStyle w:val="22"/>
        <w:rPr>
          <w:color w:val="auto"/>
          <w:highlight w:val="none"/>
        </w:rPr>
      </w:pPr>
    </w:p>
    <w:p w14:paraId="67D4F36A">
      <w:pPr>
        <w:pStyle w:val="22"/>
        <w:rPr>
          <w:color w:val="auto"/>
          <w:highlight w:val="none"/>
        </w:rPr>
      </w:pPr>
    </w:p>
    <w:p w14:paraId="1DA80925">
      <w:pPr>
        <w:widowControl/>
        <w:spacing w:line="48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hint="eastAsia" w:ascii="宋体" w:hAnsi="宋体"/>
          <w:color w:val="auto"/>
          <w:kern w:val="0"/>
          <w:szCs w:val="21"/>
          <w:highlight w:val="none"/>
        </w:rPr>
        <w:t xml:space="preserve">                                  </w:t>
      </w:r>
      <w:r>
        <w:rPr>
          <w:rFonts w:ascii="宋体" w:hAnsi="宋体"/>
          <w:color w:val="auto"/>
          <w:kern w:val="0"/>
          <w:szCs w:val="21"/>
          <w:highlight w:val="none"/>
        </w:rPr>
        <w:t>法定代表人</w:t>
      </w:r>
    </w:p>
    <w:p w14:paraId="542F1E23">
      <w:pPr>
        <w:widowControl/>
        <w:spacing w:line="48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或委托代理人（签名）：</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或委托代理人（签名）：         </w:t>
      </w:r>
    </w:p>
    <w:p w14:paraId="7AABE835">
      <w:pPr>
        <w:widowControl/>
        <w:spacing w:line="48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 xml:space="preserve">联系人：                        </w:t>
      </w:r>
      <w:r>
        <w:rPr>
          <w:rFonts w:hint="eastAsia" w:ascii="宋体" w:hAnsi="宋体"/>
          <w:color w:val="auto"/>
          <w:kern w:val="0"/>
          <w:szCs w:val="21"/>
          <w:highlight w:val="none"/>
        </w:rPr>
        <w:t xml:space="preserve">            </w:t>
      </w:r>
      <w:r>
        <w:rPr>
          <w:rFonts w:ascii="宋体" w:hAnsi="宋体"/>
          <w:color w:val="auto"/>
          <w:kern w:val="0"/>
          <w:szCs w:val="21"/>
          <w:highlight w:val="none"/>
        </w:rPr>
        <w:t>联系人：</w:t>
      </w:r>
    </w:p>
    <w:p w14:paraId="439162E6">
      <w:pPr>
        <w:widowControl/>
        <w:spacing w:line="480" w:lineRule="auto"/>
        <w:ind w:firstLine="480" w:firstLineChars="200"/>
        <w:jc w:val="left"/>
        <w:rPr>
          <w:rFonts w:ascii="宋体" w:hAnsi="宋体"/>
          <w:color w:val="auto"/>
          <w:kern w:val="0"/>
          <w:szCs w:val="21"/>
          <w:highlight w:val="none"/>
        </w:rPr>
      </w:pPr>
      <w:r>
        <w:rPr>
          <w:rFonts w:ascii="宋体" w:hAnsi="宋体"/>
          <w:color w:val="auto"/>
          <w:kern w:val="0"/>
          <w:szCs w:val="21"/>
          <w:highlight w:val="none"/>
        </w:rPr>
        <w:t xml:space="preserve">联系电话：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联系电话：</w:t>
      </w:r>
    </w:p>
    <w:p w14:paraId="1511B424">
      <w:pPr>
        <w:widowControl/>
        <w:spacing w:line="480" w:lineRule="auto"/>
        <w:ind w:firstLine="2640" w:firstLineChars="1100"/>
        <w:jc w:val="left"/>
        <w:rPr>
          <w:rFonts w:ascii="宋体" w:hAnsi="宋体" w:eastAsia="宋体"/>
          <w:color w:val="auto"/>
          <w:sz w:val="36"/>
          <w:szCs w:val="30"/>
          <w:highlight w:val="none"/>
        </w:rPr>
      </w:pPr>
      <w:r>
        <w:rPr>
          <w:rFonts w:ascii="宋体" w:hAnsi="宋体"/>
          <w:color w:val="auto"/>
          <w:kern w:val="0"/>
          <w:szCs w:val="21"/>
          <w:highlight w:val="none"/>
        </w:rPr>
        <w:t>签约时间：    年   月   日</w:t>
      </w:r>
    </w:p>
    <w:p w14:paraId="638E25FE">
      <w:pPr>
        <w:pStyle w:val="3"/>
        <w:pageBreakBefore/>
        <w:kinsoku/>
        <w:wordWrap/>
        <w:overflowPunct/>
        <w:topLinePunct w:val="0"/>
        <w:bidi w:val="0"/>
        <w:spacing w:before="120" w:beforeLines="50" w:line="360" w:lineRule="auto"/>
        <w:jc w:val="center"/>
        <w:textAlignment w:val="auto"/>
        <w:rPr>
          <w:rFonts w:hint="eastAsia" w:ascii="宋体" w:hAnsi="宋体" w:eastAsia="宋体"/>
          <w:color w:val="auto"/>
          <w:sz w:val="36"/>
          <w:szCs w:val="30"/>
          <w:highlight w:val="none"/>
        </w:rPr>
      </w:pPr>
      <w:bookmarkStart w:id="101" w:name="_Toc30034"/>
      <w:r>
        <w:rPr>
          <w:rFonts w:ascii="宋体" w:hAnsi="宋体" w:eastAsia="宋体"/>
          <w:color w:val="auto"/>
          <w:sz w:val="36"/>
          <w:szCs w:val="30"/>
          <w:highlight w:val="none"/>
        </w:rPr>
        <w:t>第七篇  响应文件编制要求</w:t>
      </w:r>
      <w:bookmarkEnd w:id="96"/>
      <w:bookmarkEnd w:id="101"/>
    </w:p>
    <w:p w14:paraId="5F545FE8">
      <w:pPr>
        <w:pStyle w:val="4"/>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102" w:name="_Toc29060"/>
      <w:r>
        <w:rPr>
          <w:rFonts w:ascii="宋体" w:hAnsi="宋体"/>
          <w:color w:val="auto"/>
          <w:sz w:val="24"/>
          <w:szCs w:val="24"/>
          <w:highlight w:val="none"/>
        </w:rPr>
        <w:t>一、经济</w:t>
      </w:r>
      <w:r>
        <w:rPr>
          <w:rFonts w:hint="eastAsia" w:ascii="宋体" w:hAnsi="宋体"/>
          <w:color w:val="auto"/>
          <w:sz w:val="24"/>
          <w:szCs w:val="24"/>
          <w:highlight w:val="none"/>
        </w:rPr>
        <w:t>部分</w:t>
      </w:r>
      <w:bookmarkEnd w:id="102"/>
    </w:p>
    <w:p w14:paraId="42F030EE">
      <w:pPr>
        <w:kinsoku/>
        <w:wordWrap/>
        <w:overflowPunct/>
        <w:topLinePunct w:val="0"/>
        <w:bidi w:val="0"/>
        <w:spacing w:line="360" w:lineRule="auto"/>
        <w:ind w:firstLine="480" w:firstLineChars="200"/>
        <w:textAlignment w:val="auto"/>
        <w:rPr>
          <w:color w:val="auto"/>
          <w:szCs w:val="24"/>
          <w:highlight w:val="none"/>
        </w:rPr>
      </w:pPr>
      <w:r>
        <w:rPr>
          <w:color w:val="auto"/>
          <w:szCs w:val="24"/>
          <w:highlight w:val="none"/>
        </w:rPr>
        <w:t>（一）竞争性磋商报价函</w:t>
      </w:r>
    </w:p>
    <w:p w14:paraId="1391F8A6">
      <w:pPr>
        <w:pStyle w:val="4"/>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103" w:name="_Toc78194469"/>
      <w:bookmarkStart w:id="104" w:name="_Toc27150"/>
      <w:r>
        <w:rPr>
          <w:rFonts w:hint="eastAsia" w:ascii="宋体" w:hAnsi="宋体"/>
          <w:color w:val="auto"/>
          <w:sz w:val="24"/>
          <w:szCs w:val="24"/>
          <w:highlight w:val="none"/>
        </w:rPr>
        <w:t>二、</w:t>
      </w:r>
      <w:bookmarkEnd w:id="103"/>
      <w:r>
        <w:rPr>
          <w:rFonts w:hint="eastAsia" w:ascii="宋体" w:hAnsi="宋体"/>
          <w:color w:val="auto"/>
          <w:sz w:val="24"/>
          <w:szCs w:val="24"/>
          <w:highlight w:val="none"/>
          <w:lang w:eastAsia="zh-CN"/>
        </w:rPr>
        <w:t>服务</w:t>
      </w:r>
      <w:r>
        <w:rPr>
          <w:rFonts w:hint="eastAsia" w:ascii="宋体" w:hAnsi="宋体"/>
          <w:color w:val="auto"/>
          <w:sz w:val="24"/>
          <w:szCs w:val="24"/>
          <w:highlight w:val="none"/>
        </w:rPr>
        <w:t>部分</w:t>
      </w:r>
      <w:bookmarkEnd w:id="104"/>
    </w:p>
    <w:p w14:paraId="373133FD">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val="en-US" w:eastAsia="zh-CN"/>
        </w:rPr>
        <w:t>一</w:t>
      </w:r>
      <w:r>
        <w:rPr>
          <w:rFonts w:hint="eastAsia" w:ascii="宋体" w:hAnsi="宋体"/>
          <w:color w:val="auto"/>
          <w:szCs w:val="24"/>
          <w:highlight w:val="none"/>
        </w:rPr>
        <w:t>）</w:t>
      </w:r>
      <w:r>
        <w:rPr>
          <w:rFonts w:hint="eastAsia" w:ascii="宋体" w:hAnsi="宋体"/>
          <w:color w:val="auto"/>
          <w:szCs w:val="24"/>
          <w:highlight w:val="none"/>
          <w:lang w:val="en-US" w:eastAsia="zh-CN"/>
        </w:rPr>
        <w:t>服务</w:t>
      </w:r>
      <w:r>
        <w:rPr>
          <w:rFonts w:hint="eastAsia" w:ascii="宋体" w:hAnsi="宋体"/>
          <w:color w:val="auto"/>
          <w:szCs w:val="24"/>
          <w:highlight w:val="none"/>
        </w:rPr>
        <w:t>响应偏离表</w:t>
      </w:r>
    </w:p>
    <w:p w14:paraId="6D85C081">
      <w:pPr>
        <w:kinsoku/>
        <w:wordWrap/>
        <w:overflowPunct/>
        <w:topLinePunct w:val="0"/>
        <w:bidi w:val="0"/>
        <w:spacing w:line="360" w:lineRule="auto"/>
        <w:ind w:firstLine="480" w:firstLineChars="200"/>
        <w:textAlignment w:val="auto"/>
        <w:rPr>
          <w:rFonts w:hint="default" w:ascii="宋体" w:hAnsi="宋体" w:eastAsia="宋体"/>
          <w:color w:val="auto"/>
          <w:szCs w:val="24"/>
          <w:highlight w:val="none"/>
          <w:lang w:val="en-US" w:eastAsia="zh-CN"/>
        </w:rPr>
      </w:pPr>
      <w:r>
        <w:rPr>
          <w:rFonts w:hint="eastAsia" w:ascii="宋体" w:hAnsi="宋体"/>
          <w:color w:val="auto"/>
          <w:szCs w:val="24"/>
          <w:highlight w:val="none"/>
          <w:lang w:eastAsia="zh-CN"/>
        </w:rPr>
        <w:t>（</w:t>
      </w:r>
      <w:r>
        <w:rPr>
          <w:rFonts w:hint="eastAsia" w:ascii="宋体" w:hAnsi="宋体"/>
          <w:color w:val="auto"/>
          <w:szCs w:val="24"/>
          <w:highlight w:val="none"/>
          <w:lang w:val="en-US" w:eastAsia="zh-CN"/>
        </w:rPr>
        <w:t>二</w:t>
      </w:r>
      <w:r>
        <w:rPr>
          <w:rFonts w:hint="eastAsia" w:ascii="宋体" w:hAnsi="宋体"/>
          <w:color w:val="auto"/>
          <w:szCs w:val="24"/>
          <w:highlight w:val="none"/>
          <w:lang w:eastAsia="zh-CN"/>
        </w:rPr>
        <w:t>）</w:t>
      </w:r>
      <w:r>
        <w:rPr>
          <w:rFonts w:hint="eastAsia" w:ascii="宋体" w:hAnsi="宋体"/>
          <w:color w:val="auto"/>
          <w:szCs w:val="24"/>
          <w:highlight w:val="none"/>
          <w:lang w:val="en-US" w:eastAsia="zh-CN"/>
        </w:rPr>
        <w:t>服务部分</w:t>
      </w:r>
    </w:p>
    <w:p w14:paraId="75A454DD">
      <w:pPr>
        <w:pStyle w:val="4"/>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105" w:name="_Toc21310"/>
      <w:r>
        <w:rPr>
          <w:rFonts w:ascii="宋体" w:hAnsi="宋体"/>
          <w:color w:val="auto"/>
          <w:sz w:val="24"/>
          <w:szCs w:val="24"/>
          <w:highlight w:val="none"/>
        </w:rPr>
        <w:t>三、商务</w:t>
      </w:r>
      <w:r>
        <w:rPr>
          <w:rFonts w:hint="eastAsia" w:ascii="宋体" w:hAnsi="宋体"/>
          <w:color w:val="auto"/>
          <w:sz w:val="24"/>
          <w:szCs w:val="24"/>
          <w:highlight w:val="none"/>
        </w:rPr>
        <w:t>部分</w:t>
      </w:r>
      <w:bookmarkEnd w:id="105"/>
    </w:p>
    <w:p w14:paraId="3C5887F7">
      <w:pPr>
        <w:kinsoku/>
        <w:wordWrap/>
        <w:overflowPunct/>
        <w:topLinePunct w:val="0"/>
        <w:bidi w:val="0"/>
        <w:spacing w:line="360" w:lineRule="auto"/>
        <w:ind w:firstLine="480" w:firstLineChars="200"/>
        <w:textAlignment w:val="auto"/>
        <w:rPr>
          <w:rFonts w:hint="eastAsia"/>
          <w:color w:val="auto"/>
          <w:szCs w:val="24"/>
          <w:highlight w:val="none"/>
        </w:rPr>
      </w:pPr>
      <w:r>
        <w:rPr>
          <w:rFonts w:hint="eastAsia"/>
          <w:color w:val="auto"/>
          <w:szCs w:val="24"/>
          <w:highlight w:val="none"/>
        </w:rPr>
        <w:t>（一）商务响应偏离表</w:t>
      </w:r>
    </w:p>
    <w:p w14:paraId="1385E621">
      <w:pPr>
        <w:kinsoku/>
        <w:wordWrap/>
        <w:overflowPunct/>
        <w:topLinePunct w:val="0"/>
        <w:bidi w:val="0"/>
        <w:spacing w:line="360" w:lineRule="auto"/>
        <w:ind w:firstLine="480" w:firstLineChars="200"/>
        <w:textAlignment w:val="auto"/>
        <w:rPr>
          <w:rFonts w:hint="default" w:eastAsia="宋体"/>
          <w:color w:val="auto"/>
          <w:szCs w:val="24"/>
          <w:highlight w:val="none"/>
          <w:lang w:val="en-US" w:eastAsia="zh-CN"/>
        </w:rPr>
      </w:pPr>
      <w:r>
        <w:rPr>
          <w:rFonts w:hint="eastAsia"/>
          <w:color w:val="auto"/>
          <w:szCs w:val="24"/>
          <w:highlight w:val="none"/>
          <w:lang w:eastAsia="zh-CN"/>
        </w:rPr>
        <w:t>（</w:t>
      </w:r>
      <w:r>
        <w:rPr>
          <w:rFonts w:hint="eastAsia"/>
          <w:color w:val="auto"/>
          <w:szCs w:val="24"/>
          <w:highlight w:val="none"/>
          <w:lang w:val="en-US" w:eastAsia="zh-CN"/>
        </w:rPr>
        <w:t>二</w:t>
      </w:r>
      <w:r>
        <w:rPr>
          <w:rFonts w:hint="eastAsia"/>
          <w:color w:val="auto"/>
          <w:szCs w:val="24"/>
          <w:highlight w:val="none"/>
          <w:lang w:eastAsia="zh-CN"/>
        </w:rPr>
        <w:t>）</w:t>
      </w:r>
      <w:r>
        <w:rPr>
          <w:rFonts w:hint="eastAsia"/>
          <w:color w:val="auto"/>
          <w:szCs w:val="24"/>
          <w:highlight w:val="none"/>
          <w:lang w:val="en-US" w:eastAsia="zh-CN"/>
        </w:rPr>
        <w:t>商务部分</w:t>
      </w:r>
    </w:p>
    <w:p w14:paraId="2B64D4F1">
      <w:pPr>
        <w:kinsoku/>
        <w:wordWrap/>
        <w:overflowPunct/>
        <w:topLinePunct w:val="0"/>
        <w:bidi w:val="0"/>
        <w:spacing w:line="360" w:lineRule="auto"/>
        <w:ind w:firstLine="480" w:firstLineChars="200"/>
        <w:textAlignment w:val="auto"/>
        <w:rPr>
          <w:color w:val="auto"/>
          <w:szCs w:val="24"/>
          <w:highlight w:val="none"/>
        </w:rPr>
      </w:pPr>
      <w:r>
        <w:rPr>
          <w:color w:val="auto"/>
          <w:szCs w:val="24"/>
          <w:highlight w:val="none"/>
        </w:rPr>
        <w:t>（</w:t>
      </w:r>
      <w:r>
        <w:rPr>
          <w:rFonts w:hint="eastAsia"/>
          <w:color w:val="auto"/>
          <w:szCs w:val="24"/>
          <w:highlight w:val="none"/>
          <w:lang w:val="en-US" w:eastAsia="zh-CN"/>
        </w:rPr>
        <w:t>三</w:t>
      </w:r>
      <w:r>
        <w:rPr>
          <w:color w:val="auto"/>
          <w:szCs w:val="24"/>
          <w:highlight w:val="none"/>
        </w:rPr>
        <w:t>）</w:t>
      </w:r>
      <w:r>
        <w:rPr>
          <w:rFonts w:hint="eastAsia"/>
          <w:color w:val="auto"/>
          <w:szCs w:val="24"/>
          <w:highlight w:val="none"/>
        </w:rPr>
        <w:t>其它优惠服务承诺</w:t>
      </w:r>
      <w:r>
        <w:rPr>
          <w:rFonts w:hint="eastAsia" w:ascii="宋体" w:hAnsi="宋体"/>
          <w:color w:val="auto"/>
          <w:szCs w:val="24"/>
          <w:highlight w:val="none"/>
        </w:rPr>
        <w:t>（格式自定）</w:t>
      </w:r>
    </w:p>
    <w:p w14:paraId="5649DC98">
      <w:pPr>
        <w:pStyle w:val="4"/>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106" w:name="_Toc4276"/>
      <w:r>
        <w:rPr>
          <w:rFonts w:hint="eastAsia" w:ascii="宋体" w:hAnsi="宋体"/>
          <w:color w:val="auto"/>
          <w:sz w:val="24"/>
          <w:szCs w:val="24"/>
          <w:highlight w:val="none"/>
        </w:rPr>
        <w:t>四、资格条件</w:t>
      </w:r>
      <w:bookmarkEnd w:id="106"/>
    </w:p>
    <w:p w14:paraId="6AA09227">
      <w:pPr>
        <w:kinsoku/>
        <w:wordWrap/>
        <w:overflowPunct/>
        <w:topLinePunct w:val="0"/>
        <w:bidi w:val="0"/>
        <w:spacing w:line="360" w:lineRule="auto"/>
        <w:ind w:firstLine="480" w:firstLineChars="200"/>
        <w:textAlignment w:val="auto"/>
        <w:rPr>
          <w:color w:val="auto"/>
          <w:szCs w:val="24"/>
          <w:highlight w:val="none"/>
        </w:rPr>
      </w:pPr>
      <w:r>
        <w:rPr>
          <w:rFonts w:hint="eastAsia"/>
          <w:color w:val="auto"/>
          <w:szCs w:val="24"/>
          <w:highlight w:val="none"/>
        </w:rPr>
        <w:t>（一）供应商法人营业执照（副本）或事业单位法人证书（副本）或个体工商户营业执照或有效的自然人身份证明或社会团体法人登记证书复印件</w:t>
      </w:r>
    </w:p>
    <w:p w14:paraId="2D13C154">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color w:val="auto"/>
          <w:szCs w:val="24"/>
          <w:highlight w:val="none"/>
        </w:rPr>
        <w:t>（二）法定代表人</w:t>
      </w:r>
      <w:r>
        <w:rPr>
          <w:rFonts w:hint="eastAsia" w:ascii="宋体" w:hAnsi="宋体"/>
          <w:color w:val="auto"/>
          <w:szCs w:val="24"/>
          <w:highlight w:val="none"/>
        </w:rPr>
        <w:t>身份证明书（格式）</w:t>
      </w:r>
    </w:p>
    <w:p w14:paraId="69EC8137">
      <w:pPr>
        <w:kinsoku/>
        <w:wordWrap/>
        <w:overflowPunct/>
        <w:topLinePunct w:val="0"/>
        <w:bidi w:val="0"/>
        <w:spacing w:line="360" w:lineRule="auto"/>
        <w:ind w:firstLine="480" w:firstLineChars="200"/>
        <w:textAlignment w:val="auto"/>
        <w:rPr>
          <w:color w:val="auto"/>
          <w:szCs w:val="24"/>
          <w:highlight w:val="none"/>
        </w:rPr>
      </w:pPr>
      <w:r>
        <w:rPr>
          <w:rFonts w:hint="eastAsia" w:ascii="宋体" w:hAnsi="宋体"/>
          <w:color w:val="auto"/>
          <w:szCs w:val="24"/>
          <w:highlight w:val="none"/>
        </w:rPr>
        <w:t>（三）法定代表人</w:t>
      </w:r>
      <w:r>
        <w:rPr>
          <w:rFonts w:hint="eastAsia"/>
          <w:color w:val="auto"/>
          <w:szCs w:val="24"/>
          <w:highlight w:val="none"/>
        </w:rPr>
        <w:t>授权委托书（格式）</w:t>
      </w:r>
    </w:p>
    <w:p w14:paraId="1A41B60A">
      <w:pPr>
        <w:kinsoku/>
        <w:wordWrap/>
        <w:overflowPunct/>
        <w:topLinePunct w:val="0"/>
        <w:bidi w:val="0"/>
        <w:spacing w:line="360" w:lineRule="auto"/>
        <w:ind w:firstLine="480" w:firstLineChars="200"/>
        <w:textAlignment w:val="auto"/>
        <w:rPr>
          <w:color w:val="auto"/>
          <w:szCs w:val="24"/>
          <w:highlight w:val="none"/>
        </w:rPr>
      </w:pPr>
      <w:r>
        <w:rPr>
          <w:rFonts w:hint="eastAsia"/>
          <w:color w:val="auto"/>
          <w:szCs w:val="24"/>
          <w:highlight w:val="none"/>
        </w:rPr>
        <w:t>（四）基本资格条件承诺函（格式）</w:t>
      </w:r>
    </w:p>
    <w:p w14:paraId="65F15587">
      <w:pPr>
        <w:pStyle w:val="4"/>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107" w:name="_Toc22765"/>
      <w:r>
        <w:rPr>
          <w:rFonts w:hint="eastAsia" w:ascii="宋体" w:hAnsi="宋体"/>
          <w:color w:val="auto"/>
          <w:sz w:val="24"/>
          <w:szCs w:val="24"/>
          <w:highlight w:val="none"/>
        </w:rPr>
        <w:t>五</w:t>
      </w:r>
      <w:r>
        <w:rPr>
          <w:rFonts w:ascii="宋体" w:hAnsi="宋体"/>
          <w:color w:val="auto"/>
          <w:sz w:val="24"/>
          <w:szCs w:val="24"/>
          <w:highlight w:val="none"/>
        </w:rPr>
        <w:t>、其他</w:t>
      </w:r>
      <w:bookmarkEnd w:id="107"/>
    </w:p>
    <w:p w14:paraId="766B0936">
      <w:pPr>
        <w:kinsoku/>
        <w:wordWrap/>
        <w:overflowPunct/>
        <w:topLinePunct w:val="0"/>
        <w:bidi w:val="0"/>
        <w:spacing w:line="360" w:lineRule="auto"/>
        <w:ind w:firstLine="720" w:firstLineChars="300"/>
        <w:textAlignment w:val="auto"/>
        <w:rPr>
          <w:color w:val="auto"/>
          <w:szCs w:val="24"/>
          <w:highlight w:val="none"/>
        </w:rPr>
      </w:pPr>
      <w:r>
        <w:rPr>
          <w:rFonts w:hint="eastAsia"/>
          <w:color w:val="auto"/>
          <w:szCs w:val="24"/>
          <w:highlight w:val="none"/>
        </w:rPr>
        <w:t>其他与项目有关的资料（自附）</w:t>
      </w:r>
    </w:p>
    <w:p w14:paraId="4DDFD3B9">
      <w:pPr>
        <w:kinsoku/>
        <w:wordWrap/>
        <w:overflowPunct/>
        <w:topLinePunct w:val="0"/>
        <w:bidi w:val="0"/>
        <w:spacing w:line="360" w:lineRule="auto"/>
        <w:ind w:firstLine="480" w:firstLineChars="200"/>
        <w:textAlignment w:val="auto"/>
        <w:rPr>
          <w:color w:val="auto"/>
          <w:szCs w:val="24"/>
          <w:highlight w:val="none"/>
        </w:rPr>
        <w:sectPr>
          <w:footerReference r:id="rId9" w:type="default"/>
          <w:pgSz w:w="11907" w:h="16840"/>
          <w:pgMar w:top="1134" w:right="1191" w:bottom="1134" w:left="1191" w:header="851" w:footer="992" w:gutter="0"/>
          <w:pgNumType w:fmt="numberInDash"/>
          <w:cols w:space="720" w:num="1"/>
          <w:docGrid w:linePitch="381" w:charSpace="-5735"/>
        </w:sectPr>
      </w:pPr>
    </w:p>
    <w:p w14:paraId="47EC2D1C">
      <w:pPr>
        <w:pageBreakBefore/>
        <w:kinsoku/>
        <w:wordWrap/>
        <w:overflowPunct/>
        <w:topLinePunct w:val="0"/>
        <w:bidi w:val="0"/>
        <w:spacing w:line="360" w:lineRule="auto"/>
        <w:ind w:firstLine="482" w:firstLineChars="200"/>
        <w:textAlignment w:val="auto"/>
        <w:rPr>
          <w:b/>
          <w:color w:val="auto"/>
          <w:szCs w:val="24"/>
          <w:highlight w:val="none"/>
        </w:rPr>
      </w:pPr>
      <w:bookmarkStart w:id="108" w:name="_Toc23764522"/>
      <w:bookmarkStart w:id="109" w:name="_Toc313008356"/>
      <w:bookmarkStart w:id="110" w:name="_Toc342913419"/>
      <w:bookmarkStart w:id="111" w:name="_Toc313888360"/>
      <w:bookmarkStart w:id="112" w:name="_Toc12789073"/>
      <w:bookmarkStart w:id="113" w:name="_Toc283382454"/>
      <w:r>
        <w:rPr>
          <w:b/>
          <w:color w:val="auto"/>
          <w:szCs w:val="24"/>
          <w:highlight w:val="none"/>
        </w:rPr>
        <w:t>一、经济</w:t>
      </w:r>
      <w:bookmarkEnd w:id="108"/>
      <w:bookmarkEnd w:id="109"/>
      <w:bookmarkEnd w:id="110"/>
      <w:bookmarkEnd w:id="111"/>
      <w:r>
        <w:rPr>
          <w:rFonts w:hint="eastAsia"/>
          <w:b/>
          <w:color w:val="auto"/>
          <w:szCs w:val="24"/>
          <w:highlight w:val="none"/>
        </w:rPr>
        <w:t>部分</w:t>
      </w:r>
    </w:p>
    <w:bookmarkEnd w:id="112"/>
    <w:bookmarkEnd w:id="113"/>
    <w:p w14:paraId="4A8B6D54">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ascii="宋体" w:hAnsi="宋体"/>
          <w:color w:val="auto"/>
          <w:szCs w:val="24"/>
          <w:highlight w:val="none"/>
        </w:rPr>
        <w:t>（一）竞争性磋商报价函</w:t>
      </w:r>
    </w:p>
    <w:p w14:paraId="61EE1E68">
      <w:pPr>
        <w:tabs>
          <w:tab w:val="left" w:pos="6300"/>
        </w:tabs>
        <w:kinsoku/>
        <w:wordWrap/>
        <w:overflowPunct/>
        <w:topLinePunct w:val="0"/>
        <w:bidi w:val="0"/>
        <w:spacing w:line="360" w:lineRule="auto"/>
        <w:jc w:val="center"/>
        <w:textAlignment w:val="auto"/>
        <w:outlineLvl w:val="0"/>
        <w:rPr>
          <w:b/>
          <w:color w:val="auto"/>
          <w:szCs w:val="28"/>
          <w:highlight w:val="none"/>
        </w:rPr>
      </w:pPr>
      <w:r>
        <w:rPr>
          <w:b/>
          <w:color w:val="auto"/>
          <w:szCs w:val="28"/>
          <w:highlight w:val="none"/>
        </w:rPr>
        <w:t>竞争性磋商报价函</w:t>
      </w:r>
    </w:p>
    <w:p w14:paraId="07117565">
      <w:pPr>
        <w:tabs>
          <w:tab w:val="left" w:pos="6300"/>
        </w:tabs>
        <w:kinsoku/>
        <w:wordWrap/>
        <w:overflowPunct/>
        <w:topLinePunct w:val="0"/>
        <w:bidi w:val="0"/>
        <w:spacing w:line="360" w:lineRule="auto"/>
        <w:textAlignment w:val="auto"/>
        <w:rPr>
          <w:color w:val="auto"/>
          <w:szCs w:val="24"/>
          <w:highlight w:val="none"/>
        </w:rPr>
      </w:pPr>
      <w:r>
        <w:rPr>
          <w:color w:val="auto"/>
          <w:szCs w:val="24"/>
          <w:highlight w:val="none"/>
          <w:u w:val="single"/>
        </w:rPr>
        <w:t>（采购代理机构名称）</w:t>
      </w:r>
      <w:r>
        <w:rPr>
          <w:color w:val="auto"/>
          <w:szCs w:val="24"/>
          <w:highlight w:val="none"/>
        </w:rPr>
        <w:t>：</w:t>
      </w:r>
    </w:p>
    <w:p w14:paraId="43D14F99">
      <w:pPr>
        <w:tabs>
          <w:tab w:val="left" w:pos="6300"/>
        </w:tabs>
        <w:kinsoku/>
        <w:wordWrap/>
        <w:overflowPunct/>
        <w:topLinePunct w:val="0"/>
        <w:bidi w:val="0"/>
        <w:spacing w:line="360" w:lineRule="auto"/>
        <w:ind w:firstLine="480" w:firstLineChars="200"/>
        <w:textAlignment w:val="auto"/>
        <w:rPr>
          <w:color w:val="auto"/>
          <w:szCs w:val="24"/>
          <w:highlight w:val="none"/>
        </w:rPr>
      </w:pPr>
      <w:r>
        <w:rPr>
          <w:color w:val="auto"/>
          <w:szCs w:val="24"/>
          <w:highlight w:val="none"/>
        </w:rPr>
        <w:t>我方收到____________________________（项目名称）的竞争性磋商文件，经详细研究，决定参加该项目的磋商。</w:t>
      </w:r>
    </w:p>
    <w:p w14:paraId="4FE78B5B">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ascii="宋体" w:hAnsi="宋体"/>
          <w:color w:val="auto"/>
          <w:szCs w:val="24"/>
          <w:highlight w:val="none"/>
        </w:rPr>
        <w:t>1.</w:t>
      </w:r>
      <w:r>
        <w:rPr>
          <w:rFonts w:hint="eastAsia" w:ascii="宋体" w:hAnsi="宋体"/>
          <w:color w:val="auto"/>
          <w:szCs w:val="24"/>
          <w:highlight w:val="none"/>
        </w:rPr>
        <w:t>我方</w:t>
      </w:r>
      <w:r>
        <w:rPr>
          <w:rFonts w:ascii="宋体" w:hAnsi="宋体"/>
          <w:color w:val="auto"/>
          <w:szCs w:val="24"/>
          <w:highlight w:val="none"/>
        </w:rPr>
        <w:t>愿意按照竞争性磋商文件中的一切要求，提供本项目的</w:t>
      </w:r>
      <w:r>
        <w:rPr>
          <w:rFonts w:hint="eastAsia" w:ascii="宋体" w:hAnsi="宋体"/>
          <w:color w:val="auto"/>
          <w:szCs w:val="24"/>
          <w:highlight w:val="none"/>
          <w:lang w:val="en-US" w:eastAsia="zh-CN"/>
        </w:rPr>
        <w:t>技术</w:t>
      </w:r>
      <w:r>
        <w:rPr>
          <w:rFonts w:hint="eastAsia" w:ascii="宋体" w:hAnsi="宋体"/>
          <w:color w:val="auto"/>
          <w:szCs w:val="24"/>
          <w:highlight w:val="none"/>
        </w:rPr>
        <w:t>服务</w:t>
      </w:r>
      <w:r>
        <w:rPr>
          <w:rFonts w:ascii="宋体" w:hAnsi="宋体"/>
          <w:color w:val="auto"/>
          <w:szCs w:val="24"/>
          <w:highlight w:val="none"/>
        </w:rPr>
        <w:t>，初始报价为人民币大写：</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 xml:space="preserve">     </w:t>
      </w:r>
      <w:r>
        <w:rPr>
          <w:rFonts w:hint="eastAsia" w:ascii="宋体" w:hAnsi="宋体"/>
          <w:color w:val="auto"/>
          <w:szCs w:val="24"/>
          <w:highlight w:val="none"/>
          <w:u w:val="single"/>
        </w:rPr>
        <w:t xml:space="preserve">  </w:t>
      </w:r>
      <w:r>
        <w:rPr>
          <w:rFonts w:ascii="宋体" w:hAnsi="宋体"/>
          <w:color w:val="auto"/>
          <w:szCs w:val="24"/>
          <w:highlight w:val="none"/>
        </w:rPr>
        <w:t>；人民币小写：</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 xml:space="preserve">  </w:t>
      </w:r>
      <w:r>
        <w:rPr>
          <w:rFonts w:hint="eastAsia" w:ascii="宋体" w:hAnsi="宋体"/>
          <w:color w:val="auto"/>
          <w:szCs w:val="24"/>
          <w:highlight w:val="none"/>
          <w:u w:val="single"/>
        </w:rPr>
        <w:t xml:space="preserve"> </w:t>
      </w:r>
      <w:r>
        <w:rPr>
          <w:rFonts w:ascii="宋体" w:hAnsi="宋体"/>
          <w:color w:val="auto"/>
          <w:szCs w:val="24"/>
          <w:highlight w:val="none"/>
        </w:rPr>
        <w:t>。以我公司最后报价为准。</w:t>
      </w:r>
    </w:p>
    <w:p w14:paraId="00D9F5AF">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ascii="宋体" w:hAnsi="宋体"/>
          <w:color w:val="auto"/>
          <w:szCs w:val="24"/>
          <w:highlight w:val="none"/>
        </w:rPr>
        <w:t>2.我方现提交的响应文件为：响应文件正本</w:t>
      </w:r>
      <w:r>
        <w:rPr>
          <w:rFonts w:hint="eastAsia" w:ascii="宋体" w:hAnsi="宋体"/>
          <w:color w:val="auto"/>
          <w:szCs w:val="24"/>
          <w:highlight w:val="none"/>
          <w:u w:val="single"/>
        </w:rPr>
        <w:t xml:space="preserve">   </w:t>
      </w:r>
      <w:r>
        <w:rPr>
          <w:rFonts w:ascii="宋体" w:hAnsi="宋体"/>
          <w:color w:val="auto"/>
          <w:szCs w:val="24"/>
          <w:highlight w:val="none"/>
        </w:rPr>
        <w:t>份，副本</w:t>
      </w:r>
      <w:r>
        <w:rPr>
          <w:rFonts w:hint="eastAsia" w:ascii="宋体" w:hAnsi="宋体"/>
          <w:color w:val="auto"/>
          <w:szCs w:val="24"/>
          <w:highlight w:val="none"/>
          <w:u w:val="single"/>
        </w:rPr>
        <w:t xml:space="preserve">   </w:t>
      </w:r>
      <w:r>
        <w:rPr>
          <w:rFonts w:ascii="宋体" w:hAnsi="宋体"/>
          <w:color w:val="auto"/>
          <w:szCs w:val="24"/>
          <w:highlight w:val="none"/>
        </w:rPr>
        <w:t>份</w:t>
      </w:r>
      <w:r>
        <w:rPr>
          <w:rFonts w:hint="eastAsia" w:ascii="宋体" w:hAnsi="宋体"/>
          <w:color w:val="auto"/>
          <w:szCs w:val="24"/>
          <w:highlight w:val="none"/>
        </w:rPr>
        <w:t>，电子文档</w:t>
      </w:r>
      <w:r>
        <w:rPr>
          <w:rFonts w:hint="eastAsia" w:ascii="宋体" w:hAnsi="宋体"/>
          <w:color w:val="auto"/>
          <w:szCs w:val="24"/>
          <w:highlight w:val="none"/>
          <w:u w:val="single"/>
        </w:rPr>
        <w:t xml:space="preserve">   </w:t>
      </w:r>
      <w:r>
        <w:rPr>
          <w:rFonts w:ascii="宋体" w:hAnsi="宋体"/>
          <w:color w:val="auto"/>
          <w:szCs w:val="24"/>
          <w:highlight w:val="none"/>
        </w:rPr>
        <w:t>份 。</w:t>
      </w:r>
    </w:p>
    <w:p w14:paraId="44B2E2F6">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ascii="宋体" w:hAnsi="宋体"/>
          <w:color w:val="auto"/>
          <w:szCs w:val="24"/>
          <w:highlight w:val="none"/>
        </w:rPr>
        <w:t>3.我方承诺：本次磋商的有效期为90天。</w:t>
      </w:r>
    </w:p>
    <w:p w14:paraId="1DB9CD8A">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ascii="宋体" w:hAnsi="宋体"/>
          <w:color w:val="auto"/>
          <w:szCs w:val="24"/>
          <w:highlight w:val="none"/>
        </w:rPr>
        <w:t>4.我方完全理解和接受贵方竞争性磋商文件的一切规定和要求及评审办法。</w:t>
      </w:r>
    </w:p>
    <w:p w14:paraId="7C0EE1B9">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ascii="宋体" w:hAnsi="宋体"/>
          <w:color w:val="auto"/>
          <w:szCs w:val="24"/>
          <w:highlight w:val="none"/>
        </w:rPr>
        <w:t>5.在整个竞争性磋商过程中，我方若有违规行为，接受按照《中华人民共和国政府采购法》和《竞争性磋商文件》之规定给予惩罚。</w:t>
      </w:r>
    </w:p>
    <w:p w14:paraId="61F6780E">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ascii="宋体" w:hAnsi="宋体"/>
          <w:color w:val="auto"/>
          <w:szCs w:val="24"/>
          <w:highlight w:val="none"/>
        </w:rPr>
        <w:t>6.我方若成为成交供应商，将按照最终磋商结果签订合同，并且严格履行合同义务。本承诺函将成为合同不可分割的一部分，与合同具有同等的法律效力。</w:t>
      </w:r>
    </w:p>
    <w:p w14:paraId="4768A90C">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ascii="宋体" w:hAnsi="宋体"/>
          <w:color w:val="auto"/>
          <w:szCs w:val="24"/>
          <w:highlight w:val="none"/>
        </w:rPr>
        <w:t>7.如果我方成为成交供应商，保证在接到成交通知书后，</w:t>
      </w:r>
      <w:r>
        <w:rPr>
          <w:rFonts w:hint="eastAsia" w:ascii="宋体" w:hAnsi="宋体"/>
          <w:color w:val="auto"/>
          <w:szCs w:val="24"/>
          <w:highlight w:val="none"/>
        </w:rPr>
        <w:t>按</w:t>
      </w:r>
      <w:r>
        <w:rPr>
          <w:rFonts w:ascii="宋体" w:hAnsi="宋体"/>
          <w:color w:val="auto"/>
          <w:szCs w:val="24"/>
          <w:highlight w:val="none"/>
        </w:rPr>
        <w:t>竞争性磋商文件规定</w:t>
      </w:r>
      <w:r>
        <w:rPr>
          <w:rFonts w:hint="eastAsia" w:ascii="宋体" w:hAnsi="宋体"/>
          <w:color w:val="auto"/>
          <w:szCs w:val="24"/>
          <w:highlight w:val="none"/>
        </w:rPr>
        <w:t>缴纳</w:t>
      </w:r>
      <w:r>
        <w:rPr>
          <w:rFonts w:ascii="宋体" w:hAnsi="宋体"/>
          <w:color w:val="auto"/>
          <w:szCs w:val="24"/>
          <w:highlight w:val="none"/>
        </w:rPr>
        <w:t>采购代理服务费。</w:t>
      </w:r>
    </w:p>
    <w:p w14:paraId="152A03C9">
      <w:pPr>
        <w:tabs>
          <w:tab w:val="left" w:pos="6300"/>
        </w:tabs>
        <w:kinsoku/>
        <w:wordWrap/>
        <w:overflowPunct/>
        <w:topLinePunct w:val="0"/>
        <w:bidi w:val="0"/>
        <w:spacing w:line="360" w:lineRule="auto"/>
        <w:ind w:firstLine="480" w:firstLineChars="200"/>
        <w:textAlignment w:val="auto"/>
        <w:rPr>
          <w:color w:val="auto"/>
          <w:szCs w:val="24"/>
          <w:highlight w:val="none"/>
        </w:rPr>
      </w:pPr>
      <w:r>
        <w:rPr>
          <w:rFonts w:ascii="宋体" w:hAnsi="宋体"/>
          <w:color w:val="auto"/>
          <w:szCs w:val="24"/>
          <w:highlight w:val="none"/>
        </w:rPr>
        <w:t>8.</w:t>
      </w:r>
      <w:r>
        <w:rPr>
          <w:color w:val="auto"/>
          <w:szCs w:val="28"/>
          <w:highlight w:val="none"/>
        </w:rPr>
        <w:t>我方未</w:t>
      </w:r>
      <w:r>
        <w:rPr>
          <w:color w:val="auto"/>
          <w:szCs w:val="24"/>
          <w:highlight w:val="none"/>
        </w:rPr>
        <w:t>为采购项目提供整体设计、规范编制或者项目管理、监理、检测等服务。</w:t>
      </w:r>
    </w:p>
    <w:p w14:paraId="07DFE202">
      <w:pPr>
        <w:tabs>
          <w:tab w:val="left" w:pos="6300"/>
        </w:tabs>
        <w:kinsoku/>
        <w:wordWrap/>
        <w:overflowPunct/>
        <w:topLinePunct w:val="0"/>
        <w:bidi w:val="0"/>
        <w:spacing w:line="360" w:lineRule="auto"/>
        <w:ind w:firstLine="570"/>
        <w:textAlignment w:val="auto"/>
        <w:rPr>
          <w:color w:val="auto"/>
          <w:szCs w:val="24"/>
          <w:highlight w:val="none"/>
        </w:rPr>
      </w:pPr>
      <w:r>
        <w:rPr>
          <w:color w:val="auto"/>
          <w:szCs w:val="24"/>
          <w:highlight w:val="none"/>
        </w:rPr>
        <w:t>供应商（公章）：</w:t>
      </w:r>
    </w:p>
    <w:p w14:paraId="32EE0BBE">
      <w:pPr>
        <w:tabs>
          <w:tab w:val="left" w:pos="6300"/>
        </w:tabs>
        <w:kinsoku/>
        <w:wordWrap/>
        <w:overflowPunct/>
        <w:topLinePunct w:val="0"/>
        <w:bidi w:val="0"/>
        <w:spacing w:line="360" w:lineRule="auto"/>
        <w:ind w:firstLine="570"/>
        <w:textAlignment w:val="auto"/>
        <w:rPr>
          <w:color w:val="auto"/>
          <w:szCs w:val="24"/>
          <w:highlight w:val="none"/>
        </w:rPr>
      </w:pPr>
      <w:r>
        <w:rPr>
          <w:color w:val="auto"/>
          <w:szCs w:val="24"/>
          <w:highlight w:val="none"/>
        </w:rPr>
        <w:t>地址：</w:t>
      </w:r>
    </w:p>
    <w:p w14:paraId="71454785">
      <w:pPr>
        <w:tabs>
          <w:tab w:val="left" w:pos="6300"/>
        </w:tabs>
        <w:kinsoku/>
        <w:wordWrap/>
        <w:overflowPunct/>
        <w:topLinePunct w:val="0"/>
        <w:bidi w:val="0"/>
        <w:spacing w:line="360" w:lineRule="auto"/>
        <w:ind w:firstLine="570"/>
        <w:textAlignment w:val="auto"/>
        <w:rPr>
          <w:color w:val="auto"/>
          <w:szCs w:val="24"/>
          <w:highlight w:val="none"/>
        </w:rPr>
      </w:pPr>
      <w:r>
        <w:rPr>
          <w:color w:val="auto"/>
          <w:szCs w:val="24"/>
          <w:highlight w:val="none"/>
        </w:rPr>
        <w:t>电话：传真：</w:t>
      </w:r>
    </w:p>
    <w:p w14:paraId="09D5AECF">
      <w:pPr>
        <w:tabs>
          <w:tab w:val="left" w:pos="6300"/>
        </w:tabs>
        <w:kinsoku/>
        <w:wordWrap/>
        <w:overflowPunct/>
        <w:topLinePunct w:val="0"/>
        <w:bidi w:val="0"/>
        <w:spacing w:line="360" w:lineRule="auto"/>
        <w:ind w:firstLine="570"/>
        <w:textAlignment w:val="auto"/>
        <w:rPr>
          <w:color w:val="auto"/>
          <w:szCs w:val="24"/>
          <w:highlight w:val="none"/>
        </w:rPr>
      </w:pPr>
      <w:r>
        <w:rPr>
          <w:color w:val="auto"/>
          <w:szCs w:val="24"/>
          <w:highlight w:val="none"/>
        </w:rPr>
        <w:t>网址：邮编：</w:t>
      </w:r>
    </w:p>
    <w:p w14:paraId="659FE77B">
      <w:pPr>
        <w:tabs>
          <w:tab w:val="left" w:pos="6300"/>
        </w:tabs>
        <w:kinsoku/>
        <w:wordWrap/>
        <w:overflowPunct/>
        <w:topLinePunct w:val="0"/>
        <w:bidi w:val="0"/>
        <w:spacing w:line="360" w:lineRule="auto"/>
        <w:ind w:firstLine="570"/>
        <w:textAlignment w:val="auto"/>
        <w:rPr>
          <w:color w:val="auto"/>
          <w:szCs w:val="24"/>
          <w:highlight w:val="none"/>
        </w:rPr>
      </w:pPr>
      <w:r>
        <w:rPr>
          <w:color w:val="auto"/>
          <w:szCs w:val="24"/>
          <w:highlight w:val="none"/>
        </w:rPr>
        <w:t>联系人：</w:t>
      </w:r>
    </w:p>
    <w:p w14:paraId="428040EF">
      <w:pPr>
        <w:tabs>
          <w:tab w:val="left" w:pos="6300"/>
        </w:tabs>
        <w:kinsoku/>
        <w:wordWrap/>
        <w:overflowPunct/>
        <w:topLinePunct w:val="0"/>
        <w:bidi w:val="0"/>
        <w:spacing w:line="360" w:lineRule="auto"/>
        <w:ind w:firstLine="570"/>
        <w:textAlignment w:val="auto"/>
        <w:rPr>
          <w:color w:val="auto"/>
          <w:szCs w:val="24"/>
          <w:highlight w:val="none"/>
        </w:rPr>
      </w:pPr>
    </w:p>
    <w:p w14:paraId="4D47F634">
      <w:pPr>
        <w:kinsoku/>
        <w:wordWrap/>
        <w:overflowPunct/>
        <w:topLinePunct w:val="0"/>
        <w:bidi w:val="0"/>
        <w:spacing w:line="360" w:lineRule="auto"/>
        <w:ind w:firstLine="480" w:firstLineChars="200"/>
        <w:textAlignment w:val="auto"/>
        <w:rPr>
          <w:color w:val="auto"/>
          <w:szCs w:val="24"/>
          <w:highlight w:val="none"/>
        </w:rPr>
      </w:pPr>
      <w:r>
        <w:rPr>
          <w:color w:val="auto"/>
          <w:szCs w:val="24"/>
          <w:highlight w:val="none"/>
        </w:rPr>
        <w:t>年</w:t>
      </w:r>
      <w:r>
        <w:rPr>
          <w:rFonts w:hint="eastAsia"/>
          <w:color w:val="auto"/>
          <w:szCs w:val="24"/>
          <w:highlight w:val="none"/>
        </w:rPr>
        <w:t xml:space="preserve">   </w:t>
      </w:r>
      <w:r>
        <w:rPr>
          <w:color w:val="auto"/>
          <w:szCs w:val="24"/>
          <w:highlight w:val="none"/>
        </w:rPr>
        <w:t>月</w:t>
      </w:r>
      <w:r>
        <w:rPr>
          <w:rFonts w:hint="eastAsia"/>
          <w:color w:val="auto"/>
          <w:szCs w:val="24"/>
          <w:highlight w:val="none"/>
        </w:rPr>
        <w:t xml:space="preserve">    </w:t>
      </w:r>
      <w:r>
        <w:rPr>
          <w:color w:val="auto"/>
          <w:szCs w:val="24"/>
          <w:highlight w:val="none"/>
        </w:rPr>
        <w:t>日</w:t>
      </w:r>
    </w:p>
    <w:p w14:paraId="5CBCF983">
      <w:pPr>
        <w:kinsoku/>
        <w:wordWrap/>
        <w:overflowPunct/>
        <w:topLinePunct w:val="0"/>
        <w:bidi w:val="0"/>
        <w:spacing w:line="360" w:lineRule="auto"/>
        <w:ind w:firstLine="480" w:firstLineChars="200"/>
        <w:textAlignment w:val="auto"/>
        <w:rPr>
          <w:color w:val="auto"/>
          <w:szCs w:val="24"/>
          <w:highlight w:val="none"/>
        </w:rPr>
      </w:pPr>
      <w:r>
        <w:rPr>
          <w:color w:val="auto"/>
          <w:szCs w:val="24"/>
          <w:highlight w:val="none"/>
        </w:rPr>
        <w:t xml:space="preserve"> </w:t>
      </w:r>
    </w:p>
    <w:p w14:paraId="49E36825">
      <w:pPr>
        <w:kinsoku/>
        <w:wordWrap/>
        <w:overflowPunct/>
        <w:topLinePunct w:val="0"/>
        <w:bidi w:val="0"/>
        <w:spacing w:line="360" w:lineRule="auto"/>
        <w:ind w:firstLine="480" w:firstLineChars="200"/>
        <w:textAlignment w:val="auto"/>
        <w:rPr>
          <w:color w:val="auto"/>
          <w:szCs w:val="24"/>
          <w:highlight w:val="none"/>
        </w:rPr>
        <w:sectPr>
          <w:pgSz w:w="11907" w:h="16840"/>
          <w:pgMar w:top="1134" w:right="1191" w:bottom="1134" w:left="1191" w:header="851" w:footer="992" w:gutter="0"/>
          <w:pgNumType w:fmt="numberInDash"/>
          <w:cols w:space="720" w:num="1"/>
          <w:docGrid w:linePitch="380" w:charSpace="-5735"/>
        </w:sectPr>
      </w:pPr>
    </w:p>
    <w:p w14:paraId="65EFE025">
      <w:pPr>
        <w:pageBreakBefore/>
        <w:kinsoku/>
        <w:wordWrap/>
        <w:overflowPunct/>
        <w:topLinePunct w:val="0"/>
        <w:bidi w:val="0"/>
        <w:spacing w:line="360" w:lineRule="auto"/>
        <w:ind w:firstLine="482" w:firstLineChars="200"/>
        <w:textAlignment w:val="auto"/>
        <w:rPr>
          <w:b/>
          <w:color w:val="auto"/>
          <w:szCs w:val="24"/>
          <w:highlight w:val="none"/>
        </w:rPr>
      </w:pPr>
      <w:bookmarkStart w:id="114" w:name="_Toc342913420"/>
      <w:bookmarkStart w:id="115" w:name="_Toc313888361"/>
      <w:bookmarkStart w:id="116" w:name="_Toc313008357"/>
      <w:bookmarkStart w:id="117" w:name="_Toc23764523"/>
      <w:r>
        <w:rPr>
          <w:b/>
          <w:color w:val="auto"/>
          <w:szCs w:val="24"/>
          <w:highlight w:val="none"/>
        </w:rPr>
        <w:t>二、</w:t>
      </w:r>
      <w:bookmarkEnd w:id="114"/>
      <w:bookmarkEnd w:id="115"/>
      <w:bookmarkEnd w:id="116"/>
      <w:bookmarkEnd w:id="117"/>
      <w:r>
        <w:rPr>
          <w:rFonts w:hint="eastAsia"/>
          <w:b/>
          <w:color w:val="auto"/>
          <w:szCs w:val="24"/>
          <w:highlight w:val="none"/>
          <w:lang w:val="en-US" w:eastAsia="zh-CN"/>
        </w:rPr>
        <w:t>服务</w:t>
      </w:r>
      <w:r>
        <w:rPr>
          <w:rFonts w:hint="eastAsia"/>
          <w:b/>
          <w:color w:val="auto"/>
          <w:szCs w:val="24"/>
          <w:highlight w:val="none"/>
        </w:rPr>
        <w:t>部分</w:t>
      </w:r>
    </w:p>
    <w:p w14:paraId="70554BFA">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val="en-US" w:eastAsia="zh-CN"/>
        </w:rPr>
        <w:t>一</w:t>
      </w:r>
      <w:r>
        <w:rPr>
          <w:rFonts w:hint="eastAsia" w:ascii="宋体" w:hAnsi="宋体"/>
          <w:color w:val="auto"/>
          <w:szCs w:val="24"/>
          <w:highlight w:val="none"/>
        </w:rPr>
        <w:t>）服务响应偏离表</w:t>
      </w:r>
    </w:p>
    <w:p w14:paraId="1350AAA3">
      <w:pPr>
        <w:tabs>
          <w:tab w:val="left" w:pos="6300"/>
        </w:tabs>
        <w:kinsoku/>
        <w:wordWrap/>
        <w:overflowPunct/>
        <w:topLinePunct w:val="0"/>
        <w:bidi w:val="0"/>
        <w:spacing w:line="360" w:lineRule="auto"/>
        <w:jc w:val="center"/>
        <w:textAlignment w:val="auto"/>
        <w:rPr>
          <w:rFonts w:hint="eastAsia" w:ascii="宋体" w:hAnsi="宋体"/>
          <w:color w:val="auto"/>
          <w:sz w:val="28"/>
          <w:szCs w:val="24"/>
          <w:highlight w:val="none"/>
        </w:rPr>
      </w:pPr>
      <w:r>
        <w:rPr>
          <w:rFonts w:hint="eastAsia" w:ascii="宋体" w:hAnsi="宋体"/>
          <w:color w:val="auto"/>
          <w:sz w:val="28"/>
          <w:szCs w:val="24"/>
          <w:highlight w:val="none"/>
        </w:rPr>
        <w:t>服务响应偏离表</w:t>
      </w:r>
    </w:p>
    <w:p w14:paraId="18AEE996">
      <w:pPr>
        <w:tabs>
          <w:tab w:val="left" w:pos="6300"/>
        </w:tabs>
        <w:kinsoku/>
        <w:wordWrap/>
        <w:overflowPunct/>
        <w:topLinePunct w:val="0"/>
        <w:bidi w:val="0"/>
        <w:spacing w:line="360" w:lineRule="auto"/>
        <w:ind w:firstLine="480" w:firstLineChars="200"/>
        <w:textAlignment w:val="auto"/>
        <w:rPr>
          <w:rFonts w:hint="eastAsia" w:ascii="宋体" w:hAnsi="宋体"/>
          <w:color w:val="auto"/>
          <w:highlight w:val="none"/>
        </w:rPr>
      </w:pPr>
      <w:r>
        <w:rPr>
          <w:rFonts w:hint="eastAsia" w:ascii="宋体" w:hAnsi="宋体"/>
          <w:color w:val="auto"/>
          <w:highlight w:val="none"/>
        </w:rPr>
        <w:t>项目号：</w:t>
      </w:r>
    </w:p>
    <w:p w14:paraId="0943E614">
      <w:pPr>
        <w:tabs>
          <w:tab w:val="left" w:pos="6300"/>
        </w:tabs>
        <w:kinsoku/>
        <w:wordWrap/>
        <w:overflowPunct/>
        <w:topLinePunct w:val="0"/>
        <w:bidi w:val="0"/>
        <w:spacing w:line="360" w:lineRule="auto"/>
        <w:ind w:firstLine="480" w:firstLineChars="200"/>
        <w:textAlignment w:val="auto"/>
        <w:rPr>
          <w:rFonts w:hint="eastAsia" w:ascii="宋体" w:hAnsi="宋体"/>
          <w:color w:val="auto"/>
          <w:highlight w:val="none"/>
        </w:rPr>
      </w:pPr>
      <w:r>
        <w:rPr>
          <w:rFonts w:hint="eastAsia" w:ascii="宋体" w:hAnsi="宋体"/>
          <w:color w:val="auto"/>
          <w:highlight w:val="none"/>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3A81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0CDE44CA">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r>
              <w:rPr>
                <w:rFonts w:hint="eastAsia" w:ascii="宋体" w:hAnsi="宋体"/>
                <w:color w:val="auto"/>
                <w:sz w:val="21"/>
                <w:szCs w:val="21"/>
                <w:highlight w:val="none"/>
              </w:rPr>
              <w:t>序号</w:t>
            </w:r>
          </w:p>
        </w:tc>
        <w:tc>
          <w:tcPr>
            <w:tcW w:w="2658" w:type="dxa"/>
            <w:vAlign w:val="center"/>
          </w:tcPr>
          <w:p w14:paraId="4601C3B6">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r>
              <w:rPr>
                <w:rFonts w:hint="eastAsia" w:ascii="宋体" w:hAnsi="宋体"/>
                <w:color w:val="auto"/>
                <w:sz w:val="21"/>
                <w:szCs w:val="21"/>
                <w:highlight w:val="none"/>
              </w:rPr>
              <w:t>采购需求</w:t>
            </w:r>
          </w:p>
        </w:tc>
        <w:tc>
          <w:tcPr>
            <w:tcW w:w="2759" w:type="dxa"/>
            <w:vAlign w:val="center"/>
          </w:tcPr>
          <w:p w14:paraId="4CBDFE26">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r>
              <w:rPr>
                <w:rFonts w:hint="eastAsia" w:ascii="宋体" w:hAnsi="宋体"/>
                <w:color w:val="auto"/>
                <w:sz w:val="21"/>
                <w:szCs w:val="21"/>
                <w:highlight w:val="none"/>
              </w:rPr>
              <w:t>响应情况</w:t>
            </w:r>
          </w:p>
        </w:tc>
        <w:tc>
          <w:tcPr>
            <w:tcW w:w="2067" w:type="dxa"/>
            <w:vAlign w:val="center"/>
          </w:tcPr>
          <w:p w14:paraId="2FCBDA43">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r>
              <w:rPr>
                <w:rFonts w:hint="eastAsia" w:ascii="宋体" w:hAnsi="宋体"/>
                <w:color w:val="auto"/>
                <w:sz w:val="21"/>
                <w:szCs w:val="21"/>
                <w:highlight w:val="none"/>
              </w:rPr>
              <w:t>差异说明</w:t>
            </w:r>
          </w:p>
        </w:tc>
      </w:tr>
      <w:tr w14:paraId="221B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35F89DB">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658" w:type="dxa"/>
            <w:vAlign w:val="center"/>
          </w:tcPr>
          <w:p w14:paraId="03384325">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759" w:type="dxa"/>
            <w:vAlign w:val="center"/>
          </w:tcPr>
          <w:p w14:paraId="207498D7">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067" w:type="dxa"/>
            <w:vAlign w:val="center"/>
          </w:tcPr>
          <w:p w14:paraId="34184501">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r>
      <w:tr w14:paraId="5849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6577166">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658" w:type="dxa"/>
            <w:vAlign w:val="center"/>
          </w:tcPr>
          <w:p w14:paraId="03A60C62">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759" w:type="dxa"/>
            <w:vAlign w:val="center"/>
          </w:tcPr>
          <w:p w14:paraId="1435B32B">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067" w:type="dxa"/>
            <w:vAlign w:val="center"/>
          </w:tcPr>
          <w:p w14:paraId="6B27287F">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r>
      <w:tr w14:paraId="44D8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997C6E7">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658" w:type="dxa"/>
            <w:vAlign w:val="center"/>
          </w:tcPr>
          <w:p w14:paraId="6EB65618">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759" w:type="dxa"/>
            <w:vAlign w:val="center"/>
          </w:tcPr>
          <w:p w14:paraId="6411D02D">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067" w:type="dxa"/>
            <w:vAlign w:val="center"/>
          </w:tcPr>
          <w:p w14:paraId="1A6C3920">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r>
      <w:tr w14:paraId="6A4B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46505DA">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658" w:type="dxa"/>
            <w:vAlign w:val="center"/>
          </w:tcPr>
          <w:p w14:paraId="229E525D">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759" w:type="dxa"/>
            <w:vAlign w:val="center"/>
          </w:tcPr>
          <w:p w14:paraId="2ECA8F48">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067" w:type="dxa"/>
            <w:vAlign w:val="center"/>
          </w:tcPr>
          <w:p w14:paraId="2BE77A4D">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r>
      <w:tr w14:paraId="10D5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10CF1F6">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658" w:type="dxa"/>
            <w:vAlign w:val="center"/>
          </w:tcPr>
          <w:p w14:paraId="18AB68EC">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759" w:type="dxa"/>
            <w:vAlign w:val="center"/>
          </w:tcPr>
          <w:p w14:paraId="02E4F7A3">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067" w:type="dxa"/>
            <w:vAlign w:val="center"/>
          </w:tcPr>
          <w:p w14:paraId="24FCC9C9">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r>
      <w:tr w14:paraId="747C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8E0F2FA">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658" w:type="dxa"/>
            <w:vAlign w:val="center"/>
          </w:tcPr>
          <w:p w14:paraId="68D665E4">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759" w:type="dxa"/>
            <w:vAlign w:val="center"/>
          </w:tcPr>
          <w:p w14:paraId="040FCC73">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067" w:type="dxa"/>
            <w:vAlign w:val="center"/>
          </w:tcPr>
          <w:p w14:paraId="6D230B7A">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r>
      <w:tr w14:paraId="6D54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AF99DA8">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658" w:type="dxa"/>
            <w:vAlign w:val="center"/>
          </w:tcPr>
          <w:p w14:paraId="35220C6D">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759" w:type="dxa"/>
            <w:vAlign w:val="center"/>
          </w:tcPr>
          <w:p w14:paraId="764375A1">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067" w:type="dxa"/>
            <w:vAlign w:val="center"/>
          </w:tcPr>
          <w:p w14:paraId="15049EFF">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r>
    </w:tbl>
    <w:p w14:paraId="580229A7">
      <w:pPr>
        <w:kinsoku/>
        <w:wordWrap/>
        <w:overflowPunct/>
        <w:topLinePunct w:val="0"/>
        <w:bidi w:val="0"/>
        <w:snapToGrid/>
        <w:spacing w:line="360" w:lineRule="auto"/>
        <w:ind w:firstLine="480" w:firstLineChars="200"/>
        <w:textAlignment w:val="auto"/>
        <w:rPr>
          <w:rFonts w:hint="eastAsia" w:ascii="宋体" w:hAnsi="宋体"/>
          <w:color w:val="auto"/>
          <w:szCs w:val="28"/>
          <w:highlight w:val="none"/>
        </w:rPr>
      </w:pPr>
      <w:r>
        <w:rPr>
          <w:rFonts w:hint="eastAsia" w:ascii="宋体" w:hAnsi="宋体"/>
          <w:color w:val="auto"/>
          <w:szCs w:val="28"/>
          <w:highlight w:val="none"/>
        </w:rPr>
        <w:t>供应商：             法定代表人（或法定代表人授权代表）或自然人：</w:t>
      </w:r>
    </w:p>
    <w:p w14:paraId="6604CECC">
      <w:pPr>
        <w:kinsoku/>
        <w:wordWrap/>
        <w:overflowPunct/>
        <w:topLinePunct w:val="0"/>
        <w:bidi w:val="0"/>
        <w:snapToGrid/>
        <w:spacing w:line="360" w:lineRule="auto"/>
        <w:textAlignment w:val="auto"/>
        <w:rPr>
          <w:rFonts w:hint="eastAsia" w:ascii="宋体" w:hAnsi="宋体"/>
          <w:color w:val="auto"/>
          <w:szCs w:val="28"/>
          <w:highlight w:val="none"/>
        </w:rPr>
      </w:pPr>
      <w:r>
        <w:rPr>
          <w:rFonts w:hint="eastAsia" w:ascii="宋体" w:hAnsi="宋体"/>
          <w:color w:val="auto"/>
          <w:szCs w:val="28"/>
          <w:highlight w:val="none"/>
        </w:rPr>
        <w:t xml:space="preserve">   （供应商公章）                               （签字或盖章）</w:t>
      </w:r>
    </w:p>
    <w:p w14:paraId="617E4DDC">
      <w:pPr>
        <w:kinsoku/>
        <w:wordWrap/>
        <w:overflowPunct/>
        <w:topLinePunct w:val="0"/>
        <w:bidi w:val="0"/>
        <w:snapToGrid/>
        <w:spacing w:line="360" w:lineRule="auto"/>
        <w:textAlignment w:val="auto"/>
        <w:rPr>
          <w:rFonts w:hint="eastAsia" w:ascii="宋体" w:hAnsi="宋体"/>
          <w:color w:val="auto"/>
          <w:szCs w:val="28"/>
          <w:highlight w:val="none"/>
        </w:rPr>
      </w:pPr>
    </w:p>
    <w:p w14:paraId="457DE463">
      <w:pPr>
        <w:tabs>
          <w:tab w:val="left" w:pos="6300"/>
        </w:tabs>
        <w:kinsoku/>
        <w:wordWrap/>
        <w:overflowPunct/>
        <w:topLinePunct w:val="0"/>
        <w:bidi w:val="0"/>
        <w:spacing w:line="360" w:lineRule="auto"/>
        <w:ind w:firstLine="570"/>
        <w:textAlignment w:val="auto"/>
        <w:rPr>
          <w:rFonts w:hint="eastAsia" w:ascii="宋体" w:hAnsi="宋体"/>
          <w:color w:val="auto"/>
          <w:szCs w:val="28"/>
          <w:highlight w:val="none"/>
        </w:rPr>
      </w:pPr>
      <w:r>
        <w:rPr>
          <w:rFonts w:hint="eastAsia" w:ascii="宋体" w:hAnsi="宋体"/>
          <w:color w:val="auto"/>
          <w:szCs w:val="28"/>
          <w:highlight w:val="none"/>
        </w:rPr>
        <w:t xml:space="preserve">                                              年     月     日</w:t>
      </w:r>
    </w:p>
    <w:p w14:paraId="09AF8049">
      <w:pPr>
        <w:tabs>
          <w:tab w:val="left" w:pos="6300"/>
        </w:tabs>
        <w:kinsoku/>
        <w:wordWrap/>
        <w:overflowPunct/>
        <w:topLinePunct w:val="0"/>
        <w:bidi w:val="0"/>
        <w:spacing w:line="360" w:lineRule="auto"/>
        <w:ind w:firstLine="570"/>
        <w:textAlignment w:val="auto"/>
        <w:rPr>
          <w:rFonts w:hint="eastAsia" w:ascii="宋体" w:hAnsi="宋体"/>
          <w:color w:val="auto"/>
          <w:highlight w:val="none"/>
        </w:rPr>
      </w:pPr>
    </w:p>
    <w:p w14:paraId="2CD92D96">
      <w:pPr>
        <w:tabs>
          <w:tab w:val="left" w:pos="6300"/>
        </w:tabs>
        <w:kinsoku/>
        <w:wordWrap/>
        <w:overflowPunct/>
        <w:topLinePunct w:val="0"/>
        <w:bidi w:val="0"/>
        <w:spacing w:line="360" w:lineRule="auto"/>
        <w:ind w:firstLine="480" w:firstLineChars="200"/>
        <w:textAlignment w:val="auto"/>
        <w:rPr>
          <w:rFonts w:hint="eastAsia" w:ascii="宋体" w:hAnsi="宋体"/>
          <w:color w:val="auto"/>
          <w:highlight w:val="none"/>
        </w:rPr>
      </w:pPr>
      <w:r>
        <w:rPr>
          <w:rFonts w:hint="eastAsia" w:ascii="宋体" w:hAnsi="宋体"/>
          <w:color w:val="auto"/>
          <w:highlight w:val="none"/>
        </w:rPr>
        <w:t>注：</w:t>
      </w:r>
      <w:r>
        <w:rPr>
          <w:rFonts w:hint="eastAsia" w:ascii="宋体" w:hAnsi="宋体"/>
          <w:color w:val="auto"/>
          <w:szCs w:val="24"/>
          <w:highlight w:val="none"/>
        </w:rPr>
        <w:t>1</w:t>
      </w:r>
      <w:r>
        <w:rPr>
          <w:rFonts w:hint="eastAsia" w:ascii="宋体" w:hAnsi="宋体"/>
          <w:color w:val="auto"/>
          <w:highlight w:val="none"/>
        </w:rPr>
        <w:t>.本表即为对本项目“第二篇 项目服务需求”中所列技术要求进行比较和响应；</w:t>
      </w:r>
    </w:p>
    <w:p w14:paraId="22B6AEC2">
      <w:pPr>
        <w:numPr>
          <w:ilvl w:val="0"/>
          <w:numId w:val="16"/>
        </w:numPr>
        <w:kinsoku/>
        <w:wordWrap/>
        <w:overflowPunct/>
        <w:topLinePunct w:val="0"/>
        <w:bidi w:val="0"/>
        <w:spacing w:line="360" w:lineRule="auto"/>
        <w:ind w:firstLine="480" w:firstLineChars="200"/>
        <w:textAlignment w:val="auto"/>
        <w:rPr>
          <w:rFonts w:hint="eastAsia" w:ascii="宋体" w:hAnsi="宋体"/>
          <w:color w:val="auto"/>
          <w:highlight w:val="none"/>
        </w:rPr>
      </w:pPr>
      <w:r>
        <w:rPr>
          <w:rFonts w:hint="eastAsia" w:ascii="宋体" w:hAnsi="宋体"/>
          <w:color w:val="auto"/>
          <w:highlight w:val="none"/>
        </w:rPr>
        <w:t>该表可扩展。</w:t>
      </w:r>
    </w:p>
    <w:p w14:paraId="1F2E9CAE">
      <w:pPr>
        <w:widowControl w:val="0"/>
        <w:numPr>
          <w:ilvl w:val="0"/>
          <w:numId w:val="0"/>
        </w:numPr>
        <w:kinsoku/>
        <w:wordWrap/>
        <w:overflowPunct/>
        <w:topLinePunct w:val="0"/>
        <w:bidi w:val="0"/>
        <w:snapToGrid w:val="0"/>
        <w:spacing w:line="360" w:lineRule="auto"/>
        <w:jc w:val="both"/>
        <w:textAlignment w:val="auto"/>
        <w:rPr>
          <w:rFonts w:hint="eastAsia" w:ascii="宋体" w:hAnsi="宋体"/>
          <w:color w:val="auto"/>
          <w:highlight w:val="none"/>
        </w:rPr>
      </w:pPr>
    </w:p>
    <w:p w14:paraId="74C2A084">
      <w:pPr>
        <w:widowControl w:val="0"/>
        <w:numPr>
          <w:ilvl w:val="0"/>
          <w:numId w:val="0"/>
        </w:numPr>
        <w:kinsoku/>
        <w:wordWrap/>
        <w:overflowPunct/>
        <w:topLinePunct w:val="0"/>
        <w:bidi w:val="0"/>
        <w:snapToGrid w:val="0"/>
        <w:spacing w:line="360" w:lineRule="auto"/>
        <w:jc w:val="both"/>
        <w:textAlignment w:val="auto"/>
        <w:rPr>
          <w:rFonts w:hint="eastAsia" w:ascii="宋体" w:hAnsi="宋体"/>
          <w:color w:val="auto"/>
          <w:highlight w:val="none"/>
        </w:rPr>
      </w:pPr>
    </w:p>
    <w:p w14:paraId="392EDE48">
      <w:pPr>
        <w:widowControl w:val="0"/>
        <w:numPr>
          <w:ilvl w:val="0"/>
          <w:numId w:val="0"/>
        </w:numPr>
        <w:kinsoku/>
        <w:wordWrap/>
        <w:overflowPunct/>
        <w:topLinePunct w:val="0"/>
        <w:bidi w:val="0"/>
        <w:snapToGrid w:val="0"/>
        <w:spacing w:line="360" w:lineRule="auto"/>
        <w:jc w:val="both"/>
        <w:textAlignment w:val="auto"/>
        <w:rPr>
          <w:rFonts w:hint="eastAsia" w:ascii="宋体" w:hAnsi="宋体"/>
          <w:color w:val="auto"/>
          <w:highlight w:val="none"/>
        </w:rPr>
      </w:pPr>
    </w:p>
    <w:p w14:paraId="07473B21">
      <w:pPr>
        <w:widowControl w:val="0"/>
        <w:numPr>
          <w:ilvl w:val="0"/>
          <w:numId w:val="0"/>
        </w:numPr>
        <w:kinsoku/>
        <w:wordWrap/>
        <w:overflowPunct/>
        <w:topLinePunct w:val="0"/>
        <w:bidi w:val="0"/>
        <w:snapToGrid w:val="0"/>
        <w:spacing w:line="360" w:lineRule="auto"/>
        <w:jc w:val="both"/>
        <w:textAlignment w:val="auto"/>
        <w:rPr>
          <w:rFonts w:hint="eastAsia" w:ascii="宋体" w:hAnsi="宋体"/>
          <w:color w:val="auto"/>
          <w:highlight w:val="none"/>
        </w:rPr>
      </w:pPr>
    </w:p>
    <w:p w14:paraId="741A9738">
      <w:pPr>
        <w:widowControl w:val="0"/>
        <w:numPr>
          <w:ilvl w:val="0"/>
          <w:numId w:val="0"/>
        </w:numPr>
        <w:kinsoku/>
        <w:wordWrap/>
        <w:overflowPunct/>
        <w:topLinePunct w:val="0"/>
        <w:bidi w:val="0"/>
        <w:snapToGrid w:val="0"/>
        <w:spacing w:line="360" w:lineRule="auto"/>
        <w:jc w:val="both"/>
        <w:textAlignment w:val="auto"/>
        <w:rPr>
          <w:rFonts w:hint="eastAsia" w:ascii="宋体" w:hAnsi="宋体"/>
          <w:color w:val="auto"/>
          <w:highlight w:val="none"/>
        </w:rPr>
      </w:pPr>
    </w:p>
    <w:p w14:paraId="71D96617">
      <w:pPr>
        <w:widowControl w:val="0"/>
        <w:numPr>
          <w:ilvl w:val="0"/>
          <w:numId w:val="0"/>
        </w:numPr>
        <w:kinsoku/>
        <w:wordWrap/>
        <w:overflowPunct/>
        <w:topLinePunct w:val="0"/>
        <w:bidi w:val="0"/>
        <w:snapToGrid w:val="0"/>
        <w:spacing w:line="360" w:lineRule="auto"/>
        <w:jc w:val="both"/>
        <w:textAlignment w:val="auto"/>
        <w:rPr>
          <w:rFonts w:hint="eastAsia" w:ascii="宋体" w:hAnsi="宋体"/>
          <w:color w:val="auto"/>
          <w:highlight w:val="none"/>
        </w:rPr>
      </w:pPr>
    </w:p>
    <w:p w14:paraId="5862DBA5">
      <w:pPr>
        <w:widowControl w:val="0"/>
        <w:numPr>
          <w:ilvl w:val="0"/>
          <w:numId w:val="0"/>
        </w:numPr>
        <w:kinsoku/>
        <w:wordWrap/>
        <w:overflowPunct/>
        <w:topLinePunct w:val="0"/>
        <w:bidi w:val="0"/>
        <w:snapToGrid w:val="0"/>
        <w:spacing w:line="360" w:lineRule="auto"/>
        <w:jc w:val="both"/>
        <w:textAlignment w:val="auto"/>
        <w:rPr>
          <w:rFonts w:hint="eastAsia" w:ascii="宋体" w:hAnsi="宋体"/>
          <w:color w:val="auto"/>
          <w:highlight w:val="none"/>
        </w:rPr>
      </w:pPr>
    </w:p>
    <w:p w14:paraId="3422A86E">
      <w:pPr>
        <w:widowControl w:val="0"/>
        <w:numPr>
          <w:ilvl w:val="0"/>
          <w:numId w:val="0"/>
        </w:numPr>
        <w:kinsoku/>
        <w:wordWrap/>
        <w:overflowPunct/>
        <w:topLinePunct w:val="0"/>
        <w:bidi w:val="0"/>
        <w:snapToGrid w:val="0"/>
        <w:spacing w:line="360" w:lineRule="auto"/>
        <w:jc w:val="both"/>
        <w:textAlignment w:val="auto"/>
        <w:rPr>
          <w:rFonts w:hint="eastAsia" w:ascii="宋体" w:hAnsi="宋体"/>
          <w:color w:val="auto"/>
          <w:highlight w:val="none"/>
        </w:rPr>
      </w:pPr>
    </w:p>
    <w:p w14:paraId="42963702">
      <w:pPr>
        <w:widowControl w:val="0"/>
        <w:numPr>
          <w:ilvl w:val="0"/>
          <w:numId w:val="17"/>
        </w:numPr>
        <w:kinsoku/>
        <w:wordWrap/>
        <w:overflowPunct/>
        <w:topLinePunct w:val="0"/>
        <w:bidi w:val="0"/>
        <w:snapToGrid w:val="0"/>
        <w:spacing w:line="360" w:lineRule="auto"/>
        <w:jc w:val="center"/>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服务方案</w:t>
      </w:r>
    </w:p>
    <w:p w14:paraId="195E6374">
      <w:pPr>
        <w:widowControl w:val="0"/>
        <w:numPr>
          <w:ilvl w:val="0"/>
          <w:numId w:val="0"/>
        </w:numPr>
        <w:kinsoku/>
        <w:wordWrap/>
        <w:overflowPunct/>
        <w:topLinePunct w:val="0"/>
        <w:bidi w:val="0"/>
        <w:snapToGrid w:val="0"/>
        <w:spacing w:line="360" w:lineRule="auto"/>
        <w:jc w:val="both"/>
        <w:textAlignment w:val="auto"/>
        <w:rPr>
          <w:rFonts w:hint="eastAsia" w:ascii="宋体" w:hAnsi="宋体"/>
          <w:color w:val="auto"/>
          <w:highlight w:val="none"/>
        </w:rPr>
      </w:pPr>
      <w:r>
        <w:rPr>
          <w:rFonts w:hint="eastAsia" w:ascii="宋体" w:hAnsi="宋体"/>
          <w:color w:val="auto"/>
          <w:highlight w:val="none"/>
        </w:rPr>
        <w:t>供应商可根据本磋商文件“第四篇 磋商程序及方法、评审标准、无效响应和采购终止→评审标准→服务部分”中的要求提供。</w:t>
      </w:r>
    </w:p>
    <w:p w14:paraId="555B0518">
      <w:pPr>
        <w:pageBreakBefore/>
        <w:kinsoku/>
        <w:wordWrap/>
        <w:overflowPunct/>
        <w:topLinePunct w:val="0"/>
        <w:bidi w:val="0"/>
        <w:spacing w:line="360" w:lineRule="auto"/>
        <w:ind w:firstLine="482" w:firstLineChars="200"/>
        <w:textAlignment w:val="auto"/>
        <w:rPr>
          <w:b/>
          <w:color w:val="auto"/>
          <w:szCs w:val="24"/>
          <w:highlight w:val="none"/>
        </w:rPr>
      </w:pPr>
      <w:bookmarkStart w:id="118" w:name="_Toc23764524"/>
      <w:bookmarkStart w:id="119" w:name="_Toc313008358"/>
      <w:bookmarkStart w:id="120" w:name="_Toc313888362"/>
      <w:bookmarkStart w:id="121" w:name="_Toc342913421"/>
      <w:r>
        <w:rPr>
          <w:b/>
          <w:color w:val="auto"/>
          <w:szCs w:val="24"/>
          <w:highlight w:val="none"/>
        </w:rPr>
        <w:t>三、商务</w:t>
      </w:r>
      <w:bookmarkEnd w:id="118"/>
      <w:bookmarkEnd w:id="119"/>
      <w:bookmarkEnd w:id="120"/>
      <w:bookmarkEnd w:id="121"/>
      <w:r>
        <w:rPr>
          <w:rFonts w:hint="eastAsia"/>
          <w:b/>
          <w:color w:val="auto"/>
          <w:szCs w:val="24"/>
          <w:highlight w:val="none"/>
        </w:rPr>
        <w:t>部分</w:t>
      </w:r>
    </w:p>
    <w:p w14:paraId="1FDF4189">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（一）商务响应偏离表</w:t>
      </w:r>
    </w:p>
    <w:p w14:paraId="52E1FA1D">
      <w:pPr>
        <w:tabs>
          <w:tab w:val="left" w:pos="6300"/>
        </w:tabs>
        <w:kinsoku/>
        <w:wordWrap/>
        <w:overflowPunct/>
        <w:topLinePunct w:val="0"/>
        <w:bidi w:val="0"/>
        <w:spacing w:line="360" w:lineRule="auto"/>
        <w:jc w:val="center"/>
        <w:textAlignment w:val="auto"/>
        <w:rPr>
          <w:color w:val="auto"/>
          <w:sz w:val="28"/>
          <w:highlight w:val="none"/>
        </w:rPr>
      </w:pPr>
      <w:r>
        <w:rPr>
          <w:rFonts w:hint="eastAsia"/>
          <w:color w:val="auto"/>
          <w:sz w:val="28"/>
          <w:highlight w:val="none"/>
        </w:rPr>
        <w:t>商务响应偏离表</w:t>
      </w:r>
    </w:p>
    <w:p w14:paraId="4245001A">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项目号：</w:t>
      </w:r>
    </w:p>
    <w:p w14:paraId="6C21CFEB">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项目名称：</w:t>
      </w:r>
    </w:p>
    <w:tbl>
      <w:tblPr>
        <w:tblStyle w:val="5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2825"/>
        <w:gridCol w:w="2825"/>
        <w:gridCol w:w="2268"/>
      </w:tblGrid>
      <w:tr w14:paraId="1665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80" w:type="dxa"/>
            <w:vAlign w:val="center"/>
          </w:tcPr>
          <w:p w14:paraId="6832487B">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r>
              <w:rPr>
                <w:rFonts w:hint="eastAsia" w:ascii="宋体" w:hAnsi="宋体"/>
                <w:color w:val="auto"/>
                <w:sz w:val="21"/>
                <w:szCs w:val="21"/>
                <w:highlight w:val="none"/>
              </w:rPr>
              <w:t>序号</w:t>
            </w:r>
          </w:p>
        </w:tc>
        <w:tc>
          <w:tcPr>
            <w:tcW w:w="2825" w:type="dxa"/>
            <w:vAlign w:val="center"/>
          </w:tcPr>
          <w:p w14:paraId="6C1375EA">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r>
              <w:rPr>
                <w:rFonts w:hint="eastAsia" w:ascii="宋体" w:hAnsi="宋体"/>
                <w:color w:val="auto"/>
                <w:sz w:val="21"/>
                <w:szCs w:val="21"/>
                <w:highlight w:val="none"/>
              </w:rPr>
              <w:t>采购需求</w:t>
            </w:r>
          </w:p>
        </w:tc>
        <w:tc>
          <w:tcPr>
            <w:tcW w:w="2825" w:type="dxa"/>
            <w:vAlign w:val="center"/>
          </w:tcPr>
          <w:p w14:paraId="419F8D0A">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r>
              <w:rPr>
                <w:rFonts w:hint="eastAsia" w:ascii="宋体" w:hAnsi="宋体"/>
                <w:color w:val="auto"/>
                <w:sz w:val="21"/>
                <w:szCs w:val="21"/>
                <w:highlight w:val="none"/>
              </w:rPr>
              <w:t>响应情况</w:t>
            </w:r>
          </w:p>
        </w:tc>
        <w:tc>
          <w:tcPr>
            <w:tcW w:w="2268" w:type="dxa"/>
            <w:vAlign w:val="center"/>
          </w:tcPr>
          <w:p w14:paraId="20F29C5D">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r>
              <w:rPr>
                <w:rFonts w:hint="eastAsia" w:ascii="宋体" w:hAnsi="宋体"/>
                <w:color w:val="auto"/>
                <w:sz w:val="21"/>
                <w:szCs w:val="21"/>
                <w:highlight w:val="none"/>
              </w:rPr>
              <w:t>差异说明</w:t>
            </w:r>
          </w:p>
        </w:tc>
      </w:tr>
      <w:tr w14:paraId="7615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4C027C72">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825" w:type="dxa"/>
            <w:vAlign w:val="center"/>
          </w:tcPr>
          <w:p w14:paraId="166CFABB">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825" w:type="dxa"/>
            <w:vAlign w:val="center"/>
          </w:tcPr>
          <w:p w14:paraId="6DDB9F30">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268" w:type="dxa"/>
            <w:vAlign w:val="center"/>
          </w:tcPr>
          <w:p w14:paraId="1D76EAAD">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r>
      <w:tr w14:paraId="2207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3AA471EC">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825" w:type="dxa"/>
            <w:vAlign w:val="center"/>
          </w:tcPr>
          <w:p w14:paraId="51B34BC4">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825" w:type="dxa"/>
            <w:vAlign w:val="center"/>
          </w:tcPr>
          <w:p w14:paraId="666E80A8">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268" w:type="dxa"/>
            <w:vAlign w:val="center"/>
          </w:tcPr>
          <w:p w14:paraId="384AA0CC">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r>
      <w:tr w14:paraId="5896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14773323">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825" w:type="dxa"/>
            <w:vAlign w:val="center"/>
          </w:tcPr>
          <w:p w14:paraId="3BF17C1D">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825" w:type="dxa"/>
            <w:vAlign w:val="center"/>
          </w:tcPr>
          <w:p w14:paraId="3A33396E">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268" w:type="dxa"/>
            <w:vAlign w:val="center"/>
          </w:tcPr>
          <w:p w14:paraId="5A2F0315">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r>
      <w:tr w14:paraId="2659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115BC619">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825" w:type="dxa"/>
            <w:vAlign w:val="center"/>
          </w:tcPr>
          <w:p w14:paraId="08CB54B9">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825" w:type="dxa"/>
            <w:vAlign w:val="center"/>
          </w:tcPr>
          <w:p w14:paraId="7B7DF40D">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268" w:type="dxa"/>
            <w:vAlign w:val="center"/>
          </w:tcPr>
          <w:p w14:paraId="2A08956E">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r>
      <w:tr w14:paraId="3132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4C55A003">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825" w:type="dxa"/>
            <w:vAlign w:val="center"/>
          </w:tcPr>
          <w:p w14:paraId="0BE87C11">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825" w:type="dxa"/>
            <w:vAlign w:val="center"/>
          </w:tcPr>
          <w:p w14:paraId="70EC5E02">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268" w:type="dxa"/>
            <w:vAlign w:val="center"/>
          </w:tcPr>
          <w:p w14:paraId="36DF57A8">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r>
      <w:tr w14:paraId="27D8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7C95CF68">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825" w:type="dxa"/>
            <w:vAlign w:val="center"/>
          </w:tcPr>
          <w:p w14:paraId="1A42CA56">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825" w:type="dxa"/>
            <w:vAlign w:val="center"/>
          </w:tcPr>
          <w:p w14:paraId="0F58FAF8">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268" w:type="dxa"/>
            <w:vAlign w:val="center"/>
          </w:tcPr>
          <w:p w14:paraId="63A0B8A2">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r>
      <w:tr w14:paraId="30D3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27D33D47">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825" w:type="dxa"/>
            <w:vAlign w:val="center"/>
          </w:tcPr>
          <w:p w14:paraId="6DE2A1FC">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825" w:type="dxa"/>
            <w:vAlign w:val="center"/>
          </w:tcPr>
          <w:p w14:paraId="2A6D2E8B">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268" w:type="dxa"/>
            <w:vAlign w:val="center"/>
          </w:tcPr>
          <w:p w14:paraId="399F56D9">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r>
    </w:tbl>
    <w:p w14:paraId="41B55E14">
      <w:pPr>
        <w:kinsoku/>
        <w:wordWrap/>
        <w:overflowPunct/>
        <w:topLinePunct w:val="0"/>
        <w:bidi w:val="0"/>
        <w:spacing w:line="360" w:lineRule="auto"/>
        <w:textAlignment w:val="auto"/>
        <w:rPr>
          <w:rFonts w:hint="eastAsia" w:ascii="宋体" w:hAnsi="宋体"/>
          <w:color w:val="auto"/>
          <w:szCs w:val="28"/>
          <w:highlight w:val="none"/>
        </w:rPr>
      </w:pPr>
      <w:r>
        <w:rPr>
          <w:rFonts w:hint="eastAsia" w:ascii="宋体" w:hAnsi="宋体"/>
          <w:color w:val="auto"/>
          <w:szCs w:val="28"/>
          <w:highlight w:val="none"/>
        </w:rPr>
        <w:t xml:space="preserve">   供应商：                   法定代表人（或法定代表人授权代表）或自然人：</w:t>
      </w:r>
    </w:p>
    <w:p w14:paraId="65E6FCC8">
      <w:pPr>
        <w:tabs>
          <w:tab w:val="left" w:pos="6300"/>
        </w:tabs>
        <w:kinsoku/>
        <w:wordWrap/>
        <w:overflowPunct/>
        <w:topLinePunct w:val="0"/>
        <w:bidi w:val="0"/>
        <w:spacing w:line="360" w:lineRule="auto"/>
        <w:textAlignment w:val="auto"/>
        <w:rPr>
          <w:rFonts w:hint="eastAsia" w:ascii="宋体" w:hAnsi="宋体"/>
          <w:color w:val="auto"/>
          <w:szCs w:val="24"/>
          <w:highlight w:val="none"/>
        </w:rPr>
      </w:pPr>
      <w:r>
        <w:rPr>
          <w:rFonts w:hint="eastAsia" w:ascii="宋体" w:hAnsi="宋体"/>
          <w:color w:val="auto"/>
          <w:szCs w:val="24"/>
          <w:highlight w:val="none"/>
        </w:rPr>
        <w:t xml:space="preserve">  （供应商公章）                               （签字或盖章）</w:t>
      </w:r>
    </w:p>
    <w:p w14:paraId="697C647D">
      <w:pPr>
        <w:tabs>
          <w:tab w:val="left" w:pos="6300"/>
        </w:tabs>
        <w:kinsoku/>
        <w:wordWrap/>
        <w:overflowPunct/>
        <w:topLinePunct w:val="0"/>
        <w:bidi w:val="0"/>
        <w:spacing w:line="360" w:lineRule="auto"/>
        <w:textAlignment w:val="auto"/>
        <w:rPr>
          <w:rFonts w:hint="eastAsia" w:ascii="宋体" w:hAnsi="宋体"/>
          <w:color w:val="auto"/>
          <w:szCs w:val="24"/>
          <w:highlight w:val="none"/>
        </w:rPr>
      </w:pPr>
    </w:p>
    <w:p w14:paraId="6427F576">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 xml:space="preserve">                                          年     月     日</w:t>
      </w:r>
    </w:p>
    <w:p w14:paraId="6C0098D7">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注：</w:t>
      </w:r>
    </w:p>
    <w:p w14:paraId="6DF45C4D">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1.本表即为对本项目“第三篇 项目商务需求”中所列技术要求进行比较并逐条响应；</w:t>
      </w:r>
      <w:r>
        <w:rPr>
          <w:rFonts w:ascii="宋体" w:hAnsi="宋体"/>
          <w:color w:val="auto"/>
          <w:szCs w:val="24"/>
          <w:highlight w:val="none"/>
        </w:rPr>
        <w:t xml:space="preserve"> </w:t>
      </w:r>
    </w:p>
    <w:p w14:paraId="5285DAE6">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2.该表可扩展。</w:t>
      </w:r>
    </w:p>
    <w:p w14:paraId="742B9D2B">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48395EE0">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1BD8CD50">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14BAA10E">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1F9DE393">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2F4DC326">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0E4D3317">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567C9723">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2EEF4E2B">
      <w:pPr>
        <w:tabs>
          <w:tab w:val="left" w:pos="6300"/>
        </w:tabs>
        <w:kinsoku/>
        <w:wordWrap/>
        <w:overflowPunct/>
        <w:topLinePunct w:val="0"/>
        <w:bidi w:val="0"/>
        <w:spacing w:line="360" w:lineRule="auto"/>
        <w:ind w:firstLine="480" w:firstLineChars="200"/>
        <w:jc w:val="center"/>
        <w:textAlignment w:val="auto"/>
        <w:rPr>
          <w:rFonts w:hint="eastAsia" w:ascii="宋体" w:hAnsi="宋体"/>
          <w:color w:val="auto"/>
          <w:szCs w:val="24"/>
          <w:highlight w:val="none"/>
        </w:rPr>
      </w:pPr>
    </w:p>
    <w:p w14:paraId="26E0792B">
      <w:pPr>
        <w:numPr>
          <w:ilvl w:val="0"/>
          <w:numId w:val="0"/>
        </w:numPr>
        <w:kinsoku/>
        <w:wordWrap/>
        <w:overflowPunct/>
        <w:topLinePunct w:val="0"/>
        <w:bidi w:val="0"/>
        <w:spacing w:line="360" w:lineRule="auto"/>
        <w:ind w:leftChars="0"/>
        <w:jc w:val="center"/>
        <w:textAlignment w:val="auto"/>
        <w:rPr>
          <w:rFonts w:hint="eastAsia" w:ascii="宋体" w:hAnsi="宋体"/>
          <w:color w:val="auto"/>
          <w:szCs w:val="24"/>
          <w:highlight w:val="none"/>
          <w:lang w:val="en-US" w:eastAsia="zh-CN"/>
        </w:rPr>
      </w:pPr>
      <w:r>
        <w:rPr>
          <w:rFonts w:hint="eastAsia" w:ascii="宋体" w:hAnsi="宋体"/>
          <w:color w:val="auto"/>
          <w:szCs w:val="24"/>
          <w:highlight w:val="none"/>
          <w:lang w:val="en-US" w:eastAsia="zh-CN"/>
        </w:rPr>
        <w:t>（二）商务部分</w:t>
      </w:r>
    </w:p>
    <w:p w14:paraId="0B4FD2D7">
      <w:pPr>
        <w:numPr>
          <w:ilvl w:val="0"/>
          <w:numId w:val="0"/>
        </w:numPr>
        <w:kinsoku/>
        <w:wordWrap/>
        <w:overflowPunct/>
        <w:topLinePunct w:val="0"/>
        <w:bidi w:val="0"/>
        <w:spacing w:line="360" w:lineRule="auto"/>
        <w:ind w:leftChars="0" w:firstLine="480" w:firstLineChars="200"/>
        <w:textAlignment w:val="auto"/>
        <w:rPr>
          <w:rFonts w:hint="default" w:ascii="宋体" w:hAnsi="宋体"/>
          <w:color w:val="auto"/>
          <w:szCs w:val="24"/>
          <w:highlight w:val="none"/>
          <w:lang w:val="en-US" w:eastAsia="zh-CN"/>
        </w:rPr>
      </w:pPr>
      <w:r>
        <w:rPr>
          <w:rFonts w:hint="eastAsia" w:ascii="宋体" w:hAnsi="宋体"/>
          <w:color w:val="auto"/>
          <w:szCs w:val="24"/>
          <w:highlight w:val="none"/>
          <w:lang w:val="en-US" w:eastAsia="zh-CN"/>
        </w:rPr>
        <w:t>供</w:t>
      </w:r>
      <w:r>
        <w:rPr>
          <w:rFonts w:hint="default" w:ascii="宋体" w:hAnsi="宋体"/>
          <w:color w:val="auto"/>
          <w:szCs w:val="24"/>
          <w:highlight w:val="none"/>
          <w:lang w:val="en-US" w:eastAsia="zh-CN"/>
        </w:rPr>
        <w:t>应商可根据本磋商文件“第四篇 磋商程序及方法、评审标准、无效响应和采购终止→评审标准→商务部分”中的要求提供</w:t>
      </w:r>
    </w:p>
    <w:p w14:paraId="464148DF">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2562DD17">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27A8B404">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65AB0FDA">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4146F2BA">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17E2F31C">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64A036C5">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4C4FA82E">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5B7EC172">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12DD5C26">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2E0092A7">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00929296">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04126353">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27E8212D">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7E420451">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140CD398">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0407E70C">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6F6ECB5E">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375C606D">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1A3F294A">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370EB6C1">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40296F71">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45394EBD">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7673B354">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7548EF52">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36183658">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5BF992B6">
      <w:pPr>
        <w:kinsoku/>
        <w:wordWrap/>
        <w:overflowPunct/>
        <w:topLinePunct w:val="0"/>
        <w:bidi w:val="0"/>
        <w:spacing w:line="360" w:lineRule="auto"/>
        <w:jc w:val="center"/>
        <w:textAlignment w:val="auto"/>
        <w:rPr>
          <w:rFonts w:hint="eastAsia" w:ascii="宋体" w:hAnsi="宋体"/>
          <w:color w:val="auto"/>
          <w:szCs w:val="24"/>
          <w:highlight w:val="none"/>
        </w:rPr>
      </w:pPr>
      <w:r>
        <w:rPr>
          <w:rFonts w:hint="eastAsia" w:ascii="宋体" w:hAnsi="宋体"/>
          <w:color w:val="auto"/>
          <w:szCs w:val="24"/>
          <w:highlight w:val="none"/>
          <w:lang w:eastAsia="zh-CN"/>
        </w:rPr>
        <w:t>（</w:t>
      </w:r>
      <w:r>
        <w:rPr>
          <w:rFonts w:hint="eastAsia" w:ascii="宋体" w:hAnsi="宋体"/>
          <w:color w:val="auto"/>
          <w:szCs w:val="24"/>
          <w:highlight w:val="none"/>
          <w:lang w:val="en-US" w:eastAsia="zh-CN"/>
        </w:rPr>
        <w:t>三</w:t>
      </w:r>
      <w:r>
        <w:rPr>
          <w:rFonts w:hint="eastAsia" w:ascii="宋体" w:hAnsi="宋体"/>
          <w:color w:val="auto"/>
          <w:szCs w:val="24"/>
          <w:highlight w:val="none"/>
          <w:lang w:eastAsia="zh-CN"/>
        </w:rPr>
        <w:t>）</w:t>
      </w:r>
      <w:r>
        <w:rPr>
          <w:rFonts w:hint="eastAsia" w:ascii="宋体" w:hAnsi="宋体"/>
          <w:color w:val="auto"/>
          <w:szCs w:val="24"/>
          <w:highlight w:val="none"/>
        </w:rPr>
        <w:t>其它优惠服务承诺（格式自定）</w:t>
      </w:r>
    </w:p>
    <w:p w14:paraId="107E3A12">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558671DF">
      <w:pPr>
        <w:pageBreakBefore/>
        <w:kinsoku/>
        <w:wordWrap/>
        <w:overflowPunct/>
        <w:topLinePunct w:val="0"/>
        <w:bidi w:val="0"/>
        <w:spacing w:line="360" w:lineRule="auto"/>
        <w:ind w:firstLine="482" w:firstLineChars="200"/>
        <w:textAlignment w:val="auto"/>
        <w:rPr>
          <w:b/>
          <w:color w:val="auto"/>
          <w:szCs w:val="24"/>
          <w:highlight w:val="none"/>
        </w:rPr>
      </w:pPr>
      <w:r>
        <w:rPr>
          <w:rFonts w:hint="eastAsia"/>
          <w:b/>
          <w:color w:val="auto"/>
          <w:szCs w:val="24"/>
          <w:highlight w:val="none"/>
        </w:rPr>
        <w:t>四、资格条件</w:t>
      </w:r>
    </w:p>
    <w:p w14:paraId="21CB4DBB">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（一）供应商法人营业执照（副本）或事业单位法人证书（副本）或个体工商户营业执照或有效的自然人身份证明或社会团体法人登记证书复印件。</w:t>
      </w:r>
    </w:p>
    <w:p w14:paraId="0F71D0FC">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34F586E1">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4630DBE7">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7C6D181E">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5B86AFDF">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6A94A323">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00688B29">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32DFA85A">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1370A46F">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1764FF95">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028F6DAF">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3641539E">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775A6200">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47DE3189">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4A9A8F87">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01927928">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1699E0EC">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50D3EEED">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471170C2">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1489E802">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6E2E9BAC">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3AEFD81F">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10904932">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30EAD41A">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6B5CF470">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784435BF">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3CFFD6FF">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1C6B030E">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（二）</w:t>
      </w:r>
      <w:r>
        <w:rPr>
          <w:rFonts w:ascii="宋体" w:hAnsi="宋体"/>
          <w:color w:val="auto"/>
          <w:szCs w:val="24"/>
          <w:highlight w:val="none"/>
        </w:rPr>
        <w:t>法定代表人身份证明书（格式）</w:t>
      </w:r>
    </w:p>
    <w:p w14:paraId="5060E9B5">
      <w:pPr>
        <w:tabs>
          <w:tab w:val="left" w:pos="6300"/>
        </w:tabs>
        <w:kinsoku/>
        <w:wordWrap/>
        <w:overflowPunct/>
        <w:topLinePunct w:val="0"/>
        <w:bidi w:val="0"/>
        <w:spacing w:line="360" w:lineRule="auto"/>
        <w:jc w:val="center"/>
        <w:textAlignment w:val="auto"/>
        <w:rPr>
          <w:rFonts w:hint="eastAsia" w:ascii="宋体" w:hAnsi="宋体"/>
          <w:color w:val="auto"/>
          <w:sz w:val="28"/>
          <w:highlight w:val="none"/>
        </w:rPr>
      </w:pPr>
      <w:r>
        <w:rPr>
          <w:rFonts w:ascii="宋体" w:hAnsi="宋体"/>
          <w:color w:val="auto"/>
          <w:sz w:val="28"/>
          <w:highlight w:val="none"/>
        </w:rPr>
        <w:t>法定代表人身份证明书</w:t>
      </w:r>
    </w:p>
    <w:p w14:paraId="30F29262">
      <w:pPr>
        <w:tabs>
          <w:tab w:val="left" w:pos="6300"/>
        </w:tabs>
        <w:kinsoku/>
        <w:wordWrap/>
        <w:overflowPunct/>
        <w:topLinePunct w:val="0"/>
        <w:bidi w:val="0"/>
        <w:spacing w:line="360" w:lineRule="auto"/>
        <w:jc w:val="center"/>
        <w:textAlignment w:val="auto"/>
        <w:rPr>
          <w:rFonts w:hint="eastAsia" w:ascii="宋体" w:hAnsi="宋体"/>
          <w:color w:val="auto"/>
          <w:szCs w:val="24"/>
          <w:highlight w:val="none"/>
        </w:rPr>
      </w:pPr>
    </w:p>
    <w:p w14:paraId="64E673F8">
      <w:pPr>
        <w:tabs>
          <w:tab w:val="left" w:pos="6300"/>
        </w:tabs>
        <w:kinsoku/>
        <w:wordWrap/>
        <w:overflowPunct/>
        <w:topLinePunct w:val="0"/>
        <w:bidi w:val="0"/>
        <w:spacing w:line="360" w:lineRule="auto"/>
        <w:ind w:firstLine="570"/>
        <w:textAlignment w:val="auto"/>
        <w:rPr>
          <w:rFonts w:hint="eastAsia" w:ascii="宋体" w:hAnsi="宋体"/>
          <w:color w:val="auto"/>
          <w:szCs w:val="24"/>
          <w:highlight w:val="none"/>
        </w:rPr>
      </w:pPr>
      <w:r>
        <w:rPr>
          <w:rFonts w:ascii="宋体" w:hAnsi="宋体"/>
          <w:color w:val="auto"/>
          <w:szCs w:val="24"/>
          <w:highlight w:val="none"/>
        </w:rPr>
        <w:t>项目名称：</w:t>
      </w:r>
      <w:r>
        <w:rPr>
          <w:rFonts w:ascii="宋体" w:hAnsi="宋体"/>
          <w:color w:val="auto"/>
          <w:szCs w:val="24"/>
          <w:highlight w:val="none"/>
          <w:u w:val="single"/>
        </w:rPr>
        <w:t xml:space="preserve">                                                </w:t>
      </w:r>
    </w:p>
    <w:p w14:paraId="77FBDE09">
      <w:pPr>
        <w:tabs>
          <w:tab w:val="left" w:pos="6300"/>
        </w:tabs>
        <w:kinsoku/>
        <w:wordWrap/>
        <w:overflowPunct/>
        <w:topLinePunct w:val="0"/>
        <w:bidi w:val="0"/>
        <w:spacing w:line="360" w:lineRule="auto"/>
        <w:ind w:firstLine="570"/>
        <w:textAlignment w:val="auto"/>
        <w:rPr>
          <w:rFonts w:hint="eastAsia" w:ascii="宋体" w:hAnsi="宋体"/>
          <w:color w:val="auto"/>
          <w:szCs w:val="24"/>
          <w:highlight w:val="none"/>
        </w:rPr>
      </w:pPr>
    </w:p>
    <w:p w14:paraId="14820385">
      <w:pPr>
        <w:tabs>
          <w:tab w:val="left" w:pos="6300"/>
        </w:tabs>
        <w:kinsoku/>
        <w:wordWrap/>
        <w:overflowPunct/>
        <w:topLinePunct w:val="0"/>
        <w:bidi w:val="0"/>
        <w:spacing w:line="360" w:lineRule="auto"/>
        <w:ind w:firstLine="570"/>
        <w:textAlignment w:val="auto"/>
        <w:rPr>
          <w:rFonts w:hint="eastAsia" w:ascii="宋体" w:hAnsi="宋体"/>
          <w:color w:val="auto"/>
          <w:szCs w:val="24"/>
          <w:highlight w:val="none"/>
        </w:rPr>
      </w:pPr>
      <w:r>
        <w:rPr>
          <w:rFonts w:ascii="宋体" w:hAnsi="宋体"/>
          <w:color w:val="auto"/>
          <w:szCs w:val="24"/>
          <w:highlight w:val="none"/>
        </w:rPr>
        <w:t>致：</w:t>
      </w:r>
      <w:r>
        <w:rPr>
          <w:rFonts w:ascii="宋体" w:hAnsi="宋体"/>
          <w:color w:val="auto"/>
          <w:szCs w:val="24"/>
          <w:highlight w:val="none"/>
          <w:u w:val="single"/>
        </w:rPr>
        <w:t xml:space="preserve">                     </w:t>
      </w:r>
      <w:r>
        <w:rPr>
          <w:rFonts w:ascii="宋体" w:hAnsi="宋体"/>
          <w:color w:val="auto"/>
          <w:szCs w:val="24"/>
          <w:highlight w:val="none"/>
        </w:rPr>
        <w:t>（采购代理机构名称）：</w:t>
      </w:r>
    </w:p>
    <w:p w14:paraId="5ACDCFB8">
      <w:pPr>
        <w:tabs>
          <w:tab w:val="left" w:pos="6300"/>
        </w:tabs>
        <w:kinsoku/>
        <w:wordWrap/>
        <w:overflowPunct/>
        <w:topLinePunct w:val="0"/>
        <w:bidi w:val="0"/>
        <w:spacing w:line="360" w:lineRule="auto"/>
        <w:ind w:firstLine="570"/>
        <w:textAlignment w:val="auto"/>
        <w:rPr>
          <w:rFonts w:hint="eastAsia" w:ascii="宋体" w:hAnsi="宋体"/>
          <w:color w:val="auto"/>
          <w:szCs w:val="24"/>
          <w:highlight w:val="none"/>
        </w:rPr>
      </w:pPr>
      <w:r>
        <w:rPr>
          <w:rFonts w:ascii="宋体" w:hAnsi="宋体"/>
          <w:color w:val="auto"/>
          <w:szCs w:val="24"/>
          <w:highlight w:val="none"/>
          <w:u w:val="single"/>
        </w:rPr>
        <w:t xml:space="preserve">        </w:t>
      </w:r>
      <w:r>
        <w:rPr>
          <w:rFonts w:ascii="宋体" w:hAnsi="宋体"/>
          <w:color w:val="auto"/>
          <w:szCs w:val="24"/>
          <w:highlight w:val="none"/>
        </w:rPr>
        <w:t>（法定代表人姓名）在</w:t>
      </w:r>
      <w:r>
        <w:rPr>
          <w:rFonts w:ascii="宋体" w:hAnsi="宋体"/>
          <w:color w:val="auto"/>
          <w:szCs w:val="24"/>
          <w:highlight w:val="none"/>
          <w:u w:val="single"/>
        </w:rPr>
        <w:t xml:space="preserve">                       </w:t>
      </w:r>
      <w:r>
        <w:rPr>
          <w:rFonts w:ascii="宋体" w:hAnsi="宋体"/>
          <w:color w:val="auto"/>
          <w:szCs w:val="24"/>
          <w:highlight w:val="none"/>
        </w:rPr>
        <w:t>（供应商名称）任</w:t>
      </w:r>
      <w:r>
        <w:rPr>
          <w:rFonts w:ascii="宋体" w:hAnsi="宋体"/>
          <w:color w:val="auto"/>
          <w:szCs w:val="24"/>
          <w:highlight w:val="none"/>
          <w:u w:val="single"/>
        </w:rPr>
        <w:t xml:space="preserve">    </w:t>
      </w:r>
      <w:r>
        <w:rPr>
          <w:rFonts w:ascii="宋体" w:hAnsi="宋体"/>
          <w:color w:val="auto"/>
          <w:szCs w:val="24"/>
          <w:highlight w:val="none"/>
        </w:rPr>
        <w:t>（职务名称）职务，是（供应商名称）</w:t>
      </w:r>
      <w:r>
        <w:rPr>
          <w:rFonts w:ascii="宋体" w:hAnsi="宋体"/>
          <w:color w:val="auto"/>
          <w:szCs w:val="24"/>
          <w:highlight w:val="none"/>
          <w:u w:val="single"/>
        </w:rPr>
        <w:t xml:space="preserve">              </w:t>
      </w:r>
      <w:r>
        <w:rPr>
          <w:rFonts w:ascii="宋体" w:hAnsi="宋体"/>
          <w:color w:val="auto"/>
          <w:szCs w:val="24"/>
          <w:highlight w:val="none"/>
        </w:rPr>
        <w:t>的法定代表人。</w:t>
      </w:r>
    </w:p>
    <w:p w14:paraId="24A6ADD9">
      <w:pPr>
        <w:tabs>
          <w:tab w:val="left" w:pos="6300"/>
        </w:tabs>
        <w:kinsoku/>
        <w:wordWrap/>
        <w:overflowPunct/>
        <w:topLinePunct w:val="0"/>
        <w:bidi w:val="0"/>
        <w:spacing w:line="360" w:lineRule="auto"/>
        <w:ind w:firstLine="570"/>
        <w:textAlignment w:val="auto"/>
        <w:rPr>
          <w:rFonts w:hint="eastAsia" w:ascii="宋体" w:hAnsi="宋体"/>
          <w:color w:val="auto"/>
          <w:szCs w:val="24"/>
          <w:highlight w:val="none"/>
        </w:rPr>
      </w:pPr>
    </w:p>
    <w:p w14:paraId="296815CE">
      <w:pPr>
        <w:tabs>
          <w:tab w:val="left" w:pos="6300"/>
        </w:tabs>
        <w:kinsoku/>
        <w:wordWrap/>
        <w:overflowPunct/>
        <w:topLinePunct w:val="0"/>
        <w:bidi w:val="0"/>
        <w:spacing w:line="360" w:lineRule="auto"/>
        <w:ind w:firstLine="570"/>
        <w:textAlignment w:val="auto"/>
        <w:rPr>
          <w:color w:val="auto"/>
          <w:szCs w:val="24"/>
          <w:highlight w:val="none"/>
        </w:rPr>
      </w:pPr>
      <w:r>
        <w:rPr>
          <w:rFonts w:ascii="宋体" w:hAnsi="宋体"/>
          <w:color w:val="auto"/>
          <w:szCs w:val="24"/>
          <w:highlight w:val="none"/>
        </w:rPr>
        <w:t>特此证</w:t>
      </w:r>
      <w:r>
        <w:rPr>
          <w:color w:val="auto"/>
          <w:szCs w:val="24"/>
          <w:highlight w:val="none"/>
        </w:rPr>
        <w:t>明。</w:t>
      </w:r>
    </w:p>
    <w:p w14:paraId="19194D9D">
      <w:pPr>
        <w:tabs>
          <w:tab w:val="left" w:pos="6300"/>
        </w:tabs>
        <w:kinsoku/>
        <w:wordWrap/>
        <w:overflowPunct/>
        <w:topLinePunct w:val="0"/>
        <w:bidi w:val="0"/>
        <w:spacing w:line="360" w:lineRule="auto"/>
        <w:ind w:firstLine="570"/>
        <w:textAlignment w:val="auto"/>
        <w:rPr>
          <w:color w:val="auto"/>
          <w:szCs w:val="24"/>
          <w:highlight w:val="none"/>
        </w:rPr>
      </w:pPr>
    </w:p>
    <w:p w14:paraId="7AC34856">
      <w:pPr>
        <w:tabs>
          <w:tab w:val="left" w:pos="6300"/>
        </w:tabs>
        <w:kinsoku/>
        <w:wordWrap/>
        <w:overflowPunct/>
        <w:topLinePunct w:val="0"/>
        <w:bidi w:val="0"/>
        <w:spacing w:line="360" w:lineRule="auto"/>
        <w:ind w:firstLine="570"/>
        <w:textAlignment w:val="auto"/>
        <w:rPr>
          <w:color w:val="auto"/>
          <w:szCs w:val="24"/>
          <w:highlight w:val="none"/>
        </w:rPr>
      </w:pPr>
    </w:p>
    <w:p w14:paraId="30BB164F">
      <w:pPr>
        <w:tabs>
          <w:tab w:val="left" w:pos="6300"/>
        </w:tabs>
        <w:kinsoku/>
        <w:wordWrap/>
        <w:overflowPunct/>
        <w:topLinePunct w:val="0"/>
        <w:bidi w:val="0"/>
        <w:spacing w:line="360" w:lineRule="auto"/>
        <w:ind w:firstLine="570"/>
        <w:textAlignment w:val="auto"/>
        <w:rPr>
          <w:color w:val="auto"/>
          <w:szCs w:val="24"/>
          <w:highlight w:val="none"/>
        </w:rPr>
      </w:pPr>
    </w:p>
    <w:p w14:paraId="1453B356">
      <w:pPr>
        <w:tabs>
          <w:tab w:val="left" w:pos="6300"/>
        </w:tabs>
        <w:kinsoku/>
        <w:wordWrap/>
        <w:overflowPunct/>
        <w:topLinePunct w:val="0"/>
        <w:bidi w:val="0"/>
        <w:spacing w:line="360" w:lineRule="auto"/>
        <w:ind w:firstLine="570"/>
        <w:textAlignment w:val="auto"/>
        <w:rPr>
          <w:color w:val="auto"/>
          <w:szCs w:val="24"/>
          <w:highlight w:val="none"/>
        </w:rPr>
      </w:pPr>
      <w:r>
        <w:rPr>
          <w:color w:val="auto"/>
          <w:szCs w:val="24"/>
          <w:highlight w:val="none"/>
        </w:rPr>
        <w:t xml:space="preserve">                                             （供应商公章）</w:t>
      </w:r>
    </w:p>
    <w:p w14:paraId="6A13AD87">
      <w:pPr>
        <w:tabs>
          <w:tab w:val="left" w:pos="6300"/>
        </w:tabs>
        <w:kinsoku/>
        <w:wordWrap/>
        <w:overflowPunct/>
        <w:topLinePunct w:val="0"/>
        <w:bidi w:val="0"/>
        <w:spacing w:line="360" w:lineRule="auto"/>
        <w:ind w:firstLine="570"/>
        <w:textAlignment w:val="auto"/>
        <w:rPr>
          <w:color w:val="auto"/>
          <w:szCs w:val="24"/>
          <w:highlight w:val="none"/>
        </w:rPr>
      </w:pPr>
    </w:p>
    <w:p w14:paraId="0FF4F23B">
      <w:pPr>
        <w:tabs>
          <w:tab w:val="left" w:pos="6300"/>
        </w:tabs>
        <w:kinsoku/>
        <w:wordWrap/>
        <w:overflowPunct/>
        <w:topLinePunct w:val="0"/>
        <w:bidi w:val="0"/>
        <w:spacing w:line="360" w:lineRule="auto"/>
        <w:ind w:firstLine="570"/>
        <w:textAlignment w:val="auto"/>
        <w:rPr>
          <w:color w:val="auto"/>
          <w:szCs w:val="24"/>
          <w:highlight w:val="none"/>
        </w:rPr>
      </w:pPr>
      <w:r>
        <w:rPr>
          <w:color w:val="auto"/>
          <w:szCs w:val="24"/>
          <w:highlight w:val="none"/>
        </w:rPr>
        <w:t xml:space="preserve">                                             年   月   日</w:t>
      </w:r>
    </w:p>
    <w:p w14:paraId="42FD8146">
      <w:pPr>
        <w:tabs>
          <w:tab w:val="left" w:pos="6300"/>
        </w:tabs>
        <w:kinsoku/>
        <w:wordWrap/>
        <w:overflowPunct/>
        <w:topLinePunct w:val="0"/>
        <w:bidi w:val="0"/>
        <w:spacing w:line="360" w:lineRule="auto"/>
        <w:ind w:firstLine="570"/>
        <w:textAlignment w:val="auto"/>
        <w:rPr>
          <w:color w:val="auto"/>
          <w:szCs w:val="24"/>
          <w:highlight w:val="none"/>
        </w:rPr>
      </w:pPr>
      <w:r>
        <w:rPr>
          <w:rFonts w:hint="eastAsia"/>
          <w:color w:val="auto"/>
          <w:szCs w:val="24"/>
          <w:highlight w:val="none"/>
        </w:rPr>
        <w:t>法定代表人电话：      电子邮箱：（若授权他人办理并签署响应文件的可不填写）</w:t>
      </w:r>
    </w:p>
    <w:p w14:paraId="12552AFB">
      <w:pPr>
        <w:tabs>
          <w:tab w:val="left" w:pos="6300"/>
        </w:tabs>
        <w:kinsoku/>
        <w:wordWrap/>
        <w:overflowPunct/>
        <w:topLinePunct w:val="0"/>
        <w:bidi w:val="0"/>
        <w:spacing w:line="360" w:lineRule="auto"/>
        <w:ind w:firstLine="570"/>
        <w:textAlignment w:val="auto"/>
        <w:rPr>
          <w:color w:val="auto"/>
          <w:szCs w:val="24"/>
          <w:highlight w:val="none"/>
        </w:rPr>
      </w:pPr>
      <w:r>
        <w:rPr>
          <w:color w:val="auto"/>
          <w:szCs w:val="24"/>
          <w:highlight w:val="none"/>
        </w:rPr>
        <w:t>（附：法定代表人身份证正反面复印件）</w:t>
      </w:r>
    </w:p>
    <w:p w14:paraId="685E9CC6">
      <w:pPr>
        <w:tabs>
          <w:tab w:val="left" w:pos="6300"/>
        </w:tabs>
        <w:kinsoku/>
        <w:wordWrap/>
        <w:overflowPunct/>
        <w:topLinePunct w:val="0"/>
        <w:bidi w:val="0"/>
        <w:spacing w:line="360" w:lineRule="auto"/>
        <w:ind w:firstLine="570"/>
        <w:textAlignment w:val="auto"/>
        <w:rPr>
          <w:color w:val="auto"/>
          <w:szCs w:val="24"/>
          <w:highlight w:val="none"/>
        </w:rPr>
      </w:pPr>
    </w:p>
    <w:p w14:paraId="10B13D9C">
      <w:pPr>
        <w:tabs>
          <w:tab w:val="left" w:pos="6300"/>
        </w:tabs>
        <w:kinsoku/>
        <w:wordWrap/>
        <w:overflowPunct/>
        <w:topLinePunct w:val="0"/>
        <w:bidi w:val="0"/>
        <w:spacing w:line="360" w:lineRule="auto"/>
        <w:ind w:firstLine="570"/>
        <w:textAlignment w:val="auto"/>
        <w:rPr>
          <w:color w:val="auto"/>
          <w:szCs w:val="24"/>
          <w:highlight w:val="none"/>
        </w:rPr>
      </w:pPr>
    </w:p>
    <w:p w14:paraId="7A954FCD">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4D236C46">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62FD9C8F">
      <w:pPr>
        <w:pageBreakBefore/>
        <w:tabs>
          <w:tab w:val="left" w:pos="6300"/>
        </w:tabs>
        <w:kinsoku/>
        <w:wordWrap/>
        <w:overflowPunct/>
        <w:topLinePunct w:val="0"/>
        <w:bidi w:val="0"/>
        <w:spacing w:line="360" w:lineRule="auto"/>
        <w:ind w:firstLine="480" w:firstLineChars="200"/>
        <w:textAlignment w:val="auto"/>
        <w:rPr>
          <w:color w:val="auto"/>
          <w:szCs w:val="24"/>
          <w:highlight w:val="none"/>
        </w:rPr>
      </w:pPr>
      <w:r>
        <w:rPr>
          <w:rFonts w:hint="eastAsia" w:ascii="宋体" w:hAnsi="宋体"/>
          <w:color w:val="auto"/>
          <w:szCs w:val="24"/>
          <w:highlight w:val="none"/>
        </w:rPr>
        <w:t>（三）</w:t>
      </w:r>
      <w:r>
        <w:rPr>
          <w:rFonts w:ascii="宋体" w:hAnsi="宋体"/>
          <w:color w:val="auto"/>
          <w:szCs w:val="24"/>
          <w:highlight w:val="none"/>
        </w:rPr>
        <w:t>法定代表人</w:t>
      </w:r>
      <w:r>
        <w:rPr>
          <w:color w:val="auto"/>
          <w:szCs w:val="24"/>
          <w:highlight w:val="none"/>
        </w:rPr>
        <w:t>授权委托书（格式）</w:t>
      </w:r>
    </w:p>
    <w:p w14:paraId="366BFFB4">
      <w:pPr>
        <w:tabs>
          <w:tab w:val="left" w:pos="6300"/>
        </w:tabs>
        <w:kinsoku/>
        <w:wordWrap/>
        <w:overflowPunct/>
        <w:topLinePunct w:val="0"/>
        <w:bidi w:val="0"/>
        <w:spacing w:line="360" w:lineRule="auto"/>
        <w:jc w:val="center"/>
        <w:textAlignment w:val="auto"/>
        <w:rPr>
          <w:color w:val="auto"/>
          <w:sz w:val="28"/>
          <w:highlight w:val="none"/>
        </w:rPr>
      </w:pPr>
      <w:r>
        <w:rPr>
          <w:color w:val="auto"/>
          <w:sz w:val="28"/>
          <w:highlight w:val="none"/>
        </w:rPr>
        <w:t>法定代表人授权委托书</w:t>
      </w:r>
    </w:p>
    <w:p w14:paraId="683D697D">
      <w:pPr>
        <w:tabs>
          <w:tab w:val="left" w:pos="6300"/>
        </w:tabs>
        <w:kinsoku/>
        <w:wordWrap/>
        <w:overflowPunct/>
        <w:topLinePunct w:val="0"/>
        <w:bidi w:val="0"/>
        <w:spacing w:line="360" w:lineRule="auto"/>
        <w:jc w:val="center"/>
        <w:textAlignment w:val="auto"/>
        <w:rPr>
          <w:color w:val="auto"/>
          <w:szCs w:val="24"/>
          <w:highlight w:val="none"/>
        </w:rPr>
      </w:pPr>
    </w:p>
    <w:p w14:paraId="1704DD18">
      <w:pPr>
        <w:tabs>
          <w:tab w:val="left" w:pos="6300"/>
        </w:tabs>
        <w:kinsoku/>
        <w:wordWrap/>
        <w:overflowPunct/>
        <w:topLinePunct w:val="0"/>
        <w:bidi w:val="0"/>
        <w:spacing w:line="360" w:lineRule="auto"/>
        <w:ind w:firstLine="480" w:firstLineChars="200"/>
        <w:textAlignment w:val="auto"/>
        <w:rPr>
          <w:color w:val="auto"/>
          <w:szCs w:val="24"/>
          <w:highlight w:val="none"/>
        </w:rPr>
      </w:pPr>
      <w:r>
        <w:rPr>
          <w:color w:val="auto"/>
          <w:szCs w:val="24"/>
          <w:highlight w:val="none"/>
        </w:rPr>
        <w:t>项目名称：</w:t>
      </w:r>
      <w:r>
        <w:rPr>
          <w:color w:val="auto"/>
          <w:szCs w:val="24"/>
          <w:highlight w:val="none"/>
          <w:u w:val="single"/>
        </w:rPr>
        <w:t xml:space="preserve">                                                </w:t>
      </w:r>
    </w:p>
    <w:p w14:paraId="30A29EC9">
      <w:pPr>
        <w:tabs>
          <w:tab w:val="left" w:pos="6300"/>
        </w:tabs>
        <w:kinsoku/>
        <w:wordWrap/>
        <w:overflowPunct/>
        <w:topLinePunct w:val="0"/>
        <w:bidi w:val="0"/>
        <w:spacing w:line="360" w:lineRule="auto"/>
        <w:ind w:firstLine="570"/>
        <w:textAlignment w:val="auto"/>
        <w:rPr>
          <w:color w:val="auto"/>
          <w:szCs w:val="24"/>
          <w:highlight w:val="none"/>
        </w:rPr>
      </w:pPr>
    </w:p>
    <w:p w14:paraId="69B26048">
      <w:pPr>
        <w:tabs>
          <w:tab w:val="left" w:pos="6300"/>
        </w:tabs>
        <w:kinsoku/>
        <w:wordWrap/>
        <w:overflowPunct/>
        <w:topLinePunct w:val="0"/>
        <w:bidi w:val="0"/>
        <w:spacing w:line="360" w:lineRule="auto"/>
        <w:ind w:firstLine="480" w:firstLineChars="200"/>
        <w:textAlignment w:val="auto"/>
        <w:rPr>
          <w:color w:val="auto"/>
          <w:szCs w:val="24"/>
          <w:highlight w:val="none"/>
        </w:rPr>
      </w:pPr>
      <w:r>
        <w:rPr>
          <w:color w:val="auto"/>
          <w:szCs w:val="24"/>
          <w:highlight w:val="none"/>
        </w:rPr>
        <w:t>致：</w:t>
      </w:r>
      <w:r>
        <w:rPr>
          <w:color w:val="auto"/>
          <w:szCs w:val="24"/>
          <w:highlight w:val="none"/>
          <w:u w:val="single"/>
        </w:rPr>
        <w:t xml:space="preserve">                     </w:t>
      </w:r>
      <w:r>
        <w:rPr>
          <w:color w:val="auto"/>
          <w:szCs w:val="24"/>
          <w:highlight w:val="none"/>
        </w:rPr>
        <w:t>（采购代理机构名称）：</w:t>
      </w:r>
    </w:p>
    <w:p w14:paraId="7B248D22">
      <w:pPr>
        <w:tabs>
          <w:tab w:val="left" w:pos="6300"/>
        </w:tabs>
        <w:kinsoku/>
        <w:wordWrap/>
        <w:overflowPunct/>
        <w:topLinePunct w:val="0"/>
        <w:bidi w:val="0"/>
        <w:spacing w:line="360" w:lineRule="auto"/>
        <w:ind w:firstLine="480" w:firstLineChars="200"/>
        <w:textAlignment w:val="auto"/>
        <w:rPr>
          <w:color w:val="auto"/>
          <w:szCs w:val="24"/>
          <w:highlight w:val="none"/>
        </w:rPr>
      </w:pPr>
      <w:r>
        <w:rPr>
          <w:color w:val="auto"/>
          <w:szCs w:val="24"/>
          <w:highlight w:val="none"/>
          <w:u w:val="single"/>
        </w:rPr>
        <w:t xml:space="preserve">            </w:t>
      </w:r>
      <w:r>
        <w:rPr>
          <w:color w:val="auto"/>
          <w:szCs w:val="24"/>
          <w:highlight w:val="none"/>
        </w:rPr>
        <w:t>（供应商法定代表人名称）是</w:t>
      </w:r>
      <w:r>
        <w:rPr>
          <w:color w:val="auto"/>
          <w:szCs w:val="24"/>
          <w:highlight w:val="none"/>
          <w:u w:val="single"/>
        </w:rPr>
        <w:t xml:space="preserve">                    </w:t>
      </w:r>
      <w:r>
        <w:rPr>
          <w:color w:val="auto"/>
          <w:szCs w:val="24"/>
          <w:highlight w:val="none"/>
        </w:rPr>
        <w:t>（供应商名称）的法定代表人，特授权</w:t>
      </w:r>
      <w:r>
        <w:rPr>
          <w:color w:val="auto"/>
          <w:szCs w:val="24"/>
          <w:highlight w:val="none"/>
          <w:u w:val="single"/>
        </w:rPr>
        <w:t xml:space="preserve">          </w:t>
      </w:r>
      <w:r>
        <w:rPr>
          <w:color w:val="auto"/>
          <w:szCs w:val="24"/>
          <w:highlight w:val="none"/>
        </w:rPr>
        <w:t>（被授权人姓名及身份证代码）代表我单位全权办理上述项目的投标、谈判、签约等具体工作，并签署全部有关文件、协议及合同。</w:t>
      </w:r>
    </w:p>
    <w:p w14:paraId="44474F88">
      <w:pPr>
        <w:tabs>
          <w:tab w:val="left" w:pos="6300"/>
        </w:tabs>
        <w:kinsoku/>
        <w:wordWrap/>
        <w:overflowPunct/>
        <w:topLinePunct w:val="0"/>
        <w:bidi w:val="0"/>
        <w:spacing w:line="360" w:lineRule="auto"/>
        <w:ind w:firstLine="480" w:firstLineChars="200"/>
        <w:textAlignment w:val="auto"/>
        <w:rPr>
          <w:color w:val="auto"/>
          <w:szCs w:val="24"/>
          <w:highlight w:val="none"/>
        </w:rPr>
      </w:pPr>
      <w:r>
        <w:rPr>
          <w:color w:val="auto"/>
          <w:szCs w:val="24"/>
          <w:highlight w:val="none"/>
        </w:rPr>
        <w:t>我单位对被授权人的签字负全部责任。</w:t>
      </w:r>
    </w:p>
    <w:p w14:paraId="7EC2E9BF">
      <w:pPr>
        <w:tabs>
          <w:tab w:val="left" w:pos="6300"/>
        </w:tabs>
        <w:kinsoku/>
        <w:wordWrap/>
        <w:overflowPunct/>
        <w:topLinePunct w:val="0"/>
        <w:bidi w:val="0"/>
        <w:spacing w:line="360" w:lineRule="auto"/>
        <w:ind w:firstLine="480" w:firstLineChars="200"/>
        <w:textAlignment w:val="auto"/>
        <w:rPr>
          <w:color w:val="auto"/>
          <w:szCs w:val="24"/>
          <w:highlight w:val="none"/>
        </w:rPr>
      </w:pPr>
      <w:r>
        <w:rPr>
          <w:color w:val="auto"/>
          <w:szCs w:val="24"/>
          <w:highlight w:val="none"/>
        </w:rPr>
        <w:t>在撤消授权的书面通知以前，本授权书一直有效。被授权人在授权书有效期内签署的所有文件不因授权的撤消而失效。</w:t>
      </w:r>
    </w:p>
    <w:p w14:paraId="168E4052">
      <w:pPr>
        <w:tabs>
          <w:tab w:val="left" w:pos="6300"/>
        </w:tabs>
        <w:kinsoku/>
        <w:wordWrap/>
        <w:overflowPunct/>
        <w:topLinePunct w:val="0"/>
        <w:bidi w:val="0"/>
        <w:spacing w:line="360" w:lineRule="auto"/>
        <w:ind w:firstLine="570"/>
        <w:textAlignment w:val="auto"/>
        <w:rPr>
          <w:color w:val="auto"/>
          <w:szCs w:val="24"/>
          <w:highlight w:val="none"/>
        </w:rPr>
      </w:pPr>
    </w:p>
    <w:p w14:paraId="6A464E0C">
      <w:pPr>
        <w:tabs>
          <w:tab w:val="left" w:pos="6300"/>
        </w:tabs>
        <w:kinsoku/>
        <w:wordWrap/>
        <w:overflowPunct/>
        <w:topLinePunct w:val="0"/>
        <w:bidi w:val="0"/>
        <w:spacing w:line="360" w:lineRule="auto"/>
        <w:ind w:firstLine="570"/>
        <w:textAlignment w:val="auto"/>
        <w:rPr>
          <w:color w:val="auto"/>
          <w:szCs w:val="24"/>
          <w:highlight w:val="none"/>
        </w:rPr>
      </w:pPr>
    </w:p>
    <w:p w14:paraId="262D0E68">
      <w:pPr>
        <w:tabs>
          <w:tab w:val="left" w:pos="6300"/>
        </w:tabs>
        <w:kinsoku/>
        <w:wordWrap/>
        <w:overflowPunct/>
        <w:topLinePunct w:val="0"/>
        <w:bidi w:val="0"/>
        <w:spacing w:line="360" w:lineRule="auto"/>
        <w:ind w:firstLine="570"/>
        <w:textAlignment w:val="auto"/>
        <w:rPr>
          <w:color w:val="auto"/>
          <w:szCs w:val="24"/>
          <w:highlight w:val="none"/>
        </w:rPr>
      </w:pPr>
      <w:r>
        <w:rPr>
          <w:color w:val="auto"/>
          <w:szCs w:val="24"/>
          <w:highlight w:val="none"/>
        </w:rPr>
        <w:t>被授权人：                                 供应商法定代表人：</w:t>
      </w:r>
    </w:p>
    <w:p w14:paraId="298E82C6">
      <w:pPr>
        <w:tabs>
          <w:tab w:val="left" w:pos="6300"/>
        </w:tabs>
        <w:kinsoku/>
        <w:wordWrap/>
        <w:overflowPunct/>
        <w:topLinePunct w:val="0"/>
        <w:bidi w:val="0"/>
        <w:spacing w:line="360" w:lineRule="auto"/>
        <w:ind w:firstLine="570"/>
        <w:textAlignment w:val="auto"/>
        <w:rPr>
          <w:color w:val="auto"/>
          <w:szCs w:val="24"/>
          <w:highlight w:val="none"/>
        </w:rPr>
      </w:pPr>
      <w:r>
        <w:rPr>
          <w:color w:val="auto"/>
          <w:szCs w:val="24"/>
          <w:highlight w:val="none"/>
        </w:rPr>
        <w:t>（签字或盖章）                                （签字或盖章）</w:t>
      </w:r>
    </w:p>
    <w:p w14:paraId="5B3BBB59">
      <w:pPr>
        <w:tabs>
          <w:tab w:val="left" w:pos="6300"/>
        </w:tabs>
        <w:kinsoku/>
        <w:wordWrap/>
        <w:overflowPunct/>
        <w:topLinePunct w:val="0"/>
        <w:bidi w:val="0"/>
        <w:spacing w:line="360" w:lineRule="auto"/>
        <w:ind w:firstLine="570"/>
        <w:textAlignment w:val="auto"/>
        <w:rPr>
          <w:color w:val="auto"/>
          <w:szCs w:val="24"/>
          <w:highlight w:val="none"/>
        </w:rPr>
      </w:pPr>
    </w:p>
    <w:p w14:paraId="1D8F21DF">
      <w:pPr>
        <w:tabs>
          <w:tab w:val="left" w:pos="6300"/>
        </w:tabs>
        <w:kinsoku/>
        <w:wordWrap/>
        <w:overflowPunct/>
        <w:topLinePunct w:val="0"/>
        <w:bidi w:val="0"/>
        <w:spacing w:line="360" w:lineRule="auto"/>
        <w:ind w:firstLine="570"/>
        <w:textAlignment w:val="auto"/>
        <w:rPr>
          <w:color w:val="auto"/>
          <w:szCs w:val="24"/>
          <w:highlight w:val="none"/>
        </w:rPr>
      </w:pPr>
    </w:p>
    <w:p w14:paraId="17132801">
      <w:pPr>
        <w:tabs>
          <w:tab w:val="left" w:pos="6300"/>
        </w:tabs>
        <w:kinsoku/>
        <w:wordWrap/>
        <w:overflowPunct/>
        <w:topLinePunct w:val="0"/>
        <w:bidi w:val="0"/>
        <w:spacing w:line="360" w:lineRule="auto"/>
        <w:ind w:firstLine="570"/>
        <w:textAlignment w:val="auto"/>
        <w:rPr>
          <w:color w:val="auto"/>
          <w:szCs w:val="24"/>
          <w:highlight w:val="none"/>
        </w:rPr>
      </w:pPr>
      <w:r>
        <w:rPr>
          <w:color w:val="auto"/>
          <w:szCs w:val="24"/>
          <w:highlight w:val="none"/>
        </w:rPr>
        <w:t>（附：被授权人身份证正反面复印件）</w:t>
      </w:r>
    </w:p>
    <w:p w14:paraId="54F2667C">
      <w:pPr>
        <w:tabs>
          <w:tab w:val="left" w:pos="6300"/>
        </w:tabs>
        <w:kinsoku/>
        <w:wordWrap/>
        <w:overflowPunct/>
        <w:topLinePunct w:val="0"/>
        <w:bidi w:val="0"/>
        <w:spacing w:line="360" w:lineRule="auto"/>
        <w:ind w:firstLine="570"/>
        <w:textAlignment w:val="auto"/>
        <w:rPr>
          <w:color w:val="auto"/>
          <w:szCs w:val="24"/>
          <w:highlight w:val="none"/>
        </w:rPr>
      </w:pPr>
      <w:r>
        <w:rPr>
          <w:color w:val="auto"/>
          <w:szCs w:val="24"/>
          <w:highlight w:val="none"/>
        </w:rPr>
        <w:t xml:space="preserve">                                          </w:t>
      </w:r>
    </w:p>
    <w:p w14:paraId="72527EC2">
      <w:pPr>
        <w:tabs>
          <w:tab w:val="left" w:pos="6300"/>
        </w:tabs>
        <w:kinsoku/>
        <w:wordWrap/>
        <w:overflowPunct/>
        <w:topLinePunct w:val="0"/>
        <w:bidi w:val="0"/>
        <w:spacing w:line="360" w:lineRule="auto"/>
        <w:ind w:firstLine="570"/>
        <w:textAlignment w:val="auto"/>
        <w:rPr>
          <w:color w:val="auto"/>
          <w:szCs w:val="24"/>
          <w:highlight w:val="none"/>
        </w:rPr>
      </w:pPr>
    </w:p>
    <w:p w14:paraId="61D5BEE7">
      <w:pPr>
        <w:tabs>
          <w:tab w:val="left" w:pos="6300"/>
        </w:tabs>
        <w:kinsoku/>
        <w:wordWrap/>
        <w:overflowPunct/>
        <w:topLinePunct w:val="0"/>
        <w:bidi w:val="0"/>
        <w:spacing w:line="360" w:lineRule="auto"/>
        <w:ind w:firstLine="570"/>
        <w:textAlignment w:val="auto"/>
        <w:rPr>
          <w:color w:val="auto"/>
          <w:szCs w:val="24"/>
          <w:highlight w:val="none"/>
        </w:rPr>
      </w:pPr>
    </w:p>
    <w:p w14:paraId="60098972">
      <w:pPr>
        <w:tabs>
          <w:tab w:val="left" w:pos="6300"/>
        </w:tabs>
        <w:kinsoku/>
        <w:wordWrap/>
        <w:overflowPunct/>
        <w:topLinePunct w:val="0"/>
        <w:bidi w:val="0"/>
        <w:spacing w:line="360" w:lineRule="auto"/>
        <w:ind w:right="480" w:firstLine="570"/>
        <w:jc w:val="right"/>
        <w:textAlignment w:val="auto"/>
        <w:rPr>
          <w:color w:val="auto"/>
          <w:szCs w:val="24"/>
          <w:highlight w:val="none"/>
        </w:rPr>
      </w:pPr>
      <w:r>
        <w:rPr>
          <w:color w:val="auto"/>
          <w:szCs w:val="24"/>
          <w:highlight w:val="none"/>
        </w:rPr>
        <w:t>（供应商公章）</w:t>
      </w:r>
    </w:p>
    <w:p w14:paraId="68EAB8F9">
      <w:pPr>
        <w:tabs>
          <w:tab w:val="left" w:pos="6300"/>
        </w:tabs>
        <w:kinsoku/>
        <w:wordWrap/>
        <w:overflowPunct/>
        <w:topLinePunct w:val="0"/>
        <w:bidi w:val="0"/>
        <w:spacing w:line="360" w:lineRule="auto"/>
        <w:ind w:right="480" w:firstLine="570"/>
        <w:jc w:val="right"/>
        <w:textAlignment w:val="auto"/>
        <w:rPr>
          <w:color w:val="auto"/>
          <w:szCs w:val="24"/>
          <w:highlight w:val="none"/>
        </w:rPr>
      </w:pPr>
      <w:r>
        <w:rPr>
          <w:color w:val="auto"/>
          <w:szCs w:val="24"/>
          <w:highlight w:val="none"/>
        </w:rPr>
        <w:t>年   月   日</w:t>
      </w:r>
    </w:p>
    <w:p w14:paraId="0FC70B24">
      <w:pPr>
        <w:tabs>
          <w:tab w:val="left" w:pos="6300"/>
        </w:tabs>
        <w:kinsoku/>
        <w:wordWrap/>
        <w:overflowPunct/>
        <w:topLinePunct w:val="0"/>
        <w:bidi w:val="0"/>
        <w:spacing w:line="360" w:lineRule="auto"/>
        <w:ind w:right="480" w:firstLine="570"/>
        <w:jc w:val="left"/>
        <w:textAlignment w:val="auto"/>
        <w:rPr>
          <w:color w:val="auto"/>
          <w:szCs w:val="24"/>
          <w:highlight w:val="none"/>
        </w:rPr>
      </w:pPr>
      <w:r>
        <w:rPr>
          <w:rFonts w:hint="eastAsia"/>
          <w:color w:val="auto"/>
          <w:szCs w:val="24"/>
          <w:highlight w:val="none"/>
        </w:rPr>
        <w:t>被授权人电话：     电子邮箱：（若法定代表人办理并签署响应文件的可不填写）</w:t>
      </w:r>
    </w:p>
    <w:p w14:paraId="62032005">
      <w:pPr>
        <w:tabs>
          <w:tab w:val="left" w:pos="6300"/>
        </w:tabs>
        <w:kinsoku/>
        <w:wordWrap/>
        <w:overflowPunct/>
        <w:topLinePunct w:val="0"/>
        <w:bidi w:val="0"/>
        <w:spacing w:line="360" w:lineRule="auto"/>
        <w:ind w:firstLine="480" w:firstLineChars="200"/>
        <w:textAlignment w:val="auto"/>
        <w:rPr>
          <w:color w:val="auto"/>
          <w:szCs w:val="24"/>
          <w:highlight w:val="none"/>
        </w:rPr>
      </w:pPr>
      <w:r>
        <w:rPr>
          <w:color w:val="auto"/>
          <w:szCs w:val="24"/>
          <w:highlight w:val="none"/>
        </w:rPr>
        <w:t>注</w:t>
      </w:r>
      <w:r>
        <w:rPr>
          <w:rFonts w:ascii="宋体" w:hAnsi="宋体"/>
          <w:color w:val="auto"/>
          <w:szCs w:val="24"/>
          <w:highlight w:val="none"/>
        </w:rPr>
        <w:t>：若为法定代表人办理并签署响应文件的，不提供此文件</w:t>
      </w:r>
      <w:r>
        <w:rPr>
          <w:rFonts w:hint="eastAsia" w:ascii="宋体" w:hAnsi="宋体"/>
          <w:color w:val="auto"/>
          <w:szCs w:val="24"/>
          <w:highlight w:val="none"/>
        </w:rPr>
        <w:t>。</w:t>
      </w:r>
    </w:p>
    <w:p w14:paraId="004EEF0E">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sz w:val="24"/>
          <w:szCs w:val="24"/>
          <w:highlight w:val="none"/>
        </w:rPr>
      </w:pPr>
    </w:p>
    <w:p w14:paraId="246D2ABC">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sz w:val="24"/>
          <w:szCs w:val="24"/>
          <w:highlight w:val="none"/>
        </w:rPr>
      </w:pPr>
    </w:p>
    <w:p w14:paraId="51AD74D9">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sz w:val="24"/>
          <w:szCs w:val="24"/>
          <w:highlight w:val="none"/>
        </w:rPr>
      </w:pPr>
    </w:p>
    <w:p w14:paraId="47B6A947">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sz w:val="24"/>
          <w:szCs w:val="24"/>
          <w:highlight w:val="none"/>
        </w:rPr>
      </w:pPr>
    </w:p>
    <w:p w14:paraId="6C2B3ADE">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sz w:val="24"/>
          <w:szCs w:val="24"/>
          <w:highlight w:val="none"/>
        </w:rPr>
      </w:pPr>
    </w:p>
    <w:p w14:paraId="65C0592F">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w:t>
      </w:r>
    </w:p>
    <w:p w14:paraId="682AC02A">
      <w:pPr>
        <w:tabs>
          <w:tab w:val="left" w:pos="6300"/>
        </w:tabs>
        <w:kinsoku/>
        <w:wordWrap/>
        <w:overflowPunct/>
        <w:topLinePunct w:val="0"/>
        <w:autoSpaceDE/>
        <w:autoSpaceDN/>
        <w:bidi w:val="0"/>
        <w:snapToGrid w:val="0"/>
        <w:spacing w:line="440" w:lineRule="exact"/>
        <w:ind w:left="0" w:leftChars="0" w:right="0" w:rightChars="0" w:firstLine="643" w:firstLineChars="20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基本资格条件承诺函</w:t>
      </w:r>
    </w:p>
    <w:p w14:paraId="3C86A8BE">
      <w:pPr>
        <w:tabs>
          <w:tab w:val="left" w:pos="6300"/>
        </w:tabs>
        <w:kinsoku/>
        <w:wordWrap/>
        <w:overflowPunct/>
        <w:topLinePunct w:val="0"/>
        <w:autoSpaceDE/>
        <w:autoSpaceDN/>
        <w:bidi w:val="0"/>
        <w:snapToGrid w:val="0"/>
        <w:spacing w:line="440" w:lineRule="exact"/>
        <w:ind w:left="0" w:leftChars="0" w:right="0" w:rightChars="0"/>
        <w:textAlignment w:val="auto"/>
        <w:rPr>
          <w:rFonts w:hint="eastAsia" w:ascii="宋体" w:hAnsi="宋体" w:eastAsia="宋体" w:cs="宋体"/>
          <w:color w:val="auto"/>
          <w:sz w:val="24"/>
          <w:highlight w:val="none"/>
        </w:rPr>
      </w:pPr>
    </w:p>
    <w:p w14:paraId="60BB67C5">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5831D371">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（供应商名称）郑重承诺：</w:t>
      </w:r>
    </w:p>
    <w:p w14:paraId="47DE401B">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color w:val="auto"/>
          <w:sz w:val="24"/>
          <w:szCs w:val="24"/>
          <w:highlight w:val="none"/>
          <w:lang w:val="zh-CN"/>
        </w:rPr>
        <w:t>有依法缴纳税收和社会保障金的良好记录</w:t>
      </w:r>
      <w:r>
        <w:rPr>
          <w:rFonts w:hint="eastAsia" w:ascii="宋体" w:hAnsi="宋体" w:eastAsia="宋体" w:cs="宋体"/>
          <w:color w:val="auto"/>
          <w:sz w:val="24"/>
          <w:szCs w:val="24"/>
          <w:highlight w:val="none"/>
        </w:rPr>
        <w:t>，参加本项目采购活动前三年内无重大违法活动记录。</w:t>
      </w:r>
    </w:p>
    <w:p w14:paraId="53333D00">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00B4CD54">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3.我方在采购项目评审（评标）环节结束后，随时接受采购人的检查验证，配合提供相关证明材料，证明符合《中华人民共和国政府采购法》规定的供应商基本资格条件。</w:t>
      </w:r>
    </w:p>
    <w:p w14:paraId="20610A89">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我方对以上承诺负全部法律责任。</w:t>
      </w:r>
    </w:p>
    <w:p w14:paraId="21D06BCE">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0F1C8871">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p>
    <w:p w14:paraId="6FB382C1">
      <w:pPr>
        <w:tabs>
          <w:tab w:val="left" w:pos="6300"/>
        </w:tabs>
        <w:kinsoku/>
        <w:wordWrap/>
        <w:overflowPunct/>
        <w:topLinePunct w:val="0"/>
        <w:autoSpaceDE/>
        <w:autoSpaceDN/>
        <w:bidi w:val="0"/>
        <w:snapToGrid w:val="0"/>
        <w:spacing w:line="440" w:lineRule="exact"/>
        <w:ind w:left="0" w:leftChars="0" w:right="0" w:rightChars="0" w:firstLine="480" w:firstLineChars="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72944A52">
      <w:pPr>
        <w:tabs>
          <w:tab w:val="left" w:pos="6300"/>
        </w:tabs>
        <w:kinsoku/>
        <w:wordWrap/>
        <w:overflowPunct/>
        <w:topLinePunct w:val="0"/>
        <w:autoSpaceDE/>
        <w:autoSpaceDN/>
        <w:bidi w:val="0"/>
        <w:snapToGrid w:val="0"/>
        <w:spacing w:line="440" w:lineRule="exact"/>
        <w:ind w:left="0" w:leftChars="0" w:right="0" w:rightChars="0" w:firstLine="6720" w:firstLineChars="28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0CA423B8">
      <w:pPr>
        <w:tabs>
          <w:tab w:val="left" w:pos="6300"/>
        </w:tabs>
        <w:kinsoku/>
        <w:wordWrap/>
        <w:overflowPunct/>
        <w:topLinePunct w:val="0"/>
        <w:autoSpaceDE/>
        <w:autoSpaceDN/>
        <w:bidi w:val="0"/>
        <w:snapToGrid w:val="0"/>
        <w:spacing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（五）特定资格条件证明文件</w:t>
      </w:r>
    </w:p>
    <w:p w14:paraId="0DB809BD">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highlight w:val="none"/>
        </w:rPr>
      </w:pPr>
    </w:p>
    <w:p w14:paraId="03684572">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highlight w:val="none"/>
        </w:rPr>
      </w:pPr>
    </w:p>
    <w:p w14:paraId="64D02948">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highlight w:val="none"/>
        </w:rPr>
      </w:pPr>
    </w:p>
    <w:p w14:paraId="76D345EB">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highlight w:val="none"/>
        </w:rPr>
      </w:pPr>
    </w:p>
    <w:p w14:paraId="7C1AD666">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highlight w:val="none"/>
        </w:rPr>
      </w:pPr>
    </w:p>
    <w:p w14:paraId="18BD7C41">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highlight w:val="none"/>
        </w:rPr>
      </w:pPr>
    </w:p>
    <w:p w14:paraId="39A46149">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highlight w:val="none"/>
        </w:rPr>
      </w:pPr>
    </w:p>
    <w:p w14:paraId="2E3455EF">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highlight w:val="none"/>
        </w:rPr>
      </w:pPr>
    </w:p>
    <w:p w14:paraId="0BFDA589">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highlight w:val="none"/>
        </w:rPr>
      </w:pPr>
    </w:p>
    <w:p w14:paraId="131DBB61">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highlight w:val="none"/>
        </w:rPr>
      </w:pPr>
    </w:p>
    <w:p w14:paraId="1BE34FCE">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highlight w:val="none"/>
        </w:rPr>
      </w:pPr>
    </w:p>
    <w:p w14:paraId="47A5C48A">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highlight w:val="none"/>
        </w:rPr>
      </w:pPr>
    </w:p>
    <w:p w14:paraId="34E077BB">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highlight w:val="none"/>
        </w:rPr>
      </w:pPr>
    </w:p>
    <w:p w14:paraId="3AB811C5">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highlight w:val="none"/>
        </w:rPr>
      </w:pPr>
    </w:p>
    <w:p w14:paraId="7C40801D">
      <w:pPr>
        <w:pStyle w:val="4"/>
        <w:kinsoku/>
        <w:wordWrap/>
        <w:overflowPunct/>
        <w:topLinePunct w:val="0"/>
        <w:autoSpaceDE/>
        <w:autoSpaceDN/>
        <w:bidi w:val="0"/>
        <w:adjustRightInd w:val="0"/>
        <w:snapToGrid w:val="0"/>
        <w:spacing w:line="440" w:lineRule="exact"/>
        <w:ind w:left="0" w:leftChars="0" w:right="0" w:rightChars="0" w:firstLine="643" w:firstLineChars="200"/>
        <w:textAlignment w:val="auto"/>
        <w:outlineLvl w:val="2"/>
        <w:rPr>
          <w:rFonts w:hint="eastAsia" w:ascii="宋体" w:hAnsi="宋体" w:eastAsia="宋体" w:cs="宋体"/>
          <w:color w:val="auto"/>
          <w:sz w:val="24"/>
          <w:highlight w:val="none"/>
        </w:rPr>
      </w:pPr>
      <w:r>
        <w:rPr>
          <w:rFonts w:hint="eastAsia" w:ascii="宋体" w:hAnsi="宋体" w:eastAsia="宋体" w:cs="宋体"/>
          <w:color w:val="auto"/>
          <w:highlight w:val="none"/>
        </w:rPr>
        <w:br w:type="page"/>
      </w:r>
      <w:bookmarkStart w:id="122" w:name="_Toc106030910"/>
      <w:bookmarkStart w:id="123" w:name="_Toc76462354"/>
      <w:bookmarkStart w:id="124" w:name="_Toc31588"/>
      <w:bookmarkStart w:id="125" w:name="_Toc3646"/>
      <w:bookmarkStart w:id="126" w:name="_Toc14422"/>
      <w:r>
        <w:rPr>
          <w:rFonts w:hint="eastAsia" w:ascii="宋体" w:hAnsi="宋体" w:eastAsia="宋体" w:cs="宋体"/>
          <w:color w:val="auto"/>
          <w:sz w:val="24"/>
          <w:highlight w:val="none"/>
        </w:rPr>
        <w:t>五、其他资料</w:t>
      </w:r>
      <w:bookmarkEnd w:id="122"/>
      <w:bookmarkEnd w:id="123"/>
      <w:bookmarkEnd w:id="124"/>
      <w:bookmarkEnd w:id="125"/>
    </w:p>
    <w:p w14:paraId="54DDDE5B">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（一）中小企业声明函、监狱企业证明文件、残疾人福利性单位声明函</w:t>
      </w:r>
    </w:p>
    <w:p w14:paraId="303AC9F9">
      <w:pPr>
        <w:tabs>
          <w:tab w:val="left" w:pos="6300"/>
        </w:tabs>
        <w:kinsoku/>
        <w:wordWrap/>
        <w:overflowPunct/>
        <w:topLinePunct w:val="0"/>
        <w:autoSpaceDE/>
        <w:autoSpaceDN/>
        <w:bidi w:val="0"/>
        <w:snapToGrid w:val="0"/>
        <w:spacing w:line="440" w:lineRule="exact"/>
        <w:ind w:left="0" w:leftChars="0" w:right="0" w:rightChars="0" w:firstLine="480" w:firstLineChars="20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中小企业声明函</w:t>
      </w:r>
    </w:p>
    <w:p w14:paraId="773BA429">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本公司（联合体）郑重声明，根据《政府采购促进中小企业发展管理办法》（</w:t>
      </w:r>
      <w:r>
        <w:rPr>
          <w:rFonts w:hint="eastAsia" w:ascii="宋体" w:hAnsi="宋体" w:eastAsia="宋体" w:cs="宋体"/>
          <w:color w:val="auto"/>
          <w:sz w:val="24"/>
          <w:szCs w:val="24"/>
          <w:highlight w:val="none"/>
        </w:rPr>
        <w:t>财库〔2020〕46号</w:t>
      </w:r>
      <w:r>
        <w:rPr>
          <w:rFonts w:hint="eastAsia" w:ascii="宋体" w:hAnsi="宋体" w:eastAsia="宋体" w:cs="宋体"/>
          <w:color w:val="auto"/>
          <w:sz w:val="24"/>
          <w:szCs w:val="28"/>
          <w:highlight w:val="none"/>
        </w:rPr>
        <w:t>）的规定，本公司（联合体）参加</w:t>
      </w:r>
      <w:r>
        <w:rPr>
          <w:rFonts w:hint="eastAsia" w:ascii="宋体" w:hAnsi="宋体" w:eastAsia="宋体" w:cs="宋体"/>
          <w:i/>
          <w:color w:val="auto"/>
          <w:sz w:val="24"/>
          <w:szCs w:val="28"/>
          <w:highlight w:val="none"/>
          <w:u w:val="single"/>
        </w:rPr>
        <w:t>（单位名称）</w:t>
      </w:r>
      <w:r>
        <w:rPr>
          <w:rFonts w:hint="eastAsia" w:ascii="宋体" w:hAnsi="宋体" w:eastAsia="宋体" w:cs="宋体"/>
          <w:color w:val="auto"/>
          <w:sz w:val="24"/>
          <w:szCs w:val="28"/>
          <w:highlight w:val="none"/>
        </w:rPr>
        <w:t>的</w:t>
      </w:r>
      <w:r>
        <w:rPr>
          <w:rFonts w:hint="eastAsia" w:ascii="宋体" w:hAnsi="宋体" w:eastAsia="宋体" w:cs="宋体"/>
          <w:i/>
          <w:color w:val="auto"/>
          <w:sz w:val="24"/>
          <w:szCs w:val="28"/>
          <w:highlight w:val="none"/>
          <w:u w:val="single"/>
        </w:rPr>
        <w:t>（项目名称）</w:t>
      </w:r>
      <w:r>
        <w:rPr>
          <w:rFonts w:hint="eastAsia" w:ascii="宋体" w:hAnsi="宋体" w:eastAsia="宋体" w:cs="宋体"/>
          <w:color w:val="auto"/>
          <w:sz w:val="24"/>
          <w:szCs w:val="28"/>
          <w:highlight w:val="none"/>
        </w:rPr>
        <w:t>采购活动，服务全部由符合政策要求的中小企业承接。相关企业（含联合体中的中小企业、签订分包意向协议的中小企业）的具体情况如下：</w:t>
      </w:r>
    </w:p>
    <w:p w14:paraId="60259372">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w:t>
      </w:r>
      <w:r>
        <w:rPr>
          <w:rFonts w:hint="eastAsia" w:ascii="宋体" w:hAnsi="宋体" w:eastAsia="宋体" w:cs="宋体"/>
          <w:i/>
          <w:color w:val="auto"/>
          <w:sz w:val="24"/>
          <w:szCs w:val="28"/>
          <w:highlight w:val="none"/>
          <w:u w:val="single"/>
        </w:rPr>
        <w:t>（标的名称）</w:t>
      </w:r>
      <w:r>
        <w:rPr>
          <w:rFonts w:hint="eastAsia" w:ascii="宋体" w:hAnsi="宋体" w:eastAsia="宋体" w:cs="宋体"/>
          <w:color w:val="auto"/>
          <w:sz w:val="24"/>
          <w:szCs w:val="28"/>
          <w:highlight w:val="none"/>
        </w:rPr>
        <w:t>，属于</w:t>
      </w:r>
      <w:r>
        <w:rPr>
          <w:rFonts w:hint="eastAsia" w:ascii="宋体" w:hAnsi="宋体" w:eastAsia="宋体" w:cs="宋体"/>
          <w:i/>
          <w:color w:val="auto"/>
          <w:sz w:val="24"/>
          <w:szCs w:val="28"/>
          <w:highlight w:val="none"/>
          <w:u w:val="single"/>
        </w:rPr>
        <w:t>（采购文件中明确的所属行业）</w:t>
      </w:r>
      <w:r>
        <w:rPr>
          <w:rFonts w:hint="eastAsia" w:ascii="宋体" w:hAnsi="宋体" w:eastAsia="宋体" w:cs="宋体"/>
          <w:color w:val="auto"/>
          <w:sz w:val="24"/>
          <w:szCs w:val="28"/>
          <w:highlight w:val="none"/>
        </w:rPr>
        <w:t>；承接企业为</w:t>
      </w:r>
      <w:r>
        <w:rPr>
          <w:rFonts w:hint="eastAsia" w:ascii="宋体" w:hAnsi="宋体" w:eastAsia="宋体" w:cs="宋体"/>
          <w:i/>
          <w:color w:val="auto"/>
          <w:sz w:val="24"/>
          <w:szCs w:val="28"/>
          <w:highlight w:val="none"/>
          <w:u w:val="single"/>
        </w:rPr>
        <w:t>（企业名称）</w:t>
      </w:r>
      <w:r>
        <w:rPr>
          <w:rFonts w:hint="eastAsia" w:ascii="宋体" w:hAnsi="宋体" w:eastAsia="宋体" w:cs="宋体"/>
          <w:color w:val="auto"/>
          <w:sz w:val="24"/>
          <w:szCs w:val="28"/>
          <w:highlight w:val="none"/>
        </w:rPr>
        <w:t>，从业人员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人，营业收入为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万元，资产总额为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万元，属于</w:t>
      </w:r>
      <w:r>
        <w:rPr>
          <w:rFonts w:hint="eastAsia" w:ascii="宋体" w:hAnsi="宋体" w:eastAsia="宋体" w:cs="宋体"/>
          <w:i/>
          <w:color w:val="auto"/>
          <w:sz w:val="24"/>
          <w:szCs w:val="28"/>
          <w:highlight w:val="none"/>
          <w:u w:val="single"/>
        </w:rPr>
        <w:t>（中型企业、小型企业、微型企业）</w:t>
      </w:r>
      <w:r>
        <w:rPr>
          <w:rFonts w:hint="eastAsia" w:ascii="宋体" w:hAnsi="宋体" w:eastAsia="宋体" w:cs="宋体"/>
          <w:color w:val="auto"/>
          <w:sz w:val="24"/>
          <w:szCs w:val="28"/>
          <w:highlight w:val="none"/>
        </w:rPr>
        <w:t>；</w:t>
      </w:r>
    </w:p>
    <w:p w14:paraId="2BBE245C">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为本标的提供的服务人员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人，其中与本企业签订劳动合同</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人，其他人员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人。有其他人员的不符合中小企业扶持政策（适用于服务采购项目）;</w:t>
      </w:r>
    </w:p>
    <w:p w14:paraId="7949ACD4">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w:t>
      </w:r>
      <w:r>
        <w:rPr>
          <w:rFonts w:hint="eastAsia" w:ascii="宋体" w:hAnsi="宋体" w:eastAsia="宋体" w:cs="宋体"/>
          <w:i/>
          <w:color w:val="auto"/>
          <w:sz w:val="24"/>
          <w:szCs w:val="28"/>
          <w:highlight w:val="none"/>
          <w:u w:val="single"/>
        </w:rPr>
        <w:t xml:space="preserve"> （标的名称）</w:t>
      </w:r>
      <w:r>
        <w:rPr>
          <w:rFonts w:hint="eastAsia" w:ascii="宋体" w:hAnsi="宋体" w:eastAsia="宋体" w:cs="宋体"/>
          <w:color w:val="auto"/>
          <w:sz w:val="24"/>
          <w:szCs w:val="28"/>
          <w:highlight w:val="none"/>
        </w:rPr>
        <w:t>，属于</w:t>
      </w:r>
      <w:r>
        <w:rPr>
          <w:rFonts w:hint="eastAsia" w:ascii="宋体" w:hAnsi="宋体" w:eastAsia="宋体" w:cs="宋体"/>
          <w:i/>
          <w:color w:val="auto"/>
          <w:sz w:val="24"/>
          <w:szCs w:val="28"/>
          <w:highlight w:val="none"/>
          <w:u w:val="single"/>
        </w:rPr>
        <w:t>（采购文件中明确的所属行业）</w:t>
      </w:r>
      <w:r>
        <w:rPr>
          <w:rFonts w:hint="eastAsia" w:ascii="宋体" w:hAnsi="宋体" w:eastAsia="宋体" w:cs="宋体"/>
          <w:color w:val="auto"/>
          <w:sz w:val="24"/>
          <w:szCs w:val="28"/>
          <w:highlight w:val="none"/>
        </w:rPr>
        <w:t>；承接企业为</w:t>
      </w:r>
      <w:r>
        <w:rPr>
          <w:rFonts w:hint="eastAsia" w:ascii="宋体" w:hAnsi="宋体" w:eastAsia="宋体" w:cs="宋体"/>
          <w:i/>
          <w:color w:val="auto"/>
          <w:sz w:val="24"/>
          <w:szCs w:val="28"/>
          <w:highlight w:val="none"/>
          <w:u w:val="single"/>
        </w:rPr>
        <w:t>（企业名称）</w:t>
      </w:r>
      <w:r>
        <w:rPr>
          <w:rFonts w:hint="eastAsia" w:ascii="宋体" w:hAnsi="宋体" w:eastAsia="宋体" w:cs="宋体"/>
          <w:color w:val="auto"/>
          <w:sz w:val="24"/>
          <w:szCs w:val="28"/>
          <w:highlight w:val="none"/>
        </w:rPr>
        <w:t>，从业人员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人，营业收入为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万元，资产总额为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万元，属于</w:t>
      </w:r>
      <w:r>
        <w:rPr>
          <w:rFonts w:hint="eastAsia" w:ascii="宋体" w:hAnsi="宋体" w:eastAsia="宋体" w:cs="宋体"/>
          <w:i/>
          <w:color w:val="auto"/>
          <w:sz w:val="24"/>
          <w:szCs w:val="28"/>
          <w:highlight w:val="none"/>
          <w:u w:val="single"/>
        </w:rPr>
        <w:t>（中型企业、小型企业、微型企业）</w:t>
      </w:r>
      <w:r>
        <w:rPr>
          <w:rFonts w:hint="eastAsia" w:ascii="宋体" w:hAnsi="宋体" w:eastAsia="宋体" w:cs="宋体"/>
          <w:color w:val="auto"/>
          <w:sz w:val="24"/>
          <w:szCs w:val="28"/>
          <w:highlight w:val="none"/>
        </w:rPr>
        <w:t>；</w:t>
      </w:r>
    </w:p>
    <w:p w14:paraId="2F04E581">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为本标的提供的服务人员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人，其中与本企业签订劳动合同</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人，其他人员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人。有其他人员的不符合中小企业扶持政策（适用于服务采购项目）;</w:t>
      </w:r>
    </w:p>
    <w:p w14:paraId="33E8C112">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p>
    <w:p w14:paraId="1B870861">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以上企业，不属于大企业的分支机构，不存在控股股东为大企业的情形，也不存在与大企业的负责人为同一人的情形。</w:t>
      </w:r>
    </w:p>
    <w:p w14:paraId="29A72DDF">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本企业对上述声明内容的真实性负责。如有虚假，将依法承担相应责任。</w:t>
      </w:r>
    </w:p>
    <w:p w14:paraId="43A30B6D">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31A10B5B">
      <w:pPr>
        <w:tabs>
          <w:tab w:val="left" w:pos="6300"/>
        </w:tabs>
        <w:kinsoku/>
        <w:wordWrap/>
        <w:overflowPunct/>
        <w:topLinePunct w:val="0"/>
        <w:autoSpaceDE/>
        <w:autoSpaceDN/>
        <w:bidi w:val="0"/>
        <w:snapToGrid w:val="0"/>
        <w:spacing w:line="440" w:lineRule="exact"/>
        <w:ind w:left="0" w:leftChars="0" w:right="0" w:rightChars="0" w:firstLine="6120" w:firstLineChars="255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企业名称（盖章）： </w:t>
      </w:r>
    </w:p>
    <w:p w14:paraId="1ABDB16B">
      <w:pPr>
        <w:tabs>
          <w:tab w:val="left" w:pos="6300"/>
        </w:tabs>
        <w:kinsoku/>
        <w:wordWrap/>
        <w:overflowPunct/>
        <w:topLinePunct w:val="0"/>
        <w:autoSpaceDE/>
        <w:autoSpaceDN/>
        <w:bidi w:val="0"/>
        <w:snapToGrid w:val="0"/>
        <w:spacing w:line="440" w:lineRule="exact"/>
        <w:ind w:left="0" w:leftChars="0" w:right="0" w:rightChars="0" w:firstLine="6120" w:firstLineChars="255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日期：</w:t>
      </w:r>
    </w:p>
    <w:p w14:paraId="2D803EA8">
      <w:pPr>
        <w:tabs>
          <w:tab w:val="left" w:pos="6300"/>
        </w:tabs>
        <w:kinsoku/>
        <w:wordWrap/>
        <w:overflowPunct/>
        <w:topLinePunct w:val="0"/>
        <w:autoSpaceDE/>
        <w:autoSpaceDN/>
        <w:bidi w:val="0"/>
        <w:snapToGrid w:val="0"/>
        <w:spacing w:line="440" w:lineRule="exact"/>
        <w:ind w:left="0" w:leftChars="0" w:right="0" w:righ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填写时应注意以下事项：</w:t>
      </w:r>
    </w:p>
    <w:p w14:paraId="02C0B84C">
      <w:pPr>
        <w:tabs>
          <w:tab w:val="left" w:pos="6300"/>
        </w:tabs>
        <w:kinsoku/>
        <w:wordWrap/>
        <w:overflowPunct/>
        <w:topLinePunct w:val="0"/>
        <w:autoSpaceDE/>
        <w:autoSpaceDN/>
        <w:bidi w:val="0"/>
        <w:snapToGrid w:val="0"/>
        <w:spacing w:line="440" w:lineRule="exact"/>
        <w:ind w:left="0" w:leftChars="0" w:right="0" w:righ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1.从业人员、营业收入、资产总额填报上一年度数据，无上一年度数据的新成立企业可不填报。</w:t>
      </w:r>
    </w:p>
    <w:p w14:paraId="6C9D42C9">
      <w:pPr>
        <w:tabs>
          <w:tab w:val="left" w:pos="6300"/>
        </w:tabs>
        <w:kinsoku/>
        <w:wordWrap/>
        <w:overflowPunct/>
        <w:topLinePunct w:val="0"/>
        <w:autoSpaceDE/>
        <w:autoSpaceDN/>
        <w:bidi w:val="0"/>
        <w:snapToGrid w:val="0"/>
        <w:spacing w:line="440" w:lineRule="exact"/>
        <w:ind w:left="0" w:leftChars="0" w:right="0" w:rightChars="0"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2.中小企业应当按照《中小企业划型标准规定》（工信部联企业〔2011〕300号），如实填写并提交《中小企业声明函》。</w:t>
      </w:r>
    </w:p>
    <w:p w14:paraId="0BFBD7F2">
      <w:pPr>
        <w:tabs>
          <w:tab w:val="left" w:pos="6300"/>
        </w:tabs>
        <w:kinsoku/>
        <w:wordWrap/>
        <w:overflowPunct/>
        <w:topLinePunct w:val="0"/>
        <w:autoSpaceDE/>
        <w:autoSpaceDN/>
        <w:bidi w:val="0"/>
        <w:snapToGrid w:val="0"/>
        <w:spacing w:line="440" w:lineRule="exact"/>
        <w:ind w:left="0" w:leftChars="0" w:right="0" w:rightChars="0"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3.供应商填写《中小企业声明函》中所属行业时，应与采购文件第一篇“采购标的对应的中小企业划分标准所属行业”中填写的所属行业一致。</w:t>
      </w:r>
    </w:p>
    <w:p w14:paraId="179FE85B">
      <w:pPr>
        <w:tabs>
          <w:tab w:val="left" w:pos="6300"/>
        </w:tabs>
        <w:kinsoku/>
        <w:wordWrap/>
        <w:overflowPunct/>
        <w:topLinePunct w:val="0"/>
        <w:autoSpaceDE/>
        <w:autoSpaceDN/>
        <w:bidi w:val="0"/>
        <w:snapToGrid w:val="0"/>
        <w:spacing w:line="440" w:lineRule="exact"/>
        <w:ind w:left="0" w:leftChars="0" w:right="0" w:rightChars="0"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4.本声明函“企业名称（盖章）”处为供应商盖章。</w:t>
      </w:r>
    </w:p>
    <w:p w14:paraId="33F194CD">
      <w:pPr>
        <w:tabs>
          <w:tab w:val="left" w:pos="6300"/>
        </w:tabs>
        <w:kinsoku/>
        <w:wordWrap/>
        <w:overflowPunct/>
        <w:topLinePunct w:val="0"/>
        <w:autoSpaceDE/>
        <w:autoSpaceDN/>
        <w:bidi w:val="0"/>
        <w:snapToGrid w:val="0"/>
        <w:spacing w:line="440" w:lineRule="exact"/>
        <w:ind w:left="0" w:leftChars="0" w:right="0" w:righ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注：各行业划型标准：</w:t>
      </w:r>
    </w:p>
    <w:p w14:paraId="25583404">
      <w:pPr>
        <w:tabs>
          <w:tab w:val="left" w:pos="6300"/>
        </w:tabs>
        <w:kinsoku/>
        <w:wordWrap/>
        <w:overflowPunct/>
        <w:topLinePunct w:val="0"/>
        <w:autoSpaceDE/>
        <w:autoSpaceDN/>
        <w:bidi w:val="0"/>
        <w:snapToGrid w:val="0"/>
        <w:spacing w:line="440" w:lineRule="exact"/>
        <w:ind w:left="0" w:leftChars="0" w:right="0" w:righ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4815C5FF">
      <w:pPr>
        <w:tabs>
          <w:tab w:val="left" w:pos="6300"/>
        </w:tabs>
        <w:kinsoku/>
        <w:wordWrap/>
        <w:overflowPunct/>
        <w:topLinePunct w:val="0"/>
        <w:autoSpaceDE/>
        <w:autoSpaceDN/>
        <w:bidi w:val="0"/>
        <w:snapToGrid w:val="0"/>
        <w:spacing w:line="440" w:lineRule="exact"/>
        <w:ind w:left="0" w:leftChars="0" w:right="0" w:righ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6D82876">
      <w:pPr>
        <w:tabs>
          <w:tab w:val="left" w:pos="6300"/>
        </w:tabs>
        <w:kinsoku/>
        <w:wordWrap/>
        <w:overflowPunct/>
        <w:topLinePunct w:val="0"/>
        <w:autoSpaceDE/>
        <w:autoSpaceDN/>
        <w:bidi w:val="0"/>
        <w:snapToGrid w:val="0"/>
        <w:spacing w:line="440" w:lineRule="exact"/>
        <w:ind w:left="0" w:leftChars="0" w:right="0" w:righ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CE410AA">
      <w:pPr>
        <w:tabs>
          <w:tab w:val="left" w:pos="6300"/>
        </w:tabs>
        <w:kinsoku/>
        <w:wordWrap/>
        <w:overflowPunct/>
        <w:topLinePunct w:val="0"/>
        <w:autoSpaceDE/>
        <w:autoSpaceDN/>
        <w:bidi w:val="0"/>
        <w:snapToGrid w:val="0"/>
        <w:spacing w:line="440" w:lineRule="exact"/>
        <w:ind w:left="0" w:leftChars="0" w:right="0" w:righ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5E86172">
      <w:pPr>
        <w:tabs>
          <w:tab w:val="left" w:pos="6300"/>
        </w:tabs>
        <w:kinsoku/>
        <w:wordWrap/>
        <w:overflowPunct/>
        <w:topLinePunct w:val="0"/>
        <w:autoSpaceDE/>
        <w:autoSpaceDN/>
        <w:bidi w:val="0"/>
        <w:snapToGrid w:val="0"/>
        <w:spacing w:line="440" w:lineRule="exact"/>
        <w:ind w:left="0" w:leftChars="0" w:right="0" w:righ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C927FFA">
      <w:pPr>
        <w:tabs>
          <w:tab w:val="left" w:pos="6300"/>
        </w:tabs>
        <w:kinsoku/>
        <w:wordWrap/>
        <w:overflowPunct/>
        <w:topLinePunct w:val="0"/>
        <w:autoSpaceDE/>
        <w:autoSpaceDN/>
        <w:bidi w:val="0"/>
        <w:snapToGrid w:val="0"/>
        <w:spacing w:line="440" w:lineRule="exact"/>
        <w:ind w:left="0" w:leftChars="0" w:right="0" w:righ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BF3E3CE">
      <w:pPr>
        <w:tabs>
          <w:tab w:val="left" w:pos="6300"/>
        </w:tabs>
        <w:kinsoku/>
        <w:wordWrap/>
        <w:overflowPunct/>
        <w:topLinePunct w:val="0"/>
        <w:autoSpaceDE/>
        <w:autoSpaceDN/>
        <w:bidi w:val="0"/>
        <w:snapToGrid w:val="0"/>
        <w:spacing w:line="440" w:lineRule="exact"/>
        <w:ind w:left="0" w:leftChars="0" w:right="0" w:righ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6051B2E">
      <w:pPr>
        <w:tabs>
          <w:tab w:val="left" w:pos="6300"/>
        </w:tabs>
        <w:kinsoku/>
        <w:wordWrap/>
        <w:overflowPunct/>
        <w:topLinePunct w:val="0"/>
        <w:autoSpaceDE/>
        <w:autoSpaceDN/>
        <w:bidi w:val="0"/>
        <w:snapToGrid w:val="0"/>
        <w:spacing w:line="440" w:lineRule="exact"/>
        <w:ind w:left="0" w:leftChars="0" w:right="0" w:righ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031A2BA">
      <w:pPr>
        <w:tabs>
          <w:tab w:val="left" w:pos="6300"/>
        </w:tabs>
        <w:kinsoku/>
        <w:wordWrap/>
        <w:overflowPunct/>
        <w:topLinePunct w:val="0"/>
        <w:autoSpaceDE/>
        <w:autoSpaceDN/>
        <w:bidi w:val="0"/>
        <w:snapToGrid w:val="0"/>
        <w:spacing w:line="440" w:lineRule="exact"/>
        <w:ind w:left="0" w:leftChars="0" w:right="0" w:righ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4F559CF">
      <w:pPr>
        <w:tabs>
          <w:tab w:val="left" w:pos="6300"/>
        </w:tabs>
        <w:kinsoku/>
        <w:wordWrap/>
        <w:overflowPunct/>
        <w:topLinePunct w:val="0"/>
        <w:autoSpaceDE/>
        <w:autoSpaceDN/>
        <w:bidi w:val="0"/>
        <w:snapToGrid w:val="0"/>
        <w:spacing w:line="440" w:lineRule="exact"/>
        <w:ind w:left="0" w:leftChars="0" w:right="0" w:righ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0BC7D2">
      <w:pPr>
        <w:tabs>
          <w:tab w:val="left" w:pos="6300"/>
        </w:tabs>
        <w:kinsoku/>
        <w:wordWrap/>
        <w:overflowPunct/>
        <w:topLinePunct w:val="0"/>
        <w:autoSpaceDE/>
        <w:autoSpaceDN/>
        <w:bidi w:val="0"/>
        <w:snapToGrid w:val="0"/>
        <w:spacing w:line="440" w:lineRule="exact"/>
        <w:ind w:left="0" w:leftChars="0" w:right="0" w:righ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8F3E80D">
      <w:pPr>
        <w:tabs>
          <w:tab w:val="left" w:pos="6300"/>
        </w:tabs>
        <w:kinsoku/>
        <w:wordWrap/>
        <w:overflowPunct/>
        <w:topLinePunct w:val="0"/>
        <w:autoSpaceDE/>
        <w:autoSpaceDN/>
        <w:bidi w:val="0"/>
        <w:snapToGrid w:val="0"/>
        <w:spacing w:line="440" w:lineRule="exact"/>
        <w:ind w:left="0" w:leftChars="0" w:right="0" w:righ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69CD800">
      <w:pPr>
        <w:tabs>
          <w:tab w:val="left" w:pos="6300"/>
        </w:tabs>
        <w:kinsoku/>
        <w:wordWrap/>
        <w:overflowPunct/>
        <w:topLinePunct w:val="0"/>
        <w:autoSpaceDE/>
        <w:autoSpaceDN/>
        <w:bidi w:val="0"/>
        <w:snapToGrid w:val="0"/>
        <w:spacing w:line="440" w:lineRule="exact"/>
        <w:ind w:left="0" w:leftChars="0" w:right="0" w:righ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05DCCC4">
      <w:pPr>
        <w:tabs>
          <w:tab w:val="left" w:pos="6300"/>
        </w:tabs>
        <w:kinsoku/>
        <w:wordWrap/>
        <w:overflowPunct/>
        <w:topLinePunct w:val="0"/>
        <w:autoSpaceDE/>
        <w:autoSpaceDN/>
        <w:bidi w:val="0"/>
        <w:snapToGrid w:val="0"/>
        <w:spacing w:line="440" w:lineRule="exact"/>
        <w:ind w:left="0" w:leftChars="0" w:right="0" w:righ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DD72EED">
      <w:pPr>
        <w:tabs>
          <w:tab w:val="left" w:pos="6300"/>
        </w:tabs>
        <w:kinsoku/>
        <w:wordWrap/>
        <w:overflowPunct/>
        <w:topLinePunct w:val="0"/>
        <w:autoSpaceDE/>
        <w:autoSpaceDN/>
        <w:bidi w:val="0"/>
        <w:snapToGrid w:val="0"/>
        <w:spacing w:line="440" w:lineRule="exact"/>
        <w:ind w:left="0" w:leftChars="0" w:right="0" w:righ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268E857">
      <w:pPr>
        <w:tabs>
          <w:tab w:val="left" w:pos="6300"/>
        </w:tabs>
        <w:kinsoku/>
        <w:wordWrap/>
        <w:overflowPunct/>
        <w:topLinePunct w:val="0"/>
        <w:autoSpaceDE/>
        <w:autoSpaceDN/>
        <w:bidi w:val="0"/>
        <w:snapToGrid w:val="0"/>
        <w:spacing w:line="440" w:lineRule="exact"/>
        <w:ind w:left="0" w:leftChars="0" w:right="0" w:righ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4C4666FA">
      <w:pPr>
        <w:tabs>
          <w:tab w:val="left" w:pos="6300"/>
        </w:tabs>
        <w:kinsoku/>
        <w:wordWrap/>
        <w:overflowPunct/>
        <w:topLinePunct w:val="0"/>
        <w:autoSpaceDE/>
        <w:autoSpaceDN/>
        <w:bidi w:val="0"/>
        <w:snapToGrid w:val="0"/>
        <w:spacing w:line="440" w:lineRule="exact"/>
        <w:ind w:left="0" w:leftChars="0" w:right="0" w:rightChars="0" w:firstLine="480" w:firstLineChars="200"/>
        <w:jc w:val="center"/>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highlight w:val="none"/>
        </w:rPr>
        <w:t>监狱企业证明文件</w:t>
      </w:r>
    </w:p>
    <w:p w14:paraId="6AA4E1ED">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以省级以上监狱管理局、戒毒管理局（含新疆生产建设兵团）出具的属于监狱企业的证明文件为准。</w:t>
      </w:r>
    </w:p>
    <w:p w14:paraId="53B0A2A1">
      <w:pPr>
        <w:tabs>
          <w:tab w:val="left" w:pos="6300"/>
        </w:tabs>
        <w:kinsoku/>
        <w:wordWrap/>
        <w:overflowPunct/>
        <w:topLinePunct w:val="0"/>
        <w:autoSpaceDE/>
        <w:autoSpaceDN/>
        <w:bidi w:val="0"/>
        <w:snapToGrid w:val="0"/>
        <w:spacing w:line="440" w:lineRule="exact"/>
        <w:ind w:left="0" w:leftChars="0" w:right="0" w:rightChars="0" w:firstLine="480" w:firstLineChars="200"/>
        <w:jc w:val="center"/>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highlight w:val="none"/>
        </w:rPr>
        <w:t>残疾人福利性单位声明函</w:t>
      </w:r>
    </w:p>
    <w:p w14:paraId="53033535">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7FE1C02">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7A085EF7">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p>
    <w:p w14:paraId="1A1A04AF">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p>
    <w:p w14:paraId="69F0DD9E">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供应商名称（盖章）：</w:t>
      </w:r>
    </w:p>
    <w:p w14:paraId="7FFE9869">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14:paraId="124E6CE2">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p>
    <w:p w14:paraId="77EE0CD2">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p>
    <w:p w14:paraId="652B78EF">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p>
    <w:p w14:paraId="7C2BF369">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p>
    <w:p w14:paraId="7EB8F7C4">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p>
    <w:p w14:paraId="110EBA5B">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p>
    <w:p w14:paraId="6E6FD898">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p>
    <w:p w14:paraId="46090FA4">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p>
    <w:p w14:paraId="1901BEAF">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p>
    <w:p w14:paraId="3A88FD6F">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p>
    <w:p w14:paraId="04AED501">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p>
    <w:p w14:paraId="5EA7481E">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p>
    <w:p w14:paraId="6E3378A5">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若成交供应商为残疾人福利性单位的，将在结果公告时公告其《残疾人福利性单位声明函》。</w:t>
      </w:r>
    </w:p>
    <w:p w14:paraId="5DFF4DCF">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p>
    <w:p w14:paraId="5DF24349">
      <w:pPr>
        <w:kinsoku/>
        <w:wordWrap/>
        <w:overflowPunct/>
        <w:topLinePunct w:val="0"/>
        <w:autoSpaceDE/>
        <w:autoSpaceDN/>
        <w:bidi w:val="0"/>
        <w:spacing w:line="44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（二）其他与项目有关的资料</w:t>
      </w:r>
    </w:p>
    <w:p w14:paraId="061CF862">
      <w:pPr>
        <w:kinsoku/>
        <w:wordWrap/>
        <w:overflowPunct/>
        <w:topLinePunct w:val="0"/>
        <w:autoSpaceDE/>
        <w:autoSpaceDN/>
        <w:bidi w:val="0"/>
        <w:spacing w:line="44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其他与项目有关的资料（自附）：供应商总体情况介绍、其他与本项目有关的资料等。</w:t>
      </w:r>
    </w:p>
    <w:bookmarkEnd w:id="126"/>
    <w:p w14:paraId="22395FC9">
      <w:pPr>
        <w:pStyle w:val="3"/>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highlight w:val="none"/>
        </w:rPr>
      </w:pPr>
    </w:p>
    <w:p w14:paraId="2429850F">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highlight w:val="none"/>
        </w:rPr>
      </w:pPr>
    </w:p>
    <w:p w14:paraId="2682B0A7">
      <w:pPr>
        <w:pStyle w:val="3"/>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highlight w:val="none"/>
        </w:rPr>
      </w:pPr>
    </w:p>
    <w:p w14:paraId="24F6E791">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2B04BDCF">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4026106A">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60B2FBF4">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07C3A138">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7CFBFE9D">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5AA36E6C">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77936A19">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37F5FE3B">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67611E9E">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076FF0B2">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421F4D94">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2FEF7D36">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highlight w:val="none"/>
        </w:rPr>
      </w:pPr>
      <w:r>
        <w:rPr>
          <w:rFonts w:hint="eastAsia" w:ascii="宋体" w:hAnsi="宋体" w:eastAsia="宋体" w:cs="宋体"/>
          <w:color w:val="auto"/>
          <w:sz w:val="24"/>
          <w:szCs w:val="24"/>
          <w:highlight w:val="none"/>
        </w:rPr>
        <w:t>（结束）</w:t>
      </w:r>
    </w:p>
    <w:p w14:paraId="6BE0A4F2">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highlight w:val="none"/>
        </w:rPr>
      </w:pPr>
    </w:p>
    <w:p w14:paraId="65CDD490">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highlight w:val="none"/>
        </w:rPr>
      </w:pPr>
    </w:p>
    <w:p w14:paraId="6FBE007F">
      <w:pPr>
        <w:kinsoku/>
        <w:wordWrap/>
        <w:overflowPunct/>
        <w:topLinePunct w:val="0"/>
        <w:autoSpaceDE/>
        <w:autoSpaceDN/>
        <w:bidi w:val="0"/>
        <w:spacing w:line="44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p>
    <w:p w14:paraId="272ADAD0">
      <w:pPr>
        <w:kinsoku/>
        <w:wordWrap/>
        <w:overflowPunct/>
        <w:topLinePunct w:val="0"/>
        <w:autoSpaceDE/>
        <w:autoSpaceDN/>
        <w:bidi w:val="0"/>
        <w:spacing w:line="44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p>
    <w:p w14:paraId="4E0E5C5A">
      <w:pPr>
        <w:kinsoku/>
        <w:wordWrap/>
        <w:overflowPunct/>
        <w:topLinePunct w:val="0"/>
        <w:autoSpaceDE/>
        <w:autoSpaceDN/>
        <w:bidi w:val="0"/>
        <w:spacing w:line="44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p>
    <w:p w14:paraId="6D25AE17">
      <w:pPr>
        <w:kinsoku/>
        <w:wordWrap/>
        <w:overflowPunct/>
        <w:topLinePunct w:val="0"/>
        <w:autoSpaceDE/>
        <w:autoSpaceDN/>
        <w:bidi w:val="0"/>
        <w:spacing w:line="44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p>
    <w:p w14:paraId="35B261EA">
      <w:pPr>
        <w:kinsoku/>
        <w:wordWrap/>
        <w:overflowPunct/>
        <w:topLinePunct w:val="0"/>
        <w:autoSpaceDE/>
        <w:autoSpaceDN/>
        <w:bidi w:val="0"/>
        <w:spacing w:line="44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p>
    <w:p w14:paraId="496821CD">
      <w:pPr>
        <w:kinsoku/>
        <w:wordWrap/>
        <w:overflowPunct/>
        <w:topLinePunct w:val="0"/>
        <w:bidi w:val="0"/>
        <w:spacing w:line="360" w:lineRule="auto"/>
        <w:textAlignment w:val="auto"/>
        <w:rPr>
          <w:color w:val="auto"/>
          <w:highlight w:val="none"/>
        </w:rPr>
      </w:pPr>
    </w:p>
    <w:sectPr>
      <w:pgSz w:w="11907" w:h="16840"/>
      <w:pgMar w:top="1134" w:right="1191" w:bottom="1134" w:left="1191" w:header="851" w:footer="992" w:gutter="0"/>
      <w:pgNumType w:fmt="numberInDash"/>
      <w:cols w:space="720" w:num="1"/>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266003-2434-4C84-BDEE-15FC1A3841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813809C3-C11C-48AE-A38F-61E9990701CF}"/>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embedRegular r:id="rId3" w:fontKey="{CE0A51EB-58F4-4B93-B48E-32266D55D18E}"/>
  </w:font>
  <w:font w:name="仿宋">
    <w:panose1 w:val="02010609060101010101"/>
    <w:charset w:val="86"/>
    <w:family w:val="auto"/>
    <w:pitch w:val="default"/>
    <w:sig w:usb0="800002BF" w:usb1="38CF7CFA" w:usb2="00000016" w:usb3="00000000" w:csb0="00040001" w:csb1="00000000"/>
    <w:embedRegular r:id="rId4" w:fontKey="{3C7FEFAF-674E-4EA2-B3CE-CD2297DC8820}"/>
  </w:font>
  <w:font w:name="Calibri Light">
    <w:panose1 w:val="020F0302020204030204"/>
    <w:charset w:val="00"/>
    <w:family w:val="swiss"/>
    <w:pitch w:val="default"/>
    <w:sig w:usb0="E4002EFF" w:usb1="C2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embedRegular r:id="rId5" w:fontKey="{0B27BE08-EDE6-42AA-80A1-206CA466EF4C}"/>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BB900">
    <w:pPr>
      <w:pStyle w:val="35"/>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- 5 -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C3DEA">
    <w:pPr>
      <w:pStyle w:val="35"/>
      <w:framePr w:wrap="around" w:vAnchor="text" w:hAnchor="margin" w:xAlign="center" w:y="1"/>
      <w:rPr>
        <w:rStyle w:val="63"/>
      </w:rPr>
    </w:pPr>
    <w:r>
      <w:fldChar w:fldCharType="begin"/>
    </w:r>
    <w:r>
      <w:rPr>
        <w:rStyle w:val="63"/>
      </w:rPr>
      <w:instrText xml:space="preserve">PAGE  </w:instrText>
    </w:r>
    <w:r>
      <w:fldChar w:fldCharType="end"/>
    </w:r>
  </w:p>
  <w:p w14:paraId="109012A7">
    <w:pPr>
      <w:pStyle w:val="3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C6E67">
    <w:pPr>
      <w:pStyle w:val="3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103</w:t>
    </w:r>
    <w:r>
      <w:rPr>
        <w:b/>
        <w:bCs/>
        <w:sz w:val="24"/>
        <w:szCs w:val="24"/>
      </w:rPr>
      <w:fldChar w:fldCharType="end"/>
    </w:r>
  </w:p>
  <w:p w14:paraId="3C40F1A1">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372F4">
    <w:pPr>
      <w:pStyle w:val="35"/>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96850"/>
              <wp:effectExtent l="0" t="0" r="0" b="12700"/>
              <wp:wrapNone/>
              <wp:docPr id="3" name="文本框 3"/>
              <wp:cNvGraphicFramePr/>
              <a:graphic xmlns:a="http://schemas.openxmlformats.org/drawingml/2006/main">
                <a:graphicData uri="http://schemas.microsoft.com/office/word/2010/wordprocessingShape">
                  <wps:wsp>
                    <wps:cNvSpPr txBox="1"/>
                    <wps:spPr>
                      <a:xfrm>
                        <a:off x="0" y="0"/>
                        <a:ext cx="247650" cy="196850"/>
                      </a:xfrm>
                      <a:prstGeom prst="rect">
                        <a:avLst/>
                      </a:prstGeom>
                      <a:noFill/>
                      <a:ln>
                        <a:noFill/>
                      </a:ln>
                    </wps:spPr>
                    <wps:txbx>
                      <w:txbxContent>
                        <w:p w14:paraId="67D18B01">
                          <w:pPr>
                            <w:pStyle w:val="35"/>
                          </w:pPr>
                          <w:r>
                            <w:rPr>
                              <w:rFonts w:hint="eastAsia"/>
                            </w:rPr>
                            <w:fldChar w:fldCharType="begin"/>
                          </w:r>
                          <w:r>
                            <w:rPr>
                              <w:rFonts w:hint="eastAsia"/>
                            </w:rPr>
                            <w:instrText xml:space="preserve"> PAGE  \* MERGEFORMAT </w:instrText>
                          </w:r>
                          <w:r>
                            <w:rPr>
                              <w:rFonts w:hint="eastAsia"/>
                            </w:rPr>
                            <w:fldChar w:fldCharType="separate"/>
                          </w:r>
                          <w:r>
                            <w:t>- 24 -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5.5pt;width:19.5pt;mso-position-horizontal:center;mso-position-horizontal-relative:margin;mso-wrap-style:none;z-index:251659264;mso-width-relative:page;mso-height-relative:page;" filled="f" stroked="f" coordsize="21600,21600" o:gfxdata="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EgstQzwAAAAMBAAAPAAAAAAAAAAEAIAAAACIAAABkcnMvZG93bnJl&#10;di54bWxQSwECFAAUAAAACACHTuJAPKEWDc0BAACXAwAADgAAAAAAAAABACAAAAAeAQAAZHJzL2Uy&#10;b0RvYy54bWxQSwUGAAAAAAYABgBZAQAAXQUAAAAA&#10;">
              <v:fill on="f" focussize="0,0"/>
              <v:stroke on="f"/>
              <v:imagedata o:title=""/>
              <o:lock v:ext="edit" aspectratio="f"/>
              <v:textbox inset="0mm,0mm,0mm,0mm" style="mso-fit-shape-to-text:t;">
                <w:txbxContent>
                  <w:p w14:paraId="67D18B01">
                    <w:pPr>
                      <w:pStyle w:val="35"/>
                    </w:pPr>
                    <w:r>
                      <w:rPr>
                        <w:rFonts w:hint="eastAsia"/>
                      </w:rPr>
                      <w:fldChar w:fldCharType="begin"/>
                    </w:r>
                    <w:r>
                      <w:rPr>
                        <w:rFonts w:hint="eastAsia"/>
                      </w:rPr>
                      <w:instrText xml:space="preserve"> PAGE  \* MERGEFORMAT </w:instrText>
                    </w:r>
                    <w:r>
                      <w:rPr>
                        <w:rFonts w:hint="eastAsia"/>
                      </w:rPr>
                      <w:fldChar w:fldCharType="separate"/>
                    </w:r>
                    <w:r>
                      <w:t>- 24 -</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6FC9">
    <w:pPr>
      <w:pStyle w:val="36"/>
      <w:pBdr>
        <w:bottom w:val="single" w:color="auto" w:sz="4" w:space="0"/>
      </w:pBdr>
      <w:spacing w:line="240" w:lineRule="auto"/>
      <w:jc w:val="both"/>
      <w:rPr>
        <w:rFonts w:hint="eastAsia" w:ascii="宋体" w:hAnsi="宋体"/>
        <w:sz w:val="21"/>
        <w:szCs w:val="21"/>
      </w:rPr>
    </w:pPr>
    <w:r>
      <w:rPr>
        <w:rFonts w:hint="eastAsia" w:ascii="宋体" w:hAnsi="宋体"/>
        <w:sz w:val="21"/>
        <w:szCs w:val="21"/>
        <w:lang w:eastAsia="zh-CN"/>
      </w:rPr>
      <w:t>重庆瑞盛工程咨询有限公司</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96A98"/>
    <w:multiLevelType w:val="singleLevel"/>
    <w:tmpl w:val="9F396A98"/>
    <w:lvl w:ilvl="0" w:tentative="0">
      <w:start w:val="2"/>
      <w:numFmt w:val="decimal"/>
      <w:lvlText w:val="%1."/>
      <w:lvlJc w:val="left"/>
      <w:pPr>
        <w:tabs>
          <w:tab w:val="left" w:pos="312"/>
        </w:tabs>
      </w:pPr>
    </w:lvl>
  </w:abstractNum>
  <w:abstractNum w:abstractNumId="1">
    <w:nsid w:val="B8D98729"/>
    <w:multiLevelType w:val="singleLevel"/>
    <w:tmpl w:val="B8D98729"/>
    <w:lvl w:ilvl="0" w:tentative="0">
      <w:start w:val="2"/>
      <w:numFmt w:val="chineseCounting"/>
      <w:suff w:val="nothing"/>
      <w:lvlText w:val="（%1）"/>
      <w:lvlJc w:val="left"/>
      <w:rPr>
        <w:rFonts w:hint="eastAsia"/>
      </w:rPr>
    </w:lvl>
  </w:abstractNum>
  <w:abstractNum w:abstractNumId="2">
    <w:nsid w:val="D3256ACC"/>
    <w:multiLevelType w:val="singleLevel"/>
    <w:tmpl w:val="D3256ACC"/>
    <w:lvl w:ilvl="0" w:tentative="0">
      <w:start w:val="2"/>
      <w:numFmt w:val="chineseCounting"/>
      <w:suff w:val="space"/>
      <w:lvlText w:val="第%1篇"/>
      <w:lvlJc w:val="left"/>
      <w:rPr>
        <w:rFonts w:hint="eastAsia"/>
      </w:rPr>
    </w:lvl>
  </w:abstractNum>
  <w:abstractNum w:abstractNumId="3">
    <w:nsid w:val="00000001"/>
    <w:multiLevelType w:val="multilevel"/>
    <w:tmpl w:val="00000001"/>
    <w:lvl w:ilvl="0" w:tentative="0">
      <w:start w:val="1"/>
      <w:numFmt w:val="upperLetter"/>
      <w:pStyle w:val="265"/>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2"/>
    <w:multiLevelType w:val="multilevel"/>
    <w:tmpl w:val="00000002"/>
    <w:lvl w:ilvl="0" w:tentative="0">
      <w:start w:val="1"/>
      <w:numFmt w:val="bullet"/>
      <w:pStyle w:val="18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3"/>
    <w:multiLevelType w:val="singleLevel"/>
    <w:tmpl w:val="00000003"/>
    <w:lvl w:ilvl="0" w:tentative="0">
      <w:start w:val="1"/>
      <w:numFmt w:val="bullet"/>
      <w:pStyle w:val="161"/>
      <w:lvlText w:val=""/>
      <w:lvlJc w:val="left"/>
      <w:pPr>
        <w:tabs>
          <w:tab w:val="left" w:pos="360"/>
        </w:tabs>
        <w:ind w:left="360" w:hanging="360"/>
      </w:pPr>
      <w:rPr>
        <w:rFonts w:hint="default" w:ascii="Wingdings" w:hAnsi="Wingdings"/>
      </w:rPr>
    </w:lvl>
  </w:abstractNum>
  <w:abstractNum w:abstractNumId="6">
    <w:nsid w:val="00000004"/>
    <w:multiLevelType w:val="multilevel"/>
    <w:tmpl w:val="00000004"/>
    <w:lvl w:ilvl="0" w:tentative="0">
      <w:start w:val="5"/>
      <w:numFmt w:val="japaneseCounting"/>
      <w:pStyle w:val="231"/>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5"/>
    <w:multiLevelType w:val="singleLevel"/>
    <w:tmpl w:val="00000005"/>
    <w:lvl w:ilvl="0" w:tentative="0">
      <w:start w:val="1"/>
      <w:numFmt w:val="bullet"/>
      <w:pStyle w:val="190"/>
      <w:lvlText w:val=""/>
      <w:lvlJc w:val="left"/>
      <w:pPr>
        <w:tabs>
          <w:tab w:val="left" w:pos="1200"/>
        </w:tabs>
        <w:ind w:left="1200" w:hanging="360"/>
      </w:pPr>
      <w:rPr>
        <w:rFonts w:hint="default" w:ascii="Wingdings" w:hAnsi="Wingdings"/>
      </w:rPr>
    </w:lvl>
  </w:abstractNum>
  <w:abstractNum w:abstractNumId="8">
    <w:nsid w:val="00000006"/>
    <w:multiLevelType w:val="multilevel"/>
    <w:tmpl w:val="00000006"/>
    <w:lvl w:ilvl="0" w:tentative="0">
      <w:start w:val="1"/>
      <w:numFmt w:val="bullet"/>
      <w:pStyle w:val="275"/>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9">
    <w:nsid w:val="00000008"/>
    <w:multiLevelType w:val="multilevel"/>
    <w:tmpl w:val="00000008"/>
    <w:lvl w:ilvl="0" w:tentative="0">
      <w:start w:val="1"/>
      <w:numFmt w:val="decimal"/>
      <w:pStyle w:val="26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09"/>
    <w:multiLevelType w:val="multilevel"/>
    <w:tmpl w:val="00000009"/>
    <w:lvl w:ilvl="0" w:tentative="0">
      <w:start w:val="1"/>
      <w:numFmt w:val="bullet"/>
      <w:pStyle w:val="23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0A"/>
    <w:multiLevelType w:val="singleLevel"/>
    <w:tmpl w:val="0000000A"/>
    <w:lvl w:ilvl="0" w:tentative="0">
      <w:start w:val="1"/>
      <w:numFmt w:val="decimal"/>
      <w:pStyle w:val="13"/>
      <w:lvlText w:val="%1."/>
      <w:lvlJc w:val="left"/>
      <w:pPr>
        <w:tabs>
          <w:tab w:val="left" w:pos="425"/>
        </w:tabs>
        <w:ind w:left="425" w:hanging="425"/>
      </w:pPr>
      <w:rPr>
        <w:rFonts w:hint="default"/>
      </w:rPr>
    </w:lvl>
  </w:abstractNum>
  <w:abstractNum w:abstractNumId="12">
    <w:nsid w:val="0000000B"/>
    <w:multiLevelType w:val="singleLevel"/>
    <w:tmpl w:val="0000000B"/>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3">
    <w:nsid w:val="0000000C"/>
    <w:multiLevelType w:val="singleLevel"/>
    <w:tmpl w:val="0000000C"/>
    <w:lvl w:ilvl="0" w:tentative="0">
      <w:start w:val="1"/>
      <w:numFmt w:val="decimal"/>
      <w:pStyle w:val="228"/>
      <w:lvlText w:val="%1)"/>
      <w:lvlJc w:val="left"/>
      <w:pPr>
        <w:tabs>
          <w:tab w:val="left" w:pos="425"/>
        </w:tabs>
        <w:ind w:left="425" w:hanging="425"/>
      </w:pPr>
      <w:rPr>
        <w:rFonts w:hint="eastAsia"/>
      </w:rPr>
    </w:lvl>
  </w:abstractNum>
  <w:abstractNum w:abstractNumId="14">
    <w:nsid w:val="0000000D"/>
    <w:multiLevelType w:val="multilevel"/>
    <w:tmpl w:val="0000000D"/>
    <w:lvl w:ilvl="0" w:tentative="0">
      <w:start w:val="1"/>
      <w:numFmt w:val="chineseCountingThousand"/>
      <w:pStyle w:val="18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0F"/>
    <w:multiLevelType w:val="multilevel"/>
    <w:tmpl w:val="000000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pStyle w:val="141"/>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255E46EF"/>
    <w:multiLevelType w:val="singleLevel"/>
    <w:tmpl w:val="255E46EF"/>
    <w:lvl w:ilvl="0" w:tentative="0">
      <w:start w:val="4"/>
      <w:numFmt w:val="chineseCounting"/>
      <w:suff w:val="nothing"/>
      <w:lvlText w:val="（%1）"/>
      <w:lvlJc w:val="left"/>
      <w:rPr>
        <w:rFonts w:hint="eastAsia"/>
      </w:rPr>
    </w:lvl>
  </w:abstractNum>
  <w:num w:numId="1">
    <w:abstractNumId w:val="11"/>
  </w:num>
  <w:num w:numId="2">
    <w:abstractNumId w:val="12"/>
  </w:num>
  <w:num w:numId="3">
    <w:abstractNumId w:val="15"/>
  </w:num>
  <w:num w:numId="4">
    <w:abstractNumId w:val="5"/>
  </w:num>
  <w:num w:numId="5">
    <w:abstractNumId w:val="3"/>
  </w:num>
  <w:num w:numId="6">
    <w:abstractNumId w:val="4"/>
  </w:num>
  <w:num w:numId="7">
    <w:abstractNumId w:val="14"/>
  </w:num>
  <w:num w:numId="8">
    <w:abstractNumId w:val="7"/>
  </w:num>
  <w:num w:numId="9">
    <w:abstractNumId w:val="13"/>
  </w:num>
  <w:num w:numId="10">
    <w:abstractNumId w:val="6"/>
  </w:num>
  <w:num w:numId="11">
    <w:abstractNumId w:val="10"/>
  </w:num>
  <w:num w:numId="12">
    <w:abstractNumId w:val="9"/>
  </w:num>
  <w:num w:numId="13">
    <w:abstractNumId w:val="8"/>
  </w:num>
  <w:num w:numId="14">
    <w:abstractNumId w:val="2"/>
  </w:num>
  <w:num w:numId="15">
    <w:abstractNumId w:val="16"/>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6C9"/>
    <w:rsid w:val="000174F1"/>
    <w:rsid w:val="00056310"/>
    <w:rsid w:val="000B01C3"/>
    <w:rsid w:val="000D7D51"/>
    <w:rsid w:val="000E582F"/>
    <w:rsid w:val="000F4DBE"/>
    <w:rsid w:val="00152486"/>
    <w:rsid w:val="002012E8"/>
    <w:rsid w:val="00216106"/>
    <w:rsid w:val="00234235"/>
    <w:rsid w:val="002727A2"/>
    <w:rsid w:val="003D4B70"/>
    <w:rsid w:val="004166C2"/>
    <w:rsid w:val="00457C09"/>
    <w:rsid w:val="00464518"/>
    <w:rsid w:val="004F60AD"/>
    <w:rsid w:val="005E6942"/>
    <w:rsid w:val="006616C9"/>
    <w:rsid w:val="00702063"/>
    <w:rsid w:val="00705290"/>
    <w:rsid w:val="00757E33"/>
    <w:rsid w:val="00790D45"/>
    <w:rsid w:val="007D0D29"/>
    <w:rsid w:val="00846033"/>
    <w:rsid w:val="008C6C96"/>
    <w:rsid w:val="00976B3B"/>
    <w:rsid w:val="009F0F1A"/>
    <w:rsid w:val="00AA0FD1"/>
    <w:rsid w:val="00AA5B7C"/>
    <w:rsid w:val="00B4562F"/>
    <w:rsid w:val="00BE4895"/>
    <w:rsid w:val="00C573CD"/>
    <w:rsid w:val="00CB0054"/>
    <w:rsid w:val="00CD2B23"/>
    <w:rsid w:val="00CF3A1A"/>
    <w:rsid w:val="00D01D5A"/>
    <w:rsid w:val="00D9012D"/>
    <w:rsid w:val="00E66D2F"/>
    <w:rsid w:val="00EB3208"/>
    <w:rsid w:val="00F31BB3"/>
    <w:rsid w:val="00F8544A"/>
    <w:rsid w:val="00F8725F"/>
    <w:rsid w:val="01BB5A85"/>
    <w:rsid w:val="023575E5"/>
    <w:rsid w:val="024050BE"/>
    <w:rsid w:val="024E1206"/>
    <w:rsid w:val="025A34EF"/>
    <w:rsid w:val="02A3004B"/>
    <w:rsid w:val="02DD1A2B"/>
    <w:rsid w:val="031501B1"/>
    <w:rsid w:val="03FD1570"/>
    <w:rsid w:val="04161698"/>
    <w:rsid w:val="04207E21"/>
    <w:rsid w:val="043A5387"/>
    <w:rsid w:val="04601FA7"/>
    <w:rsid w:val="049A58B5"/>
    <w:rsid w:val="04AB0032"/>
    <w:rsid w:val="04B23510"/>
    <w:rsid w:val="04C82992"/>
    <w:rsid w:val="05790131"/>
    <w:rsid w:val="05827D99"/>
    <w:rsid w:val="05B17C87"/>
    <w:rsid w:val="05D90BCF"/>
    <w:rsid w:val="06147E59"/>
    <w:rsid w:val="0616597F"/>
    <w:rsid w:val="064410D3"/>
    <w:rsid w:val="069A3EBB"/>
    <w:rsid w:val="06CD6DD2"/>
    <w:rsid w:val="074046DF"/>
    <w:rsid w:val="076F5B99"/>
    <w:rsid w:val="07716F4D"/>
    <w:rsid w:val="079647C7"/>
    <w:rsid w:val="07CD6512"/>
    <w:rsid w:val="08C6368D"/>
    <w:rsid w:val="08E9737B"/>
    <w:rsid w:val="0926412B"/>
    <w:rsid w:val="095F763D"/>
    <w:rsid w:val="0A075BF1"/>
    <w:rsid w:val="0A573505"/>
    <w:rsid w:val="0A720589"/>
    <w:rsid w:val="0A825391"/>
    <w:rsid w:val="0A982E07"/>
    <w:rsid w:val="0B3537E8"/>
    <w:rsid w:val="0C3C3C66"/>
    <w:rsid w:val="0C550884"/>
    <w:rsid w:val="0C873D5D"/>
    <w:rsid w:val="0D162709"/>
    <w:rsid w:val="0D2F5052"/>
    <w:rsid w:val="0D786F20"/>
    <w:rsid w:val="0DCB34F3"/>
    <w:rsid w:val="0E124C7E"/>
    <w:rsid w:val="0E151DFF"/>
    <w:rsid w:val="0E2A021A"/>
    <w:rsid w:val="0E7D2A40"/>
    <w:rsid w:val="0E96765D"/>
    <w:rsid w:val="0EAC0C2F"/>
    <w:rsid w:val="0EF44542"/>
    <w:rsid w:val="0EF6634E"/>
    <w:rsid w:val="0F1A64E0"/>
    <w:rsid w:val="0F707EAE"/>
    <w:rsid w:val="0FC77534"/>
    <w:rsid w:val="0FDD306A"/>
    <w:rsid w:val="101F18D4"/>
    <w:rsid w:val="10251539"/>
    <w:rsid w:val="10304BDC"/>
    <w:rsid w:val="10321608"/>
    <w:rsid w:val="10594DE6"/>
    <w:rsid w:val="109202F8"/>
    <w:rsid w:val="10E723F2"/>
    <w:rsid w:val="10FA6794"/>
    <w:rsid w:val="115B231D"/>
    <w:rsid w:val="11784702"/>
    <w:rsid w:val="11802547"/>
    <w:rsid w:val="11BA7B07"/>
    <w:rsid w:val="12386C7D"/>
    <w:rsid w:val="12505D75"/>
    <w:rsid w:val="126D7599"/>
    <w:rsid w:val="13390EFF"/>
    <w:rsid w:val="1364253C"/>
    <w:rsid w:val="13A75E69"/>
    <w:rsid w:val="14D05CA0"/>
    <w:rsid w:val="150115A9"/>
    <w:rsid w:val="15D35531"/>
    <w:rsid w:val="16230DCF"/>
    <w:rsid w:val="169F376F"/>
    <w:rsid w:val="175B7696"/>
    <w:rsid w:val="176F44E9"/>
    <w:rsid w:val="18150414"/>
    <w:rsid w:val="18291416"/>
    <w:rsid w:val="18A706B9"/>
    <w:rsid w:val="18AB3315"/>
    <w:rsid w:val="18BF0C91"/>
    <w:rsid w:val="18D70F9E"/>
    <w:rsid w:val="18D771F0"/>
    <w:rsid w:val="192F2B88"/>
    <w:rsid w:val="19570331"/>
    <w:rsid w:val="1A907657"/>
    <w:rsid w:val="1A9609E5"/>
    <w:rsid w:val="1AC66327"/>
    <w:rsid w:val="1AE94FB9"/>
    <w:rsid w:val="1B3501FE"/>
    <w:rsid w:val="1B377307"/>
    <w:rsid w:val="1BF64032"/>
    <w:rsid w:val="1C1555B5"/>
    <w:rsid w:val="1C37598E"/>
    <w:rsid w:val="1CAB396D"/>
    <w:rsid w:val="1CD13F56"/>
    <w:rsid w:val="1D097B94"/>
    <w:rsid w:val="1D3F5364"/>
    <w:rsid w:val="1DBA2C3C"/>
    <w:rsid w:val="1DCF66E8"/>
    <w:rsid w:val="1DD106B2"/>
    <w:rsid w:val="1E764DB5"/>
    <w:rsid w:val="1F2D5E39"/>
    <w:rsid w:val="1F3F7F37"/>
    <w:rsid w:val="1F4F024A"/>
    <w:rsid w:val="1F8D23B7"/>
    <w:rsid w:val="1FDC50EC"/>
    <w:rsid w:val="203211B0"/>
    <w:rsid w:val="204F58BE"/>
    <w:rsid w:val="20735A50"/>
    <w:rsid w:val="20F052F3"/>
    <w:rsid w:val="20F6042F"/>
    <w:rsid w:val="213C22E6"/>
    <w:rsid w:val="2176795E"/>
    <w:rsid w:val="21D108B0"/>
    <w:rsid w:val="21E07116"/>
    <w:rsid w:val="22941CAE"/>
    <w:rsid w:val="229D5007"/>
    <w:rsid w:val="22B365D8"/>
    <w:rsid w:val="22F4099F"/>
    <w:rsid w:val="2318468D"/>
    <w:rsid w:val="233B1AC6"/>
    <w:rsid w:val="24424F22"/>
    <w:rsid w:val="24F9229C"/>
    <w:rsid w:val="25396B3D"/>
    <w:rsid w:val="2556149D"/>
    <w:rsid w:val="25CE197B"/>
    <w:rsid w:val="25E92C43"/>
    <w:rsid w:val="262F241A"/>
    <w:rsid w:val="263A6C29"/>
    <w:rsid w:val="267F3BE7"/>
    <w:rsid w:val="26F471BF"/>
    <w:rsid w:val="27CE5C62"/>
    <w:rsid w:val="27F84A8D"/>
    <w:rsid w:val="285F2D5E"/>
    <w:rsid w:val="29012F2F"/>
    <w:rsid w:val="29934A6D"/>
    <w:rsid w:val="29B844D4"/>
    <w:rsid w:val="29D37560"/>
    <w:rsid w:val="2A4346E5"/>
    <w:rsid w:val="2A492CDC"/>
    <w:rsid w:val="2B147E30"/>
    <w:rsid w:val="2B4C22C9"/>
    <w:rsid w:val="2B917D93"/>
    <w:rsid w:val="2B9D1BD3"/>
    <w:rsid w:val="2BE85216"/>
    <w:rsid w:val="2C183950"/>
    <w:rsid w:val="2C491D5B"/>
    <w:rsid w:val="2CCB60A2"/>
    <w:rsid w:val="2D0143E4"/>
    <w:rsid w:val="2D6F134E"/>
    <w:rsid w:val="2DB17BB8"/>
    <w:rsid w:val="2F8B61E7"/>
    <w:rsid w:val="2FDE6C5E"/>
    <w:rsid w:val="300761B5"/>
    <w:rsid w:val="307F3F9D"/>
    <w:rsid w:val="30B323FB"/>
    <w:rsid w:val="30FB5378"/>
    <w:rsid w:val="31187A8E"/>
    <w:rsid w:val="31EA5447"/>
    <w:rsid w:val="320A672A"/>
    <w:rsid w:val="32180206"/>
    <w:rsid w:val="324458E0"/>
    <w:rsid w:val="3281224F"/>
    <w:rsid w:val="32C263C3"/>
    <w:rsid w:val="32D3237F"/>
    <w:rsid w:val="331C569B"/>
    <w:rsid w:val="332D4F22"/>
    <w:rsid w:val="334D3BC5"/>
    <w:rsid w:val="33941B0E"/>
    <w:rsid w:val="33EC6D63"/>
    <w:rsid w:val="33F95E15"/>
    <w:rsid w:val="345D45F6"/>
    <w:rsid w:val="350C3926"/>
    <w:rsid w:val="35AF70D3"/>
    <w:rsid w:val="35DE1766"/>
    <w:rsid w:val="3656754F"/>
    <w:rsid w:val="368B7AB6"/>
    <w:rsid w:val="36F54FB9"/>
    <w:rsid w:val="36FA231D"/>
    <w:rsid w:val="374D6BA3"/>
    <w:rsid w:val="376161AB"/>
    <w:rsid w:val="37740C55"/>
    <w:rsid w:val="380D6333"/>
    <w:rsid w:val="38127B00"/>
    <w:rsid w:val="383203AD"/>
    <w:rsid w:val="38573428"/>
    <w:rsid w:val="38C22C79"/>
    <w:rsid w:val="38E720F2"/>
    <w:rsid w:val="38F31085"/>
    <w:rsid w:val="390C11B1"/>
    <w:rsid w:val="3925145A"/>
    <w:rsid w:val="397C551E"/>
    <w:rsid w:val="3A30455A"/>
    <w:rsid w:val="3A52627F"/>
    <w:rsid w:val="3A9E3272"/>
    <w:rsid w:val="3AF50CAE"/>
    <w:rsid w:val="3B4052F0"/>
    <w:rsid w:val="3B585B17"/>
    <w:rsid w:val="3BEC0EE0"/>
    <w:rsid w:val="3C460065"/>
    <w:rsid w:val="3C991F43"/>
    <w:rsid w:val="3CB308EA"/>
    <w:rsid w:val="3CD236A7"/>
    <w:rsid w:val="3D22462E"/>
    <w:rsid w:val="3D7B3D3F"/>
    <w:rsid w:val="3D7F382F"/>
    <w:rsid w:val="3D9C0D3E"/>
    <w:rsid w:val="3E253F80"/>
    <w:rsid w:val="3E344619"/>
    <w:rsid w:val="3F1104B7"/>
    <w:rsid w:val="3F67457A"/>
    <w:rsid w:val="3F7A6C69"/>
    <w:rsid w:val="3FE0432D"/>
    <w:rsid w:val="40324B88"/>
    <w:rsid w:val="40A51545"/>
    <w:rsid w:val="40C559FD"/>
    <w:rsid w:val="40C90CF4"/>
    <w:rsid w:val="417079AC"/>
    <w:rsid w:val="41865829"/>
    <w:rsid w:val="41E9396D"/>
    <w:rsid w:val="41F654C8"/>
    <w:rsid w:val="42435509"/>
    <w:rsid w:val="425608D6"/>
    <w:rsid w:val="42F73E67"/>
    <w:rsid w:val="433C7ACC"/>
    <w:rsid w:val="43525542"/>
    <w:rsid w:val="4391633D"/>
    <w:rsid w:val="443864E5"/>
    <w:rsid w:val="445826E4"/>
    <w:rsid w:val="448E4357"/>
    <w:rsid w:val="44BD403D"/>
    <w:rsid w:val="45085EB8"/>
    <w:rsid w:val="45543021"/>
    <w:rsid w:val="456357E4"/>
    <w:rsid w:val="456F23DB"/>
    <w:rsid w:val="456F4189"/>
    <w:rsid w:val="458B6831"/>
    <w:rsid w:val="458F65D9"/>
    <w:rsid w:val="461A0599"/>
    <w:rsid w:val="49156DF5"/>
    <w:rsid w:val="496F29A9"/>
    <w:rsid w:val="4A1452FF"/>
    <w:rsid w:val="4A6873F9"/>
    <w:rsid w:val="4B3814C1"/>
    <w:rsid w:val="4B5A1437"/>
    <w:rsid w:val="4B614574"/>
    <w:rsid w:val="4B683B54"/>
    <w:rsid w:val="4B9761E7"/>
    <w:rsid w:val="4BC92119"/>
    <w:rsid w:val="4BF4363A"/>
    <w:rsid w:val="4C0D46FC"/>
    <w:rsid w:val="4C7F5A64"/>
    <w:rsid w:val="4C92215A"/>
    <w:rsid w:val="4CB15087"/>
    <w:rsid w:val="4CC133A0"/>
    <w:rsid w:val="4CD80866"/>
    <w:rsid w:val="4CDB0356"/>
    <w:rsid w:val="4D9A1FBF"/>
    <w:rsid w:val="4DA8648A"/>
    <w:rsid w:val="4DCE6923"/>
    <w:rsid w:val="4DDD24E2"/>
    <w:rsid w:val="4E1C0C26"/>
    <w:rsid w:val="4E3A29DE"/>
    <w:rsid w:val="4E604CCE"/>
    <w:rsid w:val="4EE95681"/>
    <w:rsid w:val="4EEE25C2"/>
    <w:rsid w:val="4F1C3B57"/>
    <w:rsid w:val="4F2C7344"/>
    <w:rsid w:val="4F2F64A3"/>
    <w:rsid w:val="4F400A69"/>
    <w:rsid w:val="4F555807"/>
    <w:rsid w:val="4F5F701C"/>
    <w:rsid w:val="4F786330"/>
    <w:rsid w:val="4F952A3E"/>
    <w:rsid w:val="4FCF7562"/>
    <w:rsid w:val="501D33AC"/>
    <w:rsid w:val="503404A9"/>
    <w:rsid w:val="504A1A7A"/>
    <w:rsid w:val="50AD025B"/>
    <w:rsid w:val="5142059E"/>
    <w:rsid w:val="51586419"/>
    <w:rsid w:val="5176064D"/>
    <w:rsid w:val="51974469"/>
    <w:rsid w:val="519E1114"/>
    <w:rsid w:val="51AB50AA"/>
    <w:rsid w:val="52291B63"/>
    <w:rsid w:val="526B5CD8"/>
    <w:rsid w:val="52A511EA"/>
    <w:rsid w:val="5386726D"/>
    <w:rsid w:val="53A25C94"/>
    <w:rsid w:val="53CC6619"/>
    <w:rsid w:val="53CF4D5F"/>
    <w:rsid w:val="5408251D"/>
    <w:rsid w:val="541505F1"/>
    <w:rsid w:val="5426635A"/>
    <w:rsid w:val="543C5B7E"/>
    <w:rsid w:val="5462621B"/>
    <w:rsid w:val="54880DC3"/>
    <w:rsid w:val="54A35BFD"/>
    <w:rsid w:val="550A17D8"/>
    <w:rsid w:val="55236D3E"/>
    <w:rsid w:val="55821CB6"/>
    <w:rsid w:val="558F7F2F"/>
    <w:rsid w:val="559801FC"/>
    <w:rsid w:val="559D089E"/>
    <w:rsid w:val="55AE4859"/>
    <w:rsid w:val="560A5808"/>
    <w:rsid w:val="56C1680E"/>
    <w:rsid w:val="57115B7E"/>
    <w:rsid w:val="572823EA"/>
    <w:rsid w:val="57D85BBE"/>
    <w:rsid w:val="57F82392"/>
    <w:rsid w:val="583A23D4"/>
    <w:rsid w:val="58817280"/>
    <w:rsid w:val="58BE1257"/>
    <w:rsid w:val="58D02D39"/>
    <w:rsid w:val="595A2602"/>
    <w:rsid w:val="598D29D8"/>
    <w:rsid w:val="59AC7302"/>
    <w:rsid w:val="59E44CEE"/>
    <w:rsid w:val="59F86F12"/>
    <w:rsid w:val="5A541C17"/>
    <w:rsid w:val="5A813AF9"/>
    <w:rsid w:val="5AF96577"/>
    <w:rsid w:val="5B0E7B48"/>
    <w:rsid w:val="5C392920"/>
    <w:rsid w:val="5CA00C74"/>
    <w:rsid w:val="5D46181B"/>
    <w:rsid w:val="5D485594"/>
    <w:rsid w:val="5D7C523D"/>
    <w:rsid w:val="5EBA601D"/>
    <w:rsid w:val="5EBB7C49"/>
    <w:rsid w:val="5ECA3D86"/>
    <w:rsid w:val="5ED40ADE"/>
    <w:rsid w:val="5EEB4428"/>
    <w:rsid w:val="5EF0234C"/>
    <w:rsid w:val="5EF320AA"/>
    <w:rsid w:val="5EFD23AE"/>
    <w:rsid w:val="5FB94527"/>
    <w:rsid w:val="5FC57E20"/>
    <w:rsid w:val="5FD40C2B"/>
    <w:rsid w:val="60255718"/>
    <w:rsid w:val="6082700E"/>
    <w:rsid w:val="608E498F"/>
    <w:rsid w:val="609E6196"/>
    <w:rsid w:val="60BB7E2A"/>
    <w:rsid w:val="61137C66"/>
    <w:rsid w:val="61447E20"/>
    <w:rsid w:val="614B38A4"/>
    <w:rsid w:val="618D7A19"/>
    <w:rsid w:val="626151FD"/>
    <w:rsid w:val="62966DA1"/>
    <w:rsid w:val="62B9483E"/>
    <w:rsid w:val="62D8552C"/>
    <w:rsid w:val="6317351E"/>
    <w:rsid w:val="631D301E"/>
    <w:rsid w:val="63275C4B"/>
    <w:rsid w:val="63950E07"/>
    <w:rsid w:val="642235BA"/>
    <w:rsid w:val="643F0D73"/>
    <w:rsid w:val="647153D0"/>
    <w:rsid w:val="64F66FAB"/>
    <w:rsid w:val="652C12F7"/>
    <w:rsid w:val="654767FF"/>
    <w:rsid w:val="6639016F"/>
    <w:rsid w:val="666578D3"/>
    <w:rsid w:val="668B64F1"/>
    <w:rsid w:val="668E7597"/>
    <w:rsid w:val="675A55AC"/>
    <w:rsid w:val="680447AD"/>
    <w:rsid w:val="680D18B3"/>
    <w:rsid w:val="683A13C9"/>
    <w:rsid w:val="687A4A6F"/>
    <w:rsid w:val="68CA77A4"/>
    <w:rsid w:val="68D56E7F"/>
    <w:rsid w:val="68D75DBC"/>
    <w:rsid w:val="6954706E"/>
    <w:rsid w:val="696A6892"/>
    <w:rsid w:val="699E02E9"/>
    <w:rsid w:val="69CF5407"/>
    <w:rsid w:val="69ED735F"/>
    <w:rsid w:val="69F951FB"/>
    <w:rsid w:val="6A8B4D12"/>
    <w:rsid w:val="6AD22940"/>
    <w:rsid w:val="6AF26B3F"/>
    <w:rsid w:val="6B19231D"/>
    <w:rsid w:val="6B4D0219"/>
    <w:rsid w:val="6B533A81"/>
    <w:rsid w:val="6B572E46"/>
    <w:rsid w:val="6B713F07"/>
    <w:rsid w:val="6C185A57"/>
    <w:rsid w:val="6C327292"/>
    <w:rsid w:val="6C4F6CC0"/>
    <w:rsid w:val="6CBA32DA"/>
    <w:rsid w:val="6CCE7137"/>
    <w:rsid w:val="6CF92406"/>
    <w:rsid w:val="6D194857"/>
    <w:rsid w:val="6D1C7EA3"/>
    <w:rsid w:val="6D1E3C1B"/>
    <w:rsid w:val="6D2232F1"/>
    <w:rsid w:val="6D2356D5"/>
    <w:rsid w:val="6D237483"/>
    <w:rsid w:val="6D4318D3"/>
    <w:rsid w:val="6D806684"/>
    <w:rsid w:val="6DD63637"/>
    <w:rsid w:val="6DDE3E46"/>
    <w:rsid w:val="6DE10D9B"/>
    <w:rsid w:val="6E356977"/>
    <w:rsid w:val="6FA523D2"/>
    <w:rsid w:val="70757FF6"/>
    <w:rsid w:val="715F2A54"/>
    <w:rsid w:val="71CA25C3"/>
    <w:rsid w:val="71DE7E1D"/>
    <w:rsid w:val="720F0440"/>
    <w:rsid w:val="721C0B81"/>
    <w:rsid w:val="72387DA4"/>
    <w:rsid w:val="72402885"/>
    <w:rsid w:val="724D0AFE"/>
    <w:rsid w:val="726B57EB"/>
    <w:rsid w:val="72A66B8C"/>
    <w:rsid w:val="72C020AB"/>
    <w:rsid w:val="730613D9"/>
    <w:rsid w:val="73AC29D8"/>
    <w:rsid w:val="73B47029"/>
    <w:rsid w:val="73C05A2C"/>
    <w:rsid w:val="740828A2"/>
    <w:rsid w:val="74277859"/>
    <w:rsid w:val="745919DD"/>
    <w:rsid w:val="750162FC"/>
    <w:rsid w:val="75324707"/>
    <w:rsid w:val="766723F4"/>
    <w:rsid w:val="767E1BCE"/>
    <w:rsid w:val="76CD16D4"/>
    <w:rsid w:val="76F841B9"/>
    <w:rsid w:val="777A7D00"/>
    <w:rsid w:val="777D4AD2"/>
    <w:rsid w:val="77A20F89"/>
    <w:rsid w:val="77A86F03"/>
    <w:rsid w:val="77E93077"/>
    <w:rsid w:val="786A065C"/>
    <w:rsid w:val="787E7C64"/>
    <w:rsid w:val="78890E6B"/>
    <w:rsid w:val="78A3591C"/>
    <w:rsid w:val="78DF4BA6"/>
    <w:rsid w:val="78EA52F9"/>
    <w:rsid w:val="795A61A3"/>
    <w:rsid w:val="79B52178"/>
    <w:rsid w:val="79F503F9"/>
    <w:rsid w:val="7A792DD8"/>
    <w:rsid w:val="7AA02113"/>
    <w:rsid w:val="7AAB2866"/>
    <w:rsid w:val="7AF95CC7"/>
    <w:rsid w:val="7BA21EBB"/>
    <w:rsid w:val="7BC77B74"/>
    <w:rsid w:val="7BE64ADF"/>
    <w:rsid w:val="7CD10CAA"/>
    <w:rsid w:val="7CE23E82"/>
    <w:rsid w:val="7D5B2F52"/>
    <w:rsid w:val="7D6531A0"/>
    <w:rsid w:val="7D656A80"/>
    <w:rsid w:val="7D796C4C"/>
    <w:rsid w:val="7E551467"/>
    <w:rsid w:val="7F3B065C"/>
    <w:rsid w:val="7F54439D"/>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360" w:lineRule="auto"/>
      <w:jc w:val="both"/>
    </w:pPr>
    <w:rPr>
      <w:rFonts w:ascii="Times New Roman" w:hAnsi="Times New Roman" w:eastAsia="宋体" w:cs="Times New Roman"/>
      <w:kern w:val="2"/>
      <w:sz w:val="24"/>
      <w:szCs w:val="20"/>
      <w:lang w:val="en-US" w:eastAsia="zh-CN" w:bidi="ar-SA"/>
    </w:rPr>
  </w:style>
  <w:style w:type="paragraph" w:styleId="2">
    <w:name w:val="heading 1"/>
    <w:basedOn w:val="1"/>
    <w:next w:val="1"/>
    <w:link w:val="71"/>
    <w:qFormat/>
    <w:uiPriority w:val="0"/>
    <w:pPr>
      <w:keepNext/>
      <w:spacing w:line="360" w:lineRule="atLeast"/>
      <w:outlineLvl w:val="0"/>
    </w:pPr>
    <w:rPr>
      <w:rFonts w:ascii="宋体"/>
    </w:rPr>
  </w:style>
  <w:style w:type="paragraph" w:styleId="3">
    <w:name w:val="heading 2"/>
    <w:basedOn w:val="1"/>
    <w:next w:val="1"/>
    <w:link w:val="72"/>
    <w:qFormat/>
    <w:uiPriority w:val="0"/>
    <w:pPr>
      <w:keepNext/>
      <w:keepLines/>
      <w:spacing w:line="413" w:lineRule="auto"/>
      <w:outlineLvl w:val="1"/>
    </w:pPr>
    <w:rPr>
      <w:rFonts w:ascii="Arial" w:hAnsi="Arial" w:eastAsia="黑体"/>
      <w:b/>
      <w:sz w:val="32"/>
    </w:rPr>
  </w:style>
  <w:style w:type="paragraph" w:styleId="4">
    <w:name w:val="heading 3"/>
    <w:basedOn w:val="1"/>
    <w:next w:val="1"/>
    <w:link w:val="73"/>
    <w:qFormat/>
    <w:uiPriority w:val="0"/>
    <w:pPr>
      <w:keepNext/>
      <w:keepLines/>
      <w:spacing w:line="413" w:lineRule="auto"/>
      <w:outlineLvl w:val="2"/>
    </w:pPr>
    <w:rPr>
      <w:b/>
      <w:sz w:val="32"/>
    </w:rPr>
  </w:style>
  <w:style w:type="paragraph" w:styleId="5">
    <w:name w:val="heading 4"/>
    <w:basedOn w:val="1"/>
    <w:next w:val="1"/>
    <w:link w:val="74"/>
    <w:qFormat/>
    <w:uiPriority w:val="0"/>
    <w:pPr>
      <w:keepNext/>
      <w:keepLines/>
      <w:spacing w:line="372" w:lineRule="auto"/>
      <w:outlineLvl w:val="3"/>
    </w:pPr>
    <w:rPr>
      <w:rFonts w:ascii="Arial" w:hAnsi="Arial" w:eastAsia="黑体"/>
      <w:b/>
    </w:rPr>
  </w:style>
  <w:style w:type="paragraph" w:styleId="6">
    <w:name w:val="heading 5"/>
    <w:basedOn w:val="1"/>
    <w:next w:val="1"/>
    <w:link w:val="75"/>
    <w:qFormat/>
    <w:uiPriority w:val="0"/>
    <w:pPr>
      <w:keepNext/>
      <w:keepLines/>
      <w:tabs>
        <w:tab w:val="left" w:pos="2551"/>
      </w:tabs>
      <w:spacing w:line="372" w:lineRule="auto"/>
      <w:ind w:left="2551" w:hanging="850"/>
      <w:outlineLvl w:val="4"/>
    </w:pPr>
    <w:rPr>
      <w:b/>
    </w:rPr>
  </w:style>
  <w:style w:type="paragraph" w:styleId="7">
    <w:name w:val="heading 6"/>
    <w:basedOn w:val="1"/>
    <w:next w:val="1"/>
    <w:link w:val="76"/>
    <w:qFormat/>
    <w:uiPriority w:val="0"/>
    <w:pPr>
      <w:keepNext/>
      <w:keepLines/>
      <w:tabs>
        <w:tab w:val="left" w:pos="1152"/>
      </w:tabs>
      <w:adjustRightInd w:val="0"/>
      <w:spacing w:line="317" w:lineRule="auto"/>
      <w:ind w:left="1152" w:hanging="1152"/>
      <w:outlineLvl w:val="5"/>
    </w:pPr>
    <w:rPr>
      <w:rFonts w:ascii="Arial" w:hAnsi="Arial" w:eastAsia="黑体"/>
      <w:b/>
    </w:rPr>
  </w:style>
  <w:style w:type="paragraph" w:styleId="8">
    <w:name w:val="heading 7"/>
    <w:basedOn w:val="1"/>
    <w:next w:val="1"/>
    <w:link w:val="77"/>
    <w:qFormat/>
    <w:uiPriority w:val="0"/>
    <w:pPr>
      <w:keepNext/>
      <w:keepLines/>
      <w:tabs>
        <w:tab w:val="left" w:pos="1296"/>
      </w:tabs>
      <w:adjustRightInd w:val="0"/>
      <w:spacing w:line="317" w:lineRule="auto"/>
      <w:ind w:left="1296" w:hanging="1296"/>
      <w:outlineLvl w:val="6"/>
    </w:pPr>
    <w:rPr>
      <w:rFonts w:ascii="Arial" w:hAnsi="Arial" w:eastAsia="黑体"/>
      <w:b/>
    </w:rPr>
  </w:style>
  <w:style w:type="paragraph" w:styleId="9">
    <w:name w:val="heading 8"/>
    <w:basedOn w:val="1"/>
    <w:next w:val="1"/>
    <w:link w:val="78"/>
    <w:qFormat/>
    <w:uiPriority w:val="0"/>
    <w:pPr>
      <w:keepNext/>
      <w:keepLines/>
      <w:tabs>
        <w:tab w:val="left" w:pos="1440"/>
      </w:tabs>
      <w:adjustRightInd w:val="0"/>
      <w:spacing w:line="317" w:lineRule="auto"/>
      <w:ind w:left="1440" w:hanging="1440"/>
      <w:outlineLvl w:val="7"/>
    </w:pPr>
    <w:rPr>
      <w:rFonts w:ascii="Arial" w:hAnsi="Arial" w:eastAsia="黑体"/>
      <w:b/>
    </w:rPr>
  </w:style>
  <w:style w:type="paragraph" w:styleId="10">
    <w:name w:val="heading 9"/>
    <w:basedOn w:val="1"/>
    <w:next w:val="1"/>
    <w:link w:val="79"/>
    <w:qFormat/>
    <w:uiPriority w:val="0"/>
    <w:pPr>
      <w:keepNext/>
      <w:keepLines/>
      <w:tabs>
        <w:tab w:val="left" w:pos="1584"/>
      </w:tabs>
      <w:adjustRightInd w:val="0"/>
      <w:spacing w:line="317" w:lineRule="auto"/>
      <w:ind w:left="1584" w:hanging="1584"/>
      <w:outlineLvl w:val="8"/>
    </w:pPr>
    <w:rPr>
      <w:rFonts w:ascii="Arial" w:hAnsi="Arial" w:eastAsia="黑体"/>
      <w:b/>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ind w:left="100" w:leftChars="400" w:hanging="200" w:hangingChars="200"/>
    </w:p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clear" w:pos="425"/>
      </w:tabs>
    </w:pPr>
  </w:style>
  <w:style w:type="paragraph" w:styleId="14">
    <w:name w:val="List Bullet 4"/>
    <w:basedOn w:val="1"/>
    <w:qFormat/>
    <w:uiPriority w:val="0"/>
    <w:pPr>
      <w:widowControl/>
      <w:tabs>
        <w:tab w:val="left" w:pos="1134"/>
      </w:tabs>
      <w:adjustRightInd w:val="0"/>
      <w:spacing w:before="120" w:line="280" w:lineRule="atLeast"/>
      <w:ind w:left="1418" w:hanging="284"/>
      <w:jc w:val="left"/>
    </w:pPr>
    <w:rPr>
      <w:rFonts w:ascii="宋体"/>
      <w:kern w:val="0"/>
      <w:sz w:val="22"/>
    </w:rPr>
  </w:style>
  <w:style w:type="paragraph" w:styleId="15">
    <w:name w:val="Normal Indent"/>
    <w:basedOn w:val="1"/>
    <w:link w:val="80"/>
    <w:qFormat/>
    <w:uiPriority w:val="0"/>
    <w:pPr>
      <w:adjustRightInd w:val="0"/>
      <w:ind w:firstLine="420"/>
    </w:pPr>
  </w:style>
  <w:style w:type="paragraph" w:styleId="16">
    <w:name w:val="caption"/>
    <w:basedOn w:val="1"/>
    <w:next w:val="1"/>
    <w:qFormat/>
    <w:uiPriority w:val="0"/>
    <w:pPr>
      <w:widowControl/>
      <w:tabs>
        <w:tab w:val="left" w:pos="1134"/>
      </w:tabs>
      <w:adjustRightInd w:val="0"/>
      <w:spacing w:line="280" w:lineRule="atLeast"/>
      <w:jc w:val="left"/>
    </w:pPr>
    <w:rPr>
      <w:rFonts w:eastAsia="PMingLiU"/>
      <w:b/>
      <w:kern w:val="0"/>
      <w:lang w:eastAsia="zh-TW"/>
    </w:rPr>
  </w:style>
  <w:style w:type="paragraph" w:styleId="17">
    <w:name w:val="Document Map"/>
    <w:basedOn w:val="1"/>
    <w:link w:val="81"/>
    <w:qFormat/>
    <w:uiPriority w:val="0"/>
    <w:pPr>
      <w:shd w:val="clear" w:color="auto" w:fill="000080"/>
    </w:pPr>
  </w:style>
  <w:style w:type="paragraph" w:styleId="18">
    <w:name w:val="toa heading"/>
    <w:basedOn w:val="1"/>
    <w:next w:val="1"/>
    <w:qFormat/>
    <w:uiPriority w:val="0"/>
    <w:rPr>
      <w:rFonts w:ascii="Arial" w:hAnsi="Arial"/>
    </w:rPr>
  </w:style>
  <w:style w:type="paragraph" w:styleId="19">
    <w:name w:val="annotation text"/>
    <w:basedOn w:val="1"/>
    <w:link w:val="82"/>
    <w:qFormat/>
    <w:uiPriority w:val="0"/>
    <w:pPr>
      <w:adjustRightInd w:val="0"/>
      <w:spacing w:line="360" w:lineRule="atLeast"/>
      <w:jc w:val="left"/>
      <w:textAlignment w:val="baseline"/>
    </w:pPr>
    <w:rPr>
      <w:kern w:val="0"/>
    </w:rPr>
  </w:style>
  <w:style w:type="paragraph" w:styleId="20">
    <w:name w:val="Body Text 3"/>
    <w:basedOn w:val="1"/>
    <w:link w:val="83"/>
    <w:qFormat/>
    <w:uiPriority w:val="0"/>
    <w:pPr>
      <w:adjustRightInd w:val="0"/>
    </w:pPr>
    <w:rPr>
      <w:sz w:val="16"/>
    </w:rPr>
  </w:style>
  <w:style w:type="paragraph" w:styleId="21">
    <w:name w:val="List Bullet 3"/>
    <w:basedOn w:val="1"/>
    <w:qFormat/>
    <w:uiPriority w:val="0"/>
    <w:pPr>
      <w:tabs>
        <w:tab w:val="left" w:pos="1200"/>
      </w:tabs>
      <w:adjustRightInd w:val="0"/>
      <w:ind w:left="1200" w:hanging="360"/>
    </w:pPr>
  </w:style>
  <w:style w:type="paragraph" w:styleId="22">
    <w:name w:val="Body Text"/>
    <w:basedOn w:val="1"/>
    <w:next w:val="1"/>
    <w:link w:val="85"/>
    <w:qFormat/>
    <w:uiPriority w:val="0"/>
    <w:rPr>
      <w:rFonts w:ascii="仿宋_GB2312" w:eastAsia="仿宋_GB2312"/>
      <w:sz w:val="32"/>
    </w:rPr>
  </w:style>
  <w:style w:type="paragraph" w:styleId="23">
    <w:name w:val="Body Text Indent"/>
    <w:basedOn w:val="1"/>
    <w:link w:val="86"/>
    <w:qFormat/>
    <w:uiPriority w:val="0"/>
    <w:pPr>
      <w:spacing w:line="700" w:lineRule="exact"/>
      <w:ind w:left="960"/>
    </w:pPr>
    <w:rPr>
      <w:sz w:val="44"/>
    </w:rPr>
  </w:style>
  <w:style w:type="paragraph" w:styleId="24">
    <w:name w:val="List Number 3"/>
    <w:basedOn w:val="1"/>
    <w:qFormat/>
    <w:uiPriority w:val="0"/>
    <w:pPr>
      <w:tabs>
        <w:tab w:val="left" w:pos="2120"/>
      </w:tabs>
      <w:adjustRightInd w:val="0"/>
      <w:ind w:left="2120" w:hanging="720"/>
    </w:pPr>
  </w:style>
  <w:style w:type="paragraph" w:styleId="25">
    <w:name w:val="List 2"/>
    <w:basedOn w:val="1"/>
    <w:qFormat/>
    <w:uiPriority w:val="0"/>
    <w:pPr>
      <w:adjustRightInd w:val="0"/>
      <w:ind w:left="100" w:leftChars="200" w:hanging="200" w:hangingChars="200"/>
    </w:pPr>
  </w:style>
  <w:style w:type="paragraph" w:styleId="26">
    <w:name w:val="List Continue"/>
    <w:basedOn w:val="1"/>
    <w:qFormat/>
    <w:uiPriority w:val="0"/>
    <w:pPr>
      <w:adjustRightInd w:val="0"/>
      <w:ind w:left="420" w:leftChars="200"/>
    </w:pPr>
  </w:style>
  <w:style w:type="paragraph" w:styleId="27">
    <w:name w:val="List Bullet 2"/>
    <w:basedOn w:val="1"/>
    <w:qFormat/>
    <w:uiPriority w:val="0"/>
    <w:pPr>
      <w:numPr>
        <w:ilvl w:val="0"/>
        <w:numId w:val="2"/>
      </w:numPr>
      <w:adjustRightInd w:val="0"/>
    </w:pPr>
  </w:style>
  <w:style w:type="paragraph" w:styleId="28">
    <w:name w:val="toc 5"/>
    <w:basedOn w:val="1"/>
    <w:next w:val="1"/>
    <w:qFormat/>
    <w:uiPriority w:val="0"/>
    <w:pPr>
      <w:ind w:left="1680" w:leftChars="800"/>
    </w:pPr>
  </w:style>
  <w:style w:type="paragraph" w:styleId="29">
    <w:name w:val="toc 3"/>
    <w:basedOn w:val="1"/>
    <w:next w:val="1"/>
    <w:qFormat/>
    <w:uiPriority w:val="39"/>
    <w:pPr>
      <w:spacing w:line="240" w:lineRule="auto"/>
      <w:ind w:left="400" w:leftChars="400"/>
    </w:pPr>
    <w:rPr>
      <w:sz w:val="28"/>
    </w:rPr>
  </w:style>
  <w:style w:type="paragraph" w:styleId="30">
    <w:name w:val="Plain Text"/>
    <w:basedOn w:val="1"/>
    <w:link w:val="87"/>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88"/>
    <w:qFormat/>
    <w:uiPriority w:val="0"/>
    <w:rPr>
      <w:sz w:val="28"/>
    </w:rPr>
  </w:style>
  <w:style w:type="paragraph" w:styleId="33">
    <w:name w:val="Body Text Indent 2"/>
    <w:basedOn w:val="1"/>
    <w:link w:val="89"/>
    <w:qFormat/>
    <w:uiPriority w:val="0"/>
    <w:pPr>
      <w:spacing w:line="560" w:lineRule="atLeast"/>
      <w:ind w:firstLine="540"/>
    </w:pPr>
    <w:rPr>
      <w:sz w:val="28"/>
    </w:rPr>
  </w:style>
  <w:style w:type="paragraph" w:styleId="34">
    <w:name w:val="Balloon Text"/>
    <w:basedOn w:val="1"/>
    <w:link w:val="90"/>
    <w:qFormat/>
    <w:uiPriority w:val="0"/>
    <w:rPr>
      <w:sz w:val="18"/>
    </w:rPr>
  </w:style>
  <w:style w:type="paragraph" w:styleId="35">
    <w:name w:val="footer"/>
    <w:basedOn w:val="1"/>
    <w:link w:val="70"/>
    <w:unhideWhenUsed/>
    <w:qFormat/>
    <w:uiPriority w:val="0"/>
    <w:pPr>
      <w:tabs>
        <w:tab w:val="center" w:pos="4153"/>
        <w:tab w:val="right" w:pos="8306"/>
      </w:tabs>
      <w:jc w:val="left"/>
    </w:pPr>
    <w:rPr>
      <w:sz w:val="18"/>
      <w:szCs w:val="18"/>
    </w:rPr>
  </w:style>
  <w:style w:type="paragraph" w:styleId="36">
    <w:name w:val="header"/>
    <w:basedOn w:val="1"/>
    <w:link w:val="69"/>
    <w:unhideWhenUsed/>
    <w:qFormat/>
    <w:uiPriority w:val="0"/>
    <w:pPr>
      <w:tabs>
        <w:tab w:val="center" w:pos="4153"/>
        <w:tab w:val="right" w:pos="8306"/>
      </w:tabs>
      <w:jc w:val="center"/>
    </w:pPr>
    <w:rPr>
      <w:sz w:val="18"/>
      <w:szCs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adjustRightInd w:val="0"/>
      <w:ind w:left="1680" w:leftChars="800"/>
    </w:pPr>
  </w:style>
  <w:style w:type="paragraph" w:styleId="39">
    <w:name w:val="toc 4"/>
    <w:basedOn w:val="1"/>
    <w:next w:val="1"/>
    <w:qFormat/>
    <w:uiPriority w:val="0"/>
    <w:pPr>
      <w:ind w:left="1260" w:leftChars="600"/>
    </w:pPr>
  </w:style>
  <w:style w:type="paragraph" w:styleId="40">
    <w:name w:val="Subtitle"/>
    <w:basedOn w:val="1"/>
    <w:next w:val="1"/>
    <w:link w:val="91"/>
    <w:qFormat/>
    <w:uiPriority w:val="0"/>
    <w:pPr>
      <w:spacing w:before="240" w:after="60" w:line="312" w:lineRule="auto"/>
      <w:jc w:val="center"/>
      <w:outlineLvl w:val="1"/>
    </w:pPr>
    <w:rPr>
      <w:rFonts w:ascii="Calibri Light" w:hAnsi="Calibri Light"/>
      <w:b/>
      <w:bCs/>
      <w:kern w:val="28"/>
      <w:sz w:val="32"/>
      <w:szCs w:val="32"/>
    </w:rPr>
  </w:style>
  <w:style w:type="paragraph" w:styleId="41">
    <w:name w:val="footnote text"/>
    <w:basedOn w:val="1"/>
    <w:link w:val="92"/>
    <w:qFormat/>
    <w:uiPriority w:val="0"/>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ind w:left="100" w:leftChars="800" w:hanging="200" w:hangingChars="200"/>
    </w:pPr>
  </w:style>
  <w:style w:type="paragraph" w:styleId="44">
    <w:name w:val="Body Text Indent 3"/>
    <w:basedOn w:val="1"/>
    <w:link w:val="93"/>
    <w:qFormat/>
    <w:uiPriority w:val="0"/>
    <w:pPr>
      <w:ind w:firstLine="632"/>
    </w:pPr>
    <w:rPr>
      <w:rFonts w:ascii="黑体" w:eastAsia="黑体"/>
    </w:rPr>
  </w:style>
  <w:style w:type="paragraph" w:styleId="45">
    <w:name w:val="index 7"/>
    <w:basedOn w:val="1"/>
    <w:next w:val="1"/>
    <w:qFormat/>
    <w:uiPriority w:val="0"/>
    <w:pPr>
      <w:ind w:left="2520"/>
    </w:pPr>
  </w:style>
  <w:style w:type="paragraph" w:styleId="46">
    <w:name w:val="table of figures"/>
    <w:basedOn w:val="1"/>
    <w:next w:val="1"/>
    <w:qFormat/>
    <w:uiPriority w:val="0"/>
    <w:pPr>
      <w:tabs>
        <w:tab w:val="right" w:leader="dot" w:pos="8640"/>
      </w:tabs>
      <w:ind w:left="400" w:hanging="400"/>
    </w:pPr>
  </w:style>
  <w:style w:type="paragraph" w:styleId="47">
    <w:name w:val="toc 2"/>
    <w:basedOn w:val="1"/>
    <w:next w:val="1"/>
    <w:qFormat/>
    <w:uiPriority w:val="39"/>
    <w:pPr>
      <w:spacing w:line="240" w:lineRule="auto"/>
      <w:ind w:left="200" w:leftChars="200"/>
    </w:pPr>
    <w:rPr>
      <w:sz w:val="28"/>
    </w:rPr>
  </w:style>
  <w:style w:type="paragraph" w:styleId="48">
    <w:name w:val="toc 9"/>
    <w:basedOn w:val="1"/>
    <w:next w:val="1"/>
    <w:qFormat/>
    <w:uiPriority w:val="0"/>
    <w:pPr>
      <w:ind w:left="3360" w:leftChars="1600"/>
    </w:pPr>
  </w:style>
  <w:style w:type="paragraph" w:styleId="49">
    <w:name w:val="Body Text 2"/>
    <w:basedOn w:val="1"/>
    <w:link w:val="94"/>
    <w:qFormat/>
    <w:uiPriority w:val="0"/>
    <w:pPr>
      <w:adjustRightInd w:val="0"/>
      <w:spacing w:line="480" w:lineRule="auto"/>
    </w:pPr>
  </w:style>
  <w:style w:type="paragraph" w:styleId="50">
    <w:name w:val="List 4"/>
    <w:basedOn w:val="1"/>
    <w:qFormat/>
    <w:uiPriority w:val="0"/>
    <w:pPr>
      <w:adjustRightInd w:val="0"/>
      <w:ind w:left="100" w:leftChars="600" w:hanging="200" w:hangingChars="200"/>
    </w:pPr>
  </w:style>
  <w:style w:type="paragraph" w:styleId="51">
    <w:name w:val="List Continue 2"/>
    <w:basedOn w:val="1"/>
    <w:qFormat/>
    <w:uiPriority w:val="0"/>
    <w:pPr>
      <w:adjustRightInd w:val="0"/>
      <w:ind w:left="840" w:leftChars="400"/>
    </w:pPr>
  </w:style>
  <w:style w:type="paragraph" w:styleId="52">
    <w:name w:val="Normal (Web)"/>
    <w:basedOn w:val="1"/>
    <w:qFormat/>
    <w:uiPriority w:val="0"/>
    <w:pPr>
      <w:widowControl/>
      <w:spacing w:beforeAutospacing="1" w:afterAutospacing="1"/>
      <w:jc w:val="left"/>
    </w:pPr>
    <w:rPr>
      <w:rFonts w:ascii="宋体" w:hAnsi="宋体"/>
      <w:kern w:val="0"/>
    </w:rPr>
  </w:style>
  <w:style w:type="paragraph" w:styleId="53">
    <w:name w:val="List Continue 3"/>
    <w:basedOn w:val="1"/>
    <w:qFormat/>
    <w:uiPriority w:val="0"/>
    <w:pPr>
      <w:adjustRightInd w:val="0"/>
      <w:ind w:left="1260" w:leftChars="600"/>
    </w:p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link w:val="95"/>
    <w:qFormat/>
    <w:uiPriority w:val="0"/>
    <w:pPr>
      <w:widowControl/>
      <w:jc w:val="center"/>
    </w:pPr>
    <w:rPr>
      <w:rFonts w:ascii="Arial" w:hAnsi="Arial"/>
      <w:b/>
      <w:smallCaps/>
      <w:kern w:val="28"/>
      <w:sz w:val="36"/>
      <w:lang w:eastAsia="en-US"/>
    </w:rPr>
  </w:style>
  <w:style w:type="paragraph" w:styleId="56">
    <w:name w:val="annotation subject"/>
    <w:basedOn w:val="19"/>
    <w:next w:val="19"/>
    <w:link w:val="96"/>
    <w:qFormat/>
    <w:uiPriority w:val="0"/>
    <w:pPr>
      <w:adjustRightInd/>
      <w:spacing w:line="240" w:lineRule="auto"/>
      <w:textAlignment w:val="auto"/>
    </w:pPr>
  </w:style>
  <w:style w:type="paragraph" w:styleId="57">
    <w:name w:val="Body Text First Indent"/>
    <w:basedOn w:val="22"/>
    <w:next w:val="1"/>
    <w:link w:val="97"/>
    <w:qFormat/>
    <w:uiPriority w:val="0"/>
    <w:pPr>
      <w:ind w:firstLine="420"/>
    </w:pPr>
    <w:rPr>
      <w:rFonts w:ascii="宋体" w:hAnsi="宋体"/>
      <w:sz w:val="24"/>
    </w:rPr>
  </w:style>
  <w:style w:type="paragraph" w:styleId="58">
    <w:name w:val="Body Text First Indent 2"/>
    <w:basedOn w:val="23"/>
    <w:link w:val="98"/>
    <w:qFormat/>
    <w:uiPriority w:val="0"/>
    <w:pPr>
      <w:spacing w:line="240" w:lineRule="auto"/>
      <w:ind w:left="420" w:leftChars="200" w:firstLine="420" w:firstLineChars="200"/>
    </w:pPr>
  </w:style>
  <w:style w:type="table" w:styleId="60">
    <w:name w:val="Table Grid"/>
    <w:basedOn w:val="59"/>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character" w:customStyle="1" w:styleId="69">
    <w:name w:val="页眉 字符"/>
    <w:basedOn w:val="61"/>
    <w:link w:val="36"/>
    <w:qFormat/>
    <w:uiPriority w:val="99"/>
    <w:rPr>
      <w:rFonts w:eastAsia="宋体"/>
      <w:sz w:val="18"/>
      <w:szCs w:val="18"/>
    </w:rPr>
  </w:style>
  <w:style w:type="character" w:customStyle="1" w:styleId="70">
    <w:name w:val="页脚 字符"/>
    <w:basedOn w:val="61"/>
    <w:link w:val="35"/>
    <w:qFormat/>
    <w:uiPriority w:val="99"/>
    <w:rPr>
      <w:rFonts w:eastAsia="宋体"/>
      <w:sz w:val="18"/>
      <w:szCs w:val="18"/>
    </w:rPr>
  </w:style>
  <w:style w:type="character" w:customStyle="1" w:styleId="71">
    <w:name w:val="标题 1 字符"/>
    <w:basedOn w:val="61"/>
    <w:link w:val="2"/>
    <w:qFormat/>
    <w:uiPriority w:val="0"/>
    <w:rPr>
      <w:rFonts w:ascii="宋体" w:hAnsi="Times New Roman" w:eastAsia="宋体" w:cs="Times New Roman"/>
      <w:sz w:val="24"/>
      <w:szCs w:val="20"/>
    </w:rPr>
  </w:style>
  <w:style w:type="character" w:customStyle="1" w:styleId="72">
    <w:name w:val="标题 2 字符"/>
    <w:basedOn w:val="61"/>
    <w:link w:val="3"/>
    <w:qFormat/>
    <w:uiPriority w:val="0"/>
    <w:rPr>
      <w:rFonts w:ascii="Arial" w:hAnsi="Arial" w:eastAsia="黑体" w:cs="Times New Roman"/>
      <w:b/>
      <w:sz w:val="32"/>
      <w:szCs w:val="20"/>
    </w:rPr>
  </w:style>
  <w:style w:type="character" w:customStyle="1" w:styleId="73">
    <w:name w:val="标题 3 字符"/>
    <w:basedOn w:val="61"/>
    <w:link w:val="4"/>
    <w:qFormat/>
    <w:uiPriority w:val="0"/>
    <w:rPr>
      <w:rFonts w:ascii="Times New Roman" w:hAnsi="Times New Roman" w:eastAsia="宋体" w:cs="Times New Roman"/>
      <w:b/>
      <w:sz w:val="32"/>
      <w:szCs w:val="20"/>
    </w:rPr>
  </w:style>
  <w:style w:type="character" w:customStyle="1" w:styleId="74">
    <w:name w:val="标题 4 字符"/>
    <w:basedOn w:val="61"/>
    <w:link w:val="5"/>
    <w:qFormat/>
    <w:uiPriority w:val="0"/>
    <w:rPr>
      <w:rFonts w:ascii="Arial" w:hAnsi="Arial" w:eastAsia="黑体" w:cs="Times New Roman"/>
      <w:b/>
      <w:sz w:val="24"/>
      <w:szCs w:val="20"/>
    </w:rPr>
  </w:style>
  <w:style w:type="character" w:customStyle="1" w:styleId="75">
    <w:name w:val="标题 5 字符"/>
    <w:basedOn w:val="61"/>
    <w:link w:val="6"/>
    <w:qFormat/>
    <w:uiPriority w:val="0"/>
    <w:rPr>
      <w:rFonts w:ascii="Times New Roman" w:hAnsi="Times New Roman" w:eastAsia="宋体" w:cs="Times New Roman"/>
      <w:b/>
      <w:sz w:val="24"/>
      <w:szCs w:val="20"/>
    </w:rPr>
  </w:style>
  <w:style w:type="character" w:customStyle="1" w:styleId="76">
    <w:name w:val="标题 6 字符"/>
    <w:basedOn w:val="61"/>
    <w:link w:val="7"/>
    <w:qFormat/>
    <w:uiPriority w:val="0"/>
    <w:rPr>
      <w:rFonts w:ascii="Arial" w:hAnsi="Arial" w:eastAsia="黑体" w:cs="Times New Roman"/>
      <w:b/>
      <w:sz w:val="24"/>
      <w:szCs w:val="20"/>
    </w:rPr>
  </w:style>
  <w:style w:type="character" w:customStyle="1" w:styleId="77">
    <w:name w:val="标题 7 字符"/>
    <w:basedOn w:val="61"/>
    <w:link w:val="8"/>
    <w:qFormat/>
    <w:uiPriority w:val="0"/>
    <w:rPr>
      <w:rFonts w:ascii="Arial" w:hAnsi="Arial" w:eastAsia="黑体" w:cs="Times New Roman"/>
      <w:b/>
      <w:sz w:val="24"/>
      <w:szCs w:val="20"/>
    </w:rPr>
  </w:style>
  <w:style w:type="character" w:customStyle="1" w:styleId="78">
    <w:name w:val="标题 8 字符"/>
    <w:basedOn w:val="61"/>
    <w:link w:val="9"/>
    <w:qFormat/>
    <w:uiPriority w:val="0"/>
    <w:rPr>
      <w:rFonts w:ascii="Arial" w:hAnsi="Arial" w:eastAsia="黑体" w:cs="Times New Roman"/>
      <w:b/>
      <w:sz w:val="24"/>
      <w:szCs w:val="20"/>
    </w:rPr>
  </w:style>
  <w:style w:type="character" w:customStyle="1" w:styleId="79">
    <w:name w:val="标题 9 字符"/>
    <w:basedOn w:val="61"/>
    <w:link w:val="10"/>
    <w:qFormat/>
    <w:uiPriority w:val="0"/>
    <w:rPr>
      <w:rFonts w:ascii="Arial" w:hAnsi="Arial" w:eastAsia="黑体" w:cs="Times New Roman"/>
      <w:b/>
      <w:sz w:val="24"/>
      <w:szCs w:val="20"/>
    </w:rPr>
  </w:style>
  <w:style w:type="character" w:customStyle="1" w:styleId="80">
    <w:name w:val="正文缩进 字符"/>
    <w:link w:val="15"/>
    <w:qFormat/>
    <w:uiPriority w:val="0"/>
    <w:rPr>
      <w:rFonts w:ascii="Times New Roman" w:hAnsi="Times New Roman" w:eastAsia="宋体" w:cs="Times New Roman"/>
      <w:sz w:val="24"/>
      <w:szCs w:val="20"/>
    </w:rPr>
  </w:style>
  <w:style w:type="character" w:customStyle="1" w:styleId="81">
    <w:name w:val="文档结构图 字符"/>
    <w:basedOn w:val="61"/>
    <w:link w:val="17"/>
    <w:qFormat/>
    <w:uiPriority w:val="0"/>
    <w:rPr>
      <w:rFonts w:ascii="Times New Roman" w:hAnsi="Times New Roman" w:eastAsia="宋体" w:cs="Times New Roman"/>
      <w:sz w:val="24"/>
      <w:szCs w:val="20"/>
      <w:shd w:val="clear" w:color="auto" w:fill="000080"/>
    </w:rPr>
  </w:style>
  <w:style w:type="character" w:customStyle="1" w:styleId="82">
    <w:name w:val="批注文字 字符"/>
    <w:basedOn w:val="61"/>
    <w:link w:val="19"/>
    <w:qFormat/>
    <w:uiPriority w:val="0"/>
    <w:rPr>
      <w:rFonts w:ascii="Times New Roman" w:hAnsi="Times New Roman" w:eastAsia="宋体" w:cs="Times New Roman"/>
      <w:kern w:val="0"/>
      <w:sz w:val="24"/>
      <w:szCs w:val="20"/>
    </w:rPr>
  </w:style>
  <w:style w:type="character" w:customStyle="1" w:styleId="83">
    <w:name w:val="正文文本 3 字符"/>
    <w:basedOn w:val="61"/>
    <w:link w:val="20"/>
    <w:qFormat/>
    <w:uiPriority w:val="0"/>
    <w:rPr>
      <w:rFonts w:ascii="Times New Roman" w:hAnsi="Times New Roman" w:eastAsia="宋体" w:cs="Times New Roman"/>
      <w:sz w:val="16"/>
      <w:szCs w:val="20"/>
    </w:rPr>
  </w:style>
  <w:style w:type="character" w:customStyle="1" w:styleId="84">
    <w:name w:val="正文文本 字符"/>
    <w:basedOn w:val="61"/>
    <w:qFormat/>
    <w:uiPriority w:val="0"/>
    <w:rPr>
      <w:rFonts w:ascii="Times New Roman" w:hAnsi="Times New Roman" w:eastAsia="宋体" w:cs="Times New Roman"/>
      <w:sz w:val="24"/>
      <w:szCs w:val="20"/>
    </w:rPr>
  </w:style>
  <w:style w:type="character" w:customStyle="1" w:styleId="85">
    <w:name w:val="正文文本 字符1"/>
    <w:link w:val="22"/>
    <w:qFormat/>
    <w:uiPriority w:val="0"/>
    <w:rPr>
      <w:rFonts w:ascii="仿宋_GB2312" w:hAnsi="Times New Roman" w:eastAsia="仿宋_GB2312" w:cs="Times New Roman"/>
      <w:sz w:val="32"/>
      <w:szCs w:val="20"/>
    </w:rPr>
  </w:style>
  <w:style w:type="character" w:customStyle="1" w:styleId="86">
    <w:name w:val="正文文本缩进 字符"/>
    <w:basedOn w:val="61"/>
    <w:link w:val="23"/>
    <w:qFormat/>
    <w:uiPriority w:val="0"/>
    <w:rPr>
      <w:rFonts w:ascii="Times New Roman" w:hAnsi="Times New Roman" w:eastAsia="宋体" w:cs="Times New Roman"/>
      <w:sz w:val="44"/>
      <w:szCs w:val="20"/>
    </w:rPr>
  </w:style>
  <w:style w:type="character" w:customStyle="1" w:styleId="87">
    <w:name w:val="纯文本 字符"/>
    <w:basedOn w:val="61"/>
    <w:link w:val="30"/>
    <w:qFormat/>
    <w:uiPriority w:val="0"/>
    <w:rPr>
      <w:rFonts w:ascii="宋体" w:hAnsi="Courier New" w:eastAsia="宋体" w:cs="Times New Roman"/>
      <w:szCs w:val="20"/>
    </w:rPr>
  </w:style>
  <w:style w:type="character" w:customStyle="1" w:styleId="88">
    <w:name w:val="日期 字符"/>
    <w:basedOn w:val="61"/>
    <w:link w:val="32"/>
    <w:qFormat/>
    <w:uiPriority w:val="0"/>
    <w:rPr>
      <w:rFonts w:ascii="Times New Roman" w:hAnsi="Times New Roman" w:eastAsia="宋体" w:cs="Times New Roman"/>
      <w:sz w:val="28"/>
      <w:szCs w:val="20"/>
    </w:rPr>
  </w:style>
  <w:style w:type="character" w:customStyle="1" w:styleId="89">
    <w:name w:val="正文文本缩进 2 字符"/>
    <w:basedOn w:val="61"/>
    <w:link w:val="33"/>
    <w:qFormat/>
    <w:uiPriority w:val="0"/>
    <w:rPr>
      <w:rFonts w:ascii="Times New Roman" w:hAnsi="Times New Roman" w:eastAsia="宋体" w:cs="Times New Roman"/>
      <w:sz w:val="28"/>
      <w:szCs w:val="20"/>
    </w:rPr>
  </w:style>
  <w:style w:type="character" w:customStyle="1" w:styleId="90">
    <w:name w:val="批注框文本 字符"/>
    <w:basedOn w:val="61"/>
    <w:link w:val="34"/>
    <w:qFormat/>
    <w:uiPriority w:val="0"/>
    <w:rPr>
      <w:rFonts w:ascii="Times New Roman" w:hAnsi="Times New Roman" w:eastAsia="宋体" w:cs="Times New Roman"/>
      <w:sz w:val="18"/>
      <w:szCs w:val="20"/>
    </w:rPr>
  </w:style>
  <w:style w:type="character" w:customStyle="1" w:styleId="91">
    <w:name w:val="副标题 字符"/>
    <w:basedOn w:val="61"/>
    <w:link w:val="40"/>
    <w:qFormat/>
    <w:uiPriority w:val="0"/>
    <w:rPr>
      <w:rFonts w:ascii="Calibri Light" w:hAnsi="Calibri Light" w:eastAsia="宋体" w:cs="Times New Roman"/>
      <w:b/>
      <w:bCs/>
      <w:kern w:val="28"/>
      <w:sz w:val="32"/>
      <w:szCs w:val="32"/>
    </w:rPr>
  </w:style>
  <w:style w:type="character" w:customStyle="1" w:styleId="92">
    <w:name w:val="脚注文本 字符"/>
    <w:basedOn w:val="61"/>
    <w:link w:val="41"/>
    <w:qFormat/>
    <w:uiPriority w:val="0"/>
    <w:rPr>
      <w:rFonts w:ascii="Times New Roman" w:hAnsi="Times New Roman" w:eastAsia="宋体" w:cs="Times New Roman"/>
      <w:sz w:val="18"/>
      <w:szCs w:val="20"/>
    </w:rPr>
  </w:style>
  <w:style w:type="character" w:customStyle="1" w:styleId="93">
    <w:name w:val="正文文本缩进 3 字符"/>
    <w:basedOn w:val="61"/>
    <w:link w:val="44"/>
    <w:qFormat/>
    <w:uiPriority w:val="0"/>
    <w:rPr>
      <w:rFonts w:ascii="黑体" w:hAnsi="Times New Roman" w:eastAsia="黑体" w:cs="Times New Roman"/>
      <w:sz w:val="24"/>
      <w:szCs w:val="20"/>
    </w:rPr>
  </w:style>
  <w:style w:type="character" w:customStyle="1" w:styleId="94">
    <w:name w:val="正文文本 2 字符"/>
    <w:basedOn w:val="61"/>
    <w:link w:val="49"/>
    <w:qFormat/>
    <w:uiPriority w:val="0"/>
    <w:rPr>
      <w:rFonts w:ascii="Times New Roman" w:hAnsi="Times New Roman" w:eastAsia="宋体" w:cs="Times New Roman"/>
      <w:sz w:val="24"/>
      <w:szCs w:val="20"/>
    </w:rPr>
  </w:style>
  <w:style w:type="character" w:customStyle="1" w:styleId="95">
    <w:name w:val="标题 字符"/>
    <w:basedOn w:val="61"/>
    <w:link w:val="55"/>
    <w:qFormat/>
    <w:uiPriority w:val="0"/>
    <w:rPr>
      <w:rFonts w:ascii="Arial" w:hAnsi="Arial" w:eastAsia="宋体" w:cs="Times New Roman"/>
      <w:b/>
      <w:smallCaps/>
      <w:kern w:val="28"/>
      <w:sz w:val="36"/>
      <w:szCs w:val="20"/>
      <w:lang w:eastAsia="en-US"/>
    </w:rPr>
  </w:style>
  <w:style w:type="character" w:customStyle="1" w:styleId="96">
    <w:name w:val="批注主题 字符"/>
    <w:basedOn w:val="82"/>
    <w:link w:val="56"/>
    <w:qFormat/>
    <w:uiPriority w:val="0"/>
    <w:rPr>
      <w:rFonts w:ascii="Times New Roman" w:hAnsi="Times New Roman" w:eastAsia="宋体" w:cs="Times New Roman"/>
      <w:kern w:val="0"/>
      <w:sz w:val="24"/>
      <w:szCs w:val="20"/>
    </w:rPr>
  </w:style>
  <w:style w:type="character" w:customStyle="1" w:styleId="97">
    <w:name w:val="正文文本首行缩进 字符"/>
    <w:basedOn w:val="84"/>
    <w:link w:val="57"/>
    <w:qFormat/>
    <w:uiPriority w:val="0"/>
    <w:rPr>
      <w:rFonts w:ascii="宋体" w:hAnsi="宋体" w:eastAsia="仿宋_GB2312" w:cs="Times New Roman"/>
      <w:sz w:val="24"/>
      <w:szCs w:val="20"/>
    </w:rPr>
  </w:style>
  <w:style w:type="character" w:customStyle="1" w:styleId="98">
    <w:name w:val="正文文本首行缩进 2 字符"/>
    <w:basedOn w:val="86"/>
    <w:link w:val="58"/>
    <w:qFormat/>
    <w:uiPriority w:val="0"/>
    <w:rPr>
      <w:rFonts w:ascii="Times New Roman" w:hAnsi="Times New Roman" w:eastAsia="宋体" w:cs="Times New Roman"/>
      <w:sz w:val="44"/>
      <w:szCs w:val="20"/>
    </w:rPr>
  </w:style>
  <w:style w:type="character" w:customStyle="1" w:styleId="99">
    <w:name w:val="title_emph1"/>
    <w:qFormat/>
    <w:uiPriority w:val="0"/>
    <w:rPr>
      <w:rFonts w:hint="default" w:ascii="Arial" w:hAnsi="Arial"/>
      <w:b/>
      <w:sz w:val="20"/>
    </w:rPr>
  </w:style>
  <w:style w:type="character" w:customStyle="1" w:styleId="100">
    <w:name w:val="Char Char5"/>
    <w:qFormat/>
    <w:uiPriority w:val="0"/>
    <w:rPr>
      <w:rFonts w:ascii="Arial" w:hAnsi="Arial" w:eastAsia="宋体"/>
      <w:b/>
      <w:smallCaps/>
      <w:kern w:val="28"/>
      <w:sz w:val="36"/>
      <w:lang w:val="en-US" w:eastAsia="en-US"/>
    </w:rPr>
  </w:style>
  <w:style w:type="character" w:customStyle="1" w:styleId="101">
    <w:name w:val="Char Char7"/>
    <w:qFormat/>
    <w:uiPriority w:val="0"/>
    <w:rPr>
      <w:rFonts w:ascii="宋体" w:hAnsi="宋体" w:eastAsia="宋体"/>
      <w:kern w:val="2"/>
      <w:sz w:val="28"/>
    </w:rPr>
  </w:style>
  <w:style w:type="character" w:customStyle="1" w:styleId="102">
    <w:name w:val="crowed11"/>
    <w:qFormat/>
    <w:uiPriority w:val="0"/>
    <w:rPr>
      <w:rFonts w:hint="default" w:ascii="_x000B__x000C_" w:hAnsi="_x000B__x000C_"/>
      <w:sz w:val="24"/>
    </w:rPr>
  </w:style>
  <w:style w:type="character" w:customStyle="1" w:styleId="103">
    <w:name w:val="样式 宋体"/>
    <w:qFormat/>
    <w:uiPriority w:val="0"/>
    <w:rPr>
      <w:rFonts w:ascii="宋体" w:hAnsi="宋体" w:eastAsia="宋体"/>
      <w:sz w:val="28"/>
    </w:rPr>
  </w:style>
  <w:style w:type="character" w:customStyle="1" w:styleId="104">
    <w:name w:val="Char Char"/>
    <w:qFormat/>
    <w:uiPriority w:val="0"/>
    <w:rPr>
      <w:rFonts w:ascii="宋体" w:hAnsi="宋体" w:eastAsia="宋体"/>
      <w:kern w:val="2"/>
      <w:sz w:val="24"/>
      <w:lang w:val="en-US" w:eastAsia="zh-CN" w:bidi="ar-SA"/>
    </w:rPr>
  </w:style>
  <w:style w:type="character" w:customStyle="1" w:styleId="105">
    <w:name w:val="日期 Char"/>
    <w:qFormat/>
    <w:uiPriority w:val="0"/>
    <w:rPr>
      <w:kern w:val="2"/>
      <w:sz w:val="28"/>
    </w:rPr>
  </w:style>
  <w:style w:type="character" w:customStyle="1" w:styleId="106">
    <w:name w:val="列表段落 字符"/>
    <w:link w:val="107"/>
    <w:qFormat/>
    <w:uiPriority w:val="0"/>
    <w:rPr>
      <w:rFonts w:ascii="Calibri" w:hAnsi="Calibri"/>
    </w:rPr>
  </w:style>
  <w:style w:type="paragraph" w:styleId="107">
    <w:name w:val="List Paragraph"/>
    <w:basedOn w:val="1"/>
    <w:link w:val="106"/>
    <w:qFormat/>
    <w:uiPriority w:val="0"/>
    <w:pPr>
      <w:ind w:firstLine="420" w:firstLineChars="200"/>
    </w:pPr>
    <w:rPr>
      <w:rFonts w:ascii="Calibri" w:hAnsi="Calibri" w:eastAsiaTheme="minorEastAsia" w:cstheme="minorBidi"/>
      <w:sz w:val="21"/>
      <w:szCs w:val="22"/>
    </w:rPr>
  </w:style>
  <w:style w:type="character" w:customStyle="1" w:styleId="108">
    <w:name w:val="标书正文:  0.74 厘米 Char1"/>
    <w:qFormat/>
    <w:uiPriority w:val="0"/>
    <w:rPr>
      <w:rFonts w:eastAsia="宋体"/>
      <w:kern w:val="2"/>
      <w:sz w:val="24"/>
      <w:lang w:val="en-US" w:eastAsia="zh-CN"/>
    </w:rPr>
  </w:style>
  <w:style w:type="character" w:customStyle="1" w:styleId="109">
    <w:name w:val="文字 Char"/>
    <w:link w:val="110"/>
    <w:qFormat/>
    <w:uiPriority w:val="0"/>
    <w:rPr>
      <w:rFonts w:ascii="宋体"/>
      <w:sz w:val="28"/>
    </w:rPr>
  </w:style>
  <w:style w:type="paragraph" w:customStyle="1" w:styleId="110">
    <w:name w:val="文字"/>
    <w:basedOn w:val="1"/>
    <w:link w:val="109"/>
    <w:qFormat/>
    <w:uiPriority w:val="0"/>
    <w:pPr>
      <w:tabs>
        <w:tab w:val="left" w:pos="8520"/>
      </w:tabs>
      <w:spacing w:line="312" w:lineRule="auto"/>
      <w:ind w:right="-210" w:firstLine="556"/>
    </w:pPr>
    <w:rPr>
      <w:rFonts w:ascii="宋体" w:hAnsiTheme="minorHAnsi" w:eastAsiaTheme="minorEastAsia" w:cstheme="minorBidi"/>
      <w:sz w:val="28"/>
      <w:szCs w:val="22"/>
    </w:rPr>
  </w:style>
  <w:style w:type="character" w:customStyle="1" w:styleId="111">
    <w:name w:val="未处理的提及1"/>
    <w:qFormat/>
    <w:uiPriority w:val="99"/>
    <w:rPr>
      <w:color w:val="605E5C"/>
      <w:shd w:val="clear" w:color="auto" w:fill="E1DFDD"/>
    </w:rPr>
  </w:style>
  <w:style w:type="character" w:customStyle="1" w:styleId="112">
    <w:name w:val="H2 Char"/>
    <w:qFormat/>
    <w:uiPriority w:val="0"/>
    <w:rPr>
      <w:rFonts w:ascii="Arial" w:hAnsi="Arial" w:eastAsia="宋体"/>
      <w:kern w:val="2"/>
      <w:sz w:val="28"/>
      <w:lang w:val="en-US" w:eastAsia="zh-CN"/>
    </w:rPr>
  </w:style>
  <w:style w:type="character" w:customStyle="1" w:styleId="113">
    <w:name w:val="Char Char11"/>
    <w:qFormat/>
    <w:uiPriority w:val="0"/>
    <w:rPr>
      <w:rFonts w:ascii="宋体"/>
      <w:kern w:val="2"/>
      <w:sz w:val="28"/>
    </w:rPr>
  </w:style>
  <w:style w:type="character" w:customStyle="1" w:styleId="114">
    <w:name w:val="Table Heading Char Char"/>
    <w:qFormat/>
    <w:uiPriority w:val="0"/>
    <w:rPr>
      <w:rFonts w:ascii="Arial" w:hAnsi="Arial" w:eastAsia="黑体"/>
      <w:kern w:val="2"/>
      <w:sz w:val="18"/>
      <w:lang w:val="en-US" w:eastAsia="zh-CN"/>
    </w:rPr>
  </w:style>
  <w:style w:type="character" w:customStyle="1" w:styleId="115">
    <w:name w:val="Table Text Char"/>
    <w:link w:val="116"/>
    <w:qFormat/>
    <w:uiPriority w:val="0"/>
    <w:rPr>
      <w:rFonts w:ascii="Arial" w:hAnsi="Arial"/>
      <w:sz w:val="18"/>
    </w:rPr>
  </w:style>
  <w:style w:type="paragraph" w:customStyle="1" w:styleId="116">
    <w:name w:val="Table Text"/>
    <w:link w:val="115"/>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17">
    <w:name w:val="Table Text Char Char Char Char"/>
    <w:link w:val="118"/>
    <w:qFormat/>
    <w:uiPriority w:val="0"/>
    <w:rPr>
      <w:rFonts w:ascii="Arial" w:hAnsi="Arial"/>
      <w:sz w:val="18"/>
    </w:rPr>
  </w:style>
  <w:style w:type="paragraph" w:customStyle="1" w:styleId="118">
    <w:name w:val="Table Text Char Char Char"/>
    <w:link w:val="117"/>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19">
    <w:name w:val="NormalCharacter"/>
    <w:qFormat/>
    <w:uiPriority w:val="0"/>
    <w:rPr>
      <w:rFonts w:ascii="Calibri" w:hAnsi="Calibri"/>
      <w:kern w:val="2"/>
      <w:sz w:val="24"/>
      <w:lang w:val="en-US" w:eastAsia="zh-CN" w:bidi="ar-SA"/>
    </w:rPr>
  </w:style>
  <w:style w:type="character" w:customStyle="1" w:styleId="120">
    <w:name w:val="Char Char6"/>
    <w:qFormat/>
    <w:uiPriority w:val="0"/>
    <w:rPr>
      <w:rFonts w:ascii="仿宋_GB2312" w:eastAsia="仿宋_GB2312"/>
      <w:kern w:val="2"/>
      <w:sz w:val="32"/>
    </w:rPr>
  </w:style>
  <w:style w:type="character" w:customStyle="1" w:styleId="121">
    <w:name w:val="font1"/>
    <w:qFormat/>
    <w:uiPriority w:val="0"/>
    <w:rPr>
      <w:color w:val="000000"/>
      <w:sz w:val="18"/>
    </w:rPr>
  </w:style>
  <w:style w:type="character" w:customStyle="1" w:styleId="122">
    <w:name w:val="未命名11"/>
    <w:qFormat/>
    <w:uiPriority w:val="0"/>
    <w:rPr>
      <w:color w:val="77FFFF"/>
      <w:sz w:val="24"/>
    </w:rPr>
  </w:style>
  <w:style w:type="character" w:customStyle="1" w:styleId="123">
    <w:name w:val="标题 2 Char"/>
    <w:qFormat/>
    <w:uiPriority w:val="0"/>
    <w:rPr>
      <w:rFonts w:ascii="Arial" w:hAnsi="Arial" w:eastAsia="黑体"/>
      <w:b/>
      <w:kern w:val="2"/>
      <w:sz w:val="32"/>
    </w:rPr>
  </w:style>
  <w:style w:type="character" w:customStyle="1" w:styleId="124">
    <w:name w:val="top-det1"/>
    <w:qFormat/>
    <w:uiPriority w:val="0"/>
    <w:rPr>
      <w:b/>
      <w:color w:val="000000"/>
    </w:rPr>
  </w:style>
  <w:style w:type="character" w:customStyle="1" w:styleId="125">
    <w:name w:val="Table Text Char1 Char"/>
    <w:qFormat/>
    <w:uiPriority w:val="0"/>
    <w:rPr>
      <w:rFonts w:ascii="Arial" w:hAnsi="Arial"/>
      <w:kern w:val="2"/>
      <w:sz w:val="18"/>
      <w:lang w:val="en-US" w:eastAsia="zh-CN" w:bidi="ar-SA"/>
    </w:rPr>
  </w:style>
  <w:style w:type="character" w:customStyle="1" w:styleId="126">
    <w:name w:val="标题 3 Char1"/>
    <w:qFormat/>
    <w:uiPriority w:val="0"/>
    <w:rPr>
      <w:rFonts w:eastAsia="宋体"/>
      <w:b/>
      <w:kern w:val="2"/>
      <w:sz w:val="32"/>
      <w:lang w:val="en-US" w:eastAsia="zh-CN"/>
    </w:rPr>
  </w:style>
  <w:style w:type="character" w:customStyle="1" w:styleId="127">
    <w:name w:val="标题 3 字符1"/>
    <w:qFormat/>
    <w:uiPriority w:val="0"/>
    <w:rPr>
      <w:rFonts w:eastAsia="宋体"/>
      <w:b/>
      <w:kern w:val="2"/>
      <w:sz w:val="32"/>
      <w:lang w:val="en-US" w:eastAsia="zh-CN"/>
    </w:rPr>
  </w:style>
  <w:style w:type="character" w:customStyle="1" w:styleId="128">
    <w:name w:val="Char Char3"/>
    <w:qFormat/>
    <w:uiPriority w:val="0"/>
    <w:rPr>
      <w:rFonts w:eastAsia="宋体"/>
      <w:kern w:val="2"/>
      <w:sz w:val="18"/>
      <w:lang w:val="en-US" w:eastAsia="zh-CN"/>
    </w:rPr>
  </w:style>
  <w:style w:type="character" w:customStyle="1" w:styleId="129">
    <w:name w:val="正文文本缩进 字符1"/>
    <w:qFormat/>
    <w:uiPriority w:val="0"/>
    <w:rPr>
      <w:kern w:val="2"/>
      <w:sz w:val="44"/>
    </w:rPr>
  </w:style>
  <w:style w:type="character" w:customStyle="1" w:styleId="130">
    <w:name w:val="小 Char"/>
    <w:qFormat/>
    <w:uiPriority w:val="0"/>
    <w:rPr>
      <w:rFonts w:ascii="宋体" w:hAnsi="Courier New" w:eastAsia="宋体"/>
      <w:kern w:val="2"/>
      <w:sz w:val="21"/>
      <w:lang w:val="en-US" w:eastAsia="zh-CN" w:bidi="ar-SA"/>
    </w:rPr>
  </w:style>
  <w:style w:type="character" w:customStyle="1" w:styleId="131">
    <w:name w:val="Char Char2"/>
    <w:qFormat/>
    <w:uiPriority w:val="0"/>
    <w:rPr>
      <w:rFonts w:eastAsia="宋体"/>
      <w:kern w:val="2"/>
      <w:sz w:val="18"/>
      <w:lang w:val="en-US" w:eastAsia="zh-CN"/>
    </w:rPr>
  </w:style>
  <w:style w:type="character" w:customStyle="1" w:styleId="132">
    <w:name w:val="无"/>
    <w:qFormat/>
    <w:uiPriority w:val="0"/>
    <w:rPr>
      <w:rFonts w:ascii="Times New Roman" w:hAnsi="Times New Roman" w:eastAsia="宋体" w:cs="Times New Roman"/>
    </w:rPr>
  </w:style>
  <w:style w:type="character" w:customStyle="1" w:styleId="133">
    <w:name w:val="v151"/>
    <w:qFormat/>
    <w:uiPriority w:val="0"/>
    <w:rPr>
      <w:sz w:val="18"/>
    </w:rPr>
  </w:style>
  <w:style w:type="character" w:customStyle="1" w:styleId="134">
    <w:name w:val="标题 3 Char"/>
    <w:qFormat/>
    <w:uiPriority w:val="0"/>
    <w:rPr>
      <w:rFonts w:eastAsia="宋体"/>
      <w:b/>
      <w:kern w:val="2"/>
      <w:sz w:val="32"/>
      <w:lang w:val="en-US" w:eastAsia="zh-CN"/>
    </w:rPr>
  </w:style>
  <w:style w:type="character" w:customStyle="1" w:styleId="135">
    <w:name w:val="正文文本缩进 Char"/>
    <w:qFormat/>
    <w:uiPriority w:val="0"/>
    <w:rPr>
      <w:kern w:val="2"/>
      <w:sz w:val="44"/>
    </w:rPr>
  </w:style>
  <w:style w:type="character" w:customStyle="1" w:styleId="136">
    <w:name w:val="样式 文档正文 Char + (西文) 宋体 (中文) 宋体 小四 黑色 Char"/>
    <w:link w:val="137"/>
    <w:qFormat/>
    <w:uiPriority w:val="0"/>
    <w:rPr>
      <w:rFonts w:ascii="宋体" w:hAnsi="宋体"/>
      <w:color w:val="000000"/>
      <w:sz w:val="24"/>
      <w:szCs w:val="24"/>
    </w:rPr>
  </w:style>
  <w:style w:type="paragraph" w:customStyle="1" w:styleId="137">
    <w:name w:val="样式 文档正文 Char + (西文) 宋体 (中文) 宋体 小四 黑色"/>
    <w:basedOn w:val="1"/>
    <w:link w:val="136"/>
    <w:qFormat/>
    <w:uiPriority w:val="0"/>
    <w:pPr>
      <w:adjustRightInd w:val="0"/>
      <w:ind w:firstLine="567"/>
      <w:textAlignment w:val="baseline"/>
    </w:pPr>
    <w:rPr>
      <w:rFonts w:ascii="宋体" w:hAnsi="宋体" w:eastAsiaTheme="minorEastAsia" w:cstheme="minorBidi"/>
      <w:color w:val="000000"/>
      <w:szCs w:val="24"/>
    </w:rPr>
  </w:style>
  <w:style w:type="character" w:customStyle="1" w:styleId="138">
    <w:name w:val="Char Char4"/>
    <w:qFormat/>
    <w:uiPriority w:val="0"/>
    <w:rPr>
      <w:rFonts w:eastAsia="宋体"/>
      <w:b/>
      <w:kern w:val="2"/>
      <w:sz w:val="21"/>
      <w:lang w:val="en-US" w:eastAsia="zh-CN"/>
    </w:rPr>
  </w:style>
  <w:style w:type="character" w:customStyle="1" w:styleId="139">
    <w:name w:val="content-white1"/>
    <w:qFormat/>
    <w:uiPriority w:val="0"/>
    <w:rPr>
      <w:rFonts w:ascii="_x000B__x000C_" w:hAnsi="_x000B__x000C_"/>
      <w:color w:val="auto"/>
      <w:sz w:val="18"/>
      <w:u w:val="none"/>
    </w:rPr>
  </w:style>
  <w:style w:type="character" w:customStyle="1" w:styleId="140">
    <w:name w:val="(符号)五标题1.1.1 Char"/>
    <w:link w:val="141"/>
    <w:qFormat/>
    <w:uiPriority w:val="0"/>
    <w:rPr>
      <w:rFonts w:ascii="宋体" w:hAnsi="宋体"/>
      <w:color w:val="000000"/>
      <w:sz w:val="24"/>
    </w:rPr>
  </w:style>
  <w:style w:type="paragraph" w:customStyle="1" w:styleId="141">
    <w:name w:val="(符号)五标题1.1.1"/>
    <w:basedOn w:val="1"/>
    <w:link w:val="140"/>
    <w:qFormat/>
    <w:uiPriority w:val="0"/>
    <w:pPr>
      <w:numPr>
        <w:ilvl w:val="2"/>
        <w:numId w:val="3"/>
      </w:numPr>
      <w:tabs>
        <w:tab w:val="left" w:pos="1000"/>
      </w:tabs>
      <w:spacing w:line="500" w:lineRule="exact"/>
    </w:pPr>
    <w:rPr>
      <w:rFonts w:ascii="宋体" w:hAnsi="宋体" w:eastAsiaTheme="minorEastAsia" w:cstheme="minorBidi"/>
      <w:color w:val="000000"/>
      <w:szCs w:val="22"/>
    </w:rPr>
  </w:style>
  <w:style w:type="character" w:customStyle="1" w:styleId="142">
    <w:name w:val="UserStyle_53 Char"/>
    <w:link w:val="143"/>
    <w:qFormat/>
    <w:uiPriority w:val="0"/>
    <w:rPr>
      <w:rFonts w:ascii="宋体"/>
      <w:sz w:val="24"/>
      <w:szCs w:val="24"/>
    </w:rPr>
  </w:style>
  <w:style w:type="paragraph" w:customStyle="1" w:styleId="143">
    <w:name w:val="UserStyle_53"/>
    <w:link w:val="142"/>
    <w:qFormat/>
    <w:uiPriority w:val="0"/>
    <w:pPr>
      <w:widowControl w:val="0"/>
      <w:spacing w:line="360" w:lineRule="auto"/>
      <w:ind w:firstLine="200" w:firstLineChars="200"/>
      <w:jc w:val="both"/>
    </w:pPr>
    <w:rPr>
      <w:rFonts w:ascii="宋体" w:hAnsiTheme="minorHAnsi" w:eastAsiaTheme="minorEastAsia" w:cstheme="minorBidi"/>
      <w:kern w:val="2"/>
      <w:sz w:val="24"/>
      <w:szCs w:val="24"/>
      <w:lang w:val="en-US" w:eastAsia="zh-CN" w:bidi="ar-SA"/>
    </w:rPr>
  </w:style>
  <w:style w:type="character" w:customStyle="1" w:styleId="144">
    <w:name w:val="正文 + 三号 Char"/>
    <w:qFormat/>
    <w:uiPriority w:val="0"/>
    <w:rPr>
      <w:rFonts w:eastAsia="宋体"/>
      <w:kern w:val="2"/>
      <w:sz w:val="21"/>
      <w:lang w:val="en-US" w:eastAsia="zh-CN"/>
    </w:rPr>
  </w:style>
  <w:style w:type="paragraph" w:customStyle="1" w:styleId="145">
    <w:name w:val="IN Feature"/>
    <w:next w:val="146"/>
    <w:qFormat/>
    <w:uiPriority w:val="0"/>
    <w:pPr>
      <w:keepNext/>
      <w:keepLines/>
      <w:spacing w:before="240" w:after="240"/>
      <w:outlineLvl w:val="7"/>
    </w:pPr>
    <w:rPr>
      <w:rFonts w:ascii="Arial" w:hAnsi="Arial" w:eastAsia="黑体" w:cs="Times New Roman"/>
      <w:kern w:val="0"/>
      <w:sz w:val="21"/>
      <w:szCs w:val="20"/>
      <w:lang w:val="en-US" w:eastAsia="zh-CN" w:bidi="ar-SA"/>
    </w:rPr>
  </w:style>
  <w:style w:type="paragraph" w:customStyle="1" w:styleId="146">
    <w:name w:val="IN Step"/>
    <w:basedOn w:val="1"/>
    <w:qFormat/>
    <w:uiPriority w:val="0"/>
    <w:pPr>
      <w:keepLines/>
      <w:widowControl/>
      <w:tabs>
        <w:tab w:val="left" w:pos="1134"/>
      </w:tabs>
      <w:spacing w:line="300" w:lineRule="auto"/>
      <w:ind w:left="1134" w:hanging="907"/>
      <w:outlineLvl w:val="8"/>
    </w:pPr>
    <w:rPr>
      <w:rFonts w:ascii="Arial" w:hAnsi="Arial"/>
      <w:kern w:val="0"/>
      <w:sz w:val="21"/>
    </w:rPr>
  </w:style>
  <w:style w:type="paragraph" w:customStyle="1" w:styleId="147">
    <w:name w:val="Table Description"/>
    <w:next w:val="1"/>
    <w:qFormat/>
    <w:uiPriority w:val="0"/>
    <w:pPr>
      <w:keepNext/>
      <w:snapToGrid w:val="0"/>
      <w:spacing w:before="160" w:after="80"/>
      <w:ind w:left="1134"/>
      <w:jc w:val="center"/>
    </w:pPr>
    <w:rPr>
      <w:rFonts w:ascii="Arial" w:hAnsi="Arial" w:eastAsia="黑体" w:cs="Times New Roman"/>
      <w:kern w:val="0"/>
      <w:sz w:val="18"/>
      <w:szCs w:val="20"/>
      <w:lang w:val="en-US" w:eastAsia="zh-CN" w:bidi="ar-SA"/>
    </w:rPr>
  </w:style>
  <w:style w:type="paragraph" w:customStyle="1" w:styleId="148">
    <w:name w:val="Char Char1 Char"/>
    <w:basedOn w:val="1"/>
    <w:qFormat/>
    <w:uiPriority w:val="0"/>
    <w:rPr>
      <w:rFonts w:ascii="Tahoma" w:hAnsi="Tahoma"/>
      <w:szCs w:val="24"/>
    </w:rPr>
  </w:style>
  <w:style w:type="paragraph" w:customStyle="1" w:styleId="149">
    <w:name w:val="00"/>
    <w:basedOn w:val="1"/>
    <w:qFormat/>
    <w:uiPriority w:val="0"/>
    <w:pPr>
      <w:autoSpaceDE w:val="0"/>
      <w:autoSpaceDN w:val="0"/>
      <w:adjustRightInd w:val="0"/>
      <w:jc w:val="left"/>
    </w:pPr>
    <w:rPr>
      <w:rFonts w:ascii="黑体" w:eastAsia="黑体"/>
      <w:b/>
      <w:kern w:val="0"/>
      <w:sz w:val="20"/>
    </w:rPr>
  </w:style>
  <w:style w:type="paragraph" w:customStyle="1" w:styleId="150">
    <w:name w:val="正文（首行不缩进）"/>
    <w:basedOn w:val="1"/>
    <w:qFormat/>
    <w:uiPriority w:val="0"/>
    <w:pPr>
      <w:autoSpaceDE w:val="0"/>
      <w:autoSpaceDN w:val="0"/>
      <w:adjustRightInd w:val="0"/>
      <w:jc w:val="left"/>
    </w:pPr>
    <w:rPr>
      <w:kern w:val="0"/>
      <w:sz w:val="21"/>
    </w:rPr>
  </w:style>
  <w:style w:type="paragraph" w:customStyle="1" w:styleId="151">
    <w:name w:val="AA Numbering"/>
    <w:basedOn w:val="1"/>
    <w:qFormat/>
    <w:uiPriority w:val="0"/>
    <w:pPr>
      <w:widowControl/>
      <w:tabs>
        <w:tab w:val="left" w:pos="1134"/>
        <w:tab w:val="left" w:pos="1280"/>
      </w:tabs>
      <w:adjustRightInd w:val="0"/>
      <w:spacing w:line="280" w:lineRule="atLeast"/>
      <w:jc w:val="left"/>
    </w:pPr>
    <w:rPr>
      <w:rFonts w:eastAsia="PMingLiU"/>
      <w:kern w:val="0"/>
      <w:lang w:eastAsia="zh-TW"/>
    </w:rPr>
  </w:style>
  <w:style w:type="paragraph" w:customStyle="1" w:styleId="15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53">
    <w:name w:val="样式 标题 1章标题Heading 0Section HeadPIM 1H1h11st levell11H1..."/>
    <w:basedOn w:val="2"/>
    <w:qFormat/>
    <w:uiPriority w:val="0"/>
    <w:pPr>
      <w:keepLines/>
      <w:pageBreakBefore/>
      <w:tabs>
        <w:tab w:val="left" w:pos="432"/>
      </w:tabs>
      <w:autoSpaceDE w:val="0"/>
      <w:autoSpaceDN w:val="0"/>
      <w:adjustRightInd w:val="0"/>
      <w:spacing w:line="578" w:lineRule="atLeast"/>
      <w:textAlignment w:val="bottom"/>
    </w:pPr>
    <w:rPr>
      <w:rFonts w:hAnsi="宋体" w:eastAsia="黑体"/>
      <w:b/>
      <w:kern w:val="44"/>
      <w:sz w:val="36"/>
    </w:rPr>
  </w:style>
  <w:style w:type="paragraph" w:customStyle="1" w:styleId="154">
    <w:name w:val="Note"/>
    <w:basedOn w:val="1"/>
    <w:qFormat/>
    <w:uiPriority w:val="0"/>
    <w:pPr>
      <w:pBdr>
        <w:top w:val="single" w:color="auto" w:sz="12" w:space="3"/>
        <w:bottom w:val="single" w:color="auto" w:sz="12" w:space="3"/>
      </w:pBdr>
    </w:pPr>
  </w:style>
  <w:style w:type="paragraph" w:customStyle="1" w:styleId="155">
    <w:name w:val="Char1"/>
    <w:basedOn w:val="1"/>
    <w:qFormat/>
    <w:uiPriority w:val="0"/>
    <w:rPr>
      <w:sz w:val="21"/>
    </w:rPr>
  </w:style>
  <w:style w:type="paragraph" w:customStyle="1" w:styleId="156">
    <w:name w:val="Char Char Char Char"/>
    <w:basedOn w:val="1"/>
    <w:qFormat/>
    <w:uiPriority w:val="0"/>
    <w:pPr>
      <w:pageBreakBefore/>
      <w:widowControl/>
      <w:spacing w:line="240" w:lineRule="exact"/>
      <w:jc w:val="left"/>
    </w:pPr>
    <w:rPr>
      <w:rFonts w:ascii="Verdana" w:hAnsi="Verdana"/>
      <w:kern w:val="0"/>
      <w:sz w:val="20"/>
      <w:lang w:eastAsia="en-US"/>
    </w:rPr>
  </w:style>
  <w:style w:type="paragraph" w:customStyle="1" w:styleId="157">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58">
    <w:name w:val="_Style 131"/>
    <w:qFormat/>
    <w:uiPriority w:val="0"/>
    <w:rPr>
      <w:rFonts w:ascii="Times New Roman" w:hAnsi="Times New Roman" w:eastAsia="宋体" w:cs="Times New Roman"/>
      <w:kern w:val="2"/>
      <w:sz w:val="21"/>
      <w:szCs w:val="20"/>
      <w:lang w:val="en-US" w:eastAsia="zh-CN" w:bidi="ar-SA"/>
    </w:rPr>
  </w:style>
  <w:style w:type="paragraph" w:customStyle="1" w:styleId="159">
    <w:name w:val="标准正文"/>
    <w:basedOn w:val="23"/>
    <w:qFormat/>
    <w:uiPriority w:val="0"/>
    <w:pPr>
      <w:spacing w:line="360" w:lineRule="auto"/>
      <w:ind w:left="0" w:firstLine="482"/>
    </w:pPr>
    <w:rPr>
      <w:rFonts w:ascii="Arial" w:hAnsi="Arial"/>
      <w:sz w:val="24"/>
    </w:rPr>
  </w:style>
  <w:style w:type="paragraph" w:customStyle="1" w:styleId="160">
    <w:name w:val="样式3"/>
    <w:basedOn w:val="2"/>
    <w:next w:val="2"/>
    <w:qFormat/>
    <w:uiPriority w:val="0"/>
    <w:pPr>
      <w:keepLines/>
      <w:adjustRightInd w:val="0"/>
      <w:spacing w:line="576" w:lineRule="auto"/>
    </w:pPr>
    <w:rPr>
      <w:rFonts w:ascii="Times New Roman" w:eastAsia="黑体"/>
      <w:b/>
      <w:kern w:val="44"/>
      <w:sz w:val="44"/>
    </w:rPr>
  </w:style>
  <w:style w:type="paragraph" w:customStyle="1" w:styleId="161">
    <w:name w:val="表号"/>
    <w:basedOn w:val="1"/>
    <w:qFormat/>
    <w:uiPriority w:val="0"/>
    <w:pPr>
      <w:numPr>
        <w:ilvl w:val="0"/>
        <w:numId w:val="4"/>
      </w:numPr>
      <w:tabs>
        <w:tab w:val="clear" w:pos="360"/>
      </w:tabs>
      <w:autoSpaceDE w:val="0"/>
      <w:autoSpaceDN w:val="0"/>
      <w:adjustRightInd w:val="0"/>
      <w:ind w:left="425" w:hanging="137"/>
      <w:jc w:val="center"/>
    </w:pPr>
    <w:rPr>
      <w:kern w:val="0"/>
      <w:sz w:val="21"/>
      <w:lang w:eastAsia="en-US"/>
    </w:rPr>
  </w:style>
  <w:style w:type="paragraph" w:customStyle="1" w:styleId="162">
    <w:name w:val="文档正文"/>
    <w:basedOn w:val="1"/>
    <w:qFormat/>
    <w:uiPriority w:val="0"/>
    <w:pPr>
      <w:adjustRightInd w:val="0"/>
      <w:spacing w:line="440" w:lineRule="exact"/>
      <w:ind w:firstLine="567"/>
      <w:textAlignment w:val="baseline"/>
    </w:pPr>
    <w:rPr>
      <w:rFonts w:ascii="Arial Narrow" w:hAnsi="Arial Narrow"/>
      <w:kern w:val="0"/>
    </w:rPr>
  </w:style>
  <w:style w:type="paragraph" w:customStyle="1" w:styleId="163">
    <w:name w:val="正文4"/>
    <w:basedOn w:val="1"/>
    <w:qFormat/>
    <w:uiPriority w:val="0"/>
    <w:pPr>
      <w:tabs>
        <w:tab w:val="left" w:pos="1275"/>
      </w:tabs>
      <w:ind w:left="820" w:leftChars="400" w:hanging="705"/>
    </w:pPr>
  </w:style>
  <w:style w:type="paragraph" w:customStyle="1" w:styleId="164">
    <w:name w:val="图标"/>
    <w:basedOn w:val="1"/>
    <w:next w:val="1"/>
    <w:qFormat/>
    <w:uiPriority w:val="0"/>
    <w:pPr>
      <w:tabs>
        <w:tab w:val="left" w:pos="420"/>
        <w:tab w:val="left" w:pos="567"/>
        <w:tab w:val="left" w:pos="720"/>
      </w:tabs>
      <w:autoSpaceDE w:val="0"/>
      <w:autoSpaceDN w:val="0"/>
      <w:adjustRightInd w:val="0"/>
      <w:spacing w:line="320" w:lineRule="atLeast"/>
      <w:ind w:left="420" w:hanging="420"/>
      <w:jc w:val="center"/>
      <w:textAlignment w:val="baseline"/>
    </w:pPr>
    <w:rPr>
      <w:rFonts w:eastAsia="仿宋_GB2312"/>
      <w:kern w:val="0"/>
    </w:rPr>
  </w:style>
  <w:style w:type="paragraph" w:customStyle="1" w:styleId="165">
    <w:name w:val="1"/>
    <w:basedOn w:val="1"/>
    <w:next w:val="30"/>
    <w:qFormat/>
    <w:uiPriority w:val="0"/>
    <w:rPr>
      <w:rFonts w:ascii="宋体" w:hAnsi="Courier New"/>
      <w:sz w:val="21"/>
    </w:rPr>
  </w:style>
  <w:style w:type="paragraph" w:customStyle="1" w:styleId="166">
    <w:name w:val="样式1xz"/>
    <w:basedOn w:val="1"/>
    <w:qFormat/>
    <w:uiPriority w:val="0"/>
    <w:pPr>
      <w:tabs>
        <w:tab w:val="left" w:pos="1050"/>
        <w:tab w:val="right" w:leader="dot" w:pos="8296"/>
      </w:tabs>
    </w:pPr>
    <w:rPr>
      <w:caps/>
      <w:spacing w:val="20"/>
    </w:rPr>
  </w:style>
  <w:style w:type="paragraph" w:customStyle="1" w:styleId="167">
    <w:name w:val="正文 A"/>
    <w:qFormat/>
    <w:uiPriority w:val="0"/>
    <w:pPr>
      <w:widowControl w:val="0"/>
      <w:jc w:val="both"/>
    </w:pPr>
    <w:rPr>
      <w:rFonts w:ascii="Times New Roman" w:hAnsi="Times New Roman" w:eastAsia="Times New Roman" w:cs="Times New Roman"/>
      <w:color w:val="000000"/>
      <w:kern w:val="2"/>
      <w:sz w:val="28"/>
      <w:szCs w:val="28"/>
      <w:lang w:val="en-US" w:eastAsia="zh-CN" w:bidi="ar-SA"/>
    </w:rPr>
  </w:style>
  <w:style w:type="paragraph" w:customStyle="1" w:styleId="168">
    <w:name w:val="标题2"/>
    <w:basedOn w:val="3"/>
    <w:qFormat/>
    <w:uiPriority w:val="0"/>
    <w:pPr>
      <w:keepNext w:val="0"/>
      <w:keepLines w:val="0"/>
      <w:adjustRightInd w:val="0"/>
      <w:spacing w:line="360" w:lineRule="auto"/>
      <w:ind w:firstLine="574" w:firstLineChars="196"/>
      <w:outlineLvl w:val="9"/>
    </w:pPr>
    <w:rPr>
      <w:rFonts w:ascii="宋体" w:hAnsi="宋体" w:eastAsia="宋体"/>
      <w:spacing w:val="6"/>
      <w:sz w:val="28"/>
      <w:u w:val="single"/>
    </w:rPr>
  </w:style>
  <w:style w:type="paragraph" w:customStyle="1" w:styleId="169">
    <w:name w:val="样式 行距: 1.5 倍行距1"/>
    <w:basedOn w:val="1"/>
    <w:qFormat/>
    <w:uiPriority w:val="0"/>
    <w:rPr>
      <w:sz w:val="21"/>
    </w:rPr>
  </w:style>
  <w:style w:type="paragraph" w:customStyle="1" w:styleId="170">
    <w:name w:val="段落正文"/>
    <w:basedOn w:val="1"/>
    <w:qFormat/>
    <w:uiPriority w:val="0"/>
    <w:pPr>
      <w:spacing w:beforeLines="50"/>
      <w:ind w:firstLine="200" w:firstLineChars="200"/>
    </w:pPr>
    <w:rPr>
      <w:spacing w:val="2"/>
    </w:rPr>
  </w:style>
  <w:style w:type="paragraph" w:customStyle="1" w:styleId="171">
    <w:name w:val="正文文本缩进 21"/>
    <w:basedOn w:val="1"/>
    <w:qFormat/>
    <w:uiPriority w:val="0"/>
    <w:pPr>
      <w:adjustRightInd w:val="0"/>
      <w:ind w:firstLine="420"/>
      <w:textAlignment w:val="baseline"/>
    </w:pPr>
  </w:style>
  <w:style w:type="paragraph" w:customStyle="1" w:styleId="172">
    <w:name w:val="Char"/>
    <w:basedOn w:val="1"/>
    <w:qFormat/>
    <w:uiPriority w:val="0"/>
    <w:pPr>
      <w:spacing w:line="240" w:lineRule="atLeast"/>
      <w:ind w:left="420" w:firstLine="420"/>
    </w:pPr>
    <w:rPr>
      <w:kern w:val="0"/>
      <w:sz w:val="21"/>
    </w:rPr>
  </w:style>
  <w:style w:type="paragraph" w:customStyle="1" w:styleId="173">
    <w:name w:val="章标题"/>
    <w:next w:val="1"/>
    <w:qFormat/>
    <w:uiPriority w:val="0"/>
    <w:pPr>
      <w:numPr>
        <w:ilvl w:val="1"/>
        <w:numId w:val="5"/>
      </w:numPr>
      <w:spacing w:beforeLines="50" w:afterLines="50"/>
      <w:ind w:left="0"/>
      <w:jc w:val="both"/>
      <w:outlineLvl w:val="1"/>
    </w:pPr>
    <w:rPr>
      <w:rFonts w:ascii="黑体" w:hAnsi="Times New Roman" w:eastAsia="黑体" w:cs="Times New Roman"/>
      <w:kern w:val="0"/>
      <w:sz w:val="24"/>
      <w:szCs w:val="20"/>
      <w:lang w:val="en-US" w:eastAsia="zh-CN" w:bidi="ar-SA"/>
    </w:rPr>
  </w:style>
  <w:style w:type="paragraph" w:customStyle="1" w:styleId="174">
    <w:name w:val="Item Step"/>
    <w:qFormat/>
    <w:uiPriority w:val="0"/>
    <w:pPr>
      <w:tabs>
        <w:tab w:val="left" w:pos="1644"/>
      </w:tabs>
      <w:ind w:left="1644" w:hanging="510"/>
      <w:outlineLvl w:val="4"/>
    </w:pPr>
    <w:rPr>
      <w:rFonts w:ascii="Arial" w:hAnsi="Arial" w:eastAsia="宋体" w:cs="Times New Roman"/>
      <w:kern w:val="0"/>
      <w:sz w:val="21"/>
      <w:szCs w:val="20"/>
      <w:lang w:val="en-US" w:eastAsia="zh-CN" w:bidi="ar-SA"/>
    </w:rPr>
  </w:style>
  <w:style w:type="paragraph" w:customStyle="1" w:styleId="17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6">
    <w:name w:val="Char1 Char Char Char"/>
    <w:basedOn w:val="1"/>
    <w:qFormat/>
    <w:uiPriority w:val="0"/>
    <w:rPr>
      <w:rFonts w:ascii="Tahoma" w:hAnsi="Tahoma"/>
      <w:sz w:val="30"/>
    </w:rPr>
  </w:style>
  <w:style w:type="paragraph" w:customStyle="1" w:styleId="17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78">
    <w:name w:val="È±Ê¡ÎÄ±¾"/>
    <w:basedOn w:val="1"/>
    <w:qFormat/>
    <w:uiPriority w:val="0"/>
    <w:pPr>
      <w:widowControl/>
      <w:overflowPunct w:val="0"/>
      <w:autoSpaceDE w:val="0"/>
      <w:autoSpaceDN w:val="0"/>
      <w:adjustRightInd w:val="0"/>
      <w:jc w:val="left"/>
      <w:textAlignment w:val="baseline"/>
    </w:pPr>
    <w:rPr>
      <w:kern w:val="0"/>
    </w:rPr>
  </w:style>
  <w:style w:type="paragraph" w:customStyle="1" w:styleId="179">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80">
    <w:name w:val="Figure Description"/>
    <w:next w:val="1"/>
    <w:qFormat/>
    <w:uiPriority w:val="0"/>
    <w:pPr>
      <w:snapToGrid w:val="0"/>
      <w:spacing w:before="80" w:after="320"/>
      <w:ind w:left="1134"/>
      <w:jc w:val="center"/>
    </w:pPr>
    <w:rPr>
      <w:rFonts w:ascii="Arial" w:hAnsi="Arial" w:eastAsia="黑体" w:cs="Times New Roman"/>
      <w:kern w:val="0"/>
      <w:sz w:val="18"/>
      <w:szCs w:val="20"/>
      <w:lang w:val="en-US" w:eastAsia="zh-CN" w:bidi="ar-SA"/>
    </w:rPr>
  </w:style>
  <w:style w:type="paragraph" w:customStyle="1" w:styleId="181">
    <w:name w:val="样式 正文首行缩进 2 + 首行缩进:  2 字符"/>
    <w:basedOn w:val="1"/>
    <w:qFormat/>
    <w:uiPriority w:val="0"/>
    <w:pPr>
      <w:numPr>
        <w:ilvl w:val="0"/>
        <w:numId w:val="6"/>
      </w:numPr>
      <w:adjustRightInd w:val="0"/>
    </w:pPr>
    <w:rPr>
      <w:rFonts w:ascii="Arial" w:hAnsi="Arial"/>
      <w:b/>
    </w:rPr>
  </w:style>
  <w:style w:type="paragraph" w:customStyle="1" w:styleId="182">
    <w:name w:val="样式4"/>
    <w:basedOn w:val="5"/>
    <w:qFormat/>
    <w:uiPriority w:val="0"/>
    <w:pPr>
      <w:adjustRightInd w:val="0"/>
    </w:pPr>
  </w:style>
  <w:style w:type="paragraph" w:customStyle="1" w:styleId="183">
    <w:name w:val="附录3"/>
    <w:basedOn w:val="1"/>
    <w:next w:val="1"/>
    <w:qFormat/>
    <w:uiPriority w:val="0"/>
    <w:pPr>
      <w:tabs>
        <w:tab w:val="left" w:pos="851"/>
      </w:tabs>
      <w:ind w:left="425" w:hanging="425"/>
      <w:outlineLvl w:val="2"/>
    </w:pPr>
    <w:rPr>
      <w:rFonts w:eastAsia="黑体"/>
      <w:b/>
      <w:sz w:val="32"/>
    </w:rPr>
  </w:style>
  <w:style w:type="paragraph" w:customStyle="1" w:styleId="184">
    <w:name w:val="Title - Revision"/>
    <w:basedOn w:val="55"/>
    <w:qFormat/>
    <w:uiPriority w:val="0"/>
  </w:style>
  <w:style w:type="paragraph" w:customStyle="1" w:styleId="185">
    <w:name w:val="样式2"/>
    <w:basedOn w:val="5"/>
    <w:qFormat/>
    <w:uiPriority w:val="0"/>
    <w:pPr>
      <w:numPr>
        <w:ilvl w:val="0"/>
        <w:numId w:val="7"/>
      </w:numPr>
      <w:spacing w:line="400" w:lineRule="exact"/>
      <w:jc w:val="center"/>
      <w:outlineLvl w:val="0"/>
    </w:pPr>
    <w:rPr>
      <w:b w:val="0"/>
      <w:sz w:val="44"/>
    </w:rPr>
  </w:style>
  <w:style w:type="paragraph" w:customStyle="1" w:styleId="186">
    <w:name w:val="Default"/>
    <w:qFormat/>
    <w:uiPriority w:val="0"/>
    <w:pPr>
      <w:widowControl w:val="0"/>
      <w:autoSpaceDE w:val="0"/>
      <w:autoSpaceDN w:val="0"/>
      <w:adjustRightInd w:val="0"/>
    </w:pPr>
    <w:rPr>
      <w:rFonts w:ascii="宋体" w:hAnsi="Times New Roman" w:eastAsia="宋体" w:cs="Times New Roman"/>
      <w:color w:val="000000"/>
      <w:kern w:val="0"/>
      <w:sz w:val="24"/>
      <w:szCs w:val="20"/>
      <w:lang w:val="en-US" w:eastAsia="zh-CN" w:bidi="ar-SA"/>
    </w:rPr>
  </w:style>
  <w:style w:type="paragraph" w:customStyle="1" w:styleId="187">
    <w:name w:val="表文字"/>
    <w:qFormat/>
    <w:uiPriority w:val="0"/>
    <w:rPr>
      <w:rFonts w:ascii="宋体" w:hAnsi="Times New Roman" w:eastAsia="宋体" w:cs="Times New Roman"/>
      <w:kern w:val="2"/>
      <w:sz w:val="20"/>
      <w:szCs w:val="20"/>
      <w:lang w:val="en-US" w:eastAsia="zh-CN" w:bidi="ar-SA"/>
    </w:rPr>
  </w:style>
  <w:style w:type="paragraph" w:customStyle="1" w:styleId="188">
    <w:name w:val="图例"/>
    <w:basedOn w:val="1"/>
    <w:qFormat/>
    <w:uiPriority w:val="0"/>
    <w:pPr>
      <w:jc w:val="center"/>
    </w:pPr>
    <w:rPr>
      <w:rFonts w:eastAsia="仿宋_GB2312"/>
      <w:b/>
    </w:rPr>
  </w:style>
  <w:style w:type="paragraph" w:customStyle="1" w:styleId="189">
    <w:name w:val="正文字缩2字"/>
    <w:basedOn w:val="1"/>
    <w:qFormat/>
    <w:uiPriority w:val="0"/>
    <w:pPr>
      <w:ind w:left="200" w:leftChars="200" w:firstLine="200" w:firstLineChars="200"/>
    </w:pPr>
  </w:style>
  <w:style w:type="paragraph" w:customStyle="1" w:styleId="190">
    <w:name w:val="列表项目"/>
    <w:basedOn w:val="1"/>
    <w:qFormat/>
    <w:uiPriority w:val="0"/>
    <w:pPr>
      <w:numPr>
        <w:ilvl w:val="0"/>
        <w:numId w:val="8"/>
      </w:numPr>
      <w:tabs>
        <w:tab w:val="clear" w:pos="1200"/>
      </w:tabs>
      <w:spacing w:line="288" w:lineRule="auto"/>
      <w:ind w:left="840" w:leftChars="200" w:hanging="420" w:hangingChars="200"/>
    </w:pPr>
    <w:rPr>
      <w:sz w:val="21"/>
    </w:rPr>
  </w:style>
  <w:style w:type="paragraph" w:customStyle="1" w:styleId="191">
    <w:name w:val="标题无"/>
    <w:basedOn w:val="1"/>
    <w:qFormat/>
    <w:uiPriority w:val="0"/>
  </w:style>
  <w:style w:type="paragraph" w:customStyle="1" w:styleId="192">
    <w:name w:val="BodyText"/>
    <w:basedOn w:val="1"/>
    <w:qFormat/>
    <w:uiPriority w:val="0"/>
    <w:rPr>
      <w:rFonts w:ascii="仿宋_GB2312" w:eastAsia="仿宋_GB2312"/>
      <w:sz w:val="32"/>
    </w:rPr>
  </w:style>
  <w:style w:type="paragraph" w:customStyle="1" w:styleId="193">
    <w:name w:val="关键词"/>
    <w:basedOn w:val="1"/>
    <w:next w:val="1"/>
    <w:qFormat/>
    <w:uiPriority w:val="0"/>
    <w:rPr>
      <w:rFonts w:eastAsia="黑体"/>
      <w:sz w:val="20"/>
    </w:rPr>
  </w:style>
  <w:style w:type="paragraph" w:customStyle="1" w:styleId="194">
    <w:name w:val="默认段落字体 Para Char Char Char Char Char Char Char"/>
    <w:basedOn w:val="1"/>
    <w:qFormat/>
    <w:uiPriority w:val="0"/>
    <w:rPr>
      <w:rFonts w:ascii="Tahoma" w:hAnsi="Tahoma"/>
    </w:rPr>
  </w:style>
  <w:style w:type="paragraph" w:customStyle="1" w:styleId="195">
    <w:name w:val="Style Heading 3h3Heading 3 - oldLevel 3 HeadH3level_3PIM 3se..."/>
    <w:basedOn w:val="4"/>
    <w:qFormat/>
    <w:uiPriority w:val="0"/>
    <w:pPr>
      <w:tabs>
        <w:tab w:val="left" w:pos="709"/>
        <w:tab w:val="left" w:pos="1620"/>
      </w:tabs>
      <w:ind w:left="1620" w:hanging="360"/>
    </w:pPr>
  </w:style>
  <w:style w:type="paragraph" w:customStyle="1" w:styleId="196">
    <w:name w:val="图片文字"/>
    <w:basedOn w:val="1"/>
    <w:qFormat/>
    <w:uiPriority w:val="0"/>
    <w:pPr>
      <w:spacing w:line="240" w:lineRule="atLeast"/>
      <w:jc w:val="center"/>
    </w:pPr>
    <w:rPr>
      <w:sz w:val="21"/>
    </w:rPr>
  </w:style>
  <w:style w:type="paragraph" w:customStyle="1" w:styleId="197">
    <w:name w:val="样式 正文缩进正文（首行缩进两字）表正文正文非缩进特点标题4段1 + 首行缩进:  2 字符"/>
    <w:basedOn w:val="15"/>
    <w:qFormat/>
    <w:uiPriority w:val="0"/>
    <w:pPr>
      <w:ind w:firstLine="480" w:firstLineChars="200"/>
    </w:pPr>
  </w:style>
  <w:style w:type="paragraph" w:customStyle="1" w:styleId="198">
    <w:name w:val="缺省文本"/>
    <w:basedOn w:val="1"/>
    <w:qFormat/>
    <w:uiPriority w:val="0"/>
    <w:pPr>
      <w:tabs>
        <w:tab w:val="left" w:pos="1260"/>
      </w:tabs>
      <w:autoSpaceDE w:val="0"/>
      <w:autoSpaceDN w:val="0"/>
      <w:adjustRightInd w:val="0"/>
      <w:jc w:val="left"/>
    </w:pPr>
    <w:rPr>
      <w:kern w:val="0"/>
    </w:rPr>
  </w:style>
  <w:style w:type="paragraph" w:customStyle="1" w:styleId="199">
    <w:name w:val="xl23"/>
    <w:basedOn w:val="1"/>
    <w:qFormat/>
    <w:uiPriority w:val="0"/>
    <w:pPr>
      <w:widowControl/>
      <w:spacing w:beforeAutospacing="1" w:afterAutospacing="1"/>
      <w:textAlignment w:val="top"/>
    </w:pPr>
    <w:rPr>
      <w:kern w:val="0"/>
    </w:rPr>
  </w:style>
  <w:style w:type="paragraph" w:customStyle="1" w:styleId="200">
    <w:name w:val="tabletext"/>
    <w:basedOn w:val="1"/>
    <w:qFormat/>
    <w:uiPriority w:val="0"/>
    <w:pPr>
      <w:widowControl/>
      <w:spacing w:beforeAutospacing="1" w:afterAutospacing="1"/>
      <w:jc w:val="left"/>
    </w:pPr>
    <w:rPr>
      <w:rFonts w:ascii="宋体" w:hAnsi="宋体" w:cs="宋体"/>
      <w:kern w:val="0"/>
      <w:szCs w:val="24"/>
    </w:rPr>
  </w:style>
  <w:style w:type="paragraph" w:customStyle="1" w:styleId="201">
    <w:name w:val="样式 首行缩进:  0.74 厘米"/>
    <w:basedOn w:val="1"/>
    <w:qFormat/>
    <w:uiPriority w:val="0"/>
    <w:pPr>
      <w:ind w:firstLine="420"/>
    </w:pPr>
  </w:style>
  <w:style w:type="paragraph" w:customStyle="1" w:styleId="202">
    <w:name w:val="Bullets"/>
    <w:basedOn w:val="1"/>
    <w:qFormat/>
    <w:uiPriority w:val="0"/>
    <w:pPr>
      <w:widowControl/>
      <w:adjustRightInd w:val="0"/>
      <w:spacing w:before="60" w:after="60"/>
    </w:pPr>
    <w:rPr>
      <w:kern w:val="0"/>
      <w:lang w:val="en-GB"/>
    </w:rPr>
  </w:style>
  <w:style w:type="paragraph" w:customStyle="1" w:styleId="203">
    <w:name w:val="默认段落字体 Para Char Char Char Char Char Char Char Char Char1 Char Char Char Char"/>
    <w:basedOn w:val="1"/>
    <w:qFormat/>
    <w:uiPriority w:val="0"/>
    <w:rPr>
      <w:rFonts w:ascii="Tahoma" w:hAnsi="Tahoma"/>
    </w:rPr>
  </w:style>
  <w:style w:type="paragraph" w:customStyle="1" w:styleId="204">
    <w:name w:val="1.正文"/>
    <w:basedOn w:val="1"/>
    <w:qFormat/>
    <w:uiPriority w:val="0"/>
    <w:pPr>
      <w:ind w:left="540" w:leftChars="225" w:firstLine="540" w:firstLineChars="225"/>
    </w:pPr>
  </w:style>
  <w:style w:type="paragraph" w:customStyle="1" w:styleId="205">
    <w:name w:val="Char Char Char Char Char Char Char"/>
    <w:basedOn w:val="1"/>
    <w:qFormat/>
    <w:uiPriority w:val="0"/>
    <w:rPr>
      <w:rFonts w:ascii="Tahoma" w:hAnsi="Tahoma"/>
    </w:rPr>
  </w:style>
  <w:style w:type="paragraph" w:customStyle="1" w:styleId="206">
    <w:name w:val="样式 标题 1 + 居中 段前: 6 磅 段后: 6 磅 行距: 1.5 倍行距"/>
    <w:basedOn w:val="2"/>
    <w:qFormat/>
    <w:uiPriority w:val="0"/>
    <w:pPr>
      <w:keepLines/>
      <w:adjustRightInd w:val="0"/>
      <w:spacing w:line="360" w:lineRule="auto"/>
      <w:jc w:val="center"/>
    </w:pPr>
    <w:rPr>
      <w:rFonts w:ascii="Times New Roman"/>
      <w:b/>
      <w:kern w:val="44"/>
      <w:sz w:val="32"/>
    </w:rPr>
  </w:style>
  <w:style w:type="paragraph" w:customStyle="1" w:styleId="207">
    <w:name w:val="Table Contents"/>
    <w:basedOn w:val="22"/>
    <w:qFormat/>
    <w:uiPriority w:val="0"/>
    <w:pPr>
      <w:suppressAutoHyphens/>
      <w:jc w:val="left"/>
    </w:pPr>
    <w:rPr>
      <w:rFonts w:ascii="Times New Roman" w:eastAsia="Times New Roman"/>
      <w:kern w:val="0"/>
      <w:sz w:val="24"/>
    </w:rPr>
  </w:style>
  <w:style w:type="paragraph" w:customStyle="1" w:styleId="208">
    <w:name w:val="Char Char Char1 Char Char Char Char Char Char Char Char Char Char Char Char Char"/>
    <w:basedOn w:val="1"/>
    <w:qFormat/>
    <w:uiPriority w:val="0"/>
    <w:pPr>
      <w:widowControl/>
      <w:spacing w:line="240" w:lineRule="exact"/>
      <w:jc w:val="left"/>
    </w:pPr>
    <w:rPr>
      <w:rFonts w:ascii="Verdana" w:hAnsi="Verdana"/>
      <w:kern w:val="0"/>
      <w:sz w:val="18"/>
      <w:lang w:eastAsia="en-US"/>
    </w:rPr>
  </w:style>
  <w:style w:type="paragraph" w:customStyle="1" w:styleId="209">
    <w:name w:val="项目"/>
    <w:basedOn w:val="1"/>
    <w:qFormat/>
    <w:uiPriority w:val="0"/>
    <w:pPr>
      <w:tabs>
        <w:tab w:val="left" w:pos="1280"/>
      </w:tabs>
      <w:ind w:left="-7" w:firstLine="567"/>
      <w:jc w:val="left"/>
      <w:textAlignment w:val="baseline"/>
    </w:pPr>
    <w:rPr>
      <w:rFonts w:ascii="宋体"/>
      <w:kern w:val="0"/>
    </w:rPr>
  </w:style>
  <w:style w:type="paragraph" w:customStyle="1" w:styleId="210">
    <w:name w:val="Char Char Char Char Char Char1 Char"/>
    <w:basedOn w:val="1"/>
    <w:qFormat/>
    <w:uiPriority w:val="0"/>
    <w:pPr>
      <w:widowControl/>
      <w:spacing w:line="240" w:lineRule="exact"/>
      <w:jc w:val="left"/>
    </w:pPr>
    <w:rPr>
      <w:rFonts w:ascii="Verdana" w:hAnsi="Verdana"/>
      <w:kern w:val="0"/>
      <w:sz w:val="21"/>
      <w:lang w:eastAsia="en-US"/>
    </w:rPr>
  </w:style>
  <w:style w:type="paragraph" w:customStyle="1" w:styleId="211">
    <w:name w:val="没有缩进（为图形使用）"/>
    <w:basedOn w:val="1"/>
    <w:qFormat/>
    <w:uiPriority w:val="0"/>
  </w:style>
  <w:style w:type="paragraph" w:customStyle="1" w:styleId="212">
    <w:name w:val="样式1"/>
    <w:basedOn w:val="5"/>
    <w:next w:val="5"/>
    <w:qFormat/>
    <w:uiPriority w:val="0"/>
    <w:pPr>
      <w:tabs>
        <w:tab w:val="left" w:pos="720"/>
      </w:tabs>
      <w:spacing w:line="560" w:lineRule="atLeast"/>
      <w:ind w:left="420" w:hanging="420"/>
    </w:pPr>
  </w:style>
  <w:style w:type="paragraph" w:customStyle="1" w:styleId="213">
    <w:name w:val="content"/>
    <w:basedOn w:val="1"/>
    <w:qFormat/>
    <w:uiPriority w:val="0"/>
    <w:pPr>
      <w:widowControl/>
      <w:spacing w:beforeAutospacing="1" w:afterAutospacing="1" w:line="280" w:lineRule="atLeast"/>
      <w:ind w:firstLine="375"/>
      <w:jc w:val="left"/>
    </w:pPr>
    <w:rPr>
      <w:rFonts w:ascii="宋体" w:hAnsi="宋体"/>
      <w:color w:val="000000"/>
      <w:kern w:val="0"/>
      <w:sz w:val="18"/>
    </w:rPr>
  </w:style>
  <w:style w:type="paragraph" w:customStyle="1" w:styleId="21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jc w:val="center"/>
    </w:pPr>
    <w:rPr>
      <w:b/>
      <w:i/>
    </w:rPr>
  </w:style>
  <w:style w:type="paragraph" w:customStyle="1" w:styleId="215">
    <w:name w:val="标书正文:  0.74 厘米"/>
    <w:basedOn w:val="1"/>
    <w:qFormat/>
    <w:uiPriority w:val="0"/>
    <w:pPr>
      <w:ind w:firstLine="420"/>
    </w:pPr>
  </w:style>
  <w:style w:type="paragraph" w:customStyle="1" w:styleId="216">
    <w:name w:val="可研正文"/>
    <w:basedOn w:val="22"/>
    <w:qFormat/>
    <w:uiPriority w:val="0"/>
    <w:pPr>
      <w:adjustRightInd w:val="0"/>
      <w:spacing w:line="440" w:lineRule="exact"/>
      <w:ind w:firstLine="567"/>
    </w:pPr>
    <w:rPr>
      <w:sz w:val="28"/>
    </w:rPr>
  </w:style>
  <w:style w:type="paragraph" w:customStyle="1" w:styleId="217">
    <w:name w:val="文档正文 Char Char Char Char"/>
    <w:basedOn w:val="1"/>
    <w:qFormat/>
    <w:uiPriority w:val="0"/>
    <w:pPr>
      <w:adjustRightInd w:val="0"/>
      <w:spacing w:line="440" w:lineRule="exact"/>
      <w:ind w:firstLine="420"/>
      <w:textAlignment w:val="baseline"/>
    </w:pPr>
    <w:rPr>
      <w:rFonts w:ascii="Arial Narrow" w:hAnsi="Arial Narrow"/>
      <w:kern w:val="0"/>
    </w:rPr>
  </w:style>
  <w:style w:type="paragraph" w:customStyle="1" w:styleId="218">
    <w:name w:val="Char Char1"/>
    <w:basedOn w:val="1"/>
    <w:qFormat/>
    <w:uiPriority w:val="0"/>
    <w:pPr>
      <w:widowControl/>
      <w:spacing w:line="240" w:lineRule="exact"/>
      <w:jc w:val="left"/>
    </w:pPr>
    <w:rPr>
      <w:rFonts w:ascii="Verdana" w:hAnsi="Verdana"/>
      <w:kern w:val="0"/>
      <w:sz w:val="20"/>
      <w:lang w:eastAsia="en-US"/>
    </w:rPr>
  </w:style>
  <w:style w:type="paragraph" w:customStyle="1" w:styleId="219">
    <w:name w:val="xl27"/>
    <w:basedOn w:val="1"/>
    <w:qFormat/>
    <w:uiPriority w:val="0"/>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kern w:val="0"/>
      <w:sz w:val="21"/>
    </w:rPr>
  </w:style>
  <w:style w:type="paragraph" w:customStyle="1" w:styleId="220">
    <w:name w:val="Char Char Char Char Char Char Char Char Char Char Char Char Char"/>
    <w:basedOn w:val="1"/>
    <w:qFormat/>
    <w:uiPriority w:val="0"/>
    <w:pPr>
      <w:widowControl/>
      <w:spacing w:line="240" w:lineRule="exact"/>
      <w:jc w:val="left"/>
    </w:pPr>
    <w:rPr>
      <w:rFonts w:ascii="Verdana" w:hAnsi="Verdana" w:eastAsia="仿宋_GB2312"/>
      <w:kern w:val="0"/>
      <w:lang w:eastAsia="en-US"/>
    </w:rPr>
  </w:style>
  <w:style w:type="paragraph" w:customStyle="1" w:styleId="221">
    <w:name w:val="Char12"/>
    <w:basedOn w:val="1"/>
    <w:qFormat/>
    <w:uiPriority w:val="0"/>
    <w:rPr>
      <w:rFonts w:eastAsia="方正仿宋_GBK"/>
      <w:sz w:val="32"/>
      <w:szCs w:val="24"/>
    </w:rPr>
  </w:style>
  <w:style w:type="paragraph" w:customStyle="1" w:styleId="222">
    <w:name w:val="表样式"/>
    <w:basedOn w:val="1"/>
    <w:qFormat/>
    <w:uiPriority w:val="0"/>
  </w:style>
  <w:style w:type="paragraph" w:customStyle="1" w:styleId="223">
    <w:name w:val="Table Heading"/>
    <w:qFormat/>
    <w:uiPriority w:val="0"/>
    <w:pPr>
      <w:keepNext/>
      <w:snapToGrid w:val="0"/>
      <w:spacing w:before="80" w:after="80"/>
      <w:jc w:val="center"/>
    </w:pPr>
    <w:rPr>
      <w:rFonts w:ascii="Arial" w:hAnsi="Arial" w:eastAsia="黑体" w:cs="Times New Roman"/>
      <w:kern w:val="0"/>
      <w:sz w:val="18"/>
      <w:szCs w:val="20"/>
      <w:lang w:val="en-US" w:eastAsia="zh-CN" w:bidi="ar-SA"/>
    </w:rPr>
  </w:style>
  <w:style w:type="paragraph" w:customStyle="1" w:styleId="22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5">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226">
    <w:name w:val="正文1"/>
    <w:basedOn w:val="1"/>
    <w:qFormat/>
    <w:uiPriority w:val="0"/>
    <w:pPr>
      <w:spacing w:line="300" w:lineRule="auto"/>
      <w:ind w:firstLine="200" w:firstLineChars="200"/>
    </w:pPr>
  </w:style>
  <w:style w:type="paragraph" w:customStyle="1" w:styleId="227">
    <w:name w:val="编号正文"/>
    <w:basedOn w:val="162"/>
    <w:qFormat/>
    <w:uiPriority w:val="0"/>
    <w:pPr>
      <w:snapToGrid/>
      <w:spacing w:line="360" w:lineRule="auto"/>
      <w:ind w:left="1407" w:hanging="1047"/>
      <w:jc w:val="left"/>
    </w:pPr>
    <w:rPr>
      <w:rFonts w:eastAsia="仿宋_GB2312"/>
    </w:rPr>
  </w:style>
  <w:style w:type="paragraph" w:customStyle="1" w:styleId="228">
    <w:name w:val="操作步骤"/>
    <w:basedOn w:val="1"/>
    <w:qFormat/>
    <w:uiPriority w:val="0"/>
    <w:pPr>
      <w:numPr>
        <w:ilvl w:val="0"/>
        <w:numId w:val="9"/>
      </w:numPr>
      <w:autoSpaceDE w:val="0"/>
      <w:autoSpaceDN w:val="0"/>
      <w:adjustRightInd w:val="0"/>
      <w:spacing w:line="40" w:lineRule="atLeast"/>
      <w:textAlignment w:val="bottom"/>
    </w:pPr>
    <w:rPr>
      <w:rFonts w:ascii="昆仑楷体" w:eastAsia="楷体_GB2312"/>
      <w:kern w:val="0"/>
      <w:sz w:val="21"/>
    </w:rPr>
  </w:style>
  <w:style w:type="paragraph" w:customStyle="1" w:styleId="229">
    <w:name w:val="正文 + 三号"/>
    <w:basedOn w:val="1"/>
    <w:qFormat/>
    <w:uiPriority w:val="0"/>
    <w:rPr>
      <w:sz w:val="21"/>
    </w:rPr>
  </w:style>
  <w:style w:type="paragraph" w:customStyle="1" w:styleId="230">
    <w:name w:val="style1"/>
    <w:basedOn w:val="1"/>
    <w:qFormat/>
    <w:uiPriority w:val="0"/>
    <w:pPr>
      <w:widowControl/>
      <w:spacing w:beforeAutospacing="1" w:afterAutospacing="1"/>
      <w:jc w:val="left"/>
    </w:pPr>
    <w:rPr>
      <w:rFonts w:ascii="宋体" w:hAnsi="宋体"/>
      <w:kern w:val="0"/>
      <w:sz w:val="21"/>
    </w:rPr>
  </w:style>
  <w:style w:type="paragraph" w:customStyle="1" w:styleId="231">
    <w:name w:val="A项目符号"/>
    <w:basedOn w:val="1"/>
    <w:qFormat/>
    <w:uiPriority w:val="0"/>
    <w:pPr>
      <w:numPr>
        <w:ilvl w:val="0"/>
        <w:numId w:val="10"/>
      </w:numPr>
      <w:tabs>
        <w:tab w:val="left" w:pos="1080"/>
      </w:tabs>
      <w:adjustRightInd w:val="0"/>
      <w:spacing w:afterLines="50"/>
    </w:pPr>
    <w:rPr>
      <w:b/>
      <w:bCs/>
      <w:spacing w:val="12"/>
      <w:kern w:val="0"/>
      <w:szCs w:val="24"/>
    </w:rPr>
  </w:style>
  <w:style w:type="paragraph" w:customStyle="1" w:styleId="232">
    <w:name w:val="列出段落1"/>
    <w:basedOn w:val="1"/>
    <w:qFormat/>
    <w:uiPriority w:val="34"/>
    <w:pPr>
      <w:ind w:firstLine="420" w:firstLineChars="200"/>
    </w:pPr>
    <w:rPr>
      <w:sz w:val="21"/>
      <w:szCs w:val="24"/>
    </w:rPr>
  </w:style>
  <w:style w:type="paragraph" w:customStyle="1" w:styleId="233">
    <w:name w:val="样式 样式 正文首行缩进 2 + 左  0 字符 + 首行缩进:  2.57 字符"/>
    <w:basedOn w:val="1"/>
    <w:next w:val="1"/>
    <w:qFormat/>
    <w:uiPriority w:val="0"/>
    <w:pPr>
      <w:adjustRightInd w:val="0"/>
      <w:ind w:firstLine="540" w:firstLineChars="257"/>
    </w:pPr>
    <w:rPr>
      <w:sz w:val="21"/>
    </w:rPr>
  </w:style>
  <w:style w:type="paragraph" w:customStyle="1" w:styleId="234">
    <w:name w:val="段 Char"/>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35">
    <w:name w:val="xl53"/>
    <w:basedOn w:val="1"/>
    <w:qFormat/>
    <w:uiPriority w:val="0"/>
    <w:pPr>
      <w:widowControl/>
      <w:pBdr>
        <w:left w:val="single" w:color="auto" w:sz="4" w:space="0"/>
        <w:bottom w:val="single" w:color="auto" w:sz="4" w:space="0"/>
      </w:pBdr>
      <w:spacing w:beforeAutospacing="1" w:afterAutospacing="1"/>
      <w:jc w:val="center"/>
      <w:textAlignment w:val="center"/>
    </w:pPr>
    <w:rPr>
      <w:rFonts w:ascii="宋体" w:hAnsi="宋体"/>
      <w:kern w:val="0"/>
    </w:rPr>
  </w:style>
  <w:style w:type="paragraph" w:customStyle="1" w:styleId="236">
    <w:name w:val="Char2 Char Char Char Char Char Char"/>
    <w:basedOn w:val="1"/>
    <w:qFormat/>
    <w:uiPriority w:val="0"/>
    <w:rPr>
      <w:rFonts w:ascii="仿宋_GB2312"/>
      <w:b/>
      <w:sz w:val="30"/>
    </w:rPr>
  </w:style>
  <w:style w:type="paragraph" w:customStyle="1" w:styleId="237">
    <w:name w:val="Item List"/>
    <w:qFormat/>
    <w:uiPriority w:val="0"/>
    <w:pPr>
      <w:numPr>
        <w:ilvl w:val="0"/>
        <w:numId w:val="11"/>
      </w:numPr>
      <w:spacing w:line="300" w:lineRule="auto"/>
      <w:jc w:val="both"/>
    </w:pPr>
    <w:rPr>
      <w:rFonts w:ascii="Arial" w:hAnsi="Arial" w:eastAsia="宋体" w:cs="Times New Roman"/>
      <w:kern w:val="0"/>
      <w:sz w:val="21"/>
      <w:szCs w:val="20"/>
      <w:lang w:val="en-US" w:eastAsia="zh-CN" w:bidi="ar-SA"/>
    </w:rPr>
  </w:style>
  <w:style w:type="paragraph" w:customStyle="1" w:styleId="238">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39">
    <w:name w:val="_"/>
    <w:basedOn w:val="1"/>
    <w:qFormat/>
    <w:uiPriority w:val="0"/>
    <w:pPr>
      <w:adjustRightInd w:val="0"/>
      <w:ind w:left="480" w:firstLine="200" w:firstLineChars="200"/>
      <w:textAlignment w:val="baseline"/>
    </w:pPr>
    <w:rPr>
      <w:kern w:val="0"/>
    </w:rPr>
  </w:style>
  <w:style w:type="paragraph" w:customStyle="1" w:styleId="240">
    <w:name w:val="Title - Date"/>
    <w:basedOn w:val="55"/>
    <w:next w:val="1"/>
    <w:qFormat/>
    <w:uiPriority w:val="0"/>
    <w:rPr>
      <w:sz w:val="28"/>
    </w:rPr>
  </w:style>
  <w:style w:type="paragraph" w:customStyle="1" w:styleId="241">
    <w:name w:val="简单回函地址"/>
    <w:basedOn w:val="1"/>
    <w:qFormat/>
    <w:uiPriority w:val="0"/>
    <w:pPr>
      <w:adjustRightInd w:val="0"/>
    </w:pPr>
  </w:style>
  <w:style w:type="paragraph" w:customStyle="1" w:styleId="242">
    <w:name w:val="表头样式"/>
    <w:basedOn w:val="1"/>
    <w:qFormat/>
    <w:uiPriority w:val="0"/>
    <w:pPr>
      <w:autoSpaceDE w:val="0"/>
      <w:autoSpaceDN w:val="0"/>
      <w:adjustRightInd w:val="0"/>
      <w:jc w:val="left"/>
    </w:pPr>
    <w:rPr>
      <w:b/>
      <w:kern w:val="0"/>
      <w:sz w:val="21"/>
    </w:rPr>
  </w:style>
  <w:style w:type="paragraph" w:customStyle="1" w:styleId="243">
    <w:name w:val="一级条标题"/>
    <w:basedOn w:val="173"/>
    <w:next w:val="238"/>
    <w:qFormat/>
    <w:uiPriority w:val="0"/>
    <w:pPr>
      <w:numPr>
        <w:ilvl w:val="0"/>
        <w:numId w:val="0"/>
      </w:numPr>
      <w:ind w:left="525"/>
      <w:outlineLvl w:val="2"/>
    </w:pPr>
    <w:rPr>
      <w:sz w:val="21"/>
    </w:rPr>
  </w:style>
  <w:style w:type="paragraph" w:customStyle="1" w:styleId="244">
    <w:name w:val="文本框样式1"/>
    <w:basedOn w:val="1"/>
    <w:qFormat/>
    <w:uiPriority w:val="0"/>
    <w:pPr>
      <w:adjustRightInd w:val="0"/>
      <w:spacing w:line="180" w:lineRule="exact"/>
      <w:jc w:val="center"/>
    </w:pPr>
    <w:rPr>
      <w:sz w:val="21"/>
    </w:rPr>
  </w:style>
  <w:style w:type="paragraph" w:customStyle="1" w:styleId="245">
    <w:name w:val="Char Char Char Char Char"/>
    <w:basedOn w:val="1"/>
    <w:qFormat/>
    <w:uiPriority w:val="0"/>
    <w:pPr>
      <w:tabs>
        <w:tab w:val="left" w:pos="425"/>
      </w:tabs>
      <w:ind w:left="1620" w:hanging="360"/>
    </w:pPr>
    <w:rPr>
      <w:rFonts w:ascii="Tahoma" w:hAnsi="Tahoma"/>
    </w:rPr>
  </w:style>
  <w:style w:type="paragraph" w:customStyle="1" w:styleId="246">
    <w:name w:val="文档正文 Char Char Char Char Char"/>
    <w:basedOn w:val="1"/>
    <w:qFormat/>
    <w:uiPriority w:val="0"/>
    <w:pPr>
      <w:adjustRightInd w:val="0"/>
      <w:spacing w:line="440" w:lineRule="exact"/>
      <w:ind w:firstLine="420"/>
      <w:textAlignment w:val="baseline"/>
    </w:pPr>
    <w:rPr>
      <w:rFonts w:ascii="Arial Narrow" w:hAnsi="Arial Narrow"/>
      <w:kern w:val="0"/>
    </w:rPr>
  </w:style>
  <w:style w:type="paragraph" w:customStyle="1" w:styleId="247">
    <w:name w:val="Char1 Char Char Char1"/>
    <w:basedOn w:val="1"/>
    <w:qFormat/>
    <w:uiPriority w:val="0"/>
    <w:rPr>
      <w:rFonts w:ascii="Tahoma" w:hAnsi="Tahoma"/>
    </w:rPr>
  </w:style>
  <w:style w:type="paragraph" w:customStyle="1" w:styleId="248">
    <w:name w:val="表格内文字"/>
    <w:basedOn w:val="30"/>
    <w:qFormat/>
    <w:uiPriority w:val="0"/>
    <w:pPr>
      <w:adjustRightInd w:val="0"/>
    </w:pPr>
    <w:rPr>
      <w:color w:val="000000"/>
      <w:lang w:val="en-GB"/>
    </w:rPr>
  </w:style>
  <w:style w:type="paragraph" w:customStyle="1" w:styleId="249">
    <w:name w:val="文本1"/>
    <w:basedOn w:val="1"/>
    <w:qFormat/>
    <w:uiPriority w:val="0"/>
    <w:pPr>
      <w:adjustRightInd w:val="0"/>
      <w:spacing w:line="312" w:lineRule="atLeast"/>
      <w:jc w:val="center"/>
      <w:textAlignment w:val="baseline"/>
    </w:pPr>
    <w:rPr>
      <w:kern w:val="0"/>
      <w:sz w:val="18"/>
    </w:rPr>
  </w:style>
  <w:style w:type="paragraph" w:customStyle="1" w:styleId="250">
    <w:name w:val="二级条标题"/>
    <w:basedOn w:val="243"/>
    <w:next w:val="238"/>
    <w:qFormat/>
    <w:uiPriority w:val="0"/>
    <w:pPr>
      <w:ind w:left="840"/>
      <w:outlineLvl w:val="3"/>
    </w:pPr>
  </w:style>
  <w:style w:type="paragraph" w:customStyle="1" w:styleId="251">
    <w:name w:val="Char Char1 Char Char Char Char Char Char Char Char Char Char Char Char Char Char"/>
    <w:basedOn w:val="1"/>
    <w:qFormat/>
    <w:uiPriority w:val="0"/>
    <w:pPr>
      <w:widowControl/>
      <w:spacing w:line="240" w:lineRule="exact"/>
      <w:jc w:val="left"/>
    </w:pPr>
    <w:rPr>
      <w:rFonts w:ascii="Verdana" w:hAnsi="Verdana"/>
      <w:kern w:val="0"/>
      <w:sz w:val="20"/>
      <w:lang w:eastAsia="en-US"/>
    </w:rPr>
  </w:style>
  <w:style w:type="paragraph" w:customStyle="1" w:styleId="252">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53">
    <w:name w:val="Char11"/>
    <w:basedOn w:val="1"/>
    <w:qFormat/>
    <w:uiPriority w:val="0"/>
    <w:pPr>
      <w:spacing w:line="240" w:lineRule="atLeast"/>
      <w:ind w:left="420" w:firstLine="420"/>
    </w:pPr>
    <w:rPr>
      <w:kern w:val="0"/>
      <w:sz w:val="21"/>
    </w:rPr>
  </w:style>
  <w:style w:type="paragraph" w:customStyle="1" w:styleId="254">
    <w:name w:val="司法正文"/>
    <w:qFormat/>
    <w:uiPriority w:val="0"/>
    <w:pPr>
      <w:widowControl w:val="0"/>
      <w:ind w:firstLine="200" w:firstLineChars="200"/>
      <w:jc w:val="both"/>
    </w:pPr>
    <w:rPr>
      <w:rFonts w:ascii="Times New Roman" w:hAnsi="Times New Roman" w:eastAsia="仿宋_GB2312" w:cs="Times New Roman"/>
      <w:kern w:val="0"/>
      <w:sz w:val="32"/>
      <w:szCs w:val="20"/>
      <w:lang w:val="en-US" w:eastAsia="zh-CN" w:bidi="ar-SA"/>
    </w:rPr>
  </w:style>
  <w:style w:type="paragraph" w:customStyle="1" w:styleId="255">
    <w:name w:val="正文格式 Char"/>
    <w:basedOn w:val="1"/>
    <w:qFormat/>
    <w:uiPriority w:val="0"/>
    <w:pPr>
      <w:widowControl/>
      <w:adjustRightInd w:val="0"/>
      <w:spacing w:line="440" w:lineRule="atLeast"/>
      <w:ind w:firstLine="510"/>
      <w:textAlignment w:val="baseline"/>
    </w:pPr>
    <w:rPr>
      <w:kern w:val="0"/>
    </w:rPr>
  </w:style>
  <w:style w:type="paragraph" w:customStyle="1" w:styleId="256">
    <w:name w:val="BodyText1I"/>
    <w:basedOn w:val="192"/>
    <w:qFormat/>
    <w:uiPriority w:val="0"/>
    <w:pPr>
      <w:ind w:firstLine="420"/>
    </w:pPr>
    <w:rPr>
      <w:rFonts w:ascii="宋体" w:hAnsi="宋体"/>
      <w:sz w:val="24"/>
    </w:rPr>
  </w:style>
  <w:style w:type="paragraph" w:customStyle="1" w:styleId="257">
    <w:name w:val="样式 宋体 五号 行距: 单倍行距"/>
    <w:basedOn w:val="1"/>
    <w:qFormat/>
    <w:uiPriority w:val="0"/>
    <w:pPr>
      <w:adjustRightInd w:val="0"/>
      <w:jc w:val="left"/>
    </w:pPr>
    <w:rPr>
      <w:rFonts w:ascii="宋体" w:hAnsi="宋体"/>
      <w:kern w:val="0"/>
      <w:sz w:val="21"/>
    </w:rPr>
  </w:style>
  <w:style w:type="paragraph" w:customStyle="1" w:styleId="258">
    <w:name w:val="_Style 3"/>
    <w:basedOn w:val="1"/>
    <w:qFormat/>
    <w:uiPriority w:val="99"/>
    <w:pPr>
      <w:ind w:firstLine="420" w:firstLineChars="200"/>
    </w:pPr>
    <w:rPr>
      <w:sz w:val="21"/>
      <w:szCs w:val="24"/>
    </w:rPr>
  </w:style>
  <w:style w:type="paragraph" w:customStyle="1" w:styleId="259">
    <w:name w:val="表格文本"/>
    <w:qFormat/>
    <w:uiPriority w:val="0"/>
    <w:pPr>
      <w:tabs>
        <w:tab w:val="decimal" w:pos="0"/>
      </w:tabs>
    </w:pPr>
    <w:rPr>
      <w:rFonts w:ascii="Arial" w:hAnsi="Arial" w:eastAsia="宋体" w:cs="Times New Roman"/>
      <w:kern w:val="0"/>
      <w:sz w:val="21"/>
      <w:szCs w:val="20"/>
      <w:lang w:val="en-US" w:eastAsia="zh-CN" w:bidi="ar-SA"/>
    </w:rPr>
  </w:style>
  <w:style w:type="paragraph" w:customStyle="1" w:styleId="260">
    <w:name w:val="正文文本 21"/>
    <w:basedOn w:val="1"/>
    <w:qFormat/>
    <w:uiPriority w:val="0"/>
    <w:pPr>
      <w:adjustRightInd w:val="0"/>
      <w:ind w:firstLine="480"/>
      <w:textAlignment w:val="baseline"/>
    </w:pPr>
  </w:style>
  <w:style w:type="paragraph" w:customStyle="1" w:styleId="261">
    <w:name w:val="样式 样式 首行缩进:  2 字符 + 首行缩进:  2 字符"/>
    <w:basedOn w:val="1"/>
    <w:qFormat/>
    <w:uiPriority w:val="0"/>
    <w:pPr>
      <w:numPr>
        <w:ilvl w:val="0"/>
        <w:numId w:val="12"/>
      </w:numPr>
      <w:tabs>
        <w:tab w:val="clear" w:pos="1230"/>
      </w:tabs>
      <w:ind w:firstLine="480" w:firstLineChars="200"/>
    </w:pPr>
  </w:style>
  <w:style w:type="paragraph" w:customStyle="1" w:styleId="262">
    <w:name w:val="二级列表"/>
    <w:basedOn w:val="170"/>
    <w:next w:val="170"/>
    <w:qFormat/>
    <w:uiPriority w:val="0"/>
    <w:pPr>
      <w:tabs>
        <w:tab w:val="left" w:pos="2120"/>
      </w:tabs>
      <w:ind w:firstLine="0" w:firstLineChars="0"/>
    </w:pPr>
    <w:rPr>
      <w:b/>
    </w:rPr>
  </w:style>
  <w:style w:type="paragraph" w:customStyle="1" w:styleId="263">
    <w:name w:val="Char Char Char"/>
    <w:basedOn w:val="1"/>
    <w:qFormat/>
    <w:uiPriority w:val="0"/>
    <w:rPr>
      <w:rFonts w:ascii="Tahoma" w:hAnsi="Tahoma"/>
    </w:rPr>
  </w:style>
  <w:style w:type="paragraph" w:customStyle="1" w:styleId="264">
    <w:name w:val="Table Text Char Char"/>
    <w:qFormat/>
    <w:uiPriority w:val="0"/>
    <w:pPr>
      <w:snapToGrid w:val="0"/>
      <w:spacing w:before="80" w:after="80"/>
    </w:pPr>
    <w:rPr>
      <w:rFonts w:ascii="Arial" w:hAnsi="Arial" w:eastAsia="宋体" w:cs="Times New Roman"/>
      <w:kern w:val="2"/>
      <w:sz w:val="18"/>
      <w:szCs w:val="20"/>
      <w:lang w:val="en-US" w:eastAsia="zh-CN" w:bidi="ar-SA"/>
    </w:rPr>
  </w:style>
  <w:style w:type="paragraph" w:customStyle="1" w:styleId="265">
    <w:name w:val="Item Step in Table"/>
    <w:qFormat/>
    <w:uiPriority w:val="0"/>
    <w:pPr>
      <w:numPr>
        <w:ilvl w:val="0"/>
        <w:numId w:val="5"/>
      </w:numPr>
      <w:tabs>
        <w:tab w:val="left" w:pos="397"/>
      </w:tabs>
      <w:spacing w:before="40" w:after="40"/>
      <w:jc w:val="both"/>
    </w:pPr>
    <w:rPr>
      <w:rFonts w:ascii="Arial" w:hAnsi="Arial" w:eastAsia="宋体" w:cs="Times New Roman"/>
      <w:kern w:val="0"/>
      <w:sz w:val="18"/>
      <w:szCs w:val="20"/>
      <w:lang w:val="en-US" w:eastAsia="zh-CN" w:bidi="ar-SA"/>
    </w:rPr>
  </w:style>
  <w:style w:type="paragraph" w:customStyle="1" w:styleId="266">
    <w:name w:val="文章正文"/>
    <w:basedOn w:val="1"/>
    <w:qFormat/>
    <w:uiPriority w:val="0"/>
    <w:pPr>
      <w:ind w:firstLine="560" w:firstLineChars="200"/>
    </w:pPr>
    <w:rPr>
      <w:rFonts w:ascii="仿宋_GB2312" w:hAnsi="宋体" w:eastAsia="仿宋_GB2312"/>
      <w:color w:val="000000"/>
    </w:rPr>
  </w:style>
  <w:style w:type="paragraph" w:customStyle="1" w:styleId="267">
    <w:name w:val="Char Char Char Char Char Char Char1"/>
    <w:basedOn w:val="17"/>
    <w:qFormat/>
    <w:uiPriority w:val="0"/>
    <w:rPr>
      <w:rFonts w:ascii="宋体" w:hAnsi="Tahoma"/>
    </w:rPr>
  </w:style>
  <w:style w:type="paragraph" w:customStyle="1" w:styleId="268">
    <w:name w:val="bt"/>
    <w:basedOn w:val="1"/>
    <w:next w:val="22"/>
    <w:qFormat/>
    <w:uiPriority w:val="0"/>
    <w:pPr>
      <w:overflowPunct w:val="0"/>
      <w:autoSpaceDE w:val="0"/>
      <w:autoSpaceDN w:val="0"/>
      <w:adjustRightInd w:val="0"/>
      <w:spacing w:line="240" w:lineRule="atLeast"/>
      <w:ind w:left="2880" w:hanging="360"/>
      <w:textAlignment w:val="baseline"/>
    </w:pPr>
    <w:rPr>
      <w:rFonts w:ascii="宋体"/>
      <w:kern w:val="0"/>
      <w:sz w:val="20"/>
    </w:rPr>
  </w:style>
  <w:style w:type="paragraph" w:customStyle="1" w:styleId="269">
    <w:name w:val="正文表格"/>
    <w:basedOn w:val="1"/>
    <w:qFormat/>
    <w:uiPriority w:val="0"/>
    <w:pPr>
      <w:adjustRightInd w:val="0"/>
    </w:pPr>
  </w:style>
  <w:style w:type="paragraph" w:customStyle="1" w:styleId="270">
    <w:name w:val="普通正文"/>
    <w:basedOn w:val="1"/>
    <w:qFormat/>
    <w:uiPriority w:val="0"/>
    <w:pPr>
      <w:adjustRightInd w:val="0"/>
      <w:ind w:firstLine="480"/>
      <w:jc w:val="left"/>
      <w:textAlignment w:val="baseline"/>
    </w:pPr>
    <w:rPr>
      <w:rFonts w:ascii="Arial" w:hAnsi="Arial"/>
      <w:kern w:val="0"/>
    </w:rPr>
  </w:style>
  <w:style w:type="paragraph" w:customStyle="1" w:styleId="271">
    <w:name w:val="af"/>
    <w:basedOn w:val="1"/>
    <w:qFormat/>
    <w:uiPriority w:val="0"/>
    <w:pPr>
      <w:widowControl/>
      <w:spacing w:line="300" w:lineRule="atLeast"/>
      <w:jc w:val="left"/>
    </w:pPr>
    <w:rPr>
      <w:rFonts w:ascii="宋体" w:hAnsi="宋体"/>
      <w:kern w:val="0"/>
      <w:sz w:val="18"/>
    </w:rPr>
  </w:style>
  <w:style w:type="paragraph" w:customStyle="1" w:styleId="272">
    <w:name w:val="标题3——2"/>
    <w:basedOn w:val="4"/>
    <w:next w:val="57"/>
    <w:qFormat/>
    <w:uiPriority w:val="0"/>
    <w:pPr>
      <w:tabs>
        <w:tab w:val="left" w:pos="1280"/>
        <w:tab w:val="right" w:leader="dot" w:pos="8777"/>
      </w:tabs>
      <w:spacing w:beforeLines="100" w:line="240" w:lineRule="auto"/>
      <w:ind w:left="851" w:hanging="851"/>
      <w:outlineLvl w:val="9"/>
    </w:pPr>
    <w:rPr>
      <w:rFonts w:ascii="黑体" w:hAnsi="宋体" w:eastAsia="黑体"/>
      <w:sz w:val="30"/>
    </w:rPr>
  </w:style>
  <w:style w:type="paragraph" w:customStyle="1" w:styleId="273">
    <w:name w:val="Char Char Char Char Char Char Char Char Char Char Char Char Char Char Char Char"/>
    <w:basedOn w:val="1"/>
    <w:qFormat/>
    <w:uiPriority w:val="0"/>
    <w:pPr>
      <w:tabs>
        <w:tab w:val="left" w:pos="360"/>
      </w:tabs>
    </w:pPr>
  </w:style>
  <w:style w:type="paragraph" w:customStyle="1" w:styleId="274">
    <w:name w:val="首行缩进 1"/>
    <w:basedOn w:val="1"/>
    <w:qFormat/>
    <w:uiPriority w:val="0"/>
    <w:pPr>
      <w:ind w:firstLine="200" w:firstLineChars="200"/>
    </w:pPr>
  </w:style>
  <w:style w:type="paragraph" w:customStyle="1" w:styleId="275">
    <w:name w:val="首行缩进"/>
    <w:basedOn w:val="1"/>
    <w:qFormat/>
    <w:uiPriority w:val="0"/>
    <w:pPr>
      <w:numPr>
        <w:ilvl w:val="0"/>
        <w:numId w:val="13"/>
      </w:numPr>
    </w:pPr>
    <w:rPr>
      <w:rFonts w:eastAsia="仿宋_GB2312"/>
    </w:rPr>
  </w:style>
  <w:style w:type="paragraph" w:customStyle="1" w:styleId="276">
    <w:name w:val="Char Char 字元 字元 字元 Char Char Char Char"/>
    <w:basedOn w:val="1"/>
    <w:qFormat/>
    <w:uiPriority w:val="0"/>
    <w:pPr>
      <w:adjustRightInd w:val="0"/>
    </w:pPr>
    <w:rPr>
      <w:kern w:val="0"/>
    </w:rPr>
  </w:style>
  <w:style w:type="paragraph" w:customStyle="1" w:styleId="277">
    <w:name w:val="Table Text Char1"/>
    <w:qFormat/>
    <w:uiPriority w:val="0"/>
    <w:pPr>
      <w:snapToGrid w:val="0"/>
      <w:spacing w:before="80" w:after="80"/>
    </w:pPr>
    <w:rPr>
      <w:rFonts w:ascii="Arial" w:hAnsi="Arial" w:eastAsia="宋体" w:cs="Times New Roman"/>
      <w:kern w:val="2"/>
      <w:sz w:val="18"/>
      <w:szCs w:val="20"/>
      <w:lang w:val="en-US" w:eastAsia="zh-CN" w:bidi="ar-SA"/>
    </w:rPr>
  </w:style>
  <w:style w:type="paragraph" w:customStyle="1" w:styleId="278">
    <w:name w:val="xl40"/>
    <w:basedOn w:val="1"/>
    <w:qFormat/>
    <w:uiPriority w:val="0"/>
    <w:pPr>
      <w:widowControl/>
      <w:pBdr>
        <w:left w:val="single" w:color="auto" w:sz="4" w:space="0"/>
        <w:right w:val="single" w:color="auto" w:sz="4" w:space="0"/>
      </w:pBdr>
      <w:spacing w:beforeAutospacing="1" w:afterAutospacing="1"/>
      <w:jc w:val="center"/>
    </w:pPr>
    <w:rPr>
      <w:rFonts w:ascii="宋体" w:hAnsi="宋体"/>
      <w:kern w:val="0"/>
    </w:rPr>
  </w:style>
  <w:style w:type="paragraph" w:customStyle="1" w:styleId="279">
    <w:name w:val="Body text|1"/>
    <w:basedOn w:val="1"/>
    <w:qFormat/>
    <w:uiPriority w:val="0"/>
    <w:pPr>
      <w:spacing w:line="439" w:lineRule="auto"/>
      <w:ind w:firstLine="400"/>
    </w:pPr>
    <w:rPr>
      <w:rFonts w:ascii="宋体" w:hAnsi="宋体" w:cs="宋体"/>
      <w:sz w:val="22"/>
      <w:szCs w:val="22"/>
      <w:lang w:val="zh-TW" w:eastAsia="zh-TW" w:bidi="zh-TW"/>
    </w:rPr>
  </w:style>
  <w:style w:type="paragraph" w:customStyle="1" w:styleId="280">
    <w:name w:val="表头文本"/>
    <w:qFormat/>
    <w:uiPriority w:val="0"/>
    <w:pPr>
      <w:jc w:val="center"/>
    </w:pPr>
    <w:rPr>
      <w:rFonts w:ascii="Arial" w:hAnsi="Arial" w:eastAsia="宋体" w:cs="Times New Roman"/>
      <w:b/>
      <w:kern w:val="0"/>
      <w:sz w:val="21"/>
      <w:szCs w:val="20"/>
      <w:lang w:val="en-US" w:eastAsia="zh-CN" w:bidi="ar-SA"/>
    </w:rPr>
  </w:style>
  <w:style w:type="paragraph" w:customStyle="1" w:styleId="281">
    <w:name w:val="摘要"/>
    <w:basedOn w:val="1"/>
    <w:next w:val="3"/>
    <w:qFormat/>
    <w:uiPriority w:val="0"/>
    <w:rPr>
      <w:rFonts w:eastAsia="黑体"/>
      <w:sz w:val="20"/>
    </w:rPr>
  </w:style>
  <w:style w:type="paragraph" w:customStyle="1" w:styleId="282">
    <w:name w:val="正文格式"/>
    <w:basedOn w:val="1"/>
    <w:qFormat/>
    <w:uiPriority w:val="0"/>
    <w:pPr>
      <w:widowControl/>
      <w:adjustRightInd w:val="0"/>
      <w:ind w:firstLine="480" w:firstLineChars="200"/>
      <w:jc w:val="left"/>
      <w:textAlignment w:val="baseline"/>
    </w:pPr>
    <w:rPr>
      <w:rFonts w:ascii="宋体" w:hAnsi="宋体"/>
      <w:color w:val="000000"/>
      <w:kern w:val="0"/>
    </w:rPr>
  </w:style>
  <w:style w:type="paragraph" w:customStyle="1" w:styleId="283">
    <w:name w:val="Char Char14 Char Char"/>
    <w:basedOn w:val="1"/>
    <w:qFormat/>
    <w:uiPriority w:val="0"/>
    <w:rPr>
      <w:sz w:val="21"/>
      <w:szCs w:val="24"/>
    </w:rPr>
  </w:style>
  <w:style w:type="paragraph" w:customStyle="1" w:styleId="284">
    <w:name w:val="CSS1级正文 Char"/>
    <w:basedOn w:val="22"/>
    <w:qFormat/>
    <w:uiPriority w:val="0"/>
    <w:pPr>
      <w:adjustRightInd w:val="0"/>
      <w:ind w:firstLine="480"/>
    </w:pPr>
    <w:rPr>
      <w:rFonts w:ascii="Times New Roman" w:eastAsia="宋体"/>
      <w:sz w:val="24"/>
    </w:rPr>
  </w:style>
  <w:style w:type="paragraph" w:customStyle="1" w:styleId="285">
    <w:name w:val="标题5"/>
    <w:basedOn w:val="1"/>
    <w:qFormat/>
    <w:uiPriority w:val="0"/>
    <w:pPr>
      <w:tabs>
        <w:tab w:val="left" w:pos="0"/>
      </w:tabs>
      <w:autoSpaceDE w:val="0"/>
      <w:autoSpaceDN w:val="0"/>
      <w:adjustRightInd w:val="0"/>
      <w:spacing w:line="320" w:lineRule="atLeast"/>
    </w:pPr>
    <w:rPr>
      <w:rFonts w:ascii="宋体"/>
      <w:kern w:val="0"/>
      <w:sz w:val="21"/>
    </w:rPr>
  </w:style>
  <w:style w:type="paragraph" w:customStyle="1" w:styleId="286">
    <w:name w:val="内容标题"/>
    <w:basedOn w:val="17"/>
    <w:qFormat/>
    <w:uiPriority w:val="0"/>
    <w:rPr>
      <w:rFonts w:ascii="Tahoma" w:hAnsi="Tahoma"/>
    </w:rPr>
  </w:style>
  <w:style w:type="character" w:customStyle="1" w:styleId="287">
    <w:name w:val="Unresolved Mention"/>
    <w:unhideWhenUsed/>
    <w:qFormat/>
    <w:uiPriority w:val="99"/>
    <w:rPr>
      <w:color w:val="605E5C"/>
      <w:shd w:val="clear" w:color="auto" w:fill="E1DFDD"/>
    </w:rPr>
  </w:style>
  <w:style w:type="paragraph" w:customStyle="1" w:styleId="288">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18921</Words>
  <Characters>19532</Characters>
  <Lines>158</Lines>
  <Paragraphs>44</Paragraphs>
  <TotalTime>16</TotalTime>
  <ScaleCrop>false</ScaleCrop>
  <LinksUpToDate>false</LinksUpToDate>
  <CharactersWithSpaces>20223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2024-11-22T02:53:00Z</dcterms:created>
  <dc:creator>佐学 刘</dc:creator>
  <cp:lastModifiedBy>招标代理公司</cp:lastModifiedBy>
  <cp:lastPrinted>2025-10-10T06:32:00Z</cp:lastPrinted>
  <dcterms:modified xsi:type="dcterms:W3CDTF">2025-10-11T08:11:42Z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eyJoZGlkIjoiOTE0NGVkYmNhODMyODYwZDIyZTUzODQ1YWE4OGZmMTQiLCJ1c2VySWQiOiI4NzMzNjUxMTAifQ==</vt:lpwstr>
  </property>
  <property fmtid="{D5CDD505-2E9C-101B-9397-08002B2CF9AE}" pid="3" name="KSOProductBuildVer">
    <vt:lpwstr>2052-12.1.0.22529</vt:lpwstr>
  </property>
  <property fmtid="{D5CDD505-2E9C-101B-9397-08002B2CF9AE}" pid="4" name="ICV">
    <vt:lpwstr>B4FECC6C3CF34F419D52C790E6406A68_13</vt:lpwstr>
  </property>
</Properties>
</file>