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5A51F3">
      <w:pPr>
        <w:pStyle w:val="12"/>
        <w:spacing w:line="360" w:lineRule="auto"/>
        <w:ind w:left="0"/>
        <w:jc w:val="center"/>
        <w:rPr>
          <w:rFonts w:hint="eastAsia" w:ascii="宋体" w:hAnsi="宋体" w:eastAsia="宋体" w:cs="宋体"/>
          <w:color w:val="auto"/>
          <w:sz w:val="15"/>
          <w:szCs w:val="15"/>
          <w:highlight w:val="none"/>
        </w:rPr>
      </w:pPr>
    </w:p>
    <w:p w14:paraId="61644D84">
      <w:pPr>
        <w:pStyle w:val="4"/>
        <w:keepNext w:val="0"/>
        <w:keepLines w:val="0"/>
        <w:widowControl/>
        <w:suppressLineNumbers w:val="0"/>
        <w:spacing w:before="0" w:beforeAutospacing="0" w:after="0" w:afterAutospacing="0" w:line="360" w:lineRule="auto"/>
        <w:ind w:left="0" w:right="0"/>
        <w:jc w:val="center"/>
        <w:outlineLvl w:val="9"/>
        <w:rPr>
          <w:rFonts w:hint="eastAsia" w:ascii="宋体" w:hAnsi="宋体" w:eastAsia="宋体" w:cs="宋体"/>
          <w:b w:val="0"/>
          <w:color w:val="auto"/>
          <w:kern w:val="2"/>
          <w:sz w:val="36"/>
          <w:szCs w:val="36"/>
          <w:highlight w:val="none"/>
          <w:lang w:val="en-US" w:eastAsia="zh-CN" w:bidi="ar-SA"/>
        </w:rPr>
      </w:pPr>
    </w:p>
    <w:p w14:paraId="171C9597">
      <w:pPr>
        <w:pStyle w:val="12"/>
        <w:spacing w:line="360" w:lineRule="auto"/>
        <w:ind w:left="0" w:leftChars="0" w:firstLine="0" w:firstLineChars="0"/>
        <w:jc w:val="center"/>
        <w:outlineLvl w:val="0"/>
        <w:rPr>
          <w:rFonts w:hint="eastAsia" w:ascii="宋体" w:hAnsi="宋体" w:eastAsia="宋体" w:cs="宋体"/>
          <w:b/>
          <w:bCs/>
          <w:color w:val="auto"/>
          <w:kern w:val="2"/>
          <w:sz w:val="48"/>
          <w:szCs w:val="48"/>
          <w:highlight w:val="none"/>
          <w:lang w:val="en-US" w:eastAsia="zh-CN" w:bidi="ar-SA"/>
        </w:rPr>
      </w:pPr>
      <w:r>
        <w:rPr>
          <w:rFonts w:hint="eastAsia" w:ascii="宋体" w:hAnsi="宋体" w:eastAsia="宋体" w:cs="宋体"/>
          <w:b/>
          <w:bCs/>
          <w:color w:val="auto"/>
          <w:kern w:val="2"/>
          <w:sz w:val="48"/>
          <w:szCs w:val="48"/>
          <w:highlight w:val="none"/>
          <w:lang w:val="en-US" w:eastAsia="zh-CN" w:bidi="ar-SA"/>
        </w:rPr>
        <w:t>酉阳土家族苗族自治县兴隆初级中学校校园超市供应商项目</w:t>
      </w:r>
    </w:p>
    <w:p w14:paraId="547337C2">
      <w:pPr>
        <w:adjustRightInd w:val="0"/>
        <w:spacing w:line="360" w:lineRule="auto"/>
        <w:jc w:val="both"/>
        <w:rPr>
          <w:rFonts w:hint="eastAsia" w:ascii="宋体" w:hAnsi="宋体" w:eastAsia="宋体" w:cs="宋体"/>
          <w:b/>
          <w:color w:val="auto"/>
          <w:sz w:val="96"/>
          <w:szCs w:val="96"/>
          <w:highlight w:val="none"/>
        </w:rPr>
      </w:pPr>
    </w:p>
    <w:p w14:paraId="65AA649E">
      <w:pPr>
        <w:adjustRightInd w:val="0"/>
        <w:spacing w:line="360" w:lineRule="auto"/>
        <w:jc w:val="both"/>
        <w:rPr>
          <w:rFonts w:hint="eastAsia" w:ascii="宋体" w:hAnsi="宋体" w:eastAsia="宋体" w:cs="宋体"/>
          <w:b/>
          <w:color w:val="auto"/>
          <w:sz w:val="96"/>
          <w:szCs w:val="96"/>
          <w:highlight w:val="none"/>
        </w:rPr>
      </w:pPr>
    </w:p>
    <w:p w14:paraId="7B31319C">
      <w:pPr>
        <w:adjustRightInd w:val="0"/>
        <w:spacing w:line="360" w:lineRule="auto"/>
        <w:jc w:val="center"/>
        <w:outlineLvl w:val="0"/>
        <w:rPr>
          <w:rFonts w:hint="eastAsia" w:ascii="宋体" w:hAnsi="宋体" w:eastAsia="宋体" w:cs="宋体"/>
          <w:b/>
          <w:color w:val="auto"/>
          <w:sz w:val="96"/>
          <w:szCs w:val="96"/>
          <w:highlight w:val="none"/>
        </w:rPr>
      </w:pPr>
      <w:bookmarkStart w:id="0" w:name="_Toc21687"/>
      <w:bookmarkStart w:id="1" w:name="_Toc30863"/>
      <w:bookmarkStart w:id="2" w:name="_Toc8337"/>
      <w:bookmarkStart w:id="3" w:name="_Toc9418"/>
      <w:bookmarkStart w:id="4" w:name="_Toc22782"/>
      <w:r>
        <w:rPr>
          <w:rFonts w:hint="eastAsia" w:ascii="宋体" w:hAnsi="宋体" w:eastAsia="宋体" w:cs="宋体"/>
          <w:b/>
          <w:color w:val="auto"/>
          <w:sz w:val="96"/>
          <w:szCs w:val="96"/>
          <w:highlight w:val="none"/>
        </w:rPr>
        <w:t>竞争性比选文件</w:t>
      </w:r>
      <w:bookmarkEnd w:id="0"/>
      <w:bookmarkEnd w:id="1"/>
      <w:bookmarkEnd w:id="2"/>
      <w:bookmarkEnd w:id="3"/>
      <w:bookmarkEnd w:id="4"/>
    </w:p>
    <w:p w14:paraId="4A424638">
      <w:pPr>
        <w:adjustRightInd w:val="0"/>
        <w:spacing w:line="360" w:lineRule="auto"/>
        <w:jc w:val="center"/>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项目编号：CQDYCYY-2025-05</w:t>
      </w:r>
    </w:p>
    <w:p w14:paraId="108AA526">
      <w:pPr>
        <w:pStyle w:val="4"/>
        <w:spacing w:line="360" w:lineRule="auto"/>
        <w:jc w:val="both"/>
        <w:outlineLvl w:val="9"/>
        <w:rPr>
          <w:rFonts w:hint="eastAsia" w:ascii="宋体" w:hAnsi="宋体" w:eastAsia="宋体" w:cs="宋体"/>
          <w:color w:val="auto"/>
          <w:highlight w:val="none"/>
        </w:rPr>
      </w:pPr>
    </w:p>
    <w:p w14:paraId="7AF856FB">
      <w:pPr>
        <w:pStyle w:val="11"/>
        <w:spacing w:line="360" w:lineRule="auto"/>
        <w:rPr>
          <w:rFonts w:hint="eastAsia" w:ascii="宋体" w:hAnsi="宋体" w:eastAsia="宋体" w:cs="宋体"/>
          <w:color w:val="auto"/>
          <w:sz w:val="32"/>
          <w:highlight w:val="none"/>
        </w:rPr>
      </w:pPr>
    </w:p>
    <w:p w14:paraId="15D78B3E">
      <w:pPr>
        <w:spacing w:line="360" w:lineRule="auto"/>
        <w:rPr>
          <w:rFonts w:hint="eastAsia" w:ascii="宋体" w:hAnsi="宋体" w:eastAsia="宋体" w:cs="宋体"/>
          <w:color w:val="auto"/>
        </w:rPr>
      </w:pPr>
    </w:p>
    <w:p w14:paraId="52AB7C6C">
      <w:pPr>
        <w:keepNext w:val="0"/>
        <w:keepLines w:val="0"/>
        <w:pageBreakBefore w:val="0"/>
        <w:widowControl w:val="0"/>
        <w:kinsoku/>
        <w:wordWrap/>
        <w:overflowPunct/>
        <w:topLinePunct w:val="0"/>
        <w:autoSpaceDE/>
        <w:autoSpaceDN/>
        <w:bidi w:val="0"/>
        <w:adjustRightInd/>
        <w:spacing w:line="360" w:lineRule="auto"/>
        <w:jc w:val="center"/>
        <w:textAlignment w:val="auto"/>
        <w:outlineLvl w:val="0"/>
        <w:rPr>
          <w:rFonts w:hint="eastAsia" w:ascii="宋体" w:hAnsi="宋体" w:eastAsia="宋体" w:cs="宋体"/>
          <w:b/>
          <w:bCs/>
          <w:color w:val="auto"/>
          <w:kern w:val="2"/>
          <w:sz w:val="32"/>
          <w:szCs w:val="22"/>
          <w:highlight w:val="none"/>
          <w:lang w:val="en-US" w:eastAsia="zh-CN" w:bidi="ar-SA"/>
        </w:rPr>
      </w:pPr>
      <w:bookmarkStart w:id="5" w:name="_Toc30793"/>
      <w:bookmarkStart w:id="6" w:name="_Toc31909"/>
      <w:bookmarkStart w:id="7" w:name="_Toc4205"/>
      <w:bookmarkStart w:id="8" w:name="_Toc4991"/>
      <w:bookmarkStart w:id="9" w:name="_Toc4516"/>
    </w:p>
    <w:p w14:paraId="481D4B0C">
      <w:pPr>
        <w:keepNext w:val="0"/>
        <w:keepLines w:val="0"/>
        <w:pageBreakBefore w:val="0"/>
        <w:widowControl w:val="0"/>
        <w:kinsoku/>
        <w:wordWrap/>
        <w:overflowPunct/>
        <w:topLinePunct w:val="0"/>
        <w:autoSpaceDE/>
        <w:autoSpaceDN/>
        <w:bidi w:val="0"/>
        <w:adjustRightInd/>
        <w:spacing w:line="360" w:lineRule="auto"/>
        <w:jc w:val="center"/>
        <w:textAlignment w:val="auto"/>
        <w:outlineLvl w:val="0"/>
        <w:rPr>
          <w:rFonts w:hint="eastAsia" w:ascii="宋体" w:hAnsi="宋体" w:eastAsia="宋体" w:cs="宋体"/>
          <w:b/>
          <w:bCs/>
          <w:color w:val="auto"/>
          <w:sz w:val="36"/>
          <w:szCs w:val="36"/>
          <w:highlight w:val="none"/>
        </w:rPr>
      </w:pPr>
      <w:r>
        <w:rPr>
          <w:rFonts w:hint="eastAsia" w:ascii="宋体" w:hAnsi="宋体" w:eastAsia="宋体" w:cs="宋体"/>
          <w:b/>
          <w:bCs/>
          <w:color w:val="auto"/>
          <w:kern w:val="2"/>
          <w:sz w:val="32"/>
          <w:szCs w:val="22"/>
          <w:highlight w:val="none"/>
          <w:lang w:val="en-US" w:eastAsia="zh-CN" w:bidi="ar-SA"/>
        </w:rPr>
        <w:t>采购人：酉阳土家族苗族自治县兴隆初级中学校</w:t>
      </w:r>
      <w:bookmarkEnd w:id="5"/>
      <w:bookmarkEnd w:id="6"/>
      <w:bookmarkEnd w:id="7"/>
      <w:bookmarkEnd w:id="8"/>
      <w:bookmarkEnd w:id="9"/>
    </w:p>
    <w:p w14:paraId="7B406B3F">
      <w:pPr>
        <w:keepNext w:val="0"/>
        <w:keepLines w:val="0"/>
        <w:pageBreakBefore w:val="0"/>
        <w:widowControl w:val="0"/>
        <w:kinsoku/>
        <w:wordWrap/>
        <w:overflowPunct/>
        <w:topLinePunct w:val="0"/>
        <w:autoSpaceDE/>
        <w:autoSpaceDN/>
        <w:bidi w:val="0"/>
        <w:adjustRightInd/>
        <w:spacing w:line="360" w:lineRule="auto"/>
        <w:ind w:firstLine="964" w:firstLineChars="300"/>
        <w:jc w:val="both"/>
        <w:textAlignment w:val="auto"/>
        <w:outlineLvl w:val="0"/>
        <w:rPr>
          <w:rFonts w:hint="eastAsia" w:ascii="宋体" w:hAnsi="宋体" w:eastAsia="宋体" w:cs="宋体"/>
          <w:b/>
          <w:bCs/>
          <w:color w:val="auto"/>
          <w:kern w:val="2"/>
          <w:sz w:val="32"/>
          <w:szCs w:val="22"/>
          <w:highlight w:val="none"/>
          <w:lang w:val="en-US" w:eastAsia="zh-CN" w:bidi="ar-SA"/>
        </w:rPr>
      </w:pPr>
      <w:bookmarkStart w:id="10" w:name="_Toc6518"/>
      <w:bookmarkStart w:id="11" w:name="_Toc23917"/>
      <w:bookmarkStart w:id="12" w:name="_Toc26478"/>
      <w:bookmarkStart w:id="13" w:name="_Toc10309"/>
      <w:bookmarkStart w:id="14" w:name="_Toc11961"/>
      <w:r>
        <w:rPr>
          <w:rFonts w:hint="eastAsia" w:ascii="宋体" w:hAnsi="宋体" w:eastAsia="宋体" w:cs="宋体"/>
          <w:b/>
          <w:bCs/>
          <w:color w:val="auto"/>
          <w:kern w:val="2"/>
          <w:sz w:val="32"/>
          <w:szCs w:val="22"/>
          <w:highlight w:val="none"/>
          <w:lang w:val="en-US" w:eastAsia="zh-CN" w:bidi="ar-SA"/>
        </w:rPr>
        <w:t>采购代理机构：重庆钓鱼城建设监理咨询有限公司</w:t>
      </w:r>
      <w:bookmarkEnd w:id="10"/>
      <w:bookmarkEnd w:id="11"/>
      <w:bookmarkEnd w:id="12"/>
      <w:bookmarkEnd w:id="13"/>
      <w:bookmarkEnd w:id="14"/>
    </w:p>
    <w:p w14:paraId="73B02A8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44"/>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964" w:footer="992" w:gutter="0"/>
          <w:pgNumType w:fmt="decimal" w:start="1"/>
          <w:cols w:space="720" w:num="1"/>
          <w:titlePg/>
          <w:docGrid w:linePitch="312" w:charSpace="0"/>
        </w:sectPr>
      </w:pPr>
      <w:r>
        <w:rPr>
          <w:rFonts w:hint="eastAsia" w:ascii="宋体" w:hAnsi="宋体" w:eastAsia="宋体" w:cs="宋体"/>
          <w:b/>
          <w:bCs/>
          <w:color w:val="auto"/>
          <w:kern w:val="2"/>
          <w:sz w:val="32"/>
          <w:szCs w:val="22"/>
          <w:highlight w:val="none"/>
          <w:lang w:val="en-US" w:eastAsia="zh-CN" w:bidi="ar-SA"/>
        </w:rPr>
        <w:t>二〇二五年三月</w:t>
      </w:r>
    </w:p>
    <w:sdt>
      <w:sdtPr>
        <w:rPr>
          <w:rFonts w:hint="eastAsia" w:ascii="宋体" w:hAnsi="宋体" w:eastAsia="宋体" w:cs="宋体"/>
          <w:b/>
          <w:bCs/>
          <w:color w:val="auto"/>
          <w:sz w:val="48"/>
          <w:szCs w:val="24"/>
          <w:lang w:val="en-US" w:eastAsia="zh-CN"/>
        </w:rPr>
        <w:id w:val="147476153"/>
        <w15:color w:val="DBDBDB"/>
        <w:docPartObj>
          <w:docPartGallery w:val="Table of Contents"/>
          <w:docPartUnique/>
        </w:docPartObj>
      </w:sdtPr>
      <w:sdtEndPr>
        <w:rPr>
          <w:rFonts w:hint="eastAsia" w:ascii="宋体" w:hAnsi="宋体" w:eastAsia="宋体" w:cs="宋体"/>
          <w:b/>
          <w:bCs/>
          <w:color w:val="auto"/>
          <w:sz w:val="24"/>
          <w:szCs w:val="28"/>
          <w:lang w:val="en-US" w:eastAsia="zh-CN"/>
        </w:rPr>
      </w:sdtEndPr>
      <w:sdtContent>
        <w:p w14:paraId="7A1682F1">
          <w:pPr>
            <w:pStyle w:val="11"/>
            <w:rPr>
              <w:rFonts w:hint="eastAsia" w:ascii="宋体" w:hAnsi="宋体" w:eastAsia="宋体" w:cs="宋体"/>
              <w:color w:val="auto"/>
            </w:rPr>
          </w:pPr>
        </w:p>
        <w:p w14:paraId="670D84C1">
          <w:pPr>
            <w:snapToGrid w:val="0"/>
            <w:spacing w:line="500" w:lineRule="exact"/>
            <w:jc w:val="center"/>
            <w:rPr>
              <w:rFonts w:hint="eastAsia" w:ascii="宋体" w:hAnsi="宋体" w:eastAsia="宋体" w:cs="宋体"/>
              <w:color w:val="auto"/>
              <w:sz w:val="44"/>
              <w:highlight w:val="none"/>
            </w:rPr>
          </w:pPr>
          <w:r>
            <w:rPr>
              <w:rFonts w:hint="eastAsia" w:ascii="宋体" w:hAnsi="宋体" w:eastAsia="宋体" w:cs="宋体"/>
              <w:color w:val="auto"/>
              <w:sz w:val="44"/>
              <w:highlight w:val="none"/>
            </w:rPr>
            <w:t>目  录</w:t>
          </w:r>
        </w:p>
        <w:p w14:paraId="12D5D83E">
          <w:pPr>
            <w:pStyle w:val="11"/>
            <w:rPr>
              <w:rFonts w:hint="eastAsia" w:ascii="宋体" w:hAnsi="宋体" w:eastAsia="宋体" w:cs="宋体"/>
              <w:color w:val="auto"/>
            </w:rPr>
          </w:pPr>
        </w:p>
        <w:p w14:paraId="240AC805">
          <w:pPr>
            <w:rPr>
              <w:rFonts w:hint="eastAsia" w:ascii="宋体" w:hAnsi="宋体" w:eastAsia="宋体" w:cs="宋体"/>
              <w:color w:val="auto"/>
            </w:rPr>
          </w:pPr>
        </w:p>
        <w:p w14:paraId="01E12074">
          <w:pPr>
            <w:pStyle w:val="20"/>
            <w:tabs>
              <w:tab w:val="right" w:leader="dot" w:pos="9412"/>
              <w:tab w:val="clear" w:pos="1260"/>
              <w:tab w:val="clear" w:pos="1685"/>
              <w:tab w:val="clear" w:pos="8400"/>
            </w:tabs>
            <w:ind w:firstLine="240"/>
            <w:rPr>
              <w:rFonts w:hint="eastAsia" w:ascii="宋体" w:hAnsi="宋体" w:eastAsia="宋体" w:cs="宋体"/>
              <w:color w:val="auto"/>
              <w:sz w:val="24"/>
              <w:szCs w:val="24"/>
              <w:highlight w:val="none"/>
            </w:rPr>
          </w:pPr>
        </w:p>
        <w:p w14:paraId="390A0A3B">
          <w:pPr>
            <w:pStyle w:val="20"/>
            <w:tabs>
              <w:tab w:val="right" w:leader="dot" w:pos="9639"/>
              <w:tab w:val="clear" w:pos="1260"/>
              <w:tab w:val="clear" w:pos="1685"/>
              <w:tab w:val="clear" w:pos="8400"/>
            </w:tabs>
            <w:rPr>
              <w:rFonts w:hint="eastAsia" w:ascii="宋体" w:hAnsi="宋体" w:eastAsia="宋体" w:cs="宋体"/>
              <w:color w:val="auto"/>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TOC \o "1-2" \h \z </w:instrText>
          </w:r>
          <w:r>
            <w:rPr>
              <w:rFonts w:hint="eastAsia" w:ascii="宋体" w:hAnsi="宋体" w:eastAsia="宋体" w:cs="宋体"/>
              <w:color w:val="auto"/>
              <w:sz w:val="24"/>
              <w:szCs w:val="24"/>
              <w:highlight w:val="none"/>
            </w:rPr>
            <w:fldChar w:fldCharType="separate"/>
          </w:r>
          <w:r>
            <w:rPr>
              <w:rFonts w:hint="eastAsia" w:ascii="宋体" w:hAnsi="宋体" w:eastAsia="宋体" w:cs="宋体"/>
              <w:b/>
              <w:bCs/>
              <w:color w:val="auto"/>
              <w:szCs w:val="24"/>
              <w:highlight w:val="none"/>
            </w:rPr>
            <w:fldChar w:fldCharType="begin"/>
          </w:r>
          <w:r>
            <w:rPr>
              <w:rFonts w:hint="eastAsia" w:ascii="宋体" w:hAnsi="宋体" w:eastAsia="宋体" w:cs="宋体"/>
              <w:b/>
              <w:bCs/>
              <w:color w:val="auto"/>
              <w:szCs w:val="24"/>
              <w:highlight w:val="none"/>
            </w:rPr>
            <w:instrText xml:space="preserve"> HYPERLINK \l _Toc22665 </w:instrText>
          </w:r>
          <w:r>
            <w:rPr>
              <w:rFonts w:hint="eastAsia" w:ascii="宋体" w:hAnsi="宋体" w:eastAsia="宋体" w:cs="宋体"/>
              <w:b/>
              <w:bCs/>
              <w:color w:val="auto"/>
              <w:szCs w:val="24"/>
              <w:highlight w:val="none"/>
            </w:rPr>
            <w:fldChar w:fldCharType="separate"/>
          </w:r>
          <w:r>
            <w:rPr>
              <w:rFonts w:hint="eastAsia" w:ascii="宋体" w:hAnsi="宋体" w:eastAsia="宋体" w:cs="宋体"/>
              <w:b/>
              <w:bCs/>
              <w:color w:val="auto"/>
              <w:szCs w:val="52"/>
              <w:highlight w:val="none"/>
            </w:rPr>
            <w:t xml:space="preserve">第一篇  </w:t>
          </w:r>
          <w:r>
            <w:rPr>
              <w:rFonts w:hint="eastAsia" w:ascii="宋体" w:hAnsi="宋体" w:eastAsia="宋体" w:cs="宋体"/>
              <w:b/>
              <w:bCs/>
              <w:color w:val="auto"/>
              <w:szCs w:val="52"/>
              <w:highlight w:val="none"/>
              <w:lang w:eastAsia="zh-CN"/>
            </w:rPr>
            <w:t>比选</w:t>
          </w:r>
          <w:r>
            <w:rPr>
              <w:rFonts w:hint="eastAsia" w:ascii="宋体" w:hAnsi="宋体" w:eastAsia="宋体" w:cs="宋体"/>
              <w:b/>
              <w:bCs/>
              <w:color w:val="auto"/>
              <w:szCs w:val="52"/>
              <w:highlight w:val="none"/>
            </w:rPr>
            <w:t>邀请书</w:t>
          </w:r>
          <w:r>
            <w:rPr>
              <w:rFonts w:hint="eastAsia" w:ascii="宋体" w:hAnsi="宋体" w:eastAsia="宋体" w:cs="宋体"/>
              <w:b/>
              <w:bCs/>
              <w:color w:val="auto"/>
            </w:rPr>
            <w:tab/>
          </w: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PAGEREF _Toc22665 \h </w:instrText>
          </w:r>
          <w:r>
            <w:rPr>
              <w:rFonts w:hint="eastAsia" w:ascii="宋体" w:hAnsi="宋体" w:eastAsia="宋体" w:cs="宋体"/>
              <w:b/>
              <w:bCs/>
              <w:color w:val="auto"/>
            </w:rPr>
            <w:fldChar w:fldCharType="separate"/>
          </w:r>
          <w:r>
            <w:rPr>
              <w:rFonts w:hint="eastAsia" w:ascii="宋体" w:hAnsi="宋体" w:eastAsia="宋体" w:cs="宋体"/>
              <w:b/>
              <w:bCs/>
              <w:color w:val="auto"/>
            </w:rPr>
            <w:t>3</w:t>
          </w:r>
          <w:r>
            <w:rPr>
              <w:rFonts w:hint="eastAsia" w:ascii="宋体" w:hAnsi="宋体" w:eastAsia="宋体" w:cs="宋体"/>
              <w:b/>
              <w:bCs/>
              <w:color w:val="auto"/>
            </w:rPr>
            <w:fldChar w:fldCharType="end"/>
          </w:r>
          <w:r>
            <w:rPr>
              <w:rFonts w:hint="eastAsia" w:ascii="宋体" w:hAnsi="宋体" w:eastAsia="宋体" w:cs="宋体"/>
              <w:b/>
              <w:bCs/>
              <w:color w:val="auto"/>
              <w:szCs w:val="24"/>
              <w:highlight w:val="none"/>
            </w:rPr>
            <w:fldChar w:fldCharType="end"/>
          </w:r>
        </w:p>
        <w:p w14:paraId="1F46BAC7">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_Toc9379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lang w:eastAsia="zh-CN"/>
            </w:rPr>
            <w:t>一、</w:t>
          </w:r>
          <w:r>
            <w:rPr>
              <w:rFonts w:hint="eastAsia" w:ascii="宋体" w:hAnsi="宋体" w:eastAsia="宋体" w:cs="宋体"/>
              <w:color w:val="auto"/>
              <w:szCs w:val="24"/>
              <w:highlight w:val="none"/>
            </w:rPr>
            <w:t>比选内容</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_Toc9379 \h </w:instrText>
          </w:r>
          <w:r>
            <w:rPr>
              <w:rFonts w:hint="eastAsia" w:ascii="宋体" w:hAnsi="宋体" w:eastAsia="宋体" w:cs="宋体"/>
              <w:color w:val="auto"/>
            </w:rPr>
            <w:fldChar w:fldCharType="separate"/>
          </w:r>
          <w:r>
            <w:rPr>
              <w:rFonts w:hint="eastAsia" w:ascii="宋体" w:hAnsi="宋体" w:eastAsia="宋体" w:cs="宋体"/>
              <w:color w:val="auto"/>
            </w:rPr>
            <w:t>3</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3B894DB1">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_Toc27064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二、资金来源</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_Toc27064 \h </w:instrText>
          </w:r>
          <w:r>
            <w:rPr>
              <w:rFonts w:hint="eastAsia" w:ascii="宋体" w:hAnsi="宋体" w:eastAsia="宋体" w:cs="宋体"/>
              <w:color w:val="auto"/>
            </w:rPr>
            <w:fldChar w:fldCharType="separate"/>
          </w:r>
          <w:r>
            <w:rPr>
              <w:rFonts w:hint="eastAsia" w:ascii="宋体" w:hAnsi="宋体" w:eastAsia="宋体" w:cs="宋体"/>
              <w:color w:val="auto"/>
            </w:rPr>
            <w:t>3</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3DEFBEA2">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_Toc15168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三、</w:t>
          </w:r>
          <w:r>
            <w:rPr>
              <w:rFonts w:hint="eastAsia" w:ascii="宋体" w:hAnsi="宋体" w:eastAsia="宋体" w:cs="宋体"/>
              <w:color w:val="auto"/>
              <w:szCs w:val="24"/>
              <w:highlight w:val="none"/>
              <w:lang w:eastAsia="zh-CN"/>
            </w:rPr>
            <w:t>投标人</w:t>
          </w:r>
          <w:r>
            <w:rPr>
              <w:rFonts w:hint="eastAsia" w:ascii="宋体" w:hAnsi="宋体" w:eastAsia="宋体" w:cs="宋体"/>
              <w:color w:val="auto"/>
              <w:szCs w:val="24"/>
              <w:highlight w:val="none"/>
            </w:rPr>
            <w:t>资格条件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_Toc15168 \h </w:instrText>
          </w:r>
          <w:r>
            <w:rPr>
              <w:rFonts w:hint="eastAsia" w:ascii="宋体" w:hAnsi="宋体" w:eastAsia="宋体" w:cs="宋体"/>
              <w:color w:val="auto"/>
            </w:rPr>
            <w:fldChar w:fldCharType="separate"/>
          </w:r>
          <w:r>
            <w:rPr>
              <w:rFonts w:hint="eastAsia" w:ascii="宋体" w:hAnsi="宋体" w:eastAsia="宋体" w:cs="宋体"/>
              <w:color w:val="auto"/>
            </w:rPr>
            <w:t>3</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6C571621">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_Toc19839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四、比选有关说明</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_Toc19839 \h </w:instrText>
          </w:r>
          <w:r>
            <w:rPr>
              <w:rFonts w:hint="eastAsia" w:ascii="宋体" w:hAnsi="宋体" w:eastAsia="宋体" w:cs="宋体"/>
              <w:color w:val="auto"/>
            </w:rPr>
            <w:fldChar w:fldCharType="separate"/>
          </w:r>
          <w:r>
            <w:rPr>
              <w:rFonts w:hint="eastAsia" w:ascii="宋体" w:hAnsi="宋体" w:eastAsia="宋体" w:cs="宋体"/>
              <w:color w:val="auto"/>
            </w:rPr>
            <w:t>3</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096B9E2F">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_Toc1710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lang w:val="en-US" w:eastAsia="zh-CN"/>
            </w:rPr>
            <w:t>五、</w:t>
          </w:r>
          <w:r>
            <w:rPr>
              <w:rFonts w:hint="eastAsia" w:ascii="宋体" w:hAnsi="宋体" w:eastAsia="宋体" w:cs="宋体"/>
              <w:color w:val="auto"/>
              <w:szCs w:val="24"/>
              <w:highlight w:val="none"/>
            </w:rPr>
            <w:t>比选保证金</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无</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_Toc1710 \h </w:instrText>
          </w:r>
          <w:r>
            <w:rPr>
              <w:rFonts w:hint="eastAsia" w:ascii="宋体" w:hAnsi="宋体" w:eastAsia="宋体" w:cs="宋体"/>
              <w:color w:val="auto"/>
            </w:rPr>
            <w:fldChar w:fldCharType="separate"/>
          </w:r>
          <w:r>
            <w:rPr>
              <w:rFonts w:hint="eastAsia" w:ascii="宋体" w:hAnsi="宋体" w:eastAsia="宋体" w:cs="宋体"/>
              <w:color w:val="auto"/>
            </w:rPr>
            <w:t>4</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34CA84FF">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_Toc15883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六、其它有关规定</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_Toc15883 \h </w:instrText>
          </w:r>
          <w:r>
            <w:rPr>
              <w:rFonts w:hint="eastAsia" w:ascii="宋体" w:hAnsi="宋体" w:eastAsia="宋体" w:cs="宋体"/>
              <w:color w:val="auto"/>
            </w:rPr>
            <w:fldChar w:fldCharType="separate"/>
          </w:r>
          <w:r>
            <w:rPr>
              <w:rFonts w:hint="eastAsia" w:ascii="宋体" w:hAnsi="宋体" w:eastAsia="宋体" w:cs="宋体"/>
              <w:color w:val="auto"/>
            </w:rPr>
            <w:t>4</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57CCB7E8">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_Toc5929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七、联系方式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_Toc5929 \h </w:instrText>
          </w:r>
          <w:r>
            <w:rPr>
              <w:rFonts w:hint="eastAsia" w:ascii="宋体" w:hAnsi="宋体" w:eastAsia="宋体" w:cs="宋体"/>
              <w:color w:val="auto"/>
            </w:rPr>
            <w:fldChar w:fldCharType="separate"/>
          </w:r>
          <w:r>
            <w:rPr>
              <w:rFonts w:hint="eastAsia" w:ascii="宋体" w:hAnsi="宋体" w:eastAsia="宋体" w:cs="宋体"/>
              <w:color w:val="auto"/>
            </w:rPr>
            <w:t>5</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42C21646">
          <w:pPr>
            <w:pStyle w:val="20"/>
            <w:tabs>
              <w:tab w:val="right" w:leader="dot" w:pos="9639"/>
              <w:tab w:val="clear" w:pos="1260"/>
              <w:tab w:val="clear" w:pos="1685"/>
              <w:tab w:val="clear" w:pos="8400"/>
            </w:tabs>
            <w:rPr>
              <w:rFonts w:hint="eastAsia" w:ascii="宋体" w:hAnsi="宋体" w:eastAsia="宋体" w:cs="宋体"/>
              <w:color w:val="auto"/>
              <w:szCs w:val="24"/>
              <w:highlight w:val="none"/>
            </w:rPr>
          </w:pPr>
        </w:p>
        <w:p w14:paraId="021046FB">
          <w:pPr>
            <w:pStyle w:val="20"/>
            <w:tabs>
              <w:tab w:val="right" w:leader="dot" w:pos="9639"/>
              <w:tab w:val="clear" w:pos="1260"/>
              <w:tab w:val="clear" w:pos="1685"/>
              <w:tab w:val="clear" w:pos="8400"/>
            </w:tabs>
            <w:rPr>
              <w:rFonts w:hint="eastAsia" w:ascii="宋体" w:hAnsi="宋体" w:eastAsia="宋体" w:cs="宋体"/>
              <w:b/>
              <w:bCs/>
              <w:color w:val="auto"/>
            </w:rPr>
          </w:pPr>
          <w:r>
            <w:rPr>
              <w:rFonts w:hint="eastAsia" w:ascii="宋体" w:hAnsi="宋体" w:eastAsia="宋体" w:cs="宋体"/>
              <w:b/>
              <w:bCs/>
              <w:color w:val="auto"/>
              <w:szCs w:val="24"/>
              <w:highlight w:val="none"/>
            </w:rPr>
            <w:fldChar w:fldCharType="begin"/>
          </w:r>
          <w:r>
            <w:rPr>
              <w:rFonts w:hint="eastAsia" w:ascii="宋体" w:hAnsi="宋体" w:eastAsia="宋体" w:cs="宋体"/>
              <w:b/>
              <w:bCs/>
              <w:color w:val="auto"/>
              <w:szCs w:val="24"/>
              <w:highlight w:val="none"/>
            </w:rPr>
            <w:instrText xml:space="preserve"> HYPERLINK \l _Toc22114 </w:instrText>
          </w:r>
          <w:r>
            <w:rPr>
              <w:rFonts w:hint="eastAsia" w:ascii="宋体" w:hAnsi="宋体" w:eastAsia="宋体" w:cs="宋体"/>
              <w:b/>
              <w:bCs/>
              <w:color w:val="auto"/>
              <w:szCs w:val="24"/>
              <w:highlight w:val="none"/>
            </w:rPr>
            <w:fldChar w:fldCharType="separate"/>
          </w:r>
          <w:r>
            <w:rPr>
              <w:rFonts w:hint="eastAsia" w:ascii="宋体" w:hAnsi="宋体" w:eastAsia="宋体" w:cs="宋体"/>
              <w:b/>
              <w:bCs/>
              <w:color w:val="auto"/>
            </w:rPr>
            <w:t>第二篇 项目服务需求</w:t>
          </w:r>
          <w:r>
            <w:rPr>
              <w:rFonts w:hint="eastAsia" w:ascii="宋体" w:hAnsi="宋体" w:eastAsia="宋体" w:cs="宋体"/>
              <w:b/>
              <w:bCs/>
              <w:color w:val="auto"/>
            </w:rPr>
            <w:tab/>
          </w: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PAGEREF _Toc22114 \h </w:instrText>
          </w:r>
          <w:r>
            <w:rPr>
              <w:rFonts w:hint="eastAsia" w:ascii="宋体" w:hAnsi="宋体" w:eastAsia="宋体" w:cs="宋体"/>
              <w:b/>
              <w:bCs/>
              <w:color w:val="auto"/>
            </w:rPr>
            <w:fldChar w:fldCharType="separate"/>
          </w:r>
          <w:r>
            <w:rPr>
              <w:rFonts w:hint="eastAsia" w:ascii="宋体" w:hAnsi="宋体" w:eastAsia="宋体" w:cs="宋体"/>
              <w:b/>
              <w:bCs/>
              <w:color w:val="auto"/>
            </w:rPr>
            <w:t>6</w:t>
          </w:r>
          <w:r>
            <w:rPr>
              <w:rFonts w:hint="eastAsia" w:ascii="宋体" w:hAnsi="宋体" w:eastAsia="宋体" w:cs="宋体"/>
              <w:b/>
              <w:bCs/>
              <w:color w:val="auto"/>
            </w:rPr>
            <w:fldChar w:fldCharType="end"/>
          </w:r>
          <w:r>
            <w:rPr>
              <w:rFonts w:hint="eastAsia" w:ascii="宋体" w:hAnsi="宋体" w:eastAsia="宋体" w:cs="宋体"/>
              <w:b/>
              <w:bCs/>
              <w:color w:val="auto"/>
              <w:szCs w:val="24"/>
              <w:highlight w:val="none"/>
            </w:rPr>
            <w:fldChar w:fldCharType="end"/>
          </w:r>
        </w:p>
        <w:p w14:paraId="7415A77F">
          <w:pPr>
            <w:pStyle w:val="21"/>
            <w:tabs>
              <w:tab w:val="right" w:leader="dot" w:pos="9639"/>
              <w:tab w:val="clear" w:pos="8400"/>
            </w:tabs>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t>一、项目一览表</w:t>
          </w:r>
          <w:r>
            <w:rPr>
              <w:rFonts w:hint="eastAsia" w:ascii="宋体" w:hAnsi="宋体" w:eastAsia="宋体" w:cs="宋体"/>
              <w:color w:val="auto"/>
            </w:rPr>
            <w:tab/>
          </w:r>
          <w:r>
            <w:rPr>
              <w:rFonts w:hint="eastAsia" w:ascii="宋体" w:hAnsi="宋体" w:eastAsia="宋体" w:cs="宋体"/>
              <w:color w:val="auto"/>
              <w:lang w:val="en-US" w:eastAsia="zh-CN"/>
            </w:rPr>
            <w:t>6</w:t>
          </w:r>
          <w:r>
            <w:rPr>
              <w:rFonts w:hint="eastAsia" w:ascii="宋体" w:hAnsi="宋体" w:eastAsia="宋体" w:cs="宋体"/>
              <w:color w:val="auto"/>
              <w:szCs w:val="24"/>
              <w:highlight w:val="none"/>
              <w:lang w:val="en-US" w:eastAsia="zh-CN"/>
            </w:rPr>
            <w:t xml:space="preserve">  </w:t>
          </w:r>
        </w:p>
        <w:p w14:paraId="6D7663A2">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_Toc8301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zCs w:val="28"/>
              <w:highlight w:val="none"/>
              <w:lang w:val="en-US" w:eastAsia="zh-CN"/>
            </w:rPr>
            <w:t>二、项目</w:t>
          </w:r>
          <w:r>
            <w:rPr>
              <w:rFonts w:hint="eastAsia" w:ascii="宋体" w:hAnsi="宋体" w:eastAsia="宋体" w:cs="宋体"/>
              <w:bCs/>
              <w:color w:val="auto"/>
              <w:szCs w:val="28"/>
              <w:highlight w:val="none"/>
            </w:rPr>
            <w:t>服务</w:t>
          </w:r>
          <w:r>
            <w:rPr>
              <w:rFonts w:hint="eastAsia" w:ascii="宋体" w:hAnsi="宋体" w:eastAsia="宋体" w:cs="宋体"/>
              <w:bCs/>
              <w:color w:val="auto"/>
              <w:szCs w:val="28"/>
              <w:highlight w:val="none"/>
              <w:lang w:val="en-US" w:eastAsia="zh-CN"/>
            </w:rPr>
            <w:t>及质量要求</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_Toc8301 \h </w:instrText>
          </w:r>
          <w:r>
            <w:rPr>
              <w:rFonts w:hint="eastAsia" w:ascii="宋体" w:hAnsi="宋体" w:eastAsia="宋体" w:cs="宋体"/>
              <w:color w:val="auto"/>
            </w:rPr>
            <w:fldChar w:fldCharType="separate"/>
          </w:r>
          <w:r>
            <w:rPr>
              <w:rFonts w:hint="eastAsia" w:ascii="宋体" w:hAnsi="宋体" w:eastAsia="宋体" w:cs="宋体"/>
              <w:color w:val="auto"/>
            </w:rPr>
            <w:t>6</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33AE44F5">
          <w:pPr>
            <w:pStyle w:val="20"/>
            <w:tabs>
              <w:tab w:val="right" w:leader="dot" w:pos="9639"/>
              <w:tab w:val="clear" w:pos="1260"/>
              <w:tab w:val="clear" w:pos="1685"/>
              <w:tab w:val="clear" w:pos="8400"/>
            </w:tabs>
            <w:rPr>
              <w:rFonts w:hint="eastAsia" w:ascii="宋体" w:hAnsi="宋体" w:eastAsia="宋体" w:cs="宋体"/>
              <w:color w:val="auto"/>
              <w:szCs w:val="24"/>
              <w:highlight w:val="none"/>
            </w:rPr>
          </w:pPr>
        </w:p>
        <w:p w14:paraId="3A92AEF6">
          <w:pPr>
            <w:pStyle w:val="20"/>
            <w:tabs>
              <w:tab w:val="right" w:leader="dot" w:pos="9639"/>
              <w:tab w:val="clear" w:pos="1260"/>
              <w:tab w:val="clear" w:pos="1685"/>
              <w:tab w:val="clear" w:pos="8400"/>
            </w:tabs>
            <w:rPr>
              <w:rFonts w:hint="eastAsia" w:ascii="宋体" w:hAnsi="宋体" w:eastAsia="宋体" w:cs="宋体"/>
              <w:b/>
              <w:bCs/>
              <w:color w:val="auto"/>
            </w:rPr>
          </w:pPr>
          <w:r>
            <w:rPr>
              <w:rFonts w:hint="eastAsia" w:ascii="宋体" w:hAnsi="宋体" w:eastAsia="宋体" w:cs="宋体"/>
              <w:b/>
              <w:bCs/>
              <w:color w:val="auto"/>
              <w:szCs w:val="24"/>
              <w:highlight w:val="none"/>
            </w:rPr>
            <w:fldChar w:fldCharType="begin"/>
          </w:r>
          <w:r>
            <w:rPr>
              <w:rFonts w:hint="eastAsia" w:ascii="宋体" w:hAnsi="宋体" w:eastAsia="宋体" w:cs="宋体"/>
              <w:b/>
              <w:bCs/>
              <w:color w:val="auto"/>
              <w:szCs w:val="24"/>
              <w:highlight w:val="none"/>
            </w:rPr>
            <w:instrText xml:space="preserve"> HYPERLINK \l _Toc17122 </w:instrText>
          </w:r>
          <w:r>
            <w:rPr>
              <w:rFonts w:hint="eastAsia" w:ascii="宋体" w:hAnsi="宋体" w:eastAsia="宋体" w:cs="宋体"/>
              <w:b/>
              <w:bCs/>
              <w:color w:val="auto"/>
              <w:szCs w:val="24"/>
              <w:highlight w:val="none"/>
            </w:rPr>
            <w:fldChar w:fldCharType="separate"/>
          </w:r>
          <w:r>
            <w:rPr>
              <w:rFonts w:hint="eastAsia" w:ascii="宋体" w:hAnsi="宋体" w:eastAsia="宋体" w:cs="宋体"/>
              <w:b/>
              <w:bCs/>
              <w:color w:val="auto"/>
              <w:highlight w:val="none"/>
            </w:rPr>
            <w:t>第三篇 项目商务需求</w:t>
          </w:r>
          <w:r>
            <w:rPr>
              <w:rFonts w:hint="eastAsia" w:ascii="宋体" w:hAnsi="宋体" w:eastAsia="宋体" w:cs="宋体"/>
              <w:b/>
              <w:bCs/>
              <w:color w:val="auto"/>
            </w:rPr>
            <w:tab/>
          </w: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PAGEREF _Toc17122 \h </w:instrText>
          </w:r>
          <w:r>
            <w:rPr>
              <w:rFonts w:hint="eastAsia" w:ascii="宋体" w:hAnsi="宋体" w:eastAsia="宋体" w:cs="宋体"/>
              <w:b/>
              <w:bCs/>
              <w:color w:val="auto"/>
            </w:rPr>
            <w:fldChar w:fldCharType="separate"/>
          </w:r>
          <w:r>
            <w:rPr>
              <w:rFonts w:hint="eastAsia" w:ascii="宋体" w:hAnsi="宋体" w:eastAsia="宋体" w:cs="宋体"/>
              <w:b/>
              <w:bCs/>
              <w:color w:val="auto"/>
            </w:rPr>
            <w:t>8</w:t>
          </w:r>
          <w:r>
            <w:rPr>
              <w:rFonts w:hint="eastAsia" w:ascii="宋体" w:hAnsi="宋体" w:eastAsia="宋体" w:cs="宋体"/>
              <w:b/>
              <w:bCs/>
              <w:color w:val="auto"/>
            </w:rPr>
            <w:fldChar w:fldCharType="end"/>
          </w:r>
          <w:r>
            <w:rPr>
              <w:rFonts w:hint="eastAsia" w:ascii="宋体" w:hAnsi="宋体" w:eastAsia="宋体" w:cs="宋体"/>
              <w:b/>
              <w:bCs/>
              <w:color w:val="auto"/>
              <w:szCs w:val="24"/>
              <w:highlight w:val="none"/>
            </w:rPr>
            <w:fldChar w:fldCharType="end"/>
          </w:r>
        </w:p>
        <w:p w14:paraId="2FD46069">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_Toc3601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8"/>
              <w:highlight w:val="none"/>
            </w:rPr>
            <w:t>一、服务时间、地点及验收方式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_Toc3601 \h </w:instrText>
          </w:r>
          <w:r>
            <w:rPr>
              <w:rFonts w:hint="eastAsia" w:ascii="宋体" w:hAnsi="宋体" w:eastAsia="宋体" w:cs="宋体"/>
              <w:color w:val="auto"/>
            </w:rPr>
            <w:fldChar w:fldCharType="separate"/>
          </w:r>
          <w:r>
            <w:rPr>
              <w:rFonts w:hint="eastAsia" w:ascii="宋体" w:hAnsi="宋体" w:eastAsia="宋体" w:cs="宋体"/>
              <w:color w:val="auto"/>
            </w:rPr>
            <w:t>8</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31A7409D">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_Toc26065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8"/>
              <w:highlight w:val="none"/>
              <w:lang w:val="en-US" w:eastAsia="zh-CN"/>
            </w:rPr>
            <w:t>二、报价要求</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_Toc26065 \h </w:instrText>
          </w:r>
          <w:r>
            <w:rPr>
              <w:rFonts w:hint="eastAsia" w:ascii="宋体" w:hAnsi="宋体" w:eastAsia="宋体" w:cs="宋体"/>
              <w:color w:val="auto"/>
            </w:rPr>
            <w:fldChar w:fldCharType="separate"/>
          </w:r>
          <w:r>
            <w:rPr>
              <w:rFonts w:hint="eastAsia" w:ascii="宋体" w:hAnsi="宋体" w:eastAsia="宋体" w:cs="宋体"/>
              <w:color w:val="auto"/>
            </w:rPr>
            <w:t>8</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18A704FD">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_Toc19150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zCs w:val="28"/>
              <w:highlight w:val="none"/>
              <w:lang w:val="en-US" w:eastAsia="zh-CN"/>
            </w:rPr>
            <w:t>三</w:t>
          </w:r>
          <w:r>
            <w:rPr>
              <w:rFonts w:hint="eastAsia" w:ascii="宋体" w:hAnsi="宋体" w:eastAsia="宋体" w:cs="宋体"/>
              <w:bCs/>
              <w:color w:val="auto"/>
              <w:szCs w:val="28"/>
              <w:highlight w:val="none"/>
            </w:rPr>
            <w:t>、</w:t>
          </w:r>
          <w:r>
            <w:rPr>
              <w:rFonts w:hint="eastAsia" w:ascii="宋体" w:hAnsi="宋体" w:eastAsia="宋体" w:cs="宋体"/>
              <w:bCs/>
              <w:color w:val="auto"/>
              <w:szCs w:val="28"/>
              <w:highlight w:val="none"/>
              <w:lang w:val="en-US" w:eastAsia="zh-CN"/>
            </w:rPr>
            <w:t>供货要求</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_Toc19150 \h </w:instrText>
          </w:r>
          <w:r>
            <w:rPr>
              <w:rFonts w:hint="eastAsia" w:ascii="宋体" w:hAnsi="宋体" w:eastAsia="宋体" w:cs="宋体"/>
              <w:color w:val="auto"/>
            </w:rPr>
            <w:fldChar w:fldCharType="separate"/>
          </w:r>
          <w:r>
            <w:rPr>
              <w:rFonts w:hint="eastAsia" w:ascii="宋体" w:hAnsi="宋体" w:eastAsia="宋体" w:cs="宋体"/>
              <w:color w:val="auto"/>
            </w:rPr>
            <w:t>9</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07B02EE5">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_Toc9059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zCs w:val="28"/>
              <w:highlight w:val="none"/>
              <w:lang w:val="en-US" w:eastAsia="zh-CN"/>
            </w:rPr>
            <w:t>四</w:t>
          </w:r>
          <w:r>
            <w:rPr>
              <w:rFonts w:hint="eastAsia" w:ascii="宋体" w:hAnsi="宋体" w:eastAsia="宋体" w:cs="宋体"/>
              <w:bCs/>
              <w:color w:val="auto"/>
              <w:szCs w:val="28"/>
              <w:highlight w:val="none"/>
            </w:rPr>
            <w:t>、</w:t>
          </w:r>
          <w:r>
            <w:rPr>
              <w:rFonts w:hint="eastAsia" w:ascii="宋体" w:hAnsi="宋体" w:eastAsia="宋体" w:cs="宋体"/>
              <w:bCs/>
              <w:color w:val="auto"/>
              <w:szCs w:val="28"/>
              <w:highlight w:val="none"/>
              <w:lang w:val="en-US" w:eastAsia="zh-CN"/>
            </w:rPr>
            <w:t>质量保证及售后服务</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_Toc9059 \h </w:instrText>
          </w:r>
          <w:r>
            <w:rPr>
              <w:rFonts w:hint="eastAsia" w:ascii="宋体" w:hAnsi="宋体" w:eastAsia="宋体" w:cs="宋体"/>
              <w:color w:val="auto"/>
            </w:rPr>
            <w:fldChar w:fldCharType="separate"/>
          </w:r>
          <w:r>
            <w:rPr>
              <w:rFonts w:hint="eastAsia" w:ascii="宋体" w:hAnsi="宋体" w:eastAsia="宋体" w:cs="宋体"/>
              <w:color w:val="auto"/>
            </w:rPr>
            <w:t>10</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424A952E">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_Toc27286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zCs w:val="28"/>
              <w:highlight w:val="none"/>
              <w:lang w:val="en-US" w:eastAsia="zh-CN"/>
            </w:rPr>
            <w:t>五</w:t>
          </w:r>
          <w:r>
            <w:rPr>
              <w:rFonts w:hint="eastAsia" w:ascii="宋体" w:hAnsi="宋体" w:eastAsia="宋体" w:cs="宋体"/>
              <w:bCs/>
              <w:color w:val="auto"/>
              <w:szCs w:val="28"/>
              <w:highlight w:val="none"/>
            </w:rPr>
            <w:t>、</w:t>
          </w:r>
          <w:r>
            <w:rPr>
              <w:rFonts w:hint="eastAsia" w:ascii="宋体" w:hAnsi="宋体" w:eastAsia="宋体" w:cs="宋体"/>
              <w:bCs/>
              <w:color w:val="auto"/>
              <w:szCs w:val="28"/>
              <w:highlight w:val="none"/>
              <w:lang w:val="en-US" w:eastAsia="zh-CN"/>
            </w:rPr>
            <w:t>询定价及结算</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_Toc27286 \h </w:instrText>
          </w:r>
          <w:r>
            <w:rPr>
              <w:rFonts w:hint="eastAsia" w:ascii="宋体" w:hAnsi="宋体" w:eastAsia="宋体" w:cs="宋体"/>
              <w:color w:val="auto"/>
            </w:rPr>
            <w:fldChar w:fldCharType="separate"/>
          </w:r>
          <w:r>
            <w:rPr>
              <w:rFonts w:hint="eastAsia" w:ascii="宋体" w:hAnsi="宋体" w:eastAsia="宋体" w:cs="宋体"/>
              <w:color w:val="auto"/>
            </w:rPr>
            <w:t>10</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7ADB5816">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_Toc16025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lang w:val="en-US" w:eastAsia="zh-CN"/>
            </w:rPr>
            <w:t>六</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val="en-US" w:eastAsia="zh-CN"/>
            </w:rPr>
            <w:t>付款方式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_Toc16025 \h </w:instrText>
          </w:r>
          <w:r>
            <w:rPr>
              <w:rFonts w:hint="eastAsia" w:ascii="宋体" w:hAnsi="宋体" w:eastAsia="宋体" w:cs="宋体"/>
              <w:color w:val="auto"/>
            </w:rPr>
            <w:fldChar w:fldCharType="separate"/>
          </w:r>
          <w:r>
            <w:rPr>
              <w:rFonts w:hint="eastAsia" w:ascii="宋体" w:hAnsi="宋体" w:eastAsia="宋体" w:cs="宋体"/>
              <w:color w:val="auto"/>
            </w:rPr>
            <w:t>11</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16577E69">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_Toc11493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lang w:val="en-US" w:eastAsia="zh-CN"/>
            </w:rPr>
            <w:t>七、其他</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_Toc11493 \h </w:instrText>
          </w:r>
          <w:r>
            <w:rPr>
              <w:rFonts w:hint="eastAsia" w:ascii="宋体" w:hAnsi="宋体" w:eastAsia="宋体" w:cs="宋体"/>
              <w:color w:val="auto"/>
            </w:rPr>
            <w:fldChar w:fldCharType="separate"/>
          </w:r>
          <w:r>
            <w:rPr>
              <w:rFonts w:hint="eastAsia" w:ascii="宋体" w:hAnsi="宋体" w:eastAsia="宋体" w:cs="宋体"/>
              <w:color w:val="auto"/>
            </w:rPr>
            <w:t>11</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5E8B4CBD">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_Toc11871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lang w:val="en-US" w:eastAsia="zh-CN"/>
            </w:rPr>
            <w:t>八、其他商务要求内容</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_Toc11871 \h </w:instrText>
          </w:r>
          <w:r>
            <w:rPr>
              <w:rFonts w:hint="eastAsia" w:ascii="宋体" w:hAnsi="宋体" w:eastAsia="宋体" w:cs="宋体"/>
              <w:color w:val="auto"/>
            </w:rPr>
            <w:fldChar w:fldCharType="separate"/>
          </w:r>
          <w:r>
            <w:rPr>
              <w:rFonts w:hint="eastAsia" w:ascii="宋体" w:hAnsi="宋体" w:eastAsia="宋体" w:cs="宋体"/>
              <w:color w:val="auto"/>
            </w:rPr>
            <w:t>11</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0DE25E08">
          <w:pPr>
            <w:pStyle w:val="20"/>
            <w:tabs>
              <w:tab w:val="right" w:leader="dot" w:pos="9639"/>
              <w:tab w:val="clear" w:pos="1260"/>
              <w:tab w:val="clear" w:pos="1685"/>
              <w:tab w:val="clear" w:pos="8400"/>
            </w:tabs>
            <w:rPr>
              <w:rFonts w:hint="eastAsia" w:ascii="宋体" w:hAnsi="宋体" w:eastAsia="宋体" w:cs="宋体"/>
              <w:color w:val="auto"/>
              <w:szCs w:val="24"/>
              <w:highlight w:val="none"/>
            </w:rPr>
          </w:pPr>
        </w:p>
        <w:p w14:paraId="1FD47772">
          <w:pPr>
            <w:pStyle w:val="20"/>
            <w:tabs>
              <w:tab w:val="right" w:leader="dot" w:pos="9639"/>
              <w:tab w:val="clear" w:pos="1260"/>
              <w:tab w:val="clear" w:pos="1685"/>
              <w:tab w:val="clear" w:pos="8400"/>
            </w:tabs>
            <w:rPr>
              <w:rFonts w:hint="eastAsia" w:ascii="宋体" w:hAnsi="宋体" w:eastAsia="宋体" w:cs="宋体"/>
              <w:color w:val="auto"/>
            </w:rPr>
          </w:pPr>
          <w:r>
            <w:rPr>
              <w:rFonts w:hint="eastAsia" w:ascii="宋体" w:hAnsi="宋体" w:eastAsia="宋体" w:cs="宋体"/>
              <w:b/>
              <w:bCs/>
              <w:color w:val="auto"/>
              <w:szCs w:val="24"/>
              <w:highlight w:val="none"/>
            </w:rPr>
            <w:fldChar w:fldCharType="begin"/>
          </w:r>
          <w:r>
            <w:rPr>
              <w:rFonts w:hint="eastAsia" w:ascii="宋体" w:hAnsi="宋体" w:eastAsia="宋体" w:cs="宋体"/>
              <w:b/>
              <w:bCs/>
              <w:color w:val="auto"/>
              <w:szCs w:val="24"/>
              <w:highlight w:val="none"/>
            </w:rPr>
            <w:instrText xml:space="preserve"> HYPERLINK \l _Toc20265 </w:instrText>
          </w:r>
          <w:r>
            <w:rPr>
              <w:rFonts w:hint="eastAsia" w:ascii="宋体" w:hAnsi="宋体" w:eastAsia="宋体" w:cs="宋体"/>
              <w:b/>
              <w:bCs/>
              <w:color w:val="auto"/>
              <w:szCs w:val="24"/>
              <w:highlight w:val="none"/>
            </w:rPr>
            <w:fldChar w:fldCharType="separate"/>
          </w:r>
          <w:r>
            <w:rPr>
              <w:rFonts w:hint="eastAsia" w:ascii="宋体" w:hAnsi="宋体" w:eastAsia="宋体" w:cs="宋体"/>
              <w:b/>
              <w:bCs/>
              <w:color w:val="auto"/>
              <w:highlight w:val="none"/>
            </w:rPr>
            <w:t>第四篇  比选程序及方法、评审标准、无效响应和采购终止</w:t>
          </w:r>
          <w:r>
            <w:rPr>
              <w:rFonts w:hint="eastAsia" w:ascii="宋体" w:hAnsi="宋体" w:eastAsia="宋体" w:cs="宋体"/>
              <w:b/>
              <w:bCs/>
              <w:color w:val="auto"/>
            </w:rPr>
            <w:tab/>
          </w: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PAGEREF _Toc20265 \h </w:instrText>
          </w:r>
          <w:r>
            <w:rPr>
              <w:rFonts w:hint="eastAsia" w:ascii="宋体" w:hAnsi="宋体" w:eastAsia="宋体" w:cs="宋体"/>
              <w:b/>
              <w:bCs/>
              <w:color w:val="auto"/>
            </w:rPr>
            <w:fldChar w:fldCharType="separate"/>
          </w:r>
          <w:r>
            <w:rPr>
              <w:rFonts w:hint="eastAsia" w:ascii="宋体" w:hAnsi="宋体" w:eastAsia="宋体" w:cs="宋体"/>
              <w:b/>
              <w:bCs/>
              <w:color w:val="auto"/>
            </w:rPr>
            <w:t>12</w:t>
          </w:r>
          <w:r>
            <w:rPr>
              <w:rFonts w:hint="eastAsia" w:ascii="宋体" w:hAnsi="宋体" w:eastAsia="宋体" w:cs="宋体"/>
              <w:b/>
              <w:bCs/>
              <w:color w:val="auto"/>
            </w:rPr>
            <w:fldChar w:fldCharType="end"/>
          </w:r>
          <w:r>
            <w:rPr>
              <w:rFonts w:hint="eastAsia" w:ascii="宋体" w:hAnsi="宋体" w:eastAsia="宋体" w:cs="宋体"/>
              <w:b/>
              <w:bCs/>
              <w:color w:val="auto"/>
              <w:szCs w:val="24"/>
              <w:highlight w:val="none"/>
            </w:rPr>
            <w:fldChar w:fldCharType="end"/>
          </w:r>
        </w:p>
        <w:p w14:paraId="4795912F">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_Toc9359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zCs w:val="32"/>
            </w:rPr>
            <w:t>一、资格审查</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_Toc9359 \h </w:instrText>
          </w:r>
          <w:r>
            <w:rPr>
              <w:rFonts w:hint="eastAsia" w:ascii="宋体" w:hAnsi="宋体" w:eastAsia="宋体" w:cs="宋体"/>
              <w:color w:val="auto"/>
            </w:rPr>
            <w:fldChar w:fldCharType="separate"/>
          </w:r>
          <w:r>
            <w:rPr>
              <w:rFonts w:hint="eastAsia" w:ascii="宋体" w:hAnsi="宋体" w:eastAsia="宋体" w:cs="宋体"/>
              <w:color w:val="auto"/>
            </w:rPr>
            <w:t>12</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08843D1F">
          <w:pPr>
            <w:pStyle w:val="20"/>
            <w:tabs>
              <w:tab w:val="right" w:leader="dot" w:pos="9639"/>
              <w:tab w:val="clear" w:pos="1260"/>
              <w:tab w:val="clear" w:pos="1685"/>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_Toc28329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rPr>
            <w:t>二、评审方法</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_Toc28329 \h </w:instrText>
          </w:r>
          <w:r>
            <w:rPr>
              <w:rFonts w:hint="eastAsia" w:ascii="宋体" w:hAnsi="宋体" w:eastAsia="宋体" w:cs="宋体"/>
              <w:color w:val="auto"/>
            </w:rPr>
            <w:fldChar w:fldCharType="separate"/>
          </w:r>
          <w:r>
            <w:rPr>
              <w:rFonts w:hint="eastAsia" w:ascii="宋体" w:hAnsi="宋体" w:eastAsia="宋体" w:cs="宋体"/>
              <w:color w:val="auto"/>
            </w:rPr>
            <w:t>13</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03D58F18">
          <w:pPr>
            <w:pStyle w:val="20"/>
            <w:tabs>
              <w:tab w:val="right" w:leader="dot" w:pos="9639"/>
              <w:tab w:val="clear" w:pos="1260"/>
              <w:tab w:val="clear" w:pos="1685"/>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_Toc3558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rPr>
            <w:t>三、评审标准</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_Toc3558 \h </w:instrText>
          </w:r>
          <w:r>
            <w:rPr>
              <w:rFonts w:hint="eastAsia" w:ascii="宋体" w:hAnsi="宋体" w:eastAsia="宋体" w:cs="宋体"/>
              <w:color w:val="auto"/>
            </w:rPr>
            <w:fldChar w:fldCharType="separate"/>
          </w:r>
          <w:r>
            <w:rPr>
              <w:rFonts w:hint="eastAsia" w:ascii="宋体" w:hAnsi="宋体" w:eastAsia="宋体" w:cs="宋体"/>
              <w:color w:val="auto"/>
            </w:rPr>
            <w:t>14</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795F4BE7">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_Toc25152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四、无效响应</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_Toc25152 \h </w:instrText>
          </w:r>
          <w:r>
            <w:rPr>
              <w:rFonts w:hint="eastAsia" w:ascii="宋体" w:hAnsi="宋体" w:eastAsia="宋体" w:cs="宋体"/>
              <w:color w:val="auto"/>
            </w:rPr>
            <w:fldChar w:fldCharType="separate"/>
          </w:r>
          <w:r>
            <w:rPr>
              <w:rFonts w:hint="eastAsia" w:ascii="宋体" w:hAnsi="宋体" w:eastAsia="宋体" w:cs="宋体"/>
              <w:color w:val="auto"/>
            </w:rPr>
            <w:t>16</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4AD910A0">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_Toc3828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五、采购终止</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_Toc3828 \h </w:instrText>
          </w:r>
          <w:r>
            <w:rPr>
              <w:rFonts w:hint="eastAsia" w:ascii="宋体" w:hAnsi="宋体" w:eastAsia="宋体" w:cs="宋体"/>
              <w:color w:val="auto"/>
            </w:rPr>
            <w:fldChar w:fldCharType="separate"/>
          </w:r>
          <w:r>
            <w:rPr>
              <w:rFonts w:hint="eastAsia" w:ascii="宋体" w:hAnsi="宋体" w:eastAsia="宋体" w:cs="宋体"/>
              <w:color w:val="auto"/>
            </w:rPr>
            <w:t>17</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136A1BC5">
          <w:pPr>
            <w:pStyle w:val="20"/>
            <w:tabs>
              <w:tab w:val="right" w:leader="dot" w:pos="9639"/>
              <w:tab w:val="clear" w:pos="1260"/>
              <w:tab w:val="clear" w:pos="1685"/>
              <w:tab w:val="clear" w:pos="8400"/>
            </w:tabs>
            <w:rPr>
              <w:rFonts w:hint="eastAsia" w:ascii="宋体" w:hAnsi="宋体" w:eastAsia="宋体" w:cs="宋体"/>
              <w:color w:val="auto"/>
              <w:szCs w:val="24"/>
              <w:highlight w:val="none"/>
            </w:rPr>
          </w:pPr>
        </w:p>
        <w:p w14:paraId="2FFE132F">
          <w:pPr>
            <w:pStyle w:val="20"/>
            <w:tabs>
              <w:tab w:val="right" w:leader="dot" w:pos="9639"/>
              <w:tab w:val="clear" w:pos="1260"/>
              <w:tab w:val="clear" w:pos="1685"/>
              <w:tab w:val="clear" w:pos="8400"/>
            </w:tabs>
            <w:rPr>
              <w:rFonts w:hint="eastAsia" w:ascii="宋体" w:hAnsi="宋体" w:eastAsia="宋体" w:cs="宋体"/>
              <w:color w:val="auto"/>
            </w:rPr>
          </w:pPr>
          <w:r>
            <w:rPr>
              <w:rFonts w:hint="eastAsia" w:ascii="宋体" w:hAnsi="宋体" w:eastAsia="宋体" w:cs="宋体"/>
              <w:b/>
              <w:bCs/>
              <w:color w:val="auto"/>
              <w:szCs w:val="24"/>
              <w:highlight w:val="none"/>
            </w:rPr>
            <w:fldChar w:fldCharType="begin"/>
          </w:r>
          <w:r>
            <w:rPr>
              <w:rFonts w:hint="eastAsia" w:ascii="宋体" w:hAnsi="宋体" w:eastAsia="宋体" w:cs="宋体"/>
              <w:b/>
              <w:bCs/>
              <w:color w:val="auto"/>
              <w:szCs w:val="24"/>
              <w:highlight w:val="none"/>
            </w:rPr>
            <w:instrText xml:space="preserve"> HYPERLINK \l _Toc3009 </w:instrText>
          </w:r>
          <w:r>
            <w:rPr>
              <w:rFonts w:hint="eastAsia" w:ascii="宋体" w:hAnsi="宋体" w:eastAsia="宋体" w:cs="宋体"/>
              <w:b/>
              <w:bCs/>
              <w:color w:val="auto"/>
              <w:szCs w:val="24"/>
              <w:highlight w:val="none"/>
            </w:rPr>
            <w:fldChar w:fldCharType="separate"/>
          </w:r>
          <w:r>
            <w:rPr>
              <w:rFonts w:hint="eastAsia" w:ascii="宋体" w:hAnsi="宋体" w:eastAsia="宋体" w:cs="宋体"/>
              <w:b/>
              <w:bCs/>
              <w:color w:val="auto"/>
              <w:highlight w:val="none"/>
            </w:rPr>
            <w:t xml:space="preserve">第五篇  </w:t>
          </w:r>
          <w:r>
            <w:rPr>
              <w:rFonts w:hint="eastAsia" w:ascii="宋体" w:hAnsi="宋体" w:eastAsia="宋体" w:cs="宋体"/>
              <w:b/>
              <w:bCs/>
              <w:color w:val="auto"/>
              <w:highlight w:val="none"/>
              <w:lang w:eastAsia="zh-CN"/>
            </w:rPr>
            <w:t>投标人</w:t>
          </w:r>
          <w:r>
            <w:rPr>
              <w:rFonts w:hint="eastAsia" w:ascii="宋体" w:hAnsi="宋体" w:eastAsia="宋体" w:cs="宋体"/>
              <w:b/>
              <w:bCs/>
              <w:color w:val="auto"/>
              <w:highlight w:val="none"/>
            </w:rPr>
            <w:t>须知</w:t>
          </w:r>
          <w:r>
            <w:rPr>
              <w:rFonts w:hint="eastAsia" w:ascii="宋体" w:hAnsi="宋体" w:eastAsia="宋体" w:cs="宋体"/>
              <w:b/>
              <w:bCs/>
              <w:color w:val="auto"/>
            </w:rPr>
            <w:tab/>
          </w: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PAGEREF _Toc3009 \h </w:instrText>
          </w:r>
          <w:r>
            <w:rPr>
              <w:rFonts w:hint="eastAsia" w:ascii="宋体" w:hAnsi="宋体" w:eastAsia="宋体" w:cs="宋体"/>
              <w:b/>
              <w:bCs/>
              <w:color w:val="auto"/>
            </w:rPr>
            <w:fldChar w:fldCharType="separate"/>
          </w:r>
          <w:r>
            <w:rPr>
              <w:rFonts w:hint="eastAsia" w:ascii="宋体" w:hAnsi="宋体" w:eastAsia="宋体" w:cs="宋体"/>
              <w:b/>
              <w:bCs/>
              <w:color w:val="auto"/>
            </w:rPr>
            <w:t>18</w:t>
          </w:r>
          <w:r>
            <w:rPr>
              <w:rFonts w:hint="eastAsia" w:ascii="宋体" w:hAnsi="宋体" w:eastAsia="宋体" w:cs="宋体"/>
              <w:b/>
              <w:bCs/>
              <w:color w:val="auto"/>
            </w:rPr>
            <w:fldChar w:fldCharType="end"/>
          </w:r>
          <w:r>
            <w:rPr>
              <w:rFonts w:hint="eastAsia" w:ascii="宋体" w:hAnsi="宋体" w:eastAsia="宋体" w:cs="宋体"/>
              <w:b/>
              <w:bCs/>
              <w:color w:val="auto"/>
              <w:szCs w:val="24"/>
              <w:highlight w:val="none"/>
            </w:rPr>
            <w:fldChar w:fldCharType="end"/>
          </w:r>
        </w:p>
        <w:p w14:paraId="7A5C61C2">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_Toc19471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一、比选费用</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_Toc19471 \h </w:instrText>
          </w:r>
          <w:r>
            <w:rPr>
              <w:rFonts w:hint="eastAsia" w:ascii="宋体" w:hAnsi="宋体" w:eastAsia="宋体" w:cs="宋体"/>
              <w:color w:val="auto"/>
            </w:rPr>
            <w:fldChar w:fldCharType="separate"/>
          </w:r>
          <w:r>
            <w:rPr>
              <w:rFonts w:hint="eastAsia" w:ascii="宋体" w:hAnsi="宋体" w:eastAsia="宋体" w:cs="宋体"/>
              <w:color w:val="auto"/>
            </w:rPr>
            <w:t>18</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221A31EA">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_Toc26807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二、比选文件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_Toc26807 \h </w:instrText>
          </w:r>
          <w:r>
            <w:rPr>
              <w:rFonts w:hint="eastAsia" w:ascii="宋体" w:hAnsi="宋体" w:eastAsia="宋体" w:cs="宋体"/>
              <w:color w:val="auto"/>
            </w:rPr>
            <w:fldChar w:fldCharType="separate"/>
          </w:r>
          <w:r>
            <w:rPr>
              <w:rFonts w:hint="eastAsia" w:ascii="宋体" w:hAnsi="宋体" w:eastAsia="宋体" w:cs="宋体"/>
              <w:color w:val="auto"/>
            </w:rPr>
            <w:t>18</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4E1D087B">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_Toc13560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三、比选要求</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_Toc13560 \h </w:instrText>
          </w:r>
          <w:r>
            <w:rPr>
              <w:rFonts w:hint="eastAsia" w:ascii="宋体" w:hAnsi="宋体" w:eastAsia="宋体" w:cs="宋体"/>
              <w:color w:val="auto"/>
            </w:rPr>
            <w:fldChar w:fldCharType="separate"/>
          </w:r>
          <w:r>
            <w:rPr>
              <w:rFonts w:hint="eastAsia" w:ascii="宋体" w:hAnsi="宋体" w:eastAsia="宋体" w:cs="宋体"/>
              <w:color w:val="auto"/>
            </w:rPr>
            <w:t>18</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1F4C8334">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_Toc30903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四、</w:t>
          </w:r>
          <w:r>
            <w:rPr>
              <w:rFonts w:hint="eastAsia" w:ascii="宋体" w:hAnsi="宋体" w:eastAsia="宋体" w:cs="宋体"/>
              <w:color w:val="auto"/>
              <w:szCs w:val="24"/>
              <w:highlight w:val="none"/>
              <w:lang w:eastAsia="zh-CN"/>
            </w:rPr>
            <w:t>中标人</w:t>
          </w:r>
          <w:r>
            <w:rPr>
              <w:rFonts w:hint="eastAsia" w:ascii="宋体" w:hAnsi="宋体" w:eastAsia="宋体" w:cs="宋体"/>
              <w:color w:val="auto"/>
              <w:szCs w:val="24"/>
              <w:highlight w:val="none"/>
            </w:rPr>
            <w:t>的确认和变更</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_Toc30903 \h </w:instrText>
          </w:r>
          <w:r>
            <w:rPr>
              <w:rFonts w:hint="eastAsia" w:ascii="宋体" w:hAnsi="宋体" w:eastAsia="宋体" w:cs="宋体"/>
              <w:color w:val="auto"/>
            </w:rPr>
            <w:fldChar w:fldCharType="separate"/>
          </w:r>
          <w:r>
            <w:rPr>
              <w:rFonts w:hint="eastAsia" w:ascii="宋体" w:hAnsi="宋体" w:eastAsia="宋体" w:cs="宋体"/>
              <w:color w:val="auto"/>
            </w:rPr>
            <w:t>20</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663C6556">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_Toc18022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五、</w:t>
          </w:r>
          <w:r>
            <w:rPr>
              <w:rFonts w:hint="eastAsia" w:ascii="宋体" w:hAnsi="宋体" w:eastAsia="宋体" w:cs="宋体"/>
              <w:color w:val="auto"/>
              <w:szCs w:val="24"/>
              <w:highlight w:val="none"/>
              <w:lang w:val="en-US" w:eastAsia="zh-CN"/>
            </w:rPr>
            <w:t>中标（</w:t>
          </w:r>
          <w:r>
            <w:rPr>
              <w:rFonts w:hint="eastAsia" w:ascii="宋体" w:hAnsi="宋体" w:eastAsia="宋体" w:cs="宋体"/>
              <w:color w:val="auto"/>
              <w:szCs w:val="24"/>
              <w:highlight w:val="none"/>
            </w:rPr>
            <w:t>成交</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通知</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_Toc18022 \h </w:instrText>
          </w:r>
          <w:r>
            <w:rPr>
              <w:rFonts w:hint="eastAsia" w:ascii="宋体" w:hAnsi="宋体" w:eastAsia="宋体" w:cs="宋体"/>
              <w:color w:val="auto"/>
            </w:rPr>
            <w:fldChar w:fldCharType="separate"/>
          </w:r>
          <w:r>
            <w:rPr>
              <w:rFonts w:hint="eastAsia" w:ascii="宋体" w:hAnsi="宋体" w:eastAsia="宋体" w:cs="宋体"/>
              <w:color w:val="auto"/>
            </w:rPr>
            <w:t>20</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520BACD8">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_Toc6986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六、关于质疑和投诉</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_Toc6986 \h </w:instrText>
          </w:r>
          <w:r>
            <w:rPr>
              <w:rFonts w:hint="eastAsia" w:ascii="宋体" w:hAnsi="宋体" w:eastAsia="宋体" w:cs="宋体"/>
              <w:color w:val="auto"/>
            </w:rPr>
            <w:fldChar w:fldCharType="separate"/>
          </w:r>
          <w:r>
            <w:rPr>
              <w:rFonts w:hint="eastAsia" w:ascii="宋体" w:hAnsi="宋体" w:eastAsia="宋体" w:cs="宋体"/>
              <w:color w:val="auto"/>
            </w:rPr>
            <w:t>20</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221178CF">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_Toc2235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七、采购代理服务费</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_Toc2235 \h </w:instrText>
          </w:r>
          <w:r>
            <w:rPr>
              <w:rFonts w:hint="eastAsia" w:ascii="宋体" w:hAnsi="宋体" w:eastAsia="宋体" w:cs="宋体"/>
              <w:color w:val="auto"/>
            </w:rPr>
            <w:fldChar w:fldCharType="separate"/>
          </w:r>
          <w:r>
            <w:rPr>
              <w:rFonts w:hint="eastAsia" w:ascii="宋体" w:hAnsi="宋体" w:eastAsia="宋体" w:cs="宋体"/>
              <w:color w:val="auto"/>
            </w:rPr>
            <w:t>22</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7D7B5727">
          <w:pPr>
            <w:pStyle w:val="20"/>
            <w:tabs>
              <w:tab w:val="right" w:leader="dot" w:pos="9639"/>
              <w:tab w:val="clear" w:pos="1260"/>
              <w:tab w:val="clear" w:pos="1685"/>
              <w:tab w:val="clear" w:pos="8400"/>
            </w:tabs>
            <w:rPr>
              <w:rFonts w:hint="eastAsia" w:ascii="宋体" w:hAnsi="宋体" w:eastAsia="宋体" w:cs="宋体"/>
              <w:color w:val="auto"/>
              <w:szCs w:val="24"/>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_Toc2235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lang w:val="en-US" w:eastAsia="zh-CN"/>
            </w:rPr>
            <w:t>八</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val="en-US" w:eastAsia="zh-CN"/>
            </w:rPr>
            <w:t>签订合同</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_Toc2235 \h </w:instrText>
          </w:r>
          <w:r>
            <w:rPr>
              <w:rFonts w:hint="eastAsia" w:ascii="宋体" w:hAnsi="宋体" w:eastAsia="宋体" w:cs="宋体"/>
              <w:color w:val="auto"/>
            </w:rPr>
            <w:fldChar w:fldCharType="separate"/>
          </w:r>
          <w:r>
            <w:rPr>
              <w:rFonts w:hint="eastAsia" w:ascii="宋体" w:hAnsi="宋体" w:eastAsia="宋体" w:cs="宋体"/>
              <w:color w:val="auto"/>
            </w:rPr>
            <w:t>22</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7AA825BC">
          <w:pPr>
            <w:pStyle w:val="20"/>
            <w:tabs>
              <w:tab w:val="right" w:leader="dot" w:pos="9639"/>
              <w:tab w:val="clear" w:pos="1260"/>
              <w:tab w:val="clear" w:pos="1685"/>
              <w:tab w:val="clear" w:pos="8400"/>
            </w:tabs>
            <w:rPr>
              <w:rFonts w:hint="eastAsia" w:ascii="宋体" w:hAnsi="宋体" w:eastAsia="宋体" w:cs="宋体"/>
              <w:color w:val="auto"/>
              <w:szCs w:val="24"/>
              <w:highlight w:val="none"/>
            </w:rPr>
          </w:pPr>
        </w:p>
        <w:p w14:paraId="4C293B17">
          <w:pPr>
            <w:pStyle w:val="20"/>
            <w:tabs>
              <w:tab w:val="right" w:leader="dot" w:pos="9639"/>
              <w:tab w:val="clear" w:pos="1260"/>
              <w:tab w:val="clear" w:pos="1685"/>
              <w:tab w:val="clear" w:pos="8400"/>
            </w:tabs>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第六篇  采购合同</w:t>
          </w:r>
          <w:r>
            <w:rPr>
              <w:rFonts w:hint="eastAsia" w:ascii="宋体" w:hAnsi="宋体" w:eastAsia="宋体" w:cs="宋体"/>
              <w:b/>
              <w:bCs/>
              <w:color w:val="auto"/>
            </w:rPr>
            <w:tab/>
          </w: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PAGEREF _Toc2235 \h </w:instrText>
          </w:r>
          <w:r>
            <w:rPr>
              <w:rFonts w:hint="eastAsia" w:ascii="宋体" w:hAnsi="宋体" w:eastAsia="宋体" w:cs="宋体"/>
              <w:b/>
              <w:bCs/>
              <w:color w:val="auto"/>
            </w:rPr>
            <w:fldChar w:fldCharType="separate"/>
          </w:r>
          <w:r>
            <w:rPr>
              <w:rFonts w:hint="eastAsia" w:ascii="宋体" w:hAnsi="宋体" w:eastAsia="宋体" w:cs="宋体"/>
              <w:b/>
              <w:bCs/>
              <w:color w:val="auto"/>
            </w:rPr>
            <w:t>22</w:t>
          </w:r>
          <w:r>
            <w:rPr>
              <w:rFonts w:hint="eastAsia" w:ascii="宋体" w:hAnsi="宋体" w:eastAsia="宋体" w:cs="宋体"/>
              <w:b/>
              <w:bCs/>
              <w:color w:val="auto"/>
            </w:rPr>
            <w:fldChar w:fldCharType="end"/>
          </w:r>
        </w:p>
        <w:p w14:paraId="5A391014">
          <w:pPr>
            <w:pStyle w:val="20"/>
            <w:tabs>
              <w:tab w:val="right" w:leader="dot" w:pos="9639"/>
              <w:tab w:val="clear" w:pos="1260"/>
              <w:tab w:val="clear" w:pos="1685"/>
              <w:tab w:val="clear" w:pos="8400"/>
            </w:tabs>
            <w:rPr>
              <w:rFonts w:hint="eastAsia" w:ascii="宋体" w:hAnsi="宋体" w:eastAsia="宋体" w:cs="宋体"/>
              <w:color w:val="auto"/>
              <w:szCs w:val="24"/>
              <w:highlight w:val="none"/>
            </w:rPr>
          </w:pPr>
        </w:p>
        <w:p w14:paraId="66A0427A">
          <w:pPr>
            <w:pStyle w:val="20"/>
            <w:tabs>
              <w:tab w:val="right" w:leader="dot" w:pos="9639"/>
              <w:tab w:val="clear" w:pos="1260"/>
              <w:tab w:val="clear" w:pos="1685"/>
              <w:tab w:val="clear" w:pos="8400"/>
            </w:tabs>
            <w:rPr>
              <w:rFonts w:hint="eastAsia" w:ascii="宋体" w:hAnsi="宋体" w:eastAsia="宋体" w:cs="宋体"/>
              <w:b/>
              <w:bCs/>
              <w:color w:val="auto"/>
            </w:rPr>
          </w:pPr>
          <w:r>
            <w:rPr>
              <w:rFonts w:hint="eastAsia" w:ascii="宋体" w:hAnsi="宋体" w:eastAsia="宋体" w:cs="宋体"/>
              <w:b/>
              <w:bCs/>
              <w:color w:val="auto"/>
              <w:szCs w:val="24"/>
              <w:highlight w:val="none"/>
            </w:rPr>
            <w:fldChar w:fldCharType="begin"/>
          </w:r>
          <w:r>
            <w:rPr>
              <w:rFonts w:hint="eastAsia" w:ascii="宋体" w:hAnsi="宋体" w:eastAsia="宋体" w:cs="宋体"/>
              <w:b/>
              <w:bCs/>
              <w:color w:val="auto"/>
              <w:szCs w:val="24"/>
              <w:highlight w:val="none"/>
            </w:rPr>
            <w:instrText xml:space="preserve"> HYPERLINK \l _Toc19004 </w:instrText>
          </w:r>
          <w:r>
            <w:rPr>
              <w:rFonts w:hint="eastAsia" w:ascii="宋体" w:hAnsi="宋体" w:eastAsia="宋体" w:cs="宋体"/>
              <w:b/>
              <w:bCs/>
              <w:color w:val="auto"/>
              <w:szCs w:val="24"/>
              <w:highlight w:val="none"/>
            </w:rPr>
            <w:fldChar w:fldCharType="separate"/>
          </w:r>
          <w:r>
            <w:rPr>
              <w:rFonts w:hint="eastAsia" w:ascii="宋体" w:hAnsi="宋体" w:eastAsia="宋体" w:cs="宋体"/>
              <w:b/>
              <w:bCs/>
              <w:color w:val="auto"/>
              <w:highlight w:val="none"/>
            </w:rPr>
            <w:t>第</w:t>
          </w:r>
          <w:r>
            <w:rPr>
              <w:rFonts w:hint="eastAsia" w:ascii="宋体" w:hAnsi="宋体" w:eastAsia="宋体" w:cs="宋体"/>
              <w:b/>
              <w:bCs/>
              <w:color w:val="auto"/>
              <w:highlight w:val="none"/>
              <w:lang w:eastAsia="zh-CN"/>
            </w:rPr>
            <w:t>七</w:t>
          </w:r>
          <w:r>
            <w:rPr>
              <w:rFonts w:hint="eastAsia" w:ascii="宋体" w:hAnsi="宋体" w:eastAsia="宋体" w:cs="宋体"/>
              <w:b/>
              <w:bCs/>
              <w:color w:val="auto"/>
              <w:highlight w:val="none"/>
            </w:rPr>
            <w:t>篇  投标文件编制要求</w:t>
          </w:r>
          <w:r>
            <w:rPr>
              <w:rFonts w:hint="eastAsia" w:ascii="宋体" w:hAnsi="宋体" w:eastAsia="宋体" w:cs="宋体"/>
              <w:b/>
              <w:bCs/>
              <w:color w:val="auto"/>
            </w:rPr>
            <w:tab/>
          </w: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PAGEREF _Toc19004 \h </w:instrText>
          </w:r>
          <w:r>
            <w:rPr>
              <w:rFonts w:hint="eastAsia" w:ascii="宋体" w:hAnsi="宋体" w:eastAsia="宋体" w:cs="宋体"/>
              <w:b/>
              <w:bCs/>
              <w:color w:val="auto"/>
            </w:rPr>
            <w:fldChar w:fldCharType="separate"/>
          </w:r>
          <w:r>
            <w:rPr>
              <w:rFonts w:hint="eastAsia" w:ascii="宋体" w:hAnsi="宋体" w:eastAsia="宋体" w:cs="宋体"/>
              <w:b/>
              <w:bCs/>
              <w:color w:val="auto"/>
            </w:rPr>
            <w:t>24</w:t>
          </w:r>
          <w:r>
            <w:rPr>
              <w:rFonts w:hint="eastAsia" w:ascii="宋体" w:hAnsi="宋体" w:eastAsia="宋体" w:cs="宋体"/>
              <w:b/>
              <w:bCs/>
              <w:color w:val="auto"/>
            </w:rPr>
            <w:fldChar w:fldCharType="end"/>
          </w:r>
          <w:r>
            <w:rPr>
              <w:rFonts w:hint="eastAsia" w:ascii="宋体" w:hAnsi="宋体" w:eastAsia="宋体" w:cs="宋体"/>
              <w:b/>
              <w:bCs/>
              <w:color w:val="auto"/>
              <w:szCs w:val="24"/>
              <w:highlight w:val="none"/>
            </w:rPr>
            <w:fldChar w:fldCharType="end"/>
          </w:r>
        </w:p>
        <w:p w14:paraId="4130C453">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_Toc15782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zCs w:val="24"/>
              <w:highlight w:val="none"/>
            </w:rPr>
            <w:t>一、经济部分</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_Toc15782 \h </w:instrText>
          </w:r>
          <w:r>
            <w:rPr>
              <w:rFonts w:hint="eastAsia" w:ascii="宋体" w:hAnsi="宋体" w:eastAsia="宋体" w:cs="宋体"/>
              <w:color w:val="auto"/>
            </w:rPr>
            <w:fldChar w:fldCharType="separate"/>
          </w:r>
          <w:r>
            <w:rPr>
              <w:rFonts w:hint="eastAsia" w:ascii="宋体" w:hAnsi="宋体" w:eastAsia="宋体" w:cs="宋体"/>
              <w:color w:val="auto"/>
            </w:rPr>
            <w:t>26</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50A478DE">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_Toc31572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zCs w:val="24"/>
              <w:highlight w:val="none"/>
            </w:rPr>
            <w:t>二、服务部分</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_Toc31572 \h </w:instrText>
          </w:r>
          <w:r>
            <w:rPr>
              <w:rFonts w:hint="eastAsia" w:ascii="宋体" w:hAnsi="宋体" w:eastAsia="宋体" w:cs="宋体"/>
              <w:color w:val="auto"/>
            </w:rPr>
            <w:fldChar w:fldCharType="separate"/>
          </w:r>
          <w:r>
            <w:rPr>
              <w:rFonts w:hint="eastAsia" w:ascii="宋体" w:hAnsi="宋体" w:eastAsia="宋体" w:cs="宋体"/>
              <w:color w:val="auto"/>
            </w:rPr>
            <w:t>27</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25599486">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_Toc31607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zCs w:val="24"/>
              <w:highlight w:val="none"/>
            </w:rPr>
            <w:t>三、商务部分</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_Toc31607 \h </w:instrText>
          </w:r>
          <w:r>
            <w:rPr>
              <w:rFonts w:hint="eastAsia" w:ascii="宋体" w:hAnsi="宋体" w:eastAsia="宋体" w:cs="宋体"/>
              <w:color w:val="auto"/>
            </w:rPr>
            <w:fldChar w:fldCharType="separate"/>
          </w:r>
          <w:r>
            <w:rPr>
              <w:rFonts w:hint="eastAsia" w:ascii="宋体" w:hAnsi="宋体" w:eastAsia="宋体" w:cs="宋体"/>
              <w:color w:val="auto"/>
            </w:rPr>
            <w:t>29</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40A8D065">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_Toc3255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zCs w:val="24"/>
              <w:highlight w:val="none"/>
            </w:rPr>
            <w:t>四、资格条件及其他</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_Toc3255 \h </w:instrText>
          </w:r>
          <w:r>
            <w:rPr>
              <w:rFonts w:hint="eastAsia" w:ascii="宋体" w:hAnsi="宋体" w:eastAsia="宋体" w:cs="宋体"/>
              <w:color w:val="auto"/>
            </w:rPr>
            <w:fldChar w:fldCharType="separate"/>
          </w:r>
          <w:r>
            <w:rPr>
              <w:rFonts w:hint="eastAsia" w:ascii="宋体" w:hAnsi="宋体" w:eastAsia="宋体" w:cs="宋体"/>
              <w:color w:val="auto"/>
            </w:rPr>
            <w:t>32</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5EE475B1">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_Toc11375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zCs w:val="24"/>
              <w:highlight w:val="none"/>
            </w:rPr>
            <w:t>五、其他资料</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_Toc11375 \h </w:instrText>
          </w:r>
          <w:r>
            <w:rPr>
              <w:rFonts w:hint="eastAsia" w:ascii="宋体" w:hAnsi="宋体" w:eastAsia="宋体" w:cs="宋体"/>
              <w:color w:val="auto"/>
            </w:rPr>
            <w:fldChar w:fldCharType="separate"/>
          </w:r>
          <w:r>
            <w:rPr>
              <w:rFonts w:hint="eastAsia" w:ascii="宋体" w:hAnsi="宋体" w:eastAsia="宋体" w:cs="宋体"/>
              <w:color w:val="auto"/>
            </w:rPr>
            <w:t>38</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667B915E">
          <w:pPr>
            <w:pStyle w:val="20"/>
            <w:tabs>
              <w:tab w:val="right" w:leader="middleDot" w:pos="9639"/>
              <w:tab w:val="clear" w:pos="1260"/>
              <w:tab w:val="clear" w:pos="1685"/>
              <w:tab w:val="clear" w:pos="8400"/>
            </w:tabs>
            <w:spacing w:line="360" w:lineRule="auto"/>
            <w:rPr>
              <w:rFonts w:hint="eastAsia" w:ascii="宋体" w:hAnsi="宋体" w:eastAsia="宋体" w:cs="宋体"/>
              <w:color w:val="auto"/>
              <w:sz w:val="24"/>
              <w:szCs w:val="28"/>
            </w:rPr>
          </w:pPr>
          <w:r>
            <w:rPr>
              <w:rFonts w:hint="eastAsia" w:ascii="宋体" w:hAnsi="宋体" w:eastAsia="宋体" w:cs="宋体"/>
              <w:color w:val="auto"/>
              <w:szCs w:val="24"/>
              <w:highlight w:val="none"/>
            </w:rPr>
            <w:fldChar w:fldCharType="end"/>
          </w:r>
        </w:p>
      </w:sdtContent>
    </w:sdt>
    <w:p w14:paraId="2F74DAE5">
      <w:pPr>
        <w:pStyle w:val="2"/>
        <w:spacing w:before="0" w:beforeLines="0" w:after="0" w:afterLines="0" w:line="360" w:lineRule="auto"/>
        <w:jc w:val="both"/>
        <w:rPr>
          <w:rFonts w:hint="eastAsia" w:ascii="宋体" w:hAnsi="宋体" w:eastAsia="宋体" w:cs="宋体"/>
          <w:b/>
          <w:bCs/>
          <w:color w:val="auto"/>
          <w:sz w:val="52"/>
          <w:szCs w:val="52"/>
          <w:highlight w:val="none"/>
        </w:rPr>
        <w:sectPr>
          <w:headerReference r:id="rId9" w:type="default"/>
          <w:footerReference r:id="rId10" w:type="default"/>
          <w:pgSz w:w="11907" w:h="16840"/>
          <w:pgMar w:top="1134" w:right="1134" w:bottom="1134" w:left="1134" w:header="851" w:footer="992" w:gutter="0"/>
          <w:pgNumType w:fmt="decimal" w:start="1"/>
          <w:cols w:space="720" w:num="1"/>
          <w:docGrid w:linePitch="380" w:charSpace="-5735"/>
        </w:sectPr>
      </w:pPr>
    </w:p>
    <w:p w14:paraId="507E23A7">
      <w:pPr>
        <w:pStyle w:val="2"/>
        <w:spacing w:before="0" w:beforeLines="0" w:after="0" w:afterLines="0" w:line="360" w:lineRule="auto"/>
        <w:jc w:val="center"/>
        <w:rPr>
          <w:rFonts w:hint="eastAsia" w:ascii="宋体" w:hAnsi="宋体" w:eastAsia="宋体" w:cs="宋体"/>
          <w:b/>
          <w:bCs/>
          <w:color w:val="auto"/>
          <w:highlight w:val="none"/>
        </w:rPr>
      </w:pPr>
      <w:bookmarkStart w:id="15" w:name="_Toc22665"/>
      <w:bookmarkStart w:id="16" w:name="_Toc22072"/>
      <w:r>
        <w:rPr>
          <w:rFonts w:hint="eastAsia" w:ascii="宋体" w:hAnsi="宋体" w:eastAsia="宋体" w:cs="宋体"/>
          <w:b/>
          <w:bCs/>
          <w:color w:val="auto"/>
          <w:sz w:val="52"/>
          <w:szCs w:val="52"/>
          <w:highlight w:val="none"/>
        </w:rPr>
        <w:t xml:space="preserve">第一篇  </w:t>
      </w:r>
      <w:r>
        <w:rPr>
          <w:rFonts w:hint="eastAsia" w:ascii="宋体" w:hAnsi="宋体" w:eastAsia="宋体" w:cs="宋体"/>
          <w:b/>
          <w:bCs/>
          <w:color w:val="auto"/>
          <w:sz w:val="52"/>
          <w:szCs w:val="52"/>
          <w:highlight w:val="none"/>
          <w:lang w:eastAsia="zh-CN"/>
        </w:rPr>
        <w:t>比选</w:t>
      </w:r>
      <w:r>
        <w:rPr>
          <w:rFonts w:hint="eastAsia" w:ascii="宋体" w:hAnsi="宋体" w:eastAsia="宋体" w:cs="宋体"/>
          <w:b/>
          <w:bCs/>
          <w:color w:val="auto"/>
          <w:sz w:val="52"/>
          <w:szCs w:val="52"/>
          <w:highlight w:val="none"/>
        </w:rPr>
        <w:t>邀请书</w:t>
      </w:r>
      <w:bookmarkEnd w:id="15"/>
      <w:bookmarkEnd w:id="16"/>
    </w:p>
    <w:p w14:paraId="4F1991CB">
      <w:pPr>
        <w:pStyle w:val="12"/>
        <w:spacing w:line="360" w:lineRule="auto"/>
        <w:ind w:left="0" w:leftChars="0" w:firstLine="720" w:firstLineChars="3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 xml:space="preserve"> 重庆钓鱼城建设监理咨询有限公司 </w:t>
      </w:r>
      <w:r>
        <w:rPr>
          <w:rFonts w:hint="eastAsia" w:ascii="宋体" w:hAnsi="宋体" w:eastAsia="宋体" w:cs="宋体"/>
          <w:color w:val="auto"/>
          <w:sz w:val="24"/>
          <w:szCs w:val="24"/>
          <w:highlight w:val="none"/>
        </w:rPr>
        <w:t>(以下简称：采购代理机构)受</w:t>
      </w:r>
      <w:r>
        <w:rPr>
          <w:rFonts w:hint="eastAsia" w:ascii="宋体" w:hAnsi="宋体" w:eastAsia="宋体" w:cs="宋体"/>
          <w:color w:val="auto"/>
          <w:sz w:val="24"/>
          <w:szCs w:val="24"/>
          <w:highlight w:val="none"/>
          <w:u w:val="single"/>
          <w:lang w:val="en-US" w:eastAsia="zh-CN"/>
        </w:rPr>
        <w:t xml:space="preserve"> 酉阳土家族苗族自治县兴隆初级中学校 （</w:t>
      </w:r>
      <w:r>
        <w:rPr>
          <w:rFonts w:hint="eastAsia" w:ascii="宋体" w:hAnsi="宋体" w:eastAsia="宋体" w:cs="宋体"/>
          <w:color w:val="auto"/>
          <w:sz w:val="24"/>
          <w:szCs w:val="24"/>
          <w:highlight w:val="none"/>
          <w:u w:val="none"/>
          <w:lang w:val="en-US" w:eastAsia="zh-CN"/>
        </w:rPr>
        <w:t>以下简称：采购人</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rPr>
        <w:t>的委托，对</w:t>
      </w:r>
      <w:r>
        <w:rPr>
          <w:rFonts w:hint="eastAsia" w:ascii="宋体" w:hAnsi="宋体" w:eastAsia="宋体" w:cs="宋体"/>
          <w:color w:val="auto"/>
          <w:sz w:val="24"/>
          <w:szCs w:val="24"/>
          <w:highlight w:val="none"/>
          <w:u w:val="single"/>
          <w:lang w:val="en-US" w:eastAsia="zh-CN"/>
        </w:rPr>
        <w:t xml:space="preserve"> 酉阳土家族苗族自治县兴隆初级中学校校园超市供应商项目 </w:t>
      </w:r>
      <w:r>
        <w:rPr>
          <w:rFonts w:hint="eastAsia" w:ascii="宋体" w:hAnsi="宋体" w:eastAsia="宋体" w:cs="宋体"/>
          <w:color w:val="auto"/>
          <w:sz w:val="24"/>
          <w:szCs w:val="24"/>
          <w:highlight w:val="none"/>
        </w:rPr>
        <w:t>进行比选。欢迎有资格的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前来参加比选。</w:t>
      </w:r>
    </w:p>
    <w:p w14:paraId="7FF377F7">
      <w:pPr>
        <w:pStyle w:val="3"/>
        <w:pageBreakBefore w:val="0"/>
        <w:widowControl w:val="0"/>
        <w:numPr>
          <w:ilvl w:val="0"/>
          <w:numId w:val="0"/>
        </w:numPr>
        <w:kinsoku/>
        <w:wordWrap/>
        <w:overflowPunct/>
        <w:topLinePunct w:val="0"/>
        <w:autoSpaceDE/>
        <w:autoSpaceDN/>
        <w:bidi w:val="0"/>
        <w:spacing w:line="360" w:lineRule="auto"/>
        <w:textAlignment w:val="auto"/>
        <w:outlineLvl w:val="0"/>
        <w:rPr>
          <w:rFonts w:hint="eastAsia" w:ascii="宋体" w:hAnsi="宋体" w:eastAsia="宋体" w:cs="宋体"/>
          <w:color w:val="auto"/>
          <w:highlight w:val="none"/>
        </w:rPr>
      </w:pPr>
      <w:bookmarkStart w:id="17" w:name="_Toc27984"/>
      <w:bookmarkStart w:id="18" w:name="_Toc9379"/>
      <w:bookmarkStart w:id="19" w:name="_Toc12178"/>
      <w:bookmarkStart w:id="20" w:name="_Toc6064"/>
      <w:r>
        <w:rPr>
          <w:rFonts w:hint="eastAsia" w:ascii="宋体" w:hAnsi="宋体" w:eastAsia="宋体" w:cs="宋体"/>
          <w:b/>
          <w:color w:val="auto"/>
          <w:sz w:val="24"/>
          <w:szCs w:val="24"/>
          <w:highlight w:val="none"/>
          <w:lang w:eastAsia="zh-CN"/>
        </w:rPr>
        <w:t>一、</w:t>
      </w:r>
      <w:r>
        <w:rPr>
          <w:rFonts w:hint="eastAsia" w:ascii="宋体" w:hAnsi="宋体" w:eastAsia="宋体" w:cs="宋体"/>
          <w:b/>
          <w:color w:val="auto"/>
          <w:sz w:val="24"/>
          <w:szCs w:val="24"/>
          <w:highlight w:val="none"/>
        </w:rPr>
        <w:t>比选内容</w:t>
      </w:r>
      <w:bookmarkEnd w:id="17"/>
      <w:bookmarkEnd w:id="18"/>
      <w:bookmarkEnd w:id="19"/>
      <w:bookmarkEnd w:id="20"/>
    </w:p>
    <w:tbl>
      <w:tblPr>
        <w:tblStyle w:val="27"/>
        <w:tblW w:w="9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5"/>
        <w:gridCol w:w="1761"/>
        <w:gridCol w:w="1425"/>
        <w:gridCol w:w="1110"/>
        <w:gridCol w:w="1192"/>
        <w:gridCol w:w="1035"/>
        <w:gridCol w:w="1111"/>
      </w:tblGrid>
      <w:tr w14:paraId="6F123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035" w:type="dxa"/>
            <w:tcBorders>
              <w:top w:val="single" w:color="auto" w:sz="4" w:space="0"/>
              <w:left w:val="single" w:color="auto" w:sz="4" w:space="0"/>
              <w:right w:val="single" w:color="auto" w:sz="4" w:space="0"/>
            </w:tcBorders>
            <w:noWrap w:val="0"/>
            <w:vAlign w:val="center"/>
          </w:tcPr>
          <w:p w14:paraId="33A892C3">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val="en-US" w:eastAsia="zh-CN"/>
              </w:rPr>
              <w:t>项目</w:t>
            </w:r>
            <w:r>
              <w:rPr>
                <w:rFonts w:hint="eastAsia" w:ascii="宋体" w:hAnsi="宋体" w:eastAsia="宋体" w:cs="宋体"/>
                <w:b/>
                <w:bCs/>
                <w:color w:val="auto"/>
                <w:kern w:val="0"/>
                <w:sz w:val="24"/>
                <w:szCs w:val="24"/>
                <w:highlight w:val="none"/>
              </w:rPr>
              <w:t>名称</w:t>
            </w:r>
          </w:p>
        </w:tc>
        <w:tc>
          <w:tcPr>
            <w:tcW w:w="1761" w:type="dxa"/>
            <w:tcBorders>
              <w:top w:val="single" w:color="auto" w:sz="4" w:space="0"/>
              <w:left w:val="single" w:color="auto" w:sz="4" w:space="0"/>
              <w:right w:val="single" w:color="auto" w:sz="4" w:space="0"/>
            </w:tcBorders>
            <w:noWrap w:val="0"/>
            <w:vAlign w:val="center"/>
          </w:tcPr>
          <w:p w14:paraId="468F2B45">
            <w:pPr>
              <w:pStyle w:val="12"/>
              <w:keepNext w:val="0"/>
              <w:keepLines w:val="0"/>
              <w:pageBreakBefore w:val="0"/>
              <w:kinsoku/>
              <w:wordWrap/>
              <w:overflowPunct/>
              <w:topLinePunct w:val="0"/>
              <w:autoSpaceDE/>
              <w:autoSpaceDN/>
              <w:bidi w:val="0"/>
              <w:adjustRightInd/>
              <w:snapToGrid/>
              <w:spacing w:line="360" w:lineRule="auto"/>
              <w:ind w:left="0"/>
              <w:jc w:val="center"/>
              <w:textAlignment w:val="auto"/>
              <w:outlineLvl w:val="0"/>
              <w:rPr>
                <w:rFonts w:hint="eastAsia" w:ascii="宋体" w:hAnsi="宋体" w:eastAsia="宋体" w:cs="宋体"/>
                <w:b/>
                <w:bCs/>
                <w:color w:val="auto"/>
                <w:kern w:val="0"/>
                <w:sz w:val="24"/>
                <w:szCs w:val="24"/>
                <w:highlight w:val="none"/>
              </w:rPr>
            </w:pPr>
            <w:bookmarkStart w:id="21" w:name="_Toc5230"/>
            <w:bookmarkStart w:id="22" w:name="_Toc31540"/>
            <w:bookmarkStart w:id="23" w:name="_Toc6654"/>
            <w:bookmarkStart w:id="24" w:name="_Toc12746"/>
            <w:bookmarkStart w:id="25" w:name="_Toc19535"/>
            <w:r>
              <w:rPr>
                <w:rFonts w:hint="eastAsia" w:ascii="宋体" w:hAnsi="宋体" w:eastAsia="宋体" w:cs="宋体"/>
                <w:b/>
                <w:color w:val="auto"/>
                <w:sz w:val="24"/>
                <w:szCs w:val="24"/>
                <w:highlight w:val="none"/>
              </w:rPr>
              <w:t>最高限价（</w:t>
            </w:r>
            <w:r>
              <w:rPr>
                <w:rFonts w:hint="eastAsia" w:ascii="宋体" w:hAnsi="宋体" w:eastAsia="宋体" w:cs="宋体"/>
                <w:b/>
                <w:color w:val="auto"/>
                <w:sz w:val="24"/>
                <w:szCs w:val="24"/>
                <w:highlight w:val="none"/>
                <w:lang w:val="en-US" w:eastAsia="zh-CN"/>
              </w:rPr>
              <w:t>投标报价费率</w:t>
            </w:r>
            <w:r>
              <w:rPr>
                <w:rFonts w:hint="eastAsia" w:ascii="宋体" w:hAnsi="宋体" w:eastAsia="宋体" w:cs="宋体"/>
                <w:b/>
                <w:color w:val="auto"/>
                <w:sz w:val="24"/>
                <w:szCs w:val="24"/>
                <w:highlight w:val="none"/>
              </w:rPr>
              <w:t>）</w:t>
            </w:r>
            <w:bookmarkEnd w:id="21"/>
            <w:bookmarkEnd w:id="22"/>
            <w:bookmarkEnd w:id="23"/>
            <w:bookmarkEnd w:id="24"/>
            <w:bookmarkEnd w:id="25"/>
          </w:p>
        </w:tc>
        <w:tc>
          <w:tcPr>
            <w:tcW w:w="1425" w:type="dxa"/>
            <w:tcBorders>
              <w:top w:val="single" w:color="auto" w:sz="4" w:space="0"/>
              <w:left w:val="single" w:color="auto" w:sz="4" w:space="0"/>
              <w:right w:val="single" w:color="auto" w:sz="4" w:space="0"/>
            </w:tcBorders>
            <w:noWrap w:val="0"/>
            <w:vAlign w:val="center"/>
          </w:tcPr>
          <w:p w14:paraId="38E80DC4">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eastAsia="zh-CN"/>
              </w:rPr>
              <w:t>采购预算（万元</w:t>
            </w:r>
            <w:r>
              <w:rPr>
                <w:rFonts w:hint="eastAsia" w:ascii="宋体" w:hAnsi="宋体" w:eastAsia="宋体" w:cs="宋体"/>
                <w:b/>
                <w:bCs/>
                <w:color w:val="auto"/>
                <w:kern w:val="0"/>
                <w:sz w:val="24"/>
                <w:szCs w:val="24"/>
                <w:highlight w:val="none"/>
                <w:lang w:val="en-US" w:eastAsia="zh-CN"/>
              </w:rPr>
              <w:t>/年</w:t>
            </w:r>
            <w:r>
              <w:rPr>
                <w:rFonts w:hint="eastAsia" w:ascii="宋体" w:hAnsi="宋体" w:eastAsia="宋体" w:cs="宋体"/>
                <w:b/>
                <w:bCs/>
                <w:color w:val="auto"/>
                <w:kern w:val="0"/>
                <w:sz w:val="24"/>
                <w:szCs w:val="24"/>
                <w:highlight w:val="none"/>
                <w:lang w:eastAsia="zh-CN"/>
              </w:rPr>
              <w:t>）</w:t>
            </w:r>
          </w:p>
        </w:tc>
        <w:tc>
          <w:tcPr>
            <w:tcW w:w="1110" w:type="dxa"/>
            <w:tcBorders>
              <w:top w:val="single" w:color="auto" w:sz="4" w:space="0"/>
              <w:left w:val="single" w:color="auto" w:sz="4" w:space="0"/>
              <w:right w:val="single" w:color="auto" w:sz="4" w:space="0"/>
            </w:tcBorders>
            <w:noWrap w:val="0"/>
            <w:vAlign w:val="center"/>
          </w:tcPr>
          <w:p w14:paraId="69BEBE4A">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eastAsia="zh-CN"/>
              </w:rPr>
              <w:t>保证金（万元）</w:t>
            </w:r>
          </w:p>
        </w:tc>
        <w:tc>
          <w:tcPr>
            <w:tcW w:w="1192" w:type="dxa"/>
            <w:tcBorders>
              <w:top w:val="single" w:color="auto" w:sz="4" w:space="0"/>
              <w:left w:val="single" w:color="auto" w:sz="4" w:space="0"/>
              <w:right w:val="single" w:color="auto" w:sz="4" w:space="0"/>
            </w:tcBorders>
            <w:noWrap w:val="0"/>
            <w:vAlign w:val="center"/>
          </w:tcPr>
          <w:p w14:paraId="68B33774">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中标人</w:t>
            </w:r>
            <w:r>
              <w:rPr>
                <w:rFonts w:hint="eastAsia" w:ascii="宋体" w:hAnsi="宋体" w:eastAsia="宋体" w:cs="宋体"/>
                <w:b/>
                <w:bCs/>
                <w:color w:val="auto"/>
                <w:kern w:val="0"/>
                <w:sz w:val="24"/>
                <w:szCs w:val="24"/>
                <w:highlight w:val="none"/>
              </w:rPr>
              <w:t>数量（名）</w:t>
            </w:r>
          </w:p>
        </w:tc>
        <w:tc>
          <w:tcPr>
            <w:tcW w:w="1035" w:type="dxa"/>
            <w:tcBorders>
              <w:top w:val="single" w:color="auto" w:sz="4" w:space="0"/>
              <w:left w:val="single" w:color="auto" w:sz="4" w:space="0"/>
              <w:right w:val="single" w:color="auto" w:sz="4" w:space="0"/>
            </w:tcBorders>
            <w:noWrap w:val="0"/>
            <w:vAlign w:val="center"/>
          </w:tcPr>
          <w:p w14:paraId="0171F147">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服务期限</w:t>
            </w:r>
          </w:p>
        </w:tc>
        <w:tc>
          <w:tcPr>
            <w:tcW w:w="1111" w:type="dxa"/>
            <w:tcBorders>
              <w:top w:val="single" w:color="auto" w:sz="4" w:space="0"/>
              <w:left w:val="single" w:color="auto" w:sz="4" w:space="0"/>
              <w:right w:val="single" w:color="auto" w:sz="4" w:space="0"/>
            </w:tcBorders>
            <w:noWrap w:val="0"/>
            <w:vAlign w:val="center"/>
          </w:tcPr>
          <w:p w14:paraId="5FED2AB1">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备注</w:t>
            </w:r>
          </w:p>
        </w:tc>
      </w:tr>
      <w:tr w14:paraId="6DF6F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2035" w:type="dxa"/>
            <w:tcBorders>
              <w:top w:val="single" w:color="auto" w:sz="4" w:space="0"/>
              <w:left w:val="single" w:color="auto" w:sz="4" w:space="0"/>
              <w:bottom w:val="single" w:color="auto" w:sz="4" w:space="0"/>
              <w:right w:val="single" w:color="auto" w:sz="4" w:space="0"/>
            </w:tcBorders>
            <w:noWrap w:val="0"/>
            <w:vAlign w:val="center"/>
          </w:tcPr>
          <w:p w14:paraId="1702F501">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酉阳土家族苗族自治县兴隆初级中学校校园超市供应商项目</w:t>
            </w:r>
          </w:p>
        </w:tc>
        <w:tc>
          <w:tcPr>
            <w:tcW w:w="1761" w:type="dxa"/>
            <w:tcBorders>
              <w:top w:val="single" w:color="auto" w:sz="4" w:space="0"/>
              <w:left w:val="single" w:color="auto" w:sz="4" w:space="0"/>
              <w:bottom w:val="single" w:color="auto" w:sz="4" w:space="0"/>
              <w:right w:val="single" w:color="auto" w:sz="4" w:space="0"/>
            </w:tcBorders>
            <w:noWrap w:val="0"/>
            <w:vAlign w:val="center"/>
          </w:tcPr>
          <w:p w14:paraId="0443F780">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100%</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5C1E1F0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12.6万</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36C7226C">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w:t>
            </w:r>
          </w:p>
        </w:tc>
        <w:tc>
          <w:tcPr>
            <w:tcW w:w="1192" w:type="dxa"/>
            <w:tcBorders>
              <w:top w:val="single" w:color="auto" w:sz="4" w:space="0"/>
              <w:left w:val="single" w:color="auto" w:sz="4" w:space="0"/>
              <w:bottom w:val="single" w:color="auto" w:sz="4" w:space="0"/>
              <w:right w:val="single" w:color="auto" w:sz="4" w:space="0"/>
            </w:tcBorders>
            <w:noWrap w:val="0"/>
            <w:vAlign w:val="center"/>
          </w:tcPr>
          <w:p w14:paraId="2FF4BD3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p>
        </w:tc>
        <w:tc>
          <w:tcPr>
            <w:tcW w:w="1035" w:type="dxa"/>
            <w:tcBorders>
              <w:left w:val="single" w:color="auto" w:sz="4" w:space="0"/>
              <w:right w:val="single" w:color="auto" w:sz="4" w:space="0"/>
            </w:tcBorders>
            <w:noWrap w:val="0"/>
            <w:vAlign w:val="center"/>
          </w:tcPr>
          <w:p w14:paraId="2ED3E2F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服务期3年</w:t>
            </w:r>
          </w:p>
        </w:tc>
        <w:tc>
          <w:tcPr>
            <w:tcW w:w="1111" w:type="dxa"/>
            <w:tcBorders>
              <w:left w:val="single" w:color="auto" w:sz="4" w:space="0"/>
              <w:right w:val="single" w:color="auto" w:sz="4" w:space="0"/>
            </w:tcBorders>
            <w:noWrap w:val="0"/>
            <w:vAlign w:val="center"/>
          </w:tcPr>
          <w:p w14:paraId="305F5D6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校园超市货物配送</w:t>
            </w:r>
          </w:p>
        </w:tc>
      </w:tr>
      <w:tr w14:paraId="74A0A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69" w:type="dxa"/>
            <w:gridSpan w:val="7"/>
            <w:tcBorders>
              <w:top w:val="single" w:color="auto" w:sz="4" w:space="0"/>
              <w:left w:val="single" w:color="auto" w:sz="4" w:space="0"/>
              <w:bottom w:val="single" w:color="auto" w:sz="4" w:space="0"/>
              <w:right w:val="single" w:color="auto" w:sz="4" w:space="0"/>
            </w:tcBorders>
            <w:shd w:val="clear" w:color="auto" w:fill="auto"/>
            <w:noWrap w:val="0"/>
            <w:vAlign w:val="center"/>
          </w:tcPr>
          <w:p w14:paraId="2BDA5721">
            <w:pPr>
              <w:pStyle w:val="14"/>
              <w:numPr>
                <w:ilvl w:val="0"/>
                <w:numId w:val="1"/>
              </w:numPr>
              <w:bidi w:val="0"/>
              <w:spacing w:line="360" w:lineRule="auto"/>
              <w:jc w:val="left"/>
              <w:rPr>
                <w:rFonts w:hint="eastAsia" w:ascii="宋体" w:hAnsi="宋体" w:eastAsia="宋体" w:cs="宋体"/>
                <w:b w:val="0"/>
                <w:bCs w:val="0"/>
                <w:color w:val="auto"/>
                <w:sz w:val="24"/>
                <w:szCs w:val="24"/>
                <w:highlight w:val="none"/>
                <w:lang w:val="en-US" w:eastAsia="zh-CN"/>
              </w:rPr>
            </w:pPr>
            <w:bookmarkStart w:id="26" w:name="_Toc21469"/>
            <w:bookmarkStart w:id="27" w:name="_Toc28658"/>
            <w:r>
              <w:rPr>
                <w:rFonts w:hint="eastAsia" w:ascii="宋体" w:hAnsi="宋体" w:eastAsia="宋体" w:cs="宋体"/>
                <w:color w:val="auto"/>
                <w:kern w:val="2"/>
                <w:sz w:val="24"/>
                <w:szCs w:val="24"/>
                <w:lang w:val="en-US" w:eastAsia="zh-CN" w:bidi="ar-SA"/>
              </w:rPr>
              <w:t>以上表格中的数量及采购预算均为预估值，结算时以实际产生的数量和金额为准。</w:t>
            </w:r>
          </w:p>
        </w:tc>
      </w:tr>
      <w:bookmarkEnd w:id="26"/>
      <w:bookmarkEnd w:id="27"/>
    </w:tbl>
    <w:p w14:paraId="15CE645A">
      <w:pPr>
        <w:pStyle w:val="3"/>
        <w:pageBreakBefore w:val="0"/>
        <w:widowControl w:val="0"/>
        <w:numPr>
          <w:ilvl w:val="0"/>
          <w:numId w:val="2"/>
        </w:numPr>
        <w:kinsoku/>
        <w:wordWrap/>
        <w:overflowPunct/>
        <w:topLinePunct w:val="0"/>
        <w:autoSpaceDE/>
        <w:autoSpaceDN/>
        <w:bidi w:val="0"/>
        <w:spacing w:line="360" w:lineRule="auto"/>
        <w:textAlignment w:val="auto"/>
        <w:outlineLvl w:val="0"/>
        <w:rPr>
          <w:rFonts w:hint="eastAsia" w:ascii="宋体" w:hAnsi="宋体" w:eastAsia="宋体" w:cs="宋体"/>
          <w:b/>
          <w:color w:val="auto"/>
          <w:sz w:val="24"/>
          <w:szCs w:val="24"/>
          <w:highlight w:val="none"/>
        </w:rPr>
      </w:pPr>
      <w:bookmarkStart w:id="28" w:name="_Toc3751"/>
      <w:bookmarkStart w:id="29" w:name="_Toc29265"/>
      <w:bookmarkStart w:id="30" w:name="_Toc27064"/>
      <w:bookmarkStart w:id="31" w:name="_Toc5667"/>
      <w:r>
        <w:rPr>
          <w:rFonts w:hint="eastAsia" w:ascii="宋体" w:hAnsi="宋体" w:eastAsia="宋体" w:cs="宋体"/>
          <w:b/>
          <w:color w:val="auto"/>
          <w:sz w:val="24"/>
          <w:szCs w:val="24"/>
          <w:highlight w:val="none"/>
        </w:rPr>
        <w:t>资金来源</w:t>
      </w:r>
      <w:bookmarkEnd w:id="28"/>
      <w:bookmarkEnd w:id="29"/>
      <w:bookmarkEnd w:id="30"/>
      <w:bookmarkEnd w:id="31"/>
    </w:p>
    <w:p w14:paraId="432D182A">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lang w:val="en-US" w:eastAsia="zh-CN"/>
        </w:rPr>
      </w:pPr>
      <w:r>
        <w:rPr>
          <w:rFonts w:hint="eastAsia" w:ascii="宋体" w:hAnsi="宋体" w:eastAsia="宋体" w:cs="宋体"/>
          <w:color w:val="auto"/>
          <w:sz w:val="24"/>
          <w:szCs w:val="24"/>
          <w:highlight w:val="none"/>
          <w:lang w:val="en-US" w:eastAsia="zh-CN"/>
        </w:rPr>
        <w:t>学校自筹资金。</w:t>
      </w:r>
    </w:p>
    <w:p w14:paraId="25606134">
      <w:pPr>
        <w:pStyle w:val="3"/>
        <w:pageBreakBefore w:val="0"/>
        <w:widowControl w:val="0"/>
        <w:kinsoku/>
        <w:wordWrap/>
        <w:overflowPunct/>
        <w:topLinePunct w:val="0"/>
        <w:autoSpaceDE/>
        <w:autoSpaceDN/>
        <w:bidi w:val="0"/>
        <w:spacing w:line="360" w:lineRule="auto"/>
        <w:textAlignment w:val="auto"/>
        <w:outlineLvl w:val="0"/>
        <w:rPr>
          <w:rFonts w:hint="eastAsia" w:ascii="宋体" w:hAnsi="宋体" w:eastAsia="宋体" w:cs="宋体"/>
          <w:b/>
          <w:color w:val="auto"/>
          <w:sz w:val="24"/>
          <w:szCs w:val="24"/>
          <w:highlight w:val="none"/>
        </w:rPr>
      </w:pPr>
      <w:bookmarkStart w:id="32" w:name="_Toc15168"/>
      <w:bookmarkStart w:id="33" w:name="_Toc30691"/>
      <w:bookmarkStart w:id="34" w:name="_Toc8003"/>
      <w:bookmarkStart w:id="35" w:name="_Toc25219"/>
      <w:r>
        <w:rPr>
          <w:rFonts w:hint="eastAsia" w:ascii="宋体" w:hAnsi="宋体" w:eastAsia="宋体" w:cs="宋体"/>
          <w:b/>
          <w:color w:val="auto"/>
          <w:sz w:val="24"/>
          <w:szCs w:val="24"/>
          <w:highlight w:val="none"/>
        </w:rPr>
        <w:t>三、</w:t>
      </w:r>
      <w:r>
        <w:rPr>
          <w:rFonts w:hint="eastAsia" w:ascii="宋体" w:hAnsi="宋体" w:eastAsia="宋体" w:cs="宋体"/>
          <w:b/>
          <w:color w:val="auto"/>
          <w:sz w:val="24"/>
          <w:szCs w:val="24"/>
          <w:highlight w:val="none"/>
          <w:lang w:eastAsia="zh-CN"/>
        </w:rPr>
        <w:t>投标人</w:t>
      </w:r>
      <w:r>
        <w:rPr>
          <w:rFonts w:hint="eastAsia" w:ascii="宋体" w:hAnsi="宋体" w:eastAsia="宋体" w:cs="宋体"/>
          <w:b/>
          <w:color w:val="auto"/>
          <w:sz w:val="24"/>
          <w:szCs w:val="24"/>
          <w:highlight w:val="none"/>
        </w:rPr>
        <w:t>资格条件</w:t>
      </w:r>
      <w:bookmarkEnd w:id="32"/>
      <w:bookmarkEnd w:id="33"/>
      <w:bookmarkEnd w:id="34"/>
      <w:bookmarkEnd w:id="35"/>
    </w:p>
    <w:p w14:paraId="3C83DF5D">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（一）满足《中华人民共和国政府采购法》第二十二条规定；</w:t>
      </w:r>
    </w:p>
    <w:p w14:paraId="1BF09B2A">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1、法人或者其他组织的营业执照等证明文件，自然人的身份证明；</w:t>
      </w:r>
    </w:p>
    <w:p w14:paraId="459D1426">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2、财务状况报告，依法缴纳税收和社会保障资金的相关材料；</w:t>
      </w:r>
    </w:p>
    <w:p w14:paraId="1C81995F">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3、具备履行合同所必需的设备和专业技术能力的证明材料；</w:t>
      </w:r>
    </w:p>
    <w:p w14:paraId="00199189">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4、参加政府采购活动前3年内在经营活动中没有重大违法记录的书面声明；</w:t>
      </w:r>
    </w:p>
    <w:p w14:paraId="0CF4A35C">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5、具备法律、行政法规规定的其他条件的证明材料。</w:t>
      </w:r>
    </w:p>
    <w:p w14:paraId="6406DA1E">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根据渝财规〔2022〕4号，供应商在参与政府采购项目投标时，可对上述第2、3、4项所要求提供的相关材料进行简化。简化后，供应商只需以书面形式提供规定格式的《基本资格条件承诺函》（详见第七篇）</w:t>
      </w:r>
    </w:p>
    <w:p w14:paraId="7F275F2C">
      <w:pPr>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（二）</w:t>
      </w:r>
      <w:r>
        <w:rPr>
          <w:rFonts w:hint="eastAsia" w:ascii="宋体" w:hAnsi="宋体" w:eastAsia="宋体" w:cs="宋体"/>
          <w:color w:val="auto"/>
          <w:sz w:val="24"/>
          <w:szCs w:val="24"/>
          <w:highlight w:val="none"/>
        </w:rPr>
        <w:t>落实政府采购政策需满足的资格要求：无</w:t>
      </w:r>
    </w:p>
    <w:p w14:paraId="595563D9">
      <w:pPr>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kern w:val="2"/>
          <w:sz w:val="24"/>
          <w:szCs w:val="24"/>
          <w:lang w:val="en-US" w:eastAsia="zh-CN" w:bidi="ar-SA"/>
        </w:rPr>
        <w:t>（三）</w:t>
      </w:r>
      <w:r>
        <w:rPr>
          <w:rFonts w:hint="eastAsia" w:ascii="宋体" w:hAnsi="宋体" w:eastAsia="宋体" w:cs="宋体"/>
          <w:b w:val="0"/>
          <w:bCs w:val="0"/>
          <w:color w:val="auto"/>
          <w:sz w:val="24"/>
          <w:szCs w:val="24"/>
          <w:highlight w:val="none"/>
        </w:rPr>
        <w:t>特定资格条件</w:t>
      </w:r>
      <w:bookmarkStart w:id="36" w:name="_Toc9978"/>
      <w:bookmarkStart w:id="37" w:name="_Toc31712"/>
      <w:bookmarkStart w:id="38" w:name="_Toc38532846"/>
      <w:bookmarkStart w:id="39" w:name="_Toc8408"/>
      <w:r>
        <w:rPr>
          <w:rFonts w:hint="eastAsia" w:ascii="宋体" w:hAnsi="宋体" w:eastAsia="宋体" w:cs="宋体"/>
          <w:b w:val="0"/>
          <w:bCs w:val="0"/>
          <w:color w:val="auto"/>
          <w:sz w:val="24"/>
          <w:szCs w:val="24"/>
          <w:highlight w:val="none"/>
          <w:lang w:eastAsia="zh-CN"/>
        </w:rPr>
        <w:t>：</w:t>
      </w:r>
    </w:p>
    <w:p w14:paraId="655A101C">
      <w:pPr>
        <w:pageBreakBefore w:val="0"/>
        <w:widowControl w:val="0"/>
        <w:numPr>
          <w:ilvl w:val="0"/>
          <w:numId w:val="0"/>
        </w:numPr>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highlight w:val="none"/>
          <w:lang w:val="en-US" w:eastAsia="zh-CN"/>
        </w:rPr>
        <w:t>供应商应具备有效的《营业执照》和</w:t>
      </w:r>
      <w:r>
        <w:rPr>
          <w:rFonts w:hint="eastAsia" w:ascii="宋体" w:hAnsi="宋体" w:eastAsia="宋体" w:cs="宋体"/>
          <w:b/>
          <w:bCs/>
          <w:color w:val="auto"/>
          <w:sz w:val="24"/>
          <w:szCs w:val="24"/>
        </w:rPr>
        <w:t>《食品经营许可证》</w:t>
      </w:r>
      <w:r>
        <w:rPr>
          <w:rFonts w:hint="eastAsia" w:ascii="宋体" w:hAnsi="宋体" w:eastAsia="宋体" w:cs="宋体"/>
          <w:b/>
          <w:bCs/>
          <w:color w:val="auto"/>
          <w:sz w:val="24"/>
          <w:szCs w:val="24"/>
          <w:lang w:val="en-US" w:eastAsia="zh-CN"/>
        </w:rPr>
        <w:t>，并提供证书复印件加盖供应商公章。</w:t>
      </w:r>
    </w:p>
    <w:p w14:paraId="442ED0A3">
      <w:pPr>
        <w:pStyle w:val="3"/>
        <w:pageBreakBefore w:val="0"/>
        <w:widowControl w:val="0"/>
        <w:kinsoku/>
        <w:wordWrap/>
        <w:overflowPunct/>
        <w:topLinePunct w:val="0"/>
        <w:autoSpaceDE/>
        <w:autoSpaceDN/>
        <w:bidi w:val="0"/>
        <w:spacing w:line="360" w:lineRule="auto"/>
        <w:textAlignment w:val="auto"/>
        <w:outlineLvl w:val="0"/>
        <w:rPr>
          <w:rFonts w:hint="eastAsia" w:ascii="宋体" w:hAnsi="宋体" w:eastAsia="宋体" w:cs="宋体"/>
          <w:b/>
          <w:color w:val="auto"/>
          <w:sz w:val="24"/>
          <w:szCs w:val="24"/>
          <w:highlight w:val="none"/>
        </w:rPr>
      </w:pPr>
      <w:bookmarkStart w:id="40" w:name="_Toc16544"/>
      <w:bookmarkStart w:id="41" w:name="_Toc19839"/>
      <w:bookmarkStart w:id="42" w:name="_Toc21035"/>
      <w:bookmarkStart w:id="43" w:name="_Toc9163"/>
      <w:r>
        <w:rPr>
          <w:rFonts w:hint="eastAsia" w:ascii="宋体" w:hAnsi="宋体" w:eastAsia="宋体" w:cs="宋体"/>
          <w:b/>
          <w:color w:val="auto"/>
          <w:sz w:val="24"/>
          <w:szCs w:val="24"/>
          <w:highlight w:val="none"/>
        </w:rPr>
        <w:t>四、比选有关说明</w:t>
      </w:r>
      <w:bookmarkEnd w:id="36"/>
      <w:bookmarkEnd w:id="37"/>
      <w:bookmarkEnd w:id="38"/>
      <w:bookmarkEnd w:id="39"/>
      <w:bookmarkEnd w:id="40"/>
      <w:bookmarkEnd w:id="41"/>
      <w:bookmarkEnd w:id="42"/>
      <w:bookmarkEnd w:id="43"/>
      <w:bookmarkStart w:id="44" w:name="_Toc373860294"/>
    </w:p>
    <w:bookmarkEnd w:id="44"/>
    <w:p w14:paraId="0B8D901B">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bookmarkStart w:id="45" w:name="_Toc3347"/>
      <w:bookmarkStart w:id="46" w:name="_Toc19256"/>
      <w:bookmarkStart w:id="47" w:name="_Toc8938"/>
      <w:bookmarkStart w:id="48" w:name="_Toc41896028"/>
      <w:bookmarkStart w:id="49" w:name="_Toc7597"/>
      <w:bookmarkStart w:id="50" w:name="_Toc19692"/>
      <w:r>
        <w:rPr>
          <w:rFonts w:hint="eastAsia" w:ascii="宋体" w:hAnsi="宋体" w:eastAsia="宋体" w:cs="宋体"/>
          <w:color w:val="auto"/>
          <w:sz w:val="24"/>
          <w:szCs w:val="24"/>
          <w:highlight w:val="none"/>
        </w:rPr>
        <w:t>（一）供应商需通过重庆市行采家（https://www.gec123.com/）进行注册，登记加入“重庆市政府采购供应商库”。</w:t>
      </w:r>
    </w:p>
    <w:p w14:paraId="5C1F4955">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（二）凡有意参加竞争性比选的供应商，请在“行采家”（https://www.gec123.com/）采购公告发布之日起至提交响应文件截止时间之前自行下载本项目</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文件以及补遗等开标前公布的所有项目资料，无论供应商下载与否，均视为已知晓所有比选实质性要求内容。</w:t>
      </w:r>
    </w:p>
    <w:p w14:paraId="7F2DAA8B">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bookmarkStart w:id="51" w:name="_Toc26901"/>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）公告期限：自采购公告发布之日起</w:t>
      </w:r>
      <w:r>
        <w:rPr>
          <w:rFonts w:hint="eastAsia" w:ascii="宋体" w:hAnsi="宋体" w:eastAsia="宋体" w:cs="宋体"/>
          <w:color w:val="auto"/>
          <w:sz w:val="24"/>
          <w:szCs w:val="24"/>
          <w:highlight w:val="none"/>
          <w:lang w:eastAsia="zh-CN"/>
        </w:rPr>
        <w:t>三个工作日。</w:t>
      </w:r>
    </w:p>
    <w:p w14:paraId="06CE8C1D">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w:t>
      </w:r>
      <w:bookmarkEnd w:id="51"/>
      <w:r>
        <w:rPr>
          <w:rFonts w:hint="eastAsia" w:ascii="宋体" w:hAnsi="宋体" w:eastAsia="宋体" w:cs="宋体"/>
          <w:color w:val="auto"/>
          <w:sz w:val="24"/>
          <w:szCs w:val="24"/>
          <w:highlight w:val="none"/>
          <w:lang w:eastAsia="zh-CN"/>
        </w:rPr>
        <w:t xml:space="preserve">竞争性比选文件发售期限： </w:t>
      </w:r>
    </w:p>
    <w:p w14:paraId="765F1BF3">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1、竞争性比选文件发售期：202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lang w:eastAsia="zh-CN"/>
        </w:rPr>
        <w:t>日至202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27</w:t>
      </w:r>
      <w:r>
        <w:rPr>
          <w:rFonts w:hint="eastAsia" w:ascii="宋体" w:hAnsi="宋体" w:eastAsia="宋体" w:cs="宋体"/>
          <w:color w:val="auto"/>
          <w:sz w:val="24"/>
          <w:szCs w:val="24"/>
          <w:highlight w:val="none"/>
          <w:lang w:eastAsia="zh-CN"/>
        </w:rPr>
        <w:t xml:space="preserve">日 </w:t>
      </w:r>
    </w:p>
    <w:p w14:paraId="75C85543">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2、报名方式：</w:t>
      </w:r>
    </w:p>
    <w:p w14:paraId="19C28D11">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2.1在竞争性比选文件发售期内，供应商将《竞争性比选文件发售登记表》（</w:t>
      </w:r>
      <w:r>
        <w:rPr>
          <w:rFonts w:hint="eastAsia" w:ascii="宋体" w:hAnsi="宋体" w:eastAsia="宋体" w:cs="宋体"/>
          <w:color w:val="auto"/>
          <w:sz w:val="24"/>
          <w:szCs w:val="24"/>
          <w:highlight w:val="none"/>
          <w:lang w:val="en-US" w:eastAsia="zh-CN"/>
        </w:rPr>
        <w:t>填写完整并</w:t>
      </w:r>
      <w:r>
        <w:rPr>
          <w:rFonts w:hint="eastAsia" w:ascii="宋体" w:hAnsi="宋体" w:eastAsia="宋体" w:cs="宋体"/>
          <w:color w:val="auto"/>
          <w:sz w:val="24"/>
          <w:szCs w:val="24"/>
          <w:highlight w:val="none"/>
          <w:lang w:eastAsia="zh-CN"/>
        </w:rPr>
        <w:t>加盖供应商公章）扫描后发送至</w:t>
      </w:r>
      <w:r>
        <w:rPr>
          <w:rFonts w:hint="eastAsia" w:ascii="宋体" w:hAnsi="宋体" w:eastAsia="宋体" w:cs="宋体"/>
          <w:color w:val="auto"/>
          <w:sz w:val="24"/>
          <w:szCs w:val="24"/>
          <w:highlight w:val="none"/>
          <w:lang w:val="en-US" w:eastAsia="zh-CN"/>
        </w:rPr>
        <w:t>邮箱（1344395137</w:t>
      </w:r>
      <w:r>
        <w:rPr>
          <w:rFonts w:hint="eastAsia" w:ascii="宋体" w:hAnsi="宋体" w:eastAsia="宋体" w:cs="宋体"/>
          <w:color w:val="auto"/>
          <w:sz w:val="24"/>
          <w:szCs w:val="24"/>
          <w:highlight w:val="none"/>
          <w:lang w:eastAsia="zh-CN"/>
        </w:rPr>
        <w:t>@qq.com</w:t>
      </w:r>
      <w:r>
        <w:rPr>
          <w:rFonts w:hint="eastAsia" w:ascii="宋体" w:hAnsi="宋体" w:eastAsia="宋体" w:cs="宋体"/>
          <w:color w:val="auto"/>
          <w:sz w:val="24"/>
          <w:szCs w:val="24"/>
          <w:highlight w:val="none"/>
          <w:lang w:val="en-US" w:eastAsia="zh-CN"/>
        </w:rPr>
        <w:t>）进行</w:t>
      </w:r>
      <w:r>
        <w:rPr>
          <w:rFonts w:hint="eastAsia" w:ascii="宋体" w:hAnsi="宋体" w:eastAsia="宋体" w:cs="宋体"/>
          <w:color w:val="auto"/>
          <w:sz w:val="24"/>
          <w:szCs w:val="24"/>
          <w:highlight w:val="none"/>
          <w:lang w:eastAsia="zh-CN"/>
        </w:rPr>
        <w:t>报名。</w:t>
      </w:r>
    </w:p>
    <w:p w14:paraId="5FD49B79">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2 </w:t>
      </w:r>
      <w:r>
        <w:rPr>
          <w:rFonts w:hint="eastAsia" w:ascii="宋体" w:hAnsi="宋体" w:eastAsia="宋体" w:cs="宋体"/>
          <w:color w:val="auto"/>
          <w:sz w:val="24"/>
          <w:szCs w:val="24"/>
          <w:highlight w:val="none"/>
        </w:rPr>
        <w:t>在竞争性比选文件发售期内</w:t>
      </w:r>
      <w:r>
        <w:rPr>
          <w:rFonts w:hint="eastAsia" w:ascii="宋体" w:hAnsi="宋体" w:eastAsia="宋体" w:cs="宋体"/>
          <w:color w:val="auto"/>
          <w:sz w:val="24"/>
          <w:szCs w:val="24"/>
          <w:highlight w:val="none"/>
          <w:lang w:val="en-US" w:eastAsia="zh-CN"/>
        </w:rPr>
        <w:t>报名并</w:t>
      </w:r>
      <w:r>
        <w:rPr>
          <w:rFonts w:hint="eastAsia" w:ascii="宋体" w:hAnsi="宋体" w:eastAsia="宋体" w:cs="宋体"/>
          <w:color w:val="auto"/>
          <w:sz w:val="24"/>
          <w:szCs w:val="24"/>
          <w:highlight w:val="none"/>
        </w:rPr>
        <w:t>购买了竞争性比选文件的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，其</w:t>
      </w:r>
      <w:r>
        <w:rPr>
          <w:rFonts w:hint="eastAsia" w:ascii="宋体" w:hAnsi="宋体" w:eastAsia="宋体" w:cs="宋体"/>
          <w:color w:val="auto"/>
          <w:sz w:val="24"/>
          <w:szCs w:val="24"/>
          <w:highlight w:val="none"/>
          <w:lang w:val="en-US" w:eastAsia="zh-CN"/>
        </w:rPr>
        <w:t>响应文件</w:t>
      </w:r>
      <w:r>
        <w:rPr>
          <w:rFonts w:hint="eastAsia" w:ascii="宋体" w:hAnsi="宋体" w:eastAsia="宋体" w:cs="宋体"/>
          <w:color w:val="auto"/>
          <w:sz w:val="24"/>
          <w:szCs w:val="24"/>
          <w:highlight w:val="none"/>
        </w:rPr>
        <w:t>才被接收。</w:t>
      </w:r>
    </w:p>
    <w:p w14:paraId="7C057E19">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竞争性比选文件售价：人民币</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00元/包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报名时缴纳</w:t>
      </w:r>
      <w:r>
        <w:rPr>
          <w:rFonts w:hint="eastAsia" w:ascii="宋体" w:hAnsi="宋体" w:eastAsia="宋体" w:cs="宋体"/>
          <w:color w:val="auto"/>
          <w:sz w:val="24"/>
          <w:szCs w:val="24"/>
          <w:highlight w:val="none"/>
        </w:rPr>
        <w:t>。</w:t>
      </w:r>
    </w:p>
    <w:p w14:paraId="27C83AF4">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lang w:eastAsia="zh-CN"/>
        </w:rPr>
        <w:t>）投标</w:t>
      </w:r>
    </w:p>
    <w:p w14:paraId="0DC21A5E">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1.线上报价：报价时间为202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highlight w:val="none"/>
        </w:rPr>
        <w:t>日9：00-1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 。</w:t>
      </w:r>
    </w:p>
    <w:p w14:paraId="0C3ABADB">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线上报价：供应商应按规定的时间在“行采家”（https://www.gec123.com/）进行网上报价，并上传签字盖章后的投标文件电子文档PDF格式一份。并在规定时间内进行线下投标；未在规定时间内进行线上报价和线下投标的供应商其投标无效。</w:t>
      </w:r>
    </w:p>
    <w:p w14:paraId="1248CBEA">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3.线下投标</w:t>
      </w:r>
    </w:p>
    <w:p w14:paraId="1A19530E">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（1）投标时间：202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：00至</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0（逾期不予受理）</w:t>
      </w:r>
      <w:r>
        <w:rPr>
          <w:rFonts w:hint="eastAsia" w:ascii="宋体" w:hAnsi="宋体" w:eastAsia="宋体" w:cs="宋体"/>
          <w:color w:val="auto"/>
          <w:sz w:val="24"/>
          <w:szCs w:val="24"/>
          <w:highlight w:val="none"/>
          <w:lang w:val="en-US" w:eastAsia="zh-CN"/>
        </w:rPr>
        <w:t>止。</w:t>
      </w:r>
    </w:p>
    <w:p w14:paraId="18E671F9">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（2）投标地点：</w:t>
      </w:r>
      <w:r>
        <w:rPr>
          <w:rFonts w:hint="eastAsia" w:ascii="宋体" w:hAnsi="宋体" w:eastAsia="宋体" w:cs="宋体"/>
          <w:color w:val="auto"/>
          <w:sz w:val="24"/>
          <w:szCs w:val="24"/>
          <w:highlight w:val="none"/>
          <w:u w:val="none"/>
          <w:lang w:val="en-US" w:eastAsia="zh-CN"/>
        </w:rPr>
        <w:t>酉阳土家族苗族自治县兴隆初级中学校</w:t>
      </w:r>
      <w:r>
        <w:rPr>
          <w:rFonts w:hint="eastAsia" w:ascii="宋体" w:hAnsi="宋体" w:eastAsia="宋体" w:cs="宋体"/>
          <w:color w:val="auto"/>
          <w:sz w:val="24"/>
          <w:szCs w:val="24"/>
          <w:highlight w:val="none"/>
        </w:rPr>
        <w:t>会议室。</w:t>
      </w:r>
    </w:p>
    <w:p w14:paraId="7045F78C">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3）纸质</w:t>
      </w:r>
      <w:r>
        <w:rPr>
          <w:rFonts w:hint="eastAsia" w:ascii="宋体" w:hAnsi="宋体" w:eastAsia="宋体" w:cs="宋体"/>
          <w:color w:val="auto"/>
          <w:sz w:val="24"/>
          <w:szCs w:val="24"/>
          <w:highlight w:val="none"/>
        </w:rPr>
        <w:t>响应文件（一正二副共3份）。</w:t>
      </w:r>
    </w:p>
    <w:p w14:paraId="6A07AC0E">
      <w:pPr>
        <w:pStyle w:val="3"/>
        <w:pageBreakBefore w:val="0"/>
        <w:widowControl w:val="0"/>
        <w:numPr>
          <w:ilvl w:val="0"/>
          <w:numId w:val="3"/>
        </w:numPr>
        <w:kinsoku/>
        <w:wordWrap/>
        <w:overflowPunct/>
        <w:topLinePunct w:val="0"/>
        <w:autoSpaceDE/>
        <w:autoSpaceDN/>
        <w:bidi w:val="0"/>
        <w:spacing w:line="360" w:lineRule="auto"/>
        <w:textAlignment w:val="auto"/>
        <w:outlineLvl w:val="0"/>
        <w:rPr>
          <w:rFonts w:hint="eastAsia" w:ascii="宋体" w:hAnsi="宋体" w:eastAsia="宋体" w:cs="宋体"/>
          <w:color w:val="auto"/>
          <w:lang w:val="en-US" w:eastAsia="zh-CN"/>
        </w:rPr>
      </w:pPr>
      <w:bookmarkStart w:id="52" w:name="_Toc18469"/>
      <w:bookmarkStart w:id="53" w:name="_Toc1710"/>
      <w:bookmarkStart w:id="54" w:name="_Toc29902"/>
      <w:bookmarkStart w:id="55" w:name="_Toc17953"/>
      <w:r>
        <w:rPr>
          <w:rFonts w:hint="eastAsia" w:ascii="宋体" w:hAnsi="宋体" w:eastAsia="宋体" w:cs="宋体"/>
          <w:b/>
          <w:color w:val="auto"/>
          <w:sz w:val="24"/>
          <w:szCs w:val="24"/>
          <w:highlight w:val="none"/>
        </w:rPr>
        <w:t>比选保证金</w:t>
      </w:r>
      <w:bookmarkEnd w:id="45"/>
      <w:bookmarkEnd w:id="46"/>
      <w:bookmarkEnd w:id="47"/>
      <w:bookmarkEnd w:id="48"/>
      <w:bookmarkEnd w:id="49"/>
      <w:bookmarkEnd w:id="50"/>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无</w:t>
      </w:r>
      <w:bookmarkEnd w:id="52"/>
      <w:bookmarkEnd w:id="53"/>
      <w:bookmarkEnd w:id="54"/>
      <w:bookmarkEnd w:id="55"/>
    </w:p>
    <w:p w14:paraId="5E03007D">
      <w:pPr>
        <w:pStyle w:val="3"/>
        <w:pageBreakBefore w:val="0"/>
        <w:widowControl w:val="0"/>
        <w:kinsoku/>
        <w:wordWrap/>
        <w:overflowPunct/>
        <w:topLinePunct w:val="0"/>
        <w:autoSpaceDE/>
        <w:autoSpaceDN/>
        <w:bidi w:val="0"/>
        <w:spacing w:line="360" w:lineRule="auto"/>
        <w:textAlignment w:val="auto"/>
        <w:outlineLvl w:val="0"/>
        <w:rPr>
          <w:rFonts w:hint="eastAsia" w:ascii="宋体" w:hAnsi="宋体" w:eastAsia="宋体" w:cs="宋体"/>
          <w:b/>
          <w:color w:val="auto"/>
          <w:sz w:val="24"/>
          <w:szCs w:val="24"/>
          <w:highlight w:val="none"/>
        </w:rPr>
      </w:pPr>
      <w:bookmarkStart w:id="56" w:name="_Toc26638"/>
      <w:bookmarkStart w:id="57" w:name="_Toc41896029"/>
      <w:bookmarkStart w:id="58" w:name="_Toc2967"/>
      <w:bookmarkStart w:id="59" w:name="_Toc3442"/>
      <w:bookmarkStart w:id="60" w:name="_Toc26138"/>
      <w:bookmarkStart w:id="61" w:name="_Toc4679"/>
      <w:bookmarkStart w:id="62" w:name="_Toc15883"/>
      <w:bookmarkStart w:id="63" w:name="_Toc8418"/>
      <w:bookmarkStart w:id="64" w:name="_Toc8089"/>
      <w:bookmarkStart w:id="65" w:name="_Toc20652"/>
      <w:r>
        <w:rPr>
          <w:rFonts w:hint="eastAsia" w:ascii="宋体" w:hAnsi="宋体" w:eastAsia="宋体" w:cs="宋体"/>
          <w:b/>
          <w:color w:val="auto"/>
          <w:sz w:val="24"/>
          <w:szCs w:val="24"/>
          <w:highlight w:val="none"/>
        </w:rPr>
        <w:t>六、其它有关规定</w:t>
      </w:r>
      <w:bookmarkEnd w:id="56"/>
      <w:bookmarkEnd w:id="57"/>
      <w:bookmarkEnd w:id="58"/>
      <w:bookmarkEnd w:id="59"/>
      <w:bookmarkEnd w:id="60"/>
      <w:bookmarkEnd w:id="61"/>
      <w:bookmarkEnd w:id="62"/>
      <w:bookmarkEnd w:id="63"/>
      <w:bookmarkEnd w:id="64"/>
      <w:bookmarkEnd w:id="65"/>
    </w:p>
    <w:p w14:paraId="0AAC8FD0">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（一）单位负责人为同一人或者存在直接控股、管理关系的不同</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，不得参加同一合同项下的比选活动，否则均为无效比选。</w:t>
      </w:r>
    </w:p>
    <w:p w14:paraId="0BBC89CB">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）本项目的补遗文件（如果有）一律在</w:t>
      </w:r>
      <w:r>
        <w:rPr>
          <w:rFonts w:hint="eastAsia" w:ascii="宋体" w:hAnsi="宋体" w:eastAsia="宋体" w:cs="宋体"/>
          <w:color w:val="auto"/>
          <w:kern w:val="0"/>
          <w:sz w:val="24"/>
          <w:szCs w:val="24"/>
          <w:highlight w:val="none"/>
        </w:rPr>
        <w:t>行采家（https://www.gec123.com/）</w:t>
      </w:r>
      <w:r>
        <w:rPr>
          <w:rFonts w:hint="eastAsia" w:ascii="宋体" w:hAnsi="宋体" w:eastAsia="宋体" w:cs="宋体"/>
          <w:color w:val="auto"/>
          <w:sz w:val="24"/>
          <w:szCs w:val="24"/>
          <w:highlight w:val="none"/>
        </w:rPr>
        <w:t>上发布，请各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注意自行下载；无论</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下载与否，均视同</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已知晓本项目补遗文件（如果有）的内容。</w:t>
      </w:r>
    </w:p>
    <w:p w14:paraId="0D07A9B4">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）超过比选文件截止时间递交的投标文件，恕不接收。</w:t>
      </w:r>
    </w:p>
    <w:p w14:paraId="4261A558">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）比选费用：无论比选结果如何，</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参与本项目比选的所有费用均应由</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自行承担。</w:t>
      </w:r>
    </w:p>
    <w:p w14:paraId="4C3A0B1C">
      <w:pPr>
        <w:keepNext w:val="0"/>
        <w:keepLines w:val="0"/>
        <w:pageBreakBefore w:val="0"/>
        <w:widowControl w:val="0"/>
        <w:kinsoku/>
        <w:wordWrap/>
        <w:overflowPunct/>
        <w:topLinePunct w:val="0"/>
        <w:autoSpaceDE/>
        <w:autoSpaceDN/>
        <w:bidi w:val="0"/>
        <w:adjustRightInd/>
        <w:spacing w:line="360" w:lineRule="auto"/>
        <w:ind w:firstLine="482" w:firstLineChars="200"/>
        <w:contextualSpacing/>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rPr>
        <w:t>）本项目不接受联合体参与比选</w:t>
      </w:r>
      <w:r>
        <w:rPr>
          <w:rFonts w:hint="eastAsia" w:ascii="宋体" w:hAnsi="宋体" w:eastAsia="宋体" w:cs="宋体"/>
          <w:b/>
          <w:bCs/>
          <w:color w:val="auto"/>
          <w:kern w:val="2"/>
          <w:sz w:val="24"/>
          <w:szCs w:val="24"/>
          <w:highlight w:val="none"/>
          <w:lang w:val="en-US" w:eastAsia="zh-CN" w:bidi="ar-SA"/>
        </w:rPr>
        <w:t>，否则按无效投标处理。</w:t>
      </w:r>
    </w:p>
    <w:p w14:paraId="65655D8F">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kern w:val="2"/>
          <w:sz w:val="24"/>
          <w:szCs w:val="24"/>
          <w:highlight w:val="none"/>
          <w:lang w:val="en-US" w:eastAsia="zh-CN" w:bidi="ar-SA"/>
        </w:rPr>
        <w:t>（六）本项目不接受合同分包，否则按无效投标处理。</w:t>
      </w:r>
    </w:p>
    <w:p w14:paraId="6A2D9235">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）列入失信被执行人、重大税收违法案件当事人名单、政府采购严重违法失信行为记录名单及其他不符合《中华人民共和国政府采购法》第二十二条规定条件的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，将拒绝其参与比选活动。</w:t>
      </w:r>
    </w:p>
    <w:p w14:paraId="799E5650">
      <w:pPr>
        <w:pStyle w:val="3"/>
        <w:pageBreakBefore w:val="0"/>
        <w:widowControl w:val="0"/>
        <w:kinsoku/>
        <w:wordWrap/>
        <w:overflowPunct/>
        <w:topLinePunct w:val="0"/>
        <w:autoSpaceDE/>
        <w:autoSpaceDN/>
        <w:bidi w:val="0"/>
        <w:spacing w:line="360" w:lineRule="auto"/>
        <w:textAlignment w:val="auto"/>
        <w:outlineLvl w:val="0"/>
        <w:rPr>
          <w:rFonts w:hint="eastAsia" w:ascii="宋体" w:hAnsi="宋体" w:eastAsia="宋体" w:cs="宋体"/>
          <w:b/>
          <w:color w:val="auto"/>
          <w:sz w:val="24"/>
          <w:szCs w:val="24"/>
          <w:highlight w:val="none"/>
        </w:rPr>
      </w:pPr>
      <w:bookmarkStart w:id="66" w:name="_Toc26316"/>
      <w:bookmarkStart w:id="67" w:name="_Toc41896030"/>
      <w:bookmarkStart w:id="68" w:name="_Toc26174"/>
      <w:bookmarkStart w:id="69" w:name="_Toc2952"/>
      <w:bookmarkStart w:id="70" w:name="_Toc5929"/>
      <w:bookmarkStart w:id="71" w:name="_Toc9761"/>
      <w:bookmarkStart w:id="72" w:name="_Toc20501"/>
      <w:bookmarkStart w:id="73" w:name="_Toc10824"/>
      <w:bookmarkStart w:id="74" w:name="_Toc1273"/>
      <w:bookmarkStart w:id="75" w:name="_Toc24760"/>
      <w:r>
        <w:rPr>
          <w:rFonts w:hint="eastAsia" w:ascii="宋体" w:hAnsi="宋体" w:eastAsia="宋体" w:cs="宋体"/>
          <w:b/>
          <w:color w:val="auto"/>
          <w:sz w:val="24"/>
          <w:szCs w:val="24"/>
          <w:highlight w:val="none"/>
        </w:rPr>
        <w:t>七、联系方式</w:t>
      </w:r>
      <w:bookmarkEnd w:id="66"/>
      <w:bookmarkEnd w:id="67"/>
      <w:bookmarkEnd w:id="68"/>
      <w:bookmarkEnd w:id="69"/>
      <w:bookmarkEnd w:id="70"/>
      <w:bookmarkEnd w:id="71"/>
      <w:bookmarkEnd w:id="72"/>
      <w:bookmarkEnd w:id="73"/>
      <w:bookmarkEnd w:id="74"/>
      <w:bookmarkEnd w:id="75"/>
    </w:p>
    <w:p w14:paraId="38DA334F">
      <w:pPr>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（一）采购人：</w:t>
      </w:r>
      <w:r>
        <w:rPr>
          <w:rFonts w:hint="eastAsia" w:ascii="宋体" w:hAnsi="宋体" w:eastAsia="宋体" w:cs="宋体"/>
          <w:color w:val="auto"/>
          <w:sz w:val="24"/>
          <w:szCs w:val="24"/>
          <w:highlight w:val="none"/>
          <w:u w:val="none"/>
          <w:lang w:val="en-US" w:eastAsia="zh-CN"/>
        </w:rPr>
        <w:t>酉阳土家族苗族自治县兴隆初级中学校</w:t>
      </w:r>
    </w:p>
    <w:p w14:paraId="65F59818">
      <w:pPr>
        <w:pageBreakBefore w:val="0"/>
        <w:widowControl w:val="0"/>
        <w:kinsoku/>
        <w:wordWrap/>
        <w:overflowPunct/>
        <w:topLinePunct w:val="0"/>
        <w:autoSpaceDE/>
        <w:autoSpaceDN/>
        <w:bidi w:val="0"/>
        <w:snapToGrid w:val="0"/>
        <w:spacing w:line="360" w:lineRule="auto"/>
        <w:ind w:firstLine="720" w:firstLineChars="3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联系人：冉老师   </w:t>
      </w:r>
    </w:p>
    <w:p w14:paraId="6D4D71F8">
      <w:pPr>
        <w:pageBreakBefore w:val="0"/>
        <w:widowControl w:val="0"/>
        <w:kinsoku/>
        <w:wordWrap/>
        <w:overflowPunct/>
        <w:topLinePunct w:val="0"/>
        <w:autoSpaceDE/>
        <w:autoSpaceDN/>
        <w:bidi w:val="0"/>
        <w:snapToGrid w:val="0"/>
        <w:spacing w:line="360" w:lineRule="auto"/>
        <w:ind w:firstLine="720" w:firstLineChars="3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电话：18994975051</w:t>
      </w:r>
    </w:p>
    <w:p w14:paraId="665B876D">
      <w:pPr>
        <w:pageBreakBefore w:val="0"/>
        <w:widowControl w:val="0"/>
        <w:kinsoku/>
        <w:wordWrap/>
        <w:overflowPunct/>
        <w:topLinePunct w:val="0"/>
        <w:autoSpaceDE/>
        <w:autoSpaceDN/>
        <w:bidi w:val="0"/>
        <w:snapToGrid w:val="0"/>
        <w:spacing w:line="360" w:lineRule="auto"/>
        <w:ind w:firstLine="720" w:firstLineChars="3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w:t>
      </w:r>
      <w:r>
        <w:rPr>
          <w:rFonts w:hint="eastAsia" w:ascii="宋体" w:hAnsi="宋体" w:eastAsia="宋体" w:cs="宋体"/>
          <w:color w:val="auto"/>
          <w:sz w:val="24"/>
          <w:szCs w:val="24"/>
          <w:highlight w:val="none"/>
          <w:u w:val="none"/>
          <w:lang w:val="en-US" w:eastAsia="zh-CN"/>
        </w:rPr>
        <w:t>酉阳土家族苗族自治县兴隆初级中学校</w:t>
      </w:r>
      <w:r>
        <w:rPr>
          <w:rFonts w:hint="eastAsia" w:ascii="宋体" w:hAnsi="宋体" w:eastAsia="宋体" w:cs="宋体"/>
          <w:color w:val="auto"/>
          <w:sz w:val="24"/>
          <w:szCs w:val="24"/>
          <w:highlight w:val="none"/>
          <w:lang w:val="en-US" w:eastAsia="zh-CN"/>
        </w:rPr>
        <w:t xml:space="preserve"> </w:t>
      </w:r>
    </w:p>
    <w:p w14:paraId="2DBDDD6B">
      <w:pPr>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（二）采购代理机构：</w:t>
      </w:r>
      <w:r>
        <w:rPr>
          <w:rFonts w:hint="eastAsia" w:ascii="宋体" w:hAnsi="宋体" w:eastAsia="宋体" w:cs="宋体"/>
          <w:color w:val="auto"/>
          <w:sz w:val="24"/>
          <w:szCs w:val="24"/>
          <w:highlight w:val="none"/>
          <w:lang w:val="en-US" w:eastAsia="zh-CN"/>
        </w:rPr>
        <w:t>重庆钓鱼城建设监理咨询有限公司</w:t>
      </w:r>
    </w:p>
    <w:p w14:paraId="524F18FA">
      <w:pPr>
        <w:pageBreakBefore w:val="0"/>
        <w:widowControl w:val="0"/>
        <w:kinsoku/>
        <w:wordWrap/>
        <w:overflowPunct/>
        <w:topLinePunct w:val="0"/>
        <w:autoSpaceDE/>
        <w:autoSpaceDN/>
        <w:bidi w:val="0"/>
        <w:snapToGrid w:val="0"/>
        <w:spacing w:line="360" w:lineRule="auto"/>
        <w:ind w:firstLine="720" w:firstLineChars="3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 xml:space="preserve">李老师  </w:t>
      </w:r>
    </w:p>
    <w:p w14:paraId="547FEBF1">
      <w:pPr>
        <w:pageBreakBefore w:val="0"/>
        <w:widowControl w:val="0"/>
        <w:kinsoku/>
        <w:wordWrap/>
        <w:overflowPunct/>
        <w:topLinePunct w:val="0"/>
        <w:autoSpaceDE/>
        <w:autoSpaceDN/>
        <w:bidi w:val="0"/>
        <w:snapToGrid w:val="0"/>
        <w:spacing w:line="360" w:lineRule="auto"/>
        <w:ind w:firstLine="720" w:firstLineChars="3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 xml:space="preserve">13594928753   </w:t>
      </w:r>
      <w:bookmarkStart w:id="342" w:name="_GoBack"/>
      <w:bookmarkEnd w:id="342"/>
    </w:p>
    <w:p w14:paraId="51D49473">
      <w:pPr>
        <w:pageBreakBefore w:val="0"/>
        <w:widowControl w:val="0"/>
        <w:kinsoku/>
        <w:wordWrap/>
        <w:overflowPunct/>
        <w:topLinePunct w:val="0"/>
        <w:autoSpaceDE/>
        <w:autoSpaceDN/>
        <w:bidi w:val="0"/>
        <w:snapToGrid w:val="0"/>
        <w:spacing w:line="360" w:lineRule="auto"/>
        <w:ind w:firstLine="720" w:firstLineChars="3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址：</w:t>
      </w:r>
      <w:r>
        <w:rPr>
          <w:rFonts w:hint="eastAsia" w:ascii="宋体" w:hAnsi="宋体" w:eastAsia="宋体" w:cs="宋体"/>
          <w:color w:val="auto"/>
          <w:sz w:val="24"/>
          <w:szCs w:val="24"/>
          <w:highlight w:val="none"/>
          <w:lang w:val="en-US" w:eastAsia="zh-CN"/>
        </w:rPr>
        <w:t>重庆市渝北区金开大道1003号C10栋24-6</w:t>
      </w:r>
    </w:p>
    <w:p w14:paraId="34107138">
      <w:pPr>
        <w:pStyle w:val="2"/>
        <w:bidi w:val="0"/>
        <w:spacing w:line="360" w:lineRule="auto"/>
        <w:rPr>
          <w:rFonts w:hint="eastAsia" w:ascii="宋体" w:hAnsi="宋体" w:eastAsia="宋体" w:cs="宋体"/>
          <w:color w:val="auto"/>
          <w:highlight w:val="none"/>
        </w:rPr>
      </w:pPr>
      <w:bookmarkStart w:id="76" w:name="_Toc30387"/>
      <w:r>
        <w:rPr>
          <w:rFonts w:hint="eastAsia" w:ascii="宋体" w:hAnsi="宋体" w:eastAsia="宋体" w:cs="宋体"/>
          <w:color w:val="auto"/>
          <w:szCs w:val="24"/>
          <w:highlight w:val="none"/>
        </w:rPr>
        <w:br w:type="page"/>
      </w:r>
      <w:bookmarkStart w:id="77" w:name="_Toc1169"/>
      <w:bookmarkStart w:id="78" w:name="_Toc27544"/>
      <w:bookmarkStart w:id="79" w:name="_Toc22114"/>
      <w:bookmarkStart w:id="80" w:name="_Toc16944"/>
      <w:r>
        <w:rPr>
          <w:rFonts w:hint="eastAsia" w:ascii="宋体" w:hAnsi="宋体" w:eastAsia="宋体" w:cs="宋体"/>
          <w:color w:val="auto"/>
        </w:rPr>
        <w:t>第二篇 项目服务需求</w:t>
      </w:r>
      <w:bookmarkEnd w:id="77"/>
      <w:bookmarkEnd w:id="78"/>
      <w:bookmarkEnd w:id="79"/>
      <w:bookmarkEnd w:id="80"/>
    </w:p>
    <w:p w14:paraId="7402F790">
      <w:pPr>
        <w:pStyle w:val="7"/>
        <w:bidi w:val="0"/>
        <w:spacing w:line="360" w:lineRule="auto"/>
        <w:rPr>
          <w:rFonts w:hint="eastAsia" w:ascii="宋体" w:hAnsi="宋体" w:eastAsia="宋体" w:cs="宋体"/>
          <w:color w:val="auto"/>
          <w:sz w:val="28"/>
          <w:szCs w:val="24"/>
        </w:rPr>
      </w:pPr>
      <w:bookmarkStart w:id="81" w:name="_Toc31008"/>
      <w:bookmarkStart w:id="82" w:name="_Toc22060"/>
      <w:bookmarkStart w:id="83" w:name="_Toc4123"/>
      <w:bookmarkStart w:id="84" w:name="_Toc28331"/>
      <w:r>
        <w:rPr>
          <w:rFonts w:hint="eastAsia" w:ascii="宋体" w:hAnsi="宋体" w:eastAsia="宋体" w:cs="宋体"/>
          <w:color w:val="auto"/>
          <w:sz w:val="28"/>
          <w:szCs w:val="24"/>
        </w:rPr>
        <w:t>一、项目一览表</w:t>
      </w:r>
      <w:bookmarkEnd w:id="81"/>
      <w:bookmarkEnd w:id="82"/>
      <w:bookmarkEnd w:id="83"/>
      <w:bookmarkEnd w:id="84"/>
    </w:p>
    <w:tbl>
      <w:tblPr>
        <w:tblStyle w:val="27"/>
        <w:tblW w:w="104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3"/>
        <w:gridCol w:w="1931"/>
        <w:gridCol w:w="2403"/>
        <w:gridCol w:w="1716"/>
      </w:tblGrid>
      <w:tr w14:paraId="47DBD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4393" w:type="dxa"/>
            <w:tcBorders>
              <w:top w:val="single" w:color="auto" w:sz="4" w:space="0"/>
              <w:left w:val="single" w:color="auto" w:sz="4" w:space="0"/>
              <w:right w:val="single" w:color="auto" w:sz="4" w:space="0"/>
            </w:tcBorders>
            <w:noWrap w:val="0"/>
            <w:vAlign w:val="center"/>
          </w:tcPr>
          <w:p w14:paraId="562737A8">
            <w:pPr>
              <w:widowControl/>
              <w:spacing w:beforeLines="0" w:afterLines="0" w:line="360" w:lineRule="auto"/>
              <w:ind w:firstLine="0" w:firstLineChars="0"/>
              <w:jc w:val="center"/>
              <w:rPr>
                <w:rFonts w:hint="eastAsia" w:ascii="宋体" w:hAnsi="宋体" w:eastAsia="宋体" w:cs="宋体"/>
                <w:b/>
                <w:bCs/>
                <w:color w:val="auto"/>
                <w:kern w:val="0"/>
                <w:sz w:val="24"/>
                <w:szCs w:val="24"/>
                <w:highlight w:val="none"/>
              </w:rPr>
            </w:pPr>
            <w:bookmarkStart w:id="85" w:name="_Toc18345"/>
            <w:bookmarkStart w:id="86" w:name="_Toc29681"/>
            <w:r>
              <w:rPr>
                <w:rFonts w:hint="eastAsia" w:ascii="宋体" w:hAnsi="宋体" w:eastAsia="宋体" w:cs="宋体"/>
                <w:b/>
                <w:bCs/>
                <w:color w:val="auto"/>
                <w:kern w:val="0"/>
                <w:sz w:val="24"/>
                <w:szCs w:val="24"/>
                <w:highlight w:val="none"/>
                <w:lang w:eastAsia="zh-CN"/>
              </w:rPr>
              <w:t>项目</w:t>
            </w:r>
            <w:r>
              <w:rPr>
                <w:rFonts w:hint="eastAsia" w:ascii="宋体" w:hAnsi="宋体" w:eastAsia="宋体" w:cs="宋体"/>
                <w:b/>
                <w:bCs/>
                <w:color w:val="auto"/>
                <w:kern w:val="0"/>
                <w:sz w:val="24"/>
                <w:szCs w:val="24"/>
                <w:highlight w:val="none"/>
              </w:rPr>
              <w:t>名称</w:t>
            </w:r>
          </w:p>
        </w:tc>
        <w:tc>
          <w:tcPr>
            <w:tcW w:w="1931" w:type="dxa"/>
            <w:tcBorders>
              <w:top w:val="single" w:color="auto" w:sz="4" w:space="0"/>
              <w:left w:val="single" w:color="auto" w:sz="4" w:space="0"/>
              <w:right w:val="single" w:color="auto" w:sz="4" w:space="0"/>
            </w:tcBorders>
            <w:noWrap w:val="0"/>
            <w:vAlign w:val="center"/>
          </w:tcPr>
          <w:p w14:paraId="20628904">
            <w:pPr>
              <w:widowControl/>
              <w:spacing w:beforeLines="0" w:afterLines="0" w:line="360" w:lineRule="auto"/>
              <w:ind w:firstLine="0" w:firstLineChars="0"/>
              <w:jc w:val="center"/>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val="en-US" w:eastAsia="zh-CN"/>
              </w:rPr>
              <w:t>单位/数量</w:t>
            </w:r>
          </w:p>
        </w:tc>
        <w:tc>
          <w:tcPr>
            <w:tcW w:w="2403" w:type="dxa"/>
            <w:tcBorders>
              <w:top w:val="single" w:color="auto" w:sz="4" w:space="0"/>
              <w:left w:val="single" w:color="auto" w:sz="4" w:space="0"/>
              <w:right w:val="single" w:color="auto" w:sz="4" w:space="0"/>
            </w:tcBorders>
            <w:noWrap w:val="0"/>
            <w:vAlign w:val="center"/>
          </w:tcPr>
          <w:p w14:paraId="5D526919">
            <w:pPr>
              <w:widowControl/>
              <w:spacing w:beforeLines="0" w:afterLines="0" w:line="360" w:lineRule="auto"/>
              <w:ind w:firstLine="0" w:firstLineChars="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eastAsia="zh-CN"/>
              </w:rPr>
              <w:t>服务内容</w:t>
            </w:r>
          </w:p>
        </w:tc>
        <w:tc>
          <w:tcPr>
            <w:tcW w:w="1716" w:type="dxa"/>
            <w:tcBorders>
              <w:top w:val="single" w:color="auto" w:sz="4" w:space="0"/>
              <w:left w:val="single" w:color="auto" w:sz="4" w:space="0"/>
              <w:right w:val="single" w:color="auto" w:sz="4" w:space="0"/>
            </w:tcBorders>
            <w:noWrap w:val="0"/>
            <w:vAlign w:val="center"/>
          </w:tcPr>
          <w:p w14:paraId="1D0560C3">
            <w:pPr>
              <w:widowControl/>
              <w:spacing w:beforeLines="0" w:afterLines="0" w:line="360" w:lineRule="auto"/>
              <w:ind w:firstLine="0" w:firstLineChars="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eastAsia="zh-CN"/>
              </w:rPr>
              <w:t>服务需求</w:t>
            </w:r>
          </w:p>
        </w:tc>
      </w:tr>
      <w:tr w14:paraId="6E1D9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4393" w:type="dxa"/>
            <w:tcBorders>
              <w:top w:val="single" w:color="auto" w:sz="4" w:space="0"/>
              <w:left w:val="single" w:color="auto" w:sz="4" w:space="0"/>
              <w:right w:val="single" w:color="auto" w:sz="4" w:space="0"/>
            </w:tcBorders>
            <w:noWrap w:val="0"/>
            <w:vAlign w:val="center"/>
          </w:tcPr>
          <w:p w14:paraId="60E40DB0">
            <w:pPr>
              <w:rPr>
                <w:rFonts w:hint="eastAsia" w:ascii="宋体" w:hAnsi="宋体" w:eastAsia="宋体" w:cs="宋体"/>
                <w:color w:val="auto"/>
                <w:sz w:val="24"/>
                <w:szCs w:val="24"/>
              </w:rPr>
            </w:pPr>
            <w:r>
              <w:rPr>
                <w:rFonts w:hint="eastAsia" w:ascii="宋体" w:hAnsi="宋体" w:eastAsia="宋体" w:cs="宋体"/>
                <w:color w:val="auto"/>
                <w:sz w:val="24"/>
                <w:szCs w:val="24"/>
                <w:highlight w:val="none"/>
                <w:u w:val="none"/>
                <w:lang w:val="en-US" w:eastAsia="zh-CN"/>
              </w:rPr>
              <w:t>酉阳土家族苗族自治县兴隆初级中学校校园超市供应商项目</w:t>
            </w:r>
          </w:p>
        </w:tc>
        <w:tc>
          <w:tcPr>
            <w:tcW w:w="1931" w:type="dxa"/>
            <w:tcBorders>
              <w:top w:val="single" w:color="auto" w:sz="4" w:space="0"/>
              <w:left w:val="single" w:color="auto" w:sz="4" w:space="0"/>
              <w:bottom w:val="single" w:color="auto" w:sz="4" w:space="0"/>
              <w:right w:val="single" w:color="auto" w:sz="4" w:space="0"/>
            </w:tcBorders>
            <w:noWrap w:val="0"/>
            <w:vAlign w:val="center"/>
          </w:tcPr>
          <w:p w14:paraId="614AADC4">
            <w:pPr>
              <w:widowControl/>
              <w:numPr>
                <w:ilvl w:val="0"/>
                <w:numId w:val="0"/>
              </w:numPr>
              <w:spacing w:beforeLines="0" w:afterLines="0" w:line="360" w:lineRule="auto"/>
              <w:ind w:left="0" w:leftChars="0" w:firstLine="0" w:firstLine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w:t>
            </w:r>
          </w:p>
        </w:tc>
        <w:tc>
          <w:tcPr>
            <w:tcW w:w="2403" w:type="dxa"/>
            <w:tcBorders>
              <w:left w:val="single" w:color="auto" w:sz="4" w:space="0"/>
              <w:right w:val="single" w:color="auto" w:sz="4" w:space="0"/>
            </w:tcBorders>
            <w:shd w:val="clear" w:color="auto" w:fill="auto"/>
            <w:noWrap w:val="0"/>
            <w:vAlign w:val="center"/>
          </w:tcPr>
          <w:p w14:paraId="173E0F0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校园超市货物配送</w:t>
            </w:r>
          </w:p>
        </w:tc>
        <w:tc>
          <w:tcPr>
            <w:tcW w:w="1716" w:type="dxa"/>
            <w:tcBorders>
              <w:left w:val="single" w:color="auto" w:sz="4" w:space="0"/>
              <w:right w:val="single" w:color="auto" w:sz="4" w:space="0"/>
            </w:tcBorders>
            <w:noWrap w:val="0"/>
            <w:vAlign w:val="center"/>
          </w:tcPr>
          <w:p w14:paraId="1580A97E">
            <w:pPr>
              <w:spacing w:beforeLines="0" w:afterLines="0"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详见项目服务及质量要求</w:t>
            </w:r>
          </w:p>
        </w:tc>
      </w:tr>
    </w:tbl>
    <w:p w14:paraId="7EF4724D">
      <w:pPr>
        <w:pStyle w:val="3"/>
        <w:pageBreakBefore w:val="0"/>
        <w:widowControl w:val="0"/>
        <w:kinsoku/>
        <w:wordWrap/>
        <w:overflowPunct/>
        <w:topLinePunct w:val="0"/>
        <w:autoSpaceDE/>
        <w:autoSpaceDN/>
        <w:bidi w:val="0"/>
        <w:spacing w:line="360" w:lineRule="auto"/>
        <w:textAlignment w:val="auto"/>
        <w:outlineLvl w:val="9"/>
        <w:rPr>
          <w:rFonts w:hint="eastAsia" w:ascii="宋体" w:hAnsi="宋体" w:eastAsia="宋体" w:cs="宋体"/>
          <w:b/>
          <w:bCs/>
          <w:color w:val="auto"/>
          <w:sz w:val="24"/>
          <w:szCs w:val="24"/>
          <w:highlight w:val="none"/>
        </w:rPr>
      </w:pPr>
    </w:p>
    <w:p w14:paraId="68F98147">
      <w:pPr>
        <w:pStyle w:val="3"/>
        <w:pageBreakBefore w:val="0"/>
        <w:widowControl w:val="0"/>
        <w:numPr>
          <w:ilvl w:val="0"/>
          <w:numId w:val="0"/>
        </w:numPr>
        <w:kinsoku/>
        <w:wordWrap/>
        <w:overflowPunct/>
        <w:topLinePunct w:val="0"/>
        <w:autoSpaceDE/>
        <w:autoSpaceDN/>
        <w:bidi w:val="0"/>
        <w:spacing w:line="360" w:lineRule="auto"/>
        <w:ind w:leftChars="0"/>
        <w:textAlignment w:val="auto"/>
        <w:outlineLvl w:val="0"/>
        <w:rPr>
          <w:rFonts w:hint="eastAsia" w:ascii="宋体" w:hAnsi="宋体" w:eastAsia="宋体" w:cs="宋体"/>
          <w:b/>
          <w:bCs/>
          <w:color w:val="auto"/>
          <w:sz w:val="24"/>
          <w:szCs w:val="24"/>
          <w:lang w:val="en-US" w:eastAsia="zh-CN"/>
        </w:rPr>
      </w:pPr>
      <w:bookmarkStart w:id="87" w:name="_Toc21454"/>
      <w:bookmarkStart w:id="88" w:name="_Toc15577"/>
      <w:bookmarkStart w:id="89" w:name="_Toc710"/>
      <w:bookmarkStart w:id="90" w:name="_Toc8301"/>
      <w:r>
        <w:rPr>
          <w:rFonts w:hint="eastAsia" w:ascii="宋体" w:hAnsi="宋体" w:eastAsia="宋体" w:cs="宋体"/>
          <w:b/>
          <w:bCs/>
          <w:color w:val="auto"/>
          <w:sz w:val="28"/>
          <w:szCs w:val="28"/>
          <w:highlight w:val="none"/>
          <w:lang w:val="en-US" w:eastAsia="zh-CN"/>
        </w:rPr>
        <w:t>二、项目</w:t>
      </w:r>
      <w:r>
        <w:rPr>
          <w:rFonts w:hint="eastAsia" w:ascii="宋体" w:hAnsi="宋体" w:eastAsia="宋体" w:cs="宋体"/>
          <w:b/>
          <w:bCs/>
          <w:color w:val="auto"/>
          <w:sz w:val="28"/>
          <w:szCs w:val="28"/>
          <w:highlight w:val="none"/>
        </w:rPr>
        <w:t>服务</w:t>
      </w:r>
      <w:bookmarkEnd w:id="85"/>
      <w:bookmarkEnd w:id="86"/>
      <w:bookmarkStart w:id="91" w:name="_Toc18774"/>
      <w:r>
        <w:rPr>
          <w:rFonts w:hint="eastAsia" w:ascii="宋体" w:hAnsi="宋体" w:eastAsia="宋体" w:cs="宋体"/>
          <w:b/>
          <w:bCs/>
          <w:color w:val="auto"/>
          <w:sz w:val="28"/>
          <w:szCs w:val="28"/>
          <w:highlight w:val="none"/>
          <w:lang w:val="en-US" w:eastAsia="zh-CN"/>
        </w:rPr>
        <w:t>及质量要求</w:t>
      </w:r>
      <w:bookmarkEnd w:id="87"/>
      <w:bookmarkEnd w:id="88"/>
      <w:bookmarkEnd w:id="89"/>
      <w:bookmarkEnd w:id="90"/>
    </w:p>
    <w:p w14:paraId="657C5808">
      <w:pPr>
        <w:snapToGrid w:val="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u w:val="none"/>
          <w:lang w:val="en-US" w:eastAsia="zh-CN" w:bidi="ar-SA"/>
        </w:rPr>
        <w:t>超市供货</w:t>
      </w:r>
      <w:r>
        <w:rPr>
          <w:rFonts w:hint="eastAsia" w:ascii="宋体" w:hAnsi="宋体" w:eastAsia="宋体" w:cs="宋体"/>
          <w:color w:val="auto"/>
          <w:kern w:val="2"/>
          <w:sz w:val="24"/>
          <w:szCs w:val="24"/>
          <w:highlight w:val="none"/>
          <w:u w:val="none"/>
          <w:lang w:val="zh-CN" w:eastAsia="zh-CN" w:bidi="ar-SA"/>
        </w:rPr>
        <w:t>包括</w:t>
      </w:r>
      <w:r>
        <w:rPr>
          <w:rFonts w:hint="eastAsia" w:ascii="宋体" w:hAnsi="宋体" w:eastAsia="宋体" w:cs="宋体"/>
          <w:color w:val="auto"/>
          <w:kern w:val="2"/>
          <w:sz w:val="24"/>
          <w:szCs w:val="24"/>
          <w:highlight w:val="none"/>
          <w:u w:val="none"/>
          <w:lang w:val="en-US" w:eastAsia="zh-CN" w:bidi="ar-SA"/>
        </w:rPr>
        <w:t>但不限于</w:t>
      </w:r>
      <w:bookmarkStart w:id="92" w:name="_Toc598"/>
      <w:r>
        <w:rPr>
          <w:rFonts w:hint="eastAsia" w:ascii="宋体" w:hAnsi="宋体" w:eastAsia="宋体" w:cs="宋体"/>
          <w:color w:val="auto"/>
          <w:kern w:val="2"/>
          <w:sz w:val="24"/>
          <w:szCs w:val="24"/>
          <w:highlight w:val="none"/>
          <w:u w:val="none"/>
          <w:lang w:val="en-US" w:eastAsia="zh-CN" w:bidi="ar-SA"/>
        </w:rPr>
        <w:t>：</w:t>
      </w:r>
      <w:r>
        <w:rPr>
          <w:rFonts w:hint="eastAsia" w:ascii="宋体" w:hAnsi="宋体" w:eastAsia="宋体" w:cs="宋体"/>
          <w:color w:val="auto"/>
          <w:kern w:val="2"/>
          <w:sz w:val="24"/>
          <w:szCs w:val="24"/>
          <w:highlight w:val="none"/>
          <w:lang w:val="en-US" w:eastAsia="zh-CN" w:bidi="ar-SA"/>
        </w:rPr>
        <w:t>食品类(预包装食品，纯牛奶等)、学习用品类（笔、橡皮、本子等）、日用品类（香皂、牙刷、洗衣液、卫生巾、纸巾等）、饮品类（矿泉水、各种饮料）等。</w:t>
      </w:r>
    </w:p>
    <w:p w14:paraId="6084B43A">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预包装食品须保证规格品种完全符合采购人要求，包装规格、口味、种类齐全。保质期在3天以内的，必须是送货当天生产的货品；保质期在7天以内的，送货日不超过生产日两日；保质期在6个月以内的，送货日至保质期到期日的天数必须大于保质期天数的三分之二；保质期在6个月以上的，送货日至保质期到期日的天数必须大于保质期天数的二分之一。若有货物临近质保期，且货物未售出的，供应商应无条件退货。寒暑假放假前，供应商应无条件接受剩余商品的回收。（凡退货、回收货物，均不计入结算金额中。）</w:t>
      </w:r>
    </w:p>
    <w:p w14:paraId="3952EFF1">
      <w:pPr>
        <w:numPr>
          <w:ilvl w:val="0"/>
          <w:numId w:val="4"/>
        </w:num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kern w:val="2"/>
          <w:sz w:val="24"/>
          <w:szCs w:val="24"/>
          <w:highlight w:val="none"/>
          <w:lang w:val="en-US" w:eastAsia="zh-CN" w:bidi="ar-SA"/>
        </w:rPr>
        <w:t>食品类：如预包装食品，纯牛奶</w:t>
      </w:r>
      <w:bookmarkEnd w:id="92"/>
      <w:r>
        <w:rPr>
          <w:rFonts w:hint="eastAsia" w:ascii="宋体" w:hAnsi="宋体" w:eastAsia="宋体" w:cs="宋体"/>
          <w:color w:val="auto"/>
          <w:kern w:val="2"/>
          <w:sz w:val="24"/>
          <w:szCs w:val="24"/>
          <w:highlight w:val="none"/>
          <w:lang w:val="en-US" w:eastAsia="zh-CN" w:bidi="ar-SA"/>
        </w:rPr>
        <w:t>等；</w:t>
      </w:r>
      <w:bookmarkStart w:id="93" w:name="_Toc19302"/>
      <w:r>
        <w:rPr>
          <w:rFonts w:hint="eastAsia" w:ascii="宋体" w:hAnsi="宋体" w:eastAsia="宋体" w:cs="宋体"/>
          <w:color w:val="auto"/>
          <w:sz w:val="24"/>
          <w:szCs w:val="24"/>
        </w:rPr>
        <w:t>所有物资均为预包装产品，供应商所提供的产品须包装完整、生产日期、保质期或有效期、生产厂家和SC编码齐全明晰</w:t>
      </w:r>
      <w:r>
        <w:rPr>
          <w:rFonts w:hint="eastAsia" w:ascii="宋体" w:hAnsi="宋体" w:eastAsia="宋体" w:cs="宋体"/>
          <w:color w:val="auto"/>
          <w:sz w:val="24"/>
          <w:szCs w:val="24"/>
          <w:lang w:val="en-US" w:eastAsia="zh-CN"/>
        </w:rPr>
        <w:t>;</w:t>
      </w:r>
    </w:p>
    <w:p w14:paraId="7EA6C09B">
      <w:pPr>
        <w:numPr>
          <w:ilvl w:val="0"/>
          <w:numId w:val="4"/>
        </w:num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kern w:val="2"/>
          <w:sz w:val="24"/>
          <w:szCs w:val="24"/>
          <w:highlight w:val="none"/>
          <w:lang w:val="en-US" w:eastAsia="zh-CN" w:bidi="ar-SA"/>
        </w:rPr>
        <w:t>学习用品类：如笔、橡皮、本子等</w:t>
      </w:r>
      <w:bookmarkEnd w:id="93"/>
      <w:r>
        <w:rPr>
          <w:rFonts w:hint="eastAsia" w:ascii="宋体" w:hAnsi="宋体" w:eastAsia="宋体" w:cs="宋体"/>
          <w:color w:val="auto"/>
          <w:kern w:val="2"/>
          <w:sz w:val="24"/>
          <w:szCs w:val="24"/>
          <w:highlight w:val="none"/>
          <w:lang w:val="en-US" w:eastAsia="zh-CN" w:bidi="ar-SA"/>
        </w:rPr>
        <w:t>；</w:t>
      </w:r>
      <w:bookmarkStart w:id="94" w:name="_Toc29932"/>
      <w:r>
        <w:rPr>
          <w:rFonts w:hint="eastAsia" w:ascii="宋体" w:hAnsi="宋体" w:eastAsia="宋体" w:cs="宋体"/>
          <w:color w:val="auto"/>
          <w:sz w:val="24"/>
          <w:szCs w:val="24"/>
        </w:rPr>
        <w:t>用品包装上应注明的生产日期、保质期、规格、生产地等相关内容</w:t>
      </w:r>
      <w:r>
        <w:rPr>
          <w:rFonts w:hint="eastAsia" w:ascii="宋体" w:hAnsi="宋体" w:eastAsia="宋体" w:cs="宋体"/>
          <w:color w:val="auto"/>
          <w:sz w:val="24"/>
          <w:szCs w:val="24"/>
          <w:lang w:val="en-US" w:eastAsia="zh-CN"/>
        </w:rPr>
        <w:t>;</w:t>
      </w:r>
    </w:p>
    <w:p w14:paraId="49F74E3C">
      <w:pPr>
        <w:numPr>
          <w:ilvl w:val="0"/>
          <w:numId w:val="4"/>
        </w:num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kern w:val="2"/>
          <w:sz w:val="24"/>
          <w:szCs w:val="24"/>
          <w:highlight w:val="none"/>
          <w:lang w:val="en-US" w:eastAsia="zh-CN" w:bidi="ar-SA"/>
        </w:rPr>
        <w:t>日用品类：如香皂、牙刷、洗衣液、卫生巾、纸巾等</w:t>
      </w:r>
      <w:bookmarkEnd w:id="94"/>
      <w:r>
        <w:rPr>
          <w:rFonts w:hint="eastAsia" w:ascii="宋体" w:hAnsi="宋体" w:eastAsia="宋体" w:cs="宋体"/>
          <w:color w:val="auto"/>
          <w:kern w:val="2"/>
          <w:sz w:val="24"/>
          <w:szCs w:val="24"/>
          <w:highlight w:val="none"/>
          <w:lang w:val="en-US" w:eastAsia="zh-CN" w:bidi="ar-SA"/>
        </w:rPr>
        <w:t>；</w:t>
      </w:r>
      <w:bookmarkStart w:id="95" w:name="_Toc22312"/>
      <w:r>
        <w:rPr>
          <w:rFonts w:hint="eastAsia" w:ascii="宋体" w:hAnsi="宋体" w:eastAsia="宋体" w:cs="宋体"/>
          <w:color w:val="auto"/>
          <w:sz w:val="24"/>
          <w:szCs w:val="24"/>
        </w:rPr>
        <w:t>用品包装上应注明的生产日期、保质期、规格、生产地等相关内容</w:t>
      </w:r>
      <w:r>
        <w:rPr>
          <w:rFonts w:hint="eastAsia" w:ascii="宋体" w:hAnsi="宋体" w:eastAsia="宋体" w:cs="宋体"/>
          <w:color w:val="auto"/>
          <w:sz w:val="24"/>
          <w:szCs w:val="24"/>
          <w:lang w:val="en-US" w:eastAsia="zh-CN"/>
        </w:rPr>
        <w:t>;</w:t>
      </w:r>
    </w:p>
    <w:p w14:paraId="2352E316">
      <w:pPr>
        <w:numPr>
          <w:ilvl w:val="0"/>
          <w:numId w:val="4"/>
        </w:num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kern w:val="2"/>
          <w:sz w:val="24"/>
          <w:szCs w:val="24"/>
          <w:highlight w:val="none"/>
          <w:lang w:val="en-US" w:eastAsia="zh-CN" w:bidi="ar-SA"/>
        </w:rPr>
        <w:t>饮品类：如矿泉水、各种饮料</w:t>
      </w:r>
      <w:bookmarkEnd w:id="95"/>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szCs w:val="24"/>
        </w:rPr>
        <w:t>所有物资均为预包装产品，供应商所提供的产品须包装完整、生产日期、保质期或有效期、生产厂家和SC编码齐全明晰</w:t>
      </w:r>
      <w:r>
        <w:rPr>
          <w:rFonts w:hint="eastAsia" w:ascii="宋体" w:hAnsi="宋体" w:eastAsia="宋体" w:cs="宋体"/>
          <w:color w:val="auto"/>
          <w:sz w:val="24"/>
          <w:szCs w:val="24"/>
          <w:lang w:val="en-US" w:eastAsia="zh-CN"/>
        </w:rPr>
        <w:t>;</w:t>
      </w:r>
    </w:p>
    <w:p w14:paraId="0CE93A77">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供货时提供符合国家相关规定的食品检验报告复印件。（检验报告须在有效期内。）</w:t>
      </w:r>
    </w:p>
    <w:p w14:paraId="0A7EF40A">
      <w:pPr>
        <w:snapToGri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外观上不能直接辨别的质量问题，在使用过程中发现不合格商品，采购人应保留样品并及时拍照传至中标人客服，中标人应对不合格商品作退货处理。</w:t>
      </w:r>
    </w:p>
    <w:p w14:paraId="6DD2D63F">
      <w:pPr>
        <w:snapToGri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.凡按重量计量物资，均以物品净重方式计量结算。</w:t>
      </w:r>
    </w:p>
    <w:p w14:paraId="5CF268DF">
      <w:pPr>
        <w:snapToGri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9</w:t>
      </w:r>
      <w:r>
        <w:rPr>
          <w:rFonts w:hint="eastAsia" w:ascii="宋体" w:hAnsi="宋体" w:eastAsia="宋体" w:cs="宋体"/>
          <w:color w:val="auto"/>
          <w:kern w:val="0"/>
          <w:sz w:val="24"/>
          <w:szCs w:val="24"/>
        </w:rPr>
        <w:t>.若双方对质量问题有异议，由国家专业检测机构和部门认定。经检测无质量问题的，检测费用由采购人承担；经检测有质量问题的，检测费用由中标人承担。</w:t>
      </w:r>
    </w:p>
    <w:p w14:paraId="6A66BBBF">
      <w:pPr>
        <w:snapToGri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10</w:t>
      </w:r>
      <w:r>
        <w:rPr>
          <w:rFonts w:hint="eastAsia" w:ascii="宋体" w:hAnsi="宋体" w:eastAsia="宋体" w:cs="宋体"/>
          <w:color w:val="auto"/>
          <w:kern w:val="0"/>
          <w:sz w:val="24"/>
          <w:szCs w:val="24"/>
        </w:rPr>
        <w:t>.因市场特殊原因，个别商品品种不能及时提供，中标人应主动与采购人沟通协调，在征得采购人同意后更换品种，以满足采购人需要。</w:t>
      </w:r>
    </w:p>
    <w:p w14:paraId="4C21B459">
      <w:pPr>
        <w:snapToGri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11</w:t>
      </w:r>
      <w:r>
        <w:rPr>
          <w:rFonts w:hint="eastAsia" w:ascii="宋体" w:hAnsi="宋体" w:eastAsia="宋体" w:cs="宋体"/>
          <w:color w:val="auto"/>
          <w:kern w:val="0"/>
          <w:sz w:val="24"/>
          <w:szCs w:val="24"/>
        </w:rPr>
        <w:t>.送货单须按市场监管局要求规范的三联单。</w:t>
      </w:r>
    </w:p>
    <w:p w14:paraId="65EDFAA3">
      <w:pPr>
        <w:snapToGrid w:val="0"/>
        <w:spacing w:line="360" w:lineRule="auto"/>
        <w:ind w:firstLine="480" w:firstLineChars="200"/>
        <w:rPr>
          <w:rFonts w:hint="eastAsia" w:ascii="宋体" w:hAnsi="宋体" w:eastAsia="宋体" w:cs="宋体"/>
          <w:color w:val="auto"/>
          <w:kern w:val="0"/>
          <w:sz w:val="24"/>
          <w:szCs w:val="24"/>
        </w:rPr>
      </w:pPr>
    </w:p>
    <w:p w14:paraId="634099DE">
      <w:pPr>
        <w:snapToGrid w:val="0"/>
        <w:spacing w:line="360" w:lineRule="auto"/>
        <w:ind w:firstLine="480" w:firstLineChars="200"/>
        <w:rPr>
          <w:rFonts w:hint="eastAsia" w:ascii="宋体" w:hAnsi="宋体" w:eastAsia="宋体" w:cs="宋体"/>
          <w:color w:val="auto"/>
          <w:kern w:val="0"/>
          <w:sz w:val="24"/>
          <w:szCs w:val="24"/>
        </w:rPr>
      </w:pPr>
    </w:p>
    <w:p w14:paraId="0D6B5263">
      <w:pPr>
        <w:snapToGrid w:val="0"/>
        <w:spacing w:line="360" w:lineRule="auto"/>
        <w:ind w:firstLine="480" w:firstLineChars="200"/>
        <w:rPr>
          <w:rFonts w:hint="eastAsia" w:ascii="宋体" w:hAnsi="宋体" w:eastAsia="宋体" w:cs="宋体"/>
          <w:color w:val="auto"/>
          <w:kern w:val="0"/>
          <w:sz w:val="24"/>
          <w:szCs w:val="24"/>
        </w:rPr>
      </w:pPr>
    </w:p>
    <w:p w14:paraId="71381AE4">
      <w:pPr>
        <w:snapToGrid w:val="0"/>
        <w:spacing w:line="360" w:lineRule="auto"/>
        <w:ind w:firstLine="480" w:firstLineChars="200"/>
        <w:rPr>
          <w:rFonts w:hint="eastAsia" w:ascii="宋体" w:hAnsi="宋体" w:eastAsia="宋体" w:cs="宋体"/>
          <w:color w:val="auto"/>
          <w:kern w:val="0"/>
          <w:sz w:val="24"/>
          <w:szCs w:val="24"/>
        </w:rPr>
      </w:pPr>
    </w:p>
    <w:p w14:paraId="2E22A43C">
      <w:pPr>
        <w:snapToGrid w:val="0"/>
        <w:spacing w:line="360" w:lineRule="auto"/>
        <w:ind w:firstLine="480" w:firstLineChars="200"/>
        <w:rPr>
          <w:rFonts w:hint="eastAsia" w:ascii="宋体" w:hAnsi="宋体" w:eastAsia="宋体" w:cs="宋体"/>
          <w:color w:val="auto"/>
          <w:kern w:val="0"/>
          <w:sz w:val="24"/>
          <w:szCs w:val="24"/>
        </w:rPr>
      </w:pPr>
    </w:p>
    <w:p w14:paraId="61F20BD3">
      <w:pPr>
        <w:snapToGrid w:val="0"/>
        <w:spacing w:line="360" w:lineRule="auto"/>
        <w:ind w:firstLine="480" w:firstLineChars="200"/>
        <w:rPr>
          <w:rFonts w:hint="eastAsia" w:ascii="宋体" w:hAnsi="宋体" w:eastAsia="宋体" w:cs="宋体"/>
          <w:color w:val="auto"/>
          <w:kern w:val="0"/>
          <w:sz w:val="24"/>
          <w:szCs w:val="24"/>
        </w:rPr>
      </w:pPr>
    </w:p>
    <w:p w14:paraId="7791ADAE">
      <w:pPr>
        <w:snapToGrid w:val="0"/>
        <w:spacing w:line="360" w:lineRule="auto"/>
        <w:ind w:firstLine="480" w:firstLineChars="200"/>
        <w:rPr>
          <w:rFonts w:hint="eastAsia" w:ascii="宋体" w:hAnsi="宋体" w:eastAsia="宋体" w:cs="宋体"/>
          <w:color w:val="auto"/>
          <w:kern w:val="0"/>
          <w:sz w:val="24"/>
          <w:szCs w:val="24"/>
        </w:rPr>
      </w:pPr>
    </w:p>
    <w:p w14:paraId="74F71A8B">
      <w:pPr>
        <w:snapToGrid w:val="0"/>
        <w:spacing w:line="360" w:lineRule="auto"/>
        <w:ind w:firstLine="480" w:firstLineChars="200"/>
        <w:rPr>
          <w:rFonts w:hint="eastAsia" w:ascii="宋体" w:hAnsi="宋体" w:eastAsia="宋体" w:cs="宋体"/>
          <w:color w:val="auto"/>
          <w:kern w:val="0"/>
          <w:sz w:val="24"/>
          <w:szCs w:val="24"/>
        </w:rPr>
      </w:pPr>
    </w:p>
    <w:p w14:paraId="1D61A272">
      <w:pPr>
        <w:snapToGrid w:val="0"/>
        <w:spacing w:line="360" w:lineRule="auto"/>
        <w:ind w:firstLine="480" w:firstLineChars="200"/>
        <w:rPr>
          <w:rFonts w:hint="eastAsia" w:ascii="宋体" w:hAnsi="宋体" w:eastAsia="宋体" w:cs="宋体"/>
          <w:color w:val="auto"/>
          <w:kern w:val="0"/>
          <w:sz w:val="24"/>
          <w:szCs w:val="24"/>
        </w:rPr>
      </w:pPr>
    </w:p>
    <w:p w14:paraId="1FECBE20">
      <w:pPr>
        <w:snapToGrid w:val="0"/>
        <w:spacing w:line="360" w:lineRule="auto"/>
        <w:ind w:firstLine="480" w:firstLineChars="200"/>
        <w:rPr>
          <w:rFonts w:hint="eastAsia" w:ascii="宋体" w:hAnsi="宋体" w:eastAsia="宋体" w:cs="宋体"/>
          <w:color w:val="auto"/>
          <w:kern w:val="0"/>
          <w:sz w:val="24"/>
          <w:szCs w:val="24"/>
        </w:rPr>
      </w:pPr>
    </w:p>
    <w:p w14:paraId="73B15324">
      <w:pPr>
        <w:snapToGrid w:val="0"/>
        <w:spacing w:line="360" w:lineRule="auto"/>
        <w:ind w:firstLine="480" w:firstLineChars="200"/>
        <w:rPr>
          <w:rFonts w:hint="eastAsia" w:ascii="宋体" w:hAnsi="宋体" w:eastAsia="宋体" w:cs="宋体"/>
          <w:color w:val="auto"/>
          <w:kern w:val="0"/>
          <w:sz w:val="24"/>
          <w:szCs w:val="24"/>
        </w:rPr>
      </w:pPr>
    </w:p>
    <w:p w14:paraId="2D178CFA">
      <w:pPr>
        <w:snapToGrid w:val="0"/>
        <w:spacing w:line="360" w:lineRule="auto"/>
        <w:ind w:firstLine="480" w:firstLineChars="200"/>
        <w:rPr>
          <w:rFonts w:hint="eastAsia" w:ascii="宋体" w:hAnsi="宋体" w:eastAsia="宋体" w:cs="宋体"/>
          <w:color w:val="auto"/>
          <w:kern w:val="0"/>
          <w:sz w:val="24"/>
          <w:szCs w:val="24"/>
        </w:rPr>
      </w:pPr>
    </w:p>
    <w:p w14:paraId="616EFABC">
      <w:pPr>
        <w:snapToGrid w:val="0"/>
        <w:spacing w:line="360" w:lineRule="auto"/>
        <w:ind w:firstLine="480" w:firstLineChars="200"/>
        <w:rPr>
          <w:rFonts w:hint="eastAsia" w:ascii="宋体" w:hAnsi="宋体" w:eastAsia="宋体" w:cs="宋体"/>
          <w:color w:val="auto"/>
          <w:kern w:val="0"/>
          <w:sz w:val="24"/>
          <w:szCs w:val="24"/>
        </w:rPr>
      </w:pPr>
    </w:p>
    <w:p w14:paraId="0CB32B10">
      <w:pPr>
        <w:snapToGrid w:val="0"/>
        <w:spacing w:line="360" w:lineRule="auto"/>
        <w:ind w:firstLine="480" w:firstLineChars="200"/>
        <w:rPr>
          <w:rFonts w:hint="eastAsia" w:ascii="宋体" w:hAnsi="宋体" w:eastAsia="宋体" w:cs="宋体"/>
          <w:color w:val="auto"/>
          <w:kern w:val="0"/>
          <w:sz w:val="24"/>
          <w:szCs w:val="24"/>
        </w:rPr>
      </w:pPr>
    </w:p>
    <w:p w14:paraId="3F02E88D">
      <w:pPr>
        <w:snapToGrid w:val="0"/>
        <w:spacing w:line="360" w:lineRule="auto"/>
        <w:ind w:firstLine="480" w:firstLineChars="200"/>
        <w:rPr>
          <w:rFonts w:hint="eastAsia" w:ascii="宋体" w:hAnsi="宋体" w:eastAsia="宋体" w:cs="宋体"/>
          <w:color w:val="auto"/>
          <w:kern w:val="0"/>
          <w:sz w:val="24"/>
          <w:szCs w:val="24"/>
        </w:rPr>
      </w:pPr>
    </w:p>
    <w:p w14:paraId="11C6F692">
      <w:pPr>
        <w:snapToGrid w:val="0"/>
        <w:spacing w:line="360" w:lineRule="auto"/>
        <w:ind w:firstLine="480" w:firstLineChars="200"/>
        <w:rPr>
          <w:rFonts w:hint="eastAsia" w:ascii="宋体" w:hAnsi="宋体" w:eastAsia="宋体" w:cs="宋体"/>
          <w:color w:val="auto"/>
          <w:kern w:val="0"/>
          <w:sz w:val="24"/>
          <w:szCs w:val="24"/>
        </w:rPr>
      </w:pPr>
    </w:p>
    <w:p w14:paraId="71D845A7">
      <w:pPr>
        <w:snapToGrid w:val="0"/>
        <w:spacing w:line="360" w:lineRule="auto"/>
        <w:ind w:firstLine="480" w:firstLineChars="200"/>
        <w:rPr>
          <w:rFonts w:hint="eastAsia" w:ascii="宋体" w:hAnsi="宋体" w:eastAsia="宋体" w:cs="宋体"/>
          <w:color w:val="auto"/>
          <w:kern w:val="0"/>
          <w:sz w:val="24"/>
          <w:szCs w:val="24"/>
        </w:rPr>
      </w:pPr>
    </w:p>
    <w:p w14:paraId="484447F3">
      <w:pPr>
        <w:snapToGrid w:val="0"/>
        <w:spacing w:line="360" w:lineRule="auto"/>
        <w:ind w:firstLine="480" w:firstLineChars="200"/>
        <w:rPr>
          <w:rFonts w:hint="eastAsia" w:ascii="宋体" w:hAnsi="宋体" w:eastAsia="宋体" w:cs="宋体"/>
          <w:color w:val="auto"/>
          <w:kern w:val="0"/>
          <w:sz w:val="24"/>
          <w:szCs w:val="24"/>
        </w:rPr>
      </w:pPr>
    </w:p>
    <w:p w14:paraId="2BB5BB03">
      <w:pPr>
        <w:snapToGrid w:val="0"/>
        <w:spacing w:line="360" w:lineRule="auto"/>
        <w:ind w:firstLine="480" w:firstLineChars="200"/>
        <w:rPr>
          <w:rFonts w:hint="eastAsia" w:ascii="宋体" w:hAnsi="宋体" w:eastAsia="宋体" w:cs="宋体"/>
          <w:color w:val="auto"/>
          <w:kern w:val="0"/>
          <w:sz w:val="24"/>
          <w:szCs w:val="24"/>
        </w:rPr>
      </w:pPr>
    </w:p>
    <w:p w14:paraId="35412749">
      <w:pPr>
        <w:snapToGrid w:val="0"/>
        <w:spacing w:line="360" w:lineRule="auto"/>
        <w:ind w:firstLine="480" w:firstLineChars="200"/>
        <w:rPr>
          <w:rFonts w:hint="eastAsia" w:ascii="宋体" w:hAnsi="宋体" w:eastAsia="宋体" w:cs="宋体"/>
          <w:color w:val="auto"/>
          <w:kern w:val="0"/>
          <w:sz w:val="24"/>
          <w:szCs w:val="24"/>
        </w:rPr>
      </w:pPr>
    </w:p>
    <w:p w14:paraId="29F5683C">
      <w:pPr>
        <w:snapToGrid w:val="0"/>
        <w:spacing w:line="360" w:lineRule="auto"/>
        <w:ind w:firstLine="480" w:firstLineChars="200"/>
        <w:rPr>
          <w:rFonts w:hint="eastAsia" w:ascii="宋体" w:hAnsi="宋体" w:eastAsia="宋体" w:cs="宋体"/>
          <w:color w:val="auto"/>
          <w:kern w:val="0"/>
          <w:sz w:val="24"/>
          <w:szCs w:val="24"/>
        </w:rPr>
      </w:pPr>
    </w:p>
    <w:p w14:paraId="6F5804AB">
      <w:pPr>
        <w:snapToGrid w:val="0"/>
        <w:spacing w:line="360" w:lineRule="auto"/>
        <w:ind w:firstLine="480" w:firstLineChars="200"/>
        <w:rPr>
          <w:rFonts w:hint="eastAsia" w:ascii="宋体" w:hAnsi="宋体" w:eastAsia="宋体" w:cs="宋体"/>
          <w:color w:val="auto"/>
          <w:kern w:val="0"/>
          <w:sz w:val="24"/>
          <w:szCs w:val="24"/>
        </w:rPr>
      </w:pPr>
    </w:p>
    <w:bookmarkEnd w:id="91"/>
    <w:p w14:paraId="71ABAF14">
      <w:pPr>
        <w:pStyle w:val="2"/>
        <w:spacing w:before="0" w:beforeLines="0" w:after="0" w:afterLines="0" w:line="360" w:lineRule="auto"/>
        <w:rPr>
          <w:rFonts w:hint="eastAsia" w:ascii="宋体" w:hAnsi="宋体" w:eastAsia="宋体" w:cs="宋体"/>
          <w:b/>
          <w:bCs/>
          <w:color w:val="auto"/>
          <w:highlight w:val="none"/>
        </w:rPr>
      </w:pPr>
      <w:bookmarkStart w:id="96" w:name="_Toc18910"/>
      <w:bookmarkStart w:id="97" w:name="_Toc3450"/>
      <w:bookmarkStart w:id="98" w:name="_Toc17122"/>
      <w:bookmarkStart w:id="99" w:name="_Toc3976"/>
      <w:r>
        <w:rPr>
          <w:rFonts w:hint="eastAsia" w:ascii="宋体" w:hAnsi="宋体" w:eastAsia="宋体" w:cs="宋体"/>
          <w:b/>
          <w:bCs/>
          <w:color w:val="auto"/>
          <w:highlight w:val="none"/>
        </w:rPr>
        <w:t>第三篇 项目商务需求</w:t>
      </w:r>
      <w:bookmarkEnd w:id="76"/>
      <w:bookmarkEnd w:id="96"/>
      <w:bookmarkEnd w:id="97"/>
      <w:bookmarkEnd w:id="98"/>
      <w:bookmarkEnd w:id="99"/>
    </w:p>
    <w:p w14:paraId="19274B9A">
      <w:pPr>
        <w:pStyle w:val="3"/>
        <w:pageBreakBefore w:val="0"/>
        <w:widowControl w:val="0"/>
        <w:kinsoku/>
        <w:wordWrap/>
        <w:overflowPunct/>
        <w:topLinePunct w:val="0"/>
        <w:autoSpaceDE/>
        <w:autoSpaceDN/>
        <w:bidi w:val="0"/>
        <w:snapToGrid w:val="0"/>
        <w:spacing w:line="360" w:lineRule="auto"/>
        <w:textAlignment w:val="auto"/>
        <w:outlineLvl w:val="0"/>
        <w:rPr>
          <w:rFonts w:hint="eastAsia" w:ascii="宋体" w:hAnsi="宋体" w:eastAsia="宋体" w:cs="宋体"/>
          <w:b/>
          <w:color w:val="auto"/>
          <w:sz w:val="28"/>
          <w:szCs w:val="28"/>
          <w:highlight w:val="none"/>
        </w:rPr>
      </w:pPr>
      <w:bookmarkStart w:id="100" w:name="_Toc20634"/>
      <w:bookmarkStart w:id="101" w:name="_Toc32692"/>
      <w:bookmarkStart w:id="102" w:name="_Toc24518"/>
      <w:bookmarkStart w:id="103" w:name="_Toc3601"/>
      <w:bookmarkStart w:id="104" w:name="_Toc5863"/>
      <w:bookmarkStart w:id="105" w:name="_Toc11641055"/>
      <w:bookmarkStart w:id="106" w:name="_Toc12789059"/>
      <w:r>
        <w:rPr>
          <w:rFonts w:hint="eastAsia" w:ascii="宋体" w:hAnsi="宋体" w:eastAsia="宋体" w:cs="宋体"/>
          <w:b/>
          <w:color w:val="auto"/>
          <w:sz w:val="28"/>
          <w:szCs w:val="28"/>
          <w:highlight w:val="none"/>
        </w:rPr>
        <w:t>一、服务时间、地点及验收方式</w:t>
      </w:r>
      <w:bookmarkEnd w:id="100"/>
      <w:bookmarkEnd w:id="101"/>
      <w:bookmarkEnd w:id="102"/>
      <w:bookmarkEnd w:id="103"/>
      <w:bookmarkEnd w:id="104"/>
    </w:p>
    <w:p w14:paraId="37B309EF">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服务时间：服务期3年。</w:t>
      </w:r>
    </w:p>
    <w:p w14:paraId="21C6CB4E">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服务地点:</w:t>
      </w:r>
      <w:r>
        <w:rPr>
          <w:rFonts w:hint="eastAsia" w:ascii="宋体" w:hAnsi="宋体" w:eastAsia="宋体" w:cs="宋体"/>
          <w:color w:val="auto"/>
          <w:sz w:val="24"/>
          <w:szCs w:val="24"/>
          <w:highlight w:val="none"/>
          <w:lang w:val="en-US" w:eastAsia="zh-CN"/>
        </w:rPr>
        <w:t>酉阳土家族苗族自治县兴隆初级中学校</w:t>
      </w:r>
    </w:p>
    <w:p w14:paraId="6444DC73">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验收方式:</w:t>
      </w:r>
    </w:p>
    <w:p w14:paraId="3C41185C">
      <w:pPr>
        <w:pStyle w:val="59"/>
        <w:keepNext w:val="0"/>
        <w:keepLines w:val="0"/>
        <w:pageBreakBefore w:val="0"/>
        <w:numPr>
          <w:ilvl w:val="0"/>
          <w:numId w:val="0"/>
        </w:numPr>
        <w:kinsoku/>
        <w:wordWrap/>
        <w:overflowPunct/>
        <w:topLinePunct w:val="0"/>
        <w:autoSpaceDE/>
        <w:autoSpaceDN/>
        <w:bidi w:val="0"/>
        <w:snapToGrid/>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货物送至采购人指定交货地点后，由双方共同对货物进行验收，并签字确认。</w:t>
      </w:r>
    </w:p>
    <w:p w14:paraId="071CDA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lang w:val="en-US" w:eastAsia="zh-CN"/>
        </w:rPr>
      </w:pPr>
      <w:r>
        <w:rPr>
          <w:rFonts w:hint="eastAsia" w:ascii="宋体" w:hAnsi="宋体" w:eastAsia="宋体" w:cs="宋体"/>
          <w:color w:val="auto"/>
          <w:kern w:val="0"/>
          <w:sz w:val="24"/>
          <w:szCs w:val="24"/>
          <w:highlight w:val="none"/>
          <w:lang w:val="en-US" w:eastAsia="zh-CN" w:bidi="ar-SA"/>
        </w:rPr>
        <w:t>验收标准：</w:t>
      </w:r>
      <w:r>
        <w:rPr>
          <w:rFonts w:hint="eastAsia" w:ascii="宋体" w:hAnsi="宋体" w:eastAsia="宋体" w:cs="宋体"/>
          <w:color w:val="auto"/>
          <w:kern w:val="0"/>
          <w:sz w:val="24"/>
          <w:szCs w:val="24"/>
          <w:highlight w:val="none"/>
          <w:lang w:val="zh-CN" w:eastAsia="zh-CN" w:bidi="ar-SA"/>
        </w:rPr>
        <w:t>投标人提供的货品必须符合国家相关法律法规要求。</w:t>
      </w:r>
    </w:p>
    <w:p w14:paraId="0C8264BF">
      <w:pPr>
        <w:spacing w:line="400" w:lineRule="exact"/>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货物到达现场后，应在超市管理人员在场情况下当面进行感官检验、外观检验或试用检验，若产品外观、包装、质量不能达到收货标准，采购人拒收配送物资，成交人应无条件迅速补充合格产品，不得影响采购人商品上架。对符合要求的产品当场作出记录，双方签字确认。</w:t>
      </w:r>
    </w:p>
    <w:p w14:paraId="3825D06C">
      <w:pPr>
        <w:spacing w:line="400" w:lineRule="exact"/>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（2）提供货物未达到招标文件规定要求，且对采购人造成损失的，由成交人承担一切责任，并赔偿所造成损失。</w:t>
      </w:r>
    </w:p>
    <w:p w14:paraId="1C729910">
      <w:pPr>
        <w:spacing w:line="400" w:lineRule="exact"/>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（3）采购人组织定期或不定期货品抽检和送检。对检验不合格产品无条件退、换货外，需按双方约定予以处理。</w:t>
      </w:r>
    </w:p>
    <w:p w14:paraId="0C9113DC">
      <w:pPr>
        <w:spacing w:line="400" w:lineRule="exact"/>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（4）因验收货物时不能直接判断质量的，在使用过程中发现不合格商品，供应商应作退货处理。</w:t>
      </w:r>
    </w:p>
    <w:p w14:paraId="2F989363">
      <w:pPr>
        <w:spacing w:line="400" w:lineRule="exact"/>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（5）凡按重量计量物资，均以物品净重方式计量结算。</w:t>
      </w:r>
    </w:p>
    <w:p w14:paraId="1C16D49D">
      <w:pPr>
        <w:spacing w:line="400" w:lineRule="exact"/>
        <w:ind w:firstLine="480" w:firstLineChars="200"/>
        <w:rPr>
          <w:rFonts w:hint="eastAsia" w:ascii="宋体" w:hAnsi="宋体" w:eastAsia="宋体" w:cs="宋体"/>
          <w:color w:val="auto"/>
          <w:kern w:val="0"/>
          <w:sz w:val="24"/>
          <w:szCs w:val="24"/>
          <w:highlight w:val="none"/>
          <w:lang w:val="en-US" w:eastAsia="zh-CN" w:bidi="ar-SA"/>
        </w:rPr>
      </w:pPr>
    </w:p>
    <w:p w14:paraId="005428E1">
      <w:pPr>
        <w:rPr>
          <w:rFonts w:hint="eastAsia" w:ascii="宋体" w:hAnsi="宋体" w:eastAsia="宋体" w:cs="宋体"/>
          <w:color w:val="auto"/>
          <w:lang w:val="en-US" w:eastAsia="zh-CN"/>
        </w:rPr>
      </w:pPr>
    </w:p>
    <w:p w14:paraId="6A3E51B9">
      <w:pPr>
        <w:pStyle w:val="3"/>
        <w:pageBreakBefore w:val="0"/>
        <w:widowControl w:val="0"/>
        <w:numPr>
          <w:ilvl w:val="0"/>
          <w:numId w:val="0"/>
        </w:numPr>
        <w:kinsoku/>
        <w:wordWrap/>
        <w:overflowPunct/>
        <w:topLinePunct w:val="0"/>
        <w:autoSpaceDE/>
        <w:autoSpaceDN/>
        <w:bidi w:val="0"/>
        <w:snapToGrid w:val="0"/>
        <w:spacing w:line="360" w:lineRule="auto"/>
        <w:ind w:leftChars="0"/>
        <w:textAlignment w:val="auto"/>
        <w:outlineLvl w:val="0"/>
        <w:rPr>
          <w:rFonts w:hint="eastAsia" w:ascii="宋体" w:hAnsi="宋体" w:eastAsia="宋体" w:cs="宋体"/>
          <w:color w:val="auto"/>
        </w:rPr>
      </w:pPr>
      <w:bookmarkStart w:id="107" w:name="_Toc31652"/>
      <w:bookmarkStart w:id="108" w:name="_Toc2885"/>
      <w:bookmarkStart w:id="109" w:name="_Toc26065"/>
      <w:bookmarkStart w:id="110" w:name="_Toc18427"/>
      <w:r>
        <w:rPr>
          <w:rFonts w:hint="eastAsia" w:ascii="宋体" w:hAnsi="宋体" w:eastAsia="宋体" w:cs="宋体"/>
          <w:b/>
          <w:color w:val="auto"/>
          <w:sz w:val="28"/>
          <w:szCs w:val="28"/>
          <w:highlight w:val="none"/>
          <w:lang w:val="en-US" w:eastAsia="zh-CN"/>
        </w:rPr>
        <w:t>二、报价要求</w:t>
      </w:r>
      <w:bookmarkEnd w:id="107"/>
      <w:bookmarkEnd w:id="108"/>
      <w:bookmarkEnd w:id="109"/>
      <w:bookmarkEnd w:id="110"/>
      <w:r>
        <w:rPr>
          <w:rFonts w:hint="eastAsia" w:ascii="宋体" w:hAnsi="宋体" w:eastAsia="宋体" w:cs="宋体"/>
          <w:b/>
          <w:color w:val="auto"/>
          <w:sz w:val="28"/>
          <w:szCs w:val="28"/>
          <w:highlight w:val="none"/>
        </w:rPr>
        <w:t xml:space="preserve"> </w:t>
      </w:r>
    </w:p>
    <w:p w14:paraId="29747137">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eastAsia="zh-CN"/>
        </w:rPr>
        <w:t>本次</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val="zh-CN" w:eastAsia="zh-CN"/>
        </w:rPr>
        <w:t>报价为</w:t>
      </w:r>
      <w:r>
        <w:rPr>
          <w:rFonts w:hint="eastAsia" w:ascii="宋体" w:hAnsi="宋体" w:eastAsia="宋体" w:cs="宋体"/>
          <w:color w:val="auto"/>
          <w:sz w:val="24"/>
          <w:szCs w:val="24"/>
          <w:highlight w:val="none"/>
          <w:lang w:val="en-US" w:eastAsia="zh-CN"/>
        </w:rPr>
        <w:t>费率</w:t>
      </w:r>
      <w:r>
        <w:rPr>
          <w:rFonts w:hint="eastAsia" w:ascii="宋体" w:hAnsi="宋体" w:eastAsia="宋体" w:cs="宋体"/>
          <w:color w:val="auto"/>
          <w:sz w:val="24"/>
          <w:szCs w:val="24"/>
          <w:highlight w:val="none"/>
          <w:lang w:val="zh-CN" w:eastAsia="zh-CN"/>
        </w:rPr>
        <w:t>报价，</w:t>
      </w:r>
      <w:r>
        <w:rPr>
          <w:rFonts w:hint="eastAsia" w:ascii="宋体" w:hAnsi="宋体" w:eastAsia="宋体" w:cs="宋体"/>
          <w:color w:val="auto"/>
          <w:sz w:val="24"/>
          <w:szCs w:val="24"/>
          <w:highlight w:val="none"/>
          <w:lang w:val="en-US" w:eastAsia="zh-CN"/>
        </w:rPr>
        <w:t>投标报价费率</w:t>
      </w:r>
      <w:r>
        <w:rPr>
          <w:rFonts w:hint="eastAsia" w:ascii="宋体" w:hAnsi="宋体" w:eastAsia="宋体" w:cs="宋体"/>
          <w:color w:val="auto"/>
          <w:sz w:val="24"/>
          <w:szCs w:val="24"/>
          <w:highlight w:val="none"/>
          <w:lang w:val="zh-CN" w:eastAsia="zh-CN"/>
        </w:rPr>
        <w:t>最高限价</w:t>
      </w:r>
      <w:r>
        <w:rPr>
          <w:rFonts w:hint="eastAsia" w:ascii="宋体" w:hAnsi="宋体" w:eastAsia="宋体" w:cs="宋体"/>
          <w:color w:val="auto"/>
          <w:sz w:val="24"/>
          <w:szCs w:val="24"/>
          <w:highlight w:val="none"/>
          <w:lang w:val="en-US" w:eastAsia="zh-CN"/>
        </w:rPr>
        <w:t>为100</w:t>
      </w:r>
      <w:r>
        <w:rPr>
          <w:rFonts w:hint="eastAsia" w:ascii="宋体" w:hAnsi="宋体" w:eastAsia="宋体" w:cs="宋体"/>
          <w:color w:val="auto"/>
          <w:sz w:val="24"/>
          <w:szCs w:val="24"/>
          <w:highlight w:val="none"/>
          <w:lang w:val="zh-CN" w:eastAsia="zh-CN"/>
        </w:rPr>
        <w:t>%。该</w:t>
      </w:r>
      <w:r>
        <w:rPr>
          <w:rFonts w:hint="eastAsia" w:ascii="宋体" w:hAnsi="宋体" w:eastAsia="宋体" w:cs="宋体"/>
          <w:color w:val="auto"/>
          <w:sz w:val="24"/>
          <w:szCs w:val="24"/>
          <w:highlight w:val="none"/>
          <w:lang w:val="en-US" w:eastAsia="zh-CN"/>
        </w:rPr>
        <w:t>费率</w:t>
      </w:r>
      <w:r>
        <w:rPr>
          <w:rFonts w:hint="eastAsia" w:ascii="宋体" w:hAnsi="宋体" w:eastAsia="宋体" w:cs="宋体"/>
          <w:color w:val="auto"/>
          <w:sz w:val="24"/>
          <w:szCs w:val="24"/>
          <w:highlight w:val="none"/>
          <w:lang w:val="zh-CN" w:eastAsia="zh-CN"/>
        </w:rPr>
        <w:t>为综合</w:t>
      </w:r>
      <w:r>
        <w:rPr>
          <w:rFonts w:hint="eastAsia" w:ascii="宋体" w:hAnsi="宋体" w:eastAsia="宋体" w:cs="宋体"/>
          <w:color w:val="auto"/>
          <w:sz w:val="24"/>
          <w:szCs w:val="24"/>
          <w:highlight w:val="none"/>
          <w:lang w:val="en-US" w:eastAsia="zh-CN"/>
        </w:rPr>
        <w:t>费率</w:t>
      </w:r>
      <w:r>
        <w:rPr>
          <w:rFonts w:hint="eastAsia" w:ascii="宋体" w:hAnsi="宋体" w:eastAsia="宋体" w:cs="宋体"/>
          <w:color w:val="auto"/>
          <w:sz w:val="24"/>
          <w:szCs w:val="24"/>
          <w:highlight w:val="none"/>
          <w:lang w:val="zh-CN" w:eastAsia="zh-CN"/>
        </w:rPr>
        <w:t>，即各品目中无论多少种类的商品均只有一个</w:t>
      </w:r>
      <w:r>
        <w:rPr>
          <w:rFonts w:hint="eastAsia" w:ascii="宋体" w:hAnsi="宋体" w:eastAsia="宋体" w:cs="宋体"/>
          <w:color w:val="auto"/>
          <w:sz w:val="24"/>
          <w:szCs w:val="24"/>
          <w:highlight w:val="none"/>
          <w:lang w:val="en-US" w:eastAsia="zh-CN"/>
        </w:rPr>
        <w:t>费率</w:t>
      </w:r>
      <w:r>
        <w:rPr>
          <w:rFonts w:hint="eastAsia" w:ascii="宋体" w:hAnsi="宋体" w:eastAsia="宋体" w:cs="宋体"/>
          <w:color w:val="auto"/>
          <w:sz w:val="24"/>
          <w:szCs w:val="24"/>
          <w:highlight w:val="none"/>
          <w:lang w:val="zh-CN" w:eastAsia="zh-CN"/>
        </w:rPr>
        <w:t>，若独立品目出现了不同</w:t>
      </w:r>
      <w:r>
        <w:rPr>
          <w:rFonts w:hint="eastAsia" w:ascii="宋体" w:hAnsi="宋体" w:eastAsia="宋体" w:cs="宋体"/>
          <w:color w:val="auto"/>
          <w:sz w:val="24"/>
          <w:szCs w:val="24"/>
          <w:highlight w:val="none"/>
          <w:lang w:val="en-US" w:eastAsia="zh-CN"/>
        </w:rPr>
        <w:t>费率</w:t>
      </w:r>
      <w:r>
        <w:rPr>
          <w:rFonts w:hint="eastAsia" w:ascii="宋体" w:hAnsi="宋体" w:eastAsia="宋体" w:cs="宋体"/>
          <w:color w:val="auto"/>
          <w:sz w:val="24"/>
          <w:szCs w:val="24"/>
          <w:highlight w:val="none"/>
          <w:lang w:val="zh-CN" w:eastAsia="zh-CN"/>
        </w:rPr>
        <w:t>，则为无效</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lang w:val="zh-CN" w:eastAsia="zh-CN"/>
        </w:rPr>
        <w:t>后各品目中的所有商品种类均按照综合</w:t>
      </w:r>
      <w:r>
        <w:rPr>
          <w:rFonts w:hint="eastAsia" w:ascii="宋体" w:hAnsi="宋体" w:eastAsia="宋体" w:cs="宋体"/>
          <w:color w:val="auto"/>
          <w:sz w:val="24"/>
          <w:szCs w:val="24"/>
          <w:highlight w:val="none"/>
          <w:lang w:val="en-US" w:eastAsia="zh-CN"/>
        </w:rPr>
        <w:t>费率</w:t>
      </w:r>
      <w:r>
        <w:rPr>
          <w:rFonts w:hint="eastAsia" w:ascii="宋体" w:hAnsi="宋体" w:eastAsia="宋体" w:cs="宋体"/>
          <w:color w:val="auto"/>
          <w:sz w:val="24"/>
          <w:szCs w:val="24"/>
          <w:highlight w:val="none"/>
          <w:lang w:val="zh-CN" w:eastAsia="zh-CN"/>
        </w:rPr>
        <w:t>计算供货价格；商品进行打折后的费用包含结算时的商品价、运输费（含装卸费）、人工费、保险费、税费、培训费等送货到服务地点的所有费用以及采购代理服务费等一切费用</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rPr>
        <w:t>因供应商自身原因造成漏报、少报皆由其自行承担责任，采购人不再补偿。</w:t>
      </w:r>
    </w:p>
    <w:p w14:paraId="5BD4992A">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highlight w:val="none"/>
          <w:lang w:val="en-US"/>
        </w:rPr>
      </w:pPr>
      <w:r>
        <w:rPr>
          <w:rFonts w:hint="eastAsia" w:ascii="宋体" w:hAnsi="宋体" w:eastAsia="宋体" w:cs="宋体"/>
          <w:color w:val="auto"/>
          <w:kern w:val="0"/>
          <w:sz w:val="24"/>
          <w:szCs w:val="24"/>
        </w:rPr>
        <w:t>供应商</w:t>
      </w:r>
      <w:r>
        <w:rPr>
          <w:rFonts w:hint="eastAsia" w:ascii="宋体" w:hAnsi="宋体" w:eastAsia="宋体" w:cs="宋体"/>
          <w:color w:val="auto"/>
          <w:kern w:val="0"/>
          <w:sz w:val="24"/>
          <w:szCs w:val="24"/>
          <w:lang w:val="en-US" w:eastAsia="zh-CN"/>
        </w:rPr>
        <w:t>应</w:t>
      </w:r>
      <w:r>
        <w:rPr>
          <w:rFonts w:hint="eastAsia" w:ascii="宋体" w:hAnsi="宋体" w:eastAsia="宋体" w:cs="宋体"/>
          <w:color w:val="auto"/>
          <w:kern w:val="0"/>
          <w:sz w:val="24"/>
          <w:szCs w:val="24"/>
        </w:rPr>
        <w:t>结合自身实力、市场行情参照市内大型超市同品种同规格商品挂牌销售价格（特价商品除外）为标准，</w:t>
      </w:r>
      <w:r>
        <w:rPr>
          <w:rFonts w:hint="eastAsia" w:ascii="宋体" w:hAnsi="宋体" w:eastAsia="宋体" w:cs="宋体"/>
          <w:color w:val="auto"/>
          <w:kern w:val="0"/>
          <w:sz w:val="24"/>
          <w:szCs w:val="24"/>
          <w:lang w:val="en-US" w:eastAsia="zh-CN"/>
        </w:rPr>
        <w:t>综合考虑多品类商品折扣率，自行合理填报</w:t>
      </w:r>
      <w:r>
        <w:rPr>
          <w:rFonts w:hint="eastAsia" w:ascii="宋体" w:hAnsi="宋体" w:eastAsia="宋体" w:cs="宋体"/>
          <w:color w:val="auto"/>
          <w:sz w:val="24"/>
          <w:szCs w:val="24"/>
          <w:highlight w:val="none"/>
          <w:lang w:val="zh-CN" w:eastAsia="zh-CN"/>
        </w:rPr>
        <w:t>综合</w:t>
      </w:r>
      <w:r>
        <w:rPr>
          <w:rFonts w:hint="eastAsia" w:ascii="宋体" w:hAnsi="宋体" w:eastAsia="宋体" w:cs="宋体"/>
          <w:color w:val="auto"/>
          <w:sz w:val="24"/>
          <w:szCs w:val="24"/>
          <w:highlight w:val="none"/>
          <w:lang w:val="en-US" w:eastAsia="zh-CN"/>
        </w:rPr>
        <w:t>费率（折扣率）</w:t>
      </w:r>
      <w:r>
        <w:rPr>
          <w:rFonts w:hint="eastAsia" w:ascii="宋体" w:hAnsi="宋体" w:eastAsia="宋体" w:cs="宋体"/>
          <w:color w:val="auto"/>
          <w:kern w:val="0"/>
          <w:sz w:val="24"/>
          <w:szCs w:val="24"/>
          <w:lang w:val="en-US" w:eastAsia="zh-CN"/>
        </w:rPr>
        <w:t>报价。</w:t>
      </w:r>
    </w:p>
    <w:p w14:paraId="392656F8">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合同期内采购</w:t>
      </w:r>
      <w:r>
        <w:rPr>
          <w:rFonts w:hint="eastAsia" w:ascii="宋体" w:hAnsi="宋体" w:eastAsia="宋体" w:cs="宋体"/>
          <w:color w:val="auto"/>
          <w:kern w:val="0"/>
          <w:sz w:val="24"/>
          <w:szCs w:val="24"/>
          <w:highlight w:val="none"/>
          <w:lang w:val="en-US" w:eastAsia="zh-CN"/>
        </w:rPr>
        <w:t>人</w:t>
      </w:r>
      <w:r>
        <w:rPr>
          <w:rFonts w:hint="eastAsia" w:ascii="宋体" w:hAnsi="宋体" w:eastAsia="宋体" w:cs="宋体"/>
          <w:color w:val="auto"/>
          <w:kern w:val="0"/>
          <w:sz w:val="24"/>
          <w:szCs w:val="24"/>
          <w:highlight w:val="none"/>
        </w:rPr>
        <w:t>根据中标</w:t>
      </w:r>
      <w:r>
        <w:rPr>
          <w:rFonts w:hint="eastAsia" w:ascii="宋体" w:hAnsi="宋体" w:eastAsia="宋体" w:cs="宋体"/>
          <w:color w:val="auto"/>
          <w:kern w:val="0"/>
          <w:sz w:val="24"/>
          <w:szCs w:val="24"/>
          <w:highlight w:val="none"/>
          <w:lang w:val="en-US" w:eastAsia="zh-CN"/>
        </w:rPr>
        <w:t>费率</w:t>
      </w:r>
      <w:r>
        <w:rPr>
          <w:rFonts w:hint="eastAsia" w:ascii="宋体" w:hAnsi="宋体" w:eastAsia="宋体" w:cs="宋体"/>
          <w:color w:val="auto"/>
          <w:kern w:val="0"/>
          <w:sz w:val="24"/>
          <w:szCs w:val="24"/>
          <w:highlight w:val="none"/>
        </w:rPr>
        <w:t>和采购数量据实结算。以采购人附近永辉超市、</w:t>
      </w:r>
      <w:r>
        <w:rPr>
          <w:rFonts w:hint="eastAsia" w:ascii="宋体" w:hAnsi="宋体" w:eastAsia="宋体" w:cs="宋体"/>
          <w:color w:val="auto"/>
          <w:kern w:val="0"/>
          <w:sz w:val="24"/>
          <w:szCs w:val="24"/>
          <w:highlight w:val="none"/>
          <w:lang w:val="en-US" w:eastAsia="zh-CN"/>
        </w:rPr>
        <w:t>佳惠超市</w:t>
      </w:r>
      <w:r>
        <w:rPr>
          <w:rFonts w:hint="eastAsia" w:ascii="宋体" w:hAnsi="宋体" w:eastAsia="宋体" w:cs="宋体"/>
          <w:color w:val="auto"/>
          <w:kern w:val="0"/>
          <w:sz w:val="24"/>
          <w:szCs w:val="24"/>
          <w:highlight w:val="none"/>
        </w:rPr>
        <w:t>、农贸市场等</w:t>
      </w:r>
      <w:r>
        <w:rPr>
          <w:rFonts w:hint="eastAsia" w:ascii="宋体" w:hAnsi="宋体" w:eastAsia="宋体" w:cs="宋体"/>
          <w:color w:val="auto"/>
          <w:kern w:val="0"/>
          <w:sz w:val="24"/>
          <w:szCs w:val="24"/>
          <w:highlight w:val="none"/>
          <w:lang w:val="en-US" w:eastAsia="zh-CN"/>
        </w:rPr>
        <w:t>大型市场</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rPr>
        <w:t>商品的平均</w:t>
      </w:r>
      <w:r>
        <w:rPr>
          <w:rFonts w:hint="eastAsia" w:ascii="宋体" w:hAnsi="宋体" w:eastAsia="宋体" w:cs="宋体"/>
          <w:color w:val="auto"/>
          <w:kern w:val="0"/>
          <w:sz w:val="24"/>
          <w:szCs w:val="24"/>
          <w:highlight w:val="none"/>
        </w:rPr>
        <w:t>零售价为指导价</w:t>
      </w:r>
      <w:r>
        <w:rPr>
          <w:rFonts w:hint="eastAsia" w:ascii="宋体" w:hAnsi="宋体" w:eastAsia="宋体" w:cs="宋体"/>
          <w:color w:val="auto"/>
          <w:kern w:val="0"/>
          <w:sz w:val="24"/>
          <w:szCs w:val="24"/>
        </w:rPr>
        <w:t>为标准</w:t>
      </w:r>
      <w:r>
        <w:rPr>
          <w:rFonts w:hint="eastAsia" w:ascii="宋体" w:hAnsi="宋体" w:eastAsia="宋体" w:cs="宋体"/>
          <w:color w:val="auto"/>
          <w:kern w:val="0"/>
          <w:sz w:val="24"/>
          <w:szCs w:val="24"/>
          <w:highlight w:val="none"/>
        </w:rPr>
        <w:t>，进行</w:t>
      </w:r>
      <w:r>
        <w:rPr>
          <w:rFonts w:hint="eastAsia" w:ascii="宋体" w:hAnsi="宋体" w:eastAsia="宋体" w:cs="宋体"/>
          <w:color w:val="auto"/>
          <w:kern w:val="0"/>
          <w:sz w:val="24"/>
          <w:szCs w:val="24"/>
          <w:highlight w:val="none"/>
          <w:lang w:val="en-US" w:eastAsia="zh-CN"/>
        </w:rPr>
        <w:t>费率</w:t>
      </w:r>
      <w:r>
        <w:rPr>
          <w:rFonts w:hint="eastAsia" w:ascii="宋体" w:hAnsi="宋体" w:eastAsia="宋体" w:cs="宋体"/>
          <w:color w:val="auto"/>
          <w:kern w:val="0"/>
          <w:sz w:val="24"/>
          <w:szCs w:val="24"/>
          <w:highlight w:val="none"/>
        </w:rPr>
        <w:t>填报。（若投标人填报的</w:t>
      </w:r>
      <w:r>
        <w:rPr>
          <w:rFonts w:hint="eastAsia" w:ascii="宋体" w:hAnsi="宋体" w:eastAsia="宋体" w:cs="宋体"/>
          <w:color w:val="auto"/>
          <w:kern w:val="0"/>
          <w:sz w:val="24"/>
          <w:szCs w:val="24"/>
          <w:highlight w:val="none"/>
          <w:lang w:val="en-US" w:eastAsia="zh-CN"/>
        </w:rPr>
        <w:t>费率</w:t>
      </w:r>
      <w:r>
        <w:rPr>
          <w:rFonts w:hint="eastAsia" w:ascii="宋体" w:hAnsi="宋体" w:eastAsia="宋体" w:cs="宋体"/>
          <w:color w:val="auto"/>
          <w:kern w:val="0"/>
          <w:sz w:val="24"/>
          <w:szCs w:val="24"/>
          <w:highlight w:val="none"/>
        </w:rPr>
        <w:t>为</w:t>
      </w:r>
      <w:r>
        <w:rPr>
          <w:rFonts w:hint="eastAsia" w:ascii="宋体" w:hAnsi="宋体" w:eastAsia="宋体" w:cs="宋体"/>
          <w:color w:val="auto"/>
          <w:kern w:val="0"/>
          <w:sz w:val="24"/>
          <w:szCs w:val="24"/>
          <w:highlight w:val="none"/>
          <w:lang w:val="en-US" w:eastAsia="zh-CN"/>
        </w:rPr>
        <w:t>75</w:t>
      </w:r>
      <w:r>
        <w:rPr>
          <w:rFonts w:hint="eastAsia" w:ascii="宋体" w:hAnsi="宋体" w:eastAsia="宋体" w:cs="宋体"/>
          <w:color w:val="auto"/>
          <w:kern w:val="0"/>
          <w:sz w:val="24"/>
          <w:szCs w:val="24"/>
          <w:highlight w:val="none"/>
        </w:rPr>
        <w:t>%，若某种品目询价的不同超市的即时价格平均价为10元/</w:t>
      </w:r>
      <w:r>
        <w:rPr>
          <w:rFonts w:hint="eastAsia" w:ascii="宋体" w:hAnsi="宋体" w:eastAsia="宋体" w:cs="宋体"/>
          <w:color w:val="auto"/>
          <w:kern w:val="0"/>
          <w:sz w:val="24"/>
          <w:szCs w:val="24"/>
          <w:highlight w:val="none"/>
          <w:lang w:val="en-US" w:eastAsia="zh-CN"/>
        </w:rPr>
        <w:t>个或件</w:t>
      </w:r>
      <w:r>
        <w:rPr>
          <w:rFonts w:hint="eastAsia" w:ascii="宋体" w:hAnsi="宋体" w:eastAsia="宋体" w:cs="宋体"/>
          <w:color w:val="auto"/>
          <w:kern w:val="0"/>
          <w:sz w:val="24"/>
          <w:szCs w:val="24"/>
          <w:highlight w:val="none"/>
        </w:rPr>
        <w:t>，则该种品目的结算</w:t>
      </w:r>
      <w:r>
        <w:rPr>
          <w:rFonts w:hint="eastAsia" w:ascii="宋体" w:hAnsi="宋体" w:eastAsia="宋体" w:cs="宋体"/>
          <w:color w:val="auto"/>
          <w:kern w:val="0"/>
          <w:sz w:val="24"/>
          <w:szCs w:val="24"/>
          <w:highlight w:val="none"/>
          <w:lang w:val="en-US" w:eastAsia="zh-CN"/>
        </w:rPr>
        <w:t>价</w:t>
      </w:r>
      <w:r>
        <w:rPr>
          <w:rFonts w:hint="eastAsia" w:ascii="宋体" w:hAnsi="宋体" w:eastAsia="宋体" w:cs="宋体"/>
          <w:color w:val="auto"/>
          <w:kern w:val="0"/>
          <w:sz w:val="24"/>
          <w:szCs w:val="24"/>
          <w:highlight w:val="none"/>
        </w:rPr>
        <w:t>为</w:t>
      </w:r>
      <w:r>
        <w:rPr>
          <w:rFonts w:hint="eastAsia" w:ascii="宋体" w:hAnsi="宋体" w:eastAsia="宋体" w:cs="宋体"/>
          <w:color w:val="auto"/>
          <w:kern w:val="0"/>
          <w:sz w:val="24"/>
          <w:szCs w:val="24"/>
          <w:highlight w:val="none"/>
          <w:lang w:val="en-US" w:eastAsia="zh-CN"/>
        </w:rPr>
        <w:t>7.5</w:t>
      </w:r>
      <w:r>
        <w:rPr>
          <w:rFonts w:hint="eastAsia" w:ascii="宋体" w:hAnsi="宋体" w:eastAsia="宋体" w:cs="宋体"/>
          <w:color w:val="auto"/>
          <w:kern w:val="0"/>
          <w:sz w:val="24"/>
          <w:szCs w:val="24"/>
          <w:highlight w:val="none"/>
        </w:rPr>
        <w:t>元/</w:t>
      </w:r>
      <w:r>
        <w:rPr>
          <w:rFonts w:hint="eastAsia" w:ascii="宋体" w:hAnsi="宋体" w:eastAsia="宋体" w:cs="宋体"/>
          <w:color w:val="auto"/>
          <w:kern w:val="0"/>
          <w:sz w:val="24"/>
          <w:szCs w:val="24"/>
          <w:highlight w:val="none"/>
          <w:lang w:val="en-US" w:eastAsia="zh-CN"/>
        </w:rPr>
        <w:t>份</w:t>
      </w:r>
      <w:r>
        <w:rPr>
          <w:rFonts w:hint="eastAsia" w:ascii="宋体" w:hAnsi="宋体" w:eastAsia="宋体" w:cs="宋体"/>
          <w:color w:val="auto"/>
          <w:kern w:val="0"/>
          <w:sz w:val="24"/>
          <w:szCs w:val="24"/>
          <w:highlight w:val="none"/>
        </w:rPr>
        <w:t>）。</w:t>
      </w:r>
    </w:p>
    <w:p w14:paraId="1C81A4C8">
      <w:pPr>
        <w:pageBreakBefore w:val="0"/>
        <w:widowControl/>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合同期内所有采购品目均采用相同的</w:t>
      </w:r>
      <w:r>
        <w:rPr>
          <w:rFonts w:hint="eastAsia" w:ascii="宋体" w:hAnsi="宋体" w:eastAsia="宋体" w:cs="宋体"/>
          <w:color w:val="auto"/>
          <w:kern w:val="0"/>
          <w:sz w:val="24"/>
          <w:szCs w:val="24"/>
          <w:highlight w:val="none"/>
          <w:lang w:val="en-US" w:eastAsia="zh-CN"/>
        </w:rPr>
        <w:t>费率</w:t>
      </w:r>
      <w:r>
        <w:rPr>
          <w:rFonts w:hint="eastAsia" w:ascii="宋体" w:hAnsi="宋体" w:eastAsia="宋体" w:cs="宋体"/>
          <w:color w:val="auto"/>
          <w:kern w:val="0"/>
          <w:sz w:val="24"/>
          <w:szCs w:val="24"/>
          <w:highlight w:val="none"/>
        </w:rPr>
        <w:t>。若出现了多个</w:t>
      </w:r>
      <w:r>
        <w:rPr>
          <w:rFonts w:hint="eastAsia" w:ascii="宋体" w:hAnsi="宋体" w:eastAsia="宋体" w:cs="宋体"/>
          <w:color w:val="auto"/>
          <w:kern w:val="0"/>
          <w:sz w:val="24"/>
          <w:szCs w:val="24"/>
          <w:highlight w:val="none"/>
          <w:lang w:val="en-US" w:eastAsia="zh-CN"/>
        </w:rPr>
        <w:t>费率</w:t>
      </w:r>
      <w:r>
        <w:rPr>
          <w:rFonts w:hint="eastAsia" w:ascii="宋体" w:hAnsi="宋体" w:eastAsia="宋体" w:cs="宋体"/>
          <w:color w:val="auto"/>
          <w:kern w:val="0"/>
          <w:sz w:val="24"/>
          <w:szCs w:val="24"/>
          <w:highlight w:val="none"/>
        </w:rPr>
        <w:t>，则为无效投标。</w:t>
      </w:r>
    </w:p>
    <w:p w14:paraId="72DB66FA">
      <w:pPr>
        <w:pageBreakBefore w:val="0"/>
        <w:widowControl w:val="0"/>
        <w:kinsoku/>
        <w:wordWrap/>
        <w:overflowPunct/>
        <w:topLinePunct w:val="0"/>
        <w:autoSpaceDE/>
        <w:autoSpaceDN/>
        <w:bidi w:val="0"/>
        <w:snapToGrid w:val="0"/>
        <w:spacing w:line="480" w:lineRule="exact"/>
        <w:ind w:firstLine="482" w:firstLineChars="200"/>
        <w:outlineLvl w:val="9"/>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注：线上报价填写格式为投标报价费率，如投标报价费率为75%，填写</w:t>
      </w:r>
      <w:r>
        <w:rPr>
          <w:rFonts w:hint="eastAsia" w:ascii="宋体" w:hAnsi="宋体" w:eastAsia="宋体" w:cs="宋体"/>
          <w:color w:val="auto"/>
          <w:sz w:val="24"/>
          <w:szCs w:val="24"/>
          <w:highlight w:val="none"/>
          <w:u w:val="single"/>
        </w:rPr>
        <w:t>大写：</w:t>
      </w:r>
      <w:r>
        <w:rPr>
          <w:rFonts w:hint="eastAsia" w:ascii="宋体" w:hAnsi="宋体" w:eastAsia="宋体" w:cs="宋体"/>
          <w:color w:val="auto"/>
          <w:sz w:val="24"/>
          <w:szCs w:val="24"/>
          <w:highlight w:val="none"/>
          <w:u w:val="single"/>
          <w:lang w:val="en-US" w:eastAsia="zh-CN"/>
        </w:rPr>
        <w:t xml:space="preserve">百分之 柒拾五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小写： </w:t>
      </w:r>
      <w:r>
        <w:rPr>
          <w:rFonts w:hint="eastAsia" w:ascii="宋体" w:hAnsi="宋体" w:eastAsia="宋体" w:cs="宋体"/>
          <w:color w:val="auto"/>
          <w:sz w:val="24"/>
          <w:szCs w:val="24"/>
          <w:highlight w:val="none"/>
          <w:u w:val="single"/>
          <w:lang w:val="en-US" w:eastAsia="zh-CN"/>
        </w:rPr>
        <w:t>75</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w:t>
      </w:r>
    </w:p>
    <w:p w14:paraId="42DD4EE7">
      <w:pPr>
        <w:pStyle w:val="3"/>
        <w:pageBreakBefore w:val="0"/>
        <w:kinsoku/>
        <w:wordWrap/>
        <w:overflowPunct/>
        <w:topLinePunct w:val="0"/>
        <w:autoSpaceDE/>
        <w:autoSpaceDN/>
        <w:bidi w:val="0"/>
        <w:spacing w:line="400" w:lineRule="exact"/>
        <w:textAlignment w:val="auto"/>
        <w:rPr>
          <w:rFonts w:hint="eastAsia" w:ascii="宋体" w:hAnsi="宋体" w:eastAsia="宋体" w:cs="宋体"/>
          <w:b/>
          <w:bCs/>
          <w:color w:val="auto"/>
          <w:sz w:val="28"/>
          <w:szCs w:val="28"/>
          <w:highlight w:val="none"/>
          <w:lang w:val="en-US" w:eastAsia="zh-CN"/>
        </w:rPr>
      </w:pPr>
    </w:p>
    <w:p w14:paraId="71AF5F09">
      <w:pPr>
        <w:pStyle w:val="3"/>
        <w:pageBreakBefore w:val="0"/>
        <w:kinsoku/>
        <w:wordWrap/>
        <w:overflowPunct/>
        <w:topLinePunct w:val="0"/>
        <w:autoSpaceDE/>
        <w:autoSpaceDN/>
        <w:bidi w:val="0"/>
        <w:spacing w:line="400" w:lineRule="exact"/>
        <w:textAlignment w:val="auto"/>
        <w:rPr>
          <w:rFonts w:hint="eastAsia" w:ascii="宋体" w:hAnsi="宋体" w:eastAsia="宋体" w:cs="宋体"/>
          <w:b/>
          <w:bCs/>
          <w:color w:val="auto"/>
          <w:kern w:val="0"/>
          <w:sz w:val="28"/>
          <w:szCs w:val="28"/>
          <w:highlight w:val="none"/>
          <w:lang w:val="en-US" w:eastAsia="zh-CN"/>
        </w:rPr>
      </w:pPr>
      <w:bookmarkStart w:id="111" w:name="_Toc19150"/>
      <w:r>
        <w:rPr>
          <w:rFonts w:hint="eastAsia" w:ascii="宋体" w:hAnsi="宋体" w:eastAsia="宋体" w:cs="宋体"/>
          <w:b/>
          <w:bCs/>
          <w:color w:val="auto"/>
          <w:sz w:val="28"/>
          <w:szCs w:val="28"/>
          <w:highlight w:val="none"/>
          <w:lang w:val="en-US" w:eastAsia="zh-CN"/>
        </w:rPr>
        <w:t>三</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val="en-US" w:eastAsia="zh-CN"/>
        </w:rPr>
        <w:t>供货要求</w:t>
      </w:r>
      <w:bookmarkEnd w:id="111"/>
    </w:p>
    <w:p w14:paraId="3468003C">
      <w:pPr>
        <w:pStyle w:val="3"/>
        <w:pageBreakBefore w:val="0"/>
        <w:widowControl w:val="0"/>
        <w:numPr>
          <w:ilvl w:val="0"/>
          <w:numId w:val="0"/>
        </w:numPr>
        <w:kinsoku/>
        <w:wordWrap/>
        <w:overflowPunct/>
        <w:topLinePunct w:val="0"/>
        <w:autoSpaceDE/>
        <w:autoSpaceDN/>
        <w:bidi w:val="0"/>
        <w:snapToGrid w:val="0"/>
        <w:spacing w:line="360" w:lineRule="auto"/>
        <w:ind w:firstLine="240" w:firstLineChars="100"/>
        <w:textAlignment w:val="auto"/>
        <w:rPr>
          <w:rFonts w:hint="eastAsia" w:ascii="宋体" w:hAnsi="宋体" w:eastAsia="宋体" w:cs="宋体"/>
          <w:color w:val="auto"/>
          <w:sz w:val="24"/>
          <w:szCs w:val="24"/>
          <w:highlight w:val="none"/>
        </w:rPr>
      </w:pPr>
      <w:bookmarkStart w:id="112" w:name="_Toc25033"/>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供货数量要求</w:t>
      </w:r>
      <w:bookmarkEnd w:id="112"/>
    </w:p>
    <w:p w14:paraId="64B19C1C">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货物若有</w:t>
      </w:r>
      <w:r>
        <w:rPr>
          <w:rFonts w:hint="eastAsia" w:ascii="宋体" w:hAnsi="宋体" w:eastAsia="宋体" w:cs="宋体"/>
          <w:b w:val="0"/>
          <w:bCs/>
          <w:color w:val="auto"/>
          <w:sz w:val="24"/>
          <w:szCs w:val="24"/>
          <w:highlight w:val="none"/>
        </w:rPr>
        <w:t>标准件</w:t>
      </w:r>
      <w:r>
        <w:rPr>
          <w:rFonts w:hint="eastAsia" w:ascii="宋体" w:hAnsi="宋体" w:eastAsia="宋体" w:cs="宋体"/>
          <w:color w:val="auto"/>
          <w:sz w:val="24"/>
          <w:szCs w:val="24"/>
          <w:highlight w:val="none"/>
        </w:rPr>
        <w:t>按标准件抽样</w:t>
      </w:r>
      <w:r>
        <w:rPr>
          <w:rFonts w:hint="eastAsia" w:ascii="宋体" w:hAnsi="宋体" w:eastAsia="宋体" w:cs="宋体"/>
          <w:color w:val="auto"/>
          <w:sz w:val="24"/>
          <w:szCs w:val="24"/>
          <w:highlight w:val="none"/>
          <w:lang w:val="en-US" w:eastAsia="zh-CN"/>
        </w:rPr>
        <w:t>计数</w:t>
      </w:r>
      <w:r>
        <w:rPr>
          <w:rFonts w:hint="eastAsia" w:ascii="宋体" w:hAnsi="宋体" w:eastAsia="宋体" w:cs="宋体"/>
          <w:color w:val="auto"/>
          <w:sz w:val="24"/>
          <w:szCs w:val="24"/>
          <w:highlight w:val="none"/>
        </w:rPr>
        <w:t>，并按抽样</w:t>
      </w:r>
      <w:r>
        <w:rPr>
          <w:rFonts w:hint="eastAsia" w:ascii="宋体" w:hAnsi="宋体" w:eastAsia="宋体" w:cs="宋体"/>
          <w:color w:val="auto"/>
          <w:sz w:val="24"/>
          <w:szCs w:val="24"/>
          <w:highlight w:val="none"/>
          <w:lang w:val="en-US" w:eastAsia="zh-CN"/>
        </w:rPr>
        <w:t>件每件数量</w:t>
      </w:r>
      <w:r>
        <w:rPr>
          <w:rFonts w:hint="eastAsia" w:ascii="宋体" w:hAnsi="宋体" w:eastAsia="宋体" w:cs="宋体"/>
          <w:color w:val="auto"/>
          <w:sz w:val="24"/>
          <w:szCs w:val="24"/>
          <w:highlight w:val="none"/>
        </w:rPr>
        <w:t>计算，没有标准件按实际</w:t>
      </w:r>
      <w:r>
        <w:rPr>
          <w:rFonts w:hint="eastAsia" w:ascii="宋体" w:hAnsi="宋体" w:eastAsia="宋体" w:cs="宋体"/>
          <w:color w:val="auto"/>
          <w:sz w:val="24"/>
          <w:szCs w:val="24"/>
          <w:highlight w:val="none"/>
          <w:lang w:val="en-US" w:eastAsia="zh-CN"/>
        </w:rPr>
        <w:t>数量计算</w:t>
      </w:r>
      <w:r>
        <w:rPr>
          <w:rFonts w:hint="eastAsia" w:ascii="宋体" w:hAnsi="宋体" w:eastAsia="宋体" w:cs="宋体"/>
          <w:color w:val="auto"/>
          <w:sz w:val="24"/>
          <w:szCs w:val="24"/>
          <w:highlight w:val="none"/>
        </w:rPr>
        <w:t>。一个月内如有4次(含)以上抽样</w:t>
      </w:r>
      <w:r>
        <w:rPr>
          <w:rFonts w:hint="eastAsia" w:ascii="宋体" w:hAnsi="宋体" w:eastAsia="宋体" w:cs="宋体"/>
          <w:color w:val="auto"/>
          <w:sz w:val="24"/>
          <w:szCs w:val="24"/>
          <w:highlight w:val="none"/>
          <w:lang w:val="en-US" w:eastAsia="zh-CN"/>
        </w:rPr>
        <w:t>数量</w:t>
      </w:r>
      <w:r>
        <w:rPr>
          <w:rFonts w:hint="eastAsia" w:ascii="宋体" w:hAnsi="宋体" w:eastAsia="宋体" w:cs="宋体"/>
          <w:color w:val="auto"/>
          <w:sz w:val="24"/>
          <w:szCs w:val="24"/>
          <w:highlight w:val="none"/>
        </w:rPr>
        <w:t>缺少10%以上,则当月配送总费用按90%结算。</w:t>
      </w:r>
    </w:p>
    <w:p w14:paraId="6E31B0ED">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配送时间</w:t>
      </w:r>
    </w:p>
    <w:p w14:paraId="1D9EE6F5">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中标人应</w:t>
      </w:r>
      <w:r>
        <w:rPr>
          <w:rFonts w:hint="eastAsia" w:ascii="宋体" w:hAnsi="宋体" w:eastAsia="宋体" w:cs="宋体"/>
          <w:color w:val="auto"/>
          <w:kern w:val="0"/>
          <w:sz w:val="24"/>
          <w:szCs w:val="24"/>
          <w:highlight w:val="none"/>
          <w:lang w:val="en-US" w:eastAsia="zh-CN"/>
        </w:rPr>
        <w:t>与采购人约定</w:t>
      </w:r>
      <w:r>
        <w:rPr>
          <w:rFonts w:hint="eastAsia" w:ascii="宋体" w:hAnsi="宋体" w:eastAsia="宋体" w:cs="宋体"/>
          <w:color w:val="auto"/>
          <w:kern w:val="0"/>
          <w:sz w:val="24"/>
          <w:szCs w:val="24"/>
          <w:highlight w:val="none"/>
          <w:lang w:eastAsia="zh-CN"/>
        </w:rPr>
        <w:t>后次日</w:t>
      </w:r>
      <w:r>
        <w:rPr>
          <w:rFonts w:hint="eastAsia" w:ascii="宋体" w:hAnsi="宋体" w:eastAsia="宋体" w:cs="宋体"/>
          <w:color w:val="auto"/>
          <w:kern w:val="0"/>
          <w:sz w:val="24"/>
          <w:szCs w:val="24"/>
          <w:highlight w:val="none"/>
          <w:lang w:val="en-US" w:eastAsia="zh-CN"/>
        </w:rPr>
        <w:t>内</w:t>
      </w:r>
      <w:r>
        <w:rPr>
          <w:rFonts w:hint="eastAsia" w:ascii="宋体" w:hAnsi="宋体" w:eastAsia="宋体" w:cs="宋体"/>
          <w:color w:val="auto"/>
          <w:kern w:val="0"/>
          <w:sz w:val="24"/>
          <w:szCs w:val="24"/>
          <w:highlight w:val="none"/>
          <w:lang w:eastAsia="zh-CN"/>
        </w:rPr>
        <w:t>将采购人所订购的商品配送至采购人所在地指定位置，到货后应协助采购人工作人员核准数量进仓入库等。</w:t>
      </w:r>
      <w:r>
        <w:rPr>
          <w:rFonts w:hint="eastAsia" w:ascii="宋体" w:hAnsi="宋体" w:eastAsia="宋体" w:cs="宋体"/>
          <w:color w:val="auto"/>
          <w:sz w:val="24"/>
          <w:szCs w:val="24"/>
          <w:highlight w:val="none"/>
        </w:rPr>
        <w:t>配送时间</w:t>
      </w:r>
      <w:r>
        <w:rPr>
          <w:rFonts w:hint="eastAsia" w:ascii="宋体" w:hAnsi="宋体" w:eastAsia="宋体" w:cs="宋体"/>
          <w:color w:val="auto"/>
          <w:sz w:val="24"/>
          <w:szCs w:val="24"/>
          <w:highlight w:val="none"/>
          <w:lang w:val="en-US" w:eastAsia="zh-CN"/>
        </w:rPr>
        <w:t>可</w:t>
      </w:r>
      <w:r>
        <w:rPr>
          <w:rFonts w:hint="eastAsia" w:ascii="宋体" w:hAnsi="宋体" w:eastAsia="宋体" w:cs="宋体"/>
          <w:color w:val="auto"/>
          <w:sz w:val="24"/>
          <w:szCs w:val="24"/>
          <w:highlight w:val="none"/>
        </w:rPr>
        <w:t>根据实际情况，提前24小时约定。</w:t>
      </w:r>
    </w:p>
    <w:p w14:paraId="0740361A">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（三）</w:t>
      </w:r>
      <w:r>
        <w:rPr>
          <w:rFonts w:hint="eastAsia" w:ascii="宋体" w:hAnsi="宋体" w:eastAsia="宋体" w:cs="宋体"/>
          <w:color w:val="auto"/>
          <w:kern w:val="0"/>
          <w:sz w:val="24"/>
          <w:szCs w:val="24"/>
          <w:highlight w:val="none"/>
        </w:rPr>
        <w:t>供货</w:t>
      </w:r>
      <w:r>
        <w:rPr>
          <w:rFonts w:hint="eastAsia" w:ascii="宋体" w:hAnsi="宋体" w:eastAsia="宋体" w:cs="宋体"/>
          <w:b w:val="0"/>
          <w:bCs/>
          <w:color w:val="auto"/>
          <w:sz w:val="24"/>
          <w:szCs w:val="24"/>
          <w:highlight w:val="none"/>
        </w:rPr>
        <w:t>措施</w:t>
      </w:r>
    </w:p>
    <w:p w14:paraId="792FA98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运输和包装：</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应针对本项目配备专业配送人员和专用配送车辆，并建立货物运输车辆的定期消毒制度，避免在运输过程中出现交叉污染及货物安全性问题。用于货物包装的材料必须清洁、无污染。货物的包装和标签必须符合相应的规定和要求。用于盛放货物的容器要清洁、干燥、牢固、无异味、无霉变现象，食品包装符合有关法规、标准的要求，包装完好无破损。包装费用由</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承担。</w:t>
      </w:r>
    </w:p>
    <w:p w14:paraId="5C13E70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食品安全措施：</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所提供货物须有货物可追溯管理程序，允许采购人随时查阅货物各环节</w:t>
      </w:r>
      <w:r>
        <w:rPr>
          <w:rFonts w:hint="eastAsia" w:ascii="宋体" w:hAnsi="宋体" w:eastAsia="宋体" w:cs="宋体"/>
          <w:b w:val="0"/>
          <w:bCs/>
          <w:color w:val="auto"/>
          <w:sz w:val="24"/>
          <w:szCs w:val="24"/>
          <w:highlight w:val="none"/>
        </w:rPr>
        <w:t>相关</w:t>
      </w:r>
      <w:r>
        <w:rPr>
          <w:rFonts w:hint="eastAsia" w:ascii="宋体" w:hAnsi="宋体" w:eastAsia="宋体" w:cs="宋体"/>
          <w:color w:val="auto"/>
          <w:kern w:val="0"/>
          <w:sz w:val="24"/>
          <w:szCs w:val="24"/>
          <w:highlight w:val="none"/>
        </w:rPr>
        <w:t>记录（包含货物采购记录、货物的合格证明及验收记录、货物进出仓记录、销售记录、须冷链运输的货物提供冷链运输记录、运输车辆和运输工具消毒记录等），记录保存期限为6个月。</w:t>
      </w:r>
    </w:p>
    <w:p w14:paraId="63C4D2F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退换、更换货要求：应按采购人订单规定的品种及要求供应所需货物，货物短缺时须在采购人</w:t>
      </w:r>
      <w:r>
        <w:rPr>
          <w:rFonts w:hint="eastAsia" w:ascii="宋体" w:hAnsi="宋体" w:eastAsia="宋体" w:cs="宋体"/>
          <w:b w:val="0"/>
          <w:bCs/>
          <w:color w:val="auto"/>
          <w:sz w:val="24"/>
          <w:szCs w:val="24"/>
          <w:highlight w:val="none"/>
        </w:rPr>
        <w:t>规定</w:t>
      </w:r>
      <w:r>
        <w:rPr>
          <w:rFonts w:hint="eastAsia" w:ascii="宋体" w:hAnsi="宋体" w:eastAsia="宋体" w:cs="宋体"/>
          <w:color w:val="auto"/>
          <w:kern w:val="0"/>
          <w:sz w:val="24"/>
          <w:szCs w:val="24"/>
          <w:highlight w:val="none"/>
        </w:rPr>
        <w:t>时间内调配补齐所缺品种。若要更换品种，须提交书面申请并加盖公章，经采购人同意后方可更换。</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所送货物与采购人订单或合同要求不符时或货物送达之前损坏，经双方确认后</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须接受退货或换货（</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应在接到采购人通知后1小时之内，将货物送至采购人指定地点替换原有不符或损坏的货物）。</w:t>
      </w:r>
    </w:p>
    <w:p w14:paraId="32BD4FFF">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四</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风险管控</w:t>
      </w:r>
    </w:p>
    <w:p w14:paraId="1D1ECA4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交付货物之前的加工、搬运、运输等环节中，</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自行组织，采购人不承担任何费用和安全</w:t>
      </w:r>
      <w:r>
        <w:rPr>
          <w:rFonts w:hint="eastAsia" w:ascii="宋体" w:hAnsi="宋体" w:eastAsia="宋体" w:cs="宋体"/>
          <w:b w:val="0"/>
          <w:bCs/>
          <w:color w:val="auto"/>
          <w:sz w:val="24"/>
          <w:szCs w:val="24"/>
          <w:highlight w:val="none"/>
        </w:rPr>
        <w:t>责任</w:t>
      </w:r>
      <w:r>
        <w:rPr>
          <w:rFonts w:hint="eastAsia" w:ascii="宋体" w:hAnsi="宋体" w:eastAsia="宋体" w:cs="宋体"/>
          <w:color w:val="auto"/>
          <w:kern w:val="0"/>
          <w:sz w:val="24"/>
          <w:szCs w:val="24"/>
          <w:highlight w:val="none"/>
        </w:rPr>
        <w:t>。</w:t>
      </w:r>
    </w:p>
    <w:p w14:paraId="3AEF234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送货管理：</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送货应安排专人专车，</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送货按采购人进出大门有关规定，主动出示</w:t>
      </w:r>
      <w:r>
        <w:rPr>
          <w:rFonts w:hint="eastAsia" w:ascii="宋体" w:hAnsi="宋体" w:eastAsia="宋体" w:cs="宋体"/>
          <w:b w:val="0"/>
          <w:bCs/>
          <w:color w:val="auto"/>
          <w:sz w:val="24"/>
          <w:szCs w:val="24"/>
          <w:highlight w:val="none"/>
        </w:rPr>
        <w:t>证件</w:t>
      </w:r>
      <w:r>
        <w:rPr>
          <w:rFonts w:hint="eastAsia" w:ascii="宋体" w:hAnsi="宋体" w:eastAsia="宋体" w:cs="宋体"/>
          <w:color w:val="auto"/>
          <w:kern w:val="0"/>
          <w:sz w:val="24"/>
          <w:szCs w:val="24"/>
          <w:highlight w:val="none"/>
        </w:rPr>
        <w:t>，接受安全检查；按要求停放车辆，主动接受管理，严禁携带违禁品进入，否则，采购人有权对</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违反监管安全规定的行为进行处罚。情节严重的，取消供货资格，造成严重后果的移交司法机关依法处理。</w:t>
      </w:r>
    </w:p>
    <w:p w14:paraId="4BEF0ED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因</w:t>
      </w:r>
      <w:r>
        <w:rPr>
          <w:rFonts w:hint="eastAsia" w:ascii="宋体" w:hAnsi="宋体" w:eastAsia="宋体" w:cs="宋体"/>
          <w:b w:val="0"/>
          <w:bCs/>
          <w:color w:val="auto"/>
          <w:sz w:val="24"/>
          <w:szCs w:val="24"/>
          <w:highlight w:val="none"/>
          <w:lang w:eastAsia="zh-CN"/>
        </w:rPr>
        <w:t>中标人</w:t>
      </w:r>
      <w:r>
        <w:rPr>
          <w:rFonts w:hint="eastAsia" w:ascii="宋体" w:hAnsi="宋体" w:eastAsia="宋体" w:cs="宋体"/>
          <w:color w:val="auto"/>
          <w:kern w:val="0"/>
          <w:sz w:val="24"/>
          <w:szCs w:val="24"/>
          <w:highlight w:val="none"/>
        </w:rPr>
        <w:t>原因，造成监管安全事故，食品安全事故、食物中毒、违规违纪的，采购人有权解除合同，造成的损失和后果一律由</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承担。</w:t>
      </w:r>
    </w:p>
    <w:p w14:paraId="11C0D1A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五</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争议</w:t>
      </w:r>
      <w:r>
        <w:rPr>
          <w:rFonts w:hint="eastAsia" w:ascii="宋体" w:hAnsi="宋体" w:eastAsia="宋体" w:cs="宋体"/>
          <w:b w:val="0"/>
          <w:bCs/>
          <w:color w:val="auto"/>
          <w:sz w:val="24"/>
          <w:szCs w:val="24"/>
          <w:highlight w:val="none"/>
        </w:rPr>
        <w:t>处理</w:t>
      </w:r>
    </w:p>
    <w:p w14:paraId="314E315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因</w:t>
      </w:r>
      <w:r>
        <w:rPr>
          <w:rFonts w:hint="eastAsia" w:ascii="宋体" w:hAnsi="宋体" w:eastAsia="宋体" w:cs="宋体"/>
          <w:b w:val="0"/>
          <w:bCs/>
          <w:color w:val="auto"/>
          <w:sz w:val="24"/>
          <w:szCs w:val="24"/>
          <w:highlight w:val="none"/>
        </w:rPr>
        <w:t>不可抗力</w:t>
      </w:r>
      <w:r>
        <w:rPr>
          <w:rFonts w:hint="eastAsia" w:ascii="宋体" w:hAnsi="宋体" w:eastAsia="宋体" w:cs="宋体"/>
          <w:color w:val="auto"/>
          <w:kern w:val="0"/>
          <w:sz w:val="24"/>
          <w:szCs w:val="24"/>
          <w:highlight w:val="none"/>
        </w:rPr>
        <w:t>等特殊情况，双方任一方想提前解除合同，应提前一个月书面告知对方，在得到对方同意的前提下，本合同可提前解除。</w:t>
      </w:r>
    </w:p>
    <w:p w14:paraId="3E91F70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因</w:t>
      </w:r>
      <w:r>
        <w:rPr>
          <w:rFonts w:hint="eastAsia" w:ascii="宋体" w:hAnsi="宋体" w:eastAsia="宋体" w:cs="宋体"/>
          <w:b w:val="0"/>
          <w:bCs/>
          <w:color w:val="auto"/>
          <w:sz w:val="24"/>
          <w:szCs w:val="24"/>
          <w:highlight w:val="none"/>
          <w:lang w:eastAsia="zh-CN"/>
        </w:rPr>
        <w:t>中标人</w:t>
      </w:r>
      <w:r>
        <w:rPr>
          <w:rFonts w:hint="eastAsia" w:ascii="宋体" w:hAnsi="宋体" w:eastAsia="宋体" w:cs="宋体"/>
          <w:color w:val="auto"/>
          <w:kern w:val="0"/>
          <w:sz w:val="24"/>
          <w:szCs w:val="24"/>
          <w:highlight w:val="none"/>
        </w:rPr>
        <w:t>原因造成采购人安全事故，采购人可立即解除合同。</w:t>
      </w:r>
    </w:p>
    <w:p w14:paraId="3F4D46E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sz w:val="24"/>
          <w:szCs w:val="24"/>
          <w:highlight w:val="none"/>
        </w:rPr>
        <w:t>合同</w:t>
      </w:r>
      <w:r>
        <w:rPr>
          <w:rFonts w:hint="eastAsia" w:ascii="宋体" w:hAnsi="宋体" w:eastAsia="宋体" w:cs="宋体"/>
          <w:color w:val="auto"/>
          <w:kern w:val="0"/>
          <w:sz w:val="24"/>
          <w:szCs w:val="24"/>
          <w:highlight w:val="none"/>
        </w:rPr>
        <w:t>期限内，若与学校新制定下发的文件规定冲突，</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需无条件配合，与采购人按照学校有关文件明确的期限调整或者解除合同，不得追究采购人违约责任。</w:t>
      </w:r>
    </w:p>
    <w:p w14:paraId="1DF5EC5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采购人有权对</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供应的货物进行定期或不定期的抽样检验，采购人对有疑议的货物有权提取样品送权威部门检验，质量不达标货物的检验费用由</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支付。</w:t>
      </w:r>
    </w:p>
    <w:p w14:paraId="4E256DD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采购人</w:t>
      </w:r>
      <w:r>
        <w:rPr>
          <w:rFonts w:hint="eastAsia" w:ascii="宋体" w:hAnsi="宋体" w:eastAsia="宋体" w:cs="宋体"/>
          <w:b w:val="0"/>
          <w:bCs/>
          <w:color w:val="auto"/>
          <w:sz w:val="24"/>
          <w:szCs w:val="24"/>
          <w:highlight w:val="none"/>
        </w:rPr>
        <w:t>认定</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所送货物与采购人订单或合同要求不符或货物送达之前被损坏时，有权要求</w:t>
      </w:r>
      <w:r>
        <w:rPr>
          <w:rFonts w:hint="eastAsia" w:ascii="宋体" w:hAnsi="宋体" w:eastAsia="宋体" w:cs="宋体"/>
          <w:b w:val="0"/>
          <w:bCs/>
          <w:color w:val="auto"/>
          <w:sz w:val="24"/>
          <w:szCs w:val="24"/>
          <w:highlight w:val="none"/>
          <w:lang w:eastAsia="zh-CN"/>
        </w:rPr>
        <w:t>中标人</w:t>
      </w:r>
      <w:r>
        <w:rPr>
          <w:rFonts w:hint="eastAsia" w:ascii="宋体" w:hAnsi="宋体" w:eastAsia="宋体" w:cs="宋体"/>
          <w:color w:val="auto"/>
          <w:kern w:val="0"/>
          <w:sz w:val="24"/>
          <w:szCs w:val="24"/>
          <w:highlight w:val="none"/>
        </w:rPr>
        <w:t>退货或换货并给予</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口头整改通知；若</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有异议，应于接到采购人通知后1小时内书面（含电子邮件）回复采购人并协商处理方式，否则将视为</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对不符合质量要求无异议，</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应于合同约定时间内退货或换货。</w:t>
      </w:r>
    </w:p>
    <w:p w14:paraId="235AFC4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对处理方式提出书面（含电子邮件）异议的，由采购人进行处理，若采购人无法最终认定货物质量的，双方均有权将提取样品送权威部门检验或鉴定。</w:t>
      </w:r>
    </w:p>
    <w:p w14:paraId="72E8E147">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合同</w:t>
      </w:r>
      <w:r>
        <w:rPr>
          <w:rFonts w:hint="eastAsia" w:ascii="宋体" w:hAnsi="宋体" w:eastAsia="宋体" w:cs="宋体"/>
          <w:b w:val="0"/>
          <w:bCs/>
          <w:color w:val="auto"/>
          <w:sz w:val="24"/>
          <w:szCs w:val="24"/>
          <w:highlight w:val="none"/>
        </w:rPr>
        <w:t>履行</w:t>
      </w:r>
      <w:r>
        <w:rPr>
          <w:rFonts w:hint="eastAsia" w:ascii="宋体" w:hAnsi="宋体" w:eastAsia="宋体" w:cs="宋体"/>
          <w:color w:val="auto"/>
          <w:kern w:val="0"/>
          <w:sz w:val="24"/>
          <w:szCs w:val="24"/>
          <w:highlight w:val="none"/>
        </w:rPr>
        <w:t>过程中发生争议的，双方应当协商解决，协商不成的可向采购人所在地人民法院提起</w:t>
      </w:r>
      <w:r>
        <w:rPr>
          <w:rFonts w:hint="eastAsia" w:ascii="宋体" w:hAnsi="宋体" w:eastAsia="宋体" w:cs="宋体"/>
          <w:color w:val="auto"/>
          <w:sz w:val="24"/>
          <w:szCs w:val="24"/>
          <w:highlight w:val="none"/>
        </w:rPr>
        <w:t>诉讼</w:t>
      </w:r>
      <w:r>
        <w:rPr>
          <w:rFonts w:hint="eastAsia" w:ascii="宋体" w:hAnsi="宋体" w:eastAsia="宋体" w:cs="宋体"/>
          <w:color w:val="auto"/>
          <w:kern w:val="0"/>
          <w:sz w:val="24"/>
          <w:szCs w:val="24"/>
          <w:highlight w:val="none"/>
        </w:rPr>
        <w:t>。</w:t>
      </w:r>
    </w:p>
    <w:p w14:paraId="5539DFAF">
      <w:pPr>
        <w:pStyle w:val="11"/>
        <w:rPr>
          <w:rFonts w:hint="eastAsia" w:ascii="宋体" w:hAnsi="宋体" w:eastAsia="宋体" w:cs="宋体"/>
          <w:color w:val="auto"/>
          <w:sz w:val="28"/>
          <w:szCs w:val="28"/>
        </w:rPr>
      </w:pPr>
    </w:p>
    <w:p w14:paraId="72286ECC">
      <w:pPr>
        <w:pStyle w:val="3"/>
        <w:pageBreakBefore w:val="0"/>
        <w:kinsoku/>
        <w:wordWrap/>
        <w:overflowPunct/>
        <w:topLinePunct w:val="0"/>
        <w:autoSpaceDE/>
        <w:autoSpaceDN/>
        <w:bidi w:val="0"/>
        <w:spacing w:line="400" w:lineRule="exact"/>
        <w:textAlignment w:val="auto"/>
        <w:rPr>
          <w:rFonts w:hint="eastAsia" w:ascii="宋体" w:hAnsi="宋体" w:eastAsia="宋体" w:cs="宋体"/>
          <w:b/>
          <w:bCs/>
          <w:color w:val="auto"/>
          <w:sz w:val="28"/>
          <w:szCs w:val="28"/>
          <w:highlight w:val="none"/>
          <w:lang w:val="en-US" w:eastAsia="zh-CN"/>
        </w:rPr>
      </w:pPr>
      <w:bookmarkStart w:id="113" w:name="_Toc9059"/>
      <w:r>
        <w:rPr>
          <w:rFonts w:hint="eastAsia" w:ascii="宋体" w:hAnsi="宋体" w:eastAsia="宋体" w:cs="宋体"/>
          <w:b/>
          <w:bCs/>
          <w:color w:val="auto"/>
          <w:sz w:val="28"/>
          <w:szCs w:val="28"/>
          <w:highlight w:val="none"/>
          <w:lang w:val="en-US" w:eastAsia="zh-CN"/>
        </w:rPr>
        <w:t>四</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val="en-US" w:eastAsia="zh-CN"/>
        </w:rPr>
        <w:t>质量保证及售后服务</w:t>
      </w:r>
      <w:bookmarkEnd w:id="113"/>
    </w:p>
    <w:p w14:paraId="5A956967">
      <w:pPr>
        <w:pStyle w:val="38"/>
        <w:numPr>
          <w:ilvl w:val="0"/>
          <w:numId w:val="0"/>
        </w:numPr>
        <w:ind w:firstLine="480" w:firstLineChars="200"/>
        <w:rPr>
          <w:rFonts w:hint="eastAsia" w:ascii="宋体" w:hAnsi="宋体" w:eastAsia="宋体" w:cs="宋体"/>
          <w:color w:val="auto"/>
          <w:lang w:eastAsia="zh-TW"/>
        </w:rPr>
      </w:pPr>
      <w:r>
        <w:rPr>
          <w:rFonts w:hint="eastAsia" w:ascii="宋体" w:hAnsi="宋体" w:eastAsia="宋体" w:cs="宋体"/>
          <w:color w:val="auto"/>
          <w:lang w:eastAsia="zh-TW"/>
        </w:rPr>
        <w:t>（一）产品质量保证</w:t>
      </w:r>
    </w:p>
    <w:p w14:paraId="38D09F9F">
      <w:pPr>
        <w:pStyle w:val="38"/>
        <w:numPr>
          <w:ilvl w:val="0"/>
          <w:numId w:val="0"/>
        </w:numPr>
        <w:ind w:firstLine="720" w:firstLineChars="300"/>
        <w:rPr>
          <w:rFonts w:hint="eastAsia" w:ascii="宋体" w:hAnsi="宋体" w:eastAsia="宋体" w:cs="宋体"/>
          <w:color w:val="auto"/>
          <w:lang w:eastAsia="zh-TW"/>
        </w:rPr>
      </w:pPr>
      <w:r>
        <w:rPr>
          <w:rFonts w:hint="eastAsia" w:ascii="宋体" w:hAnsi="宋体" w:eastAsia="宋体" w:cs="宋体"/>
          <w:color w:val="auto"/>
          <w:lang w:eastAsia="zh-TW"/>
        </w:rPr>
        <w:t>1.中标人应保证及时提供合格安全的商品，不得配送假冒伪劣、有毒有害、过期变质等不合格商品。属于国家规定“三包”范围的，其产品质量保证期不得低于“三包”规定。</w:t>
      </w:r>
    </w:p>
    <w:p w14:paraId="573839B3">
      <w:pPr>
        <w:pStyle w:val="38"/>
        <w:numPr>
          <w:ilvl w:val="0"/>
          <w:numId w:val="0"/>
        </w:numPr>
        <w:ind w:firstLine="720" w:firstLineChars="300"/>
        <w:rPr>
          <w:rFonts w:hint="eastAsia" w:ascii="宋体" w:hAnsi="宋体" w:eastAsia="宋体" w:cs="宋体"/>
          <w:color w:val="auto"/>
          <w:lang w:eastAsia="zh-TW"/>
        </w:rPr>
      </w:pPr>
      <w:r>
        <w:rPr>
          <w:rFonts w:hint="eastAsia" w:ascii="宋体" w:hAnsi="宋体" w:eastAsia="宋体" w:cs="宋体"/>
          <w:color w:val="auto"/>
          <w:lang w:eastAsia="zh-TW"/>
        </w:rPr>
        <w:t>2.所有商品因验收时不能直接判断质量的，在使用过程中发现不合格商品，中标人作退货处理。</w:t>
      </w:r>
    </w:p>
    <w:p w14:paraId="2C74E7FA">
      <w:pPr>
        <w:pStyle w:val="38"/>
        <w:numPr>
          <w:ilvl w:val="0"/>
          <w:numId w:val="0"/>
        </w:numPr>
        <w:ind w:firstLine="720" w:firstLineChars="300"/>
        <w:rPr>
          <w:rFonts w:hint="eastAsia" w:ascii="宋体" w:hAnsi="宋体" w:eastAsia="宋体" w:cs="宋体"/>
          <w:color w:val="auto"/>
          <w:lang w:eastAsia="zh-TW"/>
        </w:rPr>
      </w:pPr>
      <w:r>
        <w:rPr>
          <w:rFonts w:hint="eastAsia" w:ascii="宋体" w:hAnsi="宋体" w:eastAsia="宋体" w:cs="宋体"/>
          <w:color w:val="auto"/>
          <w:lang w:eastAsia="zh-TW"/>
        </w:rPr>
        <w:t>3.因商品质量问题引发的事故，由中标人承担经济赔偿责任以及全部法律责任。</w:t>
      </w:r>
    </w:p>
    <w:p w14:paraId="0C867FC4">
      <w:pPr>
        <w:pStyle w:val="38"/>
        <w:numPr>
          <w:ilvl w:val="0"/>
          <w:numId w:val="0"/>
        </w:numPr>
        <w:ind w:firstLine="480" w:firstLineChars="200"/>
        <w:rPr>
          <w:rFonts w:hint="eastAsia" w:ascii="宋体" w:hAnsi="宋体" w:eastAsia="宋体" w:cs="宋体"/>
          <w:color w:val="auto"/>
          <w:lang w:eastAsia="zh-TW"/>
        </w:rPr>
      </w:pPr>
      <w:r>
        <w:rPr>
          <w:rFonts w:hint="eastAsia" w:ascii="宋体" w:hAnsi="宋体" w:eastAsia="宋体" w:cs="宋体"/>
          <w:color w:val="auto"/>
          <w:lang w:eastAsia="zh-TW"/>
        </w:rPr>
        <w:t>（二）售后服务内容</w:t>
      </w:r>
    </w:p>
    <w:p w14:paraId="45A4089B">
      <w:pPr>
        <w:pStyle w:val="38"/>
        <w:numPr>
          <w:ilvl w:val="0"/>
          <w:numId w:val="0"/>
        </w:numPr>
        <w:ind w:firstLine="720" w:firstLineChars="300"/>
        <w:rPr>
          <w:rFonts w:hint="eastAsia" w:ascii="宋体" w:hAnsi="宋体" w:eastAsia="宋体" w:cs="宋体"/>
          <w:color w:val="auto"/>
          <w:lang w:eastAsia="zh-TW"/>
        </w:rPr>
      </w:pPr>
      <w:r>
        <w:rPr>
          <w:rFonts w:hint="eastAsia" w:ascii="宋体" w:hAnsi="宋体" w:eastAsia="宋体" w:cs="宋体"/>
          <w:color w:val="auto"/>
          <w:lang w:eastAsia="zh-TW"/>
        </w:rPr>
        <w:t>1.因市场特殊原因，个别商品不能及时提供，中标人应与采购人沟通协调，更换品种，满足需要。</w:t>
      </w:r>
    </w:p>
    <w:p w14:paraId="01135FB1">
      <w:pPr>
        <w:pStyle w:val="38"/>
        <w:numPr>
          <w:ilvl w:val="0"/>
          <w:numId w:val="0"/>
        </w:numPr>
        <w:ind w:firstLine="720" w:firstLineChars="300"/>
        <w:rPr>
          <w:rFonts w:hint="eastAsia" w:ascii="宋体" w:hAnsi="宋体" w:eastAsia="宋体" w:cs="宋体"/>
          <w:color w:val="auto"/>
          <w:lang w:eastAsia="zh-TW"/>
        </w:rPr>
      </w:pPr>
      <w:r>
        <w:rPr>
          <w:rFonts w:hint="eastAsia" w:ascii="宋体" w:hAnsi="宋体" w:eastAsia="宋体" w:cs="宋体"/>
          <w:color w:val="auto"/>
          <w:lang w:eastAsia="zh-TW"/>
        </w:rPr>
        <w:t>2.验收中不合格商品，中标人按照采购人规定时间内调换，应不影响正常工作。</w:t>
      </w:r>
    </w:p>
    <w:p w14:paraId="6CBFADB8">
      <w:pPr>
        <w:pStyle w:val="38"/>
        <w:numPr>
          <w:ilvl w:val="0"/>
          <w:numId w:val="0"/>
        </w:numPr>
        <w:ind w:firstLine="720" w:firstLineChars="300"/>
        <w:rPr>
          <w:rFonts w:hint="eastAsia" w:ascii="宋体" w:hAnsi="宋体" w:eastAsia="宋体" w:cs="宋体"/>
          <w:color w:val="auto"/>
          <w:lang w:eastAsia="zh-TW"/>
        </w:rPr>
      </w:pPr>
      <w:r>
        <w:rPr>
          <w:rFonts w:hint="eastAsia" w:ascii="宋体" w:hAnsi="宋体" w:eastAsia="宋体" w:cs="宋体"/>
          <w:color w:val="auto"/>
          <w:lang w:eastAsia="zh-TW"/>
        </w:rPr>
        <w:t>3.因商品质量导致出现安全事故，由中标人承担经济赔偿责任以及全部法律责任。</w:t>
      </w:r>
    </w:p>
    <w:p w14:paraId="4BB4E1F0">
      <w:pPr>
        <w:pStyle w:val="3"/>
        <w:pageBreakBefore w:val="0"/>
        <w:kinsoku/>
        <w:wordWrap/>
        <w:overflowPunct/>
        <w:topLinePunct w:val="0"/>
        <w:autoSpaceDE/>
        <w:autoSpaceDN/>
        <w:bidi w:val="0"/>
        <w:spacing w:line="360" w:lineRule="auto"/>
        <w:textAlignment w:val="auto"/>
        <w:outlineLvl w:val="0"/>
        <w:rPr>
          <w:rFonts w:hint="eastAsia" w:ascii="宋体" w:hAnsi="宋体" w:eastAsia="宋体" w:cs="宋体"/>
          <w:b/>
          <w:bCs/>
          <w:color w:val="auto"/>
          <w:sz w:val="28"/>
          <w:szCs w:val="28"/>
          <w:highlight w:val="none"/>
        </w:rPr>
      </w:pPr>
      <w:bookmarkStart w:id="114" w:name="_Toc14892"/>
      <w:bookmarkStart w:id="115" w:name="_Toc27286"/>
      <w:bookmarkStart w:id="116" w:name="_Toc5224"/>
      <w:bookmarkStart w:id="117" w:name="_Toc10946"/>
      <w:r>
        <w:rPr>
          <w:rFonts w:hint="eastAsia" w:ascii="宋体" w:hAnsi="宋体" w:eastAsia="宋体" w:cs="宋体"/>
          <w:b/>
          <w:bCs/>
          <w:color w:val="auto"/>
          <w:sz w:val="28"/>
          <w:szCs w:val="28"/>
          <w:highlight w:val="none"/>
          <w:lang w:val="en-US" w:eastAsia="zh-CN"/>
        </w:rPr>
        <w:t>五</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val="en-US" w:eastAsia="zh-CN"/>
        </w:rPr>
        <w:t>询定价及结算</w:t>
      </w:r>
      <w:bookmarkEnd w:id="114"/>
      <w:bookmarkEnd w:id="115"/>
      <w:bookmarkEnd w:id="116"/>
      <w:bookmarkEnd w:id="117"/>
      <w:r>
        <w:rPr>
          <w:rFonts w:hint="eastAsia" w:ascii="宋体" w:hAnsi="宋体" w:eastAsia="宋体" w:cs="宋体"/>
          <w:b/>
          <w:bCs/>
          <w:color w:val="auto"/>
          <w:sz w:val="28"/>
          <w:szCs w:val="28"/>
          <w:highlight w:val="none"/>
        </w:rPr>
        <w:t xml:space="preserve"> </w:t>
      </w:r>
      <w:bookmarkStart w:id="118" w:name="_Toc31985"/>
    </w:p>
    <w:bookmarkEnd w:id="118"/>
    <w:p w14:paraId="772E0C6D">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lang w:eastAsia="zh-TW"/>
        </w:rPr>
      </w:pPr>
      <w:r>
        <w:rPr>
          <w:rFonts w:hint="eastAsia" w:ascii="宋体" w:hAnsi="宋体" w:eastAsia="宋体" w:cs="宋体"/>
          <w:color w:val="auto"/>
          <w:sz w:val="24"/>
          <w:szCs w:val="24"/>
          <w:highlight w:val="none"/>
          <w:lang w:eastAsia="zh-TW"/>
        </w:rPr>
        <w:t>（一）询定价</w:t>
      </w:r>
    </w:p>
    <w:p w14:paraId="1DD69E5D">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lang w:eastAsia="zh-TW"/>
        </w:rPr>
      </w:pPr>
      <w:r>
        <w:rPr>
          <w:rFonts w:hint="eastAsia" w:ascii="宋体" w:hAnsi="宋体" w:eastAsia="宋体" w:cs="宋体"/>
          <w:color w:val="auto"/>
          <w:sz w:val="24"/>
          <w:szCs w:val="24"/>
          <w:highlight w:val="none"/>
          <w:lang w:eastAsia="zh-TW"/>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TW"/>
        </w:rPr>
        <w:t>采购物资原则上每月询定价1次</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lang w:eastAsia="zh-TW"/>
        </w:rPr>
        <w:t>可根据实际情况，调整询定价次数。</w:t>
      </w:r>
    </w:p>
    <w:p w14:paraId="28F6D233">
      <w:pPr>
        <w:pageBreakBefore w:val="0"/>
        <w:widowControl w:val="0"/>
        <w:kinsoku/>
        <w:wordWrap/>
        <w:overflowPunct/>
        <w:topLinePunct w:val="0"/>
        <w:bidi w:val="0"/>
        <w:snapToGrid w:val="0"/>
        <w:spacing w:line="400" w:lineRule="exact"/>
        <w:ind w:firstLine="480" w:firstLineChars="200"/>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eastAsia="zh-TW"/>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TW"/>
        </w:rPr>
        <w:t>实际结算方式</w:t>
      </w:r>
      <w:r>
        <w:rPr>
          <w:rFonts w:hint="eastAsia" w:ascii="宋体" w:hAnsi="宋体" w:eastAsia="宋体" w:cs="宋体"/>
          <w:color w:val="auto"/>
          <w:sz w:val="24"/>
          <w:highlight w:val="none"/>
          <w:lang w:val="en-US" w:eastAsia="zh-CN"/>
        </w:rPr>
        <w:t>以采购人以附近永辉超市、</w:t>
      </w:r>
      <w:r>
        <w:rPr>
          <w:rFonts w:hint="eastAsia" w:ascii="宋体" w:hAnsi="宋体" w:eastAsia="宋体" w:cs="宋体"/>
          <w:color w:val="auto"/>
          <w:sz w:val="24"/>
          <w:szCs w:val="24"/>
          <w:highlight w:val="none"/>
          <w:lang w:val="en-US" w:eastAsia="zh-CN"/>
        </w:rPr>
        <w:t>佳慧超市或农贸市场等大型市场</w:t>
      </w:r>
      <w:r>
        <w:rPr>
          <w:rFonts w:hint="eastAsia" w:ascii="宋体" w:hAnsi="宋体" w:eastAsia="宋体" w:cs="宋体"/>
          <w:color w:val="auto"/>
          <w:sz w:val="24"/>
          <w:highlight w:val="none"/>
          <w:lang w:val="en-US" w:eastAsia="zh-CN"/>
        </w:rPr>
        <w:t>同品目商品零售价为参照价，若商品销售价上涨，原则上不调整，（服务期内，若配送货物涉及调价，中标人应提供货物生产厂家出具的调价函，经采购人核验通过后，方可调价。采购人有权对中标人提供的资料进行核实，若发现弄虚作假，有权解除服务合同，其履约保证金不予退还。）</w:t>
      </w:r>
    </w:p>
    <w:p w14:paraId="59611B0A">
      <w:pPr>
        <w:pageBreakBefore w:val="0"/>
        <w:widowControl w:val="0"/>
        <w:kinsoku/>
        <w:wordWrap/>
        <w:overflowPunct/>
        <w:topLinePunct w:val="0"/>
        <w:bidi w:val="0"/>
        <w:snapToGrid w:val="0"/>
        <w:spacing w:line="400" w:lineRule="exact"/>
        <w:ind w:firstLine="480" w:firstLineChars="200"/>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若商品销售价有下浮(以超市商品的正价为准)，则商品结算价需重新调整，具体以采购人要求为准。</w:t>
      </w:r>
    </w:p>
    <w:p w14:paraId="5C1DBE02">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lang w:eastAsia="zh-TW"/>
        </w:rPr>
      </w:pPr>
      <w:r>
        <w:rPr>
          <w:rFonts w:hint="eastAsia" w:ascii="宋体" w:hAnsi="宋体" w:eastAsia="宋体" w:cs="宋体"/>
          <w:color w:val="auto"/>
          <w:sz w:val="24"/>
          <w:szCs w:val="24"/>
          <w:highlight w:val="none"/>
          <w:lang w:eastAsia="zh-TW"/>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每次询价的时间由采购人确定，每月30日前确定当月的商品基准价。询价表应包含询得商品的基准价及结合中标费率后的确定价。</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lang w:eastAsia="zh-TW"/>
        </w:rPr>
        <w:t>组织</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lang w:val="en-US" w:eastAsia="zh-CN"/>
        </w:rPr>
        <w:t>相关</w:t>
      </w:r>
      <w:r>
        <w:rPr>
          <w:rFonts w:hint="eastAsia" w:ascii="宋体" w:hAnsi="宋体" w:eastAsia="宋体" w:cs="宋体"/>
          <w:color w:val="auto"/>
          <w:sz w:val="24"/>
          <w:szCs w:val="24"/>
          <w:highlight w:val="none"/>
          <w:lang w:eastAsia="zh-TW"/>
        </w:rPr>
        <w:t>代表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学校采购询价小组人员至少2名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及中标人</w:t>
      </w:r>
      <w:r>
        <w:rPr>
          <w:rFonts w:hint="eastAsia" w:ascii="宋体" w:hAnsi="宋体" w:eastAsia="宋体" w:cs="宋体"/>
          <w:color w:val="auto"/>
          <w:sz w:val="24"/>
          <w:szCs w:val="24"/>
          <w:highlight w:val="none"/>
          <w:lang w:eastAsia="zh-TW"/>
        </w:rPr>
        <w:t>代表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TW"/>
        </w:rPr>
        <w:t>参与。</w:t>
      </w:r>
    </w:p>
    <w:p w14:paraId="00ABB367">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lang w:eastAsia="zh-TW"/>
        </w:rPr>
      </w:pPr>
      <w:r>
        <w:rPr>
          <w:rFonts w:hint="eastAsia" w:ascii="宋体" w:hAnsi="宋体" w:eastAsia="宋体" w:cs="宋体"/>
          <w:color w:val="auto"/>
          <w:sz w:val="24"/>
          <w:szCs w:val="24"/>
          <w:highlight w:val="none"/>
          <w:lang w:eastAsia="zh-TW"/>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TW"/>
        </w:rPr>
        <w:t>个别在超市、市场无法询定价的品种或采购人有特殊要求的货物，可参照其他市场售价，双方协商定价。</w:t>
      </w:r>
    </w:p>
    <w:p w14:paraId="56CD2EF7">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lang w:eastAsia="zh-TW"/>
        </w:rPr>
      </w:pPr>
      <w:r>
        <w:rPr>
          <w:rFonts w:hint="eastAsia" w:ascii="宋体" w:hAnsi="宋体" w:eastAsia="宋体" w:cs="宋体"/>
          <w:color w:val="auto"/>
          <w:sz w:val="24"/>
          <w:szCs w:val="24"/>
          <w:highlight w:val="none"/>
          <w:lang w:eastAsia="zh-TW"/>
        </w:rPr>
        <w:t>（二）结算</w:t>
      </w:r>
    </w:p>
    <w:p w14:paraId="4FE3F449">
      <w:pPr>
        <w:keepNext w:val="0"/>
        <w:keepLines w:val="0"/>
        <w:pageBreakBefore w:val="0"/>
        <w:widowControl w:val="0"/>
        <w:tabs>
          <w:tab w:val="left" w:pos="3360"/>
        </w:tabs>
        <w:kinsoku/>
        <w:wordWrap/>
        <w:overflowPunct/>
        <w:topLinePunct w:val="0"/>
        <w:autoSpaceDE/>
        <w:autoSpaceDN/>
        <w:bidi w:val="0"/>
        <w:adjustRightInd/>
        <w:snapToGrid/>
        <w:spacing w:before="0" w:after="0" w:line="360" w:lineRule="auto"/>
        <w:ind w:firstLine="480" w:firstLineChars="200"/>
        <w:textAlignment w:val="auto"/>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color w:val="auto"/>
          <w:sz w:val="24"/>
          <w:szCs w:val="28"/>
          <w:highlight w:val="none"/>
        </w:rPr>
        <w:t>结算价格=结算单价基</w:t>
      </w:r>
      <w:r>
        <w:rPr>
          <w:rFonts w:hint="eastAsia" w:ascii="宋体" w:hAnsi="宋体" w:eastAsia="宋体" w:cs="宋体"/>
          <w:color w:val="auto"/>
          <w:sz w:val="24"/>
          <w:szCs w:val="28"/>
          <w:highlight w:val="none"/>
          <w:lang w:val="en-US" w:eastAsia="zh-CN"/>
        </w:rPr>
        <w:t>准</w:t>
      </w:r>
      <w:r>
        <w:rPr>
          <w:rFonts w:hint="eastAsia" w:ascii="宋体" w:hAnsi="宋体" w:eastAsia="宋体" w:cs="宋体"/>
          <w:color w:val="auto"/>
          <w:sz w:val="24"/>
          <w:szCs w:val="28"/>
          <w:highlight w:val="none"/>
        </w:rPr>
        <w:t>价*实际配送数量*</w:t>
      </w:r>
      <w:r>
        <w:rPr>
          <w:rFonts w:hint="eastAsia" w:ascii="宋体" w:hAnsi="宋体" w:eastAsia="宋体" w:cs="宋体"/>
          <w:color w:val="auto"/>
          <w:sz w:val="24"/>
          <w:szCs w:val="28"/>
          <w:highlight w:val="none"/>
          <w:lang w:val="en-US" w:eastAsia="zh-CN"/>
        </w:rPr>
        <w:t>投标报价费率</w:t>
      </w:r>
      <w:r>
        <w:rPr>
          <w:rFonts w:hint="eastAsia" w:ascii="宋体" w:hAnsi="宋体" w:eastAsia="宋体" w:cs="宋体"/>
          <w:color w:val="auto"/>
          <w:sz w:val="24"/>
          <w:szCs w:val="28"/>
          <w:highlight w:val="none"/>
        </w:rPr>
        <w:t xml:space="preserve"> </w:t>
      </w:r>
      <w:bookmarkStart w:id="119" w:name="_Toc31699"/>
      <w:bookmarkStart w:id="120" w:name="_Toc19901"/>
      <w:bookmarkStart w:id="121" w:name="_Toc19638"/>
      <w:bookmarkStart w:id="122" w:name="_Toc13591"/>
    </w:p>
    <w:p w14:paraId="032B5515">
      <w:pPr>
        <w:pStyle w:val="3"/>
        <w:pageBreakBefore w:val="0"/>
        <w:widowControl w:val="0"/>
        <w:tabs>
          <w:tab w:val="left" w:pos="446"/>
        </w:tabs>
        <w:kinsoku/>
        <w:wordWrap/>
        <w:overflowPunct/>
        <w:topLinePunct w:val="0"/>
        <w:autoSpaceDE/>
        <w:autoSpaceDN/>
        <w:bidi w:val="0"/>
        <w:spacing w:before="0" w:after="0" w:line="360" w:lineRule="auto"/>
        <w:textAlignment w:val="auto"/>
        <w:outlineLvl w:val="0"/>
        <w:rPr>
          <w:rFonts w:hint="eastAsia" w:ascii="宋体" w:hAnsi="宋体" w:eastAsia="宋体" w:cs="宋体"/>
          <w:b/>
          <w:color w:val="auto"/>
          <w:sz w:val="24"/>
          <w:szCs w:val="24"/>
          <w:highlight w:val="none"/>
          <w:lang w:val="en-US" w:eastAsia="zh-CN"/>
        </w:rPr>
      </w:pPr>
      <w:bookmarkStart w:id="123" w:name="_Toc11217"/>
    </w:p>
    <w:p w14:paraId="76C75500">
      <w:pPr>
        <w:pStyle w:val="3"/>
        <w:pageBreakBefore w:val="0"/>
        <w:widowControl w:val="0"/>
        <w:tabs>
          <w:tab w:val="left" w:pos="446"/>
        </w:tabs>
        <w:kinsoku/>
        <w:wordWrap/>
        <w:overflowPunct/>
        <w:topLinePunct w:val="0"/>
        <w:autoSpaceDE/>
        <w:autoSpaceDN/>
        <w:bidi w:val="0"/>
        <w:spacing w:before="0" w:after="0" w:line="360" w:lineRule="auto"/>
        <w:textAlignment w:val="auto"/>
        <w:outlineLvl w:val="0"/>
        <w:rPr>
          <w:rFonts w:hint="eastAsia" w:ascii="宋体" w:hAnsi="宋体" w:eastAsia="宋体" w:cs="宋体"/>
          <w:b/>
          <w:color w:val="auto"/>
          <w:sz w:val="24"/>
          <w:szCs w:val="24"/>
          <w:highlight w:val="none"/>
          <w:lang w:val="en-US" w:eastAsia="zh-CN"/>
        </w:rPr>
      </w:pPr>
      <w:bookmarkStart w:id="124" w:name="_Toc16025"/>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付款方式</w:t>
      </w:r>
      <w:bookmarkEnd w:id="119"/>
      <w:bookmarkEnd w:id="120"/>
      <w:bookmarkEnd w:id="121"/>
      <w:bookmarkEnd w:id="122"/>
      <w:bookmarkEnd w:id="123"/>
      <w:bookmarkEnd w:id="124"/>
    </w:p>
    <w:p w14:paraId="3E88B193">
      <w:pPr>
        <w:pStyle w:val="3"/>
        <w:pageBreakBefore w:val="0"/>
        <w:widowControl w:val="0"/>
        <w:kinsoku/>
        <w:wordWrap/>
        <w:overflowPunct/>
        <w:topLinePunct w:val="0"/>
        <w:autoSpaceDE/>
        <w:autoSpaceDN/>
        <w:bidi w:val="0"/>
        <w:spacing w:before="0" w:after="0" w:line="360" w:lineRule="auto"/>
        <w:ind w:firstLine="480" w:firstLineChars="200"/>
        <w:textAlignment w:val="auto"/>
        <w:outlineLvl w:val="0"/>
        <w:rPr>
          <w:rFonts w:hint="eastAsia" w:ascii="宋体" w:hAnsi="宋体" w:eastAsia="宋体" w:cs="宋体"/>
          <w:b w:val="0"/>
          <w:bCs/>
          <w:color w:val="auto"/>
          <w:sz w:val="24"/>
          <w:szCs w:val="24"/>
          <w:highlight w:val="none"/>
          <w:lang w:val="en-US" w:eastAsia="zh-CN"/>
        </w:rPr>
      </w:pPr>
      <w:bookmarkStart w:id="125" w:name="_Toc31146"/>
      <w:bookmarkStart w:id="126" w:name="_Toc26951"/>
      <w:bookmarkStart w:id="127" w:name="_Toc27131"/>
      <w:bookmarkStart w:id="128" w:name="_Toc14629"/>
      <w:bookmarkStart w:id="129" w:name="_Toc7625"/>
      <w:bookmarkStart w:id="130" w:name="_Toc12301"/>
      <w:r>
        <w:rPr>
          <w:rFonts w:hint="eastAsia" w:ascii="宋体" w:hAnsi="宋体" w:eastAsia="宋体" w:cs="宋体"/>
          <w:b w:val="0"/>
          <w:bCs/>
          <w:color w:val="auto"/>
          <w:sz w:val="24"/>
          <w:szCs w:val="24"/>
          <w:highlight w:val="none"/>
          <w:lang w:val="en-US" w:eastAsia="zh-CN"/>
        </w:rPr>
        <w:t>（一）先送货后付款，所有订购商品的配送单，经双方核对无误后，签字确认。</w:t>
      </w:r>
      <w:bookmarkEnd w:id="125"/>
    </w:p>
    <w:p w14:paraId="687739D2">
      <w:pPr>
        <w:pStyle w:val="3"/>
        <w:pageBreakBefore w:val="0"/>
        <w:widowControl w:val="0"/>
        <w:kinsoku/>
        <w:wordWrap/>
        <w:overflowPunct/>
        <w:topLinePunct w:val="0"/>
        <w:autoSpaceDE/>
        <w:autoSpaceDN/>
        <w:bidi w:val="0"/>
        <w:spacing w:before="0" w:after="0" w:line="360" w:lineRule="auto"/>
        <w:ind w:firstLine="480" w:firstLineChars="200"/>
        <w:textAlignment w:val="auto"/>
        <w:outlineLvl w:val="0"/>
        <w:rPr>
          <w:rFonts w:hint="eastAsia" w:ascii="宋体" w:hAnsi="宋体" w:eastAsia="宋体" w:cs="宋体"/>
          <w:b w:val="0"/>
          <w:bCs/>
          <w:color w:val="auto"/>
          <w:sz w:val="24"/>
          <w:szCs w:val="24"/>
          <w:highlight w:val="none"/>
          <w:lang w:val="en-US" w:eastAsia="zh-CN"/>
        </w:rPr>
      </w:pPr>
      <w:bookmarkStart w:id="131" w:name="_Toc18262"/>
      <w:r>
        <w:rPr>
          <w:rFonts w:hint="eastAsia" w:ascii="宋体" w:hAnsi="宋体" w:eastAsia="宋体" w:cs="宋体"/>
          <w:b w:val="0"/>
          <w:bCs/>
          <w:color w:val="auto"/>
          <w:sz w:val="24"/>
          <w:szCs w:val="24"/>
          <w:highlight w:val="none"/>
          <w:lang w:val="en-US" w:eastAsia="zh-CN"/>
        </w:rPr>
        <w:t>（二）按月结算，根据当月送货单数据，据实结算。</w:t>
      </w:r>
      <w:bookmarkEnd w:id="131"/>
    </w:p>
    <w:p w14:paraId="40BC4833">
      <w:pPr>
        <w:pStyle w:val="3"/>
        <w:pageBreakBefore w:val="0"/>
        <w:widowControl w:val="0"/>
        <w:kinsoku/>
        <w:wordWrap/>
        <w:overflowPunct/>
        <w:topLinePunct w:val="0"/>
        <w:autoSpaceDE/>
        <w:autoSpaceDN/>
        <w:bidi w:val="0"/>
        <w:spacing w:before="0" w:after="0" w:line="360" w:lineRule="auto"/>
        <w:ind w:firstLine="480" w:firstLineChars="200"/>
        <w:textAlignment w:val="auto"/>
        <w:outlineLvl w:val="0"/>
        <w:rPr>
          <w:rFonts w:hint="eastAsia" w:ascii="宋体" w:hAnsi="宋体" w:eastAsia="宋体" w:cs="宋体"/>
          <w:b w:val="0"/>
          <w:bCs/>
          <w:color w:val="auto"/>
          <w:sz w:val="24"/>
          <w:szCs w:val="24"/>
          <w:highlight w:val="none"/>
          <w:lang w:val="en-US" w:eastAsia="zh-CN"/>
        </w:rPr>
      </w:pPr>
      <w:bookmarkStart w:id="132" w:name="_Toc13607"/>
      <w:r>
        <w:rPr>
          <w:rFonts w:hint="eastAsia" w:ascii="宋体" w:hAnsi="宋体" w:eastAsia="宋体" w:cs="宋体"/>
          <w:b w:val="0"/>
          <w:bCs/>
          <w:color w:val="auto"/>
          <w:sz w:val="24"/>
          <w:szCs w:val="24"/>
          <w:highlight w:val="none"/>
          <w:lang w:val="en-US" w:eastAsia="zh-CN"/>
        </w:rPr>
        <w:t>（三）成交供应商开具正式税务发票，次月支付上月货款（采购人可根据财务要求调整付款时间），通过银行转账到中标人指定账户。</w:t>
      </w:r>
      <w:bookmarkEnd w:id="132"/>
    </w:p>
    <w:p w14:paraId="302BCD46">
      <w:pPr>
        <w:pStyle w:val="3"/>
        <w:pageBreakBefore w:val="0"/>
        <w:widowControl w:val="0"/>
        <w:kinsoku/>
        <w:wordWrap/>
        <w:overflowPunct/>
        <w:topLinePunct w:val="0"/>
        <w:autoSpaceDE/>
        <w:autoSpaceDN/>
        <w:bidi w:val="0"/>
        <w:spacing w:before="0" w:after="0" w:line="360" w:lineRule="auto"/>
        <w:textAlignment w:val="auto"/>
        <w:outlineLvl w:val="0"/>
        <w:rPr>
          <w:rFonts w:hint="eastAsia" w:ascii="宋体" w:hAnsi="宋体" w:eastAsia="宋体" w:cs="宋体"/>
          <w:b/>
          <w:color w:val="auto"/>
          <w:sz w:val="24"/>
          <w:szCs w:val="24"/>
          <w:highlight w:val="none"/>
          <w:lang w:val="en-US" w:eastAsia="zh-CN"/>
        </w:rPr>
      </w:pPr>
    </w:p>
    <w:p w14:paraId="2C8CC3AA">
      <w:pPr>
        <w:pStyle w:val="3"/>
        <w:pageBreakBefore w:val="0"/>
        <w:widowControl w:val="0"/>
        <w:kinsoku/>
        <w:wordWrap/>
        <w:overflowPunct/>
        <w:topLinePunct w:val="0"/>
        <w:autoSpaceDE/>
        <w:autoSpaceDN/>
        <w:bidi w:val="0"/>
        <w:spacing w:before="0" w:after="0" w:line="360" w:lineRule="auto"/>
        <w:textAlignment w:val="auto"/>
        <w:outlineLvl w:val="0"/>
        <w:rPr>
          <w:rFonts w:hint="eastAsia" w:ascii="宋体" w:hAnsi="宋体" w:eastAsia="宋体" w:cs="宋体"/>
          <w:b/>
          <w:color w:val="auto"/>
          <w:sz w:val="24"/>
          <w:szCs w:val="24"/>
          <w:highlight w:val="none"/>
          <w:lang w:val="en-US" w:eastAsia="zh-CN"/>
        </w:rPr>
      </w:pPr>
      <w:bookmarkStart w:id="133" w:name="_Toc11493"/>
      <w:r>
        <w:rPr>
          <w:rFonts w:hint="eastAsia" w:ascii="宋体" w:hAnsi="宋体" w:eastAsia="宋体" w:cs="宋体"/>
          <w:b/>
          <w:color w:val="auto"/>
          <w:sz w:val="24"/>
          <w:szCs w:val="24"/>
          <w:highlight w:val="none"/>
          <w:lang w:val="en-US" w:eastAsia="zh-CN"/>
        </w:rPr>
        <w:t>七、其他</w:t>
      </w:r>
      <w:bookmarkEnd w:id="133"/>
    </w:p>
    <w:p w14:paraId="297CA056">
      <w:pPr>
        <w:pStyle w:val="3"/>
        <w:pageBreakBefore w:val="0"/>
        <w:widowControl w:val="0"/>
        <w:kinsoku/>
        <w:wordWrap/>
        <w:overflowPunct/>
        <w:topLinePunct w:val="0"/>
        <w:autoSpaceDE/>
        <w:autoSpaceDN/>
        <w:bidi w:val="0"/>
        <w:spacing w:before="0" w:after="0" w:line="360" w:lineRule="auto"/>
        <w:ind w:firstLine="480" w:firstLineChars="200"/>
        <w:textAlignment w:val="auto"/>
        <w:outlineLvl w:val="0"/>
        <w:rPr>
          <w:rFonts w:hint="eastAsia" w:ascii="宋体" w:hAnsi="宋体" w:eastAsia="宋体" w:cs="宋体"/>
          <w:b w:val="0"/>
          <w:bCs/>
          <w:color w:val="auto"/>
          <w:sz w:val="24"/>
          <w:szCs w:val="24"/>
          <w:highlight w:val="none"/>
          <w:lang w:val="en-US" w:eastAsia="zh-CN"/>
        </w:rPr>
      </w:pPr>
      <w:bookmarkStart w:id="134" w:name="_Toc28941"/>
      <w:r>
        <w:rPr>
          <w:rFonts w:hint="eastAsia" w:ascii="宋体" w:hAnsi="宋体" w:eastAsia="宋体" w:cs="宋体"/>
          <w:b w:val="0"/>
          <w:bCs/>
          <w:color w:val="auto"/>
          <w:sz w:val="24"/>
          <w:szCs w:val="24"/>
          <w:highlight w:val="none"/>
          <w:lang w:val="en-US" w:eastAsia="zh-CN"/>
        </w:rPr>
        <w:t>（一）其他未尽事宜由供需双方在采购合同中详细约定。</w:t>
      </w:r>
      <w:bookmarkEnd w:id="134"/>
    </w:p>
    <w:p w14:paraId="771DE004">
      <w:pPr>
        <w:pStyle w:val="3"/>
        <w:pageBreakBefore w:val="0"/>
        <w:widowControl w:val="0"/>
        <w:kinsoku/>
        <w:wordWrap/>
        <w:overflowPunct/>
        <w:topLinePunct w:val="0"/>
        <w:autoSpaceDE/>
        <w:autoSpaceDN/>
        <w:bidi w:val="0"/>
        <w:spacing w:before="0" w:after="0" w:line="360" w:lineRule="auto"/>
        <w:ind w:firstLine="480" w:firstLineChars="200"/>
        <w:textAlignment w:val="auto"/>
        <w:outlineLvl w:val="0"/>
        <w:rPr>
          <w:rFonts w:hint="eastAsia" w:ascii="宋体" w:hAnsi="宋体" w:eastAsia="宋体" w:cs="宋体"/>
          <w:b w:val="0"/>
          <w:bCs/>
          <w:color w:val="auto"/>
          <w:sz w:val="24"/>
          <w:szCs w:val="24"/>
          <w:highlight w:val="none"/>
          <w:lang w:val="en-US" w:eastAsia="zh-CN"/>
        </w:rPr>
      </w:pPr>
      <w:bookmarkStart w:id="135" w:name="_Toc5533"/>
      <w:r>
        <w:rPr>
          <w:rFonts w:hint="eastAsia" w:ascii="宋体" w:hAnsi="宋体" w:eastAsia="宋体" w:cs="宋体"/>
          <w:b w:val="0"/>
          <w:bCs/>
          <w:color w:val="auto"/>
          <w:sz w:val="24"/>
          <w:szCs w:val="24"/>
          <w:highlight w:val="none"/>
          <w:lang w:val="en-US" w:eastAsia="zh-CN"/>
        </w:rPr>
        <w:t>（二）如遇国家相关政策调整，服务合同自动终止，双方均不因合同自动终止承担违约责任。</w:t>
      </w:r>
      <w:bookmarkEnd w:id="135"/>
    </w:p>
    <w:p w14:paraId="3AEA3EB9">
      <w:pPr>
        <w:rPr>
          <w:rFonts w:hint="eastAsia" w:ascii="宋体" w:hAnsi="宋体" w:eastAsia="宋体" w:cs="宋体"/>
          <w:color w:val="auto"/>
          <w:lang w:val="en-US" w:eastAsia="zh-CN"/>
        </w:rPr>
      </w:pPr>
    </w:p>
    <w:p w14:paraId="4DD1653B">
      <w:pPr>
        <w:pStyle w:val="3"/>
        <w:pageBreakBefore w:val="0"/>
        <w:widowControl w:val="0"/>
        <w:kinsoku/>
        <w:wordWrap/>
        <w:overflowPunct/>
        <w:topLinePunct w:val="0"/>
        <w:autoSpaceDE/>
        <w:autoSpaceDN/>
        <w:bidi w:val="0"/>
        <w:spacing w:before="0" w:after="0" w:line="360" w:lineRule="auto"/>
        <w:textAlignment w:val="auto"/>
        <w:outlineLvl w:val="0"/>
        <w:rPr>
          <w:rFonts w:hint="eastAsia" w:ascii="宋体" w:hAnsi="宋体" w:eastAsia="宋体" w:cs="宋体"/>
          <w:b/>
          <w:color w:val="auto"/>
          <w:sz w:val="24"/>
          <w:szCs w:val="24"/>
          <w:highlight w:val="none"/>
          <w:lang w:val="en-US" w:eastAsia="zh-CN"/>
        </w:rPr>
      </w:pPr>
      <w:bookmarkStart w:id="136" w:name="_Toc11871"/>
      <w:r>
        <w:rPr>
          <w:rFonts w:hint="eastAsia" w:ascii="宋体" w:hAnsi="宋体" w:eastAsia="宋体" w:cs="宋体"/>
          <w:b/>
          <w:color w:val="auto"/>
          <w:sz w:val="24"/>
          <w:szCs w:val="24"/>
          <w:highlight w:val="none"/>
          <w:lang w:val="en-US" w:eastAsia="zh-CN"/>
        </w:rPr>
        <w:t>八、其他商务要求内容</w:t>
      </w:r>
      <w:bookmarkEnd w:id="126"/>
      <w:bookmarkEnd w:id="127"/>
      <w:bookmarkEnd w:id="128"/>
      <w:bookmarkEnd w:id="129"/>
      <w:bookmarkEnd w:id="130"/>
      <w:bookmarkEnd w:id="136"/>
    </w:p>
    <w:p w14:paraId="75E3315D">
      <w:pPr>
        <w:keepNext w:val="0"/>
        <w:keepLines w:val="0"/>
        <w:pageBreakBefore w:val="0"/>
        <w:widowControl w:val="0"/>
        <w:tabs>
          <w:tab w:val="left" w:pos="3360"/>
        </w:tabs>
        <w:kinsoku/>
        <w:wordWrap/>
        <w:overflowPunct/>
        <w:topLinePunct w:val="0"/>
        <w:autoSpaceDE/>
        <w:autoSpaceDN/>
        <w:bidi w:val="0"/>
        <w:adjustRightInd/>
        <w:snapToGrid/>
        <w:spacing w:before="0" w:after="0" w:line="360" w:lineRule="auto"/>
        <w:ind w:firstLine="480" w:firstLineChars="200"/>
        <w:textAlignment w:val="auto"/>
        <w:outlineLvl w:val="9"/>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（一）</w:t>
      </w:r>
      <w:r>
        <w:rPr>
          <w:rFonts w:hint="eastAsia" w:ascii="宋体" w:hAnsi="宋体" w:eastAsia="宋体" w:cs="宋体"/>
          <w:color w:val="auto"/>
          <w:sz w:val="24"/>
          <w:szCs w:val="28"/>
          <w:highlight w:val="none"/>
          <w:lang w:eastAsia="zh-CN"/>
        </w:rPr>
        <w:t>投标人</w:t>
      </w:r>
      <w:r>
        <w:rPr>
          <w:rFonts w:hint="eastAsia" w:ascii="宋体" w:hAnsi="宋体" w:eastAsia="宋体" w:cs="宋体"/>
          <w:color w:val="auto"/>
          <w:sz w:val="24"/>
          <w:szCs w:val="28"/>
          <w:highlight w:val="none"/>
        </w:rPr>
        <w:t>必须在</w:t>
      </w:r>
      <w:r>
        <w:rPr>
          <w:rFonts w:hint="eastAsia" w:ascii="宋体" w:hAnsi="宋体" w:eastAsia="宋体" w:cs="宋体"/>
          <w:color w:val="auto"/>
          <w:sz w:val="24"/>
          <w:szCs w:val="28"/>
          <w:highlight w:val="none"/>
          <w:lang w:val="en-US" w:eastAsia="zh-CN"/>
        </w:rPr>
        <w:t>投标文件</w:t>
      </w:r>
      <w:r>
        <w:rPr>
          <w:rFonts w:hint="eastAsia" w:ascii="宋体" w:hAnsi="宋体" w:eastAsia="宋体" w:cs="宋体"/>
          <w:color w:val="auto"/>
          <w:sz w:val="24"/>
          <w:szCs w:val="28"/>
          <w:highlight w:val="none"/>
        </w:rPr>
        <w:t>中对以上条款和服务承诺明确列出，承诺内容必须达到本篇及</w:t>
      </w:r>
      <w:r>
        <w:rPr>
          <w:rFonts w:hint="eastAsia" w:ascii="宋体" w:hAnsi="宋体" w:eastAsia="宋体" w:cs="宋体"/>
          <w:color w:val="auto"/>
          <w:sz w:val="24"/>
          <w:szCs w:val="28"/>
          <w:highlight w:val="none"/>
          <w:lang w:val="en-US" w:eastAsia="zh-CN"/>
        </w:rPr>
        <w:t>招标文件</w:t>
      </w:r>
      <w:r>
        <w:rPr>
          <w:rFonts w:hint="eastAsia" w:ascii="宋体" w:hAnsi="宋体" w:eastAsia="宋体" w:cs="宋体"/>
          <w:color w:val="auto"/>
          <w:sz w:val="24"/>
          <w:szCs w:val="28"/>
          <w:highlight w:val="none"/>
        </w:rPr>
        <w:t>其他条款的要求。</w:t>
      </w:r>
    </w:p>
    <w:p w14:paraId="317D5F54">
      <w:pPr>
        <w:pStyle w:val="16"/>
        <w:pageBreakBefore w:val="0"/>
        <w:tabs>
          <w:tab w:val="left" w:pos="4905"/>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8"/>
          <w:highlight w:val="none"/>
        </w:rPr>
        <w:t>（</w:t>
      </w:r>
      <w:r>
        <w:rPr>
          <w:rFonts w:hint="eastAsia" w:ascii="宋体" w:hAnsi="宋体" w:eastAsia="宋体" w:cs="宋体"/>
          <w:color w:val="auto"/>
          <w:sz w:val="24"/>
          <w:szCs w:val="28"/>
          <w:highlight w:val="none"/>
          <w:lang w:val="en-US" w:eastAsia="zh-CN"/>
        </w:rPr>
        <w:t>二</w:t>
      </w:r>
      <w:r>
        <w:rPr>
          <w:rFonts w:hint="eastAsia" w:ascii="宋体" w:hAnsi="宋体" w:eastAsia="宋体" w:cs="宋体"/>
          <w:color w:val="auto"/>
          <w:sz w:val="24"/>
          <w:szCs w:val="28"/>
          <w:highlight w:val="none"/>
        </w:rPr>
        <w:t>）其他未尽事宜由供需双方在采购合同中详细约定</w:t>
      </w:r>
      <w:r>
        <w:rPr>
          <w:rFonts w:hint="eastAsia" w:ascii="宋体" w:hAnsi="宋体" w:eastAsia="宋体" w:cs="宋体"/>
          <w:color w:val="auto"/>
          <w:sz w:val="24"/>
          <w:szCs w:val="24"/>
          <w:highlight w:val="none"/>
        </w:rPr>
        <w:t>。</w:t>
      </w:r>
    </w:p>
    <w:p w14:paraId="4A69DB70">
      <w:pPr>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bookmarkEnd w:id="105"/>
    <w:bookmarkEnd w:id="106"/>
    <w:p w14:paraId="5ADC851C">
      <w:pPr>
        <w:pStyle w:val="2"/>
        <w:spacing w:before="0" w:beforeLines="0" w:after="0" w:afterLines="0" w:line="360" w:lineRule="auto"/>
        <w:rPr>
          <w:rFonts w:hint="eastAsia" w:ascii="宋体" w:hAnsi="宋体" w:eastAsia="宋体" w:cs="宋体"/>
          <w:b/>
          <w:bCs/>
          <w:color w:val="auto"/>
          <w:highlight w:val="none"/>
        </w:rPr>
      </w:pPr>
      <w:bookmarkStart w:id="137" w:name="_Toc20265"/>
      <w:bookmarkStart w:id="138" w:name="_Toc4732"/>
      <w:bookmarkStart w:id="139" w:name="_Toc12577"/>
      <w:bookmarkStart w:id="140" w:name="_Toc15954"/>
      <w:r>
        <w:rPr>
          <w:rFonts w:hint="eastAsia" w:ascii="宋体" w:hAnsi="宋体" w:eastAsia="宋体" w:cs="宋体"/>
          <w:b/>
          <w:bCs/>
          <w:color w:val="auto"/>
          <w:highlight w:val="none"/>
        </w:rPr>
        <w:t>第四篇  比选程序及方法、评审标准、无效响应和采购终止</w:t>
      </w:r>
      <w:bookmarkEnd w:id="137"/>
      <w:bookmarkEnd w:id="138"/>
      <w:bookmarkEnd w:id="139"/>
      <w:bookmarkEnd w:id="140"/>
    </w:p>
    <w:p w14:paraId="4EB2A117">
      <w:pPr>
        <w:pStyle w:val="3"/>
        <w:bidi w:val="0"/>
        <w:spacing w:line="360" w:lineRule="auto"/>
        <w:outlineLvl w:val="0"/>
        <w:rPr>
          <w:rFonts w:hint="eastAsia" w:ascii="宋体" w:hAnsi="宋体" w:eastAsia="宋体" w:cs="宋体"/>
          <w:b/>
          <w:bCs/>
          <w:color w:val="auto"/>
          <w:sz w:val="28"/>
          <w:szCs w:val="32"/>
        </w:rPr>
      </w:pPr>
      <w:bookmarkStart w:id="141" w:name="_Toc492721015"/>
      <w:bookmarkStart w:id="142" w:name="_Toc73632179"/>
      <w:bookmarkStart w:id="143" w:name="_Toc29331"/>
      <w:bookmarkStart w:id="144" w:name="_Toc24443"/>
      <w:bookmarkStart w:id="145" w:name="_Toc9359"/>
      <w:bookmarkStart w:id="146" w:name="_Toc14285"/>
      <w:bookmarkStart w:id="147" w:name="_Toc267320057"/>
      <w:r>
        <w:rPr>
          <w:rFonts w:hint="eastAsia" w:ascii="宋体" w:hAnsi="宋体" w:eastAsia="宋体" w:cs="宋体"/>
          <w:b/>
          <w:bCs/>
          <w:color w:val="auto"/>
          <w:sz w:val="28"/>
          <w:szCs w:val="32"/>
        </w:rPr>
        <w:t>一、资格审查</w:t>
      </w:r>
      <w:bookmarkEnd w:id="141"/>
      <w:bookmarkEnd w:id="142"/>
      <w:bookmarkEnd w:id="143"/>
      <w:bookmarkEnd w:id="144"/>
      <w:bookmarkEnd w:id="145"/>
      <w:bookmarkEnd w:id="146"/>
    </w:p>
    <w:p w14:paraId="0609189C">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依据政府采购相关法律法规规定,由</w:t>
      </w:r>
      <w:r>
        <w:rPr>
          <w:rFonts w:hint="eastAsia" w:ascii="宋体" w:hAnsi="宋体" w:eastAsia="宋体" w:cs="宋体"/>
          <w:color w:val="auto"/>
          <w:kern w:val="0"/>
          <w:sz w:val="24"/>
          <w:szCs w:val="24"/>
          <w:highlight w:val="none"/>
          <w:lang w:val="en-US" w:eastAsia="zh-CN"/>
        </w:rPr>
        <w:t>比选小组</w:t>
      </w:r>
      <w:r>
        <w:rPr>
          <w:rFonts w:hint="eastAsia" w:ascii="宋体" w:hAnsi="宋体" w:eastAsia="宋体" w:cs="宋体"/>
          <w:color w:val="auto"/>
          <w:kern w:val="0"/>
          <w:sz w:val="24"/>
          <w:szCs w:val="24"/>
          <w:highlight w:val="none"/>
        </w:rPr>
        <w:t>对投标文件中的资格证明文件进行审查。资格审查资料表如下：</w:t>
      </w:r>
    </w:p>
    <w:tbl>
      <w:tblPr>
        <w:tblStyle w:val="2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69690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63351019">
            <w:pP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118D0A06">
            <w:pP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7201ABE7">
            <w:pP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检查内容</w:t>
            </w:r>
          </w:p>
        </w:tc>
      </w:tr>
      <w:tr w14:paraId="685A2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2E2EECDB">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709" w:type="dxa"/>
            <w:vMerge w:val="restart"/>
            <w:vAlign w:val="center"/>
          </w:tcPr>
          <w:p w14:paraId="25FBDA43">
            <w:pPr>
              <w:spacing w:line="24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《中华人民共和国政府采购法》第二十二条规定</w:t>
            </w:r>
          </w:p>
        </w:tc>
        <w:tc>
          <w:tcPr>
            <w:tcW w:w="3118" w:type="dxa"/>
            <w:vAlign w:val="center"/>
          </w:tcPr>
          <w:p w14:paraId="6AE21A35">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tc>
        <w:tc>
          <w:tcPr>
            <w:tcW w:w="4984" w:type="dxa"/>
            <w:vAlign w:val="center"/>
          </w:tcPr>
          <w:p w14:paraId="3E1096C7">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 xml:space="preserve">法人营业执照（副本）或事业单位法人证书（副本）或个体工商户营业执照或有效的自然人身份证明或社会团体法人登记证书（提供复印件）。 </w:t>
            </w:r>
          </w:p>
          <w:p w14:paraId="69A88834">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法定代表人身份证明和法定代表人授权代表委托书。</w:t>
            </w:r>
          </w:p>
        </w:tc>
      </w:tr>
      <w:tr w14:paraId="44672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105AC4C">
            <w:pPr>
              <w:spacing w:line="240" w:lineRule="auto"/>
              <w:jc w:val="center"/>
              <w:rPr>
                <w:rFonts w:hint="eastAsia" w:ascii="宋体" w:hAnsi="宋体" w:eastAsia="宋体" w:cs="宋体"/>
                <w:color w:val="auto"/>
                <w:sz w:val="24"/>
                <w:szCs w:val="24"/>
                <w:highlight w:val="none"/>
              </w:rPr>
            </w:pPr>
          </w:p>
        </w:tc>
        <w:tc>
          <w:tcPr>
            <w:tcW w:w="709" w:type="dxa"/>
            <w:vMerge w:val="continue"/>
            <w:vAlign w:val="center"/>
          </w:tcPr>
          <w:p w14:paraId="508EE8D5">
            <w:pPr>
              <w:spacing w:line="240" w:lineRule="auto"/>
              <w:rPr>
                <w:rFonts w:hint="eastAsia" w:ascii="宋体" w:hAnsi="宋体" w:eastAsia="宋体" w:cs="宋体"/>
                <w:color w:val="auto"/>
                <w:sz w:val="24"/>
                <w:szCs w:val="24"/>
                <w:highlight w:val="none"/>
                <w:lang w:val="zh-CN"/>
              </w:rPr>
            </w:pPr>
          </w:p>
        </w:tc>
        <w:tc>
          <w:tcPr>
            <w:tcW w:w="3118" w:type="dxa"/>
            <w:vAlign w:val="center"/>
          </w:tcPr>
          <w:p w14:paraId="35A79C22">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具有良好的商业信誉和健全的财务会计制度</w:t>
            </w:r>
          </w:p>
        </w:tc>
        <w:tc>
          <w:tcPr>
            <w:tcW w:w="4984" w:type="dxa"/>
            <w:vMerge w:val="restart"/>
            <w:vAlign w:val="center"/>
          </w:tcPr>
          <w:p w14:paraId="5354D1B8">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提供“基本资格条件承诺函”（详见第七篇）</w:t>
            </w:r>
          </w:p>
        </w:tc>
      </w:tr>
      <w:tr w14:paraId="37F40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5C4327D">
            <w:pPr>
              <w:spacing w:line="240" w:lineRule="auto"/>
              <w:jc w:val="center"/>
              <w:rPr>
                <w:rFonts w:hint="eastAsia" w:ascii="宋体" w:hAnsi="宋体" w:eastAsia="宋体" w:cs="宋体"/>
                <w:color w:val="auto"/>
                <w:sz w:val="24"/>
                <w:szCs w:val="24"/>
                <w:highlight w:val="none"/>
              </w:rPr>
            </w:pPr>
          </w:p>
        </w:tc>
        <w:tc>
          <w:tcPr>
            <w:tcW w:w="709" w:type="dxa"/>
            <w:vMerge w:val="continue"/>
            <w:vAlign w:val="center"/>
          </w:tcPr>
          <w:p w14:paraId="06C11183">
            <w:pPr>
              <w:spacing w:line="240" w:lineRule="auto"/>
              <w:rPr>
                <w:rFonts w:hint="eastAsia" w:ascii="宋体" w:hAnsi="宋体" w:eastAsia="宋体" w:cs="宋体"/>
                <w:color w:val="auto"/>
                <w:sz w:val="24"/>
                <w:szCs w:val="24"/>
                <w:highlight w:val="none"/>
                <w:lang w:val="zh-CN"/>
              </w:rPr>
            </w:pPr>
          </w:p>
        </w:tc>
        <w:tc>
          <w:tcPr>
            <w:tcW w:w="3118" w:type="dxa"/>
            <w:vAlign w:val="center"/>
          </w:tcPr>
          <w:p w14:paraId="46710DB3">
            <w:pPr>
              <w:spacing w:line="24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3.具有履行合同所必需的设备和专业技术能力</w:t>
            </w:r>
          </w:p>
        </w:tc>
        <w:tc>
          <w:tcPr>
            <w:tcW w:w="4984" w:type="dxa"/>
            <w:vMerge w:val="continue"/>
            <w:vAlign w:val="center"/>
          </w:tcPr>
          <w:p w14:paraId="69A89CA6">
            <w:pPr>
              <w:spacing w:line="240" w:lineRule="auto"/>
              <w:rPr>
                <w:rFonts w:hint="eastAsia" w:ascii="宋体" w:hAnsi="宋体" w:eastAsia="宋体" w:cs="宋体"/>
                <w:color w:val="auto"/>
                <w:sz w:val="24"/>
                <w:szCs w:val="24"/>
                <w:highlight w:val="none"/>
              </w:rPr>
            </w:pPr>
          </w:p>
        </w:tc>
      </w:tr>
      <w:tr w14:paraId="5CB17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9A3A964">
            <w:pPr>
              <w:spacing w:line="240" w:lineRule="auto"/>
              <w:jc w:val="center"/>
              <w:rPr>
                <w:rFonts w:hint="eastAsia" w:ascii="宋体" w:hAnsi="宋体" w:eastAsia="宋体" w:cs="宋体"/>
                <w:color w:val="auto"/>
                <w:sz w:val="24"/>
                <w:szCs w:val="24"/>
                <w:highlight w:val="none"/>
              </w:rPr>
            </w:pPr>
          </w:p>
        </w:tc>
        <w:tc>
          <w:tcPr>
            <w:tcW w:w="709" w:type="dxa"/>
            <w:vMerge w:val="continue"/>
            <w:vAlign w:val="center"/>
          </w:tcPr>
          <w:p w14:paraId="66BE4471">
            <w:pPr>
              <w:spacing w:line="240" w:lineRule="auto"/>
              <w:rPr>
                <w:rFonts w:hint="eastAsia" w:ascii="宋体" w:hAnsi="宋体" w:eastAsia="宋体" w:cs="宋体"/>
                <w:color w:val="auto"/>
                <w:sz w:val="24"/>
                <w:szCs w:val="24"/>
                <w:highlight w:val="none"/>
                <w:lang w:val="zh-CN"/>
              </w:rPr>
            </w:pPr>
          </w:p>
        </w:tc>
        <w:tc>
          <w:tcPr>
            <w:tcW w:w="3118" w:type="dxa"/>
            <w:vAlign w:val="center"/>
          </w:tcPr>
          <w:p w14:paraId="1240B26C">
            <w:pPr>
              <w:spacing w:line="24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4.有依法缴纳税收和社会保障金的良好记录</w:t>
            </w:r>
          </w:p>
        </w:tc>
        <w:tc>
          <w:tcPr>
            <w:tcW w:w="4984" w:type="dxa"/>
            <w:vMerge w:val="continue"/>
            <w:vAlign w:val="center"/>
          </w:tcPr>
          <w:p w14:paraId="0A275A99">
            <w:pPr>
              <w:spacing w:line="240" w:lineRule="auto"/>
              <w:rPr>
                <w:rFonts w:hint="eastAsia" w:ascii="宋体" w:hAnsi="宋体" w:eastAsia="宋体" w:cs="宋体"/>
                <w:color w:val="auto"/>
                <w:sz w:val="24"/>
                <w:szCs w:val="24"/>
                <w:highlight w:val="none"/>
              </w:rPr>
            </w:pPr>
          </w:p>
        </w:tc>
      </w:tr>
      <w:tr w14:paraId="3105A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B6C383E">
            <w:pPr>
              <w:spacing w:line="240" w:lineRule="auto"/>
              <w:jc w:val="center"/>
              <w:rPr>
                <w:rFonts w:hint="eastAsia" w:ascii="宋体" w:hAnsi="宋体" w:eastAsia="宋体" w:cs="宋体"/>
                <w:color w:val="auto"/>
                <w:sz w:val="24"/>
                <w:szCs w:val="24"/>
                <w:highlight w:val="none"/>
              </w:rPr>
            </w:pPr>
          </w:p>
        </w:tc>
        <w:tc>
          <w:tcPr>
            <w:tcW w:w="709" w:type="dxa"/>
            <w:vMerge w:val="continue"/>
            <w:vAlign w:val="center"/>
          </w:tcPr>
          <w:p w14:paraId="56737C59">
            <w:pPr>
              <w:spacing w:line="240" w:lineRule="auto"/>
              <w:rPr>
                <w:rFonts w:hint="eastAsia" w:ascii="宋体" w:hAnsi="宋体" w:eastAsia="宋体" w:cs="宋体"/>
                <w:color w:val="auto"/>
                <w:sz w:val="24"/>
                <w:szCs w:val="24"/>
                <w:highlight w:val="none"/>
                <w:lang w:val="zh-CN"/>
              </w:rPr>
            </w:pPr>
          </w:p>
        </w:tc>
        <w:tc>
          <w:tcPr>
            <w:tcW w:w="3118" w:type="dxa"/>
            <w:vAlign w:val="center"/>
          </w:tcPr>
          <w:p w14:paraId="5BB1E2DF">
            <w:pPr>
              <w:spacing w:line="24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5.参加政府采购活动前三年内，在经营活动中没有重大违法记录（注</w:t>
            </w: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eq \o\ac(</w:instrText>
            </w:r>
            <w:r>
              <w:rPr>
                <w:rFonts w:hint="eastAsia" w:ascii="宋体" w:hAnsi="宋体" w:eastAsia="宋体" w:cs="宋体"/>
                <w:color w:val="auto"/>
                <w:kern w:val="0"/>
                <w:position w:val="-4"/>
                <w:sz w:val="36"/>
                <w:szCs w:val="24"/>
                <w:highlight w:val="none"/>
              </w:rPr>
              <w:instrText xml:space="preserve">○</w:instrText>
            </w:r>
            <w:r>
              <w:rPr>
                <w:rFonts w:hint="eastAsia" w:ascii="宋体" w:hAnsi="宋体" w:eastAsia="宋体" w:cs="宋体"/>
                <w:color w:val="auto"/>
                <w:kern w:val="0"/>
                <w:position w:val="0"/>
                <w:sz w:val="24"/>
                <w:szCs w:val="24"/>
                <w:highlight w:val="none"/>
              </w:rPr>
              <w:instrText xml:space="preserve">,2)</w:instrTex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sz w:val="24"/>
                <w:szCs w:val="24"/>
                <w:highlight w:val="none"/>
              </w:rPr>
              <w:t>）</w:t>
            </w:r>
          </w:p>
        </w:tc>
        <w:tc>
          <w:tcPr>
            <w:tcW w:w="4984" w:type="dxa"/>
            <w:vMerge w:val="continue"/>
            <w:vAlign w:val="center"/>
          </w:tcPr>
          <w:p w14:paraId="5BA2551C">
            <w:pPr>
              <w:spacing w:line="240" w:lineRule="auto"/>
              <w:rPr>
                <w:rFonts w:hint="eastAsia" w:ascii="宋体" w:hAnsi="宋体" w:eastAsia="宋体" w:cs="宋体"/>
                <w:color w:val="auto"/>
                <w:sz w:val="24"/>
                <w:szCs w:val="24"/>
                <w:highlight w:val="none"/>
              </w:rPr>
            </w:pPr>
          </w:p>
        </w:tc>
      </w:tr>
      <w:tr w14:paraId="17702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51C155A8">
            <w:pPr>
              <w:spacing w:line="240" w:lineRule="auto"/>
              <w:jc w:val="center"/>
              <w:rPr>
                <w:rFonts w:hint="eastAsia" w:ascii="宋体" w:hAnsi="宋体" w:eastAsia="宋体" w:cs="宋体"/>
                <w:color w:val="auto"/>
                <w:sz w:val="24"/>
                <w:szCs w:val="24"/>
                <w:highlight w:val="none"/>
              </w:rPr>
            </w:pPr>
          </w:p>
        </w:tc>
        <w:tc>
          <w:tcPr>
            <w:tcW w:w="709" w:type="dxa"/>
            <w:vMerge w:val="continue"/>
            <w:vAlign w:val="center"/>
          </w:tcPr>
          <w:p w14:paraId="64CC91A4">
            <w:pPr>
              <w:spacing w:line="240" w:lineRule="auto"/>
              <w:rPr>
                <w:rFonts w:hint="eastAsia" w:ascii="宋体" w:hAnsi="宋体" w:eastAsia="宋体" w:cs="宋体"/>
                <w:color w:val="auto"/>
                <w:sz w:val="24"/>
                <w:szCs w:val="24"/>
                <w:highlight w:val="none"/>
              </w:rPr>
            </w:pPr>
          </w:p>
        </w:tc>
        <w:tc>
          <w:tcPr>
            <w:tcW w:w="3118" w:type="dxa"/>
            <w:vAlign w:val="center"/>
          </w:tcPr>
          <w:p w14:paraId="44870D4B">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tc>
        <w:tc>
          <w:tcPr>
            <w:tcW w:w="4984" w:type="dxa"/>
            <w:vAlign w:val="center"/>
          </w:tcPr>
          <w:p w14:paraId="097D14CE">
            <w:pPr>
              <w:spacing w:line="240" w:lineRule="auto"/>
              <w:jc w:val="center"/>
              <w:rPr>
                <w:rFonts w:hint="eastAsia" w:ascii="宋体" w:hAnsi="宋体" w:eastAsia="宋体" w:cs="宋体"/>
                <w:color w:val="auto"/>
                <w:sz w:val="24"/>
                <w:szCs w:val="24"/>
                <w:highlight w:val="none"/>
              </w:rPr>
            </w:pPr>
          </w:p>
        </w:tc>
      </w:tr>
      <w:tr w14:paraId="08A9D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1B4A9F73">
            <w:pPr>
              <w:spacing w:line="240" w:lineRule="auto"/>
              <w:jc w:val="center"/>
              <w:rPr>
                <w:rFonts w:hint="eastAsia" w:ascii="宋体" w:hAnsi="宋体" w:eastAsia="宋体" w:cs="宋体"/>
                <w:color w:val="auto"/>
                <w:sz w:val="24"/>
                <w:szCs w:val="24"/>
                <w:highlight w:val="none"/>
              </w:rPr>
            </w:pPr>
          </w:p>
        </w:tc>
        <w:tc>
          <w:tcPr>
            <w:tcW w:w="709" w:type="dxa"/>
            <w:vMerge w:val="continue"/>
            <w:vAlign w:val="center"/>
          </w:tcPr>
          <w:p w14:paraId="037BCA31">
            <w:pPr>
              <w:spacing w:line="240" w:lineRule="auto"/>
              <w:rPr>
                <w:rFonts w:hint="eastAsia" w:ascii="宋体" w:hAnsi="宋体" w:eastAsia="宋体" w:cs="宋体"/>
                <w:color w:val="auto"/>
                <w:sz w:val="24"/>
                <w:szCs w:val="24"/>
                <w:highlight w:val="none"/>
              </w:rPr>
            </w:pPr>
          </w:p>
        </w:tc>
        <w:tc>
          <w:tcPr>
            <w:tcW w:w="3118" w:type="dxa"/>
            <w:vAlign w:val="center"/>
          </w:tcPr>
          <w:p w14:paraId="6F1B2BA1">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7.本项目的特定资格要求</w:t>
            </w:r>
          </w:p>
        </w:tc>
        <w:tc>
          <w:tcPr>
            <w:tcW w:w="4984" w:type="dxa"/>
            <w:vAlign w:val="center"/>
          </w:tcPr>
          <w:p w14:paraId="2731D858">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按第一篇“三、投标人资格要求（</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）本项目的特定资格要求”的要求提交（如果有）。</w:t>
            </w:r>
          </w:p>
        </w:tc>
      </w:tr>
      <w:tr w14:paraId="12912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4D302C4">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3827" w:type="dxa"/>
            <w:gridSpan w:val="2"/>
            <w:vAlign w:val="center"/>
          </w:tcPr>
          <w:p w14:paraId="61F98E2D">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落实政府采购政策需满足的资格要求</w:t>
            </w:r>
          </w:p>
        </w:tc>
        <w:tc>
          <w:tcPr>
            <w:tcW w:w="4984" w:type="dxa"/>
            <w:vAlign w:val="center"/>
          </w:tcPr>
          <w:p w14:paraId="6BCE4989">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按第一篇“三、投标人资格要求（二）落实政府采购政策需满足的资格要求”的要求提交（如果有）。</w:t>
            </w:r>
          </w:p>
        </w:tc>
      </w:tr>
      <w:tr w14:paraId="3E4D2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29B5C6E">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p>
        </w:tc>
        <w:tc>
          <w:tcPr>
            <w:tcW w:w="3827" w:type="dxa"/>
            <w:gridSpan w:val="2"/>
            <w:vAlign w:val="center"/>
          </w:tcPr>
          <w:p w14:paraId="2033D78E">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保证金</w:t>
            </w:r>
          </w:p>
        </w:tc>
        <w:tc>
          <w:tcPr>
            <w:tcW w:w="4984" w:type="dxa"/>
            <w:vAlign w:val="center"/>
          </w:tcPr>
          <w:p w14:paraId="0165C10A">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bl>
    <w:p w14:paraId="3866FECF">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 1 \* GB3 \* MERGEFORMAT </w:instrText>
      </w:r>
      <w:r>
        <w:rPr>
          <w:rFonts w:hint="eastAsia" w:ascii="宋体" w:hAnsi="宋体" w:eastAsia="宋体" w:cs="宋体"/>
          <w:color w:val="auto"/>
          <w:kern w:val="0"/>
          <w:sz w:val="24"/>
          <w:szCs w:val="24"/>
          <w:highlight w:val="none"/>
        </w:rPr>
        <w:fldChar w:fldCharType="separate"/>
      </w:r>
      <w:r>
        <w:rPr>
          <w:rFonts w:hint="eastAsia" w:ascii="宋体" w:hAnsi="宋体" w:eastAsia="宋体" w:cs="宋体"/>
          <w:color w:val="auto"/>
          <w:kern w:val="0"/>
          <w:sz w:val="24"/>
          <w:szCs w:val="24"/>
          <w:highlight w:val="none"/>
        </w:rPr>
        <w:t>①</w: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按“三证合一”登记制度办理营业执照的，组织机构代码证和税务登记证以</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所提供的法人营业执照（副本）复印件为准。</w:t>
      </w:r>
    </w:p>
    <w:p w14:paraId="3BA50874">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 2 \* GB3 </w:instrText>
      </w:r>
      <w:r>
        <w:rPr>
          <w:rFonts w:hint="eastAsia" w:ascii="宋体" w:hAnsi="宋体" w:eastAsia="宋体" w:cs="宋体"/>
          <w:color w:val="auto"/>
          <w:kern w:val="0"/>
          <w:sz w:val="24"/>
          <w:szCs w:val="24"/>
          <w:highlight w:val="none"/>
        </w:rPr>
        <w:fldChar w:fldCharType="separate"/>
      </w:r>
      <w:r>
        <w:rPr>
          <w:rFonts w:hint="eastAsia" w:ascii="宋体" w:hAnsi="宋体" w:eastAsia="宋体" w:cs="宋体"/>
          <w:color w:val="auto"/>
          <w:kern w:val="0"/>
          <w:sz w:val="24"/>
          <w:szCs w:val="24"/>
          <w:highlight w:val="none"/>
        </w:rPr>
        <w:t>②</w: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应对所提供的全部资料的真实性负责，如提供虚假材料，一经查实，将取消比选资格或</w:t>
      </w:r>
      <w:r>
        <w:rPr>
          <w:rFonts w:hint="eastAsia" w:ascii="宋体" w:hAnsi="宋体" w:eastAsia="宋体" w:cs="宋体"/>
          <w:color w:val="auto"/>
          <w:kern w:val="0"/>
          <w:sz w:val="24"/>
          <w:szCs w:val="24"/>
          <w:highlight w:val="none"/>
          <w:lang w:val="en-US" w:eastAsia="zh-CN"/>
        </w:rPr>
        <w:t>中标</w:t>
      </w:r>
      <w:r>
        <w:rPr>
          <w:rFonts w:hint="eastAsia" w:ascii="宋体" w:hAnsi="宋体" w:eastAsia="宋体" w:cs="宋体"/>
          <w:color w:val="auto"/>
          <w:kern w:val="0"/>
          <w:sz w:val="24"/>
          <w:szCs w:val="24"/>
          <w:highlight w:val="none"/>
        </w:rPr>
        <w:t>资格，并且其比选保证金不予退还，并按照相关法律法规的规定进行处理。</w:t>
      </w:r>
    </w:p>
    <w:p w14:paraId="3E243BD9">
      <w:pPr>
        <w:pStyle w:val="2"/>
        <w:bidi w:val="0"/>
        <w:spacing w:line="360" w:lineRule="auto"/>
        <w:rPr>
          <w:rFonts w:hint="eastAsia" w:ascii="宋体" w:hAnsi="宋体" w:eastAsia="宋体" w:cs="宋体"/>
          <w:color w:val="auto"/>
        </w:rPr>
      </w:pPr>
      <w:bookmarkStart w:id="148" w:name="_Toc6849"/>
      <w:bookmarkStart w:id="149" w:name="_Toc14664"/>
      <w:bookmarkStart w:id="150" w:name="_Toc28329"/>
      <w:bookmarkStart w:id="151" w:name="_Toc73632180"/>
      <w:bookmarkStart w:id="152" w:name="_Toc492721016"/>
      <w:bookmarkStart w:id="153" w:name="_Toc10854"/>
      <w:r>
        <w:rPr>
          <w:rFonts w:hint="eastAsia" w:ascii="宋体" w:hAnsi="宋体" w:eastAsia="宋体" w:cs="宋体"/>
          <w:color w:val="auto"/>
        </w:rPr>
        <w:t>二、评审方法</w:t>
      </w:r>
      <w:bookmarkEnd w:id="148"/>
      <w:bookmarkEnd w:id="149"/>
      <w:bookmarkEnd w:id="150"/>
      <w:bookmarkEnd w:id="151"/>
      <w:bookmarkEnd w:id="152"/>
      <w:bookmarkEnd w:id="153"/>
    </w:p>
    <w:p w14:paraId="28623A6D">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本项目采用综合评分法进行评审。</w:t>
      </w:r>
    </w:p>
    <w:p w14:paraId="1641B80A">
      <w:pPr>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综合评分法，是指投标文件满足比选文件全部实质性要求且按照评审因素的量化指标评审得分最高的</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为</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的评审方法。</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总得分为价格、商务、服务等评定因素分别按照相应权重值计算分项得分后相加，满分为100分。</w:t>
      </w:r>
    </w:p>
    <w:p w14:paraId="11DD59A6">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（一）符合性审查</w:t>
      </w:r>
    </w:p>
    <w:p w14:paraId="5B1B23B6">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评审小组应当对符合资格的</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的投标文件进行符合性审查，以确定其是否满足竞争性比选文件的实质性要求。符合性审查资料表如下：</w:t>
      </w:r>
    </w:p>
    <w:tbl>
      <w:tblPr>
        <w:tblStyle w:val="27"/>
        <w:tblW w:w="9468"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542"/>
        <w:gridCol w:w="1809"/>
        <w:gridCol w:w="5409"/>
      </w:tblGrid>
      <w:tr w14:paraId="5AD04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08" w:type="dxa"/>
            <w:vAlign w:val="center"/>
          </w:tcPr>
          <w:p w14:paraId="1D4EB5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3351" w:type="dxa"/>
            <w:gridSpan w:val="2"/>
            <w:vAlign w:val="center"/>
          </w:tcPr>
          <w:p w14:paraId="1C4290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评审因素</w:t>
            </w:r>
          </w:p>
        </w:tc>
        <w:tc>
          <w:tcPr>
            <w:tcW w:w="5409" w:type="dxa"/>
            <w:vAlign w:val="center"/>
          </w:tcPr>
          <w:p w14:paraId="33B979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评审标准</w:t>
            </w:r>
          </w:p>
        </w:tc>
      </w:tr>
      <w:tr w14:paraId="3A873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08" w:type="dxa"/>
            <w:vMerge w:val="restart"/>
            <w:vAlign w:val="center"/>
          </w:tcPr>
          <w:p w14:paraId="45A892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542" w:type="dxa"/>
            <w:vMerge w:val="restart"/>
            <w:vAlign w:val="center"/>
          </w:tcPr>
          <w:p w14:paraId="2E027AD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有效性审查</w:t>
            </w:r>
          </w:p>
        </w:tc>
        <w:tc>
          <w:tcPr>
            <w:tcW w:w="1809" w:type="dxa"/>
            <w:vAlign w:val="center"/>
          </w:tcPr>
          <w:p w14:paraId="342567A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投标文件签署</w:t>
            </w:r>
          </w:p>
        </w:tc>
        <w:tc>
          <w:tcPr>
            <w:tcW w:w="5409" w:type="dxa"/>
            <w:vAlign w:val="center"/>
          </w:tcPr>
          <w:p w14:paraId="44ECA87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投标文件上法定代表人或其授权代表人的签字齐全。</w:t>
            </w:r>
          </w:p>
        </w:tc>
      </w:tr>
      <w:tr w14:paraId="71E2D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08" w:type="dxa"/>
            <w:vMerge w:val="continue"/>
            <w:vAlign w:val="center"/>
          </w:tcPr>
          <w:p w14:paraId="706A06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rPr>
            </w:pPr>
          </w:p>
        </w:tc>
        <w:tc>
          <w:tcPr>
            <w:tcW w:w="1542" w:type="dxa"/>
            <w:vMerge w:val="continue"/>
            <w:vAlign w:val="center"/>
          </w:tcPr>
          <w:p w14:paraId="26A8A96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4"/>
                <w:szCs w:val="24"/>
                <w:highlight w:val="none"/>
              </w:rPr>
            </w:pPr>
          </w:p>
        </w:tc>
        <w:tc>
          <w:tcPr>
            <w:tcW w:w="1809" w:type="dxa"/>
            <w:vAlign w:val="center"/>
          </w:tcPr>
          <w:p w14:paraId="1EBD204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参选</w:t>
            </w:r>
            <w:r>
              <w:rPr>
                <w:rFonts w:hint="eastAsia" w:ascii="宋体" w:hAnsi="宋体" w:eastAsia="宋体" w:cs="宋体"/>
                <w:color w:val="auto"/>
                <w:sz w:val="24"/>
                <w:szCs w:val="24"/>
                <w:highlight w:val="none"/>
                <w:lang w:val="zh-CN"/>
              </w:rPr>
              <w:t>方案</w:t>
            </w:r>
          </w:p>
        </w:tc>
        <w:tc>
          <w:tcPr>
            <w:tcW w:w="5409" w:type="dxa"/>
            <w:vAlign w:val="center"/>
          </w:tcPr>
          <w:p w14:paraId="16DD848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zh-CN"/>
              </w:rPr>
              <w:t>每个包只能有一个方案参选。</w:t>
            </w:r>
          </w:p>
        </w:tc>
      </w:tr>
      <w:tr w14:paraId="6775A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08" w:type="dxa"/>
            <w:vMerge w:val="continue"/>
            <w:vAlign w:val="center"/>
          </w:tcPr>
          <w:p w14:paraId="10F848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rPr>
            </w:pPr>
          </w:p>
        </w:tc>
        <w:tc>
          <w:tcPr>
            <w:tcW w:w="1542" w:type="dxa"/>
            <w:vMerge w:val="continue"/>
            <w:vAlign w:val="center"/>
          </w:tcPr>
          <w:p w14:paraId="428EA71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4"/>
                <w:szCs w:val="24"/>
                <w:highlight w:val="none"/>
              </w:rPr>
            </w:pPr>
          </w:p>
        </w:tc>
        <w:tc>
          <w:tcPr>
            <w:tcW w:w="1809" w:type="dxa"/>
            <w:vAlign w:val="center"/>
          </w:tcPr>
          <w:p w14:paraId="216CEC5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报价唯一</w:t>
            </w:r>
          </w:p>
        </w:tc>
        <w:tc>
          <w:tcPr>
            <w:tcW w:w="5409" w:type="dxa"/>
            <w:vAlign w:val="center"/>
          </w:tcPr>
          <w:p w14:paraId="460554F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zh-CN"/>
              </w:rPr>
              <w:t>只能在采购预算范围内报价，</w:t>
            </w:r>
            <w:r>
              <w:rPr>
                <w:rFonts w:hint="eastAsia" w:ascii="宋体" w:hAnsi="宋体" w:eastAsia="宋体" w:cs="宋体"/>
                <w:color w:val="auto"/>
                <w:sz w:val="24"/>
                <w:szCs w:val="24"/>
                <w:highlight w:val="none"/>
              </w:rPr>
              <w:t>只能有一个有效报价，不得提交选择性报价。</w:t>
            </w:r>
          </w:p>
        </w:tc>
      </w:tr>
      <w:tr w14:paraId="40594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08" w:type="dxa"/>
            <w:vAlign w:val="center"/>
          </w:tcPr>
          <w:p w14:paraId="62A6DC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542" w:type="dxa"/>
            <w:vAlign w:val="center"/>
          </w:tcPr>
          <w:p w14:paraId="515C237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完整性审查</w:t>
            </w:r>
          </w:p>
        </w:tc>
        <w:tc>
          <w:tcPr>
            <w:tcW w:w="1809" w:type="dxa"/>
            <w:vAlign w:val="center"/>
          </w:tcPr>
          <w:p w14:paraId="1AA8E2E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zh-CN"/>
              </w:rPr>
              <w:t>投标文件份数</w:t>
            </w:r>
          </w:p>
        </w:tc>
        <w:tc>
          <w:tcPr>
            <w:tcW w:w="5409" w:type="dxa"/>
            <w:vAlign w:val="center"/>
          </w:tcPr>
          <w:p w14:paraId="72302F6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zh-CN"/>
              </w:rPr>
              <w:t>投标文件正、副本、</w:t>
            </w:r>
            <w:r>
              <w:rPr>
                <w:rFonts w:hint="eastAsia" w:ascii="宋体" w:hAnsi="宋体" w:eastAsia="宋体" w:cs="宋体"/>
                <w:color w:val="auto"/>
                <w:sz w:val="24"/>
                <w:szCs w:val="24"/>
                <w:highlight w:val="none"/>
                <w:lang w:val="en-US" w:eastAsia="zh-CN"/>
              </w:rPr>
              <w:t>电子文档</w:t>
            </w:r>
            <w:r>
              <w:rPr>
                <w:rFonts w:hint="eastAsia" w:ascii="宋体" w:hAnsi="宋体" w:eastAsia="宋体" w:cs="宋体"/>
                <w:color w:val="auto"/>
                <w:sz w:val="24"/>
                <w:szCs w:val="24"/>
                <w:highlight w:val="none"/>
                <w:lang w:val="zh-CN"/>
              </w:rPr>
              <w:t>数量符合比选文件要求。</w:t>
            </w:r>
          </w:p>
        </w:tc>
      </w:tr>
      <w:tr w14:paraId="70C0A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8" w:type="dxa"/>
            <w:vAlign w:val="center"/>
          </w:tcPr>
          <w:p w14:paraId="1B41C4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542" w:type="dxa"/>
            <w:vAlign w:val="center"/>
          </w:tcPr>
          <w:p w14:paraId="6F48489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服务部分</w:t>
            </w:r>
          </w:p>
        </w:tc>
        <w:tc>
          <w:tcPr>
            <w:tcW w:w="1809" w:type="dxa"/>
            <w:vAlign w:val="center"/>
          </w:tcPr>
          <w:p w14:paraId="09BC469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投标文件内容</w:t>
            </w:r>
          </w:p>
        </w:tc>
        <w:tc>
          <w:tcPr>
            <w:tcW w:w="5409" w:type="dxa"/>
            <w:vAlign w:val="center"/>
          </w:tcPr>
          <w:p w14:paraId="6D36233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本比选文件第二篇规定的比选内容作出响应</w:t>
            </w:r>
          </w:p>
        </w:tc>
      </w:tr>
      <w:tr w14:paraId="4F03B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08" w:type="dxa"/>
            <w:vAlign w:val="center"/>
          </w:tcPr>
          <w:p w14:paraId="5D0E7E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542" w:type="dxa"/>
            <w:vAlign w:val="center"/>
          </w:tcPr>
          <w:p w14:paraId="1287CFF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商务部分</w:t>
            </w:r>
          </w:p>
        </w:tc>
        <w:tc>
          <w:tcPr>
            <w:tcW w:w="1809" w:type="dxa"/>
            <w:vAlign w:val="center"/>
          </w:tcPr>
          <w:p w14:paraId="1CDDB20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投标文件内容</w:t>
            </w:r>
          </w:p>
        </w:tc>
        <w:tc>
          <w:tcPr>
            <w:tcW w:w="5409" w:type="dxa"/>
            <w:vAlign w:val="center"/>
          </w:tcPr>
          <w:p w14:paraId="698A982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本比选文件第三篇规定的比选内容作出响应</w:t>
            </w:r>
          </w:p>
        </w:tc>
      </w:tr>
      <w:tr w14:paraId="66C32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08" w:type="dxa"/>
            <w:vAlign w:val="center"/>
          </w:tcPr>
          <w:p w14:paraId="5AC622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542" w:type="dxa"/>
            <w:vAlign w:val="center"/>
          </w:tcPr>
          <w:p w14:paraId="2288E58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比</w:t>
            </w:r>
            <w:r>
              <w:rPr>
                <w:rFonts w:hint="eastAsia" w:ascii="宋体" w:hAnsi="宋体" w:eastAsia="宋体" w:cs="宋体"/>
                <w:color w:val="auto"/>
                <w:kern w:val="0"/>
                <w:sz w:val="24"/>
                <w:szCs w:val="24"/>
                <w:highlight w:val="none"/>
              </w:rPr>
              <w:t>选有效期</w:t>
            </w:r>
          </w:p>
        </w:tc>
        <w:tc>
          <w:tcPr>
            <w:tcW w:w="1809" w:type="dxa"/>
            <w:vAlign w:val="center"/>
          </w:tcPr>
          <w:p w14:paraId="6ED0548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投标文件内容</w:t>
            </w:r>
          </w:p>
        </w:tc>
        <w:tc>
          <w:tcPr>
            <w:tcW w:w="5409" w:type="dxa"/>
            <w:vAlign w:val="center"/>
          </w:tcPr>
          <w:p w14:paraId="3EBF1EF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比</w:t>
            </w:r>
            <w:r>
              <w:rPr>
                <w:rFonts w:hint="eastAsia" w:ascii="宋体" w:hAnsi="宋体" w:eastAsia="宋体" w:cs="宋体"/>
                <w:color w:val="auto"/>
                <w:kern w:val="0"/>
                <w:sz w:val="24"/>
                <w:szCs w:val="24"/>
                <w:highlight w:val="none"/>
              </w:rPr>
              <w:t>选有效期为</w:t>
            </w:r>
            <w:r>
              <w:rPr>
                <w:rFonts w:hint="eastAsia" w:ascii="宋体" w:hAnsi="宋体" w:eastAsia="宋体" w:cs="宋体"/>
                <w:color w:val="auto"/>
                <w:kern w:val="0"/>
                <w:sz w:val="24"/>
                <w:szCs w:val="24"/>
                <w:highlight w:val="none"/>
                <w:lang w:val="en-US" w:eastAsia="zh-CN"/>
              </w:rPr>
              <w:t>比</w:t>
            </w:r>
            <w:r>
              <w:rPr>
                <w:rFonts w:hint="eastAsia" w:ascii="宋体" w:hAnsi="宋体" w:eastAsia="宋体" w:cs="宋体"/>
                <w:color w:val="auto"/>
                <w:kern w:val="0"/>
                <w:sz w:val="24"/>
                <w:szCs w:val="24"/>
                <w:highlight w:val="none"/>
              </w:rPr>
              <w:t>选截止日期后九十天内</w:t>
            </w:r>
          </w:p>
        </w:tc>
      </w:tr>
    </w:tbl>
    <w:p w14:paraId="4B3205E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（二）澄清有关问题。对投标文件中含义不明确、同类问题表述不一致或者有明显文字和计算错误的内容，评审小组可以书面形式（应当由评审小组成员签字）要求</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作出必要澄清、说明或者纠正。</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的澄清、说明或者补正应当采用书面形式，由其法定代表人或法定代表人授权代表签字，其澄清的内容不得超出比选文件的范围或者改变比选文件的实质性内容。</w:t>
      </w:r>
    </w:p>
    <w:p w14:paraId="008800BF">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（三）比较与评价。按竞争性比选文件中规定的评审方法和标准，对资格审查和符合性审查合格的投标文件分别进行商务、价格评分。</w:t>
      </w:r>
    </w:p>
    <w:p w14:paraId="5FF3245B">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评审小组各成员独立对每个有效</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（通过资格审查、</w:t>
      </w:r>
      <w:r>
        <w:rPr>
          <w:rFonts w:hint="eastAsia" w:ascii="宋体" w:hAnsi="宋体" w:eastAsia="宋体" w:cs="宋体"/>
          <w:color w:val="auto"/>
          <w:kern w:val="0"/>
          <w:sz w:val="24"/>
          <w:szCs w:val="24"/>
          <w:highlight w:val="none"/>
        </w:rPr>
        <w:t>符合性审查的</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sz w:val="24"/>
          <w:szCs w:val="24"/>
          <w:highlight w:val="none"/>
        </w:rPr>
        <w:t>）的投标文件进行评价、打分，然后由评审小组对各成员打分情况进行核查及复核，个别成员对同一</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同一评分项的打分偏离较大的，应对</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的投标文件进行再次核对，确属打分有误的，应及时进行修正。复核后，评审小组汇总每个</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每项评分因素的得分。</w:t>
      </w:r>
    </w:p>
    <w:p w14:paraId="19FF519F">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5A7879E4">
      <w:pPr>
        <w:pStyle w:val="2"/>
        <w:numPr>
          <w:ilvl w:val="0"/>
          <w:numId w:val="6"/>
        </w:numPr>
        <w:bidi w:val="0"/>
        <w:spacing w:line="360" w:lineRule="auto"/>
        <w:rPr>
          <w:rFonts w:hint="eastAsia" w:ascii="宋体" w:hAnsi="宋体" w:eastAsia="宋体" w:cs="宋体"/>
          <w:color w:val="auto"/>
        </w:rPr>
      </w:pPr>
      <w:bookmarkStart w:id="154" w:name="_Toc3558"/>
      <w:bookmarkStart w:id="155" w:name="_Toc25501"/>
      <w:bookmarkStart w:id="156" w:name="_Toc11645"/>
      <w:bookmarkStart w:id="157" w:name="_Toc2389"/>
      <w:r>
        <w:rPr>
          <w:rFonts w:hint="eastAsia" w:ascii="宋体" w:hAnsi="宋体" w:eastAsia="宋体" w:cs="宋体"/>
          <w:color w:val="auto"/>
        </w:rPr>
        <w:t>评审标准</w:t>
      </w:r>
      <w:bookmarkEnd w:id="154"/>
      <w:bookmarkEnd w:id="155"/>
      <w:bookmarkEnd w:id="156"/>
      <w:bookmarkEnd w:id="157"/>
    </w:p>
    <w:bookmarkEnd w:id="147"/>
    <w:tbl>
      <w:tblPr>
        <w:tblStyle w:val="27"/>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399"/>
        <w:gridCol w:w="943"/>
        <w:gridCol w:w="3643"/>
        <w:gridCol w:w="3112"/>
      </w:tblGrid>
      <w:tr w14:paraId="004F2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noWrap w:val="0"/>
            <w:vAlign w:val="center"/>
          </w:tcPr>
          <w:p w14:paraId="0FC857D1">
            <w:pPr>
              <w:keepNext w:val="0"/>
              <w:keepLines w:val="0"/>
              <w:pageBreakBefore w:val="0"/>
              <w:shd w:val="clear"/>
              <w:kinsoku/>
              <w:wordWrap/>
              <w:overflowPunct/>
              <w:topLinePunct w:val="0"/>
              <w:autoSpaceDE/>
              <w:autoSpaceDN/>
              <w:bidi w:val="0"/>
              <w:adjustRightInd/>
              <w:snapToGrid w:val="0"/>
              <w:spacing w:line="240" w:lineRule="auto"/>
              <w:jc w:val="center"/>
              <w:rPr>
                <w:rFonts w:hint="eastAsia" w:ascii="宋体" w:hAnsi="宋体" w:eastAsia="宋体" w:cs="宋体"/>
                <w:b/>
                <w:color w:val="auto"/>
                <w:sz w:val="24"/>
                <w:szCs w:val="24"/>
              </w:rPr>
            </w:pPr>
            <w:bookmarkStart w:id="158" w:name="_Toc439685496"/>
            <w:r>
              <w:rPr>
                <w:rStyle w:val="56"/>
                <w:rFonts w:hint="eastAsia" w:ascii="宋体" w:hAnsi="宋体" w:eastAsia="宋体" w:cs="宋体"/>
                <w:b/>
                <w:color w:val="auto"/>
                <w:sz w:val="24"/>
                <w:szCs w:val="24"/>
                <w:highlight w:val="none"/>
              </w:rPr>
              <w:t>序号</w:t>
            </w:r>
          </w:p>
        </w:tc>
        <w:tc>
          <w:tcPr>
            <w:tcW w:w="1399" w:type="dxa"/>
            <w:noWrap w:val="0"/>
            <w:vAlign w:val="center"/>
          </w:tcPr>
          <w:p w14:paraId="20119E75">
            <w:pPr>
              <w:keepNext w:val="0"/>
              <w:keepLines w:val="0"/>
              <w:pageBreakBefore w:val="0"/>
              <w:shd w:val="clear"/>
              <w:kinsoku/>
              <w:wordWrap/>
              <w:overflowPunct/>
              <w:topLinePunct w:val="0"/>
              <w:autoSpaceDE/>
              <w:autoSpaceDN/>
              <w:bidi w:val="0"/>
              <w:adjustRightInd/>
              <w:snapToGrid w:val="0"/>
              <w:spacing w:line="240" w:lineRule="auto"/>
              <w:jc w:val="center"/>
              <w:rPr>
                <w:rFonts w:hint="eastAsia" w:ascii="宋体" w:hAnsi="宋体" w:eastAsia="宋体" w:cs="宋体"/>
                <w:b/>
                <w:color w:val="auto"/>
                <w:sz w:val="24"/>
                <w:szCs w:val="24"/>
              </w:rPr>
            </w:pPr>
            <w:r>
              <w:rPr>
                <w:rStyle w:val="56"/>
                <w:rFonts w:hint="eastAsia" w:ascii="宋体" w:hAnsi="宋体" w:eastAsia="宋体" w:cs="宋体"/>
                <w:b/>
                <w:color w:val="auto"/>
                <w:sz w:val="24"/>
                <w:szCs w:val="24"/>
                <w:highlight w:val="none"/>
              </w:rPr>
              <w:t>评分因素及权重</w:t>
            </w:r>
          </w:p>
        </w:tc>
        <w:tc>
          <w:tcPr>
            <w:tcW w:w="943" w:type="dxa"/>
            <w:noWrap w:val="0"/>
            <w:vAlign w:val="center"/>
          </w:tcPr>
          <w:p w14:paraId="602C6234">
            <w:pPr>
              <w:keepNext w:val="0"/>
              <w:keepLines w:val="0"/>
              <w:pageBreakBefore w:val="0"/>
              <w:shd w:val="clear"/>
              <w:kinsoku/>
              <w:wordWrap/>
              <w:overflowPunct/>
              <w:topLinePunct w:val="0"/>
              <w:autoSpaceDE/>
              <w:autoSpaceDN/>
              <w:bidi w:val="0"/>
              <w:adjustRightInd/>
              <w:snapToGrid w:val="0"/>
              <w:spacing w:line="240" w:lineRule="auto"/>
              <w:jc w:val="center"/>
              <w:rPr>
                <w:rFonts w:hint="eastAsia" w:ascii="宋体" w:hAnsi="宋体" w:eastAsia="宋体" w:cs="宋体"/>
                <w:b/>
                <w:color w:val="auto"/>
                <w:sz w:val="24"/>
                <w:szCs w:val="24"/>
              </w:rPr>
            </w:pPr>
            <w:r>
              <w:rPr>
                <w:rStyle w:val="56"/>
                <w:rFonts w:hint="eastAsia" w:ascii="宋体" w:hAnsi="宋体" w:eastAsia="宋体" w:cs="宋体"/>
                <w:b/>
                <w:color w:val="auto"/>
                <w:sz w:val="24"/>
                <w:szCs w:val="24"/>
                <w:highlight w:val="none"/>
              </w:rPr>
              <w:t>分值</w:t>
            </w:r>
          </w:p>
        </w:tc>
        <w:tc>
          <w:tcPr>
            <w:tcW w:w="3643" w:type="dxa"/>
            <w:noWrap w:val="0"/>
            <w:vAlign w:val="center"/>
          </w:tcPr>
          <w:p w14:paraId="7C93474C">
            <w:pPr>
              <w:keepNext w:val="0"/>
              <w:keepLines w:val="0"/>
              <w:pageBreakBefore w:val="0"/>
              <w:shd w:val="clear"/>
              <w:kinsoku/>
              <w:wordWrap/>
              <w:overflowPunct/>
              <w:topLinePunct w:val="0"/>
              <w:autoSpaceDE/>
              <w:autoSpaceDN/>
              <w:bidi w:val="0"/>
              <w:adjustRightInd/>
              <w:snapToGrid w:val="0"/>
              <w:spacing w:line="240" w:lineRule="auto"/>
              <w:jc w:val="center"/>
              <w:rPr>
                <w:rFonts w:hint="eastAsia" w:ascii="宋体" w:hAnsi="宋体" w:eastAsia="宋体" w:cs="宋体"/>
                <w:b/>
                <w:color w:val="auto"/>
                <w:sz w:val="24"/>
                <w:szCs w:val="24"/>
              </w:rPr>
            </w:pPr>
            <w:r>
              <w:rPr>
                <w:rStyle w:val="56"/>
                <w:rFonts w:hint="eastAsia" w:ascii="宋体" w:hAnsi="宋体" w:eastAsia="宋体" w:cs="宋体"/>
                <w:b/>
                <w:color w:val="auto"/>
                <w:sz w:val="24"/>
                <w:szCs w:val="24"/>
                <w:highlight w:val="none"/>
              </w:rPr>
              <w:t>评分标准</w:t>
            </w:r>
          </w:p>
        </w:tc>
        <w:tc>
          <w:tcPr>
            <w:tcW w:w="3112" w:type="dxa"/>
            <w:noWrap w:val="0"/>
            <w:vAlign w:val="center"/>
          </w:tcPr>
          <w:p w14:paraId="7401246E">
            <w:pPr>
              <w:pStyle w:val="68"/>
              <w:keepNext w:val="0"/>
              <w:keepLines w:val="0"/>
              <w:pageBreakBefore w:val="0"/>
              <w:shd w:val="clear"/>
              <w:kinsoku/>
              <w:wordWrap/>
              <w:overflowPunct/>
              <w:topLinePunct w:val="0"/>
              <w:autoSpaceDE/>
              <w:autoSpaceDN/>
              <w:bidi w:val="0"/>
              <w:adjustRightInd/>
              <w:snapToGrid w:val="0"/>
              <w:spacing w:before="0" w:after="0" w:line="240" w:lineRule="auto"/>
              <w:ind w:left="0" w:leftChars="0" w:firstLine="0" w:firstLineChars="0"/>
              <w:jc w:val="center"/>
              <w:rPr>
                <w:rFonts w:hint="eastAsia" w:ascii="宋体" w:hAnsi="宋体" w:eastAsia="宋体" w:cs="宋体"/>
                <w:color w:val="auto"/>
                <w:sz w:val="24"/>
                <w:szCs w:val="24"/>
              </w:rPr>
            </w:pPr>
            <w:r>
              <w:rPr>
                <w:rStyle w:val="56"/>
                <w:rFonts w:hint="eastAsia" w:ascii="宋体" w:hAnsi="宋体" w:eastAsia="宋体" w:cs="宋体"/>
                <w:color w:val="auto"/>
                <w:sz w:val="24"/>
                <w:szCs w:val="24"/>
                <w:highlight w:val="none"/>
              </w:rPr>
              <w:t>说明</w:t>
            </w:r>
          </w:p>
        </w:tc>
      </w:tr>
      <w:tr w14:paraId="54EE0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noWrap w:val="0"/>
            <w:vAlign w:val="center"/>
          </w:tcPr>
          <w:p w14:paraId="24BC653C">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r>
              <w:rPr>
                <w:rStyle w:val="56"/>
                <w:rFonts w:hint="eastAsia" w:ascii="宋体" w:hAnsi="宋体" w:eastAsia="宋体" w:cs="宋体"/>
                <w:color w:val="auto"/>
                <w:sz w:val="24"/>
                <w:szCs w:val="24"/>
                <w:highlight w:val="none"/>
              </w:rPr>
              <w:t>1</w:t>
            </w:r>
          </w:p>
        </w:tc>
        <w:tc>
          <w:tcPr>
            <w:tcW w:w="1399" w:type="dxa"/>
            <w:noWrap w:val="0"/>
            <w:vAlign w:val="center"/>
          </w:tcPr>
          <w:p w14:paraId="6E38058B">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Style w:val="56"/>
                <w:rFonts w:hint="eastAsia" w:ascii="宋体" w:hAnsi="宋体" w:eastAsia="宋体" w:cs="宋体"/>
                <w:color w:val="auto"/>
                <w:sz w:val="24"/>
                <w:szCs w:val="24"/>
                <w:highlight w:val="none"/>
                <w:lang w:val="en-US" w:eastAsia="zh-CN"/>
              </w:rPr>
            </w:pPr>
            <w:r>
              <w:rPr>
                <w:rStyle w:val="56"/>
                <w:rFonts w:hint="eastAsia" w:ascii="宋体" w:hAnsi="宋体" w:eastAsia="宋体" w:cs="宋体"/>
                <w:color w:val="auto"/>
                <w:sz w:val="24"/>
                <w:szCs w:val="24"/>
                <w:highlight w:val="none"/>
              </w:rPr>
              <w:t>报价</w:t>
            </w:r>
            <w:r>
              <w:rPr>
                <w:rStyle w:val="56"/>
                <w:rFonts w:hint="eastAsia" w:ascii="宋体" w:hAnsi="宋体" w:eastAsia="宋体" w:cs="宋体"/>
                <w:color w:val="auto"/>
                <w:sz w:val="24"/>
                <w:szCs w:val="24"/>
                <w:highlight w:val="none"/>
                <w:lang w:val="en-US" w:eastAsia="zh-CN"/>
              </w:rPr>
              <w:t>部分</w:t>
            </w:r>
          </w:p>
          <w:p w14:paraId="36CC914C">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r>
              <w:rPr>
                <w:rStyle w:val="56"/>
                <w:rFonts w:hint="eastAsia" w:ascii="宋体" w:hAnsi="宋体" w:eastAsia="宋体" w:cs="宋体"/>
                <w:color w:val="auto"/>
                <w:sz w:val="24"/>
                <w:szCs w:val="24"/>
                <w:highlight w:val="none"/>
              </w:rPr>
              <w:t>（</w:t>
            </w:r>
            <w:r>
              <w:rPr>
                <w:rStyle w:val="56"/>
                <w:rFonts w:hint="eastAsia" w:ascii="宋体" w:hAnsi="宋体" w:eastAsia="宋体" w:cs="宋体"/>
                <w:color w:val="auto"/>
                <w:sz w:val="24"/>
                <w:szCs w:val="24"/>
                <w:highlight w:val="none"/>
                <w:lang w:val="en-US" w:eastAsia="zh-CN"/>
              </w:rPr>
              <w:t>30</w:t>
            </w:r>
            <w:r>
              <w:rPr>
                <w:rStyle w:val="56"/>
                <w:rFonts w:hint="eastAsia" w:ascii="宋体" w:hAnsi="宋体" w:eastAsia="宋体" w:cs="宋体"/>
                <w:color w:val="auto"/>
                <w:sz w:val="24"/>
                <w:szCs w:val="24"/>
                <w:highlight w:val="none"/>
              </w:rPr>
              <w:t>%）</w:t>
            </w:r>
          </w:p>
        </w:tc>
        <w:tc>
          <w:tcPr>
            <w:tcW w:w="943" w:type="dxa"/>
            <w:noWrap w:val="0"/>
            <w:vAlign w:val="center"/>
          </w:tcPr>
          <w:p w14:paraId="6D2E8BCB">
            <w:pPr>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30分</w:t>
            </w:r>
          </w:p>
          <w:p w14:paraId="7DB8A603">
            <w:pPr>
              <w:ind w:firstLine="420" w:firstLineChars="200"/>
              <w:rPr>
                <w:rFonts w:hint="eastAsia" w:ascii="宋体" w:hAnsi="宋体" w:eastAsia="宋体" w:cs="宋体"/>
                <w:color w:val="auto"/>
                <w:sz w:val="24"/>
                <w:szCs w:val="24"/>
              </w:rPr>
            </w:pPr>
            <w:r>
              <w:rPr>
                <w:rFonts w:hint="eastAsia" w:ascii="宋体" w:hAnsi="宋体" w:eastAsia="宋体" w:cs="宋体"/>
                <w:color w:val="auto"/>
                <w:sz w:val="21"/>
                <w:szCs w:val="21"/>
                <w:lang w:val="en-US" w:eastAsia="zh-CN"/>
              </w:rPr>
              <w:t xml:space="preserve"> </w:t>
            </w:r>
          </w:p>
        </w:tc>
        <w:tc>
          <w:tcPr>
            <w:tcW w:w="3643" w:type="dxa"/>
            <w:noWrap w:val="0"/>
            <w:vAlign w:val="center"/>
          </w:tcPr>
          <w:p w14:paraId="63A48156">
            <w:pPr>
              <w:rPr>
                <w:rFonts w:hint="eastAsia" w:ascii="宋体" w:hAnsi="宋体" w:eastAsia="宋体" w:cs="宋体"/>
                <w:color w:val="auto"/>
                <w:sz w:val="24"/>
                <w:szCs w:val="24"/>
              </w:rPr>
            </w:pPr>
            <w:r>
              <w:rPr>
                <w:rFonts w:hint="eastAsia" w:ascii="宋体" w:hAnsi="宋体" w:eastAsia="宋体" w:cs="宋体"/>
                <w:color w:val="auto"/>
                <w:sz w:val="24"/>
                <w:szCs w:val="24"/>
              </w:rPr>
              <w:t>有效的投标报价中折扣百分比最低（优惠最大）的为评标基准价，按照下列公式计算每个投标人的投标价格得分。</w:t>
            </w:r>
          </w:p>
          <w:p w14:paraId="27889BFE">
            <w:pPr>
              <w:rPr>
                <w:rFonts w:hint="eastAsia" w:ascii="宋体" w:hAnsi="宋体" w:eastAsia="宋体" w:cs="宋体"/>
                <w:color w:val="auto"/>
                <w:sz w:val="24"/>
                <w:szCs w:val="24"/>
              </w:rPr>
            </w:pPr>
            <w:r>
              <w:rPr>
                <w:rFonts w:hint="eastAsia" w:ascii="宋体" w:hAnsi="宋体" w:eastAsia="宋体" w:cs="宋体"/>
                <w:color w:val="auto"/>
                <w:sz w:val="24"/>
                <w:szCs w:val="24"/>
              </w:rPr>
              <w:t>投标报价得分＝（评标基准价/投标报价折扣）×价格权重×100。</w:t>
            </w:r>
          </w:p>
        </w:tc>
        <w:tc>
          <w:tcPr>
            <w:tcW w:w="3112" w:type="dxa"/>
            <w:noWrap w:val="0"/>
            <w:vAlign w:val="center"/>
          </w:tcPr>
          <w:p w14:paraId="64865AE6">
            <w:pPr>
              <w:ind w:left="-38" w:left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注：得分保留至小数点后两位，小数点后第三位四舍五入。超过限价报价视为无效响应。</w:t>
            </w:r>
          </w:p>
        </w:tc>
      </w:tr>
      <w:tr w14:paraId="0D871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noWrap w:val="0"/>
            <w:vAlign w:val="center"/>
          </w:tcPr>
          <w:p w14:paraId="53044A6E">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r>
              <w:rPr>
                <w:rStyle w:val="56"/>
                <w:rFonts w:hint="eastAsia" w:ascii="宋体" w:hAnsi="宋体" w:eastAsia="宋体" w:cs="宋体"/>
                <w:color w:val="auto"/>
                <w:sz w:val="24"/>
                <w:szCs w:val="24"/>
                <w:highlight w:val="none"/>
              </w:rPr>
              <w:t>2</w:t>
            </w:r>
          </w:p>
        </w:tc>
        <w:tc>
          <w:tcPr>
            <w:tcW w:w="1399" w:type="dxa"/>
            <w:noWrap w:val="0"/>
            <w:vAlign w:val="center"/>
          </w:tcPr>
          <w:p w14:paraId="768918FA">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Style w:val="56"/>
                <w:rFonts w:hint="eastAsia" w:ascii="宋体" w:hAnsi="宋体" w:eastAsia="宋体" w:cs="宋体"/>
                <w:color w:val="auto"/>
                <w:sz w:val="24"/>
                <w:szCs w:val="24"/>
                <w:highlight w:val="none"/>
              </w:rPr>
            </w:pPr>
            <w:r>
              <w:rPr>
                <w:rStyle w:val="56"/>
                <w:rFonts w:hint="eastAsia" w:ascii="宋体" w:hAnsi="宋体" w:eastAsia="宋体" w:cs="宋体"/>
                <w:color w:val="auto"/>
                <w:sz w:val="24"/>
                <w:szCs w:val="24"/>
                <w:highlight w:val="none"/>
              </w:rPr>
              <w:t>服务部分</w:t>
            </w:r>
          </w:p>
          <w:p w14:paraId="06EC7BC2">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r>
              <w:rPr>
                <w:rStyle w:val="56"/>
                <w:rFonts w:hint="eastAsia" w:ascii="宋体" w:hAnsi="宋体" w:eastAsia="宋体" w:cs="宋体"/>
                <w:color w:val="auto"/>
                <w:sz w:val="24"/>
                <w:szCs w:val="24"/>
                <w:highlight w:val="none"/>
              </w:rPr>
              <w:t>（</w:t>
            </w:r>
            <w:r>
              <w:rPr>
                <w:rStyle w:val="56"/>
                <w:rFonts w:hint="eastAsia" w:ascii="宋体" w:hAnsi="宋体" w:eastAsia="宋体" w:cs="宋体"/>
                <w:color w:val="auto"/>
                <w:sz w:val="24"/>
                <w:szCs w:val="24"/>
                <w:highlight w:val="none"/>
                <w:lang w:val="en-US" w:eastAsia="zh-CN"/>
              </w:rPr>
              <w:t>50</w:t>
            </w:r>
            <w:r>
              <w:rPr>
                <w:rStyle w:val="56"/>
                <w:rFonts w:hint="eastAsia" w:ascii="宋体" w:hAnsi="宋体" w:eastAsia="宋体" w:cs="宋体"/>
                <w:color w:val="auto"/>
                <w:sz w:val="24"/>
                <w:szCs w:val="24"/>
                <w:highlight w:val="none"/>
              </w:rPr>
              <w:t>%）</w:t>
            </w:r>
          </w:p>
        </w:tc>
        <w:tc>
          <w:tcPr>
            <w:tcW w:w="943" w:type="dxa"/>
            <w:noWrap w:val="0"/>
            <w:vAlign w:val="center"/>
          </w:tcPr>
          <w:p w14:paraId="4AF0FBE5">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highlight w:val="none"/>
                <w:lang w:val="en-US" w:eastAsia="zh-CN"/>
              </w:rPr>
              <w:t>50分</w:t>
            </w:r>
          </w:p>
        </w:tc>
        <w:tc>
          <w:tcPr>
            <w:tcW w:w="3643" w:type="dxa"/>
            <w:tcBorders>
              <w:bottom w:val="single" w:color="auto" w:sz="4" w:space="0"/>
            </w:tcBorders>
            <w:noWrap w:val="0"/>
            <w:vAlign w:val="center"/>
          </w:tcPr>
          <w:p w14:paraId="65B82B4F">
            <w:pPr>
              <w:keepNext w:val="0"/>
              <w:keepLines w:val="0"/>
              <w:pageBreakBefore w:val="0"/>
              <w:widowControl w:val="0"/>
              <w:kinsoku/>
              <w:wordWrap/>
              <w:overflowPunct/>
              <w:topLinePunct w:val="0"/>
              <w:autoSpaceDE/>
              <w:autoSpaceDN/>
              <w:bidi w:val="0"/>
              <w:adjustRightInd/>
              <w:snapToGrid w:val="0"/>
              <w:spacing w:line="240" w:lineRule="auto"/>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4"/>
                <w:szCs w:val="24"/>
                <w:highlight w:val="none"/>
                <w:lang w:val="en-US" w:eastAsia="zh-CN"/>
              </w:rPr>
              <w:t>配送服务方案（15分）</w:t>
            </w:r>
          </w:p>
          <w:p w14:paraId="440FC5C7">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配送服务方案包括且不限于货源、采购渠道供货保障、品质监控日常管理组织和物流配送方案，供应商拟派专人为采购入进行配送，提供人员名单配送服务过程中，若因供应商原因造成采购人的损失，承担相应的责任。根据方案的合理性、条理性、可操作性、实用性进行打分：</w:t>
            </w:r>
          </w:p>
          <w:p w14:paraId="43BC0132">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详细规范，契合本项目需求，根据方案的合理性、条理性、具有可操作性的为优得15分；内容较为详细规范、较符合本项目实际、具有可操作性的为良得10分；内容基本规范、基本符合项目实际，具有一定的可操作性的为一般得5分；内容不全或不规范、不符合本项目实际或不具有可操作性的为差得1分。未提供得0分</w:t>
            </w:r>
          </w:p>
          <w:p w14:paraId="2CE672D8">
            <w:pPr>
              <w:keepNext w:val="0"/>
              <w:keepLines w:val="0"/>
              <w:pageBreakBefore w:val="0"/>
              <w:widowControl w:val="0"/>
              <w:kinsoku/>
              <w:wordWrap/>
              <w:overflowPunct/>
              <w:topLinePunct w:val="0"/>
              <w:autoSpaceDE/>
              <w:autoSpaceDN/>
              <w:bidi w:val="0"/>
              <w:adjustRightInd/>
              <w:snapToGrid w:val="0"/>
              <w:spacing w:line="24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2.质量安全保证措施（15分）</w:t>
            </w:r>
          </w:p>
          <w:p w14:paraId="54089E65">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质量安全保证措施包含但不限于食品卫生安全保障措施、食品安全培训计划等有关内容。</w:t>
            </w:r>
          </w:p>
          <w:p w14:paraId="379A0C7B">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详细规范，契合本项目需求，具有可操作性的为优得15分；内容较为详细规范、较符合本项目实际、具有可操作性的为良得10分；内容基本规范、基本符合项目实际，具有一定的可操作性的为一般得5分；内容不全或不规范、不符合本项目实际或不具有可操作性的为差得1分。未提供得0分。</w:t>
            </w:r>
          </w:p>
          <w:p w14:paraId="1C2DEC17">
            <w:pPr>
              <w:keepNext w:val="0"/>
              <w:keepLines w:val="0"/>
              <w:pageBreakBefore w:val="0"/>
              <w:widowControl w:val="0"/>
              <w:kinsoku/>
              <w:wordWrap/>
              <w:overflowPunct/>
              <w:topLinePunct w:val="0"/>
              <w:autoSpaceDE/>
              <w:autoSpaceDN/>
              <w:bidi w:val="0"/>
              <w:adjustRightInd/>
              <w:snapToGrid w:val="0"/>
              <w:spacing w:line="24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3.应急处理方案（10分）</w:t>
            </w:r>
          </w:p>
          <w:p w14:paraId="089B5A6C">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应急处理方案内容包含但不限于采购人发生突发事件需要临时增加配送时，能安排人员组织货源并及时送货方案；发生因食品质量安全问题导致的食物中毒等情况的应对措施等内容。内容详细规范，契合本项目需求，具有可操作性的为优得10分；内容较为详细规范、较符合本项目实际、具有可操作性的为良得7分；内容基本规范、基本符合项目实际，具有一定的可操作性的为一般得4分；内容不全或不规范、不符合本项目实际或不具有可操作性的为差得1分。未提供得0分。</w:t>
            </w:r>
          </w:p>
          <w:p w14:paraId="39FD26F1">
            <w:pPr>
              <w:keepNext w:val="0"/>
              <w:keepLines w:val="0"/>
              <w:pageBreakBefore w:val="0"/>
              <w:widowControl w:val="0"/>
              <w:kinsoku/>
              <w:wordWrap/>
              <w:overflowPunct/>
              <w:topLinePunct w:val="0"/>
              <w:autoSpaceDE/>
              <w:autoSpaceDN/>
              <w:bidi w:val="0"/>
              <w:adjustRightInd/>
              <w:snapToGrid w:val="0"/>
              <w:spacing w:line="24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4.售后服务（10分）</w:t>
            </w:r>
          </w:p>
          <w:p w14:paraId="41FEBCE2">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baseline"/>
              <w:rPr>
                <w:rFonts w:hint="eastAsia" w:ascii="宋体" w:hAnsi="宋体" w:eastAsia="宋体" w:cs="宋体"/>
                <w:b/>
                <w:bCs/>
                <w:color w:val="auto"/>
                <w:sz w:val="24"/>
                <w:szCs w:val="24"/>
              </w:rPr>
            </w:pPr>
            <w:r>
              <w:rPr>
                <w:rFonts w:hint="eastAsia" w:ascii="宋体" w:hAnsi="宋体" w:eastAsia="宋体" w:cs="宋体"/>
                <w:color w:val="auto"/>
                <w:sz w:val="24"/>
                <w:szCs w:val="24"/>
                <w:highlight w:val="none"/>
                <w:lang w:val="en-US" w:eastAsia="zh-CN"/>
              </w:rPr>
              <w:t>售后服务内容包含但不限于保证配送物资出现问题后的处理措施，提供征求意见的方式及渠道等。内容详细规范，契合本项目需求，具有可操作性的为优得10分；内容较为详细规范、较符合本项目实际、具有可操作性的为良得7分；内容基本规范、基本符合项目实际，具有一定的可操作性的为一般得4分；内容不全或不规范、不符合本项目实际或不具有可操作性的为差得1分。未提供得0分。</w:t>
            </w:r>
          </w:p>
        </w:tc>
        <w:tc>
          <w:tcPr>
            <w:tcW w:w="3112" w:type="dxa"/>
            <w:tcBorders>
              <w:bottom w:val="single" w:color="auto" w:sz="4" w:space="0"/>
            </w:tcBorders>
            <w:noWrap w:val="0"/>
            <w:vAlign w:val="center"/>
          </w:tcPr>
          <w:p w14:paraId="32C2EBE6">
            <w:pPr>
              <w:keepNext w:val="0"/>
              <w:keepLines w:val="0"/>
              <w:pageBreakBefore w:val="0"/>
              <w:widowControl w:val="0"/>
              <w:shd w:val="clear"/>
              <w:kinsoku/>
              <w:wordWrap/>
              <w:overflowPunct/>
              <w:topLinePunct w:val="0"/>
              <w:autoSpaceDE/>
              <w:autoSpaceDN/>
              <w:bidi w:val="0"/>
              <w:adjustRightInd/>
              <w:spacing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供应商提供相关服务方案，评审小组各成员横向对比有效供应商的方案情况进行评比打分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取所有评审小组成员打分的算术平均值。</w:t>
            </w:r>
            <w:r>
              <w:rPr>
                <w:rFonts w:hint="eastAsia" w:ascii="宋体" w:hAnsi="宋体" w:eastAsia="宋体" w:cs="宋体"/>
                <w:color w:val="auto"/>
                <w:sz w:val="24"/>
                <w:szCs w:val="24"/>
              </w:rPr>
              <w:t>（格式自拟）</w:t>
            </w:r>
            <w:r>
              <w:rPr>
                <w:rFonts w:hint="eastAsia" w:ascii="宋体" w:hAnsi="宋体" w:eastAsia="宋体" w:cs="宋体"/>
                <w:color w:val="auto"/>
                <w:sz w:val="21"/>
                <w:szCs w:val="21"/>
                <w:highlight w:val="none"/>
              </w:rPr>
              <w:t>。</w:t>
            </w:r>
          </w:p>
        </w:tc>
      </w:tr>
      <w:tr w14:paraId="688FA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3" w:hRule="atLeast"/>
        </w:trPr>
        <w:tc>
          <w:tcPr>
            <w:tcW w:w="639" w:type="dxa"/>
            <w:vMerge w:val="restart"/>
            <w:noWrap w:val="0"/>
            <w:vAlign w:val="center"/>
          </w:tcPr>
          <w:p w14:paraId="31D7E9C7">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r>
              <w:rPr>
                <w:rStyle w:val="56"/>
                <w:rFonts w:hint="eastAsia" w:ascii="宋体" w:hAnsi="宋体" w:eastAsia="宋体" w:cs="宋体"/>
                <w:color w:val="auto"/>
                <w:sz w:val="24"/>
                <w:szCs w:val="24"/>
                <w:highlight w:val="none"/>
              </w:rPr>
              <w:t>3</w:t>
            </w:r>
          </w:p>
        </w:tc>
        <w:tc>
          <w:tcPr>
            <w:tcW w:w="1399" w:type="dxa"/>
            <w:vMerge w:val="restart"/>
            <w:noWrap w:val="0"/>
            <w:vAlign w:val="center"/>
          </w:tcPr>
          <w:p w14:paraId="1F696A03">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r>
              <w:rPr>
                <w:rStyle w:val="56"/>
                <w:rFonts w:hint="eastAsia" w:ascii="宋体" w:hAnsi="宋体" w:eastAsia="宋体" w:cs="宋体"/>
                <w:color w:val="auto"/>
                <w:sz w:val="24"/>
                <w:szCs w:val="24"/>
                <w:highlight w:val="none"/>
              </w:rPr>
              <w:t>商务部分（</w:t>
            </w:r>
            <w:r>
              <w:rPr>
                <w:rStyle w:val="56"/>
                <w:rFonts w:hint="eastAsia" w:ascii="宋体" w:hAnsi="宋体" w:eastAsia="宋体" w:cs="宋体"/>
                <w:color w:val="auto"/>
                <w:sz w:val="24"/>
                <w:szCs w:val="24"/>
                <w:highlight w:val="none"/>
                <w:lang w:val="en-US" w:eastAsia="zh-CN"/>
              </w:rPr>
              <w:t>20</w:t>
            </w:r>
            <w:r>
              <w:rPr>
                <w:rStyle w:val="56"/>
                <w:rFonts w:hint="eastAsia" w:ascii="宋体" w:hAnsi="宋体" w:eastAsia="宋体" w:cs="宋体"/>
                <w:color w:val="auto"/>
                <w:sz w:val="24"/>
                <w:szCs w:val="24"/>
                <w:highlight w:val="none"/>
              </w:rPr>
              <w:t>%）</w:t>
            </w:r>
          </w:p>
        </w:tc>
        <w:tc>
          <w:tcPr>
            <w:tcW w:w="943" w:type="dxa"/>
            <w:vMerge w:val="restart"/>
            <w:noWrap w:val="0"/>
            <w:vAlign w:val="center"/>
          </w:tcPr>
          <w:p w14:paraId="7E0CB9B7">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r>
              <w:rPr>
                <w:rStyle w:val="56"/>
                <w:rFonts w:hint="eastAsia" w:ascii="宋体" w:hAnsi="宋体" w:eastAsia="宋体" w:cs="宋体"/>
                <w:color w:val="auto"/>
                <w:sz w:val="24"/>
                <w:szCs w:val="24"/>
                <w:highlight w:val="none"/>
                <w:lang w:val="en-US" w:eastAsia="zh-CN"/>
              </w:rPr>
              <w:t>20分</w:t>
            </w:r>
          </w:p>
        </w:tc>
        <w:tc>
          <w:tcPr>
            <w:tcW w:w="3643" w:type="dxa"/>
            <w:tcBorders>
              <w:bottom w:val="single" w:color="auto" w:sz="4" w:space="0"/>
            </w:tcBorders>
            <w:noWrap w:val="0"/>
            <w:vAlign w:val="center"/>
          </w:tcPr>
          <w:p w14:paraId="354DCB88">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1、配送车辆（</w:t>
            </w: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rPr>
              <w:t>分）</w:t>
            </w:r>
          </w:p>
          <w:p w14:paraId="456E7B0E">
            <w:pPr>
              <w:keepNext w:val="0"/>
              <w:keepLines w:val="0"/>
              <w:pageBreakBefore w:val="0"/>
              <w:widowControl w:val="0"/>
              <w:shd w:val="clear"/>
              <w:kinsoku/>
              <w:wordWrap/>
              <w:overflowPunct/>
              <w:topLinePunct w:val="0"/>
              <w:autoSpaceDE/>
              <w:autoSpaceDN/>
              <w:bidi w:val="0"/>
              <w:adjustRightInd/>
              <w:snapToGrid w:val="0"/>
              <w:spacing w:line="240" w:lineRule="auto"/>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供应商为本项目配置配送车辆，每提供1台得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分；最高</w:t>
            </w:r>
            <w:r>
              <w:rPr>
                <w:rFonts w:hint="eastAsia" w:ascii="宋体" w:hAnsi="宋体" w:eastAsia="宋体" w:cs="宋体"/>
                <w:color w:val="auto"/>
                <w:sz w:val="24"/>
                <w:szCs w:val="24"/>
                <w:lang w:val="en-US" w:eastAsia="zh-CN"/>
              </w:rPr>
              <w:t>得6</w:t>
            </w:r>
            <w:r>
              <w:rPr>
                <w:rFonts w:hint="eastAsia" w:ascii="宋体" w:hAnsi="宋体" w:eastAsia="宋体" w:cs="宋体"/>
                <w:color w:val="auto"/>
                <w:sz w:val="24"/>
                <w:szCs w:val="24"/>
              </w:rPr>
              <w:t>分。</w:t>
            </w:r>
          </w:p>
        </w:tc>
        <w:tc>
          <w:tcPr>
            <w:tcW w:w="3112" w:type="dxa"/>
            <w:noWrap w:val="0"/>
            <w:vAlign w:val="center"/>
          </w:tcPr>
          <w:p w14:paraId="2AE6D428">
            <w:pPr>
              <w:keepNext w:val="0"/>
              <w:keepLines w:val="0"/>
              <w:pageBreakBefore w:val="0"/>
              <w:widowControl w:val="0"/>
              <w:shd w:val="clea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1.车辆为自有的，提供常温配送车辆或冷链车辆行驶证复印件，加盖供应商公章。</w:t>
            </w:r>
          </w:p>
          <w:p w14:paraId="4383686C">
            <w:pPr>
              <w:keepNext w:val="0"/>
              <w:keepLines w:val="0"/>
              <w:pageBreakBefore w:val="0"/>
              <w:widowControl w:val="0"/>
              <w:shd w:val="clea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2.车辆为租赁的，提供常温配送车辆</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rPr>
              <w:t>冷链车辆行驶证复印件、车辆租赁合同（租赁合同的有效期须包含本项目的合同期）</w:t>
            </w:r>
          </w:p>
          <w:p w14:paraId="3B573349">
            <w:pPr>
              <w:keepNext w:val="0"/>
              <w:keepLines w:val="0"/>
              <w:pageBreakBefore w:val="0"/>
              <w:widowControl w:val="0"/>
              <w:shd w:val="clea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3.提供配送车辆彩色实拍照片（正面、侧面、车厢内部各1张），车辆照片内容与车辆行驶证一致。</w:t>
            </w:r>
          </w:p>
        </w:tc>
      </w:tr>
      <w:tr w14:paraId="26075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639" w:type="dxa"/>
            <w:vMerge w:val="continue"/>
            <w:noWrap w:val="0"/>
            <w:vAlign w:val="center"/>
          </w:tcPr>
          <w:p w14:paraId="0A2D3B0F">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Style w:val="56"/>
                <w:rFonts w:hint="eastAsia" w:ascii="宋体" w:hAnsi="宋体" w:eastAsia="宋体" w:cs="宋体"/>
                <w:color w:val="auto"/>
                <w:sz w:val="24"/>
                <w:szCs w:val="24"/>
                <w:highlight w:val="none"/>
              </w:rPr>
            </w:pPr>
          </w:p>
        </w:tc>
        <w:tc>
          <w:tcPr>
            <w:tcW w:w="1399" w:type="dxa"/>
            <w:vMerge w:val="continue"/>
            <w:noWrap w:val="0"/>
            <w:vAlign w:val="center"/>
          </w:tcPr>
          <w:p w14:paraId="2F84CABF">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Style w:val="56"/>
                <w:rFonts w:hint="eastAsia" w:ascii="宋体" w:hAnsi="宋体" w:eastAsia="宋体" w:cs="宋体"/>
                <w:color w:val="auto"/>
                <w:sz w:val="24"/>
                <w:szCs w:val="24"/>
                <w:highlight w:val="none"/>
              </w:rPr>
            </w:pPr>
          </w:p>
        </w:tc>
        <w:tc>
          <w:tcPr>
            <w:tcW w:w="943" w:type="dxa"/>
            <w:vMerge w:val="continue"/>
            <w:noWrap w:val="0"/>
            <w:vAlign w:val="center"/>
          </w:tcPr>
          <w:p w14:paraId="2C76C500">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Style w:val="56"/>
                <w:rFonts w:hint="eastAsia" w:ascii="宋体" w:hAnsi="宋体" w:eastAsia="宋体" w:cs="宋体"/>
                <w:color w:val="auto"/>
                <w:sz w:val="24"/>
                <w:szCs w:val="24"/>
                <w:highlight w:val="none"/>
                <w:lang w:val="en-US" w:eastAsia="zh-CN"/>
              </w:rPr>
            </w:pPr>
          </w:p>
        </w:tc>
        <w:tc>
          <w:tcPr>
            <w:tcW w:w="3643" w:type="dxa"/>
            <w:tcBorders>
              <w:bottom w:val="single" w:color="auto" w:sz="4" w:space="0"/>
            </w:tcBorders>
            <w:shd w:val="clear" w:color="auto" w:fill="auto"/>
            <w:noWrap w:val="0"/>
            <w:vAlign w:val="center"/>
          </w:tcPr>
          <w:p w14:paraId="094A6F16">
            <w:pPr>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、经营场所（</w:t>
            </w: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分）</w:t>
            </w:r>
          </w:p>
          <w:p w14:paraId="17353FD3">
            <w:pPr>
              <w:rPr>
                <w:rFonts w:hint="eastAsia" w:ascii="宋体" w:hAnsi="宋体" w:eastAsia="宋体" w:cs="宋体"/>
                <w:color w:val="auto"/>
                <w:sz w:val="24"/>
                <w:szCs w:val="24"/>
              </w:rPr>
            </w:pPr>
            <w:r>
              <w:rPr>
                <w:rFonts w:hint="eastAsia" w:ascii="宋体" w:hAnsi="宋体" w:eastAsia="宋体" w:cs="宋体"/>
                <w:color w:val="auto"/>
                <w:sz w:val="24"/>
                <w:szCs w:val="24"/>
              </w:rPr>
              <w:t>供应商有固定经营场所（固定经营场所指门店或仓库或配送中心等）。</w:t>
            </w:r>
          </w:p>
          <w:p w14:paraId="6A27F7F8">
            <w:pPr>
              <w:rPr>
                <w:rFonts w:hint="eastAsia" w:ascii="宋体" w:hAnsi="宋体" w:eastAsia="宋体" w:cs="宋体"/>
                <w:b/>
                <w:bCs/>
                <w:color w:val="auto"/>
                <w:kern w:val="2"/>
                <w:sz w:val="24"/>
                <w:szCs w:val="24"/>
                <w:lang w:val="en-US" w:eastAsia="zh-CN" w:bidi="ar-SA"/>
              </w:rPr>
            </w:pPr>
          </w:p>
        </w:tc>
        <w:tc>
          <w:tcPr>
            <w:tcW w:w="3112" w:type="dxa"/>
            <w:shd w:val="clear" w:color="auto" w:fill="auto"/>
            <w:noWrap w:val="0"/>
            <w:vAlign w:val="center"/>
          </w:tcPr>
          <w:p w14:paraId="5BA1E25B">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highlight w:val="none"/>
              </w:rPr>
              <w:t>提供合同复印件</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经营场所</w:t>
            </w:r>
            <w:r>
              <w:rPr>
                <w:rFonts w:hint="eastAsia" w:ascii="宋体" w:hAnsi="宋体" w:eastAsia="宋体" w:cs="宋体"/>
                <w:color w:val="auto"/>
                <w:sz w:val="24"/>
                <w:szCs w:val="24"/>
                <w:highlight w:val="none"/>
                <w:lang w:val="en-US" w:eastAsia="zh-CN"/>
              </w:rPr>
              <w:t>相关照片</w:t>
            </w:r>
            <w:r>
              <w:rPr>
                <w:rFonts w:hint="eastAsia" w:ascii="宋体" w:hAnsi="宋体" w:eastAsia="宋体" w:cs="宋体"/>
                <w:color w:val="auto"/>
                <w:sz w:val="24"/>
                <w:szCs w:val="24"/>
                <w:highlight w:val="none"/>
              </w:rPr>
              <w:t>加盖投标单位鲜章，未提供者</w:t>
            </w:r>
            <w:r>
              <w:rPr>
                <w:rFonts w:hint="eastAsia" w:ascii="宋体" w:hAnsi="宋体" w:eastAsia="宋体" w:cs="宋体"/>
                <w:color w:val="auto"/>
                <w:sz w:val="24"/>
                <w:szCs w:val="24"/>
                <w:highlight w:val="none"/>
                <w:lang w:val="en-US" w:eastAsia="zh-CN"/>
              </w:rPr>
              <w:t>或者不符合要求的</w:t>
            </w:r>
            <w:r>
              <w:rPr>
                <w:rFonts w:hint="eastAsia" w:ascii="宋体" w:hAnsi="宋体" w:eastAsia="宋体" w:cs="宋体"/>
                <w:color w:val="auto"/>
                <w:sz w:val="24"/>
                <w:szCs w:val="24"/>
                <w:highlight w:val="none"/>
              </w:rPr>
              <w:t>不得分</w:t>
            </w:r>
          </w:p>
        </w:tc>
      </w:tr>
      <w:tr w14:paraId="46654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Merge w:val="continue"/>
            <w:noWrap w:val="0"/>
            <w:vAlign w:val="center"/>
          </w:tcPr>
          <w:p w14:paraId="02DB01E1">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p>
        </w:tc>
        <w:tc>
          <w:tcPr>
            <w:tcW w:w="1399" w:type="dxa"/>
            <w:vMerge w:val="continue"/>
            <w:noWrap w:val="0"/>
            <w:vAlign w:val="center"/>
          </w:tcPr>
          <w:p w14:paraId="471B1593">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p>
        </w:tc>
        <w:tc>
          <w:tcPr>
            <w:tcW w:w="943" w:type="dxa"/>
            <w:vMerge w:val="continue"/>
            <w:noWrap w:val="0"/>
            <w:vAlign w:val="center"/>
          </w:tcPr>
          <w:p w14:paraId="7A5AB002">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p>
        </w:tc>
        <w:tc>
          <w:tcPr>
            <w:tcW w:w="3643" w:type="dxa"/>
            <w:tcBorders>
              <w:bottom w:val="single" w:color="auto" w:sz="4" w:space="0"/>
            </w:tcBorders>
            <w:noWrap w:val="0"/>
            <w:vAlign w:val="center"/>
          </w:tcPr>
          <w:p w14:paraId="33190FC0">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仓储能力</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3分</w:t>
            </w:r>
            <w:r>
              <w:rPr>
                <w:rFonts w:hint="eastAsia" w:ascii="宋体" w:hAnsi="宋体" w:eastAsia="宋体" w:cs="宋体"/>
                <w:b/>
                <w:bCs/>
                <w:color w:val="auto"/>
                <w:sz w:val="24"/>
                <w:szCs w:val="24"/>
                <w:lang w:eastAsia="zh-CN"/>
              </w:rPr>
              <w:t>）</w:t>
            </w:r>
          </w:p>
          <w:p w14:paraId="30F67E11">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配置有冻库</w:t>
            </w:r>
            <w:r>
              <w:rPr>
                <w:rFonts w:hint="eastAsia" w:ascii="宋体" w:hAnsi="宋体" w:eastAsia="宋体" w:cs="宋体"/>
                <w:color w:val="auto"/>
                <w:sz w:val="24"/>
                <w:szCs w:val="24"/>
                <w:highlight w:val="none"/>
                <w:lang w:val="en-US" w:eastAsia="zh-CN"/>
              </w:rPr>
              <w:t>（含自有或租赁）的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2FCCBAE7">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提供冻库配置证明材料，否则不得分。</w:t>
            </w:r>
          </w:p>
        </w:tc>
        <w:tc>
          <w:tcPr>
            <w:tcW w:w="3112" w:type="dxa"/>
            <w:tcBorders>
              <w:bottom w:val="single" w:color="auto" w:sz="4" w:space="0"/>
            </w:tcBorders>
            <w:noWrap w:val="0"/>
            <w:vAlign w:val="center"/>
          </w:tcPr>
          <w:p w14:paraId="7689460C">
            <w:pPr>
              <w:keepNext w:val="0"/>
              <w:keepLines w:val="0"/>
              <w:pageBreakBefore w:val="0"/>
              <w:widowControl w:val="0"/>
              <w:shd w:val="clea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冻库如为自有的，提供产权证复印件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冻库安装合同（冻库设备购买合同）复印件</w:t>
            </w:r>
            <w:r>
              <w:rPr>
                <w:rFonts w:hint="eastAsia" w:ascii="宋体" w:hAnsi="宋体" w:eastAsia="宋体" w:cs="宋体"/>
                <w:color w:val="auto"/>
                <w:sz w:val="24"/>
                <w:szCs w:val="24"/>
                <w:highlight w:val="none"/>
              </w:rPr>
              <w:t>及现场照片加盖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公章；冻库如为租赁的，提供租赁合同复印件</w:t>
            </w:r>
            <w:r>
              <w:rPr>
                <w:rFonts w:hint="eastAsia" w:ascii="宋体" w:hAnsi="宋体" w:eastAsia="宋体" w:cs="宋体"/>
                <w:color w:val="auto"/>
                <w:sz w:val="24"/>
                <w:szCs w:val="24"/>
                <w:highlight w:val="none"/>
                <w:lang w:val="en-US" w:eastAsia="zh-CN"/>
              </w:rPr>
              <w:t>以及</w:t>
            </w:r>
            <w:r>
              <w:rPr>
                <w:rFonts w:hint="eastAsia" w:ascii="宋体" w:hAnsi="宋体" w:eastAsia="宋体" w:cs="宋体"/>
                <w:color w:val="auto"/>
                <w:sz w:val="24"/>
                <w:szCs w:val="24"/>
                <w:highlight w:val="none"/>
              </w:rPr>
              <w:t>现场照片加盖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若冻库不是直接租赁的，还需提供冻库安装合同（冻库设备购买合同）复印件</w:t>
            </w:r>
          </w:p>
        </w:tc>
      </w:tr>
      <w:tr w14:paraId="4248A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trPr>
        <w:tc>
          <w:tcPr>
            <w:tcW w:w="639" w:type="dxa"/>
            <w:vMerge w:val="continue"/>
            <w:noWrap w:val="0"/>
            <w:vAlign w:val="center"/>
          </w:tcPr>
          <w:p w14:paraId="1B8907B7">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p>
        </w:tc>
        <w:tc>
          <w:tcPr>
            <w:tcW w:w="1399" w:type="dxa"/>
            <w:vMerge w:val="continue"/>
            <w:noWrap w:val="0"/>
            <w:vAlign w:val="center"/>
          </w:tcPr>
          <w:p w14:paraId="30CF1DDF">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p>
        </w:tc>
        <w:tc>
          <w:tcPr>
            <w:tcW w:w="943" w:type="dxa"/>
            <w:vMerge w:val="continue"/>
            <w:noWrap w:val="0"/>
            <w:vAlign w:val="center"/>
          </w:tcPr>
          <w:p w14:paraId="714A6E17">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lang w:val="en-US" w:eastAsia="zh-CN"/>
              </w:rPr>
            </w:pPr>
          </w:p>
        </w:tc>
        <w:tc>
          <w:tcPr>
            <w:tcW w:w="3643" w:type="dxa"/>
            <w:tcBorders>
              <w:top w:val="single" w:color="auto" w:sz="4" w:space="0"/>
              <w:left w:val="single" w:color="auto" w:sz="4" w:space="0"/>
              <w:bottom w:val="single" w:color="auto" w:sz="4" w:space="0"/>
              <w:right w:val="single" w:color="auto" w:sz="4" w:space="0"/>
            </w:tcBorders>
            <w:noWrap w:val="0"/>
            <w:vAlign w:val="center"/>
          </w:tcPr>
          <w:p w14:paraId="74FF1028">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4、安全承诺（4分）</w:t>
            </w:r>
          </w:p>
          <w:p w14:paraId="467FDC7A">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供应商拟派专人为采购人进行配送服务，提供配送人员名单，并承诺在配送服务过程中，若因自身原因造成采购人的损失，自行承担相应责任和赔偿，资料齐备合格得4分，未提供或提供不齐不得分。</w:t>
            </w:r>
          </w:p>
        </w:tc>
        <w:tc>
          <w:tcPr>
            <w:tcW w:w="3112" w:type="dxa"/>
            <w:tcBorders>
              <w:top w:val="single" w:color="auto" w:sz="4" w:space="0"/>
              <w:left w:val="single" w:color="auto" w:sz="4" w:space="0"/>
              <w:bottom w:val="single" w:color="auto" w:sz="4" w:space="0"/>
              <w:right w:val="single" w:color="auto" w:sz="4" w:space="0"/>
            </w:tcBorders>
            <w:noWrap w:val="0"/>
            <w:vAlign w:val="center"/>
          </w:tcPr>
          <w:p w14:paraId="0696417B">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需提供配送服务团队的成员名单、健康证复印件及承诺函（格式自拟）并加盖投标人公章</w:t>
            </w:r>
          </w:p>
        </w:tc>
      </w:tr>
      <w:tr w14:paraId="305DE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trPr>
        <w:tc>
          <w:tcPr>
            <w:tcW w:w="639" w:type="dxa"/>
            <w:vMerge w:val="continue"/>
            <w:tcBorders>
              <w:bottom w:val="single" w:color="auto" w:sz="4" w:space="0"/>
            </w:tcBorders>
            <w:noWrap w:val="0"/>
            <w:vAlign w:val="center"/>
          </w:tcPr>
          <w:p w14:paraId="42BC7E05">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bookmarkStart w:id="159" w:name="_Toc27384"/>
          </w:p>
        </w:tc>
        <w:tc>
          <w:tcPr>
            <w:tcW w:w="1399" w:type="dxa"/>
            <w:vMerge w:val="continue"/>
            <w:tcBorders>
              <w:bottom w:val="single" w:color="auto" w:sz="4" w:space="0"/>
            </w:tcBorders>
            <w:noWrap w:val="0"/>
            <w:vAlign w:val="center"/>
          </w:tcPr>
          <w:p w14:paraId="0782E96F">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p>
        </w:tc>
        <w:tc>
          <w:tcPr>
            <w:tcW w:w="943" w:type="dxa"/>
            <w:vMerge w:val="continue"/>
            <w:tcBorders>
              <w:bottom w:val="single" w:color="auto" w:sz="4" w:space="0"/>
            </w:tcBorders>
            <w:noWrap w:val="0"/>
            <w:vAlign w:val="center"/>
          </w:tcPr>
          <w:p w14:paraId="395A979D">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lang w:val="en-US" w:eastAsia="zh-CN"/>
              </w:rPr>
            </w:pPr>
          </w:p>
        </w:tc>
        <w:tc>
          <w:tcPr>
            <w:tcW w:w="3643" w:type="dxa"/>
            <w:tcBorders>
              <w:top w:val="single" w:color="auto" w:sz="4" w:space="0"/>
              <w:left w:val="single" w:color="auto" w:sz="4" w:space="0"/>
              <w:right w:val="single" w:color="auto" w:sz="4" w:space="0"/>
            </w:tcBorders>
            <w:noWrap w:val="0"/>
            <w:vAlign w:val="center"/>
          </w:tcPr>
          <w:p w14:paraId="532B8F0C">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业绩（</w:t>
            </w: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分）</w:t>
            </w:r>
          </w:p>
          <w:p w14:paraId="105AC2EB">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4"/>
                <w:szCs w:val="24"/>
                <w:lang w:val="en-US" w:eastAsia="zh-CN"/>
              </w:rPr>
              <w:t>2022年1月1日至投标截止日，供应商为企事业单位或政府机关或学校等承担过：超市商品配送业绩（含已履行和正在履行）的，每提供1个业绩得2分，本项最多得4分。</w:t>
            </w:r>
          </w:p>
        </w:tc>
        <w:tc>
          <w:tcPr>
            <w:tcW w:w="3112" w:type="dxa"/>
            <w:tcBorders>
              <w:top w:val="single" w:color="auto" w:sz="4" w:space="0"/>
              <w:left w:val="single" w:color="auto" w:sz="4" w:space="0"/>
              <w:bottom w:val="single" w:color="auto" w:sz="4" w:space="0"/>
              <w:right w:val="single" w:color="auto" w:sz="4" w:space="0"/>
            </w:tcBorders>
            <w:noWrap w:val="0"/>
            <w:vAlign w:val="center"/>
          </w:tcPr>
          <w:p w14:paraId="2750C0B9">
            <w:pPr>
              <w:keepNext w:val="0"/>
              <w:keepLines w:val="0"/>
              <w:pageBreakBefore w:val="0"/>
              <w:widowControl w:val="0"/>
              <w:shd w:val="clea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4"/>
                <w:szCs w:val="24"/>
                <w:lang w:val="en-US" w:eastAsia="zh-CN"/>
              </w:rPr>
              <w:t>提供配送合同复印件并加盖供应商公章。</w:t>
            </w:r>
          </w:p>
        </w:tc>
      </w:tr>
    </w:tbl>
    <w:p w14:paraId="6149133D">
      <w:pPr>
        <w:adjustRightInd w:val="0"/>
        <w:snapToGrid w:val="0"/>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rPr>
        <w:t>说明：评标委员会认为供应商的报价明显低于其他通过符合性审查供应商的报价，有可能影响产品质量或者不能诚信履约的，应当提供书面说明及中标后履约承诺；供应商不能提供书面说明及中标后履约承诺的，评标委员会应当将其作为无效投标处理。</w:t>
      </w:r>
      <w:bookmarkEnd w:id="159"/>
    </w:p>
    <w:p w14:paraId="647E6FE6">
      <w:pPr>
        <w:pStyle w:val="3"/>
        <w:spacing w:line="360" w:lineRule="auto"/>
        <w:outlineLvl w:val="0"/>
        <w:rPr>
          <w:rFonts w:hint="eastAsia" w:ascii="宋体" w:hAnsi="宋体" w:eastAsia="宋体" w:cs="宋体"/>
          <w:b/>
          <w:color w:val="auto"/>
          <w:sz w:val="24"/>
          <w:szCs w:val="24"/>
          <w:highlight w:val="none"/>
        </w:rPr>
      </w:pPr>
      <w:bookmarkStart w:id="160" w:name="_Toc10583"/>
      <w:bookmarkStart w:id="161" w:name="_Toc24476"/>
      <w:bookmarkStart w:id="162" w:name="_Toc6913"/>
      <w:bookmarkStart w:id="163" w:name="_Toc25152"/>
      <w:r>
        <w:rPr>
          <w:rFonts w:hint="eastAsia" w:ascii="宋体" w:hAnsi="宋体" w:eastAsia="宋体" w:cs="宋体"/>
          <w:b/>
          <w:color w:val="auto"/>
          <w:sz w:val="24"/>
          <w:szCs w:val="24"/>
          <w:highlight w:val="none"/>
        </w:rPr>
        <w:t>四、无效响应</w:t>
      </w:r>
      <w:bookmarkEnd w:id="158"/>
      <w:bookmarkEnd w:id="160"/>
      <w:bookmarkEnd w:id="161"/>
      <w:bookmarkEnd w:id="162"/>
      <w:bookmarkEnd w:id="163"/>
    </w:p>
    <w:p w14:paraId="4AE8E542">
      <w:pPr>
        <w:snapToGrid w:val="0"/>
        <w:spacing w:line="360" w:lineRule="auto"/>
        <w:ind w:firstLine="465"/>
        <w:rPr>
          <w:rFonts w:hint="eastAsia" w:ascii="宋体" w:hAnsi="宋体" w:eastAsia="宋体" w:cs="宋体"/>
          <w:color w:val="auto"/>
          <w:sz w:val="24"/>
          <w:szCs w:val="24"/>
          <w:highlight w:val="none"/>
        </w:rPr>
      </w:pPr>
      <w:bookmarkStart w:id="164" w:name="_Toc439685497"/>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发生以下条款情况之一者，视为无效响应，其投标文件将被拒绝：</w:t>
      </w:r>
    </w:p>
    <w:p w14:paraId="7C0B305F">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不符合规定的基本资格条件或特定资格条件的；</w:t>
      </w:r>
    </w:p>
    <w:p w14:paraId="42BBFDDD">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的法定代表人或其授权代表未参加比选；</w:t>
      </w:r>
    </w:p>
    <w:p w14:paraId="7AE71A38">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未按照比选文件的要求缴纳比选保证金；</w:t>
      </w:r>
    </w:p>
    <w:p w14:paraId="66244917">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所提交的投标文件不按第七篇“投标文件编制要求”规定签字、盖章；</w:t>
      </w:r>
    </w:p>
    <w:p w14:paraId="742AB304">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的报价超过采购预算的；</w:t>
      </w:r>
    </w:p>
    <w:p w14:paraId="6E328FBC">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（六）单位负责人为同一人或者存在直接控股、管理关系的不同</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，参加同一合同项下的政府采购活动的；</w:t>
      </w:r>
    </w:p>
    <w:p w14:paraId="065AEDDF">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（七）为采购项目提供整体设计、规范编制或者项目管理、监理、检测等服务的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，再参加该采购项目的其他采购活动；</w:t>
      </w:r>
    </w:p>
    <w:p w14:paraId="35897FFB">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（八）所提供的产品不符合必须强制执行的国家标准的；</w:t>
      </w:r>
    </w:p>
    <w:p w14:paraId="3173BC36">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的服务时间、服务质保期及比选有效期不满足比选文件要求的；</w:t>
      </w:r>
    </w:p>
    <w:p w14:paraId="1A7A2376">
      <w:pPr>
        <w:snapToGrid w:val="0"/>
        <w:spacing w:line="360" w:lineRule="auto"/>
        <w:ind w:firstLine="465"/>
        <w:rPr>
          <w:rFonts w:hint="eastAsia" w:ascii="宋体" w:hAnsi="宋体" w:eastAsia="宋体" w:cs="宋体"/>
          <w:color w:val="auto"/>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投标文件内容有与国家现行法律法规相违背的内容，或附有采购人无法接受的条件。</w:t>
      </w:r>
    </w:p>
    <w:p w14:paraId="29C0A00D">
      <w:pPr>
        <w:pStyle w:val="3"/>
        <w:spacing w:line="360" w:lineRule="auto"/>
        <w:ind w:firstLine="482" w:firstLineChars="200"/>
        <w:outlineLvl w:val="0"/>
        <w:rPr>
          <w:rFonts w:hint="eastAsia" w:ascii="宋体" w:hAnsi="宋体" w:eastAsia="宋体" w:cs="宋体"/>
          <w:b/>
          <w:color w:val="auto"/>
          <w:sz w:val="24"/>
          <w:szCs w:val="24"/>
          <w:highlight w:val="none"/>
        </w:rPr>
      </w:pPr>
      <w:bookmarkStart w:id="165" w:name="_Toc25603"/>
      <w:bookmarkStart w:id="166" w:name="_Toc29434"/>
      <w:bookmarkStart w:id="167" w:name="_Toc30953"/>
      <w:bookmarkStart w:id="168" w:name="_Toc3828"/>
      <w:r>
        <w:rPr>
          <w:rFonts w:hint="eastAsia" w:ascii="宋体" w:hAnsi="宋体" w:eastAsia="宋体" w:cs="宋体"/>
          <w:b/>
          <w:color w:val="auto"/>
          <w:sz w:val="24"/>
          <w:szCs w:val="24"/>
          <w:highlight w:val="none"/>
        </w:rPr>
        <w:t>五、采购终止</w:t>
      </w:r>
      <w:bookmarkEnd w:id="164"/>
      <w:bookmarkEnd w:id="165"/>
      <w:bookmarkEnd w:id="166"/>
      <w:bookmarkEnd w:id="167"/>
      <w:bookmarkEnd w:id="168"/>
    </w:p>
    <w:p w14:paraId="40945AE3">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出现下列情形之一的，采购人或者采购代理机构应当终止比选采购活动，发布项目终止公告并说明原因，重新开展采购活动：</w:t>
      </w:r>
    </w:p>
    <w:p w14:paraId="449A0B9C">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（一）因情况变化，不再符合规定的比选采购方式适用情形的；</w:t>
      </w:r>
    </w:p>
    <w:p w14:paraId="1C23AE91">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（二）出现影响采购公正的违法、违规行为的；</w:t>
      </w:r>
    </w:p>
    <w:p w14:paraId="7CDBCE9A">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FA486ED">
      <w:pPr>
        <w:pStyle w:val="2"/>
        <w:spacing w:before="0" w:beforeLines="0" w:after="0" w:afterLines="0" w:line="360" w:lineRule="auto"/>
        <w:jc w:val="center"/>
        <w:rPr>
          <w:rFonts w:hint="eastAsia" w:ascii="宋体" w:hAnsi="宋体" w:eastAsia="宋体" w:cs="宋体"/>
          <w:b/>
          <w:bCs/>
          <w:color w:val="auto"/>
          <w:highlight w:val="none"/>
        </w:rPr>
      </w:pPr>
      <w:bookmarkStart w:id="169" w:name="_Toc3009"/>
      <w:bookmarkStart w:id="170" w:name="_Toc2580"/>
      <w:bookmarkStart w:id="171" w:name="_Toc31203"/>
      <w:bookmarkStart w:id="172" w:name="_Toc2919"/>
      <w:r>
        <w:rPr>
          <w:rFonts w:hint="eastAsia" w:ascii="宋体" w:hAnsi="宋体" w:eastAsia="宋体" w:cs="宋体"/>
          <w:b/>
          <w:bCs/>
          <w:color w:val="auto"/>
          <w:highlight w:val="none"/>
        </w:rPr>
        <w:t xml:space="preserve">第五篇  </w:t>
      </w:r>
      <w:r>
        <w:rPr>
          <w:rFonts w:hint="eastAsia" w:ascii="宋体" w:hAnsi="宋体" w:eastAsia="宋体" w:cs="宋体"/>
          <w:b/>
          <w:bCs/>
          <w:color w:val="auto"/>
          <w:highlight w:val="none"/>
          <w:lang w:eastAsia="zh-CN"/>
        </w:rPr>
        <w:t>投标人</w:t>
      </w:r>
      <w:r>
        <w:rPr>
          <w:rFonts w:hint="eastAsia" w:ascii="宋体" w:hAnsi="宋体" w:eastAsia="宋体" w:cs="宋体"/>
          <w:b/>
          <w:bCs/>
          <w:color w:val="auto"/>
          <w:highlight w:val="none"/>
        </w:rPr>
        <w:t>须知</w:t>
      </w:r>
      <w:bookmarkEnd w:id="169"/>
      <w:bookmarkEnd w:id="170"/>
      <w:bookmarkEnd w:id="171"/>
      <w:bookmarkEnd w:id="172"/>
    </w:p>
    <w:p w14:paraId="3CBDD18B">
      <w:pPr>
        <w:pStyle w:val="3"/>
        <w:spacing w:line="360" w:lineRule="auto"/>
        <w:ind w:firstLine="482" w:firstLineChars="200"/>
        <w:outlineLvl w:val="0"/>
        <w:rPr>
          <w:rFonts w:hint="eastAsia" w:ascii="宋体" w:hAnsi="宋体" w:eastAsia="宋体" w:cs="宋体"/>
          <w:b/>
          <w:color w:val="auto"/>
          <w:sz w:val="24"/>
          <w:szCs w:val="24"/>
          <w:highlight w:val="none"/>
        </w:rPr>
      </w:pPr>
      <w:bookmarkStart w:id="173" w:name="_Toc10127"/>
      <w:bookmarkStart w:id="174" w:name="_Toc25363"/>
      <w:bookmarkStart w:id="175" w:name="_Toc439685499"/>
      <w:bookmarkStart w:id="176" w:name="_Toc26107"/>
      <w:bookmarkStart w:id="177" w:name="_Toc342913389"/>
      <w:bookmarkStart w:id="178" w:name="_Toc19471"/>
      <w:r>
        <w:rPr>
          <w:rFonts w:hint="eastAsia" w:ascii="宋体" w:hAnsi="宋体" w:eastAsia="宋体" w:cs="宋体"/>
          <w:b/>
          <w:color w:val="auto"/>
          <w:sz w:val="24"/>
          <w:szCs w:val="24"/>
          <w:highlight w:val="none"/>
        </w:rPr>
        <w:t>一、比选费用</w:t>
      </w:r>
      <w:bookmarkEnd w:id="173"/>
      <w:bookmarkEnd w:id="174"/>
      <w:bookmarkEnd w:id="175"/>
      <w:bookmarkEnd w:id="176"/>
      <w:bookmarkEnd w:id="177"/>
      <w:bookmarkEnd w:id="178"/>
    </w:p>
    <w:p w14:paraId="25371D98">
      <w:pPr>
        <w:pStyle w:val="43"/>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参与比选的</w:t>
      </w:r>
      <w:r>
        <w:rPr>
          <w:rFonts w:hint="eastAsia" w:ascii="宋体" w:hAnsi="宋体" w:eastAsia="宋体" w:cs="宋体"/>
          <w:color w:val="auto"/>
          <w:szCs w:val="24"/>
          <w:highlight w:val="none"/>
          <w:lang w:eastAsia="zh-CN"/>
        </w:rPr>
        <w:t>投标人</w:t>
      </w:r>
      <w:r>
        <w:rPr>
          <w:rFonts w:hint="eastAsia" w:ascii="宋体" w:hAnsi="宋体" w:eastAsia="宋体" w:cs="宋体"/>
          <w:color w:val="auto"/>
          <w:szCs w:val="24"/>
          <w:highlight w:val="none"/>
        </w:rPr>
        <w:t>应承担其编制投标文件与递交投标文件所涉及的一切费用，不论比选结果如何，采购人在任何情况下无义务也无责任承担这些费用。</w:t>
      </w:r>
    </w:p>
    <w:p w14:paraId="5D487AE8">
      <w:pPr>
        <w:pStyle w:val="3"/>
        <w:spacing w:line="360" w:lineRule="auto"/>
        <w:ind w:firstLine="482" w:firstLineChars="200"/>
        <w:outlineLvl w:val="0"/>
        <w:rPr>
          <w:rFonts w:hint="eastAsia" w:ascii="宋体" w:hAnsi="宋体" w:eastAsia="宋体" w:cs="宋体"/>
          <w:b/>
          <w:color w:val="auto"/>
          <w:sz w:val="24"/>
          <w:szCs w:val="24"/>
          <w:highlight w:val="none"/>
        </w:rPr>
      </w:pPr>
      <w:bookmarkStart w:id="179" w:name="_Toc439685500"/>
      <w:bookmarkStart w:id="180" w:name="_Toc342913391"/>
      <w:bookmarkStart w:id="181" w:name="_Toc1794"/>
      <w:bookmarkStart w:id="182" w:name="_Toc26807"/>
      <w:bookmarkStart w:id="183" w:name="_Toc20015"/>
      <w:bookmarkStart w:id="184" w:name="_Toc7174"/>
      <w:r>
        <w:rPr>
          <w:rFonts w:hint="eastAsia" w:ascii="宋体" w:hAnsi="宋体" w:eastAsia="宋体" w:cs="宋体"/>
          <w:b/>
          <w:color w:val="auto"/>
          <w:sz w:val="24"/>
          <w:szCs w:val="24"/>
          <w:highlight w:val="none"/>
        </w:rPr>
        <w:t>二、</w:t>
      </w:r>
      <w:bookmarkEnd w:id="179"/>
      <w:bookmarkEnd w:id="180"/>
      <w:r>
        <w:rPr>
          <w:rFonts w:hint="eastAsia" w:ascii="宋体" w:hAnsi="宋体" w:eastAsia="宋体" w:cs="宋体"/>
          <w:b/>
          <w:color w:val="auto"/>
          <w:sz w:val="24"/>
          <w:szCs w:val="24"/>
          <w:highlight w:val="none"/>
        </w:rPr>
        <w:t>比选文件</w:t>
      </w:r>
      <w:bookmarkEnd w:id="181"/>
      <w:bookmarkEnd w:id="182"/>
      <w:bookmarkEnd w:id="183"/>
      <w:bookmarkEnd w:id="184"/>
    </w:p>
    <w:p w14:paraId="60CFDADC">
      <w:pPr>
        <w:snapToGrid w:val="0"/>
        <w:spacing w:line="360" w:lineRule="auto"/>
        <w:ind w:firstLine="480" w:firstLineChars="200"/>
        <w:rPr>
          <w:rFonts w:hint="eastAsia" w:ascii="宋体" w:hAnsi="宋体" w:eastAsia="宋体" w:cs="宋体"/>
          <w:color w:val="auto"/>
          <w:sz w:val="24"/>
          <w:szCs w:val="24"/>
          <w:highlight w:val="none"/>
        </w:rPr>
      </w:pPr>
      <w:bookmarkStart w:id="185" w:name="_Toc439685501"/>
      <w:bookmarkStart w:id="186" w:name="_Toc102227318"/>
      <w:bookmarkStart w:id="187" w:name="_Toc342913392"/>
      <w:bookmarkStart w:id="188" w:name="_Toc179714297"/>
      <w:r>
        <w:rPr>
          <w:rFonts w:hint="eastAsia" w:ascii="宋体" w:hAnsi="宋体" w:eastAsia="宋体" w:cs="宋体"/>
          <w:color w:val="auto"/>
          <w:sz w:val="24"/>
          <w:szCs w:val="24"/>
          <w:highlight w:val="none"/>
        </w:rPr>
        <w:t>（一）比选文件由采购邀请书、项目服务需求、项目商务需求、比选程序及方法、评审标准、无效响应和采购终止、</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须知、合同草案条款、投标文件编制要求七部分组成。</w:t>
      </w:r>
    </w:p>
    <w:p w14:paraId="0A4C8C79">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（二）采购人或采购代理机构所作的一切有效的书面通知、修改及补充，都是比选文件不可分割的部分。</w:t>
      </w:r>
    </w:p>
    <w:p w14:paraId="0C045F3B">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（三）比选文件的解释</w:t>
      </w:r>
    </w:p>
    <w:p w14:paraId="47F6BB5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如对比选文件有疑问，必须以书面形式在提交投标文件截止时间3个工作日前向采购人或采购代理机构要求澄清，采购人或采购代理机构可视具体情况做出处理或答复。如</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未提出疑问，视为完全理解并同意本比选文件。一经进入比选程序，即视为</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已详细阅读全部文件资料，完全理解比选文件所有条款内容并同意放弃对这方面有不明白及误解的权利。</w:t>
      </w:r>
      <w:bookmarkStart w:id="189" w:name="_Toc318166429"/>
      <w:bookmarkStart w:id="190" w:name="_Toc318159160"/>
      <w:bookmarkStart w:id="191" w:name="_Toc318159780"/>
      <w:bookmarkStart w:id="192" w:name="_Toc318159349"/>
    </w:p>
    <w:p w14:paraId="067C15D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（四）本比选文件中，比选小组根据与</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进行比选可能实质性变动的内容为比选文件第二、三、六篇全部内容。</w:t>
      </w:r>
    </w:p>
    <w:p w14:paraId="0BE7882C">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szCs w:val="24"/>
          <w:highlight w:val="none"/>
        </w:rPr>
        <w:t>（五）评审的依据为比选文件和投标文件（含有效的书面承诺）。比选小组判断投标文件对比选文件的响应，仅基于投标文件本身而不靠外部证据。</w:t>
      </w:r>
    </w:p>
    <w:bookmarkEnd w:id="189"/>
    <w:bookmarkEnd w:id="190"/>
    <w:bookmarkEnd w:id="191"/>
    <w:bookmarkEnd w:id="192"/>
    <w:p w14:paraId="00ED5D19">
      <w:pPr>
        <w:pStyle w:val="3"/>
        <w:spacing w:line="360" w:lineRule="auto"/>
        <w:ind w:firstLine="482" w:firstLineChars="200"/>
        <w:outlineLvl w:val="0"/>
        <w:rPr>
          <w:rFonts w:hint="eastAsia" w:ascii="宋体" w:hAnsi="宋体" w:eastAsia="宋体" w:cs="宋体"/>
          <w:b/>
          <w:color w:val="auto"/>
          <w:sz w:val="24"/>
          <w:szCs w:val="24"/>
          <w:highlight w:val="none"/>
        </w:rPr>
      </w:pPr>
      <w:bookmarkStart w:id="193" w:name="_Toc13560"/>
      <w:bookmarkStart w:id="194" w:name="_Toc24628"/>
      <w:bookmarkStart w:id="195" w:name="_Toc25472"/>
      <w:bookmarkStart w:id="196" w:name="_Toc29891"/>
      <w:r>
        <w:rPr>
          <w:rFonts w:hint="eastAsia" w:ascii="宋体" w:hAnsi="宋体" w:eastAsia="宋体" w:cs="宋体"/>
          <w:b/>
          <w:color w:val="auto"/>
          <w:sz w:val="24"/>
          <w:szCs w:val="24"/>
          <w:highlight w:val="none"/>
        </w:rPr>
        <w:t>三、比选要求</w:t>
      </w:r>
      <w:bookmarkEnd w:id="185"/>
      <w:bookmarkEnd w:id="186"/>
      <w:bookmarkEnd w:id="187"/>
      <w:bookmarkEnd w:id="188"/>
      <w:bookmarkEnd w:id="193"/>
      <w:bookmarkEnd w:id="194"/>
      <w:bookmarkEnd w:id="195"/>
      <w:bookmarkEnd w:id="196"/>
    </w:p>
    <w:p w14:paraId="3312DB78">
      <w:pPr>
        <w:spacing w:line="360" w:lineRule="auto"/>
        <w:ind w:firstLine="480" w:firstLineChars="200"/>
        <w:rPr>
          <w:rFonts w:hint="eastAsia" w:ascii="宋体" w:hAnsi="宋体" w:eastAsia="宋体" w:cs="宋体"/>
          <w:color w:val="auto"/>
          <w:sz w:val="24"/>
          <w:szCs w:val="24"/>
          <w:highlight w:val="none"/>
        </w:rPr>
      </w:pPr>
      <w:bookmarkStart w:id="197" w:name="_Toc439685502"/>
      <w:r>
        <w:rPr>
          <w:rFonts w:hint="eastAsia" w:ascii="宋体" w:hAnsi="宋体" w:eastAsia="宋体" w:cs="宋体"/>
          <w:color w:val="auto"/>
          <w:sz w:val="24"/>
          <w:szCs w:val="24"/>
          <w:highlight w:val="none"/>
        </w:rPr>
        <w:t>（一）投标文件</w:t>
      </w:r>
    </w:p>
    <w:p w14:paraId="31D8798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应当按照比选文件的要求编制投标文件，并对比选文件提出的要求和条件作出实质性响应，投标文件原则上采用软面订本，同时应编制完整的页码、目录。</w:t>
      </w:r>
    </w:p>
    <w:p w14:paraId="1313007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2.投标文件组成</w:t>
      </w:r>
    </w:p>
    <w:p w14:paraId="234A478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投标文件由第七篇“投标文件编制要求”规定的部分和</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所作的一切有效补充、修改和承诺等文件组成，</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应按照第七篇“投标文件编制要求”规定的目录顺序组织编写和装订，也可在基本格式基础上对表格进行扩展，未规定格式的由</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自定格式。</w:t>
      </w:r>
    </w:p>
    <w:p w14:paraId="17E3BAE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（二）联合体</w:t>
      </w:r>
    </w:p>
    <w:p w14:paraId="4005B56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本项目不接受联合体比选。</w:t>
      </w:r>
    </w:p>
    <w:p w14:paraId="33954B6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（三）比选有效期：投标文件及有关承诺文件有效期为提交投标文件截止时间起90天。</w:t>
      </w:r>
    </w:p>
    <w:p w14:paraId="467E13B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（四）比选保证金：</w:t>
      </w:r>
    </w:p>
    <w:p w14:paraId="62C4774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提交保证金金额和方式详见本文件第一篇“五、比选保证金”；</w:t>
      </w:r>
    </w:p>
    <w:p w14:paraId="03D5792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2.发生以下情况之一者，比选保证金不予退还：</w:t>
      </w:r>
    </w:p>
    <w:p w14:paraId="5A3028C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2.1 </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在提交投标文件截止时间后撤回投标文件的；</w:t>
      </w:r>
    </w:p>
    <w:p w14:paraId="3159EAF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2.2 </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在投标文件中提供虚假材料的；</w:t>
      </w:r>
    </w:p>
    <w:p w14:paraId="6D65A96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除因不可抗力或比选文件认可的情形以外，</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不与采购人签订合同的；</w:t>
      </w:r>
    </w:p>
    <w:p w14:paraId="0C638D0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2.4 </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与采购人、其他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或者采购代理机构恶意串通的；</w:t>
      </w:r>
    </w:p>
    <w:p w14:paraId="1615540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2.5 </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不按规定的时间或拒绝按</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状态签订合同（即不按照竞争性比选文件确定的合同文本以及采购标的、规格型号、采购金额、采购数量、服务和</w:t>
      </w:r>
      <w:r>
        <w:rPr>
          <w:rFonts w:hint="eastAsia" w:ascii="宋体" w:hAnsi="宋体" w:eastAsia="宋体" w:cs="宋体"/>
          <w:color w:val="auto"/>
          <w:sz w:val="24"/>
          <w:szCs w:val="24"/>
          <w:highlight w:val="none"/>
          <w:lang w:val="en-US" w:eastAsia="zh-CN"/>
        </w:rPr>
        <w:t>商务</w:t>
      </w:r>
      <w:r>
        <w:rPr>
          <w:rFonts w:hint="eastAsia" w:ascii="宋体" w:hAnsi="宋体" w:eastAsia="宋体" w:cs="宋体"/>
          <w:color w:val="auto"/>
          <w:sz w:val="24"/>
          <w:szCs w:val="24"/>
          <w:highlight w:val="none"/>
        </w:rPr>
        <w:t>要求等事项签订采购合同的。）。</w:t>
      </w:r>
    </w:p>
    <w:p w14:paraId="2BACE60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（四）修正错误</w:t>
      </w:r>
    </w:p>
    <w:p w14:paraId="649EB8F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1.若</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所递交的投标文件中的价格出现大写金额和小写金额不一致的错误，以大写金额修正为准。</w:t>
      </w:r>
    </w:p>
    <w:p w14:paraId="5CEB7BE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2.比选小组按上述修正错误的原则及方法修正</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的报价，</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同意并签字确认后，修正后的报价对</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具有约束作用。如果</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不接受修正后的价格，将失去成为</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的资格。</w:t>
      </w:r>
    </w:p>
    <w:p w14:paraId="6A7CC78C">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（五）提交投标文件的份数和签署</w:t>
      </w:r>
    </w:p>
    <w:p w14:paraId="2B62D04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1.投标文件一式</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份，其中正本一份，副本</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份；</w:t>
      </w:r>
    </w:p>
    <w:p w14:paraId="1F562601">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2.在投标文件中，正本必须按第七篇投标文件编制要求签字、盖章，副本可为正本的复印件，应与正本一致，如出现不一致情况以正本为准。</w:t>
      </w:r>
    </w:p>
    <w:p w14:paraId="30C56B3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（六）投标文件的递交</w:t>
      </w:r>
    </w:p>
    <w:p w14:paraId="4E415DE6">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1.投标文件的密封与标记</w:t>
      </w:r>
    </w:p>
    <w:p w14:paraId="40906D6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投标文件的正本一份装入一个密封袋，副本</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份装入一个密封袋。密封袋上注明项目编号、项目名称、</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名称、“正本”、“副本”字样。密封袋的封口应加盖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公章或法人授权代表签字并有字样：</w:t>
      </w:r>
      <w:r>
        <w:rPr>
          <w:rFonts w:hint="eastAsia" w:ascii="宋体" w:hAnsi="宋体" w:eastAsia="宋体" w:cs="宋体"/>
          <w:color w:val="auto"/>
          <w:sz w:val="24"/>
          <w:szCs w:val="24"/>
          <w:highlight w:val="none"/>
          <w:lang w:eastAsia="zh-CN"/>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分（北京时间）前不得开启的密封条。</w:t>
      </w:r>
    </w:p>
    <w:p w14:paraId="7CF4EAB9">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2.投标文件递交截止时间：参阅采购邀请书。</w:t>
      </w:r>
    </w:p>
    <w:p w14:paraId="3B720E71">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3.投标文件语言：简体中文</w:t>
      </w:r>
    </w:p>
    <w:p w14:paraId="41376B0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参与人员</w:t>
      </w:r>
    </w:p>
    <w:p w14:paraId="3CE06ECC">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各个</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可派1-2名代表参与比选，至少1人应为法定代表人或具有法定代表人授权委托书的授权代表。</w:t>
      </w:r>
    </w:p>
    <w:p w14:paraId="56A5F692">
      <w:pPr>
        <w:pStyle w:val="11"/>
        <w:spacing w:line="360" w:lineRule="auto"/>
        <w:rPr>
          <w:rFonts w:hint="eastAsia" w:ascii="宋体" w:hAnsi="宋体" w:eastAsia="宋体" w:cs="宋体"/>
          <w:color w:val="auto"/>
        </w:rPr>
      </w:pPr>
    </w:p>
    <w:p w14:paraId="1EBEA77C">
      <w:pPr>
        <w:pStyle w:val="3"/>
        <w:spacing w:line="360" w:lineRule="auto"/>
        <w:ind w:firstLine="482" w:firstLineChars="200"/>
        <w:outlineLvl w:val="0"/>
        <w:rPr>
          <w:rFonts w:hint="eastAsia" w:ascii="宋体" w:hAnsi="宋体" w:eastAsia="宋体" w:cs="宋体"/>
          <w:b/>
          <w:color w:val="auto"/>
          <w:sz w:val="24"/>
          <w:szCs w:val="24"/>
          <w:highlight w:val="none"/>
        </w:rPr>
      </w:pPr>
      <w:bookmarkStart w:id="198" w:name="_Toc21851"/>
      <w:bookmarkStart w:id="199" w:name="_Toc30903"/>
      <w:bookmarkStart w:id="200" w:name="_Toc6960"/>
      <w:bookmarkStart w:id="201" w:name="_Toc13521"/>
      <w:r>
        <w:rPr>
          <w:rFonts w:hint="eastAsia" w:ascii="宋体" w:hAnsi="宋体" w:eastAsia="宋体" w:cs="宋体"/>
          <w:b/>
          <w:color w:val="auto"/>
          <w:sz w:val="24"/>
          <w:szCs w:val="24"/>
          <w:highlight w:val="none"/>
        </w:rPr>
        <w:t>四、</w:t>
      </w:r>
      <w:r>
        <w:rPr>
          <w:rFonts w:hint="eastAsia" w:ascii="宋体" w:hAnsi="宋体" w:eastAsia="宋体" w:cs="宋体"/>
          <w:b/>
          <w:color w:val="auto"/>
          <w:sz w:val="24"/>
          <w:szCs w:val="24"/>
          <w:highlight w:val="none"/>
          <w:lang w:eastAsia="zh-CN"/>
        </w:rPr>
        <w:t>中标人</w:t>
      </w:r>
      <w:r>
        <w:rPr>
          <w:rFonts w:hint="eastAsia" w:ascii="宋体" w:hAnsi="宋体" w:eastAsia="宋体" w:cs="宋体"/>
          <w:b/>
          <w:color w:val="auto"/>
          <w:sz w:val="24"/>
          <w:szCs w:val="24"/>
          <w:highlight w:val="none"/>
        </w:rPr>
        <w:t>的确认和变更</w:t>
      </w:r>
      <w:bookmarkEnd w:id="197"/>
      <w:bookmarkEnd w:id="198"/>
      <w:bookmarkEnd w:id="199"/>
      <w:bookmarkEnd w:id="200"/>
      <w:bookmarkEnd w:id="201"/>
    </w:p>
    <w:p w14:paraId="2B84449E">
      <w:pPr>
        <w:snapToGrid w:val="0"/>
        <w:spacing w:line="360" w:lineRule="auto"/>
        <w:ind w:firstLine="480" w:firstLineChars="200"/>
        <w:rPr>
          <w:rFonts w:hint="eastAsia" w:ascii="宋体" w:hAnsi="宋体" w:eastAsia="宋体" w:cs="宋体"/>
          <w:color w:val="auto"/>
          <w:sz w:val="24"/>
          <w:szCs w:val="24"/>
          <w:highlight w:val="none"/>
        </w:rPr>
      </w:pPr>
      <w:bookmarkStart w:id="202" w:name="_Toc102227321"/>
      <w:bookmarkStart w:id="203" w:name="_Toc342913395"/>
      <w:bookmarkStart w:id="204" w:name="_Toc439685503"/>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的确认</w:t>
      </w:r>
    </w:p>
    <w:p w14:paraId="4F72F1F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采购代理机构应当在评审结束后2个工作日内将评审报告送采购人确认。采购人应当在收到评审报告后5个工作日内，从评审报告提出的</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候选</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中，按照排序由高到低的原则确定</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，也可以书面授权比选小组直接确定</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。采购人逾期未确定</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且不提出异议的，视为确定评审报告提出的排序第一的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w:t>
      </w:r>
    </w:p>
    <w:p w14:paraId="2A727DA9">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的变更</w:t>
      </w:r>
    </w:p>
    <w:p w14:paraId="76F1CD0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拒绝签订政府采购合同的，采购人可以按照评审报告推荐的</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顺序，确定排名下一位的候选人为</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，也可以重新开展政府采购活动。拒绝签订政府采购合同的</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不得参加对该项目重新开展的采购活动。</w:t>
      </w:r>
    </w:p>
    <w:p w14:paraId="03DDB8B6">
      <w:pPr>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无充分理由放弃</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的，采购人将会同采购代理机构把相关情况报财政部门，财政部门将根据相关法律法规的规定对违规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进行处罚。</w:t>
      </w:r>
    </w:p>
    <w:p w14:paraId="76212F4B">
      <w:pPr>
        <w:pStyle w:val="3"/>
        <w:spacing w:line="360" w:lineRule="auto"/>
        <w:ind w:firstLine="482" w:firstLineChars="200"/>
        <w:outlineLvl w:val="0"/>
        <w:rPr>
          <w:rFonts w:hint="eastAsia" w:ascii="宋体" w:hAnsi="宋体" w:eastAsia="宋体" w:cs="宋体"/>
          <w:b/>
          <w:color w:val="auto"/>
          <w:sz w:val="24"/>
          <w:szCs w:val="24"/>
          <w:highlight w:val="none"/>
        </w:rPr>
      </w:pPr>
      <w:bookmarkStart w:id="205" w:name="_Toc3454"/>
      <w:bookmarkStart w:id="206" w:name="_Toc8404"/>
      <w:bookmarkStart w:id="207" w:name="_Toc20210"/>
      <w:bookmarkStart w:id="208" w:name="_Toc18022"/>
      <w:r>
        <w:rPr>
          <w:rFonts w:hint="eastAsia" w:ascii="宋体" w:hAnsi="宋体" w:eastAsia="宋体" w:cs="宋体"/>
          <w:b/>
          <w:color w:val="auto"/>
          <w:sz w:val="24"/>
          <w:szCs w:val="24"/>
          <w:highlight w:val="none"/>
        </w:rPr>
        <w:t>五、</w:t>
      </w:r>
      <w:r>
        <w:rPr>
          <w:rFonts w:hint="eastAsia" w:ascii="宋体" w:hAnsi="宋体" w:eastAsia="宋体" w:cs="宋体"/>
          <w:b/>
          <w:color w:val="auto"/>
          <w:sz w:val="24"/>
          <w:szCs w:val="24"/>
          <w:highlight w:val="none"/>
          <w:lang w:val="en-US" w:eastAsia="zh-CN"/>
        </w:rPr>
        <w:t>中标（</w:t>
      </w:r>
      <w:r>
        <w:rPr>
          <w:rFonts w:hint="eastAsia" w:ascii="宋体" w:hAnsi="宋体" w:eastAsia="宋体" w:cs="宋体"/>
          <w:b/>
          <w:color w:val="auto"/>
          <w:sz w:val="24"/>
          <w:szCs w:val="24"/>
          <w:highlight w:val="none"/>
        </w:rPr>
        <w:t>成交</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通知</w:t>
      </w:r>
      <w:bookmarkEnd w:id="202"/>
      <w:bookmarkEnd w:id="203"/>
      <w:bookmarkEnd w:id="204"/>
      <w:bookmarkEnd w:id="205"/>
      <w:bookmarkEnd w:id="206"/>
      <w:bookmarkEnd w:id="207"/>
      <w:bookmarkEnd w:id="208"/>
    </w:p>
    <w:p w14:paraId="42FAD212">
      <w:pPr>
        <w:spacing w:line="360" w:lineRule="auto"/>
        <w:ind w:firstLine="480" w:firstLineChars="200"/>
        <w:rPr>
          <w:rFonts w:hint="eastAsia" w:ascii="宋体" w:hAnsi="宋体" w:eastAsia="宋体" w:cs="宋体"/>
          <w:color w:val="auto"/>
          <w:sz w:val="24"/>
          <w:szCs w:val="24"/>
          <w:highlight w:val="none"/>
        </w:rPr>
      </w:pPr>
      <w:bookmarkStart w:id="209" w:name="_Toc439685504"/>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确定后，采购代理机构将在</w:t>
      </w:r>
      <w:r>
        <w:rPr>
          <w:rFonts w:hint="eastAsia" w:ascii="宋体" w:hAnsi="宋体" w:eastAsia="宋体" w:cs="宋体"/>
          <w:color w:val="auto"/>
          <w:kern w:val="0"/>
          <w:sz w:val="24"/>
          <w:szCs w:val="24"/>
          <w:highlight w:val="none"/>
        </w:rPr>
        <w:t>行采家（https://www.gec123.com/）</w:t>
      </w:r>
      <w:r>
        <w:rPr>
          <w:rFonts w:hint="eastAsia" w:ascii="宋体" w:hAnsi="宋体" w:eastAsia="宋体" w:cs="宋体"/>
          <w:color w:val="auto"/>
          <w:sz w:val="24"/>
          <w:szCs w:val="24"/>
          <w:highlight w:val="none"/>
        </w:rPr>
        <w:t>上发布</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成交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结果公告。</w:t>
      </w:r>
    </w:p>
    <w:p w14:paraId="757B1A7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（二）结果公告发出同时，采购代理机构将以书面形式发出《</w:t>
      </w:r>
      <w:r>
        <w:rPr>
          <w:rFonts w:hint="eastAsia" w:ascii="宋体" w:hAnsi="宋体" w:eastAsia="宋体" w:cs="宋体"/>
          <w:color w:val="auto"/>
          <w:sz w:val="24"/>
          <w:szCs w:val="24"/>
          <w:highlight w:val="none"/>
          <w:lang w:val="en-US" w:eastAsia="zh-CN"/>
        </w:rPr>
        <w:t>中标（成交）</w:t>
      </w:r>
      <w:r>
        <w:rPr>
          <w:rFonts w:hint="eastAsia" w:ascii="宋体" w:hAnsi="宋体" w:eastAsia="宋体" w:cs="宋体"/>
          <w:color w:val="auto"/>
          <w:sz w:val="24"/>
          <w:szCs w:val="24"/>
          <w:highlight w:val="none"/>
        </w:rPr>
        <w:t>通知书》。《</w:t>
      </w:r>
      <w:r>
        <w:rPr>
          <w:rFonts w:hint="eastAsia" w:ascii="宋体" w:hAnsi="宋体" w:eastAsia="宋体" w:cs="宋体"/>
          <w:color w:val="auto"/>
          <w:sz w:val="24"/>
          <w:szCs w:val="24"/>
          <w:highlight w:val="none"/>
          <w:lang w:val="en-US" w:eastAsia="zh-CN"/>
        </w:rPr>
        <w:t>中标（成交）</w:t>
      </w:r>
      <w:r>
        <w:rPr>
          <w:rFonts w:hint="eastAsia" w:ascii="宋体" w:hAnsi="宋体" w:eastAsia="宋体" w:cs="宋体"/>
          <w:color w:val="auto"/>
          <w:sz w:val="24"/>
          <w:szCs w:val="24"/>
          <w:highlight w:val="none"/>
        </w:rPr>
        <w:t>通知书》一经发出即发生法律效力。</w:t>
      </w:r>
    </w:p>
    <w:p w14:paraId="5E484BE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val="en-US" w:eastAsia="zh-CN"/>
        </w:rPr>
        <w:t>中标（成交）</w:t>
      </w:r>
      <w:r>
        <w:rPr>
          <w:rFonts w:hint="eastAsia" w:ascii="宋体" w:hAnsi="宋体" w:eastAsia="宋体" w:cs="宋体"/>
          <w:color w:val="auto"/>
          <w:sz w:val="24"/>
          <w:szCs w:val="24"/>
          <w:highlight w:val="none"/>
        </w:rPr>
        <w:t>通知书》将作为签订合同的依据。</w:t>
      </w:r>
    </w:p>
    <w:p w14:paraId="63513C14">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szCs w:val="24"/>
          <w:highlight w:val="none"/>
        </w:rPr>
        <w:t>（四）如有</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结果提出质疑的，在质疑处理完毕后发出</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成交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通知书。</w:t>
      </w:r>
    </w:p>
    <w:p w14:paraId="72A01E5C">
      <w:pPr>
        <w:pStyle w:val="3"/>
        <w:spacing w:line="360" w:lineRule="auto"/>
        <w:ind w:firstLine="482" w:firstLineChars="200"/>
        <w:outlineLvl w:val="0"/>
        <w:rPr>
          <w:rFonts w:hint="eastAsia" w:ascii="宋体" w:hAnsi="宋体" w:eastAsia="宋体" w:cs="宋体"/>
          <w:b/>
          <w:color w:val="auto"/>
          <w:sz w:val="24"/>
          <w:szCs w:val="24"/>
          <w:highlight w:val="none"/>
        </w:rPr>
      </w:pPr>
      <w:bookmarkStart w:id="210" w:name="_Toc11671"/>
      <w:bookmarkStart w:id="211" w:name="_Toc23623"/>
      <w:bookmarkStart w:id="212" w:name="_Toc7226"/>
      <w:bookmarkStart w:id="213" w:name="_Toc6986"/>
      <w:r>
        <w:rPr>
          <w:rFonts w:hint="eastAsia" w:ascii="宋体" w:hAnsi="宋体" w:eastAsia="宋体" w:cs="宋体"/>
          <w:b/>
          <w:color w:val="auto"/>
          <w:sz w:val="24"/>
          <w:szCs w:val="24"/>
          <w:highlight w:val="none"/>
        </w:rPr>
        <w:t>六、关于质疑和投诉</w:t>
      </w:r>
      <w:bookmarkEnd w:id="209"/>
      <w:bookmarkEnd w:id="210"/>
      <w:bookmarkEnd w:id="211"/>
      <w:bookmarkEnd w:id="212"/>
      <w:bookmarkEnd w:id="213"/>
    </w:p>
    <w:p w14:paraId="10E298EF">
      <w:pPr>
        <w:spacing w:line="360" w:lineRule="auto"/>
        <w:ind w:firstLine="480" w:firstLineChars="200"/>
        <w:rPr>
          <w:rFonts w:hint="eastAsia" w:ascii="宋体" w:hAnsi="宋体" w:eastAsia="宋体" w:cs="宋体"/>
          <w:color w:val="auto"/>
          <w:sz w:val="24"/>
          <w:szCs w:val="24"/>
          <w:highlight w:val="none"/>
        </w:rPr>
      </w:pPr>
      <w:bookmarkStart w:id="214" w:name="_Toc102227322"/>
      <w:bookmarkStart w:id="215" w:name="_Toc439685507"/>
      <w:bookmarkStart w:id="216" w:name="_Toc342913396"/>
      <w:r>
        <w:rPr>
          <w:rFonts w:hint="eastAsia" w:ascii="宋体" w:hAnsi="宋体" w:eastAsia="宋体" w:cs="宋体"/>
          <w:color w:val="auto"/>
          <w:sz w:val="24"/>
          <w:szCs w:val="24"/>
          <w:highlight w:val="none"/>
        </w:rPr>
        <w:t>（一）质疑</w:t>
      </w:r>
    </w:p>
    <w:p w14:paraId="216FBC3E">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认为竞争性比选文件、采购过程和</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结果使自己的权益收到伤害的，可向采购人或采购代理机构以书面形式提出质疑。</w:t>
      </w:r>
    </w:p>
    <w:p w14:paraId="6303AA26">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提出质疑的应当是参与所质疑项目采购活动的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p>
    <w:p w14:paraId="1F4472FD">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1.质疑内容、时限</w:t>
      </w:r>
    </w:p>
    <w:p w14:paraId="202EBC79">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认为竞争性比选文件、采购过程、</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结果使自己的权益受到损害的，可以在知道或者应知其权益受到损害之日起7个工作日内，以书面形式向采购人、采购代理机构提出质疑。</w:t>
      </w:r>
    </w:p>
    <w:p w14:paraId="36533BE4">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 </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提出质疑应当提交质疑函和必要的证明材料，质疑函应当包括下列内容：</w:t>
      </w:r>
    </w:p>
    <w:p w14:paraId="59E9D7C3">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的姓名或者名称、地址、邮编、联系人及联系电话；</w:t>
      </w:r>
    </w:p>
    <w:p w14:paraId="606C7D2A">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（2）质疑项目的名称、项目号以及招标项目编号；</w:t>
      </w:r>
    </w:p>
    <w:p w14:paraId="7F11DA6F">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（3）具体、明确的质疑事项和与质疑事项相关的请求；</w:t>
      </w:r>
    </w:p>
    <w:p w14:paraId="3C1CD2B5">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（4）事实依据；</w:t>
      </w:r>
    </w:p>
    <w:p w14:paraId="705A675A">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（5）必要的法律依据；</w:t>
      </w:r>
    </w:p>
    <w:p w14:paraId="2E5EAE2E">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（6）提出质疑的日期；</w:t>
      </w:r>
    </w:p>
    <w:p w14:paraId="7084EB45">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（7）营业执照（或事业单位法人证书，或个体工商户营业执照或有效的自然人身份证明、组织机构代码证）复印件；</w:t>
      </w:r>
    </w:p>
    <w:p w14:paraId="18E24E7D">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（8）法定代表人授权委托书原件、法定代表人身份证复印件和其授权代表的身份证复印件（</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为自然人的提供自然人身份证复印件）；</w:t>
      </w:r>
    </w:p>
    <w:p w14:paraId="12C97B07">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 </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为自然人的，质疑函应当由本人签字；</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为法人或者其他组织的，质疑函应当由法定代表人、主要负责人，或者其授权代表签字或者盖章，并加盖公章。</w:t>
      </w:r>
    </w:p>
    <w:p w14:paraId="5009D719">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2.质疑答复</w:t>
      </w:r>
    </w:p>
    <w:p w14:paraId="1F7C1769">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采购人、采购代理机构应当在收到</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的书面质疑后七个工作日内作出答复，并以书面形式通知质疑</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和其他有关</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p>
    <w:p w14:paraId="6D859F0F">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w:t>
      </w:r>
    </w:p>
    <w:p w14:paraId="03FAA0AF">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3.1 </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应按照《政府采购质疑和投诉办法》（财政部令第94号）及相关法律法规要求，在法定质疑期内一次性提出针对同一采购程序环节的质疑。</w:t>
      </w:r>
    </w:p>
    <w:p w14:paraId="2A55C8A6">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质疑函范本可在财政部门户网站和中国政府采购网下载。</w:t>
      </w:r>
    </w:p>
    <w:p w14:paraId="44BE44AB">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（二）投诉</w:t>
      </w:r>
    </w:p>
    <w:p w14:paraId="6DEC8F66">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对采购人、采购代理机构的答复不满意，或者采购人、采购代理机构未在规定时间内作出答复的，可以在答复期满后15个工作日内按照相关法律法规向财政部门提起投诉。</w:t>
      </w:r>
    </w:p>
    <w:p w14:paraId="52179E75">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应按照《政府采购质疑和投诉办法》（财政部令第94号）及相关法律法规要求递交投诉书和必要的证明材料。投诉书范本可在财政部门户网站和中国政府采购网下载。</w:t>
      </w:r>
    </w:p>
    <w:p w14:paraId="19E03D67">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3424D7E3">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4.在确定受理投诉后，财政部门自受理投诉之日起30个工作日内（需要检验、检测、鉴定、专家评审以及需要投诉人补正材料的，所需时间不计算在投诉处理期限内）对投诉事项做出处理决定。</w:t>
      </w:r>
    </w:p>
    <w:p w14:paraId="22A5525A">
      <w:pPr>
        <w:pStyle w:val="11"/>
        <w:spacing w:line="360" w:lineRule="auto"/>
        <w:rPr>
          <w:rFonts w:hint="eastAsia" w:ascii="宋体" w:hAnsi="宋体" w:eastAsia="宋体" w:cs="宋体"/>
          <w:color w:val="auto"/>
        </w:rPr>
      </w:pPr>
    </w:p>
    <w:p w14:paraId="55F0D764">
      <w:pPr>
        <w:pStyle w:val="3"/>
        <w:spacing w:line="360" w:lineRule="auto"/>
        <w:ind w:firstLine="482" w:firstLineChars="200"/>
        <w:outlineLvl w:val="0"/>
        <w:rPr>
          <w:rFonts w:hint="eastAsia" w:ascii="宋体" w:hAnsi="宋体" w:eastAsia="宋体" w:cs="宋体"/>
          <w:b/>
          <w:color w:val="auto"/>
          <w:sz w:val="24"/>
          <w:szCs w:val="24"/>
          <w:highlight w:val="none"/>
        </w:rPr>
      </w:pPr>
      <w:bookmarkStart w:id="217" w:name="_Toc30375"/>
      <w:bookmarkStart w:id="218" w:name="_Toc2235"/>
      <w:bookmarkStart w:id="219" w:name="_Toc26988"/>
      <w:bookmarkStart w:id="220" w:name="_Toc21753"/>
      <w:r>
        <w:rPr>
          <w:rFonts w:hint="eastAsia" w:ascii="宋体" w:hAnsi="宋体" w:eastAsia="宋体" w:cs="宋体"/>
          <w:b/>
          <w:color w:val="auto"/>
          <w:sz w:val="24"/>
          <w:szCs w:val="24"/>
          <w:highlight w:val="none"/>
        </w:rPr>
        <w:t>七、采购代理服务费</w:t>
      </w:r>
      <w:bookmarkEnd w:id="217"/>
      <w:bookmarkEnd w:id="218"/>
      <w:bookmarkEnd w:id="219"/>
      <w:bookmarkEnd w:id="220"/>
    </w:p>
    <w:p w14:paraId="5EBEF9EB">
      <w:pPr>
        <w:spacing w:line="360" w:lineRule="auto"/>
        <w:ind w:firstLine="480" w:firstLineChars="200"/>
        <w:rPr>
          <w:rFonts w:hint="eastAsia" w:ascii="宋体" w:hAnsi="宋体" w:eastAsia="宋体" w:cs="宋体"/>
          <w:color w:val="auto"/>
          <w:sz w:val="24"/>
          <w:szCs w:val="24"/>
          <w:highlight w:val="none"/>
          <w:lang w:val="en-US" w:eastAsia="zh-CN"/>
        </w:rPr>
      </w:pPr>
      <w:bookmarkStart w:id="221" w:name="OLE_LINK8"/>
      <w:bookmarkStart w:id="222" w:name="OLE_LINK7"/>
      <w:r>
        <w:rPr>
          <w:rFonts w:hint="eastAsia" w:ascii="宋体" w:hAnsi="宋体" w:eastAsia="宋体" w:cs="宋体"/>
          <w:color w:val="auto"/>
          <w:sz w:val="24"/>
          <w:szCs w:val="24"/>
          <w:highlight w:val="none"/>
          <w:lang w:val="en-US" w:eastAsia="zh-CN"/>
        </w:rPr>
        <w:t>（一）供应商成交后向采购代理机构缴纳采购代理服务费，采购代理服务费的收取标准按照计价格[2002]1980号“货物招标”执行</w:t>
      </w:r>
      <w:bookmarkEnd w:id="221"/>
      <w:bookmarkEnd w:id="222"/>
      <w:r>
        <w:rPr>
          <w:rFonts w:hint="eastAsia" w:ascii="宋体" w:hAnsi="宋体" w:eastAsia="宋体" w:cs="宋体"/>
          <w:color w:val="auto"/>
          <w:sz w:val="24"/>
          <w:szCs w:val="24"/>
          <w:highlight w:val="none"/>
          <w:lang w:val="en-US" w:eastAsia="zh-CN"/>
        </w:rPr>
        <w:t>。</w:t>
      </w:r>
    </w:p>
    <w:p w14:paraId="3C3ADB49">
      <w:pPr>
        <w:spacing w:line="360" w:lineRule="auto"/>
        <w:ind w:firstLine="482" w:firstLineChars="200"/>
        <w:outlineLvl w:val="0"/>
        <w:rPr>
          <w:rFonts w:hint="eastAsia" w:ascii="宋体" w:hAnsi="宋体" w:eastAsia="宋体" w:cs="宋体"/>
          <w:b/>
          <w:color w:val="auto"/>
          <w:sz w:val="24"/>
          <w:szCs w:val="24"/>
          <w:highlight w:val="none"/>
        </w:rPr>
      </w:pPr>
      <w:bookmarkStart w:id="223" w:name="_Toc2480"/>
      <w:bookmarkStart w:id="224" w:name="_Toc25672"/>
      <w:r>
        <w:rPr>
          <w:rFonts w:hint="eastAsia" w:ascii="宋体" w:hAnsi="宋体" w:eastAsia="宋体" w:cs="宋体"/>
          <w:b/>
          <w:color w:val="auto"/>
          <w:sz w:val="24"/>
          <w:szCs w:val="24"/>
          <w:highlight w:val="none"/>
        </w:rPr>
        <w:t>八、签订</w:t>
      </w:r>
      <w:bookmarkEnd w:id="214"/>
      <w:r>
        <w:rPr>
          <w:rFonts w:hint="eastAsia" w:ascii="宋体" w:hAnsi="宋体" w:eastAsia="宋体" w:cs="宋体"/>
          <w:b/>
          <w:color w:val="auto"/>
          <w:sz w:val="24"/>
          <w:szCs w:val="24"/>
          <w:highlight w:val="none"/>
        </w:rPr>
        <w:t>合同</w:t>
      </w:r>
      <w:bookmarkEnd w:id="215"/>
      <w:bookmarkEnd w:id="216"/>
      <w:bookmarkEnd w:id="223"/>
      <w:bookmarkEnd w:id="224"/>
    </w:p>
    <w:p w14:paraId="2D70ECE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（一）采购人与</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应当在</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成交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通知书发出之日起</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日内，按照竞争性比选文件确定的合同文本以及采购标的、规格型号、采购金额、采购数量、服务和服务要求等事项签订采购合同。</w:t>
      </w:r>
    </w:p>
    <w:p w14:paraId="5A88B58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（二）比选文件、</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的投标文件及有效承诺文件等，均为签订合同的依据。</w:t>
      </w:r>
    </w:p>
    <w:p w14:paraId="631D307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（三）如</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放弃成交项目或在签订合同时擅自改变成交状态的，采购人将按照相关法律法规处理。</w:t>
      </w:r>
    </w:p>
    <w:p w14:paraId="408D12D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（四）采购人不得向</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提出超出比选文件以外的任何要求作为签订合同的条件，不得与</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订立背离比选确定的合同文本以及采购标的、规格型号、采购金额、采购数量、服务和服务要求等实质性内容的协议。</w:t>
      </w:r>
    </w:p>
    <w:p w14:paraId="45077AA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（五）除不可抗力等因素外，</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成交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通知书发出后，采购人改变</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结果，或者</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拒绝签订政府采购合同的，应当承担相应的法律责任。</w:t>
      </w:r>
    </w:p>
    <w:p w14:paraId="3D713174">
      <w:pPr>
        <w:pStyle w:val="22"/>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lang w:val="en-US" w:eastAsia="zh-CN"/>
        </w:rPr>
      </w:pPr>
      <w:r>
        <w:rPr>
          <w:rFonts w:hint="eastAsia" w:ascii="宋体" w:hAnsi="宋体" w:eastAsia="宋体" w:cs="宋体"/>
          <w:color w:val="auto"/>
          <w:kern w:val="2"/>
          <w:sz w:val="24"/>
          <w:szCs w:val="24"/>
          <w:highlight w:val="none"/>
          <w:lang w:val="en-US" w:eastAsia="zh-CN" w:bidi="ar-SA"/>
        </w:rPr>
        <w:t>（六）如在采购合同履行期间，采购人因有上级政策性有变动需要合同终止的，采购人不</w:t>
      </w:r>
      <w:r>
        <w:rPr>
          <w:rFonts w:hint="eastAsia" w:ascii="宋体" w:hAnsi="宋体" w:eastAsia="宋体" w:cs="宋体"/>
          <w:color w:val="auto"/>
          <w:sz w:val="24"/>
          <w:szCs w:val="24"/>
          <w:highlight w:val="none"/>
        </w:rPr>
        <w:t>承担相应的法律责任。</w:t>
      </w:r>
    </w:p>
    <w:p w14:paraId="1627197F">
      <w:pPr>
        <w:pStyle w:val="11"/>
        <w:spacing w:line="360" w:lineRule="auto"/>
        <w:rPr>
          <w:rFonts w:hint="eastAsia" w:ascii="宋体" w:hAnsi="宋体" w:eastAsia="宋体" w:cs="宋体"/>
          <w:color w:val="auto"/>
        </w:rPr>
      </w:pPr>
    </w:p>
    <w:p w14:paraId="55A4B8D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737C5C88">
      <w:pPr>
        <w:spacing w:line="360" w:lineRule="auto"/>
        <w:ind w:firstLine="480" w:firstLineChars="200"/>
        <w:rPr>
          <w:rFonts w:hint="eastAsia" w:ascii="宋体" w:hAnsi="宋体" w:eastAsia="宋体" w:cs="宋体"/>
          <w:color w:val="auto"/>
          <w:sz w:val="24"/>
          <w:szCs w:val="24"/>
          <w:highlight w:val="none"/>
        </w:rPr>
      </w:pPr>
    </w:p>
    <w:p w14:paraId="1A7CEDF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auto"/>
          <w:sz w:val="24"/>
          <w:szCs w:val="24"/>
          <w:highlight w:val="none"/>
          <w:lang w:val="en-US" w:eastAsia="zh-CN"/>
        </w:rPr>
      </w:pPr>
      <w:bookmarkStart w:id="225" w:name="_Toc6827"/>
      <w:bookmarkStart w:id="226" w:name="_Toc30013"/>
      <w:r>
        <w:rPr>
          <w:rFonts w:hint="eastAsia" w:ascii="宋体" w:hAnsi="宋体" w:eastAsia="宋体" w:cs="宋体"/>
          <w:b/>
          <w:bCs/>
          <w:color w:val="auto"/>
          <w:kern w:val="2"/>
          <w:sz w:val="44"/>
          <w:szCs w:val="22"/>
          <w:highlight w:val="none"/>
          <w:lang w:val="en-US" w:eastAsia="zh-CN" w:bidi="ar-SA"/>
        </w:rPr>
        <w:t>第六篇  采购合同</w:t>
      </w:r>
      <w:bookmarkEnd w:id="225"/>
      <w:bookmarkEnd w:id="226"/>
    </w:p>
    <w:p w14:paraId="4735BB3A">
      <w:pPr>
        <w:spacing w:line="360" w:lineRule="auto"/>
        <w:ind w:firstLine="720" w:firstLineChars="200"/>
        <w:rPr>
          <w:rFonts w:hint="eastAsia" w:ascii="宋体" w:hAnsi="宋体" w:eastAsia="宋体" w:cs="宋体"/>
          <w:color w:val="auto"/>
          <w:sz w:val="36"/>
          <w:szCs w:val="36"/>
          <w:highlight w:val="none"/>
          <w:lang w:val="en-US" w:eastAsia="zh-CN"/>
        </w:rPr>
      </w:pPr>
    </w:p>
    <w:p w14:paraId="4C3B09E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8"/>
          <w:szCs w:val="32"/>
          <w:highlight w:val="none"/>
        </w:rPr>
        <w:t>（具体与</w:t>
      </w:r>
      <w:r>
        <w:rPr>
          <w:rFonts w:hint="eastAsia" w:ascii="宋体" w:hAnsi="宋体" w:eastAsia="宋体" w:cs="宋体"/>
          <w:color w:val="auto"/>
          <w:sz w:val="28"/>
          <w:szCs w:val="32"/>
          <w:highlight w:val="none"/>
          <w:lang w:val="en-US" w:eastAsia="zh-CN"/>
        </w:rPr>
        <w:t>采购人</w:t>
      </w:r>
      <w:r>
        <w:rPr>
          <w:rFonts w:hint="eastAsia" w:ascii="宋体" w:hAnsi="宋体" w:eastAsia="宋体" w:cs="宋体"/>
          <w:color w:val="auto"/>
          <w:sz w:val="28"/>
          <w:szCs w:val="32"/>
          <w:highlight w:val="none"/>
        </w:rPr>
        <w:t>签订的合同为准）</w:t>
      </w:r>
    </w:p>
    <w:p w14:paraId="45FD4A21">
      <w:pPr>
        <w:spacing w:line="360" w:lineRule="auto"/>
        <w:rPr>
          <w:rFonts w:hint="eastAsia" w:ascii="宋体" w:hAnsi="宋体" w:eastAsia="宋体" w:cs="宋体"/>
          <w:color w:val="auto"/>
          <w:sz w:val="24"/>
          <w:szCs w:val="24"/>
          <w:highlight w:val="none"/>
        </w:rPr>
      </w:pPr>
    </w:p>
    <w:p w14:paraId="150F083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757D3D69">
      <w:pPr>
        <w:pStyle w:val="2"/>
        <w:spacing w:before="0" w:beforeLines="0" w:after="0" w:afterLines="0" w:line="360" w:lineRule="auto"/>
        <w:rPr>
          <w:rFonts w:hint="eastAsia" w:ascii="宋体" w:hAnsi="宋体" w:eastAsia="宋体" w:cs="宋体"/>
          <w:b/>
          <w:bCs/>
          <w:color w:val="auto"/>
          <w:highlight w:val="none"/>
        </w:rPr>
      </w:pPr>
      <w:bookmarkStart w:id="227" w:name="_Toc9016"/>
      <w:bookmarkStart w:id="228" w:name="_Toc19004"/>
      <w:bookmarkStart w:id="229" w:name="_Toc27842"/>
      <w:bookmarkStart w:id="230" w:name="_Toc11395"/>
      <w:r>
        <w:rPr>
          <w:rFonts w:hint="eastAsia" w:ascii="宋体" w:hAnsi="宋体" w:eastAsia="宋体" w:cs="宋体"/>
          <w:b/>
          <w:bCs/>
          <w:color w:val="auto"/>
          <w:highlight w:val="none"/>
        </w:rPr>
        <w:t>第</w:t>
      </w:r>
      <w:r>
        <w:rPr>
          <w:rFonts w:hint="eastAsia" w:ascii="宋体" w:hAnsi="宋体" w:eastAsia="宋体" w:cs="宋体"/>
          <w:b/>
          <w:bCs/>
          <w:color w:val="auto"/>
          <w:highlight w:val="none"/>
          <w:lang w:eastAsia="zh-CN"/>
        </w:rPr>
        <w:t>七</w:t>
      </w:r>
      <w:r>
        <w:rPr>
          <w:rFonts w:hint="eastAsia" w:ascii="宋体" w:hAnsi="宋体" w:eastAsia="宋体" w:cs="宋体"/>
          <w:b/>
          <w:bCs/>
          <w:color w:val="auto"/>
          <w:highlight w:val="none"/>
        </w:rPr>
        <w:t>篇  投标文件编制要求</w:t>
      </w:r>
      <w:bookmarkEnd w:id="227"/>
      <w:bookmarkEnd w:id="228"/>
      <w:bookmarkEnd w:id="229"/>
      <w:bookmarkEnd w:id="230"/>
    </w:p>
    <w:p w14:paraId="701A0148">
      <w:pPr>
        <w:snapToGrid w:val="0"/>
        <w:spacing w:line="360" w:lineRule="auto"/>
        <w:ind w:firstLine="482" w:firstLineChars="200"/>
        <w:outlineLvl w:val="0"/>
        <w:rPr>
          <w:rFonts w:hint="eastAsia" w:ascii="宋体" w:hAnsi="宋体" w:eastAsia="宋体" w:cs="宋体"/>
          <w:b/>
          <w:color w:val="auto"/>
          <w:sz w:val="24"/>
          <w:szCs w:val="24"/>
          <w:highlight w:val="none"/>
        </w:rPr>
      </w:pPr>
      <w:bookmarkStart w:id="231" w:name="_Toc1615"/>
      <w:bookmarkStart w:id="232" w:name="_Toc29223"/>
      <w:r>
        <w:rPr>
          <w:rFonts w:hint="eastAsia" w:ascii="宋体" w:hAnsi="宋体" w:eastAsia="宋体" w:cs="宋体"/>
          <w:b/>
          <w:color w:val="auto"/>
          <w:sz w:val="24"/>
          <w:szCs w:val="24"/>
          <w:highlight w:val="none"/>
        </w:rPr>
        <w:t>一、经济部分</w:t>
      </w:r>
      <w:bookmarkEnd w:id="231"/>
      <w:bookmarkEnd w:id="232"/>
    </w:p>
    <w:p w14:paraId="54F0C697">
      <w:pPr>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szCs w:val="24"/>
          <w:highlight w:val="none"/>
        </w:rPr>
        <w:t>（一）比选报价函</w:t>
      </w:r>
    </w:p>
    <w:p w14:paraId="0B28D2F4">
      <w:pPr>
        <w:snapToGrid w:val="0"/>
        <w:spacing w:line="360" w:lineRule="auto"/>
        <w:ind w:firstLine="482" w:firstLineChars="200"/>
        <w:outlineLvl w:val="0"/>
        <w:rPr>
          <w:rFonts w:hint="eastAsia" w:ascii="宋体" w:hAnsi="宋体" w:eastAsia="宋体" w:cs="宋体"/>
          <w:b/>
          <w:color w:val="auto"/>
          <w:sz w:val="24"/>
          <w:szCs w:val="24"/>
          <w:highlight w:val="none"/>
        </w:rPr>
      </w:pPr>
      <w:bookmarkStart w:id="233" w:name="_Toc6436"/>
      <w:bookmarkStart w:id="234" w:name="_Toc8481"/>
      <w:r>
        <w:rPr>
          <w:rFonts w:hint="eastAsia" w:ascii="宋体" w:hAnsi="宋体" w:eastAsia="宋体" w:cs="宋体"/>
          <w:b/>
          <w:color w:val="auto"/>
          <w:sz w:val="24"/>
          <w:szCs w:val="24"/>
          <w:highlight w:val="none"/>
        </w:rPr>
        <w:t>二、服务部分</w:t>
      </w:r>
      <w:bookmarkEnd w:id="233"/>
      <w:bookmarkEnd w:id="234"/>
    </w:p>
    <w:p w14:paraId="7C0C7EE2">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（一）服务方案（格式自定）</w:t>
      </w:r>
    </w:p>
    <w:p w14:paraId="1E602E6E">
      <w:pPr>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szCs w:val="24"/>
          <w:highlight w:val="none"/>
        </w:rPr>
        <w:t>（二）服务响应偏离表（本表可自行设计格式）</w:t>
      </w:r>
    </w:p>
    <w:p w14:paraId="79D0F179">
      <w:pPr>
        <w:snapToGrid w:val="0"/>
        <w:spacing w:line="360" w:lineRule="auto"/>
        <w:ind w:firstLine="482" w:firstLineChars="200"/>
        <w:outlineLvl w:val="0"/>
        <w:rPr>
          <w:rFonts w:hint="eastAsia" w:ascii="宋体" w:hAnsi="宋体" w:eastAsia="宋体" w:cs="宋体"/>
          <w:b/>
          <w:color w:val="auto"/>
          <w:sz w:val="24"/>
          <w:szCs w:val="24"/>
          <w:highlight w:val="none"/>
        </w:rPr>
      </w:pPr>
      <w:bookmarkStart w:id="235" w:name="_Toc25284"/>
      <w:bookmarkStart w:id="236" w:name="_Toc47"/>
      <w:r>
        <w:rPr>
          <w:rFonts w:hint="eastAsia" w:ascii="宋体" w:hAnsi="宋体" w:eastAsia="宋体" w:cs="宋体"/>
          <w:b/>
          <w:color w:val="auto"/>
          <w:sz w:val="24"/>
          <w:szCs w:val="24"/>
          <w:highlight w:val="none"/>
        </w:rPr>
        <w:t>三、商务部分</w:t>
      </w:r>
      <w:bookmarkEnd w:id="235"/>
      <w:bookmarkEnd w:id="236"/>
    </w:p>
    <w:p w14:paraId="73D43336">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（一）商务要求响应情况：服务时间、服务地点、优惠承诺等（格式自定）</w:t>
      </w:r>
    </w:p>
    <w:p w14:paraId="584D5849">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（二）商务响应偏离表（本表可自行设计格式）</w:t>
      </w:r>
    </w:p>
    <w:p w14:paraId="4A351EE5">
      <w:pPr>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szCs w:val="24"/>
          <w:highlight w:val="none"/>
        </w:rPr>
        <w:t>（三）商务评分需提供的资料</w:t>
      </w:r>
    </w:p>
    <w:p w14:paraId="62F69BB5">
      <w:pPr>
        <w:snapToGrid w:val="0"/>
        <w:spacing w:line="360" w:lineRule="auto"/>
        <w:ind w:firstLine="482" w:firstLineChars="200"/>
        <w:outlineLvl w:val="0"/>
        <w:rPr>
          <w:rFonts w:hint="eastAsia" w:ascii="宋体" w:hAnsi="宋体" w:eastAsia="宋体" w:cs="宋体"/>
          <w:b/>
          <w:color w:val="auto"/>
          <w:sz w:val="24"/>
          <w:szCs w:val="24"/>
          <w:highlight w:val="none"/>
        </w:rPr>
      </w:pPr>
      <w:bookmarkStart w:id="237" w:name="_Toc7173"/>
      <w:bookmarkStart w:id="238" w:name="_Toc7223"/>
      <w:r>
        <w:rPr>
          <w:rFonts w:hint="eastAsia" w:ascii="宋体" w:hAnsi="宋体" w:eastAsia="宋体" w:cs="宋体"/>
          <w:b/>
          <w:color w:val="auto"/>
          <w:sz w:val="24"/>
          <w:szCs w:val="24"/>
          <w:highlight w:val="none"/>
        </w:rPr>
        <w:t>四、资格条件及其他</w:t>
      </w:r>
      <w:bookmarkEnd w:id="237"/>
      <w:bookmarkEnd w:id="238"/>
    </w:p>
    <w:p w14:paraId="32C0B83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法人营业执照（副本）或事业单位法人证书（副本）或个体工商户营业执照或有效的自然人身份证明或社会团体法人登记证书（提供复印件）.</w:t>
      </w:r>
    </w:p>
    <w:p w14:paraId="4FADD13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）法定代表人身份证明书（格式）</w:t>
      </w:r>
    </w:p>
    <w:p w14:paraId="5F4F864C">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）法定代表人授权委托书（格式）</w:t>
      </w:r>
    </w:p>
    <w:p w14:paraId="03479522">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）基本资格条件承诺函（格式）</w:t>
      </w:r>
    </w:p>
    <w:p w14:paraId="6A706E1D">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）特定资格条件证明文件</w:t>
      </w:r>
    </w:p>
    <w:p w14:paraId="74397762">
      <w:pPr>
        <w:snapToGrid w:val="0"/>
        <w:spacing w:line="360" w:lineRule="auto"/>
        <w:ind w:firstLine="482" w:firstLineChars="200"/>
        <w:outlineLvl w:val="0"/>
        <w:rPr>
          <w:rFonts w:hint="eastAsia" w:ascii="宋体" w:hAnsi="宋体" w:eastAsia="宋体" w:cs="宋体"/>
          <w:b/>
          <w:color w:val="auto"/>
          <w:sz w:val="24"/>
          <w:szCs w:val="24"/>
          <w:highlight w:val="none"/>
        </w:rPr>
      </w:pPr>
      <w:bookmarkStart w:id="239" w:name="_Toc5849"/>
      <w:bookmarkStart w:id="240" w:name="_Toc26290"/>
      <w:r>
        <w:rPr>
          <w:rFonts w:hint="eastAsia" w:ascii="宋体" w:hAnsi="宋体" w:eastAsia="宋体" w:cs="宋体"/>
          <w:b/>
          <w:color w:val="auto"/>
          <w:sz w:val="24"/>
          <w:szCs w:val="24"/>
          <w:highlight w:val="none"/>
        </w:rPr>
        <w:t>五、其他应提供的资料</w:t>
      </w:r>
      <w:bookmarkEnd w:id="239"/>
      <w:bookmarkEnd w:id="240"/>
    </w:p>
    <w:p w14:paraId="4EC8DB5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（一）其他与项目有关的资料</w:t>
      </w:r>
    </w:p>
    <w:p w14:paraId="11E2033D">
      <w:pPr>
        <w:tabs>
          <w:tab w:val="left" w:pos="6300"/>
        </w:tabs>
        <w:snapToGrid w:val="0"/>
        <w:spacing w:line="360" w:lineRule="auto"/>
        <w:jc w:val="both"/>
        <w:outlineLvl w:val="9"/>
        <w:rPr>
          <w:rFonts w:hint="eastAsia" w:ascii="宋体" w:hAnsi="宋体" w:eastAsia="宋体" w:cs="宋体"/>
          <w:color w:val="auto"/>
          <w:sz w:val="32"/>
          <w:szCs w:val="32"/>
          <w:highlight w:val="none"/>
        </w:rPr>
      </w:pPr>
      <w:bookmarkStart w:id="241" w:name="_Toc429584884"/>
    </w:p>
    <w:p w14:paraId="216133E4">
      <w:pPr>
        <w:spacing w:line="360" w:lineRule="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p>
    <w:p w14:paraId="70247A18">
      <w:pPr>
        <w:spacing w:line="360" w:lineRule="auto"/>
        <w:ind w:firstLine="360" w:firstLineChars="100"/>
        <w:rPr>
          <w:rFonts w:hint="eastAsia" w:ascii="宋体" w:hAnsi="宋体" w:eastAsia="宋体" w:cs="宋体"/>
          <w:color w:val="auto"/>
          <w:sz w:val="36"/>
          <w:szCs w:val="36"/>
          <w:highlight w:val="none"/>
          <w:lang w:val="en-US" w:eastAsia="zh-CN"/>
        </w:rPr>
      </w:pPr>
      <w:r>
        <w:rPr>
          <w:rFonts w:hint="eastAsia" w:ascii="宋体" w:hAnsi="宋体" w:eastAsia="宋体" w:cs="宋体"/>
          <w:color w:val="auto"/>
          <w:sz w:val="36"/>
          <w:szCs w:val="36"/>
          <w:highlight w:val="none"/>
          <w:lang w:val="en-US" w:eastAsia="zh-CN"/>
        </w:rPr>
        <w:t xml:space="preserve">    项目名称：       </w:t>
      </w:r>
    </w:p>
    <w:p w14:paraId="22E6311E">
      <w:pPr>
        <w:pStyle w:val="11"/>
        <w:spacing w:line="360" w:lineRule="auto"/>
        <w:rPr>
          <w:rFonts w:hint="eastAsia" w:ascii="宋体" w:hAnsi="宋体" w:eastAsia="宋体" w:cs="宋体"/>
          <w:color w:val="auto"/>
          <w:sz w:val="36"/>
          <w:szCs w:val="36"/>
          <w:highlight w:val="none"/>
        </w:rPr>
      </w:pPr>
    </w:p>
    <w:p w14:paraId="2E294D85">
      <w:pPr>
        <w:spacing w:line="360" w:lineRule="auto"/>
        <w:rPr>
          <w:rFonts w:hint="eastAsia" w:ascii="宋体" w:hAnsi="宋体" w:eastAsia="宋体" w:cs="宋体"/>
          <w:color w:val="auto"/>
          <w:highlight w:val="none"/>
        </w:rPr>
      </w:pPr>
    </w:p>
    <w:p w14:paraId="58AB159E">
      <w:pPr>
        <w:spacing w:line="360" w:lineRule="auto"/>
        <w:jc w:val="center"/>
        <w:outlineLvl w:val="9"/>
        <w:rPr>
          <w:rFonts w:hint="eastAsia" w:ascii="宋体" w:hAnsi="宋体" w:eastAsia="宋体" w:cs="宋体"/>
          <w:color w:val="auto"/>
          <w:spacing w:val="80"/>
          <w:sz w:val="112"/>
          <w:szCs w:val="112"/>
          <w:highlight w:val="none"/>
        </w:rPr>
      </w:pPr>
    </w:p>
    <w:p w14:paraId="045C2878">
      <w:pPr>
        <w:spacing w:line="360" w:lineRule="auto"/>
        <w:jc w:val="center"/>
        <w:outlineLvl w:val="0"/>
        <w:rPr>
          <w:rFonts w:hint="eastAsia" w:ascii="宋体" w:hAnsi="宋体" w:eastAsia="宋体" w:cs="宋体"/>
          <w:b/>
          <w:bCs/>
          <w:color w:val="auto"/>
          <w:spacing w:val="80"/>
          <w:sz w:val="112"/>
          <w:szCs w:val="112"/>
          <w:highlight w:val="none"/>
        </w:rPr>
      </w:pPr>
      <w:bookmarkStart w:id="242" w:name="_Toc4239"/>
      <w:bookmarkStart w:id="243" w:name="_Toc13363"/>
      <w:r>
        <w:rPr>
          <w:rFonts w:hint="eastAsia" w:ascii="宋体" w:hAnsi="宋体" w:eastAsia="宋体" w:cs="宋体"/>
          <w:b/>
          <w:bCs/>
          <w:color w:val="auto"/>
          <w:spacing w:val="80"/>
          <w:sz w:val="112"/>
          <w:szCs w:val="112"/>
          <w:highlight w:val="none"/>
        </w:rPr>
        <w:t>投标文件</w:t>
      </w:r>
      <w:bookmarkEnd w:id="242"/>
      <w:bookmarkEnd w:id="243"/>
    </w:p>
    <w:p w14:paraId="4C940F07">
      <w:pPr>
        <w:spacing w:line="360" w:lineRule="auto"/>
        <w:rPr>
          <w:rFonts w:hint="eastAsia" w:ascii="宋体" w:hAnsi="宋体" w:eastAsia="宋体" w:cs="宋体"/>
          <w:color w:val="auto"/>
          <w:sz w:val="32"/>
          <w:highlight w:val="none"/>
        </w:rPr>
      </w:pPr>
    </w:p>
    <w:p w14:paraId="43367557">
      <w:pPr>
        <w:spacing w:line="360" w:lineRule="auto"/>
        <w:jc w:val="center"/>
        <w:rPr>
          <w:rFonts w:hint="eastAsia" w:ascii="宋体" w:hAnsi="宋体" w:eastAsia="宋体" w:cs="宋体"/>
          <w:b/>
          <w:color w:val="auto"/>
          <w:sz w:val="36"/>
          <w:szCs w:val="36"/>
          <w:highlight w:val="none"/>
        </w:rPr>
      </w:pPr>
    </w:p>
    <w:p w14:paraId="221EB3A7">
      <w:pPr>
        <w:spacing w:line="360" w:lineRule="auto"/>
        <w:rPr>
          <w:rFonts w:hint="eastAsia" w:ascii="宋体" w:hAnsi="宋体" w:eastAsia="宋体" w:cs="宋体"/>
          <w:b/>
          <w:color w:val="auto"/>
          <w:sz w:val="36"/>
          <w:szCs w:val="36"/>
          <w:highlight w:val="none"/>
        </w:rPr>
      </w:pPr>
    </w:p>
    <w:p w14:paraId="792597E4">
      <w:pPr>
        <w:spacing w:line="360" w:lineRule="auto"/>
        <w:rPr>
          <w:rFonts w:hint="eastAsia" w:ascii="宋体" w:hAnsi="宋体" w:eastAsia="宋体" w:cs="宋体"/>
          <w:color w:val="auto"/>
          <w:sz w:val="36"/>
          <w:szCs w:val="36"/>
          <w:highlight w:val="none"/>
        </w:rPr>
      </w:pPr>
    </w:p>
    <w:p w14:paraId="03DE3764">
      <w:pPr>
        <w:spacing w:line="360" w:lineRule="auto"/>
        <w:rPr>
          <w:rFonts w:hint="eastAsia" w:ascii="宋体" w:hAnsi="宋体" w:eastAsia="宋体" w:cs="宋体"/>
          <w:color w:val="auto"/>
          <w:sz w:val="16"/>
          <w:szCs w:val="16"/>
          <w:highlight w:val="none"/>
        </w:rPr>
      </w:pPr>
      <w:r>
        <w:rPr>
          <w:rFonts w:hint="eastAsia" w:ascii="宋体" w:hAnsi="宋体" w:eastAsia="宋体" w:cs="宋体"/>
          <w:color w:val="auto"/>
          <w:sz w:val="36"/>
          <w:szCs w:val="36"/>
          <w:highlight w:val="none"/>
          <w:lang w:eastAsia="zh-CN"/>
        </w:rPr>
        <w:t>投标人</w:t>
      </w:r>
      <w:r>
        <w:rPr>
          <w:rFonts w:hint="eastAsia" w:ascii="宋体" w:hAnsi="宋体" w:eastAsia="宋体" w:cs="宋体"/>
          <w:color w:val="auto"/>
          <w:sz w:val="36"/>
          <w:szCs w:val="36"/>
          <w:highlight w:val="none"/>
        </w:rPr>
        <w:t>（公章）：</w:t>
      </w:r>
    </w:p>
    <w:p w14:paraId="0A278882">
      <w:pPr>
        <w:spacing w:line="360" w:lineRule="auto"/>
        <w:outlineLvl w:val="0"/>
        <w:rPr>
          <w:rFonts w:hint="eastAsia" w:ascii="宋体" w:hAnsi="宋体" w:eastAsia="宋体" w:cs="宋体"/>
          <w:color w:val="auto"/>
          <w:sz w:val="36"/>
          <w:szCs w:val="36"/>
          <w:highlight w:val="none"/>
        </w:rPr>
      </w:pPr>
      <w:bookmarkStart w:id="244" w:name="_Toc30568"/>
      <w:bookmarkStart w:id="245" w:name="_Toc5671"/>
      <w:bookmarkStart w:id="246" w:name="_Toc28117"/>
      <w:bookmarkStart w:id="247" w:name="_Toc2043"/>
      <w:r>
        <w:rPr>
          <w:rFonts w:hint="eastAsia" w:ascii="宋体" w:hAnsi="宋体" w:eastAsia="宋体" w:cs="宋体"/>
          <w:color w:val="auto"/>
          <w:sz w:val="36"/>
          <w:szCs w:val="36"/>
          <w:highlight w:val="none"/>
        </w:rPr>
        <w:t>地址：</w:t>
      </w:r>
      <w:bookmarkEnd w:id="244"/>
      <w:bookmarkEnd w:id="245"/>
      <w:bookmarkEnd w:id="246"/>
      <w:bookmarkEnd w:id="247"/>
    </w:p>
    <w:p w14:paraId="2705057B">
      <w:pPr>
        <w:spacing w:line="360" w:lineRule="auto"/>
        <w:outlineLvl w:val="0"/>
        <w:rPr>
          <w:rFonts w:hint="eastAsia" w:ascii="宋体" w:hAnsi="宋体" w:eastAsia="宋体" w:cs="宋体"/>
          <w:color w:val="auto"/>
          <w:sz w:val="36"/>
          <w:szCs w:val="36"/>
          <w:highlight w:val="none"/>
        </w:rPr>
      </w:pPr>
      <w:bookmarkStart w:id="248" w:name="_Toc2305"/>
      <w:bookmarkStart w:id="249" w:name="_Toc8076"/>
      <w:bookmarkStart w:id="250" w:name="_Toc4551"/>
      <w:bookmarkStart w:id="251" w:name="_Toc19107"/>
      <w:r>
        <w:rPr>
          <w:rFonts w:hint="eastAsia" w:ascii="宋体" w:hAnsi="宋体" w:eastAsia="宋体" w:cs="宋体"/>
          <w:color w:val="auto"/>
          <w:sz w:val="36"/>
          <w:szCs w:val="36"/>
          <w:highlight w:val="none"/>
        </w:rPr>
        <w:t>法定代表人或授权代表（签字）：</w:t>
      </w:r>
      <w:bookmarkEnd w:id="248"/>
      <w:bookmarkEnd w:id="249"/>
      <w:bookmarkEnd w:id="250"/>
      <w:bookmarkEnd w:id="251"/>
    </w:p>
    <w:p w14:paraId="73554B81">
      <w:pPr>
        <w:pStyle w:val="9"/>
        <w:spacing w:line="360" w:lineRule="auto"/>
        <w:rPr>
          <w:rFonts w:hint="eastAsia" w:ascii="宋体" w:hAnsi="宋体" w:eastAsia="宋体" w:cs="宋体"/>
          <w:color w:val="auto"/>
          <w:highlight w:val="none"/>
        </w:rPr>
      </w:pPr>
      <w:r>
        <w:rPr>
          <w:rFonts w:hint="eastAsia" w:ascii="宋体" w:hAnsi="宋体" w:eastAsia="宋体" w:cs="宋体"/>
          <w:color w:val="auto"/>
          <w:sz w:val="36"/>
          <w:szCs w:val="36"/>
          <w:highlight w:val="none"/>
        </w:rPr>
        <w:t>联系电话：</w:t>
      </w:r>
    </w:p>
    <w:p w14:paraId="2B863D6E">
      <w:pPr>
        <w:spacing w:line="360" w:lineRule="auto"/>
        <w:jc w:val="center"/>
        <w:outlineLvl w:val="0"/>
        <w:rPr>
          <w:rFonts w:hint="eastAsia" w:ascii="宋体" w:hAnsi="宋体" w:eastAsia="宋体" w:cs="宋体"/>
          <w:color w:val="auto"/>
          <w:sz w:val="36"/>
          <w:szCs w:val="36"/>
          <w:highlight w:val="none"/>
        </w:rPr>
      </w:pPr>
      <w:bookmarkStart w:id="252" w:name="_Toc12308"/>
      <w:bookmarkStart w:id="253" w:name="_Toc29568"/>
      <w:bookmarkStart w:id="254" w:name="_Toc22352"/>
      <w:bookmarkStart w:id="255" w:name="_Toc23733"/>
      <w:r>
        <w:rPr>
          <w:rFonts w:hint="eastAsia" w:ascii="宋体" w:hAnsi="宋体" w:eastAsia="宋体" w:cs="宋体"/>
          <w:color w:val="auto"/>
          <w:sz w:val="36"/>
          <w:szCs w:val="36"/>
          <w:highlight w:val="none"/>
        </w:rPr>
        <w:t>二〇二</w:t>
      </w:r>
      <w:r>
        <w:rPr>
          <w:rFonts w:hint="eastAsia" w:ascii="宋体" w:hAnsi="宋体" w:eastAsia="宋体" w:cs="宋体"/>
          <w:color w:val="auto"/>
          <w:sz w:val="36"/>
          <w:szCs w:val="36"/>
          <w:highlight w:val="none"/>
          <w:lang w:val="en-US" w:eastAsia="zh-CN"/>
        </w:rPr>
        <w:t>五</w:t>
      </w:r>
      <w:r>
        <w:rPr>
          <w:rFonts w:hint="eastAsia" w:ascii="宋体" w:hAnsi="宋体" w:eastAsia="宋体" w:cs="宋体"/>
          <w:color w:val="auto"/>
          <w:sz w:val="36"/>
          <w:szCs w:val="36"/>
          <w:highlight w:val="none"/>
        </w:rPr>
        <w:t>年   月   日</w:t>
      </w:r>
      <w:bookmarkEnd w:id="252"/>
      <w:bookmarkEnd w:id="253"/>
      <w:bookmarkEnd w:id="254"/>
      <w:bookmarkEnd w:id="255"/>
    </w:p>
    <w:p w14:paraId="096DE5B1">
      <w:pPr>
        <w:spacing w:line="360" w:lineRule="auto"/>
        <w:rPr>
          <w:rFonts w:hint="eastAsia" w:ascii="宋体" w:hAnsi="宋体" w:eastAsia="宋体" w:cs="宋体"/>
          <w:bCs/>
          <w:color w:val="auto"/>
          <w:sz w:val="24"/>
          <w:szCs w:val="24"/>
          <w:highlight w:val="none"/>
        </w:rPr>
      </w:pPr>
    </w:p>
    <w:p w14:paraId="5907BC03">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26172B9">
      <w:pPr>
        <w:snapToGrid w:val="0"/>
        <w:spacing w:line="360" w:lineRule="auto"/>
        <w:outlineLvl w:val="0"/>
        <w:rPr>
          <w:rFonts w:hint="eastAsia" w:ascii="宋体" w:hAnsi="宋体" w:eastAsia="宋体" w:cs="宋体"/>
          <w:b/>
          <w:color w:val="auto"/>
          <w:sz w:val="24"/>
          <w:szCs w:val="24"/>
          <w:highlight w:val="none"/>
        </w:rPr>
      </w:pPr>
      <w:bookmarkStart w:id="256" w:name="_Toc21952"/>
      <w:bookmarkStart w:id="257" w:name="_Toc15782"/>
      <w:bookmarkStart w:id="258" w:name="_Toc16112"/>
      <w:bookmarkStart w:id="259" w:name="_Toc19258"/>
      <w:bookmarkStart w:id="260" w:name="_Toc28037"/>
      <w:r>
        <w:rPr>
          <w:rStyle w:val="45"/>
          <w:rFonts w:hint="eastAsia" w:ascii="宋体" w:hAnsi="宋体" w:eastAsia="宋体" w:cs="宋体"/>
          <w:b/>
          <w:bCs/>
          <w:color w:val="auto"/>
          <w:sz w:val="24"/>
          <w:szCs w:val="24"/>
          <w:highlight w:val="none"/>
        </w:rPr>
        <w:t>一、经济</w:t>
      </w:r>
      <w:bookmarkEnd w:id="241"/>
      <w:r>
        <w:rPr>
          <w:rStyle w:val="45"/>
          <w:rFonts w:hint="eastAsia" w:ascii="宋体" w:hAnsi="宋体" w:eastAsia="宋体" w:cs="宋体"/>
          <w:b/>
          <w:bCs/>
          <w:color w:val="auto"/>
          <w:sz w:val="24"/>
          <w:szCs w:val="24"/>
          <w:highlight w:val="none"/>
        </w:rPr>
        <w:t>部分</w:t>
      </w:r>
      <w:bookmarkEnd w:id="256"/>
      <w:bookmarkEnd w:id="257"/>
      <w:bookmarkEnd w:id="258"/>
      <w:bookmarkEnd w:id="259"/>
      <w:bookmarkEnd w:id="260"/>
    </w:p>
    <w:p w14:paraId="4A358315">
      <w:pPr>
        <w:snapToGrid w:val="0"/>
        <w:spacing w:line="360" w:lineRule="auto"/>
        <w:rPr>
          <w:rFonts w:hint="eastAsia" w:ascii="宋体" w:hAnsi="宋体" w:eastAsia="宋体" w:cs="宋体"/>
          <w:color w:val="auto"/>
          <w:sz w:val="24"/>
          <w:szCs w:val="44"/>
          <w:highlight w:val="none"/>
        </w:rPr>
      </w:pPr>
      <w:r>
        <w:rPr>
          <w:rFonts w:hint="eastAsia" w:ascii="宋体" w:hAnsi="宋体" w:eastAsia="宋体" w:cs="宋体"/>
          <w:color w:val="auto"/>
          <w:sz w:val="24"/>
          <w:szCs w:val="44"/>
          <w:highlight w:val="none"/>
        </w:rPr>
        <w:t>（一）比选报价函</w:t>
      </w:r>
    </w:p>
    <w:p w14:paraId="3E349163">
      <w:pPr>
        <w:snapToGrid w:val="0"/>
        <w:spacing w:line="360" w:lineRule="auto"/>
        <w:jc w:val="center"/>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比选报价函</w:t>
      </w:r>
    </w:p>
    <w:p w14:paraId="029687A4">
      <w:pPr>
        <w:tabs>
          <w:tab w:val="left" w:pos="6300"/>
        </w:tabs>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（采购代理机构名称）</w:t>
      </w:r>
      <w:r>
        <w:rPr>
          <w:rFonts w:hint="eastAsia" w:ascii="宋体" w:hAnsi="宋体" w:eastAsia="宋体" w:cs="宋体"/>
          <w:color w:val="auto"/>
          <w:sz w:val="24"/>
          <w:szCs w:val="24"/>
          <w:highlight w:val="none"/>
        </w:rPr>
        <w:t>：</w:t>
      </w:r>
    </w:p>
    <w:p w14:paraId="33343369">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我方收到____________________________（项目名称）的竞争性比选文件，经详细研究，决定参加该项目的比选。</w:t>
      </w:r>
    </w:p>
    <w:p w14:paraId="69DDF63F">
      <w:pPr>
        <w:keepNext w:val="0"/>
        <w:keepLines w:val="0"/>
        <w:pageBreakBefore w:val="0"/>
        <w:widowControl w:val="0"/>
        <w:numPr>
          <w:ilvl w:val="0"/>
          <w:numId w:val="0"/>
        </w:numPr>
        <w:tabs>
          <w:tab w:val="left" w:pos="0"/>
          <w:tab w:val="left" w:pos="6300"/>
        </w:tabs>
        <w:kinsoku/>
        <w:wordWrap/>
        <w:overflowPunct/>
        <w:topLinePunct w:val="0"/>
        <w:autoSpaceDE/>
        <w:autoSpaceDN/>
        <w:bidi w:val="0"/>
        <w:adjustRightInd/>
        <w:snapToGrid w:val="0"/>
        <w:spacing w:line="360" w:lineRule="auto"/>
        <w:ind w:leftChars="19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1、愿意按照竞争性比选文件中的一切要求，提供本项目的服务，</w:t>
      </w:r>
      <w:r>
        <w:rPr>
          <w:rFonts w:hint="eastAsia" w:ascii="宋体" w:hAnsi="宋体" w:eastAsia="宋体" w:cs="宋体"/>
          <w:color w:val="auto"/>
          <w:sz w:val="24"/>
          <w:szCs w:val="24"/>
          <w:highlight w:val="none"/>
          <w:lang w:val="en-US" w:eastAsia="zh-CN"/>
        </w:rPr>
        <w:t>本项目投标报价费率为</w:t>
      </w:r>
      <w:r>
        <w:rPr>
          <w:rFonts w:hint="eastAsia" w:ascii="宋体" w:hAnsi="宋体" w:eastAsia="宋体" w:cs="宋体"/>
          <w:color w:val="auto"/>
          <w:sz w:val="24"/>
          <w:szCs w:val="24"/>
          <w:highlight w:val="none"/>
          <w:u w:val="single"/>
        </w:rPr>
        <w:t>大写：</w:t>
      </w:r>
      <w:r>
        <w:rPr>
          <w:rFonts w:hint="eastAsia" w:ascii="宋体" w:hAnsi="宋体" w:eastAsia="宋体" w:cs="宋体"/>
          <w:color w:val="auto"/>
          <w:sz w:val="24"/>
          <w:szCs w:val="24"/>
          <w:highlight w:val="none"/>
          <w:u w:val="single"/>
          <w:lang w:val="en-US" w:eastAsia="zh-CN"/>
        </w:rPr>
        <w:t xml:space="preserve">百分之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小写：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w:t>
      </w:r>
    </w:p>
    <w:p w14:paraId="33207EF0">
      <w:pPr>
        <w:tabs>
          <w:tab w:val="left" w:pos="6300"/>
        </w:tabs>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2、我方现提交的投标文件为：投标文件正本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份，副本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p>
    <w:p w14:paraId="3B670BC8">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3、我方承诺：本次比选的有效期为90天。</w:t>
      </w:r>
    </w:p>
    <w:p w14:paraId="00CB20B1">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4、我方完全理解和接受贵方竞争性比选文件的一切规定和要求及评审办法。</w:t>
      </w:r>
    </w:p>
    <w:p w14:paraId="515C13D4">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5、在整个比选过程中，我方若有违规行为，接受按照《中华人民共和国政府采购法》和《比选文件》之规定给予惩罚。</w:t>
      </w:r>
    </w:p>
    <w:p w14:paraId="6DA088F9">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6、我方若成为</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，将按照最终比选结果签订合同，并且严格履行合同义务。本承诺函将成为合同不可分割的一部分，与合同具有同等的法律效力。</w:t>
      </w:r>
    </w:p>
    <w:p w14:paraId="3B183EC4">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7、我方同意按竞争性比选文件规定，交纳竞争性比选文件要求的比选保证金。</w:t>
      </w:r>
    </w:p>
    <w:p w14:paraId="3C4EBD46">
      <w:pPr>
        <w:tabs>
          <w:tab w:val="left" w:pos="6300"/>
        </w:tabs>
        <w:snapToGrid w:val="0"/>
        <w:spacing w:line="360" w:lineRule="auto"/>
        <w:ind w:firstLine="57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若我方</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，愿意按有关规定及</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文件要求缴纳招标代理服务费</w:t>
      </w:r>
      <w:r>
        <w:rPr>
          <w:rFonts w:hint="eastAsia" w:ascii="宋体" w:hAnsi="宋体" w:eastAsia="宋体" w:cs="宋体"/>
          <w:color w:val="auto"/>
          <w:sz w:val="24"/>
          <w:szCs w:val="24"/>
          <w:highlight w:val="none"/>
          <w:lang w:eastAsia="zh-CN"/>
        </w:rPr>
        <w:t>。</w:t>
      </w:r>
    </w:p>
    <w:p w14:paraId="5D087798">
      <w:pPr>
        <w:tabs>
          <w:tab w:val="left" w:pos="6300"/>
        </w:tabs>
        <w:snapToGrid w:val="0"/>
        <w:spacing w:line="360" w:lineRule="auto"/>
        <w:ind w:firstLine="570"/>
        <w:rPr>
          <w:rFonts w:hint="eastAsia" w:ascii="宋体" w:hAnsi="宋体" w:eastAsia="宋体" w:cs="宋体"/>
          <w:color w:val="auto"/>
          <w:sz w:val="24"/>
          <w:szCs w:val="24"/>
          <w:highlight w:val="none"/>
        </w:rPr>
      </w:pPr>
    </w:p>
    <w:p w14:paraId="2ECAA15C">
      <w:pPr>
        <w:tabs>
          <w:tab w:val="left" w:pos="6300"/>
        </w:tabs>
        <w:snapToGrid w:val="0"/>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（公章）：</w:t>
      </w:r>
    </w:p>
    <w:p w14:paraId="52BEA4D6">
      <w:pPr>
        <w:tabs>
          <w:tab w:val="left" w:pos="6300"/>
        </w:tabs>
        <w:snapToGrid w:val="0"/>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p>
    <w:p w14:paraId="0CC9E496">
      <w:pPr>
        <w:tabs>
          <w:tab w:val="left" w:pos="6300"/>
        </w:tabs>
        <w:snapToGrid w:val="0"/>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传真：</w:t>
      </w:r>
    </w:p>
    <w:p w14:paraId="3C2A83FF">
      <w:pPr>
        <w:tabs>
          <w:tab w:val="left" w:pos="6300"/>
        </w:tabs>
        <w:snapToGrid w:val="0"/>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网址：                                             邮编：</w:t>
      </w:r>
    </w:p>
    <w:p w14:paraId="2A574609">
      <w:pPr>
        <w:tabs>
          <w:tab w:val="left" w:pos="6300"/>
        </w:tabs>
        <w:snapToGrid w:val="0"/>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p w14:paraId="0E249D51">
      <w:pPr>
        <w:tabs>
          <w:tab w:val="left" w:pos="6300"/>
        </w:tabs>
        <w:snapToGrid w:val="0"/>
        <w:spacing w:line="360" w:lineRule="auto"/>
        <w:ind w:firstLine="570"/>
        <w:rPr>
          <w:rFonts w:hint="eastAsia" w:ascii="宋体" w:hAnsi="宋体" w:eastAsia="宋体" w:cs="宋体"/>
          <w:color w:val="auto"/>
          <w:sz w:val="24"/>
          <w:szCs w:val="24"/>
          <w:highlight w:val="none"/>
        </w:rPr>
      </w:pPr>
    </w:p>
    <w:p w14:paraId="79B64EB2">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580D6CA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2FAA3579">
      <w:pPr>
        <w:snapToGrid w:val="0"/>
        <w:spacing w:line="360" w:lineRule="auto"/>
        <w:outlineLvl w:val="0"/>
        <w:rPr>
          <w:rStyle w:val="45"/>
          <w:rFonts w:hint="eastAsia" w:ascii="宋体" w:hAnsi="宋体" w:eastAsia="宋体" w:cs="宋体"/>
          <w:b/>
          <w:bCs/>
          <w:color w:val="auto"/>
          <w:sz w:val="24"/>
          <w:szCs w:val="24"/>
          <w:highlight w:val="none"/>
        </w:rPr>
      </w:pPr>
      <w:bookmarkStart w:id="261" w:name="_Toc6315"/>
      <w:bookmarkStart w:id="262" w:name="_Toc15999"/>
      <w:bookmarkStart w:id="263" w:name="_Toc19014"/>
      <w:bookmarkStart w:id="264" w:name="_Toc26248"/>
      <w:bookmarkStart w:id="265" w:name="_Toc31572"/>
      <w:bookmarkStart w:id="266" w:name="_Toc342913421"/>
      <w:bookmarkStart w:id="267" w:name="_Toc439685512"/>
      <w:bookmarkStart w:id="268" w:name="_Toc313008358"/>
      <w:bookmarkStart w:id="269" w:name="_Toc313888362"/>
      <w:bookmarkStart w:id="270" w:name="_Toc429584885"/>
      <w:r>
        <w:rPr>
          <w:rStyle w:val="45"/>
          <w:rFonts w:hint="eastAsia" w:ascii="宋体" w:hAnsi="宋体" w:eastAsia="宋体" w:cs="宋体"/>
          <w:b/>
          <w:bCs/>
          <w:color w:val="auto"/>
          <w:sz w:val="24"/>
          <w:szCs w:val="24"/>
          <w:highlight w:val="none"/>
        </w:rPr>
        <w:t>二、服务部分</w:t>
      </w:r>
      <w:bookmarkEnd w:id="261"/>
      <w:bookmarkEnd w:id="262"/>
      <w:bookmarkEnd w:id="263"/>
    </w:p>
    <w:bookmarkEnd w:id="264"/>
    <w:bookmarkEnd w:id="265"/>
    <w:p w14:paraId="302F9BEE">
      <w:pPr>
        <w:tabs>
          <w:tab w:val="left" w:pos="6300"/>
        </w:tabs>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（一）服务方案（格式自定）</w:t>
      </w:r>
    </w:p>
    <w:p w14:paraId="22CD125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79DFCFBB">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（二）服务响应偏离表（本表可自行设计格式）</w:t>
      </w:r>
    </w:p>
    <w:p w14:paraId="703BC3A1">
      <w:pPr>
        <w:spacing w:line="360" w:lineRule="auto"/>
        <w:ind w:firstLine="480" w:firstLineChars="200"/>
        <w:rPr>
          <w:rFonts w:hint="eastAsia" w:ascii="宋体" w:hAnsi="宋体" w:eastAsia="宋体" w:cs="宋体"/>
          <w:color w:val="auto"/>
          <w:sz w:val="24"/>
          <w:szCs w:val="24"/>
          <w:highlight w:val="none"/>
        </w:rPr>
      </w:pPr>
    </w:p>
    <w:p w14:paraId="6D8AE2FC">
      <w:pPr>
        <w:spacing w:line="360" w:lineRule="auto"/>
        <w:ind w:firstLine="723" w:firstLineChars="2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36"/>
          <w:szCs w:val="36"/>
          <w:highlight w:val="none"/>
        </w:rPr>
        <w:t>服务响应偏离表</w:t>
      </w:r>
    </w:p>
    <w:p w14:paraId="03717F4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采购执行编号：</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0E00312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w:t>
      </w:r>
    </w:p>
    <w:tbl>
      <w:tblPr>
        <w:tblStyle w:val="27"/>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2822"/>
        <w:gridCol w:w="2759"/>
        <w:gridCol w:w="2067"/>
      </w:tblGrid>
      <w:tr w14:paraId="3D803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74" w:type="dxa"/>
            <w:vAlign w:val="center"/>
          </w:tcPr>
          <w:p w14:paraId="07A03A32">
            <w:pPr>
              <w:tabs>
                <w:tab w:val="left" w:pos="6300"/>
              </w:tabs>
              <w:snapToGrid w:val="0"/>
              <w:spacing w:line="360" w:lineRule="auto"/>
              <w:jc w:val="center"/>
              <w:outlineLvl w:val="0"/>
              <w:rPr>
                <w:rFonts w:hint="eastAsia" w:ascii="宋体" w:hAnsi="宋体" w:eastAsia="宋体" w:cs="宋体"/>
                <w:color w:val="auto"/>
                <w:sz w:val="24"/>
                <w:szCs w:val="24"/>
                <w:highlight w:val="none"/>
              </w:rPr>
            </w:pPr>
            <w:bookmarkStart w:id="271" w:name="_Toc27970"/>
            <w:bookmarkStart w:id="272" w:name="_Toc3655"/>
            <w:bookmarkStart w:id="273" w:name="_Toc9148"/>
            <w:bookmarkStart w:id="274" w:name="_Toc15959"/>
            <w:r>
              <w:rPr>
                <w:rFonts w:hint="eastAsia" w:ascii="宋体" w:hAnsi="宋体" w:eastAsia="宋体" w:cs="宋体"/>
                <w:color w:val="auto"/>
                <w:sz w:val="24"/>
                <w:szCs w:val="24"/>
                <w:highlight w:val="none"/>
              </w:rPr>
              <w:t>序号</w:t>
            </w:r>
            <w:bookmarkEnd w:id="271"/>
            <w:bookmarkEnd w:id="272"/>
            <w:bookmarkEnd w:id="273"/>
            <w:bookmarkEnd w:id="274"/>
          </w:p>
        </w:tc>
        <w:tc>
          <w:tcPr>
            <w:tcW w:w="2822" w:type="dxa"/>
            <w:vAlign w:val="center"/>
          </w:tcPr>
          <w:p w14:paraId="13D036FE">
            <w:pPr>
              <w:tabs>
                <w:tab w:val="left" w:pos="6300"/>
              </w:tabs>
              <w:snapToGrid w:val="0"/>
              <w:spacing w:line="360" w:lineRule="auto"/>
              <w:jc w:val="center"/>
              <w:outlineLvl w:val="0"/>
              <w:rPr>
                <w:rFonts w:hint="eastAsia" w:ascii="宋体" w:hAnsi="宋体" w:eastAsia="宋体" w:cs="宋体"/>
                <w:color w:val="auto"/>
                <w:sz w:val="24"/>
                <w:szCs w:val="24"/>
                <w:highlight w:val="none"/>
              </w:rPr>
            </w:pPr>
            <w:bookmarkStart w:id="275" w:name="_Toc17259"/>
            <w:bookmarkStart w:id="276" w:name="_Toc110"/>
            <w:bookmarkStart w:id="277" w:name="_Toc7055"/>
            <w:bookmarkStart w:id="278" w:name="_Toc31348"/>
            <w:r>
              <w:rPr>
                <w:rFonts w:hint="eastAsia" w:ascii="宋体" w:hAnsi="宋体" w:eastAsia="宋体" w:cs="宋体"/>
                <w:color w:val="auto"/>
                <w:sz w:val="24"/>
                <w:szCs w:val="24"/>
                <w:highlight w:val="none"/>
              </w:rPr>
              <w:t>采购需求</w:t>
            </w:r>
            <w:bookmarkEnd w:id="275"/>
            <w:bookmarkEnd w:id="276"/>
            <w:bookmarkEnd w:id="277"/>
            <w:bookmarkEnd w:id="278"/>
          </w:p>
        </w:tc>
        <w:tc>
          <w:tcPr>
            <w:tcW w:w="2759" w:type="dxa"/>
            <w:vAlign w:val="center"/>
          </w:tcPr>
          <w:p w14:paraId="2AAD8302">
            <w:pPr>
              <w:tabs>
                <w:tab w:val="left" w:pos="6300"/>
              </w:tabs>
              <w:snapToGrid w:val="0"/>
              <w:spacing w:line="360" w:lineRule="auto"/>
              <w:jc w:val="center"/>
              <w:outlineLvl w:val="0"/>
              <w:rPr>
                <w:rFonts w:hint="eastAsia" w:ascii="宋体" w:hAnsi="宋体" w:eastAsia="宋体" w:cs="宋体"/>
                <w:color w:val="auto"/>
                <w:sz w:val="24"/>
                <w:szCs w:val="24"/>
                <w:highlight w:val="none"/>
              </w:rPr>
            </w:pPr>
            <w:bookmarkStart w:id="279" w:name="_Toc12475"/>
            <w:bookmarkStart w:id="280" w:name="_Toc20339"/>
            <w:bookmarkStart w:id="281" w:name="_Toc12685"/>
            <w:bookmarkStart w:id="282" w:name="_Toc11681"/>
            <w:r>
              <w:rPr>
                <w:rFonts w:hint="eastAsia" w:ascii="宋体" w:hAnsi="宋体" w:eastAsia="宋体" w:cs="宋体"/>
                <w:color w:val="auto"/>
                <w:sz w:val="24"/>
                <w:szCs w:val="24"/>
                <w:highlight w:val="none"/>
              </w:rPr>
              <w:t>响应情况</w:t>
            </w:r>
            <w:bookmarkEnd w:id="279"/>
            <w:bookmarkEnd w:id="280"/>
            <w:bookmarkEnd w:id="281"/>
            <w:bookmarkEnd w:id="282"/>
          </w:p>
        </w:tc>
        <w:tc>
          <w:tcPr>
            <w:tcW w:w="2067" w:type="dxa"/>
            <w:vAlign w:val="center"/>
          </w:tcPr>
          <w:p w14:paraId="27F98D2B">
            <w:pPr>
              <w:tabs>
                <w:tab w:val="left" w:pos="6300"/>
              </w:tabs>
              <w:snapToGrid w:val="0"/>
              <w:spacing w:line="360" w:lineRule="auto"/>
              <w:jc w:val="center"/>
              <w:outlineLvl w:val="0"/>
              <w:rPr>
                <w:rFonts w:hint="eastAsia" w:ascii="宋体" w:hAnsi="宋体" w:eastAsia="宋体" w:cs="宋体"/>
                <w:color w:val="auto"/>
                <w:sz w:val="24"/>
                <w:szCs w:val="24"/>
                <w:highlight w:val="none"/>
              </w:rPr>
            </w:pPr>
            <w:bookmarkStart w:id="283" w:name="_Toc20030"/>
            <w:bookmarkStart w:id="284" w:name="_Toc20996"/>
            <w:bookmarkStart w:id="285" w:name="_Toc22199"/>
            <w:bookmarkStart w:id="286" w:name="_Toc28260"/>
            <w:r>
              <w:rPr>
                <w:rFonts w:hint="eastAsia" w:ascii="宋体" w:hAnsi="宋体" w:eastAsia="宋体" w:cs="宋体"/>
                <w:color w:val="auto"/>
                <w:sz w:val="24"/>
                <w:szCs w:val="24"/>
                <w:highlight w:val="none"/>
              </w:rPr>
              <w:t>偏离说明</w:t>
            </w:r>
            <w:bookmarkEnd w:id="283"/>
            <w:bookmarkEnd w:id="284"/>
            <w:bookmarkEnd w:id="285"/>
            <w:bookmarkEnd w:id="286"/>
          </w:p>
        </w:tc>
      </w:tr>
      <w:tr w14:paraId="7C771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74" w:type="dxa"/>
            <w:vAlign w:val="center"/>
          </w:tcPr>
          <w:p w14:paraId="1DE1EAAD">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822" w:type="dxa"/>
            <w:vAlign w:val="center"/>
          </w:tcPr>
          <w:p w14:paraId="69CD53B9">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759" w:type="dxa"/>
            <w:vAlign w:val="center"/>
          </w:tcPr>
          <w:p w14:paraId="1B6DD9F5">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067" w:type="dxa"/>
            <w:vAlign w:val="center"/>
          </w:tcPr>
          <w:p w14:paraId="47455EF8">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r>
      <w:tr w14:paraId="10FCC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74" w:type="dxa"/>
            <w:vAlign w:val="center"/>
          </w:tcPr>
          <w:p w14:paraId="2A57ADD3">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822" w:type="dxa"/>
            <w:vAlign w:val="center"/>
          </w:tcPr>
          <w:p w14:paraId="099D887C">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759" w:type="dxa"/>
            <w:vAlign w:val="center"/>
          </w:tcPr>
          <w:p w14:paraId="5878D13D">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067" w:type="dxa"/>
            <w:vAlign w:val="center"/>
          </w:tcPr>
          <w:p w14:paraId="6ACB2A4A">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r>
      <w:tr w14:paraId="5DF21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74" w:type="dxa"/>
            <w:vAlign w:val="center"/>
          </w:tcPr>
          <w:p w14:paraId="2CF95320">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822" w:type="dxa"/>
            <w:vAlign w:val="center"/>
          </w:tcPr>
          <w:p w14:paraId="3303CE21">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759" w:type="dxa"/>
            <w:vAlign w:val="center"/>
          </w:tcPr>
          <w:p w14:paraId="114C957B">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067" w:type="dxa"/>
            <w:vAlign w:val="center"/>
          </w:tcPr>
          <w:p w14:paraId="793D6095">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r>
      <w:tr w14:paraId="68EF5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74" w:type="dxa"/>
            <w:vAlign w:val="center"/>
          </w:tcPr>
          <w:p w14:paraId="21EB6F93">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822" w:type="dxa"/>
            <w:vAlign w:val="center"/>
          </w:tcPr>
          <w:p w14:paraId="5728A6D7">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759" w:type="dxa"/>
            <w:vAlign w:val="center"/>
          </w:tcPr>
          <w:p w14:paraId="0E384798">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067" w:type="dxa"/>
            <w:vAlign w:val="center"/>
          </w:tcPr>
          <w:p w14:paraId="6764BDA4">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r>
      <w:tr w14:paraId="101BB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74" w:type="dxa"/>
            <w:vAlign w:val="center"/>
          </w:tcPr>
          <w:p w14:paraId="11C13AD4">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822" w:type="dxa"/>
            <w:vAlign w:val="center"/>
          </w:tcPr>
          <w:p w14:paraId="36A74CDA">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759" w:type="dxa"/>
            <w:vAlign w:val="center"/>
          </w:tcPr>
          <w:p w14:paraId="5B289776">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067" w:type="dxa"/>
            <w:vAlign w:val="center"/>
          </w:tcPr>
          <w:p w14:paraId="77B1EBB0">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r>
      <w:tr w14:paraId="50C61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74" w:type="dxa"/>
            <w:vAlign w:val="center"/>
          </w:tcPr>
          <w:p w14:paraId="3890C07B">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822" w:type="dxa"/>
            <w:vAlign w:val="center"/>
          </w:tcPr>
          <w:p w14:paraId="7EB5890A">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759" w:type="dxa"/>
            <w:vAlign w:val="center"/>
          </w:tcPr>
          <w:p w14:paraId="0CF5758F">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067" w:type="dxa"/>
            <w:vAlign w:val="center"/>
          </w:tcPr>
          <w:p w14:paraId="26A11E8F">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r>
      <w:tr w14:paraId="28807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74" w:type="dxa"/>
            <w:vAlign w:val="center"/>
          </w:tcPr>
          <w:p w14:paraId="6272E69C">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822" w:type="dxa"/>
            <w:vAlign w:val="center"/>
          </w:tcPr>
          <w:p w14:paraId="5748FE38">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759" w:type="dxa"/>
            <w:vAlign w:val="center"/>
          </w:tcPr>
          <w:p w14:paraId="6FE117B1">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067" w:type="dxa"/>
            <w:vAlign w:val="center"/>
          </w:tcPr>
          <w:p w14:paraId="50A21F46">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r>
      <w:tr w14:paraId="5B65D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74" w:type="dxa"/>
            <w:vAlign w:val="center"/>
          </w:tcPr>
          <w:p w14:paraId="750F1512">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822" w:type="dxa"/>
            <w:vAlign w:val="center"/>
          </w:tcPr>
          <w:p w14:paraId="19B944B3">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759" w:type="dxa"/>
            <w:vAlign w:val="center"/>
          </w:tcPr>
          <w:p w14:paraId="0B660BAA">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067" w:type="dxa"/>
            <w:vAlign w:val="center"/>
          </w:tcPr>
          <w:p w14:paraId="53C68719">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r>
    </w:tbl>
    <w:p w14:paraId="399C06D3">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                                       法人授权代表：</w:t>
      </w:r>
    </w:p>
    <w:p w14:paraId="56014461">
      <w:pPr>
        <w:spacing w:line="360" w:lineRule="auto"/>
        <w:rPr>
          <w:rFonts w:hint="eastAsia" w:ascii="宋体" w:hAnsi="宋体" w:eastAsia="宋体" w:cs="宋体"/>
          <w:color w:val="auto"/>
          <w:sz w:val="24"/>
          <w:szCs w:val="24"/>
          <w:highlight w:val="none"/>
        </w:rPr>
      </w:pPr>
    </w:p>
    <w:p w14:paraId="09CD0CF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公章）                                      （签字或盖章）</w:t>
      </w:r>
    </w:p>
    <w:p w14:paraId="369F07C5">
      <w:pPr>
        <w:tabs>
          <w:tab w:val="left" w:pos="6300"/>
        </w:tabs>
        <w:snapToGrid w:val="0"/>
        <w:spacing w:line="360" w:lineRule="auto"/>
        <w:ind w:firstLine="7848" w:firstLineChars="32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03CFFB5E">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412E4012">
      <w:pPr>
        <w:tabs>
          <w:tab w:val="left" w:pos="6300"/>
        </w:tabs>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highlight w:val="none"/>
        </w:rPr>
        <w:t xml:space="preserve">.本表即为对本项目“第二篇 </w:t>
      </w:r>
      <w:r>
        <w:rPr>
          <w:rFonts w:hint="eastAsia" w:ascii="宋体" w:hAnsi="宋体" w:eastAsia="宋体" w:cs="宋体"/>
          <w:color w:val="auto"/>
          <w:sz w:val="24"/>
          <w:highlight w:val="none"/>
          <w:lang w:val="en-US" w:eastAsia="zh-CN"/>
        </w:rPr>
        <w:t>项目服务需求</w:t>
      </w:r>
      <w:r>
        <w:rPr>
          <w:rFonts w:hint="eastAsia" w:ascii="宋体" w:hAnsi="宋体" w:eastAsia="宋体" w:cs="宋体"/>
          <w:color w:val="auto"/>
          <w:sz w:val="24"/>
          <w:highlight w:val="none"/>
        </w:rPr>
        <w:t>”中所列条款进行比较和响应；</w:t>
      </w:r>
    </w:p>
    <w:p w14:paraId="7103150C">
      <w:pPr>
        <w:tabs>
          <w:tab w:val="left" w:pos="630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2.该表可拓展。</w:t>
      </w:r>
    </w:p>
    <w:p w14:paraId="6179D277">
      <w:pPr>
        <w:spacing w:line="360" w:lineRule="auto"/>
        <w:ind w:firstLine="600" w:firstLineChars="250"/>
        <w:rPr>
          <w:rFonts w:hint="eastAsia" w:ascii="宋体" w:hAnsi="宋体" w:eastAsia="宋体" w:cs="宋体"/>
          <w:color w:val="auto"/>
          <w:sz w:val="24"/>
          <w:szCs w:val="24"/>
          <w:highlight w:val="none"/>
        </w:rPr>
      </w:pPr>
    </w:p>
    <w:p w14:paraId="018E93A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3E18819F">
      <w:pPr>
        <w:snapToGrid w:val="0"/>
        <w:spacing w:line="360" w:lineRule="auto"/>
        <w:outlineLvl w:val="0"/>
        <w:rPr>
          <w:rStyle w:val="45"/>
          <w:rFonts w:hint="eastAsia" w:ascii="宋体" w:hAnsi="宋体" w:eastAsia="宋体" w:cs="宋体"/>
          <w:b/>
          <w:bCs/>
          <w:color w:val="auto"/>
          <w:sz w:val="24"/>
          <w:szCs w:val="24"/>
          <w:highlight w:val="none"/>
        </w:rPr>
      </w:pPr>
      <w:bookmarkStart w:id="287" w:name="_Toc11245"/>
      <w:bookmarkStart w:id="288" w:name="_Toc17454"/>
      <w:bookmarkStart w:id="289" w:name="_Toc31655"/>
      <w:bookmarkStart w:id="290" w:name="_Toc2013"/>
      <w:bookmarkStart w:id="291" w:name="_Toc31607"/>
      <w:r>
        <w:rPr>
          <w:rStyle w:val="45"/>
          <w:rFonts w:hint="eastAsia" w:ascii="宋体" w:hAnsi="宋体" w:eastAsia="宋体" w:cs="宋体"/>
          <w:b/>
          <w:bCs/>
          <w:color w:val="auto"/>
          <w:sz w:val="24"/>
          <w:szCs w:val="24"/>
          <w:highlight w:val="none"/>
        </w:rPr>
        <w:t>三、商务部分</w:t>
      </w:r>
      <w:bookmarkEnd w:id="266"/>
      <w:bookmarkEnd w:id="267"/>
      <w:bookmarkEnd w:id="268"/>
      <w:bookmarkEnd w:id="269"/>
      <w:bookmarkEnd w:id="287"/>
      <w:bookmarkEnd w:id="288"/>
      <w:bookmarkEnd w:id="289"/>
    </w:p>
    <w:bookmarkEnd w:id="290"/>
    <w:bookmarkEnd w:id="291"/>
    <w:p w14:paraId="2E8F8039">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（一）商务要求响应情况：服务时间、服务地点、优惠承诺等（格式自定）</w:t>
      </w:r>
    </w:p>
    <w:p w14:paraId="0D2ABD0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3D62AA9C">
      <w:pPr>
        <w:spacing w:line="360" w:lineRule="auto"/>
        <w:ind w:firstLine="600" w:firstLineChars="250"/>
        <w:rPr>
          <w:rFonts w:hint="eastAsia" w:ascii="宋体" w:hAnsi="宋体" w:eastAsia="宋体" w:cs="宋体"/>
          <w:b/>
          <w:color w:val="auto"/>
          <w:sz w:val="36"/>
          <w:szCs w:val="36"/>
          <w:highlight w:val="none"/>
        </w:rPr>
      </w:pPr>
      <w:r>
        <w:rPr>
          <w:rFonts w:hint="eastAsia" w:ascii="宋体" w:hAnsi="宋体" w:eastAsia="宋体" w:cs="宋体"/>
          <w:color w:val="auto"/>
          <w:sz w:val="24"/>
          <w:szCs w:val="24"/>
          <w:highlight w:val="none"/>
        </w:rPr>
        <w:t>（二）商务响应偏离表（本表可自行设计格式）</w:t>
      </w:r>
    </w:p>
    <w:p w14:paraId="48774569">
      <w:pPr>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商务响应偏离表</w:t>
      </w:r>
    </w:p>
    <w:p w14:paraId="73969D84">
      <w:pPr>
        <w:spacing w:line="360" w:lineRule="auto"/>
        <w:ind w:firstLine="480" w:firstLineChars="200"/>
        <w:rPr>
          <w:rFonts w:hint="eastAsia" w:ascii="宋体" w:hAnsi="宋体" w:eastAsia="宋体" w:cs="宋体"/>
          <w:color w:val="auto"/>
          <w:sz w:val="24"/>
          <w:szCs w:val="24"/>
          <w:highlight w:val="none"/>
        </w:rPr>
      </w:pPr>
    </w:p>
    <w:p w14:paraId="1FA92EAD">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采购执行编号：</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49AC3CC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w:t>
      </w:r>
    </w:p>
    <w:tbl>
      <w:tblPr>
        <w:tblStyle w:val="27"/>
        <w:tblW w:w="8932" w:type="dxa"/>
        <w:tblInd w:w="6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3312"/>
        <w:gridCol w:w="2434"/>
        <w:gridCol w:w="2355"/>
      </w:tblGrid>
      <w:tr w14:paraId="2E41B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31" w:type="dxa"/>
            <w:vAlign w:val="center"/>
          </w:tcPr>
          <w:p w14:paraId="4E774B43">
            <w:pPr>
              <w:tabs>
                <w:tab w:val="left" w:pos="6300"/>
              </w:tabs>
              <w:snapToGrid w:val="0"/>
              <w:spacing w:line="360" w:lineRule="auto"/>
              <w:jc w:val="center"/>
              <w:outlineLvl w:val="0"/>
              <w:rPr>
                <w:rFonts w:hint="eastAsia" w:ascii="宋体" w:hAnsi="宋体" w:eastAsia="宋体" w:cs="宋体"/>
                <w:color w:val="auto"/>
                <w:sz w:val="24"/>
                <w:szCs w:val="24"/>
                <w:highlight w:val="none"/>
              </w:rPr>
            </w:pPr>
            <w:bookmarkStart w:id="292" w:name="_Toc1993"/>
            <w:bookmarkStart w:id="293" w:name="_Toc4107"/>
            <w:bookmarkStart w:id="294" w:name="_Toc19066"/>
            <w:bookmarkStart w:id="295" w:name="_Toc30351"/>
            <w:r>
              <w:rPr>
                <w:rFonts w:hint="eastAsia" w:ascii="宋体" w:hAnsi="宋体" w:eastAsia="宋体" w:cs="宋体"/>
                <w:color w:val="auto"/>
                <w:sz w:val="24"/>
                <w:szCs w:val="24"/>
                <w:highlight w:val="none"/>
              </w:rPr>
              <w:t>序号</w:t>
            </w:r>
            <w:bookmarkEnd w:id="292"/>
            <w:bookmarkEnd w:id="293"/>
            <w:bookmarkEnd w:id="294"/>
            <w:bookmarkEnd w:id="295"/>
          </w:p>
        </w:tc>
        <w:tc>
          <w:tcPr>
            <w:tcW w:w="3312" w:type="dxa"/>
            <w:vAlign w:val="center"/>
          </w:tcPr>
          <w:p w14:paraId="14604746">
            <w:pPr>
              <w:tabs>
                <w:tab w:val="left" w:pos="6300"/>
              </w:tabs>
              <w:snapToGrid w:val="0"/>
              <w:spacing w:line="360" w:lineRule="auto"/>
              <w:jc w:val="center"/>
              <w:outlineLvl w:val="0"/>
              <w:rPr>
                <w:rFonts w:hint="eastAsia" w:ascii="宋体" w:hAnsi="宋体" w:eastAsia="宋体" w:cs="宋体"/>
                <w:color w:val="auto"/>
                <w:sz w:val="24"/>
                <w:szCs w:val="24"/>
                <w:highlight w:val="none"/>
              </w:rPr>
            </w:pPr>
            <w:bookmarkStart w:id="296" w:name="_Toc9592"/>
            <w:bookmarkStart w:id="297" w:name="_Toc25602"/>
            <w:bookmarkStart w:id="298" w:name="_Toc12562"/>
            <w:bookmarkStart w:id="299" w:name="_Toc2913"/>
            <w:r>
              <w:rPr>
                <w:rFonts w:hint="eastAsia" w:ascii="宋体" w:hAnsi="宋体" w:eastAsia="宋体" w:cs="宋体"/>
                <w:color w:val="auto"/>
                <w:sz w:val="24"/>
                <w:szCs w:val="24"/>
                <w:highlight w:val="none"/>
              </w:rPr>
              <w:t>比选项目需求</w:t>
            </w:r>
            <w:bookmarkEnd w:id="296"/>
            <w:bookmarkEnd w:id="297"/>
            <w:bookmarkEnd w:id="298"/>
            <w:bookmarkEnd w:id="299"/>
          </w:p>
        </w:tc>
        <w:tc>
          <w:tcPr>
            <w:tcW w:w="2434" w:type="dxa"/>
            <w:vAlign w:val="center"/>
          </w:tcPr>
          <w:p w14:paraId="1EE53CF2">
            <w:pPr>
              <w:tabs>
                <w:tab w:val="left" w:pos="6300"/>
              </w:tabs>
              <w:snapToGrid w:val="0"/>
              <w:spacing w:line="360" w:lineRule="auto"/>
              <w:jc w:val="center"/>
              <w:outlineLvl w:val="0"/>
              <w:rPr>
                <w:rFonts w:hint="eastAsia" w:ascii="宋体" w:hAnsi="宋体" w:eastAsia="宋体" w:cs="宋体"/>
                <w:color w:val="auto"/>
                <w:sz w:val="24"/>
                <w:szCs w:val="24"/>
                <w:highlight w:val="none"/>
              </w:rPr>
            </w:pPr>
            <w:bookmarkStart w:id="300" w:name="_Toc6203"/>
            <w:bookmarkStart w:id="301" w:name="_Toc27006"/>
            <w:bookmarkStart w:id="302" w:name="_Toc20447"/>
            <w:bookmarkStart w:id="303" w:name="_Toc28760"/>
            <w:r>
              <w:rPr>
                <w:rFonts w:hint="eastAsia" w:ascii="宋体" w:hAnsi="宋体" w:eastAsia="宋体" w:cs="宋体"/>
                <w:color w:val="auto"/>
                <w:sz w:val="24"/>
                <w:szCs w:val="24"/>
                <w:highlight w:val="none"/>
              </w:rPr>
              <w:t>响应情况</w:t>
            </w:r>
            <w:bookmarkEnd w:id="300"/>
            <w:bookmarkEnd w:id="301"/>
            <w:bookmarkEnd w:id="302"/>
            <w:bookmarkEnd w:id="303"/>
          </w:p>
        </w:tc>
        <w:tc>
          <w:tcPr>
            <w:tcW w:w="2355" w:type="dxa"/>
            <w:vAlign w:val="center"/>
          </w:tcPr>
          <w:p w14:paraId="6944144A">
            <w:pPr>
              <w:tabs>
                <w:tab w:val="left" w:pos="6300"/>
              </w:tabs>
              <w:snapToGrid w:val="0"/>
              <w:spacing w:line="360" w:lineRule="auto"/>
              <w:jc w:val="center"/>
              <w:outlineLvl w:val="0"/>
              <w:rPr>
                <w:rFonts w:hint="eastAsia" w:ascii="宋体" w:hAnsi="宋体" w:eastAsia="宋体" w:cs="宋体"/>
                <w:color w:val="auto"/>
                <w:sz w:val="24"/>
                <w:szCs w:val="24"/>
                <w:highlight w:val="none"/>
              </w:rPr>
            </w:pPr>
            <w:bookmarkStart w:id="304" w:name="_Toc19577"/>
            <w:bookmarkStart w:id="305" w:name="_Toc22639"/>
            <w:bookmarkStart w:id="306" w:name="_Toc26105"/>
            <w:bookmarkStart w:id="307" w:name="_Toc32172"/>
            <w:r>
              <w:rPr>
                <w:rFonts w:hint="eastAsia" w:ascii="宋体" w:hAnsi="宋体" w:eastAsia="宋体" w:cs="宋体"/>
                <w:color w:val="auto"/>
                <w:sz w:val="24"/>
                <w:szCs w:val="24"/>
                <w:highlight w:val="none"/>
              </w:rPr>
              <w:t>偏离说明</w:t>
            </w:r>
            <w:bookmarkEnd w:id="304"/>
            <w:bookmarkEnd w:id="305"/>
            <w:bookmarkEnd w:id="306"/>
            <w:bookmarkEnd w:id="307"/>
          </w:p>
        </w:tc>
      </w:tr>
      <w:tr w14:paraId="078C4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1" w:type="dxa"/>
            <w:vAlign w:val="center"/>
          </w:tcPr>
          <w:p w14:paraId="75093F93">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3312" w:type="dxa"/>
            <w:vAlign w:val="center"/>
          </w:tcPr>
          <w:p w14:paraId="4ACBDFE8">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434" w:type="dxa"/>
            <w:vAlign w:val="center"/>
          </w:tcPr>
          <w:p w14:paraId="62ADB340">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355" w:type="dxa"/>
            <w:vAlign w:val="center"/>
          </w:tcPr>
          <w:p w14:paraId="008AC716">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r>
      <w:tr w14:paraId="0A8F8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1" w:type="dxa"/>
            <w:vAlign w:val="center"/>
          </w:tcPr>
          <w:p w14:paraId="083F91EA">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3312" w:type="dxa"/>
            <w:vAlign w:val="center"/>
          </w:tcPr>
          <w:p w14:paraId="2E8F5A4E">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434" w:type="dxa"/>
            <w:vAlign w:val="center"/>
          </w:tcPr>
          <w:p w14:paraId="5253B20F">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355" w:type="dxa"/>
            <w:vAlign w:val="center"/>
          </w:tcPr>
          <w:p w14:paraId="1DC83750">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r>
      <w:tr w14:paraId="3A608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1" w:type="dxa"/>
            <w:vAlign w:val="center"/>
          </w:tcPr>
          <w:p w14:paraId="31170E14">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3312" w:type="dxa"/>
            <w:vAlign w:val="center"/>
          </w:tcPr>
          <w:p w14:paraId="37A27FB1">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434" w:type="dxa"/>
            <w:vAlign w:val="center"/>
          </w:tcPr>
          <w:p w14:paraId="6F3F33E5">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355" w:type="dxa"/>
            <w:vAlign w:val="center"/>
          </w:tcPr>
          <w:p w14:paraId="7392C55E">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r>
      <w:tr w14:paraId="37024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1" w:type="dxa"/>
            <w:vAlign w:val="center"/>
          </w:tcPr>
          <w:p w14:paraId="0A924732">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3312" w:type="dxa"/>
            <w:vAlign w:val="center"/>
          </w:tcPr>
          <w:p w14:paraId="1B7E219B">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434" w:type="dxa"/>
            <w:vAlign w:val="center"/>
          </w:tcPr>
          <w:p w14:paraId="78C882F0">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355" w:type="dxa"/>
            <w:vAlign w:val="center"/>
          </w:tcPr>
          <w:p w14:paraId="5CB4FF9A">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r>
      <w:tr w14:paraId="529F4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1" w:type="dxa"/>
            <w:vAlign w:val="center"/>
          </w:tcPr>
          <w:p w14:paraId="3EB909D3">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3312" w:type="dxa"/>
            <w:vAlign w:val="center"/>
          </w:tcPr>
          <w:p w14:paraId="611F45F9">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434" w:type="dxa"/>
            <w:vAlign w:val="center"/>
          </w:tcPr>
          <w:p w14:paraId="65F89F25">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355" w:type="dxa"/>
            <w:vAlign w:val="center"/>
          </w:tcPr>
          <w:p w14:paraId="5BED74EE">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r>
      <w:tr w14:paraId="2EB54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1" w:type="dxa"/>
            <w:vAlign w:val="center"/>
          </w:tcPr>
          <w:p w14:paraId="45995C5E">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3312" w:type="dxa"/>
            <w:vAlign w:val="center"/>
          </w:tcPr>
          <w:p w14:paraId="2A767992">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434" w:type="dxa"/>
            <w:vAlign w:val="center"/>
          </w:tcPr>
          <w:p w14:paraId="0937D902">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355" w:type="dxa"/>
            <w:vAlign w:val="center"/>
          </w:tcPr>
          <w:p w14:paraId="1DEC87A9">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r>
    </w:tbl>
    <w:p w14:paraId="064B1B16">
      <w:pPr>
        <w:snapToGrid w:val="0"/>
        <w:spacing w:line="360" w:lineRule="auto"/>
        <w:ind w:firstLine="465"/>
        <w:rPr>
          <w:rFonts w:hint="eastAsia" w:ascii="宋体" w:hAnsi="宋体" w:eastAsia="宋体" w:cs="宋体"/>
          <w:color w:val="auto"/>
          <w:sz w:val="24"/>
          <w:szCs w:val="24"/>
          <w:highlight w:val="none"/>
        </w:rPr>
      </w:pPr>
    </w:p>
    <w:p w14:paraId="28E081DD">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                                             法人授权代表：</w:t>
      </w:r>
    </w:p>
    <w:p w14:paraId="445D9FA4">
      <w:pPr>
        <w:spacing w:line="360" w:lineRule="auto"/>
        <w:rPr>
          <w:rFonts w:hint="eastAsia" w:ascii="宋体" w:hAnsi="宋体" w:eastAsia="宋体" w:cs="宋体"/>
          <w:color w:val="auto"/>
          <w:sz w:val="24"/>
          <w:szCs w:val="24"/>
          <w:highlight w:val="none"/>
        </w:rPr>
      </w:pPr>
    </w:p>
    <w:p w14:paraId="77D97D2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公章）                                      （签字或盖章）</w:t>
      </w:r>
    </w:p>
    <w:p w14:paraId="22F0A775">
      <w:pPr>
        <w:tabs>
          <w:tab w:val="left" w:pos="6300"/>
        </w:tabs>
        <w:snapToGrid w:val="0"/>
        <w:spacing w:line="360" w:lineRule="auto"/>
        <w:ind w:firstLine="7848" w:firstLineChars="32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2539CF9B">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38103306">
      <w:pPr>
        <w:tabs>
          <w:tab w:val="left" w:pos="630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highlight w:val="none"/>
        </w:rPr>
        <w:t>.本表即为对本项目“第</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 xml:space="preserve">篇 </w:t>
      </w:r>
      <w:r>
        <w:rPr>
          <w:rFonts w:hint="eastAsia" w:ascii="宋体" w:hAnsi="宋体" w:eastAsia="宋体" w:cs="宋体"/>
          <w:color w:val="auto"/>
          <w:sz w:val="24"/>
          <w:highlight w:val="none"/>
          <w:lang w:val="en-US" w:eastAsia="zh-CN"/>
        </w:rPr>
        <w:t>项目商务需求</w:t>
      </w:r>
      <w:r>
        <w:rPr>
          <w:rFonts w:hint="eastAsia" w:ascii="宋体" w:hAnsi="宋体" w:eastAsia="宋体" w:cs="宋体"/>
          <w:color w:val="auto"/>
          <w:sz w:val="24"/>
          <w:highlight w:val="none"/>
        </w:rPr>
        <w:t>”中所列条款进行比较和响应；</w:t>
      </w:r>
    </w:p>
    <w:p w14:paraId="49B335D5">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2.该表可拓展</w:t>
      </w:r>
    </w:p>
    <w:p w14:paraId="3EB83A1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2FBCD7C5">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（三）商务评分需提供的资料</w:t>
      </w:r>
    </w:p>
    <w:p w14:paraId="5D72C29F">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根据“第四篇 评审标准”提供相关材料（格式自定）</w:t>
      </w:r>
    </w:p>
    <w:p w14:paraId="46FB6AE9">
      <w:pPr>
        <w:spacing w:line="360" w:lineRule="auto"/>
        <w:ind w:firstLine="480" w:firstLineChars="200"/>
        <w:jc w:val="right"/>
        <w:rPr>
          <w:rFonts w:hint="eastAsia" w:ascii="宋体" w:hAnsi="宋体" w:eastAsia="宋体" w:cs="宋体"/>
          <w:color w:val="auto"/>
          <w:sz w:val="24"/>
          <w:szCs w:val="24"/>
          <w:highlight w:val="none"/>
        </w:rPr>
      </w:pPr>
    </w:p>
    <w:p w14:paraId="51A36F2A">
      <w:pPr>
        <w:spacing w:line="360" w:lineRule="auto"/>
        <w:ind w:firstLine="480" w:firstLineChars="200"/>
        <w:rPr>
          <w:rFonts w:hint="eastAsia" w:ascii="宋体" w:hAnsi="宋体" w:eastAsia="宋体" w:cs="宋体"/>
          <w:color w:val="auto"/>
          <w:sz w:val="24"/>
          <w:szCs w:val="24"/>
          <w:highlight w:val="none"/>
        </w:rPr>
        <w:sectPr>
          <w:footerReference r:id="rId11" w:type="default"/>
          <w:pgSz w:w="11907" w:h="16840"/>
          <w:pgMar w:top="1134" w:right="1134" w:bottom="1134" w:left="1134" w:header="851" w:footer="992" w:gutter="0"/>
          <w:pgNumType w:fmt="decimal"/>
          <w:cols w:space="720" w:num="1"/>
          <w:docGrid w:linePitch="380" w:charSpace="-5735"/>
        </w:sectPr>
      </w:pPr>
    </w:p>
    <w:bookmarkEnd w:id="270"/>
    <w:p w14:paraId="28A82ECC">
      <w:pPr>
        <w:snapToGrid w:val="0"/>
        <w:spacing w:line="360" w:lineRule="auto"/>
        <w:outlineLvl w:val="0"/>
        <w:rPr>
          <w:rStyle w:val="45"/>
          <w:rFonts w:hint="eastAsia" w:ascii="宋体" w:hAnsi="宋体" w:eastAsia="宋体" w:cs="宋体"/>
          <w:b/>
          <w:bCs/>
          <w:color w:val="auto"/>
          <w:sz w:val="24"/>
          <w:szCs w:val="24"/>
          <w:highlight w:val="none"/>
        </w:rPr>
      </w:pPr>
      <w:bookmarkStart w:id="308" w:name="_Toc506310400"/>
      <w:bookmarkStart w:id="309" w:name="_Toc313888363"/>
      <w:bookmarkStart w:id="310" w:name="_Toc342913422"/>
      <w:bookmarkStart w:id="311" w:name="_Toc313008359"/>
      <w:bookmarkStart w:id="312" w:name="_Toc12555"/>
      <w:bookmarkStart w:id="313" w:name="_Toc11032"/>
      <w:bookmarkStart w:id="314" w:name="_Toc31073"/>
      <w:bookmarkStart w:id="315" w:name="_Toc17415"/>
      <w:bookmarkStart w:id="316" w:name="_Toc3255"/>
      <w:r>
        <w:rPr>
          <w:rStyle w:val="45"/>
          <w:rFonts w:hint="eastAsia" w:ascii="宋体" w:hAnsi="宋体" w:eastAsia="宋体" w:cs="宋体"/>
          <w:b/>
          <w:bCs/>
          <w:color w:val="auto"/>
          <w:sz w:val="24"/>
          <w:szCs w:val="24"/>
          <w:highlight w:val="none"/>
        </w:rPr>
        <w:t>四、资格条件及其他</w:t>
      </w:r>
      <w:bookmarkEnd w:id="308"/>
      <w:bookmarkEnd w:id="309"/>
      <w:bookmarkEnd w:id="310"/>
      <w:bookmarkEnd w:id="311"/>
      <w:bookmarkEnd w:id="312"/>
      <w:bookmarkEnd w:id="313"/>
      <w:bookmarkEnd w:id="314"/>
    </w:p>
    <w:bookmarkEnd w:id="315"/>
    <w:bookmarkEnd w:id="316"/>
    <w:p w14:paraId="5E22E1C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法人营业执照（副本）或事业单位法人证书（副本）或个体工商户营业执照或有效的自然人身份证明或社会团体法人登记证书（提供复印件）</w:t>
      </w:r>
    </w:p>
    <w:p w14:paraId="15D30C21">
      <w:pPr>
        <w:spacing w:line="360" w:lineRule="auto"/>
        <w:rPr>
          <w:rFonts w:hint="eastAsia" w:ascii="宋体" w:hAnsi="宋体" w:eastAsia="宋体" w:cs="宋体"/>
          <w:color w:val="auto"/>
          <w:sz w:val="24"/>
          <w:szCs w:val="24"/>
          <w:highlight w:val="none"/>
        </w:rPr>
      </w:pPr>
    </w:p>
    <w:p w14:paraId="514A57C8">
      <w:pPr>
        <w:spacing w:line="360" w:lineRule="auto"/>
        <w:rPr>
          <w:rFonts w:hint="eastAsia" w:ascii="宋体" w:hAnsi="宋体" w:eastAsia="宋体" w:cs="宋体"/>
          <w:color w:val="auto"/>
          <w:sz w:val="24"/>
          <w:szCs w:val="24"/>
          <w:highlight w:val="none"/>
        </w:rPr>
      </w:pPr>
    </w:p>
    <w:p w14:paraId="0A048BEF">
      <w:pPr>
        <w:spacing w:line="360" w:lineRule="auto"/>
        <w:rPr>
          <w:rFonts w:hint="eastAsia" w:ascii="宋体" w:hAnsi="宋体" w:eastAsia="宋体" w:cs="宋体"/>
          <w:color w:val="auto"/>
          <w:sz w:val="24"/>
          <w:szCs w:val="24"/>
          <w:highlight w:val="none"/>
        </w:rPr>
      </w:pPr>
    </w:p>
    <w:p w14:paraId="13CA274A">
      <w:pPr>
        <w:spacing w:line="360" w:lineRule="auto"/>
        <w:rPr>
          <w:rFonts w:hint="eastAsia" w:ascii="宋体" w:hAnsi="宋体" w:eastAsia="宋体" w:cs="宋体"/>
          <w:color w:val="auto"/>
          <w:sz w:val="24"/>
          <w:szCs w:val="24"/>
          <w:highlight w:val="none"/>
        </w:rPr>
      </w:pPr>
    </w:p>
    <w:p w14:paraId="1F6C6A6A">
      <w:pPr>
        <w:spacing w:line="360" w:lineRule="auto"/>
        <w:rPr>
          <w:rFonts w:hint="eastAsia" w:ascii="宋体" w:hAnsi="宋体" w:eastAsia="宋体" w:cs="宋体"/>
          <w:color w:val="auto"/>
          <w:sz w:val="24"/>
          <w:szCs w:val="24"/>
          <w:highlight w:val="none"/>
        </w:rPr>
      </w:pPr>
    </w:p>
    <w:p w14:paraId="0580CA8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（二）法定代表人身份证明书（格式）</w:t>
      </w:r>
    </w:p>
    <w:p w14:paraId="07BC24F0">
      <w:pPr>
        <w:spacing w:line="360" w:lineRule="auto"/>
        <w:rPr>
          <w:rFonts w:hint="eastAsia" w:ascii="宋体" w:hAnsi="宋体" w:eastAsia="宋体" w:cs="宋体"/>
          <w:color w:val="auto"/>
          <w:sz w:val="24"/>
          <w:szCs w:val="24"/>
          <w:highlight w:val="none"/>
        </w:rPr>
      </w:pPr>
    </w:p>
    <w:p w14:paraId="491C0448">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法定代表人身份证明书</w:t>
      </w:r>
    </w:p>
    <w:p w14:paraId="4A292690">
      <w:pPr>
        <w:spacing w:line="360" w:lineRule="auto"/>
        <w:rPr>
          <w:rFonts w:hint="eastAsia" w:ascii="宋体" w:hAnsi="宋体" w:eastAsia="宋体" w:cs="宋体"/>
          <w:color w:val="auto"/>
          <w:sz w:val="24"/>
          <w:szCs w:val="24"/>
          <w:highlight w:val="none"/>
        </w:rPr>
      </w:pPr>
    </w:p>
    <w:p w14:paraId="6AD8A10F">
      <w:pPr>
        <w:spacing w:line="360" w:lineRule="auto"/>
        <w:rPr>
          <w:rFonts w:hint="eastAsia" w:ascii="宋体" w:hAnsi="宋体" w:eastAsia="宋体" w:cs="宋体"/>
          <w:color w:val="auto"/>
          <w:sz w:val="24"/>
          <w:szCs w:val="24"/>
          <w:highlight w:val="none"/>
        </w:rPr>
      </w:pPr>
    </w:p>
    <w:p w14:paraId="700C35EC">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比选项目名称：</w:t>
      </w:r>
      <w:r>
        <w:rPr>
          <w:rFonts w:hint="eastAsia" w:ascii="宋体" w:hAnsi="宋体" w:eastAsia="宋体" w:cs="宋体"/>
          <w:color w:val="auto"/>
          <w:sz w:val="24"/>
          <w:szCs w:val="24"/>
          <w:highlight w:val="none"/>
          <w:u w:val="single"/>
        </w:rPr>
        <w:t xml:space="preserve">                                            </w:t>
      </w:r>
    </w:p>
    <w:p w14:paraId="6ABFD42E">
      <w:pPr>
        <w:spacing w:line="360" w:lineRule="auto"/>
        <w:rPr>
          <w:rFonts w:hint="eastAsia" w:ascii="宋体" w:hAnsi="宋体" w:eastAsia="宋体" w:cs="宋体"/>
          <w:color w:val="auto"/>
          <w:sz w:val="24"/>
          <w:szCs w:val="24"/>
          <w:highlight w:val="none"/>
        </w:rPr>
      </w:pPr>
    </w:p>
    <w:p w14:paraId="595CC3D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（采购代理机构名称）：</w:t>
      </w:r>
    </w:p>
    <w:p w14:paraId="16C94FB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5FC9314">
      <w:pPr>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（法定代表人姓名）在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（职务名称）职务，是</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名称）的法定代表人。</w:t>
      </w:r>
    </w:p>
    <w:p w14:paraId="37DC5457">
      <w:pPr>
        <w:spacing w:line="360" w:lineRule="auto"/>
        <w:rPr>
          <w:rFonts w:hint="eastAsia" w:ascii="宋体" w:hAnsi="宋体" w:eastAsia="宋体" w:cs="宋体"/>
          <w:color w:val="auto"/>
          <w:sz w:val="24"/>
          <w:szCs w:val="24"/>
          <w:highlight w:val="none"/>
        </w:rPr>
      </w:pPr>
    </w:p>
    <w:p w14:paraId="05D2B9C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6F33EBC0">
      <w:pPr>
        <w:spacing w:line="360" w:lineRule="auto"/>
        <w:rPr>
          <w:rFonts w:hint="eastAsia" w:ascii="宋体" w:hAnsi="宋体" w:eastAsia="宋体" w:cs="宋体"/>
          <w:color w:val="auto"/>
          <w:sz w:val="24"/>
          <w:szCs w:val="24"/>
          <w:highlight w:val="none"/>
        </w:rPr>
      </w:pPr>
    </w:p>
    <w:p w14:paraId="44092D7B">
      <w:pPr>
        <w:spacing w:line="360" w:lineRule="auto"/>
        <w:rPr>
          <w:rFonts w:hint="eastAsia" w:ascii="宋体" w:hAnsi="宋体" w:eastAsia="宋体" w:cs="宋体"/>
          <w:color w:val="auto"/>
          <w:sz w:val="24"/>
          <w:szCs w:val="24"/>
          <w:highlight w:val="none"/>
        </w:rPr>
      </w:pPr>
    </w:p>
    <w:p w14:paraId="46242D63">
      <w:pPr>
        <w:spacing w:line="360" w:lineRule="auto"/>
        <w:rPr>
          <w:rFonts w:hint="eastAsia" w:ascii="宋体" w:hAnsi="宋体" w:eastAsia="宋体" w:cs="宋体"/>
          <w:color w:val="auto"/>
          <w:sz w:val="24"/>
          <w:szCs w:val="24"/>
          <w:highlight w:val="none"/>
        </w:rPr>
      </w:pPr>
    </w:p>
    <w:p w14:paraId="04876E7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公章）</w:t>
      </w:r>
    </w:p>
    <w:p w14:paraId="14412F6B">
      <w:pPr>
        <w:spacing w:line="360" w:lineRule="auto"/>
        <w:rPr>
          <w:rFonts w:hint="eastAsia" w:ascii="宋体" w:hAnsi="宋体" w:eastAsia="宋体" w:cs="宋体"/>
          <w:color w:val="auto"/>
          <w:sz w:val="24"/>
          <w:szCs w:val="24"/>
          <w:highlight w:val="none"/>
        </w:rPr>
      </w:pPr>
    </w:p>
    <w:p w14:paraId="7723DC2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45F69B24">
      <w:pPr>
        <w:tabs>
          <w:tab w:val="left" w:pos="6300"/>
        </w:tabs>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法定代表人电话：XXXXXXX      电子邮箱：XXXXXX@XXXXX（若授权他人办理并签署投标文件的可不填写）</w:t>
      </w:r>
    </w:p>
    <w:p w14:paraId="24B33E5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（附：法定代表人身份证正反面复印件）</w:t>
      </w:r>
    </w:p>
    <w:p w14:paraId="4DE9C48F">
      <w:pPr>
        <w:spacing w:line="360" w:lineRule="auto"/>
        <w:rPr>
          <w:rFonts w:hint="eastAsia" w:ascii="宋体" w:hAnsi="宋体" w:eastAsia="宋体" w:cs="宋体"/>
          <w:color w:val="auto"/>
          <w:sz w:val="24"/>
          <w:szCs w:val="24"/>
          <w:highlight w:val="none"/>
        </w:rPr>
      </w:pPr>
    </w:p>
    <w:p w14:paraId="04348994">
      <w:pPr>
        <w:spacing w:line="360" w:lineRule="auto"/>
        <w:rPr>
          <w:rFonts w:hint="eastAsia" w:ascii="宋体" w:hAnsi="宋体" w:eastAsia="宋体" w:cs="宋体"/>
          <w:color w:val="auto"/>
          <w:sz w:val="24"/>
          <w:szCs w:val="24"/>
          <w:highlight w:val="none"/>
        </w:rPr>
      </w:pPr>
    </w:p>
    <w:p w14:paraId="5BC5F2FC">
      <w:pPr>
        <w:spacing w:line="360" w:lineRule="auto"/>
        <w:rPr>
          <w:rFonts w:hint="eastAsia" w:ascii="宋体" w:hAnsi="宋体" w:eastAsia="宋体" w:cs="宋体"/>
          <w:color w:val="auto"/>
          <w:sz w:val="24"/>
          <w:szCs w:val="24"/>
          <w:highlight w:val="none"/>
        </w:rPr>
      </w:pPr>
    </w:p>
    <w:p w14:paraId="5EB1B5D2">
      <w:pPr>
        <w:spacing w:line="360" w:lineRule="auto"/>
        <w:rPr>
          <w:rFonts w:hint="eastAsia" w:ascii="宋体" w:hAnsi="宋体" w:eastAsia="宋体" w:cs="宋体"/>
          <w:color w:val="auto"/>
          <w:sz w:val="24"/>
          <w:szCs w:val="24"/>
          <w:highlight w:val="none"/>
        </w:rPr>
      </w:pPr>
    </w:p>
    <w:p w14:paraId="3A198C1A">
      <w:pPr>
        <w:spacing w:line="360" w:lineRule="auto"/>
        <w:rPr>
          <w:rFonts w:hint="eastAsia" w:ascii="宋体" w:hAnsi="宋体" w:eastAsia="宋体" w:cs="宋体"/>
          <w:color w:val="auto"/>
          <w:sz w:val="24"/>
          <w:szCs w:val="24"/>
          <w:highlight w:val="none"/>
        </w:rPr>
      </w:pPr>
    </w:p>
    <w:p w14:paraId="08E8B7F2">
      <w:pPr>
        <w:spacing w:line="360" w:lineRule="auto"/>
        <w:rPr>
          <w:rFonts w:hint="eastAsia" w:ascii="宋体" w:hAnsi="宋体" w:eastAsia="宋体" w:cs="宋体"/>
          <w:color w:val="auto"/>
          <w:sz w:val="24"/>
          <w:szCs w:val="24"/>
          <w:highlight w:val="none"/>
        </w:rPr>
      </w:pPr>
    </w:p>
    <w:p w14:paraId="2B3B0AC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column"/>
      </w:r>
      <w:r>
        <w:rPr>
          <w:rFonts w:hint="eastAsia" w:ascii="宋体" w:hAnsi="宋体" w:eastAsia="宋体" w:cs="宋体"/>
          <w:color w:val="auto"/>
          <w:sz w:val="24"/>
          <w:szCs w:val="24"/>
          <w:highlight w:val="none"/>
        </w:rPr>
        <w:t>（三）法定代表人授权委托书（格式）</w:t>
      </w:r>
    </w:p>
    <w:p w14:paraId="3A306B42">
      <w:pPr>
        <w:spacing w:line="360" w:lineRule="auto"/>
        <w:rPr>
          <w:rFonts w:hint="eastAsia" w:ascii="宋体" w:hAnsi="宋体" w:eastAsia="宋体" w:cs="宋体"/>
          <w:color w:val="auto"/>
          <w:sz w:val="24"/>
          <w:szCs w:val="24"/>
          <w:highlight w:val="none"/>
        </w:rPr>
      </w:pPr>
    </w:p>
    <w:p w14:paraId="13F4030D">
      <w:pPr>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法定代表人授权委托书</w:t>
      </w:r>
    </w:p>
    <w:p w14:paraId="3B94E9CB">
      <w:pPr>
        <w:spacing w:line="360" w:lineRule="auto"/>
        <w:rPr>
          <w:rFonts w:hint="eastAsia" w:ascii="宋体" w:hAnsi="宋体" w:eastAsia="宋体" w:cs="宋体"/>
          <w:color w:val="auto"/>
          <w:sz w:val="24"/>
          <w:szCs w:val="24"/>
          <w:highlight w:val="none"/>
        </w:rPr>
      </w:pPr>
    </w:p>
    <w:p w14:paraId="3BF092F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DB8C0CD">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比选项目名称：</w:t>
      </w:r>
      <w:r>
        <w:rPr>
          <w:rFonts w:hint="eastAsia" w:ascii="宋体" w:hAnsi="宋体" w:eastAsia="宋体" w:cs="宋体"/>
          <w:color w:val="auto"/>
          <w:sz w:val="24"/>
          <w:szCs w:val="24"/>
          <w:highlight w:val="none"/>
          <w:u w:val="single"/>
        </w:rPr>
        <w:t xml:space="preserve">                                            </w:t>
      </w:r>
    </w:p>
    <w:p w14:paraId="1AD8B1AD">
      <w:pPr>
        <w:spacing w:line="360" w:lineRule="auto"/>
        <w:rPr>
          <w:rFonts w:hint="eastAsia" w:ascii="宋体" w:hAnsi="宋体" w:eastAsia="宋体" w:cs="宋体"/>
          <w:color w:val="auto"/>
          <w:sz w:val="24"/>
          <w:szCs w:val="24"/>
          <w:highlight w:val="none"/>
        </w:rPr>
      </w:pPr>
    </w:p>
    <w:p w14:paraId="547458F5">
      <w:pPr>
        <w:spacing w:line="360" w:lineRule="auto"/>
        <w:rPr>
          <w:rFonts w:hint="eastAsia" w:ascii="宋体" w:hAnsi="宋体" w:eastAsia="宋体" w:cs="宋体"/>
          <w:color w:val="auto"/>
          <w:sz w:val="24"/>
          <w:szCs w:val="24"/>
          <w:highlight w:val="none"/>
        </w:rPr>
      </w:pPr>
    </w:p>
    <w:p w14:paraId="1285657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（采购代理机构名称）：</w:t>
      </w:r>
    </w:p>
    <w:p w14:paraId="3B084F24">
      <w:pPr>
        <w:spacing w:line="360" w:lineRule="auto"/>
        <w:rPr>
          <w:rFonts w:hint="eastAsia" w:ascii="宋体" w:hAnsi="宋体" w:eastAsia="宋体" w:cs="宋体"/>
          <w:color w:val="auto"/>
          <w:sz w:val="24"/>
          <w:szCs w:val="24"/>
          <w:highlight w:val="none"/>
          <w:u w:val="single"/>
        </w:rPr>
      </w:pPr>
    </w:p>
    <w:p w14:paraId="33FB9C71">
      <w:pPr>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法定代表人名称）是</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 xml:space="preserve">名称）的法定代表人，特授权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（被授权人姓名及身份证号码）代表我单位全权办理上述项目的比选、签约等具体工作，并签署全部有关文件、协议及合同。</w:t>
      </w:r>
    </w:p>
    <w:p w14:paraId="0D55B2D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我单位对被授权人的签字负全部责任。</w:t>
      </w:r>
    </w:p>
    <w:p w14:paraId="44458D45">
      <w:pPr>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在撤消授权的书面通知以前，本授权书一直有效。被授权人在授权书有效期内签署的所有文件不因授权的撤消而失效。</w:t>
      </w:r>
    </w:p>
    <w:p w14:paraId="2837BB30">
      <w:pPr>
        <w:spacing w:line="360" w:lineRule="auto"/>
        <w:rPr>
          <w:rFonts w:hint="eastAsia" w:ascii="宋体" w:hAnsi="宋体" w:eastAsia="宋体" w:cs="宋体"/>
          <w:color w:val="auto"/>
          <w:sz w:val="24"/>
          <w:szCs w:val="24"/>
          <w:highlight w:val="none"/>
        </w:rPr>
      </w:pPr>
    </w:p>
    <w:p w14:paraId="301CECE9">
      <w:pPr>
        <w:spacing w:line="360" w:lineRule="auto"/>
        <w:rPr>
          <w:rFonts w:hint="eastAsia" w:ascii="宋体" w:hAnsi="宋体" w:eastAsia="宋体" w:cs="宋体"/>
          <w:color w:val="auto"/>
          <w:sz w:val="24"/>
          <w:szCs w:val="24"/>
          <w:highlight w:val="none"/>
        </w:rPr>
      </w:pPr>
    </w:p>
    <w:p w14:paraId="7CFAFE2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被授权人：                                 </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法定代表人：</w:t>
      </w:r>
    </w:p>
    <w:p w14:paraId="428C705D">
      <w:pPr>
        <w:spacing w:line="360" w:lineRule="auto"/>
        <w:rPr>
          <w:rFonts w:hint="eastAsia" w:ascii="宋体" w:hAnsi="宋体" w:eastAsia="宋体" w:cs="宋体"/>
          <w:color w:val="auto"/>
          <w:sz w:val="24"/>
          <w:szCs w:val="24"/>
          <w:highlight w:val="none"/>
        </w:rPr>
      </w:pPr>
    </w:p>
    <w:p w14:paraId="43E87B6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（签字或盖章）                                （签字或盖章）</w:t>
      </w:r>
    </w:p>
    <w:p w14:paraId="625789F3">
      <w:pPr>
        <w:spacing w:line="360" w:lineRule="auto"/>
        <w:rPr>
          <w:rFonts w:hint="eastAsia" w:ascii="宋体" w:hAnsi="宋体" w:eastAsia="宋体" w:cs="宋体"/>
          <w:color w:val="auto"/>
          <w:sz w:val="24"/>
          <w:szCs w:val="24"/>
          <w:highlight w:val="none"/>
        </w:rPr>
      </w:pPr>
    </w:p>
    <w:p w14:paraId="3CA3573B">
      <w:pPr>
        <w:spacing w:line="360" w:lineRule="auto"/>
        <w:rPr>
          <w:rFonts w:hint="eastAsia" w:ascii="宋体" w:hAnsi="宋体" w:eastAsia="宋体" w:cs="宋体"/>
          <w:color w:val="auto"/>
          <w:sz w:val="24"/>
          <w:szCs w:val="24"/>
          <w:highlight w:val="none"/>
        </w:rPr>
      </w:pPr>
    </w:p>
    <w:p w14:paraId="6F31C0A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（附：被授权人身份证正反面复印件）</w:t>
      </w:r>
    </w:p>
    <w:p w14:paraId="7277B06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B42401F">
      <w:pPr>
        <w:spacing w:line="360" w:lineRule="auto"/>
        <w:rPr>
          <w:rFonts w:hint="eastAsia" w:ascii="宋体" w:hAnsi="宋体" w:eastAsia="宋体" w:cs="宋体"/>
          <w:color w:val="auto"/>
          <w:sz w:val="24"/>
          <w:szCs w:val="24"/>
          <w:highlight w:val="none"/>
        </w:rPr>
      </w:pPr>
    </w:p>
    <w:p w14:paraId="730B76C1">
      <w:pPr>
        <w:spacing w:line="360" w:lineRule="auto"/>
        <w:rPr>
          <w:rFonts w:hint="eastAsia" w:ascii="宋体" w:hAnsi="宋体" w:eastAsia="宋体" w:cs="宋体"/>
          <w:color w:val="auto"/>
          <w:sz w:val="24"/>
          <w:szCs w:val="24"/>
          <w:highlight w:val="none"/>
        </w:rPr>
      </w:pPr>
    </w:p>
    <w:p w14:paraId="10532EEB">
      <w:pPr>
        <w:spacing w:line="360" w:lineRule="auto"/>
        <w:ind w:firstLine="4320" w:firstLineChars="18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公章）</w:t>
      </w:r>
    </w:p>
    <w:p w14:paraId="0D8E70AB">
      <w:pPr>
        <w:spacing w:line="360" w:lineRule="auto"/>
        <w:rPr>
          <w:rFonts w:hint="eastAsia" w:ascii="宋体" w:hAnsi="宋体" w:eastAsia="宋体" w:cs="宋体"/>
          <w:color w:val="auto"/>
          <w:sz w:val="24"/>
          <w:szCs w:val="24"/>
          <w:highlight w:val="none"/>
        </w:rPr>
      </w:pPr>
    </w:p>
    <w:p w14:paraId="0993CEC2">
      <w:pPr>
        <w:spacing w:line="360" w:lineRule="auto"/>
        <w:ind w:firstLine="5520" w:firstLineChars="2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076540CA">
      <w:pPr>
        <w:tabs>
          <w:tab w:val="left" w:pos="6300"/>
        </w:tabs>
        <w:snapToGrid w:val="0"/>
        <w:spacing w:line="360" w:lineRule="auto"/>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被授权人电话：XXXXXXX     电子邮箱：XXXXXX@XXXXX（若法定代表人办理并签署投标文件的可不填写）</w:t>
      </w:r>
    </w:p>
    <w:p w14:paraId="165105F7">
      <w:pPr>
        <w:tabs>
          <w:tab w:val="left" w:pos="6300"/>
        </w:tabs>
        <w:snapToGrid w:val="0"/>
        <w:spacing w:line="360" w:lineRule="auto"/>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643C6AC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1.若为法定代表人办理并签署投标文件的，不提供此文件。</w:t>
      </w:r>
    </w:p>
    <w:p w14:paraId="14C2A76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（四）基本资格条件承诺函</w:t>
      </w:r>
    </w:p>
    <w:p w14:paraId="270F4848">
      <w:pPr>
        <w:spacing w:line="360" w:lineRule="auto"/>
        <w:rPr>
          <w:rFonts w:hint="eastAsia" w:ascii="宋体" w:hAnsi="宋体" w:eastAsia="宋体" w:cs="宋体"/>
          <w:color w:val="auto"/>
          <w:sz w:val="24"/>
          <w:szCs w:val="24"/>
          <w:highlight w:val="none"/>
        </w:rPr>
      </w:pPr>
    </w:p>
    <w:p w14:paraId="13676D63">
      <w:pPr>
        <w:tabs>
          <w:tab w:val="left" w:pos="6300"/>
        </w:tabs>
        <w:snapToGrid w:val="0"/>
        <w:spacing w:line="360" w:lineRule="auto"/>
        <w:ind w:firstLine="573"/>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基本资格条件承诺函</w:t>
      </w:r>
    </w:p>
    <w:p w14:paraId="70C4EAE0">
      <w:pPr>
        <w:tabs>
          <w:tab w:val="left" w:pos="6300"/>
        </w:tabs>
        <w:snapToGrid w:val="0"/>
        <w:spacing w:line="360" w:lineRule="auto"/>
        <w:rPr>
          <w:rFonts w:hint="eastAsia" w:ascii="宋体" w:hAnsi="宋体" w:eastAsia="宋体" w:cs="宋体"/>
          <w:color w:val="auto"/>
          <w:sz w:val="24"/>
          <w:szCs w:val="24"/>
          <w:highlight w:val="none"/>
        </w:rPr>
      </w:pPr>
    </w:p>
    <w:p w14:paraId="2AD27F20">
      <w:pPr>
        <w:tabs>
          <w:tab w:val="left" w:pos="6300"/>
        </w:tabs>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（采购代理机构名称）：</w:t>
      </w:r>
    </w:p>
    <w:p w14:paraId="7DD99B48">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名称）郑重承诺：</w:t>
      </w:r>
    </w:p>
    <w:p w14:paraId="0DB872E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1.我方具有良好的商业信誉和健全的财务会计制度，具有履行合同所必需的设备和专业技术能力，具</w:t>
      </w:r>
      <w:r>
        <w:rPr>
          <w:rFonts w:hint="eastAsia" w:ascii="宋体" w:hAnsi="宋体" w:eastAsia="宋体" w:cs="宋体"/>
          <w:color w:val="auto"/>
          <w:sz w:val="24"/>
          <w:szCs w:val="24"/>
          <w:highlight w:val="none"/>
          <w:lang w:val="zh-CN"/>
        </w:rPr>
        <w:t>有依法缴纳税收和社会保障金的良好记录</w:t>
      </w:r>
      <w:r>
        <w:rPr>
          <w:rFonts w:hint="eastAsia" w:ascii="宋体" w:hAnsi="宋体" w:eastAsia="宋体" w:cs="宋体"/>
          <w:color w:val="auto"/>
          <w:sz w:val="24"/>
          <w:szCs w:val="24"/>
          <w:highlight w:val="none"/>
        </w:rPr>
        <w:t>，参加本项目采购活动前三年内无重大违法活动记录。</w:t>
      </w:r>
    </w:p>
    <w:p w14:paraId="21796B1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38C0E90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3.我方在采购项目评审（评标）环节结束后，随时接受采购人、采购代理机构的检查验证，配合提供相关证明材料，证明符合《中华人民共和国政府采购法》规定的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基本资格条件。</w:t>
      </w:r>
    </w:p>
    <w:p w14:paraId="719F3393">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我方对以上承诺负全部法律责任。</w:t>
      </w:r>
    </w:p>
    <w:p w14:paraId="6DD93CA8">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0E70A0E3">
      <w:pPr>
        <w:tabs>
          <w:tab w:val="left" w:pos="6300"/>
        </w:tabs>
        <w:snapToGrid w:val="0"/>
        <w:spacing w:line="360" w:lineRule="auto"/>
        <w:rPr>
          <w:rFonts w:hint="eastAsia" w:ascii="宋体" w:hAnsi="宋体" w:eastAsia="宋体" w:cs="宋体"/>
          <w:color w:val="auto"/>
          <w:sz w:val="24"/>
          <w:szCs w:val="24"/>
          <w:highlight w:val="none"/>
        </w:rPr>
      </w:pPr>
    </w:p>
    <w:p w14:paraId="49EF39F3">
      <w:pPr>
        <w:tabs>
          <w:tab w:val="left" w:pos="6300"/>
        </w:tabs>
        <w:snapToGrid w:val="0"/>
        <w:spacing w:line="360" w:lineRule="auto"/>
        <w:ind w:right="424" w:firstLine="57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公章）</w:t>
      </w:r>
    </w:p>
    <w:p w14:paraId="4860C065">
      <w:pPr>
        <w:tabs>
          <w:tab w:val="left" w:pos="6300"/>
        </w:tabs>
        <w:snapToGrid w:val="0"/>
        <w:spacing w:line="360" w:lineRule="auto"/>
        <w:ind w:firstLine="7440" w:firstLineChars="3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49DAEA60">
      <w:pPr>
        <w:spacing w:line="360" w:lineRule="auto"/>
        <w:ind w:firstLine="7680" w:firstLineChars="3200"/>
        <w:rPr>
          <w:rFonts w:hint="eastAsia" w:ascii="宋体" w:hAnsi="宋体" w:eastAsia="宋体" w:cs="宋体"/>
          <w:color w:val="auto"/>
          <w:sz w:val="24"/>
          <w:szCs w:val="24"/>
          <w:highlight w:val="none"/>
        </w:rPr>
      </w:pPr>
    </w:p>
    <w:p w14:paraId="4B766BA1">
      <w:pPr>
        <w:spacing w:line="360" w:lineRule="auto"/>
        <w:rPr>
          <w:rFonts w:hint="eastAsia" w:ascii="宋体" w:hAnsi="宋体" w:eastAsia="宋体" w:cs="宋体"/>
          <w:color w:val="auto"/>
          <w:sz w:val="24"/>
          <w:szCs w:val="24"/>
          <w:highlight w:val="none"/>
        </w:rPr>
      </w:pPr>
    </w:p>
    <w:p w14:paraId="33E0F80A">
      <w:pPr>
        <w:spacing w:line="360" w:lineRule="auto"/>
        <w:rPr>
          <w:rFonts w:hint="eastAsia" w:ascii="宋体" w:hAnsi="宋体" w:eastAsia="宋体" w:cs="宋体"/>
          <w:color w:val="auto"/>
          <w:sz w:val="24"/>
          <w:szCs w:val="24"/>
          <w:highlight w:val="none"/>
        </w:rPr>
      </w:pPr>
    </w:p>
    <w:p w14:paraId="6C569C33">
      <w:pPr>
        <w:spacing w:line="360" w:lineRule="auto"/>
        <w:rPr>
          <w:rFonts w:hint="eastAsia" w:ascii="宋体" w:hAnsi="宋体" w:eastAsia="宋体" w:cs="宋体"/>
          <w:color w:val="auto"/>
          <w:sz w:val="24"/>
          <w:szCs w:val="24"/>
          <w:highlight w:val="none"/>
        </w:rPr>
      </w:pPr>
    </w:p>
    <w:p w14:paraId="262CED3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3A3F5B5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（五）特定资格条件证书或证明文件</w:t>
      </w:r>
    </w:p>
    <w:p w14:paraId="7DE5E5BC">
      <w:pPr>
        <w:spacing w:line="360" w:lineRule="auto"/>
        <w:rPr>
          <w:rFonts w:hint="eastAsia" w:ascii="宋体" w:hAnsi="宋体" w:eastAsia="宋体" w:cs="宋体"/>
          <w:color w:val="auto"/>
          <w:sz w:val="24"/>
          <w:szCs w:val="24"/>
          <w:highlight w:val="none"/>
        </w:rPr>
      </w:pPr>
    </w:p>
    <w:p w14:paraId="6B82F2B2">
      <w:pPr>
        <w:spacing w:line="360" w:lineRule="auto"/>
        <w:outlineLvl w:val="0"/>
        <w:rPr>
          <w:rFonts w:hint="eastAsia" w:ascii="宋体" w:hAnsi="宋体" w:eastAsia="宋体" w:cs="宋体"/>
          <w:color w:val="auto"/>
          <w:sz w:val="24"/>
          <w:szCs w:val="24"/>
          <w:highlight w:val="none"/>
        </w:rPr>
      </w:pPr>
      <w:bookmarkStart w:id="317" w:name="_Toc14422"/>
      <w:r>
        <w:rPr>
          <w:rFonts w:hint="eastAsia" w:ascii="宋体" w:hAnsi="宋体" w:eastAsia="宋体" w:cs="宋体"/>
          <w:color w:val="auto"/>
          <w:sz w:val="24"/>
          <w:szCs w:val="24"/>
          <w:highlight w:val="none"/>
        </w:rPr>
        <w:br w:type="page"/>
      </w:r>
      <w:bookmarkStart w:id="318" w:name="_Toc4738"/>
      <w:bookmarkStart w:id="319" w:name="_Toc11375"/>
      <w:bookmarkStart w:id="320" w:name="_Toc1632"/>
      <w:bookmarkStart w:id="321" w:name="_Toc23612"/>
      <w:bookmarkStart w:id="322" w:name="_Toc49431877"/>
      <w:bookmarkStart w:id="323" w:name="_Toc11457"/>
      <w:bookmarkStart w:id="324" w:name="_Toc18407"/>
      <w:bookmarkStart w:id="325" w:name="_Toc7549"/>
      <w:bookmarkStart w:id="326" w:name="_Toc4757"/>
      <w:bookmarkStart w:id="327" w:name="_Toc16968"/>
      <w:r>
        <w:rPr>
          <w:rStyle w:val="45"/>
          <w:rFonts w:hint="eastAsia" w:ascii="宋体" w:hAnsi="宋体" w:eastAsia="宋体" w:cs="宋体"/>
          <w:b/>
          <w:bCs/>
          <w:color w:val="auto"/>
          <w:sz w:val="24"/>
          <w:szCs w:val="24"/>
          <w:highlight w:val="none"/>
        </w:rPr>
        <w:t>五、其他资料</w:t>
      </w:r>
      <w:bookmarkEnd w:id="317"/>
      <w:bookmarkEnd w:id="318"/>
      <w:bookmarkEnd w:id="319"/>
      <w:bookmarkEnd w:id="320"/>
      <w:bookmarkEnd w:id="321"/>
      <w:bookmarkEnd w:id="322"/>
      <w:bookmarkEnd w:id="323"/>
      <w:bookmarkEnd w:id="324"/>
      <w:bookmarkEnd w:id="325"/>
      <w:bookmarkEnd w:id="326"/>
      <w:bookmarkEnd w:id="327"/>
    </w:p>
    <w:p w14:paraId="07E0684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（一）其他与项目有关的资料</w:t>
      </w:r>
    </w:p>
    <w:p w14:paraId="20528A0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其他与项目有关的资料（自附）：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总体情况介绍、其他与本项目有关的资料等。</w:t>
      </w:r>
    </w:p>
    <w:p w14:paraId="2C7ED2CD">
      <w:pPr>
        <w:spacing w:line="360" w:lineRule="auto"/>
        <w:rPr>
          <w:rFonts w:hint="eastAsia" w:ascii="宋体" w:hAnsi="宋体" w:eastAsia="宋体" w:cs="宋体"/>
          <w:color w:val="auto"/>
          <w:sz w:val="24"/>
          <w:szCs w:val="24"/>
          <w:highlight w:val="none"/>
        </w:rPr>
      </w:pPr>
    </w:p>
    <w:p w14:paraId="2CC233BC">
      <w:pPr>
        <w:spacing w:line="360" w:lineRule="auto"/>
        <w:rPr>
          <w:rFonts w:hint="eastAsia" w:ascii="宋体" w:hAnsi="宋体" w:eastAsia="宋体" w:cs="宋体"/>
          <w:color w:val="auto"/>
          <w:sz w:val="24"/>
          <w:szCs w:val="24"/>
          <w:highlight w:val="none"/>
        </w:rPr>
      </w:pPr>
    </w:p>
    <w:p w14:paraId="0B6FDC31">
      <w:pPr>
        <w:spacing w:line="360" w:lineRule="auto"/>
        <w:rPr>
          <w:rFonts w:hint="eastAsia" w:ascii="宋体" w:hAnsi="宋体" w:eastAsia="宋体" w:cs="宋体"/>
          <w:color w:val="auto"/>
          <w:sz w:val="24"/>
          <w:szCs w:val="24"/>
          <w:highlight w:val="none"/>
        </w:rPr>
      </w:pPr>
    </w:p>
    <w:p w14:paraId="460DDCCA">
      <w:pPr>
        <w:spacing w:line="360" w:lineRule="auto"/>
        <w:rPr>
          <w:rFonts w:hint="eastAsia" w:ascii="宋体" w:hAnsi="宋体" w:eastAsia="宋体" w:cs="宋体"/>
          <w:color w:val="auto"/>
          <w:sz w:val="24"/>
          <w:szCs w:val="24"/>
          <w:highlight w:val="none"/>
        </w:rPr>
      </w:pPr>
    </w:p>
    <w:p w14:paraId="28513525">
      <w:pPr>
        <w:spacing w:line="360" w:lineRule="auto"/>
        <w:rPr>
          <w:rFonts w:hint="eastAsia" w:ascii="宋体" w:hAnsi="宋体" w:eastAsia="宋体" w:cs="宋体"/>
          <w:color w:val="auto"/>
          <w:sz w:val="24"/>
          <w:szCs w:val="24"/>
          <w:highlight w:val="none"/>
        </w:rPr>
      </w:pPr>
    </w:p>
    <w:p w14:paraId="5C285FA8">
      <w:pPr>
        <w:spacing w:line="360" w:lineRule="auto"/>
        <w:rPr>
          <w:rFonts w:hint="eastAsia" w:ascii="宋体" w:hAnsi="宋体" w:eastAsia="宋体" w:cs="宋体"/>
          <w:color w:val="auto"/>
          <w:sz w:val="24"/>
          <w:szCs w:val="24"/>
          <w:highlight w:val="none"/>
        </w:rPr>
      </w:pPr>
    </w:p>
    <w:p w14:paraId="1E21546E">
      <w:pPr>
        <w:spacing w:line="360" w:lineRule="auto"/>
        <w:rPr>
          <w:rFonts w:hint="eastAsia" w:ascii="宋体" w:hAnsi="宋体" w:eastAsia="宋体" w:cs="宋体"/>
          <w:color w:val="auto"/>
          <w:sz w:val="24"/>
          <w:szCs w:val="24"/>
          <w:highlight w:val="none"/>
        </w:rPr>
      </w:pPr>
    </w:p>
    <w:p w14:paraId="1D26E192">
      <w:pPr>
        <w:spacing w:line="360" w:lineRule="auto"/>
        <w:rPr>
          <w:rFonts w:hint="eastAsia" w:ascii="宋体" w:hAnsi="宋体" w:eastAsia="宋体" w:cs="宋体"/>
          <w:color w:val="auto"/>
          <w:sz w:val="24"/>
          <w:szCs w:val="24"/>
          <w:highlight w:val="none"/>
        </w:rPr>
      </w:pPr>
    </w:p>
    <w:p w14:paraId="0F602BCD">
      <w:pPr>
        <w:spacing w:line="360" w:lineRule="auto"/>
        <w:rPr>
          <w:rFonts w:hint="eastAsia" w:ascii="宋体" w:hAnsi="宋体" w:eastAsia="宋体" w:cs="宋体"/>
          <w:color w:val="auto"/>
          <w:sz w:val="24"/>
          <w:szCs w:val="24"/>
          <w:highlight w:val="none"/>
        </w:rPr>
      </w:pPr>
    </w:p>
    <w:p w14:paraId="26BB274B">
      <w:pPr>
        <w:spacing w:line="360" w:lineRule="auto"/>
        <w:rPr>
          <w:rFonts w:hint="eastAsia" w:ascii="宋体" w:hAnsi="宋体" w:eastAsia="宋体" w:cs="宋体"/>
          <w:color w:val="auto"/>
          <w:sz w:val="24"/>
          <w:szCs w:val="24"/>
          <w:highlight w:val="none"/>
        </w:rPr>
      </w:pPr>
    </w:p>
    <w:p w14:paraId="5CEF1A93">
      <w:pPr>
        <w:spacing w:line="360" w:lineRule="auto"/>
        <w:rPr>
          <w:rFonts w:hint="eastAsia" w:ascii="宋体" w:hAnsi="宋体" w:eastAsia="宋体" w:cs="宋体"/>
          <w:color w:val="auto"/>
          <w:sz w:val="24"/>
          <w:szCs w:val="24"/>
          <w:highlight w:val="none"/>
        </w:rPr>
      </w:pPr>
    </w:p>
    <w:p w14:paraId="7B6D2488">
      <w:pPr>
        <w:spacing w:line="360" w:lineRule="auto"/>
        <w:rPr>
          <w:rFonts w:hint="eastAsia" w:ascii="宋体" w:hAnsi="宋体" w:eastAsia="宋体" w:cs="宋体"/>
          <w:color w:val="auto"/>
          <w:sz w:val="24"/>
          <w:szCs w:val="24"/>
          <w:highlight w:val="none"/>
        </w:rPr>
      </w:pPr>
    </w:p>
    <w:p w14:paraId="14212E32">
      <w:pPr>
        <w:spacing w:line="360" w:lineRule="auto"/>
        <w:rPr>
          <w:rFonts w:hint="eastAsia" w:ascii="宋体" w:hAnsi="宋体" w:eastAsia="宋体" w:cs="宋体"/>
          <w:color w:val="auto"/>
          <w:sz w:val="24"/>
          <w:szCs w:val="24"/>
          <w:highlight w:val="none"/>
        </w:rPr>
      </w:pPr>
    </w:p>
    <w:p w14:paraId="484D0107">
      <w:pPr>
        <w:spacing w:line="360" w:lineRule="auto"/>
        <w:rPr>
          <w:rFonts w:hint="eastAsia" w:ascii="宋体" w:hAnsi="宋体" w:eastAsia="宋体" w:cs="宋体"/>
          <w:color w:val="auto"/>
          <w:sz w:val="24"/>
          <w:szCs w:val="24"/>
          <w:highlight w:val="none"/>
        </w:rPr>
      </w:pPr>
    </w:p>
    <w:p w14:paraId="313364DE">
      <w:pPr>
        <w:spacing w:line="360" w:lineRule="auto"/>
        <w:rPr>
          <w:rFonts w:hint="eastAsia" w:ascii="宋体" w:hAnsi="宋体" w:eastAsia="宋体" w:cs="宋体"/>
          <w:color w:val="auto"/>
          <w:sz w:val="24"/>
          <w:szCs w:val="24"/>
          <w:highlight w:val="none"/>
        </w:rPr>
      </w:pPr>
    </w:p>
    <w:p w14:paraId="52CE8909">
      <w:pPr>
        <w:spacing w:line="360" w:lineRule="auto"/>
        <w:rPr>
          <w:rFonts w:hint="eastAsia" w:ascii="宋体" w:hAnsi="宋体" w:eastAsia="宋体" w:cs="宋体"/>
          <w:color w:val="auto"/>
          <w:sz w:val="24"/>
          <w:szCs w:val="24"/>
          <w:highlight w:val="none"/>
        </w:rPr>
      </w:pPr>
    </w:p>
    <w:p w14:paraId="7C19740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（结束）</w:t>
      </w:r>
    </w:p>
    <w:p w14:paraId="7423335C">
      <w:pPr>
        <w:tabs>
          <w:tab w:val="left" w:pos="6300"/>
        </w:tabs>
        <w:snapToGrid w:val="0"/>
        <w:spacing w:line="360" w:lineRule="auto"/>
        <w:ind w:firstLine="560"/>
        <w:jc w:val="center"/>
        <w:rPr>
          <w:rFonts w:hint="eastAsia" w:ascii="宋体" w:hAnsi="宋体" w:eastAsia="宋体" w:cs="宋体"/>
          <w:color w:val="auto"/>
          <w:sz w:val="24"/>
          <w:szCs w:val="24"/>
          <w:highlight w:val="none"/>
        </w:rPr>
      </w:pPr>
    </w:p>
    <w:p w14:paraId="5AC843B5">
      <w:pPr>
        <w:tabs>
          <w:tab w:val="left" w:pos="6300"/>
        </w:tabs>
        <w:snapToGrid w:val="0"/>
        <w:spacing w:line="360" w:lineRule="auto"/>
        <w:ind w:firstLine="560"/>
        <w:jc w:val="center"/>
        <w:rPr>
          <w:rFonts w:hint="eastAsia" w:ascii="宋体" w:hAnsi="宋体" w:eastAsia="宋体" w:cs="宋体"/>
          <w:color w:val="auto"/>
          <w:sz w:val="24"/>
          <w:szCs w:val="24"/>
          <w:highlight w:val="none"/>
        </w:rPr>
      </w:pPr>
    </w:p>
    <w:p w14:paraId="0DDF4A10">
      <w:pPr>
        <w:tabs>
          <w:tab w:val="left" w:pos="6300"/>
        </w:tabs>
        <w:snapToGrid w:val="0"/>
        <w:spacing w:line="360" w:lineRule="auto"/>
        <w:ind w:firstLine="560"/>
        <w:jc w:val="center"/>
        <w:rPr>
          <w:rFonts w:hint="eastAsia" w:ascii="宋体" w:hAnsi="宋体" w:eastAsia="宋体" w:cs="宋体"/>
          <w:color w:val="auto"/>
          <w:sz w:val="24"/>
          <w:szCs w:val="24"/>
          <w:highlight w:val="none"/>
        </w:rPr>
      </w:pPr>
    </w:p>
    <w:p w14:paraId="22B514A2">
      <w:pPr>
        <w:tabs>
          <w:tab w:val="left" w:pos="6300"/>
        </w:tabs>
        <w:snapToGrid w:val="0"/>
        <w:spacing w:line="360" w:lineRule="auto"/>
        <w:ind w:firstLine="560"/>
        <w:jc w:val="center"/>
        <w:rPr>
          <w:rFonts w:hint="eastAsia" w:ascii="宋体" w:hAnsi="宋体" w:eastAsia="宋体" w:cs="宋体"/>
          <w:color w:val="auto"/>
          <w:sz w:val="24"/>
          <w:szCs w:val="24"/>
          <w:highlight w:val="none"/>
        </w:rPr>
      </w:pPr>
    </w:p>
    <w:p w14:paraId="0B1BA289">
      <w:pPr>
        <w:tabs>
          <w:tab w:val="left" w:pos="6300"/>
        </w:tabs>
        <w:snapToGrid w:val="0"/>
        <w:spacing w:line="360" w:lineRule="auto"/>
        <w:ind w:firstLine="560"/>
        <w:jc w:val="center"/>
        <w:rPr>
          <w:rFonts w:hint="eastAsia" w:ascii="宋体" w:hAnsi="宋体" w:eastAsia="宋体" w:cs="宋体"/>
          <w:color w:val="auto"/>
          <w:sz w:val="24"/>
          <w:szCs w:val="24"/>
          <w:highlight w:val="none"/>
        </w:rPr>
      </w:pPr>
    </w:p>
    <w:p w14:paraId="6C2C0F71">
      <w:pPr>
        <w:tabs>
          <w:tab w:val="left" w:pos="6300"/>
        </w:tabs>
        <w:snapToGrid w:val="0"/>
        <w:spacing w:line="360" w:lineRule="auto"/>
        <w:ind w:firstLine="560"/>
        <w:jc w:val="center"/>
        <w:rPr>
          <w:rFonts w:hint="eastAsia" w:ascii="宋体" w:hAnsi="宋体" w:eastAsia="宋体" w:cs="宋体"/>
          <w:color w:val="auto"/>
          <w:sz w:val="24"/>
          <w:szCs w:val="24"/>
          <w:highlight w:val="none"/>
        </w:rPr>
      </w:pPr>
    </w:p>
    <w:p w14:paraId="4E60BC02">
      <w:pPr>
        <w:tabs>
          <w:tab w:val="left" w:pos="6300"/>
        </w:tabs>
        <w:snapToGrid w:val="0"/>
        <w:spacing w:line="360" w:lineRule="auto"/>
        <w:ind w:firstLine="560"/>
        <w:jc w:val="center"/>
        <w:rPr>
          <w:rFonts w:hint="eastAsia" w:ascii="宋体" w:hAnsi="宋体" w:eastAsia="宋体" w:cs="宋体"/>
          <w:color w:val="auto"/>
          <w:sz w:val="24"/>
          <w:szCs w:val="24"/>
          <w:highlight w:val="none"/>
        </w:rPr>
      </w:pPr>
    </w:p>
    <w:p w14:paraId="6047A320">
      <w:pPr>
        <w:tabs>
          <w:tab w:val="left" w:pos="6300"/>
        </w:tabs>
        <w:snapToGrid w:val="0"/>
        <w:spacing w:line="360" w:lineRule="auto"/>
        <w:ind w:firstLine="560"/>
        <w:jc w:val="center"/>
        <w:rPr>
          <w:rFonts w:hint="eastAsia" w:ascii="宋体" w:hAnsi="宋体" w:eastAsia="宋体" w:cs="宋体"/>
          <w:color w:val="auto"/>
          <w:sz w:val="24"/>
          <w:szCs w:val="24"/>
          <w:highlight w:val="none"/>
        </w:rPr>
      </w:pPr>
    </w:p>
    <w:p w14:paraId="51CA37C2">
      <w:pPr>
        <w:tabs>
          <w:tab w:val="left" w:pos="6300"/>
        </w:tabs>
        <w:snapToGrid w:val="0"/>
        <w:spacing w:line="360" w:lineRule="auto"/>
        <w:ind w:firstLine="560"/>
        <w:jc w:val="center"/>
        <w:rPr>
          <w:rFonts w:hint="eastAsia" w:ascii="宋体" w:hAnsi="宋体" w:eastAsia="宋体" w:cs="宋体"/>
          <w:color w:val="auto"/>
          <w:sz w:val="24"/>
          <w:szCs w:val="24"/>
          <w:highlight w:val="none"/>
        </w:rPr>
      </w:pPr>
    </w:p>
    <w:p w14:paraId="78706DE1">
      <w:pPr>
        <w:tabs>
          <w:tab w:val="left" w:pos="6300"/>
        </w:tabs>
        <w:snapToGrid w:val="0"/>
        <w:spacing w:line="360" w:lineRule="auto"/>
        <w:ind w:firstLine="560"/>
        <w:jc w:val="center"/>
        <w:rPr>
          <w:rFonts w:hint="eastAsia" w:ascii="宋体" w:hAnsi="宋体" w:eastAsia="宋体" w:cs="宋体"/>
          <w:color w:val="auto"/>
          <w:sz w:val="24"/>
          <w:szCs w:val="24"/>
          <w:highlight w:val="none"/>
        </w:rPr>
      </w:pPr>
    </w:p>
    <w:p w14:paraId="4CDCC4FE">
      <w:pPr>
        <w:tabs>
          <w:tab w:val="left" w:pos="6300"/>
        </w:tabs>
        <w:snapToGrid w:val="0"/>
        <w:spacing w:line="360" w:lineRule="auto"/>
        <w:ind w:firstLine="560"/>
        <w:jc w:val="center"/>
        <w:rPr>
          <w:rFonts w:hint="eastAsia" w:ascii="宋体" w:hAnsi="宋体" w:eastAsia="宋体" w:cs="宋体"/>
          <w:color w:val="auto"/>
          <w:sz w:val="24"/>
          <w:szCs w:val="24"/>
          <w:highlight w:val="none"/>
        </w:rPr>
      </w:pPr>
    </w:p>
    <w:p w14:paraId="54A850C2">
      <w:pPr>
        <w:pStyle w:val="4"/>
        <w:spacing w:line="360" w:lineRule="auto"/>
        <w:jc w:val="both"/>
        <w:outlineLvl w:val="0"/>
        <w:rPr>
          <w:rFonts w:hint="eastAsia" w:ascii="宋体" w:hAnsi="宋体" w:eastAsia="宋体" w:cs="宋体"/>
          <w:color w:val="auto"/>
          <w:highlight w:val="none"/>
        </w:rPr>
      </w:pPr>
      <w:bookmarkStart w:id="328" w:name="_Toc32296"/>
      <w:bookmarkStart w:id="329" w:name="_Toc21097"/>
      <w:bookmarkStart w:id="330" w:name="_Toc29206"/>
      <w:bookmarkStart w:id="331" w:name="_Toc19176"/>
      <w:bookmarkStart w:id="332" w:name="_Toc21421"/>
      <w:bookmarkStart w:id="333" w:name="_Toc12461"/>
      <w:r>
        <w:rPr>
          <w:rFonts w:hint="eastAsia" w:ascii="宋体" w:hAnsi="宋体" w:eastAsia="宋体" w:cs="宋体"/>
          <w:color w:val="auto"/>
          <w:sz w:val="24"/>
          <w:szCs w:val="24"/>
          <w:highlight w:val="none"/>
        </w:rPr>
        <w:t>附件：竞争性比选文件发售登记表</w:t>
      </w:r>
      <w:bookmarkEnd w:id="328"/>
      <w:bookmarkEnd w:id="329"/>
      <w:bookmarkEnd w:id="330"/>
      <w:bookmarkEnd w:id="331"/>
      <w:bookmarkEnd w:id="332"/>
      <w:bookmarkEnd w:id="333"/>
      <w:r>
        <w:rPr>
          <w:rFonts w:hint="eastAsia" w:ascii="宋体" w:hAnsi="宋体" w:eastAsia="宋体" w:cs="宋体"/>
          <w:color w:val="auto"/>
          <w:highlight w:val="none"/>
        </w:rPr>
        <w:t xml:space="preserve">         </w:t>
      </w:r>
    </w:p>
    <w:p w14:paraId="7B23A336">
      <w:pPr>
        <w:spacing w:line="360" w:lineRule="auto"/>
        <w:jc w:val="center"/>
        <w:outlineLvl w:val="0"/>
        <w:rPr>
          <w:rFonts w:hint="eastAsia" w:ascii="宋体" w:hAnsi="宋体" w:eastAsia="宋体" w:cs="宋体"/>
          <w:b/>
          <w:bCs/>
          <w:color w:val="auto"/>
          <w:spacing w:val="40"/>
          <w:highlight w:val="none"/>
        </w:rPr>
      </w:pPr>
      <w:bookmarkStart w:id="334" w:name="_Toc24514"/>
      <w:bookmarkStart w:id="335" w:name="_Toc30933"/>
      <w:bookmarkStart w:id="336" w:name="_Toc20651"/>
      <w:bookmarkStart w:id="337" w:name="_Toc11576"/>
      <w:r>
        <w:rPr>
          <w:rFonts w:hint="eastAsia" w:ascii="宋体" w:hAnsi="宋体" w:eastAsia="宋体" w:cs="宋体"/>
          <w:color w:val="auto"/>
          <w:sz w:val="44"/>
          <w:szCs w:val="44"/>
          <w:highlight w:val="none"/>
        </w:rPr>
        <w:t>竞争性比选文件发售登记表</w:t>
      </w:r>
      <w:bookmarkEnd w:id="334"/>
      <w:bookmarkEnd w:id="335"/>
      <w:bookmarkEnd w:id="336"/>
      <w:bookmarkEnd w:id="337"/>
    </w:p>
    <w:tbl>
      <w:tblPr>
        <w:tblStyle w:val="27"/>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843"/>
        <w:gridCol w:w="1260"/>
        <w:gridCol w:w="4835"/>
      </w:tblGrid>
      <w:tr w14:paraId="418875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809" w:type="dxa"/>
            <w:noWrap w:val="0"/>
            <w:vAlign w:val="center"/>
          </w:tcPr>
          <w:p w14:paraId="4EB86720">
            <w:pPr>
              <w:spacing w:line="360" w:lineRule="auto"/>
              <w:jc w:val="center"/>
              <w:rPr>
                <w:rFonts w:hint="eastAsia" w:ascii="宋体" w:hAnsi="宋体" w:eastAsia="宋体" w:cs="宋体"/>
                <w:color w:val="auto"/>
                <w:sz w:val="30"/>
                <w:szCs w:val="30"/>
              </w:rPr>
            </w:pPr>
            <w:r>
              <w:rPr>
                <w:rFonts w:hint="eastAsia" w:ascii="宋体" w:hAnsi="宋体" w:eastAsia="宋体" w:cs="宋体"/>
                <w:color w:val="auto"/>
                <w:sz w:val="30"/>
                <w:szCs w:val="30"/>
              </w:rPr>
              <w:t>项目编号</w:t>
            </w:r>
          </w:p>
        </w:tc>
        <w:tc>
          <w:tcPr>
            <w:tcW w:w="7938" w:type="dxa"/>
            <w:gridSpan w:val="3"/>
            <w:noWrap w:val="0"/>
            <w:vAlign w:val="center"/>
          </w:tcPr>
          <w:p w14:paraId="6F7F1CC4">
            <w:pPr>
              <w:adjustRightInd w:val="0"/>
              <w:spacing w:line="360" w:lineRule="auto"/>
              <w:jc w:val="center"/>
              <w:rPr>
                <w:rFonts w:hint="eastAsia" w:ascii="宋体" w:hAnsi="宋体" w:eastAsia="宋体" w:cs="宋体"/>
                <w:color w:val="auto"/>
                <w:sz w:val="30"/>
                <w:szCs w:val="30"/>
                <w:lang w:val="en-US" w:eastAsia="zh-CN"/>
              </w:rPr>
            </w:pPr>
            <w:r>
              <w:rPr>
                <w:rFonts w:hint="eastAsia" w:ascii="宋体" w:hAnsi="宋体" w:eastAsia="宋体" w:cs="宋体"/>
                <w:b/>
                <w:color w:val="auto"/>
                <w:sz w:val="32"/>
                <w:szCs w:val="32"/>
                <w:highlight w:val="none"/>
                <w:lang w:val="en-US" w:eastAsia="zh-CN"/>
              </w:rPr>
              <w:t>CQDYC-2025-05</w:t>
            </w:r>
          </w:p>
        </w:tc>
      </w:tr>
      <w:tr w14:paraId="0F68E9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1809" w:type="dxa"/>
            <w:noWrap w:val="0"/>
            <w:vAlign w:val="center"/>
          </w:tcPr>
          <w:p w14:paraId="5CEAD730">
            <w:pPr>
              <w:spacing w:line="360" w:lineRule="auto"/>
              <w:jc w:val="center"/>
              <w:rPr>
                <w:rFonts w:hint="eastAsia" w:ascii="宋体" w:hAnsi="宋体" w:eastAsia="宋体" w:cs="宋体"/>
                <w:color w:val="auto"/>
                <w:sz w:val="30"/>
                <w:szCs w:val="30"/>
              </w:rPr>
            </w:pPr>
            <w:r>
              <w:rPr>
                <w:rFonts w:hint="eastAsia" w:ascii="宋体" w:hAnsi="宋体" w:eastAsia="宋体" w:cs="宋体"/>
                <w:color w:val="auto"/>
                <w:sz w:val="30"/>
                <w:szCs w:val="30"/>
              </w:rPr>
              <w:t>项目名称</w:t>
            </w:r>
          </w:p>
        </w:tc>
        <w:tc>
          <w:tcPr>
            <w:tcW w:w="7938" w:type="dxa"/>
            <w:gridSpan w:val="3"/>
            <w:noWrap w:val="0"/>
            <w:vAlign w:val="center"/>
          </w:tcPr>
          <w:p w14:paraId="1BDB18AB">
            <w:pPr>
              <w:spacing w:line="360" w:lineRule="auto"/>
              <w:jc w:val="center"/>
              <w:outlineLvl w:val="9"/>
              <w:rPr>
                <w:rFonts w:hint="eastAsia" w:ascii="宋体" w:hAnsi="宋体" w:eastAsia="宋体" w:cs="宋体"/>
                <w:color w:val="auto"/>
                <w:sz w:val="30"/>
                <w:szCs w:val="30"/>
              </w:rPr>
            </w:pPr>
          </w:p>
        </w:tc>
      </w:tr>
      <w:tr w14:paraId="0FEF68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809" w:type="dxa"/>
            <w:noWrap w:val="0"/>
            <w:vAlign w:val="center"/>
          </w:tcPr>
          <w:p w14:paraId="55357DC3">
            <w:pPr>
              <w:spacing w:line="360" w:lineRule="auto"/>
              <w:rPr>
                <w:rFonts w:hint="eastAsia" w:ascii="宋体" w:hAnsi="宋体" w:eastAsia="宋体" w:cs="宋体"/>
                <w:color w:val="auto"/>
                <w:sz w:val="30"/>
                <w:szCs w:val="30"/>
              </w:rPr>
            </w:pPr>
            <w:r>
              <w:rPr>
                <w:rFonts w:hint="eastAsia" w:ascii="宋体" w:hAnsi="宋体" w:eastAsia="宋体" w:cs="宋体"/>
                <w:color w:val="auto"/>
                <w:sz w:val="30"/>
                <w:szCs w:val="30"/>
              </w:rPr>
              <w:t>供应商名称</w:t>
            </w:r>
          </w:p>
        </w:tc>
        <w:tc>
          <w:tcPr>
            <w:tcW w:w="7938" w:type="dxa"/>
            <w:gridSpan w:val="3"/>
            <w:noWrap w:val="0"/>
            <w:vAlign w:val="center"/>
          </w:tcPr>
          <w:p w14:paraId="5240D56E">
            <w:pPr>
              <w:spacing w:line="360" w:lineRule="auto"/>
              <w:jc w:val="center"/>
              <w:rPr>
                <w:rFonts w:hint="eastAsia" w:ascii="宋体" w:hAnsi="宋体" w:eastAsia="宋体" w:cs="宋体"/>
                <w:color w:val="auto"/>
                <w:sz w:val="30"/>
                <w:szCs w:val="30"/>
              </w:rPr>
            </w:pPr>
          </w:p>
        </w:tc>
      </w:tr>
      <w:tr w14:paraId="7048E5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809" w:type="dxa"/>
            <w:noWrap w:val="0"/>
            <w:vAlign w:val="center"/>
          </w:tcPr>
          <w:p w14:paraId="66E4B933">
            <w:pPr>
              <w:spacing w:line="360" w:lineRule="auto"/>
              <w:jc w:val="center"/>
              <w:rPr>
                <w:rFonts w:hint="eastAsia" w:ascii="宋体" w:hAnsi="宋体" w:eastAsia="宋体" w:cs="宋体"/>
                <w:color w:val="auto"/>
                <w:sz w:val="30"/>
                <w:szCs w:val="30"/>
              </w:rPr>
            </w:pPr>
            <w:r>
              <w:rPr>
                <w:rFonts w:hint="eastAsia" w:ascii="宋体" w:hAnsi="宋体" w:eastAsia="宋体" w:cs="宋体"/>
                <w:color w:val="auto"/>
                <w:sz w:val="30"/>
                <w:szCs w:val="30"/>
              </w:rPr>
              <w:t>联系人</w:t>
            </w:r>
          </w:p>
        </w:tc>
        <w:tc>
          <w:tcPr>
            <w:tcW w:w="1843" w:type="dxa"/>
            <w:noWrap w:val="0"/>
            <w:vAlign w:val="center"/>
          </w:tcPr>
          <w:p w14:paraId="02006BD2">
            <w:pPr>
              <w:spacing w:line="360" w:lineRule="auto"/>
              <w:jc w:val="left"/>
              <w:rPr>
                <w:rFonts w:hint="eastAsia" w:ascii="宋体" w:hAnsi="宋体" w:eastAsia="宋体" w:cs="宋体"/>
                <w:color w:val="auto"/>
                <w:sz w:val="30"/>
                <w:szCs w:val="30"/>
              </w:rPr>
            </w:pPr>
          </w:p>
        </w:tc>
        <w:tc>
          <w:tcPr>
            <w:tcW w:w="1260" w:type="dxa"/>
            <w:noWrap w:val="0"/>
            <w:vAlign w:val="center"/>
          </w:tcPr>
          <w:p w14:paraId="5CB84EAD">
            <w:pPr>
              <w:spacing w:line="360" w:lineRule="auto"/>
              <w:jc w:val="left"/>
              <w:rPr>
                <w:rFonts w:hint="eastAsia" w:ascii="宋体" w:hAnsi="宋体" w:eastAsia="宋体" w:cs="宋体"/>
                <w:color w:val="auto"/>
                <w:sz w:val="30"/>
                <w:szCs w:val="30"/>
              </w:rPr>
            </w:pPr>
            <w:r>
              <w:rPr>
                <w:rFonts w:hint="eastAsia" w:ascii="宋体" w:hAnsi="宋体" w:eastAsia="宋体" w:cs="宋体"/>
                <w:color w:val="auto"/>
                <w:sz w:val="30"/>
                <w:szCs w:val="30"/>
              </w:rPr>
              <w:t>手机</w:t>
            </w:r>
          </w:p>
        </w:tc>
        <w:tc>
          <w:tcPr>
            <w:tcW w:w="4835" w:type="dxa"/>
            <w:noWrap w:val="0"/>
            <w:vAlign w:val="center"/>
          </w:tcPr>
          <w:p w14:paraId="2C20D1D3">
            <w:pPr>
              <w:spacing w:line="360" w:lineRule="auto"/>
              <w:jc w:val="left"/>
              <w:rPr>
                <w:rFonts w:hint="eastAsia" w:ascii="宋体" w:hAnsi="宋体" w:eastAsia="宋体" w:cs="宋体"/>
                <w:color w:val="auto"/>
                <w:sz w:val="30"/>
                <w:szCs w:val="30"/>
              </w:rPr>
            </w:pPr>
          </w:p>
        </w:tc>
      </w:tr>
      <w:tr w14:paraId="1C62CE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809" w:type="dxa"/>
            <w:noWrap w:val="0"/>
            <w:vAlign w:val="center"/>
          </w:tcPr>
          <w:p w14:paraId="28587497">
            <w:pPr>
              <w:spacing w:line="360" w:lineRule="auto"/>
              <w:jc w:val="center"/>
              <w:rPr>
                <w:rFonts w:hint="eastAsia" w:ascii="宋体" w:hAnsi="宋体" w:eastAsia="宋体" w:cs="宋体"/>
                <w:color w:val="auto"/>
                <w:sz w:val="30"/>
                <w:szCs w:val="30"/>
              </w:rPr>
            </w:pPr>
            <w:r>
              <w:rPr>
                <w:rFonts w:hint="eastAsia" w:ascii="宋体" w:hAnsi="宋体" w:eastAsia="宋体" w:cs="宋体"/>
                <w:color w:val="auto"/>
                <w:sz w:val="30"/>
                <w:szCs w:val="30"/>
              </w:rPr>
              <w:t>办公电话</w:t>
            </w:r>
          </w:p>
        </w:tc>
        <w:tc>
          <w:tcPr>
            <w:tcW w:w="1843" w:type="dxa"/>
            <w:noWrap w:val="0"/>
            <w:vAlign w:val="center"/>
          </w:tcPr>
          <w:p w14:paraId="6B5886E8">
            <w:pPr>
              <w:spacing w:line="360" w:lineRule="auto"/>
              <w:jc w:val="left"/>
              <w:rPr>
                <w:rFonts w:hint="eastAsia" w:ascii="宋体" w:hAnsi="宋体" w:eastAsia="宋体" w:cs="宋体"/>
                <w:color w:val="auto"/>
                <w:sz w:val="30"/>
                <w:szCs w:val="30"/>
              </w:rPr>
            </w:pPr>
          </w:p>
        </w:tc>
        <w:tc>
          <w:tcPr>
            <w:tcW w:w="1260" w:type="dxa"/>
            <w:noWrap w:val="0"/>
            <w:vAlign w:val="center"/>
          </w:tcPr>
          <w:p w14:paraId="2C865B21">
            <w:pPr>
              <w:spacing w:line="360" w:lineRule="auto"/>
              <w:jc w:val="left"/>
              <w:rPr>
                <w:rFonts w:hint="eastAsia" w:ascii="宋体" w:hAnsi="宋体" w:eastAsia="宋体" w:cs="宋体"/>
                <w:color w:val="auto"/>
                <w:sz w:val="30"/>
                <w:szCs w:val="30"/>
              </w:rPr>
            </w:pPr>
            <w:r>
              <w:rPr>
                <w:rFonts w:hint="eastAsia" w:ascii="宋体" w:hAnsi="宋体" w:eastAsia="宋体" w:cs="宋体"/>
                <w:color w:val="auto"/>
                <w:sz w:val="30"/>
                <w:szCs w:val="30"/>
              </w:rPr>
              <w:t>传真</w:t>
            </w:r>
          </w:p>
        </w:tc>
        <w:tc>
          <w:tcPr>
            <w:tcW w:w="4835" w:type="dxa"/>
            <w:noWrap w:val="0"/>
            <w:vAlign w:val="center"/>
          </w:tcPr>
          <w:p w14:paraId="7DEE42A4">
            <w:pPr>
              <w:spacing w:line="360" w:lineRule="auto"/>
              <w:jc w:val="left"/>
              <w:rPr>
                <w:rFonts w:hint="eastAsia" w:ascii="宋体" w:hAnsi="宋体" w:eastAsia="宋体" w:cs="宋体"/>
                <w:color w:val="auto"/>
                <w:sz w:val="30"/>
                <w:szCs w:val="30"/>
              </w:rPr>
            </w:pPr>
          </w:p>
        </w:tc>
      </w:tr>
      <w:tr w14:paraId="023E97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809" w:type="dxa"/>
            <w:noWrap w:val="0"/>
            <w:vAlign w:val="center"/>
          </w:tcPr>
          <w:p w14:paraId="5D537615">
            <w:pPr>
              <w:spacing w:line="360" w:lineRule="auto"/>
              <w:jc w:val="center"/>
              <w:rPr>
                <w:rFonts w:hint="eastAsia" w:ascii="宋体" w:hAnsi="宋体" w:eastAsia="宋体" w:cs="宋体"/>
                <w:color w:val="auto"/>
                <w:sz w:val="30"/>
                <w:szCs w:val="30"/>
              </w:rPr>
            </w:pPr>
            <w:r>
              <w:rPr>
                <w:rFonts w:hint="eastAsia" w:ascii="宋体" w:hAnsi="宋体" w:eastAsia="宋体" w:cs="宋体"/>
                <w:color w:val="auto"/>
                <w:sz w:val="30"/>
                <w:szCs w:val="30"/>
              </w:rPr>
              <w:t>E-mail</w:t>
            </w:r>
          </w:p>
        </w:tc>
        <w:tc>
          <w:tcPr>
            <w:tcW w:w="7938" w:type="dxa"/>
            <w:gridSpan w:val="3"/>
            <w:noWrap w:val="0"/>
            <w:vAlign w:val="center"/>
          </w:tcPr>
          <w:p w14:paraId="2642D33E">
            <w:pPr>
              <w:spacing w:line="360" w:lineRule="auto"/>
              <w:jc w:val="left"/>
              <w:rPr>
                <w:rFonts w:hint="eastAsia" w:ascii="宋体" w:hAnsi="宋体" w:eastAsia="宋体" w:cs="宋体"/>
                <w:color w:val="auto"/>
                <w:sz w:val="30"/>
                <w:szCs w:val="30"/>
              </w:rPr>
            </w:pPr>
          </w:p>
          <w:p w14:paraId="50FFFBBF">
            <w:pPr>
              <w:pStyle w:val="4"/>
              <w:spacing w:line="360" w:lineRule="auto"/>
              <w:outlineLvl w:val="9"/>
              <w:rPr>
                <w:rFonts w:hint="eastAsia" w:ascii="宋体" w:hAnsi="宋体" w:eastAsia="宋体" w:cs="宋体"/>
                <w:color w:val="auto"/>
              </w:rPr>
            </w:pPr>
          </w:p>
        </w:tc>
      </w:tr>
      <w:tr w14:paraId="7754BC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809" w:type="dxa"/>
            <w:noWrap w:val="0"/>
            <w:vAlign w:val="center"/>
          </w:tcPr>
          <w:p w14:paraId="5B101E28">
            <w:pPr>
              <w:spacing w:line="360" w:lineRule="auto"/>
              <w:jc w:val="center"/>
              <w:rPr>
                <w:rFonts w:hint="eastAsia" w:ascii="宋体" w:hAnsi="宋体" w:eastAsia="宋体" w:cs="宋体"/>
                <w:color w:val="auto"/>
                <w:sz w:val="30"/>
                <w:szCs w:val="30"/>
              </w:rPr>
            </w:pPr>
            <w:r>
              <w:rPr>
                <w:rFonts w:hint="eastAsia" w:ascii="宋体" w:hAnsi="宋体" w:eastAsia="宋体" w:cs="宋体"/>
                <w:color w:val="auto"/>
                <w:sz w:val="30"/>
                <w:szCs w:val="30"/>
              </w:rPr>
              <w:t>单位地址</w:t>
            </w:r>
          </w:p>
        </w:tc>
        <w:tc>
          <w:tcPr>
            <w:tcW w:w="7938" w:type="dxa"/>
            <w:gridSpan w:val="3"/>
            <w:noWrap w:val="0"/>
            <w:vAlign w:val="center"/>
          </w:tcPr>
          <w:p w14:paraId="5652AA29">
            <w:pPr>
              <w:spacing w:line="360" w:lineRule="auto"/>
              <w:jc w:val="left"/>
              <w:rPr>
                <w:rFonts w:hint="eastAsia" w:ascii="宋体" w:hAnsi="宋体" w:eastAsia="宋体" w:cs="宋体"/>
                <w:color w:val="auto"/>
                <w:sz w:val="30"/>
                <w:szCs w:val="30"/>
              </w:rPr>
            </w:pPr>
          </w:p>
          <w:p w14:paraId="371AFFF5">
            <w:pPr>
              <w:pStyle w:val="4"/>
              <w:spacing w:line="360" w:lineRule="auto"/>
              <w:outlineLvl w:val="9"/>
              <w:rPr>
                <w:rFonts w:hint="eastAsia" w:ascii="宋体" w:hAnsi="宋体" w:eastAsia="宋体" w:cs="宋体"/>
                <w:color w:val="auto"/>
              </w:rPr>
            </w:pPr>
          </w:p>
        </w:tc>
      </w:tr>
      <w:tr w14:paraId="64DC54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9747" w:type="dxa"/>
            <w:gridSpan w:val="4"/>
            <w:noWrap w:val="0"/>
            <w:vAlign w:val="center"/>
          </w:tcPr>
          <w:p w14:paraId="3E4142D2">
            <w:pPr>
              <w:spacing w:line="360" w:lineRule="auto"/>
              <w:jc w:val="left"/>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分包号及分包名称</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w:t>
            </w:r>
          </w:p>
        </w:tc>
      </w:tr>
      <w:tr w14:paraId="4C460D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747" w:type="dxa"/>
            <w:gridSpan w:val="4"/>
            <w:noWrap w:val="0"/>
            <w:vAlign w:val="center"/>
          </w:tcPr>
          <w:p w14:paraId="22508229">
            <w:pPr>
              <w:spacing w:line="360" w:lineRule="auto"/>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分包号：</w:t>
            </w:r>
            <w:r>
              <w:rPr>
                <w:rFonts w:hint="eastAsia" w:ascii="宋体" w:hAnsi="宋体" w:eastAsia="宋体" w:cs="宋体"/>
                <w:color w:val="auto"/>
                <w:sz w:val="28"/>
                <w:szCs w:val="28"/>
                <w:lang w:val="en-US" w:eastAsia="zh-CN"/>
              </w:rPr>
              <w:t>/</w:t>
            </w:r>
          </w:p>
        </w:tc>
      </w:tr>
      <w:tr w14:paraId="150AF1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747" w:type="dxa"/>
            <w:gridSpan w:val="4"/>
            <w:noWrap w:val="0"/>
            <w:vAlign w:val="center"/>
          </w:tcPr>
          <w:p w14:paraId="1F3BF32C">
            <w:pPr>
              <w:spacing w:line="360" w:lineRule="auto"/>
              <w:outlineLvl w:val="0"/>
              <w:rPr>
                <w:rFonts w:hint="eastAsia" w:ascii="宋体" w:hAnsi="宋体" w:eastAsia="宋体" w:cs="宋体"/>
                <w:color w:val="auto"/>
                <w:sz w:val="28"/>
                <w:szCs w:val="28"/>
                <w:lang w:val="en-US" w:eastAsia="zh-CN"/>
              </w:rPr>
            </w:pPr>
            <w:bookmarkStart w:id="338" w:name="_Toc522"/>
            <w:bookmarkStart w:id="339" w:name="_Toc1178"/>
            <w:bookmarkStart w:id="340" w:name="_Toc16031"/>
            <w:bookmarkStart w:id="341" w:name="_Toc14158"/>
            <w:r>
              <w:rPr>
                <w:rFonts w:hint="eastAsia" w:ascii="宋体" w:hAnsi="宋体" w:eastAsia="宋体" w:cs="宋体"/>
                <w:color w:val="auto"/>
                <w:sz w:val="28"/>
                <w:szCs w:val="28"/>
              </w:rPr>
              <w:t>分包名称</w:t>
            </w:r>
            <w:r>
              <w:rPr>
                <w:rFonts w:hint="eastAsia" w:ascii="宋体" w:hAnsi="宋体" w:eastAsia="宋体" w:cs="宋体"/>
                <w:color w:val="auto"/>
                <w:sz w:val="30"/>
                <w:szCs w:val="30"/>
              </w:rPr>
              <w:t>：</w:t>
            </w:r>
            <w:bookmarkEnd w:id="338"/>
            <w:bookmarkEnd w:id="339"/>
            <w:bookmarkEnd w:id="340"/>
            <w:bookmarkEnd w:id="341"/>
            <w:r>
              <w:rPr>
                <w:rFonts w:hint="eastAsia" w:ascii="宋体" w:hAnsi="宋体" w:eastAsia="宋体" w:cs="宋体"/>
                <w:color w:val="auto"/>
                <w:sz w:val="30"/>
                <w:szCs w:val="30"/>
                <w:lang w:val="en-US" w:eastAsia="zh-CN"/>
              </w:rPr>
              <w:t>/</w:t>
            </w:r>
          </w:p>
        </w:tc>
      </w:tr>
      <w:tr w14:paraId="210068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9747" w:type="dxa"/>
            <w:gridSpan w:val="4"/>
            <w:noWrap w:val="0"/>
            <w:vAlign w:val="center"/>
          </w:tcPr>
          <w:p w14:paraId="7B29C8B2">
            <w:pPr>
              <w:spacing w:line="360" w:lineRule="auto"/>
              <w:jc w:val="left"/>
              <w:rPr>
                <w:rFonts w:hint="eastAsia" w:ascii="宋体" w:hAnsi="宋体" w:eastAsia="宋体" w:cs="宋体"/>
                <w:color w:val="auto"/>
                <w:sz w:val="30"/>
                <w:szCs w:val="30"/>
              </w:rPr>
            </w:pPr>
            <w:r>
              <w:rPr>
                <w:rFonts w:hint="eastAsia" w:ascii="宋体" w:hAnsi="宋体" w:eastAsia="宋体" w:cs="宋体"/>
                <w:color w:val="auto"/>
                <w:sz w:val="30"/>
                <w:szCs w:val="30"/>
              </w:rPr>
              <w:t xml:space="preserve">    </w:t>
            </w:r>
          </w:p>
          <w:p w14:paraId="78C72648">
            <w:pPr>
              <w:spacing w:line="360" w:lineRule="auto"/>
              <w:jc w:val="left"/>
              <w:rPr>
                <w:rFonts w:hint="eastAsia" w:ascii="宋体" w:hAnsi="宋体" w:eastAsia="宋体" w:cs="宋体"/>
                <w:color w:val="auto"/>
                <w:sz w:val="30"/>
                <w:szCs w:val="30"/>
              </w:rPr>
            </w:pPr>
          </w:p>
          <w:p w14:paraId="5C7FAFBE">
            <w:pPr>
              <w:spacing w:line="360" w:lineRule="auto"/>
              <w:jc w:val="left"/>
              <w:rPr>
                <w:rFonts w:hint="eastAsia" w:ascii="宋体" w:hAnsi="宋体" w:eastAsia="宋体" w:cs="宋体"/>
                <w:color w:val="auto"/>
                <w:sz w:val="30"/>
                <w:szCs w:val="30"/>
              </w:rPr>
            </w:pPr>
            <w:r>
              <w:rPr>
                <w:rFonts w:hint="eastAsia" w:ascii="宋体" w:hAnsi="宋体" w:eastAsia="宋体" w:cs="宋体"/>
                <w:color w:val="auto"/>
                <w:sz w:val="30"/>
                <w:szCs w:val="30"/>
              </w:rPr>
              <w:t>日期：</w:t>
            </w: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rPr>
              <w:t xml:space="preserve"> 年</w:t>
            </w: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rPr>
              <w:t>月</w:t>
            </w: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rPr>
              <w:t xml:space="preserve">日    </w:t>
            </w:r>
          </w:p>
        </w:tc>
      </w:tr>
    </w:tbl>
    <w:p w14:paraId="641AAACA">
      <w:pPr>
        <w:tabs>
          <w:tab w:val="left" w:pos="6300"/>
        </w:tabs>
        <w:snapToGrid w:val="0"/>
        <w:spacing w:line="360" w:lineRule="auto"/>
        <w:ind w:firstLine="560"/>
        <w:jc w:val="center"/>
        <w:rPr>
          <w:rFonts w:hint="eastAsia" w:ascii="宋体" w:hAnsi="宋体" w:eastAsia="宋体" w:cs="宋体"/>
          <w:color w:val="auto"/>
          <w:sz w:val="24"/>
          <w:szCs w:val="24"/>
          <w:highlight w:val="none"/>
        </w:rPr>
      </w:pPr>
    </w:p>
    <w:sectPr>
      <w:pgSz w:w="11906" w:h="16838"/>
      <w:pgMar w:top="1134" w:right="1134" w:bottom="1134" w:left="113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nsolas">
    <w:panose1 w:val="020B0609020204030204"/>
    <w:charset w:val="00"/>
    <w:family w:val="auto"/>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BF34F531-CDCC-4C31-A508-1BFE78BF3DA7}"/>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embedRegular r:id="rId2" w:fontKey="{B8FC2818-1A0F-45CF-9762-10DB00C1B34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7C7CA">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22FD5E">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C22FD5E">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95BEC">
    <w:pPr>
      <w:pStyle w:val="18"/>
      <w:framePr w:wrap="around" w:vAnchor="text" w:hAnchor="margin" w:xAlign="center" w:y="1"/>
      <w:rPr>
        <w:rStyle w:val="31"/>
      </w:rPr>
    </w:pPr>
    <w:r>
      <w:fldChar w:fldCharType="begin"/>
    </w:r>
    <w:r>
      <w:rPr>
        <w:rStyle w:val="31"/>
      </w:rPr>
      <w:instrText xml:space="preserve">PAGE  </w:instrText>
    </w:r>
    <w:r>
      <w:fldChar w:fldCharType="separate"/>
    </w:r>
    <w:r>
      <w:fldChar w:fldCharType="end"/>
    </w:r>
  </w:p>
  <w:p w14:paraId="13CB0721">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7F167">
    <w:pPr>
      <w:pStyle w:val="18"/>
      <w:tabs>
        <w:tab w:val="clear" w:pos="4153"/>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B423A9">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4B423A9">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E2C48">
    <w:pPr>
      <w:pStyle w:val="18"/>
      <w:tabs>
        <w:tab w:val="center" w:pos="4819"/>
        <w:tab w:val="clear" w:pos="4153"/>
      </w:tabs>
      <w:rPr>
        <w:b/>
        <w:bCs/>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20C9B8">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920C9B8">
                    <w:pPr>
                      <w:pStyle w:val="18"/>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1EF08">
    <w:pPr>
      <w:pStyle w:val="18"/>
      <w:tabs>
        <w:tab w:val="center" w:pos="4819"/>
        <w:tab w:val="clear" w:pos="4153"/>
      </w:tabs>
      <w:rPr>
        <w:b/>
        <w:bCs/>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7670CE">
                          <w:pPr>
                            <w:pStyle w:val="1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D7670CE">
                    <w:pPr>
                      <w:pStyle w:val="18"/>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1BEDB">
    <w:pPr>
      <w:pStyle w:val="19"/>
      <w:jc w:val="both"/>
      <w:rPr>
        <w:rFonts w:ascii="方正仿宋_GBK" w:eastAsia="方正仿宋_GBK"/>
        <w:sz w:val="21"/>
        <w:szCs w:val="24"/>
      </w:rPr>
    </w:pPr>
    <w:r>
      <w:rPr>
        <w:rFonts w:hint="eastAsia" w:ascii="方正仿宋_GBK" w:eastAsia="方正仿宋_GBK"/>
        <w:sz w:val="21"/>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FA89D">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0A7EE">
    <w:pPr>
      <w:pStyle w:val="1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049CC">
    <w:pPr>
      <w:pStyle w:val="19"/>
      <w:jc w:val="both"/>
      <w:rPr>
        <w:rFonts w:hint="eastAsia" w:ascii="仿宋" w:hAnsi="仿宋" w:eastAsia="仿宋" w:cs="仿宋"/>
        <w:sz w:val="24"/>
        <w:szCs w:val="24"/>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C29F45"/>
    <w:multiLevelType w:val="singleLevel"/>
    <w:tmpl w:val="A1C29F45"/>
    <w:lvl w:ilvl="0" w:tentative="0">
      <w:start w:val="5"/>
      <w:numFmt w:val="chineseCounting"/>
      <w:suff w:val="nothing"/>
      <w:lvlText w:val="%1、"/>
      <w:lvlJc w:val="left"/>
      <w:rPr>
        <w:rFonts w:hint="eastAsia"/>
      </w:rPr>
    </w:lvl>
  </w:abstractNum>
  <w:abstractNum w:abstractNumId="1">
    <w:nsid w:val="A2CCBCEB"/>
    <w:multiLevelType w:val="singleLevel"/>
    <w:tmpl w:val="A2CCBCEB"/>
    <w:lvl w:ilvl="0" w:tentative="0">
      <w:start w:val="1"/>
      <w:numFmt w:val="decimal"/>
      <w:lvlText w:val="%1."/>
      <w:lvlJc w:val="left"/>
      <w:pPr>
        <w:tabs>
          <w:tab w:val="left" w:pos="312"/>
        </w:tabs>
      </w:pPr>
    </w:lvl>
  </w:abstractNum>
  <w:abstractNum w:abstractNumId="2">
    <w:nsid w:val="A620B950"/>
    <w:multiLevelType w:val="singleLevel"/>
    <w:tmpl w:val="A620B950"/>
    <w:lvl w:ilvl="0" w:tentative="0">
      <w:start w:val="1"/>
      <w:numFmt w:val="decimal"/>
      <w:suff w:val="nothing"/>
      <w:lvlText w:val="%1、"/>
      <w:lvlJc w:val="left"/>
    </w:lvl>
  </w:abstractNum>
  <w:abstractNum w:abstractNumId="3">
    <w:nsid w:val="AF5E6BD6"/>
    <w:multiLevelType w:val="singleLevel"/>
    <w:tmpl w:val="AF5E6BD6"/>
    <w:lvl w:ilvl="0" w:tentative="0">
      <w:start w:val="3"/>
      <w:numFmt w:val="chineseCounting"/>
      <w:suff w:val="nothing"/>
      <w:lvlText w:val="%1、"/>
      <w:lvlJc w:val="left"/>
      <w:rPr>
        <w:rFonts w:hint="eastAsia"/>
      </w:rPr>
    </w:lvl>
  </w:abstractNum>
  <w:abstractNum w:abstractNumId="4">
    <w:nsid w:val="2864A663"/>
    <w:multiLevelType w:val="singleLevel"/>
    <w:tmpl w:val="2864A663"/>
    <w:lvl w:ilvl="0" w:tentative="0">
      <w:start w:val="2"/>
      <w:numFmt w:val="chineseCounting"/>
      <w:suff w:val="nothing"/>
      <w:lvlText w:val="（%1）"/>
      <w:lvlJc w:val="left"/>
      <w:rPr>
        <w:rFonts w:hint="eastAsia"/>
      </w:rPr>
    </w:lvl>
  </w:abstractNum>
  <w:abstractNum w:abstractNumId="5">
    <w:nsid w:val="40DC5BB8"/>
    <w:multiLevelType w:val="singleLevel"/>
    <w:tmpl w:val="40DC5BB8"/>
    <w:lvl w:ilvl="0" w:tentative="0">
      <w:start w:val="2"/>
      <w:numFmt w:val="chineseCounting"/>
      <w:suff w:val="nothing"/>
      <w:lvlText w:val="%1、"/>
      <w:lvlJc w:val="left"/>
      <w:rPr>
        <w:rFonts w:hint="eastAsia"/>
      </w:rPr>
    </w:lvl>
  </w:abstractNum>
  <w:num w:numId="1">
    <w:abstractNumId w:val="1"/>
  </w:num>
  <w:num w:numId="2">
    <w:abstractNumId w:val="5"/>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2ODg4ODI0ZjczZjBkMWQyMjRjOWU4M2Q0MzZmODkifQ=="/>
  </w:docVars>
  <w:rsids>
    <w:rsidRoot w:val="007A16A6"/>
    <w:rsid w:val="00001F79"/>
    <w:rsid w:val="000E7463"/>
    <w:rsid w:val="004371E3"/>
    <w:rsid w:val="00483F46"/>
    <w:rsid w:val="00485C2C"/>
    <w:rsid w:val="00591057"/>
    <w:rsid w:val="006E5E11"/>
    <w:rsid w:val="007A16A6"/>
    <w:rsid w:val="00967338"/>
    <w:rsid w:val="00972965"/>
    <w:rsid w:val="009A23AB"/>
    <w:rsid w:val="00AC648B"/>
    <w:rsid w:val="00B12A73"/>
    <w:rsid w:val="00BA5DF6"/>
    <w:rsid w:val="00D10673"/>
    <w:rsid w:val="00D51730"/>
    <w:rsid w:val="00D52756"/>
    <w:rsid w:val="00D53746"/>
    <w:rsid w:val="00E91541"/>
    <w:rsid w:val="00FA10C8"/>
    <w:rsid w:val="00FC5295"/>
    <w:rsid w:val="00FE3AF9"/>
    <w:rsid w:val="011801B4"/>
    <w:rsid w:val="01583118"/>
    <w:rsid w:val="015E3A12"/>
    <w:rsid w:val="01872593"/>
    <w:rsid w:val="01D41FEB"/>
    <w:rsid w:val="01E0649E"/>
    <w:rsid w:val="01EA636A"/>
    <w:rsid w:val="01F11601"/>
    <w:rsid w:val="02013B6C"/>
    <w:rsid w:val="02016828"/>
    <w:rsid w:val="02186A33"/>
    <w:rsid w:val="02362B3B"/>
    <w:rsid w:val="024C0DD3"/>
    <w:rsid w:val="02531CA3"/>
    <w:rsid w:val="02533878"/>
    <w:rsid w:val="02555213"/>
    <w:rsid w:val="028E2BE3"/>
    <w:rsid w:val="02900CBF"/>
    <w:rsid w:val="0294794D"/>
    <w:rsid w:val="02AD7D25"/>
    <w:rsid w:val="02B67E79"/>
    <w:rsid w:val="02BD7F57"/>
    <w:rsid w:val="02C848FD"/>
    <w:rsid w:val="02D07A91"/>
    <w:rsid w:val="02D50DC8"/>
    <w:rsid w:val="02EC19C0"/>
    <w:rsid w:val="02FC0103"/>
    <w:rsid w:val="03011D41"/>
    <w:rsid w:val="030B47EA"/>
    <w:rsid w:val="031B20B6"/>
    <w:rsid w:val="032338E1"/>
    <w:rsid w:val="032A1D61"/>
    <w:rsid w:val="032D0F7E"/>
    <w:rsid w:val="033428D7"/>
    <w:rsid w:val="03465822"/>
    <w:rsid w:val="035241C7"/>
    <w:rsid w:val="035B02C4"/>
    <w:rsid w:val="035E0DBD"/>
    <w:rsid w:val="036C5B3B"/>
    <w:rsid w:val="038A570F"/>
    <w:rsid w:val="03955EC9"/>
    <w:rsid w:val="03975CFC"/>
    <w:rsid w:val="039E10EB"/>
    <w:rsid w:val="03B510E0"/>
    <w:rsid w:val="03B66D3C"/>
    <w:rsid w:val="03EF6039"/>
    <w:rsid w:val="03F93983"/>
    <w:rsid w:val="03FF7DE1"/>
    <w:rsid w:val="04162652"/>
    <w:rsid w:val="041D6583"/>
    <w:rsid w:val="04274F2B"/>
    <w:rsid w:val="044B0558"/>
    <w:rsid w:val="04574102"/>
    <w:rsid w:val="0473288B"/>
    <w:rsid w:val="048644D3"/>
    <w:rsid w:val="04866AD2"/>
    <w:rsid w:val="048A2FCF"/>
    <w:rsid w:val="04BE4941"/>
    <w:rsid w:val="04C210B5"/>
    <w:rsid w:val="04D806FC"/>
    <w:rsid w:val="04DA26C6"/>
    <w:rsid w:val="04F35297"/>
    <w:rsid w:val="04FB243E"/>
    <w:rsid w:val="051C0AFA"/>
    <w:rsid w:val="05243941"/>
    <w:rsid w:val="05545379"/>
    <w:rsid w:val="058E1529"/>
    <w:rsid w:val="05912AC6"/>
    <w:rsid w:val="05924D4E"/>
    <w:rsid w:val="05A21435"/>
    <w:rsid w:val="05AE3AE8"/>
    <w:rsid w:val="05C55124"/>
    <w:rsid w:val="05CF5FA2"/>
    <w:rsid w:val="05E21BDB"/>
    <w:rsid w:val="05E7729D"/>
    <w:rsid w:val="05ED5DDC"/>
    <w:rsid w:val="05FC0C11"/>
    <w:rsid w:val="06075142"/>
    <w:rsid w:val="06106453"/>
    <w:rsid w:val="062C120A"/>
    <w:rsid w:val="0633208D"/>
    <w:rsid w:val="065546FA"/>
    <w:rsid w:val="066466EB"/>
    <w:rsid w:val="06647D53"/>
    <w:rsid w:val="06683691"/>
    <w:rsid w:val="06745A21"/>
    <w:rsid w:val="067A40B5"/>
    <w:rsid w:val="069B7C33"/>
    <w:rsid w:val="06B86A37"/>
    <w:rsid w:val="06CE1DB6"/>
    <w:rsid w:val="070B125C"/>
    <w:rsid w:val="071023CF"/>
    <w:rsid w:val="07183F2F"/>
    <w:rsid w:val="071C6FC5"/>
    <w:rsid w:val="07231007"/>
    <w:rsid w:val="072D6361"/>
    <w:rsid w:val="072E5CE5"/>
    <w:rsid w:val="073A1725"/>
    <w:rsid w:val="07487DBA"/>
    <w:rsid w:val="0765096C"/>
    <w:rsid w:val="0768045D"/>
    <w:rsid w:val="07853019"/>
    <w:rsid w:val="078B414B"/>
    <w:rsid w:val="078E4A89"/>
    <w:rsid w:val="07A34FF1"/>
    <w:rsid w:val="07C826CF"/>
    <w:rsid w:val="07CD1340"/>
    <w:rsid w:val="07E35D35"/>
    <w:rsid w:val="07ED0962"/>
    <w:rsid w:val="080D4B60"/>
    <w:rsid w:val="0826408A"/>
    <w:rsid w:val="082C148A"/>
    <w:rsid w:val="0830253D"/>
    <w:rsid w:val="08314CF2"/>
    <w:rsid w:val="083640B7"/>
    <w:rsid w:val="08404F36"/>
    <w:rsid w:val="084E7652"/>
    <w:rsid w:val="089D4B4D"/>
    <w:rsid w:val="089D5EE4"/>
    <w:rsid w:val="08A2174C"/>
    <w:rsid w:val="08AC4379"/>
    <w:rsid w:val="08FB476A"/>
    <w:rsid w:val="08FF3F01"/>
    <w:rsid w:val="094822F4"/>
    <w:rsid w:val="096A2333"/>
    <w:rsid w:val="09862E1C"/>
    <w:rsid w:val="09A74F2C"/>
    <w:rsid w:val="09AA4D5C"/>
    <w:rsid w:val="09AD03A9"/>
    <w:rsid w:val="09C06C05"/>
    <w:rsid w:val="09D0079B"/>
    <w:rsid w:val="09E00043"/>
    <w:rsid w:val="09F63AFE"/>
    <w:rsid w:val="09FB1114"/>
    <w:rsid w:val="0A0A1357"/>
    <w:rsid w:val="0A0C30B6"/>
    <w:rsid w:val="0A3463D4"/>
    <w:rsid w:val="0A516121"/>
    <w:rsid w:val="0A621193"/>
    <w:rsid w:val="0A83110A"/>
    <w:rsid w:val="0A901F39"/>
    <w:rsid w:val="0A904DE1"/>
    <w:rsid w:val="0A9D56F2"/>
    <w:rsid w:val="0A9F0CE3"/>
    <w:rsid w:val="0AA90B70"/>
    <w:rsid w:val="0ACC485F"/>
    <w:rsid w:val="0AD100C7"/>
    <w:rsid w:val="0AD37F74"/>
    <w:rsid w:val="0AD72553"/>
    <w:rsid w:val="0AF03457"/>
    <w:rsid w:val="0AF10769"/>
    <w:rsid w:val="0AFD5233"/>
    <w:rsid w:val="0AFF2E86"/>
    <w:rsid w:val="0B0E131B"/>
    <w:rsid w:val="0B1D0446"/>
    <w:rsid w:val="0B21487A"/>
    <w:rsid w:val="0B64584D"/>
    <w:rsid w:val="0B680A2B"/>
    <w:rsid w:val="0B7E74F7"/>
    <w:rsid w:val="0B980BE5"/>
    <w:rsid w:val="0B9C2483"/>
    <w:rsid w:val="0BA85C6E"/>
    <w:rsid w:val="0BBD429F"/>
    <w:rsid w:val="0BBE064B"/>
    <w:rsid w:val="0BC11EE9"/>
    <w:rsid w:val="0BC5122A"/>
    <w:rsid w:val="0C0A3ED7"/>
    <w:rsid w:val="0C1A35AD"/>
    <w:rsid w:val="0C2601D9"/>
    <w:rsid w:val="0C2B3807"/>
    <w:rsid w:val="0C340E02"/>
    <w:rsid w:val="0C50326D"/>
    <w:rsid w:val="0C6122B2"/>
    <w:rsid w:val="0C6D06E2"/>
    <w:rsid w:val="0C727688"/>
    <w:rsid w:val="0C7F57E9"/>
    <w:rsid w:val="0CB35CD6"/>
    <w:rsid w:val="0CC46135"/>
    <w:rsid w:val="0CE31135"/>
    <w:rsid w:val="0CE94E0E"/>
    <w:rsid w:val="0CF06F2A"/>
    <w:rsid w:val="0CF956B3"/>
    <w:rsid w:val="0D135FD2"/>
    <w:rsid w:val="0D2F254C"/>
    <w:rsid w:val="0D5A6955"/>
    <w:rsid w:val="0D6C40D7"/>
    <w:rsid w:val="0D780CCE"/>
    <w:rsid w:val="0D9345EC"/>
    <w:rsid w:val="0DC15B08"/>
    <w:rsid w:val="0DD644D9"/>
    <w:rsid w:val="0DF800CB"/>
    <w:rsid w:val="0E12593E"/>
    <w:rsid w:val="0E2055ED"/>
    <w:rsid w:val="0E460DCC"/>
    <w:rsid w:val="0E49753B"/>
    <w:rsid w:val="0E9E3195"/>
    <w:rsid w:val="0EA63619"/>
    <w:rsid w:val="0EA909C5"/>
    <w:rsid w:val="0EBA1B76"/>
    <w:rsid w:val="0ECA4CFE"/>
    <w:rsid w:val="0ECE329B"/>
    <w:rsid w:val="0EEB0949"/>
    <w:rsid w:val="0EED3AD5"/>
    <w:rsid w:val="0F126B2F"/>
    <w:rsid w:val="0F1420B5"/>
    <w:rsid w:val="0F1A028E"/>
    <w:rsid w:val="0F4C41C0"/>
    <w:rsid w:val="0F4F5A5E"/>
    <w:rsid w:val="0F7A6104"/>
    <w:rsid w:val="0FA933C0"/>
    <w:rsid w:val="0FAF179D"/>
    <w:rsid w:val="0FF744AF"/>
    <w:rsid w:val="10172A20"/>
    <w:rsid w:val="101833B4"/>
    <w:rsid w:val="102B2027"/>
    <w:rsid w:val="102D2243"/>
    <w:rsid w:val="107C6D27"/>
    <w:rsid w:val="108765D6"/>
    <w:rsid w:val="108E2A27"/>
    <w:rsid w:val="10905347"/>
    <w:rsid w:val="10C009C2"/>
    <w:rsid w:val="10CA5CE4"/>
    <w:rsid w:val="10D91A83"/>
    <w:rsid w:val="10F644F5"/>
    <w:rsid w:val="110A4F79"/>
    <w:rsid w:val="110C1E59"/>
    <w:rsid w:val="112836B9"/>
    <w:rsid w:val="11317B11"/>
    <w:rsid w:val="1134315E"/>
    <w:rsid w:val="11496C09"/>
    <w:rsid w:val="114B1B78"/>
    <w:rsid w:val="11542D1E"/>
    <w:rsid w:val="11553800"/>
    <w:rsid w:val="11625F1D"/>
    <w:rsid w:val="116574B4"/>
    <w:rsid w:val="11836E7B"/>
    <w:rsid w:val="118801A1"/>
    <w:rsid w:val="11A27B01"/>
    <w:rsid w:val="11D840DD"/>
    <w:rsid w:val="11D84797"/>
    <w:rsid w:val="11E01CC0"/>
    <w:rsid w:val="11E10C03"/>
    <w:rsid w:val="12137217"/>
    <w:rsid w:val="121470EA"/>
    <w:rsid w:val="121E4192"/>
    <w:rsid w:val="1232769D"/>
    <w:rsid w:val="125C6E10"/>
    <w:rsid w:val="12701699"/>
    <w:rsid w:val="12863E8D"/>
    <w:rsid w:val="12887666"/>
    <w:rsid w:val="12AD544A"/>
    <w:rsid w:val="12E017EF"/>
    <w:rsid w:val="12EB0137"/>
    <w:rsid w:val="12EE4D0D"/>
    <w:rsid w:val="130A5D94"/>
    <w:rsid w:val="13150595"/>
    <w:rsid w:val="133B7018"/>
    <w:rsid w:val="133D36D6"/>
    <w:rsid w:val="134202B1"/>
    <w:rsid w:val="13682F98"/>
    <w:rsid w:val="13715B2A"/>
    <w:rsid w:val="139C2A90"/>
    <w:rsid w:val="13BC3EEE"/>
    <w:rsid w:val="13CB5EF3"/>
    <w:rsid w:val="13CB5FFB"/>
    <w:rsid w:val="13EC1FE4"/>
    <w:rsid w:val="13F6026F"/>
    <w:rsid w:val="142B6A9A"/>
    <w:rsid w:val="14327E28"/>
    <w:rsid w:val="144638D4"/>
    <w:rsid w:val="144D6A10"/>
    <w:rsid w:val="14627FE2"/>
    <w:rsid w:val="14902DA1"/>
    <w:rsid w:val="149A41EF"/>
    <w:rsid w:val="14A95C11"/>
    <w:rsid w:val="14AA1005"/>
    <w:rsid w:val="14B81816"/>
    <w:rsid w:val="14CE474B"/>
    <w:rsid w:val="150115A9"/>
    <w:rsid w:val="15035321"/>
    <w:rsid w:val="150712B5"/>
    <w:rsid w:val="150B3A74"/>
    <w:rsid w:val="15273705"/>
    <w:rsid w:val="155D250F"/>
    <w:rsid w:val="156027F9"/>
    <w:rsid w:val="156404B5"/>
    <w:rsid w:val="157B24DC"/>
    <w:rsid w:val="157B50AD"/>
    <w:rsid w:val="15A9236C"/>
    <w:rsid w:val="15BC4035"/>
    <w:rsid w:val="15C33ED5"/>
    <w:rsid w:val="15CA64A3"/>
    <w:rsid w:val="15ED2CEB"/>
    <w:rsid w:val="15FF01DE"/>
    <w:rsid w:val="160550C9"/>
    <w:rsid w:val="160F08DF"/>
    <w:rsid w:val="1615355E"/>
    <w:rsid w:val="162605E4"/>
    <w:rsid w:val="1638724C"/>
    <w:rsid w:val="16473933"/>
    <w:rsid w:val="164E4CC1"/>
    <w:rsid w:val="166521AC"/>
    <w:rsid w:val="166C5F35"/>
    <w:rsid w:val="16866FCF"/>
    <w:rsid w:val="168C1346"/>
    <w:rsid w:val="16970CA9"/>
    <w:rsid w:val="16AC5558"/>
    <w:rsid w:val="16C5033A"/>
    <w:rsid w:val="16C76BDA"/>
    <w:rsid w:val="16CB00C0"/>
    <w:rsid w:val="16CB6A64"/>
    <w:rsid w:val="16CF5E02"/>
    <w:rsid w:val="16E30B31"/>
    <w:rsid w:val="16F72C63"/>
    <w:rsid w:val="16FA09A5"/>
    <w:rsid w:val="170B0B62"/>
    <w:rsid w:val="171D1C21"/>
    <w:rsid w:val="172C5003"/>
    <w:rsid w:val="174E544F"/>
    <w:rsid w:val="176D73C9"/>
    <w:rsid w:val="177B7D38"/>
    <w:rsid w:val="178A7F7B"/>
    <w:rsid w:val="178E7A6B"/>
    <w:rsid w:val="17914E66"/>
    <w:rsid w:val="17B212C8"/>
    <w:rsid w:val="17BA0860"/>
    <w:rsid w:val="17BB0135"/>
    <w:rsid w:val="17C57205"/>
    <w:rsid w:val="17C7342C"/>
    <w:rsid w:val="17DC76E8"/>
    <w:rsid w:val="17E458DD"/>
    <w:rsid w:val="17EB784A"/>
    <w:rsid w:val="1813400F"/>
    <w:rsid w:val="184B14B9"/>
    <w:rsid w:val="18690A6B"/>
    <w:rsid w:val="18694035"/>
    <w:rsid w:val="1872464D"/>
    <w:rsid w:val="18745314"/>
    <w:rsid w:val="188D751D"/>
    <w:rsid w:val="188F1A4B"/>
    <w:rsid w:val="189310B2"/>
    <w:rsid w:val="18B20FCE"/>
    <w:rsid w:val="18BB3140"/>
    <w:rsid w:val="18C64D24"/>
    <w:rsid w:val="18CB43A7"/>
    <w:rsid w:val="18DC0363"/>
    <w:rsid w:val="18E216F1"/>
    <w:rsid w:val="18E53E06"/>
    <w:rsid w:val="18F558C8"/>
    <w:rsid w:val="18FE477D"/>
    <w:rsid w:val="190E4FD7"/>
    <w:rsid w:val="194D74B2"/>
    <w:rsid w:val="195715A3"/>
    <w:rsid w:val="195A572B"/>
    <w:rsid w:val="196D6140"/>
    <w:rsid w:val="197D7D98"/>
    <w:rsid w:val="19882298"/>
    <w:rsid w:val="199724DC"/>
    <w:rsid w:val="19BF413C"/>
    <w:rsid w:val="19EF40C6"/>
    <w:rsid w:val="1A147FD0"/>
    <w:rsid w:val="1A5907D2"/>
    <w:rsid w:val="1A5F166A"/>
    <w:rsid w:val="1A606D71"/>
    <w:rsid w:val="1A6A3334"/>
    <w:rsid w:val="1A7F18ED"/>
    <w:rsid w:val="1A8C697D"/>
    <w:rsid w:val="1AAE3F81"/>
    <w:rsid w:val="1AC12C8C"/>
    <w:rsid w:val="1AC35C7E"/>
    <w:rsid w:val="1AC76058"/>
    <w:rsid w:val="1AE06B70"/>
    <w:rsid w:val="1B0173E1"/>
    <w:rsid w:val="1B081436"/>
    <w:rsid w:val="1B155DAE"/>
    <w:rsid w:val="1B252495"/>
    <w:rsid w:val="1B2B737F"/>
    <w:rsid w:val="1B763A45"/>
    <w:rsid w:val="1B7B2D5E"/>
    <w:rsid w:val="1B9F2C40"/>
    <w:rsid w:val="1BAF7FB0"/>
    <w:rsid w:val="1BB35CDF"/>
    <w:rsid w:val="1BF0493A"/>
    <w:rsid w:val="1BF6566B"/>
    <w:rsid w:val="1C004A47"/>
    <w:rsid w:val="1C0B07A6"/>
    <w:rsid w:val="1C1C4F1A"/>
    <w:rsid w:val="1C230AC0"/>
    <w:rsid w:val="1C252021"/>
    <w:rsid w:val="1C294ACB"/>
    <w:rsid w:val="1C2F10F1"/>
    <w:rsid w:val="1C3E5A1F"/>
    <w:rsid w:val="1C4C57FF"/>
    <w:rsid w:val="1C4F3541"/>
    <w:rsid w:val="1C56667E"/>
    <w:rsid w:val="1C662D65"/>
    <w:rsid w:val="1C7573D9"/>
    <w:rsid w:val="1C7A236C"/>
    <w:rsid w:val="1CA4563B"/>
    <w:rsid w:val="1CB13310"/>
    <w:rsid w:val="1CC979D3"/>
    <w:rsid w:val="1CD777BF"/>
    <w:rsid w:val="1CDC4DD5"/>
    <w:rsid w:val="1CE011BF"/>
    <w:rsid w:val="1CEE613C"/>
    <w:rsid w:val="1CFA0420"/>
    <w:rsid w:val="1D1D719C"/>
    <w:rsid w:val="1D1D7575"/>
    <w:rsid w:val="1D886D0B"/>
    <w:rsid w:val="1DAD35B6"/>
    <w:rsid w:val="1DB16111"/>
    <w:rsid w:val="1DE15557"/>
    <w:rsid w:val="1E0068A1"/>
    <w:rsid w:val="1E062289"/>
    <w:rsid w:val="1E0A3384"/>
    <w:rsid w:val="1E1113B2"/>
    <w:rsid w:val="1E301B9F"/>
    <w:rsid w:val="1E46140E"/>
    <w:rsid w:val="1E4A3FC0"/>
    <w:rsid w:val="1E8707A4"/>
    <w:rsid w:val="1E934DDA"/>
    <w:rsid w:val="1E9640D5"/>
    <w:rsid w:val="1EA00084"/>
    <w:rsid w:val="1EAC7F7A"/>
    <w:rsid w:val="1F016D75"/>
    <w:rsid w:val="1F06438B"/>
    <w:rsid w:val="1F4A26C0"/>
    <w:rsid w:val="1F582F19"/>
    <w:rsid w:val="1FA94D17"/>
    <w:rsid w:val="1FB44CEF"/>
    <w:rsid w:val="1FD67160"/>
    <w:rsid w:val="1FE741BD"/>
    <w:rsid w:val="1FED5F05"/>
    <w:rsid w:val="1FF64400"/>
    <w:rsid w:val="20036B1D"/>
    <w:rsid w:val="20173F0C"/>
    <w:rsid w:val="202C6073"/>
    <w:rsid w:val="20607ACB"/>
    <w:rsid w:val="207D067D"/>
    <w:rsid w:val="20A36969"/>
    <w:rsid w:val="20A7394C"/>
    <w:rsid w:val="20B0742B"/>
    <w:rsid w:val="20B07673"/>
    <w:rsid w:val="20B37A89"/>
    <w:rsid w:val="20B64731"/>
    <w:rsid w:val="20D65FDF"/>
    <w:rsid w:val="20E73FDC"/>
    <w:rsid w:val="20E95D13"/>
    <w:rsid w:val="20F17404"/>
    <w:rsid w:val="20F86C66"/>
    <w:rsid w:val="21085534"/>
    <w:rsid w:val="21112E5D"/>
    <w:rsid w:val="21115269"/>
    <w:rsid w:val="2122506F"/>
    <w:rsid w:val="21317460"/>
    <w:rsid w:val="213B5E42"/>
    <w:rsid w:val="21515666"/>
    <w:rsid w:val="21535882"/>
    <w:rsid w:val="215947D8"/>
    <w:rsid w:val="215A276C"/>
    <w:rsid w:val="21A83D12"/>
    <w:rsid w:val="21BC429F"/>
    <w:rsid w:val="21D54581"/>
    <w:rsid w:val="21F63227"/>
    <w:rsid w:val="22226997"/>
    <w:rsid w:val="22352B64"/>
    <w:rsid w:val="22383E87"/>
    <w:rsid w:val="22464D50"/>
    <w:rsid w:val="224F429B"/>
    <w:rsid w:val="224F6049"/>
    <w:rsid w:val="22565BC1"/>
    <w:rsid w:val="225B3769"/>
    <w:rsid w:val="228C06EB"/>
    <w:rsid w:val="228C2DF9"/>
    <w:rsid w:val="22D71F89"/>
    <w:rsid w:val="22D868D3"/>
    <w:rsid w:val="230865AC"/>
    <w:rsid w:val="231150AD"/>
    <w:rsid w:val="23675344"/>
    <w:rsid w:val="236E6FF8"/>
    <w:rsid w:val="23850189"/>
    <w:rsid w:val="23897339"/>
    <w:rsid w:val="239D0A0C"/>
    <w:rsid w:val="23BA3996"/>
    <w:rsid w:val="23BE6B4B"/>
    <w:rsid w:val="23D60ACB"/>
    <w:rsid w:val="23E3039C"/>
    <w:rsid w:val="23F46EA8"/>
    <w:rsid w:val="23F724F4"/>
    <w:rsid w:val="24007AC0"/>
    <w:rsid w:val="24186342"/>
    <w:rsid w:val="244D65E7"/>
    <w:rsid w:val="24575689"/>
    <w:rsid w:val="245E2574"/>
    <w:rsid w:val="24992DAF"/>
    <w:rsid w:val="24997A50"/>
    <w:rsid w:val="2506571D"/>
    <w:rsid w:val="250A6257"/>
    <w:rsid w:val="252C028A"/>
    <w:rsid w:val="2568677F"/>
    <w:rsid w:val="257B3F09"/>
    <w:rsid w:val="25950217"/>
    <w:rsid w:val="259D3570"/>
    <w:rsid w:val="259D70CC"/>
    <w:rsid w:val="25AA2303"/>
    <w:rsid w:val="25BB0AAA"/>
    <w:rsid w:val="25CE6CA7"/>
    <w:rsid w:val="25D67605"/>
    <w:rsid w:val="25E74730"/>
    <w:rsid w:val="26061115"/>
    <w:rsid w:val="260E10FE"/>
    <w:rsid w:val="26261652"/>
    <w:rsid w:val="264810FF"/>
    <w:rsid w:val="265D6E93"/>
    <w:rsid w:val="2674607E"/>
    <w:rsid w:val="26874B33"/>
    <w:rsid w:val="26C540E2"/>
    <w:rsid w:val="26C62652"/>
    <w:rsid w:val="26D21EAD"/>
    <w:rsid w:val="26EF7DFB"/>
    <w:rsid w:val="270F12F9"/>
    <w:rsid w:val="271D59D0"/>
    <w:rsid w:val="27286E69"/>
    <w:rsid w:val="272E26D1"/>
    <w:rsid w:val="27461345"/>
    <w:rsid w:val="27C11484"/>
    <w:rsid w:val="27D8088F"/>
    <w:rsid w:val="2826784C"/>
    <w:rsid w:val="282E191D"/>
    <w:rsid w:val="28393256"/>
    <w:rsid w:val="284657F9"/>
    <w:rsid w:val="286B6F94"/>
    <w:rsid w:val="287E1436"/>
    <w:rsid w:val="28885E11"/>
    <w:rsid w:val="28A6518C"/>
    <w:rsid w:val="28A671D2"/>
    <w:rsid w:val="28C01A4F"/>
    <w:rsid w:val="28C96CBB"/>
    <w:rsid w:val="28DA4193"/>
    <w:rsid w:val="28E43737"/>
    <w:rsid w:val="28EA2628"/>
    <w:rsid w:val="28FB2A87"/>
    <w:rsid w:val="29017971"/>
    <w:rsid w:val="290D1A3C"/>
    <w:rsid w:val="291453F2"/>
    <w:rsid w:val="29360622"/>
    <w:rsid w:val="295771C4"/>
    <w:rsid w:val="29614AE4"/>
    <w:rsid w:val="29622B06"/>
    <w:rsid w:val="296454DF"/>
    <w:rsid w:val="29712A36"/>
    <w:rsid w:val="29AC6A1D"/>
    <w:rsid w:val="29B03871"/>
    <w:rsid w:val="29C5549C"/>
    <w:rsid w:val="29CB2141"/>
    <w:rsid w:val="29FA2D3E"/>
    <w:rsid w:val="29FF4B88"/>
    <w:rsid w:val="2A0B547C"/>
    <w:rsid w:val="2A0C024B"/>
    <w:rsid w:val="2A0E2346"/>
    <w:rsid w:val="2A1D4C7F"/>
    <w:rsid w:val="2A677E90"/>
    <w:rsid w:val="2A6C2367"/>
    <w:rsid w:val="2A74307D"/>
    <w:rsid w:val="2A862824"/>
    <w:rsid w:val="2A9A62D0"/>
    <w:rsid w:val="2AC624D6"/>
    <w:rsid w:val="2ADA5A13"/>
    <w:rsid w:val="2AF15A7A"/>
    <w:rsid w:val="2B0426A5"/>
    <w:rsid w:val="2B116592"/>
    <w:rsid w:val="2B141BDE"/>
    <w:rsid w:val="2B180563"/>
    <w:rsid w:val="2B4B6F96"/>
    <w:rsid w:val="2B62401D"/>
    <w:rsid w:val="2B813779"/>
    <w:rsid w:val="2B8F21F0"/>
    <w:rsid w:val="2B942D1F"/>
    <w:rsid w:val="2B980A61"/>
    <w:rsid w:val="2BB02D46"/>
    <w:rsid w:val="2BB90F47"/>
    <w:rsid w:val="2BB97D84"/>
    <w:rsid w:val="2BCE0689"/>
    <w:rsid w:val="2BD15D21"/>
    <w:rsid w:val="2BD96984"/>
    <w:rsid w:val="2BE03161"/>
    <w:rsid w:val="2BE05F64"/>
    <w:rsid w:val="2BF35C97"/>
    <w:rsid w:val="2BF437BD"/>
    <w:rsid w:val="2C016606"/>
    <w:rsid w:val="2C0B2F55"/>
    <w:rsid w:val="2C2C2F57"/>
    <w:rsid w:val="2C384B42"/>
    <w:rsid w:val="2C6018A8"/>
    <w:rsid w:val="2C6E3570"/>
    <w:rsid w:val="2C73502A"/>
    <w:rsid w:val="2C737F26"/>
    <w:rsid w:val="2C931228"/>
    <w:rsid w:val="2CA94D64"/>
    <w:rsid w:val="2CE87E3E"/>
    <w:rsid w:val="2CF12C21"/>
    <w:rsid w:val="2CF96FB4"/>
    <w:rsid w:val="2D061C45"/>
    <w:rsid w:val="2D104627"/>
    <w:rsid w:val="2D241F75"/>
    <w:rsid w:val="2D26209C"/>
    <w:rsid w:val="2D330463"/>
    <w:rsid w:val="2D366C89"/>
    <w:rsid w:val="2D483AF4"/>
    <w:rsid w:val="2D711922"/>
    <w:rsid w:val="2D766B80"/>
    <w:rsid w:val="2D995F29"/>
    <w:rsid w:val="2D9C02BF"/>
    <w:rsid w:val="2D9F1767"/>
    <w:rsid w:val="2DC0604D"/>
    <w:rsid w:val="2DCC629E"/>
    <w:rsid w:val="2E045F3A"/>
    <w:rsid w:val="2E112405"/>
    <w:rsid w:val="2E1E4D06"/>
    <w:rsid w:val="2E307FA8"/>
    <w:rsid w:val="2EAE2349"/>
    <w:rsid w:val="2EAE5EA6"/>
    <w:rsid w:val="2EBD258D"/>
    <w:rsid w:val="2EC41B6D"/>
    <w:rsid w:val="2EE54BFF"/>
    <w:rsid w:val="2EF07656"/>
    <w:rsid w:val="2F1E22C8"/>
    <w:rsid w:val="2F236894"/>
    <w:rsid w:val="2F246BF9"/>
    <w:rsid w:val="2F277487"/>
    <w:rsid w:val="2F2F348A"/>
    <w:rsid w:val="2F3E1694"/>
    <w:rsid w:val="2F422728"/>
    <w:rsid w:val="2F566C69"/>
    <w:rsid w:val="2F6046B5"/>
    <w:rsid w:val="2F642EBB"/>
    <w:rsid w:val="2F6B1FE9"/>
    <w:rsid w:val="2F9C74F7"/>
    <w:rsid w:val="2FA96899"/>
    <w:rsid w:val="2FBB4D1E"/>
    <w:rsid w:val="2FE80256"/>
    <w:rsid w:val="2FFA3A98"/>
    <w:rsid w:val="2FFD0189"/>
    <w:rsid w:val="300C557A"/>
    <w:rsid w:val="303348B4"/>
    <w:rsid w:val="303705CB"/>
    <w:rsid w:val="30433499"/>
    <w:rsid w:val="304C3BC8"/>
    <w:rsid w:val="3062519A"/>
    <w:rsid w:val="307D0225"/>
    <w:rsid w:val="3089665D"/>
    <w:rsid w:val="30AC0D80"/>
    <w:rsid w:val="30B71989"/>
    <w:rsid w:val="30DA7426"/>
    <w:rsid w:val="30ED7159"/>
    <w:rsid w:val="30F71D86"/>
    <w:rsid w:val="30FA5FEE"/>
    <w:rsid w:val="30FF5EFC"/>
    <w:rsid w:val="31050127"/>
    <w:rsid w:val="31195387"/>
    <w:rsid w:val="31283ADD"/>
    <w:rsid w:val="313E192D"/>
    <w:rsid w:val="31413001"/>
    <w:rsid w:val="31532D34"/>
    <w:rsid w:val="317E6003"/>
    <w:rsid w:val="3192385D"/>
    <w:rsid w:val="31CA6FEB"/>
    <w:rsid w:val="31D2634F"/>
    <w:rsid w:val="31E17E6B"/>
    <w:rsid w:val="31E93C49"/>
    <w:rsid w:val="31EB11BF"/>
    <w:rsid w:val="31EE2735"/>
    <w:rsid w:val="31F36F75"/>
    <w:rsid w:val="320329AC"/>
    <w:rsid w:val="320A370E"/>
    <w:rsid w:val="320F0AA4"/>
    <w:rsid w:val="322112BA"/>
    <w:rsid w:val="32594BD2"/>
    <w:rsid w:val="325E6763"/>
    <w:rsid w:val="32894C60"/>
    <w:rsid w:val="328D5DB9"/>
    <w:rsid w:val="3292549E"/>
    <w:rsid w:val="32C24F9D"/>
    <w:rsid w:val="32C35957"/>
    <w:rsid w:val="32DC56D7"/>
    <w:rsid w:val="32FA0324"/>
    <w:rsid w:val="330A1A52"/>
    <w:rsid w:val="33134E71"/>
    <w:rsid w:val="331537EB"/>
    <w:rsid w:val="33242A7F"/>
    <w:rsid w:val="332B7BEF"/>
    <w:rsid w:val="33366406"/>
    <w:rsid w:val="334E5A9F"/>
    <w:rsid w:val="3381639C"/>
    <w:rsid w:val="33866FA8"/>
    <w:rsid w:val="33A43D3B"/>
    <w:rsid w:val="33B331B5"/>
    <w:rsid w:val="33BB3FC3"/>
    <w:rsid w:val="33D50520"/>
    <w:rsid w:val="33EF143A"/>
    <w:rsid w:val="34016560"/>
    <w:rsid w:val="34060532"/>
    <w:rsid w:val="340E6427"/>
    <w:rsid w:val="341B5A49"/>
    <w:rsid w:val="342514E8"/>
    <w:rsid w:val="34256C0A"/>
    <w:rsid w:val="342D5ABF"/>
    <w:rsid w:val="345179FF"/>
    <w:rsid w:val="34B8182C"/>
    <w:rsid w:val="34BF6C8F"/>
    <w:rsid w:val="35064C8D"/>
    <w:rsid w:val="35284C04"/>
    <w:rsid w:val="353C420B"/>
    <w:rsid w:val="35417A73"/>
    <w:rsid w:val="35694D08"/>
    <w:rsid w:val="356B120A"/>
    <w:rsid w:val="356B6309"/>
    <w:rsid w:val="3589141A"/>
    <w:rsid w:val="35A40002"/>
    <w:rsid w:val="35B205C3"/>
    <w:rsid w:val="35B75F88"/>
    <w:rsid w:val="35C67F79"/>
    <w:rsid w:val="35D46F87"/>
    <w:rsid w:val="35D703D8"/>
    <w:rsid w:val="35DA1C76"/>
    <w:rsid w:val="35DC0741"/>
    <w:rsid w:val="35DF3F1C"/>
    <w:rsid w:val="3628478F"/>
    <w:rsid w:val="363219AB"/>
    <w:rsid w:val="364E6A9B"/>
    <w:rsid w:val="36533F02"/>
    <w:rsid w:val="36541A28"/>
    <w:rsid w:val="36572D3F"/>
    <w:rsid w:val="365D08DD"/>
    <w:rsid w:val="36634B09"/>
    <w:rsid w:val="36637357"/>
    <w:rsid w:val="366B04D8"/>
    <w:rsid w:val="368F0CB2"/>
    <w:rsid w:val="369167D9"/>
    <w:rsid w:val="369C3F7E"/>
    <w:rsid w:val="36BE0654"/>
    <w:rsid w:val="36C46BAE"/>
    <w:rsid w:val="370945C1"/>
    <w:rsid w:val="3733163E"/>
    <w:rsid w:val="37384DC5"/>
    <w:rsid w:val="373B350A"/>
    <w:rsid w:val="3752696B"/>
    <w:rsid w:val="37597553"/>
    <w:rsid w:val="376965A9"/>
    <w:rsid w:val="378150C3"/>
    <w:rsid w:val="37833A11"/>
    <w:rsid w:val="37851194"/>
    <w:rsid w:val="37894DEF"/>
    <w:rsid w:val="378C0D4E"/>
    <w:rsid w:val="37976071"/>
    <w:rsid w:val="379A21E5"/>
    <w:rsid w:val="37A97B52"/>
    <w:rsid w:val="37AC5E06"/>
    <w:rsid w:val="37C77810"/>
    <w:rsid w:val="37E81288"/>
    <w:rsid w:val="380F690B"/>
    <w:rsid w:val="3812164A"/>
    <w:rsid w:val="381A63F5"/>
    <w:rsid w:val="382D42DF"/>
    <w:rsid w:val="38314D5D"/>
    <w:rsid w:val="38396895"/>
    <w:rsid w:val="386A72E1"/>
    <w:rsid w:val="388D1222"/>
    <w:rsid w:val="388E0998"/>
    <w:rsid w:val="38A26A7B"/>
    <w:rsid w:val="38C227B0"/>
    <w:rsid w:val="38C57E86"/>
    <w:rsid w:val="38E43C81"/>
    <w:rsid w:val="38FB3191"/>
    <w:rsid w:val="390154AF"/>
    <w:rsid w:val="39073ED2"/>
    <w:rsid w:val="39093876"/>
    <w:rsid w:val="39152412"/>
    <w:rsid w:val="391758F5"/>
    <w:rsid w:val="39184F8F"/>
    <w:rsid w:val="392C4597"/>
    <w:rsid w:val="39400042"/>
    <w:rsid w:val="394915ED"/>
    <w:rsid w:val="39513FFD"/>
    <w:rsid w:val="3953201A"/>
    <w:rsid w:val="397F214F"/>
    <w:rsid w:val="39810D86"/>
    <w:rsid w:val="39B7228B"/>
    <w:rsid w:val="39EF6D30"/>
    <w:rsid w:val="3A142705"/>
    <w:rsid w:val="3A173238"/>
    <w:rsid w:val="3A1B7675"/>
    <w:rsid w:val="3A1F5B1B"/>
    <w:rsid w:val="3A2D16FD"/>
    <w:rsid w:val="3A301E36"/>
    <w:rsid w:val="3A3302E2"/>
    <w:rsid w:val="3A4A1178"/>
    <w:rsid w:val="3A541787"/>
    <w:rsid w:val="3A6209E7"/>
    <w:rsid w:val="3A6F5083"/>
    <w:rsid w:val="3A791A5E"/>
    <w:rsid w:val="3A812174"/>
    <w:rsid w:val="3AAA452C"/>
    <w:rsid w:val="3AE0561C"/>
    <w:rsid w:val="3AEC0481"/>
    <w:rsid w:val="3AFB06C4"/>
    <w:rsid w:val="3B051543"/>
    <w:rsid w:val="3B153A8E"/>
    <w:rsid w:val="3B22542B"/>
    <w:rsid w:val="3B36136A"/>
    <w:rsid w:val="3B43343F"/>
    <w:rsid w:val="3B660234"/>
    <w:rsid w:val="3B6E1810"/>
    <w:rsid w:val="3B702E61"/>
    <w:rsid w:val="3B762441"/>
    <w:rsid w:val="3B9823B7"/>
    <w:rsid w:val="3BB276B2"/>
    <w:rsid w:val="3BDC4BF4"/>
    <w:rsid w:val="3BE06C7E"/>
    <w:rsid w:val="3BE253E0"/>
    <w:rsid w:val="3BFA4E20"/>
    <w:rsid w:val="3C314ADE"/>
    <w:rsid w:val="3C395948"/>
    <w:rsid w:val="3C4D4F50"/>
    <w:rsid w:val="3C4E7CED"/>
    <w:rsid w:val="3C576F2F"/>
    <w:rsid w:val="3C601127"/>
    <w:rsid w:val="3C613C0E"/>
    <w:rsid w:val="3C743664"/>
    <w:rsid w:val="3C830972"/>
    <w:rsid w:val="3C856F2B"/>
    <w:rsid w:val="3CEA09F1"/>
    <w:rsid w:val="3CEB6988"/>
    <w:rsid w:val="3CEC7805"/>
    <w:rsid w:val="3CFB2BFE"/>
    <w:rsid w:val="3D136199"/>
    <w:rsid w:val="3D2757A1"/>
    <w:rsid w:val="3D3E5B6F"/>
    <w:rsid w:val="3D4A6ED2"/>
    <w:rsid w:val="3D612090"/>
    <w:rsid w:val="3D807B1A"/>
    <w:rsid w:val="3D931088"/>
    <w:rsid w:val="3D9848F1"/>
    <w:rsid w:val="3D9A2417"/>
    <w:rsid w:val="3D9B618F"/>
    <w:rsid w:val="3DB6523D"/>
    <w:rsid w:val="3DBB238D"/>
    <w:rsid w:val="3DBD4B3F"/>
    <w:rsid w:val="3DC0664E"/>
    <w:rsid w:val="3DC079A3"/>
    <w:rsid w:val="3DE1436E"/>
    <w:rsid w:val="3DE90CA8"/>
    <w:rsid w:val="3DEA4545"/>
    <w:rsid w:val="3DEB23F1"/>
    <w:rsid w:val="3DEC1BA3"/>
    <w:rsid w:val="3E012496"/>
    <w:rsid w:val="3E057E5C"/>
    <w:rsid w:val="3E0870F1"/>
    <w:rsid w:val="3E2B12C1"/>
    <w:rsid w:val="3E4578E6"/>
    <w:rsid w:val="3E573E64"/>
    <w:rsid w:val="3E6E56EE"/>
    <w:rsid w:val="3E6F7B87"/>
    <w:rsid w:val="3E8E7DEC"/>
    <w:rsid w:val="3E916FCA"/>
    <w:rsid w:val="3E937510"/>
    <w:rsid w:val="3EA30D21"/>
    <w:rsid w:val="3EA37367"/>
    <w:rsid w:val="3EB47508"/>
    <w:rsid w:val="3EE03F1C"/>
    <w:rsid w:val="3EE84604"/>
    <w:rsid w:val="3EFE4C27"/>
    <w:rsid w:val="3F044850"/>
    <w:rsid w:val="3F223B34"/>
    <w:rsid w:val="3F2C3542"/>
    <w:rsid w:val="3F3142F6"/>
    <w:rsid w:val="3F327BFC"/>
    <w:rsid w:val="3F3C12AC"/>
    <w:rsid w:val="3F446B1E"/>
    <w:rsid w:val="3F47037C"/>
    <w:rsid w:val="3F4F1C13"/>
    <w:rsid w:val="3F547054"/>
    <w:rsid w:val="3F6F78D3"/>
    <w:rsid w:val="3F71532A"/>
    <w:rsid w:val="3F737426"/>
    <w:rsid w:val="3F78563A"/>
    <w:rsid w:val="3F8D5C9F"/>
    <w:rsid w:val="3F934C4B"/>
    <w:rsid w:val="3F984734"/>
    <w:rsid w:val="3FB928FC"/>
    <w:rsid w:val="3FD634AE"/>
    <w:rsid w:val="3FEE07F8"/>
    <w:rsid w:val="3FFE510E"/>
    <w:rsid w:val="4001677D"/>
    <w:rsid w:val="40086045"/>
    <w:rsid w:val="400E0926"/>
    <w:rsid w:val="40202D27"/>
    <w:rsid w:val="402828F4"/>
    <w:rsid w:val="40430557"/>
    <w:rsid w:val="405A5E8D"/>
    <w:rsid w:val="4061225A"/>
    <w:rsid w:val="40A9536C"/>
    <w:rsid w:val="40CE503D"/>
    <w:rsid w:val="41001EB1"/>
    <w:rsid w:val="41006A35"/>
    <w:rsid w:val="41175B2C"/>
    <w:rsid w:val="41365B3D"/>
    <w:rsid w:val="41511846"/>
    <w:rsid w:val="416C170D"/>
    <w:rsid w:val="4172527C"/>
    <w:rsid w:val="418C02C8"/>
    <w:rsid w:val="419B675D"/>
    <w:rsid w:val="41A05B22"/>
    <w:rsid w:val="41A50EAD"/>
    <w:rsid w:val="41B14053"/>
    <w:rsid w:val="41B85EB6"/>
    <w:rsid w:val="41CC0E2E"/>
    <w:rsid w:val="41EF2605"/>
    <w:rsid w:val="42293D69"/>
    <w:rsid w:val="422C5607"/>
    <w:rsid w:val="423B584A"/>
    <w:rsid w:val="42531754"/>
    <w:rsid w:val="425F778B"/>
    <w:rsid w:val="42750D64"/>
    <w:rsid w:val="428764D3"/>
    <w:rsid w:val="428C0621"/>
    <w:rsid w:val="42A96B18"/>
    <w:rsid w:val="42D23768"/>
    <w:rsid w:val="42D53D7E"/>
    <w:rsid w:val="42E20147"/>
    <w:rsid w:val="42E278AA"/>
    <w:rsid w:val="42E5074D"/>
    <w:rsid w:val="42E908C7"/>
    <w:rsid w:val="43164FEF"/>
    <w:rsid w:val="43247C2B"/>
    <w:rsid w:val="432602A9"/>
    <w:rsid w:val="432E070E"/>
    <w:rsid w:val="43566DE0"/>
    <w:rsid w:val="436A16A6"/>
    <w:rsid w:val="43785ED1"/>
    <w:rsid w:val="437F530D"/>
    <w:rsid w:val="438A12F4"/>
    <w:rsid w:val="438D20D6"/>
    <w:rsid w:val="43BE2B29"/>
    <w:rsid w:val="43D321DE"/>
    <w:rsid w:val="43EA7528"/>
    <w:rsid w:val="43F403A7"/>
    <w:rsid w:val="43FD0C1E"/>
    <w:rsid w:val="44055CF9"/>
    <w:rsid w:val="44120BB1"/>
    <w:rsid w:val="444829E0"/>
    <w:rsid w:val="445B5DD8"/>
    <w:rsid w:val="44623562"/>
    <w:rsid w:val="44655E14"/>
    <w:rsid w:val="4467501D"/>
    <w:rsid w:val="44727C49"/>
    <w:rsid w:val="44901E7E"/>
    <w:rsid w:val="449A0F4E"/>
    <w:rsid w:val="449F5DD3"/>
    <w:rsid w:val="44B32010"/>
    <w:rsid w:val="44C25364"/>
    <w:rsid w:val="44DC42BA"/>
    <w:rsid w:val="44ED2FD3"/>
    <w:rsid w:val="44ED5522"/>
    <w:rsid w:val="44F67147"/>
    <w:rsid w:val="4509503D"/>
    <w:rsid w:val="452B1BA6"/>
    <w:rsid w:val="45312942"/>
    <w:rsid w:val="45446354"/>
    <w:rsid w:val="454E132D"/>
    <w:rsid w:val="455F7AA2"/>
    <w:rsid w:val="45644F92"/>
    <w:rsid w:val="456B4699"/>
    <w:rsid w:val="45C10B4B"/>
    <w:rsid w:val="45D0372E"/>
    <w:rsid w:val="463F7FFF"/>
    <w:rsid w:val="464C1D63"/>
    <w:rsid w:val="464E1FF0"/>
    <w:rsid w:val="46730342"/>
    <w:rsid w:val="467414CE"/>
    <w:rsid w:val="467F664E"/>
    <w:rsid w:val="46824E5A"/>
    <w:rsid w:val="46EF6F8D"/>
    <w:rsid w:val="47044DA5"/>
    <w:rsid w:val="470E1780"/>
    <w:rsid w:val="47356E70"/>
    <w:rsid w:val="473867FC"/>
    <w:rsid w:val="477E06B3"/>
    <w:rsid w:val="477F6E0D"/>
    <w:rsid w:val="478D4D9A"/>
    <w:rsid w:val="479C7DAA"/>
    <w:rsid w:val="47B16162"/>
    <w:rsid w:val="47DC362C"/>
    <w:rsid w:val="47EB37C9"/>
    <w:rsid w:val="480C40F9"/>
    <w:rsid w:val="480F755D"/>
    <w:rsid w:val="48174664"/>
    <w:rsid w:val="481903DC"/>
    <w:rsid w:val="481B4154"/>
    <w:rsid w:val="481E1B94"/>
    <w:rsid w:val="482753AB"/>
    <w:rsid w:val="483F3CD3"/>
    <w:rsid w:val="48461DA8"/>
    <w:rsid w:val="48592243"/>
    <w:rsid w:val="48592ECE"/>
    <w:rsid w:val="485D0ECC"/>
    <w:rsid w:val="48627FD5"/>
    <w:rsid w:val="48677399"/>
    <w:rsid w:val="486907AD"/>
    <w:rsid w:val="48741AB6"/>
    <w:rsid w:val="48757D08"/>
    <w:rsid w:val="488100CD"/>
    <w:rsid w:val="489435D0"/>
    <w:rsid w:val="489857A5"/>
    <w:rsid w:val="489932CB"/>
    <w:rsid w:val="489D2DBB"/>
    <w:rsid w:val="48C7550C"/>
    <w:rsid w:val="48F13107"/>
    <w:rsid w:val="48FA2194"/>
    <w:rsid w:val="49064A23"/>
    <w:rsid w:val="490B241B"/>
    <w:rsid w:val="491C0184"/>
    <w:rsid w:val="492B175F"/>
    <w:rsid w:val="493D08D6"/>
    <w:rsid w:val="49485A93"/>
    <w:rsid w:val="49543DC1"/>
    <w:rsid w:val="49773DAE"/>
    <w:rsid w:val="49AE00AE"/>
    <w:rsid w:val="49B303BC"/>
    <w:rsid w:val="49B605D8"/>
    <w:rsid w:val="49BC2509"/>
    <w:rsid w:val="49F25388"/>
    <w:rsid w:val="49F770B6"/>
    <w:rsid w:val="49FF706F"/>
    <w:rsid w:val="4A225C6E"/>
    <w:rsid w:val="4A280C46"/>
    <w:rsid w:val="4A3C09D0"/>
    <w:rsid w:val="4A5144F5"/>
    <w:rsid w:val="4A563B69"/>
    <w:rsid w:val="4A5B4CDC"/>
    <w:rsid w:val="4A832F04"/>
    <w:rsid w:val="4A9B5A20"/>
    <w:rsid w:val="4A9E2E1A"/>
    <w:rsid w:val="4A9F72BE"/>
    <w:rsid w:val="4AF13892"/>
    <w:rsid w:val="4AF762F7"/>
    <w:rsid w:val="4B022911"/>
    <w:rsid w:val="4B09298A"/>
    <w:rsid w:val="4B0C73E6"/>
    <w:rsid w:val="4B2139B4"/>
    <w:rsid w:val="4B33219C"/>
    <w:rsid w:val="4B3F45FD"/>
    <w:rsid w:val="4B693428"/>
    <w:rsid w:val="4B6A1E13"/>
    <w:rsid w:val="4B735932"/>
    <w:rsid w:val="4B771FE9"/>
    <w:rsid w:val="4BAF37F7"/>
    <w:rsid w:val="4BB40B47"/>
    <w:rsid w:val="4BD9235C"/>
    <w:rsid w:val="4BE70EF5"/>
    <w:rsid w:val="4BF76C86"/>
    <w:rsid w:val="4C0D05F7"/>
    <w:rsid w:val="4C147838"/>
    <w:rsid w:val="4C2102EA"/>
    <w:rsid w:val="4C253ED6"/>
    <w:rsid w:val="4C405C18"/>
    <w:rsid w:val="4C4D4AF8"/>
    <w:rsid w:val="4C505F95"/>
    <w:rsid w:val="4C6940F1"/>
    <w:rsid w:val="4C785E03"/>
    <w:rsid w:val="4C854292"/>
    <w:rsid w:val="4C8E208B"/>
    <w:rsid w:val="4CA30709"/>
    <w:rsid w:val="4CAC64B5"/>
    <w:rsid w:val="4CCD5AED"/>
    <w:rsid w:val="4CD34FFD"/>
    <w:rsid w:val="4CDD7C2A"/>
    <w:rsid w:val="4CDF1BF4"/>
    <w:rsid w:val="4CE459C5"/>
    <w:rsid w:val="4CFF2296"/>
    <w:rsid w:val="4D072EF9"/>
    <w:rsid w:val="4D13416C"/>
    <w:rsid w:val="4D2D04DF"/>
    <w:rsid w:val="4D337862"/>
    <w:rsid w:val="4D467EC5"/>
    <w:rsid w:val="4D4D1254"/>
    <w:rsid w:val="4D722A68"/>
    <w:rsid w:val="4D925B1F"/>
    <w:rsid w:val="4D9D6B08"/>
    <w:rsid w:val="4DAB5F7A"/>
    <w:rsid w:val="4DB937C7"/>
    <w:rsid w:val="4DC82688"/>
    <w:rsid w:val="4DDC2416"/>
    <w:rsid w:val="4E120C96"/>
    <w:rsid w:val="4E7445BE"/>
    <w:rsid w:val="4E9407BC"/>
    <w:rsid w:val="4E9D1D67"/>
    <w:rsid w:val="4E9E662E"/>
    <w:rsid w:val="4EA0101E"/>
    <w:rsid w:val="4EA604F0"/>
    <w:rsid w:val="4EAB356F"/>
    <w:rsid w:val="4EB57961"/>
    <w:rsid w:val="4EBE7F2F"/>
    <w:rsid w:val="4EC13F43"/>
    <w:rsid w:val="4ECF13C9"/>
    <w:rsid w:val="4ED8534D"/>
    <w:rsid w:val="4ED96B17"/>
    <w:rsid w:val="4EE01C53"/>
    <w:rsid w:val="4F100246"/>
    <w:rsid w:val="4F2558B8"/>
    <w:rsid w:val="4F38383D"/>
    <w:rsid w:val="4F3A21CB"/>
    <w:rsid w:val="4F3B63E4"/>
    <w:rsid w:val="4F400944"/>
    <w:rsid w:val="4F4072EC"/>
    <w:rsid w:val="4F5023DA"/>
    <w:rsid w:val="4F5519E2"/>
    <w:rsid w:val="4F724648"/>
    <w:rsid w:val="4F9F47EA"/>
    <w:rsid w:val="4FA011B1"/>
    <w:rsid w:val="4FA70E9E"/>
    <w:rsid w:val="4FE018A1"/>
    <w:rsid w:val="4FFC0D0F"/>
    <w:rsid w:val="4FFC2ABD"/>
    <w:rsid w:val="50083210"/>
    <w:rsid w:val="501446FD"/>
    <w:rsid w:val="50175B49"/>
    <w:rsid w:val="502838B2"/>
    <w:rsid w:val="5033485E"/>
    <w:rsid w:val="50412F77"/>
    <w:rsid w:val="504306EC"/>
    <w:rsid w:val="50441BF3"/>
    <w:rsid w:val="504F7091"/>
    <w:rsid w:val="50631D4D"/>
    <w:rsid w:val="506B379F"/>
    <w:rsid w:val="50720FD1"/>
    <w:rsid w:val="50760AC1"/>
    <w:rsid w:val="508807F5"/>
    <w:rsid w:val="50920ED6"/>
    <w:rsid w:val="50AD3DB7"/>
    <w:rsid w:val="50BB2978"/>
    <w:rsid w:val="51071719"/>
    <w:rsid w:val="51190299"/>
    <w:rsid w:val="511F6F5C"/>
    <w:rsid w:val="51217A74"/>
    <w:rsid w:val="51237AAF"/>
    <w:rsid w:val="51354F21"/>
    <w:rsid w:val="513872E4"/>
    <w:rsid w:val="51450494"/>
    <w:rsid w:val="51581F75"/>
    <w:rsid w:val="5176689F"/>
    <w:rsid w:val="51857589"/>
    <w:rsid w:val="51C615D4"/>
    <w:rsid w:val="51C63383"/>
    <w:rsid w:val="51D33CF1"/>
    <w:rsid w:val="51DB4D99"/>
    <w:rsid w:val="51E04FA9"/>
    <w:rsid w:val="520B5239"/>
    <w:rsid w:val="52171194"/>
    <w:rsid w:val="521A2D60"/>
    <w:rsid w:val="52240AA0"/>
    <w:rsid w:val="524D7600"/>
    <w:rsid w:val="528C228E"/>
    <w:rsid w:val="52904DEF"/>
    <w:rsid w:val="52911BE2"/>
    <w:rsid w:val="52F1442F"/>
    <w:rsid w:val="52FF09A0"/>
    <w:rsid w:val="53155E76"/>
    <w:rsid w:val="532A7E16"/>
    <w:rsid w:val="533342DD"/>
    <w:rsid w:val="53492B23"/>
    <w:rsid w:val="534E18C5"/>
    <w:rsid w:val="539F192F"/>
    <w:rsid w:val="53A54309"/>
    <w:rsid w:val="53B01CF2"/>
    <w:rsid w:val="53F377A8"/>
    <w:rsid w:val="541A0123"/>
    <w:rsid w:val="541C1980"/>
    <w:rsid w:val="54415213"/>
    <w:rsid w:val="5463135D"/>
    <w:rsid w:val="54640C31"/>
    <w:rsid w:val="54790B80"/>
    <w:rsid w:val="548D63DA"/>
    <w:rsid w:val="54A379AB"/>
    <w:rsid w:val="54BF6BB7"/>
    <w:rsid w:val="54D66671"/>
    <w:rsid w:val="54D933CD"/>
    <w:rsid w:val="54EE09C5"/>
    <w:rsid w:val="54EF2BF0"/>
    <w:rsid w:val="550A4368"/>
    <w:rsid w:val="55214D74"/>
    <w:rsid w:val="55355BDF"/>
    <w:rsid w:val="553F41FA"/>
    <w:rsid w:val="55450A62"/>
    <w:rsid w:val="5552514E"/>
    <w:rsid w:val="555F263A"/>
    <w:rsid w:val="559A3874"/>
    <w:rsid w:val="559A4FB0"/>
    <w:rsid w:val="55EE2161"/>
    <w:rsid w:val="55F47CCA"/>
    <w:rsid w:val="561E0534"/>
    <w:rsid w:val="562A41F7"/>
    <w:rsid w:val="563167DC"/>
    <w:rsid w:val="565C2507"/>
    <w:rsid w:val="56707BDA"/>
    <w:rsid w:val="568763F0"/>
    <w:rsid w:val="568E6439"/>
    <w:rsid w:val="56993870"/>
    <w:rsid w:val="56C667BE"/>
    <w:rsid w:val="56CB4F97"/>
    <w:rsid w:val="56D976B4"/>
    <w:rsid w:val="56DB5BC3"/>
    <w:rsid w:val="56ED7CB4"/>
    <w:rsid w:val="56F24B88"/>
    <w:rsid w:val="56F73A0D"/>
    <w:rsid w:val="56FE00DA"/>
    <w:rsid w:val="571164F6"/>
    <w:rsid w:val="571679F1"/>
    <w:rsid w:val="571A713B"/>
    <w:rsid w:val="574B7E86"/>
    <w:rsid w:val="575B4C3B"/>
    <w:rsid w:val="576553EC"/>
    <w:rsid w:val="577A6460"/>
    <w:rsid w:val="57811AFA"/>
    <w:rsid w:val="57835872"/>
    <w:rsid w:val="57845D25"/>
    <w:rsid w:val="578A4E52"/>
    <w:rsid w:val="57A852D8"/>
    <w:rsid w:val="57BA40CB"/>
    <w:rsid w:val="57DF519E"/>
    <w:rsid w:val="58100414"/>
    <w:rsid w:val="58123253"/>
    <w:rsid w:val="58242BB1"/>
    <w:rsid w:val="58386C06"/>
    <w:rsid w:val="58392AF0"/>
    <w:rsid w:val="584414A5"/>
    <w:rsid w:val="58675193"/>
    <w:rsid w:val="588303AC"/>
    <w:rsid w:val="588B4C8B"/>
    <w:rsid w:val="58A261CC"/>
    <w:rsid w:val="58E54CC3"/>
    <w:rsid w:val="58F13D00"/>
    <w:rsid w:val="590D1127"/>
    <w:rsid w:val="590F5E8A"/>
    <w:rsid w:val="59396B30"/>
    <w:rsid w:val="593F3679"/>
    <w:rsid w:val="59480B21"/>
    <w:rsid w:val="595D13D8"/>
    <w:rsid w:val="59771406"/>
    <w:rsid w:val="59802D45"/>
    <w:rsid w:val="598C3104"/>
    <w:rsid w:val="599872FD"/>
    <w:rsid w:val="59A2301C"/>
    <w:rsid w:val="59B51489"/>
    <w:rsid w:val="59D61B39"/>
    <w:rsid w:val="59D85DF8"/>
    <w:rsid w:val="59E06C63"/>
    <w:rsid w:val="59FB5B93"/>
    <w:rsid w:val="5A282BA3"/>
    <w:rsid w:val="5A292701"/>
    <w:rsid w:val="5A2E1B19"/>
    <w:rsid w:val="5A2F3A8F"/>
    <w:rsid w:val="5A3E3CD2"/>
    <w:rsid w:val="5A8262B5"/>
    <w:rsid w:val="5A831E2F"/>
    <w:rsid w:val="5A8A2B8D"/>
    <w:rsid w:val="5AD3266C"/>
    <w:rsid w:val="5AD703AE"/>
    <w:rsid w:val="5ADF3707"/>
    <w:rsid w:val="5AF7771D"/>
    <w:rsid w:val="5AFE1DDF"/>
    <w:rsid w:val="5B033869"/>
    <w:rsid w:val="5B1E0E25"/>
    <w:rsid w:val="5B51013E"/>
    <w:rsid w:val="5B6D0D13"/>
    <w:rsid w:val="5B774531"/>
    <w:rsid w:val="5B8322E4"/>
    <w:rsid w:val="5BA90C0A"/>
    <w:rsid w:val="5BAD110F"/>
    <w:rsid w:val="5BD26DC8"/>
    <w:rsid w:val="5C043425"/>
    <w:rsid w:val="5C074CC3"/>
    <w:rsid w:val="5C384E7D"/>
    <w:rsid w:val="5C401F83"/>
    <w:rsid w:val="5C437F40"/>
    <w:rsid w:val="5C462241"/>
    <w:rsid w:val="5C4868CC"/>
    <w:rsid w:val="5C930305"/>
    <w:rsid w:val="5C974299"/>
    <w:rsid w:val="5CAB56E7"/>
    <w:rsid w:val="5CB169DD"/>
    <w:rsid w:val="5CB85B17"/>
    <w:rsid w:val="5CD77DE6"/>
    <w:rsid w:val="5CDF179C"/>
    <w:rsid w:val="5CFF3299"/>
    <w:rsid w:val="5D0E3E30"/>
    <w:rsid w:val="5D52169E"/>
    <w:rsid w:val="5D5A0A98"/>
    <w:rsid w:val="5D5C2DED"/>
    <w:rsid w:val="5D616655"/>
    <w:rsid w:val="5D621401"/>
    <w:rsid w:val="5D6323CD"/>
    <w:rsid w:val="5D6B7EBD"/>
    <w:rsid w:val="5D722610"/>
    <w:rsid w:val="5D850596"/>
    <w:rsid w:val="5DB833BF"/>
    <w:rsid w:val="5DCA7D57"/>
    <w:rsid w:val="5DE27796"/>
    <w:rsid w:val="5DE4727B"/>
    <w:rsid w:val="5E5166CA"/>
    <w:rsid w:val="5E5B4E53"/>
    <w:rsid w:val="5E68756F"/>
    <w:rsid w:val="5E714676"/>
    <w:rsid w:val="5E736640"/>
    <w:rsid w:val="5E9860A7"/>
    <w:rsid w:val="5E9D7136"/>
    <w:rsid w:val="5EAC3900"/>
    <w:rsid w:val="5EB266CD"/>
    <w:rsid w:val="5EB872A8"/>
    <w:rsid w:val="5EEC63F2"/>
    <w:rsid w:val="5F3F29C6"/>
    <w:rsid w:val="5F5928DB"/>
    <w:rsid w:val="5F6366B5"/>
    <w:rsid w:val="5F6D4899"/>
    <w:rsid w:val="5F771D87"/>
    <w:rsid w:val="5F7A13D9"/>
    <w:rsid w:val="5F7A1C50"/>
    <w:rsid w:val="5F930AF8"/>
    <w:rsid w:val="5FA840C8"/>
    <w:rsid w:val="5FC15189"/>
    <w:rsid w:val="5FC80BD7"/>
    <w:rsid w:val="5FD411DB"/>
    <w:rsid w:val="60003F04"/>
    <w:rsid w:val="60065292"/>
    <w:rsid w:val="600D2A18"/>
    <w:rsid w:val="600F2399"/>
    <w:rsid w:val="60295997"/>
    <w:rsid w:val="60624BBE"/>
    <w:rsid w:val="60786190"/>
    <w:rsid w:val="60794FF2"/>
    <w:rsid w:val="607A1B92"/>
    <w:rsid w:val="60AA20C1"/>
    <w:rsid w:val="60AF1486"/>
    <w:rsid w:val="60B66CB8"/>
    <w:rsid w:val="60C17234"/>
    <w:rsid w:val="60D630E7"/>
    <w:rsid w:val="60DC3129"/>
    <w:rsid w:val="60DD7536"/>
    <w:rsid w:val="60E46F03"/>
    <w:rsid w:val="60E5134B"/>
    <w:rsid w:val="60F33A68"/>
    <w:rsid w:val="60F93303"/>
    <w:rsid w:val="60FB291D"/>
    <w:rsid w:val="61220E83"/>
    <w:rsid w:val="612B1454"/>
    <w:rsid w:val="612B4288"/>
    <w:rsid w:val="61300818"/>
    <w:rsid w:val="6131633F"/>
    <w:rsid w:val="613A45BD"/>
    <w:rsid w:val="61512DC3"/>
    <w:rsid w:val="61572249"/>
    <w:rsid w:val="617D3332"/>
    <w:rsid w:val="61AF635B"/>
    <w:rsid w:val="61C92272"/>
    <w:rsid w:val="61CB4DFE"/>
    <w:rsid w:val="61D70C94"/>
    <w:rsid w:val="61D90741"/>
    <w:rsid w:val="61DB5A7C"/>
    <w:rsid w:val="61ED495B"/>
    <w:rsid w:val="620123E4"/>
    <w:rsid w:val="62407431"/>
    <w:rsid w:val="6242341B"/>
    <w:rsid w:val="62450C5C"/>
    <w:rsid w:val="626B78E0"/>
    <w:rsid w:val="6280757E"/>
    <w:rsid w:val="62875C56"/>
    <w:rsid w:val="62882B1C"/>
    <w:rsid w:val="62A0552A"/>
    <w:rsid w:val="62E231B2"/>
    <w:rsid w:val="63035AB9"/>
    <w:rsid w:val="630F26B0"/>
    <w:rsid w:val="630F506C"/>
    <w:rsid w:val="63144C61"/>
    <w:rsid w:val="631A5652"/>
    <w:rsid w:val="63273E9D"/>
    <w:rsid w:val="634379A6"/>
    <w:rsid w:val="637C7D45"/>
    <w:rsid w:val="637F7680"/>
    <w:rsid w:val="63A80222"/>
    <w:rsid w:val="63AC3405"/>
    <w:rsid w:val="63B70D7D"/>
    <w:rsid w:val="63C57AD8"/>
    <w:rsid w:val="63D556A7"/>
    <w:rsid w:val="63DC0629"/>
    <w:rsid w:val="63F22891"/>
    <w:rsid w:val="63FB4D53"/>
    <w:rsid w:val="640A735C"/>
    <w:rsid w:val="64340620"/>
    <w:rsid w:val="643E1DDB"/>
    <w:rsid w:val="644338BB"/>
    <w:rsid w:val="644A4BFD"/>
    <w:rsid w:val="644C3818"/>
    <w:rsid w:val="644D348F"/>
    <w:rsid w:val="646B538C"/>
    <w:rsid w:val="647D600E"/>
    <w:rsid w:val="64AD3F2E"/>
    <w:rsid w:val="64B82FFF"/>
    <w:rsid w:val="64BA34FF"/>
    <w:rsid w:val="64DF6129"/>
    <w:rsid w:val="64F14763"/>
    <w:rsid w:val="64F222AF"/>
    <w:rsid w:val="651C3508"/>
    <w:rsid w:val="652A0504"/>
    <w:rsid w:val="652C50A4"/>
    <w:rsid w:val="653E102A"/>
    <w:rsid w:val="65640A91"/>
    <w:rsid w:val="6569747A"/>
    <w:rsid w:val="65875F01"/>
    <w:rsid w:val="6588405D"/>
    <w:rsid w:val="658B2E93"/>
    <w:rsid w:val="65A25A5D"/>
    <w:rsid w:val="65AE016F"/>
    <w:rsid w:val="65D86BEF"/>
    <w:rsid w:val="65DC0990"/>
    <w:rsid w:val="661C7ED9"/>
    <w:rsid w:val="6630477D"/>
    <w:rsid w:val="664072C6"/>
    <w:rsid w:val="664408C2"/>
    <w:rsid w:val="669E5544"/>
    <w:rsid w:val="66B34B97"/>
    <w:rsid w:val="66BC0BE7"/>
    <w:rsid w:val="66CC0FE3"/>
    <w:rsid w:val="66CC2D91"/>
    <w:rsid w:val="66D659BE"/>
    <w:rsid w:val="66FE4C4B"/>
    <w:rsid w:val="67144738"/>
    <w:rsid w:val="671E1113"/>
    <w:rsid w:val="67241546"/>
    <w:rsid w:val="6727560C"/>
    <w:rsid w:val="67317098"/>
    <w:rsid w:val="67363981"/>
    <w:rsid w:val="674535A5"/>
    <w:rsid w:val="674C1365"/>
    <w:rsid w:val="6764746E"/>
    <w:rsid w:val="679B7614"/>
    <w:rsid w:val="67B37AAD"/>
    <w:rsid w:val="67BA52E0"/>
    <w:rsid w:val="67C24194"/>
    <w:rsid w:val="67D839B8"/>
    <w:rsid w:val="67E450A9"/>
    <w:rsid w:val="67F87BB6"/>
    <w:rsid w:val="681D761D"/>
    <w:rsid w:val="68212C69"/>
    <w:rsid w:val="68214B88"/>
    <w:rsid w:val="68224C33"/>
    <w:rsid w:val="687C2595"/>
    <w:rsid w:val="68831F2D"/>
    <w:rsid w:val="68C55CEA"/>
    <w:rsid w:val="68D036B7"/>
    <w:rsid w:val="68DD005D"/>
    <w:rsid w:val="68E86BFA"/>
    <w:rsid w:val="6906356D"/>
    <w:rsid w:val="69270753"/>
    <w:rsid w:val="692F053C"/>
    <w:rsid w:val="69430BDA"/>
    <w:rsid w:val="694A3E5D"/>
    <w:rsid w:val="69836693"/>
    <w:rsid w:val="69A262CD"/>
    <w:rsid w:val="69A41DA4"/>
    <w:rsid w:val="69B76692"/>
    <w:rsid w:val="69C17F22"/>
    <w:rsid w:val="69C34EFD"/>
    <w:rsid w:val="6A191710"/>
    <w:rsid w:val="6A246A40"/>
    <w:rsid w:val="6A505A87"/>
    <w:rsid w:val="6A5A10B5"/>
    <w:rsid w:val="6A5D25AF"/>
    <w:rsid w:val="6A6908F7"/>
    <w:rsid w:val="6A87001A"/>
    <w:rsid w:val="6ABC50DC"/>
    <w:rsid w:val="6AC23D01"/>
    <w:rsid w:val="6AD803A3"/>
    <w:rsid w:val="6AF74155"/>
    <w:rsid w:val="6AFD58BD"/>
    <w:rsid w:val="6B0C3C5A"/>
    <w:rsid w:val="6B0D4FFE"/>
    <w:rsid w:val="6B221C24"/>
    <w:rsid w:val="6B4F5D3F"/>
    <w:rsid w:val="6B667A77"/>
    <w:rsid w:val="6B774D46"/>
    <w:rsid w:val="6B7F265D"/>
    <w:rsid w:val="6BB107A8"/>
    <w:rsid w:val="6BB12556"/>
    <w:rsid w:val="6BD91AAD"/>
    <w:rsid w:val="6BF83B8E"/>
    <w:rsid w:val="6C1E7B69"/>
    <w:rsid w:val="6C287B41"/>
    <w:rsid w:val="6C303757"/>
    <w:rsid w:val="6C6F1EA4"/>
    <w:rsid w:val="6C8B2DA7"/>
    <w:rsid w:val="6CA6400E"/>
    <w:rsid w:val="6D214429"/>
    <w:rsid w:val="6D324605"/>
    <w:rsid w:val="6D401DE3"/>
    <w:rsid w:val="6D7101EF"/>
    <w:rsid w:val="6D716441"/>
    <w:rsid w:val="6D910891"/>
    <w:rsid w:val="6DB34AC8"/>
    <w:rsid w:val="6DC01C88"/>
    <w:rsid w:val="6DD00132"/>
    <w:rsid w:val="6DDE6CE4"/>
    <w:rsid w:val="6DF606F4"/>
    <w:rsid w:val="6E162B44"/>
    <w:rsid w:val="6E18729E"/>
    <w:rsid w:val="6E2E7ECC"/>
    <w:rsid w:val="6E3206D6"/>
    <w:rsid w:val="6E5642A5"/>
    <w:rsid w:val="6E602011"/>
    <w:rsid w:val="6E6243E1"/>
    <w:rsid w:val="6E6721D9"/>
    <w:rsid w:val="6E82467D"/>
    <w:rsid w:val="6E8403F6"/>
    <w:rsid w:val="6E95110E"/>
    <w:rsid w:val="6EB72579"/>
    <w:rsid w:val="6EB81D8F"/>
    <w:rsid w:val="6EC735FE"/>
    <w:rsid w:val="6ECA348F"/>
    <w:rsid w:val="6EF47329"/>
    <w:rsid w:val="6EF70BC7"/>
    <w:rsid w:val="6EF74724"/>
    <w:rsid w:val="6EFF42EB"/>
    <w:rsid w:val="6F1B3AA8"/>
    <w:rsid w:val="6F203A84"/>
    <w:rsid w:val="6F2E3EBD"/>
    <w:rsid w:val="6F364493"/>
    <w:rsid w:val="6F5558EE"/>
    <w:rsid w:val="6F5B1156"/>
    <w:rsid w:val="6F6A6316"/>
    <w:rsid w:val="6F751AEC"/>
    <w:rsid w:val="6F7F4719"/>
    <w:rsid w:val="6F832989"/>
    <w:rsid w:val="6F861031"/>
    <w:rsid w:val="6F8A4B2B"/>
    <w:rsid w:val="6F8B0B99"/>
    <w:rsid w:val="6FA11970"/>
    <w:rsid w:val="6FB95E7D"/>
    <w:rsid w:val="6FC33ACF"/>
    <w:rsid w:val="6FCF56A0"/>
    <w:rsid w:val="6FD2082A"/>
    <w:rsid w:val="6FD418AD"/>
    <w:rsid w:val="702A251B"/>
    <w:rsid w:val="70381498"/>
    <w:rsid w:val="705A4C09"/>
    <w:rsid w:val="70617EC8"/>
    <w:rsid w:val="707A20B1"/>
    <w:rsid w:val="707E0282"/>
    <w:rsid w:val="70812E3F"/>
    <w:rsid w:val="708F4524"/>
    <w:rsid w:val="70991D7A"/>
    <w:rsid w:val="70BA3C5B"/>
    <w:rsid w:val="70E20A02"/>
    <w:rsid w:val="70E248CD"/>
    <w:rsid w:val="70F52EE5"/>
    <w:rsid w:val="712156AB"/>
    <w:rsid w:val="71593474"/>
    <w:rsid w:val="715B3690"/>
    <w:rsid w:val="71681909"/>
    <w:rsid w:val="7185070D"/>
    <w:rsid w:val="71B11502"/>
    <w:rsid w:val="71B22914"/>
    <w:rsid w:val="71D5345C"/>
    <w:rsid w:val="71DC2593"/>
    <w:rsid w:val="71E73175"/>
    <w:rsid w:val="720751EB"/>
    <w:rsid w:val="722872EA"/>
    <w:rsid w:val="722E1077"/>
    <w:rsid w:val="72473C14"/>
    <w:rsid w:val="725A3947"/>
    <w:rsid w:val="72750CA3"/>
    <w:rsid w:val="728409C4"/>
    <w:rsid w:val="72943314"/>
    <w:rsid w:val="7295792B"/>
    <w:rsid w:val="72A961B1"/>
    <w:rsid w:val="72C12EE0"/>
    <w:rsid w:val="72CE6C35"/>
    <w:rsid w:val="72F826A1"/>
    <w:rsid w:val="73010267"/>
    <w:rsid w:val="73214BA5"/>
    <w:rsid w:val="73374BA6"/>
    <w:rsid w:val="734B3E2F"/>
    <w:rsid w:val="73522870"/>
    <w:rsid w:val="73696D7E"/>
    <w:rsid w:val="736E51D0"/>
    <w:rsid w:val="737E7D7B"/>
    <w:rsid w:val="739015EB"/>
    <w:rsid w:val="73AA445A"/>
    <w:rsid w:val="73AF1221"/>
    <w:rsid w:val="73CC1F06"/>
    <w:rsid w:val="73DE2356"/>
    <w:rsid w:val="73EA0CFB"/>
    <w:rsid w:val="7400407A"/>
    <w:rsid w:val="74037AB7"/>
    <w:rsid w:val="74040D09"/>
    <w:rsid w:val="74054DCB"/>
    <w:rsid w:val="7420296E"/>
    <w:rsid w:val="745F66ED"/>
    <w:rsid w:val="747448B2"/>
    <w:rsid w:val="74826A17"/>
    <w:rsid w:val="74A013B9"/>
    <w:rsid w:val="74E514C2"/>
    <w:rsid w:val="74E90725"/>
    <w:rsid w:val="74F00593"/>
    <w:rsid w:val="74F30675"/>
    <w:rsid w:val="74F51705"/>
    <w:rsid w:val="750078FB"/>
    <w:rsid w:val="75175B20"/>
    <w:rsid w:val="751C3E82"/>
    <w:rsid w:val="75230E5D"/>
    <w:rsid w:val="752635D2"/>
    <w:rsid w:val="752B5127"/>
    <w:rsid w:val="752F3287"/>
    <w:rsid w:val="75324707"/>
    <w:rsid w:val="7534591D"/>
    <w:rsid w:val="753C3B04"/>
    <w:rsid w:val="757B54AB"/>
    <w:rsid w:val="759772D7"/>
    <w:rsid w:val="75BE243F"/>
    <w:rsid w:val="75C34064"/>
    <w:rsid w:val="75EB3220"/>
    <w:rsid w:val="760746A1"/>
    <w:rsid w:val="760C31AA"/>
    <w:rsid w:val="761958C7"/>
    <w:rsid w:val="762640F9"/>
    <w:rsid w:val="762C5A1A"/>
    <w:rsid w:val="766C2F2B"/>
    <w:rsid w:val="767679C0"/>
    <w:rsid w:val="7682346D"/>
    <w:rsid w:val="768B79A1"/>
    <w:rsid w:val="76CA0970"/>
    <w:rsid w:val="76CB4EF4"/>
    <w:rsid w:val="76D55916"/>
    <w:rsid w:val="76F61765"/>
    <w:rsid w:val="77040325"/>
    <w:rsid w:val="772D6E8E"/>
    <w:rsid w:val="77430769"/>
    <w:rsid w:val="77554E39"/>
    <w:rsid w:val="775D7F99"/>
    <w:rsid w:val="777519E2"/>
    <w:rsid w:val="777D1E86"/>
    <w:rsid w:val="77940F04"/>
    <w:rsid w:val="77955421"/>
    <w:rsid w:val="77996CC0"/>
    <w:rsid w:val="779B7915"/>
    <w:rsid w:val="77CB2D2F"/>
    <w:rsid w:val="77F14573"/>
    <w:rsid w:val="77FF289B"/>
    <w:rsid w:val="78101336"/>
    <w:rsid w:val="781A0349"/>
    <w:rsid w:val="781C3334"/>
    <w:rsid w:val="7827085A"/>
    <w:rsid w:val="782F13D2"/>
    <w:rsid w:val="7855323B"/>
    <w:rsid w:val="78A25FC3"/>
    <w:rsid w:val="78A74E1C"/>
    <w:rsid w:val="78B33A12"/>
    <w:rsid w:val="78B410C1"/>
    <w:rsid w:val="78F14974"/>
    <w:rsid w:val="7917715F"/>
    <w:rsid w:val="795B7FA5"/>
    <w:rsid w:val="795C4A93"/>
    <w:rsid w:val="796B01E8"/>
    <w:rsid w:val="798B075D"/>
    <w:rsid w:val="79A60B66"/>
    <w:rsid w:val="79AD76D8"/>
    <w:rsid w:val="79C142AC"/>
    <w:rsid w:val="79C30024"/>
    <w:rsid w:val="79C9773E"/>
    <w:rsid w:val="79D73ACF"/>
    <w:rsid w:val="79E35140"/>
    <w:rsid w:val="79F10352"/>
    <w:rsid w:val="79FA5A10"/>
    <w:rsid w:val="79FE105C"/>
    <w:rsid w:val="7A066163"/>
    <w:rsid w:val="7A1F5BDD"/>
    <w:rsid w:val="7A230AC3"/>
    <w:rsid w:val="7A2D7B93"/>
    <w:rsid w:val="7A3743B5"/>
    <w:rsid w:val="7A4131B6"/>
    <w:rsid w:val="7A55402C"/>
    <w:rsid w:val="7A756769"/>
    <w:rsid w:val="7A791842"/>
    <w:rsid w:val="7A9521FB"/>
    <w:rsid w:val="7A980753"/>
    <w:rsid w:val="7AA339B1"/>
    <w:rsid w:val="7AA5597C"/>
    <w:rsid w:val="7ADD5115"/>
    <w:rsid w:val="7AE04C06"/>
    <w:rsid w:val="7AEA5A84"/>
    <w:rsid w:val="7AF95CC7"/>
    <w:rsid w:val="7B3B5D1E"/>
    <w:rsid w:val="7B474C85"/>
    <w:rsid w:val="7B4A4AE8"/>
    <w:rsid w:val="7B512E8E"/>
    <w:rsid w:val="7B5C2D88"/>
    <w:rsid w:val="7B713AB0"/>
    <w:rsid w:val="7B7703D1"/>
    <w:rsid w:val="7B810197"/>
    <w:rsid w:val="7B95105C"/>
    <w:rsid w:val="7B9B28DB"/>
    <w:rsid w:val="7BBA5457"/>
    <w:rsid w:val="7BE95A94"/>
    <w:rsid w:val="7BF5648F"/>
    <w:rsid w:val="7BFC781D"/>
    <w:rsid w:val="7BFF3890"/>
    <w:rsid w:val="7C0B413F"/>
    <w:rsid w:val="7C134B67"/>
    <w:rsid w:val="7C136915"/>
    <w:rsid w:val="7C3D13B9"/>
    <w:rsid w:val="7C567507"/>
    <w:rsid w:val="7C5E5DE2"/>
    <w:rsid w:val="7C63164A"/>
    <w:rsid w:val="7C8204B4"/>
    <w:rsid w:val="7CA3413D"/>
    <w:rsid w:val="7CBD2C36"/>
    <w:rsid w:val="7CD3115D"/>
    <w:rsid w:val="7CFB1883"/>
    <w:rsid w:val="7CFBD1B6"/>
    <w:rsid w:val="7D1444F3"/>
    <w:rsid w:val="7D2A2168"/>
    <w:rsid w:val="7D412A8D"/>
    <w:rsid w:val="7D576338"/>
    <w:rsid w:val="7D58558B"/>
    <w:rsid w:val="7D731D61"/>
    <w:rsid w:val="7D7D2BE0"/>
    <w:rsid w:val="7D8B1E26"/>
    <w:rsid w:val="7D9F4904"/>
    <w:rsid w:val="7DA22646"/>
    <w:rsid w:val="7DA95783"/>
    <w:rsid w:val="7DB53857"/>
    <w:rsid w:val="7DBF46FC"/>
    <w:rsid w:val="7DD86068"/>
    <w:rsid w:val="7DDC7906"/>
    <w:rsid w:val="7DE71E07"/>
    <w:rsid w:val="7DF52673"/>
    <w:rsid w:val="7E3E236F"/>
    <w:rsid w:val="7E453AB3"/>
    <w:rsid w:val="7E4E5490"/>
    <w:rsid w:val="7E524281"/>
    <w:rsid w:val="7E6B3FF2"/>
    <w:rsid w:val="7E924469"/>
    <w:rsid w:val="7EB119B6"/>
    <w:rsid w:val="7EC55276"/>
    <w:rsid w:val="7EC565EC"/>
    <w:rsid w:val="7F054C3B"/>
    <w:rsid w:val="7F0828CC"/>
    <w:rsid w:val="7F086780"/>
    <w:rsid w:val="7F3A1ACE"/>
    <w:rsid w:val="7F442425"/>
    <w:rsid w:val="7F9703BE"/>
    <w:rsid w:val="7FB977D3"/>
    <w:rsid w:val="7FBC6124"/>
    <w:rsid w:val="7FBE4DEA"/>
    <w:rsid w:val="7FC461CE"/>
    <w:rsid w:val="7FDD432A"/>
    <w:rsid w:val="DFDA3238"/>
    <w:rsid w:val="FBEFC1C6"/>
    <w:rsid w:val="FFD7E5B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autoRedefine/>
    <w:qFormat/>
    <w:uiPriority w:val="0"/>
    <w:pPr>
      <w:keepNext/>
      <w:tabs>
        <w:tab w:val="left" w:pos="3360"/>
      </w:tabs>
      <w:snapToGrid w:val="0"/>
      <w:spacing w:before="312" w:beforeLines="100" w:after="156" w:afterLines="50" w:line="800" w:lineRule="atLeast"/>
      <w:jc w:val="center"/>
      <w:outlineLvl w:val="0"/>
    </w:pPr>
    <w:rPr>
      <w:rFonts w:eastAsia="黑体"/>
      <w:sz w:val="44"/>
    </w:rPr>
  </w:style>
  <w:style w:type="paragraph" w:styleId="3">
    <w:name w:val="heading 2"/>
    <w:basedOn w:val="1"/>
    <w:next w:val="1"/>
    <w:link w:val="45"/>
    <w:autoRedefine/>
    <w:qFormat/>
    <w:uiPriority w:val="0"/>
    <w:pPr>
      <w:keepNext/>
      <w:keepLines/>
      <w:adjustRightInd w:val="0"/>
      <w:snapToGrid w:val="0"/>
      <w:spacing w:line="360" w:lineRule="auto"/>
      <w:outlineLvl w:val="1"/>
    </w:pPr>
    <w:rPr>
      <w:rFonts w:ascii="宋体" w:hAnsi="宋体"/>
    </w:rPr>
  </w:style>
  <w:style w:type="paragraph" w:styleId="4">
    <w:name w:val="heading 3"/>
    <w:basedOn w:val="1"/>
    <w:next w:val="1"/>
    <w:link w:val="46"/>
    <w:autoRedefine/>
    <w:qFormat/>
    <w:uiPriority w:val="0"/>
    <w:pPr>
      <w:keepNext/>
      <w:keepLines/>
      <w:spacing w:before="260" w:after="260" w:line="413" w:lineRule="auto"/>
      <w:jc w:val="center"/>
      <w:outlineLvl w:val="2"/>
    </w:pPr>
    <w:rPr>
      <w:b/>
      <w:sz w:val="44"/>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7">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autoRedefine/>
    <w:qFormat/>
    <w:uiPriority w:val="0"/>
    <w:pPr>
      <w:adjustRightInd w:val="0"/>
      <w:snapToGrid w:val="0"/>
      <w:spacing w:line="360" w:lineRule="auto"/>
      <w:ind w:firstLine="420"/>
    </w:pPr>
    <w:rPr>
      <w:sz w:val="24"/>
    </w:rPr>
  </w:style>
  <w:style w:type="paragraph" w:styleId="9">
    <w:name w:val="toa heading"/>
    <w:basedOn w:val="1"/>
    <w:next w:val="1"/>
    <w:autoRedefine/>
    <w:qFormat/>
    <w:uiPriority w:val="0"/>
    <w:pPr>
      <w:spacing w:before="120"/>
    </w:pPr>
    <w:rPr>
      <w:rFonts w:ascii="Arial" w:hAnsi="Arial"/>
      <w:sz w:val="24"/>
    </w:rPr>
  </w:style>
  <w:style w:type="paragraph" w:styleId="10">
    <w:name w:val="annotation text"/>
    <w:basedOn w:val="1"/>
    <w:link w:val="47"/>
    <w:autoRedefine/>
    <w:qFormat/>
    <w:uiPriority w:val="0"/>
    <w:pPr>
      <w:jc w:val="left"/>
    </w:pPr>
  </w:style>
  <w:style w:type="paragraph" w:styleId="11">
    <w:name w:val="Body Text"/>
    <w:basedOn w:val="1"/>
    <w:next w:val="1"/>
    <w:autoRedefine/>
    <w:qFormat/>
    <w:uiPriority w:val="0"/>
  </w:style>
  <w:style w:type="paragraph" w:styleId="12">
    <w:name w:val="Body Text Indent"/>
    <w:basedOn w:val="1"/>
    <w:autoRedefine/>
    <w:qFormat/>
    <w:uiPriority w:val="0"/>
    <w:pPr>
      <w:spacing w:line="700" w:lineRule="exact"/>
      <w:ind w:left="960"/>
    </w:pPr>
    <w:rPr>
      <w:sz w:val="44"/>
    </w:rPr>
  </w:style>
  <w:style w:type="paragraph" w:styleId="13">
    <w:name w:val="toc 3"/>
    <w:basedOn w:val="1"/>
    <w:next w:val="1"/>
    <w:qFormat/>
    <w:uiPriority w:val="0"/>
    <w:pPr>
      <w:ind w:left="840" w:leftChars="400"/>
    </w:pPr>
  </w:style>
  <w:style w:type="paragraph" w:styleId="14">
    <w:name w:val="Plain Text"/>
    <w:basedOn w:val="1"/>
    <w:autoRedefine/>
    <w:qFormat/>
    <w:uiPriority w:val="0"/>
    <w:rPr>
      <w:rFonts w:hAnsi="Courier New"/>
      <w:kern w:val="0"/>
      <w:sz w:val="20"/>
      <w:szCs w:val="20"/>
    </w:rPr>
  </w:style>
  <w:style w:type="paragraph" w:styleId="15">
    <w:name w:val="Date"/>
    <w:basedOn w:val="1"/>
    <w:next w:val="1"/>
    <w:autoRedefine/>
    <w:qFormat/>
    <w:uiPriority w:val="0"/>
  </w:style>
  <w:style w:type="paragraph" w:styleId="16">
    <w:name w:val="Body Text Indent 2"/>
    <w:basedOn w:val="1"/>
    <w:autoRedefine/>
    <w:qFormat/>
    <w:uiPriority w:val="99"/>
    <w:pPr>
      <w:snapToGrid w:val="0"/>
      <w:spacing w:line="560" w:lineRule="atLeast"/>
      <w:ind w:firstLine="540"/>
    </w:pPr>
  </w:style>
  <w:style w:type="paragraph" w:styleId="17">
    <w:name w:val="Balloon Text"/>
    <w:basedOn w:val="1"/>
    <w:autoRedefine/>
    <w:qFormat/>
    <w:uiPriority w:val="0"/>
    <w:rPr>
      <w:sz w:val="18"/>
    </w:rPr>
  </w:style>
  <w:style w:type="paragraph" w:styleId="18">
    <w:name w:val="footer"/>
    <w:basedOn w:val="1"/>
    <w:autoRedefine/>
    <w:qFormat/>
    <w:uiPriority w:val="0"/>
    <w:pPr>
      <w:tabs>
        <w:tab w:val="center" w:pos="4153"/>
        <w:tab w:val="right" w:pos="8306"/>
      </w:tabs>
      <w:snapToGrid w:val="0"/>
      <w:jc w:val="left"/>
    </w:pPr>
    <w:rPr>
      <w:rFonts w:eastAsia="宋体"/>
      <w:sz w:val="18"/>
    </w:rPr>
  </w:style>
  <w:style w:type="paragraph" w:styleId="19">
    <w:name w:val="header"/>
    <w:basedOn w:val="1"/>
    <w:autoRedefine/>
    <w:qFormat/>
    <w:uiPriority w:val="0"/>
    <w:pPr>
      <w:pBdr>
        <w:bottom w:val="single" w:color="auto" w:sz="6" w:space="1"/>
      </w:pBdr>
      <w:tabs>
        <w:tab w:val="center" w:pos="4153"/>
        <w:tab w:val="right" w:pos="8306"/>
      </w:tabs>
      <w:snapToGrid w:val="0"/>
      <w:jc w:val="center"/>
    </w:pPr>
    <w:rPr>
      <w:rFonts w:eastAsia="宋体"/>
      <w:sz w:val="18"/>
    </w:rPr>
  </w:style>
  <w:style w:type="paragraph" w:styleId="20">
    <w:name w:val="toc 1"/>
    <w:basedOn w:val="1"/>
    <w:next w:val="1"/>
    <w:autoRedefine/>
    <w:qFormat/>
    <w:uiPriority w:val="39"/>
    <w:pPr>
      <w:tabs>
        <w:tab w:val="left" w:pos="1260"/>
        <w:tab w:val="left" w:pos="1685"/>
        <w:tab w:val="right" w:leader="dot" w:pos="8400"/>
      </w:tabs>
      <w:spacing w:line="320" w:lineRule="exact"/>
      <w:ind w:firstLine="280" w:firstLineChars="100"/>
    </w:pPr>
  </w:style>
  <w:style w:type="paragraph" w:styleId="21">
    <w:name w:val="toc 2"/>
    <w:basedOn w:val="1"/>
    <w:next w:val="1"/>
    <w:autoRedefine/>
    <w:qFormat/>
    <w:uiPriority w:val="39"/>
    <w:pPr>
      <w:tabs>
        <w:tab w:val="right" w:leader="dot" w:pos="8400"/>
      </w:tabs>
      <w:spacing w:line="440" w:lineRule="exact"/>
      <w:ind w:left="280" w:leftChars="100" w:right="-91" w:rightChars="-91"/>
    </w:pPr>
  </w:style>
  <w:style w:type="paragraph" w:styleId="2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3">
    <w:name w:val="Title"/>
    <w:basedOn w:val="1"/>
    <w:next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24">
    <w:name w:val="annotation subject"/>
    <w:basedOn w:val="10"/>
    <w:next w:val="10"/>
    <w:link w:val="48"/>
    <w:autoRedefine/>
    <w:qFormat/>
    <w:uiPriority w:val="0"/>
    <w:rPr>
      <w:b/>
      <w:bCs/>
    </w:rPr>
  </w:style>
  <w:style w:type="paragraph" w:styleId="25">
    <w:name w:val="Body Text First Indent"/>
    <w:basedOn w:val="11"/>
    <w:next w:val="1"/>
    <w:autoRedefine/>
    <w:qFormat/>
    <w:uiPriority w:val="0"/>
    <w:pPr>
      <w:spacing w:line="360" w:lineRule="auto"/>
      <w:ind w:firstLine="420"/>
    </w:pPr>
    <w:rPr>
      <w:rFonts w:ascii="宋体" w:hAnsi="宋体"/>
      <w:sz w:val="24"/>
    </w:rPr>
  </w:style>
  <w:style w:type="paragraph" w:styleId="26">
    <w:name w:val="Body Text First Indent 2"/>
    <w:basedOn w:val="12"/>
    <w:autoRedefine/>
    <w:qFormat/>
    <w:uiPriority w:val="0"/>
    <w:pPr>
      <w:spacing w:line="240" w:lineRule="auto"/>
      <w:ind w:left="420" w:leftChars="200" w:firstLine="420" w:firstLineChars="200"/>
    </w:pPr>
    <w:rPr>
      <w:sz w:val="21"/>
    </w:r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qFormat/>
    <w:uiPriority w:val="0"/>
    <w:rPr>
      <w:b/>
      <w:bCs/>
    </w:rPr>
  </w:style>
  <w:style w:type="character" w:styleId="31">
    <w:name w:val="page number"/>
    <w:basedOn w:val="29"/>
    <w:autoRedefine/>
    <w:qFormat/>
    <w:uiPriority w:val="0"/>
  </w:style>
  <w:style w:type="character" w:styleId="32">
    <w:name w:val="FollowedHyperlink"/>
    <w:basedOn w:val="29"/>
    <w:autoRedefine/>
    <w:qFormat/>
    <w:uiPriority w:val="0"/>
    <w:rPr>
      <w:color w:val="000000"/>
      <w:u w:val="none"/>
    </w:rPr>
  </w:style>
  <w:style w:type="character" w:styleId="33">
    <w:name w:val="Emphasis"/>
    <w:basedOn w:val="29"/>
    <w:autoRedefine/>
    <w:qFormat/>
    <w:uiPriority w:val="0"/>
    <w:rPr>
      <w:i/>
      <w:iCs/>
    </w:rPr>
  </w:style>
  <w:style w:type="character" w:styleId="34">
    <w:name w:val="Hyperlink"/>
    <w:autoRedefine/>
    <w:qFormat/>
    <w:uiPriority w:val="99"/>
    <w:rPr>
      <w:color w:val="0000FF"/>
      <w:u w:val="single"/>
    </w:rPr>
  </w:style>
  <w:style w:type="character" w:styleId="35">
    <w:name w:val="HTML Code"/>
    <w:basedOn w:val="29"/>
    <w:autoRedefine/>
    <w:qFormat/>
    <w:uiPriority w:val="0"/>
    <w:rPr>
      <w:rFonts w:ascii="Consolas" w:hAnsi="Consolas" w:eastAsia="Consolas" w:cs="Consolas"/>
      <w:color w:val="DD1144"/>
      <w:sz w:val="12"/>
      <w:szCs w:val="12"/>
      <w:bdr w:val="single" w:color="E1E1E8" w:sz="4" w:space="0"/>
      <w:shd w:val="clear" w:fill="F7F7F9"/>
    </w:rPr>
  </w:style>
  <w:style w:type="character" w:styleId="36">
    <w:name w:val="annotation reference"/>
    <w:basedOn w:val="29"/>
    <w:autoRedefine/>
    <w:qFormat/>
    <w:uiPriority w:val="0"/>
    <w:rPr>
      <w:sz w:val="21"/>
      <w:szCs w:val="21"/>
    </w:rPr>
  </w:style>
  <w:style w:type="character" w:styleId="37">
    <w:name w:val="HTML Cite"/>
    <w:basedOn w:val="29"/>
    <w:autoRedefine/>
    <w:qFormat/>
    <w:uiPriority w:val="0"/>
  </w:style>
  <w:style w:type="paragraph" w:customStyle="1" w:styleId="38">
    <w:name w:val="NormalIndent"/>
    <w:basedOn w:val="1"/>
    <w:next w:val="1"/>
    <w:semiHidden/>
    <w:qFormat/>
    <w:uiPriority w:val="0"/>
    <w:pPr>
      <w:widowControl/>
      <w:snapToGrid w:val="0"/>
      <w:spacing w:line="360" w:lineRule="auto"/>
      <w:ind w:firstLine="420" w:firstLineChars="200"/>
      <w:jc w:val="left"/>
      <w:textAlignment w:val="baseline"/>
    </w:pPr>
    <w:rPr>
      <w:rFonts w:ascii="Times New Roman" w:hAnsi="Times New Roman" w:eastAsia="仿宋_GB2312"/>
      <w:sz w:val="24"/>
      <w:szCs w:val="24"/>
    </w:rPr>
  </w:style>
  <w:style w:type="paragraph" w:customStyle="1" w:styleId="39">
    <w:name w:val="样式 宋体 五号 行距: 单倍行距"/>
    <w:basedOn w:val="1"/>
    <w:autoRedefine/>
    <w:qFormat/>
    <w:uiPriority w:val="0"/>
    <w:pPr>
      <w:adjustRightInd w:val="0"/>
      <w:jc w:val="left"/>
    </w:pPr>
    <w:rPr>
      <w:rFonts w:ascii="宋体" w:hAnsi="宋体"/>
      <w:kern w:val="0"/>
      <w:sz w:val="21"/>
    </w:rPr>
  </w:style>
  <w:style w:type="paragraph" w:customStyle="1" w:styleId="40">
    <w:name w:val="无间隔1"/>
    <w:autoRedefine/>
    <w:qFormat/>
    <w:uiPriority w:val="1"/>
    <w:pPr>
      <w:jc w:val="both"/>
    </w:pPr>
    <w:rPr>
      <w:rFonts w:ascii="Times New Roman" w:hAnsi="Times New Roman" w:eastAsia="Times New Roman" w:cs="Times New Roman"/>
      <w:lang w:val="en-US" w:eastAsia="zh-CN" w:bidi="ar-SA"/>
    </w:rPr>
  </w:style>
  <w:style w:type="paragraph" w:customStyle="1" w:styleId="41">
    <w:name w:val="目录 53"/>
    <w:next w:val="1"/>
    <w:autoRedefine/>
    <w:qFormat/>
    <w:uiPriority w:val="0"/>
    <w:pPr>
      <w:wordWrap w:val="0"/>
      <w:ind w:left="1275"/>
      <w:jc w:val="both"/>
    </w:pPr>
    <w:rPr>
      <w:rFonts w:ascii="Calibri" w:hAnsi="Calibri" w:eastAsia="宋体" w:cs="Times New Roman"/>
      <w:sz w:val="21"/>
      <w:lang w:val="en-US" w:eastAsia="zh-CN" w:bidi="ar-SA"/>
    </w:rPr>
  </w:style>
  <w:style w:type="paragraph" w:customStyle="1" w:styleId="42">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3">
    <w:name w:val="1"/>
    <w:basedOn w:val="1"/>
    <w:autoRedefine/>
    <w:qFormat/>
    <w:uiPriority w:val="0"/>
    <w:rPr>
      <w:rFonts w:ascii="Tahoma" w:hAnsi="Tahoma"/>
      <w:sz w:val="24"/>
    </w:rPr>
  </w:style>
  <w:style w:type="paragraph" w:customStyle="1" w:styleId="44">
    <w:name w:val="标书正文1"/>
    <w:basedOn w:val="1"/>
    <w:autoRedefine/>
    <w:qFormat/>
    <w:uiPriority w:val="0"/>
    <w:pPr>
      <w:spacing w:line="520" w:lineRule="exact"/>
      <w:ind w:firstLine="640" w:firstLineChars="200"/>
    </w:pPr>
  </w:style>
  <w:style w:type="character" w:customStyle="1" w:styleId="45">
    <w:name w:val="标题 2 字符"/>
    <w:link w:val="3"/>
    <w:autoRedefine/>
    <w:qFormat/>
    <w:uiPriority w:val="0"/>
    <w:rPr>
      <w:rFonts w:ascii="宋体" w:hAnsi="宋体"/>
    </w:rPr>
  </w:style>
  <w:style w:type="character" w:customStyle="1" w:styleId="46">
    <w:name w:val="标题 3 字符"/>
    <w:link w:val="4"/>
    <w:autoRedefine/>
    <w:qFormat/>
    <w:uiPriority w:val="0"/>
    <w:rPr>
      <w:b/>
      <w:sz w:val="44"/>
    </w:rPr>
  </w:style>
  <w:style w:type="character" w:customStyle="1" w:styleId="47">
    <w:name w:val="批注文字 字符"/>
    <w:basedOn w:val="29"/>
    <w:link w:val="10"/>
    <w:autoRedefine/>
    <w:qFormat/>
    <w:uiPriority w:val="0"/>
    <w:rPr>
      <w:rFonts w:ascii="等线" w:hAnsi="等线" w:eastAsia="等线"/>
      <w:kern w:val="2"/>
      <w:sz w:val="21"/>
      <w:szCs w:val="22"/>
    </w:rPr>
  </w:style>
  <w:style w:type="character" w:customStyle="1" w:styleId="48">
    <w:name w:val="批注主题 字符"/>
    <w:basedOn w:val="47"/>
    <w:link w:val="24"/>
    <w:autoRedefine/>
    <w:qFormat/>
    <w:uiPriority w:val="0"/>
    <w:rPr>
      <w:rFonts w:ascii="等线" w:hAnsi="等线" w:eastAsia="等线"/>
      <w:b/>
      <w:bCs/>
      <w:kern w:val="2"/>
      <w:sz w:val="21"/>
      <w:szCs w:val="22"/>
    </w:rPr>
  </w:style>
  <w:style w:type="paragraph" w:customStyle="1" w:styleId="49">
    <w:name w:val="p0"/>
    <w:basedOn w:val="1"/>
    <w:autoRedefine/>
    <w:qFormat/>
    <w:uiPriority w:val="0"/>
    <w:pPr>
      <w:widowControl/>
    </w:pPr>
    <w:rPr>
      <w:kern w:val="0"/>
      <w:sz w:val="20"/>
      <w:szCs w:val="21"/>
    </w:rPr>
  </w:style>
  <w:style w:type="paragraph" w:customStyle="1" w:styleId="50">
    <w:name w:val="图例"/>
    <w:basedOn w:val="1"/>
    <w:autoRedefine/>
    <w:qFormat/>
    <w:uiPriority w:val="99"/>
    <w:pPr>
      <w:spacing w:before="120" w:after="120" w:line="360" w:lineRule="auto"/>
      <w:jc w:val="center"/>
    </w:pPr>
    <w:rPr>
      <w:rFonts w:eastAsia="仿宋_GB2312"/>
      <w:b/>
      <w:sz w:val="24"/>
    </w:rPr>
  </w:style>
  <w:style w:type="paragraph" w:customStyle="1" w:styleId="51">
    <w:name w:val="Heading1"/>
    <w:basedOn w:val="1"/>
    <w:next w:val="1"/>
    <w:autoRedefine/>
    <w:qFormat/>
    <w:uiPriority w:val="0"/>
    <w:pPr>
      <w:keepNext/>
      <w:tabs>
        <w:tab w:val="left" w:pos="3360"/>
      </w:tabs>
      <w:snapToGrid w:val="0"/>
      <w:spacing w:before="312" w:after="156" w:line="800" w:lineRule="atLeast"/>
      <w:jc w:val="center"/>
      <w:textAlignment w:val="baseline"/>
    </w:pPr>
    <w:rPr>
      <w:rFonts w:eastAsia="黑体"/>
      <w:kern w:val="2"/>
      <w:sz w:val="44"/>
      <w:lang w:val="en-US" w:eastAsia="zh-CN" w:bidi="ar-SA"/>
    </w:rPr>
  </w:style>
  <w:style w:type="paragraph" w:customStyle="1" w:styleId="52">
    <w:name w:val="Table Text"/>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53">
    <w:name w:val="正文1"/>
    <w:basedOn w:val="1"/>
    <w:next w:val="1"/>
    <w:autoRedefine/>
    <w:qFormat/>
    <w:uiPriority w:val="0"/>
    <w:pPr>
      <w:spacing w:line="300" w:lineRule="auto"/>
      <w:ind w:firstLine="200" w:firstLineChars="200"/>
    </w:pPr>
    <w:rPr>
      <w:sz w:val="24"/>
    </w:rPr>
  </w:style>
  <w:style w:type="character" w:customStyle="1" w:styleId="54">
    <w:name w:val="active7"/>
    <w:basedOn w:val="29"/>
    <w:autoRedefine/>
    <w:qFormat/>
    <w:uiPriority w:val="0"/>
    <w:rPr>
      <w:color w:val="FFFFFF"/>
      <w:shd w:val="clear" w:fill="E02F23"/>
    </w:rPr>
  </w:style>
  <w:style w:type="paragraph" w:customStyle="1" w:styleId="55">
    <w:name w:val="BodyText"/>
    <w:basedOn w:val="1"/>
    <w:autoRedefine/>
    <w:qFormat/>
    <w:uiPriority w:val="99"/>
    <w:pPr>
      <w:textAlignment w:val="baseline"/>
    </w:pPr>
    <w:rPr>
      <w:rFonts w:ascii="仿宋_GB2312" w:eastAsia="仿宋_GB2312"/>
      <w:sz w:val="32"/>
    </w:rPr>
  </w:style>
  <w:style w:type="character" w:customStyle="1" w:styleId="56">
    <w:name w:val="NormalCharacter"/>
    <w:autoRedefine/>
    <w:qFormat/>
    <w:uiPriority w:val="0"/>
  </w:style>
  <w:style w:type="paragraph" w:customStyle="1" w:styleId="57">
    <w:name w:val="xl40"/>
    <w:basedOn w:val="1"/>
    <w:autoRedefine/>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character" w:customStyle="1" w:styleId="58">
    <w:name w:val="active"/>
    <w:basedOn w:val="29"/>
    <w:autoRedefine/>
    <w:qFormat/>
    <w:uiPriority w:val="0"/>
    <w:rPr>
      <w:color w:val="FFFFFF"/>
      <w:shd w:val="clear" w:fill="E02F23"/>
    </w:rPr>
  </w:style>
  <w:style w:type="paragraph" w:customStyle="1" w:styleId="59">
    <w:name w:val="列出段落1"/>
    <w:autoRedefine/>
    <w:qFormat/>
    <w:uiPriority w:val="0"/>
    <w:pPr>
      <w:widowControl/>
      <w:ind w:left="720" w:firstLine="360"/>
      <w:jc w:val="left"/>
    </w:pPr>
    <w:rPr>
      <w:rFonts w:ascii="Calibri" w:hAnsi="Calibri" w:eastAsia="宋体" w:cs="Times New Roman"/>
      <w:kern w:val="2"/>
      <w:sz w:val="22"/>
      <w:szCs w:val="20"/>
      <w:lang w:val="en-US" w:eastAsia="en-US" w:bidi="ar-SA"/>
    </w:rPr>
  </w:style>
  <w:style w:type="character" w:customStyle="1" w:styleId="60">
    <w:name w:val="hover"/>
    <w:basedOn w:val="29"/>
    <w:qFormat/>
    <w:uiPriority w:val="0"/>
    <w:rPr>
      <w:color w:val="315EFB"/>
    </w:rPr>
  </w:style>
  <w:style w:type="character" w:customStyle="1" w:styleId="61">
    <w:name w:val="hover1"/>
    <w:basedOn w:val="29"/>
    <w:qFormat/>
    <w:uiPriority w:val="0"/>
  </w:style>
  <w:style w:type="character" w:customStyle="1" w:styleId="62">
    <w:name w:val="hover2"/>
    <w:basedOn w:val="29"/>
    <w:qFormat/>
    <w:uiPriority w:val="0"/>
    <w:rPr>
      <w:color w:val="315EFB"/>
    </w:rPr>
  </w:style>
  <w:style w:type="character" w:customStyle="1" w:styleId="63">
    <w:name w:val="c-icon28"/>
    <w:basedOn w:val="29"/>
    <w:qFormat/>
    <w:uiPriority w:val="0"/>
  </w:style>
  <w:style w:type="character" w:customStyle="1" w:styleId="64">
    <w:name w:val="hover15"/>
    <w:basedOn w:val="29"/>
    <w:qFormat/>
    <w:uiPriority w:val="0"/>
  </w:style>
  <w:style w:type="character" w:customStyle="1" w:styleId="65">
    <w:name w:val="hover16"/>
    <w:basedOn w:val="29"/>
    <w:qFormat/>
    <w:uiPriority w:val="0"/>
    <w:rPr>
      <w:color w:val="315EFB"/>
    </w:rPr>
  </w:style>
  <w:style w:type="character" w:customStyle="1" w:styleId="66">
    <w:name w:val="hover17"/>
    <w:basedOn w:val="29"/>
    <w:qFormat/>
    <w:uiPriority w:val="0"/>
    <w:rPr>
      <w:color w:val="315EFB"/>
    </w:rPr>
  </w:style>
  <w:style w:type="paragraph" w:customStyle="1" w:styleId="67">
    <w:name w:val="WPSOffice手动目录 1"/>
    <w:qFormat/>
    <w:uiPriority w:val="0"/>
    <w:pPr>
      <w:ind w:leftChars="0"/>
    </w:pPr>
    <w:rPr>
      <w:rFonts w:ascii="Times New Roman" w:hAnsi="Times New Roman" w:eastAsia="宋体" w:cs="Times New Roman"/>
      <w:sz w:val="20"/>
      <w:szCs w:val="20"/>
    </w:rPr>
  </w:style>
  <w:style w:type="paragraph" w:customStyle="1" w:styleId="68">
    <w:name w:val="UserStyle_358"/>
    <w:basedOn w:val="1"/>
    <w:semiHidden/>
    <w:qFormat/>
    <w:uiPriority w:val="0"/>
    <w:pPr>
      <w:widowControl/>
      <w:spacing w:before="120" w:after="120" w:line="360" w:lineRule="auto"/>
      <w:ind w:firstLine="200" w:firstLineChars="200"/>
      <w:jc w:val="center"/>
      <w:textAlignment w:val="baseline"/>
    </w:pPr>
    <w:rPr>
      <w:rFonts w:ascii="Times New Roman" w:hAnsi="Times New Roman" w:eastAsia="仿宋_GB2312" w:cstheme="minorBidi"/>
      <w:b/>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40</Pages>
  <Words>4974</Words>
  <Characters>5228</Characters>
  <Lines>232</Lines>
  <Paragraphs>65</Paragraphs>
  <TotalTime>3</TotalTime>
  <ScaleCrop>false</ScaleCrop>
  <LinksUpToDate>false</LinksUpToDate>
  <CharactersWithSpaces>5402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2022-06-20T08:39:00Z</dcterms:created>
  <dc:creator>Administrator</dc:creator>
  <cp:lastModifiedBy>高扬武</cp:lastModifiedBy>
  <cp:lastPrinted>2025-03-24T02:59:28Z</cp:lastPrinted>
  <dcterms:modified xsi:type="dcterms:W3CDTF">2025-03-24T02:59:58Z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1E78C5F7B6474059A3AD93CA0A0EF9B1_13</vt:lpwstr>
  </property>
  <property fmtid="{D5CDD505-2E9C-101B-9397-08002B2CF9AE}" pid="4" name="KSOTemplateDocerSaveRecord">
    <vt:lpwstr>eyJoZGlkIjoiZGQ5NzM0NjUwOGExNDA5MDhjNmQ2MDI0Y2UxMjlkZWUiLCJ1c2VySWQiOiI0NDY0NTc1NjcifQ==</vt:lpwstr>
  </property>
</Properties>
</file>