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FFDCC2">
      <w:pPr>
        <w:spacing w:line="360" w:lineRule="auto"/>
        <w:rPr>
          <w:rFonts w:ascii="仿宋" w:hAnsi="仿宋" w:eastAsia="仿宋" w:cs="仿宋"/>
          <w:b/>
          <w:bCs/>
          <w:sz w:val="112"/>
          <w:szCs w:val="112"/>
        </w:rPr>
      </w:pPr>
    </w:p>
    <w:p w14:paraId="20504B2A">
      <w:pPr>
        <w:spacing w:line="360" w:lineRule="auto"/>
        <w:jc w:val="center"/>
        <w:rPr>
          <w:rFonts w:ascii="仿宋" w:hAnsi="仿宋" w:eastAsia="仿宋" w:cs="仿宋"/>
          <w:b/>
          <w:bCs/>
          <w:sz w:val="112"/>
          <w:szCs w:val="112"/>
        </w:rPr>
      </w:pPr>
      <w:r>
        <w:rPr>
          <w:rFonts w:hint="eastAsia" w:ascii="仿宋" w:hAnsi="仿宋" w:eastAsia="仿宋" w:cs="仿宋"/>
          <w:b/>
          <w:bCs/>
          <w:sz w:val="112"/>
          <w:szCs w:val="112"/>
        </w:rPr>
        <w:t>竞争性比选文件</w:t>
      </w:r>
    </w:p>
    <w:p w14:paraId="75DDD0FB">
      <w:pPr>
        <w:spacing w:line="360" w:lineRule="auto"/>
        <w:rPr>
          <w:rFonts w:ascii="仿宋" w:hAnsi="仿宋" w:eastAsia="仿宋" w:cs="仿宋"/>
        </w:rPr>
      </w:pPr>
    </w:p>
    <w:p w14:paraId="05C46DAE">
      <w:pPr>
        <w:spacing w:line="360" w:lineRule="auto"/>
        <w:rPr>
          <w:rFonts w:ascii="仿宋" w:hAnsi="仿宋" w:eastAsia="仿宋" w:cs="仿宋"/>
        </w:rPr>
      </w:pPr>
      <w:bookmarkStart w:id="720" w:name="_GoBack"/>
      <w:bookmarkEnd w:id="720"/>
    </w:p>
    <w:p w14:paraId="34603383">
      <w:pPr>
        <w:spacing w:line="360" w:lineRule="auto"/>
        <w:rPr>
          <w:rFonts w:ascii="仿宋" w:hAnsi="仿宋" w:eastAsia="仿宋" w:cs="仿宋"/>
        </w:rPr>
      </w:pPr>
    </w:p>
    <w:p w14:paraId="69A9A665">
      <w:pPr>
        <w:spacing w:line="360" w:lineRule="auto"/>
        <w:rPr>
          <w:rFonts w:ascii="仿宋" w:hAnsi="仿宋" w:eastAsia="仿宋" w:cs="仿宋"/>
        </w:rPr>
      </w:pPr>
    </w:p>
    <w:p w14:paraId="0AA48125">
      <w:pPr>
        <w:spacing w:line="360" w:lineRule="auto"/>
        <w:rPr>
          <w:rFonts w:ascii="仿宋" w:hAnsi="仿宋" w:eastAsia="仿宋" w:cs="仿宋"/>
        </w:rPr>
      </w:pPr>
    </w:p>
    <w:p w14:paraId="4E57C23A">
      <w:pPr>
        <w:spacing w:line="360" w:lineRule="auto"/>
        <w:rPr>
          <w:rFonts w:ascii="仿宋" w:hAnsi="仿宋" w:eastAsia="仿宋" w:cs="仿宋"/>
        </w:rPr>
      </w:pPr>
    </w:p>
    <w:p w14:paraId="21EB0AA7">
      <w:pPr>
        <w:rPr>
          <w:rFonts w:ascii="仿宋" w:hAnsi="仿宋" w:eastAsia="仿宋" w:cs="仿宋"/>
          <w:sz w:val="32"/>
          <w:szCs w:val="32"/>
        </w:rPr>
      </w:pPr>
      <w:r>
        <w:rPr>
          <w:rFonts w:hint="eastAsia" w:ascii="仿宋" w:hAnsi="仿宋" w:eastAsia="仿宋" w:cs="仿宋"/>
          <w:sz w:val="32"/>
          <w:szCs w:val="32"/>
        </w:rPr>
        <w:t>项目名称：</w:t>
      </w:r>
      <w:bookmarkStart w:id="0" w:name="OLE_LINK1"/>
      <w:r>
        <w:rPr>
          <w:rFonts w:hint="eastAsia" w:ascii="仿宋" w:hAnsi="仿宋" w:eastAsia="仿宋" w:cs="仿宋"/>
          <w:sz w:val="32"/>
          <w:szCs w:val="32"/>
        </w:rPr>
        <w:t>重庆市万州区妇幼保健院母婴照护中心项目</w:t>
      </w:r>
    </w:p>
    <w:p w14:paraId="64784019">
      <w:pPr>
        <w:spacing w:line="360" w:lineRule="auto"/>
        <w:ind w:firstLine="2560" w:firstLineChars="800"/>
        <w:jc w:val="left"/>
        <w:rPr>
          <w:rFonts w:ascii="仿宋" w:hAnsi="仿宋" w:eastAsia="仿宋" w:cs="仿宋"/>
          <w:sz w:val="32"/>
          <w:szCs w:val="32"/>
        </w:rPr>
      </w:pPr>
    </w:p>
    <w:bookmarkEnd w:id="0"/>
    <w:p w14:paraId="31F2A09F">
      <w:pPr>
        <w:spacing w:line="360" w:lineRule="auto"/>
        <w:rPr>
          <w:rFonts w:ascii="仿宋" w:hAnsi="仿宋" w:eastAsia="仿宋" w:cs="仿宋"/>
        </w:rPr>
      </w:pPr>
    </w:p>
    <w:p w14:paraId="5E9C6BD0">
      <w:pPr>
        <w:spacing w:line="360" w:lineRule="auto"/>
        <w:rPr>
          <w:rFonts w:ascii="仿宋" w:hAnsi="仿宋" w:eastAsia="仿宋" w:cs="仿宋"/>
        </w:rPr>
      </w:pPr>
    </w:p>
    <w:p w14:paraId="49CA12B0">
      <w:pPr>
        <w:spacing w:line="360" w:lineRule="auto"/>
        <w:rPr>
          <w:rFonts w:ascii="仿宋" w:hAnsi="仿宋" w:eastAsia="仿宋" w:cs="仿宋"/>
        </w:rPr>
      </w:pPr>
    </w:p>
    <w:p w14:paraId="62A806B7">
      <w:pPr>
        <w:spacing w:line="360" w:lineRule="auto"/>
        <w:rPr>
          <w:rFonts w:ascii="仿宋" w:hAnsi="仿宋" w:eastAsia="仿宋" w:cs="仿宋"/>
        </w:rPr>
      </w:pPr>
    </w:p>
    <w:p w14:paraId="0879268E">
      <w:pPr>
        <w:spacing w:line="360" w:lineRule="auto"/>
        <w:ind w:firstLine="1600" w:firstLineChars="500"/>
        <w:rPr>
          <w:rFonts w:ascii="仿宋" w:hAnsi="仿宋" w:eastAsia="仿宋" w:cs="仿宋"/>
          <w:sz w:val="32"/>
          <w:szCs w:val="32"/>
        </w:rPr>
      </w:pPr>
      <w:r>
        <w:rPr>
          <w:rFonts w:hint="eastAsia" w:ascii="仿宋" w:hAnsi="仿宋" w:eastAsia="仿宋" w:cs="仿宋"/>
          <w:sz w:val="32"/>
          <w:szCs w:val="32"/>
        </w:rPr>
        <w:t>比选人：重庆市万州区妇幼保健院</w:t>
      </w:r>
    </w:p>
    <w:p w14:paraId="1ABA8702">
      <w:pPr>
        <w:spacing w:line="360" w:lineRule="auto"/>
        <w:ind w:firstLine="1600" w:firstLineChars="500"/>
        <w:rPr>
          <w:rFonts w:ascii="仿宋" w:hAnsi="仿宋" w:eastAsia="仿宋" w:cs="仿宋"/>
          <w:sz w:val="32"/>
          <w:szCs w:val="32"/>
        </w:rPr>
      </w:pPr>
      <w:r>
        <w:rPr>
          <w:rFonts w:hint="eastAsia" w:ascii="仿宋" w:hAnsi="仿宋" w:eastAsia="仿宋" w:cs="仿宋"/>
          <w:sz w:val="32"/>
          <w:szCs w:val="32"/>
        </w:rPr>
        <w:t xml:space="preserve">比选代理机构：河南宏业建设管理股份有限公司 </w:t>
      </w:r>
    </w:p>
    <w:p w14:paraId="556CCAF0">
      <w:pPr>
        <w:spacing w:line="360" w:lineRule="auto"/>
        <w:rPr>
          <w:rFonts w:ascii="仿宋" w:hAnsi="仿宋" w:eastAsia="仿宋" w:cs="仿宋"/>
          <w:sz w:val="36"/>
          <w:szCs w:val="36"/>
        </w:rPr>
      </w:pPr>
    </w:p>
    <w:p w14:paraId="03751575">
      <w:pPr>
        <w:spacing w:line="360" w:lineRule="auto"/>
        <w:ind w:firstLine="3520" w:firstLineChars="1100"/>
        <w:rPr>
          <w:rFonts w:ascii="仿宋" w:hAnsi="仿宋" w:eastAsia="仿宋" w:cs="仿宋"/>
          <w:sz w:val="32"/>
          <w:szCs w:val="32"/>
        </w:rPr>
      </w:pPr>
      <w:r>
        <w:rPr>
          <w:rFonts w:hint="eastAsia" w:ascii="仿宋" w:hAnsi="仿宋" w:eastAsia="仿宋" w:cs="仿宋"/>
          <w:sz w:val="32"/>
          <w:szCs w:val="32"/>
        </w:rPr>
        <w:t>二○二六年六月</w:t>
      </w:r>
    </w:p>
    <w:p w14:paraId="2A4A082E">
      <w:pPr>
        <w:spacing w:line="360" w:lineRule="auto"/>
        <w:rPr>
          <w:rFonts w:ascii="仿宋" w:hAnsi="仿宋" w:eastAsia="仿宋" w:cs="仿宋"/>
          <w:sz w:val="36"/>
          <w:szCs w:val="36"/>
        </w:rPr>
      </w:pPr>
      <w:r>
        <w:rPr>
          <w:rFonts w:hint="eastAsia" w:ascii="仿宋" w:hAnsi="仿宋" w:eastAsia="仿宋" w:cs="仿宋"/>
          <w:sz w:val="36"/>
          <w:szCs w:val="36"/>
        </w:rPr>
        <w:br w:type="page"/>
      </w:r>
    </w:p>
    <w:p w14:paraId="1BB361DC">
      <w:pPr>
        <w:spacing w:line="360" w:lineRule="auto"/>
        <w:jc w:val="center"/>
        <w:outlineLvl w:val="0"/>
        <w:rPr>
          <w:rFonts w:ascii="仿宋" w:hAnsi="仿宋" w:eastAsia="仿宋" w:cs="仿宋"/>
          <w:sz w:val="44"/>
          <w:szCs w:val="28"/>
        </w:rPr>
      </w:pPr>
      <w:r>
        <w:rPr>
          <w:rFonts w:hint="eastAsia" w:ascii="仿宋" w:hAnsi="仿宋" w:eastAsia="仿宋" w:cs="仿宋"/>
          <w:sz w:val="44"/>
          <w:szCs w:val="28"/>
        </w:rPr>
        <w:t>目 录</w:t>
      </w:r>
    </w:p>
    <w:p w14:paraId="424348D1">
      <w:pPr>
        <w:pStyle w:val="47"/>
        <w:tabs>
          <w:tab w:val="right" w:leader="dot" w:pos="9412"/>
        </w:tabs>
      </w:pPr>
      <w:r>
        <w:rPr>
          <w:rFonts w:hint="eastAsia" w:ascii="仿宋" w:hAnsi="仿宋" w:cs="仿宋"/>
          <w:szCs w:val="24"/>
        </w:rPr>
        <w:fldChar w:fldCharType="begin"/>
      </w:r>
      <w:r>
        <w:rPr>
          <w:rFonts w:hint="eastAsia" w:ascii="仿宋" w:hAnsi="仿宋" w:cs="仿宋"/>
          <w:szCs w:val="24"/>
        </w:rPr>
        <w:instrText xml:space="preserve"> TOC \o "1-3" \h \z </w:instrText>
      </w:r>
      <w:r>
        <w:rPr>
          <w:rFonts w:hint="eastAsia" w:ascii="仿宋" w:hAnsi="仿宋" w:cs="仿宋"/>
          <w:szCs w:val="24"/>
        </w:rPr>
        <w:fldChar w:fldCharType="separate"/>
      </w:r>
      <w:r>
        <w:fldChar w:fldCharType="begin"/>
      </w:r>
      <w:r>
        <w:instrText xml:space="preserve"> HYPERLINK \l "_Toc28597" </w:instrText>
      </w:r>
      <w:r>
        <w:fldChar w:fldCharType="separate"/>
      </w:r>
      <w:r>
        <w:rPr>
          <w:rFonts w:hint="eastAsia"/>
        </w:rPr>
        <w:t>第一篇 采购邀请书</w:t>
      </w:r>
      <w:r>
        <w:tab/>
      </w:r>
      <w:r>
        <w:fldChar w:fldCharType="begin"/>
      </w:r>
      <w:r>
        <w:instrText xml:space="preserve"> PAGEREF _Toc28597 \h </w:instrText>
      </w:r>
      <w:r>
        <w:fldChar w:fldCharType="separate"/>
      </w:r>
      <w:r>
        <w:t>1</w:t>
      </w:r>
      <w:r>
        <w:fldChar w:fldCharType="end"/>
      </w:r>
      <w:r>
        <w:fldChar w:fldCharType="end"/>
      </w:r>
    </w:p>
    <w:p w14:paraId="7B663567">
      <w:pPr>
        <w:pStyle w:val="31"/>
        <w:tabs>
          <w:tab w:val="right" w:leader="dot" w:pos="9412"/>
        </w:tabs>
        <w:ind w:firstLine="480"/>
      </w:pPr>
      <w:r>
        <w:fldChar w:fldCharType="begin"/>
      </w:r>
      <w:r>
        <w:instrText xml:space="preserve"> HYPERLINK \l "_Toc21453" </w:instrText>
      </w:r>
      <w:r>
        <w:fldChar w:fldCharType="separate"/>
      </w:r>
      <w:r>
        <w:rPr>
          <w:rFonts w:hint="eastAsia"/>
        </w:rPr>
        <w:t>一、竞争性比选内容</w:t>
      </w:r>
      <w:r>
        <w:tab/>
      </w:r>
      <w:r>
        <w:fldChar w:fldCharType="begin"/>
      </w:r>
      <w:r>
        <w:instrText xml:space="preserve"> PAGEREF _Toc21453 \h </w:instrText>
      </w:r>
      <w:r>
        <w:fldChar w:fldCharType="separate"/>
      </w:r>
      <w:r>
        <w:t>1</w:t>
      </w:r>
      <w:r>
        <w:fldChar w:fldCharType="end"/>
      </w:r>
      <w:r>
        <w:fldChar w:fldCharType="end"/>
      </w:r>
    </w:p>
    <w:p w14:paraId="63E09005">
      <w:pPr>
        <w:pStyle w:val="31"/>
        <w:tabs>
          <w:tab w:val="right" w:leader="dot" w:pos="9412"/>
        </w:tabs>
        <w:ind w:firstLine="480"/>
      </w:pPr>
      <w:r>
        <w:fldChar w:fldCharType="begin"/>
      </w:r>
      <w:r>
        <w:instrText xml:space="preserve"> HYPERLINK \l "_Toc5880" </w:instrText>
      </w:r>
      <w:r>
        <w:fldChar w:fldCharType="separate"/>
      </w:r>
      <w:r>
        <w:rPr>
          <w:rFonts w:hint="eastAsia"/>
        </w:rPr>
        <w:t>二、资金来源</w:t>
      </w:r>
      <w:r>
        <w:tab/>
      </w:r>
      <w:r>
        <w:fldChar w:fldCharType="begin"/>
      </w:r>
      <w:r>
        <w:instrText xml:space="preserve"> PAGEREF _Toc5880 \h </w:instrText>
      </w:r>
      <w:r>
        <w:fldChar w:fldCharType="separate"/>
      </w:r>
      <w:r>
        <w:t>1</w:t>
      </w:r>
      <w:r>
        <w:fldChar w:fldCharType="end"/>
      </w:r>
      <w:r>
        <w:fldChar w:fldCharType="end"/>
      </w:r>
    </w:p>
    <w:p w14:paraId="5D134A2C">
      <w:pPr>
        <w:pStyle w:val="31"/>
        <w:tabs>
          <w:tab w:val="right" w:leader="dot" w:pos="9412"/>
        </w:tabs>
        <w:ind w:firstLine="480"/>
      </w:pPr>
      <w:r>
        <w:fldChar w:fldCharType="begin"/>
      </w:r>
      <w:r>
        <w:instrText xml:space="preserve"> HYPERLINK \l "_Toc30928" </w:instrText>
      </w:r>
      <w:r>
        <w:fldChar w:fldCharType="separate"/>
      </w:r>
      <w:r>
        <w:rPr>
          <w:rFonts w:hint="eastAsia"/>
        </w:rPr>
        <w:t>三、供应商资格条件</w:t>
      </w:r>
      <w:r>
        <w:tab/>
      </w:r>
      <w:r>
        <w:fldChar w:fldCharType="begin"/>
      </w:r>
      <w:r>
        <w:instrText xml:space="preserve"> PAGEREF _Toc30928 \h </w:instrText>
      </w:r>
      <w:r>
        <w:fldChar w:fldCharType="separate"/>
      </w:r>
      <w:r>
        <w:t>1</w:t>
      </w:r>
      <w:r>
        <w:fldChar w:fldCharType="end"/>
      </w:r>
      <w:r>
        <w:fldChar w:fldCharType="end"/>
      </w:r>
    </w:p>
    <w:p w14:paraId="7E2F8D2C">
      <w:pPr>
        <w:pStyle w:val="31"/>
        <w:tabs>
          <w:tab w:val="right" w:leader="dot" w:pos="9412"/>
        </w:tabs>
        <w:ind w:firstLine="480"/>
      </w:pPr>
      <w:r>
        <w:fldChar w:fldCharType="begin"/>
      </w:r>
      <w:r>
        <w:instrText xml:space="preserve"> HYPERLINK \l "_Toc9264" </w:instrText>
      </w:r>
      <w:r>
        <w:fldChar w:fldCharType="separate"/>
      </w:r>
      <w:r>
        <w:rPr>
          <w:rFonts w:hint="eastAsia"/>
        </w:rPr>
        <w:t>四、采购有关说明</w:t>
      </w:r>
      <w:r>
        <w:tab/>
      </w:r>
      <w:r>
        <w:fldChar w:fldCharType="begin"/>
      </w:r>
      <w:r>
        <w:instrText xml:space="preserve"> PAGEREF _Toc9264 \h </w:instrText>
      </w:r>
      <w:r>
        <w:fldChar w:fldCharType="separate"/>
      </w:r>
      <w:r>
        <w:t>1</w:t>
      </w:r>
      <w:r>
        <w:fldChar w:fldCharType="end"/>
      </w:r>
      <w:r>
        <w:fldChar w:fldCharType="end"/>
      </w:r>
    </w:p>
    <w:p w14:paraId="3D09C1AA">
      <w:pPr>
        <w:pStyle w:val="31"/>
        <w:tabs>
          <w:tab w:val="right" w:leader="dot" w:pos="9412"/>
        </w:tabs>
        <w:ind w:firstLine="480"/>
      </w:pPr>
      <w:r>
        <w:fldChar w:fldCharType="begin"/>
      </w:r>
      <w:r>
        <w:instrText xml:space="preserve"> HYPERLINK \l "_Toc30345" </w:instrText>
      </w:r>
      <w:r>
        <w:fldChar w:fldCharType="separate"/>
      </w:r>
      <w:r>
        <w:rPr>
          <w:rFonts w:hint="eastAsia"/>
        </w:rPr>
        <w:t>五、保证金</w:t>
      </w:r>
      <w:r>
        <w:tab/>
      </w:r>
      <w:r>
        <w:fldChar w:fldCharType="begin"/>
      </w:r>
      <w:r>
        <w:instrText xml:space="preserve"> PAGEREF _Toc30345 \h </w:instrText>
      </w:r>
      <w:r>
        <w:fldChar w:fldCharType="separate"/>
      </w:r>
      <w:r>
        <w:t>2</w:t>
      </w:r>
      <w:r>
        <w:fldChar w:fldCharType="end"/>
      </w:r>
      <w:r>
        <w:fldChar w:fldCharType="end"/>
      </w:r>
    </w:p>
    <w:p w14:paraId="7DCBFEA3">
      <w:pPr>
        <w:pStyle w:val="31"/>
        <w:tabs>
          <w:tab w:val="right" w:leader="dot" w:pos="9412"/>
        </w:tabs>
        <w:ind w:firstLine="480"/>
      </w:pPr>
      <w:r>
        <w:fldChar w:fldCharType="begin"/>
      </w:r>
      <w:r>
        <w:instrText xml:space="preserve"> HYPERLINK \l "_Toc27782" </w:instrText>
      </w:r>
      <w:r>
        <w:fldChar w:fldCharType="separate"/>
      </w:r>
      <w:r>
        <w:rPr>
          <w:rFonts w:hint="eastAsia"/>
        </w:rPr>
        <w:t>六、其它有关规定</w:t>
      </w:r>
      <w:r>
        <w:tab/>
      </w:r>
      <w:r>
        <w:fldChar w:fldCharType="begin"/>
      </w:r>
      <w:r>
        <w:instrText xml:space="preserve"> PAGEREF _Toc27782 \h </w:instrText>
      </w:r>
      <w:r>
        <w:fldChar w:fldCharType="separate"/>
      </w:r>
      <w:r>
        <w:t>2</w:t>
      </w:r>
      <w:r>
        <w:fldChar w:fldCharType="end"/>
      </w:r>
      <w:r>
        <w:fldChar w:fldCharType="end"/>
      </w:r>
    </w:p>
    <w:p w14:paraId="1882D64B">
      <w:pPr>
        <w:pStyle w:val="31"/>
        <w:tabs>
          <w:tab w:val="right" w:leader="dot" w:pos="9412"/>
        </w:tabs>
        <w:ind w:firstLine="480"/>
      </w:pPr>
      <w:r>
        <w:fldChar w:fldCharType="begin"/>
      </w:r>
      <w:r>
        <w:instrText xml:space="preserve"> HYPERLINK \l "_Toc17444" </w:instrText>
      </w:r>
      <w:r>
        <w:fldChar w:fldCharType="separate"/>
      </w:r>
      <w:r>
        <w:rPr>
          <w:rFonts w:hint="eastAsia"/>
        </w:rPr>
        <w:t>七、联系方式</w:t>
      </w:r>
      <w:r>
        <w:tab/>
      </w:r>
      <w:r>
        <w:fldChar w:fldCharType="begin"/>
      </w:r>
      <w:r>
        <w:instrText xml:space="preserve"> PAGEREF _Toc17444 \h </w:instrText>
      </w:r>
      <w:r>
        <w:fldChar w:fldCharType="separate"/>
      </w:r>
      <w:r>
        <w:t>3</w:t>
      </w:r>
      <w:r>
        <w:fldChar w:fldCharType="end"/>
      </w:r>
      <w:r>
        <w:fldChar w:fldCharType="end"/>
      </w:r>
    </w:p>
    <w:p w14:paraId="68AF2F55">
      <w:pPr>
        <w:pStyle w:val="47"/>
        <w:tabs>
          <w:tab w:val="right" w:leader="dot" w:pos="9412"/>
        </w:tabs>
      </w:pPr>
      <w:r>
        <w:fldChar w:fldCharType="begin"/>
      </w:r>
      <w:r>
        <w:instrText xml:space="preserve"> HYPERLINK \l "_Toc20086" </w:instrText>
      </w:r>
      <w:r>
        <w:fldChar w:fldCharType="separate"/>
      </w:r>
      <w:r>
        <w:rPr>
          <w:rFonts w:hint="eastAsia"/>
        </w:rPr>
        <w:t>第二篇 采购项目技术需求</w:t>
      </w:r>
      <w:r>
        <w:tab/>
      </w:r>
      <w:r>
        <w:fldChar w:fldCharType="begin"/>
      </w:r>
      <w:r>
        <w:instrText xml:space="preserve"> PAGEREF _Toc20086 \h </w:instrText>
      </w:r>
      <w:r>
        <w:fldChar w:fldCharType="separate"/>
      </w:r>
      <w:r>
        <w:t>4</w:t>
      </w:r>
      <w:r>
        <w:fldChar w:fldCharType="end"/>
      </w:r>
      <w:r>
        <w:fldChar w:fldCharType="end"/>
      </w:r>
    </w:p>
    <w:p w14:paraId="0765D993">
      <w:pPr>
        <w:pStyle w:val="31"/>
        <w:tabs>
          <w:tab w:val="right" w:leader="dot" w:pos="9412"/>
        </w:tabs>
        <w:ind w:firstLine="480"/>
      </w:pPr>
      <w:r>
        <w:fldChar w:fldCharType="begin"/>
      </w:r>
      <w:r>
        <w:instrText xml:space="preserve"> HYPERLINK \l "_Toc556" </w:instrText>
      </w:r>
      <w:r>
        <w:fldChar w:fldCharType="separate"/>
      </w:r>
      <w:r>
        <w:rPr>
          <w:rFonts w:hint="eastAsia"/>
        </w:rPr>
        <w:t>一、项目情况一览表</w:t>
      </w:r>
      <w:r>
        <w:tab/>
      </w:r>
      <w:r>
        <w:fldChar w:fldCharType="begin"/>
      </w:r>
      <w:r>
        <w:instrText xml:space="preserve"> PAGEREF _Toc556 \h </w:instrText>
      </w:r>
      <w:r>
        <w:fldChar w:fldCharType="separate"/>
      </w:r>
      <w:r>
        <w:t>4</w:t>
      </w:r>
      <w:r>
        <w:fldChar w:fldCharType="end"/>
      </w:r>
      <w:r>
        <w:fldChar w:fldCharType="end"/>
      </w:r>
    </w:p>
    <w:p w14:paraId="5AB738C0">
      <w:pPr>
        <w:pStyle w:val="31"/>
        <w:tabs>
          <w:tab w:val="right" w:leader="dot" w:pos="9412"/>
        </w:tabs>
        <w:ind w:firstLine="480"/>
      </w:pPr>
      <w:r>
        <w:fldChar w:fldCharType="begin"/>
      </w:r>
      <w:r>
        <w:instrText xml:space="preserve"> HYPERLINK \l "_Toc7284" </w:instrText>
      </w:r>
      <w:r>
        <w:fldChar w:fldCharType="separate"/>
      </w:r>
      <w:r>
        <w:rPr>
          <w:rFonts w:hint="eastAsia"/>
        </w:rPr>
        <w:t>二、基本情况</w:t>
      </w:r>
      <w:r>
        <w:tab/>
      </w:r>
      <w:r>
        <w:fldChar w:fldCharType="begin"/>
      </w:r>
      <w:r>
        <w:instrText xml:space="preserve"> PAGEREF _Toc7284 \h </w:instrText>
      </w:r>
      <w:r>
        <w:fldChar w:fldCharType="separate"/>
      </w:r>
      <w:r>
        <w:t>4</w:t>
      </w:r>
      <w:r>
        <w:fldChar w:fldCharType="end"/>
      </w:r>
      <w:r>
        <w:fldChar w:fldCharType="end"/>
      </w:r>
    </w:p>
    <w:p w14:paraId="6E02F222">
      <w:pPr>
        <w:pStyle w:val="31"/>
        <w:tabs>
          <w:tab w:val="right" w:leader="dot" w:pos="9412"/>
        </w:tabs>
        <w:ind w:firstLine="480"/>
      </w:pPr>
      <w:r>
        <w:fldChar w:fldCharType="begin"/>
      </w:r>
      <w:r>
        <w:instrText xml:space="preserve"> HYPERLINK \l "_Toc25870" </w:instrText>
      </w:r>
      <w:r>
        <w:fldChar w:fldCharType="separate"/>
      </w:r>
      <w:r>
        <w:rPr>
          <w:rFonts w:hint="eastAsia"/>
        </w:rPr>
        <w:t>三、项目内容及要求</w:t>
      </w:r>
      <w:r>
        <w:tab/>
      </w:r>
      <w:r>
        <w:fldChar w:fldCharType="begin"/>
      </w:r>
      <w:r>
        <w:instrText xml:space="preserve"> PAGEREF _Toc25870 \h </w:instrText>
      </w:r>
      <w:r>
        <w:fldChar w:fldCharType="separate"/>
      </w:r>
      <w:r>
        <w:t>4</w:t>
      </w:r>
      <w:r>
        <w:fldChar w:fldCharType="end"/>
      </w:r>
      <w:r>
        <w:fldChar w:fldCharType="end"/>
      </w:r>
    </w:p>
    <w:p w14:paraId="27D201D1">
      <w:pPr>
        <w:pStyle w:val="47"/>
        <w:tabs>
          <w:tab w:val="right" w:leader="dot" w:pos="9412"/>
        </w:tabs>
      </w:pPr>
      <w:r>
        <w:fldChar w:fldCharType="begin"/>
      </w:r>
      <w:r>
        <w:instrText xml:space="preserve"> HYPERLINK \l "_Toc24028" </w:instrText>
      </w:r>
      <w:r>
        <w:fldChar w:fldCharType="separate"/>
      </w:r>
      <w:r>
        <w:rPr>
          <w:rFonts w:hint="eastAsia"/>
        </w:rPr>
        <w:t>第三篇 采购项目商务需求</w:t>
      </w:r>
      <w:r>
        <w:tab/>
      </w:r>
      <w:r>
        <w:fldChar w:fldCharType="begin"/>
      </w:r>
      <w:r>
        <w:instrText xml:space="preserve"> PAGEREF _Toc24028 \h </w:instrText>
      </w:r>
      <w:r>
        <w:fldChar w:fldCharType="separate"/>
      </w:r>
      <w:r>
        <w:t>6</w:t>
      </w:r>
      <w:r>
        <w:fldChar w:fldCharType="end"/>
      </w:r>
      <w:r>
        <w:fldChar w:fldCharType="end"/>
      </w:r>
    </w:p>
    <w:p w14:paraId="6DF3F2AB">
      <w:pPr>
        <w:pStyle w:val="31"/>
        <w:tabs>
          <w:tab w:val="right" w:leader="dot" w:pos="9412"/>
        </w:tabs>
        <w:ind w:firstLine="480"/>
      </w:pPr>
      <w:r>
        <w:fldChar w:fldCharType="begin"/>
      </w:r>
      <w:r>
        <w:instrText xml:space="preserve"> HYPERLINK \l "_Toc28880" </w:instrText>
      </w:r>
      <w:r>
        <w:fldChar w:fldCharType="separate"/>
      </w:r>
      <w:r>
        <w:rPr>
          <w:rFonts w:hint="eastAsia"/>
        </w:rPr>
        <w:t>一、服务期、地点、验收方式及报价方式</w:t>
      </w:r>
      <w:r>
        <w:tab/>
      </w:r>
      <w:r>
        <w:fldChar w:fldCharType="begin"/>
      </w:r>
      <w:r>
        <w:instrText xml:space="preserve"> PAGEREF _Toc28880 \h </w:instrText>
      </w:r>
      <w:r>
        <w:fldChar w:fldCharType="separate"/>
      </w:r>
      <w:r>
        <w:t>6</w:t>
      </w:r>
      <w:r>
        <w:fldChar w:fldCharType="end"/>
      </w:r>
      <w:r>
        <w:fldChar w:fldCharType="end"/>
      </w:r>
    </w:p>
    <w:p w14:paraId="1894D3D6">
      <w:pPr>
        <w:pStyle w:val="31"/>
        <w:tabs>
          <w:tab w:val="right" w:leader="dot" w:pos="9412"/>
        </w:tabs>
        <w:ind w:firstLine="480"/>
      </w:pPr>
      <w:r>
        <w:fldChar w:fldCharType="begin"/>
      </w:r>
      <w:r>
        <w:instrText xml:space="preserve"> HYPERLINK \l "_Toc8267" </w:instrText>
      </w:r>
      <w:r>
        <w:fldChar w:fldCharType="separate"/>
      </w:r>
      <w:r>
        <w:rPr>
          <w:rFonts w:hint="eastAsia"/>
        </w:rPr>
        <w:t>二、报价要求、报价原则及结算原则：</w:t>
      </w:r>
      <w:r>
        <w:tab/>
      </w:r>
      <w:r>
        <w:fldChar w:fldCharType="begin"/>
      </w:r>
      <w:r>
        <w:instrText xml:space="preserve"> PAGEREF _Toc8267 \h </w:instrText>
      </w:r>
      <w:r>
        <w:fldChar w:fldCharType="separate"/>
      </w:r>
      <w:r>
        <w:t>6</w:t>
      </w:r>
      <w:r>
        <w:fldChar w:fldCharType="end"/>
      </w:r>
      <w:r>
        <w:fldChar w:fldCharType="end"/>
      </w:r>
    </w:p>
    <w:p w14:paraId="1291B856">
      <w:pPr>
        <w:pStyle w:val="31"/>
        <w:tabs>
          <w:tab w:val="right" w:leader="dot" w:pos="9412"/>
        </w:tabs>
        <w:ind w:firstLine="480"/>
      </w:pPr>
      <w:r>
        <w:fldChar w:fldCharType="begin"/>
      </w:r>
      <w:r>
        <w:instrText xml:space="preserve"> HYPERLINK \l "_Toc30596" </w:instrText>
      </w:r>
      <w:r>
        <w:fldChar w:fldCharType="separate"/>
      </w:r>
      <w:r>
        <w:rPr>
          <w:rFonts w:hint="eastAsia"/>
        </w:rPr>
        <w:t>三、质量保障及售后服务</w:t>
      </w:r>
      <w:r>
        <w:tab/>
      </w:r>
      <w:r>
        <w:fldChar w:fldCharType="begin"/>
      </w:r>
      <w:r>
        <w:instrText xml:space="preserve"> PAGEREF _Toc30596 \h </w:instrText>
      </w:r>
      <w:r>
        <w:fldChar w:fldCharType="separate"/>
      </w:r>
      <w:r>
        <w:t>9</w:t>
      </w:r>
      <w:r>
        <w:fldChar w:fldCharType="end"/>
      </w:r>
      <w:r>
        <w:fldChar w:fldCharType="end"/>
      </w:r>
    </w:p>
    <w:p w14:paraId="350C3904">
      <w:pPr>
        <w:pStyle w:val="31"/>
        <w:tabs>
          <w:tab w:val="right" w:leader="dot" w:pos="9412"/>
        </w:tabs>
        <w:ind w:firstLine="480"/>
      </w:pPr>
      <w:r>
        <w:fldChar w:fldCharType="begin"/>
      </w:r>
      <w:r>
        <w:instrText xml:space="preserve"> HYPERLINK \l "_Toc9424" </w:instrText>
      </w:r>
      <w:r>
        <w:fldChar w:fldCharType="separate"/>
      </w:r>
      <w:r>
        <w:rPr>
          <w:rFonts w:hint="eastAsia"/>
        </w:rPr>
        <w:t>四、付款方式</w:t>
      </w:r>
      <w:r>
        <w:tab/>
      </w:r>
      <w:r>
        <w:fldChar w:fldCharType="begin"/>
      </w:r>
      <w:r>
        <w:instrText xml:space="preserve"> PAGEREF _Toc9424 \h </w:instrText>
      </w:r>
      <w:r>
        <w:fldChar w:fldCharType="separate"/>
      </w:r>
      <w:r>
        <w:t>9</w:t>
      </w:r>
      <w:r>
        <w:fldChar w:fldCharType="end"/>
      </w:r>
      <w:r>
        <w:fldChar w:fldCharType="end"/>
      </w:r>
    </w:p>
    <w:p w14:paraId="57C9018C">
      <w:pPr>
        <w:pStyle w:val="31"/>
        <w:tabs>
          <w:tab w:val="right" w:leader="dot" w:pos="9412"/>
        </w:tabs>
        <w:ind w:firstLine="480"/>
      </w:pPr>
      <w:r>
        <w:fldChar w:fldCharType="begin"/>
      </w:r>
      <w:r>
        <w:instrText xml:space="preserve"> HYPERLINK \l "_Toc6196" </w:instrText>
      </w:r>
      <w:r>
        <w:fldChar w:fldCharType="separate"/>
      </w:r>
      <w:r>
        <w:rPr>
          <w:rFonts w:hint="eastAsia"/>
        </w:rPr>
        <w:t>五、知识产权</w:t>
      </w:r>
      <w:r>
        <w:tab/>
      </w:r>
      <w:r>
        <w:fldChar w:fldCharType="begin"/>
      </w:r>
      <w:r>
        <w:instrText xml:space="preserve"> PAGEREF _Toc6196 \h </w:instrText>
      </w:r>
      <w:r>
        <w:fldChar w:fldCharType="separate"/>
      </w:r>
      <w:r>
        <w:t>9</w:t>
      </w:r>
      <w:r>
        <w:fldChar w:fldCharType="end"/>
      </w:r>
      <w:r>
        <w:fldChar w:fldCharType="end"/>
      </w:r>
    </w:p>
    <w:p w14:paraId="172F2135">
      <w:pPr>
        <w:pStyle w:val="31"/>
        <w:tabs>
          <w:tab w:val="right" w:leader="dot" w:pos="9412"/>
        </w:tabs>
        <w:ind w:firstLine="480"/>
      </w:pPr>
      <w:r>
        <w:fldChar w:fldCharType="begin"/>
      </w:r>
      <w:r>
        <w:instrText xml:space="preserve"> HYPERLINK \l "_Toc20378" </w:instrText>
      </w:r>
      <w:r>
        <w:fldChar w:fldCharType="separate"/>
      </w:r>
      <w:r>
        <w:rPr>
          <w:rFonts w:hint="eastAsia"/>
        </w:rPr>
        <w:t>六、其他</w:t>
      </w:r>
      <w:r>
        <w:tab/>
      </w:r>
      <w:r>
        <w:fldChar w:fldCharType="begin"/>
      </w:r>
      <w:r>
        <w:instrText xml:space="preserve"> PAGEREF _Toc20378 \h </w:instrText>
      </w:r>
      <w:r>
        <w:fldChar w:fldCharType="separate"/>
      </w:r>
      <w:r>
        <w:t>9</w:t>
      </w:r>
      <w:r>
        <w:fldChar w:fldCharType="end"/>
      </w:r>
      <w:r>
        <w:fldChar w:fldCharType="end"/>
      </w:r>
    </w:p>
    <w:p w14:paraId="3D638C37">
      <w:pPr>
        <w:pStyle w:val="47"/>
        <w:tabs>
          <w:tab w:val="right" w:leader="dot" w:pos="9412"/>
        </w:tabs>
      </w:pPr>
      <w:r>
        <w:fldChar w:fldCharType="begin"/>
      </w:r>
      <w:r>
        <w:instrText xml:space="preserve"> HYPERLINK \l "_Toc10852" </w:instrText>
      </w:r>
      <w:r>
        <w:fldChar w:fldCharType="separate"/>
      </w:r>
      <w:r>
        <w:rPr>
          <w:rFonts w:hint="eastAsia"/>
        </w:rPr>
        <w:t>第四篇 竞争性比选程序及方法、评审标准、响应无效和采购终止</w:t>
      </w:r>
      <w:r>
        <w:tab/>
      </w:r>
      <w:r>
        <w:fldChar w:fldCharType="begin"/>
      </w:r>
      <w:r>
        <w:instrText xml:space="preserve"> PAGEREF _Toc10852 \h </w:instrText>
      </w:r>
      <w:r>
        <w:fldChar w:fldCharType="separate"/>
      </w:r>
      <w:r>
        <w:t>10</w:t>
      </w:r>
      <w:r>
        <w:fldChar w:fldCharType="end"/>
      </w:r>
      <w:r>
        <w:fldChar w:fldCharType="end"/>
      </w:r>
    </w:p>
    <w:p w14:paraId="6C4F58D7">
      <w:pPr>
        <w:pStyle w:val="31"/>
        <w:tabs>
          <w:tab w:val="right" w:leader="dot" w:pos="9412"/>
        </w:tabs>
        <w:ind w:firstLine="480"/>
      </w:pPr>
      <w:r>
        <w:fldChar w:fldCharType="begin"/>
      </w:r>
      <w:r>
        <w:instrText xml:space="preserve"> HYPERLINK \l "_Toc13829" </w:instrText>
      </w:r>
      <w:r>
        <w:fldChar w:fldCharType="separate"/>
      </w:r>
      <w:r>
        <w:rPr>
          <w:rFonts w:hint="eastAsia" w:ascii="仿宋" w:hAnsi="仿宋"/>
          <w:szCs w:val="24"/>
        </w:rPr>
        <w:t>一、竞争性比选程序及方法</w:t>
      </w:r>
      <w:r>
        <w:tab/>
      </w:r>
      <w:r>
        <w:fldChar w:fldCharType="begin"/>
      </w:r>
      <w:r>
        <w:instrText xml:space="preserve"> PAGEREF _Toc13829 \h </w:instrText>
      </w:r>
      <w:r>
        <w:fldChar w:fldCharType="separate"/>
      </w:r>
      <w:r>
        <w:t>10</w:t>
      </w:r>
      <w:r>
        <w:fldChar w:fldCharType="end"/>
      </w:r>
      <w:r>
        <w:fldChar w:fldCharType="end"/>
      </w:r>
    </w:p>
    <w:p w14:paraId="44F9C5E8">
      <w:pPr>
        <w:pStyle w:val="31"/>
        <w:tabs>
          <w:tab w:val="right" w:leader="dot" w:pos="9412"/>
        </w:tabs>
        <w:ind w:firstLine="480"/>
      </w:pPr>
      <w:r>
        <w:fldChar w:fldCharType="begin"/>
      </w:r>
      <w:r>
        <w:instrText xml:space="preserve"> HYPERLINK \l "_Toc8789" </w:instrText>
      </w:r>
      <w:r>
        <w:fldChar w:fldCharType="separate"/>
      </w:r>
      <w:r>
        <w:rPr>
          <w:rFonts w:hint="eastAsia" w:ascii="仿宋" w:hAnsi="仿宋"/>
          <w:szCs w:val="24"/>
        </w:rPr>
        <w:t>二、成交办法</w:t>
      </w:r>
      <w:r>
        <w:tab/>
      </w:r>
      <w:r>
        <w:fldChar w:fldCharType="begin"/>
      </w:r>
      <w:r>
        <w:instrText xml:space="preserve"> PAGEREF _Toc8789 \h </w:instrText>
      </w:r>
      <w:r>
        <w:fldChar w:fldCharType="separate"/>
      </w:r>
      <w:r>
        <w:t>12</w:t>
      </w:r>
      <w:r>
        <w:fldChar w:fldCharType="end"/>
      </w:r>
      <w:r>
        <w:fldChar w:fldCharType="end"/>
      </w:r>
    </w:p>
    <w:p w14:paraId="2C35041F">
      <w:pPr>
        <w:pStyle w:val="31"/>
        <w:tabs>
          <w:tab w:val="right" w:leader="dot" w:pos="9412"/>
        </w:tabs>
        <w:ind w:firstLine="480"/>
      </w:pPr>
      <w:r>
        <w:fldChar w:fldCharType="begin"/>
      </w:r>
      <w:r>
        <w:instrText xml:space="preserve"> HYPERLINK \l "_Toc17981" </w:instrText>
      </w:r>
      <w:r>
        <w:fldChar w:fldCharType="separate"/>
      </w:r>
      <w:r>
        <w:rPr>
          <w:rFonts w:hint="eastAsia"/>
        </w:rPr>
        <w:t>三、响应无效</w:t>
      </w:r>
      <w:r>
        <w:tab/>
      </w:r>
      <w:r>
        <w:fldChar w:fldCharType="begin"/>
      </w:r>
      <w:r>
        <w:instrText xml:space="preserve"> PAGEREF _Toc17981 \h </w:instrText>
      </w:r>
      <w:r>
        <w:fldChar w:fldCharType="separate"/>
      </w:r>
      <w:r>
        <w:t>12</w:t>
      </w:r>
      <w:r>
        <w:fldChar w:fldCharType="end"/>
      </w:r>
      <w:r>
        <w:fldChar w:fldCharType="end"/>
      </w:r>
    </w:p>
    <w:p w14:paraId="400EE6FC">
      <w:pPr>
        <w:pStyle w:val="31"/>
        <w:tabs>
          <w:tab w:val="right" w:leader="dot" w:pos="9412"/>
        </w:tabs>
        <w:ind w:firstLine="480"/>
      </w:pPr>
      <w:r>
        <w:fldChar w:fldCharType="begin"/>
      </w:r>
      <w:r>
        <w:instrText xml:space="preserve"> HYPERLINK \l "_Toc7341" </w:instrText>
      </w:r>
      <w:r>
        <w:fldChar w:fldCharType="separate"/>
      </w:r>
      <w:r>
        <w:rPr>
          <w:rFonts w:hint="eastAsia"/>
        </w:rPr>
        <w:t>四、采购终止</w:t>
      </w:r>
      <w:r>
        <w:tab/>
      </w:r>
      <w:r>
        <w:fldChar w:fldCharType="begin"/>
      </w:r>
      <w:r>
        <w:instrText xml:space="preserve"> PAGEREF _Toc7341 \h </w:instrText>
      </w:r>
      <w:r>
        <w:fldChar w:fldCharType="separate"/>
      </w:r>
      <w:r>
        <w:t>13</w:t>
      </w:r>
      <w:r>
        <w:fldChar w:fldCharType="end"/>
      </w:r>
      <w:r>
        <w:fldChar w:fldCharType="end"/>
      </w:r>
    </w:p>
    <w:p w14:paraId="3D62F786">
      <w:pPr>
        <w:pStyle w:val="47"/>
        <w:tabs>
          <w:tab w:val="right" w:leader="dot" w:pos="9412"/>
        </w:tabs>
      </w:pPr>
      <w:r>
        <w:fldChar w:fldCharType="begin"/>
      </w:r>
      <w:r>
        <w:instrText xml:space="preserve"> HYPERLINK \l "_Toc7377" </w:instrText>
      </w:r>
      <w:r>
        <w:fldChar w:fldCharType="separate"/>
      </w:r>
      <w:r>
        <w:rPr>
          <w:rFonts w:hint="eastAsia"/>
        </w:rPr>
        <w:t>第五篇 供应商须知</w:t>
      </w:r>
      <w:r>
        <w:tab/>
      </w:r>
      <w:r>
        <w:fldChar w:fldCharType="begin"/>
      </w:r>
      <w:r>
        <w:instrText xml:space="preserve"> PAGEREF _Toc7377 \h </w:instrText>
      </w:r>
      <w:r>
        <w:fldChar w:fldCharType="separate"/>
      </w:r>
      <w:r>
        <w:t>14</w:t>
      </w:r>
      <w:r>
        <w:fldChar w:fldCharType="end"/>
      </w:r>
      <w:r>
        <w:fldChar w:fldCharType="end"/>
      </w:r>
    </w:p>
    <w:p w14:paraId="3A408160">
      <w:pPr>
        <w:pStyle w:val="31"/>
        <w:tabs>
          <w:tab w:val="right" w:leader="dot" w:pos="9412"/>
        </w:tabs>
        <w:ind w:firstLine="480"/>
      </w:pPr>
      <w:r>
        <w:fldChar w:fldCharType="begin"/>
      </w:r>
      <w:r>
        <w:instrText xml:space="preserve"> HYPERLINK \l "_Toc29758" </w:instrText>
      </w:r>
      <w:r>
        <w:fldChar w:fldCharType="separate"/>
      </w:r>
      <w:r>
        <w:rPr>
          <w:rFonts w:hint="eastAsia"/>
        </w:rPr>
        <w:t>一、竞争性比选费用</w:t>
      </w:r>
      <w:r>
        <w:tab/>
      </w:r>
      <w:r>
        <w:fldChar w:fldCharType="begin"/>
      </w:r>
      <w:r>
        <w:instrText xml:space="preserve"> PAGEREF _Toc29758 \h </w:instrText>
      </w:r>
      <w:r>
        <w:fldChar w:fldCharType="separate"/>
      </w:r>
      <w:r>
        <w:t>14</w:t>
      </w:r>
      <w:r>
        <w:fldChar w:fldCharType="end"/>
      </w:r>
      <w:r>
        <w:fldChar w:fldCharType="end"/>
      </w:r>
    </w:p>
    <w:p w14:paraId="19BCA4AD">
      <w:pPr>
        <w:pStyle w:val="31"/>
        <w:tabs>
          <w:tab w:val="right" w:leader="dot" w:pos="9412"/>
        </w:tabs>
        <w:ind w:firstLine="480"/>
      </w:pPr>
      <w:r>
        <w:fldChar w:fldCharType="begin"/>
      </w:r>
      <w:r>
        <w:instrText xml:space="preserve"> HYPERLINK \l "_Toc32735" </w:instrText>
      </w:r>
      <w:r>
        <w:fldChar w:fldCharType="separate"/>
      </w:r>
      <w:r>
        <w:rPr>
          <w:rFonts w:hint="eastAsia"/>
        </w:rPr>
        <w:t>二、竞争性比选文件</w:t>
      </w:r>
      <w:r>
        <w:tab/>
      </w:r>
      <w:r>
        <w:fldChar w:fldCharType="begin"/>
      </w:r>
      <w:r>
        <w:instrText xml:space="preserve"> PAGEREF _Toc32735 \h </w:instrText>
      </w:r>
      <w:r>
        <w:fldChar w:fldCharType="separate"/>
      </w:r>
      <w:r>
        <w:t>14</w:t>
      </w:r>
      <w:r>
        <w:fldChar w:fldCharType="end"/>
      </w:r>
      <w:r>
        <w:fldChar w:fldCharType="end"/>
      </w:r>
    </w:p>
    <w:p w14:paraId="6812C5FB">
      <w:pPr>
        <w:pStyle w:val="31"/>
        <w:tabs>
          <w:tab w:val="right" w:leader="dot" w:pos="9412"/>
        </w:tabs>
        <w:ind w:firstLine="480"/>
      </w:pPr>
      <w:r>
        <w:fldChar w:fldCharType="begin"/>
      </w:r>
      <w:r>
        <w:instrText xml:space="preserve"> HYPERLINK \l "_Toc6895" </w:instrText>
      </w:r>
      <w:r>
        <w:fldChar w:fldCharType="separate"/>
      </w:r>
      <w:r>
        <w:rPr>
          <w:rFonts w:hint="eastAsia"/>
        </w:rPr>
        <w:t>三、竞争性比选要求</w:t>
      </w:r>
      <w:r>
        <w:tab/>
      </w:r>
      <w:r>
        <w:fldChar w:fldCharType="begin"/>
      </w:r>
      <w:r>
        <w:instrText xml:space="preserve"> PAGEREF _Toc6895 \h </w:instrText>
      </w:r>
      <w:r>
        <w:fldChar w:fldCharType="separate"/>
      </w:r>
      <w:r>
        <w:t>14</w:t>
      </w:r>
      <w:r>
        <w:fldChar w:fldCharType="end"/>
      </w:r>
      <w:r>
        <w:fldChar w:fldCharType="end"/>
      </w:r>
    </w:p>
    <w:p w14:paraId="01C2872E">
      <w:pPr>
        <w:pStyle w:val="31"/>
        <w:tabs>
          <w:tab w:val="right" w:leader="dot" w:pos="9412"/>
        </w:tabs>
        <w:ind w:firstLine="480"/>
      </w:pPr>
      <w:r>
        <w:fldChar w:fldCharType="begin"/>
      </w:r>
      <w:r>
        <w:instrText xml:space="preserve"> HYPERLINK \l "_Toc29907" </w:instrText>
      </w:r>
      <w:r>
        <w:fldChar w:fldCharType="separate"/>
      </w:r>
      <w:r>
        <w:rPr>
          <w:rFonts w:hint="eastAsia"/>
        </w:rPr>
        <w:t>四、成交供应商的确认和变更</w:t>
      </w:r>
      <w:r>
        <w:tab/>
      </w:r>
      <w:r>
        <w:fldChar w:fldCharType="begin"/>
      </w:r>
      <w:r>
        <w:instrText xml:space="preserve"> PAGEREF _Toc29907 \h </w:instrText>
      </w:r>
      <w:r>
        <w:fldChar w:fldCharType="separate"/>
      </w:r>
      <w:r>
        <w:t>15</w:t>
      </w:r>
      <w:r>
        <w:fldChar w:fldCharType="end"/>
      </w:r>
      <w:r>
        <w:fldChar w:fldCharType="end"/>
      </w:r>
    </w:p>
    <w:p w14:paraId="23B83462">
      <w:pPr>
        <w:pStyle w:val="31"/>
        <w:tabs>
          <w:tab w:val="right" w:leader="dot" w:pos="9412"/>
        </w:tabs>
        <w:ind w:firstLine="480"/>
      </w:pPr>
      <w:r>
        <w:fldChar w:fldCharType="begin"/>
      </w:r>
      <w:r>
        <w:instrText xml:space="preserve"> HYPERLINK \l "_Toc30496" </w:instrText>
      </w:r>
      <w:r>
        <w:fldChar w:fldCharType="separate"/>
      </w:r>
      <w:r>
        <w:rPr>
          <w:rFonts w:hint="eastAsia"/>
        </w:rPr>
        <w:t>五、成交通知</w:t>
      </w:r>
      <w:r>
        <w:tab/>
      </w:r>
      <w:r>
        <w:fldChar w:fldCharType="begin"/>
      </w:r>
      <w:r>
        <w:instrText xml:space="preserve"> PAGEREF _Toc30496 \h </w:instrText>
      </w:r>
      <w:r>
        <w:fldChar w:fldCharType="separate"/>
      </w:r>
      <w:r>
        <w:t>15</w:t>
      </w:r>
      <w:r>
        <w:fldChar w:fldCharType="end"/>
      </w:r>
      <w:r>
        <w:fldChar w:fldCharType="end"/>
      </w:r>
    </w:p>
    <w:p w14:paraId="499DA94C">
      <w:pPr>
        <w:pStyle w:val="31"/>
        <w:tabs>
          <w:tab w:val="right" w:leader="dot" w:pos="9412"/>
        </w:tabs>
        <w:ind w:firstLine="480"/>
      </w:pPr>
      <w:r>
        <w:fldChar w:fldCharType="begin"/>
      </w:r>
      <w:r>
        <w:instrText xml:space="preserve"> HYPERLINK \l "_Toc19646" </w:instrText>
      </w:r>
      <w:r>
        <w:fldChar w:fldCharType="separate"/>
      </w:r>
      <w:r>
        <w:rPr>
          <w:rFonts w:hint="eastAsia"/>
        </w:rPr>
        <w:t>六、采购代理服务费</w:t>
      </w:r>
      <w:r>
        <w:tab/>
      </w:r>
      <w:r>
        <w:fldChar w:fldCharType="begin"/>
      </w:r>
      <w:r>
        <w:instrText xml:space="preserve"> PAGEREF _Toc19646 \h </w:instrText>
      </w:r>
      <w:r>
        <w:fldChar w:fldCharType="separate"/>
      </w:r>
      <w:r>
        <w:t>16</w:t>
      </w:r>
      <w:r>
        <w:fldChar w:fldCharType="end"/>
      </w:r>
      <w:r>
        <w:fldChar w:fldCharType="end"/>
      </w:r>
    </w:p>
    <w:p w14:paraId="383ABB51">
      <w:pPr>
        <w:pStyle w:val="31"/>
        <w:tabs>
          <w:tab w:val="right" w:leader="dot" w:pos="9412"/>
        </w:tabs>
        <w:ind w:firstLine="480"/>
      </w:pPr>
      <w:r>
        <w:fldChar w:fldCharType="begin"/>
      </w:r>
      <w:r>
        <w:instrText xml:space="preserve"> HYPERLINK \l "_Toc20736" </w:instrText>
      </w:r>
      <w:r>
        <w:fldChar w:fldCharType="separate"/>
      </w:r>
      <w:r>
        <w:rPr>
          <w:rFonts w:hint="eastAsia"/>
        </w:rPr>
        <w:t>七、关于质疑和投诉</w:t>
      </w:r>
      <w:r>
        <w:tab/>
      </w:r>
      <w:r>
        <w:fldChar w:fldCharType="begin"/>
      </w:r>
      <w:r>
        <w:instrText xml:space="preserve"> PAGEREF _Toc20736 \h </w:instrText>
      </w:r>
      <w:r>
        <w:fldChar w:fldCharType="separate"/>
      </w:r>
      <w:r>
        <w:t>16</w:t>
      </w:r>
      <w:r>
        <w:fldChar w:fldCharType="end"/>
      </w:r>
      <w:r>
        <w:fldChar w:fldCharType="end"/>
      </w:r>
    </w:p>
    <w:p w14:paraId="45A345B1">
      <w:pPr>
        <w:pStyle w:val="31"/>
        <w:tabs>
          <w:tab w:val="right" w:leader="dot" w:pos="9412"/>
        </w:tabs>
        <w:ind w:firstLine="480"/>
      </w:pPr>
      <w:r>
        <w:fldChar w:fldCharType="begin"/>
      </w:r>
      <w:r>
        <w:instrText xml:space="preserve"> HYPERLINK \l "_Toc9432" </w:instrText>
      </w:r>
      <w:r>
        <w:fldChar w:fldCharType="separate"/>
      </w:r>
      <w:r>
        <w:rPr>
          <w:rFonts w:hint="eastAsia"/>
        </w:rPr>
        <w:t>八、签订合同</w:t>
      </w:r>
      <w:r>
        <w:tab/>
      </w:r>
      <w:r>
        <w:fldChar w:fldCharType="begin"/>
      </w:r>
      <w:r>
        <w:instrText xml:space="preserve"> PAGEREF _Toc9432 \h </w:instrText>
      </w:r>
      <w:r>
        <w:fldChar w:fldCharType="separate"/>
      </w:r>
      <w:r>
        <w:t>17</w:t>
      </w:r>
      <w:r>
        <w:fldChar w:fldCharType="end"/>
      </w:r>
      <w:r>
        <w:fldChar w:fldCharType="end"/>
      </w:r>
    </w:p>
    <w:p w14:paraId="0406A969">
      <w:pPr>
        <w:pStyle w:val="47"/>
        <w:tabs>
          <w:tab w:val="right" w:leader="dot" w:pos="9412"/>
        </w:tabs>
      </w:pPr>
      <w:r>
        <w:fldChar w:fldCharType="begin"/>
      </w:r>
      <w:r>
        <w:instrText xml:space="preserve"> HYPERLINK \l "_Toc30629" </w:instrText>
      </w:r>
      <w:r>
        <w:fldChar w:fldCharType="separate"/>
      </w:r>
      <w:r>
        <w:rPr>
          <w:rFonts w:hint="eastAsia"/>
        </w:rPr>
        <w:t>第六篇 合同草案条款和格式合同</w:t>
      </w:r>
      <w:r>
        <w:tab/>
      </w:r>
      <w:r>
        <w:fldChar w:fldCharType="begin"/>
      </w:r>
      <w:r>
        <w:instrText xml:space="preserve"> PAGEREF _Toc30629 \h </w:instrText>
      </w:r>
      <w:r>
        <w:fldChar w:fldCharType="separate"/>
      </w:r>
      <w:r>
        <w:t>19</w:t>
      </w:r>
      <w:r>
        <w:fldChar w:fldCharType="end"/>
      </w:r>
      <w:r>
        <w:fldChar w:fldCharType="end"/>
      </w:r>
    </w:p>
    <w:p w14:paraId="1C29BC59">
      <w:pPr>
        <w:pStyle w:val="47"/>
        <w:tabs>
          <w:tab w:val="right" w:leader="dot" w:pos="9412"/>
        </w:tabs>
      </w:pPr>
      <w:r>
        <w:fldChar w:fldCharType="begin"/>
      </w:r>
      <w:r>
        <w:instrText xml:space="preserve"> HYPERLINK \l "_Toc942" </w:instrText>
      </w:r>
      <w:r>
        <w:fldChar w:fldCharType="separate"/>
      </w:r>
      <w:r>
        <w:rPr>
          <w:rFonts w:hint="eastAsia"/>
        </w:rPr>
        <w:t>第七篇 响应文件编制要求</w:t>
      </w:r>
      <w:r>
        <w:tab/>
      </w:r>
      <w:r>
        <w:fldChar w:fldCharType="begin"/>
      </w:r>
      <w:r>
        <w:instrText xml:space="preserve"> PAGEREF _Toc942 \h </w:instrText>
      </w:r>
      <w:r>
        <w:fldChar w:fldCharType="separate"/>
      </w:r>
      <w:r>
        <w:t>59</w:t>
      </w:r>
      <w:r>
        <w:fldChar w:fldCharType="end"/>
      </w:r>
      <w:r>
        <w:fldChar w:fldCharType="end"/>
      </w:r>
    </w:p>
    <w:p w14:paraId="79F0358E">
      <w:pPr>
        <w:pStyle w:val="31"/>
        <w:tabs>
          <w:tab w:val="right" w:leader="dot" w:pos="9412"/>
        </w:tabs>
        <w:ind w:firstLine="480"/>
      </w:pPr>
      <w:r>
        <w:fldChar w:fldCharType="begin"/>
      </w:r>
      <w:r>
        <w:instrText xml:space="preserve"> HYPERLINK \l "_Toc17393" </w:instrText>
      </w:r>
      <w:r>
        <w:fldChar w:fldCharType="separate"/>
      </w:r>
      <w:r>
        <w:rPr>
          <w:rFonts w:hint="eastAsia"/>
        </w:rPr>
        <w:t>一、经济部分</w:t>
      </w:r>
      <w:r>
        <w:tab/>
      </w:r>
      <w:r>
        <w:fldChar w:fldCharType="begin"/>
      </w:r>
      <w:r>
        <w:instrText xml:space="preserve"> PAGEREF _Toc17393 \h </w:instrText>
      </w:r>
      <w:r>
        <w:fldChar w:fldCharType="separate"/>
      </w:r>
      <w:r>
        <w:t>60</w:t>
      </w:r>
      <w:r>
        <w:fldChar w:fldCharType="end"/>
      </w:r>
      <w:r>
        <w:fldChar w:fldCharType="end"/>
      </w:r>
    </w:p>
    <w:p w14:paraId="54751659">
      <w:pPr>
        <w:pStyle w:val="31"/>
        <w:tabs>
          <w:tab w:val="right" w:leader="dot" w:pos="9412"/>
        </w:tabs>
        <w:ind w:firstLine="480"/>
      </w:pPr>
      <w:r>
        <w:fldChar w:fldCharType="begin"/>
      </w:r>
      <w:r>
        <w:instrText xml:space="preserve"> HYPERLINK \l "_Toc16639" </w:instrText>
      </w:r>
      <w:r>
        <w:fldChar w:fldCharType="separate"/>
      </w:r>
      <w:r>
        <w:rPr>
          <w:rFonts w:hint="eastAsia"/>
        </w:rPr>
        <w:t>二、技术部分</w:t>
      </w:r>
      <w:r>
        <w:tab/>
      </w:r>
      <w:r>
        <w:fldChar w:fldCharType="begin"/>
      </w:r>
      <w:r>
        <w:instrText xml:space="preserve"> PAGEREF _Toc16639 \h </w:instrText>
      </w:r>
      <w:r>
        <w:fldChar w:fldCharType="separate"/>
      </w:r>
      <w:r>
        <w:t>62</w:t>
      </w:r>
      <w:r>
        <w:fldChar w:fldCharType="end"/>
      </w:r>
      <w:r>
        <w:fldChar w:fldCharType="end"/>
      </w:r>
    </w:p>
    <w:p w14:paraId="606B932C">
      <w:pPr>
        <w:pStyle w:val="31"/>
        <w:tabs>
          <w:tab w:val="right" w:leader="dot" w:pos="9412"/>
        </w:tabs>
        <w:ind w:firstLine="480"/>
      </w:pPr>
      <w:r>
        <w:fldChar w:fldCharType="begin"/>
      </w:r>
      <w:r>
        <w:instrText xml:space="preserve"> HYPERLINK \l "_Toc3970" </w:instrText>
      </w:r>
      <w:r>
        <w:fldChar w:fldCharType="separate"/>
      </w:r>
      <w:r>
        <w:rPr>
          <w:rFonts w:hint="eastAsia"/>
        </w:rPr>
        <w:t>三、商务部分</w:t>
      </w:r>
      <w:r>
        <w:tab/>
      </w:r>
      <w:r>
        <w:fldChar w:fldCharType="begin"/>
      </w:r>
      <w:r>
        <w:instrText xml:space="preserve"> PAGEREF _Toc3970 \h </w:instrText>
      </w:r>
      <w:r>
        <w:fldChar w:fldCharType="separate"/>
      </w:r>
      <w:r>
        <w:t>64</w:t>
      </w:r>
      <w:r>
        <w:fldChar w:fldCharType="end"/>
      </w:r>
      <w:r>
        <w:fldChar w:fldCharType="end"/>
      </w:r>
    </w:p>
    <w:p w14:paraId="0003A334">
      <w:pPr>
        <w:pStyle w:val="31"/>
        <w:tabs>
          <w:tab w:val="right" w:leader="dot" w:pos="9412"/>
        </w:tabs>
        <w:ind w:firstLine="480"/>
      </w:pPr>
      <w:r>
        <w:fldChar w:fldCharType="begin"/>
      </w:r>
      <w:r>
        <w:instrText xml:space="preserve"> HYPERLINK \l "_Toc5473" </w:instrText>
      </w:r>
      <w:r>
        <w:fldChar w:fldCharType="separate"/>
      </w:r>
      <w:r>
        <w:rPr>
          <w:rFonts w:hint="eastAsia"/>
        </w:rPr>
        <w:t>四、资格条件及其他</w:t>
      </w:r>
      <w:r>
        <w:tab/>
      </w:r>
      <w:r>
        <w:fldChar w:fldCharType="begin"/>
      </w:r>
      <w:r>
        <w:instrText xml:space="preserve"> PAGEREF _Toc5473 \h </w:instrText>
      </w:r>
      <w:r>
        <w:fldChar w:fldCharType="separate"/>
      </w:r>
      <w:r>
        <w:t>66</w:t>
      </w:r>
      <w:r>
        <w:fldChar w:fldCharType="end"/>
      </w:r>
      <w:r>
        <w:fldChar w:fldCharType="end"/>
      </w:r>
    </w:p>
    <w:p w14:paraId="34BE7CAB">
      <w:pPr>
        <w:pStyle w:val="31"/>
        <w:tabs>
          <w:tab w:val="right" w:leader="dot" w:pos="9412"/>
        </w:tabs>
        <w:ind w:firstLine="480"/>
      </w:pPr>
      <w:r>
        <w:fldChar w:fldCharType="begin"/>
      </w:r>
      <w:r>
        <w:instrText xml:space="preserve"> HYPERLINK \l "_Toc10304" </w:instrText>
      </w:r>
      <w:r>
        <w:fldChar w:fldCharType="separate"/>
      </w:r>
      <w:r>
        <w:rPr>
          <w:rFonts w:hint="eastAsia"/>
        </w:rPr>
        <w:t>五、其他应提供的资料</w:t>
      </w:r>
      <w:r>
        <w:tab/>
      </w:r>
      <w:r>
        <w:fldChar w:fldCharType="begin"/>
      </w:r>
      <w:r>
        <w:instrText xml:space="preserve"> PAGEREF _Toc10304 \h </w:instrText>
      </w:r>
      <w:r>
        <w:fldChar w:fldCharType="separate"/>
      </w:r>
      <w:r>
        <w:t>71</w:t>
      </w:r>
      <w:r>
        <w:fldChar w:fldCharType="end"/>
      </w:r>
      <w:r>
        <w:fldChar w:fldCharType="end"/>
      </w:r>
    </w:p>
    <w:p w14:paraId="3B29C5BB">
      <w:pPr>
        <w:pStyle w:val="47"/>
        <w:tabs>
          <w:tab w:val="right" w:leader="dot" w:pos="9402"/>
        </w:tabs>
        <w:ind w:left="560"/>
        <w:jc w:val="center"/>
        <w:rPr>
          <w:rFonts w:ascii="仿宋" w:hAnsi="仿宋" w:cs="仿宋"/>
          <w:sz w:val="18"/>
          <w:szCs w:val="22"/>
        </w:rPr>
        <w:sectPr>
          <w:headerReference r:id="rId4" w:type="first"/>
          <w:footerReference r:id="rId6" w:type="first"/>
          <w:headerReference r:id="rId3" w:type="default"/>
          <w:footerReference r:id="rId5" w:type="even"/>
          <w:pgSz w:w="11907" w:h="16840"/>
          <w:pgMar w:top="1134" w:right="1191" w:bottom="1134" w:left="1304" w:header="851" w:footer="992" w:gutter="0"/>
          <w:pgNumType w:fmt="numberInDash" w:start="1"/>
          <w:cols w:space="720" w:num="1"/>
          <w:docGrid w:linePitch="380" w:charSpace="-5735"/>
        </w:sectPr>
      </w:pPr>
      <w:r>
        <w:rPr>
          <w:rFonts w:hint="eastAsia" w:ascii="仿宋" w:hAnsi="仿宋" w:cs="仿宋"/>
          <w:szCs w:val="24"/>
        </w:rPr>
        <w:fldChar w:fldCharType="end"/>
      </w:r>
      <w:bookmarkStart w:id="1" w:name="_Toc12789052"/>
      <w:bookmarkStart w:id="2" w:name="_Toc11641050"/>
    </w:p>
    <w:p w14:paraId="0B493EE3">
      <w:pPr>
        <w:pStyle w:val="4"/>
      </w:pPr>
      <w:bookmarkStart w:id="3" w:name="_Toc16094"/>
      <w:bookmarkStart w:id="4" w:name="_Toc17356"/>
      <w:bookmarkStart w:id="5" w:name="_Toc24769"/>
      <w:bookmarkStart w:id="6" w:name="_Toc9456"/>
      <w:bookmarkStart w:id="7" w:name="_Toc29714"/>
      <w:bookmarkStart w:id="8" w:name="_Toc28597"/>
      <w:bookmarkStart w:id="9" w:name="_Toc21346"/>
      <w:bookmarkStart w:id="10" w:name="_Toc15149"/>
      <w:bookmarkStart w:id="11" w:name="_Toc7383"/>
      <w:r>
        <w:rPr>
          <w:rFonts w:hint="eastAsia"/>
        </w:rPr>
        <w:t>第一篇 采购邀请书</w:t>
      </w:r>
      <w:bookmarkEnd w:id="1"/>
      <w:bookmarkEnd w:id="2"/>
      <w:bookmarkEnd w:id="3"/>
      <w:bookmarkEnd w:id="4"/>
      <w:bookmarkEnd w:id="5"/>
      <w:bookmarkEnd w:id="6"/>
      <w:bookmarkEnd w:id="7"/>
      <w:bookmarkEnd w:id="8"/>
      <w:bookmarkEnd w:id="9"/>
      <w:bookmarkEnd w:id="10"/>
      <w:bookmarkEnd w:id="11"/>
    </w:p>
    <w:p w14:paraId="2C199D59">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河南宏业建设管理股份有限公司 （以下简称：比选代理机构）受</w:t>
      </w:r>
      <w:r>
        <w:rPr>
          <w:rFonts w:hint="eastAsia" w:ascii="仿宋" w:hAnsi="仿宋" w:eastAsia="仿宋" w:cs="仿宋"/>
          <w:sz w:val="24"/>
          <w:szCs w:val="24"/>
          <w:u w:val="single"/>
        </w:rPr>
        <w:t>重庆市万州区妇幼保健院</w:t>
      </w:r>
      <w:r>
        <w:rPr>
          <w:rFonts w:hint="eastAsia" w:ascii="仿宋" w:hAnsi="仿宋" w:eastAsia="仿宋" w:cs="仿宋"/>
          <w:sz w:val="24"/>
          <w:szCs w:val="24"/>
        </w:rPr>
        <w:t>（以下简称：比选人）的委托，对</w:t>
      </w:r>
      <w:r>
        <w:rPr>
          <w:rFonts w:hint="eastAsia" w:ascii="仿宋" w:hAnsi="仿宋" w:eastAsia="仿宋" w:cs="仿宋"/>
          <w:bCs/>
          <w:sz w:val="24"/>
          <w:szCs w:val="24"/>
          <w:u w:val="single"/>
        </w:rPr>
        <w:t>重庆市万州区妇幼保健院母婴照护中心项目</w:t>
      </w:r>
      <w:r>
        <w:rPr>
          <w:rFonts w:hint="eastAsia" w:ascii="仿宋" w:hAnsi="仿宋" w:eastAsia="仿宋" w:cs="仿宋"/>
          <w:sz w:val="24"/>
          <w:szCs w:val="24"/>
        </w:rPr>
        <w:t>进行竞争性比选。欢迎有资格的供应商前来参与竞争性比选。</w:t>
      </w:r>
    </w:p>
    <w:p w14:paraId="38C2B603">
      <w:pPr>
        <w:pStyle w:val="5"/>
      </w:pPr>
      <w:bookmarkStart w:id="12" w:name="_Toc6729"/>
      <w:bookmarkStart w:id="13" w:name="_Toc21453"/>
      <w:bookmarkStart w:id="14" w:name="_Toc6148"/>
      <w:bookmarkStart w:id="15" w:name="_Toc741"/>
      <w:bookmarkStart w:id="16" w:name="_Toc21704"/>
      <w:bookmarkStart w:id="17" w:name="_Toc28328"/>
      <w:bookmarkStart w:id="18" w:name="_Toc28817"/>
      <w:bookmarkStart w:id="19" w:name="_Toc14027"/>
      <w:bookmarkStart w:id="20" w:name="_Toc317775175"/>
      <w:bookmarkStart w:id="21" w:name="_Toc313893526"/>
      <w:bookmarkStart w:id="22" w:name="_Toc22851"/>
      <w:r>
        <w:rPr>
          <w:rFonts w:hint="eastAsia"/>
        </w:rPr>
        <w:t>一、竞争性比选内容</w:t>
      </w:r>
      <w:bookmarkEnd w:id="12"/>
      <w:bookmarkEnd w:id="13"/>
      <w:bookmarkEnd w:id="14"/>
      <w:bookmarkEnd w:id="15"/>
      <w:bookmarkEnd w:id="16"/>
      <w:bookmarkEnd w:id="17"/>
      <w:bookmarkEnd w:id="18"/>
      <w:bookmarkEnd w:id="19"/>
      <w:bookmarkEnd w:id="20"/>
      <w:bookmarkEnd w:id="21"/>
      <w:bookmarkEnd w:id="22"/>
    </w:p>
    <w:tbl>
      <w:tblPr>
        <w:tblStyle w:val="60"/>
        <w:tblW w:w="96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4455"/>
        <w:gridCol w:w="2213"/>
        <w:gridCol w:w="1049"/>
      </w:tblGrid>
      <w:tr w14:paraId="231D1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978" w:type="dxa"/>
            <w:tcBorders>
              <w:top w:val="single" w:color="auto" w:sz="4" w:space="0"/>
              <w:left w:val="single" w:color="auto" w:sz="4" w:space="0"/>
              <w:right w:val="single" w:color="auto" w:sz="4" w:space="0"/>
            </w:tcBorders>
            <w:vAlign w:val="center"/>
          </w:tcPr>
          <w:p w14:paraId="4C5A5D87">
            <w:pPr>
              <w:widowControl/>
              <w:spacing w:line="360" w:lineRule="auto"/>
              <w:jc w:val="center"/>
              <w:rPr>
                <w:rFonts w:ascii="仿宋" w:hAnsi="仿宋" w:eastAsia="仿宋" w:cs="仿宋"/>
                <w:b/>
                <w:bCs/>
                <w:kern w:val="0"/>
                <w:sz w:val="24"/>
                <w:szCs w:val="24"/>
              </w:rPr>
            </w:pPr>
            <w:bookmarkStart w:id="23" w:name="_Toc373860293"/>
            <w:bookmarkStart w:id="24" w:name="_Toc317775178"/>
            <w:r>
              <w:rPr>
                <w:rFonts w:hint="eastAsia" w:ascii="仿宋" w:hAnsi="仿宋" w:eastAsia="仿宋" w:cs="仿宋"/>
                <w:b/>
                <w:bCs/>
                <w:kern w:val="0"/>
                <w:sz w:val="24"/>
                <w:szCs w:val="24"/>
              </w:rPr>
              <w:t>项目名称</w:t>
            </w:r>
          </w:p>
        </w:tc>
        <w:tc>
          <w:tcPr>
            <w:tcW w:w="4455" w:type="dxa"/>
            <w:tcBorders>
              <w:top w:val="single" w:color="auto" w:sz="4" w:space="0"/>
              <w:left w:val="single" w:color="auto" w:sz="4" w:space="0"/>
              <w:right w:val="single" w:color="auto" w:sz="4" w:space="0"/>
            </w:tcBorders>
            <w:vAlign w:val="center"/>
          </w:tcPr>
          <w:p w14:paraId="7F28C974">
            <w:pPr>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最高限价</w:t>
            </w:r>
          </w:p>
          <w:p w14:paraId="2674B199">
            <w:pPr>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（元）</w:t>
            </w:r>
          </w:p>
        </w:tc>
        <w:tc>
          <w:tcPr>
            <w:tcW w:w="2213" w:type="dxa"/>
            <w:tcBorders>
              <w:top w:val="single" w:color="auto" w:sz="4" w:space="0"/>
              <w:left w:val="single" w:color="auto" w:sz="4" w:space="0"/>
              <w:right w:val="single" w:color="auto" w:sz="4" w:space="0"/>
            </w:tcBorders>
            <w:vAlign w:val="center"/>
          </w:tcPr>
          <w:p w14:paraId="34768324">
            <w:pPr>
              <w:widowControl/>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成交供应商数量（名）</w:t>
            </w:r>
          </w:p>
        </w:tc>
        <w:tc>
          <w:tcPr>
            <w:tcW w:w="1049" w:type="dxa"/>
            <w:tcBorders>
              <w:top w:val="single" w:color="auto" w:sz="4" w:space="0"/>
              <w:left w:val="single" w:color="auto" w:sz="4" w:space="0"/>
              <w:right w:val="single" w:color="auto" w:sz="4" w:space="0"/>
            </w:tcBorders>
            <w:vAlign w:val="center"/>
          </w:tcPr>
          <w:p w14:paraId="10C94FB0">
            <w:pPr>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备注</w:t>
            </w:r>
          </w:p>
        </w:tc>
      </w:tr>
      <w:tr w14:paraId="75859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978" w:type="dxa"/>
            <w:tcBorders>
              <w:top w:val="single" w:color="auto" w:sz="4" w:space="0"/>
              <w:left w:val="single" w:color="auto" w:sz="4" w:space="0"/>
              <w:bottom w:val="single" w:color="auto" w:sz="4" w:space="0"/>
              <w:right w:val="single" w:color="auto" w:sz="4" w:space="0"/>
            </w:tcBorders>
            <w:vAlign w:val="center"/>
          </w:tcPr>
          <w:p w14:paraId="5EF5E3F6">
            <w:pPr>
              <w:spacing w:line="360" w:lineRule="auto"/>
              <w:jc w:val="center"/>
              <w:rPr>
                <w:rFonts w:ascii="仿宋" w:hAnsi="仿宋" w:eastAsia="仿宋" w:cs="仿宋"/>
                <w:sz w:val="24"/>
                <w:szCs w:val="24"/>
              </w:rPr>
            </w:pPr>
            <w:bookmarkStart w:id="25" w:name="_Hlk344477914"/>
            <w:r>
              <w:rPr>
                <w:rFonts w:hint="eastAsia" w:ascii="仿宋" w:hAnsi="仿宋" w:eastAsia="仿宋" w:cs="仿宋"/>
                <w:bCs/>
                <w:sz w:val="24"/>
                <w:szCs w:val="24"/>
              </w:rPr>
              <w:t>重庆市万州区妇幼保健院母婴照护中心项目</w:t>
            </w:r>
          </w:p>
        </w:tc>
        <w:tc>
          <w:tcPr>
            <w:tcW w:w="4455" w:type="dxa"/>
            <w:tcBorders>
              <w:top w:val="single" w:color="auto" w:sz="4" w:space="0"/>
              <w:left w:val="single" w:color="auto" w:sz="4" w:space="0"/>
              <w:right w:val="single" w:color="auto" w:sz="4" w:space="0"/>
            </w:tcBorders>
            <w:vAlign w:val="center"/>
          </w:tcPr>
          <w:p w14:paraId="32B6E07F">
            <w:pPr>
              <w:spacing w:line="360" w:lineRule="auto"/>
              <w:rPr>
                <w:rFonts w:ascii="仿宋" w:hAnsi="仿宋" w:eastAsia="仿宋" w:cs="仿宋"/>
                <w:bCs/>
                <w:sz w:val="24"/>
                <w:szCs w:val="24"/>
              </w:rPr>
            </w:pPr>
            <w:r>
              <w:rPr>
                <w:rFonts w:hint="eastAsia" w:ascii="仿宋" w:hAnsi="仿宋" w:eastAsia="仿宋" w:cs="仿宋"/>
                <w:bCs/>
                <w:sz w:val="24"/>
                <w:szCs w:val="24"/>
              </w:rPr>
              <w:t xml:space="preserve">  投标总报价最高限价为人民</w:t>
            </w:r>
            <w:r>
              <w:rPr>
                <w:rFonts w:ascii="仿宋" w:hAnsi="仿宋" w:eastAsia="仿宋" w:cs="仿宋"/>
                <w:bCs/>
                <w:sz w:val="24"/>
                <w:szCs w:val="24"/>
              </w:rPr>
              <w:t xml:space="preserve">币    </w:t>
            </w:r>
            <w:r>
              <w:rPr>
                <w:rFonts w:hint="eastAsia" w:ascii="仿宋" w:hAnsi="仿宋" w:eastAsia="仿宋" w:cs="仿宋"/>
                <w:bCs/>
                <w:sz w:val="24"/>
                <w:szCs w:val="24"/>
              </w:rPr>
              <w:t>166936.13</w:t>
            </w:r>
            <w:r>
              <w:rPr>
                <w:rFonts w:ascii="仿宋" w:hAnsi="仿宋" w:eastAsia="仿宋" w:cs="仿宋"/>
                <w:bCs/>
                <w:sz w:val="24"/>
                <w:szCs w:val="24"/>
              </w:rPr>
              <w:t>元（大写：</w:t>
            </w:r>
            <w:r>
              <w:rPr>
                <w:rFonts w:hint="eastAsia" w:ascii="仿宋" w:hAnsi="仿宋" w:eastAsia="仿宋" w:cs="仿宋"/>
                <w:bCs/>
                <w:sz w:val="24"/>
                <w:szCs w:val="24"/>
              </w:rPr>
              <w:t>壹拾陆万陆仟玖佰叁拾陆元壹角叁分</w:t>
            </w:r>
            <w:r>
              <w:rPr>
                <w:rFonts w:ascii="仿宋" w:hAnsi="仿宋" w:eastAsia="仿宋" w:cs="仿宋"/>
                <w:bCs/>
                <w:sz w:val="24"/>
                <w:szCs w:val="24"/>
              </w:rPr>
              <w:t xml:space="preserve">），其中安全文明施工费暂定金额为:人民币6404.69元。 </w:t>
            </w:r>
            <w:r>
              <w:rPr>
                <w:rFonts w:hint="eastAsia" w:ascii="仿宋" w:hAnsi="仿宋" w:eastAsia="仿宋" w:cs="仿宋"/>
                <w:bCs/>
                <w:sz w:val="24"/>
                <w:szCs w:val="24"/>
              </w:rPr>
              <w:t xml:space="preserve">      </w:t>
            </w:r>
          </w:p>
        </w:tc>
        <w:tc>
          <w:tcPr>
            <w:tcW w:w="2213" w:type="dxa"/>
            <w:tcBorders>
              <w:top w:val="single" w:color="auto" w:sz="4" w:space="0"/>
              <w:left w:val="single" w:color="auto" w:sz="4" w:space="0"/>
              <w:right w:val="single" w:color="auto" w:sz="4" w:space="0"/>
            </w:tcBorders>
            <w:vAlign w:val="center"/>
          </w:tcPr>
          <w:p w14:paraId="4318286B">
            <w:pPr>
              <w:widowControl/>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1</w:t>
            </w:r>
          </w:p>
        </w:tc>
        <w:tc>
          <w:tcPr>
            <w:tcW w:w="1049" w:type="dxa"/>
            <w:tcBorders>
              <w:top w:val="single" w:color="auto" w:sz="4" w:space="0"/>
              <w:left w:val="single" w:color="auto" w:sz="4" w:space="0"/>
              <w:right w:val="single" w:color="auto" w:sz="4" w:space="0"/>
            </w:tcBorders>
            <w:vAlign w:val="center"/>
          </w:tcPr>
          <w:p w14:paraId="0E86FA39">
            <w:pPr>
              <w:spacing w:line="360" w:lineRule="auto"/>
              <w:jc w:val="center"/>
              <w:rPr>
                <w:rFonts w:ascii="仿宋" w:hAnsi="仿宋" w:eastAsia="仿宋" w:cs="仿宋"/>
                <w:b/>
                <w:bCs/>
                <w:kern w:val="0"/>
                <w:sz w:val="24"/>
                <w:szCs w:val="24"/>
              </w:rPr>
            </w:pPr>
            <w:r>
              <w:rPr>
                <w:rFonts w:hint="eastAsia" w:ascii="仿宋" w:hAnsi="仿宋" w:eastAsia="仿宋" w:cs="仿宋"/>
                <w:b/>
                <w:bCs/>
                <w:kern w:val="0"/>
                <w:sz w:val="24"/>
                <w:szCs w:val="24"/>
              </w:rPr>
              <w:t>无</w:t>
            </w:r>
          </w:p>
        </w:tc>
      </w:tr>
      <w:bookmarkEnd w:id="25"/>
    </w:tbl>
    <w:p w14:paraId="265D42B2">
      <w:pPr>
        <w:pStyle w:val="5"/>
      </w:pPr>
      <w:bookmarkStart w:id="26" w:name="_Toc28115"/>
      <w:bookmarkStart w:id="27" w:name="_Toc27778"/>
      <w:bookmarkStart w:id="28" w:name="_Toc32105"/>
      <w:bookmarkStart w:id="29" w:name="_Toc5880"/>
      <w:bookmarkStart w:id="30" w:name="_Toc23388"/>
      <w:bookmarkStart w:id="31" w:name="_Toc17745"/>
      <w:bookmarkStart w:id="32" w:name="_Toc21556"/>
      <w:bookmarkStart w:id="33" w:name="_Toc16101"/>
      <w:bookmarkStart w:id="34" w:name="_Toc4390"/>
      <w:r>
        <w:rPr>
          <w:rFonts w:hint="eastAsia"/>
        </w:rPr>
        <w:t>二、资金来源</w:t>
      </w:r>
      <w:bookmarkEnd w:id="26"/>
      <w:bookmarkEnd w:id="27"/>
      <w:bookmarkEnd w:id="28"/>
      <w:bookmarkEnd w:id="29"/>
      <w:bookmarkEnd w:id="30"/>
      <w:bookmarkEnd w:id="31"/>
      <w:bookmarkEnd w:id="32"/>
      <w:bookmarkEnd w:id="33"/>
      <w:bookmarkEnd w:id="34"/>
    </w:p>
    <w:p w14:paraId="25229A8F">
      <w:pPr>
        <w:ind w:firstLine="480" w:firstLineChars="200"/>
      </w:pPr>
      <w:r>
        <w:rPr>
          <w:rFonts w:hint="eastAsia" w:ascii="仿宋" w:hAnsi="仿宋" w:eastAsia="仿宋" w:cs="仿宋"/>
          <w:sz w:val="24"/>
          <w:szCs w:val="24"/>
        </w:rPr>
        <w:t>财政及自筹资金</w:t>
      </w:r>
      <w:bookmarkStart w:id="35" w:name="_Toc7986"/>
      <w:bookmarkStart w:id="36" w:name="_Toc1215"/>
      <w:bookmarkStart w:id="37" w:name="_Toc30928"/>
      <w:bookmarkStart w:id="38" w:name="_Toc3753"/>
      <w:bookmarkStart w:id="39" w:name="_Toc15957"/>
      <w:bookmarkStart w:id="40" w:name="_Toc396"/>
      <w:bookmarkStart w:id="41" w:name="_Toc13389"/>
      <w:bookmarkStart w:id="42" w:name="_Toc3197"/>
      <w:bookmarkStart w:id="43" w:name="_Toc23"/>
    </w:p>
    <w:p w14:paraId="646290A0">
      <w:pPr>
        <w:pStyle w:val="5"/>
      </w:pPr>
      <w:r>
        <w:rPr>
          <w:rFonts w:hint="eastAsia"/>
        </w:rPr>
        <w:t>三、供应商资格条件</w:t>
      </w:r>
      <w:bookmarkEnd w:id="35"/>
      <w:bookmarkEnd w:id="36"/>
      <w:bookmarkEnd w:id="37"/>
      <w:bookmarkEnd w:id="38"/>
      <w:bookmarkEnd w:id="39"/>
      <w:bookmarkEnd w:id="40"/>
      <w:bookmarkEnd w:id="41"/>
      <w:bookmarkEnd w:id="42"/>
      <w:bookmarkEnd w:id="43"/>
    </w:p>
    <w:p w14:paraId="6085B1F5">
      <w:pPr>
        <w:spacing w:line="360" w:lineRule="auto"/>
        <w:ind w:firstLine="480" w:firstLineChars="200"/>
        <w:rPr>
          <w:rFonts w:ascii="仿宋" w:hAnsi="仿宋" w:eastAsia="仿宋" w:cs="仿宋"/>
          <w:sz w:val="24"/>
          <w:szCs w:val="24"/>
        </w:rPr>
      </w:pPr>
      <w:bookmarkStart w:id="44" w:name="_Toc13803"/>
      <w:r>
        <w:rPr>
          <w:rFonts w:hint="eastAsia" w:ascii="仿宋" w:hAnsi="仿宋" w:eastAsia="仿宋" w:cs="仿宋"/>
          <w:sz w:val="24"/>
          <w:szCs w:val="24"/>
        </w:rPr>
        <w:t>（一）满足《中华人民共和国政府采购法》第二十二条规定。</w:t>
      </w:r>
    </w:p>
    <w:p w14:paraId="53E7407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1、具有独立承担民事责任的能力；</w:t>
      </w:r>
    </w:p>
    <w:p w14:paraId="68E14D20">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2、具有良好的商业信誉和健全的财务会计制度；</w:t>
      </w:r>
    </w:p>
    <w:p w14:paraId="3FF3033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3、具有履行合同所必需的设备和专业技术能力；</w:t>
      </w:r>
    </w:p>
    <w:p w14:paraId="60F2B99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4、有依法缴纳税收和社会保障资金的良好记录；</w:t>
      </w:r>
    </w:p>
    <w:p w14:paraId="075A365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5、参加政府采购活动前三年内，在经营活动中没有重大违法记录；</w:t>
      </w:r>
    </w:p>
    <w:p w14:paraId="6E81773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6、法律、行政法规规定的其他条件。        </w:t>
      </w:r>
    </w:p>
    <w:p w14:paraId="6AF0090D">
      <w:pPr>
        <w:pStyle w:val="70"/>
        <w:spacing w:line="360" w:lineRule="auto"/>
        <w:ind w:firstLine="480" w:firstLineChars="200"/>
        <w:rPr>
          <w:rFonts w:ascii="仿宋" w:hAnsi="仿宋" w:eastAsia="仿宋" w:cs="仿宋"/>
          <w:color w:val="auto"/>
          <w:szCs w:val="24"/>
        </w:rPr>
      </w:pPr>
      <w:r>
        <w:rPr>
          <w:rFonts w:hint="eastAsia" w:ascii="仿宋" w:hAnsi="仿宋" w:eastAsia="仿宋" w:cs="仿宋"/>
          <w:color w:val="auto"/>
          <w:szCs w:val="24"/>
        </w:rPr>
        <w:t>（二）本项目的特定资格要求：</w:t>
      </w:r>
    </w:p>
    <w:p w14:paraId="0023EEB2">
      <w:pPr>
        <w:pStyle w:val="70"/>
        <w:spacing w:line="360" w:lineRule="auto"/>
        <w:ind w:firstLine="480" w:firstLineChars="200"/>
        <w:rPr>
          <w:rFonts w:ascii="仿宋" w:hAnsi="仿宋" w:eastAsia="仿宋" w:cs="仿宋"/>
          <w:color w:val="auto"/>
          <w:szCs w:val="24"/>
        </w:rPr>
      </w:pPr>
      <w:r>
        <w:rPr>
          <w:rFonts w:hint="eastAsia" w:ascii="仿宋" w:hAnsi="仿宋" w:eastAsia="仿宋" w:cs="仿宋"/>
          <w:color w:val="auto"/>
          <w:szCs w:val="24"/>
        </w:rPr>
        <w:t>1、供应商具备建设行政主管部门颁发建筑</w:t>
      </w:r>
      <w:bookmarkStart w:id="45" w:name="OLE_LINK7"/>
      <w:r>
        <w:rPr>
          <w:rFonts w:hint="eastAsia" w:ascii="仿宋" w:hAnsi="仿宋" w:eastAsia="仿宋" w:cs="仿宋"/>
          <w:color w:val="auto"/>
          <w:szCs w:val="24"/>
        </w:rPr>
        <w:t>工</w:t>
      </w:r>
      <w:bookmarkEnd w:id="45"/>
      <w:r>
        <w:rPr>
          <w:rFonts w:hint="eastAsia" w:ascii="仿宋" w:hAnsi="仿宋" w:eastAsia="仿宋" w:cs="仿宋"/>
          <w:color w:val="auto"/>
          <w:szCs w:val="24"/>
        </w:rPr>
        <w:t>程施工总承包三级及以上（提供资质证书复印件并加盖供应商公章）。</w:t>
      </w:r>
    </w:p>
    <w:p w14:paraId="35E5290A">
      <w:pPr>
        <w:pStyle w:val="70"/>
        <w:spacing w:line="360" w:lineRule="auto"/>
        <w:ind w:firstLine="480" w:firstLineChars="200"/>
        <w:rPr>
          <w:rFonts w:ascii="仿宋" w:hAnsi="仿宋" w:eastAsia="仿宋" w:cs="仿宋"/>
          <w:color w:val="auto"/>
          <w:szCs w:val="24"/>
        </w:rPr>
      </w:pPr>
      <w:r>
        <w:rPr>
          <w:rFonts w:hint="eastAsia" w:ascii="仿宋" w:hAnsi="仿宋" w:eastAsia="仿宋" w:cs="仿宋"/>
          <w:color w:val="auto"/>
          <w:szCs w:val="24"/>
        </w:rPr>
        <w:t>（三）业绩要求</w:t>
      </w:r>
    </w:p>
    <w:p w14:paraId="3F02072D">
      <w:pPr>
        <w:pStyle w:val="70"/>
        <w:spacing w:line="360" w:lineRule="auto"/>
        <w:ind w:firstLine="480" w:firstLineChars="200"/>
        <w:rPr>
          <w:rFonts w:ascii="仿宋" w:hAnsi="仿宋" w:eastAsia="仿宋" w:cs="仿宋"/>
          <w:color w:val="auto"/>
          <w:szCs w:val="24"/>
        </w:rPr>
      </w:pPr>
      <w:r>
        <w:rPr>
          <w:rFonts w:hint="eastAsia" w:ascii="仿宋" w:hAnsi="仿宋" w:eastAsia="仿宋" w:cs="仿宋"/>
          <w:color w:val="auto"/>
          <w:szCs w:val="24"/>
        </w:rPr>
        <w:t>1、供应商需提供从2023年1月1日起至投标截止日止承接过一个建筑工程类维修改造施工工程业绩（提供合同协议书，并加盖供应商公章）。</w:t>
      </w:r>
    </w:p>
    <w:p w14:paraId="5334877C">
      <w:pPr>
        <w:pStyle w:val="5"/>
      </w:pPr>
      <w:bookmarkStart w:id="46" w:name="_Toc18522"/>
      <w:bookmarkStart w:id="47" w:name="_Toc14126"/>
      <w:bookmarkStart w:id="48" w:name="_Toc9264"/>
      <w:bookmarkStart w:id="49" w:name="_Toc25982"/>
      <w:bookmarkStart w:id="50" w:name="_Toc1824"/>
      <w:bookmarkStart w:id="51" w:name="_Toc28287"/>
      <w:bookmarkStart w:id="52" w:name="_Toc17471"/>
      <w:bookmarkStart w:id="53" w:name="_Toc16306"/>
      <w:r>
        <w:rPr>
          <w:rFonts w:hint="eastAsia"/>
        </w:rPr>
        <w:t>四、采购有关说明</w:t>
      </w:r>
      <w:bookmarkEnd w:id="23"/>
      <w:bookmarkEnd w:id="44"/>
      <w:bookmarkEnd w:id="46"/>
      <w:bookmarkEnd w:id="47"/>
      <w:bookmarkEnd w:id="48"/>
      <w:bookmarkEnd w:id="49"/>
      <w:bookmarkEnd w:id="50"/>
      <w:bookmarkEnd w:id="51"/>
      <w:bookmarkEnd w:id="52"/>
      <w:bookmarkEnd w:id="53"/>
    </w:p>
    <w:p w14:paraId="37A82BFF">
      <w:pPr>
        <w:spacing w:line="360" w:lineRule="auto"/>
        <w:ind w:firstLine="480" w:firstLineChars="200"/>
        <w:rPr>
          <w:rFonts w:ascii="仿宋" w:hAnsi="仿宋" w:eastAsia="仿宋" w:cs="仿宋"/>
          <w:sz w:val="24"/>
          <w:szCs w:val="24"/>
        </w:rPr>
      </w:pPr>
      <w:bookmarkStart w:id="54" w:name="_Toc373860294"/>
      <w:r>
        <w:rPr>
          <w:rFonts w:hint="eastAsia" w:ascii="仿宋" w:hAnsi="仿宋" w:eastAsia="仿宋" w:cs="仿宋"/>
          <w:sz w:val="24"/>
          <w:szCs w:val="24"/>
        </w:rPr>
        <w:t>（一）供应商应通过“行采家”平台（http://www.gec123.com）进行注册，成为正式供应商方能参与比选活动</w:t>
      </w:r>
    </w:p>
    <w:p w14:paraId="6288FF2D">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（二）凡有意参加的供应商，请在行采家（https://www.gec123.com）下载本项目竞争性比选文件、图纸以及补遗等递交响应时间截止前公布的所有项目资料，无论供应商下载与否，均视为已知晓所有采购内容。</w:t>
      </w:r>
    </w:p>
    <w:p w14:paraId="57C3CC8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（三）竞争性比选文件获取期限</w:t>
      </w:r>
    </w:p>
    <w:p w14:paraId="2DFF53AF">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rPr>
        <w:t>1.竞争性比选文</w:t>
      </w:r>
      <w:r>
        <w:rPr>
          <w:rFonts w:hint="eastAsia" w:ascii="仿宋" w:hAnsi="仿宋" w:eastAsia="仿宋" w:cs="仿宋"/>
          <w:sz w:val="24"/>
          <w:szCs w:val="24"/>
          <w:highlight w:val="none"/>
        </w:rPr>
        <w:t>件获取期限：2026年</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10</w:t>
      </w:r>
      <w:r>
        <w:rPr>
          <w:rFonts w:hint="eastAsia" w:ascii="仿宋" w:hAnsi="仿宋" w:eastAsia="仿宋" w:cs="仿宋"/>
          <w:sz w:val="24"/>
          <w:szCs w:val="24"/>
          <w:highlight w:val="none"/>
        </w:rPr>
        <w:t>日至2026年</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日北京时间11:00时。</w:t>
      </w:r>
    </w:p>
    <w:p w14:paraId="3153E548">
      <w:pPr>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（四）竞争性比选文件发售：本项目免收竞争性比选文件费。</w:t>
      </w:r>
    </w:p>
    <w:p w14:paraId="173FD723">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（五）供应商须满足以下两种要件，其响应文件才被接受：</w:t>
      </w:r>
    </w:p>
    <w:p w14:paraId="1A675E32">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1.按时在响应文件递交地点递交了响应文件；</w:t>
      </w:r>
    </w:p>
    <w:p w14:paraId="11D2E861">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2.按时在行采家平台上传响应文件；</w:t>
      </w:r>
    </w:p>
    <w:p w14:paraId="69098B68">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 xml:space="preserve">（六）递交响应文件地点：万州区妇幼保健院双河口院区行政楼5楼3会议室。 </w:t>
      </w:r>
    </w:p>
    <w:p w14:paraId="27C08170">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（七）递交响应文件递交开始时间：2026年</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日北京时间10:30时。</w:t>
      </w:r>
    </w:p>
    <w:p w14:paraId="5144CEE9">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（八）递交响应文件递交截止时间：2026年</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日北京时间11:00时。</w:t>
      </w:r>
    </w:p>
    <w:p w14:paraId="3B8D0576">
      <w:pPr>
        <w:snapToGrid w:val="0"/>
        <w:spacing w:line="360" w:lineRule="auto"/>
        <w:ind w:firstLine="480" w:firstLineChars="200"/>
        <w:rPr>
          <w:rFonts w:ascii="仿宋" w:hAnsi="仿宋" w:eastAsia="仿宋" w:cs="仿宋"/>
          <w:sz w:val="24"/>
          <w:szCs w:val="24"/>
          <w:highlight w:val="none"/>
        </w:rPr>
      </w:pPr>
      <w:r>
        <w:rPr>
          <w:rFonts w:hint="eastAsia" w:ascii="仿宋" w:hAnsi="仿宋" w:eastAsia="仿宋" w:cs="仿宋"/>
          <w:sz w:val="24"/>
          <w:szCs w:val="24"/>
          <w:highlight w:val="none"/>
        </w:rPr>
        <w:t>（九）比选开始时间：2026年</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月</w:t>
      </w:r>
      <w:r>
        <w:rPr>
          <w:rFonts w:hint="eastAsia" w:ascii="仿宋" w:hAnsi="仿宋" w:eastAsia="仿宋" w:cs="仿宋"/>
          <w:sz w:val="24"/>
          <w:szCs w:val="24"/>
          <w:highlight w:val="none"/>
          <w:lang w:val="en-US" w:eastAsia="zh-CN"/>
        </w:rPr>
        <w:t>16</w:t>
      </w:r>
      <w:r>
        <w:rPr>
          <w:rFonts w:hint="eastAsia" w:ascii="仿宋" w:hAnsi="仿宋" w:eastAsia="仿宋" w:cs="仿宋"/>
          <w:sz w:val="24"/>
          <w:szCs w:val="24"/>
          <w:highlight w:val="none"/>
        </w:rPr>
        <w:t>日北京时间11:00时。</w:t>
      </w:r>
    </w:p>
    <w:p w14:paraId="6AA5657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（十）比选地点：同递交响应文件地点。 </w:t>
      </w:r>
    </w:p>
    <w:p w14:paraId="1B3D9FF0">
      <w:pPr>
        <w:pStyle w:val="5"/>
      </w:pPr>
      <w:bookmarkStart w:id="55" w:name="_Toc14501"/>
      <w:bookmarkStart w:id="56" w:name="_Toc6341"/>
      <w:bookmarkStart w:id="57" w:name="_Toc28608"/>
      <w:bookmarkStart w:id="58" w:name="_Toc30345"/>
      <w:bookmarkStart w:id="59" w:name="_Toc18876"/>
      <w:bookmarkStart w:id="60" w:name="_Toc15527"/>
      <w:bookmarkStart w:id="61" w:name="_Toc11785"/>
      <w:bookmarkStart w:id="62" w:name="_Toc1391"/>
      <w:bookmarkStart w:id="63" w:name="_Toc3658"/>
      <w:r>
        <w:rPr>
          <w:rFonts w:hint="eastAsia"/>
        </w:rPr>
        <w:t>五、保证金</w:t>
      </w:r>
      <w:bookmarkEnd w:id="54"/>
      <w:bookmarkEnd w:id="55"/>
      <w:bookmarkEnd w:id="56"/>
      <w:bookmarkEnd w:id="57"/>
      <w:bookmarkEnd w:id="58"/>
      <w:bookmarkEnd w:id="59"/>
      <w:bookmarkEnd w:id="60"/>
      <w:bookmarkEnd w:id="61"/>
      <w:bookmarkEnd w:id="62"/>
      <w:bookmarkEnd w:id="63"/>
    </w:p>
    <w:bookmarkEnd w:id="24"/>
    <w:p w14:paraId="3A252A18">
      <w:pPr>
        <w:snapToGrid w:val="0"/>
        <w:spacing w:line="360" w:lineRule="auto"/>
        <w:ind w:firstLine="480" w:firstLineChars="200"/>
        <w:rPr>
          <w:rFonts w:ascii="仿宋" w:hAnsi="仿宋" w:eastAsia="仿宋" w:cs="仿宋"/>
          <w:sz w:val="24"/>
          <w:szCs w:val="24"/>
        </w:rPr>
      </w:pPr>
      <w:bookmarkStart w:id="64" w:name="_Toc479668114"/>
      <w:bookmarkStart w:id="65" w:name="_Toc480466698"/>
      <w:r>
        <w:rPr>
          <w:rFonts w:hint="eastAsia" w:ascii="仿宋" w:hAnsi="仿宋" w:eastAsia="仿宋" w:cs="仿宋"/>
          <w:sz w:val="24"/>
          <w:szCs w:val="24"/>
        </w:rPr>
        <w:t>（一）投标保证金递交</w:t>
      </w:r>
    </w:p>
    <w:p w14:paraId="098C9B11">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1.本项目投标保证金3000元。</w:t>
      </w:r>
    </w:p>
    <w:p w14:paraId="713B6A26">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2.供应商应足额交纳保证金，并汇至以下账户，保证金的到账截止时间同递交响应文件截止时间。</w:t>
      </w:r>
    </w:p>
    <w:p w14:paraId="62833F9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 xml:space="preserve">开户名称：河南宏业建设管理股份有限公司重庆直属分公司 </w:t>
      </w:r>
    </w:p>
    <w:p w14:paraId="0BB1AF0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账号：31050401040015538</w:t>
      </w:r>
    </w:p>
    <w:p w14:paraId="214F81D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开户行：中国农业银行股份有限公司重庆江北宏帆支行</w:t>
      </w:r>
    </w:p>
    <w:p w14:paraId="2CD6AA13">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供应商在银行转账（电汇）保证金时，需在凭证上明确备注“项目及投标保证金”。</w:t>
      </w:r>
    </w:p>
    <w:p w14:paraId="5E5861A1">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各供应商在银行转账（电汇）时，须充分考虑银行转账（电汇）的时间差风险，如同城转账、异地转账或汇款、跨行转账或电汇的时间要求。</w:t>
      </w:r>
    </w:p>
    <w:p w14:paraId="1BF3D225">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超过提交响应文件截止时间提交保证金的供应商，将视为无效响应，其造成的一切后果自负。</w:t>
      </w:r>
    </w:p>
    <w:p w14:paraId="231786F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各供应商在缴纳投标保证金时，到款账户为上述指定的投标保证金专用账户，来款账户必须为供应商基本账户。</w:t>
      </w:r>
    </w:p>
    <w:p w14:paraId="72A4D74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（二）保证金退还方式</w:t>
      </w:r>
    </w:p>
    <w:p w14:paraId="3E0CA5C4">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1.未成交供应商的保证金，在成交通知书发放后，代理机构在五个工作日内按来款渠道直接退还（不计利息）。</w:t>
      </w:r>
    </w:p>
    <w:p w14:paraId="5806BFF5">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2.成交供应商的保证金，在成交供应商与比选人签订合同后，代理机构在五个工作日内按资金来款渠道直接退还（不计利息）。</w:t>
      </w:r>
    </w:p>
    <w:bookmarkEnd w:id="64"/>
    <w:bookmarkEnd w:id="65"/>
    <w:p w14:paraId="5925AF7D">
      <w:pPr>
        <w:pStyle w:val="5"/>
        <w:ind w:firstLine="482" w:firstLineChars="200"/>
      </w:pPr>
      <w:bookmarkStart w:id="66" w:name="_Toc10953"/>
      <w:bookmarkStart w:id="67" w:name="_Toc29429"/>
      <w:bookmarkStart w:id="68" w:name="_Toc17560"/>
      <w:bookmarkStart w:id="69" w:name="_Toc602"/>
      <w:bookmarkStart w:id="70" w:name="_Toc25547"/>
      <w:bookmarkStart w:id="71" w:name="_Toc27782"/>
      <w:bookmarkStart w:id="72" w:name="_Toc5991"/>
      <w:bookmarkStart w:id="73" w:name="_Toc6872"/>
      <w:bookmarkStart w:id="74" w:name="_Toc20353"/>
      <w:bookmarkStart w:id="75" w:name="_Toc480466699"/>
      <w:r>
        <w:rPr>
          <w:rFonts w:hint="eastAsia"/>
        </w:rPr>
        <w:t>六、其它有关规定</w:t>
      </w:r>
      <w:bookmarkEnd w:id="66"/>
      <w:bookmarkEnd w:id="67"/>
      <w:bookmarkEnd w:id="68"/>
      <w:bookmarkEnd w:id="69"/>
      <w:bookmarkEnd w:id="70"/>
      <w:bookmarkEnd w:id="71"/>
      <w:bookmarkEnd w:id="72"/>
      <w:bookmarkEnd w:id="73"/>
      <w:bookmarkEnd w:id="74"/>
      <w:bookmarkEnd w:id="75"/>
    </w:p>
    <w:p w14:paraId="1BC18D4C">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（一）单位负责人为同一人或者存在直接控股、管理关系的不同供应商，不得参加同一合同项（包）下的比选活动，否则均为无效响应。</w:t>
      </w:r>
    </w:p>
    <w:p w14:paraId="0C547720">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（二）为比选项目提供整体设计、规范编制或者项目管理、监理、检测等服务的供应商，不得再参加该比选项目的其他比选活动。</w:t>
      </w:r>
    </w:p>
    <w:p w14:paraId="59E95C11">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（三）本项目的补遗文件（如果有）一律在“行采家”（https://www.gec123.com/xe/）上发布，请各供应商注意下载时间；无论供应商下载或领取与否，均视同供应商已知晓本项目补遗文件（如果有）的内容。</w:t>
      </w:r>
    </w:p>
    <w:p w14:paraId="5943F76C">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（四）超过响应文件递交截止时间递交的文件，恕不接收。</w:t>
      </w:r>
    </w:p>
    <w:p w14:paraId="015F93AE">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（五）比选费用：无论比选结果如何，供应商参与本项目比选的所有费用均应由供应商自行承担。</w:t>
      </w:r>
    </w:p>
    <w:p w14:paraId="580765B6">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（六）本项目不接受联合体参与投标，否则按无效处理。</w:t>
      </w:r>
    </w:p>
    <w:p w14:paraId="5FD34B0E">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（七）本项目不接受合同分包，否则按无效处理。</w:t>
      </w:r>
    </w:p>
    <w:p w14:paraId="670D7745">
      <w:pPr>
        <w:pStyle w:val="5"/>
        <w:ind w:firstLine="482" w:firstLineChars="200"/>
      </w:pPr>
      <w:bookmarkStart w:id="76" w:name="_Toc2942"/>
      <w:bookmarkStart w:id="77" w:name="_Toc6554"/>
      <w:bookmarkStart w:id="78" w:name="_Toc15604"/>
      <w:bookmarkStart w:id="79" w:name="_Toc480466700"/>
      <w:bookmarkStart w:id="80" w:name="_Toc10050"/>
      <w:bookmarkStart w:id="81" w:name="_Toc13040"/>
      <w:bookmarkStart w:id="82" w:name="_Toc13248"/>
      <w:bookmarkStart w:id="83" w:name="_Toc4367"/>
      <w:bookmarkStart w:id="84" w:name="_Toc17444"/>
      <w:bookmarkStart w:id="85" w:name="_Toc28780"/>
      <w:r>
        <w:rPr>
          <w:rFonts w:hint="eastAsia"/>
        </w:rPr>
        <w:t>七、联系方式</w:t>
      </w:r>
      <w:bookmarkEnd w:id="76"/>
      <w:bookmarkEnd w:id="77"/>
      <w:bookmarkEnd w:id="78"/>
      <w:bookmarkEnd w:id="79"/>
      <w:bookmarkEnd w:id="80"/>
      <w:bookmarkEnd w:id="81"/>
      <w:bookmarkEnd w:id="82"/>
      <w:bookmarkEnd w:id="83"/>
      <w:bookmarkEnd w:id="84"/>
      <w:bookmarkEnd w:id="85"/>
    </w:p>
    <w:p w14:paraId="114DBE31">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（一）比选人：重庆市万州区妇幼保健院</w:t>
      </w:r>
    </w:p>
    <w:p w14:paraId="4B592233">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sz w:val="24"/>
          <w:szCs w:val="24"/>
        </w:rPr>
        <w:t>张老师</w:t>
      </w:r>
    </w:p>
    <w:p w14:paraId="466A4BE3">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电  话：</w:t>
      </w:r>
      <w:r>
        <w:rPr>
          <w:rFonts w:hint="eastAsia" w:ascii="仿宋" w:hAnsi="仿宋" w:eastAsia="仿宋"/>
          <w:sz w:val="24"/>
          <w:szCs w:val="24"/>
        </w:rPr>
        <w:t>13594730828</w:t>
      </w:r>
    </w:p>
    <w:p w14:paraId="719F4AFE">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地  址：</w:t>
      </w:r>
      <w:r>
        <w:rPr>
          <w:rFonts w:hint="eastAsia" w:ascii="仿宋" w:hAnsi="仿宋" w:eastAsia="仿宋"/>
          <w:sz w:val="24"/>
          <w:szCs w:val="24"/>
        </w:rPr>
        <w:t>重庆市万州区万全路8号</w:t>
      </w:r>
    </w:p>
    <w:p w14:paraId="139D29E3">
      <w:pPr>
        <w:snapToGrid w:val="0"/>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 xml:space="preserve">（二）比选代理机构：河南宏业建设管理股份有限公司 </w:t>
      </w:r>
    </w:p>
    <w:p w14:paraId="54BE53AA">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联系人：杨老师</w:t>
      </w:r>
    </w:p>
    <w:p w14:paraId="7580365B">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电  话：15223297380</w:t>
      </w:r>
    </w:p>
    <w:p w14:paraId="069D5058">
      <w:pPr>
        <w:snapToGrid w:val="0"/>
        <w:spacing w:line="360" w:lineRule="auto"/>
        <w:ind w:firstLine="1080" w:firstLineChars="450"/>
        <w:rPr>
          <w:rFonts w:ascii="仿宋" w:hAnsi="仿宋" w:eastAsia="仿宋" w:cs="仿宋"/>
          <w:sz w:val="24"/>
          <w:szCs w:val="24"/>
        </w:rPr>
      </w:pPr>
      <w:r>
        <w:rPr>
          <w:rFonts w:hint="eastAsia" w:ascii="仿宋" w:hAnsi="仿宋" w:eastAsia="仿宋" w:cs="仿宋"/>
          <w:sz w:val="24"/>
          <w:szCs w:val="24"/>
        </w:rPr>
        <w:t>地  址：</w:t>
      </w:r>
      <w:bookmarkStart w:id="86" w:name="_Toc6581"/>
      <w:r>
        <w:rPr>
          <w:rFonts w:hint="eastAsia" w:ascii="仿宋" w:hAnsi="仿宋" w:eastAsia="仿宋" w:cs="仿宋"/>
          <w:sz w:val="24"/>
          <w:szCs w:val="24"/>
        </w:rPr>
        <w:t>重庆市两江新区栖霞路18号</w:t>
      </w:r>
    </w:p>
    <w:p w14:paraId="2D517AE0">
      <w:pPr>
        <w:spacing w:line="360" w:lineRule="auto"/>
        <w:rPr>
          <w:rFonts w:ascii="仿宋" w:hAnsi="仿宋" w:eastAsia="仿宋" w:cs="仿宋"/>
          <w:sz w:val="24"/>
          <w:szCs w:val="24"/>
        </w:rPr>
      </w:pPr>
      <w:r>
        <w:rPr>
          <w:rFonts w:hint="eastAsia" w:ascii="仿宋" w:hAnsi="仿宋" w:eastAsia="仿宋" w:cs="仿宋"/>
          <w:sz w:val="24"/>
          <w:szCs w:val="24"/>
        </w:rPr>
        <w:br w:type="page"/>
      </w:r>
    </w:p>
    <w:p w14:paraId="64379A1A">
      <w:pPr>
        <w:pStyle w:val="2"/>
        <w:ind w:firstLine="560"/>
        <w:rPr>
          <w:lang w:eastAsia="zh-CN"/>
        </w:rPr>
      </w:pPr>
    </w:p>
    <w:p w14:paraId="60AFC416">
      <w:pPr>
        <w:pStyle w:val="4"/>
      </w:pPr>
      <w:bookmarkStart w:id="87" w:name="_Toc30636"/>
      <w:bookmarkStart w:id="88" w:name="_Toc10899"/>
      <w:bookmarkStart w:id="89" w:name="_Toc29605"/>
      <w:bookmarkStart w:id="90" w:name="_Toc20086"/>
      <w:bookmarkStart w:id="91" w:name="_Toc12160"/>
      <w:bookmarkStart w:id="92" w:name="_Toc25063"/>
      <w:bookmarkStart w:id="93" w:name="_Toc327"/>
      <w:bookmarkStart w:id="94" w:name="_Toc9054"/>
      <w:r>
        <w:rPr>
          <w:rFonts w:hint="eastAsia"/>
        </w:rPr>
        <w:t>第二篇 采购项目技术需求</w:t>
      </w:r>
      <w:bookmarkEnd w:id="86"/>
      <w:bookmarkEnd w:id="87"/>
      <w:bookmarkEnd w:id="88"/>
      <w:bookmarkEnd w:id="89"/>
      <w:bookmarkEnd w:id="90"/>
      <w:bookmarkEnd w:id="91"/>
      <w:bookmarkEnd w:id="92"/>
      <w:bookmarkEnd w:id="93"/>
      <w:bookmarkEnd w:id="94"/>
    </w:p>
    <w:p w14:paraId="6D1B7F1F">
      <w:pPr>
        <w:pStyle w:val="5"/>
      </w:pPr>
      <w:bookmarkStart w:id="95" w:name="_Toc22047738"/>
      <w:bookmarkStart w:id="96" w:name="_Toc623"/>
      <w:bookmarkStart w:id="97" w:name="_Toc556"/>
      <w:bookmarkStart w:id="98" w:name="_Toc75"/>
      <w:bookmarkStart w:id="99" w:name="_Toc20449"/>
      <w:bookmarkStart w:id="100" w:name="_Toc25652"/>
      <w:bookmarkStart w:id="101" w:name="_Toc11573"/>
      <w:bookmarkStart w:id="102" w:name="_Toc1559"/>
      <w:bookmarkStart w:id="103" w:name="_Toc10113"/>
      <w:bookmarkStart w:id="104" w:name="_Toc16866"/>
      <w:bookmarkStart w:id="105" w:name="_Toc12789058"/>
      <w:r>
        <w:rPr>
          <w:rFonts w:hint="eastAsia"/>
        </w:rPr>
        <w:t>一、</w:t>
      </w:r>
      <w:bookmarkEnd w:id="95"/>
      <w:r>
        <w:rPr>
          <w:rFonts w:hint="eastAsia"/>
        </w:rPr>
        <w:t>项目基本情况</w:t>
      </w:r>
      <w:bookmarkEnd w:id="96"/>
      <w:bookmarkEnd w:id="97"/>
      <w:bookmarkEnd w:id="98"/>
      <w:bookmarkEnd w:id="99"/>
      <w:bookmarkEnd w:id="100"/>
      <w:bookmarkEnd w:id="101"/>
      <w:bookmarkEnd w:id="102"/>
      <w:bookmarkEnd w:id="103"/>
      <w:bookmarkEnd w:id="104"/>
    </w:p>
    <w:p w14:paraId="4EED518F">
      <w:pPr>
        <w:spacing w:line="360" w:lineRule="auto"/>
        <w:ind w:firstLine="520" w:firstLineChars="217"/>
        <w:rPr>
          <w:rFonts w:ascii="仿宋" w:hAnsi="仿宋" w:eastAsia="仿宋" w:cs="仿宋"/>
          <w:bCs/>
          <w:sz w:val="24"/>
          <w:szCs w:val="24"/>
        </w:rPr>
      </w:pPr>
      <w:bookmarkStart w:id="106" w:name="_Toc29018"/>
      <w:bookmarkStart w:id="107" w:name="_Toc9863"/>
      <w:bookmarkStart w:id="108" w:name="_Toc31288"/>
      <w:bookmarkStart w:id="109" w:name="_Toc3669"/>
      <w:bookmarkStart w:id="110" w:name="_Toc344475116"/>
      <w:bookmarkStart w:id="111" w:name="_Toc530144826"/>
      <w:bookmarkStart w:id="112" w:name="_Toc313536013"/>
      <w:r>
        <w:rPr>
          <w:rFonts w:hint="eastAsia" w:ascii="仿宋" w:hAnsi="仿宋" w:eastAsia="仿宋" w:cs="仿宋"/>
          <w:bCs/>
          <w:sz w:val="24"/>
          <w:szCs w:val="24"/>
        </w:rPr>
        <w:t>重庆市万州区妇幼保健院母婴照护中心项目位于双河口万全路8号住院部十三楼，楼层面积约1900㎡，设置15间业务及配套用房，包含建筑装饰、给排水、强弱电、暖通等施工内容。</w:t>
      </w:r>
      <w:bookmarkStart w:id="113" w:name="_Toc16806"/>
      <w:bookmarkStart w:id="114" w:name="_Toc18653"/>
      <w:bookmarkStart w:id="115" w:name="_Toc22216"/>
      <w:bookmarkStart w:id="116" w:name="_Toc4449"/>
      <w:bookmarkStart w:id="117" w:name="_Toc30650"/>
      <w:bookmarkStart w:id="118" w:name="_Toc7284"/>
      <w:bookmarkStart w:id="119" w:name="_Toc31903"/>
      <w:bookmarkStart w:id="120" w:name="_Toc14981"/>
    </w:p>
    <w:p w14:paraId="64AE751C">
      <w:pPr>
        <w:pStyle w:val="5"/>
      </w:pPr>
      <w:r>
        <w:rPr>
          <w:rFonts w:hint="eastAsia"/>
        </w:rPr>
        <w:t>二、项目比选内容</w:t>
      </w:r>
      <w:bookmarkEnd w:id="113"/>
      <w:bookmarkEnd w:id="114"/>
      <w:bookmarkEnd w:id="115"/>
      <w:bookmarkEnd w:id="116"/>
      <w:bookmarkEnd w:id="117"/>
      <w:bookmarkEnd w:id="118"/>
      <w:bookmarkEnd w:id="119"/>
      <w:bookmarkEnd w:id="120"/>
    </w:p>
    <w:p w14:paraId="5395A3C5">
      <w:pPr>
        <w:spacing w:line="360" w:lineRule="auto"/>
        <w:ind w:firstLine="480" w:firstLineChars="200"/>
      </w:pPr>
      <w:r>
        <w:rPr>
          <w:rFonts w:hint="eastAsia" w:ascii="仿宋" w:hAnsi="仿宋" w:eastAsia="仿宋" w:cs="仿宋"/>
          <w:bCs/>
          <w:sz w:val="24"/>
          <w:szCs w:val="24"/>
        </w:rPr>
        <w:t>施工图及竞争比选文件约定的全部内容，具体以比选人提供的施工图、工程量清单为准，图纸与工程量清单不符的以工程量清单为准。</w:t>
      </w:r>
      <w:bookmarkStart w:id="121" w:name="_Toc21965"/>
      <w:bookmarkStart w:id="122" w:name="_Toc25870"/>
      <w:bookmarkStart w:id="123" w:name="_Toc2507"/>
      <w:bookmarkStart w:id="124" w:name="_Toc11617"/>
      <w:bookmarkStart w:id="125" w:name="_Toc19234"/>
      <w:bookmarkStart w:id="126" w:name="_Toc29232"/>
      <w:bookmarkStart w:id="127" w:name="_Toc28524"/>
      <w:bookmarkStart w:id="128" w:name="_Toc32414"/>
    </w:p>
    <w:p w14:paraId="01A37C32">
      <w:pPr>
        <w:pStyle w:val="5"/>
      </w:pPr>
      <w:r>
        <w:rPr>
          <w:rFonts w:hint="eastAsia"/>
        </w:rPr>
        <w:t>三、</w:t>
      </w:r>
      <w:bookmarkEnd w:id="106"/>
      <w:bookmarkEnd w:id="107"/>
      <w:bookmarkEnd w:id="108"/>
      <w:r>
        <w:rPr>
          <w:rFonts w:hint="eastAsia"/>
        </w:rPr>
        <w:t>项目内容及要求</w:t>
      </w:r>
      <w:bookmarkEnd w:id="121"/>
      <w:bookmarkEnd w:id="122"/>
      <w:bookmarkEnd w:id="123"/>
      <w:bookmarkEnd w:id="124"/>
      <w:bookmarkEnd w:id="125"/>
      <w:bookmarkEnd w:id="126"/>
      <w:bookmarkEnd w:id="127"/>
      <w:bookmarkEnd w:id="128"/>
      <w:r>
        <w:rPr>
          <w:rFonts w:hint="eastAsia"/>
        </w:rPr>
        <w:tab/>
      </w:r>
    </w:p>
    <w:bookmarkEnd w:id="109"/>
    <w:bookmarkEnd w:id="110"/>
    <w:bookmarkEnd w:id="111"/>
    <w:bookmarkEnd w:id="112"/>
    <w:p w14:paraId="0582A626">
      <w:pPr>
        <w:widowControl/>
        <w:spacing w:line="360" w:lineRule="auto"/>
        <w:ind w:firstLine="480" w:firstLineChars="200"/>
        <w:jc w:val="left"/>
        <w:rPr>
          <w:rFonts w:ascii="仿宋" w:hAnsi="仿宋" w:eastAsia="仿宋" w:cs="仿宋"/>
          <w:bCs/>
          <w:sz w:val="24"/>
          <w:szCs w:val="24"/>
        </w:rPr>
      </w:pPr>
      <w:bookmarkStart w:id="129" w:name="_Toc12675"/>
      <w:r>
        <w:rPr>
          <w:rFonts w:hint="eastAsia" w:ascii="仿宋" w:hAnsi="仿宋" w:eastAsia="仿宋" w:cs="仿宋"/>
          <w:bCs/>
          <w:sz w:val="24"/>
          <w:szCs w:val="24"/>
        </w:rPr>
        <w:t>（一）项目概况及要求</w:t>
      </w:r>
    </w:p>
    <w:p w14:paraId="1B86F479">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1、工程名称：重庆市万州区妇幼保健院母婴照护中心项目</w:t>
      </w:r>
    </w:p>
    <w:p w14:paraId="54C381D1">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 xml:space="preserve">2、建设规模：详见清单及图纸        </w:t>
      </w:r>
    </w:p>
    <w:p w14:paraId="60FE8E5E">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3、工程地址：</w:t>
      </w:r>
      <w:bookmarkStart w:id="130" w:name="OLE_LINK2"/>
      <w:bookmarkStart w:id="131" w:name="OLE_LINK3"/>
      <w:r>
        <w:rPr>
          <w:rFonts w:hint="eastAsia" w:ascii="仿宋" w:hAnsi="仿宋" w:eastAsia="仿宋" w:cs="仿宋"/>
          <w:bCs/>
          <w:sz w:val="24"/>
          <w:szCs w:val="24"/>
        </w:rPr>
        <w:t>重庆市万州区万全路8号</w:t>
      </w:r>
    </w:p>
    <w:bookmarkEnd w:id="130"/>
    <w:bookmarkEnd w:id="131"/>
    <w:p w14:paraId="298DAB44">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4、计划工期45日历天，缺陷责任期24个月（具体以项目开工通知中写明的开工日期起算。实际完工日期以合同工程完工证书中写明的日期为准）。</w:t>
      </w:r>
    </w:p>
    <w:p w14:paraId="40C97D1F">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5、施工范围：包含但不限于比选人提供的工程量清单、施工图。</w:t>
      </w:r>
    </w:p>
    <w:p w14:paraId="207C2586">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6、工程量清单、施工图见附件。</w:t>
      </w:r>
    </w:p>
    <w:p w14:paraId="4778A0A4">
      <w:pPr>
        <w:widowControl/>
        <w:spacing w:line="360" w:lineRule="auto"/>
        <w:ind w:firstLine="480" w:firstLineChars="200"/>
        <w:jc w:val="left"/>
        <w:rPr>
          <w:rFonts w:ascii="仿宋" w:hAnsi="仿宋" w:eastAsia="仿宋" w:cs="仿宋"/>
          <w:bCs/>
          <w:sz w:val="24"/>
          <w:szCs w:val="24"/>
        </w:rPr>
      </w:pPr>
      <w:bookmarkStart w:id="132" w:name="OLE_LINK4"/>
      <w:r>
        <w:rPr>
          <w:rFonts w:hint="eastAsia" w:ascii="仿宋" w:hAnsi="仿宋" w:eastAsia="仿宋" w:cs="仿宋"/>
          <w:bCs/>
          <w:sz w:val="24"/>
          <w:szCs w:val="24"/>
        </w:rPr>
        <w:t>（二）</w:t>
      </w:r>
      <w:bookmarkEnd w:id="132"/>
      <w:r>
        <w:rPr>
          <w:rFonts w:hint="eastAsia" w:ascii="仿宋" w:hAnsi="仿宋" w:eastAsia="仿宋" w:cs="仿宋"/>
          <w:bCs/>
          <w:sz w:val="24"/>
          <w:szCs w:val="24"/>
        </w:rPr>
        <w:t>质量要求</w:t>
      </w:r>
    </w:p>
    <w:p w14:paraId="254A3ED3">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达到国家现行有关施工质量验收规范要求，并达到合格标准。</w:t>
      </w:r>
    </w:p>
    <w:p w14:paraId="6A1CD705">
      <w:pPr>
        <w:widowControl/>
        <w:spacing w:line="360" w:lineRule="auto"/>
        <w:ind w:firstLine="480" w:firstLineChars="200"/>
        <w:jc w:val="left"/>
        <w:rPr>
          <w:rFonts w:ascii="仿宋" w:hAnsi="仿宋" w:eastAsia="仿宋" w:cs="仿宋"/>
          <w:bCs/>
          <w:sz w:val="24"/>
          <w:szCs w:val="24"/>
        </w:rPr>
      </w:pPr>
      <w:bookmarkStart w:id="133" w:name="OLE_LINK5"/>
      <w:r>
        <w:rPr>
          <w:rFonts w:hint="eastAsia" w:ascii="仿宋" w:hAnsi="仿宋" w:eastAsia="仿宋" w:cs="仿宋"/>
          <w:bCs/>
          <w:sz w:val="24"/>
          <w:szCs w:val="24"/>
        </w:rPr>
        <w:t>（三）</w:t>
      </w:r>
      <w:bookmarkEnd w:id="133"/>
      <w:r>
        <w:rPr>
          <w:rFonts w:hint="eastAsia" w:ascii="仿宋" w:hAnsi="仿宋" w:eastAsia="仿宋" w:cs="仿宋"/>
          <w:bCs/>
          <w:sz w:val="24"/>
          <w:szCs w:val="24"/>
        </w:rPr>
        <w:t>人员要求</w:t>
      </w:r>
    </w:p>
    <w:p w14:paraId="327DC177">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1、企业负责人</w:t>
      </w:r>
    </w:p>
    <w:p w14:paraId="7345712E">
      <w:pPr>
        <w:widowControl/>
        <w:spacing w:line="360" w:lineRule="auto"/>
        <w:ind w:firstLine="480" w:firstLineChars="200"/>
        <w:jc w:val="left"/>
        <w:rPr>
          <w:rFonts w:ascii="仿宋" w:hAnsi="仿宋" w:eastAsia="仿宋" w:cs="仿宋"/>
          <w:b/>
          <w:sz w:val="24"/>
          <w:szCs w:val="24"/>
        </w:rPr>
      </w:pPr>
      <w:r>
        <w:rPr>
          <w:rFonts w:hint="eastAsia" w:ascii="仿宋" w:hAnsi="仿宋" w:eastAsia="仿宋" w:cs="仿宋"/>
          <w:bCs/>
          <w:sz w:val="24"/>
          <w:szCs w:val="24"/>
        </w:rPr>
        <w:t>企业负责人需具有有效的安全生产考核合格证（A证），</w:t>
      </w:r>
      <w:r>
        <w:rPr>
          <w:rFonts w:hint="eastAsia" w:ascii="仿宋" w:hAnsi="仿宋" w:eastAsia="仿宋" w:cs="仿宋"/>
          <w:b/>
          <w:sz w:val="24"/>
          <w:szCs w:val="24"/>
        </w:rPr>
        <w:t>供应商需提交其复印件并加盖公章。</w:t>
      </w:r>
    </w:p>
    <w:p w14:paraId="42062941">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2、项目经理</w:t>
      </w:r>
    </w:p>
    <w:p w14:paraId="03DE5CCC">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本项目的项目经理须为本单位人员，需具有有效的安全生产管理人员考核合格证书（B证）和建设行业主管部门颁发的建筑工程专业</w:t>
      </w:r>
      <w:r>
        <w:rPr>
          <w:rFonts w:hint="eastAsia" w:ascii="仿宋" w:hAnsi="仿宋" w:eastAsia="仿宋" w:cs="仿宋"/>
          <w:bCs/>
          <w:sz w:val="24"/>
          <w:szCs w:val="24"/>
          <w:u w:val="single"/>
        </w:rPr>
        <w:t>二级建造师</w:t>
      </w:r>
      <w:r>
        <w:rPr>
          <w:rFonts w:hint="eastAsia" w:ascii="仿宋" w:hAnsi="仿宋" w:eastAsia="仿宋" w:cs="仿宋"/>
          <w:bCs/>
          <w:sz w:val="24"/>
          <w:szCs w:val="24"/>
        </w:rPr>
        <w:t>及以上证书。</w:t>
      </w:r>
      <w:r>
        <w:rPr>
          <w:rFonts w:hint="eastAsia" w:ascii="仿宋" w:hAnsi="仿宋" w:eastAsia="仿宋" w:cs="仿宋"/>
          <w:b/>
          <w:sz w:val="24"/>
          <w:szCs w:val="24"/>
        </w:rPr>
        <w:t>（供应商提供安全生产管理人员考核合格证书、执业资格证书、注册资格证书、身份证复印件、截止投标日前三个月供应商单位为其缴纳的养老保险证明材料的复印件并加盖供应商单位公章）。</w:t>
      </w:r>
    </w:p>
    <w:p w14:paraId="2174E23E">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3、供应商自行承诺成交后在施工过程中，未经比选人同意，不得擅自更改响应文件中所报的项目经理。未经比选人同意变更的，在替换为原项目经理或变更为比选人同意的项目经理期间，每日（不足一日部分按一日计算）按合同金额的0.5%在项目结算时扣除。逾期未完成整改20日视为供应商拒不改正的，比选人有权解除合同，合同解除后对已经施工的据实结算，设备在30日内由供应商自行处理（超出时间仍未处理的，比选人将进行处置，且不支付任何补偿）。若因供应商行为导致比选人出现损失的，供应商应按重置成本金额赔偿。</w:t>
      </w:r>
    </w:p>
    <w:p w14:paraId="641047FA">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（四）安全要求</w:t>
      </w:r>
    </w:p>
    <w:p w14:paraId="7620DA35">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供应商应遵守安全生产的有关管理规定，严格按照安全标准组织实施，采取必要的安全防护措施，消除隐患。在施工过程中由于供应商管理或安全措施不力造成周边环境破坏或事故责任，因此发生的费用由供应商承担。供应商负责现场实施人员及财物的安全，发生任何伤亡事故和财产损失与比选人无关，供应商自行解决并承担相应的法律责任和财产损失如因施工导致第三人人身、财产损失由供应商承担赔偿责任。供应商需自行为其管理、施工人员购置工伤保险、商业险、至社保局购置项目工伤保险等，相关费用由供应商承担。</w:t>
      </w:r>
    </w:p>
    <w:p w14:paraId="59AF89EB">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（五）踏勘现场</w:t>
      </w:r>
    </w:p>
    <w:p w14:paraId="3E3BB382">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供应商应在获取竞争性比选文件后自行对本项目现场及周边环境自行踏勘，以便准确评估完成本项目所需的工程量、建筑材料及成本价格等。无论供应商是否踏勘过现场，均被认为在递交响应文件之前已经踏勘现场，对本项目的风险和义务已十分了解，并在其响应文件中已充分考虑了现场和环境条件，踏勘现场所产生的费用由供应商自行承担。</w:t>
      </w:r>
    </w:p>
    <w:p w14:paraId="095AA173">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（六）其他要求</w:t>
      </w:r>
    </w:p>
    <w:p w14:paraId="6BC70261">
      <w:pPr>
        <w:widowControl/>
        <w:spacing w:line="360" w:lineRule="auto"/>
        <w:ind w:firstLine="480" w:firstLineChars="200"/>
        <w:jc w:val="left"/>
        <w:rPr>
          <w:rFonts w:ascii="仿宋" w:hAnsi="仿宋" w:eastAsia="仿宋" w:cs="仿宋"/>
          <w:bCs/>
          <w:sz w:val="24"/>
          <w:szCs w:val="24"/>
        </w:rPr>
      </w:pPr>
      <w:r>
        <w:rPr>
          <w:rFonts w:hint="eastAsia" w:ascii="仿宋" w:hAnsi="仿宋" w:eastAsia="仿宋" w:cs="仿宋"/>
          <w:bCs/>
          <w:sz w:val="24"/>
          <w:szCs w:val="24"/>
        </w:rPr>
        <w:t>1、签订合同前，成交供应商须提供项目经理的技术职称证原件供比选人查验，查验无误后比选人签订合同；如发现成交供应商提供虚假证明材料，比选人将取消其成交资格，一切责任由成交供应商自行承担。</w:t>
      </w:r>
    </w:p>
    <w:p w14:paraId="248DE52A">
      <w:pPr>
        <w:widowControl/>
        <w:spacing w:line="360" w:lineRule="auto"/>
        <w:ind w:firstLine="480" w:firstLineChars="200"/>
        <w:jc w:val="left"/>
        <w:rPr>
          <w:rFonts w:ascii="仿宋" w:hAnsi="仿宋" w:eastAsia="仿宋" w:cs="仿宋"/>
          <w:b/>
          <w:sz w:val="24"/>
          <w:szCs w:val="24"/>
        </w:rPr>
      </w:pPr>
      <w:r>
        <w:rPr>
          <w:rFonts w:hint="eastAsia" w:ascii="仿宋" w:hAnsi="仿宋" w:eastAsia="仿宋" w:cs="仿宋"/>
          <w:bCs/>
          <w:sz w:val="24"/>
          <w:szCs w:val="24"/>
        </w:rPr>
        <w:t>2、比选人有权根据工期实际进度情况等因素减少采购范围规定的实施内容并根据施工范围降低竣工结算金额，成交供应商必须无条件接受并不得索赔</w:t>
      </w:r>
      <w:r>
        <w:rPr>
          <w:rFonts w:hint="eastAsia" w:ascii="仿宋" w:hAnsi="仿宋" w:eastAsia="仿宋" w:cs="仿宋"/>
          <w:b/>
          <w:sz w:val="24"/>
          <w:szCs w:val="24"/>
        </w:rPr>
        <w:t xml:space="preserve">（供应商提供加盖鲜章的承诺函原件，格式自定）。  </w:t>
      </w:r>
    </w:p>
    <w:p w14:paraId="6F8973B4">
      <w:pPr>
        <w:widowControl/>
        <w:spacing w:line="360" w:lineRule="auto"/>
        <w:jc w:val="left"/>
        <w:rPr>
          <w:rFonts w:ascii="仿宋" w:hAnsi="仿宋" w:eastAsia="仿宋" w:cs="仿宋"/>
          <w:bCs/>
          <w:sz w:val="24"/>
          <w:szCs w:val="24"/>
        </w:rPr>
      </w:pPr>
      <w:r>
        <w:rPr>
          <w:rFonts w:hint="eastAsia" w:ascii="仿宋" w:hAnsi="仿宋" w:eastAsia="仿宋" w:cs="仿宋"/>
          <w:bCs/>
          <w:sz w:val="24"/>
          <w:szCs w:val="24"/>
        </w:rPr>
        <w:br w:type="page"/>
      </w:r>
    </w:p>
    <w:p w14:paraId="4AA184D5">
      <w:pPr>
        <w:pStyle w:val="4"/>
      </w:pPr>
      <w:bookmarkStart w:id="134" w:name="_Toc2336"/>
      <w:bookmarkStart w:id="135" w:name="_Toc1064"/>
      <w:bookmarkStart w:id="136" w:name="_Toc24028"/>
      <w:bookmarkStart w:id="137" w:name="_Toc13197"/>
      <w:bookmarkStart w:id="138" w:name="_Toc2865"/>
      <w:bookmarkStart w:id="139" w:name="_Toc32474"/>
      <w:bookmarkStart w:id="140" w:name="_Toc13608"/>
      <w:bookmarkStart w:id="141" w:name="_Toc9190"/>
      <w:r>
        <w:rPr>
          <w:rFonts w:hint="eastAsia"/>
        </w:rPr>
        <w:t>第三篇</w:t>
      </w:r>
      <w:bookmarkEnd w:id="105"/>
      <w:r>
        <w:rPr>
          <w:rFonts w:hint="eastAsia"/>
        </w:rPr>
        <w:t xml:space="preserve"> 采购项目商务需求</w:t>
      </w:r>
      <w:bookmarkEnd w:id="129"/>
      <w:bookmarkEnd w:id="134"/>
      <w:bookmarkEnd w:id="135"/>
      <w:bookmarkEnd w:id="136"/>
      <w:bookmarkEnd w:id="137"/>
      <w:bookmarkEnd w:id="138"/>
      <w:bookmarkEnd w:id="139"/>
      <w:bookmarkEnd w:id="140"/>
      <w:bookmarkEnd w:id="141"/>
    </w:p>
    <w:p w14:paraId="3CC94D99">
      <w:pPr>
        <w:pStyle w:val="5"/>
      </w:pPr>
      <w:bookmarkStart w:id="142" w:name="_Toc28880"/>
      <w:bookmarkStart w:id="143" w:name="_Toc27447"/>
      <w:bookmarkStart w:id="144" w:name="_Toc9257"/>
      <w:bookmarkStart w:id="145" w:name="_Toc8126"/>
      <w:bookmarkStart w:id="146" w:name="_Toc26584"/>
      <w:bookmarkStart w:id="147" w:name="_Toc15875"/>
      <w:bookmarkStart w:id="148" w:name="_Toc9884"/>
      <w:bookmarkStart w:id="149" w:name="_Toc13038"/>
      <w:bookmarkStart w:id="150" w:name="_Toc19343"/>
      <w:bookmarkStart w:id="151" w:name="_Toc21165"/>
      <w:bookmarkStart w:id="152" w:name="OLE_LINK8"/>
      <w:r>
        <w:rPr>
          <w:rFonts w:hint="eastAsia"/>
        </w:rPr>
        <w:t>一、服务期、地点、验收方式及报价方式</w:t>
      </w:r>
      <w:bookmarkEnd w:id="142"/>
      <w:bookmarkEnd w:id="143"/>
      <w:bookmarkEnd w:id="144"/>
      <w:bookmarkEnd w:id="145"/>
      <w:bookmarkEnd w:id="146"/>
      <w:bookmarkEnd w:id="147"/>
      <w:bookmarkEnd w:id="148"/>
      <w:bookmarkEnd w:id="149"/>
      <w:bookmarkEnd w:id="150"/>
      <w:bookmarkEnd w:id="151"/>
    </w:p>
    <w:bookmarkEnd w:id="152"/>
    <w:p w14:paraId="02E4EE1D">
      <w:pPr>
        <w:snapToGrid w:val="0"/>
        <w:spacing w:line="360" w:lineRule="auto"/>
        <w:ind w:firstLine="540"/>
        <w:rPr>
          <w:rFonts w:ascii="仿宋" w:hAnsi="仿宋" w:eastAsia="仿宋" w:cs="仿宋"/>
          <w:sz w:val="24"/>
          <w:szCs w:val="24"/>
        </w:rPr>
      </w:pPr>
      <w:bookmarkStart w:id="153" w:name="_Toc24209"/>
      <w:bookmarkStart w:id="154" w:name="_Toc30218"/>
      <w:bookmarkStart w:id="155" w:name="_Toc506192852"/>
      <w:r>
        <w:rPr>
          <w:rFonts w:hint="eastAsia" w:ascii="仿宋" w:hAnsi="仿宋" w:eastAsia="仿宋" w:cs="仿宋"/>
          <w:sz w:val="24"/>
          <w:szCs w:val="24"/>
        </w:rPr>
        <w:t>（一）服务期：</w:t>
      </w:r>
      <w:r>
        <w:rPr>
          <w:rFonts w:hint="eastAsia" w:ascii="仿宋" w:hAnsi="仿宋" w:eastAsia="仿宋"/>
          <w:bCs/>
          <w:sz w:val="24"/>
          <w:szCs w:val="24"/>
        </w:rPr>
        <w:t>自合同签订之日起至竣工验收合格。</w:t>
      </w:r>
    </w:p>
    <w:p w14:paraId="672035D4">
      <w:pPr>
        <w:snapToGrid w:val="0"/>
        <w:spacing w:line="360" w:lineRule="auto"/>
        <w:ind w:firstLine="540"/>
        <w:rPr>
          <w:rFonts w:ascii="仿宋" w:hAnsi="仿宋" w:eastAsia="仿宋" w:cs="仿宋"/>
          <w:bCs/>
          <w:sz w:val="24"/>
          <w:szCs w:val="24"/>
        </w:rPr>
      </w:pPr>
      <w:r>
        <w:rPr>
          <w:rFonts w:hint="eastAsia" w:ascii="仿宋" w:hAnsi="仿宋" w:eastAsia="仿宋" w:cs="仿宋"/>
          <w:sz w:val="24"/>
          <w:szCs w:val="24"/>
        </w:rPr>
        <w:t>（二）服务地点：</w:t>
      </w:r>
      <w:r>
        <w:rPr>
          <w:rFonts w:hint="eastAsia" w:ascii="仿宋" w:hAnsi="仿宋" w:eastAsia="仿宋"/>
          <w:sz w:val="24"/>
          <w:szCs w:val="24"/>
        </w:rPr>
        <w:t>重庆市万州区万全路8号</w:t>
      </w:r>
      <w:r>
        <w:rPr>
          <w:rFonts w:hint="eastAsia" w:ascii="仿宋" w:hAnsi="仿宋" w:eastAsia="仿宋" w:cs="仿宋"/>
          <w:bCs/>
          <w:sz w:val="24"/>
          <w:szCs w:val="24"/>
        </w:rPr>
        <w:t>。</w:t>
      </w:r>
    </w:p>
    <w:p w14:paraId="36155314">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（三）验收方式：</w:t>
      </w:r>
      <w:r>
        <w:rPr>
          <w:rFonts w:hint="eastAsia" w:ascii="仿宋" w:hAnsi="仿宋" w:eastAsia="仿宋"/>
          <w:sz w:val="24"/>
          <w:szCs w:val="24"/>
        </w:rPr>
        <w:t>经比选人、供应商共同验收， 达到国家现行有关施工质量验收规范要求，并达到合格标准。</w:t>
      </w:r>
    </w:p>
    <w:p w14:paraId="33CC3EFF">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（四）报价方式</w:t>
      </w:r>
      <w:bookmarkStart w:id="156" w:name="_Toc530694353"/>
    </w:p>
    <w:bookmarkEnd w:id="156"/>
    <w:p w14:paraId="7827E975">
      <w:pPr>
        <w:snapToGrid w:val="0"/>
        <w:spacing w:line="360" w:lineRule="auto"/>
        <w:ind w:firstLine="540"/>
        <w:rPr>
          <w:rFonts w:ascii="仿宋" w:hAnsi="仿宋" w:eastAsia="仿宋" w:cs="仿宋"/>
          <w:sz w:val="24"/>
          <w:szCs w:val="24"/>
        </w:rPr>
      </w:pPr>
      <w:bookmarkStart w:id="157" w:name="_Toc24284"/>
      <w:bookmarkStart w:id="158" w:name="_Toc32652"/>
      <w:bookmarkStart w:id="159" w:name="_Toc4713"/>
      <w:bookmarkStart w:id="160" w:name="_Toc11730"/>
      <w:r>
        <w:rPr>
          <w:rFonts w:hint="eastAsia" w:ascii="仿宋" w:hAnsi="仿宋" w:eastAsia="仿宋" w:cs="仿宋"/>
          <w:sz w:val="24"/>
          <w:szCs w:val="24"/>
        </w:rPr>
        <w:t>本次报价为人民币报价，报价包括但不限于完成本项目人工费、材料费、机械费、</w:t>
      </w:r>
      <w:bookmarkStart w:id="161" w:name="OLE_LINK10"/>
      <w:bookmarkStart w:id="162" w:name="OLE_LINK9"/>
      <w:r>
        <w:rPr>
          <w:rFonts w:hint="eastAsia" w:ascii="仿宋" w:hAnsi="仿宋" w:eastAsia="仿宋" w:cs="仿宋"/>
          <w:sz w:val="24"/>
          <w:szCs w:val="24"/>
        </w:rPr>
        <w:t>材料转运费、垃圾清运费、</w:t>
      </w:r>
      <w:bookmarkEnd w:id="161"/>
      <w:bookmarkEnd w:id="162"/>
      <w:r>
        <w:rPr>
          <w:rFonts w:hint="eastAsia" w:ascii="仿宋" w:hAnsi="仿宋" w:eastAsia="仿宋" w:cs="仿宋"/>
          <w:sz w:val="24"/>
          <w:szCs w:val="24"/>
        </w:rPr>
        <w:t>企业管理费、利润、施工技术措施项目费、施工组织措施项目费、风险费用、规费、税金、政策性文件规定、报建（如需）、验收、后期服务、保险、采购代理服务费等完成本项目的所有费用。因成交供应商自身原因造成漏报、少报皆由其自行承担责任，比选人不再补偿任何费用。</w:t>
      </w:r>
      <w:bookmarkEnd w:id="157"/>
      <w:bookmarkEnd w:id="158"/>
      <w:bookmarkEnd w:id="159"/>
      <w:bookmarkEnd w:id="160"/>
      <w:r>
        <w:rPr>
          <w:rFonts w:hint="eastAsia" w:ascii="仿宋" w:hAnsi="仿宋" w:eastAsia="仿宋" w:cs="仿宋"/>
          <w:sz w:val="24"/>
          <w:szCs w:val="24"/>
        </w:rPr>
        <w:t>各供应商投标报价不得超过本项目最高限价及单价最高限价，否则由评审小组按废标处理。</w:t>
      </w:r>
    </w:p>
    <w:bookmarkEnd w:id="153"/>
    <w:bookmarkEnd w:id="154"/>
    <w:bookmarkEnd w:id="155"/>
    <w:p w14:paraId="469016A5">
      <w:pPr>
        <w:pStyle w:val="5"/>
      </w:pPr>
      <w:bookmarkStart w:id="163" w:name="_Toc28284"/>
      <w:bookmarkStart w:id="164" w:name="_Toc19928"/>
      <w:bookmarkStart w:id="165" w:name="_Toc25246"/>
      <w:bookmarkStart w:id="166" w:name="_Toc6593"/>
      <w:bookmarkStart w:id="167" w:name="_Toc8267"/>
      <w:bookmarkStart w:id="168" w:name="_Toc9715"/>
      <w:bookmarkStart w:id="169" w:name="_Toc20265"/>
      <w:bookmarkStart w:id="170" w:name="_Toc8944"/>
      <w:r>
        <w:rPr>
          <w:rFonts w:hint="eastAsia"/>
        </w:rPr>
        <w:t>二、报价要求、报价原则及结算原则：</w:t>
      </w:r>
      <w:bookmarkEnd w:id="163"/>
      <w:bookmarkEnd w:id="164"/>
      <w:bookmarkEnd w:id="165"/>
      <w:bookmarkEnd w:id="166"/>
      <w:bookmarkEnd w:id="167"/>
      <w:bookmarkEnd w:id="168"/>
      <w:bookmarkEnd w:id="169"/>
      <w:bookmarkEnd w:id="170"/>
    </w:p>
    <w:p w14:paraId="5D53865A">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1、报价要求</w:t>
      </w:r>
    </w:p>
    <w:p w14:paraId="0EAD9E4D">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（1）本项目最高限价为166936.13元（大写：壹拾陆万陆仟玖佰叁拾陆元壹角叁分），其中安全文明施工费暂定金额为:人民币6404.69元，供应商的投标总报价和综合单价不得超过相应的最高限价。否则按废标处理。</w:t>
      </w:r>
    </w:p>
    <w:p w14:paraId="2EFCDAD2">
      <w:pPr>
        <w:snapToGrid w:val="0"/>
        <w:spacing w:line="360" w:lineRule="auto"/>
        <w:ind w:firstLine="540"/>
        <w:rPr>
          <w:rFonts w:ascii="仿宋" w:hAnsi="仿宋" w:eastAsia="仿宋" w:cs="仿宋"/>
          <w:b/>
          <w:bCs/>
          <w:sz w:val="24"/>
          <w:szCs w:val="24"/>
        </w:rPr>
      </w:pPr>
      <w:r>
        <w:rPr>
          <w:rFonts w:hint="eastAsia" w:ascii="仿宋" w:hAnsi="仿宋" w:eastAsia="仿宋" w:cs="仿宋"/>
          <w:b/>
          <w:bCs/>
          <w:sz w:val="24"/>
          <w:szCs w:val="24"/>
        </w:rPr>
        <w:t>特别说明：本项目最高限价已下浮12%，存在招标控制价清单中的总价及各分部分项工程项目清单计价表汇总价与招标最高限价不一致的情况(属正常情况)，各供应商在投标报价时不能直接在投标总价处下浮，各投标人投标总报价必须与已标价工程量清单总报价一致，已标价工程量清单总报价与依据单价、工程数量、分部分项工程合价计算出的结果应一致，否则由评标小组作否决投标处理。</w:t>
      </w:r>
    </w:p>
    <w:p w14:paraId="6996B8B8">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（2）本项目采用</w:t>
      </w:r>
      <w:r>
        <w:rPr>
          <w:rFonts w:hint="eastAsia" w:ascii="仿宋" w:hAnsi="仿宋" w:eastAsia="仿宋" w:cs="仿宋"/>
          <w:b/>
          <w:bCs/>
          <w:sz w:val="24"/>
          <w:szCs w:val="24"/>
        </w:rPr>
        <w:t>工程量清单计价</w:t>
      </w:r>
      <w:r>
        <w:rPr>
          <w:rFonts w:hint="eastAsia" w:ascii="仿宋" w:hAnsi="仿宋" w:eastAsia="仿宋" w:cs="仿宋"/>
          <w:sz w:val="24"/>
          <w:szCs w:val="24"/>
        </w:rPr>
        <w:t>，</w:t>
      </w:r>
      <w:r>
        <w:rPr>
          <w:rFonts w:hint="eastAsia" w:ascii="仿宋" w:hAnsi="仿宋" w:eastAsia="仿宋" w:cs="仿宋"/>
          <w:b/>
          <w:bCs/>
          <w:sz w:val="24"/>
          <w:szCs w:val="24"/>
        </w:rPr>
        <w:t>工程量清单应采用综合单价计价</w:t>
      </w:r>
      <w:r>
        <w:rPr>
          <w:rFonts w:hint="eastAsia" w:ascii="宋体" w:hAnsi="宋体" w:cs="宋体"/>
          <w:sz w:val="21"/>
          <w:szCs w:val="21"/>
        </w:rPr>
        <w:t>，</w:t>
      </w:r>
      <w:r>
        <w:rPr>
          <w:rFonts w:hint="eastAsia" w:ascii="仿宋" w:hAnsi="仿宋" w:eastAsia="仿宋" w:cs="仿宋"/>
          <w:sz w:val="24"/>
          <w:szCs w:val="24"/>
        </w:rPr>
        <w:t>须为人民币报价，供应商以竞争性比选文件、合同条件、工程量清单、施工设计图纸、国家技术和经济规范及标准和结合下述相关文件为依据，由供应商结合自身实力、市场行情自主合理报价。投标报价应包括完成采购范围内工程项目的人工费、材料费、机械费、材料转运费、垃圾清运费、企业管理费、利润、施工技术措施项目费、施工组织措施项目费安装费、风险费用、规费、税金、政策性文件规定、报建（如需）、验收、后期服务、保险、采购代理服务费等完成本项目的所有费用。因成交供应商自身原因造成漏报、少报皆由其自行承担责任，比选人不再补偿。</w:t>
      </w:r>
    </w:p>
    <w:p w14:paraId="68583400">
      <w:pPr>
        <w:pStyle w:val="2"/>
        <w:spacing w:after="0" w:line="360" w:lineRule="auto"/>
        <w:ind w:firstLine="480"/>
        <w:rPr>
          <w:rFonts w:ascii="仿宋" w:hAnsi="仿宋" w:eastAsia="仿宋" w:cs="仿宋"/>
          <w:b/>
          <w:bCs/>
          <w:sz w:val="24"/>
          <w:szCs w:val="24"/>
          <w:lang w:eastAsia="zh-CN"/>
        </w:rPr>
      </w:pPr>
      <w:r>
        <w:rPr>
          <w:rFonts w:hint="eastAsia" w:ascii="仿宋" w:hAnsi="仿宋" w:eastAsia="仿宋" w:cs="仿宋"/>
          <w:sz w:val="24"/>
          <w:szCs w:val="24"/>
          <w:lang w:eastAsia="zh-CN"/>
        </w:rPr>
        <w:t>（3）异常低价警戒线要求：</w:t>
      </w:r>
      <w:r>
        <w:rPr>
          <w:rFonts w:hint="eastAsia" w:ascii="仿宋" w:hAnsi="仿宋" w:eastAsia="仿宋" w:cs="仿宋"/>
          <w:b/>
          <w:bCs/>
          <w:sz w:val="24"/>
          <w:szCs w:val="24"/>
          <w:lang w:eastAsia="zh-CN"/>
        </w:rPr>
        <w:t>本项目投标总报价异常低价警戒线：</w:t>
      </w:r>
      <w:r>
        <w:rPr>
          <w:rFonts w:hint="eastAsia" w:ascii="仿宋" w:hAnsi="仿宋" w:eastAsia="仿宋" w:cs="仿宋"/>
          <w:b/>
          <w:bCs/>
          <w:sz w:val="24"/>
          <w:szCs w:val="24"/>
          <w:u w:val="single"/>
          <w:lang w:eastAsia="zh-CN"/>
        </w:rPr>
        <w:t xml:space="preserve">最高限价的85% </w:t>
      </w:r>
      <w:r>
        <w:rPr>
          <w:rFonts w:hint="eastAsia" w:ascii="仿宋" w:hAnsi="仿宋" w:eastAsia="仿宋" w:cs="仿宋"/>
          <w:b/>
          <w:bCs/>
          <w:sz w:val="24"/>
          <w:szCs w:val="24"/>
          <w:lang w:eastAsia="zh-CN"/>
        </w:rPr>
        <w:t>。</w:t>
      </w:r>
    </w:p>
    <w:p w14:paraId="0886D9CB">
      <w:pPr>
        <w:pStyle w:val="2"/>
        <w:spacing w:after="0" w:line="360" w:lineRule="auto"/>
        <w:ind w:firstLine="480"/>
        <w:rPr>
          <w:rFonts w:ascii="仿宋" w:hAnsi="仿宋" w:eastAsia="仿宋" w:cs="仿宋"/>
          <w:sz w:val="24"/>
          <w:szCs w:val="24"/>
          <w:lang w:eastAsia="zh-CN"/>
        </w:rPr>
      </w:pPr>
      <w:r>
        <w:rPr>
          <w:rFonts w:hint="eastAsia" w:ascii="仿宋" w:hAnsi="仿宋" w:eastAsia="仿宋" w:cs="仿宋"/>
          <w:sz w:val="24"/>
          <w:szCs w:val="24"/>
          <w:lang w:eastAsia="zh-CN"/>
        </w:rPr>
        <w:t>供应商投标总报价低于竞争性比选文件规定的对应的异常低价警戒线的，应提供报价合理性说明，并提供必要的证明材料。供应商提供的说明不得降低或者改变原设计方案、技术工艺、施工标准，不得影响项目的质量、安全、工期、结算等正常履约。</w:t>
      </w:r>
    </w:p>
    <w:p w14:paraId="2D45211E">
      <w:pPr>
        <w:pStyle w:val="2"/>
        <w:spacing w:after="0" w:line="360" w:lineRule="auto"/>
        <w:ind w:firstLine="480"/>
        <w:rPr>
          <w:rFonts w:ascii="仿宋" w:hAnsi="仿宋" w:eastAsia="仿宋" w:cs="仿宋"/>
          <w:sz w:val="24"/>
          <w:szCs w:val="24"/>
          <w:lang w:eastAsia="zh-CN"/>
        </w:rPr>
      </w:pPr>
      <w:r>
        <w:rPr>
          <w:rFonts w:hint="eastAsia" w:ascii="仿宋" w:hAnsi="仿宋" w:eastAsia="仿宋" w:cs="仿宋"/>
          <w:sz w:val="24"/>
          <w:szCs w:val="24"/>
          <w:lang w:eastAsia="zh-CN"/>
        </w:rPr>
        <w:t>供应商投标总报价低于竞争性比选文件规定的对应的异常低价警戒线的，供应商未提供报价合理性说明或者提供的说明不能证明其报价合理性的，由评审小组作否决投标处理。</w:t>
      </w:r>
    </w:p>
    <w:p w14:paraId="27573587">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2、报价原则</w:t>
      </w:r>
    </w:p>
    <w:p w14:paraId="682E803B">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2.1本工程由供应商以竞争性比选文件、合同条件、工程量清单、本次采购范围的施工设计图纸、国家技术和经济规范及标准，参照《建设工程工程量清单计价规范》（GB50500-2013）及重庆市相关工程量清单计价规则、《重庆市房屋建筑与装饰工程计价定额》（CQJZZSDE-2018）、《重庆市房屋修缮工程计价定额》（CQXSDE-2018）、《重庆市通用安装工程计价定额》（CQAZDE-2018）、《重庆市建设工程费用定额》（CQFYDE-2018）、《重庆市市政工程计价定额》( CQSZDE-2018)等及相关配套文件，根据现场实际情况，由供应商结合自身实力、市场行情自主合理报价。供应商不得低于市场实际成本进行报价，也不得进行不平衡报价。</w:t>
      </w:r>
    </w:p>
    <w:p w14:paraId="14BC8065">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2.2营业税改增值税调整：按《重庆市城乡建设委员会关于适用增值税新税率调整建设工程计价依据的通知》（渝建发〔2019〕143号）执行；</w:t>
      </w:r>
    </w:p>
    <w:p w14:paraId="4A83AABC">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2.3人工单价：本工程人工单价参照重庆市建设工程造价总站主办的《重庆工程造价信息》公布的市场人工指导价由各供应商结合市场行情自主测算计入各分部分项综合单价中，成交后若有涨跌，人工费不予调整。</w:t>
      </w:r>
    </w:p>
    <w:p w14:paraId="1792E77A">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2.4材料价格：由各供应商参照重庆市建设工程造价总站主办的《重庆工程造价信息》荣昌区公布的信息价并结合市场行情以及供应商的自身实力自主报价，本工程所需材料价由各供应商结合市场行情以及供应商的自身实力自主报价，承担材料价格涨跌风险，所采购的材料必须符合国家规范标准及设计文件、竞争性比选文件要求，施工时须提供相应合格证明资料、质保书等。</w:t>
      </w:r>
    </w:p>
    <w:p w14:paraId="3250CAB2">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2.5供应商应按《重庆市建设工程工程量清单计价规则》（CQJJGZ-2013）中相关计价表格使用规定进行表格填报。</w:t>
      </w:r>
    </w:p>
    <w:p w14:paraId="72C4114F">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2.6供应商应认真填写工程量清单中所列的本合同各工程子目的单价或总价。供应商的报价中各单位工程相同工作内容、相同项目名称、相同项目特征、相同部位的清单项的综合单价必须相同，否则结算时以就低原则处理。供应商没有填入单价或总价的工程量清单子目，比选人将认为该子目的价款已包括在其他工程量清单子目的单价或总价中。</w:t>
      </w:r>
    </w:p>
    <w:p w14:paraId="6EF49D78">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2.7企业管理费、利润：供应商根据现场实际情况，结合自身实力、市场行情自主合理报价。</w:t>
      </w:r>
    </w:p>
    <w:p w14:paraId="74619C9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2.8措施项目费</w:t>
      </w:r>
    </w:p>
    <w:p w14:paraId="5E283FE6">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2.8.1施工技术措施项目费：</w:t>
      </w:r>
    </w:p>
    <w:p w14:paraId="66ED11B3">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技术措施项目清单中不以“项”为单位，以项目编码、项目名称、项目特征、工程内容、工程量及计量单位列项的项目，供应商必须按比选人给出的施工技术措施项目清单进行报价，不得擅自改变比选人提供的施工技术措施项目清单中的序号、项目编码、项目名称、项目特征、工程内容、工程量及计量单位，否则视为对竞争性比选文件不作实质性响应，其响应文件按废标处理。成交后不论何种因素影响，相应的综合单价不作调整，工程量根据经批复的施工组织设计、专项施工方案、现场收方资料，按《重庆市建设工程工程量清单计价规则》（CQJJGZ-2013）等规定的计量规则及工程量清单说明计算。</w:t>
      </w:r>
    </w:p>
    <w:p w14:paraId="2190481C">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技术措施项目清单中以“项”为计量单位的项目，由供应商根据现场踏勘情况及本工程的实际情况结合自身施工组织设计，以项为单位自行报价，包干使用，结算时不论合同内工程量增减、设计变更等原因影响的工程量增减都不再调整。</w:t>
      </w:r>
    </w:p>
    <w:p w14:paraId="0338D606">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比选人未给出而供应商认为需发生的技术措施项目由供应商综合测算纳入各分部分项清单的报价之中，结算时不额外增加施工技术措施项目清单，亦不额外支付费用。</w:t>
      </w:r>
    </w:p>
    <w:p w14:paraId="505652C0">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2.8.2安全文明施工费：</w:t>
      </w:r>
    </w:p>
    <w:p w14:paraId="598A973F">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根据《重庆城乡建设委员会关于印发&lt;重庆市建设工程安全文明施工费计取及使用管理规定&gt;的通知》（渝建发〔2014〕25号）规定，安全文明施工费由安全施工费、文明施工费、环境保护费及临时设施费组成。</w:t>
      </w:r>
    </w:p>
    <w:p w14:paraId="4AC839D1">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本工程安全文明施工费由比选人根据《建设工程工程量清单计价规范》（GB50500-2013）、《重庆市建设工程工程量清单计价规则》（CQJJGZ-2013）、《重庆市城乡建设委员会关于印发&lt;重庆市建设工程安全文明施工费计取及使用管理规定&gt;的通知》（渝建发〔2014〕25号）、《重庆市住房和城乡建设委员会关于调整建设施工现场形象品质提升安全文明施工费计取的通知》（渝建管〔2020〕97号）、《重庆市建设工程费用定额》（CQFYDE-2018）、《重庆市住房和城乡建设委员会关于适用增值税新税率调整建设工程计价依据的通知》（渝建〔2019〕143号）的相关规定和费用标准单列计算，安全文明施工费为暂定金额，与最高限价一起公布。</w:t>
      </w:r>
      <w:r>
        <w:rPr>
          <w:rFonts w:hint="eastAsia" w:ascii="仿宋" w:hAnsi="仿宋" w:eastAsia="仿宋" w:cs="仿宋"/>
          <w:b/>
          <w:bCs/>
          <w:sz w:val="24"/>
          <w:szCs w:val="24"/>
        </w:rPr>
        <w:t>《竞争性比选报价函》中的安全文明施工费金额或工程量清单中安全文明施工费的汇总金额未按照比选人给出的暂定金额填报的，视为对竞争性比选文件不作实质性响应，其响应文件由评审小组作否决投标处理</w:t>
      </w:r>
      <w:r>
        <w:rPr>
          <w:rFonts w:hint="eastAsia" w:ascii="仿宋" w:hAnsi="仿宋" w:eastAsia="仿宋" w:cs="仿宋"/>
          <w:sz w:val="24"/>
          <w:szCs w:val="24"/>
        </w:rPr>
        <w:t>。</w:t>
      </w:r>
    </w:p>
    <w:p w14:paraId="39DBA17B">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2.9规费：按照《重庆市建设工程费用定额》（CQFYDE-2018）所规定费率报价。</w:t>
      </w:r>
    </w:p>
    <w:p w14:paraId="13205D56">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3、结算原则</w:t>
      </w:r>
    </w:p>
    <w:p w14:paraId="2A330139">
      <w:pPr>
        <w:snapToGrid w:val="0"/>
        <w:spacing w:line="360" w:lineRule="auto"/>
        <w:ind w:firstLine="540"/>
        <w:rPr>
          <w:rFonts w:ascii="仿宋" w:hAnsi="仿宋" w:eastAsia="仿宋" w:cs="仿宋"/>
          <w:sz w:val="24"/>
          <w:szCs w:val="24"/>
        </w:rPr>
      </w:pPr>
      <w:bookmarkStart w:id="171" w:name="_Toc865"/>
      <w:bookmarkStart w:id="172" w:name="_Toc14655"/>
      <w:r>
        <w:rPr>
          <w:rFonts w:hint="eastAsia" w:ascii="仿宋" w:hAnsi="仿宋" w:eastAsia="仿宋" w:cs="仿宋"/>
          <w:sz w:val="24"/>
          <w:szCs w:val="24"/>
        </w:rPr>
        <w:t>结算总价=中标价±工程变更±工程量计算偏差调整±专业及材料暂估价据实调整±安全文明施工费据实调整±合同约定的其他因素。</w:t>
      </w:r>
    </w:p>
    <w:p w14:paraId="48C2606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本工程结算最终以比选人审计审定的金额为准。</w:t>
      </w:r>
    </w:p>
    <w:p w14:paraId="169F33D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具体结算办法如下：</w:t>
      </w:r>
    </w:p>
    <w:p w14:paraId="26A1098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1）工程量清单报价中有相同子项的，按该子项的中标综合单价执行；</w:t>
      </w:r>
    </w:p>
    <w:p w14:paraId="6AA3921F">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2）工程量清单报价中有类似子项的，参照投标报价中类似子项的中标综合单价执行（类似子项由比选人审定）；</w:t>
      </w:r>
    </w:p>
    <w:p w14:paraId="3A6BC448">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3）工程量清单报价中无相同子项或类似子项的，按“2、报价原则”要求所列定额及其配套、修改、调整文件执行，材料价格调整按合同开标当期《重庆工程造价信息》公布的万州区指导价执行。人工价格调整按开标当期《重庆工程造价信息》公布的万州区指导价执行。万州区没有的材料价格和人工价格根据开标当期《重庆工程造价信息》公布主城区的指导价格执行。未有的材料价格必须经发包人认质认价后办理结算（认质认价的材料价格、安全文明施工费及销项税额除外）。</w:t>
      </w:r>
    </w:p>
    <w:p w14:paraId="3B509CF2">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4）因中标人原因引起的工程量增加，不予计量、计价。</w:t>
      </w:r>
      <w:bookmarkEnd w:id="171"/>
      <w:bookmarkEnd w:id="172"/>
    </w:p>
    <w:p w14:paraId="64BA02F8">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5）按照比选人要求以实施过程中实际收方为准，据实结算，</w:t>
      </w:r>
    </w:p>
    <w:p w14:paraId="3961C68A">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6）本工程结算最终以相关单位审定的金额为准。</w:t>
      </w:r>
    </w:p>
    <w:p w14:paraId="6C5EC983">
      <w:pPr>
        <w:pStyle w:val="5"/>
      </w:pPr>
      <w:bookmarkStart w:id="173" w:name="_Toc4266"/>
      <w:bookmarkStart w:id="174" w:name="_Toc27406"/>
      <w:bookmarkStart w:id="175" w:name="_Toc8818"/>
      <w:bookmarkStart w:id="176" w:name="_Toc10646"/>
      <w:bookmarkStart w:id="177" w:name="_Toc27258"/>
      <w:bookmarkStart w:id="178" w:name="_Toc18393"/>
      <w:bookmarkStart w:id="179" w:name="_Toc30596"/>
      <w:bookmarkStart w:id="180" w:name="_Toc12370"/>
      <w:bookmarkStart w:id="181" w:name="_Toc24069"/>
      <w:bookmarkStart w:id="182" w:name="_Toc414610283"/>
      <w:bookmarkStart w:id="183" w:name="_Toc506192854"/>
      <w:bookmarkStart w:id="184" w:name="_Toc344475123"/>
      <w:bookmarkStart w:id="185" w:name="_Toc24177"/>
      <w:bookmarkStart w:id="186" w:name="_Toc16472"/>
      <w:r>
        <w:rPr>
          <w:rFonts w:hint="eastAsia"/>
        </w:rPr>
        <w:t>三、质量保障及售后服务</w:t>
      </w:r>
      <w:bookmarkEnd w:id="173"/>
      <w:bookmarkEnd w:id="174"/>
      <w:bookmarkEnd w:id="175"/>
      <w:bookmarkEnd w:id="176"/>
      <w:bookmarkEnd w:id="177"/>
      <w:bookmarkEnd w:id="178"/>
      <w:bookmarkEnd w:id="179"/>
      <w:bookmarkEnd w:id="180"/>
    </w:p>
    <w:p w14:paraId="4F76CE36">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 xml:space="preserve">1、材料质量总体要求：所供相关材料必须货真价实，符合环保节能要求，假冒伪劣产品不得参与采购；所供材料的各项手续、文件必须真实完整有效；其他材料各项技术参数、质量指标必须符合国家技术质量监督机构及有关管理部门和行业的规定和标准，主要技术数据和性能要详细描述，满足竞争性比选文件全部要求。 </w:t>
      </w:r>
    </w:p>
    <w:p w14:paraId="6374CE7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2、质保期：</w:t>
      </w:r>
    </w:p>
    <w:p w14:paraId="4451003C">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（1）工程质量保修期限：满足重庆市建设工程质量监督总站监制《重庆市建设工程质量保修书》相关要求，竣工验收合格之日起2年。</w:t>
      </w:r>
    </w:p>
    <w:p w14:paraId="15F410AA">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（2）保修期内，所有施工质量缺陷的维护及维修（非人为损坏）均为免费。</w:t>
      </w:r>
    </w:p>
    <w:p w14:paraId="46AFD477">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（3）保修期内，所有施工质量缺陷（如建材非人为损坏，施工工艺缺陷导致的损坏等）维修均为现场服务，由此产生的费用均不再收取。</w:t>
      </w:r>
    </w:p>
    <w:p w14:paraId="5DFE06DC">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（4）缺陷责任期：24 个月，自工程竣工验收合格之日起计算</w:t>
      </w:r>
    </w:p>
    <w:p w14:paraId="11F1CA07">
      <w:pPr>
        <w:pStyle w:val="5"/>
      </w:pPr>
      <w:bookmarkStart w:id="187" w:name="_Toc13119"/>
      <w:bookmarkStart w:id="188" w:name="_Toc9192"/>
      <w:bookmarkStart w:id="189" w:name="_Toc31869"/>
      <w:bookmarkStart w:id="190" w:name="_Toc31383"/>
      <w:bookmarkStart w:id="191" w:name="_Toc106034785"/>
      <w:bookmarkStart w:id="192" w:name="_Toc32625"/>
      <w:bookmarkStart w:id="193" w:name="_Toc65660345"/>
      <w:bookmarkStart w:id="194" w:name="_Toc9424"/>
      <w:bookmarkStart w:id="195" w:name="_Toc15435"/>
      <w:bookmarkStart w:id="196" w:name="_Toc7562"/>
      <w:bookmarkStart w:id="197" w:name="_Toc11000"/>
      <w:bookmarkStart w:id="198" w:name="_Toc16897"/>
      <w:bookmarkStart w:id="199" w:name="_Toc24926"/>
      <w:r>
        <w:rPr>
          <w:rFonts w:hint="eastAsia"/>
        </w:rPr>
        <w:t>四、付款方式</w:t>
      </w:r>
      <w:bookmarkEnd w:id="187"/>
      <w:bookmarkEnd w:id="188"/>
      <w:bookmarkEnd w:id="189"/>
      <w:bookmarkEnd w:id="190"/>
      <w:bookmarkEnd w:id="191"/>
      <w:bookmarkEnd w:id="192"/>
      <w:bookmarkEnd w:id="193"/>
      <w:bookmarkEnd w:id="194"/>
      <w:bookmarkEnd w:id="195"/>
      <w:bookmarkEnd w:id="196"/>
      <w:bookmarkEnd w:id="197"/>
      <w:bookmarkEnd w:id="198"/>
      <w:bookmarkEnd w:id="199"/>
    </w:p>
    <w:p w14:paraId="1302F8A1">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1.履约保证金：本项目履约保证金为中标合同金额的10%。成交供应商应在结果公示期结束后10日内，通过现金转账形式或支票、汇票、本票或者金融机构、担保机构出具的保函等非现金形式向比选人缴纳履约保证金，逾期未缴纳视为成交供应商放弃成交资格。</w:t>
      </w:r>
    </w:p>
    <w:p w14:paraId="1C140AC6">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2、工程款支付：（1）项目完工后向供应商拨付工程款至合同金额的80%；（2）项目竣工验收合格，供应商向比选人移交竣工资料及提供完整（完整的资料需包括但不限于施工、验收等项目全流程纸质资料）合格的结算审核资料，经第三方造价咨询机构审定后，供应商按审定价格开具发票，比选人向供应商支付至审定金额的97%，剩余3%为质保金，待缺陷责任期满后无质量售后问题一次性无息支付。</w:t>
      </w:r>
    </w:p>
    <w:p w14:paraId="1F9CEFA2">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3、比选人支付款项前，供应商须向比选人开具合法有效的建筑行业增值税发票，否则比选人有权拒绝支付。</w:t>
      </w:r>
    </w:p>
    <w:p w14:paraId="76C349B1">
      <w:pPr>
        <w:pStyle w:val="5"/>
      </w:pPr>
      <w:bookmarkStart w:id="200" w:name="_Toc29560"/>
      <w:bookmarkStart w:id="201" w:name="_Toc8734"/>
      <w:bookmarkStart w:id="202" w:name="_Toc19845"/>
      <w:bookmarkStart w:id="203" w:name="_Toc6196"/>
      <w:bookmarkStart w:id="204" w:name="_Toc26820"/>
      <w:bookmarkStart w:id="205" w:name="_Toc21647"/>
      <w:bookmarkStart w:id="206" w:name="_Toc22357"/>
      <w:bookmarkStart w:id="207" w:name="_Toc17065"/>
      <w:r>
        <w:rPr>
          <w:rFonts w:hint="eastAsia"/>
        </w:rPr>
        <w:t>五、知识产权</w:t>
      </w:r>
      <w:bookmarkEnd w:id="181"/>
      <w:bookmarkEnd w:id="182"/>
      <w:bookmarkEnd w:id="183"/>
      <w:bookmarkEnd w:id="184"/>
      <w:bookmarkEnd w:id="185"/>
      <w:bookmarkEnd w:id="186"/>
      <w:bookmarkEnd w:id="200"/>
      <w:bookmarkEnd w:id="201"/>
      <w:bookmarkEnd w:id="202"/>
      <w:bookmarkEnd w:id="203"/>
      <w:bookmarkEnd w:id="204"/>
      <w:bookmarkEnd w:id="205"/>
      <w:bookmarkEnd w:id="206"/>
      <w:bookmarkEnd w:id="207"/>
    </w:p>
    <w:p w14:paraId="666759D7">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比选人在中华人民共和国境内使用成交供应商提供的项目内容及服务时免受第三方提出的侵犯其专利权或其它知识产权的起诉。如果第三方提出侵权指控，成交供应商应承担由此而引起的一切法律责任和费用。</w:t>
      </w:r>
    </w:p>
    <w:p w14:paraId="07468B7E">
      <w:pPr>
        <w:snapToGrid w:val="0"/>
        <w:spacing w:line="360" w:lineRule="auto"/>
        <w:ind w:firstLine="540"/>
        <w:rPr>
          <w:rFonts w:ascii="仿宋" w:hAnsi="仿宋" w:eastAsia="仿宋" w:cs="仿宋"/>
          <w:sz w:val="24"/>
          <w:szCs w:val="24"/>
        </w:rPr>
      </w:pPr>
      <w:r>
        <w:rPr>
          <w:rFonts w:hint="eastAsia" w:ascii="仿宋" w:hAnsi="仿宋" w:eastAsia="仿宋" w:cs="仿宋"/>
          <w:sz w:val="24"/>
          <w:szCs w:val="24"/>
        </w:rPr>
        <w:t>（注：若涉及软件开发等服务类项目知识产权的，知识产权归比选人所有）。</w:t>
      </w:r>
    </w:p>
    <w:p w14:paraId="2828C84A">
      <w:pPr>
        <w:pStyle w:val="5"/>
      </w:pPr>
      <w:bookmarkStart w:id="208" w:name="_Toc7811"/>
      <w:bookmarkStart w:id="209" w:name="_Toc20378"/>
      <w:bookmarkStart w:id="210" w:name="_Toc3137"/>
      <w:bookmarkStart w:id="211" w:name="_Toc1160"/>
      <w:bookmarkStart w:id="212" w:name="_Toc21712"/>
      <w:bookmarkStart w:id="213" w:name="_Toc6481"/>
      <w:bookmarkStart w:id="214" w:name="_Toc7129"/>
      <w:bookmarkStart w:id="215" w:name="_Toc506192855"/>
      <w:bookmarkStart w:id="216" w:name="_Toc9614"/>
      <w:bookmarkStart w:id="217" w:name="_Toc8774"/>
      <w:bookmarkStart w:id="218" w:name="_Toc414610285"/>
      <w:bookmarkStart w:id="219" w:name="_Toc16449"/>
      <w:bookmarkStart w:id="220" w:name="_Toc31551"/>
      <w:r>
        <w:rPr>
          <w:rFonts w:hint="eastAsia"/>
        </w:rPr>
        <w:t>六、</w:t>
      </w:r>
      <w:bookmarkStart w:id="221" w:name="_Toc344475125"/>
      <w:r>
        <w:rPr>
          <w:rFonts w:hint="eastAsia"/>
        </w:rPr>
        <w:t>其他</w:t>
      </w:r>
      <w:bookmarkEnd w:id="208"/>
      <w:bookmarkEnd w:id="209"/>
      <w:bookmarkEnd w:id="210"/>
      <w:bookmarkEnd w:id="211"/>
      <w:bookmarkEnd w:id="212"/>
      <w:bookmarkEnd w:id="213"/>
      <w:bookmarkEnd w:id="214"/>
      <w:bookmarkEnd w:id="215"/>
      <w:bookmarkEnd w:id="216"/>
      <w:bookmarkEnd w:id="217"/>
      <w:bookmarkEnd w:id="218"/>
      <w:bookmarkEnd w:id="219"/>
      <w:bookmarkEnd w:id="220"/>
    </w:p>
    <w:bookmarkEnd w:id="221"/>
    <w:p w14:paraId="411E81EC">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（一）供应商必须在响应文件中对以上条款和服务承诺明确列出，承诺内容必须达到本篇及竞争性比选文件其他条款的要求。</w:t>
      </w:r>
    </w:p>
    <w:p w14:paraId="73581F0C">
      <w:pPr>
        <w:snapToGrid w:val="0"/>
        <w:spacing w:line="360" w:lineRule="auto"/>
        <w:ind w:left="716" w:leftChars="170" w:hanging="240" w:hangingChars="100"/>
        <w:rPr>
          <w:rFonts w:ascii="仿宋" w:hAnsi="仿宋" w:eastAsia="仿宋" w:cs="仿宋"/>
          <w:sz w:val="24"/>
          <w:szCs w:val="24"/>
        </w:rPr>
      </w:pPr>
      <w:r>
        <w:rPr>
          <w:rFonts w:hint="eastAsia" w:ascii="仿宋" w:hAnsi="仿宋" w:eastAsia="仿宋" w:cs="仿宋"/>
          <w:sz w:val="24"/>
          <w:szCs w:val="24"/>
        </w:rPr>
        <w:t>（二）其他未尽事宜由供需双方在采购合同中详细约定。</w:t>
      </w:r>
    </w:p>
    <w:p w14:paraId="5D7983A1">
      <w:pPr>
        <w:pStyle w:val="70"/>
        <w:spacing w:line="360" w:lineRule="auto"/>
        <w:rPr>
          <w:rFonts w:ascii="仿宋" w:hAnsi="仿宋" w:eastAsia="仿宋" w:cs="仿宋"/>
          <w:szCs w:val="24"/>
        </w:rPr>
      </w:pPr>
    </w:p>
    <w:p w14:paraId="5360FBED">
      <w:pPr>
        <w:pStyle w:val="4"/>
        <w:sectPr>
          <w:footerReference r:id="rId7" w:type="default"/>
          <w:pgSz w:w="11905" w:h="16838"/>
          <w:pgMar w:top="1134" w:right="1191" w:bottom="1134" w:left="1304" w:header="850" w:footer="992" w:gutter="0"/>
          <w:pgNumType w:start="1"/>
          <w:cols w:space="0" w:num="1"/>
          <w:docGrid w:type="lines" w:linePitch="317" w:charSpace="0"/>
        </w:sectPr>
      </w:pPr>
      <w:bookmarkStart w:id="222" w:name="_Toc29310"/>
      <w:bookmarkStart w:id="223" w:name="_Toc21577"/>
      <w:bookmarkStart w:id="224" w:name="_Toc23145"/>
      <w:bookmarkStart w:id="225" w:name="_Toc6624"/>
      <w:bookmarkStart w:id="226" w:name="_Toc20665"/>
      <w:bookmarkStart w:id="227" w:name="_Toc32758"/>
      <w:bookmarkStart w:id="228" w:name="_Toc10852"/>
      <w:bookmarkStart w:id="229" w:name="_Toc20152"/>
      <w:bookmarkStart w:id="230" w:name="_Toc22917"/>
    </w:p>
    <w:p w14:paraId="1656B16D">
      <w:pPr>
        <w:pStyle w:val="4"/>
      </w:pPr>
      <w:r>
        <w:rPr>
          <w:rFonts w:hint="eastAsia"/>
        </w:rPr>
        <w:t>第四篇 竞争性比选程序及方法、评审标准、响应无效和采购终止</w:t>
      </w:r>
      <w:bookmarkEnd w:id="222"/>
      <w:bookmarkEnd w:id="223"/>
      <w:bookmarkEnd w:id="224"/>
      <w:bookmarkEnd w:id="225"/>
      <w:bookmarkEnd w:id="226"/>
      <w:bookmarkEnd w:id="227"/>
      <w:bookmarkEnd w:id="228"/>
      <w:bookmarkEnd w:id="229"/>
      <w:bookmarkEnd w:id="230"/>
    </w:p>
    <w:p w14:paraId="2202F923">
      <w:pPr>
        <w:pStyle w:val="5"/>
        <w:rPr>
          <w:rFonts w:ascii="仿宋" w:hAnsi="仿宋"/>
          <w:szCs w:val="24"/>
        </w:rPr>
      </w:pPr>
      <w:bookmarkStart w:id="231" w:name="_Toc13829"/>
      <w:bookmarkStart w:id="232" w:name="_Toc7278"/>
      <w:bookmarkStart w:id="233" w:name="_Toc10357"/>
      <w:bookmarkStart w:id="234" w:name="_Toc17434"/>
      <w:bookmarkStart w:id="235" w:name="_Toc24494"/>
      <w:bookmarkStart w:id="236" w:name="_Toc22875"/>
      <w:bookmarkStart w:id="237" w:name="_Toc31994"/>
      <w:bookmarkStart w:id="238" w:name="_Toc13797"/>
      <w:bookmarkStart w:id="239" w:name="_Toc11708"/>
      <w:bookmarkStart w:id="240" w:name="_Toc19798"/>
      <w:bookmarkStart w:id="241" w:name="_Toc32110"/>
      <w:bookmarkStart w:id="242" w:name="_Toc342913394"/>
      <w:bookmarkStart w:id="243" w:name="_Toc102227320"/>
      <w:r>
        <w:rPr>
          <w:rFonts w:hint="eastAsia" w:ascii="仿宋" w:hAnsi="仿宋"/>
          <w:szCs w:val="24"/>
        </w:rPr>
        <w:t>一、竞争性比选程序及方法</w:t>
      </w:r>
      <w:bookmarkEnd w:id="231"/>
      <w:bookmarkEnd w:id="232"/>
      <w:bookmarkEnd w:id="233"/>
      <w:bookmarkEnd w:id="234"/>
      <w:bookmarkEnd w:id="235"/>
      <w:bookmarkEnd w:id="236"/>
      <w:bookmarkEnd w:id="237"/>
      <w:bookmarkEnd w:id="238"/>
      <w:bookmarkEnd w:id="239"/>
      <w:bookmarkEnd w:id="240"/>
    </w:p>
    <w:p w14:paraId="4A15DFF4">
      <w:pPr>
        <w:spacing w:line="360" w:lineRule="auto"/>
        <w:ind w:firstLine="480" w:firstLineChars="200"/>
        <w:rPr>
          <w:rFonts w:ascii="仿宋" w:hAnsi="仿宋" w:eastAsia="仿宋"/>
          <w:sz w:val="24"/>
          <w:szCs w:val="24"/>
        </w:rPr>
      </w:pPr>
      <w:r>
        <w:rPr>
          <w:rFonts w:hint="eastAsia" w:ascii="仿宋" w:hAnsi="仿宋" w:eastAsia="仿宋"/>
          <w:sz w:val="24"/>
          <w:szCs w:val="24"/>
        </w:rPr>
        <w:t>（一）竞争性比选按竞争性比选文件规定的开标时间和地点进行，供应商须有法定代表人或其授权代表参加并签到。</w:t>
      </w:r>
    </w:p>
    <w:p w14:paraId="01F20449">
      <w:pPr>
        <w:spacing w:line="360" w:lineRule="auto"/>
        <w:ind w:firstLine="480" w:firstLineChars="200"/>
        <w:rPr>
          <w:rFonts w:ascii="仿宋" w:hAnsi="仿宋" w:eastAsia="仿宋"/>
          <w:sz w:val="24"/>
          <w:szCs w:val="24"/>
        </w:rPr>
      </w:pPr>
      <w:r>
        <w:rPr>
          <w:rFonts w:hint="eastAsia" w:ascii="仿宋" w:hAnsi="仿宋" w:eastAsia="仿宋"/>
          <w:sz w:val="24"/>
          <w:szCs w:val="24"/>
        </w:rPr>
        <w:t>（二）评审小组对各供应商的资格条件、响应文件的有效性、完整性和响应程度进行审查。各供应商只有在完全符合要求的前提下，才能正式参与竞争性比选。</w:t>
      </w:r>
    </w:p>
    <w:p w14:paraId="29A755D3">
      <w:pPr>
        <w:snapToGrid w:val="0"/>
        <w:spacing w:line="360" w:lineRule="auto"/>
        <w:ind w:firstLine="480" w:firstLineChars="200"/>
        <w:rPr>
          <w:rFonts w:ascii="仿宋" w:hAnsi="仿宋" w:eastAsia="仿宋" w:cs="宋体"/>
          <w:kern w:val="0"/>
          <w:sz w:val="24"/>
          <w:szCs w:val="24"/>
        </w:rPr>
      </w:pPr>
      <w:r>
        <w:rPr>
          <w:rFonts w:hint="eastAsia" w:ascii="仿宋" w:hAnsi="仿宋" w:eastAsia="仿宋"/>
          <w:sz w:val="24"/>
          <w:szCs w:val="24"/>
        </w:rPr>
        <w:t>1.</w:t>
      </w:r>
      <w:r>
        <w:rPr>
          <w:rFonts w:hint="eastAsia" w:ascii="仿宋" w:hAnsi="仿宋" w:eastAsia="仿宋" w:cs="宋体"/>
          <w:kern w:val="0"/>
          <w:sz w:val="24"/>
          <w:szCs w:val="24"/>
        </w:rPr>
        <w:t>资格性检查。依据法律法规和竞争性比选文件的规定，对响应文件中的资格证明进行审查，以确定供应商是否具备竞争性比选资格。资格性检查资料表如下：</w:t>
      </w:r>
    </w:p>
    <w:tbl>
      <w:tblPr>
        <w:tblStyle w:val="60"/>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3685"/>
        <w:gridCol w:w="4558"/>
      </w:tblGrid>
      <w:tr w14:paraId="01E4F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14:paraId="20BCD67E">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序号</w:t>
            </w:r>
          </w:p>
        </w:tc>
        <w:tc>
          <w:tcPr>
            <w:tcW w:w="4394" w:type="dxa"/>
            <w:gridSpan w:val="2"/>
            <w:vAlign w:val="center"/>
          </w:tcPr>
          <w:p w14:paraId="5157B57A">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检查因素</w:t>
            </w:r>
          </w:p>
        </w:tc>
        <w:tc>
          <w:tcPr>
            <w:tcW w:w="4558" w:type="dxa"/>
            <w:vAlign w:val="center"/>
          </w:tcPr>
          <w:p w14:paraId="1AE6C573">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检查内容</w:t>
            </w:r>
          </w:p>
        </w:tc>
      </w:tr>
      <w:tr w14:paraId="28E0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vAlign w:val="center"/>
          </w:tcPr>
          <w:p w14:paraId="1601DD0A">
            <w:pPr>
              <w:spacing w:line="360" w:lineRule="auto"/>
              <w:jc w:val="center"/>
              <w:rPr>
                <w:rFonts w:ascii="仿宋" w:hAnsi="仿宋" w:eastAsia="仿宋" w:cs="仿宋"/>
                <w:sz w:val="21"/>
                <w:szCs w:val="21"/>
              </w:rPr>
            </w:pPr>
            <w:r>
              <w:rPr>
                <w:rFonts w:hint="eastAsia" w:ascii="仿宋" w:hAnsi="仿宋" w:eastAsia="仿宋" w:cs="仿宋"/>
                <w:sz w:val="21"/>
                <w:szCs w:val="21"/>
              </w:rPr>
              <w:t>1</w:t>
            </w:r>
          </w:p>
        </w:tc>
        <w:tc>
          <w:tcPr>
            <w:tcW w:w="709" w:type="dxa"/>
            <w:vMerge w:val="restart"/>
            <w:vAlign w:val="center"/>
          </w:tcPr>
          <w:p w14:paraId="273C2203">
            <w:pPr>
              <w:spacing w:line="360" w:lineRule="auto"/>
              <w:rPr>
                <w:rFonts w:ascii="仿宋" w:hAnsi="仿宋" w:eastAsia="仿宋" w:cs="仿宋"/>
                <w:sz w:val="21"/>
                <w:szCs w:val="21"/>
                <w:lang w:val="zh-CN"/>
              </w:rPr>
            </w:pPr>
            <w:r>
              <w:rPr>
                <w:rFonts w:hint="eastAsia" w:ascii="仿宋" w:hAnsi="仿宋" w:eastAsia="仿宋" w:cs="仿宋"/>
                <w:sz w:val="21"/>
                <w:szCs w:val="21"/>
                <w:lang w:val="zh-CN"/>
              </w:rPr>
              <w:t>《中华人民共和国政府采购法》第二十二条规定</w:t>
            </w:r>
          </w:p>
        </w:tc>
        <w:tc>
          <w:tcPr>
            <w:tcW w:w="3685" w:type="dxa"/>
            <w:vAlign w:val="center"/>
          </w:tcPr>
          <w:p w14:paraId="3B3C61A0">
            <w:pPr>
              <w:spacing w:line="360" w:lineRule="auto"/>
              <w:rPr>
                <w:rFonts w:ascii="仿宋" w:hAnsi="仿宋" w:eastAsia="仿宋" w:cs="仿宋"/>
                <w:sz w:val="21"/>
                <w:szCs w:val="21"/>
              </w:rPr>
            </w:pPr>
            <w:r>
              <w:rPr>
                <w:rFonts w:hint="eastAsia" w:ascii="仿宋" w:hAnsi="仿宋" w:eastAsia="仿宋" w:cs="仿宋"/>
                <w:sz w:val="21"/>
                <w:szCs w:val="21"/>
              </w:rPr>
              <w:t>（1）具有独立承担民事责任的能力</w:t>
            </w:r>
          </w:p>
        </w:tc>
        <w:tc>
          <w:tcPr>
            <w:tcW w:w="4558" w:type="dxa"/>
            <w:vAlign w:val="center"/>
          </w:tcPr>
          <w:p w14:paraId="252FBEEA">
            <w:pPr>
              <w:spacing w:line="360" w:lineRule="auto"/>
              <w:rPr>
                <w:rFonts w:ascii="仿宋" w:hAnsi="仿宋" w:eastAsia="仿宋" w:cs="仿宋"/>
                <w:sz w:val="21"/>
                <w:szCs w:val="21"/>
              </w:rPr>
            </w:pPr>
            <w:r>
              <w:rPr>
                <w:rFonts w:hint="eastAsia" w:ascii="仿宋" w:hAnsi="仿宋" w:eastAsia="仿宋" w:cs="仿宋"/>
                <w:sz w:val="21"/>
                <w:szCs w:val="21"/>
              </w:rPr>
              <w:t xml:space="preserve">1.供应商法人营业执照（副本）或事业单位法人证书（副本）或个体工商户营业执照或有效的自然人身份证明或社会团体法人登记证书（提供复印件）。 </w:t>
            </w:r>
          </w:p>
          <w:p w14:paraId="2DABAFA6">
            <w:pPr>
              <w:spacing w:line="360" w:lineRule="auto"/>
              <w:rPr>
                <w:rFonts w:ascii="仿宋" w:hAnsi="仿宋" w:eastAsia="仿宋" w:cs="仿宋"/>
                <w:sz w:val="21"/>
                <w:szCs w:val="21"/>
              </w:rPr>
            </w:pPr>
            <w:r>
              <w:rPr>
                <w:rFonts w:hint="eastAsia" w:ascii="仿宋" w:hAnsi="仿宋" w:eastAsia="仿宋" w:cs="仿宋"/>
                <w:sz w:val="21"/>
                <w:szCs w:val="21"/>
              </w:rPr>
              <w:t>2.供应商法定代表人身份证明和法定代表人授权代表委托书。</w:t>
            </w:r>
          </w:p>
        </w:tc>
      </w:tr>
      <w:tr w14:paraId="38FBD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07182FEC">
            <w:pPr>
              <w:spacing w:line="360" w:lineRule="auto"/>
              <w:jc w:val="center"/>
              <w:rPr>
                <w:rFonts w:ascii="仿宋" w:hAnsi="仿宋" w:eastAsia="仿宋" w:cs="仿宋"/>
                <w:sz w:val="21"/>
                <w:szCs w:val="21"/>
              </w:rPr>
            </w:pPr>
          </w:p>
        </w:tc>
        <w:tc>
          <w:tcPr>
            <w:tcW w:w="709" w:type="dxa"/>
            <w:vMerge w:val="continue"/>
            <w:vAlign w:val="center"/>
          </w:tcPr>
          <w:p w14:paraId="39CC677A">
            <w:pPr>
              <w:spacing w:line="360" w:lineRule="auto"/>
              <w:rPr>
                <w:rFonts w:ascii="仿宋" w:hAnsi="仿宋" w:eastAsia="仿宋" w:cs="仿宋"/>
                <w:sz w:val="21"/>
                <w:szCs w:val="21"/>
                <w:lang w:val="zh-CN"/>
              </w:rPr>
            </w:pPr>
          </w:p>
        </w:tc>
        <w:tc>
          <w:tcPr>
            <w:tcW w:w="3685" w:type="dxa"/>
            <w:vAlign w:val="center"/>
          </w:tcPr>
          <w:p w14:paraId="4DED7139">
            <w:pPr>
              <w:spacing w:line="360" w:lineRule="auto"/>
              <w:rPr>
                <w:rFonts w:ascii="仿宋" w:hAnsi="仿宋" w:eastAsia="仿宋" w:cs="仿宋"/>
                <w:sz w:val="21"/>
                <w:szCs w:val="21"/>
              </w:rPr>
            </w:pPr>
            <w:r>
              <w:rPr>
                <w:rFonts w:hint="eastAsia" w:ascii="仿宋" w:hAnsi="仿宋" w:eastAsia="仿宋" w:cs="仿宋"/>
                <w:sz w:val="21"/>
                <w:szCs w:val="21"/>
                <w:lang w:val="zh-CN"/>
              </w:rPr>
              <w:t>（2）</w:t>
            </w:r>
            <w:r>
              <w:rPr>
                <w:rFonts w:hint="eastAsia" w:ascii="仿宋" w:hAnsi="仿宋" w:eastAsia="仿宋" w:cs="仿宋"/>
                <w:sz w:val="21"/>
                <w:szCs w:val="21"/>
              </w:rPr>
              <w:t>具有良好的商业信誉和健全的财务会计制度</w:t>
            </w:r>
          </w:p>
        </w:tc>
        <w:tc>
          <w:tcPr>
            <w:tcW w:w="4558" w:type="dxa"/>
            <w:vMerge w:val="restart"/>
            <w:vAlign w:val="center"/>
          </w:tcPr>
          <w:p w14:paraId="52FE069C">
            <w:pPr>
              <w:tabs>
                <w:tab w:val="left" w:pos="6300"/>
              </w:tabs>
              <w:snapToGrid w:val="0"/>
              <w:spacing w:line="360" w:lineRule="auto"/>
              <w:jc w:val="left"/>
              <w:rPr>
                <w:rFonts w:ascii="仿宋" w:hAnsi="仿宋" w:eastAsia="仿宋" w:cs="仿宋"/>
                <w:sz w:val="21"/>
                <w:szCs w:val="21"/>
              </w:rPr>
            </w:pPr>
            <w:r>
              <w:rPr>
                <w:rFonts w:hint="eastAsia" w:ascii="仿宋" w:hAnsi="仿宋" w:eastAsia="仿宋" w:cs="仿宋"/>
                <w:sz w:val="21"/>
                <w:szCs w:val="21"/>
              </w:rPr>
              <w:t>供应商提供“基本资格条件承诺函”（详见第七篇）。</w:t>
            </w:r>
          </w:p>
          <w:p w14:paraId="36DCE863">
            <w:pPr>
              <w:spacing w:line="360" w:lineRule="auto"/>
              <w:jc w:val="left"/>
              <w:rPr>
                <w:rFonts w:ascii="仿宋" w:hAnsi="仿宋" w:eastAsia="仿宋" w:cs="仿宋"/>
                <w:sz w:val="21"/>
                <w:szCs w:val="21"/>
              </w:rPr>
            </w:pPr>
          </w:p>
        </w:tc>
      </w:tr>
      <w:tr w14:paraId="7C8F2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Merge w:val="continue"/>
            <w:vAlign w:val="center"/>
          </w:tcPr>
          <w:p w14:paraId="57F85174">
            <w:pPr>
              <w:spacing w:line="360" w:lineRule="auto"/>
              <w:jc w:val="center"/>
              <w:rPr>
                <w:rFonts w:ascii="仿宋" w:hAnsi="仿宋" w:eastAsia="仿宋" w:cs="仿宋"/>
                <w:sz w:val="21"/>
                <w:szCs w:val="21"/>
              </w:rPr>
            </w:pPr>
          </w:p>
        </w:tc>
        <w:tc>
          <w:tcPr>
            <w:tcW w:w="709" w:type="dxa"/>
            <w:vMerge w:val="continue"/>
            <w:vAlign w:val="center"/>
          </w:tcPr>
          <w:p w14:paraId="73356199">
            <w:pPr>
              <w:spacing w:line="360" w:lineRule="auto"/>
              <w:rPr>
                <w:rFonts w:ascii="仿宋" w:hAnsi="仿宋" w:eastAsia="仿宋" w:cs="仿宋"/>
                <w:sz w:val="21"/>
                <w:szCs w:val="21"/>
                <w:lang w:val="zh-CN"/>
              </w:rPr>
            </w:pPr>
          </w:p>
        </w:tc>
        <w:tc>
          <w:tcPr>
            <w:tcW w:w="3685" w:type="dxa"/>
            <w:vAlign w:val="center"/>
          </w:tcPr>
          <w:p w14:paraId="0BC4B666">
            <w:pPr>
              <w:spacing w:line="360" w:lineRule="auto"/>
              <w:rPr>
                <w:rFonts w:ascii="仿宋" w:hAnsi="仿宋" w:eastAsia="仿宋" w:cs="仿宋"/>
                <w:sz w:val="21"/>
                <w:szCs w:val="21"/>
                <w:lang w:val="zh-CN"/>
              </w:rPr>
            </w:pPr>
            <w:r>
              <w:rPr>
                <w:rFonts w:hint="eastAsia" w:ascii="仿宋" w:hAnsi="仿宋" w:eastAsia="仿宋" w:cs="仿宋"/>
                <w:sz w:val="21"/>
                <w:szCs w:val="21"/>
                <w:lang w:val="zh-CN"/>
              </w:rPr>
              <w:t>（3）具有履行合同所必需的设备和专业技术能力</w:t>
            </w:r>
          </w:p>
        </w:tc>
        <w:tc>
          <w:tcPr>
            <w:tcW w:w="4558" w:type="dxa"/>
            <w:vMerge w:val="continue"/>
            <w:vAlign w:val="center"/>
          </w:tcPr>
          <w:p w14:paraId="6B5F6F3B">
            <w:pPr>
              <w:spacing w:line="360" w:lineRule="auto"/>
              <w:rPr>
                <w:rFonts w:ascii="仿宋" w:hAnsi="仿宋" w:eastAsia="仿宋" w:cs="仿宋"/>
                <w:sz w:val="21"/>
                <w:szCs w:val="21"/>
              </w:rPr>
            </w:pPr>
          </w:p>
        </w:tc>
      </w:tr>
      <w:tr w14:paraId="7F7C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676" w:type="dxa"/>
            <w:vMerge w:val="continue"/>
            <w:vAlign w:val="center"/>
          </w:tcPr>
          <w:p w14:paraId="51D5CE6E">
            <w:pPr>
              <w:spacing w:line="360" w:lineRule="auto"/>
              <w:jc w:val="center"/>
              <w:rPr>
                <w:rFonts w:ascii="仿宋" w:hAnsi="仿宋" w:eastAsia="仿宋" w:cs="仿宋"/>
                <w:sz w:val="21"/>
                <w:szCs w:val="21"/>
              </w:rPr>
            </w:pPr>
          </w:p>
        </w:tc>
        <w:tc>
          <w:tcPr>
            <w:tcW w:w="709" w:type="dxa"/>
            <w:vMerge w:val="continue"/>
            <w:vAlign w:val="center"/>
          </w:tcPr>
          <w:p w14:paraId="219F2AA1">
            <w:pPr>
              <w:spacing w:line="360" w:lineRule="auto"/>
              <w:rPr>
                <w:rFonts w:ascii="仿宋" w:hAnsi="仿宋" w:eastAsia="仿宋" w:cs="仿宋"/>
                <w:sz w:val="21"/>
                <w:szCs w:val="21"/>
                <w:lang w:val="zh-CN"/>
              </w:rPr>
            </w:pPr>
          </w:p>
        </w:tc>
        <w:tc>
          <w:tcPr>
            <w:tcW w:w="3685" w:type="dxa"/>
            <w:vAlign w:val="center"/>
          </w:tcPr>
          <w:p w14:paraId="71CFF281">
            <w:pPr>
              <w:spacing w:line="360" w:lineRule="auto"/>
              <w:rPr>
                <w:rFonts w:ascii="仿宋" w:hAnsi="仿宋" w:eastAsia="仿宋" w:cs="仿宋"/>
                <w:sz w:val="21"/>
                <w:szCs w:val="21"/>
                <w:lang w:val="zh-CN"/>
              </w:rPr>
            </w:pPr>
            <w:r>
              <w:rPr>
                <w:rFonts w:hint="eastAsia" w:ascii="仿宋" w:hAnsi="仿宋" w:eastAsia="仿宋" w:cs="仿宋"/>
                <w:sz w:val="21"/>
                <w:szCs w:val="21"/>
                <w:lang w:val="zh-CN"/>
              </w:rPr>
              <w:t>（4）有依法缴纳税收和社会保障金的良好记录</w:t>
            </w:r>
          </w:p>
        </w:tc>
        <w:tc>
          <w:tcPr>
            <w:tcW w:w="4558" w:type="dxa"/>
            <w:vMerge w:val="continue"/>
            <w:vAlign w:val="center"/>
          </w:tcPr>
          <w:p w14:paraId="1046F349">
            <w:pPr>
              <w:spacing w:line="360" w:lineRule="auto"/>
              <w:rPr>
                <w:rFonts w:ascii="仿宋" w:hAnsi="仿宋" w:eastAsia="仿宋" w:cs="仿宋"/>
                <w:sz w:val="21"/>
                <w:szCs w:val="21"/>
              </w:rPr>
            </w:pPr>
          </w:p>
        </w:tc>
      </w:tr>
      <w:tr w14:paraId="45EE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vAlign w:val="center"/>
          </w:tcPr>
          <w:p w14:paraId="15B2898D">
            <w:pPr>
              <w:spacing w:line="360" w:lineRule="auto"/>
              <w:jc w:val="center"/>
              <w:rPr>
                <w:rFonts w:ascii="仿宋" w:hAnsi="仿宋" w:eastAsia="仿宋" w:cs="仿宋"/>
                <w:sz w:val="21"/>
                <w:szCs w:val="21"/>
              </w:rPr>
            </w:pPr>
          </w:p>
        </w:tc>
        <w:tc>
          <w:tcPr>
            <w:tcW w:w="709" w:type="dxa"/>
            <w:vMerge w:val="continue"/>
            <w:vAlign w:val="center"/>
          </w:tcPr>
          <w:p w14:paraId="37C8E0DD">
            <w:pPr>
              <w:spacing w:line="360" w:lineRule="auto"/>
              <w:rPr>
                <w:rFonts w:ascii="仿宋" w:hAnsi="仿宋" w:eastAsia="仿宋" w:cs="仿宋"/>
                <w:sz w:val="21"/>
                <w:szCs w:val="21"/>
                <w:lang w:val="zh-CN"/>
              </w:rPr>
            </w:pPr>
          </w:p>
        </w:tc>
        <w:tc>
          <w:tcPr>
            <w:tcW w:w="3685" w:type="dxa"/>
            <w:vAlign w:val="center"/>
          </w:tcPr>
          <w:p w14:paraId="1178656C">
            <w:pPr>
              <w:spacing w:line="360" w:lineRule="auto"/>
              <w:rPr>
                <w:rFonts w:ascii="仿宋" w:hAnsi="仿宋" w:eastAsia="仿宋" w:cs="仿宋"/>
                <w:sz w:val="21"/>
                <w:szCs w:val="21"/>
                <w:lang w:val="zh-CN"/>
              </w:rPr>
            </w:pPr>
            <w:r>
              <w:rPr>
                <w:rFonts w:hint="eastAsia" w:ascii="仿宋" w:hAnsi="仿宋" w:eastAsia="仿宋" w:cs="仿宋"/>
                <w:sz w:val="21"/>
                <w:szCs w:val="21"/>
              </w:rPr>
              <w:t>（5）参加政府采购活动前三年内，在经营活动中没有重大违法记录（注①）</w:t>
            </w:r>
          </w:p>
        </w:tc>
        <w:tc>
          <w:tcPr>
            <w:tcW w:w="4558" w:type="dxa"/>
            <w:vAlign w:val="center"/>
          </w:tcPr>
          <w:p w14:paraId="6A7FBC34">
            <w:pPr>
              <w:spacing w:line="360" w:lineRule="auto"/>
              <w:rPr>
                <w:rFonts w:ascii="仿宋" w:hAnsi="仿宋" w:eastAsia="仿宋" w:cs="仿宋"/>
                <w:sz w:val="21"/>
                <w:szCs w:val="21"/>
              </w:rPr>
            </w:pPr>
            <w:r>
              <w:rPr>
                <w:rFonts w:hint="eastAsia" w:ascii="仿宋" w:hAnsi="仿宋" w:eastAsia="仿宋" w:cs="仿宋"/>
                <w:sz w:val="21"/>
                <w:szCs w:val="21"/>
              </w:rPr>
              <w:t>1.供应商提供“基本资格条件承诺函”（详见第七篇）。</w:t>
            </w:r>
          </w:p>
          <w:p w14:paraId="36D5B560">
            <w:pPr>
              <w:spacing w:line="360" w:lineRule="auto"/>
              <w:rPr>
                <w:rFonts w:ascii="仿宋" w:hAnsi="仿宋" w:eastAsia="仿宋" w:cs="仿宋"/>
                <w:sz w:val="21"/>
                <w:szCs w:val="21"/>
              </w:rPr>
            </w:pPr>
            <w:r>
              <w:rPr>
                <w:rFonts w:hint="eastAsia" w:ascii="仿宋" w:hAnsi="仿宋" w:eastAsia="仿宋" w:cs="仿宋"/>
                <w:sz w:val="21"/>
                <w:szCs w:val="21"/>
              </w:rPr>
              <w:t>2.比选人或比选代理机构将通过 “信用中国”网站(www.creditchina.gov.cn)、"中国政府采购网"(www.ccgp.gov.cn)等渠道查询投标人信用记录，对列入失信被执行人、重大税收违法案件当事人名单、政府采购严重违法失信行为记录名单的投标人将拒绝其参与政府采购活动。</w:t>
            </w:r>
          </w:p>
        </w:tc>
      </w:tr>
      <w:tr w14:paraId="5203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0379EC1B">
            <w:pPr>
              <w:spacing w:line="360" w:lineRule="auto"/>
              <w:jc w:val="center"/>
              <w:rPr>
                <w:rFonts w:ascii="仿宋" w:hAnsi="仿宋" w:eastAsia="仿宋" w:cs="仿宋"/>
                <w:sz w:val="21"/>
                <w:szCs w:val="21"/>
              </w:rPr>
            </w:pPr>
          </w:p>
        </w:tc>
        <w:tc>
          <w:tcPr>
            <w:tcW w:w="709" w:type="dxa"/>
            <w:vMerge w:val="continue"/>
            <w:vAlign w:val="center"/>
          </w:tcPr>
          <w:p w14:paraId="6371177A">
            <w:pPr>
              <w:spacing w:line="360" w:lineRule="auto"/>
              <w:rPr>
                <w:rFonts w:ascii="仿宋" w:hAnsi="仿宋" w:eastAsia="仿宋" w:cs="仿宋"/>
                <w:sz w:val="21"/>
                <w:szCs w:val="21"/>
                <w:lang w:val="zh-CN"/>
              </w:rPr>
            </w:pPr>
          </w:p>
        </w:tc>
        <w:tc>
          <w:tcPr>
            <w:tcW w:w="3685" w:type="dxa"/>
            <w:vAlign w:val="center"/>
          </w:tcPr>
          <w:p w14:paraId="30BFAABA">
            <w:pPr>
              <w:spacing w:line="360" w:lineRule="auto"/>
              <w:rPr>
                <w:rFonts w:ascii="仿宋" w:hAnsi="仿宋" w:eastAsia="仿宋" w:cs="仿宋"/>
                <w:sz w:val="21"/>
                <w:szCs w:val="21"/>
              </w:rPr>
            </w:pPr>
            <w:r>
              <w:rPr>
                <w:rFonts w:hint="eastAsia" w:ascii="仿宋" w:hAnsi="仿宋" w:eastAsia="仿宋" w:cs="仿宋"/>
                <w:sz w:val="21"/>
                <w:szCs w:val="21"/>
              </w:rPr>
              <w:t>（6）法律、行政法规规定的其他条件</w:t>
            </w:r>
          </w:p>
        </w:tc>
        <w:tc>
          <w:tcPr>
            <w:tcW w:w="4558" w:type="dxa"/>
            <w:vAlign w:val="center"/>
          </w:tcPr>
          <w:p w14:paraId="4418156F">
            <w:pPr>
              <w:spacing w:line="360" w:lineRule="auto"/>
              <w:rPr>
                <w:rFonts w:ascii="仿宋" w:hAnsi="仿宋" w:eastAsia="仿宋" w:cs="仿宋"/>
                <w:sz w:val="21"/>
                <w:szCs w:val="21"/>
              </w:rPr>
            </w:pPr>
            <w:r>
              <w:rPr>
                <w:rFonts w:hint="eastAsia" w:ascii="仿宋" w:hAnsi="仿宋" w:eastAsia="仿宋" w:cs="仿宋"/>
                <w:sz w:val="21"/>
                <w:szCs w:val="21"/>
              </w:rPr>
              <w:t>/</w:t>
            </w:r>
          </w:p>
        </w:tc>
      </w:tr>
      <w:tr w14:paraId="09363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vAlign w:val="center"/>
          </w:tcPr>
          <w:p w14:paraId="574A0ADE">
            <w:pPr>
              <w:spacing w:line="360" w:lineRule="auto"/>
              <w:jc w:val="center"/>
              <w:rPr>
                <w:rFonts w:ascii="仿宋" w:hAnsi="仿宋" w:eastAsia="仿宋" w:cs="仿宋"/>
                <w:sz w:val="21"/>
                <w:szCs w:val="21"/>
              </w:rPr>
            </w:pPr>
          </w:p>
        </w:tc>
        <w:tc>
          <w:tcPr>
            <w:tcW w:w="709" w:type="dxa"/>
            <w:vMerge w:val="continue"/>
            <w:vAlign w:val="center"/>
          </w:tcPr>
          <w:p w14:paraId="5DAABFF4">
            <w:pPr>
              <w:spacing w:line="360" w:lineRule="auto"/>
              <w:rPr>
                <w:rFonts w:ascii="仿宋" w:hAnsi="仿宋" w:eastAsia="仿宋" w:cs="仿宋"/>
                <w:sz w:val="21"/>
                <w:szCs w:val="21"/>
                <w:lang w:val="zh-CN"/>
              </w:rPr>
            </w:pPr>
          </w:p>
        </w:tc>
        <w:tc>
          <w:tcPr>
            <w:tcW w:w="3685" w:type="dxa"/>
            <w:vAlign w:val="center"/>
          </w:tcPr>
          <w:p w14:paraId="59E251A8">
            <w:pPr>
              <w:spacing w:line="360" w:lineRule="auto"/>
              <w:rPr>
                <w:rFonts w:ascii="仿宋" w:hAnsi="仿宋" w:eastAsia="仿宋" w:cs="仿宋"/>
                <w:sz w:val="21"/>
                <w:szCs w:val="21"/>
              </w:rPr>
            </w:pPr>
            <w:r>
              <w:rPr>
                <w:rFonts w:hint="eastAsia" w:ascii="仿宋" w:hAnsi="仿宋" w:eastAsia="仿宋" w:cs="仿宋"/>
                <w:sz w:val="21"/>
                <w:szCs w:val="21"/>
              </w:rPr>
              <w:t>（7）本项目的特定资格要求</w:t>
            </w:r>
          </w:p>
        </w:tc>
        <w:tc>
          <w:tcPr>
            <w:tcW w:w="4558" w:type="dxa"/>
            <w:vAlign w:val="center"/>
          </w:tcPr>
          <w:p w14:paraId="1723A9EF">
            <w:pPr>
              <w:spacing w:line="360" w:lineRule="auto"/>
              <w:rPr>
                <w:rFonts w:ascii="仿宋" w:hAnsi="仿宋" w:eastAsia="仿宋" w:cs="仿宋"/>
                <w:sz w:val="21"/>
                <w:szCs w:val="21"/>
              </w:rPr>
            </w:pPr>
            <w:r>
              <w:rPr>
                <w:rFonts w:hint="eastAsia" w:ascii="仿宋" w:hAnsi="仿宋" w:eastAsia="仿宋" w:cs="仿宋"/>
                <w:sz w:val="21"/>
                <w:szCs w:val="21"/>
              </w:rPr>
              <w:t>按第一篇“三、供应商资格条件（二）本项目的特定资格要求”的要求提交（如果有）。</w:t>
            </w:r>
          </w:p>
        </w:tc>
      </w:tr>
      <w:tr w14:paraId="60F7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676" w:type="dxa"/>
            <w:vAlign w:val="center"/>
          </w:tcPr>
          <w:p w14:paraId="6DA1E45C">
            <w:pPr>
              <w:spacing w:line="360" w:lineRule="auto"/>
              <w:jc w:val="center"/>
              <w:rPr>
                <w:rFonts w:ascii="仿宋" w:hAnsi="仿宋" w:eastAsia="仿宋" w:cs="仿宋"/>
                <w:sz w:val="21"/>
                <w:szCs w:val="21"/>
              </w:rPr>
            </w:pPr>
            <w:r>
              <w:rPr>
                <w:rFonts w:hint="eastAsia" w:ascii="仿宋" w:hAnsi="仿宋" w:eastAsia="仿宋" w:cs="仿宋"/>
                <w:sz w:val="21"/>
                <w:szCs w:val="21"/>
              </w:rPr>
              <w:t>2</w:t>
            </w:r>
          </w:p>
        </w:tc>
        <w:tc>
          <w:tcPr>
            <w:tcW w:w="4394" w:type="dxa"/>
            <w:gridSpan w:val="2"/>
            <w:vAlign w:val="center"/>
          </w:tcPr>
          <w:p w14:paraId="083C469B">
            <w:pPr>
              <w:spacing w:line="360" w:lineRule="auto"/>
              <w:rPr>
                <w:rFonts w:ascii="仿宋" w:hAnsi="仿宋" w:eastAsia="仿宋" w:cs="仿宋"/>
                <w:sz w:val="21"/>
                <w:szCs w:val="21"/>
              </w:rPr>
            </w:pPr>
            <w:r>
              <w:rPr>
                <w:rFonts w:hint="eastAsia" w:ascii="仿宋" w:hAnsi="仿宋" w:eastAsia="仿宋" w:cs="仿宋"/>
                <w:sz w:val="21"/>
                <w:szCs w:val="21"/>
              </w:rPr>
              <w:t>保证金</w:t>
            </w:r>
          </w:p>
        </w:tc>
        <w:tc>
          <w:tcPr>
            <w:tcW w:w="4558" w:type="dxa"/>
            <w:vAlign w:val="center"/>
          </w:tcPr>
          <w:p w14:paraId="0D5FF0C3">
            <w:pPr>
              <w:spacing w:line="360" w:lineRule="auto"/>
              <w:rPr>
                <w:rFonts w:ascii="仿宋" w:hAnsi="仿宋" w:eastAsia="仿宋" w:cs="仿宋"/>
                <w:sz w:val="21"/>
                <w:szCs w:val="21"/>
              </w:rPr>
            </w:pPr>
            <w:r>
              <w:rPr>
                <w:rFonts w:hint="eastAsia" w:ascii="仿宋" w:hAnsi="仿宋" w:eastAsia="仿宋" w:cs="仿宋"/>
                <w:sz w:val="21"/>
                <w:szCs w:val="21"/>
              </w:rPr>
              <w:t>按照比选文件要求足额交纳保证金。</w:t>
            </w:r>
          </w:p>
        </w:tc>
      </w:tr>
    </w:tbl>
    <w:p w14:paraId="08CC56A8">
      <w:pPr>
        <w:snapToGrid w:val="0"/>
        <w:spacing w:line="360" w:lineRule="auto"/>
        <w:rPr>
          <w:rFonts w:ascii="仿宋" w:hAnsi="仿宋" w:eastAsia="仿宋" w:cs="宋体"/>
          <w:kern w:val="0"/>
          <w:sz w:val="24"/>
          <w:szCs w:val="24"/>
        </w:rPr>
      </w:pPr>
    </w:p>
    <w:p w14:paraId="61B56186">
      <w:pPr>
        <w:spacing w:line="360" w:lineRule="auto"/>
        <w:ind w:firstLine="480" w:firstLineChars="200"/>
        <w:rPr>
          <w:rFonts w:ascii="仿宋" w:hAnsi="仿宋" w:eastAsia="仿宋"/>
          <w:sz w:val="24"/>
          <w:szCs w:val="24"/>
        </w:rPr>
      </w:pPr>
      <w:r>
        <w:rPr>
          <w:rFonts w:hint="eastAsia" w:ascii="仿宋" w:hAnsi="仿宋" w:eastAsia="仿宋"/>
          <w:sz w:val="24"/>
          <w:szCs w:val="24"/>
        </w:rPr>
        <w:t>注：</w:t>
      </w:r>
    </w:p>
    <w:p w14:paraId="6F172394">
      <w:pPr>
        <w:spacing w:line="360" w:lineRule="auto"/>
        <w:ind w:firstLine="480" w:firstLineChars="200"/>
        <w:rPr>
          <w:rFonts w:ascii="仿宋" w:hAnsi="仿宋" w:eastAsia="仿宋"/>
          <w:sz w:val="24"/>
          <w:szCs w:val="24"/>
        </w:rPr>
      </w:pPr>
      <w:r>
        <w:rPr>
          <w:rFonts w:hint="eastAsia" w:ascii="仿宋" w:hAnsi="仿宋" w:eastAsia="仿宋"/>
          <w:sz w:val="24"/>
          <w:szCs w:val="24"/>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w:t>
      </w:r>
    </w:p>
    <w:p w14:paraId="65C92A6D">
      <w:pPr>
        <w:numPr>
          <w:ilvl w:val="0"/>
          <w:numId w:val="14"/>
        </w:numPr>
        <w:spacing w:line="360" w:lineRule="auto"/>
        <w:ind w:firstLine="480" w:firstLineChars="200"/>
        <w:rPr>
          <w:rFonts w:ascii="仿宋" w:hAnsi="仿宋" w:eastAsia="仿宋"/>
          <w:sz w:val="24"/>
          <w:szCs w:val="24"/>
        </w:rPr>
      </w:pPr>
      <w:r>
        <w:rPr>
          <w:rFonts w:hint="eastAsia" w:ascii="仿宋" w:hAnsi="仿宋" w:eastAsia="仿宋"/>
          <w:sz w:val="24"/>
          <w:szCs w:val="24"/>
        </w:rPr>
        <w:t>符合性检查。依据竞争性比选文件的规定，从响应文件的有效性、完整性和对竞争性比选文件的响应程度进行审查，以确定是否对竞争性比选文件的实质性要求作出响应。符合性检查资料表如下：</w:t>
      </w:r>
    </w:p>
    <w:tbl>
      <w:tblPr>
        <w:tblStyle w:val="60"/>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BD9A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75" w:type="dxa"/>
            <w:vAlign w:val="center"/>
          </w:tcPr>
          <w:p w14:paraId="0EA452CD">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序号</w:t>
            </w:r>
          </w:p>
        </w:tc>
        <w:tc>
          <w:tcPr>
            <w:tcW w:w="3544" w:type="dxa"/>
            <w:gridSpan w:val="2"/>
            <w:vAlign w:val="center"/>
          </w:tcPr>
          <w:p w14:paraId="33FC4F3C">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评审因素</w:t>
            </w:r>
          </w:p>
        </w:tc>
        <w:tc>
          <w:tcPr>
            <w:tcW w:w="5409" w:type="dxa"/>
            <w:vAlign w:val="center"/>
          </w:tcPr>
          <w:p w14:paraId="064CEA9C">
            <w:pPr>
              <w:spacing w:line="360" w:lineRule="auto"/>
              <w:jc w:val="center"/>
              <w:rPr>
                <w:rFonts w:ascii="仿宋" w:hAnsi="仿宋" w:eastAsia="仿宋" w:cs="仿宋"/>
                <w:b/>
                <w:kern w:val="0"/>
                <w:sz w:val="21"/>
                <w:szCs w:val="21"/>
              </w:rPr>
            </w:pPr>
            <w:r>
              <w:rPr>
                <w:rFonts w:hint="eastAsia" w:ascii="仿宋" w:hAnsi="仿宋" w:eastAsia="仿宋" w:cs="仿宋"/>
                <w:b/>
                <w:kern w:val="0"/>
                <w:sz w:val="21"/>
                <w:szCs w:val="21"/>
              </w:rPr>
              <w:t>评审标准</w:t>
            </w:r>
          </w:p>
        </w:tc>
      </w:tr>
      <w:tr w14:paraId="7436F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675" w:type="dxa"/>
            <w:vMerge w:val="restart"/>
            <w:vAlign w:val="center"/>
          </w:tcPr>
          <w:p w14:paraId="7D30DE82">
            <w:pPr>
              <w:spacing w:line="360" w:lineRule="auto"/>
              <w:jc w:val="center"/>
              <w:rPr>
                <w:rFonts w:ascii="仿宋" w:hAnsi="仿宋" w:eastAsia="仿宋" w:cs="仿宋"/>
                <w:kern w:val="0"/>
                <w:sz w:val="21"/>
                <w:szCs w:val="21"/>
              </w:rPr>
            </w:pPr>
            <w:r>
              <w:rPr>
                <w:rFonts w:hint="eastAsia" w:ascii="仿宋" w:hAnsi="仿宋" w:eastAsia="仿宋" w:cs="仿宋"/>
                <w:kern w:val="0"/>
                <w:sz w:val="21"/>
                <w:szCs w:val="21"/>
              </w:rPr>
              <w:t>1</w:t>
            </w:r>
          </w:p>
        </w:tc>
        <w:tc>
          <w:tcPr>
            <w:tcW w:w="1560" w:type="dxa"/>
            <w:vMerge w:val="restart"/>
            <w:vAlign w:val="center"/>
          </w:tcPr>
          <w:p w14:paraId="322E55B2">
            <w:pPr>
              <w:spacing w:line="360" w:lineRule="auto"/>
              <w:rPr>
                <w:rFonts w:ascii="仿宋" w:hAnsi="仿宋" w:eastAsia="仿宋" w:cs="仿宋"/>
                <w:sz w:val="21"/>
                <w:szCs w:val="21"/>
              </w:rPr>
            </w:pPr>
            <w:r>
              <w:rPr>
                <w:rFonts w:hint="eastAsia" w:ascii="仿宋" w:hAnsi="仿宋" w:eastAsia="仿宋" w:cs="仿宋"/>
                <w:sz w:val="21"/>
                <w:szCs w:val="21"/>
              </w:rPr>
              <w:t>有效性审查</w:t>
            </w:r>
          </w:p>
        </w:tc>
        <w:tc>
          <w:tcPr>
            <w:tcW w:w="1984" w:type="dxa"/>
            <w:vAlign w:val="center"/>
          </w:tcPr>
          <w:p w14:paraId="308BF9B0">
            <w:pPr>
              <w:spacing w:line="360" w:lineRule="auto"/>
              <w:rPr>
                <w:rFonts w:ascii="仿宋" w:hAnsi="仿宋" w:eastAsia="仿宋" w:cs="仿宋"/>
                <w:sz w:val="21"/>
                <w:szCs w:val="21"/>
              </w:rPr>
            </w:pPr>
            <w:r>
              <w:rPr>
                <w:rFonts w:hint="eastAsia" w:ascii="仿宋" w:hAnsi="仿宋" w:eastAsia="仿宋" w:cs="仿宋"/>
                <w:sz w:val="21"/>
                <w:szCs w:val="21"/>
              </w:rPr>
              <w:t>响应文件签署</w:t>
            </w:r>
          </w:p>
        </w:tc>
        <w:tc>
          <w:tcPr>
            <w:tcW w:w="5409" w:type="dxa"/>
            <w:vAlign w:val="center"/>
          </w:tcPr>
          <w:p w14:paraId="002CD0A9">
            <w:pPr>
              <w:spacing w:line="360" w:lineRule="auto"/>
              <w:rPr>
                <w:rFonts w:ascii="仿宋" w:hAnsi="仿宋" w:eastAsia="仿宋" w:cs="仿宋"/>
                <w:kern w:val="0"/>
                <w:sz w:val="21"/>
                <w:szCs w:val="21"/>
              </w:rPr>
            </w:pPr>
            <w:r>
              <w:rPr>
                <w:rFonts w:hint="eastAsia" w:ascii="仿宋" w:hAnsi="仿宋" w:eastAsia="仿宋" w:cs="仿宋"/>
                <w:sz w:val="21"/>
                <w:szCs w:val="21"/>
              </w:rPr>
              <w:t>响应文件上法定代表人或其授权代表人的签字齐全。</w:t>
            </w:r>
          </w:p>
        </w:tc>
      </w:tr>
      <w:tr w14:paraId="2B68A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5" w:type="dxa"/>
            <w:vMerge w:val="continue"/>
            <w:vAlign w:val="center"/>
          </w:tcPr>
          <w:p w14:paraId="3CAEF5C9">
            <w:pPr>
              <w:spacing w:line="360" w:lineRule="auto"/>
              <w:jc w:val="center"/>
              <w:rPr>
                <w:rFonts w:ascii="仿宋" w:hAnsi="仿宋" w:eastAsia="仿宋" w:cs="仿宋"/>
                <w:kern w:val="0"/>
                <w:sz w:val="21"/>
                <w:szCs w:val="21"/>
              </w:rPr>
            </w:pPr>
          </w:p>
        </w:tc>
        <w:tc>
          <w:tcPr>
            <w:tcW w:w="1560" w:type="dxa"/>
            <w:vMerge w:val="continue"/>
            <w:vAlign w:val="center"/>
          </w:tcPr>
          <w:p w14:paraId="19729866">
            <w:pPr>
              <w:spacing w:line="360" w:lineRule="auto"/>
              <w:rPr>
                <w:rFonts w:ascii="仿宋" w:hAnsi="仿宋" w:eastAsia="仿宋" w:cs="仿宋"/>
                <w:sz w:val="21"/>
                <w:szCs w:val="21"/>
              </w:rPr>
            </w:pPr>
          </w:p>
        </w:tc>
        <w:tc>
          <w:tcPr>
            <w:tcW w:w="1984" w:type="dxa"/>
            <w:vAlign w:val="center"/>
          </w:tcPr>
          <w:p w14:paraId="35DD788A">
            <w:pPr>
              <w:spacing w:line="360" w:lineRule="auto"/>
              <w:rPr>
                <w:rFonts w:ascii="仿宋" w:hAnsi="仿宋" w:eastAsia="仿宋" w:cs="仿宋"/>
                <w:sz w:val="21"/>
                <w:szCs w:val="21"/>
              </w:rPr>
            </w:pPr>
            <w:r>
              <w:rPr>
                <w:rFonts w:hint="eastAsia" w:ascii="仿宋" w:hAnsi="仿宋" w:eastAsia="仿宋" w:cs="仿宋"/>
                <w:sz w:val="21"/>
                <w:szCs w:val="21"/>
              </w:rPr>
              <w:t>法定代表人身份证明及授权委托书</w:t>
            </w:r>
          </w:p>
        </w:tc>
        <w:tc>
          <w:tcPr>
            <w:tcW w:w="5409" w:type="dxa"/>
            <w:vAlign w:val="center"/>
          </w:tcPr>
          <w:p w14:paraId="236E0CE8">
            <w:pPr>
              <w:spacing w:line="360" w:lineRule="auto"/>
              <w:rPr>
                <w:rFonts w:ascii="仿宋" w:hAnsi="仿宋" w:eastAsia="仿宋" w:cs="仿宋"/>
                <w:sz w:val="21"/>
                <w:szCs w:val="21"/>
              </w:rPr>
            </w:pPr>
            <w:r>
              <w:rPr>
                <w:rFonts w:hint="eastAsia" w:ascii="仿宋" w:hAnsi="仿宋" w:eastAsia="仿宋" w:cs="仿宋"/>
                <w:sz w:val="21"/>
                <w:szCs w:val="21"/>
              </w:rPr>
              <w:t>法定代表人身份证明及授权委托书有效，符合竞争性比选文件规定的格式，签字或盖章齐全。</w:t>
            </w:r>
          </w:p>
        </w:tc>
      </w:tr>
      <w:tr w14:paraId="5642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675" w:type="dxa"/>
            <w:vMerge w:val="continue"/>
            <w:vAlign w:val="center"/>
          </w:tcPr>
          <w:p w14:paraId="4846A732">
            <w:pPr>
              <w:spacing w:line="360" w:lineRule="auto"/>
              <w:jc w:val="center"/>
              <w:rPr>
                <w:rFonts w:ascii="仿宋" w:hAnsi="仿宋" w:eastAsia="仿宋" w:cs="仿宋"/>
                <w:kern w:val="0"/>
                <w:sz w:val="21"/>
                <w:szCs w:val="21"/>
              </w:rPr>
            </w:pPr>
          </w:p>
        </w:tc>
        <w:tc>
          <w:tcPr>
            <w:tcW w:w="1560" w:type="dxa"/>
            <w:vMerge w:val="continue"/>
            <w:vAlign w:val="center"/>
          </w:tcPr>
          <w:p w14:paraId="45D4E484">
            <w:pPr>
              <w:spacing w:line="360" w:lineRule="auto"/>
              <w:rPr>
                <w:rFonts w:ascii="仿宋" w:hAnsi="仿宋" w:eastAsia="仿宋" w:cs="仿宋"/>
                <w:kern w:val="0"/>
                <w:sz w:val="21"/>
                <w:szCs w:val="21"/>
              </w:rPr>
            </w:pPr>
          </w:p>
        </w:tc>
        <w:tc>
          <w:tcPr>
            <w:tcW w:w="1984" w:type="dxa"/>
            <w:vAlign w:val="center"/>
          </w:tcPr>
          <w:p w14:paraId="0E19F1C9">
            <w:pPr>
              <w:spacing w:line="360" w:lineRule="auto"/>
              <w:rPr>
                <w:rFonts w:ascii="仿宋" w:hAnsi="仿宋" w:eastAsia="仿宋" w:cs="仿宋"/>
                <w:sz w:val="21"/>
                <w:szCs w:val="21"/>
                <w:lang w:val="zh-CN"/>
              </w:rPr>
            </w:pPr>
            <w:r>
              <w:rPr>
                <w:rFonts w:hint="eastAsia" w:ascii="仿宋" w:hAnsi="仿宋" w:eastAsia="仿宋" w:cs="仿宋"/>
                <w:sz w:val="21"/>
                <w:szCs w:val="21"/>
              </w:rPr>
              <w:t>响应</w:t>
            </w:r>
            <w:r>
              <w:rPr>
                <w:rFonts w:hint="eastAsia" w:ascii="仿宋" w:hAnsi="仿宋" w:eastAsia="仿宋" w:cs="仿宋"/>
                <w:sz w:val="21"/>
                <w:szCs w:val="21"/>
                <w:lang w:val="zh-CN"/>
              </w:rPr>
              <w:t>方案</w:t>
            </w:r>
          </w:p>
        </w:tc>
        <w:tc>
          <w:tcPr>
            <w:tcW w:w="5409" w:type="dxa"/>
            <w:vAlign w:val="center"/>
          </w:tcPr>
          <w:p w14:paraId="5C0FCC1E">
            <w:pPr>
              <w:spacing w:line="360" w:lineRule="auto"/>
              <w:rPr>
                <w:rFonts w:ascii="仿宋" w:hAnsi="仿宋" w:eastAsia="仿宋" w:cs="仿宋"/>
                <w:kern w:val="0"/>
                <w:sz w:val="21"/>
                <w:szCs w:val="21"/>
              </w:rPr>
            </w:pPr>
            <w:r>
              <w:rPr>
                <w:rFonts w:hint="eastAsia" w:ascii="仿宋" w:hAnsi="仿宋" w:eastAsia="仿宋" w:cs="仿宋"/>
                <w:sz w:val="21"/>
                <w:szCs w:val="21"/>
                <w:lang w:val="zh-CN"/>
              </w:rPr>
              <w:t>每个分包只能有一个</w:t>
            </w:r>
            <w:r>
              <w:rPr>
                <w:rFonts w:hint="eastAsia" w:ascii="仿宋" w:hAnsi="仿宋" w:eastAsia="仿宋" w:cs="仿宋"/>
                <w:sz w:val="21"/>
                <w:szCs w:val="21"/>
              </w:rPr>
              <w:t>响应</w:t>
            </w:r>
            <w:r>
              <w:rPr>
                <w:rFonts w:hint="eastAsia" w:ascii="仿宋" w:hAnsi="仿宋" w:eastAsia="仿宋" w:cs="仿宋"/>
                <w:sz w:val="21"/>
                <w:szCs w:val="21"/>
                <w:lang w:val="zh-CN"/>
              </w:rPr>
              <w:t>方案。</w:t>
            </w:r>
          </w:p>
        </w:tc>
      </w:tr>
      <w:tr w14:paraId="3ECF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5" w:type="dxa"/>
            <w:vMerge w:val="continue"/>
            <w:vAlign w:val="center"/>
          </w:tcPr>
          <w:p w14:paraId="1C6B5002">
            <w:pPr>
              <w:spacing w:line="360" w:lineRule="auto"/>
              <w:jc w:val="center"/>
              <w:rPr>
                <w:rFonts w:ascii="仿宋" w:hAnsi="仿宋" w:eastAsia="仿宋" w:cs="仿宋"/>
                <w:kern w:val="0"/>
                <w:sz w:val="21"/>
                <w:szCs w:val="21"/>
              </w:rPr>
            </w:pPr>
          </w:p>
        </w:tc>
        <w:tc>
          <w:tcPr>
            <w:tcW w:w="1560" w:type="dxa"/>
            <w:vMerge w:val="continue"/>
            <w:vAlign w:val="center"/>
          </w:tcPr>
          <w:p w14:paraId="0A906304">
            <w:pPr>
              <w:spacing w:line="360" w:lineRule="auto"/>
              <w:rPr>
                <w:rFonts w:ascii="仿宋" w:hAnsi="仿宋" w:eastAsia="仿宋" w:cs="仿宋"/>
                <w:kern w:val="0"/>
                <w:sz w:val="21"/>
                <w:szCs w:val="21"/>
              </w:rPr>
            </w:pPr>
          </w:p>
        </w:tc>
        <w:tc>
          <w:tcPr>
            <w:tcW w:w="1984" w:type="dxa"/>
            <w:vAlign w:val="center"/>
          </w:tcPr>
          <w:p w14:paraId="08CE3390">
            <w:pPr>
              <w:spacing w:line="360" w:lineRule="auto"/>
              <w:rPr>
                <w:rFonts w:ascii="仿宋" w:hAnsi="仿宋" w:eastAsia="仿宋" w:cs="仿宋"/>
                <w:sz w:val="21"/>
                <w:szCs w:val="21"/>
                <w:lang w:val="zh-CN"/>
              </w:rPr>
            </w:pPr>
            <w:r>
              <w:rPr>
                <w:rFonts w:hint="eastAsia" w:ascii="仿宋" w:hAnsi="仿宋" w:eastAsia="仿宋" w:cs="仿宋"/>
                <w:sz w:val="21"/>
                <w:szCs w:val="21"/>
              </w:rPr>
              <w:t>报价唯一</w:t>
            </w:r>
          </w:p>
        </w:tc>
        <w:tc>
          <w:tcPr>
            <w:tcW w:w="5409" w:type="dxa"/>
            <w:vAlign w:val="center"/>
          </w:tcPr>
          <w:p w14:paraId="2EDD3884">
            <w:pPr>
              <w:spacing w:line="360" w:lineRule="auto"/>
              <w:rPr>
                <w:rFonts w:ascii="仿宋" w:hAnsi="仿宋" w:eastAsia="仿宋" w:cs="仿宋"/>
                <w:kern w:val="0"/>
                <w:sz w:val="21"/>
                <w:szCs w:val="21"/>
              </w:rPr>
            </w:pPr>
            <w:r>
              <w:rPr>
                <w:rFonts w:hint="eastAsia" w:ascii="仿宋" w:hAnsi="仿宋" w:eastAsia="仿宋" w:cs="仿宋"/>
                <w:sz w:val="21"/>
                <w:szCs w:val="21"/>
                <w:lang w:val="zh-CN"/>
              </w:rPr>
              <w:t>只能在采购预算范围内报价，</w:t>
            </w:r>
            <w:r>
              <w:rPr>
                <w:rFonts w:hint="eastAsia" w:ascii="仿宋" w:hAnsi="仿宋" w:eastAsia="仿宋" w:cs="仿宋"/>
                <w:sz w:val="21"/>
                <w:szCs w:val="21"/>
              </w:rPr>
              <w:t>只能有一个有效报价，不得提交选择性报价。</w:t>
            </w:r>
          </w:p>
        </w:tc>
      </w:tr>
      <w:tr w14:paraId="6CD20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675" w:type="dxa"/>
            <w:vAlign w:val="center"/>
          </w:tcPr>
          <w:p w14:paraId="74A93859">
            <w:pPr>
              <w:spacing w:line="360" w:lineRule="auto"/>
              <w:jc w:val="center"/>
              <w:rPr>
                <w:rFonts w:ascii="仿宋" w:hAnsi="仿宋" w:eastAsia="仿宋" w:cs="仿宋"/>
                <w:kern w:val="0"/>
                <w:sz w:val="21"/>
                <w:szCs w:val="21"/>
              </w:rPr>
            </w:pPr>
            <w:r>
              <w:rPr>
                <w:rFonts w:hint="eastAsia" w:ascii="仿宋" w:hAnsi="仿宋" w:eastAsia="仿宋" w:cs="仿宋"/>
                <w:kern w:val="0"/>
                <w:sz w:val="21"/>
                <w:szCs w:val="21"/>
              </w:rPr>
              <w:t>2</w:t>
            </w:r>
          </w:p>
        </w:tc>
        <w:tc>
          <w:tcPr>
            <w:tcW w:w="1560" w:type="dxa"/>
            <w:vAlign w:val="center"/>
          </w:tcPr>
          <w:p w14:paraId="5D88AE7A">
            <w:pPr>
              <w:spacing w:line="360" w:lineRule="auto"/>
              <w:rPr>
                <w:rFonts w:ascii="仿宋" w:hAnsi="仿宋" w:eastAsia="仿宋" w:cs="仿宋"/>
                <w:kern w:val="0"/>
                <w:sz w:val="21"/>
                <w:szCs w:val="21"/>
              </w:rPr>
            </w:pPr>
            <w:r>
              <w:rPr>
                <w:rFonts w:hint="eastAsia" w:ascii="仿宋" w:hAnsi="仿宋" w:eastAsia="仿宋" w:cs="仿宋"/>
                <w:kern w:val="0"/>
                <w:sz w:val="21"/>
                <w:szCs w:val="21"/>
              </w:rPr>
              <w:t>完整性审查</w:t>
            </w:r>
          </w:p>
        </w:tc>
        <w:tc>
          <w:tcPr>
            <w:tcW w:w="1984" w:type="dxa"/>
            <w:vAlign w:val="center"/>
          </w:tcPr>
          <w:p w14:paraId="5EFC177D">
            <w:pPr>
              <w:spacing w:line="360" w:lineRule="auto"/>
              <w:rPr>
                <w:rFonts w:ascii="仿宋" w:hAnsi="仿宋" w:eastAsia="仿宋" w:cs="仿宋"/>
                <w:kern w:val="0"/>
                <w:sz w:val="21"/>
                <w:szCs w:val="21"/>
              </w:rPr>
            </w:pPr>
            <w:r>
              <w:rPr>
                <w:rFonts w:hint="eastAsia" w:ascii="仿宋" w:hAnsi="仿宋" w:eastAsia="仿宋" w:cs="仿宋"/>
                <w:sz w:val="21"/>
                <w:szCs w:val="21"/>
              </w:rPr>
              <w:t>响应</w:t>
            </w:r>
            <w:r>
              <w:rPr>
                <w:rFonts w:hint="eastAsia" w:ascii="仿宋" w:hAnsi="仿宋" w:eastAsia="仿宋" w:cs="仿宋"/>
                <w:sz w:val="21"/>
                <w:szCs w:val="21"/>
                <w:lang w:val="zh-CN"/>
              </w:rPr>
              <w:t>文件份数</w:t>
            </w:r>
          </w:p>
        </w:tc>
        <w:tc>
          <w:tcPr>
            <w:tcW w:w="5409" w:type="dxa"/>
            <w:vAlign w:val="center"/>
          </w:tcPr>
          <w:p w14:paraId="51E21E85">
            <w:pPr>
              <w:spacing w:line="360" w:lineRule="auto"/>
              <w:rPr>
                <w:rFonts w:ascii="仿宋" w:hAnsi="仿宋" w:eastAsia="仿宋" w:cs="仿宋"/>
                <w:kern w:val="0"/>
                <w:sz w:val="21"/>
                <w:szCs w:val="21"/>
              </w:rPr>
            </w:pPr>
            <w:r>
              <w:rPr>
                <w:rFonts w:hint="eastAsia" w:ascii="仿宋" w:hAnsi="仿宋" w:eastAsia="仿宋" w:cs="仿宋"/>
                <w:sz w:val="21"/>
                <w:szCs w:val="21"/>
              </w:rPr>
              <w:t>响应文件数量（含电子文档）符合竞争性比选文件要求。</w:t>
            </w:r>
          </w:p>
        </w:tc>
      </w:tr>
      <w:tr w14:paraId="4F25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5" w:type="dxa"/>
            <w:vMerge w:val="restart"/>
            <w:vAlign w:val="center"/>
          </w:tcPr>
          <w:p w14:paraId="4313AF66">
            <w:pPr>
              <w:spacing w:line="360" w:lineRule="auto"/>
              <w:jc w:val="center"/>
              <w:rPr>
                <w:rFonts w:ascii="仿宋" w:hAnsi="仿宋" w:eastAsia="仿宋" w:cs="仿宋"/>
                <w:kern w:val="0"/>
                <w:sz w:val="21"/>
                <w:szCs w:val="21"/>
              </w:rPr>
            </w:pPr>
            <w:r>
              <w:rPr>
                <w:rFonts w:hint="eastAsia" w:ascii="仿宋" w:hAnsi="仿宋" w:eastAsia="仿宋" w:cs="仿宋"/>
                <w:kern w:val="0"/>
                <w:sz w:val="21"/>
                <w:szCs w:val="21"/>
              </w:rPr>
              <w:t>3</w:t>
            </w:r>
          </w:p>
        </w:tc>
        <w:tc>
          <w:tcPr>
            <w:tcW w:w="1560" w:type="dxa"/>
            <w:vMerge w:val="restart"/>
            <w:vAlign w:val="center"/>
          </w:tcPr>
          <w:p w14:paraId="569A39E7">
            <w:pPr>
              <w:spacing w:line="360" w:lineRule="auto"/>
              <w:rPr>
                <w:rFonts w:ascii="仿宋" w:hAnsi="仿宋" w:eastAsia="仿宋" w:cs="仿宋"/>
                <w:sz w:val="21"/>
                <w:szCs w:val="21"/>
                <w:lang w:val="zh-CN"/>
              </w:rPr>
            </w:pPr>
            <w:r>
              <w:rPr>
                <w:rFonts w:hint="eastAsia" w:ascii="仿宋" w:hAnsi="仿宋" w:eastAsia="仿宋" w:cs="仿宋"/>
                <w:kern w:val="0"/>
                <w:sz w:val="21"/>
                <w:szCs w:val="21"/>
              </w:rPr>
              <w:t>竞争性比选文件的响应程度审查</w:t>
            </w:r>
          </w:p>
        </w:tc>
        <w:tc>
          <w:tcPr>
            <w:tcW w:w="1984" w:type="dxa"/>
            <w:vAlign w:val="center"/>
          </w:tcPr>
          <w:p w14:paraId="52BD3205">
            <w:pPr>
              <w:spacing w:line="360" w:lineRule="auto"/>
              <w:rPr>
                <w:rFonts w:ascii="仿宋" w:hAnsi="仿宋" w:eastAsia="仿宋" w:cs="仿宋"/>
                <w:kern w:val="0"/>
                <w:sz w:val="21"/>
                <w:szCs w:val="21"/>
              </w:rPr>
            </w:pPr>
            <w:r>
              <w:rPr>
                <w:rFonts w:hint="eastAsia" w:ascii="仿宋" w:hAnsi="仿宋" w:eastAsia="仿宋" w:cs="仿宋"/>
                <w:kern w:val="0"/>
                <w:sz w:val="21"/>
                <w:szCs w:val="21"/>
              </w:rPr>
              <w:t>响应文件内容</w:t>
            </w:r>
          </w:p>
        </w:tc>
        <w:tc>
          <w:tcPr>
            <w:tcW w:w="5409" w:type="dxa"/>
            <w:vAlign w:val="center"/>
          </w:tcPr>
          <w:p w14:paraId="642D67B4">
            <w:pPr>
              <w:pStyle w:val="34"/>
              <w:spacing w:line="360" w:lineRule="auto"/>
              <w:rPr>
                <w:rFonts w:ascii="仿宋" w:hAnsi="仿宋" w:eastAsia="仿宋" w:cs="仿宋"/>
                <w:kern w:val="0"/>
                <w:sz w:val="21"/>
                <w:szCs w:val="21"/>
              </w:rPr>
            </w:pPr>
            <w:r>
              <w:rPr>
                <w:rFonts w:hint="eastAsia" w:ascii="仿宋" w:hAnsi="仿宋" w:eastAsia="仿宋" w:cs="仿宋"/>
                <w:kern w:val="0"/>
                <w:sz w:val="21"/>
                <w:szCs w:val="21"/>
              </w:rPr>
              <w:t>对竞争性比选文件第二篇、第三篇规定的竞争性比选逐条内容作出响应。</w:t>
            </w:r>
          </w:p>
        </w:tc>
      </w:tr>
      <w:tr w14:paraId="428D9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675" w:type="dxa"/>
            <w:vMerge w:val="continue"/>
            <w:vAlign w:val="center"/>
          </w:tcPr>
          <w:p w14:paraId="527B0878">
            <w:pPr>
              <w:spacing w:line="360" w:lineRule="auto"/>
              <w:jc w:val="center"/>
              <w:rPr>
                <w:rFonts w:ascii="仿宋" w:hAnsi="仿宋" w:eastAsia="仿宋" w:cs="仿宋"/>
                <w:kern w:val="0"/>
                <w:sz w:val="21"/>
                <w:szCs w:val="21"/>
              </w:rPr>
            </w:pPr>
          </w:p>
        </w:tc>
        <w:tc>
          <w:tcPr>
            <w:tcW w:w="1560" w:type="dxa"/>
            <w:vMerge w:val="continue"/>
            <w:vAlign w:val="center"/>
          </w:tcPr>
          <w:p w14:paraId="4E1004C2">
            <w:pPr>
              <w:spacing w:line="360" w:lineRule="auto"/>
              <w:rPr>
                <w:rFonts w:ascii="仿宋" w:hAnsi="仿宋" w:eastAsia="仿宋" w:cs="仿宋"/>
                <w:sz w:val="21"/>
                <w:szCs w:val="21"/>
                <w:lang w:val="zh-CN"/>
              </w:rPr>
            </w:pPr>
          </w:p>
        </w:tc>
        <w:tc>
          <w:tcPr>
            <w:tcW w:w="1984" w:type="dxa"/>
            <w:vAlign w:val="center"/>
          </w:tcPr>
          <w:p w14:paraId="05FD346E">
            <w:pPr>
              <w:spacing w:line="360" w:lineRule="auto"/>
              <w:rPr>
                <w:rFonts w:ascii="仿宋" w:hAnsi="仿宋" w:eastAsia="仿宋" w:cs="仿宋"/>
                <w:kern w:val="0"/>
                <w:sz w:val="21"/>
                <w:szCs w:val="21"/>
              </w:rPr>
            </w:pPr>
            <w:r>
              <w:rPr>
                <w:rFonts w:hint="eastAsia" w:ascii="仿宋" w:hAnsi="仿宋" w:eastAsia="仿宋" w:cs="仿宋"/>
                <w:kern w:val="0"/>
                <w:sz w:val="21"/>
                <w:szCs w:val="21"/>
              </w:rPr>
              <w:t>竞争性比选有效期</w:t>
            </w:r>
          </w:p>
        </w:tc>
        <w:tc>
          <w:tcPr>
            <w:tcW w:w="5409" w:type="dxa"/>
            <w:vAlign w:val="center"/>
          </w:tcPr>
          <w:p w14:paraId="3AD7130A">
            <w:pPr>
              <w:spacing w:line="360" w:lineRule="auto"/>
              <w:rPr>
                <w:rFonts w:ascii="仿宋" w:hAnsi="仿宋" w:eastAsia="仿宋" w:cs="仿宋"/>
                <w:kern w:val="0"/>
                <w:sz w:val="21"/>
                <w:szCs w:val="21"/>
              </w:rPr>
            </w:pPr>
            <w:r>
              <w:rPr>
                <w:rFonts w:hint="eastAsia" w:ascii="仿宋" w:hAnsi="仿宋" w:eastAsia="仿宋" w:cs="仿宋"/>
                <w:kern w:val="0"/>
                <w:sz w:val="21"/>
                <w:szCs w:val="21"/>
              </w:rPr>
              <w:t>满足竞争性比选文件</w:t>
            </w:r>
            <w:r>
              <w:rPr>
                <w:rFonts w:hint="eastAsia" w:ascii="仿宋" w:hAnsi="仿宋" w:eastAsia="仿宋" w:cs="仿宋"/>
                <w:sz w:val="21"/>
                <w:szCs w:val="21"/>
                <w:lang w:val="zh-CN"/>
              </w:rPr>
              <w:t>规定。</w:t>
            </w:r>
          </w:p>
        </w:tc>
      </w:tr>
    </w:tbl>
    <w:p w14:paraId="795C4C6A">
      <w:pPr>
        <w:spacing w:line="360" w:lineRule="auto"/>
        <w:ind w:firstLine="480" w:firstLineChars="200"/>
        <w:rPr>
          <w:rFonts w:ascii="仿宋" w:hAnsi="仿宋" w:eastAsia="仿宋"/>
          <w:sz w:val="24"/>
          <w:szCs w:val="24"/>
        </w:rPr>
      </w:pPr>
      <w:r>
        <w:rPr>
          <w:rFonts w:hint="eastAsia" w:ascii="仿宋" w:hAnsi="仿宋" w:eastAsia="仿宋"/>
          <w:sz w:val="24"/>
          <w:szCs w:val="24"/>
        </w:rPr>
        <w:t>（三）澄清有关问题。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06679D7">
      <w:pPr>
        <w:spacing w:line="360" w:lineRule="auto"/>
        <w:ind w:firstLine="480" w:firstLineChars="200"/>
        <w:rPr>
          <w:rFonts w:ascii="仿宋" w:hAnsi="仿宋" w:eastAsia="仿宋"/>
          <w:sz w:val="24"/>
          <w:szCs w:val="24"/>
        </w:rPr>
      </w:pPr>
      <w:r>
        <w:rPr>
          <w:rFonts w:hint="eastAsia" w:ascii="仿宋" w:hAnsi="仿宋" w:eastAsia="仿宋"/>
          <w:sz w:val="24"/>
          <w:szCs w:val="24"/>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7C8B693C">
      <w:pPr>
        <w:spacing w:line="360" w:lineRule="auto"/>
        <w:ind w:firstLine="480" w:firstLineChars="200"/>
        <w:rPr>
          <w:rFonts w:ascii="仿宋" w:hAnsi="仿宋" w:eastAsia="仿宋"/>
          <w:sz w:val="24"/>
          <w:szCs w:val="24"/>
        </w:rPr>
      </w:pPr>
      <w:r>
        <w:rPr>
          <w:rFonts w:hint="eastAsia" w:ascii="仿宋" w:hAnsi="仿宋" w:eastAsia="仿宋"/>
          <w:sz w:val="24"/>
          <w:szCs w:val="24"/>
        </w:rPr>
        <w:t>（五）在竞争性比选过程中竞争性比选的任何一方不得向他人透露与竞争性比选有关的服务资料、价格或其他信息。</w:t>
      </w:r>
    </w:p>
    <w:p w14:paraId="3E76EFC6">
      <w:pPr>
        <w:spacing w:line="360" w:lineRule="auto"/>
        <w:ind w:firstLine="480" w:firstLineChars="200"/>
        <w:rPr>
          <w:rFonts w:ascii="仿宋" w:hAnsi="仿宋" w:eastAsia="仿宋"/>
          <w:sz w:val="24"/>
          <w:szCs w:val="24"/>
        </w:rPr>
      </w:pPr>
      <w:r>
        <w:rPr>
          <w:rFonts w:hint="eastAsia" w:ascii="仿宋" w:hAnsi="仿宋" w:eastAsia="仿宋"/>
          <w:sz w:val="24"/>
          <w:szCs w:val="24"/>
        </w:rPr>
        <w:t>（六）在竞争性比选过程中，评审小组可以根据竞争性比选文件和竞争性比选情况实质性变动采购需求中的技术、商务要求以及合同草案条款，但不得变动竞争性比选文件中的其他内容。实质性变动的内容，须经比选人代表确认。对竞争性比选文件作出的实质性变动是竞争性比选文件的有效组成部分，评审小组应当及时以书面形式同时通知所有参加竞争性比选的供应商。</w:t>
      </w:r>
    </w:p>
    <w:p w14:paraId="366582BA">
      <w:pPr>
        <w:spacing w:line="360" w:lineRule="auto"/>
        <w:ind w:firstLine="480" w:firstLineChars="200"/>
        <w:rPr>
          <w:rFonts w:ascii="仿宋" w:hAnsi="仿宋" w:eastAsia="仿宋"/>
          <w:sz w:val="24"/>
          <w:szCs w:val="24"/>
        </w:rPr>
      </w:pPr>
      <w:r>
        <w:rPr>
          <w:rFonts w:hint="eastAsia" w:ascii="仿宋" w:hAnsi="仿宋" w:eastAsia="仿宋"/>
          <w:sz w:val="24"/>
          <w:szCs w:val="24"/>
        </w:rPr>
        <w:t>（七）供应商在竞争性比选时作出的所有书面承诺须由法定代表人或其授权代表签字。</w:t>
      </w:r>
    </w:p>
    <w:p w14:paraId="5B0EDF30">
      <w:pPr>
        <w:pStyle w:val="5"/>
        <w:rPr>
          <w:rFonts w:ascii="仿宋" w:hAnsi="仿宋"/>
          <w:szCs w:val="24"/>
        </w:rPr>
      </w:pPr>
      <w:bookmarkStart w:id="244" w:name="_Toc9571"/>
      <w:bookmarkStart w:id="245" w:name="_Toc15508"/>
      <w:bookmarkStart w:id="246" w:name="_Toc29054"/>
      <w:bookmarkStart w:id="247" w:name="_Toc22363"/>
      <w:bookmarkStart w:id="248" w:name="_Toc13935"/>
      <w:bookmarkStart w:id="249" w:name="_Toc20461"/>
      <w:bookmarkStart w:id="250" w:name="_Toc8789"/>
      <w:bookmarkStart w:id="251" w:name="_Toc4555"/>
      <w:r>
        <w:rPr>
          <w:rFonts w:hint="eastAsia" w:ascii="仿宋" w:hAnsi="仿宋"/>
          <w:szCs w:val="24"/>
        </w:rPr>
        <w:t>二、成交办法</w:t>
      </w:r>
      <w:bookmarkEnd w:id="244"/>
      <w:bookmarkEnd w:id="245"/>
      <w:bookmarkEnd w:id="246"/>
      <w:bookmarkEnd w:id="247"/>
      <w:bookmarkEnd w:id="248"/>
      <w:bookmarkEnd w:id="249"/>
      <w:bookmarkEnd w:id="250"/>
      <w:bookmarkEnd w:id="251"/>
    </w:p>
    <w:p w14:paraId="1DACAA1A">
      <w:pPr>
        <w:snapToGrid w:val="0"/>
        <w:spacing w:line="360" w:lineRule="auto"/>
        <w:ind w:firstLine="465"/>
        <w:rPr>
          <w:rFonts w:ascii="仿宋" w:hAnsi="仿宋" w:eastAsia="仿宋" w:cs="仿宋"/>
          <w:sz w:val="24"/>
          <w:szCs w:val="24"/>
        </w:rPr>
      </w:pPr>
      <w:bookmarkStart w:id="252" w:name="OLE_LINK6"/>
      <w:r>
        <w:rPr>
          <w:rFonts w:hint="eastAsia" w:ascii="仿宋" w:hAnsi="仿宋" w:eastAsia="仿宋" w:cs="仿宋"/>
          <w:sz w:val="24"/>
          <w:szCs w:val="24"/>
        </w:rPr>
        <w:t>本项目采用经评审的最低价法评审。评审小组将依照本竞争性比选文件相关规定对技术和商务均能满足实质性响应要求的供应商，按照报价由低到高的顺序推荐3名成交候选人。其中，报价最低的供应商为成交供应商。若出现供应商报价相同的以供应商资格条件中提供的业绩金额大的优先，提供的业绩金额也相同的，由评审小组抽签决定。</w:t>
      </w:r>
    </w:p>
    <w:bookmarkEnd w:id="252"/>
    <w:p w14:paraId="7FD71BF3">
      <w:pPr>
        <w:pStyle w:val="5"/>
        <w:rPr>
          <w:rFonts w:ascii="仿宋" w:hAnsi="仿宋"/>
          <w:szCs w:val="24"/>
        </w:rPr>
      </w:pPr>
      <w:bookmarkStart w:id="253" w:name="_Toc31430"/>
      <w:bookmarkStart w:id="254" w:name="_Toc17981"/>
      <w:bookmarkStart w:id="255" w:name="_Toc169"/>
      <w:bookmarkStart w:id="256" w:name="_Toc12405"/>
      <w:bookmarkStart w:id="257" w:name="_Toc27941"/>
      <w:bookmarkStart w:id="258" w:name="_Toc12934"/>
      <w:bookmarkStart w:id="259" w:name="_Toc12569"/>
      <w:bookmarkStart w:id="260" w:name="_Toc24025"/>
      <w:r>
        <w:rPr>
          <w:rFonts w:hint="eastAsia" w:ascii="仿宋" w:hAnsi="仿宋"/>
          <w:szCs w:val="24"/>
        </w:rPr>
        <w:t>三、响应无效</w:t>
      </w:r>
      <w:bookmarkEnd w:id="241"/>
      <w:bookmarkEnd w:id="253"/>
      <w:bookmarkEnd w:id="254"/>
      <w:bookmarkEnd w:id="255"/>
      <w:bookmarkEnd w:id="256"/>
      <w:bookmarkEnd w:id="257"/>
      <w:bookmarkEnd w:id="258"/>
      <w:bookmarkEnd w:id="259"/>
      <w:bookmarkEnd w:id="260"/>
    </w:p>
    <w:p w14:paraId="3B283949">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供应商发生以下条款情况之一者，视为响应无效，其响应文件将被拒绝：</w:t>
      </w:r>
    </w:p>
    <w:p w14:paraId="17DFD129">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（一）供应商不符合规定的资格条件的。</w:t>
      </w:r>
    </w:p>
    <w:p w14:paraId="0EA3ADCA">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（二）供应商的法定代表人（或其授权代表）或自然人未参加竞争性比选。</w:t>
      </w:r>
    </w:p>
    <w:p w14:paraId="37F597CC">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（三）供应商所提交的响应文件不按第七篇“响应文件编制要求”规定签字、盖章。</w:t>
      </w:r>
    </w:p>
    <w:p w14:paraId="1235F804">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（四）供应商的报价超过采购预算或最高限价或单价最高限价的。</w:t>
      </w:r>
    </w:p>
    <w:p w14:paraId="63413419">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（五）供应商在行采家的平台报价与竞争性比选报价函中的报价不一致的。</w:t>
      </w:r>
    </w:p>
    <w:p w14:paraId="5E7149E0">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（六）法定代表人为同一个人的两个及两个以上法人，母公司、全资子公司及其控股公司，在采购中同时参与竞争性比选。</w:t>
      </w:r>
    </w:p>
    <w:p w14:paraId="6607C07D">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（七）单位负责人为同一人或者存在直接控股、管理关系的不同供应商，参加同一合同项下的采购活动的。</w:t>
      </w:r>
    </w:p>
    <w:p w14:paraId="2BF704A7">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（八）为采购项目提供整体设计、规范编制或者项目管理、监理、检测等服务的供应商，再参加该采购项目的其他采购活动。</w:t>
      </w:r>
    </w:p>
    <w:p w14:paraId="20D3DEC8">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（九）供应商的服务期、质量保证期及竞争性比选有效期不满足竞争性比选文件要求的。</w:t>
      </w:r>
    </w:p>
    <w:p w14:paraId="4CB3DD35">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（十）供应商响应文件内容有与国家现行法律法规相违背的内容，或附有比选人无法接受的条件。</w:t>
      </w:r>
    </w:p>
    <w:p w14:paraId="52304A85">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（十一）供应商被列入失信被执行人、重大税收违法案件当事人名单、政府采购严重违法失信行为记录名单及其他不符合《中华人民共和国政府采购法》第二十二条规定条件的。</w:t>
      </w:r>
    </w:p>
    <w:p w14:paraId="1A57763A">
      <w:pPr>
        <w:pStyle w:val="5"/>
      </w:pPr>
      <w:bookmarkStart w:id="261" w:name="_Toc30520"/>
      <w:bookmarkStart w:id="262" w:name="_Toc1944"/>
      <w:bookmarkStart w:id="263" w:name="_Toc18788"/>
      <w:bookmarkStart w:id="264" w:name="_Toc6911"/>
      <w:bookmarkStart w:id="265" w:name="_Toc18799"/>
      <w:bookmarkStart w:id="266" w:name="_Toc10570"/>
      <w:bookmarkStart w:id="267" w:name="_Toc7341"/>
      <w:bookmarkStart w:id="268" w:name="_Toc28301"/>
      <w:bookmarkStart w:id="269" w:name="_Toc17760"/>
      <w:r>
        <w:rPr>
          <w:rFonts w:hint="eastAsia"/>
        </w:rPr>
        <w:t>四、</w:t>
      </w:r>
      <w:bookmarkEnd w:id="242"/>
      <w:bookmarkEnd w:id="243"/>
      <w:r>
        <w:rPr>
          <w:rFonts w:hint="eastAsia"/>
        </w:rPr>
        <w:t>采购终止</w:t>
      </w:r>
      <w:bookmarkEnd w:id="261"/>
      <w:bookmarkEnd w:id="262"/>
      <w:bookmarkEnd w:id="263"/>
      <w:bookmarkEnd w:id="264"/>
      <w:bookmarkEnd w:id="265"/>
      <w:bookmarkEnd w:id="266"/>
      <w:bookmarkEnd w:id="267"/>
      <w:bookmarkEnd w:id="268"/>
      <w:bookmarkEnd w:id="269"/>
    </w:p>
    <w:p w14:paraId="413BFD8B">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出现下列情形之一的，比选人或者比选代理机构应当终止竞争性比选活动，发布项目终止公告并说明原因，重新开展采购活动：</w:t>
      </w:r>
    </w:p>
    <w:p w14:paraId="3F2265AF">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（一）因情况变化，不再符合规定的竞争性比选采购方式适用情形的。</w:t>
      </w:r>
    </w:p>
    <w:p w14:paraId="60024750">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（二）出现影响采购公正的违法、违规行为的。</w:t>
      </w:r>
    </w:p>
    <w:p w14:paraId="40373E87">
      <w:pPr>
        <w:snapToGrid w:val="0"/>
        <w:spacing w:line="360" w:lineRule="auto"/>
        <w:ind w:firstLine="465"/>
        <w:rPr>
          <w:rFonts w:ascii="仿宋" w:hAnsi="仿宋" w:eastAsia="仿宋" w:cs="仿宋"/>
        </w:rPr>
      </w:pPr>
      <w:r>
        <w:rPr>
          <w:rFonts w:hint="eastAsia" w:ascii="仿宋" w:hAnsi="仿宋" w:eastAsia="仿宋" w:cs="仿宋"/>
          <w:sz w:val="24"/>
          <w:szCs w:val="24"/>
        </w:rPr>
        <w:t>（三）通过资格性审查的供应商不足3家的，终止本次采购活动，并发布终止采购活动公告</w:t>
      </w:r>
      <w:bookmarkStart w:id="270" w:name="_Toc102227313"/>
      <w:r>
        <w:rPr>
          <w:rFonts w:hint="eastAsia" w:ascii="仿宋" w:hAnsi="仿宋" w:eastAsia="仿宋" w:cs="仿宋"/>
          <w:sz w:val="24"/>
          <w:szCs w:val="24"/>
        </w:rPr>
        <w:t>。</w:t>
      </w:r>
    </w:p>
    <w:p w14:paraId="54E50D04">
      <w:pPr>
        <w:pStyle w:val="4"/>
        <w:rPr>
          <w:rFonts w:ascii="仿宋" w:hAnsi="仿宋" w:cs="仿宋"/>
          <w:szCs w:val="30"/>
        </w:rPr>
      </w:pPr>
      <w:r>
        <w:rPr>
          <w:rFonts w:hint="eastAsia" w:ascii="仿宋" w:hAnsi="仿宋" w:cs="仿宋"/>
          <w:szCs w:val="30"/>
        </w:rPr>
        <w:br w:type="page"/>
      </w:r>
      <w:bookmarkStart w:id="271" w:name="_Toc531"/>
      <w:bookmarkStart w:id="272" w:name="_Toc18413"/>
      <w:bookmarkStart w:id="273" w:name="_Toc20466"/>
      <w:bookmarkStart w:id="274" w:name="_Toc25193"/>
      <w:bookmarkStart w:id="275" w:name="_Toc7377"/>
      <w:bookmarkStart w:id="276" w:name="_Toc21054"/>
      <w:bookmarkStart w:id="277" w:name="_Toc32424"/>
      <w:bookmarkStart w:id="278" w:name="_Toc29583"/>
      <w:bookmarkStart w:id="279" w:name="_Toc15833"/>
      <w:r>
        <w:rPr>
          <w:rFonts w:hint="eastAsia"/>
        </w:rPr>
        <w:t>第五篇 供应商须知</w:t>
      </w:r>
      <w:bookmarkEnd w:id="270"/>
      <w:bookmarkEnd w:id="271"/>
      <w:bookmarkEnd w:id="272"/>
      <w:bookmarkEnd w:id="273"/>
      <w:bookmarkEnd w:id="274"/>
      <w:bookmarkEnd w:id="275"/>
      <w:bookmarkEnd w:id="276"/>
      <w:bookmarkEnd w:id="277"/>
      <w:bookmarkEnd w:id="278"/>
      <w:bookmarkEnd w:id="279"/>
    </w:p>
    <w:p w14:paraId="7A6DEDB5">
      <w:pPr>
        <w:pStyle w:val="5"/>
      </w:pPr>
      <w:bookmarkStart w:id="280" w:name="_Toc18927"/>
      <w:bookmarkStart w:id="281" w:name="_Toc342913389"/>
      <w:bookmarkStart w:id="282" w:name="_Toc29758"/>
      <w:bookmarkStart w:id="283" w:name="_Toc1514"/>
      <w:bookmarkStart w:id="284" w:name="_Toc11159"/>
      <w:bookmarkStart w:id="285" w:name="_Toc341"/>
      <w:bookmarkStart w:id="286" w:name="_Toc31938"/>
      <w:bookmarkStart w:id="287" w:name="_Toc22519"/>
      <w:bookmarkStart w:id="288" w:name="_Toc8812"/>
      <w:bookmarkStart w:id="289" w:name="_Toc14944"/>
      <w:r>
        <w:rPr>
          <w:rFonts w:hint="eastAsia"/>
        </w:rPr>
        <w:t>一、竞争性比选费用</w:t>
      </w:r>
      <w:bookmarkEnd w:id="280"/>
      <w:bookmarkEnd w:id="281"/>
      <w:bookmarkEnd w:id="282"/>
      <w:bookmarkEnd w:id="283"/>
      <w:bookmarkEnd w:id="284"/>
      <w:bookmarkEnd w:id="285"/>
      <w:bookmarkEnd w:id="286"/>
      <w:bookmarkEnd w:id="287"/>
      <w:bookmarkEnd w:id="288"/>
      <w:bookmarkEnd w:id="289"/>
    </w:p>
    <w:p w14:paraId="218952CE">
      <w:pPr>
        <w:pStyle w:val="264"/>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参与竞争性比选的供应商应承担其编制响应文件与递交响应文件所涉及的一切费用，不论竞争性比选结果如何，比选人和比选代理机构在任何情况下无义务也无责任承担这些费用。</w:t>
      </w:r>
    </w:p>
    <w:p w14:paraId="63A5F17E">
      <w:pPr>
        <w:pStyle w:val="5"/>
      </w:pPr>
      <w:bookmarkStart w:id="290" w:name="_Toc32735"/>
      <w:bookmarkStart w:id="291" w:name="_Toc17453"/>
      <w:bookmarkStart w:id="292" w:name="_Toc21710"/>
      <w:bookmarkStart w:id="293" w:name="_Toc18356"/>
      <w:bookmarkStart w:id="294" w:name="_Toc3813"/>
      <w:bookmarkStart w:id="295" w:name="_Toc24131"/>
      <w:bookmarkStart w:id="296" w:name="_Toc25299"/>
      <w:bookmarkStart w:id="297" w:name="_Toc342913391"/>
      <w:bookmarkStart w:id="298" w:name="_Toc21772"/>
      <w:bookmarkStart w:id="299" w:name="_Toc26181"/>
      <w:r>
        <w:rPr>
          <w:rFonts w:hint="eastAsia"/>
        </w:rPr>
        <w:t>二、</w:t>
      </w:r>
      <w:bookmarkEnd w:id="290"/>
      <w:bookmarkEnd w:id="291"/>
      <w:bookmarkEnd w:id="292"/>
      <w:bookmarkEnd w:id="293"/>
      <w:bookmarkEnd w:id="294"/>
      <w:bookmarkEnd w:id="295"/>
      <w:bookmarkEnd w:id="296"/>
      <w:bookmarkEnd w:id="297"/>
      <w:bookmarkEnd w:id="298"/>
      <w:bookmarkEnd w:id="299"/>
      <w:r>
        <w:rPr>
          <w:rFonts w:hint="eastAsia"/>
        </w:rPr>
        <w:t>竞争性比选文件</w:t>
      </w:r>
    </w:p>
    <w:p w14:paraId="4F4A7638">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（一）竞争性比选文件由采购邀请书、采购项目技术需求、采购项目商务需求、竞争性比选程序及方法、评审标准、响应无效和采购终止、供应商须知</w:t>
      </w:r>
      <w:r>
        <w:rPr>
          <w:rFonts w:hint="eastAsia" w:ascii="仿宋" w:hAnsi="仿宋" w:eastAsia="仿宋" w:cs="仿宋"/>
          <w:b/>
          <w:sz w:val="24"/>
          <w:szCs w:val="24"/>
        </w:rPr>
        <w:t>、</w:t>
      </w:r>
      <w:r>
        <w:rPr>
          <w:rFonts w:hint="eastAsia" w:ascii="仿宋" w:hAnsi="仿宋" w:eastAsia="仿宋" w:cs="仿宋"/>
          <w:sz w:val="24"/>
          <w:szCs w:val="24"/>
        </w:rPr>
        <w:t>合同主要条款和格式合同</w:t>
      </w:r>
      <w:r>
        <w:rPr>
          <w:rFonts w:hint="eastAsia" w:ascii="仿宋" w:hAnsi="仿宋" w:eastAsia="仿宋" w:cs="仿宋"/>
          <w:b/>
          <w:sz w:val="24"/>
          <w:szCs w:val="24"/>
        </w:rPr>
        <w:t>、</w:t>
      </w:r>
      <w:r>
        <w:rPr>
          <w:rFonts w:hint="eastAsia" w:ascii="仿宋" w:hAnsi="仿宋" w:eastAsia="仿宋" w:cs="仿宋"/>
          <w:sz w:val="24"/>
          <w:szCs w:val="24"/>
        </w:rPr>
        <w:t>响应文件编制要求七部分组成。</w:t>
      </w:r>
    </w:p>
    <w:p w14:paraId="452FEF8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（二）比选人（或比选代理机构）所作的一切有效的书面通知、修改及补充，都是竞争性比选文件不可分割的部分。</w:t>
      </w:r>
    </w:p>
    <w:p w14:paraId="5DA6ABB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（三）竞争性比选文件的解释</w:t>
      </w:r>
    </w:p>
    <w:p w14:paraId="663F8CD6">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如对竞争性比选文件有疑问，必须以书面形式在提交响应文件截止时间2个工作日前向比选人（或比选代理机构）要求澄清，比选人（或比选代理机构）可视具体情况做出处理或答复。如供应商未提出疑问，视为完全理解并同意本竞争性比选文件。一经进入竞争性比选程序，即视为供应商已详细阅读全部文件资料，完全理解竞争性比选文件所有条款内容并同意放弃对这方面有不明白及误解的权利。</w:t>
      </w:r>
      <w:bookmarkStart w:id="300" w:name="_Toc318159160"/>
      <w:bookmarkStart w:id="301" w:name="_Toc318159349"/>
      <w:bookmarkStart w:id="302" w:name="_Toc318166429"/>
      <w:bookmarkStart w:id="303" w:name="_Toc318159780"/>
    </w:p>
    <w:p w14:paraId="2CDC794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（四）本竞争性比选文件中，评审小组根据与供应商进行竞争性比选可能实质性变动的内容为竞争性比选文件第二、三、六篇全部内容。</w:t>
      </w:r>
    </w:p>
    <w:p w14:paraId="23363E9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（五）评审的依据为竞争性比选文件和响应文件（含有效的书面承诺）。评审小组判断响应文件对竞争性比选文件的响应，仅基于响应文件本身而不靠外部证据。</w:t>
      </w:r>
    </w:p>
    <w:bookmarkEnd w:id="300"/>
    <w:bookmarkEnd w:id="301"/>
    <w:bookmarkEnd w:id="302"/>
    <w:bookmarkEnd w:id="303"/>
    <w:p w14:paraId="3E0B5F64">
      <w:pPr>
        <w:pStyle w:val="5"/>
      </w:pPr>
      <w:bookmarkStart w:id="304" w:name="_Toc6895"/>
      <w:bookmarkStart w:id="305" w:name="_Toc15950"/>
      <w:bookmarkStart w:id="306" w:name="_Toc24561"/>
      <w:bookmarkStart w:id="307" w:name="_Toc179714297"/>
      <w:bookmarkStart w:id="308" w:name="_Toc31935"/>
      <w:bookmarkStart w:id="309" w:name="_Toc25553"/>
      <w:bookmarkStart w:id="310" w:name="_Toc17029"/>
      <w:bookmarkStart w:id="311" w:name="_Toc102227318"/>
      <w:bookmarkStart w:id="312" w:name="_Toc27286"/>
      <w:bookmarkStart w:id="313" w:name="_Toc2253"/>
      <w:bookmarkStart w:id="314" w:name="_Toc13364"/>
      <w:bookmarkStart w:id="315" w:name="_Toc342913392"/>
      <w:r>
        <w:rPr>
          <w:rFonts w:hint="eastAsia"/>
        </w:rPr>
        <w:t>三、竞争性比选要求</w:t>
      </w:r>
      <w:bookmarkEnd w:id="304"/>
      <w:bookmarkEnd w:id="305"/>
      <w:bookmarkEnd w:id="306"/>
      <w:bookmarkEnd w:id="307"/>
      <w:bookmarkEnd w:id="308"/>
      <w:bookmarkEnd w:id="309"/>
      <w:bookmarkEnd w:id="310"/>
      <w:bookmarkEnd w:id="311"/>
      <w:bookmarkEnd w:id="312"/>
      <w:bookmarkEnd w:id="313"/>
      <w:bookmarkEnd w:id="314"/>
      <w:bookmarkEnd w:id="315"/>
    </w:p>
    <w:p w14:paraId="1E6DB1A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（一）响应文件</w:t>
      </w:r>
    </w:p>
    <w:p w14:paraId="073AEEBB">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1.供应商应当按照竞争性比选文件的要求编制响应文件，并对竞争性比选文件提出的要求和条件作出实质性响应，响应文件同时应编制完整的页码、目录。</w:t>
      </w:r>
    </w:p>
    <w:p w14:paraId="32BF06CE">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2.响应文件组成</w:t>
      </w:r>
    </w:p>
    <w:p w14:paraId="094C213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响应文件由第七篇“响应文件编制要求”规定的部分和供应商所作的一切有效补充、修改和承诺等文件组成，供应商应按照第七篇“响应文件编制要求”规定的目录顺序组织编写和装订，也可在基本格式基础上对表格进行扩展，未规定格式的由供应商自定格式。</w:t>
      </w:r>
    </w:p>
    <w:p w14:paraId="3FF916E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（二）联合体</w:t>
      </w:r>
    </w:p>
    <w:p w14:paraId="1B90FB1C">
      <w:pPr>
        <w:spacing w:line="360" w:lineRule="auto"/>
        <w:ind w:firstLine="482" w:firstLineChars="200"/>
        <w:rPr>
          <w:rFonts w:ascii="仿宋" w:hAnsi="仿宋" w:eastAsia="仿宋" w:cs="仿宋"/>
          <w:b/>
          <w:sz w:val="24"/>
          <w:szCs w:val="24"/>
        </w:rPr>
      </w:pPr>
      <w:r>
        <w:rPr>
          <w:rFonts w:hint="eastAsia" w:ascii="仿宋" w:hAnsi="仿宋" w:eastAsia="仿宋" w:cs="仿宋"/>
          <w:b/>
          <w:sz w:val="24"/>
          <w:szCs w:val="24"/>
        </w:rPr>
        <w:t>本项目不接受联合体竞标。</w:t>
      </w:r>
    </w:p>
    <w:p w14:paraId="759403B2">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（三）竞争性比选有效期：响应文件及有关承诺文件有效期为提交响应文件截止时间起90天。</w:t>
      </w:r>
    </w:p>
    <w:p w14:paraId="76F33E2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（四）修正错误</w:t>
      </w:r>
    </w:p>
    <w:p w14:paraId="04E9D21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1.若供应商所递交的响应文件中的价格出现大写金额和小写金额不一致的错误，以大写金额修正为准。</w:t>
      </w:r>
    </w:p>
    <w:p w14:paraId="5B026161">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2.评审小组按上述修正错误的原则及方法修正供应商的报价，供应商同意并签字确认后，修正后的报价对供应商具有约束作用。如果供应商不接受修正后的价格，将失去成为供应商的资格。</w:t>
      </w:r>
    </w:p>
    <w:p w14:paraId="0977940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（五）提交响应文件的份数和签署</w:t>
      </w:r>
    </w:p>
    <w:p w14:paraId="46295FAE">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响应文件一式四份，其中正本一份，副本二份，电子文档一份（电子文档内容应与纸质文件正本一致，如不一致以纸质文件正本为准）；副本可为正本的复印件，应与正本一致，如出现不一致情况以正本为准。</w:t>
      </w:r>
    </w:p>
    <w:p w14:paraId="2AAC451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2、在响应文件正本中，竞争性比选文件第七篇响应文件编制要求中规定签字、盖章的地方必须按其规定签字、盖章。</w:t>
      </w:r>
    </w:p>
    <w:p w14:paraId="3EA0E65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（六）响应文件的递交</w:t>
      </w:r>
    </w:p>
    <w:p w14:paraId="1D9FA3CB">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1、电子文档需上传至行采家平台</w:t>
      </w:r>
    </w:p>
    <w:p w14:paraId="657584C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2、响应文件的正本、副本均应密封送达比选地点，应在封套上注明项目名称、供应商名称。若正本、副本分别进行密封的，还应在封套上注明“正本”、“副本”字样。</w:t>
      </w:r>
    </w:p>
    <w:p w14:paraId="5FDBBCE8">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（七）供应商参与人员</w:t>
      </w:r>
    </w:p>
    <w:p w14:paraId="5E7864B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各个供应商应当派1-2名代表参与比选，至少1人应为法定代表人（或其授权代表）。供应商法定代表人或授权代表应随身携带本人身份证原件以及法定代表人身份证明（授权代表参与比选的还需提供授权委托书）以便进行身份核验，核验通过其响应文件才能被接收。</w:t>
      </w:r>
    </w:p>
    <w:p w14:paraId="2A37B23E">
      <w:pPr>
        <w:pStyle w:val="5"/>
      </w:pPr>
      <w:bookmarkStart w:id="316" w:name="_Toc10718"/>
      <w:bookmarkStart w:id="317" w:name="_Toc29907"/>
      <w:bookmarkStart w:id="318" w:name="_Toc22553"/>
      <w:bookmarkStart w:id="319" w:name="_Toc19908"/>
      <w:bookmarkStart w:id="320" w:name="_Toc30115"/>
      <w:bookmarkStart w:id="321" w:name="_Toc29324"/>
      <w:bookmarkStart w:id="322" w:name="_Toc25814"/>
      <w:bookmarkStart w:id="323" w:name="_Toc26973"/>
      <w:bookmarkStart w:id="324" w:name="_Toc30388"/>
      <w:r>
        <w:rPr>
          <w:rFonts w:hint="eastAsia"/>
        </w:rPr>
        <w:t>四、成交供应商的确认和变更</w:t>
      </w:r>
      <w:bookmarkEnd w:id="316"/>
      <w:bookmarkEnd w:id="317"/>
      <w:bookmarkEnd w:id="318"/>
      <w:bookmarkEnd w:id="319"/>
      <w:bookmarkEnd w:id="320"/>
      <w:bookmarkEnd w:id="321"/>
      <w:bookmarkEnd w:id="322"/>
      <w:bookmarkEnd w:id="323"/>
      <w:bookmarkEnd w:id="324"/>
    </w:p>
    <w:p w14:paraId="538A2567">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（一）成交供应商的确认</w:t>
      </w:r>
    </w:p>
    <w:p w14:paraId="29D57637">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比选代理机构应当在评审结束后2个工作日内将评审报告送比选人确认。比选人应当在收到评审报告后5个工作日内，从评审报告提出的成交候选供应商中，按照排序由高到低的原则确定成交供应商，也可以书面授权评审小组直接确定成交供应商。比选人逾期未确定成交供应商且不提出异议的，视为确定评审报告提出的排序第一的供应商为成交供应商。</w:t>
      </w:r>
    </w:p>
    <w:p w14:paraId="2D54C03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（二）成交供应商的变更</w:t>
      </w:r>
    </w:p>
    <w:p w14:paraId="345BECE3">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rPr>
        <w:t>成交供应商放弃中标、因不可抗力不能履行合同、不按照竞争性比选文件要求提交履约保证金，或者被查实存在影响成交结果的违法行为等情形，不符合成交条件的，拒绝与比选人签订合同的，比选人可以按照评标报告推荐的成交候选供应商顺序，确定排名下一位的候选人为成交供应商，也可以重新开展采购活动。</w:t>
      </w:r>
    </w:p>
    <w:p w14:paraId="5CA92269">
      <w:pPr>
        <w:pStyle w:val="5"/>
      </w:pPr>
      <w:bookmarkStart w:id="325" w:name="_Toc22389"/>
      <w:bookmarkStart w:id="326" w:name="_Toc1330"/>
      <w:bookmarkStart w:id="327" w:name="_Toc30366"/>
      <w:bookmarkStart w:id="328" w:name="_Toc8128"/>
      <w:bookmarkStart w:id="329" w:name="_Toc102227321"/>
      <w:bookmarkStart w:id="330" w:name="_Toc342913395"/>
      <w:bookmarkStart w:id="331" w:name="_Toc27867"/>
      <w:bookmarkStart w:id="332" w:name="_Toc30496"/>
      <w:bookmarkStart w:id="333" w:name="_Toc6759"/>
      <w:bookmarkStart w:id="334" w:name="_Toc22563"/>
      <w:bookmarkStart w:id="335" w:name="_Toc18519"/>
      <w:r>
        <w:rPr>
          <w:rFonts w:hint="eastAsia"/>
        </w:rPr>
        <w:t>五、成交通知</w:t>
      </w:r>
      <w:bookmarkEnd w:id="325"/>
      <w:bookmarkEnd w:id="326"/>
      <w:bookmarkEnd w:id="327"/>
      <w:bookmarkEnd w:id="328"/>
      <w:bookmarkEnd w:id="329"/>
      <w:bookmarkEnd w:id="330"/>
      <w:bookmarkEnd w:id="331"/>
      <w:bookmarkEnd w:id="332"/>
      <w:bookmarkEnd w:id="333"/>
      <w:bookmarkEnd w:id="334"/>
      <w:bookmarkEnd w:id="335"/>
    </w:p>
    <w:p w14:paraId="6B3A223F">
      <w:pPr>
        <w:spacing w:line="360" w:lineRule="auto"/>
        <w:ind w:right="12" w:firstLine="480"/>
        <w:rPr>
          <w:rFonts w:ascii="仿宋" w:hAnsi="仿宋" w:eastAsia="仿宋" w:cs="仿宋"/>
          <w:sz w:val="24"/>
        </w:rPr>
      </w:pPr>
      <w:r>
        <w:rPr>
          <w:rFonts w:hint="eastAsia" w:ascii="仿宋" w:hAnsi="仿宋" w:eastAsia="仿宋" w:cs="仿宋"/>
          <w:sz w:val="24"/>
        </w:rPr>
        <w:t>（一）成交供应商确定后，将在行采家（https://www.gec123.com）上发布成交结果公告，公告时间为1个工作日。</w:t>
      </w:r>
    </w:p>
    <w:p w14:paraId="23D461E7">
      <w:pPr>
        <w:spacing w:line="360" w:lineRule="auto"/>
        <w:ind w:right="12" w:firstLine="480"/>
        <w:rPr>
          <w:rFonts w:ascii="仿宋" w:hAnsi="仿宋" w:eastAsia="仿宋" w:cs="仿宋"/>
          <w:sz w:val="24"/>
        </w:rPr>
      </w:pPr>
      <w:r>
        <w:rPr>
          <w:rFonts w:hint="eastAsia" w:ascii="仿宋" w:hAnsi="仿宋" w:eastAsia="仿宋" w:cs="仿宋"/>
          <w:sz w:val="24"/>
        </w:rPr>
        <w:t>（二）结果公告发出的同时，比选代理机构将以书面形式发出《成交通知书》。《成交通知书》一经发出即发生法律效力。</w:t>
      </w:r>
    </w:p>
    <w:p w14:paraId="358221B2">
      <w:pPr>
        <w:spacing w:line="360" w:lineRule="auto"/>
        <w:ind w:right="12" w:firstLine="480"/>
        <w:rPr>
          <w:rFonts w:ascii="仿宋" w:hAnsi="仿宋" w:eastAsia="仿宋" w:cs="仿宋"/>
          <w:sz w:val="24"/>
        </w:rPr>
      </w:pPr>
      <w:r>
        <w:rPr>
          <w:rFonts w:hint="eastAsia" w:ascii="仿宋" w:hAnsi="仿宋" w:eastAsia="仿宋" w:cs="仿宋"/>
          <w:sz w:val="24"/>
        </w:rPr>
        <w:t>（三）《成交通知书》将作为签订合同的依据。</w:t>
      </w:r>
    </w:p>
    <w:p w14:paraId="2BB28F89">
      <w:pPr>
        <w:pStyle w:val="5"/>
      </w:pPr>
      <w:bookmarkStart w:id="336" w:name="_Toc32623"/>
      <w:bookmarkStart w:id="337" w:name="_Toc19646"/>
      <w:bookmarkStart w:id="338" w:name="_Toc1836"/>
      <w:bookmarkStart w:id="339" w:name="_Toc24166"/>
      <w:bookmarkStart w:id="340" w:name="_Toc3061"/>
      <w:bookmarkStart w:id="341" w:name="_Toc31861"/>
      <w:bookmarkStart w:id="342" w:name="_Toc28290"/>
      <w:bookmarkStart w:id="343" w:name="_Toc25269"/>
      <w:bookmarkStart w:id="344" w:name="_Toc2078"/>
      <w:r>
        <w:rPr>
          <w:rFonts w:hint="eastAsia"/>
        </w:rPr>
        <w:t>六、采购代理服务费</w:t>
      </w:r>
      <w:bookmarkEnd w:id="336"/>
      <w:bookmarkEnd w:id="337"/>
      <w:bookmarkEnd w:id="338"/>
      <w:bookmarkEnd w:id="339"/>
      <w:bookmarkEnd w:id="340"/>
      <w:bookmarkEnd w:id="341"/>
      <w:bookmarkEnd w:id="342"/>
      <w:bookmarkEnd w:id="343"/>
      <w:bookmarkEnd w:id="344"/>
    </w:p>
    <w:p w14:paraId="6EA1217C">
      <w:pPr>
        <w:spacing w:line="360" w:lineRule="auto"/>
        <w:ind w:right="12" w:firstLine="480"/>
        <w:rPr>
          <w:rFonts w:ascii="仿宋" w:hAnsi="仿宋" w:eastAsia="仿宋" w:cs="仿宋"/>
          <w:sz w:val="24"/>
        </w:rPr>
      </w:pPr>
      <w:r>
        <w:rPr>
          <w:rFonts w:hint="eastAsia" w:ascii="仿宋" w:hAnsi="仿宋" w:eastAsia="仿宋" w:cs="仿宋"/>
          <w:sz w:val="24"/>
        </w:rPr>
        <w:t>（一）成交供应商在领取中标通知书前向比选代理机构缴纳采购代理服务费，本项目采购代理服务费按2000元整收取。</w:t>
      </w:r>
    </w:p>
    <w:p w14:paraId="604C5C4C">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（二）采购代理服务费缴纳账号：</w:t>
      </w:r>
    </w:p>
    <w:p w14:paraId="22F295A6">
      <w:pPr>
        <w:spacing w:line="360" w:lineRule="auto"/>
        <w:ind w:firstLine="480" w:firstLineChars="200"/>
        <w:rPr>
          <w:rFonts w:ascii="仿宋" w:hAnsi="仿宋" w:eastAsia="仿宋"/>
          <w:sz w:val="24"/>
          <w:szCs w:val="24"/>
        </w:rPr>
      </w:pPr>
      <w:r>
        <w:rPr>
          <w:rFonts w:hint="eastAsia" w:ascii="仿宋" w:hAnsi="仿宋" w:eastAsia="仿宋"/>
          <w:sz w:val="24"/>
          <w:szCs w:val="24"/>
        </w:rPr>
        <w:t xml:space="preserve">开户名称：河南宏业建设管理股份有限公司重庆直属分公司 </w:t>
      </w:r>
    </w:p>
    <w:p w14:paraId="1F2CDEFE">
      <w:pPr>
        <w:spacing w:line="360" w:lineRule="auto"/>
        <w:ind w:firstLine="480" w:firstLineChars="200"/>
        <w:rPr>
          <w:rFonts w:ascii="仿宋" w:hAnsi="仿宋" w:eastAsia="仿宋"/>
          <w:sz w:val="24"/>
          <w:szCs w:val="24"/>
        </w:rPr>
      </w:pPr>
      <w:r>
        <w:rPr>
          <w:rFonts w:hint="eastAsia" w:ascii="仿宋" w:hAnsi="仿宋" w:eastAsia="仿宋"/>
          <w:sz w:val="24"/>
          <w:szCs w:val="24"/>
        </w:rPr>
        <w:t>账号：31050401040015538</w:t>
      </w:r>
    </w:p>
    <w:p w14:paraId="2D541D55">
      <w:pPr>
        <w:spacing w:line="360" w:lineRule="auto"/>
        <w:ind w:firstLine="480" w:firstLineChars="200"/>
        <w:rPr>
          <w:rFonts w:ascii="仿宋" w:hAnsi="仿宋" w:eastAsia="仿宋" w:cs="仿宋"/>
          <w:sz w:val="24"/>
          <w:szCs w:val="24"/>
        </w:rPr>
      </w:pPr>
      <w:r>
        <w:rPr>
          <w:rFonts w:hint="eastAsia" w:ascii="仿宋" w:hAnsi="仿宋" w:eastAsia="仿宋"/>
          <w:sz w:val="24"/>
          <w:szCs w:val="24"/>
        </w:rPr>
        <w:t>开户行：中国农业银行股份有限公司重庆江北宏帆支行</w:t>
      </w:r>
    </w:p>
    <w:p w14:paraId="2F0C2639">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（三）成交供应商如未按上述要求缴纳采购代理服务费，则扣留中标通知书。</w:t>
      </w:r>
    </w:p>
    <w:p w14:paraId="241965DD">
      <w:pPr>
        <w:pStyle w:val="5"/>
      </w:pPr>
      <w:bookmarkStart w:id="345" w:name="_Toc14548"/>
      <w:bookmarkStart w:id="346" w:name="_Toc20736"/>
      <w:bookmarkStart w:id="347" w:name="_Toc22358"/>
      <w:bookmarkStart w:id="348" w:name="_Toc8778"/>
      <w:bookmarkStart w:id="349" w:name="_Toc29287"/>
      <w:bookmarkStart w:id="350" w:name="_Toc29876"/>
      <w:bookmarkStart w:id="351" w:name="_Toc16601"/>
      <w:bookmarkStart w:id="352" w:name="_Toc13675"/>
      <w:bookmarkStart w:id="353" w:name="_Toc26948"/>
      <w:r>
        <w:rPr>
          <w:rFonts w:hint="eastAsia"/>
        </w:rPr>
        <w:t>七、关于质疑和投诉</w:t>
      </w:r>
      <w:bookmarkEnd w:id="345"/>
      <w:bookmarkEnd w:id="346"/>
      <w:bookmarkEnd w:id="347"/>
      <w:bookmarkEnd w:id="348"/>
      <w:bookmarkEnd w:id="349"/>
      <w:bookmarkEnd w:id="350"/>
      <w:bookmarkEnd w:id="351"/>
      <w:bookmarkEnd w:id="352"/>
      <w:bookmarkEnd w:id="353"/>
    </w:p>
    <w:p w14:paraId="146889DF">
      <w:pPr>
        <w:spacing w:line="360" w:lineRule="auto"/>
        <w:ind w:firstLine="480" w:firstLineChars="200"/>
        <w:rPr>
          <w:rFonts w:ascii="仿宋" w:hAnsi="仿宋" w:eastAsia="仿宋" w:cs="仿宋"/>
          <w:sz w:val="24"/>
        </w:rPr>
      </w:pPr>
      <w:r>
        <w:rPr>
          <w:rFonts w:hint="eastAsia" w:ascii="仿宋" w:hAnsi="仿宋" w:eastAsia="仿宋" w:cs="仿宋"/>
          <w:sz w:val="24"/>
        </w:rPr>
        <w:t>（一）质疑</w:t>
      </w:r>
    </w:p>
    <w:p w14:paraId="4935F223">
      <w:pPr>
        <w:spacing w:line="360" w:lineRule="auto"/>
        <w:ind w:right="12" w:firstLine="480"/>
        <w:rPr>
          <w:rFonts w:ascii="仿宋" w:hAnsi="仿宋" w:eastAsia="仿宋" w:cs="仿宋"/>
          <w:sz w:val="24"/>
        </w:rPr>
      </w:pPr>
      <w:r>
        <w:rPr>
          <w:rFonts w:hint="eastAsia" w:ascii="仿宋" w:hAnsi="仿宋" w:eastAsia="仿宋" w:cs="仿宋"/>
          <w:sz w:val="24"/>
        </w:rPr>
        <w:t>供应商认为竞争性比选文件、采购过程和成交结果使自己的权益受到伤害的，可向比选人或比选代理机构以书面形式提出质疑。</w:t>
      </w:r>
    </w:p>
    <w:p w14:paraId="5A29C7E1">
      <w:pPr>
        <w:spacing w:line="360" w:lineRule="auto"/>
        <w:ind w:right="12" w:firstLine="480"/>
        <w:rPr>
          <w:rFonts w:ascii="仿宋" w:hAnsi="仿宋" w:eastAsia="仿宋" w:cs="仿宋"/>
          <w:sz w:val="24"/>
        </w:rPr>
      </w:pPr>
      <w:r>
        <w:rPr>
          <w:rFonts w:hint="eastAsia" w:ascii="仿宋" w:hAnsi="仿宋" w:eastAsia="仿宋" w:cs="仿宋"/>
          <w:sz w:val="24"/>
        </w:rPr>
        <w:t>提出质疑的应当是参与所质疑项目采购活动的供应商。</w:t>
      </w:r>
    </w:p>
    <w:p w14:paraId="077CB3C2">
      <w:pPr>
        <w:spacing w:line="360" w:lineRule="auto"/>
        <w:ind w:right="12" w:firstLine="480"/>
        <w:rPr>
          <w:rFonts w:ascii="仿宋" w:hAnsi="仿宋" w:eastAsia="仿宋" w:cs="仿宋"/>
          <w:sz w:val="24"/>
        </w:rPr>
      </w:pPr>
      <w:r>
        <w:rPr>
          <w:rFonts w:hint="eastAsia" w:ascii="仿宋" w:hAnsi="仿宋" w:eastAsia="仿宋" w:cs="仿宋"/>
          <w:sz w:val="24"/>
        </w:rPr>
        <w:t>1.质疑时限、内容</w:t>
      </w:r>
    </w:p>
    <w:p w14:paraId="2F472E47">
      <w:pPr>
        <w:spacing w:line="360" w:lineRule="auto"/>
        <w:ind w:right="12" w:firstLine="480"/>
        <w:rPr>
          <w:rFonts w:ascii="仿宋" w:hAnsi="仿宋" w:eastAsia="仿宋" w:cs="仿宋"/>
          <w:sz w:val="24"/>
        </w:rPr>
      </w:pPr>
      <w:r>
        <w:rPr>
          <w:rFonts w:hint="eastAsia" w:ascii="仿宋" w:hAnsi="仿宋" w:eastAsia="仿宋" w:cs="仿宋"/>
          <w:sz w:val="24"/>
        </w:rPr>
        <w:t>1.1供应商认为竞争性比选文件、采购过程、成交结果使自己的权益受到损害的，可以在知道或者应知其权益受到损害之日起7个工作日内，以书面形式向比选人、比选代理机构提出质疑。</w:t>
      </w:r>
    </w:p>
    <w:p w14:paraId="2C6D64C7">
      <w:pPr>
        <w:spacing w:line="360" w:lineRule="auto"/>
        <w:ind w:right="12" w:firstLine="480"/>
        <w:rPr>
          <w:rFonts w:ascii="仿宋" w:hAnsi="仿宋" w:eastAsia="仿宋" w:cs="仿宋"/>
          <w:sz w:val="24"/>
        </w:rPr>
      </w:pPr>
      <w:r>
        <w:rPr>
          <w:rFonts w:hint="eastAsia" w:ascii="仿宋" w:hAnsi="仿宋" w:eastAsia="仿宋" w:cs="仿宋"/>
          <w:sz w:val="24"/>
        </w:rPr>
        <w:t>1.2 供应商对采购过程提出质疑的，应在各采购程序环节结束之日起七个工作日内提出。</w:t>
      </w:r>
    </w:p>
    <w:p w14:paraId="2CC9D18E">
      <w:pPr>
        <w:spacing w:line="360" w:lineRule="auto"/>
        <w:ind w:right="12" w:firstLine="480"/>
        <w:rPr>
          <w:rFonts w:ascii="仿宋" w:hAnsi="仿宋" w:eastAsia="仿宋" w:cs="仿宋"/>
          <w:sz w:val="24"/>
        </w:rPr>
      </w:pPr>
      <w:r>
        <w:rPr>
          <w:rFonts w:hint="eastAsia" w:ascii="仿宋" w:hAnsi="仿宋" w:eastAsia="仿宋" w:cs="仿宋"/>
          <w:sz w:val="24"/>
        </w:rPr>
        <w:t>1.3供应商对成交结果提出质疑的，应当在成交结果公告期限届满之日起七个工作日内提出。</w:t>
      </w:r>
    </w:p>
    <w:p w14:paraId="3D74A73B">
      <w:pPr>
        <w:spacing w:line="360" w:lineRule="auto"/>
        <w:ind w:right="12" w:firstLine="480"/>
        <w:rPr>
          <w:rFonts w:ascii="仿宋" w:hAnsi="仿宋" w:eastAsia="仿宋" w:cs="仿宋"/>
          <w:sz w:val="24"/>
        </w:rPr>
      </w:pPr>
      <w:r>
        <w:rPr>
          <w:rFonts w:hint="eastAsia" w:ascii="仿宋" w:hAnsi="仿宋" w:eastAsia="仿宋" w:cs="仿宋"/>
          <w:sz w:val="24"/>
        </w:rPr>
        <w:t>1.4供应商提出质疑应当提交质疑函和必要的证明材料，质疑函应当包括下列内容：</w:t>
      </w:r>
    </w:p>
    <w:p w14:paraId="22D31018">
      <w:pPr>
        <w:spacing w:line="360" w:lineRule="auto"/>
        <w:ind w:right="12" w:firstLine="480"/>
        <w:rPr>
          <w:rFonts w:ascii="仿宋" w:hAnsi="仿宋" w:eastAsia="仿宋" w:cs="仿宋"/>
          <w:sz w:val="24"/>
        </w:rPr>
      </w:pPr>
      <w:r>
        <w:rPr>
          <w:rFonts w:hint="eastAsia" w:ascii="仿宋" w:hAnsi="仿宋" w:eastAsia="仿宋" w:cs="仿宋"/>
          <w:sz w:val="24"/>
        </w:rPr>
        <w:t>1.4.1供应商的姓名或者名称、地址、邮编、联系人及联系电话；</w:t>
      </w:r>
    </w:p>
    <w:p w14:paraId="3E58924F">
      <w:pPr>
        <w:spacing w:line="360" w:lineRule="auto"/>
        <w:ind w:right="12" w:firstLine="480"/>
        <w:rPr>
          <w:rFonts w:ascii="仿宋" w:hAnsi="仿宋" w:eastAsia="仿宋" w:cs="仿宋"/>
          <w:sz w:val="24"/>
        </w:rPr>
      </w:pPr>
      <w:r>
        <w:rPr>
          <w:rFonts w:hint="eastAsia" w:ascii="仿宋" w:hAnsi="仿宋" w:eastAsia="仿宋" w:cs="仿宋"/>
          <w:sz w:val="24"/>
        </w:rPr>
        <w:t>1.4.2质疑项目的名称、项目号以及项目编号；</w:t>
      </w:r>
    </w:p>
    <w:p w14:paraId="7DBA45A6">
      <w:pPr>
        <w:spacing w:line="360" w:lineRule="auto"/>
        <w:ind w:right="12" w:firstLine="480"/>
        <w:rPr>
          <w:rFonts w:ascii="仿宋" w:hAnsi="仿宋" w:eastAsia="仿宋" w:cs="仿宋"/>
          <w:sz w:val="24"/>
        </w:rPr>
      </w:pPr>
      <w:r>
        <w:rPr>
          <w:rFonts w:hint="eastAsia" w:ascii="仿宋" w:hAnsi="仿宋" w:eastAsia="仿宋" w:cs="仿宋"/>
          <w:sz w:val="24"/>
        </w:rPr>
        <w:t>1.4.3具体、明确的质疑事项和与质疑事项相关的请求；</w:t>
      </w:r>
    </w:p>
    <w:p w14:paraId="6DFF3577">
      <w:pPr>
        <w:spacing w:line="360" w:lineRule="auto"/>
        <w:ind w:right="12" w:firstLine="480"/>
        <w:rPr>
          <w:rFonts w:ascii="仿宋" w:hAnsi="仿宋" w:eastAsia="仿宋" w:cs="仿宋"/>
          <w:sz w:val="24"/>
        </w:rPr>
      </w:pPr>
      <w:r>
        <w:rPr>
          <w:rFonts w:hint="eastAsia" w:ascii="仿宋" w:hAnsi="仿宋" w:eastAsia="仿宋" w:cs="仿宋"/>
          <w:sz w:val="24"/>
        </w:rPr>
        <w:t>1.4.4事实依据；</w:t>
      </w:r>
    </w:p>
    <w:p w14:paraId="194A5951">
      <w:pPr>
        <w:spacing w:line="360" w:lineRule="auto"/>
        <w:ind w:right="12" w:firstLine="480"/>
        <w:rPr>
          <w:rFonts w:ascii="仿宋" w:hAnsi="仿宋" w:eastAsia="仿宋" w:cs="仿宋"/>
          <w:sz w:val="24"/>
        </w:rPr>
      </w:pPr>
      <w:r>
        <w:rPr>
          <w:rFonts w:hint="eastAsia" w:ascii="仿宋" w:hAnsi="仿宋" w:eastAsia="仿宋" w:cs="仿宋"/>
          <w:sz w:val="24"/>
        </w:rPr>
        <w:t>1.4.5必要的法律依据；</w:t>
      </w:r>
    </w:p>
    <w:p w14:paraId="3E746F48">
      <w:pPr>
        <w:spacing w:line="360" w:lineRule="auto"/>
        <w:ind w:right="12" w:firstLine="480"/>
        <w:rPr>
          <w:rFonts w:ascii="仿宋" w:hAnsi="仿宋" w:eastAsia="仿宋" w:cs="仿宋"/>
          <w:sz w:val="24"/>
        </w:rPr>
      </w:pPr>
      <w:r>
        <w:rPr>
          <w:rFonts w:hint="eastAsia" w:ascii="仿宋" w:hAnsi="仿宋" w:eastAsia="仿宋" w:cs="仿宋"/>
          <w:sz w:val="24"/>
        </w:rPr>
        <w:t>1.4.6提出质疑的日期；</w:t>
      </w:r>
    </w:p>
    <w:p w14:paraId="2377461A">
      <w:pPr>
        <w:spacing w:line="360" w:lineRule="auto"/>
        <w:ind w:right="12" w:firstLine="480"/>
        <w:rPr>
          <w:rFonts w:ascii="仿宋" w:hAnsi="仿宋" w:eastAsia="仿宋" w:cs="仿宋"/>
          <w:sz w:val="24"/>
        </w:rPr>
      </w:pPr>
      <w:r>
        <w:rPr>
          <w:rFonts w:hint="eastAsia" w:ascii="仿宋" w:hAnsi="仿宋" w:eastAsia="仿宋" w:cs="仿宋"/>
          <w:sz w:val="24"/>
        </w:rPr>
        <w:t>1.4.7营业执照（或事业单位法人证书，或个体工商户营业执照或有效的自然人身份证明、组织机构代码证）复印件；</w:t>
      </w:r>
    </w:p>
    <w:p w14:paraId="21B3AD80">
      <w:pPr>
        <w:spacing w:line="360" w:lineRule="auto"/>
        <w:ind w:right="12" w:firstLine="480"/>
        <w:rPr>
          <w:rFonts w:ascii="仿宋" w:hAnsi="仿宋" w:eastAsia="仿宋" w:cs="仿宋"/>
          <w:sz w:val="24"/>
        </w:rPr>
      </w:pPr>
      <w:r>
        <w:rPr>
          <w:rFonts w:hint="eastAsia" w:ascii="仿宋" w:hAnsi="仿宋" w:eastAsia="仿宋" w:cs="仿宋"/>
          <w:sz w:val="24"/>
        </w:rPr>
        <w:t>1.4.8法定代表人授权委托书原件、法定代表人身份证复印件和其授权代表的身份证复印件（供应商为自然人的提供自然人身份证复印件）；</w:t>
      </w:r>
    </w:p>
    <w:p w14:paraId="1DFB0C6A">
      <w:pPr>
        <w:spacing w:line="360" w:lineRule="auto"/>
        <w:ind w:right="12" w:firstLine="480"/>
        <w:rPr>
          <w:rFonts w:ascii="仿宋" w:hAnsi="仿宋" w:eastAsia="仿宋" w:cs="仿宋"/>
          <w:sz w:val="24"/>
        </w:rPr>
      </w:pPr>
      <w:r>
        <w:rPr>
          <w:rFonts w:hint="eastAsia" w:ascii="仿宋" w:hAnsi="仿宋" w:eastAsia="仿宋" w:cs="仿宋"/>
          <w:sz w:val="24"/>
        </w:rPr>
        <w:t>1.5供应商为自然人的，质疑函应当由本人签字；供应商为法人或者其他组织的，质疑函应当由法定代表人、主要负责人，或者其授权代表签字或者盖章，并加盖公章。</w:t>
      </w:r>
    </w:p>
    <w:p w14:paraId="44B17C54">
      <w:pPr>
        <w:spacing w:line="360" w:lineRule="auto"/>
        <w:ind w:right="12" w:firstLine="480"/>
        <w:rPr>
          <w:rFonts w:ascii="仿宋" w:hAnsi="仿宋" w:eastAsia="仿宋" w:cs="仿宋"/>
          <w:sz w:val="24"/>
        </w:rPr>
      </w:pPr>
      <w:r>
        <w:rPr>
          <w:rFonts w:hint="eastAsia" w:ascii="仿宋" w:hAnsi="仿宋" w:eastAsia="仿宋" w:cs="仿宋"/>
          <w:sz w:val="24"/>
        </w:rPr>
        <w:t>2.质疑答复</w:t>
      </w:r>
    </w:p>
    <w:p w14:paraId="43F55CFB">
      <w:pPr>
        <w:spacing w:line="360" w:lineRule="auto"/>
        <w:ind w:right="12" w:firstLine="480"/>
        <w:rPr>
          <w:rFonts w:ascii="仿宋" w:hAnsi="仿宋" w:eastAsia="仿宋" w:cs="仿宋"/>
          <w:sz w:val="24"/>
        </w:rPr>
      </w:pPr>
      <w:r>
        <w:rPr>
          <w:rFonts w:hint="eastAsia" w:ascii="仿宋" w:hAnsi="仿宋" w:eastAsia="仿宋" w:cs="仿宋"/>
          <w:sz w:val="24"/>
        </w:rPr>
        <w:t>比选人、比选代理机构应当在收到供应商的书面质疑后七个工作日内作出答复，并以书面形式通知质疑供应商和其他有关供应商。</w:t>
      </w:r>
    </w:p>
    <w:p w14:paraId="3FBA69AF">
      <w:pPr>
        <w:spacing w:line="360" w:lineRule="auto"/>
        <w:ind w:right="12" w:firstLine="480"/>
        <w:rPr>
          <w:rFonts w:ascii="仿宋" w:hAnsi="仿宋" w:eastAsia="仿宋" w:cs="仿宋"/>
          <w:sz w:val="24"/>
        </w:rPr>
      </w:pPr>
      <w:r>
        <w:rPr>
          <w:rFonts w:hint="eastAsia" w:ascii="仿宋" w:hAnsi="仿宋" w:eastAsia="仿宋" w:cs="仿宋"/>
          <w:sz w:val="24"/>
        </w:rPr>
        <w:t>3.其他</w:t>
      </w:r>
    </w:p>
    <w:p w14:paraId="6E03DBE7">
      <w:pPr>
        <w:spacing w:line="360" w:lineRule="auto"/>
        <w:ind w:right="12" w:firstLine="480"/>
        <w:rPr>
          <w:rFonts w:ascii="仿宋" w:hAnsi="仿宋" w:eastAsia="仿宋" w:cs="仿宋"/>
          <w:sz w:val="24"/>
        </w:rPr>
      </w:pPr>
      <w:r>
        <w:rPr>
          <w:rFonts w:hint="eastAsia" w:ascii="仿宋" w:hAnsi="仿宋" w:eastAsia="仿宋" w:cs="仿宋"/>
          <w:sz w:val="24"/>
        </w:rPr>
        <w:t>3.1供应商应参考《政府采购质疑和投诉办法》（财政部令第94号）及相关法律法规要求，在法定质疑期内一次性提出针对同一采购程序环节的质疑。</w:t>
      </w:r>
    </w:p>
    <w:p w14:paraId="35CE1AA2">
      <w:pPr>
        <w:spacing w:line="360" w:lineRule="auto"/>
        <w:ind w:right="12" w:firstLine="480"/>
        <w:rPr>
          <w:rFonts w:ascii="仿宋" w:hAnsi="仿宋" w:eastAsia="仿宋" w:cs="仿宋"/>
          <w:sz w:val="24"/>
        </w:rPr>
      </w:pPr>
      <w:r>
        <w:rPr>
          <w:rFonts w:hint="eastAsia" w:ascii="仿宋" w:hAnsi="仿宋" w:eastAsia="仿宋" w:cs="仿宋"/>
          <w:sz w:val="24"/>
        </w:rPr>
        <w:t>3.2质疑函范本可在财政部门户网站和中国政府采购网下载。</w:t>
      </w:r>
    </w:p>
    <w:p w14:paraId="06996776">
      <w:pPr>
        <w:spacing w:line="360" w:lineRule="auto"/>
        <w:ind w:right="12" w:firstLine="480"/>
        <w:rPr>
          <w:rFonts w:ascii="仿宋" w:hAnsi="仿宋" w:eastAsia="仿宋" w:cs="仿宋"/>
          <w:sz w:val="24"/>
        </w:rPr>
      </w:pPr>
      <w:r>
        <w:rPr>
          <w:rFonts w:hint="eastAsia" w:ascii="仿宋" w:hAnsi="仿宋" w:eastAsia="仿宋" w:cs="仿宋"/>
          <w:sz w:val="24"/>
        </w:rPr>
        <w:t>（二）投诉</w:t>
      </w:r>
    </w:p>
    <w:p w14:paraId="5109FDAA">
      <w:pPr>
        <w:spacing w:line="360" w:lineRule="auto"/>
        <w:ind w:right="12" w:firstLine="480"/>
        <w:rPr>
          <w:rFonts w:ascii="仿宋" w:hAnsi="仿宋" w:eastAsia="仿宋" w:cs="仿宋"/>
          <w:sz w:val="24"/>
        </w:rPr>
      </w:pPr>
      <w:r>
        <w:rPr>
          <w:rFonts w:hint="eastAsia" w:ascii="仿宋" w:hAnsi="仿宋" w:eastAsia="仿宋" w:cs="仿宋"/>
          <w:sz w:val="24"/>
        </w:rPr>
        <w:t>1.供应商对比选人、比选代理机构的答复不满意，或者比选人、比选代理机构未在规定时间内作出答复的，可以在答复期满后15个工作日内按照相关法律法规向比选人监督部门提起投诉。</w:t>
      </w:r>
    </w:p>
    <w:p w14:paraId="06161E62">
      <w:pPr>
        <w:spacing w:line="360" w:lineRule="auto"/>
        <w:ind w:right="12" w:firstLine="480"/>
        <w:rPr>
          <w:rFonts w:ascii="仿宋" w:hAnsi="仿宋" w:eastAsia="仿宋" w:cs="仿宋"/>
          <w:sz w:val="24"/>
        </w:rPr>
      </w:pPr>
      <w:r>
        <w:rPr>
          <w:rFonts w:hint="eastAsia" w:ascii="仿宋" w:hAnsi="仿宋" w:eastAsia="仿宋" w:cs="仿宋"/>
          <w:sz w:val="24"/>
        </w:rPr>
        <w:t>2.供应商应参考《政府采购质疑和投诉办法》（财政部令第94号）及相关法律法规要求递交投诉书和必要的证明材料。投诉书范本可在财政部门户网站和中国政府采购网下载。</w:t>
      </w:r>
    </w:p>
    <w:p w14:paraId="6043988C">
      <w:pPr>
        <w:spacing w:line="360" w:lineRule="auto"/>
        <w:ind w:right="12" w:firstLine="480"/>
        <w:rPr>
          <w:rFonts w:ascii="仿宋" w:hAnsi="仿宋" w:eastAsia="仿宋" w:cs="仿宋"/>
          <w:sz w:val="24"/>
        </w:rPr>
      </w:pPr>
      <w:r>
        <w:rPr>
          <w:rFonts w:hint="eastAsia" w:ascii="仿宋" w:hAnsi="仿宋" w:eastAsia="仿宋" w:cs="仿宋"/>
          <w:sz w:val="24"/>
        </w:rPr>
        <w:t>3.投诉书应当使用中文，相关当事人提供外文书证或者外国语视听资料的，应当附有中文译本，由翻译机构盖章或者翻译人员签名；相关当事人向监督部门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14:paraId="6A8A21AA">
      <w:pPr>
        <w:spacing w:line="360" w:lineRule="auto"/>
        <w:ind w:firstLine="480" w:firstLineChars="200"/>
        <w:rPr>
          <w:rFonts w:ascii="仿宋" w:hAnsi="仿宋" w:eastAsia="仿宋" w:cs="仿宋"/>
          <w:sz w:val="24"/>
          <w:szCs w:val="24"/>
        </w:rPr>
      </w:pPr>
      <w:r>
        <w:rPr>
          <w:rFonts w:hint="eastAsia" w:ascii="仿宋" w:hAnsi="仿宋" w:eastAsia="仿宋" w:cs="仿宋"/>
          <w:sz w:val="24"/>
        </w:rPr>
        <w:t>4.在确定受理投诉后，监督部门自受理投诉之日起30个工作日内（需要检验、检测、鉴定、专家评审以及需要投诉人补正材料的，所需时间不计算在投诉处理期限内）对投诉事项做出处理决定。</w:t>
      </w:r>
    </w:p>
    <w:p w14:paraId="158B9802">
      <w:pPr>
        <w:pStyle w:val="5"/>
      </w:pPr>
      <w:bookmarkStart w:id="354" w:name="_Toc102227322"/>
      <w:bookmarkStart w:id="355" w:name="_Toc27824"/>
      <w:bookmarkStart w:id="356" w:name="_Toc9486"/>
      <w:bookmarkStart w:id="357" w:name="_Toc5723"/>
      <w:bookmarkStart w:id="358" w:name="_Toc13214"/>
      <w:bookmarkStart w:id="359" w:name="_Toc342913396"/>
      <w:bookmarkStart w:id="360" w:name="_Toc9432"/>
      <w:bookmarkStart w:id="361" w:name="_Toc14365"/>
      <w:bookmarkStart w:id="362" w:name="_Toc13027"/>
      <w:bookmarkStart w:id="363" w:name="_Toc10356"/>
      <w:bookmarkStart w:id="364" w:name="_Toc30900"/>
      <w:bookmarkStart w:id="365" w:name="_Toc12789059"/>
      <w:bookmarkStart w:id="366" w:name="_Toc11641055"/>
      <w:r>
        <w:rPr>
          <w:rFonts w:hint="eastAsia"/>
        </w:rPr>
        <w:t>八、签订</w:t>
      </w:r>
      <w:bookmarkEnd w:id="354"/>
      <w:r>
        <w:rPr>
          <w:rFonts w:hint="eastAsia"/>
        </w:rPr>
        <w:t>合同</w:t>
      </w:r>
      <w:bookmarkEnd w:id="355"/>
      <w:bookmarkEnd w:id="356"/>
      <w:bookmarkEnd w:id="357"/>
      <w:bookmarkEnd w:id="358"/>
      <w:bookmarkEnd w:id="359"/>
      <w:bookmarkEnd w:id="360"/>
      <w:bookmarkEnd w:id="361"/>
      <w:bookmarkEnd w:id="362"/>
      <w:bookmarkEnd w:id="363"/>
      <w:bookmarkEnd w:id="364"/>
    </w:p>
    <w:p w14:paraId="0850E399">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（一）比选人应当自成交通知书发出之日起三十日内，按照竞争性比选文件和成交供应商响应文件的约定，与成交供应商签订书面合同。所签订的合同不得对竞争性比选文件和供应商的响应文件作实质性修改。</w:t>
      </w:r>
    </w:p>
    <w:p w14:paraId="66401DEA">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（二）竞争性比选文件、供应商的响应文件及澄清文件等，均为签订采购合同的依据。</w:t>
      </w:r>
    </w:p>
    <w:p w14:paraId="26D78DCD">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（三）合同生效条款由供需双方约定，法律、行政法规规定应当办理批准、登记等手续后生效的合同，依照其规定。</w:t>
      </w:r>
    </w:p>
    <w:p w14:paraId="404725F3">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（四）合同原则上应按照《施工合同》签订，相关单位要求适用合同通用格式版本的，应按其要求另行签订其他合同。</w:t>
      </w:r>
    </w:p>
    <w:p w14:paraId="0D47B531">
      <w:pPr>
        <w:spacing w:line="360" w:lineRule="auto"/>
        <w:ind w:firstLine="360" w:firstLineChars="150"/>
        <w:rPr>
          <w:rFonts w:ascii="仿宋" w:hAnsi="仿宋" w:eastAsia="仿宋" w:cs="仿宋"/>
          <w:sz w:val="24"/>
          <w:szCs w:val="24"/>
        </w:rPr>
      </w:pPr>
      <w:r>
        <w:rPr>
          <w:rFonts w:hint="eastAsia" w:ascii="仿宋" w:hAnsi="仿宋" w:eastAsia="仿宋" w:cs="仿宋"/>
          <w:sz w:val="24"/>
          <w:szCs w:val="24"/>
        </w:rPr>
        <w:t>（五）比选人要求成交供应商提供履约保证金的，应当在竞争性比选文件中予以约定。成交供应商履约完毕后，比选人应于五日内无息退还其履约保证金。</w:t>
      </w:r>
    </w:p>
    <w:bookmarkEnd w:id="365"/>
    <w:bookmarkEnd w:id="366"/>
    <w:p w14:paraId="64B8CF5C">
      <w:pPr>
        <w:spacing w:line="360" w:lineRule="auto"/>
        <w:rPr>
          <w:rFonts w:ascii="仿宋" w:hAnsi="仿宋" w:eastAsia="仿宋" w:cs="仿宋"/>
        </w:rPr>
      </w:pPr>
      <w:bookmarkStart w:id="367" w:name="_Toc27139866"/>
    </w:p>
    <w:p w14:paraId="2754D7E6">
      <w:pPr>
        <w:widowControl/>
        <w:spacing w:line="360" w:lineRule="auto"/>
        <w:jc w:val="left"/>
        <w:rPr>
          <w:rFonts w:ascii="仿宋" w:hAnsi="仿宋" w:eastAsia="仿宋" w:cs="仿宋"/>
          <w:b/>
          <w:sz w:val="36"/>
          <w:szCs w:val="30"/>
        </w:rPr>
      </w:pPr>
      <w:bookmarkStart w:id="368" w:name="_Toc28449"/>
      <w:r>
        <w:rPr>
          <w:rFonts w:hint="eastAsia" w:ascii="仿宋" w:hAnsi="仿宋" w:eastAsia="仿宋" w:cs="仿宋"/>
          <w:sz w:val="36"/>
          <w:szCs w:val="30"/>
        </w:rPr>
        <w:br w:type="page"/>
      </w:r>
    </w:p>
    <w:p w14:paraId="48C40D69">
      <w:pPr>
        <w:pStyle w:val="4"/>
      </w:pPr>
      <w:bookmarkStart w:id="369" w:name="_Toc24172"/>
      <w:bookmarkStart w:id="370" w:name="_Toc11936"/>
      <w:bookmarkStart w:id="371" w:name="_Toc25664"/>
      <w:bookmarkStart w:id="372" w:name="_Toc710"/>
      <w:bookmarkStart w:id="373" w:name="_Toc23451"/>
      <w:bookmarkStart w:id="374" w:name="_Toc7254"/>
      <w:bookmarkStart w:id="375" w:name="_Toc30629"/>
      <w:bookmarkStart w:id="376" w:name="_Toc13516"/>
      <w:r>
        <w:rPr>
          <w:rFonts w:hint="eastAsia"/>
        </w:rPr>
        <w:t>第六篇</w:t>
      </w:r>
      <w:bookmarkEnd w:id="367"/>
      <w:r>
        <w:rPr>
          <w:rFonts w:hint="eastAsia"/>
        </w:rPr>
        <w:t xml:space="preserve"> 合同草案条款和格式合同</w:t>
      </w:r>
      <w:bookmarkEnd w:id="368"/>
      <w:bookmarkEnd w:id="369"/>
      <w:bookmarkEnd w:id="370"/>
      <w:bookmarkEnd w:id="371"/>
      <w:bookmarkEnd w:id="372"/>
      <w:bookmarkEnd w:id="373"/>
      <w:bookmarkEnd w:id="374"/>
      <w:bookmarkEnd w:id="375"/>
      <w:bookmarkEnd w:id="376"/>
    </w:p>
    <w:p w14:paraId="16E158A3">
      <w:pPr>
        <w:spacing w:line="360" w:lineRule="auto"/>
        <w:rPr>
          <w:rFonts w:ascii="仿宋" w:hAnsi="仿宋" w:eastAsia="仿宋" w:cs="仿宋"/>
          <w:sz w:val="24"/>
          <w:szCs w:val="24"/>
        </w:rPr>
      </w:pPr>
      <w:r>
        <w:rPr>
          <w:rFonts w:hint="eastAsia" w:ascii="仿宋" w:hAnsi="仿宋" w:eastAsia="仿宋" w:cs="仿宋"/>
          <w:sz w:val="24"/>
          <w:szCs w:val="24"/>
        </w:rPr>
        <w:t>一、定义</w:t>
      </w:r>
    </w:p>
    <w:p w14:paraId="7AB70EE3">
      <w:pPr>
        <w:spacing w:line="360" w:lineRule="auto"/>
        <w:rPr>
          <w:rFonts w:ascii="仿宋" w:hAnsi="仿宋" w:eastAsia="仿宋" w:cs="仿宋"/>
          <w:sz w:val="24"/>
          <w:szCs w:val="24"/>
        </w:rPr>
      </w:pPr>
      <w:r>
        <w:rPr>
          <w:rFonts w:hint="eastAsia" w:ascii="仿宋" w:hAnsi="仿宋" w:eastAsia="仿宋" w:cs="仿宋"/>
          <w:sz w:val="24"/>
          <w:szCs w:val="24"/>
        </w:rPr>
        <w:t>（一）甲方（需方）即比选人，是指通过竞争性比选，接受合同货物和服务的各级国家机关、事业单位和团体组织。</w:t>
      </w:r>
    </w:p>
    <w:p w14:paraId="7DD1F43F">
      <w:pPr>
        <w:spacing w:line="360" w:lineRule="auto"/>
        <w:rPr>
          <w:rFonts w:ascii="仿宋" w:hAnsi="仿宋" w:eastAsia="仿宋" w:cs="仿宋"/>
          <w:sz w:val="24"/>
          <w:szCs w:val="24"/>
        </w:rPr>
      </w:pPr>
      <w:r>
        <w:rPr>
          <w:rFonts w:hint="eastAsia" w:ascii="仿宋" w:hAnsi="仿宋" w:eastAsia="仿宋" w:cs="仿宋"/>
          <w:sz w:val="24"/>
          <w:szCs w:val="24"/>
        </w:rPr>
        <w:t>（二）乙方（供方）即成交供应商，是指成交后提供合同货物和服务的自然人、法人及其他组织。</w:t>
      </w:r>
    </w:p>
    <w:p w14:paraId="73AAA56F">
      <w:pPr>
        <w:spacing w:line="360" w:lineRule="auto"/>
        <w:rPr>
          <w:rFonts w:ascii="仿宋" w:hAnsi="仿宋" w:eastAsia="仿宋" w:cs="仿宋"/>
          <w:sz w:val="24"/>
          <w:szCs w:val="24"/>
        </w:rPr>
      </w:pPr>
      <w:r>
        <w:rPr>
          <w:rFonts w:hint="eastAsia" w:ascii="仿宋" w:hAnsi="仿宋" w:eastAsia="仿宋" w:cs="仿宋"/>
          <w:sz w:val="24"/>
          <w:szCs w:val="24"/>
        </w:rPr>
        <w:t>（三）合同是指由甲乙双方按照竞争性比选文件和响应文件的实质性内容，通过协商一致达成的书面协议。</w:t>
      </w:r>
    </w:p>
    <w:p w14:paraId="3E88F42D">
      <w:pPr>
        <w:spacing w:line="360" w:lineRule="auto"/>
        <w:rPr>
          <w:rFonts w:ascii="仿宋" w:hAnsi="仿宋" w:eastAsia="仿宋" w:cs="仿宋"/>
          <w:sz w:val="24"/>
          <w:szCs w:val="24"/>
        </w:rPr>
      </w:pPr>
      <w:r>
        <w:rPr>
          <w:rFonts w:hint="eastAsia" w:ascii="仿宋" w:hAnsi="仿宋" w:eastAsia="仿宋" w:cs="仿宋"/>
          <w:sz w:val="24"/>
          <w:szCs w:val="24"/>
        </w:rPr>
        <w:t>（四）合同价格指以成交价格为依据，在供方全面履行合同义务后，需方应支付给供方的金额。</w:t>
      </w:r>
    </w:p>
    <w:p w14:paraId="70DF4A20">
      <w:pPr>
        <w:spacing w:line="360" w:lineRule="auto"/>
        <w:rPr>
          <w:rFonts w:ascii="仿宋" w:hAnsi="仿宋" w:eastAsia="仿宋" w:cs="仿宋"/>
          <w:sz w:val="24"/>
          <w:szCs w:val="24"/>
        </w:rPr>
      </w:pPr>
      <w:r>
        <w:rPr>
          <w:rFonts w:hint="eastAsia" w:ascii="仿宋" w:hAnsi="仿宋" w:eastAsia="仿宋" w:cs="仿宋"/>
          <w:sz w:val="24"/>
          <w:szCs w:val="24"/>
        </w:rPr>
        <w:t>二、服务内容</w:t>
      </w:r>
    </w:p>
    <w:p w14:paraId="7BC06DEA">
      <w:pPr>
        <w:spacing w:line="360" w:lineRule="auto"/>
        <w:rPr>
          <w:rFonts w:ascii="仿宋" w:hAnsi="仿宋" w:eastAsia="仿宋" w:cs="仿宋"/>
          <w:sz w:val="24"/>
          <w:szCs w:val="24"/>
        </w:rPr>
      </w:pPr>
      <w:r>
        <w:rPr>
          <w:rFonts w:hint="eastAsia" w:ascii="仿宋" w:hAnsi="仿宋" w:eastAsia="仿宋" w:cs="仿宋"/>
          <w:sz w:val="24"/>
          <w:szCs w:val="24"/>
        </w:rPr>
        <w:t>合同包括以下内容：服务名称、服务期、服务地点、质量要求、服务要求等内容。</w:t>
      </w:r>
    </w:p>
    <w:p w14:paraId="7F11C172">
      <w:pPr>
        <w:spacing w:line="360" w:lineRule="auto"/>
        <w:rPr>
          <w:rFonts w:ascii="仿宋" w:hAnsi="仿宋" w:eastAsia="仿宋" w:cs="仿宋"/>
          <w:sz w:val="24"/>
          <w:szCs w:val="24"/>
        </w:rPr>
      </w:pPr>
      <w:r>
        <w:rPr>
          <w:rFonts w:hint="eastAsia" w:ascii="仿宋" w:hAnsi="仿宋" w:eastAsia="仿宋" w:cs="仿宋"/>
          <w:sz w:val="24"/>
          <w:szCs w:val="24"/>
        </w:rPr>
        <w:t>三、合同价格</w:t>
      </w:r>
    </w:p>
    <w:p w14:paraId="32AF92A9">
      <w:pPr>
        <w:spacing w:line="360" w:lineRule="auto"/>
        <w:rPr>
          <w:rFonts w:ascii="仿宋" w:hAnsi="仿宋" w:eastAsia="仿宋" w:cs="仿宋"/>
          <w:sz w:val="24"/>
          <w:szCs w:val="24"/>
        </w:rPr>
      </w:pPr>
      <w:r>
        <w:rPr>
          <w:rFonts w:hint="eastAsia" w:ascii="仿宋" w:hAnsi="仿宋" w:eastAsia="仿宋" w:cs="仿宋"/>
          <w:sz w:val="24"/>
          <w:szCs w:val="24"/>
        </w:rPr>
        <w:t>（一）中标价格即合同总价。</w:t>
      </w:r>
    </w:p>
    <w:p w14:paraId="5173404E">
      <w:pPr>
        <w:spacing w:line="360" w:lineRule="auto"/>
        <w:rPr>
          <w:rFonts w:ascii="仿宋" w:hAnsi="仿宋" w:eastAsia="仿宋" w:cs="仿宋"/>
          <w:sz w:val="24"/>
          <w:szCs w:val="24"/>
        </w:rPr>
      </w:pPr>
      <w:r>
        <w:rPr>
          <w:rFonts w:hint="eastAsia" w:ascii="仿宋" w:hAnsi="仿宋" w:eastAsia="仿宋" w:cs="仿宋"/>
          <w:sz w:val="24"/>
          <w:szCs w:val="24"/>
        </w:rPr>
        <w:t>（二）合同价格包括提供服务所需提供的所有人、财、物、税费等一切费用，所有税费由乙方负担。</w:t>
      </w:r>
    </w:p>
    <w:p w14:paraId="76C88BA7">
      <w:pPr>
        <w:spacing w:line="360" w:lineRule="auto"/>
        <w:rPr>
          <w:rFonts w:ascii="仿宋" w:hAnsi="仿宋" w:eastAsia="仿宋" w:cs="仿宋"/>
          <w:sz w:val="24"/>
          <w:szCs w:val="24"/>
        </w:rPr>
      </w:pPr>
      <w:r>
        <w:rPr>
          <w:rFonts w:hint="eastAsia" w:ascii="仿宋" w:hAnsi="仿宋" w:eastAsia="仿宋" w:cs="仿宋"/>
          <w:sz w:val="24"/>
          <w:szCs w:val="24"/>
        </w:rPr>
        <w:t>（三）合同单价为不变价。</w:t>
      </w:r>
    </w:p>
    <w:p w14:paraId="47B80FB9">
      <w:pPr>
        <w:spacing w:line="360" w:lineRule="auto"/>
        <w:rPr>
          <w:rFonts w:ascii="仿宋" w:hAnsi="仿宋" w:eastAsia="仿宋" w:cs="仿宋"/>
          <w:sz w:val="24"/>
          <w:szCs w:val="24"/>
        </w:rPr>
      </w:pPr>
      <w:r>
        <w:rPr>
          <w:rFonts w:hint="eastAsia" w:ascii="仿宋" w:hAnsi="仿宋" w:eastAsia="仿宋" w:cs="仿宋"/>
          <w:sz w:val="24"/>
          <w:szCs w:val="24"/>
        </w:rPr>
        <w:t>四、转包或分包</w:t>
      </w:r>
    </w:p>
    <w:p w14:paraId="1E9D0572">
      <w:pPr>
        <w:spacing w:line="360" w:lineRule="auto"/>
        <w:rPr>
          <w:rFonts w:ascii="仿宋" w:hAnsi="仿宋" w:eastAsia="仿宋" w:cs="仿宋"/>
          <w:sz w:val="24"/>
          <w:szCs w:val="24"/>
        </w:rPr>
      </w:pPr>
      <w:r>
        <w:rPr>
          <w:rFonts w:hint="eastAsia" w:ascii="仿宋" w:hAnsi="仿宋" w:eastAsia="仿宋" w:cs="仿宋"/>
          <w:sz w:val="24"/>
          <w:szCs w:val="24"/>
        </w:rPr>
        <w:t>（一）本合同范围的服务，应由乙方直接供应，不得转让他人供应；</w:t>
      </w:r>
    </w:p>
    <w:p w14:paraId="30B789C2">
      <w:pPr>
        <w:spacing w:line="360" w:lineRule="auto"/>
        <w:rPr>
          <w:rFonts w:ascii="仿宋" w:hAnsi="仿宋" w:eastAsia="仿宋" w:cs="仿宋"/>
          <w:sz w:val="24"/>
          <w:szCs w:val="24"/>
        </w:rPr>
      </w:pPr>
      <w:r>
        <w:rPr>
          <w:rFonts w:hint="eastAsia" w:ascii="仿宋" w:hAnsi="仿宋" w:eastAsia="仿宋" w:cs="仿宋"/>
          <w:sz w:val="24"/>
          <w:szCs w:val="24"/>
        </w:rPr>
        <w:t>（二）非经甲方书面同意，乙方不得将本合同范围的服务全部或部分分包给他人供应；</w:t>
      </w:r>
    </w:p>
    <w:p w14:paraId="0A9414C8">
      <w:pPr>
        <w:spacing w:line="360" w:lineRule="auto"/>
        <w:rPr>
          <w:rFonts w:ascii="仿宋" w:hAnsi="仿宋" w:eastAsia="仿宋" w:cs="仿宋"/>
          <w:sz w:val="24"/>
          <w:szCs w:val="24"/>
        </w:rPr>
      </w:pPr>
      <w:r>
        <w:rPr>
          <w:rFonts w:hint="eastAsia" w:ascii="仿宋" w:hAnsi="仿宋" w:eastAsia="仿宋" w:cs="仿宋"/>
          <w:sz w:val="24"/>
          <w:szCs w:val="24"/>
        </w:rPr>
        <w:t>（三）如有转让和未经甲方同意的分包行为，甲方有权解除合同，没收履约保证金并追究乙方的违约责任。</w:t>
      </w:r>
    </w:p>
    <w:p w14:paraId="5B635158">
      <w:pPr>
        <w:spacing w:line="360" w:lineRule="auto"/>
        <w:rPr>
          <w:rFonts w:ascii="仿宋" w:hAnsi="仿宋" w:eastAsia="仿宋" w:cs="仿宋"/>
          <w:sz w:val="24"/>
          <w:szCs w:val="24"/>
        </w:rPr>
      </w:pPr>
      <w:r>
        <w:rPr>
          <w:rFonts w:hint="eastAsia" w:ascii="仿宋" w:hAnsi="仿宋" w:eastAsia="仿宋" w:cs="仿宋"/>
          <w:sz w:val="24"/>
          <w:szCs w:val="24"/>
        </w:rPr>
        <w:t>五、服务质量</w:t>
      </w:r>
    </w:p>
    <w:p w14:paraId="29A18005">
      <w:pPr>
        <w:spacing w:line="360" w:lineRule="auto"/>
        <w:rPr>
          <w:rFonts w:ascii="仿宋" w:hAnsi="仿宋" w:eastAsia="仿宋" w:cs="仿宋"/>
          <w:sz w:val="24"/>
          <w:szCs w:val="24"/>
        </w:rPr>
      </w:pPr>
      <w:r>
        <w:rPr>
          <w:rFonts w:hint="eastAsia" w:ascii="仿宋" w:hAnsi="仿宋" w:eastAsia="仿宋" w:cs="仿宋"/>
          <w:sz w:val="24"/>
          <w:szCs w:val="24"/>
        </w:rPr>
        <w:t>（一）乙方应按竞争性比选文件规定的服务要求、质量标准向甲方保质保量的提供服务。</w:t>
      </w:r>
    </w:p>
    <w:p w14:paraId="3D7F07A4">
      <w:pPr>
        <w:spacing w:line="360" w:lineRule="auto"/>
        <w:rPr>
          <w:rFonts w:ascii="仿宋" w:hAnsi="仿宋" w:eastAsia="仿宋" w:cs="仿宋"/>
          <w:sz w:val="24"/>
          <w:szCs w:val="24"/>
        </w:rPr>
      </w:pPr>
      <w:r>
        <w:rPr>
          <w:rFonts w:hint="eastAsia" w:ascii="仿宋" w:hAnsi="仿宋" w:eastAsia="仿宋" w:cs="仿宋"/>
          <w:sz w:val="24"/>
          <w:szCs w:val="24"/>
        </w:rPr>
        <w:t>（二）乙方提供的服务如果存在服务质量问题，乙方应负责更正。对达不到服务要求者，根据实际情况，经双方协商，可按以下办法处理：</w:t>
      </w:r>
    </w:p>
    <w:p w14:paraId="0051DA84">
      <w:pPr>
        <w:spacing w:line="360" w:lineRule="auto"/>
        <w:rPr>
          <w:rFonts w:ascii="仿宋" w:hAnsi="仿宋" w:eastAsia="仿宋" w:cs="仿宋"/>
          <w:sz w:val="24"/>
          <w:szCs w:val="24"/>
        </w:rPr>
      </w:pPr>
      <w:r>
        <w:rPr>
          <w:rFonts w:hint="eastAsia" w:ascii="仿宋" w:hAnsi="仿宋" w:eastAsia="仿宋" w:cs="仿宋"/>
          <w:sz w:val="24"/>
          <w:szCs w:val="24"/>
        </w:rPr>
        <w:t>1.重做：由乙方承担所发生的全部费用。</w:t>
      </w:r>
    </w:p>
    <w:p w14:paraId="235229C4">
      <w:pPr>
        <w:spacing w:line="360" w:lineRule="auto"/>
        <w:rPr>
          <w:rFonts w:ascii="仿宋" w:hAnsi="仿宋" w:eastAsia="仿宋" w:cs="仿宋"/>
          <w:sz w:val="24"/>
          <w:szCs w:val="24"/>
        </w:rPr>
      </w:pPr>
      <w:r>
        <w:rPr>
          <w:rFonts w:hint="eastAsia" w:ascii="仿宋" w:hAnsi="仿宋" w:eastAsia="仿宋" w:cs="仿宋"/>
          <w:sz w:val="24"/>
          <w:szCs w:val="24"/>
        </w:rPr>
        <w:t>2.乙方应对服务过程中出现的安全问题负责处理解决并承担一切费用。</w:t>
      </w:r>
    </w:p>
    <w:p w14:paraId="03539B58">
      <w:pPr>
        <w:spacing w:line="360" w:lineRule="auto"/>
        <w:rPr>
          <w:rFonts w:ascii="仿宋" w:hAnsi="仿宋" w:eastAsia="仿宋" w:cs="仿宋"/>
          <w:sz w:val="24"/>
          <w:szCs w:val="24"/>
        </w:rPr>
      </w:pPr>
      <w:r>
        <w:rPr>
          <w:rFonts w:hint="eastAsia" w:ascii="仿宋" w:hAnsi="仿宋" w:eastAsia="仿宋" w:cs="仿宋"/>
          <w:sz w:val="24"/>
          <w:szCs w:val="24"/>
        </w:rPr>
        <w:t>（三）如在使用过程中发生质量问题，乙方应同本项目“第三篇 采购项目商务需求”对质量保证期及售后服务内容的约定。</w:t>
      </w:r>
    </w:p>
    <w:p w14:paraId="27E2444F">
      <w:pPr>
        <w:spacing w:line="360" w:lineRule="auto"/>
        <w:rPr>
          <w:rFonts w:ascii="仿宋" w:hAnsi="仿宋" w:eastAsia="仿宋" w:cs="仿宋"/>
          <w:sz w:val="24"/>
          <w:szCs w:val="24"/>
        </w:rPr>
      </w:pPr>
      <w:r>
        <w:rPr>
          <w:rFonts w:hint="eastAsia" w:ascii="仿宋" w:hAnsi="仿宋" w:eastAsia="仿宋" w:cs="仿宋"/>
          <w:sz w:val="24"/>
          <w:szCs w:val="24"/>
        </w:rPr>
        <w:t>（四）在服务期内，乙方应对货物或服务出现的质量及安全问题负责处理解决并承担一切费用。</w:t>
      </w:r>
    </w:p>
    <w:p w14:paraId="6A57588F">
      <w:pPr>
        <w:spacing w:line="360" w:lineRule="auto"/>
        <w:rPr>
          <w:rFonts w:ascii="仿宋" w:hAnsi="仿宋" w:eastAsia="仿宋" w:cs="仿宋"/>
          <w:sz w:val="24"/>
          <w:szCs w:val="24"/>
        </w:rPr>
      </w:pPr>
      <w:r>
        <w:rPr>
          <w:rFonts w:hint="eastAsia" w:ascii="仿宋" w:hAnsi="仿宋" w:eastAsia="仿宋" w:cs="仿宋"/>
          <w:sz w:val="24"/>
          <w:szCs w:val="24"/>
        </w:rPr>
        <w:t>六、付款</w:t>
      </w:r>
    </w:p>
    <w:p w14:paraId="2DFEDF45">
      <w:pPr>
        <w:spacing w:line="360" w:lineRule="auto"/>
        <w:rPr>
          <w:rFonts w:ascii="仿宋" w:hAnsi="仿宋" w:eastAsia="仿宋" w:cs="仿宋"/>
          <w:sz w:val="24"/>
          <w:szCs w:val="24"/>
        </w:rPr>
      </w:pPr>
      <w:r>
        <w:rPr>
          <w:rFonts w:hint="eastAsia" w:ascii="仿宋" w:hAnsi="仿宋" w:eastAsia="仿宋" w:cs="仿宋"/>
          <w:sz w:val="24"/>
          <w:szCs w:val="24"/>
        </w:rPr>
        <w:t>（一）本合同使用货币币制如未作特别说明均为人民币。</w:t>
      </w:r>
    </w:p>
    <w:p w14:paraId="67B07F8B">
      <w:pPr>
        <w:spacing w:line="360" w:lineRule="auto"/>
        <w:rPr>
          <w:rFonts w:ascii="仿宋" w:hAnsi="仿宋" w:eastAsia="仿宋" w:cs="仿宋"/>
          <w:sz w:val="24"/>
          <w:szCs w:val="24"/>
        </w:rPr>
      </w:pPr>
      <w:r>
        <w:rPr>
          <w:rFonts w:hint="eastAsia" w:ascii="仿宋" w:hAnsi="仿宋" w:eastAsia="仿宋" w:cs="仿宋"/>
          <w:sz w:val="24"/>
          <w:szCs w:val="24"/>
        </w:rPr>
        <w:t>（二）付款方式：银行转账、现金支票。</w:t>
      </w:r>
    </w:p>
    <w:p w14:paraId="3EA7CB75">
      <w:pPr>
        <w:spacing w:line="360" w:lineRule="auto"/>
        <w:rPr>
          <w:rFonts w:ascii="仿宋" w:hAnsi="仿宋" w:eastAsia="仿宋" w:cs="仿宋"/>
          <w:sz w:val="24"/>
          <w:szCs w:val="24"/>
        </w:rPr>
      </w:pPr>
      <w:r>
        <w:rPr>
          <w:rFonts w:hint="eastAsia" w:ascii="仿宋" w:hAnsi="仿宋" w:eastAsia="仿宋" w:cs="仿宋"/>
          <w:sz w:val="24"/>
          <w:szCs w:val="24"/>
        </w:rPr>
        <w:t>（三）付款方法：同本项目“第三篇 采购项目商务需求”中关于付款方式的约定。</w:t>
      </w:r>
    </w:p>
    <w:p w14:paraId="3BE20F5C">
      <w:pPr>
        <w:spacing w:line="360" w:lineRule="auto"/>
        <w:rPr>
          <w:rFonts w:ascii="仿宋" w:hAnsi="仿宋" w:eastAsia="仿宋" w:cs="仿宋"/>
          <w:sz w:val="24"/>
          <w:szCs w:val="24"/>
        </w:rPr>
      </w:pPr>
      <w:r>
        <w:rPr>
          <w:rFonts w:hint="eastAsia" w:ascii="仿宋" w:hAnsi="仿宋" w:eastAsia="仿宋" w:cs="仿宋"/>
          <w:sz w:val="24"/>
          <w:szCs w:val="24"/>
        </w:rPr>
        <w:t>七、检查验收</w:t>
      </w:r>
    </w:p>
    <w:p w14:paraId="30D53E40">
      <w:pPr>
        <w:spacing w:line="360" w:lineRule="auto"/>
        <w:rPr>
          <w:rFonts w:ascii="仿宋" w:hAnsi="仿宋" w:eastAsia="仿宋" w:cs="仿宋"/>
          <w:sz w:val="24"/>
          <w:szCs w:val="24"/>
        </w:rPr>
      </w:pPr>
      <w:r>
        <w:rPr>
          <w:rFonts w:hint="eastAsia" w:ascii="仿宋" w:hAnsi="仿宋" w:eastAsia="仿宋" w:cs="仿宋"/>
          <w:sz w:val="24"/>
          <w:szCs w:val="24"/>
        </w:rPr>
        <w:t>（一）供方所供服务的各种指标不得低于竞争性比选文件和响应文件的约定，服务质量要求按照竞争性比选文件和响应文件的内容执行。</w:t>
      </w:r>
    </w:p>
    <w:p w14:paraId="65D15D40">
      <w:pPr>
        <w:spacing w:line="360" w:lineRule="auto"/>
        <w:rPr>
          <w:rFonts w:ascii="仿宋" w:hAnsi="仿宋" w:eastAsia="仿宋" w:cs="仿宋"/>
          <w:sz w:val="24"/>
          <w:szCs w:val="24"/>
        </w:rPr>
      </w:pPr>
      <w:r>
        <w:rPr>
          <w:rFonts w:hint="eastAsia" w:ascii="仿宋" w:hAnsi="仿宋" w:eastAsia="仿宋" w:cs="仿宋"/>
          <w:sz w:val="24"/>
          <w:szCs w:val="24"/>
        </w:rPr>
        <w:t>（二）验收报告应由需方、供方经办人签字，并加盖双方公章，以此作为支付凭据。</w:t>
      </w:r>
    </w:p>
    <w:p w14:paraId="6C4C01EC">
      <w:pPr>
        <w:spacing w:line="360" w:lineRule="auto"/>
        <w:rPr>
          <w:rFonts w:ascii="仿宋" w:hAnsi="仿宋" w:eastAsia="仿宋" w:cs="仿宋"/>
          <w:sz w:val="24"/>
          <w:szCs w:val="24"/>
        </w:rPr>
      </w:pPr>
      <w:r>
        <w:rPr>
          <w:rFonts w:hint="eastAsia" w:ascii="仿宋" w:hAnsi="仿宋" w:eastAsia="仿宋" w:cs="仿宋"/>
          <w:sz w:val="24"/>
          <w:szCs w:val="24"/>
        </w:rPr>
        <w:t>八、索赔</w:t>
      </w:r>
    </w:p>
    <w:p w14:paraId="0CB244A1">
      <w:pPr>
        <w:spacing w:line="360" w:lineRule="auto"/>
        <w:rPr>
          <w:rFonts w:ascii="仿宋" w:hAnsi="仿宋" w:eastAsia="仿宋" w:cs="仿宋"/>
          <w:sz w:val="24"/>
          <w:szCs w:val="24"/>
        </w:rPr>
      </w:pPr>
      <w:r>
        <w:rPr>
          <w:rFonts w:hint="eastAsia" w:ascii="仿宋" w:hAnsi="仿宋" w:eastAsia="仿宋" w:cs="仿宋"/>
          <w:sz w:val="24"/>
          <w:szCs w:val="24"/>
        </w:rPr>
        <w:t>供方对所提供服务与合同要求不符负有责任，并且需方提出索赔，供方应按需方同意的下述一种或多种方法解决索赔事宜。</w:t>
      </w:r>
    </w:p>
    <w:p w14:paraId="4D2AE8C3">
      <w:pPr>
        <w:spacing w:line="360" w:lineRule="auto"/>
        <w:rPr>
          <w:rFonts w:ascii="仿宋" w:hAnsi="仿宋" w:eastAsia="仿宋" w:cs="仿宋"/>
          <w:sz w:val="24"/>
          <w:szCs w:val="24"/>
        </w:rPr>
      </w:pPr>
      <w:r>
        <w:rPr>
          <w:rFonts w:hint="eastAsia" w:ascii="仿宋" w:hAnsi="仿宋" w:eastAsia="仿宋" w:cs="仿宋"/>
          <w:sz w:val="24"/>
          <w:szCs w:val="24"/>
        </w:rPr>
        <w:t>（一）供方同意需方拒绝服务并把拒绝部分的金额以合同规定的同类货币付给需方，供方负担发生的一切损失和费用。</w:t>
      </w:r>
    </w:p>
    <w:p w14:paraId="791C28D9">
      <w:pPr>
        <w:spacing w:line="360" w:lineRule="auto"/>
        <w:rPr>
          <w:rFonts w:ascii="仿宋" w:hAnsi="仿宋" w:eastAsia="仿宋" w:cs="仿宋"/>
          <w:sz w:val="24"/>
          <w:szCs w:val="24"/>
        </w:rPr>
      </w:pPr>
      <w:r>
        <w:rPr>
          <w:rFonts w:hint="eastAsia" w:ascii="仿宋" w:hAnsi="仿宋" w:eastAsia="仿宋" w:cs="仿宋"/>
          <w:sz w:val="24"/>
          <w:szCs w:val="24"/>
        </w:rPr>
        <w:t>（二）根据服务的疵劣和受损程度以及需方遭受损失的金额，经双方同意降低服务价格。</w:t>
      </w:r>
    </w:p>
    <w:p w14:paraId="53935E0C">
      <w:pPr>
        <w:spacing w:line="360" w:lineRule="auto"/>
        <w:rPr>
          <w:rFonts w:ascii="仿宋" w:hAnsi="仿宋" w:eastAsia="仿宋" w:cs="仿宋"/>
          <w:sz w:val="24"/>
          <w:szCs w:val="24"/>
        </w:rPr>
      </w:pPr>
      <w:r>
        <w:rPr>
          <w:rFonts w:hint="eastAsia" w:ascii="仿宋" w:hAnsi="仿宋" w:eastAsia="仿宋" w:cs="仿宋"/>
          <w:sz w:val="24"/>
          <w:szCs w:val="24"/>
        </w:rPr>
        <w:t>九、知识产权</w:t>
      </w:r>
    </w:p>
    <w:p w14:paraId="2C8B92C9">
      <w:pPr>
        <w:spacing w:line="360" w:lineRule="auto"/>
        <w:rPr>
          <w:rFonts w:ascii="仿宋" w:hAnsi="仿宋" w:eastAsia="仿宋" w:cs="仿宋"/>
          <w:sz w:val="24"/>
          <w:szCs w:val="24"/>
        </w:rPr>
      </w:pPr>
      <w:r>
        <w:rPr>
          <w:rFonts w:hint="eastAsia" w:ascii="仿宋" w:hAnsi="仿宋" w:eastAsia="仿宋" w:cs="仿宋"/>
          <w:sz w:val="24"/>
          <w:szCs w:val="24"/>
        </w:rPr>
        <w:t>（一）甲方在中华人民共和国境内使用乙方提供的货物及服务时免受第三方提出的侵犯其专利权或其它知识产权的起诉。如果第三方提出侵权指控，乙方承担由此而引起的一切法律责任和费用。</w:t>
      </w:r>
    </w:p>
    <w:p w14:paraId="26243F4D">
      <w:pPr>
        <w:spacing w:line="360" w:lineRule="auto"/>
        <w:rPr>
          <w:rFonts w:ascii="仿宋" w:hAnsi="仿宋" w:eastAsia="仿宋" w:cs="仿宋"/>
          <w:sz w:val="24"/>
          <w:szCs w:val="24"/>
        </w:rPr>
      </w:pPr>
      <w:r>
        <w:rPr>
          <w:rFonts w:hint="eastAsia" w:ascii="仿宋" w:hAnsi="仿宋" w:eastAsia="仿宋" w:cs="仿宋"/>
          <w:sz w:val="24"/>
          <w:szCs w:val="24"/>
        </w:rPr>
        <w:t>（二）若涉及软件开发等服务类项目知识产权的，知识产权归比选人所有。</w:t>
      </w:r>
    </w:p>
    <w:p w14:paraId="3F3D8642">
      <w:pPr>
        <w:spacing w:line="360" w:lineRule="auto"/>
        <w:rPr>
          <w:rFonts w:ascii="仿宋" w:hAnsi="仿宋" w:eastAsia="仿宋" w:cs="仿宋"/>
          <w:sz w:val="24"/>
          <w:szCs w:val="24"/>
        </w:rPr>
      </w:pPr>
      <w:r>
        <w:rPr>
          <w:rFonts w:hint="eastAsia" w:ascii="仿宋" w:hAnsi="仿宋" w:eastAsia="仿宋" w:cs="仿宋"/>
          <w:sz w:val="24"/>
          <w:szCs w:val="24"/>
        </w:rPr>
        <w:t>十、合同争议的解决</w:t>
      </w:r>
    </w:p>
    <w:p w14:paraId="2F3C1236">
      <w:pPr>
        <w:spacing w:line="360" w:lineRule="auto"/>
        <w:rPr>
          <w:rFonts w:ascii="仿宋" w:hAnsi="仿宋" w:eastAsia="仿宋" w:cs="仿宋"/>
          <w:sz w:val="24"/>
          <w:szCs w:val="24"/>
        </w:rPr>
      </w:pPr>
      <w:r>
        <w:rPr>
          <w:rFonts w:hint="eastAsia" w:ascii="仿宋" w:hAnsi="仿宋" w:eastAsia="仿宋" w:cs="仿宋"/>
          <w:sz w:val="24"/>
          <w:szCs w:val="24"/>
        </w:rPr>
        <w:t>（一）当事人友好协商达成一致</w:t>
      </w:r>
    </w:p>
    <w:p w14:paraId="4AEC1EE9">
      <w:pPr>
        <w:spacing w:line="360" w:lineRule="auto"/>
        <w:rPr>
          <w:rFonts w:ascii="仿宋" w:hAnsi="仿宋" w:eastAsia="仿宋" w:cs="仿宋"/>
          <w:sz w:val="24"/>
          <w:szCs w:val="24"/>
        </w:rPr>
      </w:pPr>
      <w:r>
        <w:rPr>
          <w:rFonts w:hint="eastAsia" w:ascii="仿宋" w:hAnsi="仿宋" w:eastAsia="仿宋" w:cs="仿宋"/>
          <w:sz w:val="24"/>
          <w:szCs w:val="24"/>
        </w:rPr>
        <w:t>（二）在60天内当事人协商不能达成协议的，可提请比选人当地仲裁机构仲裁。</w:t>
      </w:r>
    </w:p>
    <w:p w14:paraId="2E545DC8">
      <w:pPr>
        <w:spacing w:line="360" w:lineRule="auto"/>
        <w:rPr>
          <w:rFonts w:ascii="仿宋" w:hAnsi="仿宋" w:eastAsia="仿宋" w:cs="仿宋"/>
          <w:sz w:val="24"/>
          <w:szCs w:val="24"/>
        </w:rPr>
      </w:pPr>
      <w:r>
        <w:rPr>
          <w:rFonts w:hint="eastAsia" w:ascii="仿宋" w:hAnsi="仿宋" w:eastAsia="仿宋" w:cs="仿宋"/>
          <w:sz w:val="24"/>
          <w:szCs w:val="24"/>
        </w:rPr>
        <w:t>十一、违约责任</w:t>
      </w:r>
    </w:p>
    <w:p w14:paraId="3B7E64A1">
      <w:pPr>
        <w:spacing w:line="360" w:lineRule="auto"/>
        <w:rPr>
          <w:rFonts w:ascii="仿宋" w:hAnsi="仿宋" w:eastAsia="仿宋" w:cs="仿宋"/>
          <w:sz w:val="24"/>
          <w:szCs w:val="24"/>
        </w:rPr>
      </w:pPr>
      <w:r>
        <w:rPr>
          <w:rFonts w:hint="eastAsia" w:ascii="仿宋" w:hAnsi="仿宋" w:eastAsia="仿宋" w:cs="仿宋"/>
          <w:sz w:val="24"/>
          <w:szCs w:val="24"/>
        </w:rPr>
        <w:t>按《中华人民共和国民法典》、《中华人民共和国政府采购法》有关条款，或由供需双方约定。</w:t>
      </w:r>
    </w:p>
    <w:p w14:paraId="4C140C19">
      <w:pPr>
        <w:spacing w:line="360" w:lineRule="auto"/>
        <w:rPr>
          <w:rFonts w:ascii="仿宋" w:hAnsi="仿宋" w:eastAsia="仿宋" w:cs="仿宋"/>
          <w:sz w:val="24"/>
          <w:szCs w:val="24"/>
        </w:rPr>
      </w:pPr>
      <w:r>
        <w:rPr>
          <w:rFonts w:hint="eastAsia" w:ascii="仿宋" w:hAnsi="仿宋" w:eastAsia="仿宋" w:cs="仿宋"/>
          <w:sz w:val="24"/>
          <w:szCs w:val="24"/>
        </w:rPr>
        <w:t>十二、合同生效及其它</w:t>
      </w:r>
    </w:p>
    <w:p w14:paraId="62F96263">
      <w:pPr>
        <w:spacing w:line="360" w:lineRule="auto"/>
        <w:rPr>
          <w:rFonts w:ascii="仿宋" w:hAnsi="仿宋" w:eastAsia="仿宋" w:cs="仿宋"/>
          <w:sz w:val="24"/>
          <w:szCs w:val="24"/>
        </w:rPr>
      </w:pPr>
      <w:r>
        <w:rPr>
          <w:rFonts w:hint="eastAsia" w:ascii="仿宋" w:hAnsi="仿宋" w:eastAsia="仿宋" w:cs="仿宋"/>
          <w:sz w:val="24"/>
          <w:szCs w:val="24"/>
        </w:rPr>
        <w:t>（一）合同生效及其效力应符合《中华人民共和国民法典》有关规定。</w:t>
      </w:r>
    </w:p>
    <w:p w14:paraId="05D3BCD9">
      <w:pPr>
        <w:spacing w:line="360" w:lineRule="auto"/>
        <w:rPr>
          <w:rFonts w:ascii="仿宋" w:hAnsi="仿宋" w:eastAsia="仿宋" w:cs="仿宋"/>
          <w:sz w:val="24"/>
          <w:szCs w:val="24"/>
        </w:rPr>
      </w:pPr>
      <w:r>
        <w:rPr>
          <w:rFonts w:hint="eastAsia" w:ascii="仿宋" w:hAnsi="仿宋" w:eastAsia="仿宋" w:cs="仿宋"/>
          <w:sz w:val="24"/>
          <w:szCs w:val="24"/>
        </w:rPr>
        <w:t>（二）合同应经当事人法定代表人或委托代理人签字，加盖双方合同专用章或公章。</w:t>
      </w:r>
    </w:p>
    <w:p w14:paraId="0E54A12E">
      <w:pPr>
        <w:spacing w:line="360" w:lineRule="auto"/>
        <w:rPr>
          <w:rFonts w:ascii="仿宋" w:hAnsi="仿宋" w:eastAsia="仿宋" w:cs="仿宋"/>
          <w:sz w:val="24"/>
          <w:szCs w:val="24"/>
        </w:rPr>
      </w:pPr>
      <w:r>
        <w:rPr>
          <w:rFonts w:hint="eastAsia" w:ascii="仿宋" w:hAnsi="仿宋" w:eastAsia="仿宋" w:cs="仿宋"/>
          <w:sz w:val="24"/>
          <w:szCs w:val="24"/>
        </w:rPr>
        <w:t>（三）合同所包括附件，是合同不可分割的一部分，具有同等法法律效力。</w:t>
      </w:r>
    </w:p>
    <w:p w14:paraId="0F4FACFA">
      <w:pPr>
        <w:spacing w:line="360" w:lineRule="auto"/>
        <w:rPr>
          <w:rFonts w:ascii="仿宋" w:hAnsi="仿宋" w:eastAsia="仿宋" w:cs="仿宋"/>
          <w:sz w:val="24"/>
          <w:szCs w:val="24"/>
        </w:rPr>
      </w:pPr>
      <w:r>
        <w:rPr>
          <w:rFonts w:hint="eastAsia" w:ascii="仿宋" w:hAnsi="仿宋" w:eastAsia="仿宋" w:cs="仿宋"/>
          <w:sz w:val="24"/>
          <w:szCs w:val="24"/>
        </w:rPr>
        <w:t>（四）合同需提供担保的，按《中华人民共和国民法典》规定执行。</w:t>
      </w:r>
    </w:p>
    <w:p w14:paraId="020819E6">
      <w:pPr>
        <w:spacing w:line="360" w:lineRule="auto"/>
        <w:rPr>
          <w:rFonts w:ascii="仿宋" w:hAnsi="仿宋" w:eastAsia="仿宋" w:cs="仿宋"/>
          <w:sz w:val="24"/>
          <w:szCs w:val="24"/>
        </w:rPr>
      </w:pPr>
      <w:r>
        <w:rPr>
          <w:rFonts w:hint="eastAsia" w:ascii="仿宋" w:hAnsi="仿宋" w:eastAsia="仿宋" w:cs="仿宋"/>
          <w:sz w:val="24"/>
          <w:szCs w:val="24"/>
        </w:rPr>
        <w:t>（五）本合同条件未尽事宜依照《中华人民共和国民法典》，由供需双方共同协商确定。</w:t>
      </w:r>
    </w:p>
    <w:p w14:paraId="33A9FE4F">
      <w:pPr>
        <w:spacing w:line="360" w:lineRule="auto"/>
        <w:jc w:val="center"/>
        <w:rPr>
          <w:rFonts w:ascii="仿宋" w:hAnsi="仿宋" w:eastAsia="仿宋" w:cs="仿宋"/>
          <w:b/>
          <w:sz w:val="32"/>
          <w:szCs w:val="32"/>
        </w:rPr>
      </w:pPr>
    </w:p>
    <w:p w14:paraId="32AD29BB">
      <w:pPr>
        <w:spacing w:line="360" w:lineRule="auto"/>
        <w:rPr>
          <w:rFonts w:ascii="仿宋" w:hAnsi="仿宋" w:eastAsia="仿宋" w:cs="仿宋"/>
        </w:rPr>
      </w:pPr>
    </w:p>
    <w:p w14:paraId="1E9C8FE9">
      <w:pPr>
        <w:spacing w:line="360" w:lineRule="auto"/>
        <w:rPr>
          <w:rFonts w:ascii="仿宋" w:hAnsi="仿宋" w:eastAsia="仿宋" w:cs="仿宋"/>
          <w:b/>
          <w:sz w:val="32"/>
          <w:szCs w:val="32"/>
        </w:rPr>
      </w:pPr>
    </w:p>
    <w:p w14:paraId="2CB56566">
      <w:pPr>
        <w:spacing w:line="360" w:lineRule="auto"/>
        <w:rPr>
          <w:rFonts w:ascii="仿宋" w:hAnsi="仿宋" w:eastAsia="仿宋" w:cs="仿宋"/>
        </w:rPr>
      </w:pPr>
    </w:p>
    <w:p w14:paraId="7283E7F2">
      <w:pPr>
        <w:spacing w:line="360" w:lineRule="auto"/>
        <w:rPr>
          <w:rFonts w:ascii="仿宋" w:hAnsi="仿宋" w:eastAsia="仿宋" w:cs="仿宋"/>
          <w:b/>
          <w:sz w:val="32"/>
          <w:szCs w:val="32"/>
        </w:rPr>
      </w:pPr>
    </w:p>
    <w:p w14:paraId="5F8F1BB5">
      <w:pPr>
        <w:spacing w:line="360" w:lineRule="auto"/>
        <w:rPr>
          <w:rFonts w:ascii="仿宋" w:hAnsi="仿宋" w:eastAsia="仿宋" w:cs="仿宋"/>
        </w:rPr>
      </w:pPr>
    </w:p>
    <w:p w14:paraId="3705A56E">
      <w:pPr>
        <w:spacing w:line="360" w:lineRule="auto"/>
        <w:rPr>
          <w:rFonts w:ascii="仿宋" w:hAnsi="仿宋" w:eastAsia="仿宋" w:cs="仿宋"/>
          <w:b/>
          <w:sz w:val="32"/>
          <w:szCs w:val="32"/>
        </w:rPr>
      </w:pPr>
    </w:p>
    <w:p w14:paraId="478FE777">
      <w:pPr>
        <w:spacing w:line="360" w:lineRule="auto"/>
        <w:rPr>
          <w:rFonts w:ascii="仿宋" w:hAnsi="仿宋" w:eastAsia="仿宋" w:cs="仿宋"/>
        </w:rPr>
      </w:pPr>
    </w:p>
    <w:p w14:paraId="06AC0DF6">
      <w:pPr>
        <w:spacing w:line="360" w:lineRule="auto"/>
        <w:rPr>
          <w:rFonts w:ascii="仿宋" w:hAnsi="仿宋" w:eastAsia="仿宋" w:cs="仿宋"/>
        </w:rPr>
      </w:pPr>
    </w:p>
    <w:p w14:paraId="108A5EC2">
      <w:pPr>
        <w:widowControl/>
        <w:jc w:val="left"/>
        <w:rPr>
          <w:sz w:val="24"/>
        </w:rPr>
      </w:pPr>
      <w:bookmarkStart w:id="377" w:name="_Toc148265480"/>
      <w:bookmarkStart w:id="378" w:name="_Toc303945820"/>
      <w:r>
        <w:rPr>
          <w:rFonts w:hint="eastAsia" w:ascii="仿宋" w:hAnsi="仿宋" w:eastAsia="仿宋" w:cs="仿宋"/>
          <w:sz w:val="24"/>
        </w:rPr>
        <w:br w:type="page"/>
      </w:r>
      <w:bookmarkEnd w:id="377"/>
      <w:bookmarkEnd w:id="378"/>
      <w:bookmarkStart w:id="379" w:name="_Toc66460687"/>
      <w:bookmarkStart w:id="380" w:name="_Toc13854"/>
      <w:bookmarkStart w:id="381" w:name="_Toc357"/>
      <w:bookmarkStart w:id="382" w:name="_Toc2873"/>
      <w:bookmarkStart w:id="383" w:name="_Toc52905592"/>
      <w:bookmarkStart w:id="384" w:name="_Toc44075812"/>
      <w:bookmarkStart w:id="385" w:name="_Toc61649349"/>
      <w:r>
        <w:rPr>
          <w:sz w:val="24"/>
        </w:rPr>
        <w:t xml:space="preserve">  </w:t>
      </w:r>
      <w:r>
        <w:rPr>
          <w:rFonts w:hint="eastAsia"/>
          <w:sz w:val="24"/>
        </w:rPr>
        <w:t>附页：合同格式</w:t>
      </w:r>
      <w:r>
        <w:rPr>
          <w:rFonts w:hint="eastAsia" w:ascii="仿宋" w:hAnsi="仿宋" w:cs="仿宋"/>
          <w:sz w:val="24"/>
        </w:rPr>
        <w:t xml:space="preserve">        </w:t>
      </w:r>
      <w:r>
        <w:rPr>
          <w:sz w:val="24"/>
        </w:rPr>
        <w:t xml:space="preserve">   </w:t>
      </w:r>
    </w:p>
    <w:p w14:paraId="28752B2E">
      <w:pPr>
        <w:ind w:firstLine="3840" w:firstLineChars="1600"/>
        <w:rPr>
          <w:rFonts w:ascii="宋体" w:hAnsi="宋体" w:cs="宋体"/>
          <w:sz w:val="24"/>
        </w:rPr>
      </w:pPr>
      <w:bookmarkStart w:id="386" w:name="_Toc11342"/>
    </w:p>
    <w:p w14:paraId="6953C693">
      <w:pPr>
        <w:ind w:firstLine="3840" w:firstLineChars="1600"/>
        <w:rPr>
          <w:rFonts w:ascii="宋体" w:hAnsi="宋体" w:cs="宋体"/>
          <w:sz w:val="24"/>
        </w:rPr>
      </w:pPr>
      <w:r>
        <w:rPr>
          <w:rFonts w:hint="eastAsia" w:ascii="宋体" w:hAnsi="宋体" w:cs="宋体"/>
          <w:sz w:val="24"/>
        </w:rPr>
        <w:t>合同协议书</w:t>
      </w:r>
      <w:bookmarkEnd w:id="379"/>
      <w:bookmarkEnd w:id="380"/>
      <w:bookmarkEnd w:id="381"/>
      <w:bookmarkEnd w:id="382"/>
      <w:bookmarkEnd w:id="383"/>
      <w:bookmarkEnd w:id="384"/>
      <w:bookmarkEnd w:id="385"/>
      <w:bookmarkEnd w:id="386"/>
    </w:p>
    <w:p w14:paraId="197D1805">
      <w:pPr>
        <w:jc w:val="center"/>
        <w:rPr>
          <w:rFonts w:ascii="宋体" w:hAnsi="宋体"/>
        </w:rPr>
      </w:pPr>
      <w:bookmarkStart w:id="387" w:name="_Toc14337141"/>
      <w:bookmarkStart w:id="388" w:name="_Toc523218899"/>
      <w:bookmarkStart w:id="389" w:name="_Toc4568865"/>
      <w:bookmarkStart w:id="390" w:name="_Toc351203494"/>
      <w:r>
        <w:rPr>
          <w:rFonts w:hint="eastAsia" w:ascii="宋体" w:hAnsi="宋体" w:cs="宋体"/>
          <w:sz w:val="24"/>
        </w:rPr>
        <w:t>第一节  合同协议书</w:t>
      </w:r>
      <w:bookmarkEnd w:id="387"/>
      <w:bookmarkEnd w:id="388"/>
      <w:bookmarkEnd w:id="389"/>
    </w:p>
    <w:p w14:paraId="3ABA7F91">
      <w:pPr>
        <w:rPr>
          <w:rFonts w:ascii="宋体" w:hAnsi="宋体"/>
        </w:rPr>
      </w:pPr>
    </w:p>
    <w:p w14:paraId="78213CFF">
      <w:pPr>
        <w:spacing w:line="360" w:lineRule="auto"/>
        <w:ind w:right="-392" w:rightChars="-140"/>
        <w:rPr>
          <w:rFonts w:ascii="宋体" w:hAnsi="宋体" w:cs="宋体"/>
          <w:b/>
          <w:sz w:val="24"/>
        </w:rPr>
      </w:pPr>
      <w:r>
        <w:rPr>
          <w:rFonts w:hint="eastAsia" w:ascii="宋体" w:hAnsi="宋体" w:cs="宋体"/>
          <w:b/>
          <w:sz w:val="24"/>
        </w:rPr>
        <w:t>发包人（全称）：</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MingLiU_HKSCS"/>
          <w:b/>
          <w:sz w:val="24"/>
          <w:u w:val="single"/>
        </w:rPr>
        <w:t xml:space="preserve">      </w:t>
      </w:r>
      <w:r>
        <w:rPr>
          <w:rFonts w:hint="eastAsia" w:ascii="宋体" w:hAnsi="宋体" w:cs="MingLiU_HKSCS"/>
          <w:b/>
          <w:sz w:val="24"/>
        </w:rPr>
        <w:t xml:space="preserve">                   </w:t>
      </w:r>
    </w:p>
    <w:p w14:paraId="45D36220">
      <w:pPr>
        <w:spacing w:line="360" w:lineRule="auto"/>
        <w:rPr>
          <w:rFonts w:ascii="宋体" w:hAnsi="宋体" w:cs="宋体"/>
          <w:b/>
          <w:sz w:val="24"/>
          <w:u w:val="single"/>
        </w:rPr>
      </w:pPr>
      <w:r>
        <w:rPr>
          <w:rFonts w:hint="eastAsia" w:ascii="宋体" w:hAnsi="宋体" w:cs="宋体"/>
          <w:b/>
          <w:sz w:val="24"/>
        </w:rPr>
        <w:t>承包人（全称）：</w:t>
      </w:r>
      <w:r>
        <w:rPr>
          <w:rFonts w:hint="eastAsia" w:ascii="宋体" w:hAnsi="宋体" w:cs="MingLiU_HKSCS"/>
          <w:b/>
          <w:sz w:val="24"/>
        </w:rPr>
        <w:t xml:space="preserve">  </w:t>
      </w:r>
      <w:r>
        <w:rPr>
          <w:rFonts w:hint="eastAsia" w:ascii="宋体" w:hAnsi="宋体" w:cs="MingLiU_HKSCS"/>
          <w:b/>
          <w:sz w:val="24"/>
          <w:u w:val="single"/>
        </w:rPr>
        <w:t xml:space="preserve">                                 </w:t>
      </w:r>
    </w:p>
    <w:p w14:paraId="75BA4E3E">
      <w:pPr>
        <w:spacing w:line="360" w:lineRule="auto"/>
        <w:ind w:firstLine="480" w:firstLineChars="200"/>
        <w:rPr>
          <w:rFonts w:ascii="宋体" w:hAnsi="宋体" w:cs="宋体"/>
          <w:sz w:val="24"/>
        </w:rPr>
      </w:pPr>
      <w:r>
        <w:rPr>
          <w:rFonts w:hint="eastAsia" w:ascii="宋体" w:hAnsi="宋体" w:cs="宋体"/>
          <w:sz w:val="24"/>
        </w:rPr>
        <w:t>根据《中华人民共和国民法典》、《中华人民共和国建筑法》及有关法律规定，遵循平等、自愿、公平和诚实信用的原则，双方就</w:t>
      </w:r>
      <w:r>
        <w:rPr>
          <w:rFonts w:hint="eastAsia" w:ascii="宋体" w:hAnsi="宋体" w:cs="宋体"/>
          <w:sz w:val="24"/>
          <w:u w:val="single"/>
        </w:rPr>
        <w:t xml:space="preserve">       </w:t>
      </w:r>
      <w:r>
        <w:rPr>
          <w:rFonts w:hint="eastAsia" w:ascii="宋体" w:hAnsi="宋体" w:cs="宋体"/>
          <w:sz w:val="24"/>
        </w:rPr>
        <w:t>施工及有关事项协商一致，共同达成如下协议：</w:t>
      </w:r>
    </w:p>
    <w:p w14:paraId="7B03919E">
      <w:pPr>
        <w:spacing w:line="360" w:lineRule="auto"/>
        <w:rPr>
          <w:rFonts w:ascii="宋体" w:hAnsi="宋体" w:cs="宋体"/>
          <w:sz w:val="24"/>
        </w:rPr>
      </w:pPr>
      <w:r>
        <w:rPr>
          <w:rFonts w:hint="eastAsia" w:ascii="宋体" w:hAnsi="宋体" w:cs="宋体"/>
          <w:sz w:val="24"/>
        </w:rPr>
        <w:t xml:space="preserve"> 一、工程概况</w:t>
      </w:r>
    </w:p>
    <w:p w14:paraId="762F2C4D">
      <w:pPr>
        <w:spacing w:line="360" w:lineRule="auto"/>
        <w:ind w:firstLine="470" w:firstLineChars="196"/>
        <w:rPr>
          <w:rFonts w:ascii="宋体" w:hAnsi="宋体" w:cs="宋体"/>
          <w:sz w:val="24"/>
          <w:u w:val="single"/>
        </w:rPr>
      </w:pPr>
      <w:r>
        <w:rPr>
          <w:rFonts w:hint="eastAsia" w:ascii="宋体" w:hAnsi="宋体" w:cs="宋体"/>
          <w:bCs/>
          <w:sz w:val="24"/>
        </w:rPr>
        <w:t>1.工程名称</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p>
    <w:p w14:paraId="447B53C2">
      <w:pPr>
        <w:spacing w:line="360" w:lineRule="auto"/>
        <w:ind w:firstLine="470" w:firstLineChars="196"/>
        <w:rPr>
          <w:rFonts w:ascii="宋体" w:hAnsi="宋体" w:cs="宋体"/>
          <w:bCs/>
          <w:sz w:val="24"/>
        </w:rPr>
      </w:pPr>
      <w:r>
        <w:rPr>
          <w:rFonts w:hint="eastAsia" w:ascii="宋体" w:hAnsi="宋体" w:cs="宋体"/>
          <w:bCs/>
          <w:sz w:val="24"/>
        </w:rPr>
        <w:t>2.工程地点：</w:t>
      </w:r>
      <w:r>
        <w:rPr>
          <w:rFonts w:hint="eastAsia" w:ascii="宋体" w:hAnsi="宋体" w:cs="MingLiU_HKSCS"/>
          <w:sz w:val="24"/>
          <w:u w:val="single"/>
        </w:rPr>
        <w:t xml:space="preserve">                                    </w:t>
      </w:r>
      <w:r>
        <w:rPr>
          <w:rFonts w:hint="eastAsia" w:ascii="宋体" w:hAnsi="宋体" w:cs="宋体"/>
          <w:sz w:val="24"/>
        </w:rPr>
        <w:t>。</w:t>
      </w:r>
    </w:p>
    <w:p w14:paraId="42A95866">
      <w:pPr>
        <w:spacing w:line="360" w:lineRule="auto"/>
        <w:ind w:firstLine="470" w:firstLineChars="196"/>
        <w:rPr>
          <w:rFonts w:ascii="宋体" w:hAnsi="宋体" w:cs="宋体"/>
          <w:bCs/>
          <w:sz w:val="24"/>
        </w:rPr>
      </w:pPr>
      <w:r>
        <w:rPr>
          <w:rFonts w:hint="eastAsia" w:ascii="宋体" w:hAnsi="宋体" w:cs="宋体"/>
          <w:bCs/>
          <w:sz w:val="24"/>
        </w:rPr>
        <w:t>3.资金来源：</w:t>
      </w:r>
      <w:r>
        <w:rPr>
          <w:rFonts w:hint="eastAsia" w:ascii="宋体" w:hAnsi="宋体" w:cs="MingLiU_HKSCS"/>
          <w:sz w:val="24"/>
          <w:u w:val="single"/>
        </w:rPr>
        <w:t xml:space="preserve">                                   </w:t>
      </w:r>
      <w:r>
        <w:rPr>
          <w:rFonts w:hint="eastAsia" w:ascii="宋体" w:hAnsi="宋体" w:cs="宋体"/>
          <w:bCs/>
          <w:sz w:val="24"/>
        </w:rPr>
        <w:t>。</w:t>
      </w:r>
    </w:p>
    <w:p w14:paraId="5669F4A0">
      <w:pPr>
        <w:spacing w:line="360" w:lineRule="auto"/>
        <w:ind w:firstLine="470" w:firstLineChars="196"/>
        <w:rPr>
          <w:rFonts w:ascii="宋体" w:hAnsi="宋体" w:cs="宋体"/>
          <w:bCs/>
          <w:sz w:val="24"/>
        </w:rPr>
      </w:pPr>
      <w:r>
        <w:rPr>
          <w:rFonts w:hint="eastAsia" w:ascii="宋体" w:hAnsi="宋体" w:cs="宋体"/>
          <w:bCs/>
          <w:sz w:val="24"/>
        </w:rPr>
        <w:t>4.工程内容：</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bCs/>
          <w:sz w:val="24"/>
        </w:rPr>
        <w:t>。</w:t>
      </w:r>
    </w:p>
    <w:p w14:paraId="5722D4DB">
      <w:pPr>
        <w:spacing w:line="360" w:lineRule="auto"/>
        <w:ind w:firstLine="470" w:firstLineChars="196"/>
        <w:rPr>
          <w:rFonts w:ascii="宋体" w:hAnsi="宋体" w:cs="宋体"/>
          <w:bCs/>
          <w:sz w:val="24"/>
        </w:rPr>
      </w:pPr>
      <w:r>
        <w:rPr>
          <w:rFonts w:hint="eastAsia" w:ascii="宋体" w:hAnsi="宋体" w:cs="宋体"/>
          <w:bCs/>
          <w:sz w:val="24"/>
        </w:rPr>
        <w:t>5.工程承包范围：</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bCs/>
          <w:sz w:val="24"/>
        </w:rPr>
        <w:t>。</w:t>
      </w:r>
    </w:p>
    <w:p w14:paraId="075C16F2">
      <w:pPr>
        <w:spacing w:line="360" w:lineRule="auto"/>
        <w:rPr>
          <w:rFonts w:ascii="宋体" w:hAnsi="宋体" w:cs="宋体"/>
          <w:sz w:val="24"/>
        </w:rPr>
      </w:pPr>
      <w:r>
        <w:rPr>
          <w:rFonts w:hint="eastAsia" w:ascii="宋体" w:hAnsi="宋体" w:cs="宋体"/>
          <w:sz w:val="24"/>
        </w:rPr>
        <w:t xml:space="preserve">   二、合同工期</w:t>
      </w:r>
    </w:p>
    <w:p w14:paraId="24CC2110">
      <w:pPr>
        <w:spacing w:line="360" w:lineRule="auto"/>
        <w:ind w:firstLine="459"/>
        <w:rPr>
          <w:rFonts w:ascii="宋体" w:hAnsi="宋体" w:cs="宋体"/>
          <w:sz w:val="24"/>
        </w:rPr>
      </w:pPr>
      <w:r>
        <w:rPr>
          <w:rFonts w:hint="eastAsia" w:ascii="宋体" w:hAnsi="宋体" w:cs="宋体"/>
          <w:sz w:val="24"/>
        </w:rPr>
        <w:t>计划开工日期：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日（具体开工时间</w:t>
      </w:r>
      <w:r>
        <w:rPr>
          <w:rFonts w:hint="eastAsia" w:ascii="宋体" w:hAnsi="宋体" w:cs="宋体"/>
          <w:sz w:val="24"/>
          <w:u w:val="single"/>
        </w:rPr>
        <w:t>以发包人确认的开工令为准</w:t>
      </w:r>
      <w:r>
        <w:rPr>
          <w:rFonts w:hint="eastAsia" w:ascii="宋体" w:hAnsi="宋体" w:cs="宋体"/>
          <w:sz w:val="24"/>
        </w:rPr>
        <w:t>。）</w:t>
      </w:r>
    </w:p>
    <w:p w14:paraId="1F09F7FD">
      <w:pPr>
        <w:spacing w:line="360" w:lineRule="auto"/>
        <w:ind w:firstLine="459"/>
        <w:rPr>
          <w:rFonts w:ascii="宋体" w:hAnsi="宋体" w:cs="宋体"/>
          <w:sz w:val="24"/>
          <w:u w:val="single"/>
        </w:rPr>
      </w:pPr>
      <w:r>
        <w:rPr>
          <w:rFonts w:hint="eastAsia" w:ascii="宋体" w:hAnsi="宋体" w:cs="宋体"/>
          <w:sz w:val="24"/>
        </w:rPr>
        <w:t>计划竣工日期：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日（竣工日期</w:t>
      </w:r>
      <w:r>
        <w:rPr>
          <w:rFonts w:hint="eastAsia" w:ascii="宋体" w:hAnsi="宋体" w:cs="宋体"/>
          <w:sz w:val="24"/>
          <w:u w:val="single"/>
        </w:rPr>
        <w:t>以竣工报告时间为准。）</w:t>
      </w:r>
    </w:p>
    <w:p w14:paraId="2F192850">
      <w:pPr>
        <w:spacing w:line="360" w:lineRule="auto"/>
        <w:ind w:firstLine="459"/>
        <w:rPr>
          <w:rFonts w:ascii="宋体" w:hAnsi="宋体" w:cs="宋体"/>
          <w:sz w:val="24"/>
        </w:rPr>
      </w:pPr>
      <w:r>
        <w:rPr>
          <w:rFonts w:hint="eastAsia" w:ascii="宋体" w:hAnsi="宋体" w:cs="宋体"/>
          <w:sz w:val="24"/>
        </w:rPr>
        <w:t>工期总日历天数：</w:t>
      </w:r>
      <w:r>
        <w:rPr>
          <w:rFonts w:hint="eastAsia" w:ascii="宋体" w:hAnsi="宋体" w:cs="宋体"/>
          <w:sz w:val="24"/>
          <w:u w:val="single"/>
        </w:rPr>
        <w:t xml:space="preserve">           </w:t>
      </w:r>
      <w:r>
        <w:rPr>
          <w:rFonts w:hint="eastAsia" w:ascii="宋体" w:hAnsi="宋体" w:cs="宋体"/>
          <w:sz w:val="24"/>
        </w:rPr>
        <w:t>日历天。</w:t>
      </w:r>
    </w:p>
    <w:p w14:paraId="4AA843FA">
      <w:pPr>
        <w:spacing w:line="360" w:lineRule="auto"/>
        <w:rPr>
          <w:rFonts w:ascii="宋体" w:hAnsi="宋体" w:cs="宋体"/>
          <w:sz w:val="24"/>
        </w:rPr>
      </w:pPr>
      <w:r>
        <w:rPr>
          <w:rFonts w:hint="eastAsia" w:ascii="宋体" w:hAnsi="宋体" w:cs="宋体"/>
          <w:sz w:val="24"/>
        </w:rPr>
        <w:t>三、质量标准</w:t>
      </w:r>
    </w:p>
    <w:p w14:paraId="5C9C4B58">
      <w:pPr>
        <w:spacing w:line="360" w:lineRule="auto"/>
        <w:ind w:firstLine="480" w:firstLineChars="200"/>
        <w:rPr>
          <w:rFonts w:ascii="宋体" w:hAnsi="宋体" w:cs="宋体"/>
          <w:sz w:val="24"/>
        </w:rPr>
      </w:pPr>
      <w:r>
        <w:rPr>
          <w:rFonts w:hint="eastAsia" w:ascii="宋体" w:hAnsi="宋体"/>
          <w:sz w:val="24"/>
          <w:u w:val="single"/>
        </w:rPr>
        <w:t>符合强制性质量标准，符合国家和重庆市现行有关施工质量验收规范要求，并达到合格标准。</w:t>
      </w:r>
      <w:r>
        <w:rPr>
          <w:rFonts w:hint="eastAsia" w:ascii="宋体" w:hAnsi="宋体"/>
          <w:sz w:val="24"/>
          <w:u w:val="single"/>
        </w:rPr>
        <w:br w:type="textWrapping"/>
      </w:r>
      <w:r>
        <w:rPr>
          <w:rFonts w:hint="eastAsia" w:ascii="宋体" w:hAnsi="宋体" w:cs="宋体"/>
          <w:sz w:val="24"/>
        </w:rPr>
        <w:t xml:space="preserve"> 四、签约合同价与合同价格形式</w:t>
      </w:r>
      <w:r>
        <w:rPr>
          <w:rFonts w:hint="eastAsia" w:ascii="宋体" w:hAnsi="宋体" w:cs="宋体"/>
          <w:sz w:val="24"/>
        </w:rPr>
        <w:tab/>
      </w:r>
    </w:p>
    <w:p w14:paraId="4843D56B">
      <w:pPr>
        <w:spacing w:line="360" w:lineRule="auto"/>
        <w:ind w:firstLine="480" w:firstLineChars="200"/>
        <w:rPr>
          <w:rFonts w:ascii="宋体" w:hAnsi="宋体" w:cs="宋体"/>
          <w:sz w:val="24"/>
          <w:u w:val="single"/>
        </w:rPr>
      </w:pPr>
      <w:r>
        <w:rPr>
          <w:rFonts w:hint="eastAsia" w:ascii="宋体" w:hAnsi="宋体" w:cs="宋体"/>
          <w:sz w:val="24"/>
        </w:rPr>
        <w:t xml:space="preserve">1.签约合同价为： </w:t>
      </w:r>
      <w:r>
        <w:rPr>
          <w:rFonts w:hint="eastAsia" w:ascii="宋体" w:hAnsi="宋体" w:cs="宋体"/>
          <w:sz w:val="24"/>
          <w:u w:val="single"/>
        </w:rPr>
        <w:t xml:space="preserve">                              </w:t>
      </w:r>
    </w:p>
    <w:p w14:paraId="68CDA9A6">
      <w:pPr>
        <w:spacing w:line="360" w:lineRule="auto"/>
        <w:ind w:firstLine="600" w:firstLineChars="250"/>
        <w:rPr>
          <w:rFonts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元)；</w:t>
      </w:r>
    </w:p>
    <w:p w14:paraId="3E52F5CE">
      <w:pPr>
        <w:spacing w:line="360" w:lineRule="auto"/>
        <w:ind w:firstLine="480" w:firstLineChars="200"/>
        <w:rPr>
          <w:rFonts w:ascii="宋体" w:hAnsi="宋体" w:cs="宋体"/>
          <w:sz w:val="24"/>
        </w:rPr>
      </w:pPr>
      <w:r>
        <w:rPr>
          <w:rFonts w:hint="eastAsia" w:ascii="宋体" w:hAnsi="宋体" w:cs="宋体"/>
          <w:sz w:val="24"/>
        </w:rPr>
        <w:t>其中：</w:t>
      </w:r>
    </w:p>
    <w:p w14:paraId="65ECAFD3">
      <w:pPr>
        <w:spacing w:line="360" w:lineRule="auto"/>
        <w:ind w:firstLine="480" w:firstLineChars="200"/>
        <w:rPr>
          <w:rFonts w:ascii="宋体" w:hAnsi="宋体" w:cs="宋体"/>
          <w:sz w:val="24"/>
        </w:rPr>
      </w:pPr>
      <w:r>
        <w:rPr>
          <w:rFonts w:hint="eastAsia" w:ascii="宋体" w:hAnsi="宋体" w:cs="宋体"/>
          <w:sz w:val="24"/>
        </w:rPr>
        <w:t>（1）安全文明施工费：</w:t>
      </w:r>
      <w:r>
        <w:rPr>
          <w:rFonts w:hint="eastAsia" w:ascii="宋体" w:hAnsi="宋体" w:cs="宋体"/>
          <w:sz w:val="24"/>
          <w:u w:val="single"/>
        </w:rPr>
        <w:t xml:space="preserve">                      </w:t>
      </w:r>
      <w:r>
        <w:rPr>
          <w:rFonts w:hint="eastAsia" w:ascii="宋体" w:hAnsi="宋体" w:cs="宋体"/>
          <w:sz w:val="24"/>
        </w:rPr>
        <w:t xml:space="preserve">                        </w:t>
      </w:r>
    </w:p>
    <w:p w14:paraId="531DF2A1">
      <w:pPr>
        <w:spacing w:line="360" w:lineRule="auto"/>
        <w:ind w:firstLine="1080" w:firstLineChars="450"/>
        <w:rPr>
          <w:rFonts w:ascii="宋体" w:hAnsi="宋体" w:cs="宋体"/>
          <w:sz w:val="24"/>
        </w:rPr>
      </w:pPr>
      <w:r>
        <w:rPr>
          <w:rFonts w:hint="eastAsia" w:ascii="宋体" w:hAnsi="宋体" w:cs="宋体"/>
          <w:sz w:val="24"/>
        </w:rPr>
        <w:t>人民币（大写：</w:t>
      </w:r>
      <w:r>
        <w:rPr>
          <w:rFonts w:hint="eastAsia" w:ascii="宋体" w:hAnsi="宋体" w:cs="宋体"/>
          <w:sz w:val="24"/>
          <w:u w:val="single"/>
        </w:rPr>
        <w:t xml:space="preserve">                      </w:t>
      </w:r>
      <w:r>
        <w:rPr>
          <w:rFonts w:hint="eastAsia" w:ascii="宋体" w:hAnsi="宋体" w:cs="宋体"/>
          <w:sz w:val="24"/>
        </w:rPr>
        <w:t>） (¥</w:t>
      </w:r>
      <w:r>
        <w:rPr>
          <w:rFonts w:hint="eastAsia" w:ascii="宋体" w:hAnsi="宋体" w:cs="宋体"/>
          <w:sz w:val="24"/>
          <w:u w:val="single"/>
        </w:rPr>
        <w:t xml:space="preserve">                      </w:t>
      </w:r>
      <w:r>
        <w:rPr>
          <w:rFonts w:hint="eastAsia" w:ascii="宋体" w:hAnsi="宋体" w:cs="宋体"/>
          <w:sz w:val="24"/>
        </w:rPr>
        <w:t>元)；</w:t>
      </w:r>
    </w:p>
    <w:p w14:paraId="6C777608">
      <w:pPr>
        <w:spacing w:line="360" w:lineRule="auto"/>
        <w:ind w:firstLine="480" w:firstLineChars="200"/>
        <w:rPr>
          <w:rFonts w:ascii="宋体" w:hAnsi="宋体" w:cs="宋体"/>
          <w:sz w:val="24"/>
        </w:rPr>
      </w:pPr>
      <w:r>
        <w:rPr>
          <w:rFonts w:hint="eastAsia" w:ascii="宋体" w:hAnsi="宋体" w:cs="宋体"/>
          <w:sz w:val="24"/>
        </w:rPr>
        <w:t>2.合同价格形式：</w:t>
      </w:r>
      <w:r>
        <w:rPr>
          <w:rFonts w:hint="eastAsia" w:ascii="宋体" w:hAnsi="宋体" w:cs="MingLiU_HKSCS"/>
          <w:sz w:val="24"/>
          <w:u w:val="single"/>
        </w:rPr>
        <w:t xml:space="preserve">                           </w:t>
      </w:r>
      <w:r>
        <w:rPr>
          <w:rFonts w:hint="eastAsia" w:ascii="宋体" w:hAnsi="宋体" w:cs="宋体"/>
          <w:sz w:val="24"/>
        </w:rPr>
        <w:t>。</w:t>
      </w:r>
    </w:p>
    <w:p w14:paraId="731A9436">
      <w:pPr>
        <w:spacing w:line="360" w:lineRule="auto"/>
        <w:rPr>
          <w:rFonts w:ascii="宋体" w:hAnsi="宋体" w:cs="宋体"/>
          <w:sz w:val="24"/>
        </w:rPr>
      </w:pPr>
      <w:r>
        <w:rPr>
          <w:rFonts w:hint="eastAsia" w:ascii="宋体" w:hAnsi="宋体" w:cs="宋体"/>
          <w:sz w:val="24"/>
        </w:rPr>
        <w:t xml:space="preserve"> 五、项目经理</w:t>
      </w:r>
    </w:p>
    <w:p w14:paraId="1D30078C">
      <w:pPr>
        <w:spacing w:line="360" w:lineRule="auto"/>
        <w:ind w:firstLine="480" w:firstLineChars="200"/>
        <w:rPr>
          <w:rFonts w:ascii="宋体" w:hAnsi="宋体" w:cs="宋体"/>
          <w:sz w:val="24"/>
        </w:rPr>
      </w:pPr>
      <w:r>
        <w:rPr>
          <w:rFonts w:hint="eastAsia" w:ascii="宋体" w:hAnsi="宋体" w:cs="宋体"/>
          <w:sz w:val="24"/>
        </w:rPr>
        <w:t>承包人项目经理：</w:t>
      </w:r>
      <w:r>
        <w:rPr>
          <w:rFonts w:hint="eastAsia" w:ascii="宋体" w:hAnsi="宋体" w:cs="MingLiU_HKSCS"/>
          <w:sz w:val="24"/>
          <w:u w:val="single"/>
        </w:rPr>
        <w:t xml:space="preserve">                              </w:t>
      </w:r>
      <w:r>
        <w:rPr>
          <w:rFonts w:hint="eastAsia" w:ascii="宋体" w:hAnsi="宋体" w:cs="宋体"/>
          <w:sz w:val="24"/>
        </w:rPr>
        <w:t>。</w:t>
      </w:r>
    </w:p>
    <w:p w14:paraId="62AE056B">
      <w:pPr>
        <w:spacing w:line="360" w:lineRule="auto"/>
        <w:ind w:firstLine="480" w:firstLineChars="200"/>
        <w:rPr>
          <w:rFonts w:ascii="宋体" w:hAnsi="宋体" w:cs="宋体"/>
          <w:sz w:val="24"/>
        </w:rPr>
      </w:pPr>
      <w:r>
        <w:rPr>
          <w:rFonts w:hint="eastAsia" w:ascii="宋体" w:hAnsi="宋体" w:cs="宋体"/>
          <w:sz w:val="24"/>
        </w:rPr>
        <w:t>执业资格证号：</w:t>
      </w:r>
      <w:r>
        <w:rPr>
          <w:rFonts w:hint="eastAsia" w:ascii="宋体" w:hAnsi="宋体" w:cs="MingLiU_HKSCS"/>
          <w:sz w:val="24"/>
          <w:u w:val="single"/>
        </w:rPr>
        <w:t xml:space="preserve">                         </w:t>
      </w:r>
      <w:r>
        <w:rPr>
          <w:rFonts w:hint="eastAsia" w:ascii="宋体" w:hAnsi="宋体" w:cs="宋体"/>
          <w:sz w:val="24"/>
          <w:u w:val="single"/>
        </w:rPr>
        <w:t>。</w:t>
      </w:r>
      <w:r>
        <w:rPr>
          <w:rFonts w:hint="eastAsia" w:ascii="宋体" w:hAnsi="宋体" w:cs="宋体"/>
          <w:sz w:val="24"/>
        </w:rPr>
        <w:t>联系电话：</w:t>
      </w:r>
      <w:r>
        <w:rPr>
          <w:rFonts w:hint="eastAsia" w:ascii="宋体" w:hAnsi="宋体" w:cs="MingLiU_HKSCS"/>
          <w:sz w:val="24"/>
          <w:u w:val="single"/>
        </w:rPr>
        <w:t xml:space="preserve">              </w:t>
      </w:r>
      <w:r>
        <w:rPr>
          <w:rFonts w:hint="eastAsia" w:ascii="宋体" w:hAnsi="宋体" w:cs="宋体"/>
          <w:sz w:val="24"/>
          <w:u w:val="single"/>
        </w:rPr>
        <w:t xml:space="preserve">    </w:t>
      </w:r>
    </w:p>
    <w:p w14:paraId="1E5B49B8">
      <w:pPr>
        <w:spacing w:line="360" w:lineRule="auto"/>
        <w:rPr>
          <w:rFonts w:ascii="宋体" w:hAnsi="宋体" w:cs="宋体"/>
          <w:sz w:val="24"/>
        </w:rPr>
      </w:pPr>
      <w:r>
        <w:rPr>
          <w:rFonts w:hint="eastAsia" w:ascii="宋体" w:hAnsi="宋体" w:cs="宋体"/>
          <w:sz w:val="24"/>
        </w:rPr>
        <w:t xml:space="preserve"> 六、合同文件构成</w:t>
      </w:r>
    </w:p>
    <w:p w14:paraId="45262AA5">
      <w:pPr>
        <w:spacing w:line="360" w:lineRule="auto"/>
        <w:ind w:firstLine="480" w:firstLineChars="200"/>
        <w:rPr>
          <w:rFonts w:ascii="宋体" w:hAnsi="宋体" w:cs="宋体"/>
          <w:bCs/>
          <w:sz w:val="24"/>
        </w:rPr>
      </w:pPr>
      <w:r>
        <w:rPr>
          <w:rFonts w:hint="eastAsia" w:ascii="宋体" w:hAnsi="宋体" w:cs="宋体"/>
          <w:bCs/>
          <w:sz w:val="24"/>
        </w:rPr>
        <w:t>本协议书与下列文件一起构成合同文件：</w:t>
      </w:r>
    </w:p>
    <w:p w14:paraId="23CC547C">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（1）中标通知书；</w:t>
      </w:r>
    </w:p>
    <w:p w14:paraId="45CF6A26">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（2）</w:t>
      </w:r>
      <w:r>
        <w:rPr>
          <w:rFonts w:hint="eastAsia" w:ascii="宋体" w:hAnsi="宋体" w:cs="宋体"/>
          <w:sz w:val="24"/>
          <w:lang w:val="en-US" w:eastAsia="zh-CN"/>
        </w:rPr>
        <w:t>竞争性比选报价函</w:t>
      </w:r>
      <w:r>
        <w:rPr>
          <w:rFonts w:hint="eastAsia" w:ascii="宋体" w:hAnsi="宋体" w:cs="宋体"/>
          <w:sz w:val="24"/>
        </w:rPr>
        <w:t xml:space="preserve">； </w:t>
      </w:r>
    </w:p>
    <w:p w14:paraId="22B57E27">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（3）专用合同条款及其附件；</w:t>
      </w:r>
    </w:p>
    <w:p w14:paraId="768D4E25">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（4）通用合同条款；</w:t>
      </w:r>
    </w:p>
    <w:p w14:paraId="61A134D3">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sz w:val="24"/>
        </w:rPr>
        <w:t>相关方安全环境实施细则；</w:t>
      </w:r>
    </w:p>
    <w:p w14:paraId="56C35FEA">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（6）技术标准和要求；</w:t>
      </w:r>
    </w:p>
    <w:p w14:paraId="43329F45">
      <w:pPr>
        <w:autoSpaceDE w:val="0"/>
        <w:autoSpaceDN w:val="0"/>
        <w:adjustRightInd w:val="0"/>
        <w:spacing w:line="360" w:lineRule="auto"/>
        <w:ind w:firstLine="480" w:firstLineChars="200"/>
        <w:rPr>
          <w:rFonts w:hint="eastAsia" w:ascii="宋体" w:hAnsi="宋体" w:eastAsia="宋体" w:cs="宋体"/>
          <w:sz w:val="24"/>
          <w:lang w:val="en-US" w:eastAsia="zh-CN"/>
        </w:rPr>
      </w:pPr>
      <w:r>
        <w:rPr>
          <w:rFonts w:hint="eastAsia" w:ascii="宋体" w:hAnsi="宋体" w:cs="宋体"/>
          <w:sz w:val="24"/>
        </w:rPr>
        <w:t>（7）图纸；</w:t>
      </w:r>
    </w:p>
    <w:p w14:paraId="64895E98">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（8）已标价工程量清单或预算书；</w:t>
      </w:r>
    </w:p>
    <w:p w14:paraId="28E0F3F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（9）其他合同文件。</w:t>
      </w:r>
    </w:p>
    <w:p w14:paraId="2C480744">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在合同订立及履行过程中形成的与合同有关的文件均构成合同文件组成部分。</w:t>
      </w:r>
    </w:p>
    <w:p w14:paraId="5C7E1C3F">
      <w:pPr>
        <w:autoSpaceDE w:val="0"/>
        <w:autoSpaceDN w:val="0"/>
        <w:adjustRightInd w:val="0"/>
        <w:spacing w:line="360" w:lineRule="auto"/>
        <w:ind w:firstLine="480" w:firstLineChars="200"/>
        <w:rPr>
          <w:rFonts w:ascii="宋体" w:hAnsi="宋体" w:cs="宋体"/>
          <w:sz w:val="24"/>
        </w:rPr>
      </w:pPr>
      <w:r>
        <w:rPr>
          <w:rFonts w:hint="eastAsia" w:ascii="宋体" w:hAnsi="宋体" w:cs="宋体"/>
          <w:sz w:val="24"/>
        </w:rPr>
        <w:t>上述各项合同文件包括合同当事人就该项合同文件所作出的补充和修改，属于同一类内容的文件，应以最新签署的为准。专用合同条款及其附件须经合同当事人签字或盖章。</w:t>
      </w:r>
    </w:p>
    <w:p w14:paraId="671F068B">
      <w:pPr>
        <w:spacing w:line="360" w:lineRule="auto"/>
        <w:rPr>
          <w:rFonts w:ascii="宋体" w:hAnsi="宋体" w:cs="宋体"/>
          <w:sz w:val="24"/>
        </w:rPr>
      </w:pPr>
      <w:r>
        <w:rPr>
          <w:rFonts w:hint="eastAsia" w:ascii="宋体" w:hAnsi="宋体" w:cs="宋体"/>
          <w:sz w:val="24"/>
        </w:rPr>
        <w:t xml:space="preserve"> 七、承诺</w:t>
      </w:r>
    </w:p>
    <w:p w14:paraId="03DAD4A6">
      <w:pPr>
        <w:spacing w:line="360" w:lineRule="auto"/>
        <w:ind w:firstLine="480" w:firstLineChars="200"/>
        <w:rPr>
          <w:rFonts w:ascii="宋体" w:hAnsi="宋体" w:cs="宋体"/>
          <w:bCs/>
          <w:sz w:val="24"/>
        </w:rPr>
      </w:pPr>
      <w:r>
        <w:rPr>
          <w:rFonts w:hint="eastAsia" w:ascii="宋体" w:hAnsi="宋体" w:cs="宋体"/>
          <w:bCs/>
          <w:sz w:val="24"/>
        </w:rPr>
        <w:t>1.发包人承诺按照法律规定履行项目审批手续、筹集工程建设资金并按照合同约定的期限和方式支付合同价款。</w:t>
      </w:r>
    </w:p>
    <w:p w14:paraId="0C0169C4">
      <w:pPr>
        <w:spacing w:line="360" w:lineRule="auto"/>
        <w:ind w:firstLine="480" w:firstLineChars="200"/>
        <w:rPr>
          <w:rFonts w:ascii="宋体" w:hAnsi="宋体" w:cs="宋体"/>
          <w:bCs/>
          <w:sz w:val="24"/>
        </w:rPr>
      </w:pPr>
      <w:r>
        <w:rPr>
          <w:rFonts w:hint="eastAsia" w:ascii="宋体" w:hAnsi="宋体" w:cs="宋体"/>
          <w:bCs/>
          <w:sz w:val="24"/>
        </w:rPr>
        <w:t>2.承包人承诺按照法律规定及合同约定组织完成工程施工，确保工程质量和安全，不进行转包及违法分包，并在缺陷责任期及保修期内承担相应的工程维修责任。</w:t>
      </w:r>
    </w:p>
    <w:p w14:paraId="1357BF33">
      <w:pPr>
        <w:spacing w:line="360" w:lineRule="auto"/>
        <w:ind w:firstLine="480" w:firstLineChars="200"/>
        <w:rPr>
          <w:rFonts w:ascii="宋体" w:hAnsi="宋体" w:cs="宋体"/>
          <w:bCs/>
          <w:sz w:val="24"/>
        </w:rPr>
      </w:pPr>
      <w:r>
        <w:rPr>
          <w:rFonts w:hint="eastAsia" w:ascii="宋体" w:hAnsi="宋体" w:cs="宋体"/>
          <w:bCs/>
          <w:sz w:val="24"/>
        </w:rPr>
        <w:t>3.发包人和承包人通过招投标形式签订合同的，双方理解并承诺不再就同一工程另行签订与合同实质性内容相背离的协议。</w:t>
      </w:r>
    </w:p>
    <w:p w14:paraId="329DCB5A">
      <w:pPr>
        <w:spacing w:line="360" w:lineRule="auto"/>
        <w:rPr>
          <w:rFonts w:ascii="宋体" w:hAnsi="宋体" w:cs="宋体"/>
          <w:sz w:val="24"/>
        </w:rPr>
      </w:pPr>
      <w:r>
        <w:rPr>
          <w:rFonts w:hint="eastAsia" w:ascii="宋体" w:hAnsi="宋体" w:cs="宋体"/>
          <w:sz w:val="24"/>
        </w:rPr>
        <w:t>八、词语含义</w:t>
      </w:r>
    </w:p>
    <w:p w14:paraId="2D709581">
      <w:pPr>
        <w:spacing w:line="360" w:lineRule="auto"/>
        <w:ind w:firstLine="480" w:firstLineChars="200"/>
        <w:rPr>
          <w:rFonts w:ascii="宋体" w:hAnsi="宋体" w:cs="宋体"/>
          <w:bCs/>
          <w:sz w:val="24"/>
        </w:rPr>
      </w:pPr>
      <w:r>
        <w:rPr>
          <w:rFonts w:hint="eastAsia" w:ascii="宋体" w:hAnsi="宋体" w:cs="宋体"/>
          <w:bCs/>
          <w:sz w:val="24"/>
        </w:rPr>
        <w:t>本协议书中词语含义与第二部分通用合同条款中赋予的含义相同。</w:t>
      </w:r>
    </w:p>
    <w:p w14:paraId="6E8046AE">
      <w:pPr>
        <w:spacing w:line="360" w:lineRule="auto"/>
        <w:rPr>
          <w:rFonts w:ascii="宋体" w:hAnsi="宋体" w:cs="宋体"/>
          <w:sz w:val="24"/>
        </w:rPr>
      </w:pPr>
      <w:r>
        <w:rPr>
          <w:rFonts w:hint="eastAsia" w:ascii="宋体" w:hAnsi="宋体" w:cs="宋体"/>
          <w:sz w:val="24"/>
        </w:rPr>
        <w:t xml:space="preserve">  九、签订时间</w:t>
      </w:r>
    </w:p>
    <w:p w14:paraId="452BB2F1">
      <w:pPr>
        <w:spacing w:line="360" w:lineRule="auto"/>
        <w:ind w:firstLine="480" w:firstLineChars="200"/>
        <w:rPr>
          <w:rFonts w:ascii="宋体" w:hAnsi="宋体" w:cs="宋体"/>
          <w:bCs/>
          <w:sz w:val="24"/>
        </w:rPr>
      </w:pPr>
      <w:r>
        <w:rPr>
          <w:rFonts w:hint="eastAsia" w:ascii="宋体" w:hAnsi="宋体" w:cs="宋体"/>
          <w:bCs/>
          <w:sz w:val="24"/>
        </w:rPr>
        <w:t>本合同于</w:t>
      </w:r>
      <w:r>
        <w:rPr>
          <w:rFonts w:hint="eastAsia" w:ascii="宋体" w:hAnsi="宋体" w:cs="宋体"/>
          <w:bCs/>
          <w:sz w:val="24"/>
          <w:u w:val="single"/>
        </w:rPr>
        <w:t xml:space="preserve">       </w:t>
      </w:r>
      <w:r>
        <w:rPr>
          <w:rFonts w:hint="eastAsia" w:ascii="宋体" w:hAnsi="宋体" w:cs="宋体"/>
          <w:bCs/>
          <w:sz w:val="24"/>
        </w:rPr>
        <w:t>年</w:t>
      </w:r>
      <w:r>
        <w:rPr>
          <w:rFonts w:hint="eastAsia" w:ascii="宋体" w:hAnsi="宋体" w:cs="宋体"/>
          <w:bCs/>
          <w:sz w:val="24"/>
          <w:u w:val="single"/>
        </w:rPr>
        <w:t xml:space="preserve">   </w:t>
      </w:r>
      <w:r>
        <w:rPr>
          <w:rFonts w:hint="eastAsia" w:ascii="宋体" w:hAnsi="宋体" w:cs="宋体"/>
          <w:bCs/>
          <w:sz w:val="24"/>
        </w:rPr>
        <w:t>月</w:t>
      </w:r>
      <w:r>
        <w:rPr>
          <w:rFonts w:hint="eastAsia" w:ascii="宋体" w:hAnsi="宋体" w:cs="宋体"/>
          <w:bCs/>
          <w:sz w:val="24"/>
          <w:u w:val="single"/>
        </w:rPr>
        <w:t xml:space="preserve">    </w:t>
      </w:r>
      <w:r>
        <w:rPr>
          <w:rFonts w:hint="eastAsia" w:ascii="宋体" w:hAnsi="宋体" w:cs="宋体"/>
          <w:bCs/>
          <w:sz w:val="24"/>
        </w:rPr>
        <w:t>日签订。</w:t>
      </w:r>
    </w:p>
    <w:p w14:paraId="19F10D53">
      <w:pPr>
        <w:spacing w:line="360" w:lineRule="auto"/>
        <w:rPr>
          <w:rFonts w:ascii="宋体" w:hAnsi="宋体" w:cs="宋体"/>
          <w:sz w:val="24"/>
        </w:rPr>
      </w:pPr>
      <w:r>
        <w:rPr>
          <w:rFonts w:hint="eastAsia" w:ascii="宋体" w:hAnsi="宋体" w:cs="宋体"/>
          <w:sz w:val="24"/>
        </w:rPr>
        <w:t>十、签订地点</w:t>
      </w:r>
    </w:p>
    <w:p w14:paraId="6DA9618F">
      <w:pPr>
        <w:spacing w:line="360" w:lineRule="auto"/>
        <w:ind w:firstLine="480" w:firstLineChars="200"/>
        <w:rPr>
          <w:rFonts w:ascii="宋体" w:hAnsi="宋体" w:cs="宋体"/>
          <w:bCs/>
          <w:sz w:val="24"/>
        </w:rPr>
      </w:pPr>
      <w:r>
        <w:rPr>
          <w:rFonts w:hint="eastAsia" w:ascii="宋体" w:hAnsi="宋体" w:cs="宋体"/>
          <w:bCs/>
          <w:sz w:val="24"/>
        </w:rPr>
        <w:t>本合同在</w:t>
      </w:r>
      <w:r>
        <w:rPr>
          <w:rFonts w:hint="eastAsia" w:ascii="宋体" w:hAnsi="宋体" w:cs="宋体"/>
          <w:bCs/>
          <w:sz w:val="24"/>
          <w:u w:val="single"/>
        </w:rPr>
        <w:t xml:space="preserve">                  </w:t>
      </w:r>
      <w:r>
        <w:rPr>
          <w:rFonts w:hint="eastAsia" w:ascii="宋体" w:hAnsi="宋体" w:cs="宋体"/>
          <w:bCs/>
          <w:sz w:val="24"/>
        </w:rPr>
        <w:t>签订。</w:t>
      </w:r>
    </w:p>
    <w:p w14:paraId="0324737B">
      <w:pPr>
        <w:spacing w:line="360" w:lineRule="auto"/>
        <w:rPr>
          <w:rFonts w:ascii="宋体" w:hAnsi="宋体" w:cs="宋体"/>
          <w:sz w:val="24"/>
        </w:rPr>
      </w:pPr>
      <w:r>
        <w:rPr>
          <w:rFonts w:hint="eastAsia" w:ascii="宋体" w:hAnsi="宋体" w:cs="宋体"/>
          <w:sz w:val="24"/>
        </w:rPr>
        <w:t>十一、补充协议</w:t>
      </w:r>
    </w:p>
    <w:p w14:paraId="495A04B1">
      <w:pPr>
        <w:spacing w:line="360" w:lineRule="auto"/>
        <w:ind w:firstLine="480" w:firstLineChars="200"/>
        <w:rPr>
          <w:rFonts w:ascii="宋体" w:hAnsi="宋体" w:cs="宋体"/>
          <w:b/>
          <w:bCs/>
          <w:sz w:val="24"/>
        </w:rPr>
      </w:pPr>
      <w:r>
        <w:rPr>
          <w:rFonts w:hint="eastAsia" w:ascii="宋体" w:hAnsi="宋体" w:cs="宋体"/>
          <w:bCs/>
          <w:sz w:val="24"/>
        </w:rPr>
        <w:t>合同未尽事宜，合同当事人另行签订补充协议，补充协议是合同的组成部分。</w:t>
      </w:r>
    </w:p>
    <w:p w14:paraId="5B0AFFE9">
      <w:pPr>
        <w:spacing w:line="360" w:lineRule="auto"/>
        <w:rPr>
          <w:rFonts w:ascii="宋体" w:hAnsi="宋体" w:cs="宋体"/>
          <w:sz w:val="24"/>
        </w:rPr>
      </w:pPr>
      <w:r>
        <w:rPr>
          <w:rFonts w:hint="eastAsia" w:ascii="宋体" w:hAnsi="宋体" w:cs="宋体"/>
          <w:sz w:val="24"/>
        </w:rPr>
        <w:t>十二、合同生效</w:t>
      </w:r>
    </w:p>
    <w:p w14:paraId="55DECA8A">
      <w:pPr>
        <w:spacing w:line="360" w:lineRule="auto"/>
        <w:ind w:firstLine="480" w:firstLineChars="200"/>
        <w:rPr>
          <w:rFonts w:ascii="宋体" w:hAnsi="宋体" w:cs="宋体"/>
          <w:bCs/>
          <w:sz w:val="24"/>
        </w:rPr>
      </w:pPr>
      <w:r>
        <w:rPr>
          <w:rFonts w:hint="eastAsia" w:ascii="宋体" w:hAnsi="宋体" w:cs="宋体"/>
          <w:bCs/>
          <w:sz w:val="24"/>
        </w:rPr>
        <w:t>本合同自</w:t>
      </w:r>
      <w:r>
        <w:rPr>
          <w:rFonts w:hint="eastAsia" w:ascii="宋体" w:hAnsi="宋体" w:cs="宋体"/>
          <w:bCs/>
          <w:sz w:val="24"/>
          <w:u w:val="single"/>
        </w:rPr>
        <w:t xml:space="preserve">                 </w:t>
      </w:r>
      <w:r>
        <w:rPr>
          <w:rFonts w:hint="eastAsia" w:ascii="宋体" w:hAnsi="宋体" w:cs="宋体"/>
          <w:bCs/>
          <w:sz w:val="24"/>
        </w:rPr>
        <w:t>生效。</w:t>
      </w:r>
    </w:p>
    <w:p w14:paraId="53D66346">
      <w:pPr>
        <w:spacing w:line="360" w:lineRule="auto"/>
        <w:rPr>
          <w:rFonts w:ascii="宋体" w:hAnsi="宋体" w:cs="宋体"/>
          <w:sz w:val="24"/>
        </w:rPr>
      </w:pPr>
      <w:r>
        <w:rPr>
          <w:rFonts w:hint="eastAsia" w:ascii="宋体" w:hAnsi="宋体" w:cs="宋体"/>
          <w:sz w:val="24"/>
        </w:rPr>
        <w:t>十三、合同份数</w:t>
      </w:r>
    </w:p>
    <w:p w14:paraId="0B656104">
      <w:pPr>
        <w:spacing w:line="360" w:lineRule="auto"/>
        <w:ind w:firstLine="480" w:firstLineChars="200"/>
        <w:rPr>
          <w:rFonts w:ascii="宋体" w:hAnsi="宋体" w:cs="宋体"/>
          <w:bCs/>
          <w:sz w:val="24"/>
        </w:rPr>
      </w:pPr>
      <w:r>
        <w:rPr>
          <w:rFonts w:hint="eastAsia" w:ascii="宋体" w:hAnsi="宋体" w:cs="宋体"/>
          <w:bCs/>
          <w:sz w:val="24"/>
        </w:rPr>
        <w:t>本合同一式</w:t>
      </w:r>
      <w:r>
        <w:rPr>
          <w:rFonts w:hint="eastAsia" w:ascii="宋体" w:hAnsi="宋体" w:cs="宋体"/>
          <w:bCs/>
          <w:sz w:val="24"/>
          <w:u w:val="single"/>
        </w:rPr>
        <w:t xml:space="preserve">    </w:t>
      </w:r>
      <w:r>
        <w:rPr>
          <w:rFonts w:hint="eastAsia" w:ascii="宋体" w:hAnsi="宋体" w:cs="宋体"/>
          <w:bCs/>
          <w:sz w:val="24"/>
        </w:rPr>
        <w:t>份，均具有同等法律效力，发包人执</w:t>
      </w:r>
      <w:r>
        <w:rPr>
          <w:rFonts w:hint="eastAsia" w:ascii="宋体" w:hAnsi="宋体" w:cs="宋体"/>
          <w:bCs/>
          <w:sz w:val="24"/>
          <w:u w:val="single"/>
        </w:rPr>
        <w:t xml:space="preserve">    </w:t>
      </w:r>
      <w:r>
        <w:rPr>
          <w:rFonts w:hint="eastAsia" w:ascii="宋体" w:hAnsi="宋体" w:cs="宋体"/>
          <w:bCs/>
          <w:sz w:val="24"/>
        </w:rPr>
        <w:t>份，承包人执</w:t>
      </w:r>
      <w:r>
        <w:rPr>
          <w:rFonts w:hint="eastAsia" w:ascii="宋体" w:hAnsi="宋体" w:cs="宋体"/>
          <w:bCs/>
          <w:sz w:val="24"/>
          <w:u w:val="single"/>
        </w:rPr>
        <w:t xml:space="preserve">    </w:t>
      </w:r>
      <w:r>
        <w:rPr>
          <w:rFonts w:hint="eastAsia" w:ascii="宋体" w:hAnsi="宋体" w:cs="宋体"/>
          <w:bCs/>
          <w:sz w:val="24"/>
        </w:rPr>
        <w:t>份。</w:t>
      </w:r>
    </w:p>
    <w:p w14:paraId="74F9DD9B">
      <w:pPr>
        <w:spacing w:line="360" w:lineRule="auto"/>
        <w:rPr>
          <w:rFonts w:ascii="宋体" w:hAnsi="宋体" w:cs="宋体"/>
          <w:sz w:val="24"/>
        </w:rPr>
      </w:pPr>
    </w:p>
    <w:p w14:paraId="121D0A29">
      <w:pPr>
        <w:spacing w:line="360" w:lineRule="auto"/>
        <w:rPr>
          <w:rFonts w:ascii="宋体" w:hAnsi="宋体" w:cs="宋体"/>
          <w:sz w:val="24"/>
        </w:rPr>
      </w:pPr>
      <w:r>
        <w:rPr>
          <w:rFonts w:hint="eastAsia" w:ascii="宋体" w:hAnsi="宋体" w:cs="宋体"/>
          <w:sz w:val="24"/>
        </w:rPr>
        <w:t>发包人：  (公章)                       承包人：  (公章)</w:t>
      </w:r>
    </w:p>
    <w:p w14:paraId="1E15A807">
      <w:pPr>
        <w:spacing w:line="360" w:lineRule="auto"/>
        <w:rPr>
          <w:rFonts w:ascii="宋体" w:hAnsi="宋体" w:cs="宋体"/>
          <w:sz w:val="24"/>
        </w:rPr>
      </w:pPr>
      <w:r>
        <w:rPr>
          <w:rFonts w:hint="eastAsia" w:ascii="宋体" w:hAnsi="宋体" w:cs="宋体"/>
          <w:sz w:val="24"/>
        </w:rPr>
        <w:t>法定代表人或其委托代理人：             法定代表人或其委托代理人：</w:t>
      </w:r>
    </w:p>
    <w:p w14:paraId="38492CDF">
      <w:pPr>
        <w:spacing w:line="360" w:lineRule="auto"/>
        <w:rPr>
          <w:rFonts w:ascii="宋体" w:hAnsi="宋体" w:cs="宋体"/>
          <w:sz w:val="24"/>
        </w:rPr>
      </w:pPr>
      <w:r>
        <w:rPr>
          <w:rFonts w:hint="eastAsia" w:ascii="宋体" w:hAnsi="宋体" w:cs="宋体"/>
          <w:sz w:val="24"/>
        </w:rPr>
        <w:t>（签字）                              （签字）</w:t>
      </w:r>
    </w:p>
    <w:p w14:paraId="1B3DF24E">
      <w:pPr>
        <w:tabs>
          <w:tab w:val="left" w:pos="4410"/>
        </w:tabs>
        <w:spacing w:line="360" w:lineRule="auto"/>
        <w:rPr>
          <w:rFonts w:ascii="宋体" w:hAnsi="宋体" w:cs="宋体"/>
          <w:sz w:val="24"/>
        </w:rPr>
      </w:pPr>
      <w:r>
        <w:rPr>
          <w:rFonts w:hint="eastAsia" w:ascii="宋体" w:hAnsi="宋体" w:cs="宋体"/>
          <w:sz w:val="24"/>
        </w:rPr>
        <w:t>组织机构代码：</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组织机构代码：</w:t>
      </w:r>
      <w:r>
        <w:rPr>
          <w:rFonts w:hint="eastAsia" w:ascii="宋体" w:hAnsi="宋体" w:cs="MingLiU_HKSCS"/>
          <w:sz w:val="24"/>
          <w:u w:val="single"/>
        </w:rPr>
        <w:t xml:space="preserve">                  </w:t>
      </w:r>
      <w:r>
        <w:rPr>
          <w:rFonts w:hint="eastAsia" w:ascii="宋体" w:hAnsi="宋体" w:cs="宋体"/>
          <w:sz w:val="24"/>
          <w:u w:val="single"/>
        </w:rPr>
        <w:t xml:space="preserve"> </w:t>
      </w:r>
    </w:p>
    <w:p w14:paraId="5783BFC3">
      <w:pPr>
        <w:spacing w:line="360" w:lineRule="auto"/>
        <w:rPr>
          <w:rFonts w:ascii="宋体" w:hAnsi="宋体" w:cs="宋体"/>
          <w:sz w:val="24"/>
        </w:rPr>
      </w:pPr>
      <w:r>
        <w:rPr>
          <w:rFonts w:hint="eastAsia" w:ascii="宋体" w:hAnsi="宋体" w:cs="宋体"/>
          <w:sz w:val="24"/>
        </w:rPr>
        <w:t>地  址：</w:t>
      </w:r>
      <w:r>
        <w:rPr>
          <w:rFonts w:hint="eastAsia" w:ascii="宋体" w:hAnsi="宋体" w:cs="MingLiU_HKSCS"/>
          <w:sz w:val="24"/>
          <w:u w:val="single"/>
        </w:rPr>
        <w:t xml:space="preserve">                          </w:t>
      </w:r>
      <w:r>
        <w:rPr>
          <w:rFonts w:hint="eastAsia" w:ascii="宋体" w:hAnsi="宋体" w:cs="MingLiU_HKSCS"/>
          <w:sz w:val="24"/>
        </w:rPr>
        <w:t xml:space="preserve">    </w:t>
      </w:r>
      <w:r>
        <w:rPr>
          <w:rFonts w:hint="eastAsia" w:ascii="宋体" w:hAnsi="宋体" w:cs="宋体"/>
          <w:sz w:val="24"/>
        </w:rPr>
        <w:t>地  址：</w:t>
      </w:r>
      <w:r>
        <w:rPr>
          <w:rFonts w:hint="eastAsia" w:ascii="宋体" w:hAnsi="宋体" w:cs="MingLiU_HKSCS"/>
          <w:sz w:val="24"/>
          <w:u w:val="single"/>
        </w:rPr>
        <w:t xml:space="preserve">                  </w:t>
      </w:r>
      <w:r>
        <w:rPr>
          <w:rFonts w:hint="eastAsia" w:ascii="宋体" w:hAnsi="宋体" w:cs="宋体"/>
          <w:sz w:val="24"/>
          <w:u w:val="single"/>
        </w:rPr>
        <w:t xml:space="preserve">    </w:t>
      </w:r>
    </w:p>
    <w:p w14:paraId="3F72A6D8">
      <w:pPr>
        <w:spacing w:line="360" w:lineRule="auto"/>
        <w:rPr>
          <w:rFonts w:ascii="宋体" w:hAnsi="宋体" w:cs="宋体"/>
          <w:sz w:val="24"/>
        </w:rPr>
      </w:pPr>
      <w:r>
        <w:rPr>
          <w:rFonts w:hint="eastAsia" w:ascii="宋体" w:hAnsi="宋体" w:cs="宋体"/>
          <w:sz w:val="24"/>
        </w:rPr>
        <w:t>邮政编码：</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邮政编码：</w:t>
      </w:r>
      <w:r>
        <w:rPr>
          <w:rFonts w:hint="eastAsia" w:ascii="宋体" w:hAnsi="宋体" w:cs="MingLiU_HKSCS"/>
          <w:sz w:val="24"/>
          <w:u w:val="single"/>
        </w:rPr>
        <w:t xml:space="preserve">                   </w:t>
      </w:r>
      <w:r>
        <w:rPr>
          <w:rFonts w:hint="eastAsia" w:ascii="宋体" w:hAnsi="宋体" w:cs="宋体"/>
          <w:sz w:val="24"/>
          <w:u w:val="single"/>
        </w:rPr>
        <w:t xml:space="preserve"> </w:t>
      </w:r>
    </w:p>
    <w:p w14:paraId="154C833E">
      <w:pPr>
        <w:spacing w:line="360" w:lineRule="auto"/>
        <w:rPr>
          <w:rFonts w:ascii="宋体" w:hAnsi="宋体" w:cs="宋体"/>
          <w:sz w:val="24"/>
        </w:rPr>
      </w:pPr>
      <w:r>
        <w:rPr>
          <w:rFonts w:hint="eastAsia" w:ascii="宋体" w:hAnsi="宋体" w:cs="宋体"/>
          <w:sz w:val="24"/>
        </w:rPr>
        <w:t>法定代表人：</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法定代表人：</w:t>
      </w:r>
      <w:r>
        <w:rPr>
          <w:rFonts w:hint="eastAsia" w:ascii="宋体" w:hAnsi="宋体" w:cs="MingLiU_HKSCS"/>
          <w:sz w:val="24"/>
          <w:u w:val="single"/>
        </w:rPr>
        <w:t xml:space="preserve">            </w:t>
      </w:r>
      <w:r>
        <w:rPr>
          <w:rFonts w:hint="eastAsia" w:ascii="宋体" w:hAnsi="宋体" w:cs="宋体"/>
          <w:sz w:val="24"/>
          <w:u w:val="single"/>
        </w:rPr>
        <w:t xml:space="preserve">       </w:t>
      </w:r>
    </w:p>
    <w:p w14:paraId="72A038DA">
      <w:pPr>
        <w:spacing w:line="360" w:lineRule="auto"/>
        <w:rPr>
          <w:rFonts w:ascii="宋体" w:hAnsi="宋体" w:cs="宋体"/>
          <w:sz w:val="24"/>
        </w:rPr>
      </w:pPr>
      <w:r>
        <w:rPr>
          <w:rFonts w:hint="eastAsia" w:ascii="宋体" w:hAnsi="宋体" w:cs="宋体"/>
          <w:sz w:val="24"/>
        </w:rPr>
        <w:t>委托代理人：</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委托代理人：</w:t>
      </w:r>
      <w:r>
        <w:rPr>
          <w:rFonts w:hint="eastAsia" w:ascii="宋体" w:hAnsi="宋体" w:cs="MingLiU_HKSCS"/>
          <w:sz w:val="24"/>
          <w:u w:val="single"/>
        </w:rPr>
        <w:t xml:space="preserve">           </w:t>
      </w:r>
      <w:r>
        <w:rPr>
          <w:rFonts w:hint="eastAsia" w:ascii="宋体" w:hAnsi="宋体" w:cs="宋体"/>
          <w:sz w:val="24"/>
          <w:u w:val="single"/>
        </w:rPr>
        <w:t xml:space="preserve">           </w:t>
      </w:r>
    </w:p>
    <w:p w14:paraId="669547CD">
      <w:pPr>
        <w:spacing w:line="360" w:lineRule="auto"/>
        <w:rPr>
          <w:rFonts w:ascii="宋体" w:hAnsi="宋体" w:cs="宋体"/>
          <w:sz w:val="24"/>
        </w:rPr>
      </w:pPr>
      <w:r>
        <w:rPr>
          <w:rFonts w:hint="eastAsia" w:ascii="宋体" w:hAnsi="宋体" w:cs="宋体"/>
          <w:sz w:val="24"/>
        </w:rPr>
        <w:t>电  话：</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电  话：</w:t>
      </w:r>
      <w:r>
        <w:rPr>
          <w:rFonts w:hint="eastAsia" w:ascii="宋体" w:hAnsi="宋体" w:cs="MingLiU_HKSCS"/>
          <w:sz w:val="24"/>
          <w:u w:val="single"/>
        </w:rPr>
        <w:t xml:space="preserve">                    </w:t>
      </w:r>
      <w:r>
        <w:rPr>
          <w:rFonts w:hint="eastAsia" w:ascii="宋体" w:hAnsi="宋体" w:cs="宋体"/>
          <w:sz w:val="24"/>
          <w:u w:val="single"/>
        </w:rPr>
        <w:t xml:space="preserve">   </w:t>
      </w:r>
    </w:p>
    <w:p w14:paraId="46824C71">
      <w:pPr>
        <w:spacing w:line="360" w:lineRule="auto"/>
        <w:rPr>
          <w:rFonts w:ascii="宋体" w:hAnsi="宋体" w:cs="宋体"/>
          <w:sz w:val="24"/>
        </w:rPr>
      </w:pPr>
      <w:r>
        <w:rPr>
          <w:rFonts w:hint="eastAsia" w:ascii="宋体" w:hAnsi="宋体" w:cs="宋体"/>
          <w:sz w:val="24"/>
        </w:rPr>
        <w:t>传  真：</w:t>
      </w:r>
      <w:r>
        <w:rPr>
          <w:rFonts w:hint="eastAsia" w:ascii="宋体" w:hAnsi="宋体" w:cs="MingLiU_HKSCS"/>
          <w:sz w:val="24"/>
          <w:u w:val="single"/>
        </w:rPr>
        <w:t xml:space="preserve">                         </w:t>
      </w:r>
      <w:r>
        <w:rPr>
          <w:rFonts w:hint="eastAsia" w:ascii="宋体" w:hAnsi="宋体" w:cs="MingLiU_HKSCS"/>
          <w:sz w:val="24"/>
        </w:rPr>
        <w:t xml:space="preserve">    </w:t>
      </w:r>
      <w:r>
        <w:rPr>
          <w:rFonts w:hint="eastAsia" w:ascii="宋体" w:hAnsi="宋体" w:cs="宋体"/>
          <w:sz w:val="24"/>
        </w:rPr>
        <w:t>传  真：</w:t>
      </w:r>
      <w:r>
        <w:rPr>
          <w:rFonts w:hint="eastAsia" w:ascii="宋体" w:hAnsi="宋体" w:cs="MingLiU_HKSCS"/>
          <w:sz w:val="24"/>
          <w:u w:val="single"/>
        </w:rPr>
        <w:t xml:space="preserve">                     </w:t>
      </w:r>
      <w:r>
        <w:rPr>
          <w:rFonts w:hint="eastAsia" w:ascii="宋体" w:hAnsi="宋体" w:cs="宋体"/>
          <w:sz w:val="24"/>
          <w:u w:val="single"/>
        </w:rPr>
        <w:t xml:space="preserve">  </w:t>
      </w:r>
    </w:p>
    <w:p w14:paraId="4CDBCDD6">
      <w:pPr>
        <w:spacing w:line="360" w:lineRule="auto"/>
        <w:rPr>
          <w:rFonts w:ascii="宋体" w:hAnsi="宋体" w:cs="宋体"/>
          <w:sz w:val="24"/>
        </w:rPr>
      </w:pPr>
      <w:r>
        <w:rPr>
          <w:rFonts w:hint="eastAsia" w:ascii="宋体" w:hAnsi="宋体" w:cs="宋体"/>
          <w:sz w:val="24"/>
        </w:rPr>
        <w:t>电子信箱：</w:t>
      </w:r>
      <w:r>
        <w:rPr>
          <w:rFonts w:hint="eastAsia" w:ascii="宋体" w:hAnsi="宋体" w:cs="宋体"/>
          <w:sz w:val="24"/>
          <w:u w:val="single"/>
        </w:rPr>
        <w:t xml:space="preserve">                       </w:t>
      </w:r>
      <w:r>
        <w:rPr>
          <w:rFonts w:hint="eastAsia" w:ascii="宋体" w:hAnsi="宋体" w:cs="宋体"/>
          <w:sz w:val="24"/>
        </w:rPr>
        <w:t xml:space="preserve">    电子信箱：</w:t>
      </w:r>
      <w:r>
        <w:rPr>
          <w:rFonts w:hint="eastAsia" w:ascii="宋体" w:hAnsi="宋体" w:cs="MingLiU_HKSCS"/>
          <w:sz w:val="24"/>
          <w:u w:val="single"/>
        </w:rPr>
        <w:t xml:space="preserve">                   </w:t>
      </w:r>
      <w:r>
        <w:rPr>
          <w:rFonts w:hint="eastAsia" w:ascii="宋体" w:hAnsi="宋体" w:cs="宋体"/>
          <w:sz w:val="24"/>
          <w:u w:val="single"/>
        </w:rPr>
        <w:t xml:space="preserve">   </w:t>
      </w:r>
    </w:p>
    <w:p w14:paraId="6105E62D">
      <w:pPr>
        <w:spacing w:line="360" w:lineRule="auto"/>
        <w:rPr>
          <w:rFonts w:ascii="宋体" w:hAnsi="宋体" w:cs="宋体"/>
          <w:sz w:val="24"/>
        </w:rPr>
      </w:pPr>
      <w:r>
        <w:rPr>
          <w:rFonts w:hint="eastAsia" w:ascii="宋体" w:hAnsi="宋体" w:cs="宋体"/>
          <w:sz w:val="24"/>
        </w:rPr>
        <w:t>开户银行：</w:t>
      </w:r>
      <w:r>
        <w:rPr>
          <w:rFonts w:hint="eastAsia" w:ascii="宋体" w:hAnsi="宋体" w:cs="MingLiU_HKSCS"/>
          <w:sz w:val="24"/>
          <w:u w:val="single"/>
        </w:rPr>
        <w:t xml:space="preserve">                      </w:t>
      </w:r>
      <w:r>
        <w:rPr>
          <w:rFonts w:hint="eastAsia" w:ascii="宋体" w:hAnsi="宋体" w:cs="宋体"/>
          <w:sz w:val="24"/>
        </w:rPr>
        <w:t xml:space="preserve">     开户银行：</w:t>
      </w:r>
      <w:r>
        <w:rPr>
          <w:rFonts w:hint="eastAsia" w:ascii="宋体" w:hAnsi="宋体" w:cs="MingLiU_HKSCS"/>
          <w:sz w:val="24"/>
          <w:u w:val="single"/>
        </w:rPr>
        <w:t xml:space="preserve">                      </w:t>
      </w:r>
    </w:p>
    <w:p w14:paraId="1F3E13FA">
      <w:pPr>
        <w:adjustRightInd w:val="0"/>
        <w:snapToGrid w:val="0"/>
        <w:spacing w:line="360" w:lineRule="auto"/>
        <w:rPr>
          <w:rFonts w:ascii="宋体" w:hAnsi="宋体"/>
          <w:szCs w:val="21"/>
        </w:rPr>
      </w:pPr>
      <w:r>
        <w:rPr>
          <w:rFonts w:hint="eastAsia" w:ascii="宋体" w:hAnsi="宋体" w:cs="宋体"/>
          <w:sz w:val="24"/>
        </w:rPr>
        <w:t>账  号：</w:t>
      </w:r>
      <w:r>
        <w:rPr>
          <w:rFonts w:hint="eastAsia" w:ascii="宋体" w:hAnsi="宋体" w:cs="MingLiU_HKSCS"/>
          <w:sz w:val="24"/>
          <w:u w:val="single"/>
        </w:rPr>
        <w:t xml:space="preserve">                     </w:t>
      </w:r>
      <w:r>
        <w:rPr>
          <w:rFonts w:hint="eastAsia" w:ascii="宋体" w:hAnsi="宋体" w:cs="宋体"/>
          <w:sz w:val="24"/>
          <w:u w:val="single"/>
        </w:rPr>
        <w:t xml:space="preserve">   </w:t>
      </w:r>
      <w:r>
        <w:rPr>
          <w:rFonts w:hint="eastAsia" w:ascii="宋体" w:hAnsi="宋体" w:cs="宋体"/>
          <w:sz w:val="24"/>
        </w:rPr>
        <w:t xml:space="preserve">     账  号：</w:t>
      </w:r>
      <w:r>
        <w:rPr>
          <w:rFonts w:hint="eastAsia" w:ascii="宋体" w:hAnsi="宋体" w:cs="MingLiU_HKSCS"/>
          <w:sz w:val="24"/>
          <w:u w:val="single"/>
        </w:rPr>
        <w:t xml:space="preserve">     </w:t>
      </w:r>
      <w:r>
        <w:rPr>
          <w:rFonts w:hint="eastAsia" w:ascii="宋体" w:hAnsi="宋体" w:cs="MingLiU_HKSCS"/>
          <w:szCs w:val="21"/>
          <w:u w:val="single"/>
        </w:rPr>
        <w:t xml:space="preserve">               </w:t>
      </w:r>
      <w:r>
        <w:rPr>
          <w:rFonts w:hint="eastAsia" w:ascii="宋体" w:hAnsi="宋体" w:cs="宋体"/>
          <w:szCs w:val="21"/>
          <w:u w:val="single"/>
        </w:rPr>
        <w:t xml:space="preserve">    </w:t>
      </w:r>
    </w:p>
    <w:p w14:paraId="12CF5C81">
      <w:pPr>
        <w:adjustRightInd w:val="0"/>
        <w:snapToGrid w:val="0"/>
        <w:spacing w:line="500" w:lineRule="exact"/>
        <w:jc w:val="center"/>
        <w:rPr>
          <w:rFonts w:ascii="宋体" w:hAnsi="宋体"/>
          <w:b/>
          <w:sz w:val="24"/>
        </w:rPr>
      </w:pPr>
      <w:bookmarkStart w:id="391" w:name="_Toc18001050"/>
      <w:bookmarkStart w:id="392" w:name="_Toc21118207"/>
      <w:bookmarkStart w:id="393" w:name="_Toc18000992"/>
      <w:bookmarkStart w:id="394" w:name="_Toc4568866"/>
      <w:bookmarkStart w:id="395" w:name="_Toc14337142"/>
    </w:p>
    <w:p w14:paraId="0CCBB661">
      <w:pPr>
        <w:adjustRightInd w:val="0"/>
        <w:snapToGrid w:val="0"/>
        <w:spacing w:line="500" w:lineRule="exact"/>
        <w:jc w:val="center"/>
        <w:rPr>
          <w:rFonts w:ascii="宋体" w:hAnsi="宋体"/>
          <w:b/>
          <w:sz w:val="24"/>
        </w:rPr>
      </w:pPr>
    </w:p>
    <w:p w14:paraId="294D5E07">
      <w:pPr>
        <w:pStyle w:val="23"/>
      </w:pPr>
    </w:p>
    <w:p w14:paraId="24219A0A"/>
    <w:p w14:paraId="40619918">
      <w:pPr>
        <w:pStyle w:val="2"/>
        <w:ind w:firstLine="560"/>
        <w:rPr>
          <w:lang w:eastAsia="zh-CN"/>
        </w:rPr>
      </w:pPr>
    </w:p>
    <w:p w14:paraId="3E41A146"/>
    <w:p w14:paraId="55703D79">
      <w:pPr>
        <w:pStyle w:val="2"/>
        <w:ind w:firstLine="560"/>
        <w:rPr>
          <w:lang w:eastAsia="zh-CN"/>
        </w:rPr>
      </w:pPr>
    </w:p>
    <w:p w14:paraId="07E6F294"/>
    <w:p w14:paraId="5FAC0DB8">
      <w:pPr>
        <w:pStyle w:val="2"/>
        <w:ind w:firstLine="560"/>
        <w:rPr>
          <w:lang w:eastAsia="zh-CN"/>
        </w:rPr>
      </w:pPr>
    </w:p>
    <w:p w14:paraId="7876D4BF"/>
    <w:p w14:paraId="1079F2A8">
      <w:pPr>
        <w:adjustRightInd w:val="0"/>
        <w:snapToGrid w:val="0"/>
        <w:spacing w:line="500" w:lineRule="exact"/>
        <w:jc w:val="center"/>
        <w:rPr>
          <w:rFonts w:ascii="宋体" w:hAnsi="宋体"/>
          <w:b/>
          <w:sz w:val="24"/>
        </w:rPr>
      </w:pPr>
      <w:r>
        <w:rPr>
          <w:rFonts w:hint="eastAsia" w:ascii="宋体" w:hAnsi="宋体"/>
          <w:b/>
          <w:sz w:val="24"/>
        </w:rPr>
        <w:t>第二节 通用合同条款</w:t>
      </w:r>
      <w:bookmarkEnd w:id="390"/>
      <w:bookmarkEnd w:id="391"/>
      <w:bookmarkEnd w:id="392"/>
      <w:bookmarkEnd w:id="393"/>
      <w:bookmarkEnd w:id="394"/>
      <w:bookmarkEnd w:id="395"/>
    </w:p>
    <w:p w14:paraId="5850E6BC">
      <w:pPr>
        <w:autoSpaceDE w:val="0"/>
        <w:autoSpaceDN w:val="0"/>
        <w:adjustRightInd w:val="0"/>
        <w:spacing w:line="360" w:lineRule="auto"/>
        <w:ind w:firstLine="560" w:firstLineChars="200"/>
        <w:rPr>
          <w:rFonts w:ascii="宋体" w:hAnsi="宋体" w:cs="宋体"/>
          <w:szCs w:val="28"/>
        </w:rPr>
      </w:pPr>
      <w:r>
        <w:rPr>
          <w:rFonts w:hint="eastAsia" w:ascii="宋体" w:hAnsi="宋体" w:cs="宋体"/>
          <w:szCs w:val="28"/>
        </w:rPr>
        <w:t>通用合同条款直接采用中华人民共和国住房和城乡建设部与国家工商行政管理总局联合制定的《建设工程施工合同》（GF-2017-0201）示范文本第二部分《通用合同条款》。</w:t>
      </w:r>
    </w:p>
    <w:p w14:paraId="155FC911">
      <w:pPr>
        <w:autoSpaceDE w:val="0"/>
        <w:autoSpaceDN w:val="0"/>
        <w:adjustRightInd w:val="0"/>
        <w:spacing w:line="360" w:lineRule="auto"/>
        <w:ind w:firstLine="560" w:firstLineChars="200"/>
        <w:rPr>
          <w:rFonts w:ascii="宋体" w:hAnsi="宋体" w:cs="宋体"/>
          <w:szCs w:val="28"/>
        </w:rPr>
      </w:pPr>
    </w:p>
    <w:p w14:paraId="3F061462">
      <w:pPr>
        <w:autoSpaceDE w:val="0"/>
        <w:autoSpaceDN w:val="0"/>
        <w:adjustRightInd w:val="0"/>
        <w:spacing w:line="360" w:lineRule="auto"/>
        <w:ind w:firstLine="560" w:firstLineChars="200"/>
        <w:rPr>
          <w:rFonts w:ascii="宋体" w:hAnsi="宋体" w:cs="宋体"/>
          <w:szCs w:val="28"/>
        </w:rPr>
      </w:pPr>
    </w:p>
    <w:p w14:paraId="5ADC49A7">
      <w:pPr>
        <w:autoSpaceDE w:val="0"/>
        <w:autoSpaceDN w:val="0"/>
        <w:adjustRightInd w:val="0"/>
        <w:spacing w:line="360" w:lineRule="auto"/>
        <w:ind w:firstLine="560" w:firstLineChars="200"/>
        <w:rPr>
          <w:rFonts w:ascii="宋体" w:hAnsi="宋体" w:cs="宋体"/>
          <w:szCs w:val="28"/>
        </w:rPr>
      </w:pPr>
    </w:p>
    <w:p w14:paraId="67980CAE">
      <w:pPr>
        <w:autoSpaceDE w:val="0"/>
        <w:autoSpaceDN w:val="0"/>
        <w:adjustRightInd w:val="0"/>
        <w:spacing w:line="360" w:lineRule="auto"/>
        <w:ind w:firstLine="560" w:firstLineChars="200"/>
        <w:rPr>
          <w:rFonts w:ascii="宋体" w:hAnsi="宋体" w:cs="宋体"/>
          <w:szCs w:val="28"/>
        </w:rPr>
      </w:pPr>
    </w:p>
    <w:p w14:paraId="2E7FC614">
      <w:pPr>
        <w:autoSpaceDE w:val="0"/>
        <w:autoSpaceDN w:val="0"/>
        <w:adjustRightInd w:val="0"/>
        <w:spacing w:line="360" w:lineRule="auto"/>
        <w:ind w:firstLine="560" w:firstLineChars="200"/>
        <w:rPr>
          <w:rFonts w:ascii="宋体" w:hAnsi="宋体" w:cs="宋体"/>
          <w:szCs w:val="28"/>
        </w:rPr>
      </w:pPr>
    </w:p>
    <w:p w14:paraId="4B2D3342">
      <w:pPr>
        <w:autoSpaceDE w:val="0"/>
        <w:autoSpaceDN w:val="0"/>
        <w:adjustRightInd w:val="0"/>
        <w:spacing w:line="360" w:lineRule="auto"/>
        <w:ind w:firstLine="560" w:firstLineChars="200"/>
        <w:rPr>
          <w:rFonts w:ascii="宋体" w:hAnsi="宋体" w:cs="宋体"/>
          <w:szCs w:val="28"/>
        </w:rPr>
      </w:pPr>
    </w:p>
    <w:p w14:paraId="396789B5">
      <w:pPr>
        <w:autoSpaceDE w:val="0"/>
        <w:autoSpaceDN w:val="0"/>
        <w:adjustRightInd w:val="0"/>
        <w:spacing w:line="360" w:lineRule="auto"/>
        <w:ind w:firstLine="560" w:firstLineChars="200"/>
        <w:rPr>
          <w:rFonts w:ascii="宋体" w:hAnsi="宋体" w:cs="宋体"/>
          <w:szCs w:val="28"/>
        </w:rPr>
      </w:pPr>
    </w:p>
    <w:p w14:paraId="75599C9A">
      <w:pPr>
        <w:autoSpaceDE w:val="0"/>
        <w:autoSpaceDN w:val="0"/>
        <w:adjustRightInd w:val="0"/>
        <w:spacing w:line="360" w:lineRule="auto"/>
        <w:ind w:firstLine="560" w:firstLineChars="200"/>
        <w:rPr>
          <w:rFonts w:ascii="宋体" w:hAnsi="宋体" w:cs="宋体"/>
          <w:szCs w:val="28"/>
        </w:rPr>
      </w:pPr>
    </w:p>
    <w:p w14:paraId="252DA99C">
      <w:pPr>
        <w:autoSpaceDE w:val="0"/>
        <w:autoSpaceDN w:val="0"/>
        <w:adjustRightInd w:val="0"/>
        <w:spacing w:line="360" w:lineRule="auto"/>
        <w:ind w:firstLine="560" w:firstLineChars="200"/>
        <w:rPr>
          <w:rFonts w:ascii="宋体" w:hAnsi="宋体" w:cs="宋体"/>
          <w:szCs w:val="28"/>
        </w:rPr>
      </w:pPr>
    </w:p>
    <w:p w14:paraId="736E338F">
      <w:pPr>
        <w:autoSpaceDE w:val="0"/>
        <w:autoSpaceDN w:val="0"/>
        <w:adjustRightInd w:val="0"/>
        <w:spacing w:line="360" w:lineRule="auto"/>
        <w:ind w:firstLine="560" w:firstLineChars="200"/>
        <w:rPr>
          <w:rFonts w:ascii="宋体" w:hAnsi="宋体" w:cs="宋体"/>
          <w:szCs w:val="28"/>
        </w:rPr>
      </w:pPr>
    </w:p>
    <w:p w14:paraId="0ACB4E92">
      <w:pPr>
        <w:autoSpaceDE w:val="0"/>
        <w:autoSpaceDN w:val="0"/>
        <w:adjustRightInd w:val="0"/>
        <w:spacing w:line="360" w:lineRule="auto"/>
        <w:ind w:firstLine="560" w:firstLineChars="200"/>
        <w:rPr>
          <w:rFonts w:ascii="宋体" w:hAnsi="宋体" w:cs="宋体"/>
          <w:szCs w:val="28"/>
        </w:rPr>
      </w:pPr>
    </w:p>
    <w:p w14:paraId="1AA930B9">
      <w:pPr>
        <w:autoSpaceDE w:val="0"/>
        <w:autoSpaceDN w:val="0"/>
        <w:adjustRightInd w:val="0"/>
        <w:spacing w:line="360" w:lineRule="auto"/>
        <w:ind w:firstLine="560" w:firstLineChars="200"/>
        <w:rPr>
          <w:rFonts w:ascii="宋体" w:hAnsi="宋体" w:cs="宋体"/>
          <w:szCs w:val="28"/>
        </w:rPr>
      </w:pPr>
    </w:p>
    <w:p w14:paraId="12C59187">
      <w:pPr>
        <w:autoSpaceDE w:val="0"/>
        <w:autoSpaceDN w:val="0"/>
        <w:adjustRightInd w:val="0"/>
        <w:spacing w:line="360" w:lineRule="auto"/>
        <w:ind w:firstLine="560" w:firstLineChars="200"/>
        <w:rPr>
          <w:rFonts w:ascii="宋体" w:hAnsi="宋体" w:cs="宋体"/>
          <w:szCs w:val="28"/>
        </w:rPr>
      </w:pPr>
    </w:p>
    <w:p w14:paraId="106527CD">
      <w:pPr>
        <w:autoSpaceDE w:val="0"/>
        <w:autoSpaceDN w:val="0"/>
        <w:adjustRightInd w:val="0"/>
        <w:spacing w:line="360" w:lineRule="auto"/>
        <w:ind w:firstLine="560" w:firstLineChars="200"/>
        <w:rPr>
          <w:rFonts w:ascii="宋体" w:hAnsi="宋体" w:cs="宋体"/>
          <w:szCs w:val="28"/>
        </w:rPr>
      </w:pPr>
    </w:p>
    <w:p w14:paraId="10FE870F">
      <w:pPr>
        <w:autoSpaceDE w:val="0"/>
        <w:autoSpaceDN w:val="0"/>
        <w:adjustRightInd w:val="0"/>
        <w:spacing w:line="360" w:lineRule="auto"/>
        <w:ind w:firstLine="560" w:firstLineChars="200"/>
        <w:rPr>
          <w:rFonts w:ascii="宋体" w:hAnsi="宋体" w:cs="宋体"/>
          <w:szCs w:val="28"/>
        </w:rPr>
      </w:pPr>
    </w:p>
    <w:p w14:paraId="60FD901D">
      <w:pPr>
        <w:autoSpaceDE w:val="0"/>
        <w:autoSpaceDN w:val="0"/>
        <w:adjustRightInd w:val="0"/>
        <w:spacing w:line="360" w:lineRule="auto"/>
        <w:ind w:firstLine="560" w:firstLineChars="200"/>
        <w:rPr>
          <w:rFonts w:ascii="宋体" w:hAnsi="宋体" w:cs="宋体"/>
          <w:szCs w:val="28"/>
        </w:rPr>
      </w:pPr>
    </w:p>
    <w:p w14:paraId="5184339C">
      <w:pPr>
        <w:autoSpaceDE w:val="0"/>
        <w:autoSpaceDN w:val="0"/>
        <w:adjustRightInd w:val="0"/>
        <w:spacing w:line="360" w:lineRule="auto"/>
        <w:ind w:firstLine="560" w:firstLineChars="200"/>
        <w:rPr>
          <w:rFonts w:ascii="宋体" w:hAnsi="宋体" w:cs="宋体"/>
          <w:szCs w:val="28"/>
        </w:rPr>
      </w:pPr>
    </w:p>
    <w:p w14:paraId="1C94B3AC">
      <w:pPr>
        <w:autoSpaceDE w:val="0"/>
        <w:autoSpaceDN w:val="0"/>
        <w:adjustRightInd w:val="0"/>
        <w:spacing w:line="360" w:lineRule="auto"/>
        <w:ind w:firstLine="560" w:firstLineChars="200"/>
        <w:rPr>
          <w:rFonts w:ascii="宋体" w:hAnsi="宋体" w:cs="宋体"/>
          <w:szCs w:val="28"/>
        </w:rPr>
      </w:pPr>
    </w:p>
    <w:p w14:paraId="2870CE61">
      <w:pPr>
        <w:autoSpaceDE w:val="0"/>
        <w:autoSpaceDN w:val="0"/>
        <w:adjustRightInd w:val="0"/>
        <w:spacing w:line="360" w:lineRule="auto"/>
        <w:ind w:firstLine="560" w:firstLineChars="200"/>
        <w:rPr>
          <w:rFonts w:ascii="宋体" w:hAnsi="宋体" w:cs="宋体"/>
          <w:szCs w:val="28"/>
        </w:rPr>
      </w:pPr>
    </w:p>
    <w:p w14:paraId="6D9B9257">
      <w:pPr>
        <w:adjustRightInd w:val="0"/>
        <w:snapToGrid w:val="0"/>
        <w:spacing w:line="500" w:lineRule="exact"/>
        <w:jc w:val="center"/>
        <w:rPr>
          <w:rFonts w:ascii="宋体" w:hAnsi="宋体"/>
          <w:b/>
          <w:sz w:val="24"/>
        </w:rPr>
      </w:pPr>
      <w:bookmarkStart w:id="396" w:name="_Toc14337143"/>
      <w:bookmarkStart w:id="397" w:name="_Toc18000993"/>
      <w:bookmarkStart w:id="398" w:name="_Toc18001051"/>
      <w:bookmarkStart w:id="399" w:name="_Toc21118208"/>
      <w:r>
        <w:rPr>
          <w:rFonts w:hint="eastAsia" w:ascii="宋体" w:hAnsi="宋体"/>
          <w:b/>
          <w:sz w:val="24"/>
        </w:rPr>
        <w:t>第三节 专用合同条款</w:t>
      </w:r>
      <w:bookmarkEnd w:id="396"/>
      <w:bookmarkEnd w:id="397"/>
      <w:bookmarkEnd w:id="398"/>
      <w:bookmarkEnd w:id="399"/>
    </w:p>
    <w:p w14:paraId="4A4B829D">
      <w:pPr>
        <w:adjustRightInd w:val="0"/>
        <w:snapToGrid w:val="0"/>
        <w:spacing w:line="400" w:lineRule="exact"/>
        <w:rPr>
          <w:rFonts w:ascii="宋体" w:hAnsi="宋体"/>
          <w:sz w:val="24"/>
        </w:rPr>
      </w:pPr>
      <w:r>
        <w:rPr>
          <w:rFonts w:hint="eastAsia" w:ascii="宋体" w:hAnsi="宋体"/>
          <w:sz w:val="24"/>
        </w:rPr>
        <w:t>[专用合同条款是对通用合同条款原则性约定的细化、完善、补充的条款。]</w:t>
      </w:r>
    </w:p>
    <w:p w14:paraId="2B20237B">
      <w:pPr>
        <w:pStyle w:val="157"/>
        <w:spacing w:line="500" w:lineRule="exact"/>
        <w:ind w:firstLine="482"/>
        <w:rPr>
          <w:rFonts w:ascii="宋体" w:hAnsi="宋体"/>
          <w:b/>
          <w:bCs/>
          <w:szCs w:val="24"/>
        </w:rPr>
      </w:pPr>
      <w:bookmarkStart w:id="400" w:name="_Toc351203633"/>
      <w:r>
        <w:rPr>
          <w:rFonts w:hint="eastAsia" w:ascii="宋体" w:hAnsi="宋体"/>
          <w:b/>
          <w:bCs/>
          <w:szCs w:val="24"/>
        </w:rPr>
        <w:t>1. 一般约定</w:t>
      </w:r>
      <w:bookmarkEnd w:id="400"/>
    </w:p>
    <w:p w14:paraId="7B65EC42">
      <w:pPr>
        <w:pStyle w:val="157"/>
        <w:spacing w:line="500" w:lineRule="exact"/>
        <w:ind w:firstLine="480"/>
        <w:rPr>
          <w:rFonts w:ascii="宋体" w:hAnsi="宋体"/>
          <w:szCs w:val="24"/>
        </w:rPr>
      </w:pPr>
      <w:r>
        <w:rPr>
          <w:rFonts w:hint="eastAsia" w:ascii="宋体" w:hAnsi="宋体"/>
          <w:szCs w:val="24"/>
        </w:rPr>
        <w:t>1.1 词语定义</w:t>
      </w:r>
    </w:p>
    <w:p w14:paraId="779F777C">
      <w:pPr>
        <w:pStyle w:val="157"/>
        <w:spacing w:line="500" w:lineRule="exact"/>
        <w:ind w:firstLine="480"/>
        <w:rPr>
          <w:rStyle w:val="274"/>
          <w:szCs w:val="24"/>
        </w:rPr>
      </w:pPr>
      <w:r>
        <w:rPr>
          <w:rStyle w:val="274"/>
          <w:rFonts w:hint="eastAsia"/>
          <w:szCs w:val="24"/>
        </w:rPr>
        <w:t>1.1.1合同</w:t>
      </w:r>
    </w:p>
    <w:p w14:paraId="48BCCF16">
      <w:pPr>
        <w:pStyle w:val="157"/>
        <w:spacing w:line="500" w:lineRule="exact"/>
        <w:ind w:firstLine="480"/>
        <w:rPr>
          <w:rFonts w:ascii="宋体" w:hAnsi="宋体"/>
          <w:szCs w:val="24"/>
        </w:rPr>
      </w:pPr>
      <w:r>
        <w:rPr>
          <w:rStyle w:val="274"/>
          <w:rFonts w:hint="eastAsia"/>
          <w:szCs w:val="24"/>
        </w:rPr>
        <w:t>1.1.1.10其他合同文件包括：补充协议、发包人或监理人发布的变更指示、工程签证、会议纪要、备忘录等。</w:t>
      </w:r>
    </w:p>
    <w:p w14:paraId="5C06F318">
      <w:pPr>
        <w:adjustRightInd w:val="0"/>
        <w:snapToGrid w:val="0"/>
        <w:spacing w:line="500" w:lineRule="exact"/>
        <w:rPr>
          <w:rFonts w:ascii="宋体" w:hAnsi="宋体"/>
          <w:sz w:val="24"/>
        </w:rPr>
      </w:pPr>
      <w:r>
        <w:rPr>
          <w:rFonts w:hint="eastAsia" w:ascii="宋体" w:hAnsi="宋体"/>
          <w:sz w:val="24"/>
        </w:rPr>
        <w:t xml:space="preserve">    1.1.2  合同当事人和人员</w:t>
      </w:r>
    </w:p>
    <w:p w14:paraId="6AE996DF">
      <w:pPr>
        <w:adjustRightInd w:val="0"/>
        <w:snapToGrid w:val="0"/>
        <w:spacing w:line="500" w:lineRule="exact"/>
        <w:rPr>
          <w:rFonts w:ascii="宋体" w:hAnsi="宋体"/>
          <w:sz w:val="24"/>
        </w:rPr>
      </w:pPr>
      <w:r>
        <w:rPr>
          <w:rFonts w:hint="eastAsia" w:ascii="宋体" w:hAnsi="宋体"/>
          <w:sz w:val="24"/>
        </w:rPr>
        <w:t xml:space="preserve">    1.1.2.2  发包人（招标人）：</w:t>
      </w:r>
      <w:r>
        <w:rPr>
          <w:rFonts w:hint="eastAsia" w:ascii="宋体" w:hAnsi="宋体"/>
          <w:sz w:val="24"/>
          <w:u w:val="single"/>
        </w:rPr>
        <w:t xml:space="preserve">                           </w:t>
      </w:r>
    </w:p>
    <w:p w14:paraId="2862D8F6">
      <w:pPr>
        <w:adjustRightInd w:val="0"/>
        <w:snapToGrid w:val="0"/>
        <w:spacing w:line="500" w:lineRule="exact"/>
        <w:rPr>
          <w:rFonts w:ascii="宋体" w:hAnsi="宋体"/>
          <w:sz w:val="24"/>
        </w:rPr>
      </w:pPr>
      <w:r>
        <w:rPr>
          <w:rFonts w:hint="eastAsia" w:ascii="宋体" w:hAnsi="宋体"/>
          <w:sz w:val="24"/>
        </w:rPr>
        <w:t xml:space="preserve">    1.1.2.3  承包人（中标人）：</w:t>
      </w:r>
      <w:r>
        <w:rPr>
          <w:rFonts w:hint="eastAsia" w:ascii="宋体" w:hAnsi="宋体"/>
          <w:sz w:val="24"/>
          <w:u w:val="single"/>
        </w:rPr>
        <w:t xml:space="preserve">                                                     </w:t>
      </w:r>
    </w:p>
    <w:p w14:paraId="32A6E92F">
      <w:pPr>
        <w:adjustRightInd w:val="0"/>
        <w:snapToGrid w:val="0"/>
        <w:spacing w:line="500" w:lineRule="exact"/>
        <w:rPr>
          <w:rFonts w:ascii="宋体" w:hAnsi="宋体"/>
          <w:sz w:val="24"/>
        </w:rPr>
      </w:pPr>
      <w:r>
        <w:rPr>
          <w:rFonts w:hint="eastAsia" w:ascii="宋体" w:hAnsi="宋体"/>
          <w:sz w:val="24"/>
        </w:rPr>
        <w:t xml:space="preserve">    1.1.2.6  监理人：</w:t>
      </w:r>
      <w:r>
        <w:rPr>
          <w:rFonts w:hint="eastAsia" w:ascii="宋体" w:hAnsi="宋体"/>
          <w:sz w:val="24"/>
          <w:u w:val="single"/>
        </w:rPr>
        <w:t xml:space="preserve">                                                     </w:t>
      </w:r>
    </w:p>
    <w:p w14:paraId="26282CDC">
      <w:pPr>
        <w:adjustRightInd w:val="0"/>
        <w:snapToGrid w:val="0"/>
        <w:spacing w:line="500" w:lineRule="exact"/>
        <w:rPr>
          <w:rFonts w:ascii="宋体" w:hAnsi="宋体"/>
          <w:sz w:val="24"/>
        </w:rPr>
      </w:pPr>
      <w:r>
        <w:rPr>
          <w:rFonts w:hint="eastAsia" w:ascii="宋体" w:hAnsi="宋体"/>
          <w:sz w:val="24"/>
        </w:rPr>
        <w:t xml:space="preserve">    1.1.3  工程和设备</w:t>
      </w:r>
    </w:p>
    <w:p w14:paraId="340C6960">
      <w:pPr>
        <w:adjustRightInd w:val="0"/>
        <w:snapToGrid w:val="0"/>
        <w:spacing w:line="500" w:lineRule="exact"/>
        <w:rPr>
          <w:rFonts w:ascii="宋体" w:hAnsi="宋体"/>
          <w:sz w:val="24"/>
        </w:rPr>
      </w:pPr>
      <w:r>
        <w:rPr>
          <w:rFonts w:hint="eastAsia" w:ascii="宋体" w:hAnsi="宋体"/>
          <w:sz w:val="24"/>
        </w:rPr>
        <w:t xml:space="preserve">    1.1.3.2  永久工程：</w:t>
      </w:r>
      <w:r>
        <w:rPr>
          <w:rFonts w:hint="eastAsia" w:ascii="宋体" w:hAnsi="宋体"/>
          <w:sz w:val="24"/>
          <w:u w:val="single"/>
        </w:rPr>
        <w:t xml:space="preserve">     不发生                                         </w:t>
      </w:r>
    </w:p>
    <w:p w14:paraId="26E25609">
      <w:pPr>
        <w:adjustRightInd w:val="0"/>
        <w:snapToGrid w:val="0"/>
        <w:spacing w:line="500" w:lineRule="exact"/>
        <w:ind w:firstLine="435"/>
        <w:rPr>
          <w:rFonts w:ascii="宋体" w:hAnsi="宋体"/>
          <w:sz w:val="24"/>
          <w:u w:val="single"/>
        </w:rPr>
      </w:pPr>
      <w:r>
        <w:rPr>
          <w:rFonts w:hint="eastAsia" w:ascii="宋体" w:hAnsi="宋体"/>
          <w:sz w:val="24"/>
        </w:rPr>
        <w:t>1.1.3.3  临时工程：</w:t>
      </w:r>
      <w:r>
        <w:rPr>
          <w:rFonts w:hint="eastAsia" w:ascii="宋体" w:hAnsi="宋体"/>
          <w:sz w:val="24"/>
          <w:u w:val="single"/>
        </w:rPr>
        <w:t xml:space="preserve">      不发生                    </w:t>
      </w:r>
    </w:p>
    <w:p w14:paraId="796EBF46">
      <w:pPr>
        <w:adjustRightInd w:val="0"/>
        <w:snapToGrid w:val="0"/>
        <w:spacing w:line="500" w:lineRule="exact"/>
        <w:ind w:firstLine="435"/>
        <w:rPr>
          <w:rFonts w:ascii="宋体" w:hAnsi="宋体"/>
          <w:sz w:val="24"/>
        </w:rPr>
      </w:pPr>
      <w:r>
        <w:rPr>
          <w:rFonts w:hint="eastAsia" w:ascii="宋体" w:hAnsi="宋体"/>
          <w:sz w:val="24"/>
        </w:rPr>
        <w:t>1.1.3.4  单位工程：</w:t>
      </w:r>
      <w:r>
        <w:rPr>
          <w:rFonts w:hint="eastAsia" w:ascii="宋体" w:hAnsi="宋体"/>
          <w:sz w:val="24"/>
          <w:u w:val="single"/>
        </w:rPr>
        <w:t xml:space="preserve">    根据工程实际确定      </w:t>
      </w:r>
    </w:p>
    <w:p w14:paraId="5E998CAD">
      <w:pPr>
        <w:adjustRightInd w:val="0"/>
        <w:snapToGrid w:val="0"/>
        <w:spacing w:line="500" w:lineRule="exact"/>
        <w:rPr>
          <w:rFonts w:ascii="宋体" w:hAnsi="宋体"/>
          <w:sz w:val="24"/>
        </w:rPr>
      </w:pPr>
      <w:r>
        <w:rPr>
          <w:rFonts w:hint="eastAsia" w:ascii="宋体" w:hAnsi="宋体"/>
          <w:sz w:val="24"/>
        </w:rPr>
        <w:t xml:space="preserve">    1.1.3.10  永久占地：</w:t>
      </w:r>
      <w:r>
        <w:rPr>
          <w:rFonts w:hint="eastAsia" w:ascii="宋体" w:hAnsi="宋体"/>
          <w:sz w:val="24"/>
          <w:u w:val="single"/>
        </w:rPr>
        <w:t xml:space="preserve">    不发生                   </w:t>
      </w:r>
    </w:p>
    <w:p w14:paraId="73D59A60">
      <w:pPr>
        <w:adjustRightInd w:val="0"/>
        <w:snapToGrid w:val="0"/>
        <w:spacing w:line="500" w:lineRule="exact"/>
        <w:rPr>
          <w:rFonts w:ascii="宋体" w:hAnsi="宋体"/>
          <w:sz w:val="24"/>
        </w:rPr>
      </w:pPr>
      <w:r>
        <w:rPr>
          <w:rFonts w:hint="eastAsia" w:ascii="宋体" w:hAnsi="宋体"/>
          <w:sz w:val="24"/>
        </w:rPr>
        <w:t xml:space="preserve">    1.1.3.11  临时占地：</w:t>
      </w:r>
      <w:r>
        <w:rPr>
          <w:rFonts w:hint="eastAsia" w:ascii="宋体" w:hAnsi="宋体"/>
          <w:sz w:val="24"/>
          <w:u w:val="single"/>
        </w:rPr>
        <w:t xml:space="preserve">    不发生                   </w:t>
      </w:r>
    </w:p>
    <w:p w14:paraId="7C0C24D6">
      <w:pPr>
        <w:adjustRightInd w:val="0"/>
        <w:snapToGrid w:val="0"/>
        <w:spacing w:line="500" w:lineRule="exact"/>
        <w:rPr>
          <w:rFonts w:ascii="宋体" w:hAnsi="宋体"/>
          <w:sz w:val="24"/>
        </w:rPr>
      </w:pPr>
      <w:r>
        <w:rPr>
          <w:rFonts w:hint="eastAsia" w:ascii="宋体" w:hAnsi="宋体"/>
          <w:sz w:val="24"/>
        </w:rPr>
        <w:t xml:space="preserve">    1.1.4  日期</w:t>
      </w:r>
    </w:p>
    <w:p w14:paraId="612BBC0F">
      <w:pPr>
        <w:adjustRightInd w:val="0"/>
        <w:snapToGrid w:val="0"/>
        <w:spacing w:line="500" w:lineRule="exact"/>
        <w:ind w:firstLine="420"/>
        <w:rPr>
          <w:rFonts w:ascii="宋体" w:hAnsi="宋体"/>
          <w:sz w:val="24"/>
          <w:u w:val="single"/>
        </w:rPr>
      </w:pPr>
      <w:r>
        <w:rPr>
          <w:rFonts w:hint="eastAsia" w:ascii="宋体" w:hAnsi="宋体"/>
          <w:sz w:val="24"/>
        </w:rPr>
        <w:t>1.1.4.5 缺陷责任期：</w:t>
      </w:r>
      <w:r>
        <w:rPr>
          <w:rFonts w:hint="eastAsia" w:ascii="宋体" w:hAnsi="宋体"/>
          <w:sz w:val="24"/>
          <w:u w:val="single"/>
        </w:rPr>
        <w:t>工程竣工验收之日起开始计算连续24个月。。</w:t>
      </w:r>
    </w:p>
    <w:p w14:paraId="2AFB38A6">
      <w:pPr>
        <w:spacing w:line="500" w:lineRule="exact"/>
        <w:rPr>
          <w:rFonts w:ascii="宋体" w:hAnsi="宋体"/>
          <w:sz w:val="24"/>
        </w:rPr>
      </w:pPr>
      <w:bookmarkStart w:id="401" w:name="_Toc351203634"/>
      <w:r>
        <w:rPr>
          <w:rFonts w:hint="eastAsia" w:ascii="宋体" w:hAnsi="宋体"/>
          <w:b/>
          <w:bCs/>
          <w:sz w:val="24"/>
        </w:rPr>
        <w:t xml:space="preserve">    1.4  合同文件的优先顺序 </w:t>
      </w:r>
      <w:r>
        <w:rPr>
          <w:rFonts w:hint="eastAsia" w:ascii="宋体" w:hAnsi="宋体"/>
          <w:sz w:val="24"/>
        </w:rPr>
        <w:t xml:space="preserve">                                                  </w:t>
      </w:r>
    </w:p>
    <w:p w14:paraId="2749AFEC">
      <w:pPr>
        <w:spacing w:line="500" w:lineRule="exact"/>
        <w:rPr>
          <w:rFonts w:ascii="宋体" w:hAnsi="宋体"/>
          <w:sz w:val="24"/>
        </w:rPr>
      </w:pPr>
      <w:r>
        <w:rPr>
          <w:rFonts w:hint="eastAsia" w:ascii="宋体" w:hAnsi="宋体"/>
          <w:sz w:val="24"/>
        </w:rPr>
        <w:t xml:space="preserve">    合同文件的优先顺序：施工工程中的书面补充协议；本合同协议书；中标通知书；本合同专用条款；招标文件及附件；本合同通用条款；投标书及其附件；标准、规范及有关技术文件；图纸；已标价工程量清单；经招标人和监理批准的施工组织设计和方案。</w:t>
      </w:r>
    </w:p>
    <w:p w14:paraId="3DEB1B21">
      <w:pPr>
        <w:spacing w:line="500" w:lineRule="exact"/>
        <w:rPr>
          <w:rFonts w:ascii="宋体" w:hAnsi="宋体"/>
          <w:b/>
          <w:bCs/>
          <w:sz w:val="24"/>
        </w:rPr>
      </w:pPr>
      <w:r>
        <w:rPr>
          <w:rFonts w:hint="eastAsia" w:ascii="宋体" w:hAnsi="宋体"/>
          <w:b/>
          <w:bCs/>
          <w:sz w:val="24"/>
        </w:rPr>
        <w:t xml:space="preserve">    1.5  合同生效的条件</w:t>
      </w:r>
    </w:p>
    <w:p w14:paraId="1498C3C2">
      <w:pPr>
        <w:spacing w:line="500" w:lineRule="exact"/>
        <w:rPr>
          <w:rFonts w:ascii="宋体" w:hAnsi="宋体"/>
          <w:sz w:val="24"/>
        </w:rPr>
      </w:pPr>
      <w:r>
        <w:rPr>
          <w:rFonts w:hint="eastAsia" w:ascii="宋体" w:hAnsi="宋体"/>
          <w:sz w:val="24"/>
        </w:rPr>
        <w:t xml:space="preserve">    合同生效的条件：中标人提交履约保证金后，双方签订合同后生效。    </w:t>
      </w:r>
    </w:p>
    <w:p w14:paraId="7E803D0C">
      <w:pPr>
        <w:spacing w:line="500" w:lineRule="exact"/>
        <w:rPr>
          <w:rFonts w:ascii="宋体" w:hAnsi="宋体"/>
          <w:b/>
          <w:bCs/>
          <w:sz w:val="24"/>
        </w:rPr>
      </w:pPr>
      <w:r>
        <w:rPr>
          <w:rFonts w:hint="eastAsia" w:ascii="宋体" w:hAnsi="宋体"/>
          <w:b/>
          <w:bCs/>
          <w:sz w:val="24"/>
        </w:rPr>
        <w:t>1.6  图纸和中标人文件</w:t>
      </w:r>
    </w:p>
    <w:p w14:paraId="3B75B864">
      <w:pPr>
        <w:spacing w:line="500" w:lineRule="exact"/>
        <w:rPr>
          <w:rFonts w:ascii="宋体" w:hAnsi="宋体"/>
          <w:sz w:val="24"/>
        </w:rPr>
      </w:pPr>
      <w:r>
        <w:rPr>
          <w:rFonts w:hint="eastAsia" w:ascii="宋体" w:hAnsi="宋体"/>
          <w:sz w:val="24"/>
        </w:rPr>
        <w:t xml:space="preserve">    1.6.1  发包人提供图纸的期限、数量：合同签订后2日内向承包人提供图纸肆套。      </w:t>
      </w:r>
    </w:p>
    <w:p w14:paraId="7F8F70A3">
      <w:pPr>
        <w:spacing w:line="500" w:lineRule="exact"/>
        <w:rPr>
          <w:rFonts w:ascii="宋体" w:hAnsi="宋体"/>
          <w:sz w:val="24"/>
        </w:rPr>
      </w:pPr>
      <w:r>
        <w:rPr>
          <w:rFonts w:hint="eastAsia" w:ascii="宋体" w:hAnsi="宋体"/>
          <w:sz w:val="24"/>
        </w:rPr>
        <w:t xml:space="preserve">    1.6.2  承包人提供的文件范围：按通用条款执行          </w:t>
      </w:r>
    </w:p>
    <w:p w14:paraId="0B07BD34">
      <w:pPr>
        <w:spacing w:line="500" w:lineRule="exact"/>
        <w:rPr>
          <w:rFonts w:ascii="宋体" w:hAnsi="宋体"/>
          <w:sz w:val="24"/>
        </w:rPr>
      </w:pPr>
      <w:r>
        <w:rPr>
          <w:rFonts w:hint="eastAsia" w:ascii="宋体" w:hAnsi="宋体"/>
          <w:sz w:val="24"/>
        </w:rPr>
        <w:t xml:space="preserve">          承包人提供文件的期限、数量：根据实际需要确定                 </w:t>
      </w:r>
    </w:p>
    <w:p w14:paraId="5AEEF362">
      <w:pPr>
        <w:spacing w:line="500" w:lineRule="exact"/>
        <w:rPr>
          <w:rFonts w:ascii="宋体" w:hAnsi="宋体"/>
          <w:sz w:val="24"/>
        </w:rPr>
      </w:pPr>
      <w:r>
        <w:rPr>
          <w:rFonts w:hint="eastAsia" w:ascii="宋体" w:hAnsi="宋体"/>
          <w:sz w:val="24"/>
        </w:rPr>
        <w:t xml:space="preserve">          监理人批复中标人提供文件的期限：收到中标人提供的文件后7天内。</w:t>
      </w:r>
    </w:p>
    <w:p w14:paraId="7D761104">
      <w:pPr>
        <w:spacing w:line="500" w:lineRule="exact"/>
        <w:rPr>
          <w:rFonts w:ascii="宋体" w:hAnsi="宋体"/>
          <w:sz w:val="24"/>
        </w:rPr>
      </w:pPr>
      <w:r>
        <w:rPr>
          <w:rFonts w:hint="eastAsia" w:ascii="宋体" w:hAnsi="宋体"/>
          <w:sz w:val="24"/>
        </w:rPr>
        <w:t xml:space="preserve">    1.6.3  监理人签发图纸修改的期限：该项工作施工前7天。   </w:t>
      </w:r>
    </w:p>
    <w:bookmarkEnd w:id="401"/>
    <w:p w14:paraId="0B34ED43">
      <w:pPr>
        <w:spacing w:line="500" w:lineRule="exact"/>
        <w:rPr>
          <w:rFonts w:ascii="宋体" w:hAnsi="宋体"/>
          <w:b/>
          <w:bCs/>
          <w:sz w:val="24"/>
        </w:rPr>
      </w:pPr>
      <w:bookmarkStart w:id="402" w:name="_Toc446108025"/>
      <w:bookmarkStart w:id="403" w:name="_Toc442514365"/>
      <w:bookmarkStart w:id="404" w:name="_Toc410381402"/>
      <w:bookmarkStart w:id="405" w:name="_Toc361653985"/>
      <w:bookmarkStart w:id="406" w:name="_Toc351203635"/>
      <w:r>
        <w:rPr>
          <w:rFonts w:hint="eastAsia" w:ascii="宋体" w:hAnsi="宋体"/>
          <w:b/>
          <w:bCs/>
          <w:sz w:val="24"/>
        </w:rPr>
        <w:t>2.  发包人义务</w:t>
      </w:r>
      <w:bookmarkEnd w:id="402"/>
      <w:bookmarkEnd w:id="403"/>
      <w:bookmarkEnd w:id="404"/>
      <w:bookmarkEnd w:id="405"/>
    </w:p>
    <w:p w14:paraId="7915876F">
      <w:pPr>
        <w:spacing w:line="500" w:lineRule="exact"/>
        <w:rPr>
          <w:rFonts w:ascii="宋体" w:hAnsi="宋体"/>
          <w:b/>
          <w:bCs/>
          <w:sz w:val="24"/>
        </w:rPr>
      </w:pPr>
      <w:r>
        <w:rPr>
          <w:rFonts w:hint="eastAsia" w:ascii="宋体" w:hAnsi="宋体"/>
          <w:b/>
          <w:bCs/>
          <w:sz w:val="24"/>
        </w:rPr>
        <w:t>2.3  提供施工场地</w:t>
      </w:r>
    </w:p>
    <w:p w14:paraId="7E22D68C">
      <w:pPr>
        <w:spacing w:line="500" w:lineRule="exact"/>
        <w:rPr>
          <w:rFonts w:ascii="宋体" w:hAnsi="宋体"/>
          <w:sz w:val="24"/>
        </w:rPr>
      </w:pPr>
      <w:r>
        <w:rPr>
          <w:rFonts w:hint="eastAsia" w:ascii="宋体" w:hAnsi="宋体"/>
          <w:sz w:val="24"/>
        </w:rPr>
        <w:t xml:space="preserve">    发包人提供施工场地和有关资料的时间：发出开工通知前提供。          </w:t>
      </w:r>
    </w:p>
    <w:p w14:paraId="0CA9EB97">
      <w:pPr>
        <w:spacing w:line="500" w:lineRule="exact"/>
        <w:rPr>
          <w:rFonts w:ascii="宋体" w:hAnsi="宋体"/>
          <w:b/>
          <w:bCs/>
          <w:sz w:val="24"/>
        </w:rPr>
      </w:pPr>
      <w:bookmarkStart w:id="407" w:name="_Toc236130790"/>
      <w:bookmarkStart w:id="408" w:name="_Toc346896521"/>
      <w:bookmarkStart w:id="409" w:name="_Toc253651577"/>
      <w:r>
        <w:rPr>
          <w:rFonts w:hint="eastAsia" w:ascii="宋体" w:hAnsi="宋体"/>
          <w:b/>
          <w:bCs/>
          <w:sz w:val="24"/>
        </w:rPr>
        <w:t>2.5组织设计交底</w:t>
      </w:r>
      <w:bookmarkEnd w:id="407"/>
      <w:bookmarkEnd w:id="408"/>
      <w:bookmarkEnd w:id="409"/>
    </w:p>
    <w:p w14:paraId="0021C73C">
      <w:pPr>
        <w:spacing w:line="500" w:lineRule="exact"/>
        <w:rPr>
          <w:rFonts w:ascii="宋体" w:hAnsi="宋体"/>
          <w:sz w:val="24"/>
        </w:rPr>
      </w:pPr>
      <w:r>
        <w:rPr>
          <w:rFonts w:hint="eastAsia" w:ascii="宋体" w:hAnsi="宋体"/>
          <w:sz w:val="24"/>
        </w:rPr>
        <w:t xml:space="preserve">    施工图纸到现场后48小时内，由发包人组织相关人员进行图纸会审和技术交底。</w:t>
      </w:r>
    </w:p>
    <w:p w14:paraId="5205C968">
      <w:pPr>
        <w:tabs>
          <w:tab w:val="left" w:pos="2835"/>
        </w:tabs>
        <w:spacing w:line="500" w:lineRule="exact"/>
        <w:rPr>
          <w:rFonts w:ascii="宋体" w:hAnsi="宋体"/>
          <w:sz w:val="24"/>
        </w:rPr>
      </w:pPr>
      <w:bookmarkStart w:id="410" w:name="_Toc253651578"/>
      <w:bookmarkStart w:id="411" w:name="_Toc346896522"/>
      <w:r>
        <w:rPr>
          <w:rFonts w:hint="eastAsia" w:ascii="宋体" w:hAnsi="宋体"/>
          <w:b/>
          <w:bCs/>
          <w:sz w:val="24"/>
        </w:rPr>
        <w:t>2.8 其他义务</w:t>
      </w:r>
      <w:bookmarkEnd w:id="410"/>
      <w:bookmarkEnd w:id="411"/>
      <w:r>
        <w:rPr>
          <w:rFonts w:hint="eastAsia" w:ascii="宋体" w:hAnsi="宋体"/>
          <w:b/>
          <w:bCs/>
          <w:sz w:val="24"/>
        </w:rPr>
        <w:t xml:space="preserve"> </w:t>
      </w:r>
      <w:r>
        <w:rPr>
          <w:rFonts w:hint="eastAsia" w:ascii="宋体" w:hAnsi="宋体"/>
          <w:sz w:val="24"/>
        </w:rPr>
        <w:tab/>
      </w:r>
    </w:p>
    <w:p w14:paraId="70978CAD">
      <w:pPr>
        <w:spacing w:line="500" w:lineRule="exact"/>
        <w:rPr>
          <w:rFonts w:ascii="宋体" w:hAnsi="宋体"/>
          <w:sz w:val="24"/>
        </w:rPr>
      </w:pPr>
      <w:r>
        <w:rPr>
          <w:rFonts w:hint="eastAsia" w:ascii="宋体" w:hAnsi="宋体"/>
          <w:sz w:val="24"/>
        </w:rPr>
        <w:t>2.8.1双方约定招标人应做的其他工作：双方协商。</w:t>
      </w:r>
    </w:p>
    <w:p w14:paraId="052033BC">
      <w:pPr>
        <w:tabs>
          <w:tab w:val="left" w:pos="2835"/>
        </w:tabs>
        <w:spacing w:line="500" w:lineRule="exact"/>
        <w:rPr>
          <w:rFonts w:ascii="宋体" w:hAnsi="宋体"/>
          <w:b/>
          <w:bCs/>
          <w:sz w:val="24"/>
        </w:rPr>
      </w:pPr>
      <w:bookmarkStart w:id="412" w:name="_Toc346896523"/>
      <w:r>
        <w:rPr>
          <w:rFonts w:hint="eastAsia" w:ascii="宋体" w:hAnsi="宋体"/>
          <w:b/>
          <w:bCs/>
          <w:sz w:val="24"/>
        </w:rPr>
        <w:t>2.9 发包人委派的驻工地代表</w:t>
      </w:r>
      <w:bookmarkEnd w:id="412"/>
    </w:p>
    <w:p w14:paraId="42AF9ACB">
      <w:pPr>
        <w:spacing w:line="500" w:lineRule="exact"/>
        <w:rPr>
          <w:rFonts w:ascii="宋体" w:hAnsi="宋体"/>
          <w:sz w:val="24"/>
          <w:u w:val="single"/>
        </w:rPr>
      </w:pPr>
      <w:r>
        <w:rPr>
          <w:rFonts w:hint="eastAsia" w:ascii="宋体" w:hAnsi="宋体"/>
          <w:sz w:val="24"/>
        </w:rPr>
        <w:t xml:space="preserve">    姓名：</w:t>
      </w:r>
      <w:r>
        <w:rPr>
          <w:rFonts w:hint="eastAsia" w:ascii="宋体" w:hAnsi="宋体"/>
          <w:sz w:val="24"/>
          <w:u w:val="single"/>
        </w:rPr>
        <w:t xml:space="preserve">       </w:t>
      </w:r>
      <w:r>
        <w:rPr>
          <w:rFonts w:hint="eastAsia" w:ascii="宋体" w:hAnsi="宋体"/>
          <w:sz w:val="24"/>
        </w:rPr>
        <w:t>职务:</w:t>
      </w:r>
      <w:r>
        <w:rPr>
          <w:rFonts w:hint="eastAsia" w:ascii="宋体" w:hAnsi="宋体"/>
          <w:sz w:val="24"/>
        </w:rPr>
        <w:softHyphen/>
      </w:r>
      <w:r>
        <w:rPr>
          <w:rFonts w:hint="eastAsia" w:ascii="宋体" w:hAnsi="宋体"/>
          <w:sz w:val="24"/>
        </w:rPr>
        <w:softHyphen/>
      </w:r>
      <w:r>
        <w:rPr>
          <w:rFonts w:hint="eastAsia" w:ascii="宋体" w:hAnsi="宋体"/>
          <w:sz w:val="24"/>
        </w:rPr>
        <w:t xml:space="preserve"> </w:t>
      </w:r>
      <w:r>
        <w:rPr>
          <w:rFonts w:hint="eastAsia" w:ascii="宋体" w:hAnsi="宋体"/>
          <w:sz w:val="24"/>
          <w:u w:val="single"/>
        </w:rPr>
        <w:t xml:space="preserve">           </w:t>
      </w:r>
    </w:p>
    <w:p w14:paraId="7884A33C">
      <w:pPr>
        <w:spacing w:line="500" w:lineRule="exact"/>
        <w:rPr>
          <w:rFonts w:ascii="宋体" w:hAnsi="宋体"/>
          <w:sz w:val="24"/>
        </w:rPr>
      </w:pPr>
      <w:r>
        <w:rPr>
          <w:rFonts w:hint="eastAsia" w:ascii="宋体" w:hAnsi="宋体"/>
          <w:sz w:val="24"/>
        </w:rPr>
        <w:t xml:space="preserve">    职权：</w:t>
      </w:r>
      <w:r>
        <w:rPr>
          <w:rFonts w:hint="eastAsia" w:ascii="宋体" w:hAnsi="宋体"/>
          <w:sz w:val="24"/>
          <w:u w:val="single"/>
        </w:rPr>
        <w:t>代表发包人对本工程施工过程的质量、进度、造价、安全文明施工等进行监督和检查，协调解决由发包人处理的有关问题，并对工程质量和现场签证进行确认。</w:t>
      </w:r>
    </w:p>
    <w:p w14:paraId="3693B5E4">
      <w:pPr>
        <w:spacing w:line="500" w:lineRule="exact"/>
        <w:rPr>
          <w:rFonts w:ascii="宋体" w:hAnsi="宋体"/>
          <w:b/>
          <w:bCs/>
          <w:sz w:val="24"/>
        </w:rPr>
      </w:pPr>
      <w:bookmarkStart w:id="413" w:name="_Toc446108026"/>
      <w:bookmarkStart w:id="414" w:name="_Toc442514366"/>
      <w:bookmarkStart w:id="415" w:name="_Toc361653986"/>
      <w:bookmarkStart w:id="416" w:name="_Toc410381403"/>
      <w:r>
        <w:rPr>
          <w:rFonts w:hint="eastAsia" w:ascii="宋体" w:hAnsi="宋体"/>
          <w:b/>
          <w:bCs/>
          <w:sz w:val="24"/>
        </w:rPr>
        <w:t>3.  监理人</w:t>
      </w:r>
      <w:bookmarkEnd w:id="413"/>
      <w:bookmarkEnd w:id="414"/>
      <w:bookmarkEnd w:id="415"/>
      <w:bookmarkEnd w:id="416"/>
    </w:p>
    <w:p w14:paraId="5A4AE78F">
      <w:pPr>
        <w:spacing w:line="500" w:lineRule="exact"/>
        <w:rPr>
          <w:rFonts w:ascii="宋体" w:hAnsi="宋体"/>
          <w:b/>
          <w:bCs/>
          <w:sz w:val="24"/>
        </w:rPr>
      </w:pPr>
      <w:r>
        <w:rPr>
          <w:rFonts w:hint="eastAsia" w:ascii="宋体" w:hAnsi="宋体"/>
          <w:b/>
          <w:bCs/>
          <w:sz w:val="24"/>
        </w:rPr>
        <w:t>3.1  监理人的职责和权力</w:t>
      </w:r>
    </w:p>
    <w:p w14:paraId="76764030">
      <w:pPr>
        <w:spacing w:line="500" w:lineRule="exact"/>
        <w:rPr>
          <w:rFonts w:ascii="宋体" w:hAnsi="宋体"/>
          <w:sz w:val="24"/>
          <w:u w:val="single"/>
        </w:rPr>
      </w:pPr>
      <w:r>
        <w:rPr>
          <w:rFonts w:hint="eastAsia" w:ascii="宋体" w:hAnsi="宋体"/>
          <w:sz w:val="24"/>
        </w:rPr>
        <w:t xml:space="preserve">    姓名：</w:t>
      </w:r>
      <w:r>
        <w:rPr>
          <w:rFonts w:hint="eastAsia" w:ascii="宋体" w:hAnsi="宋体"/>
          <w:sz w:val="24"/>
          <w:u w:val="single"/>
        </w:rPr>
        <w:t xml:space="preserve">         </w:t>
      </w:r>
      <w:r>
        <w:rPr>
          <w:rFonts w:hint="eastAsia" w:ascii="宋体" w:hAnsi="宋体"/>
          <w:sz w:val="24"/>
        </w:rPr>
        <w:t>职务：</w:t>
      </w:r>
      <w:r>
        <w:rPr>
          <w:rFonts w:hint="eastAsia" w:ascii="宋体" w:hAnsi="宋体"/>
          <w:sz w:val="24"/>
          <w:u w:val="single"/>
        </w:rPr>
        <w:t xml:space="preserve">           </w:t>
      </w:r>
    </w:p>
    <w:p w14:paraId="1DF91B3C">
      <w:pPr>
        <w:spacing w:line="500" w:lineRule="exact"/>
        <w:rPr>
          <w:rFonts w:ascii="宋体" w:hAnsi="宋体"/>
          <w:sz w:val="24"/>
        </w:rPr>
      </w:pPr>
      <w:r>
        <w:rPr>
          <w:rFonts w:hint="eastAsia" w:ascii="宋体" w:hAnsi="宋体"/>
          <w:sz w:val="24"/>
        </w:rPr>
        <w:t xml:space="preserve">    招标人委托的职权：</w:t>
      </w:r>
      <w:r>
        <w:rPr>
          <w:rFonts w:hint="eastAsia" w:ascii="宋体" w:hAnsi="宋体"/>
          <w:sz w:val="24"/>
          <w:u w:val="single"/>
        </w:rPr>
        <w:t xml:space="preserve">对本工程的施工质量、进度、安全文明施工、合同管理等实施控制和监理。对隐蔽工程对施工质量进行验收，对施工环境进行协调、管理和处理。   </w:t>
      </w:r>
      <w:r>
        <w:rPr>
          <w:rFonts w:hint="eastAsia" w:ascii="宋体" w:hAnsi="宋体"/>
          <w:sz w:val="24"/>
        </w:rPr>
        <w:t xml:space="preserve">   </w:t>
      </w:r>
    </w:p>
    <w:bookmarkEnd w:id="406"/>
    <w:p w14:paraId="2E79B5E9">
      <w:pPr>
        <w:spacing w:line="500" w:lineRule="exact"/>
        <w:rPr>
          <w:rFonts w:ascii="宋体" w:hAnsi="宋体"/>
          <w:b/>
          <w:bCs/>
          <w:sz w:val="24"/>
        </w:rPr>
      </w:pPr>
      <w:bookmarkStart w:id="417" w:name="_Toc446108027"/>
      <w:r>
        <w:rPr>
          <w:rFonts w:hint="eastAsia" w:ascii="宋体" w:hAnsi="宋体"/>
          <w:b/>
          <w:bCs/>
          <w:sz w:val="24"/>
        </w:rPr>
        <w:t xml:space="preserve">4.  </w:t>
      </w:r>
      <w:bookmarkEnd w:id="417"/>
      <w:r>
        <w:rPr>
          <w:rFonts w:hint="eastAsia" w:ascii="宋体" w:hAnsi="宋体"/>
          <w:b/>
          <w:bCs/>
          <w:sz w:val="24"/>
        </w:rPr>
        <w:t>承包人</w:t>
      </w:r>
    </w:p>
    <w:p w14:paraId="6A96E140">
      <w:pPr>
        <w:spacing w:line="500" w:lineRule="exact"/>
        <w:rPr>
          <w:rFonts w:ascii="宋体" w:hAnsi="宋体"/>
          <w:b/>
          <w:bCs/>
          <w:sz w:val="24"/>
        </w:rPr>
      </w:pPr>
      <w:r>
        <w:rPr>
          <w:rFonts w:hint="eastAsia" w:ascii="宋体" w:hAnsi="宋体"/>
          <w:b/>
          <w:bCs/>
          <w:sz w:val="24"/>
        </w:rPr>
        <w:t>4.1  承包人的一般义务</w:t>
      </w:r>
    </w:p>
    <w:p w14:paraId="69B98E78">
      <w:pPr>
        <w:spacing w:line="500" w:lineRule="exact"/>
        <w:rPr>
          <w:rFonts w:ascii="宋体" w:hAnsi="宋体"/>
          <w:sz w:val="24"/>
        </w:rPr>
      </w:pPr>
      <w:r>
        <w:rPr>
          <w:rFonts w:hint="eastAsia" w:ascii="宋体" w:hAnsi="宋体"/>
          <w:sz w:val="24"/>
        </w:rPr>
        <w:t xml:space="preserve">    4.1.8  为他人提供方便</w:t>
      </w:r>
    </w:p>
    <w:p w14:paraId="74959BE5">
      <w:pPr>
        <w:spacing w:line="500" w:lineRule="exact"/>
        <w:rPr>
          <w:rFonts w:ascii="宋体" w:hAnsi="宋体"/>
          <w:sz w:val="24"/>
        </w:rPr>
      </w:pPr>
      <w:r>
        <w:rPr>
          <w:rFonts w:hint="eastAsia" w:ascii="宋体" w:hAnsi="宋体"/>
          <w:sz w:val="24"/>
        </w:rPr>
        <w:t xml:space="preserve">    承包人为他人提供条件的内容：</w:t>
      </w:r>
      <w:r>
        <w:rPr>
          <w:rFonts w:hint="eastAsia" w:ascii="宋体" w:hAnsi="宋体"/>
          <w:sz w:val="24"/>
          <w:u w:val="single"/>
        </w:rPr>
        <w:t>配合附属工程施工单位施工</w:t>
      </w:r>
      <w:r>
        <w:rPr>
          <w:rFonts w:hint="eastAsia" w:ascii="宋体" w:hAnsi="宋体"/>
          <w:sz w:val="24"/>
        </w:rPr>
        <w:t xml:space="preserve">。    </w:t>
      </w:r>
    </w:p>
    <w:p w14:paraId="2130BBBC">
      <w:pPr>
        <w:spacing w:line="500" w:lineRule="exact"/>
        <w:rPr>
          <w:rFonts w:ascii="宋体" w:hAnsi="宋体"/>
          <w:sz w:val="24"/>
        </w:rPr>
      </w:pPr>
      <w:r>
        <w:rPr>
          <w:rFonts w:hint="eastAsia" w:ascii="宋体" w:hAnsi="宋体"/>
          <w:sz w:val="24"/>
        </w:rPr>
        <w:t xml:space="preserve">    承包人为他人提供条件可能发生费用的处理方法：</w:t>
      </w:r>
      <w:r>
        <w:rPr>
          <w:rFonts w:hint="eastAsia" w:ascii="宋体" w:hAnsi="宋体"/>
          <w:sz w:val="24"/>
          <w:u w:val="single"/>
        </w:rPr>
        <w:t xml:space="preserve">不执行 </w:t>
      </w:r>
      <w:r>
        <w:rPr>
          <w:rFonts w:hint="eastAsia" w:ascii="宋体" w:hAnsi="宋体"/>
          <w:sz w:val="24"/>
        </w:rPr>
        <w:t xml:space="preserve">。     </w:t>
      </w:r>
    </w:p>
    <w:p w14:paraId="6AFEFD17">
      <w:pPr>
        <w:spacing w:line="500" w:lineRule="exact"/>
        <w:rPr>
          <w:rFonts w:ascii="宋体" w:hAnsi="宋体"/>
          <w:sz w:val="24"/>
        </w:rPr>
      </w:pPr>
      <w:r>
        <w:rPr>
          <w:rFonts w:hint="eastAsia" w:ascii="宋体" w:hAnsi="宋体"/>
          <w:sz w:val="24"/>
        </w:rPr>
        <w:t xml:space="preserve">    4.1.9已竣工工程未交付招标人之前，承包人负责该工程以及相关设施的保护工作，保护期间发生损坏，承包人自费予以修复；已竣工的工程未交付发包人之前，承包人应负责成品保护工作，因保护不力造成的经济损失和责任由承包人承担。已完工程成品保护的特殊要求由承包人做出详细方案，并落实到位，确保成品完好，费用由承包人负担。</w:t>
      </w:r>
    </w:p>
    <w:p w14:paraId="30F9DEBD">
      <w:pPr>
        <w:spacing w:line="500" w:lineRule="exact"/>
        <w:rPr>
          <w:rFonts w:ascii="宋体" w:hAnsi="宋体"/>
          <w:sz w:val="24"/>
        </w:rPr>
      </w:pPr>
      <w:r>
        <w:rPr>
          <w:rFonts w:hint="eastAsia" w:ascii="宋体" w:hAnsi="宋体"/>
          <w:sz w:val="24"/>
        </w:rPr>
        <w:t xml:space="preserve">    4.1.10.1遵守政府有关主管部门对施工场地交通、施工噪音以及环境保护和安全生产等的管理规定，按规定办理有关手续，并以书面形式通知招标人。</w:t>
      </w:r>
    </w:p>
    <w:p w14:paraId="02837DF7">
      <w:pPr>
        <w:spacing w:line="500" w:lineRule="exact"/>
        <w:rPr>
          <w:rFonts w:ascii="宋体" w:hAnsi="宋体"/>
          <w:sz w:val="24"/>
          <w:u w:val="single"/>
        </w:rPr>
      </w:pPr>
      <w:r>
        <w:rPr>
          <w:rFonts w:hint="eastAsia" w:ascii="宋体" w:hAnsi="宋体"/>
          <w:sz w:val="24"/>
        </w:rPr>
        <w:t xml:space="preserve">   </w:t>
      </w:r>
      <w:r>
        <w:rPr>
          <w:rFonts w:hint="eastAsia" w:ascii="宋体" w:hAnsi="宋体"/>
          <w:sz w:val="24"/>
          <w:u w:val="single"/>
        </w:rPr>
        <w:t xml:space="preserve"> ①需要办理交通特别通行证时，由招标人协助，承包人负责办证；</w:t>
      </w:r>
    </w:p>
    <w:p w14:paraId="7131B329">
      <w:pPr>
        <w:spacing w:line="500" w:lineRule="exact"/>
        <w:rPr>
          <w:rFonts w:ascii="宋体" w:hAnsi="宋体"/>
          <w:sz w:val="24"/>
          <w:u w:val="single"/>
        </w:rPr>
      </w:pPr>
      <w:r>
        <w:rPr>
          <w:rFonts w:hint="eastAsia" w:ascii="宋体" w:hAnsi="宋体"/>
          <w:sz w:val="24"/>
        </w:rPr>
        <w:t xml:space="preserve">   </w:t>
      </w:r>
      <w:r>
        <w:rPr>
          <w:rFonts w:hint="eastAsia" w:ascii="宋体" w:hAnsi="宋体"/>
          <w:sz w:val="24"/>
          <w:u w:val="single"/>
        </w:rPr>
        <w:t xml:space="preserve"> ②施工现场需要排放有害污水时，由承包人办理有关手续；</w:t>
      </w:r>
    </w:p>
    <w:p w14:paraId="5BA4865B">
      <w:pPr>
        <w:spacing w:line="500" w:lineRule="exact"/>
        <w:rPr>
          <w:rFonts w:ascii="宋体" w:hAnsi="宋体"/>
          <w:sz w:val="24"/>
          <w:u w:val="single"/>
        </w:rPr>
      </w:pPr>
      <w:r>
        <w:rPr>
          <w:rFonts w:hint="eastAsia" w:ascii="宋体" w:hAnsi="宋体"/>
          <w:sz w:val="24"/>
        </w:rPr>
        <w:t xml:space="preserve">   </w:t>
      </w:r>
      <w:r>
        <w:rPr>
          <w:rFonts w:hint="eastAsia" w:ascii="宋体" w:hAnsi="宋体"/>
          <w:sz w:val="24"/>
          <w:u w:val="single"/>
        </w:rPr>
        <w:t xml:space="preserve"> ③施工噪音超过当地主管部门的规定时，由承包人提出措施；</w:t>
      </w:r>
    </w:p>
    <w:p w14:paraId="6146E7D0">
      <w:pPr>
        <w:spacing w:line="500" w:lineRule="exact"/>
        <w:rPr>
          <w:rFonts w:ascii="宋体" w:hAnsi="宋体"/>
          <w:sz w:val="24"/>
        </w:rPr>
      </w:pPr>
      <w:r>
        <w:rPr>
          <w:rFonts w:hint="eastAsia" w:ascii="宋体" w:hAnsi="宋体"/>
          <w:sz w:val="24"/>
        </w:rPr>
        <w:t xml:space="preserve">    以上所发生的费用由承包人自行承担。</w:t>
      </w:r>
    </w:p>
    <w:p w14:paraId="3884CDA3">
      <w:pPr>
        <w:spacing w:line="500" w:lineRule="exact"/>
        <w:rPr>
          <w:rFonts w:ascii="宋体" w:hAnsi="宋体"/>
          <w:sz w:val="24"/>
          <w:u w:val="single"/>
        </w:rPr>
      </w:pPr>
      <w:r>
        <w:rPr>
          <w:rFonts w:hint="eastAsia" w:ascii="宋体" w:hAnsi="宋体"/>
          <w:sz w:val="24"/>
        </w:rPr>
        <w:t xml:space="preserve">    4.1.10.2中标人应提出用水用电申请；</w:t>
      </w:r>
      <w:r>
        <w:rPr>
          <w:rFonts w:hint="eastAsia" w:ascii="宋体" w:hAnsi="宋体"/>
          <w:sz w:val="24"/>
          <w:u w:val="single"/>
        </w:rPr>
        <w:t>编制施工组织设计或施工方案，报监理、发包人审批同意后实施，施工所用的水、电费用参照《重庆市建设工程费用定额》CQFYDE-2018的有关规定扣除。</w:t>
      </w:r>
    </w:p>
    <w:p w14:paraId="549BD9BB">
      <w:pPr>
        <w:spacing w:line="500" w:lineRule="exact"/>
        <w:rPr>
          <w:rFonts w:ascii="宋体" w:hAnsi="宋体"/>
          <w:sz w:val="24"/>
        </w:rPr>
      </w:pPr>
      <w:r>
        <w:rPr>
          <w:rFonts w:hint="eastAsia" w:ascii="宋体" w:hAnsi="宋体"/>
          <w:sz w:val="24"/>
        </w:rPr>
        <w:t xml:space="preserve">    4.1.10.3做好施工场地的地下管线、建筑物、构筑物的保护工作。各施工地点要设立明显的标志。如承包人未履行上述义务造成人员、车辆伤害，建筑物、地下管线的损坏，由中标人承担所发生的一切费用。</w:t>
      </w:r>
    </w:p>
    <w:p w14:paraId="3FB55F2C">
      <w:pPr>
        <w:spacing w:line="500" w:lineRule="exact"/>
        <w:rPr>
          <w:rFonts w:ascii="宋体" w:hAnsi="宋体"/>
          <w:sz w:val="24"/>
        </w:rPr>
      </w:pPr>
      <w:r>
        <w:rPr>
          <w:rFonts w:hint="eastAsia" w:ascii="宋体" w:hAnsi="宋体"/>
          <w:sz w:val="24"/>
        </w:rPr>
        <w:t xml:space="preserve">    4.1.10.4承包人要遵守文明施工，遵守安全、环保、消防、保卫部门的有关规定，否则违章作业造成经济损失或责任，由承包人负责。</w:t>
      </w:r>
    </w:p>
    <w:p w14:paraId="2155DEA9">
      <w:pPr>
        <w:spacing w:line="500" w:lineRule="exact"/>
        <w:rPr>
          <w:rFonts w:ascii="宋体" w:hAnsi="宋体"/>
          <w:sz w:val="24"/>
        </w:rPr>
      </w:pPr>
      <w:r>
        <w:rPr>
          <w:rFonts w:hint="eastAsia" w:ascii="宋体" w:hAnsi="宋体"/>
          <w:sz w:val="24"/>
        </w:rPr>
        <w:t xml:space="preserve">    4.1.10.5工程施工结束，承包人应将剩余物资、材料和废品及时清除。工程竣工后，承包人应按发包人要求，限期将施工机具、器具、生活设施等物品及时移走。否则，发包人代为清除，其费用由承包人支付。</w:t>
      </w:r>
    </w:p>
    <w:p w14:paraId="7519C507">
      <w:pPr>
        <w:spacing w:line="500" w:lineRule="exact"/>
        <w:rPr>
          <w:rFonts w:ascii="宋体" w:hAnsi="宋体"/>
          <w:sz w:val="24"/>
        </w:rPr>
      </w:pPr>
      <w:r>
        <w:rPr>
          <w:rFonts w:hint="eastAsia" w:ascii="宋体" w:hAnsi="宋体"/>
          <w:sz w:val="24"/>
        </w:rPr>
        <w:t xml:space="preserve">    4.1.10.6承包人应建立完善的安全措施保证体系，发包人在施工过程中检查落实情况。</w:t>
      </w:r>
    </w:p>
    <w:p w14:paraId="3F22295B">
      <w:pPr>
        <w:spacing w:line="500" w:lineRule="exact"/>
        <w:rPr>
          <w:rFonts w:ascii="宋体" w:hAnsi="宋体"/>
          <w:sz w:val="24"/>
        </w:rPr>
      </w:pPr>
      <w:r>
        <w:rPr>
          <w:rFonts w:hint="eastAsia" w:ascii="宋体" w:hAnsi="宋体"/>
          <w:sz w:val="24"/>
        </w:rPr>
        <w:t xml:space="preserve">    4.1.10.10应提供计划、报表的名称及完成时间：工程总进度计划按本专用条款第10条约定执行。</w:t>
      </w:r>
    </w:p>
    <w:p w14:paraId="07743154">
      <w:pPr>
        <w:spacing w:line="500" w:lineRule="exact"/>
        <w:rPr>
          <w:rFonts w:ascii="宋体" w:hAnsi="宋体"/>
          <w:sz w:val="24"/>
        </w:rPr>
      </w:pPr>
      <w:r>
        <w:rPr>
          <w:rFonts w:hint="eastAsia" w:ascii="宋体" w:hAnsi="宋体"/>
          <w:sz w:val="24"/>
        </w:rPr>
        <w:t xml:space="preserve">    4.1.11承包人未能履行4.1.1-4.1.10款各项义务，造成发包人损失的，承包人赔偿发包人有关损失。</w:t>
      </w:r>
    </w:p>
    <w:p w14:paraId="5581484C">
      <w:pPr>
        <w:spacing w:line="500" w:lineRule="exact"/>
        <w:rPr>
          <w:rFonts w:ascii="宋体" w:hAnsi="宋体"/>
          <w:b/>
          <w:bCs/>
          <w:sz w:val="24"/>
        </w:rPr>
      </w:pPr>
      <w:r>
        <w:rPr>
          <w:rFonts w:hint="eastAsia" w:ascii="宋体" w:hAnsi="宋体"/>
          <w:b/>
          <w:bCs/>
          <w:sz w:val="24"/>
        </w:rPr>
        <w:t>4.2 履约担保</w:t>
      </w:r>
    </w:p>
    <w:p w14:paraId="5C47688A">
      <w:pPr>
        <w:snapToGrid w:val="0"/>
        <w:spacing w:line="360" w:lineRule="auto"/>
        <w:ind w:firstLine="480" w:firstLineChars="200"/>
        <w:rPr>
          <w:rFonts w:ascii="宋体" w:hAnsi="宋体"/>
          <w:sz w:val="24"/>
        </w:rPr>
      </w:pPr>
      <w:r>
        <w:rPr>
          <w:rFonts w:hint="eastAsia" w:ascii="宋体" w:hAnsi="宋体"/>
          <w:sz w:val="24"/>
        </w:rPr>
        <w:t>1、履约保证金的形式：银行转账。</w:t>
      </w:r>
    </w:p>
    <w:p w14:paraId="0EEED19C">
      <w:pPr>
        <w:snapToGrid w:val="0"/>
        <w:spacing w:line="360" w:lineRule="auto"/>
        <w:ind w:firstLine="480" w:firstLineChars="200"/>
        <w:rPr>
          <w:rFonts w:ascii="宋体" w:hAnsi="宋体"/>
          <w:sz w:val="24"/>
        </w:rPr>
      </w:pPr>
      <w:r>
        <w:rPr>
          <w:rFonts w:hint="eastAsia" w:ascii="宋体" w:hAnsi="宋体"/>
          <w:sz w:val="24"/>
        </w:rPr>
        <w:t>2、履约保证金的金额：中选金额的5﹪。</w:t>
      </w:r>
    </w:p>
    <w:p w14:paraId="32F0E780">
      <w:pPr>
        <w:snapToGrid w:val="0"/>
        <w:spacing w:line="360" w:lineRule="auto"/>
        <w:ind w:firstLine="480" w:firstLineChars="200"/>
        <w:rPr>
          <w:rFonts w:ascii="宋体" w:hAnsi="宋体"/>
          <w:sz w:val="24"/>
        </w:rPr>
      </w:pPr>
      <w:r>
        <w:rPr>
          <w:rFonts w:hint="eastAsia" w:ascii="宋体" w:hAnsi="宋体"/>
          <w:sz w:val="24"/>
        </w:rPr>
        <w:t>3、履约保证金提交的时间：</w:t>
      </w:r>
    </w:p>
    <w:p w14:paraId="528EDF29">
      <w:pPr>
        <w:snapToGrid w:val="0"/>
        <w:spacing w:line="360" w:lineRule="auto"/>
        <w:ind w:firstLine="480" w:firstLineChars="200"/>
        <w:rPr>
          <w:rFonts w:ascii="宋体" w:hAnsi="宋体"/>
          <w:sz w:val="24"/>
        </w:rPr>
      </w:pPr>
      <w:r>
        <w:rPr>
          <w:rFonts w:hint="eastAsia" w:ascii="宋体" w:hAnsi="宋体"/>
          <w:sz w:val="24"/>
        </w:rPr>
        <w:t>中选人在收到中选通知书后务必在7个工作日内缴清履约保证金并完成合同签订，否则比选人将取消其中选资格。</w:t>
      </w:r>
    </w:p>
    <w:p w14:paraId="03DDE847">
      <w:pPr>
        <w:snapToGrid w:val="0"/>
        <w:spacing w:line="360" w:lineRule="auto"/>
        <w:ind w:firstLine="480" w:firstLineChars="200"/>
        <w:rPr>
          <w:rFonts w:ascii="宋体" w:hAnsi="宋体"/>
          <w:sz w:val="24"/>
        </w:rPr>
      </w:pPr>
      <w:r>
        <w:rPr>
          <w:rFonts w:hint="eastAsia" w:ascii="宋体" w:hAnsi="宋体"/>
          <w:sz w:val="24"/>
        </w:rPr>
        <w:t>4、履约担保的期限：自提交履约担保之日起至竣工验收合格之日止。</w:t>
      </w:r>
    </w:p>
    <w:p w14:paraId="0947A9A0">
      <w:pPr>
        <w:snapToGrid w:val="0"/>
        <w:spacing w:line="360" w:lineRule="auto"/>
        <w:ind w:firstLine="480" w:firstLineChars="200"/>
        <w:rPr>
          <w:rFonts w:ascii="宋体" w:hAnsi="宋体"/>
          <w:sz w:val="24"/>
        </w:rPr>
      </w:pPr>
      <w:r>
        <w:rPr>
          <w:rFonts w:hint="eastAsia" w:ascii="宋体" w:hAnsi="宋体"/>
          <w:sz w:val="24"/>
        </w:rPr>
        <w:t>5、履约保证金的退还：工程竣工验收合格后14天内无息退还。</w:t>
      </w:r>
    </w:p>
    <w:p w14:paraId="31F25447">
      <w:pPr>
        <w:snapToGrid w:val="0"/>
        <w:spacing w:line="360" w:lineRule="auto"/>
        <w:ind w:firstLine="480" w:firstLineChars="200"/>
        <w:rPr>
          <w:rFonts w:ascii="宋体" w:hAnsi="宋体"/>
          <w:sz w:val="24"/>
        </w:rPr>
      </w:pPr>
      <w:r>
        <w:rPr>
          <w:rFonts w:hint="eastAsia" w:ascii="宋体" w:hAnsi="宋体"/>
          <w:sz w:val="24"/>
        </w:rPr>
        <w:t>本款补充：</w:t>
      </w:r>
    </w:p>
    <w:p w14:paraId="4886E6F9">
      <w:pPr>
        <w:snapToGrid w:val="0"/>
        <w:spacing w:line="360" w:lineRule="auto"/>
        <w:ind w:firstLine="480" w:firstLineChars="200"/>
        <w:rPr>
          <w:rFonts w:ascii="宋体" w:hAnsi="宋体"/>
          <w:sz w:val="24"/>
        </w:rPr>
      </w:pPr>
      <w:r>
        <w:rPr>
          <w:rFonts w:hint="eastAsia" w:ascii="宋体" w:hAnsi="宋体"/>
          <w:sz w:val="24"/>
        </w:rPr>
        <w:t>低价风险担保</w:t>
      </w:r>
    </w:p>
    <w:p w14:paraId="053D8CCD">
      <w:pPr>
        <w:snapToGrid w:val="0"/>
        <w:spacing w:line="360" w:lineRule="auto"/>
        <w:ind w:firstLine="480" w:firstLineChars="200"/>
        <w:rPr>
          <w:rFonts w:ascii="宋体" w:hAnsi="宋体" w:cs="宋体"/>
          <w:sz w:val="24"/>
        </w:rPr>
      </w:pPr>
      <w:r>
        <w:rPr>
          <w:rFonts w:hint="eastAsia" w:ascii="宋体" w:hAnsi="宋体" w:cs="宋体"/>
          <w:sz w:val="24"/>
        </w:rPr>
        <w:t>承包人提供低价风险担保的情形：采用经评审的最低投标价法的项目投标报价低于最高限价85%时。</w:t>
      </w:r>
    </w:p>
    <w:p w14:paraId="4DD2715D">
      <w:pPr>
        <w:snapToGrid w:val="0"/>
        <w:spacing w:line="360" w:lineRule="auto"/>
        <w:ind w:firstLine="480" w:firstLineChars="200"/>
        <w:rPr>
          <w:rFonts w:ascii="宋体" w:hAnsi="宋体" w:cs="宋体"/>
          <w:sz w:val="24"/>
        </w:rPr>
      </w:pPr>
      <w:r>
        <w:rPr>
          <w:rFonts w:hint="eastAsia" w:ascii="宋体" w:hAnsi="宋体" w:cs="宋体"/>
          <w:sz w:val="24"/>
        </w:rPr>
        <w:t>承包人提供低价风险担保的形式、金额及期限：</w:t>
      </w:r>
    </w:p>
    <w:p w14:paraId="4913A6D4">
      <w:pPr>
        <w:snapToGrid w:val="0"/>
        <w:spacing w:line="360" w:lineRule="auto"/>
        <w:ind w:firstLine="480" w:firstLineChars="200"/>
        <w:rPr>
          <w:rFonts w:ascii="宋体" w:hAnsi="宋体" w:cs="宋体"/>
          <w:sz w:val="24"/>
        </w:rPr>
      </w:pPr>
      <w:r>
        <w:rPr>
          <w:rFonts w:hint="eastAsia" w:ascii="宋体" w:hAnsi="宋体" w:cs="宋体"/>
          <w:sz w:val="24"/>
        </w:rPr>
        <w:t>（1）低价风险担保的形式：现金或银行保函或现金+银行保函的组合；采用保函形式的，保函必须为不可撤销且见索即付；</w:t>
      </w:r>
    </w:p>
    <w:p w14:paraId="34FA68DD">
      <w:pPr>
        <w:snapToGrid w:val="0"/>
        <w:spacing w:line="360" w:lineRule="auto"/>
        <w:ind w:firstLine="480" w:firstLineChars="200"/>
        <w:rPr>
          <w:rFonts w:ascii="宋体" w:hAnsi="宋体" w:cs="宋体"/>
          <w:sz w:val="24"/>
        </w:rPr>
      </w:pPr>
      <w:r>
        <w:rPr>
          <w:rFonts w:hint="eastAsia" w:ascii="宋体" w:hAnsi="宋体" w:cs="宋体"/>
          <w:sz w:val="24"/>
        </w:rPr>
        <w:t>（2）低价风险担保的金额：（最高限价×85%-中标价）×3，且最高不超过最高限价的85%；</w:t>
      </w:r>
    </w:p>
    <w:p w14:paraId="43CB55C2">
      <w:pPr>
        <w:snapToGrid w:val="0"/>
        <w:spacing w:line="360" w:lineRule="auto"/>
        <w:ind w:firstLine="480" w:firstLineChars="200"/>
        <w:rPr>
          <w:rFonts w:ascii="宋体" w:hAnsi="宋体" w:cs="宋体"/>
          <w:sz w:val="24"/>
        </w:rPr>
      </w:pPr>
      <w:r>
        <w:rPr>
          <w:rFonts w:hint="eastAsia" w:ascii="宋体" w:hAnsi="宋体" w:cs="宋体"/>
          <w:sz w:val="24"/>
        </w:rPr>
        <w:t>（3）低价风险担保的提交时间：与履约保证金同时缴纳；</w:t>
      </w:r>
    </w:p>
    <w:p w14:paraId="66BE98B8">
      <w:pPr>
        <w:snapToGrid w:val="0"/>
        <w:spacing w:line="360" w:lineRule="auto"/>
        <w:ind w:firstLine="480" w:firstLineChars="200"/>
        <w:rPr>
          <w:rFonts w:ascii="宋体" w:hAnsi="宋体" w:cs="宋体"/>
          <w:sz w:val="24"/>
        </w:rPr>
      </w:pPr>
      <w:r>
        <w:rPr>
          <w:rFonts w:hint="eastAsia" w:ascii="宋体" w:hAnsi="宋体" w:cs="宋体"/>
          <w:sz w:val="24"/>
        </w:rPr>
        <w:t>（4）低价风险担保的期限：自低价风险担保生效之日起至竣工验收合格之日止。</w:t>
      </w:r>
    </w:p>
    <w:p w14:paraId="4714BD2A">
      <w:pPr>
        <w:snapToGrid w:val="0"/>
        <w:spacing w:line="360" w:lineRule="auto"/>
        <w:ind w:firstLine="480" w:firstLineChars="200"/>
        <w:rPr>
          <w:rFonts w:ascii="宋体" w:hAnsi="宋体"/>
          <w:sz w:val="24"/>
        </w:rPr>
      </w:pPr>
      <w:r>
        <w:rPr>
          <w:rFonts w:hint="eastAsia" w:ascii="宋体" w:hAnsi="宋体" w:cs="宋体"/>
          <w:sz w:val="24"/>
        </w:rPr>
        <w:t>低价风险担保的退还时间：采用现金担保的，工程竣工验收合格后14天内无息退还；采用银行保函的，工程竣工验收合格后14天内退还</w:t>
      </w:r>
      <w:r>
        <w:rPr>
          <w:rFonts w:hint="eastAsia" w:ascii="宋体" w:hAnsi="宋体"/>
          <w:sz w:val="24"/>
        </w:rPr>
        <w:t>。</w:t>
      </w:r>
    </w:p>
    <w:p w14:paraId="72E89FD6">
      <w:pPr>
        <w:spacing w:line="500" w:lineRule="exact"/>
        <w:rPr>
          <w:rFonts w:ascii="宋体" w:hAnsi="宋体"/>
          <w:b/>
          <w:bCs/>
          <w:sz w:val="24"/>
        </w:rPr>
      </w:pPr>
      <w:r>
        <w:rPr>
          <w:rFonts w:hint="eastAsia" w:ascii="宋体" w:hAnsi="宋体"/>
          <w:b/>
          <w:bCs/>
          <w:sz w:val="24"/>
        </w:rPr>
        <w:t>4.3 分包</w:t>
      </w:r>
    </w:p>
    <w:p w14:paraId="6B9CB9C1">
      <w:pPr>
        <w:spacing w:line="500" w:lineRule="exact"/>
        <w:rPr>
          <w:rFonts w:ascii="宋体" w:hAnsi="宋体"/>
          <w:sz w:val="24"/>
        </w:rPr>
      </w:pPr>
      <w:r>
        <w:rPr>
          <w:rFonts w:hint="eastAsia" w:ascii="宋体" w:hAnsi="宋体"/>
          <w:sz w:val="24"/>
        </w:rPr>
        <w:t xml:space="preserve">    4.3.2  分包的内容</w:t>
      </w:r>
    </w:p>
    <w:p w14:paraId="6055AC76">
      <w:pPr>
        <w:spacing w:line="500" w:lineRule="exact"/>
        <w:rPr>
          <w:rFonts w:ascii="宋体" w:hAnsi="宋体"/>
          <w:sz w:val="24"/>
        </w:rPr>
      </w:pPr>
      <w:r>
        <w:rPr>
          <w:rFonts w:hint="eastAsia" w:ascii="宋体" w:hAnsi="宋体"/>
          <w:sz w:val="24"/>
        </w:rPr>
        <w:t xml:space="preserve">    不允许分包。</w:t>
      </w:r>
    </w:p>
    <w:p w14:paraId="469416FA">
      <w:pPr>
        <w:spacing w:line="500" w:lineRule="exact"/>
        <w:rPr>
          <w:rFonts w:ascii="宋体" w:hAnsi="宋体"/>
          <w:b/>
          <w:bCs/>
          <w:sz w:val="24"/>
        </w:rPr>
      </w:pPr>
      <w:r>
        <w:rPr>
          <w:rFonts w:hint="eastAsia" w:ascii="宋体" w:hAnsi="宋体"/>
          <w:b/>
          <w:bCs/>
          <w:sz w:val="24"/>
        </w:rPr>
        <w:t>5.1  承包人提供的材料和工程设备</w:t>
      </w:r>
    </w:p>
    <w:p w14:paraId="3B84D781">
      <w:pPr>
        <w:spacing w:line="500" w:lineRule="exact"/>
        <w:rPr>
          <w:rFonts w:ascii="宋体" w:hAnsi="宋体"/>
          <w:sz w:val="24"/>
        </w:rPr>
      </w:pPr>
      <w:r>
        <w:rPr>
          <w:rFonts w:hint="eastAsia" w:ascii="宋体" w:hAnsi="宋体"/>
          <w:sz w:val="24"/>
        </w:rPr>
        <w:t xml:space="preserve">    5.1.1  承包人负责采购、运输和保管的材料、工程设备：所有进场材料、设备质量应符合国家现行质量验收标准，符合设计要求，所有材料设备必须经发包人确认后才能进场。对未按上述要求采购、进场的材料、设备，发包人将拒绝用于本工程，并要求承包人自行无偿清退出场。由此造成的损失，概由承包人承担。</w:t>
      </w:r>
    </w:p>
    <w:p w14:paraId="596B3C67">
      <w:pPr>
        <w:spacing w:line="500" w:lineRule="exact"/>
        <w:rPr>
          <w:rFonts w:ascii="宋体" w:hAnsi="宋体"/>
          <w:sz w:val="24"/>
        </w:rPr>
      </w:pPr>
      <w:r>
        <w:rPr>
          <w:rFonts w:hint="eastAsia" w:ascii="宋体" w:hAnsi="宋体"/>
          <w:sz w:val="24"/>
        </w:rPr>
        <w:t xml:space="preserve">    5.1.2  承包人报送监理人审批的时间：材料采购7日前报送采购计划予发包人。 </w:t>
      </w:r>
    </w:p>
    <w:p w14:paraId="1D2349FD">
      <w:pPr>
        <w:tabs>
          <w:tab w:val="left" w:pos="426"/>
        </w:tabs>
        <w:spacing w:line="500" w:lineRule="exact"/>
        <w:rPr>
          <w:rFonts w:ascii="宋体" w:hAnsi="宋体"/>
          <w:sz w:val="24"/>
        </w:rPr>
      </w:pPr>
      <w:r>
        <w:rPr>
          <w:rFonts w:hint="eastAsia" w:ascii="宋体" w:hAnsi="宋体"/>
          <w:sz w:val="24"/>
        </w:rPr>
        <w:t xml:space="preserve">    5.1.4本过程中承包人选用材料的品牌（厂家）的产品，应在采购前7日内将所采购材料（设备）的厂家、技术参数、品牌、质量等级等指标通知发包人，发包人收到承包人的通知后3日内予以确认。</w:t>
      </w:r>
    </w:p>
    <w:p w14:paraId="2075D4AB">
      <w:pPr>
        <w:tabs>
          <w:tab w:val="left" w:pos="426"/>
        </w:tabs>
        <w:spacing w:line="500" w:lineRule="exact"/>
        <w:rPr>
          <w:rFonts w:ascii="宋体" w:hAnsi="宋体"/>
          <w:sz w:val="24"/>
        </w:rPr>
      </w:pPr>
      <w:r>
        <w:rPr>
          <w:rFonts w:hint="eastAsia" w:ascii="宋体" w:hAnsi="宋体"/>
          <w:sz w:val="24"/>
        </w:rPr>
        <w:t xml:space="preserve">    承包人在本工程装修施工图范围内使用的所有设备、材料等须为符合设计要求、技术标准、本合同中相关规定、国家相关规定及规范要求，须具备质量合格书、安全产品认证书（如需）等合格证明。现场参建各方共同对材料进行认质，发包人有权拒绝承包人提供的不满足现场使用要求的材料。</w:t>
      </w:r>
    </w:p>
    <w:p w14:paraId="0803C48A">
      <w:pPr>
        <w:tabs>
          <w:tab w:val="left" w:pos="426"/>
        </w:tabs>
        <w:spacing w:line="500" w:lineRule="exact"/>
        <w:rPr>
          <w:rFonts w:ascii="宋体" w:hAnsi="宋体"/>
          <w:sz w:val="24"/>
        </w:rPr>
      </w:pPr>
      <w:r>
        <w:rPr>
          <w:rFonts w:hint="eastAsia" w:ascii="宋体" w:hAnsi="宋体"/>
          <w:sz w:val="24"/>
        </w:rPr>
        <w:t xml:space="preserve">   承包人须严格按照施工图设计和国家、行业有关规定进行设备、材料采购，并提供相应的资料文件，包括但不限于：</w:t>
      </w:r>
    </w:p>
    <w:p w14:paraId="785755B4">
      <w:pPr>
        <w:tabs>
          <w:tab w:val="left" w:pos="426"/>
        </w:tabs>
        <w:spacing w:line="500" w:lineRule="exact"/>
        <w:rPr>
          <w:rFonts w:ascii="宋体" w:hAnsi="宋体"/>
          <w:sz w:val="24"/>
        </w:rPr>
      </w:pPr>
      <w:r>
        <w:rPr>
          <w:rFonts w:hint="eastAsia" w:ascii="宋体" w:hAnsi="宋体"/>
          <w:sz w:val="24"/>
        </w:rPr>
        <w:t xml:space="preserve">    （1）产品合格证明、型号证书、市场准入证明、生产许可证，产品质量承诺书、产品质保期售后服务承诺等。</w:t>
      </w:r>
    </w:p>
    <w:p w14:paraId="41CB34A3">
      <w:pPr>
        <w:tabs>
          <w:tab w:val="left" w:pos="426"/>
        </w:tabs>
        <w:spacing w:line="500" w:lineRule="exact"/>
        <w:rPr>
          <w:rFonts w:ascii="宋体" w:hAnsi="宋体"/>
          <w:sz w:val="24"/>
        </w:rPr>
      </w:pPr>
      <w:r>
        <w:rPr>
          <w:rFonts w:hint="eastAsia" w:ascii="宋体" w:hAnsi="宋体"/>
          <w:sz w:val="24"/>
        </w:rPr>
        <w:t xml:space="preserve">    （2）产品（商标）标识、产品质量保证文件、产品使用说明书、防伪说明。</w:t>
      </w:r>
    </w:p>
    <w:p w14:paraId="16720B16">
      <w:pPr>
        <w:tabs>
          <w:tab w:val="left" w:pos="426"/>
        </w:tabs>
        <w:spacing w:line="500" w:lineRule="exact"/>
        <w:rPr>
          <w:rFonts w:ascii="宋体" w:hAnsi="宋体"/>
          <w:sz w:val="24"/>
        </w:rPr>
      </w:pPr>
      <w:r>
        <w:rPr>
          <w:rFonts w:hint="eastAsia" w:ascii="宋体" w:hAnsi="宋体"/>
          <w:sz w:val="24"/>
        </w:rPr>
        <w:t xml:space="preserve">    （3）具有相应资质的检测机构出具的有效期内的产品形式检验合格证明。</w:t>
      </w:r>
    </w:p>
    <w:p w14:paraId="5B075013">
      <w:pPr>
        <w:tabs>
          <w:tab w:val="left" w:pos="426"/>
        </w:tabs>
        <w:spacing w:line="500" w:lineRule="exact"/>
        <w:rPr>
          <w:rFonts w:ascii="宋体" w:hAnsi="宋体"/>
          <w:sz w:val="24"/>
        </w:rPr>
      </w:pPr>
      <w:r>
        <w:rPr>
          <w:rFonts w:hint="eastAsia" w:ascii="宋体" w:hAnsi="宋体"/>
          <w:sz w:val="24"/>
        </w:rPr>
        <w:t xml:space="preserve">    （4）相应的产品标准或产品企业标准；有国家强制标准的，应符合国家强制标准。</w:t>
      </w:r>
    </w:p>
    <w:p w14:paraId="44122FCE">
      <w:pPr>
        <w:tabs>
          <w:tab w:val="left" w:pos="426"/>
        </w:tabs>
        <w:spacing w:line="500" w:lineRule="exact"/>
        <w:rPr>
          <w:rFonts w:ascii="宋体" w:hAnsi="宋体"/>
          <w:sz w:val="24"/>
        </w:rPr>
      </w:pPr>
      <w:r>
        <w:rPr>
          <w:rFonts w:hint="eastAsia" w:ascii="宋体" w:hAnsi="宋体"/>
          <w:sz w:val="24"/>
        </w:rPr>
        <w:t xml:space="preserve">     （5）属国家生产许可证或强制认证管理的产品，需提交有效期内生产许可证或强制认证证书。 </w:t>
      </w:r>
    </w:p>
    <w:p w14:paraId="38BF6261">
      <w:pPr>
        <w:spacing w:line="500" w:lineRule="exact"/>
        <w:rPr>
          <w:rFonts w:ascii="宋体" w:hAnsi="宋体"/>
          <w:sz w:val="24"/>
        </w:rPr>
      </w:pPr>
      <w:r>
        <w:rPr>
          <w:rFonts w:hint="eastAsia" w:ascii="宋体" w:hAnsi="宋体"/>
          <w:sz w:val="24"/>
        </w:rPr>
        <w:t xml:space="preserve">    招标范围内的材料，除特别约定外，投标人所报的材料均为结算价格（包括采购、运输、保管等费用）。</w:t>
      </w:r>
    </w:p>
    <w:p w14:paraId="2A4679AD">
      <w:pPr>
        <w:spacing w:line="500" w:lineRule="exact"/>
        <w:rPr>
          <w:rFonts w:ascii="宋体" w:hAnsi="宋体"/>
          <w:sz w:val="24"/>
        </w:rPr>
      </w:pPr>
      <w:r>
        <w:rPr>
          <w:rFonts w:hint="eastAsia" w:ascii="宋体" w:hAnsi="宋体"/>
          <w:sz w:val="24"/>
        </w:rPr>
        <w:t xml:space="preserve">    未计价材料价格由投标人根据市场行情自行报价，中标后不作调整。</w:t>
      </w:r>
    </w:p>
    <w:p w14:paraId="2E97D9A8">
      <w:pPr>
        <w:spacing w:line="500" w:lineRule="exact"/>
        <w:rPr>
          <w:rFonts w:ascii="宋体" w:hAnsi="宋体"/>
          <w:b/>
          <w:bCs/>
          <w:sz w:val="24"/>
        </w:rPr>
      </w:pPr>
      <w:r>
        <w:rPr>
          <w:rFonts w:hint="eastAsia" w:ascii="宋体" w:hAnsi="宋体"/>
          <w:b/>
          <w:bCs/>
          <w:sz w:val="24"/>
        </w:rPr>
        <w:t>5.2  发包人提供的材料和工程设备</w:t>
      </w:r>
    </w:p>
    <w:p w14:paraId="47510BAB">
      <w:pPr>
        <w:spacing w:line="500" w:lineRule="exact"/>
        <w:rPr>
          <w:rFonts w:ascii="宋体" w:hAnsi="宋体"/>
          <w:sz w:val="24"/>
        </w:rPr>
      </w:pPr>
      <w:r>
        <w:rPr>
          <w:rFonts w:hint="eastAsia" w:ascii="宋体" w:hAnsi="宋体"/>
          <w:sz w:val="24"/>
        </w:rPr>
        <w:t xml:space="preserve">    5.2.1 材料的名称、规格、数量和价格：</w:t>
      </w:r>
      <w:r>
        <w:rPr>
          <w:rFonts w:hint="eastAsia" w:ascii="宋体" w:hAnsi="宋体"/>
          <w:sz w:val="24"/>
          <w:u w:val="single"/>
        </w:rPr>
        <w:t xml:space="preserve">无  </w:t>
      </w:r>
      <w:r>
        <w:rPr>
          <w:rFonts w:hint="eastAsia" w:ascii="宋体" w:hAnsi="宋体"/>
          <w:sz w:val="24"/>
        </w:rPr>
        <w:t xml:space="preserve">           </w:t>
      </w:r>
    </w:p>
    <w:p w14:paraId="0A46C786">
      <w:pPr>
        <w:spacing w:line="500" w:lineRule="exact"/>
        <w:rPr>
          <w:rFonts w:ascii="宋体" w:hAnsi="宋体"/>
          <w:sz w:val="24"/>
        </w:rPr>
      </w:pPr>
      <w:r>
        <w:rPr>
          <w:rFonts w:hint="eastAsia" w:ascii="宋体" w:hAnsi="宋体"/>
          <w:sz w:val="24"/>
        </w:rPr>
        <w:t xml:space="preserve">    材料的交货方式、地点和日期：</w:t>
      </w:r>
      <w:r>
        <w:rPr>
          <w:rFonts w:hint="eastAsia" w:ascii="宋体" w:hAnsi="宋体"/>
          <w:sz w:val="24"/>
          <w:u w:val="single"/>
        </w:rPr>
        <w:t xml:space="preserve">无 </w:t>
      </w:r>
      <w:r>
        <w:rPr>
          <w:rFonts w:hint="eastAsia" w:ascii="宋体" w:hAnsi="宋体"/>
          <w:sz w:val="24"/>
        </w:rPr>
        <w:t xml:space="preserve">                    </w:t>
      </w:r>
    </w:p>
    <w:p w14:paraId="64BC1F7E">
      <w:pPr>
        <w:spacing w:line="500" w:lineRule="exact"/>
        <w:rPr>
          <w:rFonts w:ascii="宋体" w:hAnsi="宋体"/>
          <w:sz w:val="24"/>
        </w:rPr>
      </w:pPr>
      <w:r>
        <w:rPr>
          <w:rFonts w:hint="eastAsia" w:ascii="宋体" w:hAnsi="宋体"/>
          <w:sz w:val="24"/>
        </w:rPr>
        <w:t xml:space="preserve">    工程设备的名称、规格、数量和价格：</w:t>
      </w:r>
      <w:r>
        <w:rPr>
          <w:rFonts w:hint="eastAsia" w:ascii="宋体" w:hAnsi="宋体"/>
          <w:sz w:val="24"/>
          <w:u w:val="single"/>
        </w:rPr>
        <w:t>无</w:t>
      </w:r>
      <w:r>
        <w:rPr>
          <w:rFonts w:hint="eastAsia" w:ascii="宋体" w:hAnsi="宋体"/>
          <w:sz w:val="24"/>
        </w:rPr>
        <w:t xml:space="preserve">                      </w:t>
      </w:r>
    </w:p>
    <w:p w14:paraId="2CE07BE3">
      <w:pPr>
        <w:spacing w:line="500" w:lineRule="exact"/>
        <w:rPr>
          <w:rFonts w:ascii="宋体" w:hAnsi="宋体"/>
          <w:sz w:val="24"/>
        </w:rPr>
      </w:pPr>
      <w:r>
        <w:rPr>
          <w:rFonts w:hint="eastAsia" w:ascii="宋体" w:hAnsi="宋体"/>
          <w:sz w:val="24"/>
        </w:rPr>
        <w:t xml:space="preserve">    工程设备的交货方式、地点和日期：</w:t>
      </w:r>
      <w:r>
        <w:rPr>
          <w:rFonts w:hint="eastAsia" w:ascii="宋体" w:hAnsi="宋体"/>
          <w:sz w:val="24"/>
          <w:u w:val="single"/>
        </w:rPr>
        <w:t xml:space="preserve">无  </w:t>
      </w:r>
      <w:r>
        <w:rPr>
          <w:rFonts w:hint="eastAsia" w:ascii="宋体" w:hAnsi="宋体"/>
          <w:sz w:val="24"/>
        </w:rPr>
        <w:t xml:space="preserve">                    </w:t>
      </w:r>
    </w:p>
    <w:p w14:paraId="16BF653E">
      <w:pPr>
        <w:spacing w:line="500" w:lineRule="exact"/>
        <w:rPr>
          <w:rFonts w:ascii="宋体" w:hAnsi="宋体"/>
          <w:sz w:val="24"/>
        </w:rPr>
      </w:pPr>
      <w:r>
        <w:rPr>
          <w:rFonts w:hint="eastAsia" w:ascii="宋体" w:hAnsi="宋体"/>
          <w:sz w:val="24"/>
        </w:rPr>
        <w:t xml:space="preserve">    5.2.3  材料和工程设备的接收、运输与保管：</w:t>
      </w:r>
      <w:r>
        <w:rPr>
          <w:rFonts w:hint="eastAsia" w:ascii="宋体" w:hAnsi="宋体"/>
          <w:sz w:val="24"/>
          <w:u w:val="single"/>
        </w:rPr>
        <w:t>无</w:t>
      </w:r>
      <w:r>
        <w:rPr>
          <w:rFonts w:hint="eastAsia" w:ascii="宋体" w:hAnsi="宋体"/>
          <w:sz w:val="24"/>
        </w:rPr>
        <w:t xml:space="preserve">                   </w:t>
      </w:r>
    </w:p>
    <w:p w14:paraId="18EE24D5">
      <w:pPr>
        <w:spacing w:line="500" w:lineRule="exact"/>
        <w:rPr>
          <w:rFonts w:ascii="宋体" w:hAnsi="宋体"/>
          <w:sz w:val="24"/>
        </w:rPr>
      </w:pPr>
      <w:bookmarkStart w:id="418" w:name="_Toc442514369"/>
      <w:bookmarkStart w:id="419" w:name="_Toc446108029"/>
      <w:bookmarkStart w:id="420" w:name="_Toc361653989"/>
      <w:bookmarkStart w:id="421" w:name="_Toc410381406"/>
      <w:r>
        <w:rPr>
          <w:rFonts w:hint="eastAsia" w:ascii="宋体" w:hAnsi="宋体"/>
          <w:b/>
          <w:bCs/>
          <w:sz w:val="24"/>
        </w:rPr>
        <w:t>6.  施工设备和临时设施</w:t>
      </w:r>
      <w:bookmarkEnd w:id="418"/>
      <w:bookmarkEnd w:id="419"/>
      <w:bookmarkEnd w:id="420"/>
      <w:bookmarkEnd w:id="421"/>
    </w:p>
    <w:p w14:paraId="4DD97D9A">
      <w:pPr>
        <w:spacing w:line="500" w:lineRule="exact"/>
        <w:rPr>
          <w:rFonts w:ascii="宋体" w:hAnsi="宋体"/>
          <w:b/>
          <w:bCs/>
          <w:sz w:val="24"/>
        </w:rPr>
      </w:pPr>
      <w:r>
        <w:rPr>
          <w:rFonts w:hint="eastAsia" w:ascii="宋体" w:hAnsi="宋体"/>
          <w:b/>
          <w:bCs/>
          <w:sz w:val="24"/>
        </w:rPr>
        <w:t>6.1  承包人提供的施工设备和临时设施</w:t>
      </w:r>
    </w:p>
    <w:p w14:paraId="64C3D124">
      <w:pPr>
        <w:spacing w:line="500" w:lineRule="exact"/>
        <w:rPr>
          <w:rFonts w:ascii="宋体" w:hAnsi="宋体"/>
          <w:sz w:val="24"/>
        </w:rPr>
      </w:pPr>
      <w:r>
        <w:rPr>
          <w:rFonts w:hint="eastAsia" w:ascii="宋体" w:hAnsi="宋体"/>
          <w:sz w:val="24"/>
        </w:rPr>
        <w:t xml:space="preserve">    6.1.2  承包人承担修建临时设施费用的范围：</w:t>
      </w:r>
      <w:r>
        <w:rPr>
          <w:rFonts w:hint="eastAsia" w:ascii="宋体" w:hAnsi="宋体"/>
          <w:sz w:val="24"/>
          <w:u w:val="single"/>
        </w:rPr>
        <w:t>办理各项申请由承包人自行负责，发包人协助。承包人承担修建临时设施的费用，该笔费用已含在合同价款中不作调整。</w:t>
      </w:r>
    </w:p>
    <w:p w14:paraId="68D60A13">
      <w:pPr>
        <w:spacing w:line="500" w:lineRule="exact"/>
        <w:rPr>
          <w:rFonts w:ascii="宋体" w:hAnsi="宋体"/>
          <w:sz w:val="24"/>
        </w:rPr>
      </w:pPr>
      <w:r>
        <w:rPr>
          <w:rFonts w:hint="eastAsia" w:ascii="宋体" w:hAnsi="宋体"/>
          <w:sz w:val="24"/>
        </w:rPr>
        <w:t xml:space="preserve">    临时占地的申请：</w:t>
      </w:r>
      <w:r>
        <w:rPr>
          <w:rFonts w:hint="eastAsia" w:ascii="宋体" w:hAnsi="宋体"/>
          <w:sz w:val="24"/>
          <w:u w:val="single"/>
        </w:rPr>
        <w:t xml:space="preserve">承包人自行负责   </w:t>
      </w:r>
      <w:r>
        <w:rPr>
          <w:rFonts w:hint="eastAsia" w:ascii="宋体" w:hAnsi="宋体"/>
          <w:sz w:val="24"/>
        </w:rPr>
        <w:t xml:space="preserve">                </w:t>
      </w:r>
    </w:p>
    <w:p w14:paraId="0DDFB9D5">
      <w:pPr>
        <w:spacing w:line="500" w:lineRule="exact"/>
        <w:rPr>
          <w:rFonts w:ascii="宋体" w:hAnsi="宋体"/>
          <w:sz w:val="24"/>
        </w:rPr>
      </w:pPr>
      <w:r>
        <w:rPr>
          <w:rFonts w:hint="eastAsia" w:ascii="宋体" w:hAnsi="宋体"/>
          <w:sz w:val="24"/>
        </w:rPr>
        <w:t xml:space="preserve">    临时占地相关费用：</w:t>
      </w:r>
      <w:r>
        <w:rPr>
          <w:rFonts w:hint="eastAsia" w:ascii="宋体" w:hAnsi="宋体"/>
          <w:sz w:val="24"/>
          <w:u w:val="single"/>
        </w:rPr>
        <w:t>临时占地的费用已包含到承包人报价中，承包人自行负责。</w:t>
      </w:r>
    </w:p>
    <w:p w14:paraId="3EE892C8">
      <w:pPr>
        <w:spacing w:line="500" w:lineRule="exact"/>
        <w:rPr>
          <w:rFonts w:ascii="宋体" w:hAnsi="宋体"/>
          <w:sz w:val="24"/>
        </w:rPr>
      </w:pPr>
      <w:r>
        <w:rPr>
          <w:rFonts w:hint="eastAsia" w:ascii="宋体" w:hAnsi="宋体"/>
          <w:sz w:val="24"/>
        </w:rPr>
        <w:t xml:space="preserve">    工程现场施工及生活用水、用电由发包人现场指定接入点，承包人自行敷设并承担相关费用（承包人在报价时此费用纳入投标总报价）。中标后不作调整。</w:t>
      </w:r>
    </w:p>
    <w:p w14:paraId="76670C33">
      <w:pPr>
        <w:spacing w:line="500" w:lineRule="exact"/>
        <w:rPr>
          <w:rFonts w:ascii="宋体" w:hAnsi="宋体"/>
          <w:sz w:val="24"/>
        </w:rPr>
      </w:pPr>
      <w:r>
        <w:rPr>
          <w:rFonts w:hint="eastAsia" w:ascii="宋体" w:hAnsi="宋体"/>
          <w:sz w:val="24"/>
        </w:rPr>
        <w:t xml:space="preserve">    施工过程中涉及的临设、环境保护、施工占道、交通组织（含临时交通标志）、地下管网探测及保护（保护按招标人要求实施，地下管网保护的地点、范围由投标人踏勘）等各种手续由承包人办理并承担相应费用。承包人在投标报价时应将该部分纳入总报价，中标后包干使用，不作调整。</w:t>
      </w:r>
    </w:p>
    <w:p w14:paraId="4CED22AB">
      <w:pPr>
        <w:spacing w:line="500" w:lineRule="exact"/>
        <w:rPr>
          <w:rFonts w:ascii="宋体" w:hAnsi="宋体"/>
          <w:sz w:val="24"/>
        </w:rPr>
      </w:pPr>
      <w:r>
        <w:rPr>
          <w:rFonts w:hint="eastAsia" w:ascii="宋体" w:hAnsi="宋体"/>
          <w:sz w:val="24"/>
        </w:rPr>
        <w:t xml:space="preserve">    成品保护由承包人负责，其费用由承包人自行现场踏勘后分析考虑，包含在投标报价中,中标后不作调整。</w:t>
      </w:r>
    </w:p>
    <w:p w14:paraId="5BF6B91F">
      <w:pPr>
        <w:spacing w:line="500" w:lineRule="exact"/>
        <w:rPr>
          <w:rFonts w:ascii="宋体" w:hAnsi="宋体"/>
          <w:sz w:val="24"/>
        </w:rPr>
      </w:pPr>
      <w:r>
        <w:rPr>
          <w:rFonts w:hint="eastAsia" w:ascii="宋体" w:hAnsi="宋体"/>
          <w:sz w:val="24"/>
        </w:rPr>
        <w:t xml:space="preserve">    承包人应根据现场条件、工期要求在报价时考虑是否自备柴油发电机、二次加压设备、消防水池等措施和施工用电用水的接入费用。</w:t>
      </w:r>
    </w:p>
    <w:p w14:paraId="360C45ED">
      <w:pPr>
        <w:spacing w:line="500" w:lineRule="exact"/>
        <w:rPr>
          <w:rFonts w:ascii="宋体" w:hAnsi="宋体"/>
          <w:b/>
          <w:bCs/>
          <w:sz w:val="24"/>
        </w:rPr>
      </w:pPr>
      <w:r>
        <w:rPr>
          <w:rFonts w:hint="eastAsia" w:ascii="宋体" w:hAnsi="宋体"/>
          <w:b/>
          <w:bCs/>
          <w:sz w:val="24"/>
        </w:rPr>
        <w:t>6.2  招标人提供的施工设备和临时设施</w:t>
      </w:r>
    </w:p>
    <w:p w14:paraId="6E28983E">
      <w:pPr>
        <w:spacing w:line="500" w:lineRule="exact"/>
        <w:rPr>
          <w:rFonts w:ascii="宋体" w:hAnsi="宋体"/>
          <w:sz w:val="24"/>
        </w:rPr>
      </w:pPr>
      <w:r>
        <w:rPr>
          <w:rFonts w:hint="eastAsia" w:ascii="宋体" w:hAnsi="宋体"/>
          <w:sz w:val="24"/>
        </w:rPr>
        <w:t xml:space="preserve">    无</w:t>
      </w:r>
    </w:p>
    <w:p w14:paraId="57E67A54">
      <w:pPr>
        <w:spacing w:line="500" w:lineRule="exact"/>
        <w:rPr>
          <w:rFonts w:ascii="宋体" w:hAnsi="宋体"/>
          <w:b/>
          <w:bCs/>
          <w:sz w:val="24"/>
        </w:rPr>
      </w:pPr>
      <w:bookmarkStart w:id="422" w:name="_Toc442514370"/>
      <w:bookmarkStart w:id="423" w:name="_Toc446108030"/>
      <w:bookmarkStart w:id="424" w:name="_Toc361653990"/>
      <w:bookmarkStart w:id="425" w:name="_Toc410381407"/>
      <w:r>
        <w:rPr>
          <w:rFonts w:hint="eastAsia" w:ascii="宋体" w:hAnsi="宋体"/>
          <w:b/>
          <w:bCs/>
          <w:sz w:val="24"/>
        </w:rPr>
        <w:t>7.  交通运输</w:t>
      </w:r>
      <w:bookmarkEnd w:id="422"/>
      <w:bookmarkEnd w:id="423"/>
      <w:bookmarkEnd w:id="424"/>
      <w:bookmarkEnd w:id="425"/>
    </w:p>
    <w:p w14:paraId="35E49AD5">
      <w:pPr>
        <w:spacing w:line="500" w:lineRule="exact"/>
        <w:rPr>
          <w:rFonts w:ascii="宋体" w:hAnsi="宋体"/>
          <w:b/>
          <w:bCs/>
          <w:sz w:val="24"/>
        </w:rPr>
      </w:pPr>
      <w:r>
        <w:rPr>
          <w:rFonts w:hint="eastAsia" w:ascii="宋体" w:hAnsi="宋体"/>
          <w:b/>
          <w:bCs/>
          <w:sz w:val="24"/>
        </w:rPr>
        <w:t>7.1 出入现场的权利</w:t>
      </w:r>
    </w:p>
    <w:p w14:paraId="1B5BF012">
      <w:pPr>
        <w:spacing w:line="500" w:lineRule="exact"/>
        <w:ind w:firstLine="480" w:firstLineChars="200"/>
        <w:rPr>
          <w:rFonts w:ascii="宋体" w:hAnsi="宋体" w:cs="宋体"/>
          <w:sz w:val="24"/>
        </w:rPr>
      </w:pPr>
      <w:r>
        <w:rPr>
          <w:rFonts w:hint="eastAsia" w:ascii="宋体" w:hAnsi="宋体" w:cs="宋体"/>
          <w:sz w:val="24"/>
        </w:rPr>
        <w:t>关于出入现场的权利的约定：由承包人自行调查、自行办理出入施工现场所需的场内外相关批准手续并取得全部权利，发包人配合。因承包人未合理预见所增加的费用和延误的工期由承包人承担。</w:t>
      </w:r>
    </w:p>
    <w:p w14:paraId="3F76369E">
      <w:pPr>
        <w:spacing w:line="500" w:lineRule="exact"/>
        <w:rPr>
          <w:rFonts w:ascii="宋体" w:hAnsi="宋体"/>
          <w:b/>
          <w:bCs/>
          <w:sz w:val="24"/>
        </w:rPr>
      </w:pPr>
      <w:r>
        <w:rPr>
          <w:rFonts w:hint="eastAsia" w:ascii="宋体" w:hAnsi="宋体"/>
          <w:b/>
          <w:bCs/>
          <w:sz w:val="24"/>
        </w:rPr>
        <w:t>7.2场内交通</w:t>
      </w:r>
    </w:p>
    <w:p w14:paraId="505B4DA8">
      <w:pPr>
        <w:spacing w:line="500" w:lineRule="exact"/>
        <w:ind w:firstLine="480" w:firstLineChars="200"/>
        <w:rPr>
          <w:rFonts w:ascii="宋体" w:hAnsi="宋体" w:cs="宋体"/>
          <w:sz w:val="24"/>
        </w:rPr>
      </w:pPr>
      <w:r>
        <w:rPr>
          <w:rFonts w:hint="eastAsia" w:ascii="宋体" w:hAnsi="宋体" w:cs="宋体"/>
          <w:sz w:val="24"/>
        </w:rPr>
        <w:t>关于场外交通和场内交通的边界的约定：施工场地内、外的交通情况由承包人自行调查，并根据本合同工程的规模及技术参数合理预见工程施工所需的进出施工现场的方式、手段、路径等。承包人承担相关手续费用的建设费用，相关费用（含加固、维修、改造、修复、赔偿、交通干扰、弃渣等）已包含在合同总价中。</w:t>
      </w:r>
    </w:p>
    <w:p w14:paraId="019C33F1">
      <w:pPr>
        <w:spacing w:line="500" w:lineRule="exact"/>
        <w:rPr>
          <w:rFonts w:ascii="宋体" w:hAnsi="宋体"/>
          <w:b/>
          <w:bCs/>
          <w:sz w:val="24"/>
        </w:rPr>
      </w:pPr>
      <w:r>
        <w:rPr>
          <w:rFonts w:hint="eastAsia" w:ascii="宋体" w:hAnsi="宋体"/>
          <w:b/>
          <w:bCs/>
          <w:sz w:val="24"/>
        </w:rPr>
        <w:t>7.4  超大件和超重件的运输</w:t>
      </w:r>
    </w:p>
    <w:p w14:paraId="2C47CF88">
      <w:pPr>
        <w:spacing w:line="500" w:lineRule="exact"/>
        <w:rPr>
          <w:rFonts w:ascii="宋体" w:hAnsi="宋体"/>
          <w:sz w:val="24"/>
        </w:rPr>
      </w:pPr>
      <w:r>
        <w:rPr>
          <w:rFonts w:hint="eastAsia" w:ascii="宋体" w:hAnsi="宋体"/>
          <w:sz w:val="24"/>
        </w:rPr>
        <w:t xml:space="preserve">    道路和桥梁临时新建改造费用和其他有关费用的承担：</w:t>
      </w:r>
      <w:r>
        <w:rPr>
          <w:rFonts w:hint="eastAsia" w:ascii="宋体" w:hAnsi="宋体"/>
          <w:sz w:val="24"/>
          <w:u w:val="single"/>
        </w:rPr>
        <w:t xml:space="preserve">无    </w:t>
      </w:r>
      <w:r>
        <w:rPr>
          <w:rFonts w:hint="eastAsia" w:ascii="宋体" w:hAnsi="宋体"/>
          <w:sz w:val="24"/>
        </w:rPr>
        <w:t xml:space="preserve">        </w:t>
      </w:r>
    </w:p>
    <w:p w14:paraId="48653127">
      <w:pPr>
        <w:spacing w:line="500" w:lineRule="exact"/>
        <w:rPr>
          <w:rFonts w:ascii="宋体" w:hAnsi="宋体"/>
          <w:b/>
          <w:bCs/>
          <w:sz w:val="24"/>
        </w:rPr>
      </w:pPr>
      <w:bookmarkStart w:id="426" w:name="_Toc442514371"/>
      <w:bookmarkStart w:id="427" w:name="_Toc361653991"/>
      <w:bookmarkStart w:id="428" w:name="_Toc446108031"/>
      <w:bookmarkStart w:id="429" w:name="_Toc410381408"/>
      <w:r>
        <w:rPr>
          <w:rFonts w:hint="eastAsia" w:ascii="宋体" w:hAnsi="宋体"/>
          <w:b/>
          <w:bCs/>
          <w:sz w:val="24"/>
        </w:rPr>
        <w:t>8.  测量放线</w:t>
      </w:r>
      <w:bookmarkEnd w:id="426"/>
      <w:bookmarkEnd w:id="427"/>
      <w:bookmarkEnd w:id="428"/>
      <w:bookmarkEnd w:id="429"/>
    </w:p>
    <w:p w14:paraId="6BE46050">
      <w:pPr>
        <w:spacing w:line="500" w:lineRule="exact"/>
        <w:rPr>
          <w:rFonts w:ascii="宋体" w:hAnsi="宋体"/>
          <w:b/>
          <w:bCs/>
          <w:sz w:val="24"/>
        </w:rPr>
      </w:pPr>
      <w:r>
        <w:rPr>
          <w:rFonts w:hint="eastAsia" w:ascii="宋体" w:hAnsi="宋体"/>
          <w:b/>
          <w:bCs/>
          <w:sz w:val="24"/>
        </w:rPr>
        <w:t>8.1  施工控制网</w:t>
      </w:r>
    </w:p>
    <w:p w14:paraId="421ED1E2">
      <w:pPr>
        <w:spacing w:line="500" w:lineRule="exact"/>
        <w:rPr>
          <w:rFonts w:ascii="宋体" w:hAnsi="宋体"/>
          <w:sz w:val="24"/>
          <w:u w:val="single"/>
        </w:rPr>
      </w:pPr>
      <w:r>
        <w:rPr>
          <w:rFonts w:hint="eastAsia" w:ascii="宋体" w:hAnsi="宋体"/>
          <w:sz w:val="24"/>
        </w:rPr>
        <w:t xml:space="preserve">    8.1.1  发包人提供测量基准点、基准线和水准点的期限：</w:t>
      </w:r>
      <w:r>
        <w:rPr>
          <w:rFonts w:hint="eastAsia" w:ascii="宋体" w:hAnsi="宋体"/>
          <w:sz w:val="24"/>
          <w:u w:val="single"/>
        </w:rPr>
        <w:t>开工7天内。</w:t>
      </w:r>
    </w:p>
    <w:p w14:paraId="2922F338">
      <w:pPr>
        <w:spacing w:line="500" w:lineRule="exact"/>
        <w:rPr>
          <w:rFonts w:ascii="宋体" w:hAnsi="宋体"/>
          <w:sz w:val="24"/>
        </w:rPr>
      </w:pPr>
      <w:r>
        <w:rPr>
          <w:rFonts w:hint="eastAsia" w:ascii="宋体" w:hAnsi="宋体"/>
          <w:sz w:val="24"/>
        </w:rPr>
        <w:t xml:space="preserve">    施工控制网的测设：</w:t>
      </w:r>
      <w:r>
        <w:rPr>
          <w:rFonts w:hint="eastAsia" w:ascii="宋体" w:hAnsi="宋体"/>
          <w:sz w:val="24"/>
          <w:u w:val="single"/>
        </w:rPr>
        <w:t>承包人自行承担。</w:t>
      </w:r>
      <w:r>
        <w:rPr>
          <w:rFonts w:hint="eastAsia" w:ascii="宋体" w:hAnsi="宋体"/>
          <w:sz w:val="24"/>
        </w:rPr>
        <w:t xml:space="preserve">                      </w:t>
      </w:r>
    </w:p>
    <w:p w14:paraId="3A88BD06">
      <w:pPr>
        <w:spacing w:line="500" w:lineRule="exact"/>
        <w:rPr>
          <w:rFonts w:ascii="宋体" w:hAnsi="宋体"/>
          <w:sz w:val="24"/>
        </w:rPr>
      </w:pPr>
      <w:r>
        <w:rPr>
          <w:rFonts w:hint="eastAsia" w:ascii="宋体" w:hAnsi="宋体"/>
          <w:sz w:val="24"/>
        </w:rPr>
        <w:t xml:space="preserve">    报监理人审批施工控制网资料的期限：</w:t>
      </w:r>
      <w:r>
        <w:rPr>
          <w:rFonts w:hint="eastAsia" w:ascii="宋体" w:hAnsi="宋体"/>
          <w:sz w:val="24"/>
          <w:u w:val="single"/>
        </w:rPr>
        <w:t>开工通知后3天。</w:t>
      </w:r>
      <w:r>
        <w:rPr>
          <w:rFonts w:hint="eastAsia" w:ascii="宋体" w:hAnsi="宋体"/>
          <w:sz w:val="24"/>
        </w:rPr>
        <w:t xml:space="preserve">    </w:t>
      </w:r>
    </w:p>
    <w:p w14:paraId="30087C7C">
      <w:pPr>
        <w:spacing w:line="500" w:lineRule="exact"/>
        <w:rPr>
          <w:rFonts w:ascii="宋体" w:hAnsi="宋体"/>
          <w:b/>
          <w:bCs/>
          <w:sz w:val="24"/>
        </w:rPr>
      </w:pPr>
      <w:bookmarkStart w:id="430" w:name="_Toc446108032"/>
      <w:bookmarkStart w:id="431" w:name="_Toc442514372"/>
      <w:bookmarkStart w:id="432" w:name="_Toc361653992"/>
      <w:bookmarkStart w:id="433" w:name="_Toc410381409"/>
      <w:r>
        <w:rPr>
          <w:rFonts w:hint="eastAsia" w:ascii="宋体" w:hAnsi="宋体"/>
          <w:b/>
          <w:bCs/>
          <w:sz w:val="24"/>
        </w:rPr>
        <w:t>9.  施工安全、治安保卫和环境保护</w:t>
      </w:r>
      <w:bookmarkEnd w:id="430"/>
      <w:bookmarkEnd w:id="431"/>
      <w:bookmarkEnd w:id="432"/>
      <w:bookmarkEnd w:id="433"/>
    </w:p>
    <w:p w14:paraId="55DBB41F">
      <w:pPr>
        <w:spacing w:line="500" w:lineRule="exact"/>
        <w:rPr>
          <w:rFonts w:ascii="宋体" w:hAnsi="宋体"/>
          <w:b/>
          <w:bCs/>
          <w:sz w:val="24"/>
        </w:rPr>
      </w:pPr>
      <w:r>
        <w:rPr>
          <w:rFonts w:hint="eastAsia" w:ascii="宋体" w:hAnsi="宋体"/>
          <w:b/>
          <w:bCs/>
          <w:sz w:val="24"/>
        </w:rPr>
        <w:t>9.1  发包人的施工安全责任</w:t>
      </w:r>
    </w:p>
    <w:p w14:paraId="2381A1E8">
      <w:pPr>
        <w:spacing w:line="500" w:lineRule="exact"/>
        <w:rPr>
          <w:rFonts w:ascii="宋体" w:hAnsi="宋体"/>
          <w:sz w:val="24"/>
        </w:rPr>
      </w:pPr>
      <w:r>
        <w:rPr>
          <w:rFonts w:hint="eastAsia" w:ascii="宋体" w:hAnsi="宋体"/>
          <w:sz w:val="24"/>
        </w:rPr>
        <w:t xml:space="preserve">    9.1.4  发包人应按照《重庆市建设工程安全生产监督管理办法》（渝建发〔2008〕177号）、《重庆市房屋建筑和市政基础设施工程现场文明施工标准》（渝建发〔2008〕169号）等相关规定履行好发包人的施工安全责任。</w:t>
      </w:r>
    </w:p>
    <w:p w14:paraId="2EB7A359">
      <w:pPr>
        <w:spacing w:line="500" w:lineRule="exact"/>
        <w:rPr>
          <w:rFonts w:ascii="宋体" w:hAnsi="宋体"/>
          <w:b/>
          <w:bCs/>
          <w:sz w:val="24"/>
        </w:rPr>
      </w:pPr>
      <w:r>
        <w:rPr>
          <w:rFonts w:hint="eastAsia" w:ascii="宋体" w:hAnsi="宋体"/>
          <w:b/>
          <w:bCs/>
          <w:sz w:val="24"/>
        </w:rPr>
        <w:t>9.2  承包人的施工安全责任</w:t>
      </w:r>
    </w:p>
    <w:p w14:paraId="225C433B">
      <w:pPr>
        <w:shd w:val="clear" w:color="FFFFFF" w:fill="auto"/>
        <w:autoSpaceDN w:val="0"/>
        <w:snapToGrid w:val="0"/>
        <w:spacing w:line="460" w:lineRule="exact"/>
        <w:ind w:firstLine="480"/>
        <w:jc w:val="left"/>
        <w:rPr>
          <w:rFonts w:ascii="宋体" w:hAnsi="宋体"/>
          <w:sz w:val="24"/>
        </w:rPr>
      </w:pPr>
      <w:r>
        <w:rPr>
          <w:rFonts w:hint="eastAsia" w:ascii="宋体" w:hAnsi="宋体"/>
          <w:sz w:val="24"/>
        </w:rPr>
        <w:t>9.2.8  承包人应按照《重庆市建设工程安全生产监督管理办法》（渝建发〔2008〕177号）等相关规定履行好承包人的施工安全责任，并且承担其施工安全的费用。承包人应根据本工程的特点对现场员工作好安全、文明施工教育。施工过程中，若出现任何安全事故均由承包人自行承担经济、法律及民事等一切责任，与发包人无关。施工期间，施工现场必须全天24小时有人值守。</w:t>
      </w:r>
    </w:p>
    <w:p w14:paraId="5D9B59BD">
      <w:pPr>
        <w:spacing w:line="500" w:lineRule="exact"/>
        <w:ind w:firstLine="489"/>
        <w:rPr>
          <w:rFonts w:ascii="宋体" w:hAnsi="宋体"/>
          <w:sz w:val="24"/>
        </w:rPr>
      </w:pPr>
      <w:r>
        <w:rPr>
          <w:rFonts w:hint="eastAsia" w:ascii="宋体" w:hAnsi="宋体"/>
          <w:sz w:val="24"/>
        </w:rPr>
        <w:t>为确保施工期间安全，合同签订三日内承包人到现场与发包人共同商定施工时序，发包人按此时序调整施工组织方案和施工计划。</w:t>
      </w:r>
    </w:p>
    <w:p w14:paraId="66252268">
      <w:pPr>
        <w:spacing w:line="500" w:lineRule="exact"/>
        <w:rPr>
          <w:rFonts w:ascii="宋体" w:hAnsi="宋体"/>
          <w:b/>
          <w:bCs/>
          <w:sz w:val="24"/>
        </w:rPr>
      </w:pPr>
      <w:r>
        <w:rPr>
          <w:rFonts w:hint="eastAsia" w:ascii="宋体" w:hAnsi="宋体"/>
          <w:b/>
          <w:bCs/>
          <w:sz w:val="24"/>
        </w:rPr>
        <w:t>9.3  治安保卫</w:t>
      </w:r>
    </w:p>
    <w:p w14:paraId="6CE71780">
      <w:pPr>
        <w:spacing w:line="500" w:lineRule="exact"/>
        <w:rPr>
          <w:rFonts w:ascii="宋体" w:hAnsi="宋体"/>
          <w:sz w:val="24"/>
          <w:u w:val="single"/>
        </w:rPr>
      </w:pPr>
      <w:r>
        <w:rPr>
          <w:rFonts w:hint="eastAsia" w:ascii="宋体" w:hAnsi="宋体"/>
          <w:sz w:val="24"/>
        </w:rPr>
        <w:t xml:space="preserve">    9.3.1  现场治安管理机构或联防组织的组建：</w:t>
      </w:r>
      <w:r>
        <w:rPr>
          <w:rFonts w:hint="eastAsia" w:ascii="宋体" w:hAnsi="宋体"/>
          <w:sz w:val="24"/>
          <w:u w:val="single"/>
        </w:rPr>
        <w:t xml:space="preserve">由承包人自行准备，并且承担其费用。  </w:t>
      </w:r>
    </w:p>
    <w:p w14:paraId="4A4266EF">
      <w:pPr>
        <w:spacing w:line="500" w:lineRule="exact"/>
        <w:rPr>
          <w:rFonts w:ascii="宋体" w:hAnsi="宋体"/>
          <w:sz w:val="24"/>
          <w:u w:val="single"/>
        </w:rPr>
      </w:pPr>
      <w:r>
        <w:rPr>
          <w:rFonts w:hint="eastAsia" w:ascii="宋体" w:hAnsi="宋体"/>
          <w:sz w:val="24"/>
        </w:rPr>
        <w:t xml:space="preserve">    9.3.3  施工场地治安管理计划和突发治安事件紧急预案的编制：</w:t>
      </w:r>
      <w:r>
        <w:rPr>
          <w:rFonts w:hint="eastAsia" w:ascii="宋体" w:hAnsi="宋体"/>
          <w:sz w:val="24"/>
          <w:u w:val="single"/>
        </w:rPr>
        <w:t>由承包人自行解决。</w:t>
      </w:r>
    </w:p>
    <w:p w14:paraId="0AE56CFC">
      <w:pPr>
        <w:spacing w:line="500" w:lineRule="exact"/>
        <w:rPr>
          <w:rFonts w:ascii="宋体" w:hAnsi="宋体"/>
          <w:b/>
          <w:bCs/>
          <w:sz w:val="24"/>
        </w:rPr>
      </w:pPr>
      <w:r>
        <w:rPr>
          <w:rFonts w:hint="eastAsia" w:ascii="宋体" w:hAnsi="宋体"/>
          <w:b/>
          <w:bCs/>
          <w:sz w:val="24"/>
        </w:rPr>
        <w:t>9.4  环境保护</w:t>
      </w:r>
    </w:p>
    <w:p w14:paraId="78354173">
      <w:pPr>
        <w:spacing w:line="500" w:lineRule="exact"/>
        <w:rPr>
          <w:rFonts w:ascii="宋体" w:hAnsi="宋体"/>
          <w:sz w:val="24"/>
        </w:rPr>
      </w:pPr>
      <w:r>
        <w:rPr>
          <w:rFonts w:hint="eastAsia" w:ascii="宋体" w:hAnsi="宋体"/>
          <w:sz w:val="24"/>
        </w:rPr>
        <w:t xml:space="preserve">    9.4.7 承包人应按照《房屋建筑和市政基础设施工程施工扬尘控制工作方案》（渝建发〔2009〕13号）、《重庆市房屋建筑和市政基础设施工程现场文明施工标准》（渝建发〔2008〕169号）等相关规定履行好施工扬尘控制、文明施工等责任。</w:t>
      </w:r>
    </w:p>
    <w:p w14:paraId="5D7761CD">
      <w:pPr>
        <w:spacing w:line="500" w:lineRule="exact"/>
        <w:rPr>
          <w:rFonts w:ascii="宋体" w:hAnsi="宋体"/>
          <w:b/>
          <w:bCs/>
          <w:sz w:val="24"/>
        </w:rPr>
      </w:pPr>
      <w:bookmarkStart w:id="434" w:name="_Toc442514373"/>
      <w:bookmarkStart w:id="435" w:name="_Toc446108033"/>
      <w:bookmarkStart w:id="436" w:name="_Toc410381410"/>
      <w:bookmarkStart w:id="437" w:name="_Toc361653993"/>
      <w:r>
        <w:rPr>
          <w:rFonts w:hint="eastAsia" w:ascii="宋体" w:hAnsi="宋体"/>
          <w:b/>
          <w:bCs/>
          <w:sz w:val="24"/>
        </w:rPr>
        <w:t>10.  进度计划</w:t>
      </w:r>
      <w:bookmarkEnd w:id="434"/>
      <w:bookmarkEnd w:id="435"/>
      <w:bookmarkEnd w:id="436"/>
      <w:bookmarkEnd w:id="437"/>
      <w:r>
        <w:rPr>
          <w:rFonts w:hint="eastAsia" w:ascii="宋体" w:hAnsi="宋体"/>
          <w:b/>
          <w:bCs/>
          <w:sz w:val="24"/>
        </w:rPr>
        <w:t xml:space="preserve"> </w:t>
      </w:r>
    </w:p>
    <w:p w14:paraId="5A2827B1">
      <w:pPr>
        <w:spacing w:line="500" w:lineRule="exact"/>
        <w:rPr>
          <w:rFonts w:ascii="宋体" w:hAnsi="宋体"/>
          <w:b/>
          <w:bCs/>
          <w:sz w:val="24"/>
        </w:rPr>
      </w:pPr>
      <w:r>
        <w:rPr>
          <w:rFonts w:hint="eastAsia" w:ascii="宋体" w:hAnsi="宋体"/>
          <w:b/>
          <w:bCs/>
          <w:sz w:val="24"/>
        </w:rPr>
        <w:t>10.1  合同进度计划</w:t>
      </w:r>
    </w:p>
    <w:p w14:paraId="6BE76A7C">
      <w:pPr>
        <w:spacing w:line="500" w:lineRule="exact"/>
        <w:ind w:firstLine="480" w:firstLineChars="200"/>
        <w:rPr>
          <w:rFonts w:ascii="宋体" w:hAnsi="宋体"/>
          <w:sz w:val="24"/>
        </w:rPr>
      </w:pPr>
      <w:r>
        <w:rPr>
          <w:rFonts w:hint="eastAsia" w:ascii="宋体" w:hAnsi="宋体"/>
          <w:sz w:val="24"/>
        </w:rPr>
        <w:t>承包人编制施工方案的内容：</w:t>
      </w:r>
      <w:r>
        <w:rPr>
          <w:rFonts w:hint="eastAsia" w:ascii="宋体" w:hAnsi="宋体"/>
          <w:sz w:val="24"/>
          <w:u w:val="single"/>
        </w:rPr>
        <w:t xml:space="preserve">按施工组织设计编制原则进行编制，并包含本合同约定的所有工程内容。 </w:t>
      </w:r>
      <w:r>
        <w:rPr>
          <w:rFonts w:hint="eastAsia" w:ascii="宋体" w:hAnsi="宋体"/>
          <w:sz w:val="24"/>
        </w:rPr>
        <w:t xml:space="preserve">       </w:t>
      </w:r>
    </w:p>
    <w:p w14:paraId="105B4A64">
      <w:pPr>
        <w:spacing w:line="500" w:lineRule="exact"/>
        <w:ind w:firstLine="480" w:firstLineChars="200"/>
        <w:rPr>
          <w:rFonts w:ascii="宋体" w:hAnsi="宋体"/>
          <w:sz w:val="24"/>
          <w:u w:val="single"/>
        </w:rPr>
      </w:pPr>
      <w:r>
        <w:rPr>
          <w:rFonts w:hint="eastAsia" w:ascii="宋体" w:hAnsi="宋体"/>
          <w:sz w:val="24"/>
        </w:rPr>
        <w:t>承包人，报送施工进度计划和施工方案的期限：</w:t>
      </w:r>
      <w:r>
        <w:rPr>
          <w:rFonts w:hint="eastAsia" w:ascii="宋体" w:hAnsi="宋体"/>
          <w:sz w:val="24"/>
          <w:u w:val="single"/>
        </w:rPr>
        <w:t>同</w:t>
      </w:r>
      <w:r>
        <w:rPr>
          <w:rFonts w:hint="eastAsia" w:ascii="宋体" w:hAnsi="宋体"/>
          <w:sz w:val="24"/>
          <w:u w:val="single"/>
          <w:lang w:val="en-US" w:eastAsia="zh-CN"/>
        </w:rPr>
        <w:t>竞争性比选</w:t>
      </w:r>
      <w:r>
        <w:rPr>
          <w:rFonts w:hint="eastAsia" w:ascii="宋体" w:hAnsi="宋体"/>
          <w:sz w:val="24"/>
          <w:u w:val="single"/>
        </w:rPr>
        <w:t xml:space="preserve">文件，应于工程开工3天前向发包人报送。 </w:t>
      </w:r>
    </w:p>
    <w:p w14:paraId="1466D8F0">
      <w:pPr>
        <w:spacing w:line="500" w:lineRule="exact"/>
        <w:ind w:firstLine="480" w:firstLineChars="200"/>
        <w:rPr>
          <w:rFonts w:ascii="宋体" w:hAnsi="宋体"/>
          <w:sz w:val="24"/>
          <w:u w:val="single"/>
        </w:rPr>
      </w:pPr>
      <w:r>
        <w:rPr>
          <w:rFonts w:hint="eastAsia" w:ascii="宋体" w:hAnsi="宋体"/>
          <w:sz w:val="24"/>
        </w:rPr>
        <w:t>监理人批复施工进度计划和施工方案的期限：</w:t>
      </w:r>
      <w:r>
        <w:rPr>
          <w:rFonts w:hint="eastAsia" w:ascii="宋体" w:hAnsi="宋体"/>
          <w:sz w:val="24"/>
          <w:u w:val="single"/>
        </w:rPr>
        <w:t xml:space="preserve"> 监理人应在收到有关文件3个日历日内批复或提出修改意见。</w:t>
      </w:r>
    </w:p>
    <w:p w14:paraId="09C38A90">
      <w:pPr>
        <w:spacing w:line="500" w:lineRule="exact"/>
        <w:rPr>
          <w:rFonts w:ascii="宋体" w:hAnsi="宋体"/>
          <w:b/>
          <w:bCs/>
          <w:sz w:val="24"/>
        </w:rPr>
      </w:pPr>
      <w:bookmarkStart w:id="438" w:name="_Toc442514374"/>
      <w:bookmarkStart w:id="439" w:name="_Toc410381411"/>
      <w:bookmarkStart w:id="440" w:name="_Toc361653994"/>
      <w:bookmarkStart w:id="441" w:name="_Toc446108034"/>
      <w:r>
        <w:rPr>
          <w:rFonts w:hint="eastAsia" w:ascii="宋体" w:hAnsi="宋体"/>
          <w:b/>
          <w:bCs/>
          <w:sz w:val="24"/>
        </w:rPr>
        <w:t>11.  开工和竣工</w:t>
      </w:r>
      <w:bookmarkEnd w:id="438"/>
      <w:bookmarkEnd w:id="439"/>
      <w:bookmarkEnd w:id="440"/>
      <w:bookmarkEnd w:id="441"/>
    </w:p>
    <w:p w14:paraId="70FCA4DD">
      <w:pPr>
        <w:spacing w:line="500" w:lineRule="exact"/>
        <w:rPr>
          <w:rFonts w:ascii="宋体" w:hAnsi="宋体"/>
          <w:b/>
          <w:bCs/>
          <w:sz w:val="24"/>
        </w:rPr>
      </w:pPr>
      <w:r>
        <w:rPr>
          <w:rFonts w:hint="eastAsia" w:ascii="宋体" w:hAnsi="宋体"/>
          <w:b/>
          <w:bCs/>
          <w:sz w:val="24"/>
        </w:rPr>
        <w:t>11.4  异常恶劣的气候条件</w:t>
      </w:r>
    </w:p>
    <w:p w14:paraId="656AFC2E">
      <w:pPr>
        <w:spacing w:line="500" w:lineRule="exact"/>
        <w:rPr>
          <w:rFonts w:ascii="宋体" w:hAnsi="宋体"/>
          <w:sz w:val="24"/>
          <w:u w:val="single"/>
        </w:rPr>
      </w:pPr>
      <w:r>
        <w:rPr>
          <w:rFonts w:hint="eastAsia" w:ascii="宋体" w:hAnsi="宋体"/>
          <w:sz w:val="24"/>
        </w:rPr>
        <w:t xml:space="preserve">    异常恶劣的气候条件的范围：  </w:t>
      </w:r>
      <w:r>
        <w:rPr>
          <w:rFonts w:hint="eastAsia" w:ascii="宋体" w:hAnsi="宋体"/>
          <w:sz w:val="24"/>
          <w:u w:val="single"/>
        </w:rPr>
        <w:t>按重庆市气象部门公布的50年一遇的最大降水(雪)量等资料确认。</w:t>
      </w:r>
    </w:p>
    <w:p w14:paraId="46081724">
      <w:pPr>
        <w:spacing w:line="500" w:lineRule="exact"/>
        <w:rPr>
          <w:rFonts w:ascii="宋体" w:hAnsi="宋体"/>
          <w:b/>
          <w:bCs/>
          <w:sz w:val="24"/>
        </w:rPr>
      </w:pPr>
      <w:r>
        <w:rPr>
          <w:rFonts w:hint="eastAsia" w:ascii="宋体" w:hAnsi="宋体"/>
          <w:b/>
          <w:bCs/>
          <w:sz w:val="24"/>
        </w:rPr>
        <w:t>11.5承包人的工期延误</w:t>
      </w:r>
    </w:p>
    <w:p w14:paraId="206672B7">
      <w:pPr>
        <w:adjustRightInd w:val="0"/>
        <w:snapToGrid w:val="0"/>
        <w:spacing w:line="360" w:lineRule="auto"/>
        <w:rPr>
          <w:rFonts w:ascii="宋体" w:hAnsi="宋体"/>
          <w:sz w:val="24"/>
        </w:rPr>
      </w:pPr>
      <w:r>
        <w:rPr>
          <w:rFonts w:hint="eastAsia" w:ascii="宋体" w:hAnsi="宋体"/>
          <w:sz w:val="24"/>
        </w:rPr>
        <w:t xml:space="preserve">     逾期竣工违约金的计算方法： </w:t>
      </w:r>
      <w:r>
        <w:rPr>
          <w:rFonts w:hint="eastAsia" w:ascii="宋体" w:hAnsi="宋体"/>
          <w:sz w:val="24"/>
          <w:u w:val="single"/>
        </w:rPr>
        <w:t xml:space="preserve">  逾期天数 ×1000元/天。</w:t>
      </w:r>
      <w:r>
        <w:rPr>
          <w:rFonts w:hint="eastAsia" w:ascii="宋体" w:hAnsi="宋体"/>
          <w:sz w:val="24"/>
        </w:rPr>
        <w:t xml:space="preserve">             </w:t>
      </w:r>
    </w:p>
    <w:p w14:paraId="17EAE5B5">
      <w:pPr>
        <w:adjustRightInd w:val="0"/>
        <w:snapToGrid w:val="0"/>
        <w:spacing w:line="360" w:lineRule="auto"/>
        <w:rPr>
          <w:rFonts w:ascii="宋体" w:hAnsi="宋体"/>
          <w:sz w:val="24"/>
        </w:rPr>
      </w:pPr>
      <w:r>
        <w:rPr>
          <w:rFonts w:hint="eastAsia" w:ascii="宋体" w:hAnsi="宋体"/>
          <w:sz w:val="24"/>
        </w:rPr>
        <w:t xml:space="preserve">     逾期竣工违约金的限额：</w:t>
      </w:r>
      <w:r>
        <w:rPr>
          <w:rFonts w:hint="eastAsia" w:ascii="宋体" w:hAnsi="宋体"/>
          <w:sz w:val="24"/>
          <w:u w:val="single"/>
        </w:rPr>
        <w:t xml:space="preserve">     合同总价5%。         </w:t>
      </w:r>
      <w:r>
        <w:rPr>
          <w:rFonts w:hint="eastAsia" w:ascii="宋体" w:hAnsi="宋体"/>
          <w:sz w:val="24"/>
        </w:rPr>
        <w:t xml:space="preserve">                        </w:t>
      </w:r>
    </w:p>
    <w:p w14:paraId="34FB5528">
      <w:pPr>
        <w:spacing w:line="500" w:lineRule="exact"/>
        <w:rPr>
          <w:rFonts w:ascii="宋体" w:hAnsi="宋体"/>
          <w:b/>
          <w:bCs/>
          <w:sz w:val="24"/>
        </w:rPr>
      </w:pPr>
      <w:r>
        <w:rPr>
          <w:rFonts w:hint="eastAsia" w:ascii="宋体" w:hAnsi="宋体"/>
          <w:b/>
          <w:bCs/>
          <w:sz w:val="24"/>
        </w:rPr>
        <w:t>11.6  承包人的工期提前</w:t>
      </w:r>
    </w:p>
    <w:p w14:paraId="3753112C">
      <w:pPr>
        <w:spacing w:line="500" w:lineRule="exact"/>
        <w:rPr>
          <w:rFonts w:ascii="宋体" w:hAnsi="宋体"/>
          <w:sz w:val="24"/>
        </w:rPr>
      </w:pPr>
      <w:r>
        <w:rPr>
          <w:rFonts w:hint="eastAsia" w:ascii="宋体" w:hAnsi="宋体"/>
          <w:sz w:val="24"/>
        </w:rPr>
        <w:t xml:space="preserve">    提前竣工的奖励办法：</w:t>
      </w:r>
      <w:r>
        <w:rPr>
          <w:rFonts w:hint="eastAsia" w:ascii="宋体" w:hAnsi="宋体"/>
          <w:sz w:val="24"/>
          <w:u w:val="single"/>
        </w:rPr>
        <w:t xml:space="preserve"> / </w:t>
      </w:r>
    </w:p>
    <w:p w14:paraId="11F311B9">
      <w:pPr>
        <w:spacing w:line="500" w:lineRule="exact"/>
        <w:rPr>
          <w:rFonts w:ascii="宋体" w:hAnsi="宋体"/>
          <w:b/>
          <w:bCs/>
          <w:sz w:val="24"/>
        </w:rPr>
      </w:pPr>
      <w:bookmarkStart w:id="442" w:name="_Toc361653995"/>
      <w:bookmarkStart w:id="443" w:name="_Toc446108035"/>
      <w:bookmarkStart w:id="444" w:name="_Toc442514375"/>
      <w:bookmarkStart w:id="445" w:name="_Toc410381412"/>
      <w:r>
        <w:rPr>
          <w:rFonts w:hint="eastAsia" w:ascii="宋体" w:hAnsi="宋体"/>
          <w:b/>
          <w:bCs/>
          <w:sz w:val="24"/>
        </w:rPr>
        <w:t>12.  暂停施工</w:t>
      </w:r>
      <w:bookmarkEnd w:id="442"/>
      <w:bookmarkEnd w:id="443"/>
      <w:bookmarkEnd w:id="444"/>
      <w:bookmarkEnd w:id="445"/>
      <w:r>
        <w:rPr>
          <w:rFonts w:hint="eastAsia" w:ascii="宋体" w:hAnsi="宋体"/>
          <w:b/>
          <w:bCs/>
          <w:sz w:val="24"/>
        </w:rPr>
        <w:tab/>
      </w:r>
    </w:p>
    <w:p w14:paraId="3C36A4B4">
      <w:pPr>
        <w:spacing w:line="500" w:lineRule="exact"/>
        <w:rPr>
          <w:rFonts w:ascii="宋体" w:hAnsi="宋体"/>
          <w:sz w:val="24"/>
        </w:rPr>
      </w:pPr>
      <w:r>
        <w:rPr>
          <w:rFonts w:hint="eastAsia" w:ascii="宋体" w:hAnsi="宋体"/>
          <w:b/>
          <w:bCs/>
          <w:sz w:val="24"/>
        </w:rPr>
        <w:t>12.1  承包人暂停施工的责任</w:t>
      </w:r>
    </w:p>
    <w:p w14:paraId="06FC38A9">
      <w:pPr>
        <w:spacing w:line="500" w:lineRule="exact"/>
        <w:rPr>
          <w:rFonts w:ascii="宋体" w:hAnsi="宋体"/>
          <w:sz w:val="24"/>
        </w:rPr>
      </w:pPr>
      <w:r>
        <w:rPr>
          <w:rFonts w:hint="eastAsia" w:ascii="宋体" w:hAnsi="宋体"/>
          <w:sz w:val="24"/>
        </w:rPr>
        <w:t xml:space="preserve">    承包人承担暂停施工责任的其他情形：</w:t>
      </w:r>
      <w:r>
        <w:rPr>
          <w:rFonts w:hint="eastAsia" w:ascii="宋体" w:hAnsi="宋体"/>
          <w:sz w:val="24"/>
          <w:u w:val="single"/>
        </w:rPr>
        <w:t xml:space="preserve">  发生时协商约定   。</w:t>
      </w:r>
    </w:p>
    <w:p w14:paraId="0BBCEC8A">
      <w:pPr>
        <w:spacing w:line="500" w:lineRule="exact"/>
        <w:rPr>
          <w:rFonts w:ascii="宋体" w:hAnsi="宋体"/>
          <w:b/>
          <w:bCs/>
          <w:sz w:val="24"/>
        </w:rPr>
      </w:pPr>
      <w:bookmarkStart w:id="446" w:name="_Toc446108036"/>
      <w:bookmarkStart w:id="447" w:name="_Toc361653996"/>
      <w:bookmarkStart w:id="448" w:name="_Toc442514376"/>
      <w:bookmarkStart w:id="449" w:name="_Toc410381413"/>
      <w:r>
        <w:rPr>
          <w:rFonts w:hint="eastAsia" w:ascii="宋体" w:hAnsi="宋体"/>
          <w:b/>
          <w:bCs/>
          <w:sz w:val="24"/>
        </w:rPr>
        <w:t>13.  工程质量</w:t>
      </w:r>
      <w:bookmarkEnd w:id="446"/>
      <w:bookmarkEnd w:id="447"/>
      <w:bookmarkEnd w:id="448"/>
      <w:bookmarkEnd w:id="449"/>
    </w:p>
    <w:p w14:paraId="55A861B9">
      <w:pPr>
        <w:spacing w:line="500" w:lineRule="exact"/>
        <w:rPr>
          <w:rFonts w:ascii="宋体" w:hAnsi="宋体"/>
          <w:b/>
          <w:bCs/>
          <w:sz w:val="24"/>
        </w:rPr>
      </w:pPr>
      <w:r>
        <w:rPr>
          <w:rFonts w:hint="eastAsia" w:ascii="宋体" w:hAnsi="宋体"/>
          <w:b/>
          <w:bCs/>
          <w:sz w:val="24"/>
        </w:rPr>
        <w:t>13.1  工程质量要求</w:t>
      </w:r>
    </w:p>
    <w:p w14:paraId="582C65E5">
      <w:pPr>
        <w:adjustRightInd w:val="0"/>
        <w:snapToGrid w:val="0"/>
        <w:spacing w:line="460" w:lineRule="exact"/>
        <w:ind w:firstLine="480" w:firstLineChars="200"/>
        <w:rPr>
          <w:rFonts w:ascii="宋体" w:hAnsi="宋体"/>
          <w:sz w:val="24"/>
        </w:rPr>
      </w:pPr>
      <w:r>
        <w:rPr>
          <w:rFonts w:hint="eastAsia" w:ascii="宋体" w:hAnsi="宋体"/>
          <w:sz w:val="24"/>
        </w:rPr>
        <w:t>13.1.1达到国家现行有关施工质量验收规范要求，并达到合格标准。</w:t>
      </w:r>
    </w:p>
    <w:p w14:paraId="0438350E">
      <w:pPr>
        <w:adjustRightInd w:val="0"/>
        <w:snapToGrid w:val="0"/>
        <w:spacing w:line="460" w:lineRule="exact"/>
        <w:ind w:firstLine="480" w:firstLineChars="200"/>
        <w:rPr>
          <w:rFonts w:ascii="宋体" w:hAnsi="宋体"/>
          <w:sz w:val="24"/>
        </w:rPr>
      </w:pPr>
      <w:r>
        <w:rPr>
          <w:rFonts w:hint="eastAsia" w:ascii="宋体" w:hAnsi="宋体"/>
          <w:sz w:val="24"/>
        </w:rPr>
        <w:t>13.1.2发包人、监理和承包人在工程建设中，应执行重庆市建筑工程相关地方标准，并按照有关规范和上级有关要求进行验收，并执行以下规定：</w:t>
      </w:r>
    </w:p>
    <w:p w14:paraId="26318FFF">
      <w:pPr>
        <w:spacing w:line="500" w:lineRule="exact"/>
        <w:ind w:firstLine="480" w:firstLineChars="200"/>
        <w:rPr>
          <w:rFonts w:ascii="宋体" w:hAnsi="宋体"/>
          <w:sz w:val="24"/>
        </w:rPr>
      </w:pPr>
      <w:r>
        <w:rPr>
          <w:rFonts w:hint="eastAsia" w:ascii="宋体" w:hAnsi="宋体"/>
          <w:sz w:val="24"/>
        </w:rPr>
        <w:t>经过审查的设计图纸、设计变更、图纸会审纪要和相关设计图集；</w:t>
      </w:r>
    </w:p>
    <w:p w14:paraId="28FD7354">
      <w:pPr>
        <w:spacing w:line="500" w:lineRule="exact"/>
        <w:ind w:firstLine="480" w:firstLineChars="200"/>
        <w:rPr>
          <w:rFonts w:ascii="宋体" w:hAnsi="宋体"/>
          <w:sz w:val="24"/>
        </w:rPr>
      </w:pPr>
      <w:r>
        <w:rPr>
          <w:rFonts w:hint="eastAsia" w:ascii="宋体" w:hAnsi="宋体"/>
          <w:sz w:val="24"/>
        </w:rPr>
        <w:t>《建筑工程施工质量验收统一标准》GB50300-2013；</w:t>
      </w:r>
    </w:p>
    <w:p w14:paraId="52AB988C">
      <w:pPr>
        <w:spacing w:line="500" w:lineRule="exact"/>
        <w:ind w:firstLine="480" w:firstLineChars="200"/>
        <w:rPr>
          <w:rFonts w:ascii="宋体" w:hAnsi="宋体"/>
          <w:sz w:val="24"/>
        </w:rPr>
      </w:pPr>
      <w:r>
        <w:rPr>
          <w:rFonts w:hint="eastAsia" w:ascii="宋体" w:hAnsi="宋体"/>
          <w:sz w:val="24"/>
        </w:rPr>
        <w:t>《建筑地基基础工程施工质量验收规范》GB50202-2002；</w:t>
      </w:r>
    </w:p>
    <w:p w14:paraId="14FDBFB2">
      <w:pPr>
        <w:spacing w:line="500" w:lineRule="exact"/>
        <w:ind w:firstLine="480" w:firstLineChars="200"/>
        <w:rPr>
          <w:rFonts w:ascii="宋体" w:hAnsi="宋体"/>
          <w:sz w:val="24"/>
        </w:rPr>
      </w:pPr>
      <w:r>
        <w:rPr>
          <w:rFonts w:hint="eastAsia" w:ascii="宋体" w:hAnsi="宋体"/>
          <w:sz w:val="24"/>
        </w:rPr>
        <w:t>《砌体工程施工质量验收规范》GB50203-2011；</w:t>
      </w:r>
    </w:p>
    <w:p w14:paraId="77F31F43">
      <w:pPr>
        <w:spacing w:line="500" w:lineRule="exact"/>
        <w:ind w:firstLine="480" w:firstLineChars="200"/>
        <w:rPr>
          <w:rFonts w:ascii="宋体" w:hAnsi="宋体"/>
          <w:sz w:val="24"/>
        </w:rPr>
      </w:pPr>
      <w:r>
        <w:rPr>
          <w:rFonts w:hint="eastAsia" w:ascii="宋体" w:hAnsi="宋体"/>
          <w:sz w:val="24"/>
        </w:rPr>
        <w:t>《混凝土结构工程施工质量验收规范》GB50204-2015；</w:t>
      </w:r>
    </w:p>
    <w:p w14:paraId="4A12BA8E">
      <w:pPr>
        <w:spacing w:line="500" w:lineRule="exact"/>
        <w:ind w:firstLine="480" w:firstLineChars="200"/>
        <w:rPr>
          <w:rFonts w:ascii="宋体" w:hAnsi="宋体"/>
          <w:sz w:val="24"/>
        </w:rPr>
      </w:pPr>
      <w:r>
        <w:rPr>
          <w:rFonts w:hint="eastAsia" w:ascii="宋体" w:hAnsi="宋体"/>
          <w:sz w:val="24"/>
        </w:rPr>
        <w:t>《建筑地面工程施工质量验收规范》GB50209-2010；</w:t>
      </w:r>
    </w:p>
    <w:p w14:paraId="1B0722C9">
      <w:pPr>
        <w:spacing w:line="500" w:lineRule="exact"/>
        <w:ind w:firstLine="480" w:firstLineChars="200"/>
        <w:rPr>
          <w:rFonts w:ascii="宋体" w:hAnsi="宋体"/>
          <w:sz w:val="24"/>
        </w:rPr>
      </w:pPr>
      <w:r>
        <w:rPr>
          <w:rFonts w:hint="eastAsia" w:ascii="宋体" w:hAnsi="宋体"/>
          <w:sz w:val="24"/>
        </w:rPr>
        <w:t>《建筑给水排水及采暖工程施工质量验收规范》GB50242-2002；</w:t>
      </w:r>
    </w:p>
    <w:p w14:paraId="1F4E96B8">
      <w:pPr>
        <w:spacing w:line="500" w:lineRule="exact"/>
        <w:ind w:firstLine="480" w:firstLineChars="200"/>
        <w:rPr>
          <w:rFonts w:ascii="宋体" w:hAnsi="宋体"/>
          <w:sz w:val="24"/>
        </w:rPr>
      </w:pPr>
      <w:r>
        <w:rPr>
          <w:rFonts w:hint="eastAsia" w:ascii="宋体" w:hAnsi="宋体"/>
          <w:sz w:val="24"/>
        </w:rPr>
        <w:t>《钢结构工程施工质量验收规范》（GB50205-2001）</w:t>
      </w:r>
    </w:p>
    <w:p w14:paraId="57D9642A">
      <w:pPr>
        <w:spacing w:line="500" w:lineRule="exact"/>
        <w:ind w:firstLine="480" w:firstLineChars="200"/>
        <w:rPr>
          <w:rFonts w:ascii="宋体" w:hAnsi="宋体"/>
          <w:sz w:val="24"/>
        </w:rPr>
      </w:pPr>
      <w:r>
        <w:rPr>
          <w:rFonts w:hint="eastAsia" w:ascii="宋体" w:hAnsi="宋体"/>
          <w:sz w:val="24"/>
        </w:rPr>
        <w:t>其它国家及地方的相关施工规范及标准；</w:t>
      </w:r>
    </w:p>
    <w:p w14:paraId="10DE811D">
      <w:pPr>
        <w:spacing w:line="500" w:lineRule="exact"/>
        <w:ind w:firstLine="480" w:firstLineChars="200"/>
        <w:rPr>
          <w:rFonts w:ascii="宋体" w:hAnsi="宋体"/>
          <w:sz w:val="24"/>
        </w:rPr>
      </w:pPr>
      <w:r>
        <w:rPr>
          <w:rFonts w:hint="eastAsia" w:ascii="宋体" w:hAnsi="宋体"/>
          <w:sz w:val="24"/>
        </w:rPr>
        <w:t>《建设工程施工合同》、《工程建设监理合同》中有关质量控制的规定。</w:t>
      </w:r>
    </w:p>
    <w:p w14:paraId="4C73D671">
      <w:pPr>
        <w:spacing w:line="500" w:lineRule="exact"/>
        <w:ind w:firstLine="480" w:firstLineChars="200"/>
        <w:rPr>
          <w:rFonts w:ascii="宋体" w:hAnsi="宋体"/>
          <w:sz w:val="24"/>
        </w:rPr>
      </w:pPr>
      <w:r>
        <w:rPr>
          <w:rFonts w:hint="eastAsia" w:ascii="宋体" w:hAnsi="宋体"/>
          <w:sz w:val="24"/>
        </w:rPr>
        <w:t>13.1.5  招标人、监理和中标人在工程建设中，应执行重庆市建筑工程相关地方标准。</w:t>
      </w:r>
    </w:p>
    <w:p w14:paraId="03ED7490">
      <w:pPr>
        <w:spacing w:line="500" w:lineRule="exact"/>
        <w:rPr>
          <w:rFonts w:ascii="宋体" w:hAnsi="宋体"/>
          <w:b/>
          <w:bCs/>
          <w:sz w:val="24"/>
        </w:rPr>
      </w:pPr>
      <w:r>
        <w:rPr>
          <w:rFonts w:hint="eastAsia" w:ascii="宋体" w:hAnsi="宋体"/>
          <w:b/>
          <w:bCs/>
          <w:sz w:val="24"/>
        </w:rPr>
        <w:t>13.2  承包人的质量检查</w:t>
      </w:r>
    </w:p>
    <w:p w14:paraId="7A7C9AFD">
      <w:pPr>
        <w:spacing w:line="500" w:lineRule="exact"/>
        <w:rPr>
          <w:rFonts w:ascii="宋体" w:hAnsi="宋体"/>
          <w:sz w:val="24"/>
        </w:rPr>
      </w:pPr>
      <w:r>
        <w:rPr>
          <w:rFonts w:hint="eastAsia" w:ascii="宋体" w:hAnsi="宋体"/>
          <w:sz w:val="24"/>
        </w:rPr>
        <w:t xml:space="preserve">    承包人提交工程质量保证措施文件的期限：</w:t>
      </w:r>
      <w:r>
        <w:rPr>
          <w:rFonts w:hint="eastAsia" w:ascii="宋体" w:hAnsi="宋体"/>
          <w:sz w:val="24"/>
          <w:u w:val="single"/>
        </w:rPr>
        <w:t>合同签订后7个日历日内。</w:t>
      </w:r>
      <w:r>
        <w:rPr>
          <w:rFonts w:hint="eastAsia" w:ascii="宋体" w:hAnsi="宋体"/>
          <w:sz w:val="24"/>
        </w:rPr>
        <w:t xml:space="preserve">  </w:t>
      </w:r>
    </w:p>
    <w:p w14:paraId="16DD52E2">
      <w:pPr>
        <w:tabs>
          <w:tab w:val="left" w:pos="3000"/>
          <w:tab w:val="left" w:pos="3280"/>
          <w:tab w:val="left" w:pos="6120"/>
          <w:tab w:val="left" w:pos="7540"/>
          <w:tab w:val="left" w:pos="8320"/>
        </w:tabs>
        <w:spacing w:line="500" w:lineRule="exact"/>
        <w:rPr>
          <w:rFonts w:ascii="宋体" w:hAnsi="宋体"/>
          <w:b/>
          <w:bCs/>
          <w:sz w:val="24"/>
        </w:rPr>
      </w:pPr>
      <w:bookmarkStart w:id="450" w:name="_Toc351203642"/>
      <w:r>
        <w:rPr>
          <w:rFonts w:hint="eastAsia" w:ascii="宋体" w:hAnsi="宋体"/>
          <w:b/>
          <w:bCs/>
          <w:sz w:val="24"/>
        </w:rPr>
        <w:t>15. 变更</w:t>
      </w:r>
      <w:bookmarkEnd w:id="450"/>
    </w:p>
    <w:p w14:paraId="64BFC8E0">
      <w:pPr>
        <w:tabs>
          <w:tab w:val="left" w:pos="3000"/>
          <w:tab w:val="left" w:pos="3280"/>
          <w:tab w:val="left" w:pos="6120"/>
          <w:tab w:val="left" w:pos="7540"/>
          <w:tab w:val="left" w:pos="8320"/>
        </w:tabs>
        <w:spacing w:line="500" w:lineRule="exact"/>
        <w:rPr>
          <w:rFonts w:ascii="宋体" w:hAnsi="宋体"/>
          <w:b/>
          <w:bCs/>
          <w:sz w:val="24"/>
        </w:rPr>
      </w:pPr>
      <w:r>
        <w:rPr>
          <w:rFonts w:hint="eastAsia" w:ascii="宋体" w:hAnsi="宋体"/>
          <w:b/>
          <w:bCs/>
          <w:sz w:val="24"/>
        </w:rPr>
        <w:t>15.1变更的范围与内容</w:t>
      </w:r>
    </w:p>
    <w:p w14:paraId="084E16FC">
      <w:pPr>
        <w:spacing w:line="500" w:lineRule="exact"/>
        <w:rPr>
          <w:rFonts w:ascii="宋体" w:hAnsi="宋体"/>
          <w:sz w:val="24"/>
        </w:rPr>
      </w:pPr>
      <w:r>
        <w:rPr>
          <w:rFonts w:hint="eastAsia" w:ascii="宋体" w:hAnsi="宋体"/>
          <w:sz w:val="24"/>
        </w:rPr>
        <w:t xml:space="preserve">    变更的范围与内容：</w:t>
      </w:r>
      <w:r>
        <w:rPr>
          <w:rFonts w:hint="eastAsia" w:ascii="宋体" w:hAnsi="宋体"/>
          <w:sz w:val="24"/>
          <w:u w:val="single"/>
        </w:rPr>
        <w:t xml:space="preserve">施工中需要变更施工图纸和变更工程量清单数量以及增减工程造价，承包人必须提前3天履行施工变更核定，经监理人和发包方代表签字同意并报发包人领导审批同意后方能实施，未履行相关变更报批手续、发包人领导未审批同意的承包人一律不得变更施工，否则造成的一切后果和经济损失均由承包人自行负责。 </w:t>
      </w:r>
    </w:p>
    <w:p w14:paraId="0107064A">
      <w:pPr>
        <w:spacing w:line="500" w:lineRule="exact"/>
        <w:rPr>
          <w:rFonts w:ascii="宋体" w:hAnsi="宋体"/>
          <w:b/>
          <w:bCs/>
          <w:sz w:val="24"/>
        </w:rPr>
      </w:pPr>
      <w:r>
        <w:rPr>
          <w:rFonts w:hint="eastAsia" w:ascii="宋体" w:hAnsi="宋体"/>
          <w:b/>
          <w:bCs/>
          <w:sz w:val="24"/>
        </w:rPr>
        <w:t>15.3变更程序</w:t>
      </w:r>
    </w:p>
    <w:p w14:paraId="0623C99C">
      <w:pPr>
        <w:tabs>
          <w:tab w:val="left" w:pos="3000"/>
          <w:tab w:val="left" w:pos="3280"/>
          <w:tab w:val="left" w:pos="6120"/>
          <w:tab w:val="left" w:pos="7540"/>
          <w:tab w:val="left" w:pos="8320"/>
        </w:tabs>
        <w:spacing w:line="500" w:lineRule="exact"/>
        <w:rPr>
          <w:rFonts w:ascii="宋体" w:hAnsi="宋体"/>
          <w:sz w:val="24"/>
        </w:rPr>
      </w:pPr>
      <w:r>
        <w:rPr>
          <w:rFonts w:hint="eastAsia" w:ascii="宋体" w:hAnsi="宋体"/>
          <w:b/>
          <w:bCs/>
          <w:sz w:val="24"/>
        </w:rPr>
        <w:t>15.3.2 变更估价</w:t>
      </w:r>
    </w:p>
    <w:p w14:paraId="511CE819">
      <w:pPr>
        <w:spacing w:line="500" w:lineRule="exact"/>
        <w:rPr>
          <w:rFonts w:ascii="宋体" w:hAnsi="宋体"/>
          <w:sz w:val="24"/>
          <w:u w:val="single"/>
        </w:rPr>
      </w:pPr>
      <w:r>
        <w:rPr>
          <w:rFonts w:hint="eastAsia" w:ascii="宋体" w:hAnsi="宋体"/>
          <w:sz w:val="24"/>
        </w:rPr>
        <w:t xml:space="preserve">    承包人提交变更报价书的期限：</w:t>
      </w:r>
      <w:r>
        <w:rPr>
          <w:rFonts w:hint="eastAsia" w:ascii="宋体" w:hAnsi="宋体"/>
          <w:sz w:val="24"/>
          <w:u w:val="single"/>
        </w:rPr>
        <w:t xml:space="preserve">应在收到变更指示或变更意向书后的2天内，向监理人和发包人提交变更报价书。 </w:t>
      </w:r>
    </w:p>
    <w:p w14:paraId="40F39C1A">
      <w:pPr>
        <w:spacing w:line="460" w:lineRule="exact"/>
        <w:ind w:firstLine="480" w:firstLineChars="200"/>
        <w:rPr>
          <w:rFonts w:ascii="宋体" w:hAnsi="宋体"/>
          <w:sz w:val="24"/>
          <w:u w:val="single"/>
        </w:rPr>
      </w:pPr>
      <w:r>
        <w:rPr>
          <w:rFonts w:hint="eastAsia" w:ascii="宋体" w:hAnsi="宋体"/>
          <w:sz w:val="24"/>
        </w:rPr>
        <w:t>监理人商定或确定变更价格的期限：</w:t>
      </w:r>
      <w:r>
        <w:rPr>
          <w:rFonts w:hint="eastAsia" w:ascii="宋体" w:hAnsi="宋体"/>
          <w:sz w:val="24"/>
          <w:u w:val="single"/>
        </w:rPr>
        <w:t>发包人收到变更报价书后，3天内签署意见并报承包人签字后确定。 变更内容承包单位必须无条件执行，并在发包人规定时限内完成。</w:t>
      </w:r>
    </w:p>
    <w:p w14:paraId="4CF2AA21">
      <w:pPr>
        <w:spacing w:line="500" w:lineRule="exact"/>
        <w:rPr>
          <w:rFonts w:ascii="宋体" w:hAnsi="宋体"/>
          <w:b/>
          <w:bCs/>
          <w:sz w:val="24"/>
        </w:rPr>
      </w:pPr>
      <w:r>
        <w:rPr>
          <w:rFonts w:hint="eastAsia" w:ascii="宋体" w:hAnsi="宋体"/>
          <w:b/>
          <w:bCs/>
          <w:sz w:val="24"/>
        </w:rPr>
        <w:t>15.4 变更估价原则</w:t>
      </w:r>
    </w:p>
    <w:p w14:paraId="4E41B482">
      <w:pPr>
        <w:tabs>
          <w:tab w:val="left" w:pos="3000"/>
          <w:tab w:val="left" w:pos="3280"/>
          <w:tab w:val="left" w:pos="6120"/>
          <w:tab w:val="left" w:pos="7540"/>
          <w:tab w:val="left" w:pos="8320"/>
        </w:tabs>
        <w:spacing w:line="500" w:lineRule="exact"/>
        <w:ind w:firstLine="480" w:firstLineChars="200"/>
        <w:rPr>
          <w:rFonts w:hint="eastAsia" w:ascii="宋体" w:hAnsi="宋体" w:eastAsia="宋体"/>
          <w:sz w:val="24"/>
          <w:lang w:eastAsia="zh-CN"/>
        </w:rPr>
      </w:pPr>
      <w:bookmarkStart w:id="451" w:name="_Toc300934993"/>
      <w:bookmarkStart w:id="452" w:name="_Toc297216203"/>
      <w:bookmarkStart w:id="453" w:name="_Toc296891025"/>
      <w:bookmarkStart w:id="454" w:name="_Toc297123544"/>
      <w:bookmarkStart w:id="455" w:name="_Toc292559402"/>
      <w:bookmarkStart w:id="456" w:name="_Toc296347196"/>
      <w:bookmarkStart w:id="457" w:name="_Toc303539150"/>
      <w:bookmarkStart w:id="458" w:name="_Toc296346698"/>
      <w:bookmarkStart w:id="459" w:name="_Toc296944536"/>
      <w:bookmarkStart w:id="460" w:name="_Toc297048383"/>
      <w:bookmarkStart w:id="461" w:name="_Toc297120497"/>
      <w:bookmarkStart w:id="462" w:name="_Toc296503197"/>
      <w:bookmarkStart w:id="463" w:name="_Toc296891237"/>
      <w:bookmarkStart w:id="464" w:name="_Toc292559907"/>
      <w:bookmarkStart w:id="465" w:name="_Toc312677503"/>
      <w:bookmarkStart w:id="466" w:name="_Toc304295570"/>
      <w:bookmarkStart w:id="467" w:name="_Toc312678029"/>
      <w:r>
        <w:rPr>
          <w:rFonts w:hint="eastAsia" w:ascii="宋体" w:hAnsi="宋体"/>
          <w:sz w:val="24"/>
        </w:rPr>
        <w:t>按</w:t>
      </w:r>
      <w:r>
        <w:rPr>
          <w:rFonts w:hint="eastAsia" w:ascii="宋体" w:hAnsi="宋体"/>
          <w:sz w:val="24"/>
          <w:lang w:val="en-US" w:eastAsia="zh-CN"/>
        </w:rPr>
        <w:t>竞争性比选文件</w:t>
      </w:r>
      <w:r>
        <w:rPr>
          <w:rFonts w:hint="eastAsia" w:ascii="宋体" w:hAnsi="宋体"/>
          <w:sz w:val="24"/>
        </w:rPr>
        <w:t>“2、报价原则”要求所列定额及其配套、修改、调整文件执行</w:t>
      </w:r>
      <w:r>
        <w:rPr>
          <w:rFonts w:hint="eastAsia" w:ascii="宋体" w:hAnsi="宋体"/>
          <w:sz w:val="24"/>
          <w:lang w:eastAsia="zh-CN"/>
        </w:rPr>
        <w:t>。</w:t>
      </w:r>
    </w:p>
    <w:p w14:paraId="4631595A">
      <w:pPr>
        <w:tabs>
          <w:tab w:val="left" w:pos="3000"/>
          <w:tab w:val="left" w:pos="3280"/>
          <w:tab w:val="left" w:pos="6120"/>
          <w:tab w:val="left" w:pos="7540"/>
          <w:tab w:val="left" w:pos="8320"/>
        </w:tabs>
        <w:spacing w:line="500" w:lineRule="exact"/>
        <w:rPr>
          <w:rFonts w:ascii="宋体" w:hAnsi="宋体"/>
          <w:b/>
          <w:bCs/>
          <w:sz w:val="24"/>
        </w:rPr>
      </w:pPr>
      <w:r>
        <w:rPr>
          <w:rFonts w:hint="eastAsia" w:ascii="宋体" w:hAnsi="宋体"/>
          <w:b/>
          <w:bCs/>
          <w:sz w:val="24"/>
        </w:rPr>
        <w:t>15.5承</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Start w:id="468" w:name="_Toc296347202"/>
      <w:bookmarkStart w:id="469" w:name="_Toc297123545"/>
      <w:bookmarkStart w:id="470" w:name="_Toc296346704"/>
      <w:bookmarkStart w:id="471" w:name="_Toc292559913"/>
      <w:bookmarkStart w:id="472" w:name="_Toc296503203"/>
      <w:bookmarkStart w:id="473" w:name="_Toc292559408"/>
      <w:bookmarkStart w:id="474" w:name="_Toc303539151"/>
      <w:bookmarkStart w:id="475" w:name="_Toc297216204"/>
      <w:bookmarkStart w:id="476" w:name="_Toc296891243"/>
      <w:bookmarkStart w:id="477" w:name="_Toc297048389"/>
      <w:bookmarkStart w:id="478" w:name="_Toc297120503"/>
      <w:bookmarkStart w:id="479" w:name="_Toc296891031"/>
      <w:bookmarkStart w:id="480" w:name="_Toc296944542"/>
      <w:bookmarkStart w:id="481" w:name="_Toc300934994"/>
      <w:r>
        <w:rPr>
          <w:rFonts w:hint="eastAsia" w:ascii="宋体" w:hAnsi="宋体"/>
          <w:b/>
          <w:bCs/>
          <w:sz w:val="24"/>
        </w:rPr>
        <w:t>包人的合理化建议</w:t>
      </w:r>
    </w:p>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p w14:paraId="6DF709A3">
      <w:pPr>
        <w:tabs>
          <w:tab w:val="left" w:pos="3000"/>
          <w:tab w:val="left" w:pos="3280"/>
          <w:tab w:val="left" w:pos="6120"/>
          <w:tab w:val="left" w:pos="7540"/>
          <w:tab w:val="left" w:pos="8320"/>
        </w:tabs>
        <w:spacing w:line="500" w:lineRule="exact"/>
        <w:rPr>
          <w:rFonts w:ascii="宋体" w:hAnsi="宋体"/>
          <w:sz w:val="24"/>
        </w:rPr>
      </w:pPr>
      <w:r>
        <w:rPr>
          <w:rFonts w:hint="eastAsia" w:ascii="宋体" w:hAnsi="宋体"/>
          <w:sz w:val="24"/>
        </w:rPr>
        <w:t xml:space="preserve">    15.5.2  对中标人提出合理化建议的奖励方法：</w:t>
      </w:r>
      <w:r>
        <w:rPr>
          <w:rFonts w:hint="eastAsia" w:ascii="宋体" w:hAnsi="宋体"/>
          <w:sz w:val="24"/>
          <w:u w:val="single"/>
        </w:rPr>
        <w:t xml:space="preserve">不采用 </w:t>
      </w:r>
      <w:r>
        <w:rPr>
          <w:rFonts w:hint="eastAsia" w:ascii="宋体" w:hAnsi="宋体"/>
          <w:sz w:val="24"/>
        </w:rPr>
        <w:t>。</w:t>
      </w:r>
    </w:p>
    <w:p w14:paraId="43F74A7A">
      <w:pPr>
        <w:tabs>
          <w:tab w:val="left" w:pos="3000"/>
          <w:tab w:val="left" w:pos="3280"/>
          <w:tab w:val="left" w:pos="6120"/>
          <w:tab w:val="left" w:pos="7540"/>
          <w:tab w:val="left" w:pos="8320"/>
        </w:tabs>
        <w:spacing w:line="500" w:lineRule="exact"/>
        <w:rPr>
          <w:rFonts w:ascii="宋体" w:hAnsi="宋体"/>
          <w:sz w:val="24"/>
        </w:rPr>
      </w:pPr>
      <w:r>
        <w:rPr>
          <w:rFonts w:hint="eastAsia" w:ascii="宋体" w:hAnsi="宋体"/>
          <w:b/>
          <w:bCs/>
          <w:sz w:val="24"/>
        </w:rPr>
        <w:t>1</w:t>
      </w:r>
      <w:bookmarkStart w:id="482" w:name="_Toc296347198"/>
      <w:bookmarkStart w:id="483" w:name="_Toc297216207"/>
      <w:bookmarkStart w:id="484" w:name="_Toc304295574"/>
      <w:bookmarkStart w:id="485" w:name="_Toc300934997"/>
      <w:bookmarkStart w:id="486" w:name="_Toc297048385"/>
      <w:bookmarkStart w:id="487" w:name="_Toc303539154"/>
      <w:bookmarkStart w:id="488" w:name="_Toc297120499"/>
      <w:bookmarkStart w:id="489" w:name="_Toc297123548"/>
      <w:bookmarkStart w:id="490" w:name="_Toc296891239"/>
      <w:bookmarkStart w:id="491" w:name="_Toc296891027"/>
      <w:bookmarkStart w:id="492" w:name="_Toc296346700"/>
      <w:bookmarkStart w:id="493" w:name="_Toc296944538"/>
      <w:bookmarkStart w:id="494" w:name="_Toc292559404"/>
      <w:bookmarkStart w:id="495" w:name="_Toc292559909"/>
      <w:bookmarkStart w:id="496" w:name="_Toc312677507"/>
      <w:bookmarkStart w:id="497" w:name="_Toc296503199"/>
      <w:bookmarkStart w:id="498" w:name="_Toc312678033"/>
      <w:r>
        <w:rPr>
          <w:rFonts w:hint="eastAsia" w:ascii="宋体" w:hAnsi="宋体"/>
          <w:b/>
          <w:bCs/>
          <w:sz w:val="24"/>
        </w:rPr>
        <w:t>5.8 暂估价</w:t>
      </w:r>
    </w:p>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14:paraId="128BBFCC">
      <w:pPr>
        <w:spacing w:line="500" w:lineRule="exact"/>
        <w:rPr>
          <w:rFonts w:ascii="宋体" w:hAnsi="宋体"/>
          <w:sz w:val="24"/>
        </w:rPr>
      </w:pPr>
      <w:r>
        <w:rPr>
          <w:rFonts w:hint="eastAsia" w:ascii="宋体" w:hAnsi="宋体"/>
          <w:sz w:val="24"/>
        </w:rPr>
        <w:t xml:space="preserve">    暂估价由发包人认质认价办理结算。</w:t>
      </w:r>
    </w:p>
    <w:p w14:paraId="79CC9E5B">
      <w:pPr>
        <w:tabs>
          <w:tab w:val="left" w:pos="3000"/>
          <w:tab w:val="left" w:pos="3280"/>
          <w:tab w:val="left" w:pos="6120"/>
          <w:tab w:val="left" w:pos="7540"/>
          <w:tab w:val="left" w:pos="8320"/>
        </w:tabs>
        <w:spacing w:line="500" w:lineRule="exact"/>
        <w:rPr>
          <w:rFonts w:ascii="宋体" w:hAnsi="宋体"/>
          <w:b/>
          <w:bCs/>
          <w:sz w:val="24"/>
        </w:rPr>
      </w:pPr>
      <w:bookmarkStart w:id="499" w:name="_Toc351203643"/>
      <w:r>
        <w:rPr>
          <w:rFonts w:hint="eastAsia" w:ascii="宋体" w:hAnsi="宋体"/>
          <w:b/>
          <w:bCs/>
          <w:sz w:val="24"/>
        </w:rPr>
        <w:t>16. 价格调整</w:t>
      </w:r>
      <w:bookmarkEnd w:id="499"/>
    </w:p>
    <w:p w14:paraId="104844B5">
      <w:pPr>
        <w:adjustRightInd w:val="0"/>
        <w:snapToGrid w:val="0"/>
        <w:spacing w:line="500" w:lineRule="exact"/>
        <w:ind w:left="420"/>
        <w:rPr>
          <w:rFonts w:ascii="宋体" w:hAnsi="宋体"/>
          <w:b/>
          <w:bCs/>
          <w:sz w:val="24"/>
        </w:rPr>
      </w:pPr>
      <w:r>
        <w:rPr>
          <w:rFonts w:hint="eastAsia" w:ascii="宋体" w:hAnsi="宋体"/>
          <w:b/>
          <w:bCs/>
          <w:sz w:val="24"/>
        </w:rPr>
        <w:t>16.1  物价波动引起的价格调整</w:t>
      </w:r>
    </w:p>
    <w:p w14:paraId="3EF78748">
      <w:pPr>
        <w:adjustRightInd w:val="0"/>
        <w:snapToGrid w:val="0"/>
        <w:spacing w:line="500" w:lineRule="exact"/>
        <w:ind w:left="420"/>
        <w:rPr>
          <w:rFonts w:ascii="宋体" w:hAnsi="宋体"/>
          <w:bCs/>
          <w:sz w:val="24"/>
          <w:u w:val="single"/>
        </w:rPr>
      </w:pPr>
      <w:r>
        <w:rPr>
          <w:rFonts w:hint="eastAsia" w:ascii="宋体" w:hAnsi="宋体"/>
          <w:bCs/>
          <w:sz w:val="24"/>
        </w:rPr>
        <w:t>物价波动引起的价格调整方法：</w:t>
      </w:r>
      <w:r>
        <w:rPr>
          <w:rFonts w:hint="eastAsia" w:ascii="宋体" w:hAnsi="宋体"/>
          <w:bCs/>
          <w:sz w:val="24"/>
          <w:u w:val="single"/>
        </w:rPr>
        <w:t>不执行。</w:t>
      </w:r>
    </w:p>
    <w:p w14:paraId="2F0BCDD4">
      <w:pPr>
        <w:spacing w:line="500" w:lineRule="exact"/>
        <w:rPr>
          <w:rFonts w:ascii="宋体" w:hAnsi="宋体"/>
          <w:b/>
          <w:bCs/>
          <w:sz w:val="24"/>
        </w:rPr>
      </w:pPr>
      <w:bookmarkStart w:id="500" w:name="_Toc446108039"/>
      <w:bookmarkStart w:id="501" w:name="_Toc361653999"/>
      <w:bookmarkStart w:id="502" w:name="_Toc442514379"/>
      <w:bookmarkStart w:id="503" w:name="_Toc410381416"/>
      <w:r>
        <w:rPr>
          <w:rFonts w:hint="eastAsia" w:ascii="宋体" w:hAnsi="宋体"/>
          <w:b/>
          <w:bCs/>
          <w:sz w:val="24"/>
        </w:rPr>
        <w:t>17.  计量与支付</w:t>
      </w:r>
      <w:bookmarkEnd w:id="500"/>
      <w:bookmarkEnd w:id="501"/>
      <w:bookmarkEnd w:id="502"/>
      <w:bookmarkEnd w:id="503"/>
    </w:p>
    <w:p w14:paraId="7B3ACCF9">
      <w:pPr>
        <w:spacing w:line="500" w:lineRule="exact"/>
        <w:rPr>
          <w:rFonts w:ascii="宋体" w:hAnsi="宋体"/>
          <w:b/>
          <w:bCs/>
          <w:sz w:val="24"/>
        </w:rPr>
      </w:pPr>
      <w:r>
        <w:rPr>
          <w:rFonts w:hint="eastAsia" w:ascii="宋体" w:hAnsi="宋体"/>
          <w:b/>
          <w:bCs/>
          <w:sz w:val="24"/>
        </w:rPr>
        <w:t>17.1  计量</w:t>
      </w:r>
      <w:r>
        <w:rPr>
          <w:rFonts w:hint="eastAsia" w:ascii="宋体" w:hAnsi="宋体"/>
          <w:b/>
          <w:bCs/>
          <w:sz w:val="24"/>
        </w:rPr>
        <w:tab/>
      </w:r>
    </w:p>
    <w:p w14:paraId="69A23E95">
      <w:pPr>
        <w:spacing w:line="500" w:lineRule="exact"/>
        <w:rPr>
          <w:rFonts w:ascii="宋体" w:hAnsi="宋体"/>
          <w:sz w:val="24"/>
        </w:rPr>
      </w:pPr>
      <w:r>
        <w:rPr>
          <w:rFonts w:hint="eastAsia" w:ascii="宋体" w:hAnsi="宋体"/>
          <w:sz w:val="24"/>
        </w:rPr>
        <w:t xml:space="preserve">    17.1.3  计量周期</w:t>
      </w:r>
    </w:p>
    <w:p w14:paraId="28EA83E6">
      <w:pPr>
        <w:spacing w:line="500" w:lineRule="exact"/>
        <w:rPr>
          <w:rFonts w:ascii="宋体" w:hAnsi="宋体"/>
          <w:sz w:val="24"/>
        </w:rPr>
      </w:pPr>
      <w:r>
        <w:rPr>
          <w:rFonts w:hint="eastAsia" w:ascii="宋体" w:hAnsi="宋体"/>
          <w:sz w:val="24"/>
        </w:rPr>
        <w:t xml:space="preserve">    本合同的计量周期：</w:t>
      </w:r>
      <w:r>
        <w:rPr>
          <w:rFonts w:hint="eastAsia" w:ascii="宋体" w:hAnsi="宋体"/>
          <w:sz w:val="24"/>
          <w:u w:val="single"/>
        </w:rPr>
        <w:t xml:space="preserve">  </w:t>
      </w:r>
      <w:r>
        <w:rPr>
          <w:rFonts w:hint="eastAsia" w:ascii="宋体" w:hAnsi="宋体"/>
          <w:b/>
          <w:bCs/>
          <w:sz w:val="24"/>
          <w:u w:val="single"/>
        </w:rPr>
        <w:t xml:space="preserve">   </w:t>
      </w:r>
      <w:r>
        <w:rPr>
          <w:rFonts w:hint="eastAsia" w:ascii="宋体" w:hAnsi="宋体"/>
          <w:bCs/>
          <w:sz w:val="24"/>
          <w:u w:val="single"/>
        </w:rPr>
        <w:t xml:space="preserve"> 不执行   </w:t>
      </w:r>
      <w:r>
        <w:rPr>
          <w:rFonts w:hint="eastAsia" w:ascii="宋体" w:hAnsi="宋体"/>
          <w:b/>
          <w:bCs/>
          <w:sz w:val="24"/>
          <w:u w:val="single"/>
        </w:rPr>
        <w:t xml:space="preserve"> </w:t>
      </w:r>
      <w:r>
        <w:rPr>
          <w:rFonts w:hint="eastAsia" w:ascii="宋体" w:hAnsi="宋体"/>
          <w:sz w:val="24"/>
          <w:u w:val="single"/>
        </w:rPr>
        <w:t>。</w:t>
      </w:r>
      <w:r>
        <w:rPr>
          <w:rFonts w:hint="eastAsia" w:ascii="宋体" w:hAnsi="宋体"/>
          <w:sz w:val="24"/>
        </w:rPr>
        <w:t xml:space="preserve">  </w:t>
      </w:r>
    </w:p>
    <w:p w14:paraId="3CFE6CDD">
      <w:pPr>
        <w:spacing w:line="500" w:lineRule="exact"/>
        <w:rPr>
          <w:rFonts w:ascii="宋体" w:hAnsi="宋体"/>
          <w:sz w:val="24"/>
        </w:rPr>
      </w:pPr>
      <w:r>
        <w:rPr>
          <w:rFonts w:hint="eastAsia" w:ascii="宋体" w:hAnsi="宋体"/>
          <w:sz w:val="24"/>
        </w:rPr>
        <w:t xml:space="preserve">    17.1.5  总价子目的计量</w:t>
      </w:r>
    </w:p>
    <w:p w14:paraId="4370A3A6">
      <w:pPr>
        <w:spacing w:line="500" w:lineRule="exact"/>
        <w:rPr>
          <w:rFonts w:ascii="宋体" w:hAnsi="宋体"/>
          <w:b/>
          <w:bCs/>
          <w:sz w:val="24"/>
          <w:u w:val="single"/>
        </w:rPr>
      </w:pPr>
      <w:r>
        <w:rPr>
          <w:rFonts w:hint="eastAsia" w:ascii="宋体" w:hAnsi="宋体"/>
          <w:sz w:val="24"/>
        </w:rPr>
        <w:t xml:space="preserve">    总价子目的计量方法：</w:t>
      </w:r>
      <w:r>
        <w:rPr>
          <w:rFonts w:hint="eastAsia" w:ascii="宋体" w:hAnsi="宋体"/>
          <w:bCs/>
          <w:sz w:val="24"/>
          <w:u w:val="single"/>
        </w:rPr>
        <w:t xml:space="preserve">按照实际竣工验收工程量  </w:t>
      </w:r>
      <w:r>
        <w:rPr>
          <w:rFonts w:hint="eastAsia" w:ascii="宋体" w:hAnsi="宋体"/>
          <w:b/>
          <w:bCs/>
          <w:sz w:val="24"/>
          <w:u w:val="single"/>
        </w:rPr>
        <w:t>。</w:t>
      </w:r>
    </w:p>
    <w:p w14:paraId="04654ABE">
      <w:pPr>
        <w:spacing w:line="500" w:lineRule="exact"/>
        <w:rPr>
          <w:rFonts w:ascii="宋体" w:hAnsi="宋体"/>
          <w:b/>
          <w:bCs/>
          <w:sz w:val="24"/>
        </w:rPr>
      </w:pPr>
      <w:bookmarkStart w:id="504" w:name="_Toc446108040"/>
      <w:r>
        <w:rPr>
          <w:rFonts w:hint="eastAsia" w:ascii="宋体" w:hAnsi="宋体"/>
          <w:b/>
          <w:bCs/>
          <w:sz w:val="24"/>
        </w:rPr>
        <w:t>17.2  预付款</w:t>
      </w:r>
      <w:bookmarkEnd w:id="504"/>
    </w:p>
    <w:p w14:paraId="7696F19E">
      <w:pPr>
        <w:spacing w:line="500" w:lineRule="exact"/>
        <w:rPr>
          <w:rFonts w:ascii="宋体" w:hAnsi="宋体"/>
          <w:sz w:val="24"/>
        </w:rPr>
      </w:pPr>
      <w:r>
        <w:rPr>
          <w:rFonts w:hint="eastAsia" w:ascii="宋体" w:hAnsi="宋体"/>
          <w:sz w:val="24"/>
        </w:rPr>
        <w:t xml:space="preserve">    17.2.1  预付款</w:t>
      </w:r>
    </w:p>
    <w:p w14:paraId="4B06FB6B">
      <w:pPr>
        <w:pStyle w:val="157"/>
        <w:spacing w:line="420" w:lineRule="exact"/>
        <w:ind w:firstLine="480"/>
        <w:rPr>
          <w:rFonts w:ascii="宋体" w:hAnsi="宋体"/>
          <w:szCs w:val="24"/>
        </w:rPr>
      </w:pPr>
      <w:r>
        <w:rPr>
          <w:rFonts w:hint="eastAsia" w:ascii="宋体" w:hAnsi="宋体"/>
          <w:szCs w:val="24"/>
        </w:rPr>
        <w:t>预付款额度和预付方法：</w:t>
      </w:r>
      <w:r>
        <w:rPr>
          <w:rFonts w:hint="eastAsia" w:ascii="宋体" w:hAnsi="宋体"/>
          <w:bCs/>
          <w:szCs w:val="24"/>
          <w:u w:val="single"/>
        </w:rPr>
        <w:t>不支付预付款。</w:t>
      </w:r>
    </w:p>
    <w:p w14:paraId="5F468F8C">
      <w:pPr>
        <w:spacing w:line="500" w:lineRule="exact"/>
        <w:rPr>
          <w:rFonts w:ascii="宋体" w:hAnsi="宋体"/>
          <w:sz w:val="24"/>
        </w:rPr>
      </w:pPr>
      <w:r>
        <w:rPr>
          <w:rFonts w:hint="eastAsia" w:ascii="宋体" w:hAnsi="宋体"/>
          <w:sz w:val="24"/>
        </w:rPr>
        <w:t xml:space="preserve">    17.2.2  预付款保函</w:t>
      </w:r>
    </w:p>
    <w:p w14:paraId="1DA3CD7B">
      <w:pPr>
        <w:spacing w:line="500" w:lineRule="exact"/>
        <w:rPr>
          <w:rFonts w:ascii="宋体" w:hAnsi="宋体"/>
          <w:sz w:val="24"/>
        </w:rPr>
      </w:pPr>
      <w:r>
        <w:rPr>
          <w:rFonts w:hint="eastAsia" w:ascii="宋体" w:hAnsi="宋体"/>
          <w:sz w:val="24"/>
        </w:rPr>
        <w:t xml:space="preserve">    预付款保函的提交时间：</w:t>
      </w:r>
      <w:r>
        <w:rPr>
          <w:rFonts w:hint="eastAsia" w:ascii="宋体" w:hAnsi="宋体"/>
          <w:bCs/>
          <w:sz w:val="24"/>
          <w:u w:val="single"/>
        </w:rPr>
        <w:t xml:space="preserve">不执行    </w:t>
      </w:r>
      <w:r>
        <w:rPr>
          <w:rFonts w:hint="eastAsia" w:ascii="宋体" w:hAnsi="宋体"/>
          <w:sz w:val="24"/>
          <w:u w:val="single"/>
        </w:rPr>
        <w:t xml:space="preserve">。 </w:t>
      </w:r>
      <w:r>
        <w:rPr>
          <w:rFonts w:hint="eastAsia" w:ascii="宋体" w:hAnsi="宋体"/>
          <w:sz w:val="24"/>
        </w:rPr>
        <w:t xml:space="preserve">  </w:t>
      </w:r>
    </w:p>
    <w:p w14:paraId="7EE6308B">
      <w:pPr>
        <w:spacing w:line="500" w:lineRule="exact"/>
        <w:rPr>
          <w:rFonts w:ascii="宋体" w:hAnsi="宋体"/>
          <w:sz w:val="24"/>
        </w:rPr>
      </w:pPr>
      <w:r>
        <w:rPr>
          <w:rFonts w:hint="eastAsia" w:ascii="宋体" w:hAnsi="宋体"/>
          <w:sz w:val="24"/>
        </w:rPr>
        <w:t xml:space="preserve">    17.2.3  预付款的扣回与还清</w:t>
      </w:r>
    </w:p>
    <w:p w14:paraId="5645188F">
      <w:pPr>
        <w:spacing w:line="500" w:lineRule="exact"/>
        <w:rPr>
          <w:rFonts w:ascii="宋体" w:hAnsi="宋体"/>
          <w:sz w:val="24"/>
        </w:rPr>
      </w:pPr>
      <w:r>
        <w:rPr>
          <w:rFonts w:hint="eastAsia" w:ascii="宋体" w:hAnsi="宋体"/>
          <w:sz w:val="24"/>
        </w:rPr>
        <w:t xml:space="preserve">    预付款的扣回办法：</w:t>
      </w:r>
      <w:r>
        <w:rPr>
          <w:rFonts w:hint="eastAsia" w:ascii="宋体" w:hAnsi="宋体"/>
          <w:bCs/>
          <w:sz w:val="24"/>
          <w:u w:val="single"/>
        </w:rPr>
        <w:t xml:space="preserve">不执行  </w:t>
      </w:r>
      <w:r>
        <w:rPr>
          <w:rFonts w:hint="eastAsia" w:ascii="宋体" w:hAnsi="宋体"/>
          <w:sz w:val="24"/>
          <w:u w:val="single"/>
        </w:rPr>
        <w:t xml:space="preserve">  </w:t>
      </w:r>
      <w:r>
        <w:rPr>
          <w:rFonts w:hint="eastAsia" w:ascii="宋体" w:hAnsi="宋体"/>
          <w:sz w:val="24"/>
        </w:rPr>
        <w:t xml:space="preserve">。   </w:t>
      </w:r>
    </w:p>
    <w:p w14:paraId="4CE29873">
      <w:pPr>
        <w:spacing w:line="500" w:lineRule="exact"/>
        <w:rPr>
          <w:rFonts w:ascii="宋体" w:hAnsi="宋体"/>
          <w:b/>
          <w:bCs/>
          <w:sz w:val="24"/>
        </w:rPr>
      </w:pPr>
      <w:r>
        <w:rPr>
          <w:rFonts w:hint="eastAsia" w:ascii="宋体" w:hAnsi="宋体"/>
          <w:b/>
          <w:bCs/>
          <w:sz w:val="24"/>
        </w:rPr>
        <w:t>17.3  进度款</w:t>
      </w:r>
    </w:p>
    <w:p w14:paraId="61FED07B">
      <w:pPr>
        <w:spacing w:line="500" w:lineRule="exact"/>
        <w:rPr>
          <w:rFonts w:ascii="宋体" w:hAnsi="宋体"/>
          <w:sz w:val="24"/>
        </w:rPr>
      </w:pPr>
      <w:r>
        <w:rPr>
          <w:rFonts w:hint="eastAsia" w:ascii="宋体" w:hAnsi="宋体"/>
          <w:sz w:val="24"/>
        </w:rPr>
        <w:t>17.3.2  进度付款申请单</w:t>
      </w:r>
    </w:p>
    <w:p w14:paraId="12C85C20">
      <w:pPr>
        <w:spacing w:line="500" w:lineRule="exact"/>
        <w:rPr>
          <w:rFonts w:ascii="宋体" w:hAnsi="宋体"/>
          <w:sz w:val="24"/>
        </w:rPr>
      </w:pPr>
      <w:r>
        <w:rPr>
          <w:rFonts w:hint="eastAsia" w:ascii="宋体" w:hAnsi="宋体"/>
          <w:sz w:val="24"/>
        </w:rPr>
        <w:t xml:space="preserve">     进度付款申请单的份数：</w:t>
      </w:r>
      <w:r>
        <w:rPr>
          <w:rFonts w:hint="eastAsia" w:ascii="宋体" w:hAnsi="宋体"/>
          <w:sz w:val="24"/>
          <w:u w:val="single"/>
        </w:rPr>
        <w:t xml:space="preserve">3份    </w:t>
      </w:r>
    </w:p>
    <w:p w14:paraId="2F48D121">
      <w:pPr>
        <w:spacing w:line="500" w:lineRule="exact"/>
        <w:rPr>
          <w:rFonts w:ascii="宋体" w:hAnsi="宋体"/>
          <w:sz w:val="24"/>
          <w:szCs w:val="24"/>
          <w:u w:val="single"/>
        </w:rPr>
      </w:pPr>
      <w:r>
        <w:rPr>
          <w:rFonts w:hint="eastAsia" w:ascii="宋体" w:hAnsi="宋体"/>
          <w:sz w:val="24"/>
          <w:szCs w:val="24"/>
        </w:rPr>
        <w:t xml:space="preserve">     进度付款申请单的内容：</w:t>
      </w:r>
      <w:r>
        <w:rPr>
          <w:rFonts w:hint="eastAsia" w:ascii="宋体" w:hAnsi="宋体"/>
          <w:sz w:val="24"/>
          <w:szCs w:val="24"/>
          <w:u w:val="single"/>
        </w:rPr>
        <w:t>按付款方式执行</w:t>
      </w:r>
    </w:p>
    <w:p w14:paraId="7F3F13E4">
      <w:pPr>
        <w:snapToGrid w:val="0"/>
        <w:spacing w:line="420" w:lineRule="exact"/>
        <w:rPr>
          <w:rFonts w:ascii="宋体" w:hAnsi="宋体"/>
          <w:sz w:val="24"/>
          <w:szCs w:val="24"/>
        </w:rPr>
      </w:pPr>
      <w:r>
        <w:rPr>
          <w:rFonts w:hint="eastAsia" w:ascii="宋体" w:hAnsi="宋体"/>
          <w:sz w:val="24"/>
          <w:szCs w:val="24"/>
        </w:rPr>
        <w:t>17.3.3工程款支付：</w:t>
      </w:r>
    </w:p>
    <w:p w14:paraId="7DECDFAA">
      <w:pPr>
        <w:adjustRightInd w:val="0"/>
        <w:snapToGrid w:val="0"/>
        <w:spacing w:line="420" w:lineRule="exact"/>
        <w:ind w:firstLine="480" w:firstLineChars="200"/>
        <w:rPr>
          <w:rFonts w:ascii="宋体" w:hAnsi="宋体"/>
          <w:sz w:val="24"/>
          <w:szCs w:val="24"/>
        </w:rPr>
      </w:pPr>
      <w:r>
        <w:rPr>
          <w:rFonts w:hint="eastAsia" w:ascii="宋体" w:hAnsi="宋体"/>
          <w:sz w:val="24"/>
          <w:szCs w:val="24"/>
        </w:rPr>
        <w:t>工程款支付方式：不支付工程预付款。</w:t>
      </w:r>
    </w:p>
    <w:p w14:paraId="62B8286F">
      <w:pPr>
        <w:snapToGrid w:val="0"/>
        <w:spacing w:line="420" w:lineRule="exact"/>
        <w:ind w:firstLine="480" w:firstLineChars="200"/>
        <w:rPr>
          <w:rFonts w:ascii="宋体" w:hAnsi="宋体"/>
          <w:sz w:val="24"/>
          <w:szCs w:val="24"/>
        </w:rPr>
      </w:pPr>
      <w:r>
        <w:rPr>
          <w:rFonts w:hint="eastAsia"/>
          <w:sz w:val="24"/>
          <w:szCs w:val="24"/>
        </w:rPr>
        <w:t>（1）项目完工后向供应商拨付工程款至合同金额的80%</w:t>
      </w:r>
      <w:r>
        <w:rPr>
          <w:rFonts w:hint="eastAsia"/>
          <w:sz w:val="24"/>
          <w:szCs w:val="24"/>
          <w:lang w:eastAsia="zh-CN"/>
        </w:rPr>
        <w:t>；</w:t>
      </w:r>
      <w:r>
        <w:rPr>
          <w:rFonts w:hint="eastAsia"/>
          <w:sz w:val="24"/>
          <w:szCs w:val="24"/>
        </w:rPr>
        <w:t>（2）项目竣工验收合格，供应商向比选人移交竣工资料及提供完整（完整的资料需包括但不限于施工、验收等项目全流程纸质资料）合格的结算审核资料，经第三方造价咨询机构审定后，供应商按审定价格开具发票，比选人向供应商支付至审定金额的97%，剩余3%为质保金，待缺陷责任期满后无质量售后问题一次性无息支付。</w:t>
      </w:r>
    </w:p>
    <w:p w14:paraId="7B08344C">
      <w:pPr>
        <w:snapToGrid w:val="0"/>
        <w:spacing w:line="420" w:lineRule="exact"/>
        <w:ind w:firstLine="480" w:firstLineChars="200"/>
        <w:rPr>
          <w:rFonts w:ascii="宋体" w:hAnsi="宋体"/>
          <w:sz w:val="24"/>
          <w:szCs w:val="24"/>
        </w:rPr>
      </w:pPr>
      <w:r>
        <w:rPr>
          <w:rFonts w:hint="eastAsia" w:ascii="宋体" w:hAnsi="宋体"/>
          <w:sz w:val="24"/>
          <w:szCs w:val="24"/>
        </w:rPr>
        <w:t>17.4.1  质量保证金的金额或比例：</w:t>
      </w:r>
      <w:r>
        <w:rPr>
          <w:rFonts w:hint="eastAsia" w:ascii="宋体" w:hAnsi="宋体"/>
          <w:sz w:val="24"/>
          <w:szCs w:val="24"/>
          <w:u w:val="single"/>
        </w:rPr>
        <w:t xml:space="preserve">审定金额的3% </w:t>
      </w:r>
      <w:r>
        <w:rPr>
          <w:rFonts w:hint="eastAsia" w:ascii="宋体" w:hAnsi="宋体"/>
          <w:sz w:val="24"/>
          <w:szCs w:val="24"/>
        </w:rPr>
        <w:t xml:space="preserve">。 </w:t>
      </w:r>
    </w:p>
    <w:p w14:paraId="598B7537">
      <w:pPr>
        <w:snapToGrid w:val="0"/>
        <w:spacing w:line="420" w:lineRule="exact"/>
        <w:ind w:firstLine="480" w:firstLineChars="200"/>
        <w:rPr>
          <w:rFonts w:ascii="宋体" w:hAnsi="宋体"/>
          <w:sz w:val="24"/>
          <w:szCs w:val="24"/>
          <w:u w:val="single"/>
        </w:rPr>
      </w:pPr>
      <w:r>
        <w:rPr>
          <w:rFonts w:hint="eastAsia" w:ascii="宋体" w:hAnsi="宋体"/>
          <w:sz w:val="24"/>
          <w:szCs w:val="24"/>
        </w:rPr>
        <w:t>质量保证金的扣留方法：</w:t>
      </w:r>
      <w:r>
        <w:rPr>
          <w:rFonts w:hint="eastAsia" w:ascii="宋体" w:hAnsi="宋体"/>
          <w:sz w:val="24"/>
          <w:szCs w:val="24"/>
          <w:u w:val="single"/>
        </w:rPr>
        <w:t>审计部门或中介机构出具审计报告后，发包人暂扣结算审定金额的3%作为质量保证金，待缺陷责任期满后无质量售后问题一次性无息支付。</w:t>
      </w:r>
    </w:p>
    <w:p w14:paraId="78413442">
      <w:pPr>
        <w:spacing w:line="500" w:lineRule="exact"/>
        <w:rPr>
          <w:rFonts w:ascii="宋体" w:hAnsi="宋体"/>
          <w:b/>
          <w:bCs/>
          <w:sz w:val="24"/>
          <w:szCs w:val="24"/>
        </w:rPr>
      </w:pPr>
      <w:bookmarkStart w:id="505" w:name="_Toc340567440"/>
      <w:r>
        <w:rPr>
          <w:rFonts w:hint="eastAsia" w:ascii="宋体" w:hAnsi="宋体"/>
          <w:b/>
          <w:bCs/>
          <w:sz w:val="24"/>
          <w:szCs w:val="24"/>
        </w:rPr>
        <w:t>17.5  竣工结算</w:t>
      </w:r>
      <w:bookmarkEnd w:id="505"/>
    </w:p>
    <w:p w14:paraId="3F179787">
      <w:pPr>
        <w:widowControl/>
        <w:spacing w:line="400" w:lineRule="exact"/>
        <w:ind w:firstLine="480" w:firstLineChars="200"/>
        <w:rPr>
          <w:rFonts w:ascii="宋体" w:hAnsi="宋体"/>
          <w:kern w:val="0"/>
          <w:sz w:val="24"/>
          <w:szCs w:val="24"/>
        </w:rPr>
      </w:pPr>
      <w:r>
        <w:rPr>
          <w:rFonts w:hint="eastAsia" w:ascii="宋体" w:hAnsi="宋体"/>
          <w:kern w:val="0"/>
          <w:sz w:val="24"/>
          <w:szCs w:val="24"/>
        </w:rPr>
        <w:t>本工程结算原则如下：</w:t>
      </w:r>
    </w:p>
    <w:p w14:paraId="4B978804">
      <w:pPr>
        <w:adjustRightInd w:val="0"/>
        <w:snapToGrid w:val="0"/>
        <w:spacing w:line="400" w:lineRule="exact"/>
        <w:ind w:firstLine="480" w:firstLineChars="200"/>
        <w:rPr>
          <w:rFonts w:ascii="宋体" w:hAnsi="宋体"/>
          <w:sz w:val="24"/>
          <w:szCs w:val="24"/>
        </w:rPr>
      </w:pPr>
      <w:r>
        <w:rPr>
          <w:rFonts w:hint="eastAsia" w:ascii="宋体" w:hAnsi="宋体"/>
          <w:sz w:val="24"/>
          <w:szCs w:val="24"/>
        </w:rPr>
        <w:t>合同竣工结算价=中标价±工程变更±工程量计算偏差调整±专业及材料暂估价据实调整±安全文明施工费据实调整±合同约定的其他因素。</w:t>
      </w:r>
    </w:p>
    <w:p w14:paraId="5D765F3F">
      <w:pPr>
        <w:snapToGrid w:val="0"/>
        <w:spacing w:line="400" w:lineRule="exact"/>
        <w:ind w:firstLine="480" w:firstLineChars="200"/>
        <w:rPr>
          <w:rFonts w:ascii="宋体" w:hAnsi="宋体" w:cs="宋体"/>
          <w:kern w:val="0"/>
          <w:sz w:val="24"/>
          <w:szCs w:val="24"/>
        </w:rPr>
      </w:pPr>
      <w:r>
        <w:rPr>
          <w:rFonts w:hint="eastAsia" w:ascii="宋体" w:hAnsi="宋体" w:cs="宋体"/>
          <w:kern w:val="0"/>
          <w:sz w:val="24"/>
          <w:szCs w:val="24"/>
        </w:rPr>
        <w:t>具体结算办法如下：</w:t>
      </w:r>
    </w:p>
    <w:p w14:paraId="57A62F39">
      <w:pPr>
        <w:spacing w:line="500" w:lineRule="exact"/>
        <w:ind w:firstLine="480" w:firstLineChars="200"/>
        <w:rPr>
          <w:rFonts w:ascii="宋体" w:hAnsi="宋体"/>
          <w:sz w:val="24"/>
          <w:szCs w:val="24"/>
        </w:rPr>
      </w:pPr>
      <w:r>
        <w:rPr>
          <w:rFonts w:hint="eastAsia" w:ascii="宋体" w:hAnsi="宋体"/>
          <w:sz w:val="24"/>
          <w:szCs w:val="24"/>
        </w:rPr>
        <w:t>1）工程量清单报价中有相同子项的，按该子项的中标综合单价执行；</w:t>
      </w:r>
    </w:p>
    <w:p w14:paraId="571EF0F1">
      <w:pPr>
        <w:spacing w:line="500" w:lineRule="exact"/>
        <w:ind w:firstLine="480" w:firstLineChars="200"/>
        <w:rPr>
          <w:rFonts w:ascii="宋体" w:hAnsi="宋体"/>
          <w:sz w:val="24"/>
          <w:szCs w:val="24"/>
        </w:rPr>
      </w:pPr>
      <w:r>
        <w:rPr>
          <w:rFonts w:hint="eastAsia" w:ascii="宋体" w:hAnsi="宋体"/>
          <w:sz w:val="24"/>
          <w:szCs w:val="24"/>
        </w:rPr>
        <w:t>2）工程量清单报价中有类似子项的，参照投标报价中类似子项的中标综合单价执行（类似子项由比选人审定）；</w:t>
      </w:r>
    </w:p>
    <w:p w14:paraId="26F4FA3A">
      <w:pPr>
        <w:spacing w:line="500" w:lineRule="exact"/>
        <w:ind w:firstLine="480" w:firstLineChars="200"/>
        <w:rPr>
          <w:rFonts w:ascii="宋体" w:hAnsi="宋体"/>
          <w:sz w:val="24"/>
          <w:szCs w:val="24"/>
        </w:rPr>
      </w:pPr>
      <w:r>
        <w:rPr>
          <w:rFonts w:hint="eastAsia" w:ascii="宋体" w:hAnsi="宋体"/>
          <w:sz w:val="24"/>
          <w:szCs w:val="24"/>
        </w:rPr>
        <w:t>3）工程量清单报价中无相同子项或类似子项的，按“2、报价原则”要求所列定额及其配套、修改、调整文件执行，材料价格调整按合同开标当期《重庆工程造价信息》公布的万州区指导价执行。人工价格调整按开标当期《重庆工程造价信息》公布的万州区指导价执行。万州区没有的材料价格和人工价格根据开标当期《重庆工程造价信息》公布主城区的指导价格执行。未有的材料价格必须经发包人认质认价后办理结算（认质认价的材料价格、安全文明施工费及销项税额除外）。</w:t>
      </w:r>
    </w:p>
    <w:p w14:paraId="5CFA72E7">
      <w:pPr>
        <w:spacing w:line="500" w:lineRule="exact"/>
        <w:ind w:firstLine="480" w:firstLineChars="200"/>
        <w:rPr>
          <w:rFonts w:ascii="宋体" w:hAnsi="宋体"/>
          <w:sz w:val="24"/>
          <w:szCs w:val="24"/>
        </w:rPr>
      </w:pPr>
      <w:r>
        <w:rPr>
          <w:rFonts w:hint="eastAsia" w:ascii="宋体" w:hAnsi="宋体"/>
          <w:sz w:val="24"/>
          <w:szCs w:val="24"/>
        </w:rPr>
        <w:t>4）因中标人原因引起的工程量增加，不予计量、计价。</w:t>
      </w:r>
    </w:p>
    <w:p w14:paraId="395B9131">
      <w:pPr>
        <w:spacing w:line="500" w:lineRule="exact"/>
        <w:ind w:firstLine="480" w:firstLineChars="200"/>
        <w:rPr>
          <w:rFonts w:ascii="宋体" w:hAnsi="宋体"/>
          <w:sz w:val="24"/>
          <w:szCs w:val="24"/>
        </w:rPr>
      </w:pPr>
      <w:r>
        <w:rPr>
          <w:rFonts w:hint="eastAsia" w:ascii="宋体" w:hAnsi="宋体"/>
          <w:sz w:val="24"/>
          <w:szCs w:val="24"/>
        </w:rPr>
        <w:t>5）按照比选人要求以实施过程中实际收方为准，据实结算，</w:t>
      </w:r>
    </w:p>
    <w:p w14:paraId="10877E0C">
      <w:pPr>
        <w:spacing w:line="500" w:lineRule="exact"/>
        <w:ind w:firstLine="480" w:firstLineChars="200"/>
        <w:rPr>
          <w:rFonts w:ascii="宋体" w:hAnsi="宋体"/>
          <w:sz w:val="24"/>
          <w:szCs w:val="24"/>
        </w:rPr>
      </w:pPr>
      <w:r>
        <w:rPr>
          <w:rFonts w:hint="eastAsia" w:ascii="宋体" w:hAnsi="宋体"/>
          <w:sz w:val="24"/>
          <w:szCs w:val="24"/>
        </w:rPr>
        <w:t>6）本工程结算最终以相关单位审定的金额为准。</w:t>
      </w:r>
    </w:p>
    <w:p w14:paraId="4103F360">
      <w:pPr>
        <w:spacing w:line="500" w:lineRule="exact"/>
        <w:ind w:firstLine="482" w:firstLineChars="200"/>
        <w:rPr>
          <w:rFonts w:ascii="宋体" w:hAnsi="宋体"/>
          <w:sz w:val="24"/>
          <w:szCs w:val="24"/>
        </w:rPr>
      </w:pPr>
      <w:r>
        <w:rPr>
          <w:rFonts w:hint="eastAsia" w:ascii="宋体" w:hAnsi="宋体"/>
          <w:b/>
          <w:bCs/>
          <w:sz w:val="24"/>
          <w:szCs w:val="24"/>
        </w:rPr>
        <w:t>17.6.1  最终结清申请单</w:t>
      </w:r>
    </w:p>
    <w:p w14:paraId="795F2271">
      <w:pPr>
        <w:spacing w:line="500" w:lineRule="exact"/>
        <w:rPr>
          <w:rFonts w:ascii="宋体" w:hAnsi="宋体"/>
          <w:sz w:val="24"/>
          <w:u w:val="single"/>
        </w:rPr>
      </w:pPr>
      <w:r>
        <w:rPr>
          <w:rFonts w:hint="eastAsia" w:ascii="宋体" w:hAnsi="宋体"/>
          <w:sz w:val="24"/>
        </w:rPr>
        <w:t xml:space="preserve">    最终结清申请单的份数和提交期限：</w:t>
      </w:r>
      <w:bookmarkStart w:id="506" w:name="_Toc361654000"/>
      <w:bookmarkStart w:id="507" w:name="_Toc410381417"/>
      <w:bookmarkStart w:id="508" w:name="_Toc446108041"/>
      <w:bookmarkStart w:id="509" w:name="_Toc442514380"/>
      <w:r>
        <w:rPr>
          <w:rFonts w:hint="eastAsia" w:ascii="宋体" w:hAnsi="宋体"/>
          <w:sz w:val="24"/>
          <w:u w:val="single"/>
        </w:rPr>
        <w:t>最终结清申请单的份数一式三份，提交时间为审计部门出具审计报告后，填写竣工结算价款、已支付工程价款、已缴纳的质量缺陷保证金、还应支付工程剩余尾款金额。</w:t>
      </w:r>
    </w:p>
    <w:p w14:paraId="04A1933E">
      <w:pPr>
        <w:spacing w:line="500" w:lineRule="exact"/>
        <w:rPr>
          <w:rFonts w:ascii="宋体" w:hAnsi="宋体"/>
          <w:b/>
          <w:bCs/>
          <w:sz w:val="24"/>
        </w:rPr>
      </w:pPr>
      <w:r>
        <w:rPr>
          <w:rFonts w:hint="eastAsia" w:ascii="宋体" w:hAnsi="宋体"/>
          <w:b/>
          <w:bCs/>
          <w:sz w:val="24"/>
        </w:rPr>
        <w:t>18.  竣工验收</w:t>
      </w:r>
      <w:bookmarkEnd w:id="506"/>
      <w:bookmarkEnd w:id="507"/>
      <w:bookmarkEnd w:id="508"/>
      <w:bookmarkEnd w:id="509"/>
    </w:p>
    <w:p w14:paraId="1E7A3EA3">
      <w:pPr>
        <w:spacing w:line="500" w:lineRule="exact"/>
        <w:rPr>
          <w:rFonts w:ascii="宋体" w:hAnsi="宋体"/>
          <w:b/>
          <w:bCs/>
          <w:sz w:val="24"/>
        </w:rPr>
      </w:pPr>
      <w:r>
        <w:rPr>
          <w:rFonts w:hint="eastAsia" w:ascii="宋体" w:hAnsi="宋体"/>
          <w:b/>
          <w:bCs/>
          <w:sz w:val="24"/>
        </w:rPr>
        <w:t>18.2  竣工验收申请报告</w:t>
      </w:r>
    </w:p>
    <w:p w14:paraId="182C20AC">
      <w:pPr>
        <w:spacing w:line="500" w:lineRule="exact"/>
        <w:rPr>
          <w:rFonts w:ascii="宋体" w:hAnsi="宋体"/>
          <w:sz w:val="24"/>
        </w:rPr>
      </w:pPr>
      <w:r>
        <w:rPr>
          <w:rFonts w:hint="eastAsia" w:ascii="宋体" w:hAnsi="宋体"/>
          <w:sz w:val="24"/>
        </w:rPr>
        <w:t xml:space="preserve">    竣工资料内容：</w:t>
      </w:r>
      <w:r>
        <w:rPr>
          <w:rFonts w:hint="eastAsia" w:ascii="宋体" w:hAnsi="宋体"/>
          <w:sz w:val="24"/>
          <w:u w:val="single"/>
        </w:rPr>
        <w:t xml:space="preserve">按照建设行政主管部门对竣工资料要求整理成册。 </w:t>
      </w:r>
      <w:r>
        <w:rPr>
          <w:rFonts w:hint="eastAsia" w:ascii="宋体" w:hAnsi="宋体"/>
          <w:sz w:val="24"/>
        </w:rPr>
        <w:t xml:space="preserve">  </w:t>
      </w:r>
    </w:p>
    <w:p w14:paraId="094E5593">
      <w:pPr>
        <w:spacing w:line="500" w:lineRule="exact"/>
        <w:rPr>
          <w:rFonts w:ascii="宋体" w:hAnsi="宋体"/>
          <w:sz w:val="24"/>
        </w:rPr>
      </w:pPr>
      <w:r>
        <w:rPr>
          <w:rFonts w:hint="eastAsia" w:ascii="宋体" w:hAnsi="宋体"/>
          <w:sz w:val="24"/>
        </w:rPr>
        <w:t xml:space="preserve">    竣工资料份数：</w:t>
      </w:r>
      <w:r>
        <w:rPr>
          <w:rFonts w:hint="eastAsia" w:ascii="宋体" w:hAnsi="宋体"/>
          <w:sz w:val="24"/>
          <w:u w:val="single"/>
        </w:rPr>
        <w:t>一式三套。</w:t>
      </w:r>
      <w:r>
        <w:rPr>
          <w:rFonts w:hint="eastAsia" w:ascii="宋体" w:hAnsi="宋体"/>
          <w:sz w:val="24"/>
        </w:rPr>
        <w:t xml:space="preserve">   </w:t>
      </w:r>
    </w:p>
    <w:p w14:paraId="12DF1803">
      <w:pPr>
        <w:spacing w:line="500" w:lineRule="exact"/>
        <w:rPr>
          <w:rFonts w:ascii="宋体" w:hAnsi="宋体"/>
          <w:b/>
          <w:bCs/>
          <w:sz w:val="24"/>
        </w:rPr>
      </w:pPr>
      <w:r>
        <w:rPr>
          <w:rFonts w:hint="eastAsia" w:ascii="宋体" w:hAnsi="宋体"/>
          <w:b/>
          <w:bCs/>
          <w:sz w:val="24"/>
        </w:rPr>
        <w:t>18.3  验收</w:t>
      </w:r>
    </w:p>
    <w:p w14:paraId="3B76098E">
      <w:pPr>
        <w:spacing w:line="500" w:lineRule="exact"/>
        <w:rPr>
          <w:rFonts w:ascii="宋体" w:hAnsi="宋体"/>
          <w:sz w:val="24"/>
        </w:rPr>
      </w:pPr>
      <w:r>
        <w:rPr>
          <w:rFonts w:hint="eastAsia" w:ascii="宋体" w:hAnsi="宋体"/>
          <w:sz w:val="24"/>
        </w:rPr>
        <w:t xml:space="preserve">    18.3.5  实际竣工日期：</w:t>
      </w:r>
      <w:r>
        <w:rPr>
          <w:rFonts w:hint="eastAsia" w:ascii="宋体" w:hAnsi="宋体"/>
          <w:sz w:val="24"/>
          <w:u w:val="single"/>
        </w:rPr>
        <w:t xml:space="preserve">经验收合格工程的实际竣工日期以验收合格日为准。 </w:t>
      </w:r>
    </w:p>
    <w:p w14:paraId="39CA72CE">
      <w:pPr>
        <w:spacing w:line="500" w:lineRule="exact"/>
        <w:rPr>
          <w:rFonts w:ascii="宋体" w:hAnsi="宋体"/>
          <w:b/>
          <w:bCs/>
          <w:sz w:val="24"/>
        </w:rPr>
      </w:pPr>
      <w:r>
        <w:rPr>
          <w:rFonts w:hint="eastAsia" w:ascii="宋体" w:hAnsi="宋体"/>
          <w:b/>
          <w:bCs/>
          <w:sz w:val="24"/>
        </w:rPr>
        <w:t>18.5  施工期运行</w:t>
      </w:r>
    </w:p>
    <w:p w14:paraId="56FF69CE">
      <w:pPr>
        <w:spacing w:line="500" w:lineRule="exact"/>
        <w:rPr>
          <w:rFonts w:ascii="宋体" w:hAnsi="宋体"/>
          <w:sz w:val="24"/>
        </w:rPr>
      </w:pPr>
      <w:r>
        <w:rPr>
          <w:rFonts w:hint="eastAsia" w:ascii="宋体" w:hAnsi="宋体"/>
          <w:sz w:val="24"/>
        </w:rPr>
        <w:t xml:space="preserve">    18.5.1  需要施工期运行单位工程或工程设备：</w:t>
      </w:r>
      <w:r>
        <w:rPr>
          <w:rFonts w:hint="eastAsia" w:ascii="宋体" w:hAnsi="宋体"/>
          <w:sz w:val="24"/>
          <w:u w:val="single"/>
        </w:rPr>
        <w:t xml:space="preserve">不发生  </w:t>
      </w:r>
      <w:r>
        <w:rPr>
          <w:rFonts w:hint="eastAsia" w:ascii="宋体" w:hAnsi="宋体"/>
          <w:sz w:val="24"/>
        </w:rPr>
        <w:t xml:space="preserve">   </w:t>
      </w:r>
    </w:p>
    <w:p w14:paraId="67E94BFE">
      <w:pPr>
        <w:spacing w:line="500" w:lineRule="exact"/>
        <w:rPr>
          <w:rFonts w:ascii="宋体" w:hAnsi="宋体"/>
          <w:b/>
          <w:bCs/>
          <w:sz w:val="24"/>
        </w:rPr>
      </w:pPr>
      <w:r>
        <w:rPr>
          <w:rFonts w:hint="eastAsia" w:ascii="宋体" w:hAnsi="宋体"/>
          <w:b/>
          <w:bCs/>
          <w:sz w:val="24"/>
        </w:rPr>
        <w:t>18.6  试运行</w:t>
      </w:r>
    </w:p>
    <w:p w14:paraId="0D4B5470">
      <w:pPr>
        <w:spacing w:line="500" w:lineRule="exact"/>
        <w:rPr>
          <w:rFonts w:ascii="宋体" w:hAnsi="宋体"/>
          <w:sz w:val="24"/>
        </w:rPr>
      </w:pPr>
      <w:r>
        <w:rPr>
          <w:rFonts w:hint="eastAsia" w:ascii="宋体" w:hAnsi="宋体"/>
          <w:sz w:val="24"/>
        </w:rPr>
        <w:t xml:space="preserve">    18.6.1  试运行的组织及费用承担：</w:t>
      </w:r>
      <w:r>
        <w:rPr>
          <w:rFonts w:hint="eastAsia" w:ascii="宋体" w:hAnsi="宋体"/>
          <w:sz w:val="24"/>
          <w:u w:val="single"/>
        </w:rPr>
        <w:t xml:space="preserve">不发生  </w:t>
      </w:r>
      <w:r>
        <w:rPr>
          <w:rFonts w:hint="eastAsia" w:ascii="宋体" w:hAnsi="宋体"/>
          <w:sz w:val="24"/>
        </w:rPr>
        <w:t xml:space="preserve">       </w:t>
      </w:r>
    </w:p>
    <w:p w14:paraId="1567B961">
      <w:pPr>
        <w:spacing w:line="500" w:lineRule="exact"/>
        <w:rPr>
          <w:rFonts w:ascii="宋体" w:hAnsi="宋体"/>
          <w:b/>
          <w:bCs/>
          <w:sz w:val="24"/>
        </w:rPr>
      </w:pPr>
      <w:r>
        <w:rPr>
          <w:rFonts w:hint="eastAsia" w:ascii="宋体" w:hAnsi="宋体"/>
          <w:b/>
          <w:bCs/>
          <w:sz w:val="24"/>
        </w:rPr>
        <w:t>18.7  竣工清场</w:t>
      </w:r>
    </w:p>
    <w:p w14:paraId="3682FE06">
      <w:pPr>
        <w:spacing w:line="500" w:lineRule="exact"/>
        <w:rPr>
          <w:rFonts w:ascii="宋体" w:hAnsi="宋体"/>
          <w:sz w:val="24"/>
          <w:u w:val="single"/>
        </w:rPr>
      </w:pPr>
      <w:r>
        <w:rPr>
          <w:rFonts w:hint="eastAsia" w:ascii="宋体" w:hAnsi="宋体"/>
          <w:sz w:val="24"/>
        </w:rPr>
        <w:t xml:space="preserve">    18.7.1  竣工清场：</w:t>
      </w:r>
      <w:r>
        <w:rPr>
          <w:rFonts w:hint="eastAsia" w:ascii="宋体" w:hAnsi="宋体"/>
          <w:sz w:val="24"/>
          <w:u w:val="single"/>
        </w:rPr>
        <w:t xml:space="preserve">工程正式竣工3个日历天内，承包人负责完成施工现场清理和除渣，并承担其相关费用。 </w:t>
      </w:r>
    </w:p>
    <w:p w14:paraId="0988C420">
      <w:pPr>
        <w:spacing w:line="500" w:lineRule="exact"/>
        <w:rPr>
          <w:rFonts w:ascii="宋体" w:hAnsi="宋体"/>
          <w:b/>
          <w:bCs/>
          <w:sz w:val="24"/>
        </w:rPr>
      </w:pPr>
      <w:r>
        <w:rPr>
          <w:rFonts w:hint="eastAsia" w:ascii="宋体" w:hAnsi="宋体"/>
          <w:b/>
          <w:bCs/>
          <w:sz w:val="24"/>
        </w:rPr>
        <w:t>18.8  施工队伍的撤离</w:t>
      </w:r>
    </w:p>
    <w:p w14:paraId="4B03834E">
      <w:pPr>
        <w:spacing w:line="500" w:lineRule="exact"/>
        <w:rPr>
          <w:rFonts w:ascii="宋体" w:hAnsi="宋体"/>
          <w:sz w:val="24"/>
          <w:u w:val="single"/>
        </w:rPr>
      </w:pPr>
      <w:r>
        <w:rPr>
          <w:rFonts w:hint="eastAsia" w:ascii="宋体" w:hAnsi="宋体"/>
          <w:sz w:val="24"/>
        </w:rPr>
        <w:t xml:space="preserve">    施工人员、施工设备及其临时工程撤离的要求：</w:t>
      </w:r>
      <w:r>
        <w:rPr>
          <w:rFonts w:hint="eastAsia" w:ascii="宋体" w:hAnsi="宋体"/>
          <w:sz w:val="24"/>
          <w:u w:val="single"/>
        </w:rPr>
        <w:t xml:space="preserve">竣工验收合格后，承包人应在3个工作日内撤离施工现场。 </w:t>
      </w:r>
    </w:p>
    <w:p w14:paraId="2687FEB2">
      <w:pPr>
        <w:spacing w:line="500" w:lineRule="exact"/>
        <w:rPr>
          <w:rFonts w:ascii="宋体" w:hAnsi="宋体"/>
          <w:b/>
          <w:bCs/>
          <w:sz w:val="24"/>
        </w:rPr>
      </w:pPr>
      <w:bookmarkStart w:id="510" w:name="_Toc442514381"/>
      <w:bookmarkStart w:id="511" w:name="_Toc410381418"/>
      <w:bookmarkStart w:id="512" w:name="_Toc361654001"/>
      <w:bookmarkStart w:id="513" w:name="_Toc446108042"/>
      <w:r>
        <w:rPr>
          <w:rFonts w:hint="eastAsia" w:ascii="宋体" w:hAnsi="宋体"/>
          <w:b/>
          <w:bCs/>
          <w:sz w:val="24"/>
        </w:rPr>
        <w:t>19.  缺陷责任与保修责任</w:t>
      </w:r>
      <w:bookmarkEnd w:id="510"/>
      <w:bookmarkEnd w:id="511"/>
      <w:bookmarkEnd w:id="512"/>
      <w:bookmarkEnd w:id="513"/>
    </w:p>
    <w:p w14:paraId="0E015C87">
      <w:pPr>
        <w:spacing w:line="500" w:lineRule="exact"/>
        <w:rPr>
          <w:rFonts w:ascii="宋体" w:hAnsi="宋体"/>
          <w:b/>
          <w:bCs/>
          <w:sz w:val="24"/>
        </w:rPr>
      </w:pPr>
      <w:r>
        <w:rPr>
          <w:rFonts w:hint="eastAsia" w:ascii="宋体" w:hAnsi="宋体"/>
          <w:b/>
          <w:bCs/>
          <w:sz w:val="24"/>
        </w:rPr>
        <w:t>19.7  保修责任</w:t>
      </w:r>
    </w:p>
    <w:p w14:paraId="23E1BBF0">
      <w:pPr>
        <w:spacing w:line="500" w:lineRule="exact"/>
        <w:rPr>
          <w:rFonts w:ascii="宋体" w:hAnsi="宋体"/>
          <w:sz w:val="24"/>
        </w:rPr>
      </w:pPr>
      <w:r>
        <w:rPr>
          <w:rFonts w:hint="eastAsia" w:ascii="宋体" w:hAnsi="宋体"/>
          <w:sz w:val="24"/>
        </w:rPr>
        <w:t xml:space="preserve">    工程质量保修范围、期限和责任：</w:t>
      </w:r>
      <w:r>
        <w:rPr>
          <w:rFonts w:hint="eastAsia" w:ascii="宋体" w:hAnsi="宋体"/>
          <w:sz w:val="24"/>
          <w:u w:val="single"/>
        </w:rPr>
        <w:t>工程质量保修范围、期限和责任：达到国家现行有关施工质量验收规范要求，并达到合格标准。工程质量保修期按按相关规定执行，在此期间出现的任何质量问题由承包人负责维修、维护。</w:t>
      </w:r>
      <w:r>
        <w:rPr>
          <w:rFonts w:hint="eastAsia" w:ascii="宋体" w:hAnsi="宋体"/>
          <w:sz w:val="24"/>
        </w:rPr>
        <w:t xml:space="preserve">  </w:t>
      </w:r>
    </w:p>
    <w:p w14:paraId="28D34547">
      <w:pPr>
        <w:spacing w:line="500" w:lineRule="exact"/>
        <w:rPr>
          <w:rFonts w:ascii="宋体" w:hAnsi="宋体"/>
          <w:b/>
          <w:bCs/>
          <w:sz w:val="24"/>
        </w:rPr>
      </w:pPr>
      <w:bookmarkStart w:id="514" w:name="_Toc410381419"/>
      <w:bookmarkStart w:id="515" w:name="_Toc361654002"/>
      <w:bookmarkStart w:id="516" w:name="_Toc446108043"/>
      <w:bookmarkStart w:id="517" w:name="_Toc442514382"/>
      <w:r>
        <w:rPr>
          <w:rFonts w:hint="eastAsia" w:ascii="宋体" w:hAnsi="宋体"/>
          <w:b/>
          <w:bCs/>
          <w:sz w:val="24"/>
        </w:rPr>
        <w:t>20.  保险</w:t>
      </w:r>
      <w:bookmarkEnd w:id="514"/>
      <w:bookmarkEnd w:id="515"/>
      <w:bookmarkEnd w:id="516"/>
      <w:bookmarkEnd w:id="517"/>
    </w:p>
    <w:p w14:paraId="182FEDFB">
      <w:pPr>
        <w:spacing w:line="500" w:lineRule="exact"/>
        <w:rPr>
          <w:rFonts w:ascii="宋体" w:hAnsi="宋体"/>
          <w:b/>
          <w:bCs/>
          <w:sz w:val="24"/>
        </w:rPr>
      </w:pPr>
      <w:r>
        <w:rPr>
          <w:rFonts w:hint="eastAsia" w:ascii="宋体" w:hAnsi="宋体"/>
          <w:b/>
          <w:bCs/>
          <w:sz w:val="24"/>
        </w:rPr>
        <w:t>20.1  工程保险</w:t>
      </w:r>
    </w:p>
    <w:p w14:paraId="4E4BA3B1">
      <w:pPr>
        <w:spacing w:line="500" w:lineRule="exact"/>
        <w:rPr>
          <w:rFonts w:ascii="宋体" w:hAnsi="宋体"/>
          <w:sz w:val="24"/>
        </w:rPr>
      </w:pPr>
      <w:r>
        <w:rPr>
          <w:rFonts w:hint="eastAsia" w:ascii="宋体" w:hAnsi="宋体"/>
          <w:sz w:val="24"/>
        </w:rPr>
        <w:t xml:space="preserve">    投保人： </w:t>
      </w:r>
      <w:r>
        <w:rPr>
          <w:rFonts w:hint="eastAsia" w:ascii="宋体" w:hAnsi="宋体"/>
          <w:sz w:val="24"/>
          <w:u w:val="single"/>
        </w:rPr>
        <w:t xml:space="preserve">承包人应以发包人和承包人的共同名义向双方同意的保险人投保建筑工程一切险、安装工程一切险、以及以下所要求的各种保险，投保所需的费用已含在投标报价中，由承包人自行承担。 </w:t>
      </w:r>
    </w:p>
    <w:p w14:paraId="38FB077A">
      <w:pPr>
        <w:spacing w:line="500" w:lineRule="exact"/>
        <w:rPr>
          <w:rFonts w:ascii="宋体" w:hAnsi="宋体"/>
          <w:sz w:val="24"/>
        </w:rPr>
      </w:pPr>
      <w:r>
        <w:rPr>
          <w:rFonts w:hint="eastAsia" w:ascii="宋体" w:hAnsi="宋体"/>
          <w:sz w:val="24"/>
        </w:rPr>
        <w:t>投保内容：</w:t>
      </w:r>
      <w:r>
        <w:rPr>
          <w:rFonts w:hint="eastAsia" w:ascii="宋体" w:hAnsi="宋体"/>
          <w:sz w:val="24"/>
          <w:u w:val="single"/>
        </w:rPr>
        <w:t>按通用条款20.1、20.2、20.3、20.4、20.5条执行。</w:t>
      </w:r>
      <w:r>
        <w:rPr>
          <w:rFonts w:hint="eastAsia" w:ascii="宋体" w:hAnsi="宋体"/>
          <w:sz w:val="24"/>
        </w:rPr>
        <w:t xml:space="preserve">     </w:t>
      </w:r>
    </w:p>
    <w:p w14:paraId="08517251">
      <w:pPr>
        <w:spacing w:line="500" w:lineRule="exact"/>
        <w:rPr>
          <w:rFonts w:ascii="宋体" w:hAnsi="宋体"/>
          <w:sz w:val="24"/>
        </w:rPr>
      </w:pPr>
      <w:r>
        <w:rPr>
          <w:rFonts w:hint="eastAsia" w:ascii="宋体" w:hAnsi="宋体"/>
          <w:sz w:val="24"/>
        </w:rPr>
        <w:t>保险金额、保险费率和保险期限：</w:t>
      </w:r>
      <w:r>
        <w:rPr>
          <w:rFonts w:hint="eastAsia" w:ascii="宋体" w:hAnsi="宋体"/>
          <w:sz w:val="24"/>
          <w:u w:val="single"/>
        </w:rPr>
        <w:t>按照有关法律规定，意外伤害险。</w:t>
      </w:r>
      <w:r>
        <w:rPr>
          <w:rFonts w:hint="eastAsia" w:ascii="宋体" w:hAnsi="宋体"/>
          <w:sz w:val="24"/>
        </w:rPr>
        <w:t xml:space="preserve">     </w:t>
      </w:r>
    </w:p>
    <w:p w14:paraId="001B476F">
      <w:pPr>
        <w:spacing w:line="500" w:lineRule="exact"/>
        <w:rPr>
          <w:rFonts w:ascii="宋体" w:hAnsi="宋体"/>
          <w:sz w:val="24"/>
        </w:rPr>
      </w:pPr>
      <w:r>
        <w:rPr>
          <w:rFonts w:hint="eastAsia" w:ascii="宋体" w:hAnsi="宋体"/>
          <w:b/>
          <w:bCs/>
          <w:sz w:val="24"/>
        </w:rPr>
        <w:t>20.4  第三者责任险</w:t>
      </w:r>
    </w:p>
    <w:p w14:paraId="49D5AE56">
      <w:pPr>
        <w:spacing w:line="500" w:lineRule="exact"/>
        <w:rPr>
          <w:rFonts w:ascii="宋体" w:hAnsi="宋体"/>
          <w:sz w:val="24"/>
        </w:rPr>
      </w:pPr>
      <w:r>
        <w:rPr>
          <w:rFonts w:hint="eastAsia" w:ascii="宋体" w:hAnsi="宋体"/>
          <w:sz w:val="24"/>
        </w:rPr>
        <w:t>第三者责任险的保险费率：</w:t>
      </w:r>
      <w:r>
        <w:rPr>
          <w:rFonts w:hint="eastAsia" w:ascii="宋体" w:hAnsi="宋体"/>
          <w:sz w:val="24"/>
          <w:u w:val="single"/>
        </w:rPr>
        <w:t>承包人按照保险公司对意外伤害险的保险金额进行投保 。</w:t>
      </w:r>
      <w:r>
        <w:rPr>
          <w:rFonts w:hint="eastAsia" w:ascii="宋体" w:hAnsi="宋体"/>
          <w:sz w:val="24"/>
        </w:rPr>
        <w:t xml:space="preserve">   </w:t>
      </w:r>
    </w:p>
    <w:p w14:paraId="117F6FE7">
      <w:pPr>
        <w:spacing w:line="500" w:lineRule="exact"/>
        <w:rPr>
          <w:rFonts w:ascii="宋体" w:hAnsi="宋体"/>
          <w:sz w:val="24"/>
        </w:rPr>
      </w:pPr>
      <w:r>
        <w:rPr>
          <w:rFonts w:hint="eastAsia" w:ascii="宋体" w:hAnsi="宋体"/>
          <w:sz w:val="24"/>
        </w:rPr>
        <w:t>第三者责任险的保险金额：</w:t>
      </w:r>
      <w:r>
        <w:rPr>
          <w:rFonts w:hint="eastAsia" w:ascii="宋体" w:hAnsi="宋体"/>
          <w:sz w:val="24"/>
          <w:u w:val="single"/>
        </w:rPr>
        <w:t>按照建设行政主管部门的规定办理。</w:t>
      </w:r>
      <w:r>
        <w:rPr>
          <w:rFonts w:hint="eastAsia" w:ascii="宋体" w:hAnsi="宋体"/>
          <w:sz w:val="24"/>
        </w:rPr>
        <w:t xml:space="preserve">   </w:t>
      </w:r>
    </w:p>
    <w:p w14:paraId="2C2C27A7">
      <w:pPr>
        <w:spacing w:line="500" w:lineRule="exact"/>
        <w:rPr>
          <w:rFonts w:ascii="宋体" w:hAnsi="宋体"/>
          <w:b/>
          <w:bCs/>
          <w:sz w:val="24"/>
        </w:rPr>
      </w:pPr>
      <w:r>
        <w:rPr>
          <w:rFonts w:hint="eastAsia" w:ascii="宋体" w:hAnsi="宋体"/>
          <w:b/>
          <w:bCs/>
          <w:sz w:val="24"/>
        </w:rPr>
        <w:t>20.5  其他保险</w:t>
      </w:r>
    </w:p>
    <w:p w14:paraId="045DAE05">
      <w:pPr>
        <w:spacing w:line="500" w:lineRule="exact"/>
        <w:rPr>
          <w:rFonts w:ascii="宋体" w:hAnsi="宋体"/>
          <w:sz w:val="24"/>
        </w:rPr>
      </w:pPr>
      <w:r>
        <w:rPr>
          <w:rFonts w:hint="eastAsia" w:ascii="宋体" w:hAnsi="宋体"/>
          <w:sz w:val="24"/>
        </w:rPr>
        <w:t xml:space="preserve">    需要投保其他内容、保险金额、费率及期限等： </w:t>
      </w:r>
      <w:r>
        <w:rPr>
          <w:rFonts w:hint="eastAsia" w:ascii="宋体" w:hAnsi="宋体"/>
          <w:sz w:val="24"/>
          <w:u w:val="single"/>
        </w:rPr>
        <w:t>由承包人自行考虑确定，费用由承包人自行承担</w:t>
      </w:r>
      <w:r>
        <w:rPr>
          <w:rFonts w:hint="eastAsia" w:ascii="宋体" w:hAnsi="宋体"/>
          <w:sz w:val="24"/>
        </w:rPr>
        <w:t xml:space="preserve">。 </w:t>
      </w:r>
    </w:p>
    <w:p w14:paraId="3673EE1B">
      <w:pPr>
        <w:spacing w:line="500" w:lineRule="exact"/>
        <w:rPr>
          <w:rFonts w:ascii="宋体" w:hAnsi="宋体"/>
          <w:b/>
          <w:bCs/>
          <w:sz w:val="24"/>
        </w:rPr>
      </w:pPr>
      <w:r>
        <w:rPr>
          <w:rFonts w:hint="eastAsia" w:ascii="宋体" w:hAnsi="宋体"/>
          <w:b/>
          <w:bCs/>
          <w:sz w:val="24"/>
        </w:rPr>
        <w:t>20.6  对各项保险的一般要求</w:t>
      </w:r>
    </w:p>
    <w:p w14:paraId="5C5C4729">
      <w:pPr>
        <w:spacing w:line="500" w:lineRule="exact"/>
        <w:rPr>
          <w:rFonts w:ascii="宋体" w:hAnsi="宋体"/>
          <w:b/>
          <w:bCs/>
          <w:sz w:val="24"/>
        </w:rPr>
      </w:pPr>
      <w:r>
        <w:rPr>
          <w:rFonts w:hint="eastAsia" w:ascii="宋体" w:hAnsi="宋体"/>
          <w:b/>
          <w:bCs/>
          <w:sz w:val="24"/>
        </w:rPr>
        <w:t>20.6.1  保险凭证</w:t>
      </w:r>
    </w:p>
    <w:p w14:paraId="76BBE3B3">
      <w:pPr>
        <w:spacing w:line="500" w:lineRule="exact"/>
        <w:rPr>
          <w:rFonts w:ascii="宋体" w:hAnsi="宋体"/>
          <w:sz w:val="24"/>
          <w:u w:val="single"/>
        </w:rPr>
      </w:pPr>
      <w:r>
        <w:rPr>
          <w:rFonts w:hint="eastAsia" w:ascii="宋体" w:hAnsi="宋体"/>
          <w:sz w:val="24"/>
        </w:rPr>
        <w:t xml:space="preserve">    保险条件：</w:t>
      </w:r>
      <w:r>
        <w:rPr>
          <w:rFonts w:hint="eastAsia" w:ascii="宋体" w:hAnsi="宋体"/>
          <w:sz w:val="24"/>
          <w:u w:val="single"/>
        </w:rPr>
        <w:t xml:space="preserve">按建筑工程一切险的要求。 </w:t>
      </w:r>
    </w:p>
    <w:p w14:paraId="57D6A886">
      <w:pPr>
        <w:spacing w:line="500" w:lineRule="exact"/>
        <w:rPr>
          <w:rFonts w:ascii="宋体" w:hAnsi="宋体"/>
          <w:sz w:val="24"/>
        </w:rPr>
      </w:pPr>
      <w:r>
        <w:rPr>
          <w:rFonts w:hint="eastAsia" w:ascii="宋体" w:hAnsi="宋体"/>
          <w:sz w:val="24"/>
        </w:rPr>
        <w:t xml:space="preserve">    中标人提交保险凭证的期限：</w:t>
      </w:r>
      <w:r>
        <w:rPr>
          <w:rFonts w:hint="eastAsia" w:ascii="宋体" w:hAnsi="宋体"/>
          <w:sz w:val="24"/>
          <w:u w:val="single"/>
        </w:rPr>
        <w:t>承包人在开工前提交。</w:t>
      </w:r>
      <w:r>
        <w:rPr>
          <w:rFonts w:hint="eastAsia" w:ascii="宋体" w:hAnsi="宋体"/>
          <w:sz w:val="24"/>
        </w:rPr>
        <w:t xml:space="preserve">    </w:t>
      </w:r>
    </w:p>
    <w:p w14:paraId="20F5925F">
      <w:pPr>
        <w:spacing w:line="500" w:lineRule="exact"/>
        <w:rPr>
          <w:rFonts w:ascii="宋体" w:hAnsi="宋体"/>
          <w:b/>
          <w:bCs/>
          <w:sz w:val="24"/>
        </w:rPr>
      </w:pPr>
      <w:r>
        <w:rPr>
          <w:rFonts w:hint="eastAsia" w:ascii="宋体" w:hAnsi="宋体"/>
          <w:b/>
          <w:bCs/>
          <w:sz w:val="24"/>
        </w:rPr>
        <w:t>20.6.4  对各项保险的一般要求</w:t>
      </w:r>
    </w:p>
    <w:p w14:paraId="15262C75">
      <w:pPr>
        <w:spacing w:line="500" w:lineRule="exact"/>
        <w:rPr>
          <w:rFonts w:ascii="宋体" w:hAnsi="宋体"/>
          <w:sz w:val="24"/>
          <w:u w:val="single"/>
        </w:rPr>
      </w:pPr>
      <w:r>
        <w:rPr>
          <w:rFonts w:hint="eastAsia" w:ascii="宋体" w:hAnsi="宋体"/>
          <w:sz w:val="24"/>
        </w:rPr>
        <w:t xml:space="preserve">    保险金不足以补偿损失时，应由承包人负责补偿的范围与金额：</w:t>
      </w:r>
      <w:r>
        <w:rPr>
          <w:rFonts w:hint="eastAsia" w:ascii="宋体" w:hAnsi="宋体"/>
          <w:sz w:val="24"/>
          <w:u w:val="single"/>
        </w:rPr>
        <w:t xml:space="preserve">承包人负责不足部分。 </w:t>
      </w:r>
    </w:p>
    <w:p w14:paraId="1F716A1E">
      <w:pPr>
        <w:spacing w:line="500" w:lineRule="exact"/>
        <w:rPr>
          <w:rFonts w:ascii="宋体" w:hAnsi="宋体"/>
          <w:b/>
          <w:bCs/>
          <w:sz w:val="24"/>
        </w:rPr>
      </w:pPr>
      <w:bookmarkStart w:id="518" w:name="_Toc446108044"/>
      <w:bookmarkStart w:id="519" w:name="_Toc410381420"/>
      <w:bookmarkStart w:id="520" w:name="_Toc442514383"/>
      <w:bookmarkStart w:id="521" w:name="_Toc361654003"/>
      <w:r>
        <w:rPr>
          <w:rFonts w:hint="eastAsia" w:ascii="宋体" w:hAnsi="宋体"/>
          <w:b/>
          <w:bCs/>
          <w:sz w:val="24"/>
        </w:rPr>
        <w:t>21.  不可抗力</w:t>
      </w:r>
      <w:bookmarkEnd w:id="518"/>
      <w:bookmarkEnd w:id="519"/>
      <w:bookmarkEnd w:id="520"/>
      <w:bookmarkEnd w:id="521"/>
    </w:p>
    <w:p w14:paraId="4799A07C">
      <w:pPr>
        <w:spacing w:line="500" w:lineRule="exact"/>
        <w:rPr>
          <w:rFonts w:ascii="宋体" w:hAnsi="宋体"/>
          <w:b/>
          <w:bCs/>
          <w:sz w:val="24"/>
        </w:rPr>
      </w:pPr>
      <w:r>
        <w:rPr>
          <w:rFonts w:hint="eastAsia" w:ascii="宋体" w:hAnsi="宋体"/>
          <w:b/>
          <w:bCs/>
          <w:sz w:val="24"/>
        </w:rPr>
        <w:t>21.1  不可抗力的确认</w:t>
      </w:r>
    </w:p>
    <w:p w14:paraId="255F7C94">
      <w:pPr>
        <w:spacing w:line="500" w:lineRule="exact"/>
        <w:rPr>
          <w:rFonts w:ascii="宋体" w:hAnsi="宋体"/>
          <w:sz w:val="24"/>
        </w:rPr>
      </w:pPr>
      <w:r>
        <w:rPr>
          <w:rFonts w:hint="eastAsia" w:ascii="宋体" w:hAnsi="宋体"/>
          <w:sz w:val="24"/>
        </w:rPr>
        <w:t xml:space="preserve">    不可抗力的范围：</w:t>
      </w:r>
      <w:r>
        <w:rPr>
          <w:rFonts w:hint="eastAsia" w:ascii="宋体" w:hAnsi="宋体"/>
          <w:sz w:val="24"/>
          <w:u w:val="single"/>
        </w:rPr>
        <w:t>按通用条款执行。</w:t>
      </w:r>
    </w:p>
    <w:p w14:paraId="3A40F90E">
      <w:pPr>
        <w:spacing w:line="500" w:lineRule="exact"/>
        <w:rPr>
          <w:rFonts w:ascii="宋体" w:hAnsi="宋体"/>
          <w:b/>
          <w:bCs/>
          <w:sz w:val="24"/>
        </w:rPr>
      </w:pPr>
      <w:r>
        <w:rPr>
          <w:rFonts w:hint="eastAsia" w:ascii="宋体" w:hAnsi="宋体"/>
          <w:b/>
          <w:bCs/>
          <w:sz w:val="24"/>
        </w:rPr>
        <w:t>21.3  不可抗力后果及其处理</w:t>
      </w:r>
    </w:p>
    <w:p w14:paraId="34641128">
      <w:pPr>
        <w:spacing w:line="500" w:lineRule="exact"/>
        <w:rPr>
          <w:rFonts w:ascii="宋体" w:hAnsi="宋体"/>
          <w:sz w:val="24"/>
        </w:rPr>
      </w:pPr>
      <w:r>
        <w:rPr>
          <w:rFonts w:hint="eastAsia" w:ascii="宋体" w:hAnsi="宋体"/>
          <w:sz w:val="24"/>
        </w:rPr>
        <w:t>21.3.1  不可抗力造成损害的责任</w:t>
      </w:r>
    </w:p>
    <w:p w14:paraId="79AB6190">
      <w:pPr>
        <w:spacing w:line="500" w:lineRule="exact"/>
        <w:ind w:firstLine="480" w:firstLineChars="200"/>
        <w:rPr>
          <w:rStyle w:val="274"/>
          <w:sz w:val="24"/>
        </w:rPr>
      </w:pPr>
      <w:r>
        <w:rPr>
          <w:rFonts w:hint="eastAsia" w:ascii="宋体" w:hAnsi="宋体"/>
          <w:sz w:val="24"/>
        </w:rPr>
        <w:t>不可抗力导致的人员伤亡、财产损失、费用增加和(或)工期延误由合同双方按以下方法承担：</w:t>
      </w:r>
      <w:r>
        <w:rPr>
          <w:rFonts w:hint="eastAsia" w:ascii="宋体" w:hAnsi="宋体"/>
          <w:sz w:val="24"/>
          <w:u w:val="single"/>
        </w:rPr>
        <w:t xml:space="preserve"> 按通用条款解释执行。</w:t>
      </w:r>
    </w:p>
    <w:p w14:paraId="207F32F9">
      <w:pPr>
        <w:spacing w:line="500" w:lineRule="exact"/>
        <w:rPr>
          <w:rFonts w:ascii="宋体" w:hAnsi="宋体"/>
          <w:b/>
          <w:bCs/>
          <w:sz w:val="24"/>
        </w:rPr>
      </w:pPr>
      <w:r>
        <w:rPr>
          <w:rFonts w:hint="eastAsia" w:ascii="宋体" w:hAnsi="宋体"/>
          <w:b/>
          <w:bCs/>
          <w:sz w:val="24"/>
        </w:rPr>
        <w:t>22.3 竣工时间延误罚款</w:t>
      </w:r>
    </w:p>
    <w:p w14:paraId="0935D8FA">
      <w:pPr>
        <w:spacing w:line="500" w:lineRule="exact"/>
        <w:rPr>
          <w:rFonts w:ascii="宋体" w:hAnsi="宋体"/>
          <w:sz w:val="24"/>
        </w:rPr>
      </w:pPr>
      <w:r>
        <w:rPr>
          <w:rFonts w:hint="eastAsia" w:ascii="宋体" w:hAnsi="宋体"/>
          <w:sz w:val="24"/>
        </w:rPr>
        <w:t>22.3.1、凡因发包人重大设计变更或不可抗力造成的工期延误，均应在工期延误部分的施工内容后的第一个验收程序验收前延期签单，在结算审计时提交审核部门。</w:t>
      </w:r>
    </w:p>
    <w:p w14:paraId="546FBE1B">
      <w:pPr>
        <w:spacing w:line="500" w:lineRule="exact"/>
        <w:rPr>
          <w:rFonts w:ascii="宋体" w:hAnsi="宋体"/>
          <w:sz w:val="24"/>
        </w:rPr>
      </w:pPr>
      <w:r>
        <w:rPr>
          <w:rFonts w:hint="eastAsia" w:ascii="宋体" w:hAnsi="宋体"/>
          <w:sz w:val="24"/>
        </w:rPr>
        <w:t>22.3.2、在工程竣工验收后，30天内（验收截止日期计算）完成结算送审工作，因承包人原因延期一天1000元/天算违约金（不超过合同金额的百分之一），若超过50天（验收截止日期计算）仍然未递交送审结算资料，将由业主单位已有资料递交审核单位进行结算审核。</w:t>
      </w:r>
    </w:p>
    <w:p w14:paraId="4FC442CB">
      <w:pPr>
        <w:spacing w:line="500" w:lineRule="exact"/>
        <w:rPr>
          <w:rFonts w:ascii="宋体" w:hAnsi="宋体"/>
          <w:sz w:val="24"/>
        </w:rPr>
      </w:pPr>
      <w:r>
        <w:rPr>
          <w:rFonts w:hint="eastAsia" w:ascii="宋体" w:hAnsi="宋体"/>
          <w:sz w:val="24"/>
        </w:rPr>
        <w:t>22.3.3、竣工验收合格后，档案资料须在30天内上交，延期一天按1000元/天计算违约金，本项违约金总金额不得超过合同金额的百分之一。</w:t>
      </w:r>
    </w:p>
    <w:p w14:paraId="3C271849">
      <w:pPr>
        <w:spacing w:line="500" w:lineRule="exact"/>
        <w:rPr>
          <w:rFonts w:ascii="宋体" w:hAnsi="宋体"/>
          <w:sz w:val="24"/>
        </w:rPr>
      </w:pPr>
      <w:r>
        <w:rPr>
          <w:rFonts w:hint="eastAsia" w:ascii="宋体" w:hAnsi="宋体"/>
          <w:sz w:val="24"/>
        </w:rPr>
        <w:t>22.3.4、所有延期违约金由审核单位审定并体现在审核报告中。</w:t>
      </w:r>
    </w:p>
    <w:p w14:paraId="7A07A6D9">
      <w:pPr>
        <w:spacing w:line="500" w:lineRule="exact"/>
        <w:rPr>
          <w:rFonts w:ascii="宋体" w:hAnsi="宋体"/>
          <w:b/>
          <w:bCs/>
          <w:sz w:val="24"/>
        </w:rPr>
      </w:pPr>
      <w:r>
        <w:rPr>
          <w:rFonts w:hint="eastAsia" w:ascii="宋体" w:hAnsi="宋体"/>
          <w:b/>
          <w:bCs/>
          <w:sz w:val="24"/>
        </w:rPr>
        <w:t>22.4结算审计</w:t>
      </w:r>
    </w:p>
    <w:p w14:paraId="71842DA4">
      <w:pPr>
        <w:spacing w:line="360" w:lineRule="auto"/>
        <w:rPr>
          <w:rFonts w:ascii="宋体" w:hAnsi="宋体"/>
          <w:sz w:val="24"/>
        </w:rPr>
      </w:pPr>
      <w:r>
        <w:rPr>
          <w:rFonts w:hint="eastAsia" w:ascii="宋体" w:hAnsi="宋体"/>
          <w:sz w:val="24"/>
        </w:rPr>
        <w:t>24.4.1、</w:t>
      </w:r>
      <w:r>
        <w:rPr>
          <w:rFonts w:hint="eastAsia" w:ascii="宋体" w:hAnsi="宋体"/>
          <w:sz w:val="24"/>
          <w:u w:val="single"/>
        </w:rPr>
        <w:t>工程竣工结算报送审核机构审核时，若审减率小于或等于5%，审核咨询费由发包人全部承担，若审减率大于5%，审核咨询费由承包单位全部承担。</w:t>
      </w:r>
    </w:p>
    <w:p w14:paraId="17AA0757">
      <w:pPr>
        <w:spacing w:line="500" w:lineRule="exact"/>
        <w:rPr>
          <w:rFonts w:ascii="宋体" w:hAnsi="宋体"/>
          <w:sz w:val="24"/>
        </w:rPr>
      </w:pPr>
      <w:r>
        <w:rPr>
          <w:rFonts w:hint="eastAsia" w:ascii="宋体" w:hAnsi="宋体"/>
          <w:b/>
          <w:bCs/>
          <w:sz w:val="24"/>
        </w:rPr>
        <w:t>22.5技术措施费包干使用</w:t>
      </w:r>
      <w:r>
        <w:rPr>
          <w:rFonts w:hint="eastAsia" w:ascii="宋体" w:hAnsi="宋体"/>
          <w:sz w:val="24"/>
        </w:rPr>
        <w:t>。</w:t>
      </w:r>
    </w:p>
    <w:p w14:paraId="091DFC27">
      <w:pPr>
        <w:spacing w:line="500" w:lineRule="exact"/>
        <w:rPr>
          <w:rFonts w:ascii="宋体" w:hAnsi="宋体"/>
          <w:sz w:val="24"/>
        </w:rPr>
      </w:pPr>
      <w:r>
        <w:rPr>
          <w:rFonts w:hint="eastAsia" w:ascii="宋体" w:hAnsi="宋体"/>
          <w:b/>
          <w:bCs/>
          <w:sz w:val="24"/>
        </w:rPr>
        <w:t>22.6</w:t>
      </w:r>
      <w:r>
        <w:rPr>
          <w:rFonts w:hint="eastAsia" w:ascii="宋体" w:hAnsi="宋体"/>
          <w:sz w:val="24"/>
        </w:rPr>
        <w:t>承包人不得拖欠民工工资，如因承包人原因拖欠民工工资或劳务费结算等发生纠纷 ,应按重庆市有关政策规定承担责任外，发包人有权从承包人应得的任何工程款项或履约保证金中扣出，并直接支付给农民工。</w:t>
      </w:r>
    </w:p>
    <w:p w14:paraId="6BBC3523">
      <w:pPr>
        <w:spacing w:line="500" w:lineRule="exact"/>
        <w:rPr>
          <w:rFonts w:ascii="宋体" w:hAnsi="宋体"/>
          <w:b/>
          <w:bCs/>
          <w:sz w:val="24"/>
        </w:rPr>
      </w:pPr>
      <w:r>
        <w:rPr>
          <w:rFonts w:hint="eastAsia" w:ascii="宋体" w:hAnsi="宋体"/>
          <w:b/>
          <w:bCs/>
          <w:sz w:val="24"/>
        </w:rPr>
        <w:t>23.仲裁或诉讼</w:t>
      </w:r>
    </w:p>
    <w:p w14:paraId="139A7868">
      <w:pPr>
        <w:spacing w:line="500" w:lineRule="exact"/>
        <w:rPr>
          <w:rFonts w:ascii="宋体" w:hAnsi="宋体"/>
          <w:sz w:val="24"/>
        </w:rPr>
      </w:pPr>
      <w:r>
        <w:rPr>
          <w:rFonts w:hint="eastAsia" w:ascii="宋体" w:hAnsi="宋体"/>
          <w:sz w:val="24"/>
        </w:rPr>
        <w:t xml:space="preserve">因合同及合同有关事项发生的争议，按下列（2）方式解决。 </w:t>
      </w:r>
    </w:p>
    <w:p w14:paraId="1E0722C8">
      <w:pPr>
        <w:spacing w:line="500" w:lineRule="exact"/>
        <w:rPr>
          <w:rFonts w:ascii="宋体" w:hAnsi="宋体"/>
          <w:sz w:val="24"/>
        </w:rPr>
      </w:pPr>
      <w:r>
        <w:rPr>
          <w:rFonts w:hint="eastAsia" w:ascii="宋体" w:hAnsi="宋体"/>
          <w:sz w:val="24"/>
        </w:rPr>
        <w:t>（1）向重庆仲裁委员会建设工程仲裁院申请仲裁；</w:t>
      </w:r>
    </w:p>
    <w:p w14:paraId="3653E95C">
      <w:pPr>
        <w:spacing w:line="500" w:lineRule="exact"/>
        <w:rPr>
          <w:rFonts w:ascii="宋体" w:hAnsi="宋体"/>
          <w:sz w:val="24"/>
        </w:rPr>
      </w:pPr>
      <w:r>
        <w:rPr>
          <w:rFonts w:hint="eastAsia" w:ascii="宋体" w:hAnsi="宋体"/>
          <w:sz w:val="24"/>
        </w:rPr>
        <w:t>（2）向万州区人民法院起诉。</w:t>
      </w:r>
    </w:p>
    <w:p w14:paraId="2C4130C6">
      <w:pPr>
        <w:spacing w:line="500" w:lineRule="exact"/>
        <w:rPr>
          <w:rFonts w:ascii="宋体" w:hAnsi="宋体"/>
          <w:b/>
          <w:sz w:val="24"/>
        </w:rPr>
      </w:pPr>
      <w:r>
        <w:rPr>
          <w:rFonts w:hint="eastAsia" w:ascii="宋体" w:hAnsi="宋体"/>
          <w:b/>
          <w:sz w:val="24"/>
        </w:rPr>
        <w:t>24.其他补充条款</w:t>
      </w:r>
    </w:p>
    <w:p w14:paraId="3E92E1F8">
      <w:pPr>
        <w:spacing w:line="500" w:lineRule="exact"/>
        <w:rPr>
          <w:rFonts w:ascii="宋体" w:hAnsi="宋体"/>
          <w:bCs/>
          <w:sz w:val="24"/>
        </w:rPr>
      </w:pPr>
      <w:r>
        <w:rPr>
          <w:rFonts w:hint="eastAsia" w:ascii="宋体" w:hAnsi="宋体"/>
          <w:bCs/>
          <w:sz w:val="24"/>
        </w:rPr>
        <w:t xml:space="preserve">   24.1.其他要求</w:t>
      </w:r>
      <w:r>
        <w:rPr>
          <w:rFonts w:hint="eastAsia" w:ascii="宋体" w:hAnsi="宋体"/>
          <w:bCs/>
          <w:sz w:val="24"/>
        </w:rPr>
        <w:tab/>
      </w:r>
    </w:p>
    <w:p w14:paraId="0556C531">
      <w:pPr>
        <w:spacing w:line="500" w:lineRule="exact"/>
        <w:rPr>
          <w:rFonts w:ascii="宋体" w:hAnsi="宋体"/>
          <w:bCs/>
          <w:sz w:val="24"/>
        </w:rPr>
      </w:pPr>
      <w:r>
        <w:rPr>
          <w:rFonts w:hint="eastAsia" w:ascii="宋体" w:hAnsi="宋体"/>
          <w:bCs/>
          <w:sz w:val="24"/>
        </w:rPr>
        <w:t xml:space="preserve">   24.1.1 200元以内的水电费由发包人承担，超出部分从结算价款中扣除。</w:t>
      </w:r>
    </w:p>
    <w:p w14:paraId="5A851926">
      <w:pPr>
        <w:spacing w:line="500" w:lineRule="exact"/>
        <w:rPr>
          <w:rFonts w:ascii="宋体" w:hAnsi="宋体"/>
          <w:bCs/>
          <w:sz w:val="24"/>
        </w:rPr>
      </w:pPr>
      <w:r>
        <w:rPr>
          <w:rFonts w:hint="eastAsia" w:ascii="宋体" w:hAnsi="宋体"/>
          <w:bCs/>
          <w:sz w:val="24"/>
        </w:rPr>
        <w:t xml:space="preserve">   24.1.2 在项目实施过程中，招标人若发现中标人的分部分项工程量清单综合单价报价存在以下情况的，在工程结算时招标人将以发出的分部分项工程量清单综合单价最高限价为基础，按照中标人的最高限价与中标总报价的下浮比例进行同比例下调作为其分部分项单价报价,中标人必须无条件接受，否则招标人有权终止合同，其投标保证金或履约保证金不予退还。</w:t>
      </w:r>
    </w:p>
    <w:p w14:paraId="46B9E8C2">
      <w:pPr>
        <w:spacing w:line="500" w:lineRule="exact"/>
        <w:rPr>
          <w:rFonts w:ascii="宋体" w:hAnsi="宋体"/>
          <w:bCs/>
          <w:sz w:val="24"/>
        </w:rPr>
      </w:pPr>
      <w:r>
        <w:rPr>
          <w:rFonts w:hint="eastAsia" w:ascii="宋体" w:hAnsi="宋体"/>
          <w:bCs/>
          <w:sz w:val="24"/>
        </w:rPr>
        <w:t xml:space="preserve">  （1）中标人的分部分项工程量清单综合单价报价超过招标时给出的分部分项工程量清单综合单价最高限价的；</w:t>
      </w:r>
    </w:p>
    <w:p w14:paraId="3AB1F44D">
      <w:pPr>
        <w:spacing w:line="500" w:lineRule="exact"/>
        <w:rPr>
          <w:rFonts w:ascii="宋体" w:hAnsi="宋体"/>
          <w:bCs/>
          <w:sz w:val="24"/>
        </w:rPr>
      </w:pPr>
      <w:r>
        <w:rPr>
          <w:rFonts w:hint="eastAsia" w:ascii="宋体" w:hAnsi="宋体"/>
          <w:bCs/>
          <w:sz w:val="24"/>
        </w:rPr>
        <w:t xml:space="preserve">  （2）中标人擅自更改了招标人给出的分部分项清单工程量的；</w:t>
      </w:r>
    </w:p>
    <w:p w14:paraId="27CDA31E">
      <w:pPr>
        <w:spacing w:line="500" w:lineRule="exact"/>
        <w:rPr>
          <w:rFonts w:ascii="宋体" w:hAnsi="宋体"/>
          <w:bCs/>
          <w:sz w:val="24"/>
        </w:rPr>
      </w:pPr>
      <w:r>
        <w:rPr>
          <w:rFonts w:hint="eastAsia" w:ascii="宋体" w:hAnsi="宋体"/>
          <w:bCs/>
          <w:sz w:val="24"/>
        </w:rPr>
        <w:t xml:space="preserve">  （3）中标人中标总价小于各工程量清单报价之和的。</w:t>
      </w:r>
    </w:p>
    <w:p w14:paraId="4DF5C9D0">
      <w:pPr>
        <w:spacing w:line="500" w:lineRule="exact"/>
        <w:rPr>
          <w:rFonts w:ascii="宋体" w:hAnsi="宋体"/>
          <w:szCs w:val="21"/>
        </w:rPr>
      </w:pPr>
      <w:r>
        <w:rPr>
          <w:rFonts w:hint="eastAsia" w:ascii="宋体" w:hAnsi="宋体"/>
          <w:b/>
          <w:bCs/>
          <w:sz w:val="24"/>
        </w:rPr>
        <w:t xml:space="preserve">  24.2</w:t>
      </w:r>
      <w:r>
        <w:rPr>
          <w:rFonts w:hint="eastAsia" w:ascii="宋体" w:hAnsi="宋体"/>
          <w:sz w:val="24"/>
        </w:rPr>
        <w:t>本专用合同条款仅拟定主要实质性条款，其余未拟定的内容由发包人和承包人在签订施工合同中具体约定。</w:t>
      </w:r>
    </w:p>
    <w:p w14:paraId="4CCBAAA1">
      <w:pPr>
        <w:pStyle w:val="157"/>
        <w:ind w:firstLine="482"/>
        <w:jc w:val="center"/>
        <w:rPr>
          <w:rFonts w:ascii="宋体" w:hAnsi="宋体"/>
          <w:b/>
        </w:rPr>
      </w:pPr>
      <w:bookmarkStart w:id="522" w:name="_Toc18001052"/>
      <w:bookmarkStart w:id="523" w:name="_Toc14337144"/>
      <w:bookmarkStart w:id="524" w:name="_Toc21118209"/>
      <w:bookmarkStart w:id="525" w:name="_Toc4568867"/>
      <w:bookmarkStart w:id="526" w:name="_Toc18000994"/>
      <w:r>
        <w:rPr>
          <w:rFonts w:hint="eastAsia" w:ascii="宋体" w:hAnsi="宋体"/>
          <w:b/>
        </w:rPr>
        <w:t>第四节  合同附件格式</w:t>
      </w:r>
      <w:bookmarkEnd w:id="522"/>
      <w:bookmarkEnd w:id="523"/>
      <w:bookmarkEnd w:id="524"/>
      <w:bookmarkEnd w:id="525"/>
      <w:bookmarkEnd w:id="526"/>
    </w:p>
    <w:p w14:paraId="5F3ECF93">
      <w:pPr>
        <w:pStyle w:val="157"/>
        <w:ind w:firstLine="480"/>
        <w:rPr>
          <w:rFonts w:ascii="宋体" w:hAnsi="宋体"/>
        </w:rPr>
      </w:pPr>
      <w:r>
        <w:rPr>
          <w:rFonts w:hint="eastAsia" w:ascii="宋体" w:hAnsi="宋体"/>
        </w:rPr>
        <w:t>附件1：工程质量保修书</w:t>
      </w:r>
    </w:p>
    <w:p w14:paraId="6525AD3A">
      <w:pPr>
        <w:pStyle w:val="157"/>
        <w:ind w:firstLine="480"/>
        <w:rPr>
          <w:rFonts w:ascii="宋体" w:hAnsi="宋体"/>
        </w:rPr>
      </w:pPr>
      <w:r>
        <w:rPr>
          <w:rFonts w:hint="eastAsia" w:ascii="宋体" w:hAnsi="宋体"/>
        </w:rPr>
        <w:t>附件2：廉洁从业协议</w:t>
      </w:r>
    </w:p>
    <w:p w14:paraId="2CC486AC">
      <w:pPr>
        <w:pStyle w:val="157"/>
        <w:ind w:firstLine="480"/>
        <w:rPr>
          <w:rFonts w:ascii="宋体" w:hAnsi="宋体"/>
        </w:rPr>
      </w:pPr>
      <w:r>
        <w:rPr>
          <w:rFonts w:hint="eastAsia" w:ascii="宋体" w:hAnsi="宋体"/>
        </w:rPr>
        <w:t>附件3：安全管理协议</w:t>
      </w:r>
    </w:p>
    <w:p w14:paraId="296F128D">
      <w:pPr>
        <w:pStyle w:val="157"/>
        <w:ind w:firstLine="480"/>
        <w:rPr>
          <w:rFonts w:ascii="宋体" w:hAnsi="宋体"/>
        </w:rPr>
      </w:pPr>
      <w:r>
        <w:rPr>
          <w:rFonts w:hint="eastAsia" w:ascii="宋体" w:hAnsi="宋体"/>
        </w:rPr>
        <w:t>附件4：农民工工资支付承诺</w:t>
      </w:r>
    </w:p>
    <w:p w14:paraId="5EDF42EB">
      <w:pPr>
        <w:ind w:right="560"/>
        <w:rPr>
          <w:rFonts w:ascii="宋体" w:hAnsi="宋体" w:cs="宋体"/>
          <w:sz w:val="24"/>
        </w:rPr>
      </w:pPr>
    </w:p>
    <w:p w14:paraId="1034C1F0">
      <w:pPr>
        <w:ind w:right="560"/>
        <w:rPr>
          <w:rFonts w:ascii="宋体" w:hAnsi="宋体" w:cs="宋体"/>
          <w:sz w:val="24"/>
        </w:rPr>
      </w:pPr>
    </w:p>
    <w:p w14:paraId="118BA9F5">
      <w:pPr>
        <w:ind w:right="560"/>
        <w:rPr>
          <w:rFonts w:ascii="宋体" w:hAnsi="宋体" w:cs="宋体"/>
          <w:sz w:val="24"/>
        </w:rPr>
      </w:pPr>
    </w:p>
    <w:p w14:paraId="5EA7E1B1">
      <w:pPr>
        <w:ind w:right="560"/>
        <w:rPr>
          <w:rFonts w:ascii="宋体" w:hAnsi="宋体" w:cs="宋体"/>
          <w:sz w:val="24"/>
        </w:rPr>
      </w:pPr>
    </w:p>
    <w:p w14:paraId="77C1C0D4">
      <w:pPr>
        <w:ind w:right="560"/>
        <w:rPr>
          <w:rFonts w:ascii="宋体" w:hAnsi="宋体" w:cs="宋体"/>
          <w:sz w:val="24"/>
        </w:rPr>
      </w:pPr>
    </w:p>
    <w:p w14:paraId="6A83FA95">
      <w:pPr>
        <w:pStyle w:val="23"/>
        <w:rPr>
          <w:rFonts w:ascii="宋体" w:hAnsi="宋体" w:cs="宋体"/>
          <w:sz w:val="24"/>
        </w:rPr>
      </w:pPr>
    </w:p>
    <w:p w14:paraId="58C375D0">
      <w:pPr>
        <w:rPr>
          <w:rFonts w:ascii="宋体" w:hAnsi="宋体" w:cs="宋体"/>
          <w:sz w:val="24"/>
        </w:rPr>
      </w:pPr>
    </w:p>
    <w:p w14:paraId="3A202D7F">
      <w:pPr>
        <w:pStyle w:val="23"/>
        <w:rPr>
          <w:rFonts w:ascii="宋体" w:hAnsi="宋体" w:cs="宋体"/>
          <w:sz w:val="24"/>
        </w:rPr>
      </w:pPr>
    </w:p>
    <w:p w14:paraId="598850A8">
      <w:pPr>
        <w:rPr>
          <w:rFonts w:ascii="宋体" w:hAnsi="宋体" w:cs="宋体"/>
          <w:sz w:val="24"/>
        </w:rPr>
      </w:pPr>
    </w:p>
    <w:p w14:paraId="128F9240">
      <w:pPr>
        <w:pStyle w:val="23"/>
        <w:rPr>
          <w:rFonts w:ascii="宋体" w:hAnsi="宋体" w:cs="宋体"/>
          <w:sz w:val="24"/>
        </w:rPr>
      </w:pPr>
    </w:p>
    <w:p w14:paraId="755A4FB4">
      <w:pPr>
        <w:rPr>
          <w:rFonts w:ascii="宋体" w:hAnsi="宋体" w:cs="宋体"/>
          <w:sz w:val="24"/>
        </w:rPr>
      </w:pPr>
    </w:p>
    <w:p w14:paraId="0F4AAA86">
      <w:pPr>
        <w:pStyle w:val="23"/>
        <w:rPr>
          <w:rFonts w:ascii="宋体" w:hAnsi="宋体" w:cs="宋体"/>
          <w:sz w:val="24"/>
        </w:rPr>
      </w:pPr>
    </w:p>
    <w:p w14:paraId="79419863">
      <w:pPr>
        <w:rPr>
          <w:rFonts w:ascii="宋体" w:hAnsi="宋体" w:cs="宋体"/>
          <w:sz w:val="24"/>
        </w:rPr>
      </w:pPr>
    </w:p>
    <w:p w14:paraId="71505DE3">
      <w:pPr>
        <w:pStyle w:val="23"/>
        <w:rPr>
          <w:rFonts w:ascii="宋体" w:hAnsi="宋体" w:cs="宋体"/>
          <w:sz w:val="24"/>
        </w:rPr>
      </w:pPr>
    </w:p>
    <w:p w14:paraId="0E2A6074">
      <w:pPr>
        <w:rPr>
          <w:rFonts w:ascii="宋体" w:hAnsi="宋体" w:cs="宋体"/>
          <w:sz w:val="24"/>
        </w:rPr>
      </w:pPr>
    </w:p>
    <w:p w14:paraId="455E86D4">
      <w:pPr>
        <w:pStyle w:val="23"/>
        <w:rPr>
          <w:rFonts w:ascii="宋体" w:hAnsi="宋体" w:cs="宋体"/>
          <w:sz w:val="24"/>
        </w:rPr>
      </w:pPr>
    </w:p>
    <w:p w14:paraId="6D1B3DAA">
      <w:pPr>
        <w:rPr>
          <w:rFonts w:ascii="宋体" w:hAnsi="宋体" w:cs="宋体"/>
          <w:sz w:val="24"/>
        </w:rPr>
      </w:pPr>
    </w:p>
    <w:p w14:paraId="4F354AB3">
      <w:pPr>
        <w:pStyle w:val="23"/>
        <w:rPr>
          <w:rFonts w:ascii="宋体" w:hAnsi="宋体" w:cs="宋体"/>
          <w:sz w:val="24"/>
        </w:rPr>
      </w:pPr>
    </w:p>
    <w:p w14:paraId="7C9FB030">
      <w:pPr>
        <w:rPr>
          <w:rFonts w:ascii="宋体" w:hAnsi="宋体" w:cs="宋体"/>
          <w:sz w:val="24"/>
        </w:rPr>
      </w:pPr>
    </w:p>
    <w:p w14:paraId="11EAFA50">
      <w:pPr>
        <w:pStyle w:val="23"/>
        <w:rPr>
          <w:rFonts w:ascii="宋体" w:hAnsi="宋体" w:cs="宋体"/>
          <w:sz w:val="24"/>
        </w:rPr>
      </w:pPr>
    </w:p>
    <w:p w14:paraId="496CA33F">
      <w:pPr>
        <w:rPr>
          <w:rFonts w:ascii="宋体" w:hAnsi="宋体" w:cs="宋体"/>
          <w:sz w:val="24"/>
        </w:rPr>
      </w:pPr>
    </w:p>
    <w:p w14:paraId="1FDF10EA">
      <w:pPr>
        <w:pStyle w:val="23"/>
        <w:rPr>
          <w:rFonts w:ascii="宋体" w:hAnsi="宋体" w:cs="宋体"/>
          <w:sz w:val="24"/>
        </w:rPr>
      </w:pPr>
    </w:p>
    <w:p w14:paraId="2E6FB172"/>
    <w:p w14:paraId="1461D8F6">
      <w:pPr>
        <w:rPr>
          <w:rFonts w:ascii="宋体" w:hAnsi="宋体" w:cs="宋体"/>
          <w:sz w:val="24"/>
        </w:rPr>
      </w:pPr>
    </w:p>
    <w:p w14:paraId="251DCCC6">
      <w:pPr>
        <w:pStyle w:val="23"/>
        <w:rPr>
          <w:rFonts w:ascii="宋体" w:hAnsi="宋体" w:cs="宋体"/>
          <w:sz w:val="24"/>
        </w:rPr>
      </w:pPr>
    </w:p>
    <w:p w14:paraId="328B0326">
      <w:pPr>
        <w:rPr>
          <w:rFonts w:ascii="宋体" w:hAnsi="宋体" w:cs="宋体"/>
          <w:sz w:val="24"/>
        </w:rPr>
      </w:pPr>
    </w:p>
    <w:p w14:paraId="43D52ACD">
      <w:pPr>
        <w:pStyle w:val="23"/>
        <w:rPr>
          <w:rFonts w:hint="eastAsia"/>
        </w:rPr>
      </w:pPr>
      <w:r>
        <w:rPr>
          <w:rFonts w:hint="eastAsia"/>
        </w:rPr>
        <w:br w:type="textWrapping"/>
      </w:r>
    </w:p>
    <w:p w14:paraId="144D617E"/>
    <w:p w14:paraId="6DDA5F87">
      <w:pPr>
        <w:pStyle w:val="23"/>
        <w:rPr>
          <w:rFonts w:ascii="宋体" w:hAnsi="宋体" w:cs="宋体"/>
          <w:sz w:val="24"/>
        </w:rPr>
      </w:pPr>
    </w:p>
    <w:p w14:paraId="16037CB0">
      <w:pPr>
        <w:pStyle w:val="157"/>
        <w:ind w:firstLine="0" w:firstLineChars="0"/>
        <w:jc w:val="left"/>
        <w:rPr>
          <w:rFonts w:ascii="宋体" w:hAnsi="宋体"/>
          <w:b/>
          <w:szCs w:val="24"/>
        </w:rPr>
      </w:pPr>
      <w:r>
        <w:rPr>
          <w:rFonts w:hint="eastAsia" w:ascii="宋体" w:hAnsi="宋体"/>
          <w:b/>
          <w:szCs w:val="24"/>
        </w:rPr>
        <w:t>附</w:t>
      </w:r>
      <w:bookmarkStart w:id="527" w:name="_Toc296944565"/>
      <w:bookmarkStart w:id="528" w:name="_Toc267261693"/>
      <w:bookmarkStart w:id="529" w:name="_Toc296891054"/>
      <w:bookmarkStart w:id="530" w:name="_Toc296347225"/>
      <w:bookmarkStart w:id="531" w:name="_Toc296503226"/>
      <w:bookmarkStart w:id="532" w:name="_Toc296346727"/>
      <w:bookmarkStart w:id="533" w:name="_Toc296891266"/>
      <w:r>
        <w:rPr>
          <w:rFonts w:hint="eastAsia" w:ascii="宋体" w:hAnsi="宋体"/>
          <w:b/>
          <w:szCs w:val="24"/>
        </w:rPr>
        <w:t>件1：</w:t>
      </w:r>
      <w:bookmarkEnd w:id="527"/>
      <w:bookmarkEnd w:id="528"/>
      <w:bookmarkEnd w:id="529"/>
      <w:bookmarkEnd w:id="530"/>
      <w:bookmarkEnd w:id="531"/>
      <w:bookmarkEnd w:id="532"/>
      <w:bookmarkEnd w:id="533"/>
    </w:p>
    <w:p w14:paraId="439C6173">
      <w:pPr>
        <w:spacing w:before="158" w:beforeLines="50" w:after="158" w:afterLines="50" w:line="360" w:lineRule="auto"/>
        <w:jc w:val="center"/>
        <w:rPr>
          <w:rFonts w:ascii="宋体" w:hAnsi="宋体"/>
          <w:szCs w:val="28"/>
        </w:rPr>
      </w:pPr>
      <w:r>
        <w:rPr>
          <w:rFonts w:hint="eastAsia" w:ascii="宋体" w:hAnsi="宋体"/>
          <w:szCs w:val="28"/>
        </w:rPr>
        <w:t>工程质量保修书</w:t>
      </w:r>
    </w:p>
    <w:p w14:paraId="79C2D56B">
      <w:pPr>
        <w:snapToGrid w:val="0"/>
        <w:spacing w:line="360" w:lineRule="auto"/>
        <w:ind w:firstLine="562" w:firstLineChars="200"/>
        <w:rPr>
          <w:rFonts w:ascii="宋体" w:hAnsi="宋体"/>
          <w:b/>
          <w:szCs w:val="21"/>
          <w:u w:val="single"/>
        </w:rPr>
      </w:pPr>
      <w:r>
        <w:rPr>
          <w:rFonts w:hint="eastAsia" w:ascii="宋体" w:hAnsi="宋体"/>
          <w:b/>
          <w:szCs w:val="21"/>
        </w:rPr>
        <w:t>发包人（全称）：</w:t>
      </w:r>
      <w:r>
        <w:rPr>
          <w:rFonts w:hint="eastAsia" w:ascii="宋体" w:hAnsi="宋体"/>
          <w:szCs w:val="21"/>
          <w:u w:val="single"/>
        </w:rPr>
        <w:t xml:space="preserve">                             </w:t>
      </w:r>
    </w:p>
    <w:p w14:paraId="2DC5F57D">
      <w:pPr>
        <w:snapToGrid w:val="0"/>
        <w:spacing w:line="360" w:lineRule="auto"/>
        <w:ind w:firstLine="562" w:firstLineChars="200"/>
        <w:rPr>
          <w:rFonts w:ascii="宋体" w:hAnsi="宋体"/>
          <w:b/>
          <w:szCs w:val="21"/>
          <w:u w:val="single"/>
        </w:rPr>
      </w:pPr>
      <w:r>
        <w:rPr>
          <w:rFonts w:hint="eastAsia" w:ascii="宋体" w:hAnsi="宋体"/>
          <w:b/>
          <w:szCs w:val="21"/>
        </w:rPr>
        <w:t>承包人（全称）：</w:t>
      </w:r>
      <w:r>
        <w:rPr>
          <w:rFonts w:hint="eastAsia" w:ascii="宋体" w:hAnsi="宋体"/>
          <w:szCs w:val="21"/>
          <w:u w:val="single"/>
        </w:rPr>
        <w:t xml:space="preserve">                             </w:t>
      </w:r>
    </w:p>
    <w:p w14:paraId="1C59FF78">
      <w:pPr>
        <w:spacing w:line="360" w:lineRule="auto"/>
        <w:ind w:firstLine="560" w:firstLineChars="200"/>
        <w:rPr>
          <w:rFonts w:ascii="宋体" w:hAnsi="宋体"/>
          <w:szCs w:val="21"/>
        </w:rPr>
      </w:pPr>
      <w:r>
        <w:rPr>
          <w:rFonts w:hint="eastAsia" w:ascii="宋体" w:hAnsi="宋体"/>
          <w:szCs w:val="21"/>
        </w:rPr>
        <w:t>发包人和承包人根据《中华人民共和国建筑法》和《建设工程质量管理条例》，经协商一致就</w:t>
      </w:r>
    </w:p>
    <w:p w14:paraId="6B16245D">
      <w:pPr>
        <w:spacing w:line="360" w:lineRule="auto"/>
        <w:rPr>
          <w:rFonts w:ascii="宋体" w:hAnsi="宋体"/>
          <w:szCs w:val="21"/>
        </w:rPr>
      </w:pPr>
      <w:r>
        <w:rPr>
          <w:rFonts w:hint="eastAsia" w:ascii="宋体" w:hAnsi="宋体"/>
          <w:szCs w:val="21"/>
          <w:u w:val="single"/>
        </w:rPr>
        <w:t xml:space="preserve">        </w:t>
      </w:r>
      <w:r>
        <w:rPr>
          <w:rFonts w:hint="eastAsia" w:ascii="宋体" w:hAnsi="宋体"/>
          <w:szCs w:val="21"/>
        </w:rPr>
        <w:t>（工程全称）签订工程质量保修书。</w:t>
      </w:r>
    </w:p>
    <w:p w14:paraId="737CEB21">
      <w:pPr>
        <w:spacing w:line="360" w:lineRule="auto"/>
        <w:ind w:firstLine="560" w:firstLineChars="200"/>
        <w:rPr>
          <w:rFonts w:ascii="宋体" w:hAnsi="宋体"/>
          <w:szCs w:val="21"/>
        </w:rPr>
      </w:pPr>
      <w:bookmarkStart w:id="534" w:name="_Toc532375687"/>
      <w:r>
        <w:rPr>
          <w:rFonts w:hint="eastAsia" w:ascii="宋体" w:hAnsi="宋体"/>
          <w:szCs w:val="21"/>
        </w:rPr>
        <w:t>一、工程质量保修范围和内容</w:t>
      </w:r>
      <w:bookmarkEnd w:id="534"/>
    </w:p>
    <w:p w14:paraId="1541E183">
      <w:pPr>
        <w:spacing w:line="360" w:lineRule="auto"/>
        <w:ind w:firstLine="560" w:firstLineChars="200"/>
        <w:rPr>
          <w:rFonts w:ascii="宋体" w:hAnsi="宋体"/>
          <w:szCs w:val="21"/>
        </w:rPr>
      </w:pPr>
      <w:r>
        <w:rPr>
          <w:rFonts w:hint="eastAsia" w:ascii="宋体" w:hAnsi="宋体"/>
          <w:szCs w:val="21"/>
        </w:rPr>
        <w:t>承包人在质量保修期内，按照有关法律规定和合同约定，承担工程质量保修责任。</w:t>
      </w:r>
    </w:p>
    <w:p w14:paraId="3AF7A6D1">
      <w:pPr>
        <w:spacing w:line="360" w:lineRule="auto"/>
        <w:ind w:firstLine="560" w:firstLineChars="200"/>
        <w:rPr>
          <w:rFonts w:ascii="宋体" w:hAnsi="宋体"/>
          <w:szCs w:val="21"/>
        </w:rPr>
      </w:pPr>
      <w:r>
        <w:rPr>
          <w:rFonts w:hint="eastAsia" w:ascii="宋体" w:hAnsi="宋体"/>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0B620D4">
      <w:pPr>
        <w:spacing w:line="360" w:lineRule="auto"/>
        <w:ind w:firstLine="560" w:firstLineChars="200"/>
        <w:rPr>
          <w:rFonts w:ascii="宋体" w:hAnsi="宋体"/>
          <w:szCs w:val="21"/>
        </w:rPr>
      </w:pPr>
      <w:r>
        <w:rPr>
          <w:rFonts w:hint="eastAsia" w:ascii="宋体" w:hAnsi="宋体"/>
          <w:szCs w:val="21"/>
        </w:rPr>
        <w:t>承包人承包范围内容均属质量保修范围内容；其中：</w:t>
      </w:r>
    </w:p>
    <w:p w14:paraId="54901096">
      <w:pPr>
        <w:spacing w:line="360" w:lineRule="auto"/>
        <w:ind w:firstLine="560" w:firstLineChars="200"/>
        <w:rPr>
          <w:rFonts w:ascii="宋体" w:hAnsi="宋体"/>
          <w:szCs w:val="21"/>
        </w:rPr>
      </w:pPr>
      <w:r>
        <w:rPr>
          <w:rFonts w:hint="eastAsia" w:ascii="宋体" w:hAnsi="宋体"/>
          <w:szCs w:val="21"/>
        </w:rPr>
        <w:t>1.属于设计原因造成的质量问题，承包人负责维修，不留隐患，费用由发包人承担；</w:t>
      </w:r>
    </w:p>
    <w:p w14:paraId="356A5EDE">
      <w:pPr>
        <w:spacing w:line="360" w:lineRule="auto"/>
        <w:ind w:firstLine="560" w:firstLineChars="200"/>
        <w:rPr>
          <w:rFonts w:ascii="宋体" w:hAnsi="宋体"/>
          <w:szCs w:val="21"/>
        </w:rPr>
      </w:pPr>
      <w:r>
        <w:rPr>
          <w:rFonts w:hint="eastAsia" w:ascii="宋体" w:hAnsi="宋体"/>
          <w:szCs w:val="21"/>
        </w:rPr>
        <w:t>2.属于施工造成的质量问题，承包人负责维修，不留隐患；</w:t>
      </w:r>
    </w:p>
    <w:p w14:paraId="507C789A">
      <w:pPr>
        <w:spacing w:line="360" w:lineRule="auto"/>
        <w:ind w:firstLine="560" w:firstLineChars="200"/>
        <w:rPr>
          <w:rFonts w:ascii="宋体" w:hAnsi="宋体"/>
          <w:szCs w:val="21"/>
        </w:rPr>
      </w:pPr>
      <w:r>
        <w:rPr>
          <w:rFonts w:hint="eastAsia" w:ascii="宋体" w:hAnsi="宋体"/>
          <w:szCs w:val="21"/>
        </w:rPr>
        <w:t>3.属于业主使用不当造成的质量问题，配合抢修，费用由发包人承担。</w:t>
      </w:r>
    </w:p>
    <w:p w14:paraId="49B9F39F">
      <w:pPr>
        <w:spacing w:line="360" w:lineRule="auto"/>
        <w:ind w:firstLine="560" w:firstLineChars="200"/>
        <w:rPr>
          <w:rFonts w:ascii="宋体" w:hAnsi="宋体"/>
          <w:szCs w:val="21"/>
        </w:rPr>
      </w:pPr>
      <w:bookmarkStart w:id="535" w:name="_Toc532375688"/>
      <w:r>
        <w:rPr>
          <w:rFonts w:hint="eastAsia" w:ascii="宋体" w:hAnsi="宋体"/>
          <w:szCs w:val="21"/>
        </w:rPr>
        <w:t>二、质量保修期</w:t>
      </w:r>
      <w:bookmarkEnd w:id="535"/>
    </w:p>
    <w:p w14:paraId="404524CF">
      <w:pPr>
        <w:spacing w:line="360" w:lineRule="auto"/>
        <w:ind w:firstLine="560" w:firstLineChars="200"/>
        <w:rPr>
          <w:rFonts w:ascii="宋体" w:hAnsi="宋体"/>
          <w:szCs w:val="21"/>
        </w:rPr>
      </w:pPr>
      <w:r>
        <w:rPr>
          <w:rFonts w:hint="eastAsia" w:ascii="宋体" w:hAnsi="宋体"/>
          <w:szCs w:val="21"/>
        </w:rPr>
        <w:t>根据《建设工程质量管理条例》及有关规定，本工程质量保修期约定如下：</w:t>
      </w:r>
    </w:p>
    <w:p w14:paraId="2449EEAD">
      <w:pPr>
        <w:spacing w:line="360" w:lineRule="auto"/>
        <w:ind w:firstLine="560" w:firstLineChars="200"/>
        <w:rPr>
          <w:rFonts w:ascii="宋体" w:hAnsi="宋体"/>
          <w:szCs w:val="21"/>
        </w:rPr>
      </w:pPr>
      <w:r>
        <w:rPr>
          <w:rFonts w:hint="eastAsia" w:ascii="宋体" w:hAnsi="宋体"/>
          <w:szCs w:val="21"/>
        </w:rPr>
        <w:t>1.基础设施工程、房屋建筑的地基基础工程和主体结构工程，为设计文件规定的该工程的合理使用年限；</w:t>
      </w:r>
    </w:p>
    <w:p w14:paraId="6A78F823">
      <w:pPr>
        <w:spacing w:line="360" w:lineRule="auto"/>
        <w:ind w:firstLine="560" w:firstLineChars="200"/>
        <w:rPr>
          <w:rFonts w:ascii="宋体" w:hAnsi="宋体"/>
          <w:szCs w:val="21"/>
        </w:rPr>
      </w:pPr>
      <w:r>
        <w:rPr>
          <w:rFonts w:hint="eastAsia" w:ascii="宋体" w:hAnsi="宋体"/>
          <w:szCs w:val="21"/>
        </w:rPr>
        <w:t>2.屋面防水工程、有防水要求的卫生间、房间和外墙面的防渗漏，为5年；</w:t>
      </w:r>
    </w:p>
    <w:p w14:paraId="5DAF0E6B">
      <w:pPr>
        <w:spacing w:line="360" w:lineRule="auto"/>
        <w:ind w:firstLine="560" w:firstLineChars="200"/>
        <w:rPr>
          <w:rFonts w:ascii="宋体" w:hAnsi="宋体"/>
          <w:szCs w:val="21"/>
        </w:rPr>
      </w:pPr>
      <w:r>
        <w:rPr>
          <w:rFonts w:hint="eastAsia" w:ascii="宋体" w:hAnsi="宋体"/>
          <w:szCs w:val="21"/>
        </w:rPr>
        <w:t>3.供热与供冷系统，为2个采暖期、供冷期；</w:t>
      </w:r>
    </w:p>
    <w:p w14:paraId="561C1A3A">
      <w:pPr>
        <w:spacing w:line="360" w:lineRule="auto"/>
        <w:ind w:firstLine="560" w:firstLineChars="200"/>
        <w:rPr>
          <w:rFonts w:ascii="宋体" w:hAnsi="宋体"/>
          <w:szCs w:val="21"/>
        </w:rPr>
      </w:pPr>
      <w:r>
        <w:rPr>
          <w:rFonts w:hint="eastAsia" w:ascii="宋体" w:hAnsi="宋体"/>
          <w:szCs w:val="21"/>
        </w:rPr>
        <w:t>4.电气管线、给排水管道、设备安装和装修工程，为2年；</w:t>
      </w:r>
    </w:p>
    <w:p w14:paraId="096BFF01">
      <w:pPr>
        <w:spacing w:line="360" w:lineRule="auto"/>
        <w:ind w:firstLine="560" w:firstLineChars="200"/>
        <w:rPr>
          <w:rFonts w:ascii="宋体" w:hAnsi="宋体"/>
          <w:szCs w:val="21"/>
        </w:rPr>
      </w:pPr>
      <w:r>
        <w:rPr>
          <w:rFonts w:hint="eastAsia" w:ascii="宋体" w:hAnsi="宋体"/>
          <w:szCs w:val="21"/>
        </w:rPr>
        <w:t>5.其他项目保修期限：2年；</w:t>
      </w:r>
    </w:p>
    <w:p w14:paraId="2DD1131C">
      <w:pPr>
        <w:spacing w:line="360" w:lineRule="auto"/>
        <w:ind w:firstLine="560" w:firstLineChars="200"/>
        <w:rPr>
          <w:rFonts w:ascii="宋体" w:hAnsi="宋体"/>
          <w:szCs w:val="21"/>
        </w:rPr>
      </w:pPr>
      <w:r>
        <w:rPr>
          <w:rFonts w:hint="eastAsia" w:ascii="宋体" w:hAnsi="宋体"/>
          <w:szCs w:val="21"/>
        </w:rPr>
        <w:t>建设工程的保修期，自工程竣工验收合格之日起计算。</w:t>
      </w:r>
    </w:p>
    <w:p w14:paraId="293B5EEF">
      <w:pPr>
        <w:spacing w:line="360" w:lineRule="auto"/>
        <w:ind w:firstLine="560" w:firstLineChars="200"/>
        <w:rPr>
          <w:rFonts w:ascii="宋体" w:hAnsi="宋体"/>
          <w:szCs w:val="21"/>
        </w:rPr>
      </w:pPr>
      <w:bookmarkStart w:id="536" w:name="_Toc532375689"/>
      <w:r>
        <w:rPr>
          <w:rFonts w:hint="eastAsia" w:ascii="宋体" w:hAnsi="宋体"/>
          <w:szCs w:val="21"/>
        </w:rPr>
        <w:t>三、质量保修责任</w:t>
      </w:r>
      <w:bookmarkEnd w:id="536"/>
    </w:p>
    <w:p w14:paraId="1183A77D">
      <w:pPr>
        <w:spacing w:line="360" w:lineRule="auto"/>
        <w:ind w:firstLine="560" w:firstLineChars="200"/>
        <w:rPr>
          <w:rFonts w:ascii="宋体" w:hAnsi="宋体"/>
          <w:szCs w:val="21"/>
        </w:rPr>
      </w:pPr>
      <w:r>
        <w:rPr>
          <w:rFonts w:hint="eastAsia" w:ascii="宋体" w:hAnsi="宋体"/>
          <w:szCs w:val="21"/>
        </w:rPr>
        <w:t>1.属于保修范围、内容的项目，承包人应当在接到保修通知之日起7天内派人保修。承包人不在约定期限内派人保修的，发包人可以委托他人修理。</w:t>
      </w:r>
    </w:p>
    <w:p w14:paraId="61E88E68">
      <w:pPr>
        <w:spacing w:line="360" w:lineRule="auto"/>
        <w:ind w:firstLine="560" w:firstLineChars="200"/>
        <w:rPr>
          <w:rFonts w:ascii="宋体" w:hAnsi="宋体"/>
          <w:szCs w:val="21"/>
        </w:rPr>
      </w:pPr>
      <w:r>
        <w:rPr>
          <w:rFonts w:hint="eastAsia" w:ascii="宋体" w:hAnsi="宋体"/>
          <w:szCs w:val="21"/>
        </w:rPr>
        <w:t>2.发生紧急事故需抢修的，承包人在接到事故通知后，应当立即到达事故现场抢修。</w:t>
      </w:r>
    </w:p>
    <w:p w14:paraId="7CC1F151">
      <w:pPr>
        <w:spacing w:line="360" w:lineRule="auto"/>
        <w:ind w:firstLine="560" w:firstLineChars="200"/>
        <w:rPr>
          <w:rFonts w:ascii="宋体" w:hAnsi="宋体"/>
          <w:szCs w:val="21"/>
        </w:rPr>
      </w:pPr>
      <w:r>
        <w:rPr>
          <w:rFonts w:hint="eastAsia" w:ascii="宋体" w:hAnsi="宋体"/>
          <w:szCs w:val="21"/>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5BB93357">
      <w:pPr>
        <w:spacing w:line="360" w:lineRule="auto"/>
        <w:ind w:firstLine="560" w:firstLineChars="200"/>
        <w:rPr>
          <w:rFonts w:ascii="宋体" w:hAnsi="宋体"/>
          <w:szCs w:val="21"/>
        </w:rPr>
      </w:pPr>
      <w:r>
        <w:rPr>
          <w:rFonts w:hint="eastAsia" w:ascii="宋体" w:hAnsi="宋体"/>
          <w:szCs w:val="21"/>
        </w:rPr>
        <w:t>4.质量保修完成后，由发包人组织验收。</w:t>
      </w:r>
    </w:p>
    <w:p w14:paraId="174E9056">
      <w:pPr>
        <w:spacing w:line="360" w:lineRule="auto"/>
        <w:ind w:firstLine="560" w:firstLineChars="200"/>
        <w:rPr>
          <w:rFonts w:ascii="宋体" w:hAnsi="宋体"/>
          <w:szCs w:val="21"/>
        </w:rPr>
      </w:pPr>
      <w:bookmarkStart w:id="537" w:name="_Toc532375690"/>
      <w:r>
        <w:rPr>
          <w:rFonts w:hint="eastAsia" w:ascii="宋体" w:hAnsi="宋体"/>
          <w:szCs w:val="21"/>
        </w:rPr>
        <w:t>四、保修费用</w:t>
      </w:r>
      <w:bookmarkEnd w:id="537"/>
    </w:p>
    <w:p w14:paraId="366F3988">
      <w:pPr>
        <w:spacing w:line="360" w:lineRule="auto"/>
        <w:ind w:firstLine="560" w:firstLineChars="200"/>
        <w:rPr>
          <w:rFonts w:ascii="宋体" w:hAnsi="宋体"/>
          <w:szCs w:val="21"/>
        </w:rPr>
      </w:pPr>
      <w:r>
        <w:rPr>
          <w:rFonts w:hint="eastAsia" w:ascii="宋体" w:hAnsi="宋体"/>
          <w:szCs w:val="21"/>
        </w:rPr>
        <w:t>保修费用由质量缺陷的责任方承担。</w:t>
      </w:r>
    </w:p>
    <w:p w14:paraId="416B977F">
      <w:pPr>
        <w:spacing w:line="360" w:lineRule="auto"/>
        <w:ind w:firstLine="560" w:firstLineChars="200"/>
        <w:rPr>
          <w:rFonts w:ascii="宋体" w:hAnsi="宋体"/>
          <w:szCs w:val="21"/>
        </w:rPr>
      </w:pPr>
      <w:bookmarkStart w:id="538" w:name="_Toc532375691"/>
      <w:r>
        <w:rPr>
          <w:rFonts w:hint="eastAsia" w:ascii="宋体" w:hAnsi="宋体"/>
          <w:szCs w:val="21"/>
        </w:rPr>
        <w:t>五、双方约定的其他工程质量保修事项</w:t>
      </w:r>
    </w:p>
    <w:p w14:paraId="3B6A6D98">
      <w:pPr>
        <w:spacing w:line="360" w:lineRule="auto"/>
        <w:ind w:firstLine="560" w:firstLineChars="200"/>
        <w:rPr>
          <w:rFonts w:ascii="宋体" w:hAnsi="宋体"/>
          <w:szCs w:val="21"/>
        </w:rPr>
      </w:pPr>
      <w:r>
        <w:rPr>
          <w:rFonts w:hint="eastAsia" w:ascii="宋体" w:hAnsi="宋体"/>
          <w:szCs w:val="21"/>
          <w:u w:val="single"/>
        </w:rPr>
        <w:t>按国家相关法律和规定执行</w:t>
      </w:r>
      <w:r>
        <w:rPr>
          <w:rFonts w:hint="eastAsia" w:ascii="宋体" w:hAnsi="宋体"/>
          <w:szCs w:val="21"/>
        </w:rPr>
        <w:t>。</w:t>
      </w:r>
      <w:bookmarkEnd w:id="538"/>
    </w:p>
    <w:p w14:paraId="286F75FC">
      <w:pPr>
        <w:spacing w:line="360" w:lineRule="auto"/>
        <w:ind w:firstLine="560" w:firstLineChars="200"/>
        <w:rPr>
          <w:rFonts w:ascii="宋体" w:hAnsi="宋体"/>
          <w:szCs w:val="21"/>
        </w:rPr>
      </w:pPr>
      <w:r>
        <w:rPr>
          <w:rFonts w:hint="eastAsia" w:ascii="宋体" w:hAnsi="宋体"/>
          <w:szCs w:val="21"/>
        </w:rPr>
        <w:t>本工程质量保修书由发包人、承包人在工程竣工验收前共同签署，作为施工合同附件，其有效期限至保修期满。</w:t>
      </w:r>
    </w:p>
    <w:p w14:paraId="7635CCB0">
      <w:pPr>
        <w:spacing w:line="360" w:lineRule="auto"/>
        <w:ind w:firstLine="560" w:firstLineChars="200"/>
        <w:rPr>
          <w:rFonts w:ascii="宋体" w:hAnsi="宋体"/>
          <w:szCs w:val="21"/>
        </w:rPr>
      </w:pPr>
      <w:r>
        <w:rPr>
          <w:rFonts w:ascii="宋体" w:hAnsi="宋体"/>
          <w:szCs w:val="21"/>
        </w:rPr>
        <w:t>六</w:t>
      </w:r>
      <w:r>
        <w:rPr>
          <w:rFonts w:hint="eastAsia" w:ascii="宋体" w:hAnsi="宋体"/>
          <w:szCs w:val="21"/>
        </w:rPr>
        <w:t>、</w:t>
      </w:r>
      <w:r>
        <w:rPr>
          <w:rFonts w:ascii="宋体" w:hAnsi="宋体"/>
          <w:szCs w:val="21"/>
        </w:rPr>
        <w:t>本文件生效</w:t>
      </w:r>
    </w:p>
    <w:p w14:paraId="62885EE5">
      <w:pPr>
        <w:spacing w:line="360" w:lineRule="auto"/>
        <w:ind w:firstLine="560" w:firstLineChars="200"/>
        <w:rPr>
          <w:rFonts w:ascii="宋体" w:hAnsi="宋体"/>
          <w:szCs w:val="21"/>
        </w:rPr>
      </w:pPr>
      <w:r>
        <w:rPr>
          <w:rFonts w:hint="eastAsia" w:ascii="宋体" w:hAnsi="宋体"/>
          <w:szCs w:val="21"/>
        </w:rPr>
        <w:t>本工程质量保修书经发包人与承包人盖章后生效。</w:t>
      </w:r>
    </w:p>
    <w:p w14:paraId="2DAF4AF7">
      <w:pPr>
        <w:pStyle w:val="23"/>
        <w:spacing w:line="360" w:lineRule="auto"/>
        <w:ind w:firstLine="640" w:firstLineChars="200"/>
        <w:rPr>
          <w:rFonts w:ascii="宋体" w:hAnsi="宋体"/>
          <w:szCs w:val="21"/>
        </w:rPr>
      </w:pPr>
    </w:p>
    <w:p w14:paraId="45FBCD1F">
      <w:pPr>
        <w:spacing w:line="360" w:lineRule="auto"/>
        <w:ind w:firstLine="560" w:firstLineChars="200"/>
        <w:rPr>
          <w:rFonts w:ascii="宋体" w:hAnsi="宋体"/>
          <w:snapToGrid w:val="0"/>
          <w:kern w:val="0"/>
          <w:szCs w:val="21"/>
        </w:rPr>
      </w:pPr>
      <w:r>
        <w:rPr>
          <w:rFonts w:hint="eastAsia" w:ascii="宋体" w:hAnsi="宋体"/>
          <w:snapToGrid w:val="0"/>
          <w:kern w:val="0"/>
          <w:szCs w:val="21"/>
        </w:rPr>
        <w:t>发包人：</w:t>
      </w:r>
      <w:r>
        <w:rPr>
          <w:rFonts w:hint="eastAsia" w:ascii="宋体" w:hAnsi="宋体"/>
          <w:snapToGrid w:val="0"/>
          <w:kern w:val="0"/>
          <w:szCs w:val="21"/>
          <w:u w:val="single"/>
        </w:rPr>
        <w:t xml:space="preserve">                                </w:t>
      </w:r>
      <w:r>
        <w:rPr>
          <w:rFonts w:hint="eastAsia" w:ascii="宋体" w:hAnsi="宋体"/>
          <w:snapToGrid w:val="0"/>
          <w:kern w:val="0"/>
          <w:szCs w:val="21"/>
        </w:rPr>
        <w:t>（盖单位公章）</w:t>
      </w:r>
    </w:p>
    <w:p w14:paraId="1C761AE3">
      <w:pPr>
        <w:spacing w:line="360" w:lineRule="auto"/>
        <w:ind w:firstLine="560" w:firstLineChars="200"/>
        <w:rPr>
          <w:rFonts w:ascii="宋体" w:hAnsi="宋体"/>
          <w:snapToGrid w:val="0"/>
          <w:kern w:val="0"/>
          <w:szCs w:val="21"/>
        </w:rPr>
      </w:pPr>
    </w:p>
    <w:p w14:paraId="46F41B3D">
      <w:pPr>
        <w:spacing w:line="360" w:lineRule="auto"/>
        <w:ind w:firstLine="560" w:firstLineChars="200"/>
        <w:rPr>
          <w:rFonts w:ascii="宋体" w:hAnsi="宋体"/>
          <w:snapToGrid w:val="0"/>
          <w:kern w:val="0"/>
          <w:szCs w:val="21"/>
        </w:rPr>
      </w:pPr>
    </w:p>
    <w:p w14:paraId="79A2C37F">
      <w:pPr>
        <w:spacing w:line="360" w:lineRule="auto"/>
        <w:ind w:firstLine="560" w:firstLineChars="200"/>
        <w:rPr>
          <w:rFonts w:ascii="宋体" w:hAnsi="宋体"/>
          <w:snapToGrid w:val="0"/>
          <w:kern w:val="0"/>
          <w:szCs w:val="21"/>
        </w:rPr>
      </w:pPr>
      <w:r>
        <w:rPr>
          <w:rFonts w:hint="eastAsia" w:ascii="宋体" w:hAnsi="宋体"/>
          <w:snapToGrid w:val="0"/>
          <w:kern w:val="0"/>
          <w:szCs w:val="21"/>
        </w:rPr>
        <w:t>法定代表人或其委托代理人：</w:t>
      </w:r>
      <w:r>
        <w:rPr>
          <w:rFonts w:hint="eastAsia" w:ascii="宋体" w:hAnsi="宋体"/>
          <w:snapToGrid w:val="0"/>
          <w:kern w:val="0"/>
          <w:szCs w:val="21"/>
          <w:u w:val="single"/>
        </w:rPr>
        <w:t xml:space="preserve">                </w:t>
      </w:r>
      <w:r>
        <w:rPr>
          <w:rFonts w:hint="eastAsia" w:ascii="宋体" w:hAnsi="宋体"/>
          <w:snapToGrid w:val="0"/>
          <w:kern w:val="0"/>
          <w:szCs w:val="21"/>
        </w:rPr>
        <w:t>（签名）</w:t>
      </w:r>
    </w:p>
    <w:p w14:paraId="505C8C33">
      <w:pPr>
        <w:spacing w:line="360" w:lineRule="auto"/>
        <w:ind w:firstLine="560" w:firstLineChars="200"/>
        <w:rPr>
          <w:rFonts w:ascii="宋体" w:hAnsi="宋体"/>
          <w:snapToGrid w:val="0"/>
          <w:kern w:val="0"/>
          <w:szCs w:val="21"/>
        </w:rPr>
      </w:pPr>
    </w:p>
    <w:p w14:paraId="4D80BF30">
      <w:pPr>
        <w:spacing w:line="360" w:lineRule="auto"/>
        <w:ind w:firstLine="560" w:firstLineChars="200"/>
        <w:rPr>
          <w:rFonts w:ascii="宋体" w:hAnsi="宋体"/>
          <w:snapToGrid w:val="0"/>
          <w:kern w:val="0"/>
          <w:szCs w:val="21"/>
        </w:rPr>
      </w:pPr>
    </w:p>
    <w:p w14:paraId="16867D8F">
      <w:pPr>
        <w:spacing w:line="360" w:lineRule="auto"/>
        <w:ind w:firstLine="560" w:firstLineChars="200"/>
        <w:rPr>
          <w:rFonts w:ascii="宋体" w:hAnsi="宋体"/>
          <w:szCs w:val="21"/>
        </w:rPr>
      </w:pPr>
      <w:r>
        <w:rPr>
          <w:rFonts w:hint="eastAsia" w:ascii="宋体" w:hAnsi="宋体"/>
          <w:snapToGrid w:val="0"/>
          <w:kern w:val="0"/>
          <w:szCs w:val="21"/>
        </w:rPr>
        <w:t>承包人：</w:t>
      </w:r>
      <w:r>
        <w:rPr>
          <w:rFonts w:hint="eastAsia" w:ascii="宋体" w:hAnsi="宋体"/>
          <w:snapToGrid w:val="0"/>
          <w:kern w:val="0"/>
          <w:szCs w:val="21"/>
          <w:u w:val="single"/>
        </w:rPr>
        <w:t xml:space="preserve">                                </w:t>
      </w:r>
      <w:r>
        <w:rPr>
          <w:rFonts w:hint="eastAsia" w:ascii="宋体" w:hAnsi="宋体"/>
          <w:snapToGrid w:val="0"/>
          <w:kern w:val="0"/>
          <w:szCs w:val="21"/>
        </w:rPr>
        <w:t>（盖单位公章）</w:t>
      </w:r>
    </w:p>
    <w:p w14:paraId="19F770B2">
      <w:pPr>
        <w:spacing w:line="360" w:lineRule="auto"/>
        <w:ind w:firstLine="560" w:firstLineChars="200"/>
        <w:rPr>
          <w:rFonts w:ascii="宋体" w:hAnsi="宋体"/>
          <w:snapToGrid w:val="0"/>
          <w:kern w:val="0"/>
          <w:szCs w:val="21"/>
        </w:rPr>
      </w:pPr>
    </w:p>
    <w:p w14:paraId="0F158DE6">
      <w:pPr>
        <w:spacing w:line="360" w:lineRule="auto"/>
        <w:ind w:firstLine="560" w:firstLineChars="200"/>
        <w:rPr>
          <w:rFonts w:ascii="宋体" w:hAnsi="宋体"/>
          <w:snapToGrid w:val="0"/>
          <w:kern w:val="0"/>
          <w:szCs w:val="21"/>
        </w:rPr>
      </w:pPr>
    </w:p>
    <w:p w14:paraId="50EB9D32">
      <w:pPr>
        <w:spacing w:line="360" w:lineRule="auto"/>
        <w:ind w:firstLine="560" w:firstLineChars="200"/>
        <w:rPr>
          <w:rFonts w:ascii="宋体" w:hAnsi="宋体"/>
          <w:bCs/>
          <w:kern w:val="0"/>
          <w:szCs w:val="21"/>
        </w:rPr>
      </w:pPr>
      <w:r>
        <w:rPr>
          <w:rFonts w:hint="eastAsia" w:ascii="宋体" w:hAnsi="宋体"/>
          <w:snapToGrid w:val="0"/>
          <w:kern w:val="0"/>
          <w:szCs w:val="21"/>
        </w:rPr>
        <w:t>法定代表人或其委托代理人：</w:t>
      </w:r>
      <w:r>
        <w:rPr>
          <w:rFonts w:hint="eastAsia" w:ascii="宋体" w:hAnsi="宋体"/>
          <w:snapToGrid w:val="0"/>
          <w:kern w:val="0"/>
          <w:szCs w:val="21"/>
          <w:u w:val="single"/>
        </w:rPr>
        <w:t xml:space="preserve">                </w:t>
      </w:r>
      <w:r>
        <w:rPr>
          <w:rFonts w:hint="eastAsia" w:ascii="宋体" w:hAnsi="宋体"/>
          <w:snapToGrid w:val="0"/>
          <w:kern w:val="0"/>
          <w:szCs w:val="21"/>
        </w:rPr>
        <w:t>（签名）</w:t>
      </w:r>
    </w:p>
    <w:p w14:paraId="334303B0">
      <w:pPr>
        <w:spacing w:line="360" w:lineRule="auto"/>
        <w:ind w:firstLine="558" w:firstLineChars="200"/>
        <w:rPr>
          <w:rFonts w:ascii="宋体" w:hAnsi="宋体"/>
          <w:snapToGrid w:val="0"/>
          <w:spacing w:val="1"/>
          <w:w w:val="99"/>
          <w:kern w:val="0"/>
          <w:position w:val="-2"/>
          <w:szCs w:val="21"/>
        </w:rPr>
      </w:pPr>
    </w:p>
    <w:p w14:paraId="7BB777D3">
      <w:pPr>
        <w:spacing w:line="360" w:lineRule="auto"/>
        <w:ind w:firstLine="558" w:firstLineChars="200"/>
        <w:rPr>
          <w:rFonts w:ascii="宋体" w:hAnsi="宋体"/>
          <w:snapToGrid w:val="0"/>
          <w:spacing w:val="1"/>
          <w:w w:val="99"/>
          <w:kern w:val="0"/>
          <w:position w:val="-2"/>
          <w:szCs w:val="21"/>
        </w:rPr>
      </w:pPr>
    </w:p>
    <w:p w14:paraId="28D02A9F">
      <w:pPr>
        <w:spacing w:line="360" w:lineRule="auto"/>
        <w:ind w:firstLine="560" w:firstLineChars="200"/>
        <w:rPr>
          <w:rFonts w:ascii="宋体" w:hAnsi="宋体"/>
          <w:snapToGrid w:val="0"/>
          <w:kern w:val="0"/>
          <w:szCs w:val="21"/>
        </w:rPr>
      </w:pPr>
      <w:r>
        <w:rPr>
          <w:rFonts w:hint="eastAsia" w:ascii="宋体" w:hAnsi="宋体"/>
          <w:snapToGrid w:val="0"/>
          <w:kern w:val="0"/>
          <w:szCs w:val="21"/>
        </w:rPr>
        <w:t>签约时间：</w:t>
      </w:r>
      <w:r>
        <w:rPr>
          <w:rFonts w:hint="eastAsia" w:ascii="宋体" w:hAnsi="宋体"/>
          <w:snapToGrid w:val="0"/>
          <w:kern w:val="0"/>
          <w:szCs w:val="21"/>
          <w:u w:val="single"/>
        </w:rPr>
        <w:t xml:space="preserve">     </w:t>
      </w:r>
      <w:r>
        <w:rPr>
          <w:rFonts w:hint="eastAsia" w:ascii="宋体" w:hAnsi="宋体"/>
          <w:snapToGrid w:val="0"/>
          <w:kern w:val="0"/>
          <w:szCs w:val="21"/>
        </w:rPr>
        <w:t>年</w:t>
      </w:r>
      <w:r>
        <w:rPr>
          <w:rFonts w:hint="eastAsia" w:ascii="宋体" w:hAnsi="宋体"/>
          <w:snapToGrid w:val="0"/>
          <w:kern w:val="0"/>
          <w:szCs w:val="21"/>
          <w:u w:val="single"/>
        </w:rPr>
        <w:t xml:space="preserve">     </w:t>
      </w:r>
      <w:r>
        <w:rPr>
          <w:rFonts w:hint="eastAsia" w:ascii="宋体" w:hAnsi="宋体"/>
          <w:snapToGrid w:val="0"/>
          <w:kern w:val="0"/>
          <w:szCs w:val="21"/>
        </w:rPr>
        <w:t>月</w:t>
      </w:r>
      <w:r>
        <w:rPr>
          <w:rFonts w:hint="eastAsia" w:ascii="宋体" w:hAnsi="宋体"/>
          <w:snapToGrid w:val="0"/>
          <w:kern w:val="0"/>
          <w:szCs w:val="21"/>
          <w:u w:val="single"/>
        </w:rPr>
        <w:t xml:space="preserve">     </w:t>
      </w:r>
      <w:r>
        <w:rPr>
          <w:rFonts w:hint="eastAsia" w:ascii="宋体" w:hAnsi="宋体"/>
          <w:snapToGrid w:val="0"/>
          <w:kern w:val="0"/>
          <w:szCs w:val="21"/>
        </w:rPr>
        <w:t>日</w:t>
      </w:r>
    </w:p>
    <w:p w14:paraId="2E26DAA4">
      <w:pPr>
        <w:spacing w:line="360" w:lineRule="auto"/>
        <w:ind w:firstLine="562" w:firstLineChars="200"/>
        <w:jc w:val="right"/>
        <w:rPr>
          <w:rFonts w:ascii="宋体" w:hAnsi="宋体"/>
          <w:szCs w:val="21"/>
        </w:rPr>
      </w:pPr>
      <w:r>
        <w:rPr>
          <w:rFonts w:hint="eastAsia" w:ascii="宋体" w:hAnsi="宋体"/>
          <w:b/>
          <w:szCs w:val="24"/>
        </w:rPr>
        <w:br w:type="page"/>
      </w:r>
      <w:bookmarkStart w:id="539" w:name="_Toc14337145"/>
      <w:bookmarkStart w:id="540" w:name="_Toc18001053"/>
      <w:bookmarkStart w:id="541" w:name="_Toc4568869"/>
      <w:bookmarkStart w:id="542" w:name="_Toc21118210"/>
      <w:bookmarkStart w:id="543" w:name="_Toc14274370"/>
      <w:bookmarkStart w:id="544" w:name="_Toc14275835"/>
      <w:bookmarkStart w:id="545" w:name="_Toc18000995"/>
      <w:bookmarkStart w:id="546" w:name="_Toc452328783"/>
      <w:bookmarkStart w:id="547" w:name="_Toc454721215"/>
    </w:p>
    <w:p w14:paraId="30E805F7">
      <w:pPr>
        <w:spacing w:before="158" w:beforeLines="50" w:after="158" w:afterLines="50" w:line="480" w:lineRule="auto"/>
        <w:jc w:val="left"/>
        <w:rPr>
          <w:rFonts w:ascii="宋体" w:hAnsi="宋体"/>
          <w:szCs w:val="21"/>
        </w:rPr>
      </w:pPr>
      <w:r>
        <w:rPr>
          <w:rFonts w:hint="eastAsia" w:ascii="宋体" w:hAnsi="宋体"/>
          <w:b/>
        </w:rPr>
        <w:t>附件2：</w:t>
      </w:r>
      <w:bookmarkEnd w:id="539"/>
      <w:bookmarkEnd w:id="540"/>
      <w:bookmarkEnd w:id="541"/>
      <w:bookmarkEnd w:id="542"/>
      <w:bookmarkEnd w:id="543"/>
      <w:bookmarkEnd w:id="544"/>
      <w:bookmarkEnd w:id="545"/>
      <w:bookmarkEnd w:id="546"/>
      <w:bookmarkEnd w:id="547"/>
      <w:r>
        <w:rPr>
          <w:rFonts w:hint="eastAsia" w:ascii="宋体" w:hAnsi="宋体"/>
          <w:b/>
        </w:rPr>
        <w:t>廉洁从业协议</w:t>
      </w:r>
    </w:p>
    <w:p w14:paraId="027EB97C">
      <w:pPr>
        <w:pStyle w:val="157"/>
        <w:ind w:firstLine="482"/>
        <w:jc w:val="left"/>
        <w:rPr>
          <w:rFonts w:ascii="宋体" w:hAnsi="宋体"/>
          <w:b/>
        </w:rPr>
      </w:pPr>
    </w:p>
    <w:p w14:paraId="7D088D16">
      <w:pPr>
        <w:spacing w:before="158" w:beforeLines="50" w:after="158" w:afterLines="50" w:line="480" w:lineRule="auto"/>
        <w:jc w:val="center"/>
        <w:rPr>
          <w:rFonts w:ascii="宋体" w:hAnsi="宋体"/>
          <w:szCs w:val="21"/>
        </w:rPr>
      </w:pPr>
      <w:r>
        <w:rPr>
          <w:rFonts w:hint="eastAsia" w:ascii="宋体" w:hAnsi="宋体"/>
          <w:szCs w:val="21"/>
        </w:rPr>
        <w:t>廉洁从业协议</w:t>
      </w:r>
    </w:p>
    <w:p w14:paraId="3DDBFA6B">
      <w:pPr>
        <w:snapToGrid w:val="0"/>
        <w:spacing w:line="360" w:lineRule="auto"/>
        <w:ind w:firstLine="562" w:firstLineChars="200"/>
        <w:rPr>
          <w:rFonts w:ascii="宋体" w:hAnsi="宋体"/>
          <w:b/>
          <w:szCs w:val="21"/>
          <w:u w:val="single"/>
        </w:rPr>
      </w:pPr>
      <w:r>
        <w:rPr>
          <w:rFonts w:hint="eastAsia" w:ascii="宋体" w:hAnsi="宋体"/>
          <w:b/>
          <w:szCs w:val="21"/>
        </w:rPr>
        <w:t>发包人（全称）：</w:t>
      </w:r>
      <w:r>
        <w:rPr>
          <w:rFonts w:hint="eastAsia" w:ascii="宋体" w:hAnsi="宋体"/>
          <w:szCs w:val="21"/>
          <w:u w:val="single"/>
        </w:rPr>
        <w:t xml:space="preserve">                             </w:t>
      </w:r>
    </w:p>
    <w:p w14:paraId="57351F37">
      <w:pPr>
        <w:snapToGrid w:val="0"/>
        <w:spacing w:line="360" w:lineRule="auto"/>
        <w:ind w:firstLine="562" w:firstLineChars="200"/>
        <w:rPr>
          <w:rFonts w:ascii="宋体" w:hAnsi="宋体"/>
          <w:b/>
          <w:szCs w:val="21"/>
          <w:u w:val="single"/>
        </w:rPr>
      </w:pPr>
      <w:r>
        <w:rPr>
          <w:rFonts w:hint="eastAsia" w:ascii="宋体" w:hAnsi="宋体"/>
          <w:b/>
          <w:szCs w:val="21"/>
        </w:rPr>
        <w:t>承包人（全称）：</w:t>
      </w:r>
      <w:r>
        <w:rPr>
          <w:rFonts w:hint="eastAsia" w:ascii="宋体" w:hAnsi="宋体"/>
          <w:szCs w:val="21"/>
          <w:u w:val="single"/>
        </w:rPr>
        <w:t xml:space="preserve">                             </w:t>
      </w:r>
    </w:p>
    <w:p w14:paraId="79CBA4D5">
      <w:pPr>
        <w:spacing w:line="360" w:lineRule="auto"/>
        <w:ind w:firstLine="560" w:firstLineChars="200"/>
        <w:rPr>
          <w:rFonts w:ascii="宋体" w:hAnsi="宋体"/>
          <w:szCs w:val="21"/>
        </w:rPr>
      </w:pPr>
      <w:r>
        <w:rPr>
          <w:rFonts w:hint="eastAsia" w:ascii="宋体" w:hAnsi="宋体"/>
          <w:szCs w:val="21"/>
        </w:rPr>
        <w:t>根据国家有关部门以及有关工程建设、廉政建设的规定，为做好工程建设中的党风廉政建设，保证工程建设高效优质，保证建设资金的安全和有效使用以及投资效益，建设工程的项目法人（以下简称“发包人”）与承包人（以下简称“承包人”），特订立如下协议。</w:t>
      </w:r>
    </w:p>
    <w:p w14:paraId="6CE7D809">
      <w:pPr>
        <w:spacing w:line="360" w:lineRule="auto"/>
        <w:ind w:firstLine="560" w:firstLineChars="200"/>
        <w:rPr>
          <w:rFonts w:ascii="宋体" w:hAnsi="宋体"/>
          <w:szCs w:val="21"/>
        </w:rPr>
      </w:pPr>
      <w:r>
        <w:rPr>
          <w:rFonts w:hint="eastAsia" w:ascii="宋体" w:hAnsi="宋体"/>
          <w:szCs w:val="21"/>
        </w:rPr>
        <w:t xml:space="preserve"> 1. 发包人承包人的权利和义务</w:t>
      </w:r>
    </w:p>
    <w:p w14:paraId="40ABF9C3">
      <w:pPr>
        <w:spacing w:line="360" w:lineRule="auto"/>
        <w:ind w:firstLine="560" w:firstLineChars="200"/>
        <w:rPr>
          <w:rFonts w:ascii="宋体" w:hAnsi="宋体"/>
          <w:szCs w:val="21"/>
        </w:rPr>
      </w:pPr>
      <w:r>
        <w:rPr>
          <w:rFonts w:hint="eastAsia" w:ascii="宋体" w:hAnsi="宋体"/>
          <w:szCs w:val="21"/>
        </w:rPr>
        <w:t>（1）严格遵守党的政策规定和国家有关法律法规及相关部门的有关规定。</w:t>
      </w:r>
    </w:p>
    <w:p w14:paraId="33BD06C2">
      <w:pPr>
        <w:spacing w:line="360" w:lineRule="auto"/>
        <w:ind w:firstLine="560" w:firstLineChars="200"/>
        <w:rPr>
          <w:rFonts w:ascii="宋体" w:hAnsi="宋体"/>
          <w:szCs w:val="21"/>
        </w:rPr>
      </w:pPr>
      <w:r>
        <w:rPr>
          <w:rFonts w:hint="eastAsia" w:ascii="宋体" w:hAnsi="宋体"/>
          <w:szCs w:val="21"/>
        </w:rPr>
        <w:t>（2）严格执行 工程的合同文件，自觉按合同办事。</w:t>
      </w:r>
    </w:p>
    <w:p w14:paraId="4846DB24">
      <w:pPr>
        <w:spacing w:line="360" w:lineRule="auto"/>
        <w:ind w:firstLine="560" w:firstLineChars="200"/>
        <w:rPr>
          <w:rFonts w:ascii="宋体" w:hAnsi="宋体"/>
          <w:szCs w:val="21"/>
        </w:rPr>
      </w:pPr>
      <w:r>
        <w:rPr>
          <w:rFonts w:hint="eastAsia" w:ascii="宋体" w:hAnsi="宋体"/>
          <w:szCs w:val="21"/>
        </w:rPr>
        <w:t>（3）双方的业务活动坚持公开、公正、诚信、透明的原则（法律认定的商业秘密和合同文件另有规定除外），不得损害国家和集体利益，违反工程建设管理规章制度。</w:t>
      </w:r>
    </w:p>
    <w:p w14:paraId="626FB319">
      <w:pPr>
        <w:spacing w:line="360" w:lineRule="auto"/>
        <w:ind w:firstLine="560" w:firstLineChars="200"/>
        <w:rPr>
          <w:rFonts w:ascii="宋体" w:hAnsi="宋体"/>
          <w:szCs w:val="21"/>
        </w:rPr>
      </w:pPr>
      <w:r>
        <w:rPr>
          <w:rFonts w:hint="eastAsia" w:ascii="宋体" w:hAnsi="宋体"/>
          <w:szCs w:val="21"/>
        </w:rPr>
        <w:t>（4）建立健全廉政制度，开展廉政教育，设立廉政告示牌，公布举报电话，监督并认真查处违法违纪行为。</w:t>
      </w:r>
    </w:p>
    <w:p w14:paraId="1F1B4589">
      <w:pPr>
        <w:spacing w:line="360" w:lineRule="auto"/>
        <w:ind w:firstLine="560" w:firstLineChars="200"/>
        <w:rPr>
          <w:rFonts w:ascii="宋体" w:hAnsi="宋体"/>
          <w:szCs w:val="21"/>
        </w:rPr>
      </w:pPr>
      <w:r>
        <w:rPr>
          <w:rFonts w:hint="eastAsia" w:ascii="宋体" w:hAnsi="宋体"/>
          <w:szCs w:val="21"/>
        </w:rPr>
        <w:t>（5）发现对方在业务活动中有违反廉政规定的行为，有及时提醒对方纠正的权利和义务。</w:t>
      </w:r>
    </w:p>
    <w:p w14:paraId="7147E5DC">
      <w:pPr>
        <w:spacing w:line="360" w:lineRule="auto"/>
        <w:ind w:firstLine="560" w:firstLineChars="200"/>
        <w:rPr>
          <w:rFonts w:ascii="宋体" w:hAnsi="宋体"/>
          <w:szCs w:val="21"/>
        </w:rPr>
      </w:pPr>
      <w:r>
        <w:rPr>
          <w:rFonts w:hint="eastAsia" w:ascii="宋体" w:hAnsi="宋体"/>
          <w:szCs w:val="21"/>
        </w:rPr>
        <w:t>（6）发现对方严重违反协议义务条款的行为，有向其上级有关部门举报、建议给予处理并要求告知处理结果的权利。</w:t>
      </w:r>
    </w:p>
    <w:p w14:paraId="27B042B3">
      <w:pPr>
        <w:spacing w:line="360" w:lineRule="auto"/>
        <w:ind w:firstLine="560" w:firstLineChars="200"/>
        <w:rPr>
          <w:rFonts w:ascii="宋体" w:hAnsi="宋体"/>
          <w:szCs w:val="21"/>
        </w:rPr>
      </w:pPr>
      <w:r>
        <w:rPr>
          <w:rFonts w:hint="eastAsia" w:ascii="宋体" w:hAnsi="宋体"/>
          <w:szCs w:val="21"/>
        </w:rPr>
        <w:t>2. 发包人的义务</w:t>
      </w:r>
    </w:p>
    <w:p w14:paraId="282BEE54">
      <w:pPr>
        <w:spacing w:line="360" w:lineRule="auto"/>
        <w:ind w:firstLine="560" w:firstLineChars="200"/>
        <w:rPr>
          <w:rFonts w:ascii="宋体" w:hAnsi="宋体"/>
          <w:szCs w:val="21"/>
        </w:rPr>
      </w:pPr>
      <w:r>
        <w:rPr>
          <w:rFonts w:hint="eastAsia" w:ascii="宋体" w:hAnsi="宋体"/>
          <w:szCs w:val="21"/>
        </w:rPr>
        <w:t>（1）发包人及其工作人员不得索要或接受承包人的礼金、有价证券和贵重物品，不得在承包人报销任何应由发包人或发包人工作人员个人支付的费用等。</w:t>
      </w:r>
    </w:p>
    <w:p w14:paraId="4551EA05">
      <w:pPr>
        <w:spacing w:line="360" w:lineRule="auto"/>
        <w:ind w:firstLine="560" w:firstLineChars="200"/>
        <w:rPr>
          <w:rFonts w:ascii="宋体" w:hAnsi="宋体"/>
          <w:szCs w:val="21"/>
        </w:rPr>
      </w:pPr>
      <w:r>
        <w:rPr>
          <w:rFonts w:hint="eastAsia" w:ascii="宋体" w:hAnsi="宋体"/>
          <w:szCs w:val="21"/>
        </w:rPr>
        <w:t>（2）发包人工作人员不得参加承包人安排的超标准宴请和娱乐活动；不得接受承包人提供的通讯工具、交通工具和高档办公用品等。</w:t>
      </w:r>
    </w:p>
    <w:p w14:paraId="238B7389">
      <w:pPr>
        <w:spacing w:line="360" w:lineRule="auto"/>
        <w:ind w:firstLine="560" w:firstLineChars="200"/>
        <w:rPr>
          <w:rFonts w:ascii="宋体" w:hAnsi="宋体"/>
          <w:szCs w:val="21"/>
        </w:rPr>
      </w:pPr>
      <w:r>
        <w:rPr>
          <w:rFonts w:hint="eastAsia" w:ascii="宋体" w:hAnsi="宋体"/>
          <w:szCs w:val="21"/>
        </w:rPr>
        <w:t>（3）发包人及其工作人员不得要求或者接受承包人为其住房装修、婚丧嫁娶活动、配偶子女的工作安排以及出国出境、旅游等提供方便等。</w:t>
      </w:r>
    </w:p>
    <w:p w14:paraId="079917B1">
      <w:pPr>
        <w:spacing w:line="360" w:lineRule="auto"/>
        <w:ind w:firstLine="560" w:firstLineChars="200"/>
        <w:rPr>
          <w:rFonts w:ascii="宋体" w:hAnsi="宋体"/>
          <w:szCs w:val="21"/>
        </w:rPr>
      </w:pPr>
      <w:r>
        <w:rPr>
          <w:rFonts w:hint="eastAsia" w:ascii="宋体" w:hAnsi="宋体"/>
          <w:szCs w:val="21"/>
        </w:rPr>
        <w:t>（4）发包人工作人员及其配偶、子女不得从事与发包人工程有关的材料设备供应、工程分包、劳务等经济活动等。</w:t>
      </w:r>
    </w:p>
    <w:p w14:paraId="79C28910">
      <w:pPr>
        <w:spacing w:line="360" w:lineRule="auto"/>
        <w:ind w:firstLine="560" w:firstLineChars="200"/>
        <w:rPr>
          <w:rFonts w:ascii="宋体" w:hAnsi="宋体"/>
          <w:szCs w:val="21"/>
        </w:rPr>
      </w:pPr>
      <w:r>
        <w:rPr>
          <w:rFonts w:hint="eastAsia" w:ascii="宋体" w:hAnsi="宋体"/>
          <w:szCs w:val="21"/>
        </w:rPr>
        <w:t>（5）发包人及其工作人员不得以任何理由向承包人推荐分包单位或推销材料，不得要求承包人购买合同规定外的材料和设备。</w:t>
      </w:r>
    </w:p>
    <w:p w14:paraId="36DAD44A">
      <w:pPr>
        <w:spacing w:line="360" w:lineRule="auto"/>
        <w:ind w:firstLine="560" w:firstLineChars="200"/>
        <w:rPr>
          <w:rFonts w:ascii="宋体" w:hAnsi="宋体"/>
          <w:szCs w:val="21"/>
        </w:rPr>
      </w:pPr>
      <w:r>
        <w:rPr>
          <w:rFonts w:hint="eastAsia" w:ascii="宋体" w:hAnsi="宋体"/>
          <w:szCs w:val="21"/>
        </w:rPr>
        <w:t>（6）发包人工作人员要秉公办事，不准营私舞弊，不准利用职权从事各种个人有偿中介活动和安排个人施工队伍。</w:t>
      </w:r>
    </w:p>
    <w:p w14:paraId="1C9857AB">
      <w:pPr>
        <w:spacing w:line="360" w:lineRule="auto"/>
        <w:ind w:firstLine="560" w:firstLineChars="200"/>
        <w:rPr>
          <w:rFonts w:ascii="宋体" w:hAnsi="宋体"/>
          <w:szCs w:val="21"/>
        </w:rPr>
      </w:pPr>
      <w:r>
        <w:rPr>
          <w:rFonts w:hint="eastAsia" w:ascii="宋体" w:hAnsi="宋体"/>
          <w:szCs w:val="21"/>
        </w:rPr>
        <w:t>3. 承包人义务</w:t>
      </w:r>
    </w:p>
    <w:p w14:paraId="3C835939">
      <w:pPr>
        <w:spacing w:line="360" w:lineRule="auto"/>
        <w:ind w:firstLine="560" w:firstLineChars="200"/>
        <w:rPr>
          <w:rFonts w:ascii="宋体" w:hAnsi="宋体"/>
          <w:szCs w:val="21"/>
        </w:rPr>
      </w:pPr>
      <w:r>
        <w:rPr>
          <w:rFonts w:hint="eastAsia" w:ascii="宋体" w:hAnsi="宋体"/>
          <w:szCs w:val="21"/>
        </w:rPr>
        <w:t>（1）承包人不得以任何理由向发包人及其工作人员行贿或馈赠礼金、有价证券、贵重礼品。</w:t>
      </w:r>
    </w:p>
    <w:p w14:paraId="56DFC961">
      <w:pPr>
        <w:spacing w:line="360" w:lineRule="auto"/>
        <w:ind w:firstLine="560" w:firstLineChars="200"/>
        <w:rPr>
          <w:rFonts w:ascii="宋体" w:hAnsi="宋体"/>
          <w:szCs w:val="21"/>
        </w:rPr>
      </w:pPr>
      <w:r>
        <w:rPr>
          <w:rFonts w:hint="eastAsia" w:ascii="宋体" w:hAnsi="宋体"/>
          <w:szCs w:val="21"/>
        </w:rPr>
        <w:t>（2）承包人不得以任何名义为发包人及其工作人员报销应由发包人单位或个人支付的任何费用。</w:t>
      </w:r>
    </w:p>
    <w:p w14:paraId="1D11A957">
      <w:pPr>
        <w:spacing w:line="360" w:lineRule="auto"/>
        <w:ind w:firstLine="560" w:firstLineChars="200"/>
        <w:rPr>
          <w:rFonts w:ascii="宋体" w:hAnsi="宋体"/>
          <w:szCs w:val="21"/>
        </w:rPr>
      </w:pPr>
      <w:r>
        <w:rPr>
          <w:rFonts w:hint="eastAsia" w:ascii="宋体" w:hAnsi="宋体"/>
          <w:szCs w:val="21"/>
        </w:rPr>
        <w:t>（3）承包人不得以任何理由安排发包人工作人员参加超标准宴请及娱乐活动。</w:t>
      </w:r>
    </w:p>
    <w:p w14:paraId="115261EE">
      <w:pPr>
        <w:spacing w:line="360" w:lineRule="auto"/>
        <w:ind w:firstLine="560" w:firstLineChars="200"/>
        <w:rPr>
          <w:rFonts w:ascii="宋体" w:hAnsi="宋体"/>
          <w:szCs w:val="21"/>
        </w:rPr>
      </w:pPr>
      <w:r>
        <w:rPr>
          <w:rFonts w:hint="eastAsia" w:ascii="宋体" w:hAnsi="宋体"/>
          <w:szCs w:val="21"/>
        </w:rPr>
        <w:t>（4）承包人不得为发包人单位和个人购置或提供通讯工具、交通工具和高档办公用品等。</w:t>
      </w:r>
    </w:p>
    <w:p w14:paraId="22170A3D">
      <w:pPr>
        <w:spacing w:line="360" w:lineRule="auto"/>
        <w:ind w:firstLine="560" w:firstLineChars="200"/>
        <w:rPr>
          <w:rFonts w:ascii="宋体" w:hAnsi="宋体"/>
          <w:szCs w:val="21"/>
        </w:rPr>
      </w:pPr>
      <w:r>
        <w:rPr>
          <w:rFonts w:hint="eastAsia" w:ascii="宋体" w:hAnsi="宋体"/>
          <w:szCs w:val="21"/>
        </w:rPr>
        <w:t>4. 违约责任</w:t>
      </w:r>
    </w:p>
    <w:p w14:paraId="2F200BED">
      <w:pPr>
        <w:spacing w:line="360" w:lineRule="auto"/>
        <w:ind w:firstLine="560" w:firstLineChars="200"/>
        <w:rPr>
          <w:rFonts w:ascii="宋体" w:hAnsi="宋体"/>
          <w:szCs w:val="21"/>
        </w:rPr>
      </w:pPr>
      <w:r>
        <w:rPr>
          <w:rFonts w:hint="eastAsia" w:ascii="宋体" w:hAnsi="宋体"/>
          <w:szCs w:val="21"/>
        </w:rPr>
        <w:t>（1）发包人及其工作人员违反合同第1、2条，按管理权限，依据有关规定给予党纪、政纪或组织处理；涉嫌犯罪的，移交司法机关追究刑事责任；给承包人单位造成经济损失的，应予以赔偿。</w:t>
      </w:r>
    </w:p>
    <w:p w14:paraId="5BC9EEE8">
      <w:pPr>
        <w:spacing w:line="360" w:lineRule="auto"/>
        <w:ind w:firstLine="560" w:firstLineChars="200"/>
        <w:rPr>
          <w:rFonts w:ascii="宋体" w:hAnsi="宋体"/>
          <w:szCs w:val="21"/>
        </w:rPr>
      </w:pPr>
      <w:r>
        <w:rPr>
          <w:rFonts w:hint="eastAsia" w:ascii="宋体" w:hAnsi="宋体"/>
          <w:szCs w:val="21"/>
        </w:rPr>
        <w:t>（2）承包人及其工作人员违反合同第1、3条，按管理权限，依据有关规定给予党纪、政纪或组织处理；给发包人单位造成经济损失的，应予以赔偿。</w:t>
      </w:r>
    </w:p>
    <w:p w14:paraId="51560275">
      <w:pPr>
        <w:spacing w:line="360" w:lineRule="auto"/>
        <w:ind w:firstLine="560" w:firstLineChars="200"/>
        <w:rPr>
          <w:rFonts w:ascii="宋体" w:hAnsi="宋体"/>
          <w:szCs w:val="21"/>
        </w:rPr>
      </w:pPr>
      <w:r>
        <w:rPr>
          <w:rFonts w:hint="eastAsia" w:ascii="宋体" w:hAnsi="宋体"/>
          <w:szCs w:val="21"/>
        </w:rPr>
        <w:t>5. 双方约定：协议由双方或双方上级单位的纪检监察机关负责监督执行。由发包人或发包人上级单位的纪检监察机关约请承包人或承包人上级单位纪检监察机关对合同执行情况进行检查，提出在协议规定范围内的裁定意见。</w:t>
      </w:r>
    </w:p>
    <w:p w14:paraId="22E47B27">
      <w:pPr>
        <w:spacing w:line="360" w:lineRule="auto"/>
        <w:ind w:firstLine="560" w:firstLineChars="200"/>
        <w:rPr>
          <w:rFonts w:ascii="宋体" w:hAnsi="宋体"/>
          <w:szCs w:val="21"/>
        </w:rPr>
      </w:pPr>
      <w:r>
        <w:rPr>
          <w:rFonts w:hint="eastAsia" w:ascii="宋体" w:hAnsi="宋体"/>
          <w:szCs w:val="21"/>
        </w:rPr>
        <w:t>6. 协议有效期为甲乙双方签署之日起至该工程项目竣工验收后止。</w:t>
      </w:r>
    </w:p>
    <w:p w14:paraId="390EF6B0">
      <w:pPr>
        <w:spacing w:line="360" w:lineRule="auto"/>
        <w:ind w:firstLine="560" w:firstLineChars="200"/>
        <w:rPr>
          <w:rFonts w:ascii="宋体" w:hAnsi="宋体"/>
          <w:szCs w:val="21"/>
        </w:rPr>
      </w:pPr>
      <w:r>
        <w:rPr>
          <w:rFonts w:hint="eastAsia" w:ascii="宋体" w:hAnsi="宋体"/>
          <w:szCs w:val="21"/>
        </w:rPr>
        <w:t>7.协议作为 工程施工合同的附件，与工程施工合同具有同等的法律效力，经合同双方签署立即生效。</w:t>
      </w:r>
    </w:p>
    <w:p w14:paraId="196EC210">
      <w:pPr>
        <w:spacing w:line="360" w:lineRule="auto"/>
        <w:ind w:firstLine="560" w:firstLineChars="200"/>
        <w:rPr>
          <w:rFonts w:ascii="宋体" w:hAnsi="宋体"/>
          <w:szCs w:val="21"/>
        </w:rPr>
      </w:pPr>
      <w:r>
        <w:rPr>
          <w:rFonts w:hint="eastAsia" w:ascii="宋体" w:hAnsi="宋体"/>
          <w:szCs w:val="21"/>
        </w:rPr>
        <w:t>（以下无正文）</w:t>
      </w:r>
    </w:p>
    <w:p w14:paraId="04C3E91C">
      <w:pPr>
        <w:spacing w:line="360" w:lineRule="auto"/>
        <w:rPr>
          <w:rFonts w:ascii="宋体" w:hAnsi="宋体"/>
          <w:szCs w:val="21"/>
        </w:rPr>
      </w:pPr>
    </w:p>
    <w:p w14:paraId="61326265">
      <w:pPr>
        <w:pStyle w:val="23"/>
        <w:spacing w:line="360" w:lineRule="auto"/>
        <w:rPr>
          <w:rFonts w:ascii="宋体" w:hAnsi="宋体"/>
          <w:szCs w:val="21"/>
        </w:rPr>
      </w:pPr>
    </w:p>
    <w:p w14:paraId="7B3B8856">
      <w:pPr>
        <w:spacing w:line="360" w:lineRule="auto"/>
        <w:ind w:firstLine="1120" w:firstLineChars="400"/>
        <w:rPr>
          <w:rFonts w:ascii="宋体" w:hAnsi="宋体"/>
          <w:szCs w:val="21"/>
        </w:rPr>
      </w:pPr>
      <w:r>
        <w:rPr>
          <w:rFonts w:hint="eastAsia" w:ascii="宋体" w:hAnsi="宋体"/>
          <w:szCs w:val="21"/>
        </w:rPr>
        <w:t>甲     方：                         乙     方：</w:t>
      </w:r>
    </w:p>
    <w:p w14:paraId="1F3D5F94">
      <w:pPr>
        <w:spacing w:line="360" w:lineRule="auto"/>
        <w:rPr>
          <w:rFonts w:ascii="宋体" w:hAnsi="宋体"/>
          <w:szCs w:val="21"/>
        </w:rPr>
      </w:pPr>
    </w:p>
    <w:p w14:paraId="306FBA22">
      <w:pPr>
        <w:spacing w:line="360" w:lineRule="auto"/>
        <w:rPr>
          <w:rFonts w:ascii="宋体" w:hAnsi="宋体"/>
          <w:szCs w:val="21"/>
        </w:rPr>
      </w:pPr>
    </w:p>
    <w:p w14:paraId="1AF06D79">
      <w:pPr>
        <w:spacing w:line="360" w:lineRule="auto"/>
        <w:ind w:firstLine="1120" w:firstLineChars="400"/>
        <w:rPr>
          <w:rFonts w:ascii="宋体" w:hAnsi="宋体"/>
          <w:szCs w:val="21"/>
        </w:rPr>
      </w:pPr>
      <w:r>
        <w:rPr>
          <w:rFonts w:hint="eastAsia" w:ascii="宋体" w:hAnsi="宋体"/>
          <w:szCs w:val="21"/>
        </w:rPr>
        <w:t xml:space="preserve">法定代表人                          法定代表人                      </w:t>
      </w:r>
    </w:p>
    <w:p w14:paraId="1F859EB1">
      <w:pPr>
        <w:spacing w:line="360" w:lineRule="auto"/>
        <w:rPr>
          <w:rFonts w:ascii="宋体" w:hAnsi="宋体"/>
          <w:szCs w:val="21"/>
        </w:rPr>
      </w:pPr>
    </w:p>
    <w:p w14:paraId="5D9978BF">
      <w:pPr>
        <w:spacing w:line="360" w:lineRule="auto"/>
        <w:rPr>
          <w:rFonts w:ascii="宋体" w:hAnsi="宋体"/>
          <w:szCs w:val="21"/>
        </w:rPr>
      </w:pPr>
    </w:p>
    <w:p w14:paraId="13F63B7B">
      <w:pPr>
        <w:spacing w:line="360" w:lineRule="auto"/>
        <w:ind w:firstLine="1120" w:firstLineChars="400"/>
        <w:rPr>
          <w:rFonts w:ascii="宋体" w:hAnsi="宋体"/>
          <w:szCs w:val="21"/>
        </w:rPr>
      </w:pPr>
      <w:r>
        <w:rPr>
          <w:rFonts w:hint="eastAsia" w:ascii="宋体" w:hAnsi="宋体"/>
          <w:szCs w:val="21"/>
        </w:rPr>
        <w:t>或其授权的代理人：                  或授权的代理人：</w:t>
      </w:r>
    </w:p>
    <w:p w14:paraId="2228F7BD">
      <w:pPr>
        <w:adjustRightInd w:val="0"/>
        <w:snapToGrid w:val="0"/>
        <w:spacing w:line="440" w:lineRule="exact"/>
        <w:ind w:firstLine="480" w:firstLineChars="200"/>
        <w:rPr>
          <w:rFonts w:ascii="宋体" w:hAnsi="宋体"/>
          <w:sz w:val="24"/>
        </w:rPr>
      </w:pPr>
    </w:p>
    <w:p w14:paraId="144F273A">
      <w:pPr>
        <w:autoSpaceDE w:val="0"/>
        <w:autoSpaceDN w:val="0"/>
        <w:adjustRightInd w:val="0"/>
        <w:spacing w:line="200" w:lineRule="exact"/>
        <w:rPr>
          <w:rFonts w:ascii="宋体" w:hAnsi="宋体"/>
          <w:sz w:val="24"/>
        </w:rPr>
      </w:pPr>
    </w:p>
    <w:p w14:paraId="262EB1E0">
      <w:pPr>
        <w:spacing w:before="158" w:beforeLines="50" w:after="158" w:afterLines="50" w:line="480" w:lineRule="auto"/>
        <w:jc w:val="left"/>
        <w:rPr>
          <w:rFonts w:ascii="宋体" w:hAnsi="宋体"/>
          <w:b/>
        </w:rPr>
      </w:pPr>
      <w:bookmarkStart w:id="548" w:name="_Toc14275836"/>
      <w:bookmarkStart w:id="549" w:name="_Toc448168854"/>
      <w:bookmarkStart w:id="550" w:name="_Toc14337146"/>
      <w:bookmarkStart w:id="551" w:name="_Toc18000996"/>
      <w:bookmarkStart w:id="552" w:name="_Toc14274371"/>
      <w:bookmarkStart w:id="553" w:name="_Toc21118211"/>
      <w:bookmarkStart w:id="554" w:name="_Toc18001054"/>
      <w:bookmarkStart w:id="555" w:name="_Toc418755620"/>
      <w:r>
        <w:rPr>
          <w:rFonts w:hint="eastAsia" w:ascii="宋体" w:hAnsi="宋体"/>
          <w:b/>
        </w:rPr>
        <w:t>附件3：</w:t>
      </w:r>
      <w:bookmarkEnd w:id="548"/>
      <w:bookmarkEnd w:id="549"/>
      <w:bookmarkEnd w:id="550"/>
      <w:bookmarkEnd w:id="551"/>
      <w:bookmarkEnd w:id="552"/>
      <w:bookmarkEnd w:id="553"/>
      <w:bookmarkEnd w:id="554"/>
      <w:bookmarkEnd w:id="555"/>
      <w:r>
        <w:rPr>
          <w:rFonts w:hint="eastAsia" w:ascii="宋体" w:hAnsi="宋体"/>
          <w:b/>
        </w:rPr>
        <w:t>安全管理协议</w:t>
      </w:r>
    </w:p>
    <w:p w14:paraId="109BEC9B">
      <w:pPr>
        <w:spacing w:before="158" w:beforeLines="50" w:after="158" w:afterLines="50" w:line="480" w:lineRule="auto"/>
        <w:jc w:val="center"/>
        <w:rPr>
          <w:rFonts w:ascii="宋体" w:hAnsi="宋体"/>
          <w:szCs w:val="21"/>
        </w:rPr>
      </w:pPr>
      <w:bookmarkStart w:id="556" w:name="_Toc247431422"/>
      <w:bookmarkStart w:id="557" w:name="_Toc336680145"/>
      <w:bookmarkStart w:id="558" w:name="_Toc448406299"/>
      <w:bookmarkStart w:id="559" w:name="_Toc435690184"/>
      <w:bookmarkStart w:id="560" w:name="_Toc239510288"/>
      <w:bookmarkStart w:id="561" w:name="_Toc435689499"/>
      <w:bookmarkStart w:id="562" w:name="_Toc454721216"/>
      <w:bookmarkStart w:id="563" w:name="_Toc452328784"/>
      <w:bookmarkStart w:id="564" w:name="_Toc14274372"/>
      <w:bookmarkStart w:id="565" w:name="_Toc21118212"/>
      <w:bookmarkStart w:id="566" w:name="_Toc14337147"/>
      <w:bookmarkStart w:id="567" w:name="_Toc14275837"/>
      <w:bookmarkStart w:id="568" w:name="_Toc18001055"/>
      <w:bookmarkStart w:id="569" w:name="_Toc18000997"/>
      <w:bookmarkStart w:id="570" w:name="_Toc4568870"/>
      <w:r>
        <w:rPr>
          <w:rFonts w:hint="eastAsia" w:ascii="宋体" w:hAnsi="宋体"/>
          <w:szCs w:val="21"/>
        </w:rPr>
        <w:t>安全管理协议</w:t>
      </w:r>
      <w:bookmarkEnd w:id="556"/>
      <w:bookmarkEnd w:id="557"/>
      <w:bookmarkEnd w:id="558"/>
      <w:bookmarkEnd w:id="559"/>
      <w:bookmarkEnd w:id="560"/>
      <w:bookmarkEnd w:id="561"/>
    </w:p>
    <w:p w14:paraId="7D898034">
      <w:pPr>
        <w:snapToGrid w:val="0"/>
        <w:spacing w:line="360" w:lineRule="auto"/>
        <w:ind w:firstLine="562" w:firstLineChars="200"/>
        <w:rPr>
          <w:rFonts w:ascii="宋体" w:hAnsi="宋体"/>
          <w:b/>
          <w:szCs w:val="21"/>
          <w:u w:val="single"/>
        </w:rPr>
      </w:pPr>
      <w:r>
        <w:rPr>
          <w:rFonts w:hint="eastAsia" w:ascii="宋体" w:hAnsi="宋体"/>
          <w:b/>
          <w:szCs w:val="21"/>
        </w:rPr>
        <w:t>发包人（全称）：</w:t>
      </w:r>
      <w:r>
        <w:rPr>
          <w:rFonts w:hint="eastAsia" w:ascii="宋体" w:hAnsi="宋体"/>
          <w:szCs w:val="21"/>
          <w:u w:val="single"/>
        </w:rPr>
        <w:t xml:space="preserve">                             </w:t>
      </w:r>
    </w:p>
    <w:p w14:paraId="60F54A2E">
      <w:pPr>
        <w:snapToGrid w:val="0"/>
        <w:spacing w:line="360" w:lineRule="auto"/>
        <w:ind w:firstLine="562" w:firstLineChars="200"/>
        <w:rPr>
          <w:rFonts w:ascii="宋体" w:hAnsi="宋体"/>
          <w:b/>
          <w:szCs w:val="21"/>
          <w:u w:val="single"/>
        </w:rPr>
      </w:pPr>
      <w:r>
        <w:rPr>
          <w:rFonts w:hint="eastAsia" w:ascii="宋体" w:hAnsi="宋体"/>
          <w:b/>
          <w:szCs w:val="21"/>
        </w:rPr>
        <w:t>承包人（全称）：</w:t>
      </w:r>
      <w:r>
        <w:rPr>
          <w:rFonts w:hint="eastAsia" w:ascii="宋体" w:hAnsi="宋体"/>
          <w:szCs w:val="21"/>
          <w:u w:val="single"/>
        </w:rPr>
        <w:t xml:space="preserve">                             </w:t>
      </w:r>
    </w:p>
    <w:p w14:paraId="3BD45186">
      <w:pPr>
        <w:spacing w:line="360" w:lineRule="auto"/>
        <w:ind w:firstLine="560" w:firstLineChars="200"/>
        <w:jc w:val="left"/>
        <w:rPr>
          <w:rFonts w:ascii="宋体" w:hAnsi="宋体"/>
          <w:szCs w:val="21"/>
        </w:rPr>
      </w:pPr>
      <w:r>
        <w:rPr>
          <w:rFonts w:hint="eastAsia" w:ascii="宋体" w:hAnsi="宋体"/>
          <w:szCs w:val="21"/>
        </w:rPr>
        <w:t>为了确保实现</w:t>
      </w:r>
      <w:r>
        <w:rPr>
          <w:rFonts w:hint="eastAsia" w:ascii="宋体" w:hAnsi="宋体"/>
          <w:szCs w:val="21"/>
          <w:u w:val="single"/>
        </w:rPr>
        <w:t xml:space="preserve">        </w:t>
      </w:r>
      <w:r>
        <w:rPr>
          <w:rFonts w:hint="eastAsia" w:ascii="宋体" w:hAnsi="宋体"/>
          <w:szCs w:val="21"/>
        </w:rPr>
        <w:t>安全生产目标，进一步明确双方的安全管理责任，加强安全生产管理工作的协调、管理力度，</w:t>
      </w:r>
      <w:r>
        <w:rPr>
          <w:rFonts w:hint="eastAsia" w:ascii="宋体" w:hAnsi="宋体"/>
          <w:szCs w:val="21"/>
          <w:u w:val="single"/>
        </w:rPr>
        <w:t xml:space="preserve">        </w:t>
      </w:r>
      <w:r>
        <w:rPr>
          <w:rFonts w:hint="eastAsia" w:ascii="宋体" w:hAnsi="宋体"/>
          <w:szCs w:val="21"/>
        </w:rPr>
        <w:t>（以下简称“发包人”）与</w:t>
      </w:r>
      <w:r>
        <w:rPr>
          <w:rFonts w:hint="eastAsia" w:ascii="宋体" w:hAnsi="宋体"/>
          <w:szCs w:val="21"/>
          <w:u w:val="single"/>
        </w:rPr>
        <w:t xml:space="preserve">        </w:t>
      </w:r>
      <w:r>
        <w:rPr>
          <w:rFonts w:hint="eastAsia" w:ascii="宋体" w:hAnsi="宋体"/>
          <w:szCs w:val="21"/>
        </w:rPr>
        <w:t>（以下简称“承包人”）依据国家安全生产相关的法律、法规和安全方面的强制性国家标准或行业标准，双方同意签订该协议作为正式合同安全管理方面的补充规定，并承诺本协议具有与合同相同的法律效力。具体条款如下：</w:t>
      </w:r>
    </w:p>
    <w:p w14:paraId="7013CD17">
      <w:pPr>
        <w:spacing w:line="360" w:lineRule="auto"/>
        <w:ind w:firstLine="560" w:firstLineChars="200"/>
        <w:rPr>
          <w:rFonts w:ascii="宋体" w:hAnsi="宋体"/>
          <w:szCs w:val="21"/>
        </w:rPr>
      </w:pPr>
      <w:bookmarkStart w:id="571" w:name="_Toc532375700"/>
      <w:bookmarkStart w:id="572" w:name="_Toc247418263"/>
      <w:bookmarkStart w:id="573" w:name="_Toc239510289"/>
      <w:bookmarkStart w:id="574" w:name="_Toc247431423"/>
      <w:r>
        <w:rPr>
          <w:rFonts w:hint="eastAsia" w:ascii="宋体" w:hAnsi="宋体"/>
          <w:szCs w:val="21"/>
        </w:rPr>
        <w:t>一、协议有效期限</w:t>
      </w:r>
      <w:bookmarkEnd w:id="571"/>
      <w:bookmarkEnd w:id="572"/>
      <w:bookmarkEnd w:id="573"/>
      <w:bookmarkEnd w:id="574"/>
    </w:p>
    <w:p w14:paraId="3E24184A">
      <w:pPr>
        <w:spacing w:line="360" w:lineRule="auto"/>
        <w:ind w:firstLine="560" w:firstLineChars="200"/>
        <w:jc w:val="left"/>
        <w:rPr>
          <w:rFonts w:ascii="宋体" w:hAnsi="宋体"/>
          <w:szCs w:val="21"/>
        </w:rPr>
      </w:pPr>
      <w:r>
        <w:rPr>
          <w:rFonts w:hint="eastAsia" w:ascii="宋体" w:hAnsi="宋体"/>
          <w:szCs w:val="21"/>
        </w:rPr>
        <w:t>本协议中所涉及的安全管理责任自合同签订之日起开始生效，至合同工程全部完工验收且经发包人与承包人签订移交协议生效后之日终止。</w:t>
      </w:r>
    </w:p>
    <w:p w14:paraId="68C56F82">
      <w:pPr>
        <w:spacing w:line="360" w:lineRule="auto"/>
        <w:ind w:firstLine="560" w:firstLineChars="200"/>
        <w:rPr>
          <w:rFonts w:ascii="宋体" w:hAnsi="宋体"/>
          <w:szCs w:val="21"/>
        </w:rPr>
      </w:pPr>
      <w:bookmarkStart w:id="575" w:name="_Toc239510290"/>
      <w:bookmarkStart w:id="576" w:name="_Toc247431424"/>
      <w:bookmarkStart w:id="577" w:name="_Toc247418264"/>
      <w:bookmarkStart w:id="578" w:name="_Toc532375701"/>
      <w:r>
        <w:rPr>
          <w:rFonts w:hint="eastAsia" w:ascii="宋体" w:hAnsi="宋体"/>
          <w:szCs w:val="21"/>
        </w:rPr>
        <w:t>二、责任目标</w:t>
      </w:r>
      <w:bookmarkEnd w:id="575"/>
      <w:bookmarkEnd w:id="576"/>
      <w:bookmarkEnd w:id="577"/>
      <w:bookmarkEnd w:id="578"/>
    </w:p>
    <w:p w14:paraId="50D920B7">
      <w:pPr>
        <w:spacing w:line="360" w:lineRule="auto"/>
        <w:ind w:firstLine="560" w:firstLineChars="200"/>
        <w:jc w:val="left"/>
        <w:rPr>
          <w:rFonts w:ascii="宋体" w:hAnsi="宋体"/>
          <w:szCs w:val="21"/>
        </w:rPr>
      </w:pPr>
      <w:r>
        <w:rPr>
          <w:rFonts w:hint="eastAsia" w:ascii="宋体" w:hAnsi="宋体"/>
          <w:szCs w:val="21"/>
        </w:rPr>
        <w:t>（一）承包人承诺承担和履行合同和发包人所规定的安全责任，且满足要求。</w:t>
      </w:r>
    </w:p>
    <w:p w14:paraId="7D4C9804">
      <w:pPr>
        <w:spacing w:line="360" w:lineRule="auto"/>
        <w:ind w:firstLine="560" w:firstLineChars="200"/>
        <w:jc w:val="left"/>
        <w:rPr>
          <w:rFonts w:ascii="宋体" w:hAnsi="宋体"/>
          <w:szCs w:val="21"/>
        </w:rPr>
      </w:pPr>
      <w:r>
        <w:rPr>
          <w:rFonts w:hint="eastAsia" w:ascii="宋体" w:hAnsi="宋体"/>
          <w:szCs w:val="21"/>
        </w:rPr>
        <w:t>（二）承包人的安全控制目标是确保本工程在实施过程中：</w:t>
      </w:r>
    </w:p>
    <w:p w14:paraId="602A3048">
      <w:pPr>
        <w:spacing w:line="360" w:lineRule="auto"/>
        <w:ind w:firstLine="560" w:firstLineChars="200"/>
        <w:jc w:val="left"/>
        <w:rPr>
          <w:rFonts w:ascii="宋体" w:hAnsi="宋体"/>
          <w:szCs w:val="21"/>
        </w:rPr>
      </w:pPr>
      <w:r>
        <w:rPr>
          <w:rFonts w:hint="eastAsia" w:ascii="宋体" w:hAnsi="宋体"/>
          <w:szCs w:val="21"/>
        </w:rPr>
        <w:t>1．不发生人身重伤事故；</w:t>
      </w:r>
    </w:p>
    <w:p w14:paraId="4CE344EE">
      <w:pPr>
        <w:spacing w:line="360" w:lineRule="auto"/>
        <w:ind w:firstLine="560" w:firstLineChars="200"/>
        <w:jc w:val="left"/>
        <w:rPr>
          <w:rFonts w:ascii="宋体" w:hAnsi="宋体"/>
          <w:szCs w:val="21"/>
        </w:rPr>
      </w:pPr>
      <w:r>
        <w:rPr>
          <w:rFonts w:hint="eastAsia" w:ascii="宋体" w:hAnsi="宋体"/>
          <w:szCs w:val="21"/>
        </w:rPr>
        <w:t>2．不发生火灾事故；</w:t>
      </w:r>
    </w:p>
    <w:p w14:paraId="49A5AE7A">
      <w:pPr>
        <w:spacing w:line="360" w:lineRule="auto"/>
        <w:ind w:firstLine="560" w:firstLineChars="200"/>
        <w:jc w:val="left"/>
        <w:rPr>
          <w:rFonts w:ascii="宋体" w:hAnsi="宋体"/>
          <w:szCs w:val="21"/>
        </w:rPr>
      </w:pPr>
      <w:r>
        <w:rPr>
          <w:rFonts w:hint="eastAsia" w:ascii="宋体" w:hAnsi="宋体"/>
          <w:szCs w:val="21"/>
        </w:rPr>
        <w:t>3．不发生负有同等及以上事故责任的造成人身重伤的一般交通事故；</w:t>
      </w:r>
    </w:p>
    <w:p w14:paraId="53EB0C49">
      <w:pPr>
        <w:spacing w:line="360" w:lineRule="auto"/>
        <w:ind w:firstLine="560" w:firstLineChars="200"/>
        <w:jc w:val="left"/>
        <w:rPr>
          <w:rFonts w:ascii="宋体" w:hAnsi="宋体"/>
          <w:szCs w:val="21"/>
        </w:rPr>
      </w:pPr>
      <w:r>
        <w:rPr>
          <w:rFonts w:hint="eastAsia" w:ascii="宋体" w:hAnsi="宋体"/>
          <w:szCs w:val="21"/>
        </w:rPr>
        <w:t>4．不发生集体食物中毒事件（同时5人及以上的食物中毒）；</w:t>
      </w:r>
    </w:p>
    <w:p w14:paraId="59243294">
      <w:pPr>
        <w:spacing w:line="360" w:lineRule="auto"/>
        <w:ind w:firstLine="560" w:firstLineChars="200"/>
        <w:jc w:val="left"/>
        <w:rPr>
          <w:rFonts w:ascii="宋体" w:hAnsi="宋体"/>
          <w:szCs w:val="21"/>
        </w:rPr>
      </w:pPr>
      <w:r>
        <w:rPr>
          <w:rFonts w:hint="eastAsia" w:ascii="宋体" w:hAnsi="宋体"/>
          <w:szCs w:val="21"/>
        </w:rPr>
        <w:t>5．不发生流行性传染病 （无甲型传染病、其他常见传染病未形成多人同时患病）；</w:t>
      </w:r>
    </w:p>
    <w:p w14:paraId="65E55FBB">
      <w:pPr>
        <w:spacing w:line="360" w:lineRule="auto"/>
        <w:ind w:firstLine="560" w:firstLineChars="200"/>
        <w:jc w:val="left"/>
        <w:rPr>
          <w:rFonts w:ascii="宋体" w:hAnsi="宋体"/>
          <w:szCs w:val="21"/>
        </w:rPr>
      </w:pPr>
      <w:r>
        <w:rPr>
          <w:rFonts w:hint="eastAsia" w:ascii="宋体" w:hAnsi="宋体"/>
          <w:szCs w:val="21"/>
        </w:rPr>
        <w:t>6．不发生重大环境污染事件（生活、工业垃圾及其他污染物造成环境污染和大面积水土流失）；</w:t>
      </w:r>
    </w:p>
    <w:p w14:paraId="779551ED">
      <w:pPr>
        <w:spacing w:line="360" w:lineRule="auto"/>
        <w:ind w:firstLine="560" w:firstLineChars="200"/>
        <w:jc w:val="left"/>
        <w:rPr>
          <w:rFonts w:ascii="宋体" w:hAnsi="宋体"/>
          <w:szCs w:val="21"/>
        </w:rPr>
      </w:pPr>
      <w:r>
        <w:rPr>
          <w:rFonts w:hint="eastAsia" w:ascii="宋体" w:hAnsi="宋体"/>
          <w:szCs w:val="21"/>
        </w:rPr>
        <w:t>7．不发生对施工区附近生产、生活造成重大影响的事件（如造成重大设备损坏、重大财产损失、人员伤害等）；</w:t>
      </w:r>
    </w:p>
    <w:p w14:paraId="120D2420">
      <w:pPr>
        <w:spacing w:line="360" w:lineRule="auto"/>
        <w:ind w:firstLine="560" w:firstLineChars="200"/>
        <w:jc w:val="left"/>
        <w:rPr>
          <w:rFonts w:ascii="宋体" w:hAnsi="宋体"/>
          <w:szCs w:val="21"/>
        </w:rPr>
      </w:pPr>
      <w:r>
        <w:rPr>
          <w:rFonts w:hint="eastAsia" w:ascii="宋体" w:hAnsi="宋体"/>
          <w:szCs w:val="21"/>
        </w:rPr>
        <w:t>8．不发生治安保卫事件（构成刑事拘留及以上的事件、盗窃直接损失超过1万元人民币的事件）。</w:t>
      </w:r>
    </w:p>
    <w:p w14:paraId="7A3E718F">
      <w:pPr>
        <w:spacing w:line="360" w:lineRule="auto"/>
        <w:ind w:firstLine="560" w:firstLineChars="200"/>
        <w:jc w:val="left"/>
        <w:rPr>
          <w:rFonts w:ascii="宋体" w:hAnsi="宋体"/>
          <w:szCs w:val="21"/>
        </w:rPr>
      </w:pPr>
      <w:bookmarkStart w:id="579" w:name="_Toc239510291"/>
      <w:bookmarkStart w:id="580" w:name="_Toc247431425"/>
      <w:bookmarkStart w:id="581" w:name="_Toc247418265"/>
      <w:r>
        <w:rPr>
          <w:rFonts w:hint="eastAsia" w:ascii="宋体" w:hAnsi="宋体"/>
          <w:szCs w:val="21"/>
        </w:rPr>
        <w:t>（三）承包人承诺在施工中控制以下安全事故的发生：</w:t>
      </w:r>
      <w:bookmarkEnd w:id="579"/>
      <w:bookmarkEnd w:id="580"/>
      <w:bookmarkEnd w:id="581"/>
    </w:p>
    <w:p w14:paraId="355C6ED6">
      <w:pPr>
        <w:spacing w:line="360" w:lineRule="auto"/>
        <w:ind w:firstLine="560" w:firstLineChars="200"/>
        <w:jc w:val="left"/>
        <w:rPr>
          <w:rFonts w:ascii="宋体" w:hAnsi="宋体"/>
          <w:szCs w:val="21"/>
        </w:rPr>
      </w:pPr>
      <w:r>
        <w:rPr>
          <w:rFonts w:hint="eastAsia" w:ascii="宋体" w:hAnsi="宋体"/>
          <w:szCs w:val="21"/>
        </w:rPr>
        <w:t>1．人员轻伤事故。</w:t>
      </w:r>
    </w:p>
    <w:p w14:paraId="6387A04A">
      <w:pPr>
        <w:spacing w:line="360" w:lineRule="auto"/>
        <w:ind w:firstLine="560" w:firstLineChars="200"/>
        <w:jc w:val="left"/>
        <w:rPr>
          <w:rFonts w:ascii="宋体" w:hAnsi="宋体"/>
          <w:szCs w:val="21"/>
        </w:rPr>
      </w:pPr>
      <w:r>
        <w:rPr>
          <w:rFonts w:hint="eastAsia" w:ascii="宋体" w:hAnsi="宋体"/>
          <w:szCs w:val="21"/>
        </w:rPr>
        <w:t>2．负有同等及以上事故责任的人身轻伤交通事故。</w:t>
      </w:r>
    </w:p>
    <w:p w14:paraId="20A24F20">
      <w:pPr>
        <w:spacing w:line="360" w:lineRule="auto"/>
        <w:ind w:firstLine="560" w:firstLineChars="200"/>
        <w:jc w:val="left"/>
        <w:rPr>
          <w:rFonts w:ascii="宋体" w:hAnsi="宋体"/>
          <w:szCs w:val="21"/>
        </w:rPr>
      </w:pPr>
      <w:r>
        <w:rPr>
          <w:rFonts w:hint="eastAsia" w:ascii="宋体" w:hAnsi="宋体"/>
          <w:szCs w:val="21"/>
        </w:rPr>
        <w:t>3．其他安全未遂事故和异常事件。</w:t>
      </w:r>
    </w:p>
    <w:p w14:paraId="3CAA1703">
      <w:pPr>
        <w:spacing w:line="360" w:lineRule="auto"/>
        <w:ind w:firstLine="560" w:firstLineChars="200"/>
        <w:rPr>
          <w:rFonts w:ascii="宋体" w:hAnsi="宋体"/>
          <w:szCs w:val="21"/>
        </w:rPr>
      </w:pPr>
      <w:bookmarkStart w:id="582" w:name="_Toc247418266"/>
      <w:bookmarkStart w:id="583" w:name="_Toc532375702"/>
      <w:bookmarkStart w:id="584" w:name="_Toc239510292"/>
      <w:bookmarkStart w:id="585" w:name="_Toc247431426"/>
      <w:r>
        <w:rPr>
          <w:rFonts w:hint="eastAsia" w:ascii="宋体" w:hAnsi="宋体"/>
          <w:szCs w:val="21"/>
        </w:rPr>
        <w:t>三、安全责任</w:t>
      </w:r>
      <w:bookmarkEnd w:id="582"/>
      <w:bookmarkEnd w:id="583"/>
      <w:bookmarkEnd w:id="584"/>
      <w:bookmarkEnd w:id="585"/>
    </w:p>
    <w:p w14:paraId="17A84B5C">
      <w:pPr>
        <w:spacing w:line="360" w:lineRule="auto"/>
        <w:ind w:firstLine="560" w:firstLineChars="200"/>
        <w:jc w:val="left"/>
        <w:rPr>
          <w:rFonts w:ascii="宋体" w:hAnsi="宋体"/>
          <w:szCs w:val="21"/>
        </w:rPr>
      </w:pPr>
      <w:r>
        <w:rPr>
          <w:rFonts w:hint="eastAsia" w:ascii="宋体" w:hAnsi="宋体"/>
          <w:szCs w:val="21"/>
        </w:rPr>
        <w:t>1．承包人负有安全生产的管理责任和直接责任。</w:t>
      </w:r>
    </w:p>
    <w:p w14:paraId="4F8BB99E">
      <w:pPr>
        <w:spacing w:line="360" w:lineRule="auto"/>
        <w:ind w:firstLine="560" w:firstLineChars="200"/>
        <w:jc w:val="left"/>
        <w:rPr>
          <w:rFonts w:ascii="宋体" w:hAnsi="宋体"/>
          <w:szCs w:val="21"/>
        </w:rPr>
      </w:pPr>
      <w:r>
        <w:rPr>
          <w:rFonts w:hint="eastAsia" w:ascii="宋体" w:hAnsi="宋体"/>
          <w:szCs w:val="21"/>
        </w:rPr>
        <w:t>2．承包人的法人或签署合同的公司总经理或受委托的代理人对合同安全负有全面的领导责任。</w:t>
      </w:r>
    </w:p>
    <w:p w14:paraId="762FDEAF">
      <w:pPr>
        <w:spacing w:line="360" w:lineRule="auto"/>
        <w:ind w:firstLine="560" w:firstLineChars="200"/>
        <w:jc w:val="left"/>
        <w:rPr>
          <w:rFonts w:ascii="宋体" w:hAnsi="宋体"/>
          <w:szCs w:val="21"/>
        </w:rPr>
      </w:pPr>
      <w:r>
        <w:rPr>
          <w:rFonts w:hint="eastAsia" w:ascii="宋体" w:hAnsi="宋体"/>
          <w:szCs w:val="21"/>
        </w:rPr>
        <w:t>3．承包人项目经理对施工现场的安全工作负有全面的直接领导责任。</w:t>
      </w:r>
    </w:p>
    <w:p w14:paraId="09574E92">
      <w:pPr>
        <w:spacing w:line="360" w:lineRule="auto"/>
        <w:ind w:firstLine="560" w:firstLineChars="200"/>
        <w:jc w:val="left"/>
        <w:rPr>
          <w:rFonts w:ascii="宋体" w:hAnsi="宋体"/>
          <w:szCs w:val="21"/>
        </w:rPr>
      </w:pPr>
      <w:r>
        <w:rPr>
          <w:rFonts w:hint="eastAsia" w:ascii="宋体" w:hAnsi="宋体"/>
          <w:szCs w:val="21"/>
        </w:rPr>
        <w:t>4．承包人保证执行“谁施工、谁负责”的施工安全原则。</w:t>
      </w:r>
    </w:p>
    <w:p w14:paraId="0EA72C56">
      <w:pPr>
        <w:spacing w:line="360" w:lineRule="auto"/>
        <w:ind w:firstLine="560" w:firstLineChars="200"/>
        <w:jc w:val="left"/>
        <w:rPr>
          <w:rFonts w:ascii="宋体" w:hAnsi="宋体"/>
          <w:szCs w:val="21"/>
        </w:rPr>
      </w:pPr>
      <w:r>
        <w:rPr>
          <w:rFonts w:hint="eastAsia" w:ascii="宋体" w:hAnsi="宋体"/>
          <w:szCs w:val="21"/>
        </w:rPr>
        <w:t>5．承包人保证服从发包人对安全工作的统一协调和管理。</w:t>
      </w:r>
    </w:p>
    <w:p w14:paraId="2D881923">
      <w:pPr>
        <w:spacing w:line="360" w:lineRule="auto"/>
        <w:ind w:firstLine="560" w:firstLineChars="200"/>
        <w:jc w:val="left"/>
        <w:rPr>
          <w:rFonts w:ascii="宋体" w:hAnsi="宋体"/>
          <w:szCs w:val="21"/>
        </w:rPr>
      </w:pPr>
      <w:r>
        <w:rPr>
          <w:rFonts w:hint="eastAsia" w:ascii="宋体" w:hAnsi="宋体"/>
          <w:szCs w:val="21"/>
        </w:rPr>
        <w:t>6．承包人保证对本工程项目安全生产条件及其管理资源自行投入，保证安全资金的专款专用。</w:t>
      </w:r>
    </w:p>
    <w:p w14:paraId="1DE6DDB1">
      <w:pPr>
        <w:spacing w:line="360" w:lineRule="auto"/>
        <w:ind w:firstLine="560" w:firstLineChars="200"/>
        <w:jc w:val="left"/>
        <w:rPr>
          <w:rFonts w:ascii="宋体" w:hAnsi="宋体"/>
          <w:szCs w:val="21"/>
        </w:rPr>
      </w:pPr>
      <w:r>
        <w:rPr>
          <w:rFonts w:hint="eastAsia" w:ascii="宋体" w:hAnsi="宋体"/>
          <w:szCs w:val="21"/>
        </w:rPr>
        <w:t>7．承包人保证建立本工程项目的安全管理体系及安全保证体系（注：项目安全管理大纲/手册、管理性的程序文件等）。</w:t>
      </w:r>
    </w:p>
    <w:p w14:paraId="1965C8C2">
      <w:pPr>
        <w:spacing w:line="360" w:lineRule="auto"/>
        <w:ind w:firstLine="560" w:firstLineChars="200"/>
        <w:jc w:val="left"/>
        <w:rPr>
          <w:rFonts w:ascii="宋体" w:hAnsi="宋体"/>
          <w:szCs w:val="21"/>
        </w:rPr>
      </w:pPr>
      <w:r>
        <w:rPr>
          <w:rFonts w:hint="eastAsia" w:ascii="宋体" w:hAnsi="宋体"/>
          <w:szCs w:val="21"/>
        </w:rPr>
        <w:t>8．承包人保证现场的安全管理专职人员必须持有建设主管部门安全生产培训考核合格证书。</w:t>
      </w:r>
    </w:p>
    <w:p w14:paraId="6D566F32">
      <w:pPr>
        <w:spacing w:line="360" w:lineRule="auto"/>
        <w:ind w:firstLine="560" w:firstLineChars="200"/>
        <w:jc w:val="left"/>
        <w:rPr>
          <w:rFonts w:ascii="宋体" w:hAnsi="宋体"/>
          <w:szCs w:val="21"/>
        </w:rPr>
      </w:pPr>
      <w:r>
        <w:rPr>
          <w:rFonts w:hint="eastAsia" w:ascii="宋体" w:hAnsi="宋体"/>
          <w:szCs w:val="21"/>
        </w:rPr>
        <w:t>9．承包人保证为现场所有工作人员（含分包商员工及劳务人员）配备符合国家标准的有承包人和/或其下属分包商标志的个人基本劳动保护用品。</w:t>
      </w:r>
    </w:p>
    <w:p w14:paraId="25076518">
      <w:pPr>
        <w:spacing w:line="360" w:lineRule="auto"/>
        <w:ind w:firstLine="560" w:firstLineChars="200"/>
        <w:jc w:val="left"/>
        <w:rPr>
          <w:rFonts w:ascii="宋体" w:hAnsi="宋体"/>
          <w:szCs w:val="21"/>
        </w:rPr>
      </w:pPr>
      <w:r>
        <w:rPr>
          <w:rFonts w:hint="eastAsia" w:ascii="宋体" w:hAnsi="宋体"/>
          <w:szCs w:val="21"/>
        </w:rPr>
        <w:t>10．承包人保证按照国家法律规定为现场所有工作人员（含分包商员工及劳务人员）购买意外伤害保险。</w:t>
      </w:r>
    </w:p>
    <w:p w14:paraId="4DEBB8BC">
      <w:pPr>
        <w:spacing w:line="360" w:lineRule="auto"/>
        <w:ind w:firstLine="560" w:firstLineChars="200"/>
        <w:jc w:val="left"/>
        <w:rPr>
          <w:rFonts w:ascii="宋体" w:hAnsi="宋体"/>
          <w:szCs w:val="21"/>
        </w:rPr>
      </w:pPr>
      <w:r>
        <w:rPr>
          <w:rFonts w:hint="eastAsia" w:ascii="宋体" w:hAnsi="宋体"/>
          <w:szCs w:val="21"/>
        </w:rPr>
        <w:t>11．承包人保证施工生活营地（包括自建的和租用的营地）满足消防、安全用电、卫生防疫、防暴雨、防雷击等方面的安全要求。</w:t>
      </w:r>
    </w:p>
    <w:p w14:paraId="21E21B16">
      <w:pPr>
        <w:spacing w:line="360" w:lineRule="auto"/>
        <w:ind w:firstLine="560" w:firstLineChars="200"/>
        <w:jc w:val="left"/>
        <w:rPr>
          <w:rFonts w:ascii="宋体" w:hAnsi="宋体"/>
          <w:szCs w:val="21"/>
        </w:rPr>
      </w:pPr>
      <w:r>
        <w:rPr>
          <w:rFonts w:hint="eastAsia" w:ascii="宋体" w:hAnsi="宋体"/>
          <w:szCs w:val="21"/>
        </w:rPr>
        <w:t>12．承包人保证对带入现场的设备、工具、材料按照国家法规和标准进行检测、试验，并持有法定部门出具的检验证书。</w:t>
      </w:r>
    </w:p>
    <w:p w14:paraId="09C5C410">
      <w:pPr>
        <w:spacing w:line="360" w:lineRule="auto"/>
        <w:ind w:firstLine="560" w:firstLineChars="200"/>
        <w:jc w:val="left"/>
        <w:rPr>
          <w:rFonts w:ascii="宋体" w:hAnsi="宋体"/>
          <w:szCs w:val="21"/>
        </w:rPr>
      </w:pPr>
      <w:r>
        <w:rPr>
          <w:rFonts w:hint="eastAsia" w:ascii="宋体" w:hAnsi="宋体"/>
          <w:szCs w:val="21"/>
        </w:rPr>
        <w:t>13．承包人保证制订施工现场的文明施工措施，保护环境、树木和植被，保持施工现场的良好秩序和整洁的作业环境。</w:t>
      </w:r>
    </w:p>
    <w:p w14:paraId="78DCAC41">
      <w:pPr>
        <w:spacing w:line="360" w:lineRule="auto"/>
        <w:ind w:firstLine="560" w:firstLineChars="200"/>
        <w:jc w:val="left"/>
        <w:rPr>
          <w:rFonts w:ascii="宋体" w:hAnsi="宋体"/>
          <w:szCs w:val="21"/>
        </w:rPr>
      </w:pPr>
      <w:r>
        <w:rPr>
          <w:rFonts w:hint="eastAsia" w:ascii="宋体" w:hAnsi="宋体"/>
          <w:szCs w:val="21"/>
        </w:rPr>
        <w:t>14．承包人负责在施工过程中与当地政府、周边群众及其他承包商保持良好的沟通和交流。承包人遇到与周边群众发生纠纷时，应负责协调工作，确保工程能够顺利进行。</w:t>
      </w:r>
    </w:p>
    <w:p w14:paraId="7D21B4E1">
      <w:pPr>
        <w:spacing w:line="360" w:lineRule="auto"/>
        <w:ind w:firstLine="560" w:firstLineChars="200"/>
        <w:rPr>
          <w:rFonts w:ascii="宋体" w:hAnsi="宋体"/>
          <w:szCs w:val="21"/>
        </w:rPr>
      </w:pPr>
      <w:bookmarkStart w:id="586" w:name="_Toc247431427"/>
      <w:bookmarkStart w:id="587" w:name="_Toc532375703"/>
      <w:bookmarkStart w:id="588" w:name="_Toc247418267"/>
      <w:bookmarkStart w:id="589" w:name="_Toc239510293"/>
      <w:r>
        <w:rPr>
          <w:rFonts w:hint="eastAsia" w:ascii="宋体" w:hAnsi="宋体"/>
          <w:szCs w:val="21"/>
        </w:rPr>
        <w:t>四、接口及协调</w:t>
      </w:r>
      <w:bookmarkEnd w:id="586"/>
      <w:bookmarkEnd w:id="587"/>
      <w:bookmarkEnd w:id="588"/>
      <w:bookmarkEnd w:id="589"/>
    </w:p>
    <w:p w14:paraId="045AFD3C">
      <w:pPr>
        <w:spacing w:line="360" w:lineRule="auto"/>
        <w:ind w:firstLine="560" w:firstLineChars="200"/>
        <w:jc w:val="left"/>
        <w:rPr>
          <w:rFonts w:ascii="宋体" w:hAnsi="宋体"/>
          <w:szCs w:val="21"/>
        </w:rPr>
      </w:pPr>
      <w:r>
        <w:rPr>
          <w:rFonts w:hint="eastAsia" w:ascii="宋体" w:hAnsi="宋体"/>
          <w:szCs w:val="21"/>
        </w:rPr>
        <w:t>1．发包人委托监理公司对该工程实施监理，监理公司在安全管理方面代表发包人行使监督检查职能，承包人必须给予配合和支持。</w:t>
      </w:r>
    </w:p>
    <w:p w14:paraId="73DDE942">
      <w:pPr>
        <w:spacing w:line="360" w:lineRule="auto"/>
        <w:ind w:firstLine="560" w:firstLineChars="200"/>
        <w:jc w:val="left"/>
        <w:rPr>
          <w:rFonts w:ascii="宋体" w:hAnsi="宋体"/>
          <w:szCs w:val="21"/>
        </w:rPr>
      </w:pPr>
      <w:r>
        <w:rPr>
          <w:rFonts w:hint="eastAsia" w:ascii="宋体" w:hAnsi="宋体"/>
          <w:szCs w:val="21"/>
        </w:rPr>
        <w:t>2．承包人人员、车辆的出入，带入现场的设备、机具、材料，在现场使用的或直接管理的办公、生活、生产性设施的安全管理须满足发包人现场管理的基本要求。</w:t>
      </w:r>
    </w:p>
    <w:p w14:paraId="229AB046">
      <w:pPr>
        <w:spacing w:line="360" w:lineRule="auto"/>
        <w:ind w:firstLine="560" w:firstLineChars="200"/>
        <w:jc w:val="left"/>
        <w:rPr>
          <w:rFonts w:ascii="宋体" w:hAnsi="宋体"/>
          <w:szCs w:val="21"/>
        </w:rPr>
      </w:pPr>
      <w:r>
        <w:rPr>
          <w:rFonts w:hint="eastAsia" w:ascii="宋体" w:hAnsi="宋体"/>
          <w:szCs w:val="21"/>
        </w:rPr>
        <w:t>3．承包人应指定专职安全管理人员与发包人委托的监理公司接口，参与安全协调和管理。安全协调和管理的内容包括职业健康、工业安全、消防安全、卫生防疫、交通安全、环境保护、治安保卫等各方面。</w:t>
      </w:r>
    </w:p>
    <w:p w14:paraId="4CE7EA82">
      <w:pPr>
        <w:spacing w:line="360" w:lineRule="auto"/>
        <w:ind w:firstLine="560" w:firstLineChars="200"/>
        <w:jc w:val="left"/>
        <w:rPr>
          <w:rFonts w:ascii="宋体" w:hAnsi="宋体"/>
          <w:szCs w:val="21"/>
        </w:rPr>
      </w:pPr>
      <w:r>
        <w:rPr>
          <w:rFonts w:hint="eastAsia" w:ascii="宋体" w:hAnsi="宋体"/>
          <w:szCs w:val="21"/>
        </w:rPr>
        <w:t>4．承包人的专职安全管理人员应具备协调安全工作的能力和授权。发包人委托的监理公司有权对专职安全管理人员的能力和权力做出评价，对于不能胜任的专职安全管理人员，发包人委托的监理公司有权要求承包人换人。</w:t>
      </w:r>
    </w:p>
    <w:p w14:paraId="7FBA08B9">
      <w:pPr>
        <w:spacing w:line="360" w:lineRule="auto"/>
        <w:ind w:firstLine="560" w:firstLineChars="200"/>
        <w:jc w:val="left"/>
        <w:rPr>
          <w:rFonts w:ascii="宋体" w:hAnsi="宋体"/>
          <w:szCs w:val="21"/>
        </w:rPr>
      </w:pPr>
      <w:r>
        <w:rPr>
          <w:rFonts w:hint="eastAsia" w:ascii="宋体" w:hAnsi="宋体"/>
          <w:szCs w:val="21"/>
        </w:rPr>
        <w:t>5．承包人指定的专职安全管理人员应与发包人委托的监理公司建立联系，在业务上接受发包人委托的监理公司的协调和指导。</w:t>
      </w:r>
    </w:p>
    <w:p w14:paraId="68DBB85E">
      <w:pPr>
        <w:spacing w:line="360" w:lineRule="auto"/>
        <w:ind w:firstLine="560" w:firstLineChars="200"/>
        <w:jc w:val="left"/>
        <w:rPr>
          <w:rFonts w:ascii="宋体" w:hAnsi="宋体"/>
          <w:szCs w:val="21"/>
        </w:rPr>
      </w:pPr>
      <w:r>
        <w:rPr>
          <w:rFonts w:hint="eastAsia" w:ascii="宋体" w:hAnsi="宋体"/>
          <w:szCs w:val="21"/>
        </w:rPr>
        <w:t>6．开工后承包人的专职安全管理人员应按照发包人委托的监理公司的规定，定期报送安全月度快报、季报、年报和各种专项事故报告等。</w:t>
      </w:r>
    </w:p>
    <w:p w14:paraId="13303345">
      <w:pPr>
        <w:spacing w:line="360" w:lineRule="auto"/>
        <w:ind w:firstLine="560" w:firstLineChars="200"/>
        <w:jc w:val="left"/>
        <w:rPr>
          <w:rFonts w:ascii="宋体" w:hAnsi="宋体"/>
          <w:szCs w:val="21"/>
        </w:rPr>
      </w:pPr>
      <w:r>
        <w:rPr>
          <w:rFonts w:hint="eastAsia" w:ascii="宋体" w:hAnsi="宋体"/>
          <w:szCs w:val="21"/>
        </w:rPr>
        <w:t>7．在工程实体未全部正式移交发包人施工管理部门之前，承包人依旧对施工范围内的安全管理负责。</w:t>
      </w:r>
    </w:p>
    <w:p w14:paraId="616A9BCC">
      <w:pPr>
        <w:spacing w:line="360" w:lineRule="auto"/>
        <w:ind w:firstLine="560" w:firstLineChars="200"/>
        <w:rPr>
          <w:rFonts w:ascii="宋体" w:hAnsi="宋体"/>
          <w:szCs w:val="21"/>
        </w:rPr>
      </w:pPr>
      <w:bookmarkStart w:id="590" w:name="_Toc247418268"/>
      <w:bookmarkStart w:id="591" w:name="_Toc532375704"/>
      <w:bookmarkStart w:id="592" w:name="_Toc239510294"/>
      <w:bookmarkStart w:id="593" w:name="_Toc247431428"/>
      <w:r>
        <w:rPr>
          <w:rFonts w:hint="eastAsia" w:ascii="宋体" w:hAnsi="宋体"/>
          <w:szCs w:val="21"/>
        </w:rPr>
        <w:t>五、安全资质审查</w:t>
      </w:r>
      <w:bookmarkEnd w:id="590"/>
      <w:bookmarkEnd w:id="591"/>
      <w:bookmarkEnd w:id="592"/>
      <w:bookmarkEnd w:id="593"/>
    </w:p>
    <w:p w14:paraId="60783840">
      <w:pPr>
        <w:spacing w:line="360" w:lineRule="auto"/>
        <w:ind w:firstLine="560" w:firstLineChars="200"/>
        <w:jc w:val="left"/>
        <w:rPr>
          <w:rFonts w:ascii="宋体" w:hAnsi="宋体"/>
          <w:szCs w:val="21"/>
        </w:rPr>
      </w:pPr>
      <w:r>
        <w:rPr>
          <w:rFonts w:hint="eastAsia" w:ascii="宋体" w:hAnsi="宋体"/>
          <w:szCs w:val="21"/>
        </w:rPr>
        <w:t>承包人在项目开工前5个工作天内向发包人委托的监理公司提供以下安全资质供审查和存档：</w:t>
      </w:r>
    </w:p>
    <w:p w14:paraId="3858D089">
      <w:pPr>
        <w:spacing w:line="360" w:lineRule="auto"/>
        <w:ind w:firstLine="560" w:firstLineChars="200"/>
        <w:jc w:val="left"/>
        <w:rPr>
          <w:rFonts w:ascii="宋体" w:hAnsi="宋体"/>
          <w:szCs w:val="21"/>
        </w:rPr>
      </w:pPr>
      <w:r>
        <w:rPr>
          <w:rFonts w:hint="eastAsia" w:ascii="宋体" w:hAnsi="宋体"/>
          <w:szCs w:val="21"/>
        </w:rPr>
        <w:t>1．企业安全生产许可证书复印件。</w:t>
      </w:r>
    </w:p>
    <w:p w14:paraId="37A27701">
      <w:pPr>
        <w:spacing w:line="360" w:lineRule="auto"/>
        <w:ind w:firstLine="560" w:firstLineChars="200"/>
        <w:jc w:val="left"/>
        <w:rPr>
          <w:rFonts w:ascii="宋体" w:hAnsi="宋体"/>
          <w:szCs w:val="21"/>
        </w:rPr>
      </w:pPr>
      <w:r>
        <w:rPr>
          <w:rFonts w:hint="eastAsia" w:ascii="宋体" w:hAnsi="宋体"/>
          <w:szCs w:val="21"/>
        </w:rPr>
        <w:t>2．企业近三年的施工简历及安全施工业绩证明文件。</w:t>
      </w:r>
    </w:p>
    <w:p w14:paraId="053C7C31">
      <w:pPr>
        <w:spacing w:line="360" w:lineRule="auto"/>
        <w:ind w:firstLine="560" w:firstLineChars="200"/>
        <w:jc w:val="left"/>
        <w:rPr>
          <w:rFonts w:ascii="宋体" w:hAnsi="宋体"/>
          <w:szCs w:val="21"/>
        </w:rPr>
      </w:pPr>
      <w:r>
        <w:rPr>
          <w:rFonts w:hint="eastAsia" w:ascii="宋体" w:hAnsi="宋体"/>
          <w:szCs w:val="21"/>
        </w:rPr>
        <w:t>3．企业主要安全管理人员（包括项目经理、专职安全管理人员）经建设主管部门安全生产知识考核合格证书。</w:t>
      </w:r>
    </w:p>
    <w:p w14:paraId="061E848C">
      <w:pPr>
        <w:spacing w:line="360" w:lineRule="auto"/>
        <w:ind w:firstLine="560" w:firstLineChars="200"/>
        <w:jc w:val="left"/>
        <w:rPr>
          <w:rFonts w:ascii="宋体" w:hAnsi="宋体"/>
          <w:szCs w:val="21"/>
        </w:rPr>
      </w:pPr>
      <w:r>
        <w:rPr>
          <w:rFonts w:hint="eastAsia" w:ascii="宋体" w:hAnsi="宋体"/>
          <w:szCs w:val="21"/>
        </w:rPr>
        <w:t>4．特种作业人员资格证书。</w:t>
      </w:r>
    </w:p>
    <w:p w14:paraId="3264C0B8">
      <w:pPr>
        <w:spacing w:line="360" w:lineRule="auto"/>
        <w:ind w:firstLine="560" w:firstLineChars="200"/>
        <w:jc w:val="left"/>
        <w:rPr>
          <w:rFonts w:ascii="宋体" w:hAnsi="宋体"/>
          <w:szCs w:val="21"/>
        </w:rPr>
      </w:pPr>
      <w:r>
        <w:rPr>
          <w:rFonts w:hint="eastAsia" w:ascii="宋体" w:hAnsi="宋体"/>
          <w:szCs w:val="21"/>
        </w:rPr>
        <w:t>5．项目安全管理机构及其人员配备（承包人必须配有专职的安全员）。</w:t>
      </w:r>
    </w:p>
    <w:p w14:paraId="701AC6C2">
      <w:pPr>
        <w:spacing w:line="360" w:lineRule="auto"/>
        <w:ind w:firstLine="560" w:firstLineChars="200"/>
        <w:jc w:val="left"/>
        <w:rPr>
          <w:rFonts w:ascii="宋体" w:hAnsi="宋体"/>
          <w:szCs w:val="21"/>
        </w:rPr>
      </w:pPr>
      <w:r>
        <w:rPr>
          <w:rFonts w:hint="eastAsia" w:ascii="宋体" w:hAnsi="宋体"/>
          <w:szCs w:val="21"/>
        </w:rPr>
        <w:t>6．适用于项目的安全管理体系及保证体系文件（安全管理大纲及管理程序文件）。</w:t>
      </w:r>
    </w:p>
    <w:p w14:paraId="4427AA18">
      <w:pPr>
        <w:spacing w:line="360" w:lineRule="auto"/>
        <w:ind w:firstLine="560" w:firstLineChars="200"/>
        <w:rPr>
          <w:rFonts w:ascii="宋体" w:hAnsi="宋体"/>
          <w:szCs w:val="21"/>
        </w:rPr>
      </w:pPr>
      <w:bookmarkStart w:id="594" w:name="_Toc532375705"/>
      <w:bookmarkStart w:id="595" w:name="_Toc247418269"/>
      <w:bookmarkStart w:id="596" w:name="_Toc247431429"/>
      <w:bookmarkStart w:id="597" w:name="_Toc239510295"/>
      <w:r>
        <w:rPr>
          <w:rFonts w:hint="eastAsia" w:ascii="宋体" w:hAnsi="宋体"/>
          <w:szCs w:val="21"/>
        </w:rPr>
        <w:t>六、人员基本素质</w:t>
      </w:r>
      <w:bookmarkEnd w:id="594"/>
      <w:bookmarkEnd w:id="595"/>
      <w:bookmarkEnd w:id="596"/>
      <w:bookmarkEnd w:id="597"/>
    </w:p>
    <w:p w14:paraId="0DB5FC25">
      <w:pPr>
        <w:spacing w:line="360" w:lineRule="auto"/>
        <w:ind w:firstLine="560" w:firstLineChars="200"/>
        <w:jc w:val="left"/>
        <w:rPr>
          <w:rFonts w:ascii="宋体" w:hAnsi="宋体"/>
          <w:szCs w:val="21"/>
        </w:rPr>
      </w:pPr>
      <w:r>
        <w:rPr>
          <w:rFonts w:hint="eastAsia" w:ascii="宋体" w:hAnsi="宋体"/>
          <w:szCs w:val="21"/>
        </w:rPr>
        <w:t>承包人提供的人员必须满足下列要求：</w:t>
      </w:r>
    </w:p>
    <w:p w14:paraId="11750A1E">
      <w:pPr>
        <w:spacing w:line="360" w:lineRule="auto"/>
        <w:ind w:firstLine="560" w:firstLineChars="200"/>
        <w:jc w:val="left"/>
        <w:rPr>
          <w:rFonts w:ascii="宋体" w:hAnsi="宋体"/>
          <w:szCs w:val="21"/>
        </w:rPr>
      </w:pPr>
      <w:r>
        <w:rPr>
          <w:rFonts w:hint="eastAsia" w:ascii="宋体" w:hAnsi="宋体"/>
          <w:szCs w:val="21"/>
        </w:rPr>
        <w:t>1．身体健康，无影响工作的精神疾病、无传染病和其他重大疾病；承包人需对其雇用的施工人员签发健康声明并保证其健康。其中体检证明材料（县级以上医院）和健康声明作为人员办理入场证件的必备材料。</w:t>
      </w:r>
    </w:p>
    <w:p w14:paraId="016B6B2E">
      <w:pPr>
        <w:spacing w:line="360" w:lineRule="auto"/>
        <w:ind w:firstLine="560" w:firstLineChars="200"/>
        <w:jc w:val="left"/>
        <w:rPr>
          <w:rFonts w:ascii="宋体" w:hAnsi="宋体"/>
          <w:szCs w:val="21"/>
        </w:rPr>
      </w:pPr>
      <w:r>
        <w:rPr>
          <w:rFonts w:hint="eastAsia" w:ascii="宋体" w:hAnsi="宋体"/>
          <w:szCs w:val="21"/>
        </w:rPr>
        <w:t>2．无刑事案件牵连。</w:t>
      </w:r>
    </w:p>
    <w:p w14:paraId="5F409930">
      <w:pPr>
        <w:spacing w:line="360" w:lineRule="auto"/>
        <w:ind w:firstLine="560" w:firstLineChars="200"/>
        <w:jc w:val="left"/>
        <w:rPr>
          <w:rFonts w:ascii="宋体" w:hAnsi="宋体"/>
          <w:szCs w:val="21"/>
        </w:rPr>
      </w:pPr>
      <w:r>
        <w:rPr>
          <w:rFonts w:hint="eastAsia" w:ascii="宋体" w:hAnsi="宋体"/>
          <w:szCs w:val="21"/>
        </w:rPr>
        <w:t>3．无吸毒、酗酒、赌博、嫖娼等恶习及违法行为。</w:t>
      </w:r>
    </w:p>
    <w:p w14:paraId="76B714CB">
      <w:pPr>
        <w:spacing w:line="360" w:lineRule="auto"/>
        <w:ind w:firstLine="560" w:firstLineChars="200"/>
        <w:rPr>
          <w:rFonts w:ascii="宋体" w:hAnsi="宋体"/>
          <w:szCs w:val="21"/>
        </w:rPr>
      </w:pPr>
      <w:bookmarkStart w:id="598" w:name="_Toc247431430"/>
      <w:bookmarkStart w:id="599" w:name="_Toc532375706"/>
      <w:bookmarkStart w:id="600" w:name="_Toc247418270"/>
      <w:bookmarkStart w:id="601" w:name="_Toc239510296"/>
      <w:r>
        <w:rPr>
          <w:rFonts w:hint="eastAsia" w:ascii="宋体" w:hAnsi="宋体"/>
          <w:szCs w:val="21"/>
        </w:rPr>
        <w:t>七、劳动保护</w:t>
      </w:r>
      <w:bookmarkEnd w:id="598"/>
      <w:bookmarkEnd w:id="599"/>
      <w:bookmarkEnd w:id="600"/>
      <w:bookmarkEnd w:id="601"/>
    </w:p>
    <w:p w14:paraId="21B85686">
      <w:pPr>
        <w:spacing w:line="360" w:lineRule="auto"/>
        <w:ind w:firstLine="560" w:firstLineChars="200"/>
        <w:jc w:val="left"/>
        <w:rPr>
          <w:rFonts w:ascii="宋体" w:hAnsi="宋体"/>
          <w:szCs w:val="21"/>
        </w:rPr>
      </w:pPr>
      <w:r>
        <w:rPr>
          <w:rFonts w:hint="eastAsia" w:ascii="宋体" w:hAnsi="宋体"/>
          <w:szCs w:val="21"/>
        </w:rPr>
        <w:t>1．承包人负责为本单位任何用工形式的员工提供个人劳动保护用品（包括工作服、安全帽、安全鞋等）。</w:t>
      </w:r>
    </w:p>
    <w:p w14:paraId="52B6908A">
      <w:pPr>
        <w:spacing w:line="360" w:lineRule="auto"/>
        <w:ind w:firstLine="560" w:firstLineChars="200"/>
        <w:jc w:val="left"/>
        <w:rPr>
          <w:rFonts w:ascii="宋体" w:hAnsi="宋体"/>
          <w:szCs w:val="21"/>
        </w:rPr>
      </w:pPr>
      <w:r>
        <w:rPr>
          <w:rFonts w:hint="eastAsia" w:ascii="宋体" w:hAnsi="宋体"/>
          <w:szCs w:val="21"/>
        </w:rPr>
        <w:t>2．承包人负责向特殊工种的员工提供特殊劳动保护，否则不得从事特殊工种作业。</w:t>
      </w:r>
    </w:p>
    <w:p w14:paraId="0AAF3E2E">
      <w:pPr>
        <w:spacing w:line="360" w:lineRule="auto"/>
        <w:ind w:firstLine="560" w:firstLineChars="200"/>
        <w:jc w:val="left"/>
        <w:rPr>
          <w:rFonts w:ascii="宋体" w:hAnsi="宋体"/>
          <w:szCs w:val="21"/>
        </w:rPr>
      </w:pPr>
      <w:r>
        <w:rPr>
          <w:rFonts w:hint="eastAsia" w:ascii="宋体" w:hAnsi="宋体"/>
          <w:szCs w:val="21"/>
        </w:rPr>
        <w:t>3．发包人委托的监理公司有权检查承包人的个人劳动保护用品是否符合国家的相应标准。</w:t>
      </w:r>
    </w:p>
    <w:p w14:paraId="43645EF7">
      <w:pPr>
        <w:spacing w:line="360" w:lineRule="auto"/>
        <w:ind w:firstLine="560" w:firstLineChars="200"/>
        <w:jc w:val="left"/>
        <w:rPr>
          <w:rFonts w:ascii="宋体" w:hAnsi="宋体"/>
          <w:szCs w:val="21"/>
        </w:rPr>
      </w:pPr>
      <w:r>
        <w:rPr>
          <w:rFonts w:hint="eastAsia" w:ascii="宋体" w:hAnsi="宋体"/>
          <w:szCs w:val="21"/>
        </w:rPr>
        <w:t>4． 承包人在特殊风险场所作业而需要特殊防护用品或安全仪表时，必须在上述防护用品全部到位后才能开工。</w:t>
      </w:r>
    </w:p>
    <w:p w14:paraId="092F2A3B">
      <w:pPr>
        <w:spacing w:line="360" w:lineRule="auto"/>
        <w:ind w:firstLine="560" w:firstLineChars="200"/>
        <w:jc w:val="left"/>
        <w:rPr>
          <w:rFonts w:ascii="宋体" w:hAnsi="宋体"/>
          <w:szCs w:val="21"/>
        </w:rPr>
      </w:pPr>
      <w:r>
        <w:rPr>
          <w:rFonts w:hint="eastAsia" w:ascii="宋体" w:hAnsi="宋体"/>
          <w:szCs w:val="21"/>
        </w:rPr>
        <w:t>5．承包人应配备临时安全围栏、警示带、警告标志、防火布等集体防护用品。</w:t>
      </w:r>
    </w:p>
    <w:p w14:paraId="7CDEC5B2">
      <w:pPr>
        <w:spacing w:line="360" w:lineRule="auto"/>
        <w:ind w:firstLine="560" w:firstLineChars="200"/>
        <w:rPr>
          <w:rFonts w:ascii="宋体" w:hAnsi="宋体"/>
          <w:szCs w:val="21"/>
        </w:rPr>
      </w:pPr>
      <w:bookmarkStart w:id="602" w:name="_Toc247431431"/>
      <w:bookmarkStart w:id="603" w:name="_Toc247418271"/>
      <w:bookmarkStart w:id="604" w:name="_Toc532375707"/>
      <w:bookmarkStart w:id="605" w:name="_Toc239510297"/>
      <w:r>
        <w:rPr>
          <w:rFonts w:hint="eastAsia" w:ascii="宋体" w:hAnsi="宋体"/>
          <w:szCs w:val="21"/>
        </w:rPr>
        <w:t>八、施工机具与材料</w:t>
      </w:r>
      <w:bookmarkEnd w:id="602"/>
      <w:bookmarkEnd w:id="603"/>
      <w:bookmarkEnd w:id="604"/>
      <w:bookmarkEnd w:id="605"/>
    </w:p>
    <w:p w14:paraId="5F6AF860">
      <w:pPr>
        <w:spacing w:line="360" w:lineRule="auto"/>
        <w:ind w:firstLine="560" w:firstLineChars="200"/>
        <w:jc w:val="left"/>
        <w:rPr>
          <w:rFonts w:ascii="宋体" w:hAnsi="宋体"/>
          <w:szCs w:val="21"/>
        </w:rPr>
      </w:pPr>
      <w:r>
        <w:rPr>
          <w:rFonts w:hint="eastAsia" w:ascii="宋体" w:hAnsi="宋体"/>
          <w:szCs w:val="21"/>
        </w:rPr>
        <w:t>1．承包人对带入现场的施工机械和工器具的安全负责。</w:t>
      </w:r>
    </w:p>
    <w:p w14:paraId="17D4DAD4">
      <w:pPr>
        <w:spacing w:line="360" w:lineRule="auto"/>
        <w:ind w:firstLine="560" w:firstLineChars="200"/>
        <w:jc w:val="left"/>
        <w:rPr>
          <w:rFonts w:ascii="宋体" w:hAnsi="宋体"/>
          <w:szCs w:val="21"/>
        </w:rPr>
      </w:pPr>
      <w:r>
        <w:rPr>
          <w:rFonts w:hint="eastAsia" w:ascii="宋体" w:hAnsi="宋体"/>
          <w:szCs w:val="21"/>
        </w:rPr>
        <w:t>2．对于承包人带入现场的特殊工器具，如起重设备、索具、机动车辆、压缩气瓶等，承包人必须按国家法规和标准进行检测、试验，并持有法定部门出具的检验证书。</w:t>
      </w:r>
    </w:p>
    <w:p w14:paraId="797044E9">
      <w:pPr>
        <w:spacing w:line="360" w:lineRule="auto"/>
        <w:ind w:firstLine="560" w:firstLineChars="200"/>
        <w:jc w:val="left"/>
        <w:rPr>
          <w:rFonts w:ascii="宋体" w:hAnsi="宋体"/>
          <w:szCs w:val="21"/>
        </w:rPr>
      </w:pPr>
      <w:r>
        <w:rPr>
          <w:rFonts w:hint="eastAsia" w:ascii="宋体" w:hAnsi="宋体"/>
          <w:szCs w:val="21"/>
        </w:rPr>
        <w:t>3．对于不属于法定检测的工器具，承包人也必须建立相应的管理、检测制度，这些工器具包括登高工具、脚手架材料、电动工具、安全防护设备及用具等。</w:t>
      </w:r>
    </w:p>
    <w:p w14:paraId="64809489">
      <w:pPr>
        <w:spacing w:line="360" w:lineRule="auto"/>
        <w:ind w:firstLine="560" w:firstLineChars="200"/>
        <w:rPr>
          <w:rFonts w:ascii="宋体" w:hAnsi="宋体"/>
          <w:szCs w:val="21"/>
        </w:rPr>
      </w:pPr>
      <w:bookmarkStart w:id="606" w:name="_Toc247431432"/>
      <w:bookmarkStart w:id="607" w:name="_Toc532375708"/>
      <w:bookmarkStart w:id="608" w:name="_Toc247418272"/>
      <w:bookmarkStart w:id="609" w:name="_Toc239510298"/>
      <w:r>
        <w:rPr>
          <w:rFonts w:hint="eastAsia" w:ascii="宋体" w:hAnsi="宋体"/>
          <w:szCs w:val="21"/>
        </w:rPr>
        <w:t>九、开工前安全条件检查</w:t>
      </w:r>
      <w:bookmarkEnd w:id="606"/>
      <w:bookmarkEnd w:id="607"/>
      <w:bookmarkEnd w:id="608"/>
      <w:bookmarkEnd w:id="609"/>
    </w:p>
    <w:p w14:paraId="133D4467">
      <w:pPr>
        <w:spacing w:line="360" w:lineRule="auto"/>
        <w:ind w:firstLine="560" w:firstLineChars="200"/>
        <w:jc w:val="left"/>
        <w:rPr>
          <w:rFonts w:ascii="宋体" w:hAnsi="宋体"/>
          <w:szCs w:val="21"/>
        </w:rPr>
      </w:pPr>
      <w:r>
        <w:rPr>
          <w:rFonts w:hint="eastAsia" w:ascii="宋体" w:hAnsi="宋体"/>
          <w:szCs w:val="21"/>
        </w:rPr>
        <w:t>1．发包人委托的监理公司将在合同生效后，工程项目正式开工5个工作日前，依据合同安全条款的要求逐项对承包人安全准备情况进行检查。不满足开工安全条件时，承包人将不得开工，由此产生的工期和成本的影响，由承包人自行负责。</w:t>
      </w:r>
    </w:p>
    <w:p w14:paraId="3ACDA4C8">
      <w:pPr>
        <w:spacing w:line="360" w:lineRule="auto"/>
        <w:ind w:firstLine="560" w:firstLineChars="200"/>
        <w:jc w:val="left"/>
        <w:rPr>
          <w:rFonts w:ascii="宋体" w:hAnsi="宋体"/>
          <w:szCs w:val="21"/>
        </w:rPr>
      </w:pPr>
      <w:r>
        <w:rPr>
          <w:rFonts w:hint="eastAsia" w:ascii="宋体" w:hAnsi="宋体"/>
          <w:szCs w:val="21"/>
        </w:rPr>
        <w:t>2．开工前安全条件检查的基本内容包括：安全管理体系建设、安全资金投入、危险源识别和安全风险分析、施工机械的安全状况、安全工器具和材料、安全培训教材和教员、专职安全人员的到岗情况、培训的有效性、人员控制、个人劳动保护用品配备等内容。</w:t>
      </w:r>
    </w:p>
    <w:p w14:paraId="4464B708">
      <w:pPr>
        <w:spacing w:line="360" w:lineRule="auto"/>
        <w:ind w:firstLine="560" w:firstLineChars="200"/>
        <w:jc w:val="left"/>
        <w:rPr>
          <w:rFonts w:ascii="宋体" w:hAnsi="宋体"/>
          <w:szCs w:val="21"/>
        </w:rPr>
      </w:pPr>
      <w:r>
        <w:rPr>
          <w:rFonts w:hint="eastAsia" w:ascii="宋体" w:hAnsi="宋体"/>
          <w:szCs w:val="21"/>
        </w:rPr>
        <w:t>3．发包人委托的监理公司检查发现的缺陷，承包人应在规定期限内完成整改。对于重大缺陷，发包人委托的监理公司有权要求承包人推迟开工，由此对工期产生的影响或经济损失，由承包人承担。</w:t>
      </w:r>
    </w:p>
    <w:p w14:paraId="5FF0D6CF">
      <w:pPr>
        <w:spacing w:line="360" w:lineRule="auto"/>
        <w:ind w:firstLine="560" w:firstLineChars="200"/>
        <w:rPr>
          <w:rFonts w:ascii="宋体" w:hAnsi="宋体"/>
          <w:szCs w:val="21"/>
        </w:rPr>
      </w:pPr>
      <w:bookmarkStart w:id="610" w:name="_Toc532375709"/>
      <w:bookmarkStart w:id="611" w:name="_Toc247418273"/>
      <w:bookmarkStart w:id="612" w:name="_Toc247431433"/>
      <w:bookmarkStart w:id="613" w:name="_Toc239510299"/>
      <w:r>
        <w:rPr>
          <w:rFonts w:hint="eastAsia" w:ascii="宋体" w:hAnsi="宋体"/>
          <w:szCs w:val="21"/>
        </w:rPr>
        <w:t>十、安全监督</w:t>
      </w:r>
      <w:bookmarkEnd w:id="610"/>
      <w:bookmarkEnd w:id="611"/>
      <w:bookmarkEnd w:id="612"/>
      <w:bookmarkEnd w:id="613"/>
    </w:p>
    <w:p w14:paraId="61029957">
      <w:pPr>
        <w:spacing w:line="360" w:lineRule="auto"/>
        <w:ind w:firstLine="560" w:firstLineChars="200"/>
        <w:jc w:val="left"/>
        <w:rPr>
          <w:rFonts w:ascii="宋体" w:hAnsi="宋体"/>
          <w:szCs w:val="21"/>
        </w:rPr>
      </w:pPr>
      <w:r>
        <w:rPr>
          <w:rFonts w:hint="eastAsia" w:ascii="宋体" w:hAnsi="宋体"/>
          <w:szCs w:val="21"/>
        </w:rPr>
        <w:t>1．承包人应配备有满足项目安全管理需要的专职安全管理人员。</w:t>
      </w:r>
    </w:p>
    <w:p w14:paraId="6E095C33">
      <w:pPr>
        <w:spacing w:line="360" w:lineRule="auto"/>
        <w:ind w:firstLine="560" w:firstLineChars="200"/>
        <w:jc w:val="left"/>
        <w:rPr>
          <w:rFonts w:ascii="宋体" w:hAnsi="宋体"/>
          <w:szCs w:val="21"/>
        </w:rPr>
      </w:pPr>
      <w:r>
        <w:rPr>
          <w:rFonts w:hint="eastAsia" w:ascii="宋体" w:hAnsi="宋体"/>
          <w:szCs w:val="21"/>
        </w:rPr>
        <w:t>2．承包人的专职安全管理人员必须持建设主管部门颁发的安全生产知识考核合格证书。</w:t>
      </w:r>
    </w:p>
    <w:p w14:paraId="0F4FE8E4">
      <w:pPr>
        <w:spacing w:line="360" w:lineRule="auto"/>
        <w:ind w:firstLine="560" w:firstLineChars="200"/>
        <w:jc w:val="left"/>
        <w:rPr>
          <w:rFonts w:ascii="宋体" w:hAnsi="宋体"/>
          <w:szCs w:val="21"/>
        </w:rPr>
      </w:pPr>
      <w:r>
        <w:rPr>
          <w:rFonts w:hint="eastAsia" w:ascii="宋体" w:hAnsi="宋体"/>
          <w:szCs w:val="21"/>
        </w:rPr>
        <w:t>3．承包人的专职安全管理人员在业务上接受发包人委托的监理公司和发包人安全管理部门的协调和指导。</w:t>
      </w:r>
    </w:p>
    <w:p w14:paraId="73C900C8">
      <w:pPr>
        <w:spacing w:line="360" w:lineRule="auto"/>
        <w:ind w:firstLine="560" w:firstLineChars="200"/>
        <w:jc w:val="left"/>
        <w:rPr>
          <w:rFonts w:ascii="宋体" w:hAnsi="宋体"/>
          <w:szCs w:val="21"/>
        </w:rPr>
      </w:pPr>
      <w:r>
        <w:rPr>
          <w:rFonts w:hint="eastAsia" w:ascii="宋体" w:hAnsi="宋体"/>
          <w:szCs w:val="21"/>
        </w:rPr>
        <w:t>4．承包人应建立班前安全交底制度；施工期间坚持开展安全检查和日常安全监督并形成相应的记录。</w:t>
      </w:r>
    </w:p>
    <w:p w14:paraId="5F8F3B2E">
      <w:pPr>
        <w:spacing w:line="360" w:lineRule="auto"/>
        <w:ind w:firstLine="560" w:firstLineChars="200"/>
        <w:jc w:val="left"/>
        <w:rPr>
          <w:rFonts w:ascii="宋体" w:hAnsi="宋体"/>
          <w:szCs w:val="21"/>
        </w:rPr>
      </w:pPr>
      <w:r>
        <w:rPr>
          <w:rFonts w:hint="eastAsia" w:ascii="宋体" w:hAnsi="宋体"/>
          <w:szCs w:val="21"/>
        </w:rPr>
        <w:t>5．承包人应在每个作业区任命兼职安全员，赋予兼职安全员相应的授权和义务，并对兼职安全员进行定期考核。</w:t>
      </w:r>
    </w:p>
    <w:p w14:paraId="4C34EFAD">
      <w:pPr>
        <w:spacing w:line="360" w:lineRule="auto"/>
        <w:ind w:firstLine="560" w:firstLineChars="200"/>
        <w:jc w:val="left"/>
        <w:rPr>
          <w:rFonts w:ascii="宋体" w:hAnsi="宋体"/>
          <w:szCs w:val="21"/>
        </w:rPr>
      </w:pPr>
      <w:r>
        <w:rPr>
          <w:rFonts w:hint="eastAsia" w:ascii="宋体" w:hAnsi="宋体"/>
          <w:szCs w:val="21"/>
        </w:rPr>
        <w:t>6．承包人应接受和配合发包人专业部门及委托的监理公司的监督与安全评价。</w:t>
      </w:r>
    </w:p>
    <w:p w14:paraId="798619CF">
      <w:pPr>
        <w:spacing w:line="360" w:lineRule="auto"/>
        <w:ind w:firstLine="560" w:firstLineChars="200"/>
        <w:jc w:val="left"/>
        <w:rPr>
          <w:rFonts w:ascii="宋体" w:hAnsi="宋体"/>
          <w:szCs w:val="21"/>
        </w:rPr>
      </w:pPr>
      <w:r>
        <w:rPr>
          <w:rFonts w:hint="eastAsia" w:ascii="宋体" w:hAnsi="宋体"/>
          <w:szCs w:val="21"/>
        </w:rPr>
        <w:t>7．发包人和委托的监理公司有权对承包人履行安全管理协议的情况进行监督，并有权对违章行为实行停工和处罚，处罚情况将通知承包人。涉及经济处罚时将直接通知合同管理部门从合同结算中扣除。</w:t>
      </w:r>
    </w:p>
    <w:p w14:paraId="24196C2C">
      <w:pPr>
        <w:spacing w:line="360" w:lineRule="auto"/>
        <w:ind w:firstLine="560" w:firstLineChars="200"/>
        <w:rPr>
          <w:rFonts w:ascii="宋体" w:hAnsi="宋体"/>
          <w:szCs w:val="21"/>
        </w:rPr>
      </w:pPr>
      <w:bookmarkStart w:id="614" w:name="_Toc239510300"/>
      <w:bookmarkStart w:id="615" w:name="_Toc247418274"/>
      <w:bookmarkStart w:id="616" w:name="_Toc247431434"/>
      <w:bookmarkStart w:id="617" w:name="_Toc532375710"/>
      <w:r>
        <w:rPr>
          <w:rFonts w:hint="eastAsia" w:ascii="宋体" w:hAnsi="宋体"/>
          <w:szCs w:val="21"/>
        </w:rPr>
        <w:t>十一、安全培训与授权</w:t>
      </w:r>
      <w:bookmarkEnd w:id="614"/>
      <w:bookmarkEnd w:id="615"/>
      <w:bookmarkEnd w:id="616"/>
      <w:bookmarkEnd w:id="617"/>
    </w:p>
    <w:p w14:paraId="28CC35BB">
      <w:pPr>
        <w:spacing w:line="360" w:lineRule="auto"/>
        <w:ind w:firstLine="560" w:firstLineChars="200"/>
        <w:jc w:val="left"/>
        <w:rPr>
          <w:rFonts w:ascii="宋体" w:hAnsi="宋体"/>
          <w:szCs w:val="21"/>
        </w:rPr>
      </w:pPr>
      <w:r>
        <w:rPr>
          <w:rFonts w:hint="eastAsia" w:ascii="宋体" w:hAnsi="宋体"/>
          <w:szCs w:val="21"/>
        </w:rPr>
        <w:t>1．承包人所有特殊工种人员必须持证上岗，发包人和发包人委托的监理公司有权对其进行抽查。承包人要建立特殊工种定期培训和检查计划，这些工种包括但不限于：机动车驾驶员、焊工、起重工、电工等。</w:t>
      </w:r>
    </w:p>
    <w:p w14:paraId="20E851C4">
      <w:pPr>
        <w:spacing w:line="360" w:lineRule="auto"/>
        <w:ind w:firstLine="560" w:firstLineChars="200"/>
        <w:jc w:val="left"/>
        <w:rPr>
          <w:rFonts w:ascii="宋体" w:hAnsi="宋体"/>
          <w:szCs w:val="21"/>
        </w:rPr>
      </w:pPr>
      <w:r>
        <w:rPr>
          <w:rFonts w:hint="eastAsia" w:ascii="宋体" w:hAnsi="宋体"/>
          <w:szCs w:val="21"/>
        </w:rPr>
        <w:t>2．承包人应在特殊工种之外的其他工种中，筛选出高风险工种，并对其开展针对性的专题安全培训。</w:t>
      </w:r>
    </w:p>
    <w:p w14:paraId="157F4E58">
      <w:pPr>
        <w:spacing w:line="360" w:lineRule="auto"/>
        <w:ind w:firstLine="560" w:firstLineChars="200"/>
        <w:jc w:val="left"/>
        <w:rPr>
          <w:rFonts w:ascii="宋体" w:hAnsi="宋体"/>
          <w:szCs w:val="21"/>
        </w:rPr>
      </w:pPr>
      <w:r>
        <w:rPr>
          <w:rFonts w:hint="eastAsia" w:ascii="宋体" w:hAnsi="宋体"/>
          <w:szCs w:val="21"/>
        </w:rPr>
        <w:t>3．承包人应组织 “入场培训”和考核。发包人委托的监理公司有权监督培训、考核情况或组织抽查考核。</w:t>
      </w:r>
    </w:p>
    <w:p w14:paraId="5A343F76">
      <w:pPr>
        <w:spacing w:line="360" w:lineRule="auto"/>
        <w:ind w:firstLine="560" w:firstLineChars="200"/>
        <w:jc w:val="left"/>
        <w:rPr>
          <w:rFonts w:ascii="宋体" w:hAnsi="宋体"/>
          <w:szCs w:val="21"/>
        </w:rPr>
      </w:pPr>
      <w:r>
        <w:rPr>
          <w:rFonts w:hint="eastAsia" w:ascii="宋体" w:hAnsi="宋体"/>
          <w:szCs w:val="21"/>
        </w:rPr>
        <w:t>4．承包人应建立安全培训和考核机制，编制培训教材和培训滚动计划。承包人应组织安全考试/考核，建立培训考核记录，发包人委托的监理公司有权查看这些记录。</w:t>
      </w:r>
    </w:p>
    <w:p w14:paraId="4413ABE7">
      <w:pPr>
        <w:spacing w:line="360" w:lineRule="auto"/>
        <w:ind w:firstLine="560" w:firstLineChars="200"/>
        <w:rPr>
          <w:rFonts w:ascii="宋体" w:hAnsi="宋体"/>
          <w:szCs w:val="21"/>
        </w:rPr>
      </w:pPr>
      <w:bookmarkStart w:id="618" w:name="_Toc532375711"/>
      <w:bookmarkStart w:id="619" w:name="_Toc247418275"/>
      <w:bookmarkStart w:id="620" w:name="_Toc247431435"/>
      <w:bookmarkStart w:id="621" w:name="_Toc239510301"/>
      <w:r>
        <w:rPr>
          <w:rFonts w:hint="eastAsia" w:ascii="宋体" w:hAnsi="宋体"/>
          <w:szCs w:val="21"/>
        </w:rPr>
        <w:t>十二、职业健康与卫生防疫</w:t>
      </w:r>
      <w:bookmarkEnd w:id="618"/>
      <w:bookmarkEnd w:id="619"/>
      <w:bookmarkEnd w:id="620"/>
      <w:bookmarkEnd w:id="621"/>
    </w:p>
    <w:p w14:paraId="6BA1D6C7">
      <w:pPr>
        <w:spacing w:line="360" w:lineRule="auto"/>
        <w:ind w:firstLine="560" w:firstLineChars="200"/>
        <w:jc w:val="left"/>
        <w:rPr>
          <w:rFonts w:ascii="宋体" w:hAnsi="宋体"/>
          <w:szCs w:val="21"/>
        </w:rPr>
      </w:pPr>
      <w:r>
        <w:rPr>
          <w:rFonts w:hint="eastAsia" w:ascii="宋体" w:hAnsi="宋体"/>
          <w:szCs w:val="21"/>
        </w:rPr>
        <w:t>1．承包人应有特殊健康检查制度，预防有禁忌症患者从事有关职业，如恐高症患者不得从事高空作业，患有心血管疾病的人员不得从事繁重的体力劳动，特殊工种人员的体检应符合国家的规定。</w:t>
      </w:r>
    </w:p>
    <w:p w14:paraId="51B50316">
      <w:pPr>
        <w:spacing w:line="360" w:lineRule="auto"/>
        <w:ind w:firstLine="560" w:firstLineChars="200"/>
        <w:jc w:val="left"/>
        <w:rPr>
          <w:rFonts w:ascii="宋体" w:hAnsi="宋体"/>
          <w:szCs w:val="21"/>
        </w:rPr>
      </w:pPr>
      <w:r>
        <w:rPr>
          <w:rFonts w:hint="eastAsia" w:ascii="宋体" w:hAnsi="宋体"/>
          <w:szCs w:val="21"/>
        </w:rPr>
        <w:t>2．承包人应保证卫生防疫基本设施的投入，以满足医疗、急救的要求，建立外部医疗支持渠道。</w:t>
      </w:r>
    </w:p>
    <w:p w14:paraId="1594DFEB">
      <w:pPr>
        <w:spacing w:line="360" w:lineRule="auto"/>
        <w:ind w:firstLine="560" w:firstLineChars="200"/>
        <w:jc w:val="left"/>
        <w:rPr>
          <w:rFonts w:ascii="宋体" w:hAnsi="宋体"/>
          <w:szCs w:val="21"/>
        </w:rPr>
      </w:pPr>
      <w:r>
        <w:rPr>
          <w:rFonts w:hint="eastAsia" w:ascii="宋体" w:hAnsi="宋体"/>
          <w:szCs w:val="21"/>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5A8E2AA5">
      <w:pPr>
        <w:spacing w:line="360" w:lineRule="auto"/>
        <w:ind w:firstLine="560" w:firstLineChars="200"/>
        <w:rPr>
          <w:rFonts w:ascii="宋体" w:hAnsi="宋体"/>
          <w:szCs w:val="21"/>
        </w:rPr>
      </w:pPr>
      <w:bookmarkStart w:id="622" w:name="_Toc239510302"/>
      <w:bookmarkStart w:id="623" w:name="_Toc532375712"/>
      <w:bookmarkStart w:id="624" w:name="_Toc247431436"/>
      <w:bookmarkStart w:id="625" w:name="_Toc247418276"/>
      <w:r>
        <w:rPr>
          <w:rFonts w:hint="eastAsia" w:ascii="宋体" w:hAnsi="宋体"/>
          <w:szCs w:val="21"/>
        </w:rPr>
        <w:t>十三、文明施工与环保要求</w:t>
      </w:r>
      <w:bookmarkEnd w:id="622"/>
      <w:bookmarkEnd w:id="623"/>
      <w:bookmarkEnd w:id="624"/>
      <w:bookmarkEnd w:id="625"/>
    </w:p>
    <w:p w14:paraId="2062C47B">
      <w:pPr>
        <w:spacing w:line="360" w:lineRule="auto"/>
        <w:ind w:firstLine="560" w:firstLineChars="200"/>
        <w:jc w:val="left"/>
        <w:rPr>
          <w:rFonts w:ascii="宋体" w:hAnsi="宋体"/>
          <w:szCs w:val="21"/>
        </w:rPr>
      </w:pPr>
      <w:r>
        <w:rPr>
          <w:rFonts w:hint="eastAsia" w:ascii="宋体" w:hAnsi="宋体"/>
          <w:szCs w:val="21"/>
        </w:rPr>
        <w:t>1．承包人需制订施工现场的文明施工措施，保持良好的施工现场秩序。施工现场的物料堆放要摆放整齐，安全标志和宣传标志要清楚醒目，废料、废物要分类收集，安全通道要畅通。</w:t>
      </w:r>
    </w:p>
    <w:p w14:paraId="65B2384A">
      <w:pPr>
        <w:spacing w:line="360" w:lineRule="auto"/>
        <w:ind w:firstLine="560" w:firstLineChars="200"/>
        <w:jc w:val="left"/>
        <w:rPr>
          <w:rFonts w:ascii="宋体" w:hAnsi="宋体"/>
          <w:szCs w:val="21"/>
        </w:rPr>
      </w:pPr>
      <w:r>
        <w:rPr>
          <w:rFonts w:hint="eastAsia" w:ascii="宋体" w:hAnsi="宋体"/>
          <w:szCs w:val="21"/>
        </w:rPr>
        <w:t>2．承包人作业时应避免建筑材料抛洒、飞扬、流淌；应尽可能降低噪音、震动。</w:t>
      </w:r>
    </w:p>
    <w:p w14:paraId="0796BD79">
      <w:pPr>
        <w:spacing w:line="360" w:lineRule="auto"/>
        <w:ind w:firstLine="560" w:firstLineChars="200"/>
        <w:jc w:val="left"/>
        <w:rPr>
          <w:rFonts w:ascii="宋体" w:hAnsi="宋体"/>
          <w:szCs w:val="21"/>
        </w:rPr>
      </w:pPr>
      <w:r>
        <w:rPr>
          <w:rFonts w:hint="eastAsia" w:ascii="宋体" w:hAnsi="宋体"/>
          <w:szCs w:val="21"/>
        </w:rPr>
        <w:t>3．承包人应根据实际需要，在施工现场布置临时卫生设施（洗手间、卫生间等），施工作业不破坏环境卫生，不污染现场环境。</w:t>
      </w:r>
    </w:p>
    <w:p w14:paraId="682A1D78">
      <w:pPr>
        <w:spacing w:line="360" w:lineRule="auto"/>
        <w:ind w:firstLine="560" w:firstLineChars="200"/>
        <w:jc w:val="left"/>
        <w:rPr>
          <w:rFonts w:ascii="宋体" w:hAnsi="宋体"/>
          <w:szCs w:val="21"/>
        </w:rPr>
      </w:pPr>
      <w:r>
        <w:rPr>
          <w:rFonts w:hint="eastAsia" w:ascii="宋体" w:hAnsi="宋体"/>
          <w:szCs w:val="21"/>
        </w:rPr>
        <w:t>4．承包人在施工中应充分重视对环境的保护，保护绿色植被，保护古树。施工如需伤害古树，必须报告发包人委托的监理公司，在未得到指令前，禁止擅自伤害古树。</w:t>
      </w:r>
    </w:p>
    <w:p w14:paraId="7F8184E5">
      <w:pPr>
        <w:spacing w:line="360" w:lineRule="auto"/>
        <w:ind w:firstLine="560" w:firstLineChars="200"/>
        <w:jc w:val="left"/>
        <w:rPr>
          <w:rFonts w:ascii="宋体" w:hAnsi="宋体"/>
          <w:szCs w:val="21"/>
        </w:rPr>
      </w:pPr>
      <w:r>
        <w:rPr>
          <w:rFonts w:hint="eastAsia" w:ascii="宋体" w:hAnsi="宋体"/>
          <w:szCs w:val="21"/>
        </w:rPr>
        <w:t>5．承包人应及时清理现场废物和垃圾。工业废料与生活垃圾必须分开，有害废物与普通废物必须分开（如油品废物、电池灯管等，必须单独收集、存放）；禁止在非指定场所乱倒、乱堆垃圾。禁止违章处理危险化学品和工业垃圾。</w:t>
      </w:r>
    </w:p>
    <w:p w14:paraId="5EF66A96">
      <w:pPr>
        <w:spacing w:line="360" w:lineRule="auto"/>
        <w:ind w:firstLine="560" w:firstLineChars="200"/>
        <w:jc w:val="left"/>
        <w:rPr>
          <w:rFonts w:ascii="宋体" w:hAnsi="宋体"/>
          <w:szCs w:val="21"/>
        </w:rPr>
      </w:pPr>
      <w:r>
        <w:rPr>
          <w:rFonts w:hint="eastAsia" w:ascii="宋体" w:hAnsi="宋体"/>
          <w:szCs w:val="21"/>
        </w:rPr>
        <w:t>6．承包人在施工中应禁止向环境，排放工业污水、生活污水、废油或其他有害物质。</w:t>
      </w:r>
    </w:p>
    <w:p w14:paraId="0C986010">
      <w:pPr>
        <w:spacing w:line="360" w:lineRule="auto"/>
        <w:ind w:firstLine="560" w:firstLineChars="200"/>
        <w:jc w:val="left"/>
        <w:rPr>
          <w:rFonts w:ascii="宋体" w:hAnsi="宋体"/>
          <w:szCs w:val="21"/>
        </w:rPr>
      </w:pPr>
      <w:r>
        <w:rPr>
          <w:rFonts w:hint="eastAsia" w:ascii="宋体" w:hAnsi="宋体"/>
          <w:szCs w:val="21"/>
        </w:rPr>
        <w:t>7．承包人在施工中应防止水土流失，应及时对裸露的地基、边坡、开挖出来的沙/土以及砂、石、水泥等建筑材料予以保护，防止风刮扬尘，雨水冲刷，流入下水道、排洪沟。如因防护不及时而造成大量水土流失、淤塞道路、沟道或污染环境的，承包人应承担清淤、清扫以及相应的赔偿责任。</w:t>
      </w:r>
    </w:p>
    <w:p w14:paraId="571E7EBD">
      <w:pPr>
        <w:spacing w:line="360" w:lineRule="auto"/>
        <w:ind w:firstLine="560" w:firstLineChars="200"/>
        <w:rPr>
          <w:rFonts w:ascii="宋体" w:hAnsi="宋体"/>
          <w:szCs w:val="21"/>
        </w:rPr>
      </w:pPr>
      <w:bookmarkStart w:id="626" w:name="_Toc532375713"/>
      <w:bookmarkStart w:id="627" w:name="_Toc247431437"/>
      <w:bookmarkStart w:id="628" w:name="_Toc239510303"/>
      <w:bookmarkStart w:id="629" w:name="_Toc247418277"/>
      <w:r>
        <w:rPr>
          <w:rFonts w:hint="eastAsia" w:ascii="宋体" w:hAnsi="宋体"/>
          <w:szCs w:val="21"/>
        </w:rPr>
        <w:t>十四、工程风险管理与事故预防</w:t>
      </w:r>
      <w:bookmarkEnd w:id="626"/>
      <w:bookmarkEnd w:id="627"/>
      <w:bookmarkEnd w:id="628"/>
      <w:bookmarkEnd w:id="629"/>
    </w:p>
    <w:p w14:paraId="49857E68">
      <w:pPr>
        <w:spacing w:line="360" w:lineRule="auto"/>
        <w:ind w:firstLine="560" w:firstLineChars="200"/>
        <w:jc w:val="left"/>
        <w:rPr>
          <w:rFonts w:ascii="宋体" w:hAnsi="宋体"/>
          <w:szCs w:val="21"/>
        </w:rPr>
      </w:pPr>
      <w:bookmarkStart w:id="630" w:name="_Toc247431438"/>
      <w:bookmarkStart w:id="631" w:name="_Toc247418278"/>
      <w:bookmarkStart w:id="632" w:name="_Toc239510304"/>
      <w:r>
        <w:rPr>
          <w:rFonts w:hint="eastAsia" w:ascii="宋体" w:hAnsi="宋体"/>
          <w:szCs w:val="21"/>
        </w:rPr>
        <w:t>（一）基本要求</w:t>
      </w:r>
      <w:bookmarkEnd w:id="630"/>
      <w:bookmarkEnd w:id="631"/>
      <w:bookmarkEnd w:id="632"/>
    </w:p>
    <w:p w14:paraId="56AAA668">
      <w:pPr>
        <w:spacing w:line="360" w:lineRule="auto"/>
        <w:ind w:firstLine="560" w:firstLineChars="200"/>
        <w:jc w:val="left"/>
        <w:rPr>
          <w:rFonts w:ascii="宋体" w:hAnsi="宋体"/>
          <w:szCs w:val="21"/>
        </w:rPr>
      </w:pPr>
      <w:bookmarkStart w:id="633" w:name="_Toc532375714"/>
      <w:r>
        <w:rPr>
          <w:rFonts w:hint="eastAsia" w:ascii="宋体" w:hAnsi="宋体"/>
          <w:szCs w:val="21"/>
        </w:rPr>
        <w:t>1．承包人应对施工过程进行全面、深入的危险源识别和风险分析。在施工安全组织设计中提供危险源及重要危险源清单、作业风险分析报告，该报告应包括（但不限于）如下信息：</w:t>
      </w:r>
      <w:bookmarkEnd w:id="633"/>
    </w:p>
    <w:p w14:paraId="37A27060">
      <w:pPr>
        <w:spacing w:line="360" w:lineRule="auto"/>
        <w:ind w:firstLine="560" w:firstLineChars="200"/>
        <w:jc w:val="left"/>
        <w:rPr>
          <w:rFonts w:ascii="宋体" w:hAnsi="宋体"/>
          <w:szCs w:val="21"/>
        </w:rPr>
      </w:pPr>
      <w:r>
        <w:rPr>
          <w:rFonts w:hint="eastAsia" w:ascii="宋体" w:hAnsi="宋体"/>
          <w:szCs w:val="21"/>
        </w:rPr>
        <w:t>（1）高风险作业和工种清单：作业名称、类别和数量、主要事故风险。</w:t>
      </w:r>
    </w:p>
    <w:p w14:paraId="2ED3A11C">
      <w:pPr>
        <w:spacing w:line="360" w:lineRule="auto"/>
        <w:ind w:firstLine="560" w:firstLineChars="200"/>
        <w:jc w:val="left"/>
        <w:rPr>
          <w:rFonts w:ascii="宋体" w:hAnsi="宋体"/>
          <w:szCs w:val="21"/>
        </w:rPr>
      </w:pPr>
      <w:r>
        <w:rPr>
          <w:rFonts w:hint="eastAsia" w:ascii="宋体" w:hAnsi="宋体"/>
          <w:szCs w:val="21"/>
        </w:rPr>
        <w:t>（2）施工能源和机械的种类、数量和主要事故风险。</w:t>
      </w:r>
    </w:p>
    <w:p w14:paraId="32C34FF2">
      <w:pPr>
        <w:spacing w:line="360" w:lineRule="auto"/>
        <w:ind w:firstLine="560" w:firstLineChars="200"/>
        <w:jc w:val="left"/>
        <w:rPr>
          <w:rFonts w:ascii="宋体" w:hAnsi="宋体"/>
          <w:szCs w:val="21"/>
        </w:rPr>
      </w:pPr>
      <w:r>
        <w:rPr>
          <w:rFonts w:hint="eastAsia" w:ascii="宋体" w:hAnsi="宋体"/>
          <w:szCs w:val="21"/>
        </w:rPr>
        <w:t>（3）施工作业条件的类型和主要事故风险。</w:t>
      </w:r>
    </w:p>
    <w:p w14:paraId="1FD6D8CA">
      <w:pPr>
        <w:spacing w:line="360" w:lineRule="auto"/>
        <w:ind w:firstLine="560" w:firstLineChars="200"/>
        <w:jc w:val="left"/>
        <w:rPr>
          <w:rFonts w:ascii="宋体" w:hAnsi="宋体"/>
          <w:szCs w:val="21"/>
        </w:rPr>
      </w:pPr>
      <w:r>
        <w:rPr>
          <w:rFonts w:hint="eastAsia" w:ascii="宋体" w:hAnsi="宋体"/>
          <w:szCs w:val="21"/>
        </w:rPr>
        <w:t>（4）主要工艺过程（或施工活动）的类别及其相关的事故风险。</w:t>
      </w:r>
    </w:p>
    <w:p w14:paraId="34C96EC8">
      <w:pPr>
        <w:spacing w:line="360" w:lineRule="auto"/>
        <w:ind w:firstLine="560" w:firstLineChars="200"/>
        <w:jc w:val="left"/>
        <w:rPr>
          <w:rFonts w:ascii="宋体" w:hAnsi="宋体"/>
          <w:szCs w:val="21"/>
        </w:rPr>
      </w:pPr>
      <w:r>
        <w:rPr>
          <w:rFonts w:hint="eastAsia" w:ascii="宋体" w:hAnsi="宋体"/>
          <w:szCs w:val="21"/>
        </w:rPr>
        <w:t>（5）主要火灾危险（可燃物、点火源）。</w:t>
      </w:r>
    </w:p>
    <w:p w14:paraId="38F371C6">
      <w:pPr>
        <w:spacing w:line="360" w:lineRule="auto"/>
        <w:ind w:firstLine="560" w:firstLineChars="200"/>
        <w:jc w:val="left"/>
        <w:rPr>
          <w:rFonts w:ascii="宋体" w:hAnsi="宋体"/>
          <w:szCs w:val="21"/>
        </w:rPr>
      </w:pPr>
      <w:r>
        <w:rPr>
          <w:rFonts w:hint="eastAsia" w:ascii="宋体" w:hAnsi="宋体"/>
          <w:szCs w:val="21"/>
        </w:rPr>
        <w:t>（6）主要自然灾害（洪水、大风、雷暴、暴雨、地质灾害等）。</w:t>
      </w:r>
    </w:p>
    <w:p w14:paraId="12A42D08">
      <w:pPr>
        <w:spacing w:line="360" w:lineRule="auto"/>
        <w:ind w:firstLine="560" w:firstLineChars="200"/>
        <w:jc w:val="left"/>
        <w:rPr>
          <w:rFonts w:ascii="宋体" w:hAnsi="宋体"/>
          <w:szCs w:val="21"/>
        </w:rPr>
      </w:pPr>
      <w:r>
        <w:rPr>
          <w:rFonts w:hint="eastAsia" w:ascii="宋体" w:hAnsi="宋体"/>
          <w:szCs w:val="21"/>
        </w:rPr>
        <w:t>（7）主要环境保护事件（有害垃圾、机械的跑冒滴漏、原材料流失、水土流失等）。</w:t>
      </w:r>
    </w:p>
    <w:p w14:paraId="3A3CCA89">
      <w:pPr>
        <w:spacing w:line="360" w:lineRule="auto"/>
        <w:ind w:firstLine="560" w:firstLineChars="200"/>
        <w:jc w:val="left"/>
        <w:rPr>
          <w:rFonts w:ascii="宋体" w:hAnsi="宋体"/>
          <w:szCs w:val="21"/>
        </w:rPr>
      </w:pPr>
      <w:r>
        <w:rPr>
          <w:rFonts w:hint="eastAsia" w:ascii="宋体" w:hAnsi="宋体"/>
          <w:szCs w:val="21"/>
        </w:rPr>
        <w:t>（8）其他。</w:t>
      </w:r>
    </w:p>
    <w:p w14:paraId="72D1168E">
      <w:pPr>
        <w:spacing w:line="360" w:lineRule="auto"/>
        <w:ind w:firstLine="560" w:firstLineChars="200"/>
        <w:jc w:val="left"/>
        <w:rPr>
          <w:rFonts w:ascii="宋体" w:hAnsi="宋体"/>
          <w:szCs w:val="21"/>
        </w:rPr>
      </w:pPr>
      <w:r>
        <w:rPr>
          <w:rFonts w:hint="eastAsia" w:ascii="宋体" w:hAnsi="宋体"/>
          <w:szCs w:val="21"/>
        </w:rPr>
        <w:t>2．承包人应针对识别出的危险源制定有针对性的事故预防措施并确保在施工中得到有效落实。</w:t>
      </w:r>
    </w:p>
    <w:p w14:paraId="0297F246">
      <w:pPr>
        <w:spacing w:line="360" w:lineRule="auto"/>
        <w:ind w:firstLine="560" w:firstLineChars="200"/>
        <w:jc w:val="left"/>
        <w:rPr>
          <w:rFonts w:ascii="宋体" w:hAnsi="宋体"/>
          <w:szCs w:val="21"/>
        </w:rPr>
      </w:pPr>
      <w:r>
        <w:rPr>
          <w:rFonts w:hint="eastAsia" w:ascii="宋体" w:hAnsi="宋体"/>
          <w:szCs w:val="21"/>
        </w:rPr>
        <w:t>3．承包人应建立日常施工活动的动态作业风险分析和安全交底制度。该制度应明确规定风险分析的方法、责任和交底的内容、时间及记录。</w:t>
      </w:r>
    </w:p>
    <w:p w14:paraId="00DF8F98">
      <w:pPr>
        <w:spacing w:line="360" w:lineRule="auto"/>
        <w:ind w:firstLine="560" w:firstLineChars="200"/>
        <w:jc w:val="left"/>
        <w:rPr>
          <w:rFonts w:ascii="宋体" w:hAnsi="宋体"/>
          <w:szCs w:val="21"/>
        </w:rPr>
      </w:pPr>
      <w:bookmarkStart w:id="634" w:name="_Toc239510305"/>
      <w:bookmarkStart w:id="635" w:name="_Toc247418279"/>
      <w:bookmarkStart w:id="636" w:name="_Toc247431439"/>
      <w:r>
        <w:rPr>
          <w:rFonts w:hint="eastAsia" w:ascii="宋体" w:hAnsi="宋体"/>
          <w:szCs w:val="21"/>
        </w:rPr>
        <w:t>（二）现场作业基本安全条件</w:t>
      </w:r>
      <w:bookmarkEnd w:id="634"/>
      <w:bookmarkEnd w:id="635"/>
      <w:bookmarkEnd w:id="636"/>
    </w:p>
    <w:p w14:paraId="0E73FFFC">
      <w:pPr>
        <w:spacing w:line="360" w:lineRule="auto"/>
        <w:ind w:firstLine="560" w:firstLineChars="200"/>
        <w:jc w:val="left"/>
        <w:rPr>
          <w:rFonts w:ascii="宋体" w:hAnsi="宋体"/>
          <w:szCs w:val="21"/>
        </w:rPr>
      </w:pPr>
      <w:r>
        <w:rPr>
          <w:rFonts w:hint="eastAsia" w:ascii="宋体" w:hAnsi="宋体"/>
          <w:szCs w:val="21"/>
        </w:rPr>
        <w:t>承包人应规定现场作业的基本安全条件，包括照明条件、通风条件、作业平台和通道条件、物料堆放条件、供电供水条件、吸烟点、休息点等，并对临边现场、道路上作业现场、立体交叉作业现场、地面坑洞和沟道、夜间作业现场等的基本安全条件做出规定。</w:t>
      </w:r>
    </w:p>
    <w:p w14:paraId="588FC582">
      <w:pPr>
        <w:spacing w:line="360" w:lineRule="auto"/>
        <w:ind w:firstLine="560" w:firstLineChars="200"/>
        <w:rPr>
          <w:rFonts w:ascii="宋体" w:hAnsi="宋体"/>
          <w:szCs w:val="21"/>
        </w:rPr>
      </w:pPr>
      <w:bookmarkStart w:id="637" w:name="_Toc247418280"/>
      <w:bookmarkStart w:id="638" w:name="_Toc247431440"/>
      <w:bookmarkStart w:id="639" w:name="_Toc532375715"/>
      <w:bookmarkStart w:id="640" w:name="_Toc239510306"/>
      <w:r>
        <w:rPr>
          <w:rFonts w:hint="eastAsia" w:ascii="宋体" w:hAnsi="宋体"/>
          <w:szCs w:val="21"/>
        </w:rPr>
        <w:t>十五、事故报告与应急救援</w:t>
      </w:r>
      <w:bookmarkEnd w:id="637"/>
      <w:bookmarkEnd w:id="638"/>
      <w:bookmarkEnd w:id="639"/>
      <w:bookmarkEnd w:id="640"/>
    </w:p>
    <w:p w14:paraId="304E2029">
      <w:pPr>
        <w:spacing w:line="360" w:lineRule="auto"/>
        <w:ind w:firstLine="560" w:firstLineChars="200"/>
        <w:jc w:val="left"/>
        <w:rPr>
          <w:rFonts w:ascii="宋体" w:hAnsi="宋体"/>
          <w:szCs w:val="21"/>
        </w:rPr>
      </w:pPr>
      <w:r>
        <w:rPr>
          <w:rFonts w:hint="eastAsia" w:ascii="宋体" w:hAnsi="宋体"/>
          <w:szCs w:val="21"/>
        </w:rPr>
        <w:t>1．承包人应制定对于未遂事故及以上级别的安全事件和事故，定期报送安全月度快报、季报、年报和各种专项事故报告等。</w:t>
      </w:r>
    </w:p>
    <w:p w14:paraId="34941680">
      <w:pPr>
        <w:spacing w:line="360" w:lineRule="auto"/>
        <w:ind w:firstLine="560" w:firstLineChars="200"/>
        <w:jc w:val="left"/>
        <w:rPr>
          <w:rFonts w:ascii="宋体" w:hAnsi="宋体"/>
          <w:szCs w:val="21"/>
        </w:rPr>
      </w:pPr>
      <w:r>
        <w:rPr>
          <w:rFonts w:hint="eastAsia" w:ascii="宋体" w:hAnsi="宋体"/>
          <w:szCs w:val="21"/>
        </w:rPr>
        <w:t>2．承包人应建立安全事故统计记录、未遂事故统计记录、违章统计记录，并根据统计情况进行分析，并就分析结果制定相应的预防措施。</w:t>
      </w:r>
    </w:p>
    <w:p w14:paraId="1CAED132">
      <w:pPr>
        <w:spacing w:line="360" w:lineRule="auto"/>
        <w:ind w:firstLine="560" w:firstLineChars="200"/>
        <w:jc w:val="left"/>
        <w:rPr>
          <w:rFonts w:ascii="宋体" w:hAnsi="宋体"/>
          <w:szCs w:val="21"/>
        </w:rPr>
      </w:pPr>
      <w:r>
        <w:rPr>
          <w:rFonts w:hint="eastAsia" w:ascii="宋体" w:hAnsi="宋体"/>
          <w:szCs w:val="21"/>
        </w:rPr>
        <w:t>3．承包人应建立事故应急救援机制，明确事故处置的基本原则，即现场发生事故时，首先抢救生命，向救援组织报警，并采取措施限制事故扩大。</w:t>
      </w:r>
    </w:p>
    <w:p w14:paraId="16702C43">
      <w:pPr>
        <w:spacing w:line="360" w:lineRule="auto"/>
        <w:ind w:firstLine="560" w:firstLineChars="200"/>
        <w:jc w:val="left"/>
        <w:rPr>
          <w:rFonts w:ascii="宋体" w:hAnsi="宋体"/>
          <w:szCs w:val="21"/>
        </w:rPr>
      </w:pPr>
      <w:r>
        <w:rPr>
          <w:rFonts w:hint="eastAsia" w:ascii="宋体" w:hAnsi="宋体"/>
          <w:szCs w:val="21"/>
        </w:rPr>
        <w:t>4．承包人应建立相应的应急响应组织，以便能迅速处理突发意外。</w:t>
      </w:r>
    </w:p>
    <w:p w14:paraId="4D8D7D91">
      <w:pPr>
        <w:spacing w:line="360" w:lineRule="auto"/>
        <w:ind w:firstLine="560" w:firstLineChars="200"/>
        <w:jc w:val="left"/>
        <w:rPr>
          <w:rFonts w:ascii="宋体" w:hAnsi="宋体"/>
          <w:szCs w:val="21"/>
        </w:rPr>
      </w:pPr>
      <w:r>
        <w:rPr>
          <w:rFonts w:hint="eastAsia" w:ascii="宋体" w:hAnsi="宋体"/>
          <w:szCs w:val="21"/>
        </w:rPr>
        <w:t>5．承包人应建立专项应急响应预案，包括重大人身伤亡事故的救护预案、火灾响应预案、“四防”预案（防风、防冻、防雷、防暴雨）、重大疫病防护预案、环境污染防护预案、地质灾害防护预案等。</w:t>
      </w:r>
    </w:p>
    <w:p w14:paraId="7584C908">
      <w:pPr>
        <w:spacing w:line="360" w:lineRule="auto"/>
        <w:ind w:firstLine="560" w:firstLineChars="200"/>
        <w:jc w:val="left"/>
        <w:rPr>
          <w:rFonts w:ascii="宋体" w:hAnsi="宋体"/>
          <w:szCs w:val="21"/>
        </w:rPr>
      </w:pPr>
      <w:r>
        <w:rPr>
          <w:rFonts w:hint="eastAsia" w:ascii="宋体" w:hAnsi="宋体"/>
          <w:szCs w:val="21"/>
        </w:rPr>
        <w:t>6．承包人应对应急预案进行适当演练，保证应急预案的可操作性。</w:t>
      </w:r>
    </w:p>
    <w:p w14:paraId="4B966674">
      <w:pPr>
        <w:spacing w:line="360" w:lineRule="auto"/>
        <w:ind w:firstLine="560" w:firstLineChars="200"/>
        <w:jc w:val="left"/>
        <w:rPr>
          <w:rFonts w:ascii="宋体" w:hAnsi="宋体"/>
          <w:szCs w:val="21"/>
        </w:rPr>
      </w:pPr>
      <w:r>
        <w:rPr>
          <w:rFonts w:hint="eastAsia" w:ascii="宋体" w:hAnsi="宋体"/>
          <w:szCs w:val="21"/>
        </w:rPr>
        <w:t>7．在工地的其他施工单位发生重大事故时，承包人应无条件立即配合、支持事故抢险。</w:t>
      </w:r>
    </w:p>
    <w:p w14:paraId="0AE7241C">
      <w:pPr>
        <w:spacing w:line="360" w:lineRule="auto"/>
        <w:ind w:firstLine="560" w:firstLineChars="200"/>
        <w:jc w:val="left"/>
        <w:rPr>
          <w:rFonts w:ascii="宋体" w:hAnsi="宋体"/>
          <w:szCs w:val="21"/>
        </w:rPr>
      </w:pPr>
      <w:r>
        <w:rPr>
          <w:rFonts w:hint="eastAsia" w:ascii="宋体" w:hAnsi="宋体"/>
          <w:szCs w:val="21"/>
        </w:rPr>
        <w:t>8．承包人必须为事故处置支付各项费用，包括受伤者的抚恤、补偿等费用，并按合同要求赔偿对发包人造成的损失。</w:t>
      </w:r>
    </w:p>
    <w:p w14:paraId="2E28C776">
      <w:pPr>
        <w:spacing w:line="360" w:lineRule="auto"/>
        <w:ind w:firstLine="560" w:firstLineChars="200"/>
        <w:jc w:val="left"/>
        <w:rPr>
          <w:rFonts w:ascii="宋体" w:hAnsi="宋体"/>
          <w:szCs w:val="21"/>
        </w:rPr>
      </w:pPr>
      <w:r>
        <w:rPr>
          <w:rFonts w:hint="eastAsia" w:ascii="宋体" w:hAnsi="宋体"/>
          <w:szCs w:val="21"/>
        </w:rPr>
        <w:t>9．由于发包人原因而造成的事故，发包人应负责按事故的具体损失情况给予承包人经济赔偿。</w:t>
      </w:r>
    </w:p>
    <w:p w14:paraId="5B74335E">
      <w:pPr>
        <w:spacing w:line="360" w:lineRule="auto"/>
        <w:ind w:firstLine="560" w:firstLineChars="200"/>
        <w:jc w:val="left"/>
        <w:rPr>
          <w:rFonts w:ascii="宋体" w:hAnsi="宋体"/>
          <w:szCs w:val="21"/>
        </w:rPr>
      </w:pPr>
      <w:r>
        <w:rPr>
          <w:rFonts w:hint="eastAsia" w:ascii="宋体" w:hAnsi="宋体"/>
          <w:szCs w:val="21"/>
        </w:rPr>
        <w:t>10．涉及承包人员工的伤害事故，承包人除要报告发包人委托的监理公司外，还应负责按照国家、行业和本单位上级公司的要求，上报事故。</w:t>
      </w:r>
    </w:p>
    <w:p w14:paraId="5A17EDAF">
      <w:pPr>
        <w:spacing w:line="360" w:lineRule="auto"/>
        <w:ind w:firstLine="560" w:firstLineChars="200"/>
        <w:rPr>
          <w:rFonts w:ascii="宋体" w:hAnsi="宋体"/>
          <w:szCs w:val="21"/>
        </w:rPr>
      </w:pPr>
      <w:bookmarkStart w:id="641" w:name="_Toc247431441"/>
      <w:bookmarkStart w:id="642" w:name="_Toc239510307"/>
      <w:bookmarkStart w:id="643" w:name="_Toc532375716"/>
      <w:bookmarkStart w:id="644" w:name="_Toc247418281"/>
      <w:r>
        <w:rPr>
          <w:rFonts w:hint="eastAsia" w:ascii="宋体" w:hAnsi="宋体"/>
          <w:szCs w:val="21"/>
        </w:rPr>
        <w:t>十六、安全业绩考核</w:t>
      </w:r>
      <w:bookmarkEnd w:id="641"/>
      <w:bookmarkEnd w:id="642"/>
      <w:bookmarkEnd w:id="643"/>
      <w:bookmarkEnd w:id="644"/>
    </w:p>
    <w:p w14:paraId="0A9529B5">
      <w:pPr>
        <w:spacing w:line="360" w:lineRule="auto"/>
        <w:ind w:firstLine="560" w:firstLineChars="200"/>
        <w:jc w:val="left"/>
        <w:rPr>
          <w:rFonts w:ascii="宋体" w:hAnsi="宋体"/>
          <w:szCs w:val="21"/>
        </w:rPr>
      </w:pPr>
      <w:r>
        <w:rPr>
          <w:rFonts w:hint="eastAsia" w:ascii="宋体" w:hAnsi="宋体"/>
          <w:szCs w:val="21"/>
        </w:rPr>
        <w:t>为了落实安全管理的责任，承包人在施工过程中发生安全事故时，承包人除应按国家有关规定承担责任和处罚外，发包人还将按照以下标准进行考核：</w:t>
      </w:r>
    </w:p>
    <w:tbl>
      <w:tblPr>
        <w:tblStyle w:val="60"/>
        <w:tblW w:w="7005" w:type="dxa"/>
        <w:jc w:val="center"/>
        <w:tblLayout w:type="fixed"/>
        <w:tblCellMar>
          <w:top w:w="0" w:type="dxa"/>
          <w:left w:w="0" w:type="dxa"/>
          <w:bottom w:w="0" w:type="dxa"/>
          <w:right w:w="0" w:type="dxa"/>
        </w:tblCellMar>
      </w:tblPr>
      <w:tblGrid>
        <w:gridCol w:w="3240"/>
        <w:gridCol w:w="3765"/>
      </w:tblGrid>
      <w:tr w14:paraId="00FB7239">
        <w:tblPrEx>
          <w:tblCellMar>
            <w:top w:w="0" w:type="dxa"/>
            <w:left w:w="0" w:type="dxa"/>
            <w:bottom w:w="0" w:type="dxa"/>
            <w:right w:w="0" w:type="dxa"/>
          </w:tblCellMar>
        </w:tblPrEx>
        <w:trPr>
          <w:trHeight w:val="188"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238BA8F">
            <w:pPr>
              <w:spacing w:line="360" w:lineRule="auto"/>
              <w:ind w:firstLine="560" w:firstLineChars="200"/>
              <w:jc w:val="left"/>
              <w:rPr>
                <w:rFonts w:ascii="宋体" w:hAnsi="宋体"/>
                <w:szCs w:val="21"/>
              </w:rPr>
            </w:pPr>
            <w:r>
              <w:rPr>
                <w:rFonts w:hint="eastAsia" w:ascii="宋体" w:hAnsi="宋体"/>
                <w:szCs w:val="21"/>
              </w:rPr>
              <w:t>事件类型</w:t>
            </w:r>
          </w:p>
        </w:tc>
        <w:tc>
          <w:tcPr>
            <w:tcW w:w="3765"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787C325A">
            <w:pPr>
              <w:spacing w:line="360" w:lineRule="auto"/>
              <w:ind w:firstLine="560" w:firstLineChars="200"/>
              <w:jc w:val="left"/>
              <w:rPr>
                <w:rFonts w:ascii="宋体" w:hAnsi="宋体"/>
                <w:szCs w:val="21"/>
              </w:rPr>
            </w:pPr>
            <w:r>
              <w:rPr>
                <w:rFonts w:hint="eastAsia" w:ascii="宋体" w:hAnsi="宋体"/>
                <w:szCs w:val="21"/>
              </w:rPr>
              <w:t>违约金额</w:t>
            </w:r>
          </w:p>
        </w:tc>
      </w:tr>
      <w:tr w14:paraId="537A0035">
        <w:tblPrEx>
          <w:tblCellMar>
            <w:top w:w="0" w:type="dxa"/>
            <w:left w:w="0" w:type="dxa"/>
            <w:bottom w:w="0" w:type="dxa"/>
            <w:right w:w="0" w:type="dxa"/>
          </w:tblCellMar>
        </w:tblPrEx>
        <w:trPr>
          <w:trHeight w:val="281"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03D50D4">
            <w:pPr>
              <w:spacing w:line="360" w:lineRule="auto"/>
              <w:ind w:firstLine="560" w:firstLineChars="200"/>
              <w:jc w:val="left"/>
              <w:rPr>
                <w:rFonts w:ascii="宋体" w:hAnsi="宋体"/>
                <w:szCs w:val="21"/>
              </w:rPr>
            </w:pPr>
            <w:r>
              <w:rPr>
                <w:rFonts w:hint="eastAsia" w:ascii="宋体" w:hAnsi="宋体"/>
                <w:szCs w:val="21"/>
              </w:rPr>
              <w:t>较大事故</w:t>
            </w:r>
          </w:p>
        </w:tc>
        <w:tc>
          <w:tcPr>
            <w:tcW w:w="3765" w:type="dxa"/>
            <w:tcBorders>
              <w:top w:val="single" w:color="auto" w:sz="8" w:space="0"/>
              <w:left w:val="nil"/>
              <w:bottom w:val="single" w:color="auto" w:sz="8" w:space="0"/>
              <w:right w:val="single" w:color="auto" w:sz="8" w:space="0"/>
            </w:tcBorders>
            <w:vAlign w:val="center"/>
          </w:tcPr>
          <w:p w14:paraId="4A8ECCEA">
            <w:pPr>
              <w:spacing w:line="360" w:lineRule="auto"/>
              <w:ind w:firstLine="560" w:firstLineChars="200"/>
              <w:jc w:val="left"/>
              <w:rPr>
                <w:rFonts w:ascii="宋体" w:hAnsi="宋体"/>
                <w:szCs w:val="21"/>
              </w:rPr>
            </w:pPr>
            <w:r>
              <w:rPr>
                <w:rFonts w:hint="eastAsia" w:ascii="宋体" w:hAnsi="宋体"/>
                <w:kern w:val="0"/>
                <w:szCs w:val="21"/>
              </w:rPr>
              <w:t>签约合同价</w:t>
            </w:r>
            <w:r>
              <w:rPr>
                <w:rFonts w:hint="eastAsia" w:ascii="宋体" w:hAnsi="宋体"/>
                <w:szCs w:val="21"/>
              </w:rPr>
              <w:t>的0.5‰</w:t>
            </w:r>
          </w:p>
        </w:tc>
      </w:tr>
      <w:tr w14:paraId="48C17082">
        <w:tblPrEx>
          <w:tblCellMar>
            <w:top w:w="0" w:type="dxa"/>
            <w:left w:w="0" w:type="dxa"/>
            <w:bottom w:w="0" w:type="dxa"/>
            <w:right w:w="0" w:type="dxa"/>
          </w:tblCellMar>
        </w:tblPrEx>
        <w:trPr>
          <w:trHeight w:val="274"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0D2C924">
            <w:pPr>
              <w:spacing w:line="360" w:lineRule="auto"/>
              <w:ind w:firstLine="560" w:firstLineChars="200"/>
              <w:jc w:val="left"/>
              <w:rPr>
                <w:rFonts w:ascii="宋体" w:hAnsi="宋体"/>
                <w:szCs w:val="21"/>
              </w:rPr>
            </w:pPr>
            <w:r>
              <w:rPr>
                <w:rFonts w:hint="eastAsia" w:ascii="宋体" w:hAnsi="宋体"/>
                <w:szCs w:val="21"/>
              </w:rPr>
              <w:t>重大事故</w:t>
            </w:r>
          </w:p>
        </w:tc>
        <w:tc>
          <w:tcPr>
            <w:tcW w:w="3765" w:type="dxa"/>
            <w:tcBorders>
              <w:top w:val="single" w:color="auto" w:sz="8" w:space="0"/>
              <w:left w:val="nil"/>
              <w:bottom w:val="single" w:color="auto" w:sz="8" w:space="0"/>
              <w:right w:val="single" w:color="auto" w:sz="8" w:space="0"/>
            </w:tcBorders>
            <w:vAlign w:val="center"/>
          </w:tcPr>
          <w:p w14:paraId="7E7CF60B">
            <w:pPr>
              <w:spacing w:line="360" w:lineRule="auto"/>
              <w:ind w:firstLine="560" w:firstLineChars="200"/>
              <w:jc w:val="left"/>
              <w:rPr>
                <w:rFonts w:ascii="宋体" w:hAnsi="宋体"/>
                <w:szCs w:val="21"/>
              </w:rPr>
            </w:pPr>
            <w:r>
              <w:rPr>
                <w:rFonts w:hint="eastAsia" w:ascii="宋体" w:hAnsi="宋体"/>
                <w:szCs w:val="21"/>
              </w:rPr>
              <w:t>签约合同价的2‰</w:t>
            </w:r>
          </w:p>
        </w:tc>
      </w:tr>
      <w:tr w14:paraId="3FEF0334">
        <w:tblPrEx>
          <w:tblCellMar>
            <w:top w:w="0" w:type="dxa"/>
            <w:left w:w="0" w:type="dxa"/>
            <w:bottom w:w="0" w:type="dxa"/>
            <w:right w:w="0" w:type="dxa"/>
          </w:tblCellMar>
        </w:tblPrEx>
        <w:trPr>
          <w:trHeight w:val="138" w:hRule="atLeast"/>
          <w:jc w:val="center"/>
        </w:trPr>
        <w:tc>
          <w:tcPr>
            <w:tcW w:w="3240"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5040E40E">
            <w:pPr>
              <w:spacing w:line="360" w:lineRule="auto"/>
              <w:ind w:firstLine="560" w:firstLineChars="200"/>
              <w:jc w:val="left"/>
              <w:rPr>
                <w:rFonts w:ascii="宋体" w:hAnsi="宋体"/>
                <w:szCs w:val="21"/>
              </w:rPr>
            </w:pPr>
            <w:r>
              <w:rPr>
                <w:rFonts w:hint="eastAsia" w:ascii="宋体" w:hAnsi="宋体"/>
                <w:szCs w:val="21"/>
              </w:rPr>
              <w:t>特别重大事故</w:t>
            </w:r>
          </w:p>
        </w:tc>
        <w:tc>
          <w:tcPr>
            <w:tcW w:w="3765" w:type="dxa"/>
            <w:tcBorders>
              <w:top w:val="single" w:color="auto" w:sz="8" w:space="0"/>
              <w:left w:val="nil"/>
              <w:bottom w:val="single" w:color="auto" w:sz="8" w:space="0"/>
              <w:right w:val="single" w:color="auto" w:sz="8" w:space="0"/>
            </w:tcBorders>
            <w:vAlign w:val="center"/>
          </w:tcPr>
          <w:p w14:paraId="7FCF6AF0">
            <w:pPr>
              <w:spacing w:line="360" w:lineRule="auto"/>
              <w:ind w:firstLine="560" w:firstLineChars="200"/>
              <w:jc w:val="left"/>
              <w:rPr>
                <w:rFonts w:ascii="宋体" w:hAnsi="宋体"/>
                <w:szCs w:val="21"/>
              </w:rPr>
            </w:pPr>
            <w:r>
              <w:rPr>
                <w:rFonts w:hint="eastAsia" w:ascii="宋体" w:hAnsi="宋体"/>
                <w:szCs w:val="21"/>
              </w:rPr>
              <w:t>签约合同价的4‰</w:t>
            </w:r>
          </w:p>
        </w:tc>
      </w:tr>
    </w:tbl>
    <w:p w14:paraId="265C8A9E">
      <w:pPr>
        <w:spacing w:line="360" w:lineRule="auto"/>
        <w:ind w:firstLine="560" w:firstLineChars="200"/>
        <w:jc w:val="left"/>
        <w:rPr>
          <w:rFonts w:ascii="宋体" w:hAnsi="宋体"/>
          <w:szCs w:val="21"/>
        </w:rPr>
      </w:pPr>
      <w:r>
        <w:rPr>
          <w:rFonts w:hint="eastAsia" w:ascii="宋体" w:hAnsi="宋体"/>
          <w:szCs w:val="21"/>
        </w:rPr>
        <w:t>（1）较大事故，是指造成3人以上10人以下死亡，或者10人以上50人以下重伤，或者1000万元以上5000万元以下直接经济损失的事故；</w:t>
      </w:r>
    </w:p>
    <w:p w14:paraId="68DAF18B">
      <w:pPr>
        <w:spacing w:line="360" w:lineRule="auto"/>
        <w:ind w:firstLine="560" w:firstLineChars="200"/>
        <w:jc w:val="left"/>
        <w:rPr>
          <w:rFonts w:ascii="宋体" w:hAnsi="宋体"/>
          <w:szCs w:val="21"/>
        </w:rPr>
      </w:pPr>
      <w:r>
        <w:rPr>
          <w:rFonts w:hint="eastAsia" w:ascii="宋体" w:hAnsi="宋体"/>
          <w:szCs w:val="21"/>
        </w:rPr>
        <w:t>（2）重大事故，是指造成10人以上30人以下死亡，或者50人以上100人以下重伤，或者5000万元以上1亿元以下直接经济损失的事故；</w:t>
      </w:r>
    </w:p>
    <w:p w14:paraId="7355C563">
      <w:pPr>
        <w:spacing w:line="360" w:lineRule="auto"/>
        <w:ind w:firstLine="560" w:firstLineChars="200"/>
        <w:jc w:val="left"/>
        <w:rPr>
          <w:rFonts w:ascii="宋体" w:hAnsi="宋体"/>
          <w:szCs w:val="21"/>
        </w:rPr>
      </w:pPr>
      <w:r>
        <w:rPr>
          <w:rFonts w:hint="eastAsia" w:ascii="宋体" w:hAnsi="宋体"/>
          <w:szCs w:val="21"/>
        </w:rPr>
        <w:t>（3）特别重大事故，是指造成30人以上死亡，或者100人以上重伤（包括急性工业中毒，下同），或者1亿元以上直接经济损失的事故；</w:t>
      </w:r>
    </w:p>
    <w:p w14:paraId="325ABCC6">
      <w:pPr>
        <w:spacing w:line="276" w:lineRule="auto"/>
        <w:ind w:firstLine="560" w:firstLineChars="200"/>
        <w:jc w:val="left"/>
        <w:rPr>
          <w:rFonts w:ascii="宋体" w:hAnsi="宋体"/>
          <w:szCs w:val="21"/>
        </w:rPr>
      </w:pPr>
      <w:r>
        <w:rPr>
          <w:rFonts w:hint="eastAsia" w:ascii="宋体" w:hAnsi="宋体"/>
          <w:szCs w:val="21"/>
        </w:rPr>
        <w:t>（4）所称的“以上”包括本数，所称的“以下”不包括本数。</w:t>
      </w:r>
    </w:p>
    <w:p w14:paraId="06DD475F">
      <w:pPr>
        <w:spacing w:line="276" w:lineRule="auto"/>
        <w:ind w:firstLine="560" w:firstLineChars="200"/>
        <w:jc w:val="left"/>
        <w:rPr>
          <w:rFonts w:ascii="宋体" w:hAnsi="宋体"/>
          <w:szCs w:val="21"/>
        </w:rPr>
      </w:pPr>
      <w:r>
        <w:rPr>
          <w:rFonts w:hint="eastAsia" w:ascii="宋体" w:hAnsi="宋体"/>
          <w:szCs w:val="21"/>
        </w:rPr>
        <w:t xml:space="preserve">发包人委托的监理公司负责对承包人的安全业绩进行考核。每次合同支付前，承包人提交自我安全业绩评估报告，然后交发包人委托的监理公司评价。发包人委托的监理公司在签署评价意见后，将作为合同支付依据之一，同时也作为是否可接受承包人再次参加发包人项目投标的依据之一。 </w:t>
      </w:r>
    </w:p>
    <w:p w14:paraId="69FC8C75">
      <w:pPr>
        <w:spacing w:line="276" w:lineRule="auto"/>
        <w:ind w:firstLine="560" w:firstLineChars="200"/>
        <w:rPr>
          <w:rFonts w:ascii="宋体" w:hAnsi="宋体"/>
          <w:szCs w:val="21"/>
        </w:rPr>
      </w:pPr>
      <w:bookmarkStart w:id="645" w:name="_Toc247418282"/>
      <w:bookmarkStart w:id="646" w:name="_Toc239510308"/>
      <w:bookmarkStart w:id="647" w:name="_Toc247431442"/>
      <w:bookmarkStart w:id="648" w:name="_Toc532375717"/>
      <w:r>
        <w:rPr>
          <w:rFonts w:hint="eastAsia" w:ascii="宋体" w:hAnsi="宋体"/>
          <w:szCs w:val="21"/>
        </w:rPr>
        <w:t>十七、协议条款的修订</w:t>
      </w:r>
      <w:bookmarkEnd w:id="645"/>
      <w:bookmarkEnd w:id="646"/>
      <w:bookmarkEnd w:id="647"/>
      <w:bookmarkEnd w:id="648"/>
    </w:p>
    <w:p w14:paraId="29256390">
      <w:pPr>
        <w:spacing w:line="276" w:lineRule="auto"/>
        <w:ind w:firstLine="560" w:firstLineChars="200"/>
        <w:jc w:val="left"/>
        <w:rPr>
          <w:rFonts w:ascii="宋体" w:hAnsi="宋体"/>
          <w:szCs w:val="21"/>
        </w:rPr>
      </w:pPr>
      <w:r>
        <w:rPr>
          <w:rFonts w:hint="eastAsia" w:ascii="宋体" w:hAnsi="宋体"/>
          <w:szCs w:val="21"/>
        </w:rPr>
        <w:t>在项目实施过程中，经双方友好协商，本协议的有关条款也可做出相应的修改。</w:t>
      </w:r>
    </w:p>
    <w:p w14:paraId="71112989">
      <w:pPr>
        <w:spacing w:line="276" w:lineRule="auto"/>
        <w:ind w:firstLine="560" w:firstLineChars="200"/>
        <w:jc w:val="left"/>
        <w:rPr>
          <w:rFonts w:ascii="宋体" w:hAnsi="宋体"/>
          <w:szCs w:val="21"/>
        </w:rPr>
      </w:pPr>
      <w:r>
        <w:rPr>
          <w:rFonts w:hint="eastAsia" w:ascii="宋体" w:hAnsi="宋体"/>
          <w:szCs w:val="21"/>
        </w:rPr>
        <w:t>本工程安全管理协议，由发包人、承包人双方在施工承包合同签订后7天内共同签署，作为施工合同附件。</w:t>
      </w:r>
    </w:p>
    <w:p w14:paraId="09094BE3">
      <w:pPr>
        <w:spacing w:line="360" w:lineRule="auto"/>
        <w:ind w:firstLine="560" w:firstLineChars="200"/>
        <w:jc w:val="left"/>
        <w:rPr>
          <w:rFonts w:ascii="宋体" w:hAnsi="宋体"/>
          <w:szCs w:val="21"/>
        </w:rPr>
        <w:sectPr>
          <w:pgSz w:w="11905" w:h="16838"/>
          <w:pgMar w:top="1134" w:right="1191" w:bottom="1134" w:left="1304" w:header="850" w:footer="992" w:gutter="0"/>
          <w:pgNumType w:start="1"/>
          <w:cols w:space="0" w:num="1"/>
          <w:docGrid w:type="lines" w:linePitch="317" w:charSpace="0"/>
        </w:sectPr>
      </w:pPr>
    </w:p>
    <w:p w14:paraId="67C5CB33">
      <w:pPr>
        <w:spacing w:line="360" w:lineRule="auto"/>
        <w:ind w:firstLine="560" w:firstLineChars="200"/>
        <w:jc w:val="left"/>
        <w:rPr>
          <w:rFonts w:ascii="宋体" w:hAnsi="宋体"/>
          <w:szCs w:val="21"/>
        </w:rPr>
      </w:pPr>
      <w:r>
        <w:rPr>
          <w:rFonts w:hint="eastAsia" w:ascii="宋体" w:hAnsi="宋体"/>
          <w:szCs w:val="21"/>
        </w:rPr>
        <w:t>发  包  人（单位公章）：</w:t>
      </w:r>
      <w:r>
        <w:rPr>
          <w:rFonts w:hint="eastAsia" w:ascii="宋体" w:hAnsi="宋体" w:cs="宋体"/>
          <w:szCs w:val="21"/>
          <w:u w:val="single"/>
        </w:rPr>
        <w:t xml:space="preserve">                   </w:t>
      </w:r>
    </w:p>
    <w:p w14:paraId="4F51B9D0">
      <w:pPr>
        <w:spacing w:line="360" w:lineRule="auto"/>
        <w:ind w:firstLine="560" w:firstLineChars="200"/>
        <w:jc w:val="left"/>
        <w:rPr>
          <w:rFonts w:ascii="宋体" w:hAnsi="宋体"/>
          <w:szCs w:val="21"/>
        </w:rPr>
      </w:pPr>
      <w:r>
        <w:rPr>
          <w:rFonts w:hint="eastAsia" w:ascii="宋体" w:hAnsi="宋体"/>
          <w:szCs w:val="21"/>
        </w:rPr>
        <w:t>法定代表人（签名）：</w:t>
      </w:r>
      <w:r>
        <w:rPr>
          <w:rFonts w:hint="eastAsia" w:ascii="宋体" w:hAnsi="宋体" w:cs="宋体"/>
          <w:szCs w:val="21"/>
          <w:u w:val="single"/>
        </w:rPr>
        <w:t xml:space="preserve">                       </w:t>
      </w:r>
      <w:r>
        <w:rPr>
          <w:rFonts w:hint="eastAsia" w:ascii="宋体" w:hAnsi="宋体"/>
          <w:szCs w:val="21"/>
        </w:rPr>
        <w:t xml:space="preserve">  </w:t>
      </w:r>
    </w:p>
    <w:p w14:paraId="42A3BDCC">
      <w:pPr>
        <w:spacing w:line="360" w:lineRule="auto"/>
        <w:ind w:firstLine="560" w:firstLineChars="200"/>
        <w:jc w:val="left"/>
        <w:rPr>
          <w:rFonts w:ascii="宋体" w:hAnsi="宋体"/>
          <w:szCs w:val="21"/>
        </w:rPr>
      </w:pPr>
      <w:r>
        <w:rPr>
          <w:rFonts w:hint="eastAsia" w:ascii="宋体" w:hAnsi="宋体"/>
          <w:szCs w:val="21"/>
        </w:rPr>
        <w:t>或其委托代理人（签名）：</w:t>
      </w:r>
      <w:r>
        <w:rPr>
          <w:rFonts w:hint="eastAsia" w:ascii="宋体" w:hAnsi="宋体" w:cs="宋体"/>
          <w:szCs w:val="21"/>
          <w:u w:val="single"/>
        </w:rPr>
        <w:t xml:space="preserve">                   </w:t>
      </w:r>
      <w:r>
        <w:rPr>
          <w:rFonts w:hint="eastAsia" w:ascii="宋体" w:hAnsi="宋体"/>
          <w:szCs w:val="21"/>
        </w:rPr>
        <w:t xml:space="preserve">  </w:t>
      </w:r>
    </w:p>
    <w:p w14:paraId="2CDBB843">
      <w:pPr>
        <w:spacing w:line="360" w:lineRule="auto"/>
        <w:ind w:firstLine="560" w:firstLineChars="200"/>
        <w:jc w:val="left"/>
        <w:rPr>
          <w:rFonts w:ascii="宋体" w:hAnsi="宋体"/>
          <w:szCs w:val="21"/>
        </w:rPr>
      </w:pPr>
    </w:p>
    <w:p w14:paraId="340F7D31">
      <w:pPr>
        <w:spacing w:line="360" w:lineRule="auto"/>
        <w:ind w:firstLine="560" w:firstLineChars="200"/>
        <w:jc w:val="left"/>
        <w:rPr>
          <w:rFonts w:ascii="宋体" w:hAnsi="宋体"/>
          <w:szCs w:val="21"/>
        </w:rPr>
      </w:pPr>
    </w:p>
    <w:p w14:paraId="65F72552">
      <w:pPr>
        <w:spacing w:line="360" w:lineRule="auto"/>
        <w:ind w:firstLine="560" w:firstLineChars="200"/>
        <w:jc w:val="left"/>
        <w:rPr>
          <w:rFonts w:ascii="宋体" w:hAnsi="宋体"/>
          <w:kern w:val="0"/>
          <w:szCs w:val="21"/>
        </w:rPr>
      </w:pPr>
      <w:r>
        <w:rPr>
          <w:rFonts w:hint="eastAsia" w:ascii="宋体" w:hAnsi="宋体"/>
          <w:szCs w:val="21"/>
        </w:rPr>
        <w:t>承  包  人（单位公章）：</w:t>
      </w:r>
      <w:r>
        <w:rPr>
          <w:rFonts w:hint="eastAsia" w:ascii="宋体" w:hAnsi="宋体" w:cs="宋体"/>
          <w:szCs w:val="21"/>
          <w:u w:val="single"/>
        </w:rPr>
        <w:t xml:space="preserve">                   </w:t>
      </w:r>
    </w:p>
    <w:p w14:paraId="1A758CBF">
      <w:pPr>
        <w:spacing w:line="360" w:lineRule="auto"/>
        <w:ind w:firstLine="560" w:firstLineChars="200"/>
        <w:jc w:val="left"/>
        <w:rPr>
          <w:rFonts w:ascii="宋体" w:hAnsi="宋体"/>
          <w:szCs w:val="21"/>
        </w:rPr>
      </w:pPr>
      <w:r>
        <w:rPr>
          <w:rFonts w:hint="eastAsia" w:ascii="宋体" w:hAnsi="宋体"/>
          <w:szCs w:val="21"/>
        </w:rPr>
        <w:t>法定代表人（签名）：</w:t>
      </w:r>
      <w:r>
        <w:rPr>
          <w:rFonts w:hint="eastAsia" w:ascii="宋体" w:hAnsi="宋体" w:cs="宋体"/>
          <w:szCs w:val="21"/>
          <w:u w:val="single"/>
        </w:rPr>
        <w:t xml:space="preserve">                       </w:t>
      </w:r>
    </w:p>
    <w:p w14:paraId="78BFCAFF">
      <w:pPr>
        <w:spacing w:line="360" w:lineRule="auto"/>
        <w:ind w:firstLine="560" w:firstLineChars="200"/>
        <w:jc w:val="left"/>
        <w:rPr>
          <w:rFonts w:ascii="宋体" w:hAnsi="宋体"/>
          <w:kern w:val="0"/>
          <w:szCs w:val="21"/>
        </w:rPr>
      </w:pPr>
      <w:r>
        <w:rPr>
          <w:rFonts w:hint="eastAsia" w:ascii="宋体" w:hAnsi="宋体"/>
          <w:szCs w:val="21"/>
        </w:rPr>
        <w:t>或其委托代理人（签名）：</w:t>
      </w:r>
      <w:r>
        <w:rPr>
          <w:rFonts w:hint="eastAsia" w:ascii="宋体" w:hAnsi="宋体" w:cs="宋体"/>
          <w:szCs w:val="21"/>
          <w:u w:val="single"/>
        </w:rPr>
        <w:t xml:space="preserve">                   </w:t>
      </w:r>
    </w:p>
    <w:p w14:paraId="4B3E64A0">
      <w:pPr>
        <w:pStyle w:val="157"/>
        <w:ind w:firstLine="482"/>
        <w:jc w:val="left"/>
        <w:rPr>
          <w:rFonts w:ascii="宋体" w:hAnsi="宋体"/>
          <w:b/>
        </w:rPr>
        <w:sectPr>
          <w:type w:val="continuous"/>
          <w:pgSz w:w="11905" w:h="16838"/>
          <w:pgMar w:top="1134" w:right="1191" w:bottom="1134" w:left="1304" w:header="850" w:footer="992" w:gutter="0"/>
          <w:cols w:equalWidth="0" w:num="2">
            <w:col w:w="4492" w:space="425"/>
            <w:col w:w="4492"/>
          </w:cols>
          <w:docGrid w:type="lines" w:linePitch="317" w:charSpace="0"/>
        </w:sectPr>
      </w:pPr>
    </w:p>
    <w:p w14:paraId="59542A80">
      <w:pPr>
        <w:pStyle w:val="157"/>
        <w:ind w:firstLine="0" w:firstLineChars="0"/>
        <w:jc w:val="left"/>
        <w:rPr>
          <w:rFonts w:ascii="宋体" w:hAnsi="宋体"/>
          <w:b/>
        </w:rPr>
      </w:pPr>
      <w:r>
        <w:rPr>
          <w:rFonts w:hint="eastAsia" w:ascii="宋体" w:hAnsi="宋体"/>
          <w:b/>
        </w:rPr>
        <w:t>附件4：</w:t>
      </w:r>
      <w:bookmarkEnd w:id="562"/>
      <w:bookmarkEnd w:id="563"/>
      <w:r>
        <w:rPr>
          <w:rFonts w:hint="eastAsia" w:ascii="宋体" w:hAnsi="宋体"/>
          <w:b/>
        </w:rPr>
        <w:t>农民工工资支付承诺</w:t>
      </w:r>
      <w:bookmarkEnd w:id="564"/>
      <w:bookmarkEnd w:id="565"/>
      <w:bookmarkEnd w:id="566"/>
      <w:bookmarkEnd w:id="567"/>
      <w:bookmarkEnd w:id="568"/>
      <w:bookmarkEnd w:id="569"/>
      <w:bookmarkEnd w:id="570"/>
    </w:p>
    <w:p w14:paraId="274919AB">
      <w:pPr>
        <w:pStyle w:val="157"/>
        <w:ind w:firstLine="482"/>
        <w:jc w:val="left"/>
        <w:rPr>
          <w:rFonts w:ascii="宋体" w:hAnsi="宋体"/>
          <w:b/>
        </w:rPr>
      </w:pPr>
    </w:p>
    <w:p w14:paraId="405086F7">
      <w:pPr>
        <w:autoSpaceDE w:val="0"/>
        <w:autoSpaceDN w:val="0"/>
        <w:adjustRightInd w:val="0"/>
        <w:snapToGrid w:val="0"/>
        <w:spacing w:line="312" w:lineRule="auto"/>
        <w:ind w:right="-1"/>
        <w:jc w:val="center"/>
        <w:rPr>
          <w:rFonts w:ascii="宋体" w:hAnsi="宋体"/>
          <w:b/>
          <w:snapToGrid w:val="0"/>
          <w:w w:val="99"/>
          <w:sz w:val="24"/>
        </w:rPr>
      </w:pPr>
      <w:bookmarkStart w:id="649" w:name="_Toc410381425"/>
      <w:r>
        <w:rPr>
          <w:rFonts w:hint="eastAsia" w:ascii="宋体" w:hAnsi="宋体"/>
          <w:b/>
          <w:snapToGrid w:val="0"/>
          <w:w w:val="99"/>
          <w:sz w:val="24"/>
        </w:rPr>
        <w:t>农民工工资支付承诺</w:t>
      </w:r>
      <w:bookmarkEnd w:id="649"/>
    </w:p>
    <w:p w14:paraId="7F0B3015">
      <w:pPr>
        <w:spacing w:line="560" w:lineRule="exact"/>
        <w:ind w:firstLine="120" w:firstLineChars="50"/>
        <w:rPr>
          <w:rFonts w:ascii="宋体" w:hAnsi="宋体"/>
          <w:sz w:val="24"/>
        </w:rPr>
      </w:pPr>
      <w:r>
        <w:rPr>
          <w:rFonts w:hint="eastAsia" w:ascii="宋体" w:hAnsi="宋体"/>
          <w:sz w:val="24"/>
        </w:rPr>
        <w:t xml:space="preserve">（招 标 人）：   </w:t>
      </w:r>
    </w:p>
    <w:p w14:paraId="6BE1FF2D">
      <w:pPr>
        <w:spacing w:line="560" w:lineRule="exact"/>
        <w:ind w:firstLine="480" w:firstLineChars="200"/>
        <w:rPr>
          <w:rFonts w:ascii="宋体" w:hAnsi="宋体"/>
          <w:sz w:val="24"/>
        </w:rPr>
      </w:pPr>
      <w:r>
        <w:rPr>
          <w:rFonts w:hint="eastAsia" w:ascii="宋体" w:hAnsi="宋体"/>
          <w:sz w:val="24"/>
        </w:rPr>
        <w:t>为了切实维护建筑农民工的合法权益，确保社会和企业稳定，根据各级政府和相关主管部门的相关要求，结合我公司承包的</w:t>
      </w:r>
      <w:r>
        <w:rPr>
          <w:rFonts w:hint="eastAsia" w:ascii="宋体" w:hAnsi="宋体"/>
          <w:sz w:val="24"/>
          <w:u w:val="single"/>
        </w:rPr>
        <w:t xml:space="preserve">               </w:t>
      </w:r>
      <w:r>
        <w:rPr>
          <w:rFonts w:hint="eastAsia" w:ascii="宋体" w:hAnsi="宋体"/>
          <w:sz w:val="24"/>
        </w:rPr>
        <w:t>工程的劳务施工实际情况，特作如下慎重承诺：</w:t>
      </w:r>
    </w:p>
    <w:p w14:paraId="35A0203B">
      <w:pPr>
        <w:spacing w:line="560" w:lineRule="exact"/>
        <w:ind w:firstLine="480" w:firstLineChars="200"/>
        <w:rPr>
          <w:rFonts w:ascii="宋体" w:hAnsi="宋体"/>
          <w:sz w:val="24"/>
        </w:rPr>
      </w:pPr>
      <w:r>
        <w:rPr>
          <w:rFonts w:hint="eastAsia" w:ascii="宋体" w:hAnsi="宋体"/>
          <w:sz w:val="24"/>
        </w:rPr>
        <w:t>1.我公司将严格按照有关部门相关规定和要求，切实做好农民工工资发放工作；</w:t>
      </w:r>
    </w:p>
    <w:p w14:paraId="4FB9F8D8">
      <w:pPr>
        <w:spacing w:line="560" w:lineRule="exact"/>
        <w:ind w:firstLine="480" w:firstLineChars="200"/>
        <w:rPr>
          <w:rFonts w:ascii="宋体" w:hAnsi="宋体"/>
          <w:sz w:val="24"/>
        </w:rPr>
      </w:pPr>
      <w:r>
        <w:rPr>
          <w:rFonts w:hint="eastAsia" w:ascii="宋体" w:hAnsi="宋体"/>
          <w:sz w:val="24"/>
        </w:rPr>
        <w:t>2.我公司一定按照规定将农民工工资足额、直接发放到农民工手中；保证将每月发放的农民工工资表（表格形式、现场负责人和班组长签字认可、农民工本人签字）于次月15日前如实上报给贵单位，否则我司愿意接受贵单位的处理；</w:t>
      </w:r>
    </w:p>
    <w:p w14:paraId="3C5EC078">
      <w:pPr>
        <w:spacing w:line="560" w:lineRule="exact"/>
        <w:ind w:firstLine="480" w:firstLineChars="200"/>
        <w:rPr>
          <w:rFonts w:ascii="宋体" w:hAnsi="宋体"/>
          <w:sz w:val="24"/>
        </w:rPr>
      </w:pPr>
      <w:r>
        <w:rPr>
          <w:rFonts w:hint="eastAsia" w:ascii="宋体" w:hAnsi="宋体"/>
          <w:sz w:val="24"/>
        </w:rPr>
        <w:t>3.如因农民工工资发放、处置不力，导致农民工有不同形式的上访、闹访、集访等事件发生，贵单位将立即停止对我公司劳务工程款的支付，我公司愿意将剩余工程款用作民工工资保证金。</w:t>
      </w:r>
    </w:p>
    <w:p w14:paraId="7188FBE8">
      <w:pPr>
        <w:spacing w:line="560" w:lineRule="exact"/>
        <w:ind w:firstLine="480" w:firstLineChars="200"/>
        <w:rPr>
          <w:rFonts w:ascii="宋体" w:hAnsi="宋体"/>
          <w:sz w:val="24"/>
        </w:rPr>
      </w:pPr>
      <w:r>
        <w:rPr>
          <w:rFonts w:hint="eastAsia" w:ascii="宋体" w:hAnsi="宋体"/>
          <w:sz w:val="24"/>
        </w:rPr>
        <w:t>由此造成的一切不良后果和损失由我公司承担。</w:t>
      </w:r>
    </w:p>
    <w:p w14:paraId="7505F089">
      <w:pPr>
        <w:spacing w:line="560" w:lineRule="exact"/>
        <w:ind w:firstLine="480" w:firstLineChars="200"/>
        <w:rPr>
          <w:rFonts w:ascii="宋体" w:hAnsi="宋体"/>
          <w:sz w:val="24"/>
        </w:rPr>
      </w:pPr>
      <w:r>
        <w:rPr>
          <w:rFonts w:hint="eastAsia" w:ascii="宋体" w:hAnsi="宋体"/>
          <w:sz w:val="24"/>
        </w:rPr>
        <w:t>特此承诺！</w:t>
      </w:r>
    </w:p>
    <w:p w14:paraId="03D15217">
      <w:pPr>
        <w:spacing w:line="560" w:lineRule="exact"/>
        <w:ind w:firstLine="645"/>
        <w:jc w:val="right"/>
        <w:rPr>
          <w:rFonts w:ascii="宋体" w:hAnsi="宋体"/>
          <w:sz w:val="24"/>
        </w:rPr>
      </w:pPr>
      <w:r>
        <w:rPr>
          <w:rFonts w:hint="eastAsia" w:ascii="宋体" w:hAnsi="宋体"/>
          <w:sz w:val="24"/>
        </w:rPr>
        <w:t>单位全称：</w:t>
      </w:r>
      <w:r>
        <w:rPr>
          <w:rFonts w:hint="eastAsia" w:ascii="宋体" w:hAnsi="宋体"/>
          <w:sz w:val="24"/>
          <w:u w:val="single"/>
        </w:rPr>
        <w:t xml:space="preserve">                        </w:t>
      </w:r>
      <w:r>
        <w:rPr>
          <w:rFonts w:hint="eastAsia" w:ascii="宋体" w:hAnsi="宋体"/>
          <w:sz w:val="24"/>
        </w:rPr>
        <w:t>（盖  章）</w:t>
      </w:r>
    </w:p>
    <w:p w14:paraId="04E24C4F">
      <w:pPr>
        <w:spacing w:line="560" w:lineRule="exact"/>
        <w:ind w:firstLine="4440" w:firstLineChars="1850"/>
        <w:rPr>
          <w:rFonts w:ascii="宋体" w:hAnsi="宋体"/>
          <w:sz w:val="24"/>
        </w:rPr>
      </w:pPr>
      <w:r>
        <w:rPr>
          <w:rFonts w:hint="eastAsia" w:ascii="宋体" w:hAnsi="宋体"/>
          <w:sz w:val="24"/>
        </w:rPr>
        <w:t>法定代表人或委托代理人：（签 字）</w:t>
      </w:r>
    </w:p>
    <w:p w14:paraId="06DAB03D">
      <w:pPr>
        <w:spacing w:line="440" w:lineRule="atLeast"/>
        <w:rPr>
          <w:rFonts w:ascii="宋体" w:hAnsi="宋体"/>
          <w:sz w:val="24"/>
        </w:rPr>
      </w:pPr>
    </w:p>
    <w:p w14:paraId="75CE523B">
      <w:pPr>
        <w:jc w:val="right"/>
        <w:rPr>
          <w:rFonts w:ascii="宋体" w:hAnsi="宋体"/>
          <w:b/>
          <w:sz w:val="24"/>
        </w:rPr>
      </w:pPr>
      <w:r>
        <w:rPr>
          <w:rFonts w:hint="eastAsia" w:ascii="宋体" w:hAnsi="宋体"/>
          <w:sz w:val="24"/>
        </w:rPr>
        <w:t>年  月  日</w:t>
      </w:r>
    </w:p>
    <w:p w14:paraId="6EAA53EE"/>
    <w:p w14:paraId="6E53EDC5">
      <w:pPr>
        <w:pStyle w:val="2"/>
        <w:ind w:firstLine="560"/>
        <w:rPr>
          <w:lang w:eastAsia="zh-CN"/>
        </w:rPr>
      </w:pPr>
    </w:p>
    <w:p w14:paraId="0E27BBF9"/>
    <w:p w14:paraId="7C03175C">
      <w:pPr>
        <w:pStyle w:val="2"/>
        <w:ind w:firstLine="560"/>
        <w:rPr>
          <w:lang w:eastAsia="zh-CN"/>
        </w:rPr>
      </w:pPr>
    </w:p>
    <w:p w14:paraId="5D861244"/>
    <w:p w14:paraId="0C72BCE5">
      <w:pPr>
        <w:pStyle w:val="2"/>
        <w:ind w:firstLine="560"/>
        <w:rPr>
          <w:lang w:eastAsia="zh-CN"/>
        </w:rPr>
      </w:pPr>
    </w:p>
    <w:p w14:paraId="438405AA"/>
    <w:p w14:paraId="0769BB3A">
      <w:pPr>
        <w:spacing w:line="360" w:lineRule="auto"/>
        <w:ind w:firstLine="560" w:firstLineChars="200"/>
        <w:rPr>
          <w:rFonts w:ascii="仿宋" w:hAnsi="仿宋" w:eastAsia="仿宋" w:cs="仿宋"/>
        </w:rPr>
        <w:sectPr>
          <w:headerReference r:id="rId8" w:type="default"/>
          <w:footerReference r:id="rId9" w:type="default"/>
          <w:pgSz w:w="11907" w:h="16840"/>
          <w:pgMar w:top="1134" w:right="1191" w:bottom="1134" w:left="1304" w:header="794" w:footer="992" w:gutter="0"/>
          <w:cols w:space="720" w:num="1"/>
          <w:docGrid w:linePitch="312" w:charSpace="0"/>
        </w:sectPr>
      </w:pPr>
      <w:bookmarkStart w:id="650" w:name="_Toc30030"/>
    </w:p>
    <w:p w14:paraId="10B4ADD3">
      <w:pPr>
        <w:pStyle w:val="4"/>
      </w:pPr>
      <w:bookmarkStart w:id="651" w:name="_Toc942"/>
      <w:bookmarkStart w:id="652" w:name="_Toc31095"/>
      <w:bookmarkStart w:id="653" w:name="_Toc1305"/>
      <w:bookmarkStart w:id="654" w:name="_Toc1449"/>
      <w:bookmarkStart w:id="655" w:name="_Toc31116"/>
      <w:bookmarkStart w:id="656" w:name="_Toc28148"/>
      <w:bookmarkStart w:id="657" w:name="_Toc8196"/>
      <w:bookmarkStart w:id="658" w:name="_Toc20065"/>
      <w:r>
        <w:rPr>
          <w:rFonts w:hint="eastAsia"/>
        </w:rPr>
        <w:t>第七篇 响应文件编制要求</w:t>
      </w:r>
      <w:bookmarkEnd w:id="650"/>
      <w:bookmarkEnd w:id="651"/>
      <w:bookmarkEnd w:id="652"/>
      <w:bookmarkEnd w:id="653"/>
      <w:bookmarkEnd w:id="654"/>
      <w:bookmarkEnd w:id="655"/>
      <w:bookmarkEnd w:id="656"/>
      <w:bookmarkEnd w:id="657"/>
      <w:bookmarkEnd w:id="658"/>
    </w:p>
    <w:p w14:paraId="793F1DB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一、经济部分</w:t>
      </w:r>
    </w:p>
    <w:p w14:paraId="04FFFE0F">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（一）竞争性比选报价函</w:t>
      </w:r>
    </w:p>
    <w:p w14:paraId="7B6DF028">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（二）分项报价明细表</w:t>
      </w:r>
    </w:p>
    <w:p w14:paraId="21063D4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二、技术部分</w:t>
      </w:r>
    </w:p>
    <w:p w14:paraId="77EADA3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（一）技术响应偏离表</w:t>
      </w:r>
    </w:p>
    <w:p w14:paraId="5C0B305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（二）书面方案（如有）</w:t>
      </w:r>
    </w:p>
    <w:p w14:paraId="77163BF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三、商务部分</w:t>
      </w:r>
    </w:p>
    <w:p w14:paraId="7C943313">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（一）商务响应偏离表</w:t>
      </w:r>
    </w:p>
    <w:p w14:paraId="14C8EAE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（二）其它优惠服务承诺（如有）</w:t>
      </w:r>
    </w:p>
    <w:p w14:paraId="31581EFA">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四、资格条件及其他</w:t>
      </w:r>
    </w:p>
    <w:p w14:paraId="4750ADC1">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（一）法人营业执照（副本）或事业单位法人证书（副本）或个体工商户营业执照或有效的自然人身份证明或社会团体法人登记证书复印件</w:t>
      </w:r>
    </w:p>
    <w:p w14:paraId="3DFD98BD">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（二）法定代表人身份证明书（格式）</w:t>
      </w:r>
    </w:p>
    <w:p w14:paraId="58F48540">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（三）法定代表人授权委托书（格式）</w:t>
      </w:r>
    </w:p>
    <w:p w14:paraId="722B1232">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（四）基本资格条件承诺函（格式）</w:t>
      </w:r>
    </w:p>
    <w:p w14:paraId="5862F4D3">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（五）特定资格条件证明文件（如果有）</w:t>
      </w:r>
    </w:p>
    <w:p w14:paraId="3B7B0485">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五、其他应提供的资料</w:t>
      </w:r>
    </w:p>
    <w:p w14:paraId="64654C05">
      <w:pPr>
        <w:snapToGrid w:val="0"/>
        <w:spacing w:line="360" w:lineRule="auto"/>
        <w:ind w:firstLine="480" w:firstLineChars="200"/>
        <w:rPr>
          <w:rFonts w:ascii="仿宋" w:hAnsi="仿宋" w:eastAsia="仿宋" w:cs="仿宋"/>
          <w:sz w:val="24"/>
          <w:szCs w:val="24"/>
        </w:rPr>
      </w:pPr>
      <w:bookmarkStart w:id="659" w:name="_Toc313888360"/>
      <w:bookmarkStart w:id="660" w:name="_Toc342913419"/>
      <w:bookmarkStart w:id="661" w:name="_Toc313008356"/>
      <w:bookmarkStart w:id="662" w:name="_Toc283382454"/>
      <w:bookmarkStart w:id="663" w:name="_Toc12789073"/>
      <w:r>
        <w:rPr>
          <w:rFonts w:hint="eastAsia" w:ascii="仿宋" w:hAnsi="仿宋" w:eastAsia="仿宋" w:cs="仿宋"/>
          <w:sz w:val="24"/>
          <w:szCs w:val="24"/>
        </w:rPr>
        <w:t>其他与项目有关的资料（自附）</w:t>
      </w:r>
    </w:p>
    <w:p w14:paraId="218EBB03">
      <w:pPr>
        <w:snapToGrid w:val="0"/>
        <w:spacing w:line="360" w:lineRule="auto"/>
        <w:rPr>
          <w:rFonts w:ascii="仿宋" w:hAnsi="仿宋" w:eastAsia="仿宋" w:cs="仿宋"/>
          <w:sz w:val="24"/>
          <w:szCs w:val="24"/>
          <w:bdr w:val="single" w:color="auto" w:sz="4" w:space="0"/>
        </w:rPr>
        <w:sectPr>
          <w:headerReference r:id="rId10" w:type="default"/>
          <w:footerReference r:id="rId11" w:type="default"/>
          <w:pgSz w:w="11907" w:h="16840"/>
          <w:pgMar w:top="1134" w:right="1191" w:bottom="1134" w:left="1304" w:header="851" w:footer="992" w:gutter="0"/>
          <w:cols w:space="720" w:num="1"/>
          <w:docGrid w:linePitch="380" w:charSpace="-5735"/>
        </w:sectPr>
      </w:pPr>
    </w:p>
    <w:p w14:paraId="671FF489">
      <w:pPr>
        <w:pStyle w:val="5"/>
      </w:pPr>
      <w:bookmarkStart w:id="664" w:name="_Toc25748"/>
      <w:bookmarkStart w:id="665" w:name="_Toc30335"/>
      <w:bookmarkStart w:id="666" w:name="_Toc28140"/>
      <w:bookmarkStart w:id="667" w:name="_Toc2258"/>
      <w:bookmarkStart w:id="668" w:name="_Toc19394"/>
      <w:bookmarkStart w:id="669" w:name="_Toc25359"/>
      <w:bookmarkStart w:id="670" w:name="_Toc17393"/>
      <w:bookmarkStart w:id="671" w:name="_Toc28388"/>
      <w:bookmarkStart w:id="672" w:name="_Toc26832"/>
      <w:r>
        <w:rPr>
          <w:rFonts w:hint="eastAsia"/>
        </w:rPr>
        <w:t>一、经济部分</w:t>
      </w:r>
      <w:bookmarkEnd w:id="659"/>
      <w:bookmarkEnd w:id="660"/>
      <w:bookmarkEnd w:id="661"/>
      <w:bookmarkEnd w:id="664"/>
      <w:bookmarkEnd w:id="665"/>
      <w:bookmarkEnd w:id="666"/>
      <w:bookmarkEnd w:id="667"/>
      <w:bookmarkEnd w:id="668"/>
      <w:bookmarkEnd w:id="669"/>
      <w:bookmarkEnd w:id="670"/>
      <w:bookmarkEnd w:id="671"/>
      <w:bookmarkEnd w:id="672"/>
    </w:p>
    <w:bookmarkEnd w:id="662"/>
    <w:bookmarkEnd w:id="663"/>
    <w:p w14:paraId="793D2894">
      <w:pPr>
        <w:spacing w:line="360" w:lineRule="auto"/>
        <w:rPr>
          <w:rFonts w:ascii="仿宋" w:hAnsi="仿宋" w:eastAsia="仿宋" w:cs="仿宋"/>
          <w:b/>
          <w:bCs/>
          <w:sz w:val="24"/>
          <w:szCs w:val="24"/>
        </w:rPr>
      </w:pPr>
      <w:r>
        <w:rPr>
          <w:rFonts w:hint="eastAsia" w:ascii="仿宋" w:hAnsi="仿宋" w:eastAsia="仿宋" w:cs="仿宋"/>
          <w:b/>
          <w:bCs/>
          <w:sz w:val="24"/>
          <w:szCs w:val="24"/>
        </w:rPr>
        <w:t>（一）竞争性比选报价函</w:t>
      </w:r>
    </w:p>
    <w:p w14:paraId="3B77FF95">
      <w:pPr>
        <w:pStyle w:val="70"/>
        <w:spacing w:line="360" w:lineRule="auto"/>
        <w:rPr>
          <w:rFonts w:ascii="仿宋" w:hAnsi="仿宋" w:eastAsia="仿宋" w:cs="仿宋"/>
        </w:rPr>
      </w:pPr>
    </w:p>
    <w:p w14:paraId="4B473227">
      <w:pPr>
        <w:spacing w:line="360" w:lineRule="auto"/>
        <w:jc w:val="center"/>
        <w:rPr>
          <w:rFonts w:ascii="仿宋" w:hAnsi="仿宋" w:eastAsia="仿宋" w:cs="仿宋"/>
        </w:rPr>
      </w:pPr>
      <w:r>
        <w:rPr>
          <w:rFonts w:hint="eastAsia" w:ascii="仿宋" w:hAnsi="仿宋" w:eastAsia="仿宋" w:cs="仿宋"/>
        </w:rPr>
        <w:t>竞争性比选报价函</w:t>
      </w:r>
    </w:p>
    <w:p w14:paraId="7B69AC38">
      <w:pPr>
        <w:tabs>
          <w:tab w:val="left" w:pos="6300"/>
        </w:tabs>
        <w:snapToGrid w:val="0"/>
        <w:spacing w:line="360" w:lineRule="auto"/>
        <w:rPr>
          <w:rFonts w:ascii="仿宋" w:hAnsi="仿宋" w:eastAsia="仿宋" w:cs="仿宋"/>
          <w:sz w:val="24"/>
          <w:szCs w:val="24"/>
        </w:rPr>
      </w:pPr>
      <w:r>
        <w:rPr>
          <w:rFonts w:hint="eastAsia" w:ascii="仿宋" w:hAnsi="仿宋" w:eastAsia="仿宋" w:cs="仿宋"/>
          <w:sz w:val="24"/>
          <w:szCs w:val="24"/>
          <w:u w:val="single"/>
        </w:rPr>
        <w:t>（比选代理机构名称）</w:t>
      </w:r>
      <w:r>
        <w:rPr>
          <w:rFonts w:hint="eastAsia" w:ascii="仿宋" w:hAnsi="仿宋" w:eastAsia="仿宋" w:cs="仿宋"/>
          <w:sz w:val="24"/>
          <w:szCs w:val="24"/>
        </w:rPr>
        <w:t>：</w:t>
      </w:r>
    </w:p>
    <w:p w14:paraId="4105B1DF">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我方收到</w:t>
      </w:r>
      <w:r>
        <w:rPr>
          <w:rFonts w:hint="eastAsia" w:ascii="仿宋" w:hAnsi="仿宋" w:eastAsia="仿宋" w:cs="仿宋"/>
          <w:sz w:val="24"/>
          <w:szCs w:val="24"/>
          <w:u w:val="single"/>
        </w:rPr>
        <w:t>____________________________</w:t>
      </w:r>
      <w:r>
        <w:rPr>
          <w:rFonts w:hint="eastAsia" w:ascii="仿宋" w:hAnsi="仿宋" w:eastAsia="仿宋" w:cs="仿宋"/>
          <w:sz w:val="24"/>
          <w:szCs w:val="24"/>
        </w:rPr>
        <w:t>（项目名称）的竞争性比选文件，经详细研究，决定参加该项目的竞争性比选。</w:t>
      </w:r>
    </w:p>
    <w:p w14:paraId="6BEB148B">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1.愿意按照竞争性比选文件中的一切要求，提供本项目采购内容及相关服务，竞采报价为人民币大写：</w:t>
      </w:r>
      <w:r>
        <w:rPr>
          <w:rFonts w:hint="eastAsia" w:ascii="仿宋" w:hAnsi="仿宋" w:eastAsia="仿宋" w:cs="仿宋"/>
          <w:sz w:val="24"/>
          <w:szCs w:val="24"/>
          <w:u w:val="single"/>
        </w:rPr>
        <w:t xml:space="preserve">        </w:t>
      </w:r>
      <w:r>
        <w:rPr>
          <w:rFonts w:hint="eastAsia" w:ascii="仿宋" w:hAnsi="仿宋" w:eastAsia="仿宋" w:cs="仿宋"/>
          <w:sz w:val="24"/>
          <w:szCs w:val="24"/>
        </w:rPr>
        <w:t>元整，人民币小写：</w:t>
      </w:r>
      <w:r>
        <w:rPr>
          <w:rFonts w:hint="eastAsia" w:ascii="仿宋" w:hAnsi="仿宋" w:eastAsia="仿宋" w:cs="仿宋"/>
          <w:sz w:val="24"/>
          <w:szCs w:val="24"/>
          <w:u w:val="single"/>
        </w:rPr>
        <w:t xml:space="preserve">       </w:t>
      </w:r>
      <w:r>
        <w:rPr>
          <w:rFonts w:hint="eastAsia" w:ascii="仿宋" w:hAnsi="仿宋" w:eastAsia="仿宋" w:cs="仿宋"/>
          <w:sz w:val="24"/>
          <w:szCs w:val="24"/>
        </w:rPr>
        <w:t>元整，其中安全文明施工费为人民币大写：</w:t>
      </w:r>
      <w:r>
        <w:rPr>
          <w:rFonts w:hint="eastAsia" w:ascii="仿宋" w:hAnsi="仿宋" w:eastAsia="仿宋" w:cs="仿宋"/>
          <w:sz w:val="24"/>
          <w:szCs w:val="24"/>
          <w:u w:val="single"/>
        </w:rPr>
        <w:t xml:space="preserve">       </w:t>
      </w:r>
      <w:r>
        <w:rPr>
          <w:rFonts w:hint="eastAsia" w:ascii="仿宋" w:hAnsi="仿宋" w:eastAsia="仿宋" w:cs="仿宋"/>
          <w:sz w:val="24"/>
          <w:szCs w:val="24"/>
        </w:rPr>
        <w:t>元整，人民币小写：</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元整。</w:t>
      </w:r>
    </w:p>
    <w:p w14:paraId="190FADC8">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2.我方现提交的响应文件为：响应文件电子文档一份。</w:t>
      </w:r>
    </w:p>
    <w:p w14:paraId="5E19C64E">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3.我方承诺：本次竞争性比选的有效期为90天。</w:t>
      </w:r>
    </w:p>
    <w:p w14:paraId="1F1DF9FF">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4.我方完全理解和接受贵方竞争性比选文件的一切规定和要求及评审办法。</w:t>
      </w:r>
    </w:p>
    <w:p w14:paraId="5E327D52">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5.在整个竞争性比选过程中，我方若有违规行为，接受按照《中华人民共和国政府采购法》和《竞争性比选文件》之规定给予惩罚。</w:t>
      </w:r>
    </w:p>
    <w:p w14:paraId="6C4F4DE1">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6.我方若成为成交供应商，将按照最终竞争性比选结果签订合同，并且严格履行合同义务。本承诺函将成为合同不可分割的一部分，与合同具有同等的法律效力。</w:t>
      </w:r>
    </w:p>
    <w:p w14:paraId="6728456F">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7.我方同意按竞争性比选文件规定。如果我方成为成交供应商，保证在接到成交通知书前，向比选代理机构缴纳竞争性比选文件规定的采购代理服务费。</w:t>
      </w:r>
    </w:p>
    <w:p w14:paraId="32512936">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8.</w:t>
      </w:r>
      <w:r>
        <w:rPr>
          <w:rFonts w:hint="eastAsia" w:ascii="仿宋" w:hAnsi="仿宋" w:eastAsia="仿宋" w:cs="仿宋"/>
          <w:sz w:val="24"/>
          <w:szCs w:val="28"/>
        </w:rPr>
        <w:t>我方未</w:t>
      </w:r>
      <w:r>
        <w:rPr>
          <w:rFonts w:hint="eastAsia" w:ascii="仿宋" w:hAnsi="仿宋" w:eastAsia="仿宋" w:cs="仿宋"/>
          <w:sz w:val="24"/>
          <w:szCs w:val="24"/>
        </w:rPr>
        <w:t>为采购项目提供整体设计、规范编制或者项目管理、监理、检测等服务。</w:t>
      </w:r>
    </w:p>
    <w:p w14:paraId="0270878F">
      <w:pPr>
        <w:tabs>
          <w:tab w:val="left" w:pos="6300"/>
        </w:tabs>
        <w:snapToGrid w:val="0"/>
        <w:spacing w:line="360" w:lineRule="auto"/>
        <w:ind w:firstLine="570"/>
        <w:rPr>
          <w:rFonts w:ascii="仿宋" w:hAnsi="仿宋" w:eastAsia="仿宋" w:cs="仿宋"/>
          <w:sz w:val="24"/>
          <w:szCs w:val="24"/>
        </w:rPr>
      </w:pPr>
      <w:r>
        <w:rPr>
          <w:rFonts w:hint="eastAsia" w:ascii="仿宋" w:hAnsi="仿宋" w:eastAsia="仿宋" w:cs="仿宋"/>
          <w:sz w:val="24"/>
          <w:szCs w:val="24"/>
        </w:rPr>
        <w:t>供应商（公章）：</w:t>
      </w:r>
    </w:p>
    <w:p w14:paraId="71DAD1C5">
      <w:pPr>
        <w:tabs>
          <w:tab w:val="left" w:pos="6300"/>
        </w:tabs>
        <w:snapToGrid w:val="0"/>
        <w:spacing w:line="360" w:lineRule="auto"/>
        <w:ind w:firstLine="570"/>
        <w:rPr>
          <w:rFonts w:ascii="仿宋" w:hAnsi="仿宋" w:eastAsia="仿宋" w:cs="仿宋"/>
          <w:sz w:val="24"/>
          <w:szCs w:val="24"/>
        </w:rPr>
      </w:pPr>
      <w:r>
        <w:rPr>
          <w:rFonts w:hint="eastAsia" w:ascii="仿宋" w:hAnsi="仿宋" w:eastAsia="仿宋" w:cs="仿宋"/>
          <w:sz w:val="24"/>
          <w:szCs w:val="24"/>
        </w:rPr>
        <w:t>地址：</w:t>
      </w:r>
    </w:p>
    <w:p w14:paraId="4208530B">
      <w:pPr>
        <w:tabs>
          <w:tab w:val="left" w:pos="6300"/>
        </w:tabs>
        <w:snapToGrid w:val="0"/>
        <w:spacing w:line="360" w:lineRule="auto"/>
        <w:ind w:firstLine="570"/>
        <w:rPr>
          <w:rFonts w:ascii="仿宋" w:hAnsi="仿宋" w:eastAsia="仿宋" w:cs="仿宋"/>
          <w:sz w:val="24"/>
          <w:szCs w:val="24"/>
        </w:rPr>
      </w:pPr>
      <w:r>
        <w:rPr>
          <w:rFonts w:hint="eastAsia" w:ascii="仿宋" w:hAnsi="仿宋" w:eastAsia="仿宋" w:cs="仿宋"/>
          <w:sz w:val="24"/>
          <w:szCs w:val="24"/>
        </w:rPr>
        <w:t>电话：                                 传真：</w:t>
      </w:r>
    </w:p>
    <w:p w14:paraId="23277E83">
      <w:pPr>
        <w:tabs>
          <w:tab w:val="left" w:pos="6300"/>
        </w:tabs>
        <w:snapToGrid w:val="0"/>
        <w:spacing w:line="360" w:lineRule="auto"/>
        <w:ind w:firstLine="570"/>
        <w:rPr>
          <w:rFonts w:ascii="仿宋" w:hAnsi="仿宋" w:eastAsia="仿宋" w:cs="仿宋"/>
          <w:sz w:val="24"/>
          <w:szCs w:val="24"/>
        </w:rPr>
      </w:pPr>
      <w:r>
        <w:rPr>
          <w:rFonts w:hint="eastAsia" w:ascii="仿宋" w:hAnsi="仿宋" w:eastAsia="仿宋" w:cs="仿宋"/>
          <w:sz w:val="24"/>
          <w:szCs w:val="24"/>
        </w:rPr>
        <w:t>网址：                                 邮编：</w:t>
      </w:r>
    </w:p>
    <w:p w14:paraId="5D0D24FB">
      <w:pPr>
        <w:tabs>
          <w:tab w:val="left" w:pos="6300"/>
        </w:tabs>
        <w:snapToGrid w:val="0"/>
        <w:spacing w:line="360" w:lineRule="auto"/>
        <w:ind w:firstLine="570"/>
        <w:rPr>
          <w:rFonts w:ascii="仿宋" w:hAnsi="仿宋" w:eastAsia="仿宋" w:cs="仿宋"/>
          <w:sz w:val="24"/>
          <w:szCs w:val="24"/>
        </w:rPr>
      </w:pPr>
      <w:r>
        <w:rPr>
          <w:rFonts w:hint="eastAsia" w:ascii="仿宋" w:hAnsi="仿宋" w:eastAsia="仿宋" w:cs="仿宋"/>
          <w:sz w:val="24"/>
          <w:szCs w:val="24"/>
        </w:rPr>
        <w:t>联系人：</w:t>
      </w:r>
    </w:p>
    <w:p w14:paraId="5B2646A8">
      <w:pPr>
        <w:snapToGrid w:val="0"/>
        <w:spacing w:line="360" w:lineRule="auto"/>
        <w:ind w:firstLine="5280" w:firstLineChars="2200"/>
        <w:rPr>
          <w:rFonts w:ascii="仿宋" w:hAnsi="仿宋" w:eastAsia="仿宋" w:cs="仿宋"/>
          <w:sz w:val="24"/>
          <w:szCs w:val="24"/>
        </w:rPr>
      </w:pPr>
      <w:r>
        <w:rPr>
          <w:rFonts w:hint="eastAsia" w:ascii="仿宋" w:hAnsi="仿宋" w:eastAsia="仿宋" w:cs="仿宋"/>
          <w:sz w:val="24"/>
          <w:szCs w:val="24"/>
        </w:rPr>
        <w:t>年月日</w:t>
      </w:r>
    </w:p>
    <w:p w14:paraId="31FDA487">
      <w:pPr>
        <w:pStyle w:val="72"/>
        <w:spacing w:line="360" w:lineRule="auto"/>
        <w:rPr>
          <w:rFonts w:ascii="仿宋" w:hAnsi="仿宋" w:eastAsia="仿宋" w:cs="仿宋"/>
        </w:rPr>
      </w:pPr>
    </w:p>
    <w:p w14:paraId="41513834">
      <w:pPr>
        <w:pStyle w:val="72"/>
        <w:spacing w:line="360" w:lineRule="auto"/>
        <w:rPr>
          <w:rFonts w:ascii="仿宋" w:hAnsi="仿宋" w:eastAsia="仿宋" w:cs="仿宋"/>
        </w:rPr>
      </w:pPr>
    </w:p>
    <w:p w14:paraId="7FD37F12">
      <w:pPr>
        <w:pStyle w:val="72"/>
        <w:spacing w:line="360" w:lineRule="auto"/>
        <w:rPr>
          <w:rFonts w:ascii="仿宋" w:hAnsi="仿宋" w:eastAsia="仿宋" w:cs="仿宋"/>
        </w:rPr>
      </w:pPr>
    </w:p>
    <w:p w14:paraId="4815F892">
      <w:pPr>
        <w:pStyle w:val="72"/>
        <w:spacing w:line="360" w:lineRule="auto"/>
        <w:rPr>
          <w:rFonts w:ascii="仿宋" w:hAnsi="仿宋" w:eastAsia="仿宋" w:cs="仿宋"/>
        </w:rPr>
      </w:pPr>
    </w:p>
    <w:p w14:paraId="11B5DBD3">
      <w:pPr>
        <w:spacing w:line="360" w:lineRule="auto"/>
        <w:rPr>
          <w:rFonts w:ascii="仿宋" w:hAnsi="仿宋" w:eastAsia="仿宋" w:cs="仿宋"/>
        </w:rPr>
      </w:pPr>
    </w:p>
    <w:p w14:paraId="71306686">
      <w:pPr>
        <w:snapToGrid w:val="0"/>
        <w:spacing w:line="360" w:lineRule="auto"/>
        <w:rPr>
          <w:rFonts w:ascii="仿宋" w:hAnsi="仿宋" w:eastAsia="仿宋" w:cs="仿宋"/>
          <w:b/>
          <w:sz w:val="24"/>
          <w:szCs w:val="24"/>
        </w:rPr>
      </w:pPr>
      <w:r>
        <w:rPr>
          <w:rFonts w:hint="eastAsia" w:ascii="仿宋" w:hAnsi="仿宋" w:eastAsia="仿宋" w:cs="仿宋"/>
          <w:b/>
          <w:sz w:val="24"/>
          <w:szCs w:val="24"/>
        </w:rPr>
        <w:t>（二）分项报价明细表</w:t>
      </w:r>
    </w:p>
    <w:p w14:paraId="509E948C">
      <w:pPr>
        <w:snapToGrid w:val="0"/>
        <w:spacing w:line="360" w:lineRule="auto"/>
        <w:jc w:val="center"/>
        <w:rPr>
          <w:rFonts w:ascii="仿宋" w:hAnsi="仿宋" w:eastAsia="仿宋" w:cs="仿宋"/>
          <w:sz w:val="24"/>
        </w:rPr>
      </w:pPr>
      <w:r>
        <w:rPr>
          <w:rFonts w:hint="eastAsia" w:ascii="仿宋" w:hAnsi="仿宋" w:eastAsia="仿宋" w:cs="仿宋"/>
          <w:sz w:val="24"/>
        </w:rPr>
        <w:t>分项报价明细表</w:t>
      </w:r>
    </w:p>
    <w:p w14:paraId="115F26E5">
      <w:pPr>
        <w:snapToGrid w:val="0"/>
        <w:spacing w:line="360" w:lineRule="auto"/>
        <w:jc w:val="center"/>
        <w:rPr>
          <w:rFonts w:ascii="仿宋" w:hAnsi="仿宋" w:eastAsia="仿宋" w:cs="仿宋"/>
          <w:sz w:val="24"/>
        </w:rPr>
      </w:pPr>
    </w:p>
    <w:p w14:paraId="78C95774">
      <w:pPr>
        <w:keepNext/>
        <w:keepLines/>
        <w:adjustRightInd w:val="0"/>
        <w:snapToGrid w:val="0"/>
        <w:spacing w:line="360" w:lineRule="auto"/>
        <w:jc w:val="center"/>
        <w:rPr>
          <w:rFonts w:ascii="仿宋" w:hAnsi="仿宋" w:eastAsia="仿宋" w:cs="仿宋"/>
          <w:b/>
          <w:sz w:val="24"/>
          <w:szCs w:val="24"/>
        </w:rPr>
      </w:pPr>
      <w:r>
        <w:rPr>
          <w:rFonts w:hint="eastAsia" w:ascii="仿宋" w:hAnsi="仿宋" w:eastAsia="仿宋" w:cs="仿宋"/>
          <w:sz w:val="24"/>
        </w:rPr>
        <w:t>（提供已标价工程量清单）</w:t>
      </w:r>
    </w:p>
    <w:p w14:paraId="0461FC62">
      <w:pPr>
        <w:tabs>
          <w:tab w:val="center" w:pos="4706"/>
        </w:tabs>
        <w:spacing w:line="360" w:lineRule="auto"/>
        <w:jc w:val="left"/>
        <w:rPr>
          <w:rFonts w:ascii="仿宋" w:hAnsi="仿宋" w:eastAsia="仿宋" w:cs="仿宋"/>
        </w:rPr>
        <w:sectPr>
          <w:footerReference r:id="rId12" w:type="default"/>
          <w:pgSz w:w="11907" w:h="16840"/>
          <w:pgMar w:top="1134" w:right="1191" w:bottom="1134" w:left="1304" w:header="851" w:footer="992" w:gutter="0"/>
          <w:cols w:space="720" w:num="1"/>
          <w:docGrid w:linePitch="380" w:charSpace="-5735"/>
        </w:sectPr>
      </w:pPr>
    </w:p>
    <w:p w14:paraId="415228F4">
      <w:pPr>
        <w:pStyle w:val="5"/>
      </w:pPr>
      <w:bookmarkStart w:id="673" w:name="_Toc313888361"/>
      <w:bookmarkStart w:id="674" w:name="_Toc21280"/>
      <w:bookmarkStart w:id="675" w:name="_Toc313008357"/>
      <w:bookmarkStart w:id="676" w:name="_Toc342913420"/>
      <w:bookmarkStart w:id="677" w:name="_Toc22081"/>
      <w:bookmarkStart w:id="678" w:name="_Toc674"/>
      <w:bookmarkStart w:id="679" w:name="_Toc16639"/>
      <w:bookmarkStart w:id="680" w:name="_Toc2280"/>
      <w:bookmarkStart w:id="681" w:name="_Toc30879"/>
      <w:bookmarkStart w:id="682" w:name="_Toc28636"/>
      <w:bookmarkStart w:id="683" w:name="_Toc25812"/>
      <w:bookmarkStart w:id="684" w:name="_Toc6857"/>
      <w:r>
        <w:rPr>
          <w:rFonts w:hint="eastAsia"/>
        </w:rPr>
        <w:t>二、技术部分</w:t>
      </w:r>
      <w:bookmarkEnd w:id="673"/>
      <w:bookmarkEnd w:id="674"/>
      <w:bookmarkEnd w:id="675"/>
      <w:bookmarkEnd w:id="676"/>
      <w:bookmarkEnd w:id="677"/>
      <w:bookmarkEnd w:id="678"/>
      <w:bookmarkEnd w:id="679"/>
      <w:bookmarkEnd w:id="680"/>
      <w:bookmarkEnd w:id="681"/>
      <w:bookmarkEnd w:id="682"/>
      <w:bookmarkEnd w:id="683"/>
      <w:bookmarkEnd w:id="684"/>
    </w:p>
    <w:p w14:paraId="3E8BA7CE">
      <w:pPr>
        <w:snapToGrid w:val="0"/>
        <w:spacing w:line="360" w:lineRule="auto"/>
        <w:jc w:val="left"/>
        <w:rPr>
          <w:rFonts w:ascii="仿宋" w:hAnsi="仿宋" w:eastAsia="仿宋" w:cs="仿宋"/>
          <w:b/>
          <w:bCs/>
          <w:sz w:val="24"/>
          <w:szCs w:val="24"/>
        </w:rPr>
      </w:pPr>
      <w:r>
        <w:rPr>
          <w:rFonts w:hint="eastAsia" w:ascii="仿宋" w:hAnsi="仿宋" w:eastAsia="仿宋" w:cs="仿宋"/>
          <w:b/>
          <w:bCs/>
          <w:sz w:val="24"/>
          <w:szCs w:val="24"/>
        </w:rPr>
        <w:t>（一）技术响应偏离表</w:t>
      </w:r>
    </w:p>
    <w:p w14:paraId="2451BD55">
      <w:pPr>
        <w:snapToGrid w:val="0"/>
        <w:spacing w:line="360" w:lineRule="auto"/>
        <w:jc w:val="center"/>
        <w:rPr>
          <w:rFonts w:ascii="仿宋" w:hAnsi="仿宋" w:eastAsia="仿宋" w:cs="仿宋"/>
          <w:bCs/>
          <w:sz w:val="24"/>
          <w:szCs w:val="24"/>
        </w:rPr>
      </w:pPr>
      <w:r>
        <w:rPr>
          <w:rFonts w:hint="eastAsia" w:ascii="仿宋" w:hAnsi="仿宋" w:eastAsia="仿宋" w:cs="仿宋"/>
          <w:bCs/>
          <w:sz w:val="24"/>
          <w:szCs w:val="24"/>
        </w:rPr>
        <w:t>技术响应偏离表</w:t>
      </w:r>
    </w:p>
    <w:p w14:paraId="5BCA4F7C">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对于竞争性比选文件的技术要求，如有任何偏离请如实填写下表：</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572E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2198F019">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序号</w:t>
            </w:r>
          </w:p>
        </w:tc>
        <w:tc>
          <w:tcPr>
            <w:tcW w:w="3179" w:type="dxa"/>
            <w:vAlign w:val="center"/>
          </w:tcPr>
          <w:p w14:paraId="378E9A44">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采购项目需求</w:t>
            </w:r>
          </w:p>
        </w:tc>
        <w:tc>
          <w:tcPr>
            <w:tcW w:w="2434" w:type="dxa"/>
            <w:vAlign w:val="center"/>
          </w:tcPr>
          <w:p w14:paraId="09372580">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响应情况</w:t>
            </w:r>
          </w:p>
        </w:tc>
        <w:tc>
          <w:tcPr>
            <w:tcW w:w="2355" w:type="dxa"/>
            <w:vAlign w:val="center"/>
          </w:tcPr>
          <w:p w14:paraId="65C760E4">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差异说明</w:t>
            </w:r>
          </w:p>
        </w:tc>
      </w:tr>
      <w:tr w14:paraId="5A3C3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6CD2F29">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197CFDE6">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5ED914B4">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2C252339">
            <w:pPr>
              <w:tabs>
                <w:tab w:val="left" w:pos="6300"/>
              </w:tabs>
              <w:snapToGrid w:val="0"/>
              <w:spacing w:line="360" w:lineRule="auto"/>
              <w:jc w:val="center"/>
              <w:outlineLvl w:val="0"/>
              <w:rPr>
                <w:rFonts w:ascii="仿宋" w:hAnsi="仿宋" w:eastAsia="仿宋" w:cs="仿宋"/>
                <w:sz w:val="21"/>
                <w:szCs w:val="24"/>
              </w:rPr>
            </w:pPr>
          </w:p>
        </w:tc>
      </w:tr>
      <w:tr w14:paraId="0D28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0ECE912">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69604865">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67783A9B">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F0B71DA">
            <w:pPr>
              <w:tabs>
                <w:tab w:val="left" w:pos="6300"/>
              </w:tabs>
              <w:snapToGrid w:val="0"/>
              <w:spacing w:line="360" w:lineRule="auto"/>
              <w:jc w:val="center"/>
              <w:outlineLvl w:val="0"/>
              <w:rPr>
                <w:rFonts w:ascii="仿宋" w:hAnsi="仿宋" w:eastAsia="仿宋" w:cs="仿宋"/>
                <w:sz w:val="21"/>
                <w:szCs w:val="24"/>
              </w:rPr>
            </w:pPr>
          </w:p>
        </w:tc>
      </w:tr>
      <w:tr w14:paraId="69ACC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677E1711">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492EDB7B">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4CE32319">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45C4D856">
            <w:pPr>
              <w:tabs>
                <w:tab w:val="left" w:pos="6300"/>
              </w:tabs>
              <w:snapToGrid w:val="0"/>
              <w:spacing w:line="360" w:lineRule="auto"/>
              <w:jc w:val="center"/>
              <w:outlineLvl w:val="0"/>
              <w:rPr>
                <w:rFonts w:ascii="仿宋" w:hAnsi="仿宋" w:eastAsia="仿宋" w:cs="仿宋"/>
                <w:sz w:val="21"/>
                <w:szCs w:val="24"/>
              </w:rPr>
            </w:pPr>
          </w:p>
        </w:tc>
      </w:tr>
      <w:tr w14:paraId="5515D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80DDB8">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CB0B804">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437ADB11">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6191430">
            <w:pPr>
              <w:tabs>
                <w:tab w:val="left" w:pos="6300"/>
              </w:tabs>
              <w:snapToGrid w:val="0"/>
              <w:spacing w:line="360" w:lineRule="auto"/>
              <w:jc w:val="center"/>
              <w:outlineLvl w:val="0"/>
              <w:rPr>
                <w:rFonts w:ascii="仿宋" w:hAnsi="仿宋" w:eastAsia="仿宋" w:cs="仿宋"/>
                <w:sz w:val="21"/>
                <w:szCs w:val="24"/>
              </w:rPr>
            </w:pPr>
          </w:p>
        </w:tc>
      </w:tr>
      <w:tr w14:paraId="016E9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C42AE21">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6A5FB210">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162E89CB">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4B596254">
            <w:pPr>
              <w:tabs>
                <w:tab w:val="left" w:pos="6300"/>
              </w:tabs>
              <w:snapToGrid w:val="0"/>
              <w:spacing w:line="360" w:lineRule="auto"/>
              <w:jc w:val="center"/>
              <w:outlineLvl w:val="0"/>
              <w:rPr>
                <w:rFonts w:ascii="仿宋" w:hAnsi="仿宋" w:eastAsia="仿宋" w:cs="仿宋"/>
                <w:sz w:val="21"/>
                <w:szCs w:val="24"/>
              </w:rPr>
            </w:pPr>
          </w:p>
        </w:tc>
      </w:tr>
      <w:tr w14:paraId="176D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5737296">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796AE281">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6ECCF663">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554DCA39">
            <w:pPr>
              <w:tabs>
                <w:tab w:val="left" w:pos="6300"/>
              </w:tabs>
              <w:snapToGrid w:val="0"/>
              <w:spacing w:line="360" w:lineRule="auto"/>
              <w:jc w:val="center"/>
              <w:outlineLvl w:val="0"/>
              <w:rPr>
                <w:rFonts w:ascii="仿宋" w:hAnsi="仿宋" w:eastAsia="仿宋" w:cs="仿宋"/>
                <w:sz w:val="21"/>
                <w:szCs w:val="24"/>
              </w:rPr>
            </w:pPr>
          </w:p>
        </w:tc>
      </w:tr>
    </w:tbl>
    <w:p w14:paraId="18F48A59">
      <w:pPr>
        <w:snapToGrid w:val="0"/>
        <w:spacing w:line="360" w:lineRule="auto"/>
        <w:ind w:firstLine="465"/>
        <w:rPr>
          <w:rFonts w:ascii="仿宋" w:hAnsi="仿宋" w:eastAsia="仿宋" w:cs="仿宋"/>
          <w:sz w:val="24"/>
          <w:szCs w:val="24"/>
        </w:rPr>
      </w:pPr>
    </w:p>
    <w:p w14:paraId="0126DA69">
      <w:pPr>
        <w:spacing w:line="360" w:lineRule="auto"/>
        <w:ind w:firstLine="600" w:firstLineChars="250"/>
        <w:rPr>
          <w:rFonts w:ascii="仿宋" w:hAnsi="仿宋" w:eastAsia="仿宋" w:cs="仿宋"/>
          <w:sz w:val="24"/>
          <w:szCs w:val="28"/>
        </w:rPr>
      </w:pPr>
      <w:r>
        <w:rPr>
          <w:rFonts w:hint="eastAsia" w:ascii="仿宋" w:hAnsi="仿宋" w:eastAsia="仿宋" w:cs="仿宋"/>
          <w:sz w:val="24"/>
          <w:szCs w:val="28"/>
        </w:rPr>
        <w:t>供应商：                                      法定代表人授权代表：</w:t>
      </w:r>
    </w:p>
    <w:p w14:paraId="63A28286">
      <w:pPr>
        <w:spacing w:line="360" w:lineRule="auto"/>
        <w:rPr>
          <w:rFonts w:ascii="仿宋" w:hAnsi="仿宋" w:eastAsia="仿宋" w:cs="仿宋"/>
          <w:sz w:val="24"/>
          <w:szCs w:val="28"/>
        </w:rPr>
      </w:pPr>
    </w:p>
    <w:p w14:paraId="253FE61C">
      <w:pPr>
        <w:spacing w:line="360" w:lineRule="auto"/>
        <w:ind w:firstLine="360" w:firstLineChars="150"/>
        <w:rPr>
          <w:rFonts w:ascii="仿宋" w:hAnsi="仿宋" w:eastAsia="仿宋" w:cs="仿宋"/>
          <w:sz w:val="24"/>
          <w:szCs w:val="28"/>
        </w:rPr>
      </w:pPr>
      <w:r>
        <w:rPr>
          <w:rFonts w:hint="eastAsia" w:ascii="仿宋" w:hAnsi="仿宋" w:eastAsia="仿宋" w:cs="仿宋"/>
          <w:sz w:val="24"/>
          <w:szCs w:val="28"/>
        </w:rPr>
        <w:t>（供应商公章）                                      （签字或盖章）</w:t>
      </w:r>
    </w:p>
    <w:p w14:paraId="3B2EE8C0">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szCs w:val="28"/>
        </w:rPr>
        <w:t>年月日</w:t>
      </w:r>
    </w:p>
    <w:p w14:paraId="5830CCF5">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注：</w:t>
      </w:r>
    </w:p>
    <w:p w14:paraId="35C20007">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szCs w:val="24"/>
        </w:rPr>
        <w:t>1</w:t>
      </w:r>
      <w:r>
        <w:rPr>
          <w:rFonts w:hint="eastAsia" w:ascii="仿宋" w:hAnsi="仿宋" w:eastAsia="仿宋" w:cs="仿宋"/>
          <w:sz w:val="24"/>
        </w:rPr>
        <w:t>、本表即为对本项目“第二篇采购项目技术需求”中所列技术要求进行比较和响应；</w:t>
      </w:r>
    </w:p>
    <w:p w14:paraId="3767098C">
      <w:pPr>
        <w:tabs>
          <w:tab w:val="left" w:pos="6300"/>
        </w:tabs>
        <w:snapToGrid w:val="0"/>
        <w:spacing w:line="360" w:lineRule="auto"/>
        <w:ind w:firstLine="480" w:firstLineChars="200"/>
        <w:rPr>
          <w:rFonts w:ascii="仿宋" w:hAnsi="仿宋" w:eastAsia="仿宋" w:cs="仿宋"/>
          <w:sz w:val="24"/>
          <w:szCs w:val="22"/>
        </w:rPr>
      </w:pPr>
      <w:r>
        <w:rPr>
          <w:rFonts w:hint="eastAsia" w:ascii="仿宋" w:hAnsi="仿宋" w:eastAsia="仿宋" w:cs="仿宋"/>
          <w:sz w:val="24"/>
        </w:rPr>
        <w:t>2、该表必须按照竞争性比选要求逐条如实填写，根据响应情况在“差异说明”项填写正</w:t>
      </w:r>
      <w:r>
        <w:rPr>
          <w:rFonts w:hint="eastAsia" w:ascii="仿宋" w:hAnsi="仿宋" w:eastAsia="仿宋" w:cs="仿宋"/>
          <w:sz w:val="24"/>
          <w:szCs w:val="22"/>
        </w:rPr>
        <w:t>偏离或负偏离及原因，完全符合的填写“无差异”；</w:t>
      </w:r>
    </w:p>
    <w:p w14:paraId="38ED6A36">
      <w:pPr>
        <w:tabs>
          <w:tab w:val="left" w:pos="6300"/>
        </w:tabs>
        <w:snapToGrid w:val="0"/>
        <w:spacing w:line="360" w:lineRule="auto"/>
        <w:ind w:firstLine="480" w:firstLineChars="200"/>
        <w:rPr>
          <w:rFonts w:ascii="仿宋" w:hAnsi="仿宋" w:eastAsia="仿宋" w:cs="仿宋"/>
          <w:sz w:val="24"/>
          <w:szCs w:val="22"/>
        </w:rPr>
        <w:sectPr>
          <w:headerReference r:id="rId13" w:type="default"/>
          <w:pgSz w:w="11907" w:h="16840"/>
          <w:pgMar w:top="1134" w:right="1191" w:bottom="1134" w:left="1304" w:header="851" w:footer="992" w:gutter="0"/>
          <w:cols w:space="720" w:num="1"/>
          <w:docGrid w:linePitch="380" w:charSpace="-5735"/>
        </w:sectPr>
      </w:pPr>
      <w:r>
        <w:rPr>
          <w:rFonts w:hint="eastAsia" w:ascii="仿宋" w:hAnsi="仿宋" w:eastAsia="仿宋" w:cs="仿宋"/>
          <w:sz w:val="24"/>
          <w:szCs w:val="22"/>
        </w:rPr>
        <w:t>3、该表可扩展，并逐页签字或盖章。</w:t>
      </w:r>
    </w:p>
    <w:p w14:paraId="511A053E">
      <w:pPr>
        <w:snapToGrid w:val="0"/>
        <w:spacing w:line="360" w:lineRule="auto"/>
        <w:jc w:val="left"/>
        <w:rPr>
          <w:rFonts w:ascii="仿宋" w:hAnsi="仿宋" w:eastAsia="仿宋" w:cs="仿宋"/>
          <w:b/>
          <w:bCs/>
          <w:sz w:val="24"/>
          <w:szCs w:val="24"/>
        </w:rPr>
      </w:pPr>
      <w:r>
        <w:rPr>
          <w:rFonts w:hint="eastAsia" w:ascii="仿宋" w:hAnsi="仿宋" w:eastAsia="仿宋" w:cs="仿宋"/>
          <w:b/>
          <w:bCs/>
          <w:sz w:val="24"/>
          <w:szCs w:val="24"/>
        </w:rPr>
        <w:t>（二）书面方案（如有）</w:t>
      </w:r>
    </w:p>
    <w:p w14:paraId="7235629F">
      <w:pPr>
        <w:pStyle w:val="72"/>
        <w:spacing w:line="360" w:lineRule="auto"/>
        <w:rPr>
          <w:rFonts w:ascii="仿宋" w:hAnsi="仿宋" w:eastAsia="仿宋" w:cs="仿宋"/>
        </w:rPr>
        <w:sectPr>
          <w:pgSz w:w="11907" w:h="16840"/>
          <w:pgMar w:top="1134" w:right="1191" w:bottom="1134" w:left="1304" w:header="851" w:footer="992" w:gutter="0"/>
          <w:cols w:space="720" w:num="1"/>
          <w:docGrid w:linePitch="380" w:charSpace="-5735"/>
        </w:sectPr>
      </w:pPr>
    </w:p>
    <w:p w14:paraId="6F48FF8D">
      <w:pPr>
        <w:pStyle w:val="5"/>
      </w:pPr>
      <w:bookmarkStart w:id="685" w:name="_Toc3879"/>
      <w:bookmarkStart w:id="686" w:name="_Toc13399"/>
      <w:bookmarkStart w:id="687" w:name="_Toc313888362"/>
      <w:bookmarkStart w:id="688" w:name="_Toc23988"/>
      <w:bookmarkStart w:id="689" w:name="_Toc26718"/>
      <w:bookmarkStart w:id="690" w:name="_Toc313008358"/>
      <w:bookmarkStart w:id="691" w:name="_Toc22330"/>
      <w:bookmarkStart w:id="692" w:name="_Toc24056"/>
      <w:bookmarkStart w:id="693" w:name="_Toc25464"/>
      <w:bookmarkStart w:id="694" w:name="_Toc6590"/>
      <w:bookmarkStart w:id="695" w:name="_Toc3970"/>
      <w:bookmarkStart w:id="696" w:name="_Toc342913421"/>
      <w:r>
        <w:rPr>
          <w:rFonts w:hint="eastAsia"/>
        </w:rPr>
        <w:t>三、商务部分</w:t>
      </w:r>
      <w:bookmarkEnd w:id="685"/>
      <w:bookmarkEnd w:id="686"/>
      <w:bookmarkEnd w:id="687"/>
      <w:bookmarkEnd w:id="688"/>
      <w:bookmarkEnd w:id="689"/>
      <w:bookmarkEnd w:id="690"/>
      <w:bookmarkEnd w:id="691"/>
      <w:bookmarkEnd w:id="692"/>
      <w:bookmarkEnd w:id="693"/>
      <w:bookmarkEnd w:id="694"/>
      <w:bookmarkEnd w:id="695"/>
      <w:bookmarkEnd w:id="696"/>
    </w:p>
    <w:p w14:paraId="6329074F">
      <w:pPr>
        <w:spacing w:line="360" w:lineRule="auto"/>
        <w:rPr>
          <w:rFonts w:ascii="仿宋" w:hAnsi="仿宋" w:eastAsia="仿宋" w:cs="仿宋"/>
          <w:b/>
          <w:bCs/>
          <w:sz w:val="24"/>
          <w:szCs w:val="24"/>
        </w:rPr>
      </w:pPr>
      <w:bookmarkStart w:id="697" w:name="_Toc283382459"/>
      <w:r>
        <w:rPr>
          <w:rFonts w:hint="eastAsia" w:ascii="仿宋" w:hAnsi="仿宋" w:eastAsia="仿宋" w:cs="仿宋"/>
          <w:b/>
          <w:bCs/>
          <w:sz w:val="24"/>
          <w:szCs w:val="24"/>
        </w:rPr>
        <w:t>（一）商务响应偏离表</w:t>
      </w:r>
    </w:p>
    <w:p w14:paraId="3E9C05E5">
      <w:pPr>
        <w:snapToGrid w:val="0"/>
        <w:spacing w:line="360" w:lineRule="auto"/>
        <w:jc w:val="center"/>
        <w:rPr>
          <w:rFonts w:ascii="仿宋" w:hAnsi="仿宋" w:eastAsia="仿宋" w:cs="仿宋"/>
          <w:bCs/>
          <w:szCs w:val="28"/>
        </w:rPr>
      </w:pPr>
      <w:r>
        <w:rPr>
          <w:rFonts w:hint="eastAsia" w:ascii="仿宋" w:hAnsi="仿宋" w:eastAsia="仿宋" w:cs="仿宋"/>
          <w:bCs/>
          <w:szCs w:val="28"/>
        </w:rPr>
        <w:t>商务响应偏离表</w:t>
      </w:r>
    </w:p>
    <w:p w14:paraId="7DE20C4B">
      <w:pPr>
        <w:snapToGrid w:val="0"/>
        <w:spacing w:line="360" w:lineRule="auto"/>
        <w:ind w:firstLine="465"/>
        <w:rPr>
          <w:rFonts w:ascii="仿宋" w:hAnsi="仿宋" w:eastAsia="仿宋" w:cs="仿宋"/>
          <w:sz w:val="24"/>
          <w:szCs w:val="24"/>
        </w:rPr>
      </w:pPr>
      <w:r>
        <w:rPr>
          <w:rFonts w:hint="eastAsia" w:ascii="仿宋" w:hAnsi="仿宋" w:eastAsia="仿宋" w:cs="仿宋"/>
          <w:sz w:val="24"/>
          <w:szCs w:val="24"/>
        </w:rPr>
        <w:t>对于竞争性比选文件的商务要求，如有任何偏离请如实填写下表：</w:t>
      </w:r>
    </w:p>
    <w:tbl>
      <w:tblPr>
        <w:tblStyle w:val="60"/>
        <w:tblW w:w="947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79252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510" w:type="dxa"/>
            <w:vAlign w:val="center"/>
          </w:tcPr>
          <w:p w14:paraId="4D66EA55">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序号</w:t>
            </w:r>
          </w:p>
        </w:tc>
        <w:tc>
          <w:tcPr>
            <w:tcW w:w="3179" w:type="dxa"/>
            <w:vAlign w:val="center"/>
          </w:tcPr>
          <w:p w14:paraId="365AF85D">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采购项目需求</w:t>
            </w:r>
          </w:p>
        </w:tc>
        <w:tc>
          <w:tcPr>
            <w:tcW w:w="2434" w:type="dxa"/>
            <w:vAlign w:val="center"/>
          </w:tcPr>
          <w:p w14:paraId="0AB4DE59">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响应情况</w:t>
            </w:r>
          </w:p>
        </w:tc>
        <w:tc>
          <w:tcPr>
            <w:tcW w:w="2355" w:type="dxa"/>
            <w:vAlign w:val="center"/>
          </w:tcPr>
          <w:p w14:paraId="3ECAA833">
            <w:pPr>
              <w:tabs>
                <w:tab w:val="left" w:pos="6300"/>
              </w:tabs>
              <w:snapToGrid w:val="0"/>
              <w:spacing w:line="360" w:lineRule="auto"/>
              <w:jc w:val="center"/>
              <w:outlineLvl w:val="0"/>
              <w:rPr>
                <w:rFonts w:ascii="仿宋" w:hAnsi="仿宋" w:eastAsia="仿宋" w:cs="仿宋"/>
                <w:sz w:val="21"/>
                <w:szCs w:val="24"/>
              </w:rPr>
            </w:pPr>
            <w:r>
              <w:rPr>
                <w:rFonts w:hint="eastAsia" w:ascii="仿宋" w:hAnsi="仿宋" w:eastAsia="仿宋" w:cs="仿宋"/>
                <w:sz w:val="21"/>
                <w:szCs w:val="24"/>
              </w:rPr>
              <w:t>差异说明</w:t>
            </w:r>
          </w:p>
        </w:tc>
      </w:tr>
      <w:tr w14:paraId="74CCD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04BEBF3">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442B4242">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5400BFC2">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7145F5EE">
            <w:pPr>
              <w:tabs>
                <w:tab w:val="left" w:pos="6300"/>
              </w:tabs>
              <w:snapToGrid w:val="0"/>
              <w:spacing w:line="360" w:lineRule="auto"/>
              <w:jc w:val="center"/>
              <w:outlineLvl w:val="0"/>
              <w:rPr>
                <w:rFonts w:ascii="仿宋" w:hAnsi="仿宋" w:eastAsia="仿宋" w:cs="仿宋"/>
                <w:sz w:val="21"/>
                <w:szCs w:val="24"/>
              </w:rPr>
            </w:pPr>
          </w:p>
        </w:tc>
      </w:tr>
      <w:tr w14:paraId="6547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D6FFE41">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1A069006">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081408BD">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4B5A61A9">
            <w:pPr>
              <w:tabs>
                <w:tab w:val="left" w:pos="6300"/>
              </w:tabs>
              <w:snapToGrid w:val="0"/>
              <w:spacing w:line="360" w:lineRule="auto"/>
              <w:jc w:val="center"/>
              <w:outlineLvl w:val="0"/>
              <w:rPr>
                <w:rFonts w:ascii="仿宋" w:hAnsi="仿宋" w:eastAsia="仿宋" w:cs="仿宋"/>
                <w:sz w:val="21"/>
                <w:szCs w:val="24"/>
              </w:rPr>
            </w:pPr>
          </w:p>
        </w:tc>
      </w:tr>
      <w:tr w14:paraId="0F862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751A5B22">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59037E12">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60FABAA5">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2BAA842">
            <w:pPr>
              <w:tabs>
                <w:tab w:val="left" w:pos="6300"/>
              </w:tabs>
              <w:snapToGrid w:val="0"/>
              <w:spacing w:line="360" w:lineRule="auto"/>
              <w:jc w:val="center"/>
              <w:outlineLvl w:val="0"/>
              <w:rPr>
                <w:rFonts w:ascii="仿宋" w:hAnsi="仿宋" w:eastAsia="仿宋" w:cs="仿宋"/>
                <w:sz w:val="21"/>
                <w:szCs w:val="24"/>
              </w:rPr>
            </w:pPr>
          </w:p>
        </w:tc>
      </w:tr>
      <w:tr w14:paraId="52D5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08587AD">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6FBA3660">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44159FCF">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01A3D169">
            <w:pPr>
              <w:tabs>
                <w:tab w:val="left" w:pos="6300"/>
              </w:tabs>
              <w:snapToGrid w:val="0"/>
              <w:spacing w:line="360" w:lineRule="auto"/>
              <w:jc w:val="center"/>
              <w:outlineLvl w:val="0"/>
              <w:rPr>
                <w:rFonts w:ascii="仿宋" w:hAnsi="仿宋" w:eastAsia="仿宋" w:cs="仿宋"/>
                <w:sz w:val="21"/>
                <w:szCs w:val="24"/>
              </w:rPr>
            </w:pPr>
          </w:p>
        </w:tc>
      </w:tr>
      <w:tr w14:paraId="6A9E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9140A67">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1BDE45A3">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17FE9C12">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19D90704">
            <w:pPr>
              <w:tabs>
                <w:tab w:val="left" w:pos="6300"/>
              </w:tabs>
              <w:snapToGrid w:val="0"/>
              <w:spacing w:line="360" w:lineRule="auto"/>
              <w:jc w:val="center"/>
              <w:outlineLvl w:val="0"/>
              <w:rPr>
                <w:rFonts w:ascii="仿宋" w:hAnsi="仿宋" w:eastAsia="仿宋" w:cs="仿宋"/>
                <w:sz w:val="21"/>
                <w:szCs w:val="24"/>
              </w:rPr>
            </w:pPr>
          </w:p>
        </w:tc>
      </w:tr>
      <w:tr w14:paraId="7B8A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347F9D33">
            <w:pPr>
              <w:tabs>
                <w:tab w:val="left" w:pos="6300"/>
              </w:tabs>
              <w:snapToGrid w:val="0"/>
              <w:spacing w:line="360" w:lineRule="auto"/>
              <w:jc w:val="center"/>
              <w:outlineLvl w:val="0"/>
              <w:rPr>
                <w:rFonts w:ascii="仿宋" w:hAnsi="仿宋" w:eastAsia="仿宋" w:cs="仿宋"/>
                <w:sz w:val="21"/>
                <w:szCs w:val="24"/>
              </w:rPr>
            </w:pPr>
          </w:p>
        </w:tc>
        <w:tc>
          <w:tcPr>
            <w:tcW w:w="3179" w:type="dxa"/>
            <w:vAlign w:val="center"/>
          </w:tcPr>
          <w:p w14:paraId="533EDEAE">
            <w:pPr>
              <w:tabs>
                <w:tab w:val="left" w:pos="6300"/>
              </w:tabs>
              <w:snapToGrid w:val="0"/>
              <w:spacing w:line="360" w:lineRule="auto"/>
              <w:jc w:val="center"/>
              <w:outlineLvl w:val="0"/>
              <w:rPr>
                <w:rFonts w:ascii="仿宋" w:hAnsi="仿宋" w:eastAsia="仿宋" w:cs="仿宋"/>
                <w:sz w:val="21"/>
                <w:szCs w:val="24"/>
              </w:rPr>
            </w:pPr>
          </w:p>
        </w:tc>
        <w:tc>
          <w:tcPr>
            <w:tcW w:w="2434" w:type="dxa"/>
            <w:vAlign w:val="center"/>
          </w:tcPr>
          <w:p w14:paraId="142389A3">
            <w:pPr>
              <w:tabs>
                <w:tab w:val="left" w:pos="6300"/>
              </w:tabs>
              <w:snapToGrid w:val="0"/>
              <w:spacing w:line="360" w:lineRule="auto"/>
              <w:jc w:val="center"/>
              <w:outlineLvl w:val="0"/>
              <w:rPr>
                <w:rFonts w:ascii="仿宋" w:hAnsi="仿宋" w:eastAsia="仿宋" w:cs="仿宋"/>
                <w:sz w:val="21"/>
                <w:szCs w:val="24"/>
              </w:rPr>
            </w:pPr>
          </w:p>
        </w:tc>
        <w:tc>
          <w:tcPr>
            <w:tcW w:w="2355" w:type="dxa"/>
            <w:vAlign w:val="center"/>
          </w:tcPr>
          <w:p w14:paraId="321A3F75">
            <w:pPr>
              <w:tabs>
                <w:tab w:val="left" w:pos="6300"/>
              </w:tabs>
              <w:snapToGrid w:val="0"/>
              <w:spacing w:line="360" w:lineRule="auto"/>
              <w:jc w:val="center"/>
              <w:outlineLvl w:val="0"/>
              <w:rPr>
                <w:rFonts w:ascii="仿宋" w:hAnsi="仿宋" w:eastAsia="仿宋" w:cs="仿宋"/>
                <w:sz w:val="21"/>
                <w:szCs w:val="24"/>
              </w:rPr>
            </w:pPr>
          </w:p>
        </w:tc>
      </w:tr>
    </w:tbl>
    <w:p w14:paraId="79F05E53">
      <w:pPr>
        <w:snapToGrid w:val="0"/>
        <w:spacing w:line="360" w:lineRule="auto"/>
        <w:ind w:firstLine="465"/>
        <w:rPr>
          <w:rFonts w:ascii="仿宋" w:hAnsi="仿宋" w:eastAsia="仿宋" w:cs="仿宋"/>
          <w:sz w:val="24"/>
          <w:szCs w:val="24"/>
        </w:rPr>
      </w:pPr>
    </w:p>
    <w:p w14:paraId="09C92D86">
      <w:pPr>
        <w:spacing w:line="360" w:lineRule="auto"/>
        <w:ind w:firstLine="600" w:firstLineChars="250"/>
        <w:rPr>
          <w:rFonts w:ascii="仿宋" w:hAnsi="仿宋" w:eastAsia="仿宋" w:cs="仿宋"/>
          <w:sz w:val="24"/>
          <w:szCs w:val="28"/>
        </w:rPr>
      </w:pPr>
      <w:r>
        <w:rPr>
          <w:rFonts w:hint="eastAsia" w:ascii="仿宋" w:hAnsi="仿宋" w:eastAsia="仿宋" w:cs="仿宋"/>
          <w:sz w:val="24"/>
          <w:szCs w:val="28"/>
        </w:rPr>
        <w:t>供应商：                               法定代表人授权代表：</w:t>
      </w:r>
    </w:p>
    <w:p w14:paraId="6F44487E">
      <w:pPr>
        <w:spacing w:line="360" w:lineRule="auto"/>
        <w:rPr>
          <w:rFonts w:ascii="仿宋" w:hAnsi="仿宋" w:eastAsia="仿宋" w:cs="仿宋"/>
          <w:sz w:val="24"/>
          <w:szCs w:val="28"/>
        </w:rPr>
      </w:pPr>
    </w:p>
    <w:p w14:paraId="68DF1BFF">
      <w:pPr>
        <w:spacing w:line="360" w:lineRule="auto"/>
        <w:ind w:firstLine="360" w:firstLineChars="150"/>
        <w:rPr>
          <w:rFonts w:ascii="仿宋" w:hAnsi="仿宋" w:eastAsia="仿宋" w:cs="仿宋"/>
          <w:sz w:val="24"/>
          <w:szCs w:val="28"/>
        </w:rPr>
      </w:pPr>
      <w:r>
        <w:rPr>
          <w:rFonts w:hint="eastAsia" w:ascii="仿宋" w:hAnsi="仿宋" w:eastAsia="仿宋" w:cs="仿宋"/>
          <w:sz w:val="24"/>
          <w:szCs w:val="28"/>
        </w:rPr>
        <w:t>（供应商公章）                            （签字或盖章）</w:t>
      </w:r>
    </w:p>
    <w:p w14:paraId="7C5382BD">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szCs w:val="28"/>
        </w:rPr>
        <w:t>年月日</w:t>
      </w:r>
    </w:p>
    <w:p w14:paraId="6DBACE4A">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注：</w:t>
      </w:r>
    </w:p>
    <w:p w14:paraId="23DD205C">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szCs w:val="24"/>
        </w:rPr>
        <w:t>1.</w:t>
      </w:r>
      <w:r>
        <w:rPr>
          <w:rFonts w:hint="eastAsia" w:ascii="仿宋" w:hAnsi="仿宋" w:eastAsia="仿宋" w:cs="仿宋"/>
          <w:sz w:val="24"/>
        </w:rPr>
        <w:t>本表即为对本项目“第三篇采购项目商务需求”中所列商务要求进行比较和响应；</w:t>
      </w:r>
    </w:p>
    <w:p w14:paraId="57D8CC69">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2.该表必须按照竞争性比选要求逐条如实填写，根据响应情况在“差异说明”项填写正偏离或负偏离及原因，完全符合的填写“无差异”；</w:t>
      </w:r>
    </w:p>
    <w:p w14:paraId="44584352">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3.该表可扩展</w:t>
      </w:r>
      <w:r>
        <w:rPr>
          <w:rFonts w:hint="eastAsia" w:ascii="仿宋" w:hAnsi="仿宋" w:eastAsia="仿宋" w:cs="仿宋"/>
          <w:sz w:val="24"/>
          <w:szCs w:val="28"/>
        </w:rPr>
        <w:t>，并逐页签字或盖章</w:t>
      </w:r>
      <w:r>
        <w:rPr>
          <w:rFonts w:hint="eastAsia" w:ascii="仿宋" w:hAnsi="仿宋" w:eastAsia="仿宋" w:cs="仿宋"/>
          <w:sz w:val="24"/>
        </w:rPr>
        <w:t>。</w:t>
      </w:r>
    </w:p>
    <w:p w14:paraId="67B8F825">
      <w:pPr>
        <w:spacing w:line="360" w:lineRule="auto"/>
        <w:rPr>
          <w:rFonts w:ascii="仿宋" w:hAnsi="仿宋" w:eastAsia="仿宋" w:cs="仿宋"/>
          <w:sz w:val="24"/>
          <w:szCs w:val="24"/>
        </w:rPr>
      </w:pPr>
      <w:r>
        <w:rPr>
          <w:rFonts w:hint="eastAsia" w:ascii="仿宋" w:hAnsi="仿宋" w:eastAsia="仿宋" w:cs="仿宋"/>
        </w:rPr>
        <w:br w:type="page"/>
      </w:r>
      <w:r>
        <w:rPr>
          <w:rFonts w:hint="eastAsia" w:ascii="仿宋" w:hAnsi="仿宋" w:eastAsia="仿宋" w:cs="仿宋"/>
          <w:b/>
          <w:bCs/>
          <w:sz w:val="24"/>
          <w:szCs w:val="24"/>
        </w:rPr>
        <w:t>（二）其它优惠服务承诺（如有）</w:t>
      </w:r>
    </w:p>
    <w:p w14:paraId="7329C51F">
      <w:pPr>
        <w:pStyle w:val="5"/>
        <w:rPr>
          <w:rFonts w:ascii="仿宋" w:hAnsi="仿宋" w:cs="仿宋"/>
          <w:szCs w:val="24"/>
        </w:rPr>
      </w:pPr>
      <w:r>
        <w:rPr>
          <w:rFonts w:hint="eastAsia" w:ascii="仿宋" w:hAnsi="仿宋" w:cs="仿宋"/>
          <w:szCs w:val="24"/>
        </w:rPr>
        <w:br w:type="page"/>
      </w:r>
      <w:bookmarkEnd w:id="697"/>
      <w:bookmarkStart w:id="698" w:name="_Toc13188"/>
      <w:bookmarkStart w:id="699" w:name="_Toc5473"/>
      <w:bookmarkStart w:id="700" w:name="_Toc31203"/>
      <w:bookmarkStart w:id="701" w:name="_Toc1030"/>
      <w:bookmarkStart w:id="702" w:name="_Toc28093"/>
      <w:bookmarkStart w:id="703" w:name="_Toc313008359"/>
      <w:bookmarkStart w:id="704" w:name="_Toc342913422"/>
      <w:bookmarkStart w:id="705" w:name="_Toc17503"/>
      <w:bookmarkStart w:id="706" w:name="_Toc313888363"/>
      <w:bookmarkStart w:id="707" w:name="_Toc24194"/>
      <w:bookmarkStart w:id="708" w:name="_Toc16210"/>
      <w:bookmarkStart w:id="709" w:name="_Toc29945"/>
      <w:r>
        <w:rPr>
          <w:rFonts w:hint="eastAsia"/>
        </w:rPr>
        <w:t>四、资格条件及其他</w:t>
      </w:r>
      <w:bookmarkEnd w:id="698"/>
      <w:bookmarkEnd w:id="699"/>
      <w:bookmarkEnd w:id="700"/>
      <w:bookmarkEnd w:id="701"/>
      <w:bookmarkEnd w:id="702"/>
      <w:bookmarkEnd w:id="703"/>
      <w:bookmarkEnd w:id="704"/>
      <w:bookmarkEnd w:id="705"/>
      <w:bookmarkEnd w:id="706"/>
      <w:bookmarkEnd w:id="707"/>
      <w:bookmarkEnd w:id="708"/>
      <w:bookmarkEnd w:id="709"/>
    </w:p>
    <w:p w14:paraId="199FD592">
      <w:pPr>
        <w:tabs>
          <w:tab w:val="left" w:pos="6300"/>
        </w:tabs>
        <w:snapToGrid w:val="0"/>
        <w:spacing w:line="360" w:lineRule="auto"/>
        <w:rPr>
          <w:rFonts w:ascii="仿宋" w:hAnsi="仿宋" w:eastAsia="仿宋" w:cs="仿宋"/>
          <w:b/>
          <w:bCs/>
          <w:sz w:val="24"/>
          <w:szCs w:val="24"/>
        </w:rPr>
      </w:pPr>
      <w:r>
        <w:rPr>
          <w:rFonts w:hint="eastAsia" w:ascii="仿宋" w:hAnsi="仿宋" w:eastAsia="仿宋" w:cs="仿宋"/>
          <w:b/>
          <w:bCs/>
          <w:sz w:val="24"/>
          <w:szCs w:val="24"/>
        </w:rPr>
        <w:t>（一）法人营业执照（副本）或事业单位法人证书（副本）或个体工商户营业执照或有效的自然人身份证明或社会团体法人登记证书复印件</w:t>
      </w:r>
    </w:p>
    <w:p w14:paraId="6A7D0DE4">
      <w:pPr>
        <w:tabs>
          <w:tab w:val="left" w:pos="6300"/>
        </w:tabs>
        <w:snapToGrid w:val="0"/>
        <w:spacing w:line="360" w:lineRule="auto"/>
        <w:ind w:firstLine="570"/>
        <w:rPr>
          <w:rFonts w:ascii="仿宋" w:hAnsi="仿宋" w:eastAsia="仿宋" w:cs="仿宋"/>
          <w:sz w:val="24"/>
          <w:szCs w:val="24"/>
        </w:rPr>
      </w:pPr>
    </w:p>
    <w:p w14:paraId="4134F0EF">
      <w:pPr>
        <w:tabs>
          <w:tab w:val="left" w:pos="6300"/>
        </w:tabs>
        <w:snapToGrid w:val="0"/>
        <w:spacing w:line="360" w:lineRule="auto"/>
        <w:ind w:firstLine="570"/>
        <w:rPr>
          <w:rFonts w:ascii="仿宋" w:hAnsi="仿宋" w:eastAsia="仿宋" w:cs="仿宋"/>
        </w:rPr>
      </w:pPr>
    </w:p>
    <w:p w14:paraId="4CC1C927">
      <w:pPr>
        <w:tabs>
          <w:tab w:val="left" w:pos="6300"/>
        </w:tabs>
        <w:snapToGrid w:val="0"/>
        <w:spacing w:line="360" w:lineRule="auto"/>
        <w:ind w:firstLine="570"/>
        <w:rPr>
          <w:rFonts w:ascii="仿宋" w:hAnsi="仿宋" w:eastAsia="仿宋" w:cs="仿宋"/>
        </w:rPr>
      </w:pPr>
    </w:p>
    <w:p w14:paraId="6DE54051">
      <w:pPr>
        <w:widowControl/>
        <w:spacing w:line="360" w:lineRule="auto"/>
        <w:jc w:val="left"/>
        <w:rPr>
          <w:rFonts w:ascii="仿宋" w:hAnsi="仿宋" w:eastAsia="仿宋" w:cs="仿宋"/>
        </w:rPr>
      </w:pPr>
      <w:r>
        <w:rPr>
          <w:rFonts w:hint="eastAsia" w:ascii="仿宋" w:hAnsi="仿宋" w:eastAsia="仿宋" w:cs="仿宋"/>
        </w:rPr>
        <w:br w:type="page"/>
      </w:r>
      <w:r>
        <w:rPr>
          <w:rFonts w:hint="eastAsia" w:ascii="仿宋" w:hAnsi="仿宋" w:eastAsia="仿宋" w:cs="仿宋"/>
          <w:b/>
          <w:bCs/>
          <w:sz w:val="24"/>
          <w:szCs w:val="24"/>
        </w:rPr>
        <w:t>（二）法定代表人身份证明书（格式）</w:t>
      </w:r>
    </w:p>
    <w:p w14:paraId="48F0C833">
      <w:pPr>
        <w:tabs>
          <w:tab w:val="left" w:pos="6300"/>
        </w:tabs>
        <w:snapToGrid w:val="0"/>
        <w:spacing w:line="360" w:lineRule="auto"/>
        <w:ind w:firstLine="570"/>
        <w:rPr>
          <w:rFonts w:ascii="仿宋" w:hAnsi="仿宋" w:eastAsia="仿宋" w:cs="仿宋"/>
          <w:sz w:val="24"/>
        </w:rPr>
      </w:pPr>
    </w:p>
    <w:p w14:paraId="73002FF0">
      <w:pPr>
        <w:tabs>
          <w:tab w:val="left" w:pos="6300"/>
        </w:tabs>
        <w:snapToGrid w:val="0"/>
        <w:spacing w:line="360" w:lineRule="auto"/>
        <w:rPr>
          <w:rFonts w:ascii="仿宋" w:hAnsi="仿宋" w:eastAsia="仿宋" w:cs="仿宋"/>
          <w:sz w:val="24"/>
        </w:rPr>
      </w:pPr>
      <w:r>
        <w:rPr>
          <w:rFonts w:hint="eastAsia" w:ascii="仿宋" w:hAnsi="仿宋" w:eastAsia="仿宋" w:cs="仿宋"/>
          <w:sz w:val="24"/>
        </w:rPr>
        <w:t>招标项目名称：</w:t>
      </w:r>
      <w:r>
        <w:rPr>
          <w:rFonts w:hint="eastAsia" w:ascii="仿宋" w:hAnsi="仿宋" w:eastAsia="仿宋" w:cs="仿宋"/>
          <w:sz w:val="24"/>
          <w:u w:val="single"/>
        </w:rPr>
        <w:t xml:space="preserve">                       </w:t>
      </w:r>
    </w:p>
    <w:p w14:paraId="218729DD">
      <w:pPr>
        <w:tabs>
          <w:tab w:val="left" w:pos="6300"/>
        </w:tabs>
        <w:snapToGrid w:val="0"/>
        <w:spacing w:line="360" w:lineRule="auto"/>
        <w:rPr>
          <w:rFonts w:ascii="仿宋" w:hAnsi="仿宋" w:eastAsia="仿宋" w:cs="仿宋"/>
          <w:sz w:val="24"/>
        </w:rPr>
      </w:pPr>
    </w:p>
    <w:p w14:paraId="008A35C4">
      <w:pPr>
        <w:tabs>
          <w:tab w:val="left" w:pos="6300"/>
        </w:tabs>
        <w:snapToGrid w:val="0"/>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 xml:space="preserve">                     </w:t>
      </w:r>
      <w:r>
        <w:rPr>
          <w:rFonts w:hint="eastAsia" w:ascii="仿宋" w:hAnsi="仿宋" w:eastAsia="仿宋" w:cs="仿宋"/>
          <w:sz w:val="24"/>
        </w:rPr>
        <w:t>（比选代理机构名称）：</w:t>
      </w:r>
    </w:p>
    <w:p w14:paraId="003A97C6">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（法定代表人姓名）在</w:t>
      </w:r>
      <w:r>
        <w:rPr>
          <w:rFonts w:hint="eastAsia" w:ascii="仿宋" w:hAnsi="仿宋" w:eastAsia="仿宋" w:cs="仿宋"/>
          <w:sz w:val="24"/>
          <w:u w:val="single"/>
        </w:rPr>
        <w:t xml:space="preserve">                       </w:t>
      </w:r>
      <w:r>
        <w:rPr>
          <w:rFonts w:hint="eastAsia" w:ascii="仿宋" w:hAnsi="仿宋" w:eastAsia="仿宋" w:cs="仿宋"/>
          <w:sz w:val="24"/>
        </w:rPr>
        <w:t>（供应商名称）任</w:t>
      </w:r>
      <w:r>
        <w:rPr>
          <w:rFonts w:hint="eastAsia" w:ascii="仿宋" w:hAnsi="仿宋" w:eastAsia="仿宋" w:cs="仿宋"/>
          <w:sz w:val="24"/>
          <w:u w:val="single"/>
        </w:rPr>
        <w:t xml:space="preserve">    </w:t>
      </w:r>
      <w:r>
        <w:rPr>
          <w:rFonts w:hint="eastAsia" w:ascii="仿宋" w:hAnsi="仿宋" w:eastAsia="仿宋" w:cs="仿宋"/>
          <w:sz w:val="24"/>
        </w:rPr>
        <w:t>（职务名称）职务，是（供应商名称）</w:t>
      </w:r>
      <w:r>
        <w:rPr>
          <w:rFonts w:hint="eastAsia" w:ascii="仿宋" w:hAnsi="仿宋" w:eastAsia="仿宋" w:cs="仿宋"/>
          <w:sz w:val="24"/>
          <w:u w:val="single"/>
        </w:rPr>
        <w:t xml:space="preserve">              </w:t>
      </w:r>
      <w:r>
        <w:rPr>
          <w:rFonts w:hint="eastAsia" w:ascii="仿宋" w:hAnsi="仿宋" w:eastAsia="仿宋" w:cs="仿宋"/>
          <w:sz w:val="24"/>
        </w:rPr>
        <w:t>的法定代表人。</w:t>
      </w:r>
    </w:p>
    <w:p w14:paraId="21802B23">
      <w:pPr>
        <w:tabs>
          <w:tab w:val="left" w:pos="6300"/>
        </w:tabs>
        <w:snapToGrid w:val="0"/>
        <w:spacing w:line="360" w:lineRule="auto"/>
        <w:ind w:firstLine="570"/>
        <w:rPr>
          <w:rFonts w:ascii="仿宋" w:hAnsi="仿宋" w:eastAsia="仿宋" w:cs="仿宋"/>
          <w:sz w:val="24"/>
        </w:rPr>
      </w:pPr>
    </w:p>
    <w:p w14:paraId="3B2EDDDB">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特此证明。</w:t>
      </w:r>
    </w:p>
    <w:p w14:paraId="07A166D7">
      <w:pPr>
        <w:tabs>
          <w:tab w:val="left" w:pos="6300"/>
        </w:tabs>
        <w:snapToGrid w:val="0"/>
        <w:spacing w:line="360" w:lineRule="auto"/>
        <w:ind w:firstLine="570"/>
        <w:rPr>
          <w:rFonts w:ascii="仿宋" w:hAnsi="仿宋" w:eastAsia="仿宋" w:cs="仿宋"/>
          <w:sz w:val="24"/>
        </w:rPr>
      </w:pPr>
    </w:p>
    <w:p w14:paraId="5604D8C9">
      <w:pPr>
        <w:tabs>
          <w:tab w:val="left" w:pos="6300"/>
        </w:tabs>
        <w:snapToGrid w:val="0"/>
        <w:spacing w:line="360" w:lineRule="auto"/>
        <w:ind w:firstLine="570"/>
        <w:rPr>
          <w:rFonts w:ascii="仿宋" w:hAnsi="仿宋" w:eastAsia="仿宋" w:cs="仿宋"/>
          <w:sz w:val="24"/>
        </w:rPr>
      </w:pPr>
    </w:p>
    <w:p w14:paraId="791B7898">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 xml:space="preserve">                                             供应商：</w:t>
      </w:r>
    </w:p>
    <w:p w14:paraId="3ECA2858">
      <w:pPr>
        <w:tabs>
          <w:tab w:val="left" w:pos="6300"/>
        </w:tabs>
        <w:snapToGrid w:val="0"/>
        <w:spacing w:line="360" w:lineRule="auto"/>
        <w:ind w:firstLine="5848" w:firstLineChars="2437"/>
        <w:rPr>
          <w:rFonts w:ascii="仿宋" w:hAnsi="仿宋" w:eastAsia="仿宋" w:cs="仿宋"/>
          <w:sz w:val="24"/>
        </w:rPr>
      </w:pPr>
      <w:r>
        <w:rPr>
          <w:rFonts w:hint="eastAsia" w:ascii="仿宋" w:hAnsi="仿宋" w:eastAsia="仿宋" w:cs="仿宋"/>
          <w:sz w:val="24"/>
        </w:rPr>
        <w:t>（供应商公章）</w:t>
      </w:r>
    </w:p>
    <w:p w14:paraId="5275716A">
      <w:pPr>
        <w:tabs>
          <w:tab w:val="left" w:pos="6300"/>
        </w:tabs>
        <w:snapToGrid w:val="0"/>
        <w:spacing w:line="360" w:lineRule="auto"/>
        <w:ind w:firstLine="570"/>
        <w:rPr>
          <w:rFonts w:ascii="仿宋" w:hAnsi="仿宋" w:eastAsia="仿宋" w:cs="仿宋"/>
          <w:sz w:val="24"/>
        </w:rPr>
      </w:pPr>
    </w:p>
    <w:p w14:paraId="1A1E79C9">
      <w:pPr>
        <w:tabs>
          <w:tab w:val="left" w:pos="6300"/>
        </w:tabs>
        <w:snapToGrid w:val="0"/>
        <w:spacing w:line="360" w:lineRule="auto"/>
        <w:ind w:firstLine="570"/>
        <w:rPr>
          <w:rFonts w:ascii="仿宋" w:hAnsi="仿宋" w:eastAsia="仿宋" w:cs="仿宋"/>
          <w:sz w:val="24"/>
        </w:rPr>
      </w:pPr>
    </w:p>
    <w:p w14:paraId="6FAE8AA1">
      <w:pPr>
        <w:tabs>
          <w:tab w:val="left" w:pos="6300"/>
        </w:tabs>
        <w:snapToGrid w:val="0"/>
        <w:spacing w:line="360" w:lineRule="auto"/>
        <w:ind w:firstLine="570"/>
        <w:rPr>
          <w:rFonts w:ascii="仿宋" w:hAnsi="仿宋" w:eastAsia="仿宋" w:cs="仿宋"/>
          <w:sz w:val="24"/>
          <w:szCs w:val="22"/>
        </w:rPr>
      </w:pPr>
      <w:r>
        <w:rPr>
          <w:rFonts w:hint="eastAsia" w:ascii="仿宋" w:hAnsi="仿宋" w:eastAsia="仿宋" w:cs="仿宋"/>
          <w:sz w:val="24"/>
          <w:szCs w:val="22"/>
        </w:rPr>
        <w:t>法定代表人电话：XXXXXXX      电子邮箱：XXXXXX@XXXXX（若授权他人办理并签署响应文件的可不填写）</w:t>
      </w:r>
    </w:p>
    <w:p w14:paraId="6F12C9C5">
      <w:pPr>
        <w:tabs>
          <w:tab w:val="left" w:pos="6300"/>
        </w:tabs>
        <w:snapToGrid w:val="0"/>
        <w:spacing w:line="360" w:lineRule="auto"/>
        <w:ind w:firstLine="570"/>
        <w:rPr>
          <w:rFonts w:ascii="仿宋" w:hAnsi="仿宋" w:eastAsia="仿宋" w:cs="仿宋"/>
          <w:sz w:val="24"/>
        </w:rPr>
      </w:pPr>
    </w:p>
    <w:p w14:paraId="187C2711">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（附：法定代表人身份证正反面复印件）</w:t>
      </w:r>
    </w:p>
    <w:p w14:paraId="366F198F">
      <w:pPr>
        <w:tabs>
          <w:tab w:val="left" w:pos="6300"/>
        </w:tabs>
        <w:snapToGrid w:val="0"/>
        <w:spacing w:line="360" w:lineRule="auto"/>
        <w:ind w:firstLine="570"/>
        <w:rPr>
          <w:rFonts w:ascii="仿宋" w:hAnsi="仿宋" w:eastAsia="仿宋" w:cs="仿宋"/>
          <w:sz w:val="24"/>
        </w:rPr>
      </w:pPr>
    </w:p>
    <w:p w14:paraId="67056506">
      <w:pPr>
        <w:tabs>
          <w:tab w:val="left" w:pos="6300"/>
        </w:tabs>
        <w:snapToGrid w:val="0"/>
        <w:spacing w:line="360" w:lineRule="auto"/>
        <w:ind w:firstLine="570"/>
        <w:rPr>
          <w:rFonts w:ascii="仿宋" w:hAnsi="仿宋" w:eastAsia="仿宋" w:cs="仿宋"/>
          <w:sz w:val="24"/>
        </w:rPr>
      </w:pPr>
    </w:p>
    <w:p w14:paraId="75AF9EDC">
      <w:pPr>
        <w:tabs>
          <w:tab w:val="left" w:pos="6300"/>
        </w:tabs>
        <w:snapToGrid w:val="0"/>
        <w:spacing w:line="360" w:lineRule="auto"/>
        <w:ind w:firstLine="570"/>
        <w:rPr>
          <w:rFonts w:ascii="仿宋" w:hAnsi="仿宋" w:eastAsia="仿宋" w:cs="仿宋"/>
          <w:sz w:val="24"/>
        </w:rPr>
      </w:pPr>
    </w:p>
    <w:p w14:paraId="175F28E7">
      <w:pPr>
        <w:tabs>
          <w:tab w:val="left" w:pos="6300"/>
        </w:tabs>
        <w:snapToGrid w:val="0"/>
        <w:spacing w:line="360" w:lineRule="auto"/>
        <w:ind w:firstLine="570"/>
        <w:rPr>
          <w:rFonts w:ascii="仿宋" w:hAnsi="仿宋" w:eastAsia="仿宋" w:cs="仿宋"/>
          <w:sz w:val="24"/>
        </w:rPr>
      </w:pPr>
    </w:p>
    <w:p w14:paraId="68527E5F">
      <w:pPr>
        <w:tabs>
          <w:tab w:val="left" w:pos="6300"/>
        </w:tabs>
        <w:snapToGrid w:val="0"/>
        <w:spacing w:line="360" w:lineRule="auto"/>
        <w:ind w:firstLine="570"/>
        <w:rPr>
          <w:rFonts w:ascii="仿宋" w:hAnsi="仿宋" w:eastAsia="仿宋" w:cs="仿宋"/>
          <w:sz w:val="24"/>
        </w:rPr>
      </w:pPr>
    </w:p>
    <w:p w14:paraId="58443725">
      <w:pPr>
        <w:tabs>
          <w:tab w:val="left" w:pos="6300"/>
        </w:tabs>
        <w:snapToGrid w:val="0"/>
        <w:spacing w:line="360" w:lineRule="auto"/>
        <w:ind w:firstLine="570"/>
        <w:rPr>
          <w:rFonts w:ascii="仿宋" w:hAnsi="仿宋" w:eastAsia="仿宋" w:cs="仿宋"/>
          <w:sz w:val="24"/>
        </w:rPr>
      </w:pPr>
    </w:p>
    <w:p w14:paraId="2039E80F">
      <w:pPr>
        <w:tabs>
          <w:tab w:val="left" w:pos="6300"/>
        </w:tabs>
        <w:snapToGrid w:val="0"/>
        <w:spacing w:line="360" w:lineRule="auto"/>
        <w:ind w:firstLine="570"/>
        <w:rPr>
          <w:rFonts w:ascii="仿宋" w:hAnsi="仿宋" w:eastAsia="仿宋" w:cs="仿宋"/>
          <w:sz w:val="24"/>
        </w:rPr>
      </w:pPr>
    </w:p>
    <w:p w14:paraId="5A4B3DF1">
      <w:pPr>
        <w:tabs>
          <w:tab w:val="left" w:pos="6300"/>
        </w:tabs>
        <w:snapToGrid w:val="0"/>
        <w:spacing w:line="360" w:lineRule="auto"/>
        <w:ind w:firstLine="570"/>
        <w:rPr>
          <w:rFonts w:ascii="仿宋" w:hAnsi="仿宋" w:eastAsia="仿宋" w:cs="仿宋"/>
          <w:sz w:val="24"/>
        </w:rPr>
      </w:pPr>
    </w:p>
    <w:p w14:paraId="18E56C59">
      <w:pPr>
        <w:tabs>
          <w:tab w:val="left" w:pos="6300"/>
        </w:tabs>
        <w:snapToGrid w:val="0"/>
        <w:spacing w:line="360" w:lineRule="auto"/>
        <w:rPr>
          <w:rFonts w:ascii="仿宋" w:hAnsi="仿宋" w:eastAsia="仿宋" w:cs="仿宋"/>
        </w:rPr>
      </w:pPr>
      <w:r>
        <w:rPr>
          <w:rFonts w:hint="eastAsia" w:ascii="仿宋" w:hAnsi="仿宋" w:eastAsia="仿宋" w:cs="仿宋"/>
        </w:rPr>
        <w:br w:type="column"/>
      </w:r>
      <w:r>
        <w:rPr>
          <w:rFonts w:hint="eastAsia" w:ascii="仿宋" w:hAnsi="仿宋" w:eastAsia="仿宋" w:cs="仿宋"/>
          <w:b/>
          <w:bCs/>
          <w:sz w:val="24"/>
          <w:szCs w:val="24"/>
        </w:rPr>
        <w:t>（三）法定代表人授权委托书（格式）</w:t>
      </w:r>
    </w:p>
    <w:p w14:paraId="2F2D212C">
      <w:pPr>
        <w:tabs>
          <w:tab w:val="left" w:pos="6300"/>
        </w:tabs>
        <w:snapToGrid w:val="0"/>
        <w:spacing w:line="360" w:lineRule="auto"/>
        <w:ind w:firstLine="570"/>
        <w:rPr>
          <w:rFonts w:ascii="仿宋" w:hAnsi="仿宋" w:eastAsia="仿宋" w:cs="仿宋"/>
          <w:sz w:val="24"/>
        </w:rPr>
      </w:pPr>
    </w:p>
    <w:p w14:paraId="4BFA2AA0">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szCs w:val="28"/>
        </w:rPr>
        <w:t>招标项目名称</w:t>
      </w:r>
      <w:r>
        <w:rPr>
          <w:rFonts w:hint="eastAsia" w:ascii="仿宋" w:hAnsi="仿宋" w:eastAsia="仿宋" w:cs="仿宋"/>
          <w:sz w:val="24"/>
        </w:rPr>
        <w:t>：</w:t>
      </w:r>
      <w:r>
        <w:rPr>
          <w:rFonts w:hint="eastAsia" w:ascii="仿宋" w:hAnsi="仿宋" w:eastAsia="仿宋" w:cs="仿宋"/>
          <w:sz w:val="24"/>
          <w:u w:val="single"/>
        </w:rPr>
        <w:t xml:space="preserve">                             </w:t>
      </w:r>
    </w:p>
    <w:p w14:paraId="71A3D0E2">
      <w:pPr>
        <w:tabs>
          <w:tab w:val="left" w:pos="6300"/>
        </w:tabs>
        <w:snapToGrid w:val="0"/>
        <w:spacing w:line="360" w:lineRule="auto"/>
        <w:ind w:firstLine="570"/>
        <w:rPr>
          <w:rFonts w:ascii="仿宋" w:hAnsi="仿宋" w:eastAsia="仿宋" w:cs="仿宋"/>
          <w:sz w:val="24"/>
        </w:rPr>
      </w:pPr>
    </w:p>
    <w:p w14:paraId="51E33629">
      <w:pPr>
        <w:tabs>
          <w:tab w:val="left" w:pos="6300"/>
        </w:tabs>
        <w:snapToGrid w:val="0"/>
        <w:spacing w:line="360" w:lineRule="auto"/>
        <w:rPr>
          <w:rFonts w:ascii="仿宋" w:hAnsi="仿宋" w:eastAsia="仿宋" w:cs="仿宋"/>
          <w:sz w:val="24"/>
        </w:rPr>
      </w:pPr>
      <w:r>
        <w:rPr>
          <w:rFonts w:hint="eastAsia" w:ascii="仿宋" w:hAnsi="仿宋" w:eastAsia="仿宋" w:cs="仿宋"/>
          <w:sz w:val="24"/>
        </w:rPr>
        <w:t>致：</w:t>
      </w:r>
      <w:r>
        <w:rPr>
          <w:rFonts w:hint="eastAsia" w:ascii="仿宋" w:hAnsi="仿宋" w:eastAsia="仿宋" w:cs="仿宋"/>
          <w:sz w:val="24"/>
          <w:u w:val="single"/>
        </w:rPr>
        <w:t xml:space="preserve">                     </w:t>
      </w:r>
      <w:r>
        <w:rPr>
          <w:rFonts w:hint="eastAsia" w:ascii="仿宋" w:hAnsi="仿宋" w:eastAsia="仿宋" w:cs="仿宋"/>
          <w:sz w:val="24"/>
        </w:rPr>
        <w:t>（比选代理机构名称）：</w:t>
      </w:r>
    </w:p>
    <w:p w14:paraId="5BEED837">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（供应商法定代表人名称）是</w:t>
      </w:r>
      <w:r>
        <w:rPr>
          <w:rFonts w:hint="eastAsia" w:ascii="仿宋" w:hAnsi="仿宋" w:eastAsia="仿宋" w:cs="仿宋"/>
          <w:sz w:val="24"/>
          <w:u w:val="single"/>
        </w:rPr>
        <w:t xml:space="preserve">                    </w:t>
      </w:r>
      <w:r>
        <w:rPr>
          <w:rFonts w:hint="eastAsia" w:ascii="仿宋" w:hAnsi="仿宋" w:eastAsia="仿宋" w:cs="仿宋"/>
          <w:sz w:val="24"/>
        </w:rPr>
        <w:t>（供应商名称）的法定代表人，特授权</w:t>
      </w:r>
      <w:r>
        <w:rPr>
          <w:rFonts w:hint="eastAsia" w:ascii="仿宋" w:hAnsi="仿宋" w:eastAsia="仿宋" w:cs="仿宋"/>
          <w:sz w:val="24"/>
          <w:u w:val="single"/>
        </w:rPr>
        <w:t xml:space="preserve">          </w:t>
      </w:r>
      <w:r>
        <w:rPr>
          <w:rFonts w:hint="eastAsia" w:ascii="仿宋" w:hAnsi="仿宋" w:eastAsia="仿宋" w:cs="仿宋"/>
          <w:sz w:val="24"/>
        </w:rPr>
        <w:t>（被授权人姓名及身份证代码）代表我单位全权办理上述项目的询价、谈判、签约等具体工作，并签署全部有关文件、协议及合同。</w:t>
      </w:r>
    </w:p>
    <w:p w14:paraId="0752E27F">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我单位对被授权人的签署负全部责任。</w:t>
      </w:r>
    </w:p>
    <w:p w14:paraId="77B35BDB">
      <w:pPr>
        <w:tabs>
          <w:tab w:val="left" w:pos="6300"/>
        </w:tabs>
        <w:snapToGrid w:val="0"/>
        <w:spacing w:line="360" w:lineRule="auto"/>
        <w:ind w:firstLine="480" w:firstLineChars="200"/>
        <w:rPr>
          <w:rFonts w:ascii="仿宋" w:hAnsi="仿宋" w:eastAsia="仿宋" w:cs="仿宋"/>
          <w:sz w:val="24"/>
        </w:rPr>
      </w:pPr>
      <w:r>
        <w:rPr>
          <w:rFonts w:hint="eastAsia" w:ascii="仿宋" w:hAnsi="仿宋" w:eastAsia="仿宋" w:cs="仿宋"/>
          <w:sz w:val="24"/>
        </w:rPr>
        <w:t>在撤消授权的书面通知以前，本授权书一直有效。被授权人在授权书有效期内签署的所有文件不因授权的撤消而失效。</w:t>
      </w:r>
    </w:p>
    <w:p w14:paraId="3BCB02A1">
      <w:pPr>
        <w:tabs>
          <w:tab w:val="left" w:pos="6300"/>
        </w:tabs>
        <w:snapToGrid w:val="0"/>
        <w:spacing w:line="360" w:lineRule="auto"/>
        <w:ind w:firstLine="570"/>
        <w:rPr>
          <w:rFonts w:ascii="仿宋" w:hAnsi="仿宋" w:eastAsia="仿宋" w:cs="仿宋"/>
          <w:sz w:val="24"/>
        </w:rPr>
      </w:pPr>
    </w:p>
    <w:p w14:paraId="36218146">
      <w:pPr>
        <w:tabs>
          <w:tab w:val="left" w:pos="6300"/>
        </w:tabs>
        <w:snapToGrid w:val="0"/>
        <w:spacing w:line="360" w:lineRule="auto"/>
        <w:ind w:firstLine="570"/>
        <w:rPr>
          <w:rFonts w:ascii="仿宋" w:hAnsi="仿宋" w:eastAsia="仿宋" w:cs="仿宋"/>
          <w:sz w:val="24"/>
        </w:rPr>
      </w:pPr>
    </w:p>
    <w:p w14:paraId="057151EF">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被授权人：                                 供应商法定代表人：</w:t>
      </w:r>
    </w:p>
    <w:p w14:paraId="57558EFA">
      <w:pPr>
        <w:tabs>
          <w:tab w:val="left" w:pos="6300"/>
        </w:tabs>
        <w:snapToGrid w:val="0"/>
        <w:spacing w:line="360" w:lineRule="auto"/>
        <w:ind w:firstLine="570"/>
        <w:rPr>
          <w:rFonts w:ascii="仿宋" w:hAnsi="仿宋" w:eastAsia="仿宋" w:cs="仿宋"/>
          <w:sz w:val="24"/>
          <w:szCs w:val="28"/>
        </w:rPr>
      </w:pPr>
      <w:r>
        <w:rPr>
          <w:rFonts w:hint="eastAsia" w:ascii="仿宋" w:hAnsi="仿宋" w:eastAsia="仿宋" w:cs="仿宋"/>
          <w:sz w:val="24"/>
          <w:szCs w:val="28"/>
        </w:rPr>
        <w:t>（签署或盖章）                                （签署或盖章）</w:t>
      </w:r>
    </w:p>
    <w:p w14:paraId="567AAB53">
      <w:pPr>
        <w:tabs>
          <w:tab w:val="left" w:pos="6300"/>
        </w:tabs>
        <w:snapToGrid w:val="0"/>
        <w:spacing w:line="360" w:lineRule="auto"/>
        <w:ind w:firstLine="570"/>
        <w:rPr>
          <w:rFonts w:ascii="仿宋" w:hAnsi="仿宋" w:eastAsia="仿宋" w:cs="仿宋"/>
          <w:sz w:val="24"/>
          <w:szCs w:val="28"/>
        </w:rPr>
      </w:pPr>
    </w:p>
    <w:p w14:paraId="33D14CEB">
      <w:pPr>
        <w:tabs>
          <w:tab w:val="left" w:pos="6300"/>
        </w:tabs>
        <w:snapToGrid w:val="0"/>
        <w:spacing w:line="360" w:lineRule="auto"/>
        <w:ind w:firstLine="570"/>
        <w:rPr>
          <w:rFonts w:ascii="仿宋" w:hAnsi="仿宋" w:eastAsia="仿宋" w:cs="仿宋"/>
          <w:sz w:val="24"/>
        </w:rPr>
      </w:pPr>
    </w:p>
    <w:p w14:paraId="5FBAC11F">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（附：被授权人身份证正反面复印件）</w:t>
      </w:r>
    </w:p>
    <w:p w14:paraId="527154A5">
      <w:pPr>
        <w:tabs>
          <w:tab w:val="left" w:pos="6300"/>
        </w:tabs>
        <w:snapToGrid w:val="0"/>
        <w:spacing w:line="360" w:lineRule="auto"/>
        <w:ind w:firstLine="570"/>
        <w:rPr>
          <w:rFonts w:ascii="仿宋" w:hAnsi="仿宋" w:eastAsia="仿宋" w:cs="仿宋"/>
          <w:sz w:val="24"/>
        </w:rPr>
      </w:pPr>
      <w:r>
        <w:rPr>
          <w:rFonts w:hint="eastAsia" w:ascii="仿宋" w:hAnsi="仿宋" w:eastAsia="仿宋" w:cs="仿宋"/>
          <w:sz w:val="24"/>
        </w:rPr>
        <w:t xml:space="preserve">                                          </w:t>
      </w:r>
    </w:p>
    <w:p w14:paraId="38C24EE6">
      <w:pPr>
        <w:tabs>
          <w:tab w:val="left" w:pos="6300"/>
        </w:tabs>
        <w:snapToGrid w:val="0"/>
        <w:spacing w:line="360" w:lineRule="auto"/>
        <w:ind w:firstLine="570"/>
        <w:rPr>
          <w:rFonts w:ascii="仿宋" w:hAnsi="仿宋" w:eastAsia="仿宋" w:cs="仿宋"/>
          <w:sz w:val="24"/>
        </w:rPr>
      </w:pPr>
    </w:p>
    <w:p w14:paraId="2EA23D34">
      <w:pPr>
        <w:tabs>
          <w:tab w:val="left" w:pos="6300"/>
        </w:tabs>
        <w:snapToGrid w:val="0"/>
        <w:spacing w:line="360" w:lineRule="auto"/>
        <w:ind w:right="480" w:firstLine="570"/>
        <w:jc w:val="right"/>
        <w:rPr>
          <w:rFonts w:ascii="仿宋" w:hAnsi="仿宋" w:eastAsia="仿宋" w:cs="仿宋"/>
          <w:sz w:val="24"/>
        </w:rPr>
      </w:pPr>
      <w:r>
        <w:rPr>
          <w:rFonts w:hint="eastAsia" w:ascii="仿宋" w:hAnsi="仿宋" w:eastAsia="仿宋" w:cs="仿宋"/>
          <w:sz w:val="24"/>
        </w:rPr>
        <w:t>（供应商公章）</w:t>
      </w:r>
    </w:p>
    <w:p w14:paraId="284B8C04">
      <w:pPr>
        <w:tabs>
          <w:tab w:val="left" w:pos="6300"/>
        </w:tabs>
        <w:snapToGrid w:val="0"/>
        <w:spacing w:line="360" w:lineRule="auto"/>
        <w:ind w:right="480" w:firstLine="570"/>
        <w:jc w:val="right"/>
        <w:rPr>
          <w:rFonts w:ascii="仿宋" w:hAnsi="仿宋" w:eastAsia="仿宋" w:cs="仿宋"/>
          <w:sz w:val="24"/>
        </w:rPr>
      </w:pPr>
      <w:r>
        <w:rPr>
          <w:rFonts w:hint="eastAsia" w:ascii="仿宋" w:hAnsi="仿宋" w:eastAsia="仿宋" w:cs="仿宋"/>
          <w:sz w:val="24"/>
        </w:rPr>
        <w:t>年   月   日</w:t>
      </w:r>
    </w:p>
    <w:p w14:paraId="73A3E981">
      <w:pPr>
        <w:tabs>
          <w:tab w:val="left" w:pos="6300"/>
        </w:tabs>
        <w:snapToGrid w:val="0"/>
        <w:spacing w:line="360" w:lineRule="auto"/>
        <w:ind w:right="720" w:firstLine="570"/>
        <w:jc w:val="right"/>
        <w:rPr>
          <w:rFonts w:ascii="仿宋" w:hAnsi="仿宋" w:eastAsia="仿宋" w:cs="仿宋"/>
          <w:sz w:val="24"/>
        </w:rPr>
      </w:pPr>
    </w:p>
    <w:p w14:paraId="7A068B36">
      <w:pPr>
        <w:tabs>
          <w:tab w:val="left" w:pos="6300"/>
        </w:tabs>
        <w:snapToGrid w:val="0"/>
        <w:spacing w:line="360" w:lineRule="auto"/>
        <w:ind w:right="480" w:firstLine="570"/>
        <w:jc w:val="left"/>
        <w:rPr>
          <w:rFonts w:ascii="仿宋" w:hAnsi="仿宋" w:eastAsia="仿宋" w:cs="仿宋"/>
          <w:sz w:val="24"/>
        </w:rPr>
      </w:pPr>
      <w:r>
        <w:rPr>
          <w:rFonts w:hint="eastAsia" w:ascii="仿宋" w:hAnsi="仿宋" w:eastAsia="仿宋" w:cs="仿宋"/>
          <w:sz w:val="24"/>
        </w:rPr>
        <w:t>被授权人电话：XXXXXXX     电子邮箱：XXXXXX@XXXXX（若法定代表人办理并签署响应文件的可不填写）</w:t>
      </w:r>
    </w:p>
    <w:p w14:paraId="687DE82B">
      <w:pPr>
        <w:tabs>
          <w:tab w:val="left" w:pos="6300"/>
        </w:tabs>
        <w:snapToGrid w:val="0"/>
        <w:spacing w:line="360" w:lineRule="auto"/>
        <w:ind w:right="480" w:firstLine="570"/>
        <w:jc w:val="left"/>
        <w:rPr>
          <w:rFonts w:ascii="仿宋" w:hAnsi="仿宋" w:eastAsia="仿宋" w:cs="仿宋"/>
          <w:sz w:val="24"/>
        </w:rPr>
      </w:pPr>
      <w:r>
        <w:rPr>
          <w:rFonts w:hint="eastAsia" w:ascii="仿宋" w:hAnsi="仿宋" w:eastAsia="仿宋" w:cs="仿宋"/>
          <w:sz w:val="24"/>
        </w:rPr>
        <w:t>注：</w:t>
      </w:r>
    </w:p>
    <w:p w14:paraId="41ADE49E">
      <w:pPr>
        <w:tabs>
          <w:tab w:val="left" w:pos="6300"/>
        </w:tabs>
        <w:snapToGrid w:val="0"/>
        <w:spacing w:line="360" w:lineRule="auto"/>
        <w:ind w:right="480" w:firstLine="570"/>
        <w:jc w:val="left"/>
        <w:rPr>
          <w:rFonts w:ascii="仿宋" w:hAnsi="仿宋" w:eastAsia="仿宋" w:cs="仿宋"/>
          <w:sz w:val="24"/>
        </w:rPr>
      </w:pPr>
      <w:r>
        <w:rPr>
          <w:rFonts w:hint="eastAsia" w:ascii="仿宋" w:hAnsi="仿宋" w:eastAsia="仿宋" w:cs="仿宋"/>
          <w:sz w:val="24"/>
        </w:rPr>
        <w:t>1.若为法定代表人办理并签署响应文件的，不提供此文件。</w:t>
      </w:r>
    </w:p>
    <w:p w14:paraId="3131B4CB">
      <w:pPr>
        <w:tabs>
          <w:tab w:val="left" w:pos="6300"/>
        </w:tabs>
        <w:snapToGrid w:val="0"/>
        <w:spacing w:line="360" w:lineRule="auto"/>
        <w:ind w:right="480" w:firstLine="570"/>
        <w:jc w:val="left"/>
        <w:rPr>
          <w:rFonts w:ascii="仿宋" w:hAnsi="仿宋" w:eastAsia="仿宋" w:cs="仿宋"/>
          <w:sz w:val="24"/>
        </w:rPr>
      </w:pPr>
      <w:r>
        <w:rPr>
          <w:rFonts w:hint="eastAsia" w:ascii="仿宋" w:hAnsi="仿宋" w:eastAsia="仿宋" w:cs="仿宋"/>
          <w:sz w:val="24"/>
        </w:rPr>
        <w:t>2.若为联合体询价的，法定代表人授权委托书由联合体主办方</w:t>
      </w:r>
      <w:r>
        <w:rPr>
          <w:rFonts w:hint="eastAsia" w:ascii="仿宋" w:hAnsi="仿宋" w:eastAsia="仿宋" w:cs="仿宋"/>
          <w:kern w:val="0"/>
          <w:sz w:val="24"/>
          <w:szCs w:val="24"/>
        </w:rPr>
        <w:t>（主体）</w:t>
      </w:r>
      <w:r>
        <w:rPr>
          <w:rFonts w:hint="eastAsia" w:ascii="仿宋" w:hAnsi="仿宋" w:eastAsia="仿宋" w:cs="仿宋"/>
          <w:sz w:val="24"/>
        </w:rPr>
        <w:t>出具。</w:t>
      </w:r>
    </w:p>
    <w:p w14:paraId="5E466FDF">
      <w:pPr>
        <w:tabs>
          <w:tab w:val="left" w:pos="6300"/>
        </w:tabs>
        <w:snapToGrid w:val="0"/>
        <w:spacing w:line="360" w:lineRule="auto"/>
        <w:ind w:right="480" w:firstLine="570"/>
        <w:jc w:val="right"/>
        <w:rPr>
          <w:rFonts w:ascii="仿宋" w:hAnsi="仿宋" w:eastAsia="仿宋" w:cs="仿宋"/>
          <w:sz w:val="24"/>
        </w:rPr>
      </w:pPr>
    </w:p>
    <w:p w14:paraId="04883DEB">
      <w:pPr>
        <w:tabs>
          <w:tab w:val="left" w:pos="6300"/>
        </w:tabs>
        <w:snapToGrid w:val="0"/>
        <w:spacing w:line="360" w:lineRule="auto"/>
        <w:rPr>
          <w:rFonts w:ascii="仿宋" w:hAnsi="仿宋" w:eastAsia="仿宋" w:cs="仿宋"/>
          <w:sz w:val="24"/>
          <w:szCs w:val="24"/>
        </w:rPr>
      </w:pPr>
    </w:p>
    <w:p w14:paraId="7CD04223">
      <w:pPr>
        <w:tabs>
          <w:tab w:val="left" w:pos="6300"/>
        </w:tabs>
        <w:snapToGrid w:val="0"/>
        <w:spacing w:line="360" w:lineRule="auto"/>
        <w:rPr>
          <w:rFonts w:ascii="仿宋" w:hAnsi="仿宋" w:eastAsia="仿宋" w:cs="仿宋"/>
          <w:sz w:val="24"/>
        </w:rPr>
      </w:pPr>
      <w:r>
        <w:rPr>
          <w:rFonts w:hint="eastAsia" w:ascii="仿宋" w:hAnsi="仿宋" w:eastAsia="仿宋" w:cs="仿宋"/>
          <w:sz w:val="24"/>
          <w:szCs w:val="24"/>
        </w:rPr>
        <w:br w:type="page"/>
      </w:r>
      <w:r>
        <w:rPr>
          <w:rFonts w:hint="eastAsia" w:ascii="仿宋" w:hAnsi="仿宋" w:eastAsia="仿宋" w:cs="仿宋"/>
          <w:b/>
          <w:bCs/>
          <w:sz w:val="24"/>
          <w:szCs w:val="24"/>
        </w:rPr>
        <w:t>（四）基本资格条件承诺函</w:t>
      </w:r>
    </w:p>
    <w:p w14:paraId="23A80E4F">
      <w:pPr>
        <w:tabs>
          <w:tab w:val="left" w:pos="6300"/>
        </w:tabs>
        <w:snapToGrid w:val="0"/>
        <w:spacing w:line="360" w:lineRule="auto"/>
        <w:ind w:firstLine="570"/>
        <w:rPr>
          <w:rFonts w:ascii="仿宋" w:hAnsi="仿宋" w:eastAsia="仿宋" w:cs="仿宋"/>
          <w:sz w:val="24"/>
        </w:rPr>
      </w:pPr>
    </w:p>
    <w:p w14:paraId="1CA7E6D7">
      <w:pPr>
        <w:tabs>
          <w:tab w:val="left" w:pos="6300"/>
        </w:tabs>
        <w:snapToGrid w:val="0"/>
        <w:spacing w:line="360" w:lineRule="auto"/>
        <w:jc w:val="center"/>
        <w:rPr>
          <w:rFonts w:ascii="仿宋" w:hAnsi="仿宋" w:eastAsia="仿宋" w:cs="仿宋"/>
          <w:sz w:val="24"/>
          <w:szCs w:val="24"/>
        </w:rPr>
      </w:pPr>
      <w:r>
        <w:rPr>
          <w:rFonts w:hint="eastAsia" w:ascii="仿宋" w:hAnsi="仿宋" w:eastAsia="仿宋" w:cs="仿宋"/>
          <w:sz w:val="24"/>
          <w:szCs w:val="24"/>
        </w:rPr>
        <w:t>基本资格条件承诺函</w:t>
      </w:r>
    </w:p>
    <w:p w14:paraId="05A5A081">
      <w:pPr>
        <w:tabs>
          <w:tab w:val="left" w:pos="6300"/>
        </w:tabs>
        <w:snapToGrid w:val="0"/>
        <w:spacing w:line="360" w:lineRule="auto"/>
        <w:rPr>
          <w:rFonts w:ascii="仿宋" w:hAnsi="仿宋" w:eastAsia="仿宋" w:cs="仿宋"/>
          <w:sz w:val="24"/>
          <w:szCs w:val="24"/>
        </w:rPr>
      </w:pPr>
    </w:p>
    <w:p w14:paraId="59D7F955">
      <w:pPr>
        <w:tabs>
          <w:tab w:val="left" w:pos="6300"/>
        </w:tabs>
        <w:snapToGrid w:val="0"/>
        <w:spacing w:line="360" w:lineRule="auto"/>
        <w:rPr>
          <w:rFonts w:ascii="仿宋" w:hAnsi="仿宋" w:eastAsia="仿宋" w:cs="仿宋"/>
          <w:sz w:val="24"/>
          <w:szCs w:val="24"/>
        </w:rPr>
      </w:pPr>
      <w:r>
        <w:rPr>
          <w:rFonts w:hint="eastAsia" w:ascii="仿宋" w:hAnsi="仿宋" w:eastAsia="仿宋" w:cs="仿宋"/>
          <w:sz w:val="24"/>
          <w:szCs w:val="24"/>
        </w:rPr>
        <w:t>致（比选代理机构名称）：</w:t>
      </w:r>
    </w:p>
    <w:p w14:paraId="1DE33285">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（供应商名称）郑重承诺：</w:t>
      </w:r>
    </w:p>
    <w:p w14:paraId="58F18F54">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1.我方具有良好的商业信誉和健全的财务会计制度，具有履行合同所必需的设备和专业技术能力，具</w:t>
      </w:r>
      <w:r>
        <w:rPr>
          <w:rFonts w:hint="eastAsia" w:ascii="仿宋" w:hAnsi="仿宋" w:eastAsia="仿宋" w:cs="仿宋"/>
          <w:sz w:val="24"/>
          <w:szCs w:val="24"/>
          <w:lang w:val="zh-CN"/>
        </w:rPr>
        <w:t>有依法缴纳税收和社会保障金的良好记录</w:t>
      </w:r>
      <w:r>
        <w:rPr>
          <w:rFonts w:hint="eastAsia" w:ascii="仿宋" w:hAnsi="仿宋" w:eastAsia="仿宋" w:cs="仿宋"/>
          <w:sz w:val="24"/>
          <w:szCs w:val="24"/>
        </w:rPr>
        <w:t>，参加本项目采购活动前三年内无重大违法活动记录。</w:t>
      </w:r>
    </w:p>
    <w:p w14:paraId="425B15D8">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2.我方未列入在信用中国网站（www.creditchina.gov.cn）“失信被执行人”、“重大税收违法案件当事人名单”中，也未列入中国政府采购网（www.ccgp.gov.cn）“政府采购严重违法失信行为记录名单”中。</w:t>
      </w:r>
    </w:p>
    <w:p w14:paraId="383508CF">
      <w:pPr>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3.我方在采购项目评审（评标）环节结束后，随时接受比选人、比选代理机构的检查验证，配合提供相关证明材料，证明符合《中华人民共和国政府采购法》规定的供应商基本资格条件。</w:t>
      </w:r>
    </w:p>
    <w:p w14:paraId="4A5630BD">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我方对以上承诺负全部法律责任。</w:t>
      </w:r>
    </w:p>
    <w:p w14:paraId="62E81B63">
      <w:pPr>
        <w:tabs>
          <w:tab w:val="left" w:pos="6300"/>
        </w:tabs>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特此承诺。</w:t>
      </w:r>
    </w:p>
    <w:p w14:paraId="2AE3BF0C">
      <w:pPr>
        <w:tabs>
          <w:tab w:val="left" w:pos="6300"/>
        </w:tabs>
        <w:snapToGrid w:val="0"/>
        <w:spacing w:line="360" w:lineRule="auto"/>
        <w:rPr>
          <w:rFonts w:ascii="仿宋" w:hAnsi="仿宋" w:eastAsia="仿宋" w:cs="仿宋"/>
          <w:sz w:val="24"/>
          <w:szCs w:val="24"/>
        </w:rPr>
      </w:pPr>
    </w:p>
    <w:p w14:paraId="5FAA267D">
      <w:pPr>
        <w:tabs>
          <w:tab w:val="left" w:pos="6300"/>
        </w:tabs>
        <w:snapToGrid w:val="0"/>
        <w:spacing w:line="360" w:lineRule="auto"/>
        <w:ind w:right="424" w:firstLine="570"/>
        <w:jc w:val="right"/>
        <w:rPr>
          <w:rFonts w:ascii="仿宋" w:hAnsi="仿宋" w:eastAsia="仿宋" w:cs="仿宋"/>
          <w:sz w:val="24"/>
          <w:szCs w:val="24"/>
        </w:rPr>
      </w:pPr>
      <w:r>
        <w:rPr>
          <w:rFonts w:hint="eastAsia" w:ascii="仿宋" w:hAnsi="仿宋" w:eastAsia="仿宋" w:cs="仿宋"/>
          <w:sz w:val="24"/>
          <w:szCs w:val="24"/>
        </w:rPr>
        <w:t>（供应商公章）</w:t>
      </w:r>
    </w:p>
    <w:p w14:paraId="05F42778">
      <w:pPr>
        <w:tabs>
          <w:tab w:val="left" w:pos="6300"/>
        </w:tabs>
        <w:snapToGrid w:val="0"/>
        <w:spacing w:line="360" w:lineRule="auto"/>
        <w:ind w:firstLine="7680" w:firstLineChars="3200"/>
        <w:rPr>
          <w:rFonts w:ascii="仿宋" w:hAnsi="仿宋" w:eastAsia="仿宋" w:cs="仿宋"/>
          <w:sz w:val="24"/>
          <w:szCs w:val="24"/>
        </w:rPr>
      </w:pPr>
      <w:r>
        <w:rPr>
          <w:rFonts w:hint="eastAsia" w:ascii="仿宋" w:hAnsi="仿宋" w:eastAsia="仿宋" w:cs="仿宋"/>
          <w:sz w:val="24"/>
          <w:szCs w:val="24"/>
        </w:rPr>
        <w:t>年   月   日</w:t>
      </w:r>
    </w:p>
    <w:p w14:paraId="214ABF56">
      <w:pPr>
        <w:tabs>
          <w:tab w:val="left" w:pos="6300"/>
        </w:tabs>
        <w:snapToGrid w:val="0"/>
        <w:spacing w:line="360" w:lineRule="auto"/>
        <w:ind w:right="424" w:firstLine="570"/>
        <w:jc w:val="right"/>
        <w:rPr>
          <w:rFonts w:ascii="仿宋" w:hAnsi="仿宋" w:eastAsia="仿宋" w:cs="仿宋"/>
          <w:sz w:val="24"/>
          <w:szCs w:val="24"/>
        </w:rPr>
      </w:pPr>
    </w:p>
    <w:p w14:paraId="636C087C">
      <w:pPr>
        <w:tabs>
          <w:tab w:val="left" w:pos="6300"/>
        </w:tabs>
        <w:snapToGrid w:val="0"/>
        <w:spacing w:line="360" w:lineRule="auto"/>
        <w:ind w:right="1680"/>
        <w:rPr>
          <w:rFonts w:ascii="仿宋" w:hAnsi="仿宋" w:eastAsia="仿宋" w:cs="仿宋"/>
          <w:sz w:val="24"/>
        </w:rPr>
      </w:pPr>
    </w:p>
    <w:p w14:paraId="286669FF">
      <w:pPr>
        <w:tabs>
          <w:tab w:val="left" w:pos="6300"/>
        </w:tabs>
        <w:snapToGrid w:val="0"/>
        <w:spacing w:line="360" w:lineRule="auto"/>
        <w:ind w:firstLine="560" w:firstLineChars="200"/>
        <w:rPr>
          <w:rFonts w:ascii="仿宋" w:hAnsi="仿宋" w:eastAsia="仿宋" w:cs="仿宋"/>
          <w:sz w:val="24"/>
          <w:szCs w:val="24"/>
        </w:rPr>
      </w:pPr>
      <w:r>
        <w:rPr>
          <w:rFonts w:hint="eastAsia" w:ascii="仿宋" w:hAnsi="仿宋" w:eastAsia="仿宋" w:cs="仿宋"/>
        </w:rPr>
        <w:br w:type="page"/>
      </w:r>
    </w:p>
    <w:p w14:paraId="032B5765">
      <w:pPr>
        <w:spacing w:line="360" w:lineRule="auto"/>
        <w:rPr>
          <w:rFonts w:ascii="仿宋" w:hAnsi="仿宋" w:eastAsia="仿宋" w:cs="仿宋"/>
          <w:b/>
          <w:bCs/>
          <w:sz w:val="24"/>
          <w:szCs w:val="24"/>
        </w:rPr>
      </w:pPr>
      <w:bookmarkStart w:id="710" w:name="_Toc14422"/>
      <w:r>
        <w:rPr>
          <w:rFonts w:hint="eastAsia" w:ascii="仿宋" w:hAnsi="仿宋" w:eastAsia="仿宋" w:cs="仿宋"/>
          <w:b/>
          <w:bCs/>
          <w:sz w:val="24"/>
          <w:szCs w:val="24"/>
        </w:rPr>
        <w:t>（五）特定资格条件证明文件（如果有）</w:t>
      </w:r>
    </w:p>
    <w:p w14:paraId="6C440802">
      <w:pPr>
        <w:pStyle w:val="5"/>
        <w:rPr>
          <w:rFonts w:ascii="仿宋" w:hAnsi="仿宋" w:cs="仿宋"/>
          <w:szCs w:val="24"/>
        </w:rPr>
      </w:pPr>
      <w:r>
        <w:rPr>
          <w:rFonts w:hint="eastAsia" w:ascii="仿宋" w:hAnsi="仿宋" w:cs="仿宋"/>
          <w:b w:val="0"/>
        </w:rPr>
        <w:br w:type="page"/>
      </w:r>
      <w:bookmarkStart w:id="711" w:name="_Toc10304"/>
      <w:bookmarkStart w:id="712" w:name="_Toc13742"/>
      <w:bookmarkStart w:id="713" w:name="_Toc26801"/>
      <w:bookmarkStart w:id="714" w:name="_Toc26676"/>
      <w:bookmarkStart w:id="715" w:name="_Toc15318"/>
      <w:bookmarkStart w:id="716" w:name="_Toc18008"/>
      <w:bookmarkStart w:id="717" w:name="_Toc8907"/>
      <w:bookmarkStart w:id="718" w:name="_Toc293"/>
      <w:bookmarkStart w:id="719" w:name="_Toc14880"/>
      <w:r>
        <w:rPr>
          <w:rFonts w:hint="eastAsia"/>
        </w:rPr>
        <w:t>五、其他应提供的资料</w:t>
      </w:r>
      <w:bookmarkEnd w:id="710"/>
      <w:bookmarkEnd w:id="711"/>
      <w:bookmarkEnd w:id="712"/>
      <w:bookmarkEnd w:id="713"/>
      <w:bookmarkEnd w:id="714"/>
      <w:bookmarkEnd w:id="715"/>
      <w:bookmarkEnd w:id="716"/>
      <w:bookmarkEnd w:id="717"/>
      <w:bookmarkEnd w:id="718"/>
      <w:bookmarkEnd w:id="719"/>
    </w:p>
    <w:p w14:paraId="70026B2A">
      <w:pPr>
        <w:snapToGrid w:val="0"/>
        <w:spacing w:line="360" w:lineRule="auto"/>
        <w:ind w:firstLine="480" w:firstLineChars="200"/>
        <w:rPr>
          <w:rFonts w:ascii="仿宋" w:hAnsi="仿宋" w:eastAsia="仿宋" w:cs="仿宋"/>
          <w:sz w:val="24"/>
          <w:szCs w:val="24"/>
        </w:rPr>
      </w:pPr>
      <w:r>
        <w:rPr>
          <w:rFonts w:hint="eastAsia" w:ascii="仿宋" w:hAnsi="仿宋" w:eastAsia="仿宋" w:cs="仿宋"/>
          <w:sz w:val="24"/>
          <w:szCs w:val="24"/>
        </w:rPr>
        <w:t>其他与项目有关的资料（自附）</w:t>
      </w:r>
    </w:p>
    <w:p w14:paraId="69BDB103">
      <w:pPr>
        <w:pStyle w:val="72"/>
        <w:spacing w:line="360" w:lineRule="auto"/>
        <w:rPr>
          <w:rFonts w:ascii="仿宋" w:hAnsi="仿宋" w:eastAsia="仿宋" w:cs="仿宋"/>
          <w:sz w:val="24"/>
          <w:szCs w:val="24"/>
        </w:rPr>
      </w:pPr>
    </w:p>
    <w:p w14:paraId="0238DD1D">
      <w:pPr>
        <w:pStyle w:val="72"/>
        <w:spacing w:line="360" w:lineRule="auto"/>
        <w:rPr>
          <w:rFonts w:ascii="仿宋" w:hAnsi="仿宋" w:eastAsia="仿宋" w:cs="仿宋"/>
          <w:sz w:val="24"/>
          <w:szCs w:val="24"/>
        </w:rPr>
      </w:pPr>
    </w:p>
    <w:p w14:paraId="635558B9">
      <w:pPr>
        <w:pStyle w:val="72"/>
        <w:spacing w:line="360" w:lineRule="auto"/>
        <w:rPr>
          <w:rFonts w:ascii="仿宋" w:hAnsi="仿宋" w:eastAsia="仿宋" w:cs="仿宋"/>
          <w:sz w:val="24"/>
          <w:szCs w:val="24"/>
        </w:rPr>
      </w:pPr>
    </w:p>
    <w:p w14:paraId="4B0367F7">
      <w:pPr>
        <w:pStyle w:val="72"/>
        <w:spacing w:line="360" w:lineRule="auto"/>
        <w:rPr>
          <w:rFonts w:ascii="仿宋" w:hAnsi="仿宋" w:eastAsia="仿宋" w:cs="仿宋"/>
          <w:sz w:val="24"/>
          <w:szCs w:val="24"/>
        </w:rPr>
      </w:pPr>
    </w:p>
    <w:p w14:paraId="678FDA94">
      <w:pPr>
        <w:pStyle w:val="72"/>
        <w:spacing w:line="360" w:lineRule="auto"/>
        <w:rPr>
          <w:rFonts w:ascii="仿宋" w:hAnsi="仿宋" w:eastAsia="仿宋" w:cs="仿宋"/>
          <w:sz w:val="24"/>
          <w:szCs w:val="24"/>
        </w:rPr>
      </w:pPr>
    </w:p>
    <w:p w14:paraId="3B109014">
      <w:pPr>
        <w:pStyle w:val="72"/>
        <w:spacing w:line="360" w:lineRule="auto"/>
        <w:rPr>
          <w:rFonts w:ascii="仿宋" w:hAnsi="仿宋" w:eastAsia="仿宋" w:cs="仿宋"/>
          <w:sz w:val="24"/>
          <w:szCs w:val="24"/>
        </w:rPr>
      </w:pPr>
    </w:p>
    <w:p w14:paraId="54FAAB11">
      <w:pPr>
        <w:pStyle w:val="72"/>
        <w:spacing w:line="360" w:lineRule="auto"/>
        <w:rPr>
          <w:rFonts w:ascii="仿宋" w:hAnsi="仿宋" w:eastAsia="仿宋" w:cs="仿宋"/>
          <w:sz w:val="24"/>
          <w:szCs w:val="24"/>
        </w:rPr>
      </w:pPr>
    </w:p>
    <w:p w14:paraId="4F8F3A17">
      <w:pPr>
        <w:pStyle w:val="72"/>
        <w:spacing w:line="360" w:lineRule="auto"/>
        <w:rPr>
          <w:rFonts w:ascii="仿宋" w:hAnsi="仿宋" w:eastAsia="仿宋" w:cs="仿宋"/>
          <w:sz w:val="24"/>
          <w:szCs w:val="24"/>
        </w:rPr>
      </w:pPr>
    </w:p>
    <w:p w14:paraId="0A7FB460">
      <w:pPr>
        <w:pStyle w:val="72"/>
        <w:spacing w:line="360" w:lineRule="auto"/>
        <w:rPr>
          <w:rFonts w:ascii="仿宋" w:hAnsi="仿宋" w:eastAsia="仿宋" w:cs="仿宋"/>
          <w:sz w:val="24"/>
          <w:szCs w:val="24"/>
        </w:rPr>
      </w:pPr>
    </w:p>
    <w:p w14:paraId="7F0FDDA0">
      <w:pPr>
        <w:pStyle w:val="72"/>
        <w:spacing w:line="360" w:lineRule="auto"/>
        <w:rPr>
          <w:rFonts w:ascii="仿宋" w:hAnsi="仿宋" w:eastAsia="仿宋" w:cs="仿宋"/>
          <w:sz w:val="24"/>
          <w:szCs w:val="24"/>
        </w:rPr>
      </w:pPr>
    </w:p>
    <w:p w14:paraId="404F7F3F">
      <w:pPr>
        <w:pStyle w:val="72"/>
        <w:spacing w:line="360" w:lineRule="auto"/>
        <w:rPr>
          <w:rFonts w:ascii="仿宋" w:hAnsi="仿宋" w:eastAsia="仿宋" w:cs="仿宋"/>
          <w:sz w:val="24"/>
          <w:szCs w:val="24"/>
        </w:rPr>
      </w:pPr>
    </w:p>
    <w:p w14:paraId="6C54F90A">
      <w:pPr>
        <w:pStyle w:val="72"/>
        <w:spacing w:line="360" w:lineRule="auto"/>
        <w:rPr>
          <w:rFonts w:ascii="仿宋" w:hAnsi="仿宋" w:eastAsia="仿宋" w:cs="仿宋"/>
          <w:sz w:val="24"/>
          <w:szCs w:val="24"/>
        </w:rPr>
      </w:pPr>
    </w:p>
    <w:p w14:paraId="27CC8E82">
      <w:pPr>
        <w:pStyle w:val="72"/>
        <w:spacing w:line="360" w:lineRule="auto"/>
        <w:rPr>
          <w:rFonts w:ascii="仿宋" w:hAnsi="仿宋" w:eastAsia="仿宋" w:cs="仿宋"/>
          <w:sz w:val="24"/>
          <w:szCs w:val="24"/>
        </w:rPr>
      </w:pPr>
    </w:p>
    <w:p w14:paraId="7C8A31BF">
      <w:pPr>
        <w:pStyle w:val="72"/>
        <w:spacing w:line="360" w:lineRule="auto"/>
        <w:rPr>
          <w:rFonts w:ascii="仿宋" w:hAnsi="仿宋" w:eastAsia="仿宋" w:cs="仿宋"/>
          <w:sz w:val="24"/>
          <w:szCs w:val="24"/>
        </w:rPr>
      </w:pPr>
    </w:p>
    <w:p w14:paraId="6A3FDD79">
      <w:pPr>
        <w:pStyle w:val="72"/>
        <w:spacing w:line="360" w:lineRule="auto"/>
        <w:rPr>
          <w:rFonts w:ascii="仿宋" w:hAnsi="仿宋" w:eastAsia="仿宋" w:cs="仿宋"/>
          <w:sz w:val="24"/>
          <w:szCs w:val="24"/>
        </w:rPr>
      </w:pPr>
    </w:p>
    <w:p w14:paraId="51E90538">
      <w:pPr>
        <w:pStyle w:val="72"/>
        <w:spacing w:line="360" w:lineRule="auto"/>
        <w:rPr>
          <w:rFonts w:ascii="仿宋" w:hAnsi="仿宋" w:eastAsia="仿宋" w:cs="仿宋"/>
          <w:sz w:val="24"/>
          <w:szCs w:val="24"/>
        </w:rPr>
      </w:pPr>
    </w:p>
    <w:p w14:paraId="7D70E8C7">
      <w:pPr>
        <w:pStyle w:val="72"/>
        <w:spacing w:line="360" w:lineRule="auto"/>
        <w:rPr>
          <w:rFonts w:ascii="仿宋" w:hAnsi="仿宋" w:eastAsia="仿宋" w:cs="仿宋"/>
          <w:sz w:val="24"/>
          <w:szCs w:val="24"/>
        </w:rPr>
      </w:pPr>
    </w:p>
    <w:p w14:paraId="247984B3">
      <w:pPr>
        <w:pStyle w:val="72"/>
        <w:spacing w:line="360" w:lineRule="auto"/>
        <w:rPr>
          <w:rFonts w:ascii="仿宋" w:hAnsi="仿宋" w:eastAsia="仿宋" w:cs="仿宋"/>
          <w:sz w:val="24"/>
          <w:szCs w:val="24"/>
        </w:rPr>
      </w:pPr>
    </w:p>
    <w:p w14:paraId="763852CC">
      <w:pPr>
        <w:pStyle w:val="72"/>
        <w:spacing w:line="360" w:lineRule="auto"/>
        <w:rPr>
          <w:rFonts w:ascii="仿宋" w:hAnsi="仿宋" w:eastAsia="仿宋" w:cs="仿宋"/>
          <w:sz w:val="24"/>
          <w:szCs w:val="24"/>
        </w:rPr>
      </w:pPr>
    </w:p>
    <w:p w14:paraId="3B6A8276">
      <w:pPr>
        <w:pStyle w:val="72"/>
        <w:spacing w:line="360" w:lineRule="auto"/>
        <w:rPr>
          <w:rFonts w:ascii="仿宋" w:hAnsi="仿宋" w:eastAsia="仿宋" w:cs="仿宋"/>
          <w:sz w:val="24"/>
          <w:szCs w:val="24"/>
        </w:rPr>
      </w:pPr>
    </w:p>
    <w:p w14:paraId="3E1678B9">
      <w:pPr>
        <w:pStyle w:val="72"/>
        <w:spacing w:line="360" w:lineRule="auto"/>
        <w:rPr>
          <w:rFonts w:ascii="仿宋" w:hAnsi="仿宋" w:eastAsia="仿宋" w:cs="仿宋"/>
          <w:sz w:val="24"/>
          <w:szCs w:val="24"/>
        </w:rPr>
      </w:pPr>
    </w:p>
    <w:p w14:paraId="07DC8A5F">
      <w:pPr>
        <w:pStyle w:val="72"/>
        <w:spacing w:line="360" w:lineRule="auto"/>
        <w:rPr>
          <w:rFonts w:ascii="仿宋" w:hAnsi="仿宋" w:eastAsia="仿宋" w:cs="仿宋"/>
          <w:sz w:val="24"/>
          <w:szCs w:val="24"/>
        </w:rPr>
      </w:pPr>
    </w:p>
    <w:p w14:paraId="15487CA0">
      <w:pPr>
        <w:pStyle w:val="72"/>
        <w:spacing w:line="360" w:lineRule="auto"/>
        <w:rPr>
          <w:rFonts w:ascii="仿宋" w:hAnsi="仿宋" w:eastAsia="仿宋" w:cs="仿宋"/>
          <w:sz w:val="24"/>
          <w:szCs w:val="24"/>
        </w:rPr>
      </w:pPr>
    </w:p>
    <w:p w14:paraId="71B23775">
      <w:pPr>
        <w:pStyle w:val="72"/>
        <w:spacing w:line="360" w:lineRule="auto"/>
        <w:rPr>
          <w:rFonts w:ascii="仿宋" w:hAnsi="仿宋" w:eastAsia="仿宋" w:cs="仿宋"/>
          <w:sz w:val="24"/>
          <w:szCs w:val="24"/>
        </w:rPr>
      </w:pPr>
    </w:p>
    <w:p w14:paraId="416D0501">
      <w:pPr>
        <w:pStyle w:val="72"/>
        <w:spacing w:line="360" w:lineRule="auto"/>
        <w:rPr>
          <w:rFonts w:ascii="仿宋" w:hAnsi="仿宋" w:eastAsia="仿宋" w:cs="仿宋"/>
          <w:sz w:val="24"/>
          <w:szCs w:val="24"/>
        </w:rPr>
      </w:pPr>
    </w:p>
    <w:p w14:paraId="217DA3FF">
      <w:pPr>
        <w:pStyle w:val="72"/>
        <w:spacing w:line="360" w:lineRule="auto"/>
        <w:rPr>
          <w:rFonts w:ascii="仿宋" w:hAnsi="仿宋" w:eastAsia="仿宋" w:cs="仿宋"/>
          <w:sz w:val="24"/>
          <w:szCs w:val="24"/>
        </w:rPr>
      </w:pPr>
    </w:p>
    <w:p w14:paraId="2C14FA16">
      <w:pPr>
        <w:pStyle w:val="72"/>
        <w:spacing w:line="360" w:lineRule="auto"/>
        <w:rPr>
          <w:rFonts w:ascii="仿宋" w:hAnsi="仿宋" w:eastAsia="仿宋" w:cs="仿宋"/>
          <w:sz w:val="24"/>
          <w:szCs w:val="24"/>
        </w:rPr>
      </w:pPr>
    </w:p>
    <w:p w14:paraId="7397AAE9">
      <w:pPr>
        <w:pStyle w:val="72"/>
        <w:spacing w:line="360" w:lineRule="auto"/>
        <w:jc w:val="center"/>
        <w:rPr>
          <w:rFonts w:ascii="仿宋" w:hAnsi="仿宋" w:eastAsia="仿宋" w:cs="仿宋"/>
        </w:rPr>
      </w:pPr>
      <w:r>
        <w:rPr>
          <w:rFonts w:hint="eastAsia" w:ascii="仿宋" w:hAnsi="仿宋" w:eastAsia="仿宋" w:cs="仿宋"/>
          <w:sz w:val="24"/>
          <w:szCs w:val="24"/>
        </w:rPr>
        <w:t>（结束）</w:t>
      </w:r>
    </w:p>
    <w:sectPr>
      <w:headerReference r:id="rId14" w:type="default"/>
      <w:pgSz w:w="11907" w:h="16840"/>
      <w:pgMar w:top="1134" w:right="1191" w:bottom="1134" w:left="1304" w:header="851" w:footer="992" w:gutter="0"/>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739D49F3-1D3B-455C-8FFD-B3A327F76F36}"/>
  </w:font>
  <w:font w:name="仿宋_GB2312">
    <w:altName w:val="仿宋"/>
    <w:panose1 w:val="00000000000000000000"/>
    <w:charset w:val="86"/>
    <w:family w:val="modern"/>
    <w:pitch w:val="default"/>
    <w:sig w:usb0="00000000" w:usb1="0000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文鼎粗黑">
    <w:altName w:val="黑体"/>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A00002BF" w:usb1="38CF7CFA" w:usb2="00082016" w:usb3="00000000" w:csb0="00040001" w:csb1="00000000"/>
  </w:font>
  <w:font w:name="MingLiU_HKSCS">
    <w:altName w:val="PMingLiU-ExtB"/>
    <w:panose1 w:val="02020500000000000000"/>
    <w:charset w:val="88"/>
    <w:family w:val="roman"/>
    <w:pitch w:val="default"/>
    <w:sig w:usb0="00000000" w:usb1="00000000" w:usb2="00000016" w:usb3="00000000" w:csb0="00100001" w:csb1="00000000"/>
    <w:embedRegular r:id="rId2" w:fontKey="{9D417EB1-CB85-45A4-B70B-EEA4FB21703D}"/>
  </w:font>
  <w:font w:name="KSOF3D47F291">
    <w:panose1 w:val="020B0604020202020204"/>
    <w:charset w:val="00"/>
    <w:family w:val="auto"/>
    <w:pitch w:val="default"/>
    <w:sig w:usb0="00000001" w:usb1="00000000" w:usb2="00000000" w:usb3="00000000" w:csb0="0000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6525E">
    <w:pPr>
      <w:pStyle w:val="37"/>
      <w:framePr w:wrap="around" w:vAnchor="text" w:hAnchor="margin" w:xAlign="center" w:y="1"/>
      <w:rPr>
        <w:rStyle w:val="64"/>
      </w:rPr>
    </w:pPr>
    <w:r>
      <w:fldChar w:fldCharType="begin"/>
    </w:r>
    <w:r>
      <w:rPr>
        <w:rStyle w:val="64"/>
      </w:rPr>
      <w:instrText xml:space="preserve">PAGE  </w:instrText>
    </w:r>
    <w:r>
      <w:fldChar w:fldCharType="end"/>
    </w:r>
  </w:p>
  <w:p w14:paraId="26AF6D53">
    <w:pPr>
      <w:pStyle w:val="3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6BDC8">
    <w:pPr>
      <w:pStyle w:val="37"/>
      <w:framePr w:wrap="around" w:vAnchor="text" w:hAnchor="margin" w:xAlign="center" w:y="1"/>
      <w:rPr>
        <w:rStyle w:val="64"/>
      </w:rPr>
    </w:pPr>
  </w:p>
  <w:p w14:paraId="6548E082">
    <w:pPr>
      <w:pStyle w:val="37"/>
      <w:jc w:val="center"/>
      <w:rPr>
        <w:rFonts w:ascii="宋体" w:hAnsi="宋体"/>
        <w:sz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7CDF8">
    <w:pPr>
      <w:pStyle w:val="3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FED6F">
                          <w:pPr>
                            <w:pStyle w:val="3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ACFED6F">
                    <w:pPr>
                      <w:pStyle w:val="3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D5EBB">
    <w:pPr>
      <w:pStyle w:val="37"/>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4952801">
                          <w:pPr>
                            <w:pStyle w:val="37"/>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WTfsxAgAAZ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zqGCvSNPQwkVJXerRCu297&#10;nntTnEHTmW5SvOWbGqVsmQ8PzGE0UD4eT7jHUkqDlKa3KKmM+/Kv8xiPjsFLSYNRy6nGy6JEvtfo&#10;JADDYLjB2A+GPqo7g9lFc1BLMnHBBTmYpTPqM17UKuaAi2mOTDkNg3kXunHHi+RitUpBmD3Lwlbv&#10;LI/QUR5vV8cAOZPKUZROCXQnbjB9qU/9S4nj/ec+RT3+HZ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1Fk37MQIAAGUEAAAOAAAAAAAAAAEAIAAAAB8BAABkcnMvZTJvRG9jLnhtbFBLBQYA&#10;AAAABgAGAFkBAADCBQAAAAA=&#10;">
              <v:fill on="f" focussize="0,0"/>
              <v:stroke on="f" weight="0.5pt"/>
              <v:imagedata o:title=""/>
              <o:lock v:ext="edit" aspectratio="f"/>
              <v:textbox inset="0mm,0mm,0mm,0mm" style="mso-fit-shape-to-text:t;">
                <w:txbxContent>
                  <w:p w14:paraId="64952801">
                    <w:pPr>
                      <w:pStyle w:val="37"/>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EAD40">
    <w:pPr>
      <w:pStyle w:val="37"/>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CFDAC56">
                          <w:pPr>
                            <w:pStyle w:val="3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sitU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rLIrVMQIAAGUEAAAOAAAAAAAAAAEAIAAAAB8BAABkcnMvZTJvRG9jLnhtbFBLBQYA&#10;AAAABgAGAFkBAADCBQAAAAA=&#10;">
              <v:fill on="f" focussize="0,0"/>
              <v:stroke on="f" weight="0.5pt"/>
              <v:imagedata o:title=""/>
              <o:lock v:ext="edit" aspectratio="f"/>
              <v:textbox inset="0mm,0mm,0mm,0mm" style="mso-fit-shape-to-text:t;">
                <w:txbxContent>
                  <w:p w14:paraId="7CFDAC56">
                    <w:pPr>
                      <w:pStyle w:val="3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8FC3C">
    <w:pPr>
      <w:pStyle w:val="37"/>
      <w:rPr>
        <w:rFonts w:ascii="宋体" w:hAnsi="宋体"/>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21F3D7D">
                          <w:pPr>
                            <w:pStyle w:val="3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21F3D7D">
                    <w:pPr>
                      <w:pStyle w:val="3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CE895">
    <w:pPr>
      <w:pStyle w:val="38"/>
      <w:jc w:val="left"/>
      <w:rPr>
        <w:rFonts w:ascii="仿宋" w:hAnsi="仿宋" w:eastAsia="仿宋" w:cs="仿宋"/>
        <w:sz w:val="24"/>
        <w:szCs w:val="24"/>
      </w:rPr>
    </w:pPr>
    <w:r>
      <w:rPr>
        <w:rFonts w:hint="eastAsia" w:ascii="仿宋" w:hAnsi="仿宋" w:eastAsia="仿宋" w:cs="仿宋"/>
        <w:sz w:val="24"/>
        <w:szCs w:val="24"/>
      </w:rPr>
      <w:t>河南宏业建设管理股份有限公司                                   竞争性比选文件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31987">
    <w:pPr>
      <w:pStyle w:val="3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6F651">
    <w:pPr>
      <w:pStyle w:val="38"/>
      <w:jc w:val="left"/>
      <w:rPr>
        <w:rFonts w:eastAsia="仿宋"/>
      </w:rPr>
    </w:pPr>
    <w:r>
      <w:rPr>
        <w:rFonts w:hint="eastAsia" w:ascii="仿宋" w:hAnsi="仿宋" w:eastAsia="仿宋" w:cs="仿宋"/>
        <w:sz w:val="24"/>
        <w:szCs w:val="24"/>
      </w:rPr>
      <w:t>河南宏业建设管理股份有限公司                                   竞争性比选文件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B8A27">
    <w:pPr>
      <w:pStyle w:val="38"/>
      <w:jc w:val="left"/>
    </w:pPr>
    <w:r>
      <w:rPr>
        <w:rFonts w:hint="eastAsia"/>
      </w:rPr>
      <w:t>河南宏业建设管理股份有限公司                                                              竞争性比选文件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37956">
    <w:pPr>
      <w:pStyle w:val="38"/>
      <w:jc w:val="left"/>
    </w:pPr>
    <w:r>
      <w:rPr>
        <w:rFonts w:hint="eastAsia"/>
      </w:rPr>
      <w:t>河南宏业建设管理股份有限公司                                                             竞争性比选文件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70D44">
    <w:pPr>
      <w:pStyle w:val="38"/>
      <w:jc w:val="left"/>
    </w:pPr>
    <w:r>
      <w:rPr>
        <w:rFonts w:hint="eastAsia"/>
      </w:rPr>
      <w:t>河南宏业建设管理股份有限公司                                                              竞争性比选文件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75"/>
      <w:suff w:val="nothing"/>
      <w:lvlText w:val="附　录　%1"/>
      <w:lvlJc w:val="left"/>
      <w:pPr>
        <w:ind w:left="0" w:firstLine="0"/>
      </w:pPr>
      <w:rPr>
        <w:rFonts w:hint="eastAsia" w:ascii="黑体" w:hAnsi="Times New Roman" w:eastAsia="黑体"/>
        <w:b w:val="0"/>
        <w:i w:val="0"/>
        <w:sz w:val="21"/>
      </w:rPr>
    </w:lvl>
    <w:lvl w:ilvl="1" w:tentative="0">
      <w:start w:val="1"/>
      <w:numFmt w:val="decimal"/>
      <w:pStyle w:val="193"/>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66"/>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8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40"/>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143"/>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pStyle w:val="174"/>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204"/>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20"/>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4"/>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12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50"/>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183CF1F"/>
    <w:multiLevelType w:val="singleLevel"/>
    <w:tmpl w:val="0183CF1F"/>
    <w:lvl w:ilvl="0" w:tentative="0">
      <w:start w:val="2"/>
      <w:numFmt w:val="decimal"/>
      <w:lvlText w:val="%1."/>
      <w:lvlJc w:val="left"/>
      <w:pPr>
        <w:tabs>
          <w:tab w:val="left" w:pos="312"/>
        </w:tabs>
      </w:p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196"/>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8"/>
  </w:num>
  <w:num w:numId="2">
    <w:abstractNumId w:val="9"/>
  </w:num>
  <w:num w:numId="3">
    <w:abstractNumId w:val="10"/>
  </w:num>
  <w:num w:numId="4">
    <w:abstractNumId w:val="4"/>
  </w:num>
  <w:num w:numId="5">
    <w:abstractNumId w:val="1"/>
  </w:num>
  <w:num w:numId="6">
    <w:abstractNumId w:val="5"/>
  </w:num>
  <w:num w:numId="7">
    <w:abstractNumId w:val="0"/>
  </w:num>
  <w:num w:numId="8">
    <w:abstractNumId w:val="2"/>
  </w:num>
  <w:num w:numId="9">
    <w:abstractNumId w:val="13"/>
  </w:num>
  <w:num w:numId="10">
    <w:abstractNumId w:val="6"/>
  </w:num>
  <w:num w:numId="11">
    <w:abstractNumId w:val="7"/>
  </w:num>
  <w:num w:numId="12">
    <w:abstractNumId w:val="3"/>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trackRevisions w:val="1"/>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NzE4NmE2NTliNGJiMjQyNTJhNGU5OTgzNmRhMTcifQ=="/>
    <w:docVar w:name="KSO_WPS_MARK_KEY" w:val="7b77f0c2-cc00-40fb-a737-654231d6fca7"/>
  </w:docVars>
  <w:rsids>
    <w:rsidRoot w:val="00172A27"/>
    <w:rsid w:val="00002EAB"/>
    <w:rsid w:val="00003626"/>
    <w:rsid w:val="00003672"/>
    <w:rsid w:val="000040DE"/>
    <w:rsid w:val="00005F84"/>
    <w:rsid w:val="000074B1"/>
    <w:rsid w:val="000075E8"/>
    <w:rsid w:val="000100F7"/>
    <w:rsid w:val="00011B4B"/>
    <w:rsid w:val="00016273"/>
    <w:rsid w:val="00016B79"/>
    <w:rsid w:val="00016C0C"/>
    <w:rsid w:val="00017816"/>
    <w:rsid w:val="00026521"/>
    <w:rsid w:val="000276C2"/>
    <w:rsid w:val="00027C40"/>
    <w:rsid w:val="0003055B"/>
    <w:rsid w:val="0003258D"/>
    <w:rsid w:val="0003632F"/>
    <w:rsid w:val="00036348"/>
    <w:rsid w:val="000372E9"/>
    <w:rsid w:val="0004739C"/>
    <w:rsid w:val="0005298B"/>
    <w:rsid w:val="00052BB5"/>
    <w:rsid w:val="0005398D"/>
    <w:rsid w:val="00053D73"/>
    <w:rsid w:val="0005417C"/>
    <w:rsid w:val="00056D3D"/>
    <w:rsid w:val="000576E1"/>
    <w:rsid w:val="00061E4A"/>
    <w:rsid w:val="00063981"/>
    <w:rsid w:val="00066B5A"/>
    <w:rsid w:val="00067704"/>
    <w:rsid w:val="00070F05"/>
    <w:rsid w:val="00072ED6"/>
    <w:rsid w:val="000745D7"/>
    <w:rsid w:val="00075D20"/>
    <w:rsid w:val="00076322"/>
    <w:rsid w:val="000820FF"/>
    <w:rsid w:val="000834C1"/>
    <w:rsid w:val="00083A03"/>
    <w:rsid w:val="00084999"/>
    <w:rsid w:val="00090C5A"/>
    <w:rsid w:val="00091B1C"/>
    <w:rsid w:val="00091D22"/>
    <w:rsid w:val="000954B8"/>
    <w:rsid w:val="000A164E"/>
    <w:rsid w:val="000A3057"/>
    <w:rsid w:val="000A7112"/>
    <w:rsid w:val="000A771C"/>
    <w:rsid w:val="000B42F4"/>
    <w:rsid w:val="000B6731"/>
    <w:rsid w:val="000B7377"/>
    <w:rsid w:val="000B7F54"/>
    <w:rsid w:val="000C37C8"/>
    <w:rsid w:val="000C6553"/>
    <w:rsid w:val="000C65C8"/>
    <w:rsid w:val="000C6D89"/>
    <w:rsid w:val="000D1A63"/>
    <w:rsid w:val="000D787D"/>
    <w:rsid w:val="000E01C9"/>
    <w:rsid w:val="000E0DD7"/>
    <w:rsid w:val="000E3259"/>
    <w:rsid w:val="000E32FA"/>
    <w:rsid w:val="000E5799"/>
    <w:rsid w:val="000F1AEC"/>
    <w:rsid w:val="000F327E"/>
    <w:rsid w:val="000F6C71"/>
    <w:rsid w:val="000F7DBF"/>
    <w:rsid w:val="0010014A"/>
    <w:rsid w:val="00100639"/>
    <w:rsid w:val="00105638"/>
    <w:rsid w:val="00107162"/>
    <w:rsid w:val="00111729"/>
    <w:rsid w:val="0011311D"/>
    <w:rsid w:val="0011315B"/>
    <w:rsid w:val="00113E9D"/>
    <w:rsid w:val="00115337"/>
    <w:rsid w:val="00116856"/>
    <w:rsid w:val="00116FBF"/>
    <w:rsid w:val="0011780F"/>
    <w:rsid w:val="00120259"/>
    <w:rsid w:val="00121E78"/>
    <w:rsid w:val="00122009"/>
    <w:rsid w:val="00122F9D"/>
    <w:rsid w:val="001266BF"/>
    <w:rsid w:val="0013018A"/>
    <w:rsid w:val="00130513"/>
    <w:rsid w:val="00132A86"/>
    <w:rsid w:val="00132DC3"/>
    <w:rsid w:val="00133D16"/>
    <w:rsid w:val="00133E15"/>
    <w:rsid w:val="00134037"/>
    <w:rsid w:val="00134E3D"/>
    <w:rsid w:val="001351C4"/>
    <w:rsid w:val="00137254"/>
    <w:rsid w:val="00142356"/>
    <w:rsid w:val="00144305"/>
    <w:rsid w:val="001445D9"/>
    <w:rsid w:val="00147FB4"/>
    <w:rsid w:val="0015011C"/>
    <w:rsid w:val="00150429"/>
    <w:rsid w:val="00152B00"/>
    <w:rsid w:val="00154A1E"/>
    <w:rsid w:val="00156402"/>
    <w:rsid w:val="00157DBF"/>
    <w:rsid w:val="001673BF"/>
    <w:rsid w:val="00171E05"/>
    <w:rsid w:val="00172A27"/>
    <w:rsid w:val="001738A2"/>
    <w:rsid w:val="001757CE"/>
    <w:rsid w:val="00180ACB"/>
    <w:rsid w:val="00183B60"/>
    <w:rsid w:val="00183F9B"/>
    <w:rsid w:val="00186623"/>
    <w:rsid w:val="001879FD"/>
    <w:rsid w:val="00194CF2"/>
    <w:rsid w:val="001A6DCC"/>
    <w:rsid w:val="001B16EE"/>
    <w:rsid w:val="001B25AF"/>
    <w:rsid w:val="001B3DBD"/>
    <w:rsid w:val="001B4377"/>
    <w:rsid w:val="001B666A"/>
    <w:rsid w:val="001C50F0"/>
    <w:rsid w:val="001C7054"/>
    <w:rsid w:val="001C7351"/>
    <w:rsid w:val="001D2321"/>
    <w:rsid w:val="001D2DCD"/>
    <w:rsid w:val="001D494B"/>
    <w:rsid w:val="001D4F36"/>
    <w:rsid w:val="001D5055"/>
    <w:rsid w:val="001D630C"/>
    <w:rsid w:val="001E1304"/>
    <w:rsid w:val="001E201B"/>
    <w:rsid w:val="001E2873"/>
    <w:rsid w:val="001E5CAC"/>
    <w:rsid w:val="001E6841"/>
    <w:rsid w:val="001E70DC"/>
    <w:rsid w:val="001E725F"/>
    <w:rsid w:val="001F1AF7"/>
    <w:rsid w:val="001F4964"/>
    <w:rsid w:val="001F7063"/>
    <w:rsid w:val="00202B04"/>
    <w:rsid w:val="00203E78"/>
    <w:rsid w:val="00204936"/>
    <w:rsid w:val="002051CF"/>
    <w:rsid w:val="002074FD"/>
    <w:rsid w:val="00207C32"/>
    <w:rsid w:val="002100EE"/>
    <w:rsid w:val="00210E74"/>
    <w:rsid w:val="002115B4"/>
    <w:rsid w:val="0021704D"/>
    <w:rsid w:val="0021749D"/>
    <w:rsid w:val="00222097"/>
    <w:rsid w:val="00224BA8"/>
    <w:rsid w:val="002259EB"/>
    <w:rsid w:val="00227202"/>
    <w:rsid w:val="00227377"/>
    <w:rsid w:val="00227851"/>
    <w:rsid w:val="002348E0"/>
    <w:rsid w:val="00234984"/>
    <w:rsid w:val="002351C5"/>
    <w:rsid w:val="0023753B"/>
    <w:rsid w:val="00240BD3"/>
    <w:rsid w:val="002426DA"/>
    <w:rsid w:val="00242AB7"/>
    <w:rsid w:val="00244225"/>
    <w:rsid w:val="00252F55"/>
    <w:rsid w:val="002537A8"/>
    <w:rsid w:val="00253A6B"/>
    <w:rsid w:val="00253E8A"/>
    <w:rsid w:val="00255F7F"/>
    <w:rsid w:val="002575D8"/>
    <w:rsid w:val="002608DC"/>
    <w:rsid w:val="00261CE4"/>
    <w:rsid w:val="0026418D"/>
    <w:rsid w:val="002643C1"/>
    <w:rsid w:val="00265203"/>
    <w:rsid w:val="0027199E"/>
    <w:rsid w:val="00271D45"/>
    <w:rsid w:val="00271D47"/>
    <w:rsid w:val="002721EA"/>
    <w:rsid w:val="0027413A"/>
    <w:rsid w:val="00276F9C"/>
    <w:rsid w:val="00280E8A"/>
    <w:rsid w:val="00283084"/>
    <w:rsid w:val="00285164"/>
    <w:rsid w:val="00285A2C"/>
    <w:rsid w:val="00290F05"/>
    <w:rsid w:val="00292821"/>
    <w:rsid w:val="00294BEC"/>
    <w:rsid w:val="00296713"/>
    <w:rsid w:val="00297B53"/>
    <w:rsid w:val="002A25E7"/>
    <w:rsid w:val="002A4956"/>
    <w:rsid w:val="002A6710"/>
    <w:rsid w:val="002B1832"/>
    <w:rsid w:val="002B51B5"/>
    <w:rsid w:val="002B578B"/>
    <w:rsid w:val="002B7904"/>
    <w:rsid w:val="002C2507"/>
    <w:rsid w:val="002C268C"/>
    <w:rsid w:val="002C2E6E"/>
    <w:rsid w:val="002C3623"/>
    <w:rsid w:val="002C3ACC"/>
    <w:rsid w:val="002C6C41"/>
    <w:rsid w:val="002C75D0"/>
    <w:rsid w:val="002C7927"/>
    <w:rsid w:val="002D2656"/>
    <w:rsid w:val="002D269B"/>
    <w:rsid w:val="002D5F4A"/>
    <w:rsid w:val="002D7725"/>
    <w:rsid w:val="002E513F"/>
    <w:rsid w:val="002F0071"/>
    <w:rsid w:val="002F0ED3"/>
    <w:rsid w:val="002F303E"/>
    <w:rsid w:val="002F3DE3"/>
    <w:rsid w:val="002F632E"/>
    <w:rsid w:val="002F724C"/>
    <w:rsid w:val="003010D1"/>
    <w:rsid w:val="003021BC"/>
    <w:rsid w:val="0030415A"/>
    <w:rsid w:val="003059F0"/>
    <w:rsid w:val="00305E18"/>
    <w:rsid w:val="00310AF9"/>
    <w:rsid w:val="0031236A"/>
    <w:rsid w:val="00314220"/>
    <w:rsid w:val="0031465E"/>
    <w:rsid w:val="00314C0B"/>
    <w:rsid w:val="00315742"/>
    <w:rsid w:val="00316249"/>
    <w:rsid w:val="003163B3"/>
    <w:rsid w:val="00320734"/>
    <w:rsid w:val="00322362"/>
    <w:rsid w:val="00322A7A"/>
    <w:rsid w:val="00325E62"/>
    <w:rsid w:val="00326C5B"/>
    <w:rsid w:val="00341DEB"/>
    <w:rsid w:val="00346A3D"/>
    <w:rsid w:val="00350C20"/>
    <w:rsid w:val="00351616"/>
    <w:rsid w:val="0035412A"/>
    <w:rsid w:val="003548FA"/>
    <w:rsid w:val="00355A74"/>
    <w:rsid w:val="00361427"/>
    <w:rsid w:val="0036458B"/>
    <w:rsid w:val="0036548C"/>
    <w:rsid w:val="00371D2F"/>
    <w:rsid w:val="00373122"/>
    <w:rsid w:val="003733A4"/>
    <w:rsid w:val="003763AD"/>
    <w:rsid w:val="00376FFC"/>
    <w:rsid w:val="0038033A"/>
    <w:rsid w:val="003816ED"/>
    <w:rsid w:val="003828AB"/>
    <w:rsid w:val="003828DA"/>
    <w:rsid w:val="003835DB"/>
    <w:rsid w:val="00384161"/>
    <w:rsid w:val="00386FB1"/>
    <w:rsid w:val="00387610"/>
    <w:rsid w:val="00391D2A"/>
    <w:rsid w:val="003934A6"/>
    <w:rsid w:val="00395C2F"/>
    <w:rsid w:val="00396304"/>
    <w:rsid w:val="003973D3"/>
    <w:rsid w:val="00397F89"/>
    <w:rsid w:val="003A0892"/>
    <w:rsid w:val="003A449E"/>
    <w:rsid w:val="003A4686"/>
    <w:rsid w:val="003A5701"/>
    <w:rsid w:val="003A71F3"/>
    <w:rsid w:val="003A7A91"/>
    <w:rsid w:val="003B19F5"/>
    <w:rsid w:val="003B3C44"/>
    <w:rsid w:val="003B787B"/>
    <w:rsid w:val="003C0734"/>
    <w:rsid w:val="003C3E19"/>
    <w:rsid w:val="003D0404"/>
    <w:rsid w:val="003D0E0A"/>
    <w:rsid w:val="003D1C64"/>
    <w:rsid w:val="003D3684"/>
    <w:rsid w:val="003D3B22"/>
    <w:rsid w:val="003D4380"/>
    <w:rsid w:val="003D7B3D"/>
    <w:rsid w:val="003E1D18"/>
    <w:rsid w:val="003E2F53"/>
    <w:rsid w:val="003E30AE"/>
    <w:rsid w:val="003E5DE4"/>
    <w:rsid w:val="003E65D3"/>
    <w:rsid w:val="003F626F"/>
    <w:rsid w:val="00401C02"/>
    <w:rsid w:val="00402B32"/>
    <w:rsid w:val="004061B4"/>
    <w:rsid w:val="00407B9C"/>
    <w:rsid w:val="00410C93"/>
    <w:rsid w:val="00411B4A"/>
    <w:rsid w:val="004134DD"/>
    <w:rsid w:val="0041477F"/>
    <w:rsid w:val="00415A50"/>
    <w:rsid w:val="00417E99"/>
    <w:rsid w:val="00421AF3"/>
    <w:rsid w:val="004227C5"/>
    <w:rsid w:val="00423088"/>
    <w:rsid w:val="004326E4"/>
    <w:rsid w:val="00432B1D"/>
    <w:rsid w:val="00433249"/>
    <w:rsid w:val="00435C5E"/>
    <w:rsid w:val="00442061"/>
    <w:rsid w:val="00443B7E"/>
    <w:rsid w:val="0044758D"/>
    <w:rsid w:val="00447EBD"/>
    <w:rsid w:val="0045120D"/>
    <w:rsid w:val="00453B8F"/>
    <w:rsid w:val="00460B42"/>
    <w:rsid w:val="004618C1"/>
    <w:rsid w:val="00462878"/>
    <w:rsid w:val="00465B7A"/>
    <w:rsid w:val="00470232"/>
    <w:rsid w:val="00472AA2"/>
    <w:rsid w:val="00473B39"/>
    <w:rsid w:val="00474F9B"/>
    <w:rsid w:val="004774DA"/>
    <w:rsid w:val="004818B5"/>
    <w:rsid w:val="00482CAA"/>
    <w:rsid w:val="004935C6"/>
    <w:rsid w:val="00494491"/>
    <w:rsid w:val="004953EC"/>
    <w:rsid w:val="004A0D29"/>
    <w:rsid w:val="004A0DE1"/>
    <w:rsid w:val="004A2410"/>
    <w:rsid w:val="004A27AC"/>
    <w:rsid w:val="004A3995"/>
    <w:rsid w:val="004A7BA2"/>
    <w:rsid w:val="004B2216"/>
    <w:rsid w:val="004B2C62"/>
    <w:rsid w:val="004B7322"/>
    <w:rsid w:val="004C1DD0"/>
    <w:rsid w:val="004C4D05"/>
    <w:rsid w:val="004C64E4"/>
    <w:rsid w:val="004D1B31"/>
    <w:rsid w:val="004D2334"/>
    <w:rsid w:val="004D3ED5"/>
    <w:rsid w:val="004D43AC"/>
    <w:rsid w:val="004D4C7A"/>
    <w:rsid w:val="004E156F"/>
    <w:rsid w:val="004E198B"/>
    <w:rsid w:val="004E55DB"/>
    <w:rsid w:val="004E67C6"/>
    <w:rsid w:val="004F294F"/>
    <w:rsid w:val="004F5AA6"/>
    <w:rsid w:val="004F7957"/>
    <w:rsid w:val="004F7C44"/>
    <w:rsid w:val="00501E63"/>
    <w:rsid w:val="00502B2F"/>
    <w:rsid w:val="00507C97"/>
    <w:rsid w:val="00512D00"/>
    <w:rsid w:val="00514179"/>
    <w:rsid w:val="00514B0C"/>
    <w:rsid w:val="00516123"/>
    <w:rsid w:val="00535944"/>
    <w:rsid w:val="00535D37"/>
    <w:rsid w:val="0053630F"/>
    <w:rsid w:val="00536370"/>
    <w:rsid w:val="00540464"/>
    <w:rsid w:val="005404E4"/>
    <w:rsid w:val="00544BEA"/>
    <w:rsid w:val="005460D5"/>
    <w:rsid w:val="005503B0"/>
    <w:rsid w:val="00553CF0"/>
    <w:rsid w:val="005624F3"/>
    <w:rsid w:val="00565750"/>
    <w:rsid w:val="00566A85"/>
    <w:rsid w:val="00570AB1"/>
    <w:rsid w:val="005717C2"/>
    <w:rsid w:val="00573AE3"/>
    <w:rsid w:val="00573B55"/>
    <w:rsid w:val="00573EA8"/>
    <w:rsid w:val="0058355F"/>
    <w:rsid w:val="00584701"/>
    <w:rsid w:val="00585F00"/>
    <w:rsid w:val="005902D9"/>
    <w:rsid w:val="00591E34"/>
    <w:rsid w:val="005954E2"/>
    <w:rsid w:val="00596AB7"/>
    <w:rsid w:val="005A16EC"/>
    <w:rsid w:val="005A1D76"/>
    <w:rsid w:val="005A1EA7"/>
    <w:rsid w:val="005A3E3B"/>
    <w:rsid w:val="005A5F58"/>
    <w:rsid w:val="005B0724"/>
    <w:rsid w:val="005B1E46"/>
    <w:rsid w:val="005B73B9"/>
    <w:rsid w:val="005B7E66"/>
    <w:rsid w:val="005C0587"/>
    <w:rsid w:val="005C3F4B"/>
    <w:rsid w:val="005C42AC"/>
    <w:rsid w:val="005C4F84"/>
    <w:rsid w:val="005D37D0"/>
    <w:rsid w:val="005D636E"/>
    <w:rsid w:val="005D703E"/>
    <w:rsid w:val="005E5525"/>
    <w:rsid w:val="005F1360"/>
    <w:rsid w:val="005F7390"/>
    <w:rsid w:val="0060078B"/>
    <w:rsid w:val="00601DEA"/>
    <w:rsid w:val="00602911"/>
    <w:rsid w:val="006055C2"/>
    <w:rsid w:val="00611E32"/>
    <w:rsid w:val="00613410"/>
    <w:rsid w:val="00616483"/>
    <w:rsid w:val="00617986"/>
    <w:rsid w:val="006212A6"/>
    <w:rsid w:val="00621ADA"/>
    <w:rsid w:val="00621C82"/>
    <w:rsid w:val="006238EF"/>
    <w:rsid w:val="00624E6D"/>
    <w:rsid w:val="00627729"/>
    <w:rsid w:val="00627F21"/>
    <w:rsid w:val="0063458A"/>
    <w:rsid w:val="006376A5"/>
    <w:rsid w:val="00637716"/>
    <w:rsid w:val="0064583B"/>
    <w:rsid w:val="00651127"/>
    <w:rsid w:val="0065190C"/>
    <w:rsid w:val="00651BB7"/>
    <w:rsid w:val="00651E63"/>
    <w:rsid w:val="0065370C"/>
    <w:rsid w:val="00653CA1"/>
    <w:rsid w:val="00654A48"/>
    <w:rsid w:val="00654A85"/>
    <w:rsid w:val="0065651B"/>
    <w:rsid w:val="00663206"/>
    <w:rsid w:val="00664607"/>
    <w:rsid w:val="00670089"/>
    <w:rsid w:val="00680AE4"/>
    <w:rsid w:val="00682205"/>
    <w:rsid w:val="00684E51"/>
    <w:rsid w:val="00686DBD"/>
    <w:rsid w:val="0068726B"/>
    <w:rsid w:val="00696C07"/>
    <w:rsid w:val="006A100B"/>
    <w:rsid w:val="006A143A"/>
    <w:rsid w:val="006A3285"/>
    <w:rsid w:val="006B0567"/>
    <w:rsid w:val="006B5FA2"/>
    <w:rsid w:val="006B72DE"/>
    <w:rsid w:val="006B763A"/>
    <w:rsid w:val="006C0E1D"/>
    <w:rsid w:val="006C32C0"/>
    <w:rsid w:val="006C5FC1"/>
    <w:rsid w:val="006C7587"/>
    <w:rsid w:val="006D02A7"/>
    <w:rsid w:val="006D0407"/>
    <w:rsid w:val="006D1572"/>
    <w:rsid w:val="006D26F3"/>
    <w:rsid w:val="006D44E1"/>
    <w:rsid w:val="006D4899"/>
    <w:rsid w:val="006D5D12"/>
    <w:rsid w:val="006E158D"/>
    <w:rsid w:val="006E21FA"/>
    <w:rsid w:val="006E477D"/>
    <w:rsid w:val="006E6D5F"/>
    <w:rsid w:val="006F0FB7"/>
    <w:rsid w:val="006F43A4"/>
    <w:rsid w:val="006F56BC"/>
    <w:rsid w:val="006F5925"/>
    <w:rsid w:val="00701D7F"/>
    <w:rsid w:val="00702166"/>
    <w:rsid w:val="00704569"/>
    <w:rsid w:val="00704E5D"/>
    <w:rsid w:val="00705739"/>
    <w:rsid w:val="00707482"/>
    <w:rsid w:val="00710AE5"/>
    <w:rsid w:val="00714BF1"/>
    <w:rsid w:val="00715BCB"/>
    <w:rsid w:val="00715D64"/>
    <w:rsid w:val="00715EFF"/>
    <w:rsid w:val="00715FB5"/>
    <w:rsid w:val="007171A6"/>
    <w:rsid w:val="0071799D"/>
    <w:rsid w:val="00726088"/>
    <w:rsid w:val="00730B6A"/>
    <w:rsid w:val="0073172B"/>
    <w:rsid w:val="00736D88"/>
    <w:rsid w:val="00736DD2"/>
    <w:rsid w:val="00740EC7"/>
    <w:rsid w:val="00744F10"/>
    <w:rsid w:val="0074681C"/>
    <w:rsid w:val="00746EC2"/>
    <w:rsid w:val="00751EB7"/>
    <w:rsid w:val="00757E02"/>
    <w:rsid w:val="0077305F"/>
    <w:rsid w:val="0077332E"/>
    <w:rsid w:val="0078343A"/>
    <w:rsid w:val="00787FCA"/>
    <w:rsid w:val="00790B21"/>
    <w:rsid w:val="00793E8C"/>
    <w:rsid w:val="00794382"/>
    <w:rsid w:val="007959AC"/>
    <w:rsid w:val="007A0CDD"/>
    <w:rsid w:val="007A20E0"/>
    <w:rsid w:val="007B2204"/>
    <w:rsid w:val="007B4B60"/>
    <w:rsid w:val="007B6BEB"/>
    <w:rsid w:val="007C17F1"/>
    <w:rsid w:val="007C4014"/>
    <w:rsid w:val="007C62A7"/>
    <w:rsid w:val="007C6B0F"/>
    <w:rsid w:val="007D47A4"/>
    <w:rsid w:val="007D5365"/>
    <w:rsid w:val="007D763D"/>
    <w:rsid w:val="007D7A44"/>
    <w:rsid w:val="007D7E65"/>
    <w:rsid w:val="007E000E"/>
    <w:rsid w:val="007E19E0"/>
    <w:rsid w:val="007E2EAF"/>
    <w:rsid w:val="007E78B4"/>
    <w:rsid w:val="007F411F"/>
    <w:rsid w:val="008041D4"/>
    <w:rsid w:val="0081156A"/>
    <w:rsid w:val="00812C9B"/>
    <w:rsid w:val="00813391"/>
    <w:rsid w:val="00825C9F"/>
    <w:rsid w:val="00825D43"/>
    <w:rsid w:val="00827398"/>
    <w:rsid w:val="00830FAD"/>
    <w:rsid w:val="00834ABA"/>
    <w:rsid w:val="00842974"/>
    <w:rsid w:val="00842BB3"/>
    <w:rsid w:val="00842F87"/>
    <w:rsid w:val="008517D1"/>
    <w:rsid w:val="008521A5"/>
    <w:rsid w:val="0085550A"/>
    <w:rsid w:val="0086008B"/>
    <w:rsid w:val="008616EF"/>
    <w:rsid w:val="00862EF1"/>
    <w:rsid w:val="00863C25"/>
    <w:rsid w:val="00863CCF"/>
    <w:rsid w:val="008641B7"/>
    <w:rsid w:val="0086422A"/>
    <w:rsid w:val="00864DC1"/>
    <w:rsid w:val="00866A28"/>
    <w:rsid w:val="008705BC"/>
    <w:rsid w:val="0087167F"/>
    <w:rsid w:val="00875A42"/>
    <w:rsid w:val="008763C5"/>
    <w:rsid w:val="0088090E"/>
    <w:rsid w:val="00883D49"/>
    <w:rsid w:val="008904A8"/>
    <w:rsid w:val="00891D94"/>
    <w:rsid w:val="0089422F"/>
    <w:rsid w:val="00895C23"/>
    <w:rsid w:val="008A068B"/>
    <w:rsid w:val="008A1419"/>
    <w:rsid w:val="008A19AF"/>
    <w:rsid w:val="008A20FB"/>
    <w:rsid w:val="008A34D7"/>
    <w:rsid w:val="008A77DF"/>
    <w:rsid w:val="008B4ADB"/>
    <w:rsid w:val="008C0472"/>
    <w:rsid w:val="008C2CDC"/>
    <w:rsid w:val="008C3A07"/>
    <w:rsid w:val="008C4C84"/>
    <w:rsid w:val="008C510F"/>
    <w:rsid w:val="008C7C27"/>
    <w:rsid w:val="008D067F"/>
    <w:rsid w:val="008D599A"/>
    <w:rsid w:val="008E510A"/>
    <w:rsid w:val="008E66B8"/>
    <w:rsid w:val="008E7F09"/>
    <w:rsid w:val="008F0A2E"/>
    <w:rsid w:val="008F0CD0"/>
    <w:rsid w:val="008F1988"/>
    <w:rsid w:val="008F6252"/>
    <w:rsid w:val="008F7095"/>
    <w:rsid w:val="009023F3"/>
    <w:rsid w:val="0090343B"/>
    <w:rsid w:val="0090383C"/>
    <w:rsid w:val="00906BF6"/>
    <w:rsid w:val="00906F1F"/>
    <w:rsid w:val="00910AE5"/>
    <w:rsid w:val="00912132"/>
    <w:rsid w:val="00914E7A"/>
    <w:rsid w:val="00921161"/>
    <w:rsid w:val="00922FAD"/>
    <w:rsid w:val="00923FFD"/>
    <w:rsid w:val="00924F0A"/>
    <w:rsid w:val="00926157"/>
    <w:rsid w:val="0092708B"/>
    <w:rsid w:val="0093049D"/>
    <w:rsid w:val="00937713"/>
    <w:rsid w:val="009460FF"/>
    <w:rsid w:val="0094759E"/>
    <w:rsid w:val="00947BE4"/>
    <w:rsid w:val="00950969"/>
    <w:rsid w:val="00951F00"/>
    <w:rsid w:val="0095455E"/>
    <w:rsid w:val="0095547F"/>
    <w:rsid w:val="00961363"/>
    <w:rsid w:val="009614A0"/>
    <w:rsid w:val="00962BF1"/>
    <w:rsid w:val="00966820"/>
    <w:rsid w:val="00970E26"/>
    <w:rsid w:val="00971E57"/>
    <w:rsid w:val="009723CF"/>
    <w:rsid w:val="0097652A"/>
    <w:rsid w:val="00980037"/>
    <w:rsid w:val="00983B43"/>
    <w:rsid w:val="0098505B"/>
    <w:rsid w:val="0098619D"/>
    <w:rsid w:val="009902A5"/>
    <w:rsid w:val="009916B7"/>
    <w:rsid w:val="00991B37"/>
    <w:rsid w:val="00997D03"/>
    <w:rsid w:val="009A000A"/>
    <w:rsid w:val="009A05AD"/>
    <w:rsid w:val="009A140C"/>
    <w:rsid w:val="009A270D"/>
    <w:rsid w:val="009A54D7"/>
    <w:rsid w:val="009A6496"/>
    <w:rsid w:val="009B2000"/>
    <w:rsid w:val="009B2DE9"/>
    <w:rsid w:val="009B79DC"/>
    <w:rsid w:val="009C12CA"/>
    <w:rsid w:val="009C149E"/>
    <w:rsid w:val="009C17F8"/>
    <w:rsid w:val="009C1C14"/>
    <w:rsid w:val="009C1C2A"/>
    <w:rsid w:val="009C3034"/>
    <w:rsid w:val="009C57D3"/>
    <w:rsid w:val="009C7522"/>
    <w:rsid w:val="009D0FDD"/>
    <w:rsid w:val="009D3162"/>
    <w:rsid w:val="009D3181"/>
    <w:rsid w:val="009D586B"/>
    <w:rsid w:val="009D70FB"/>
    <w:rsid w:val="009E1803"/>
    <w:rsid w:val="009E1C44"/>
    <w:rsid w:val="009E4A4C"/>
    <w:rsid w:val="009E5F18"/>
    <w:rsid w:val="009E6D82"/>
    <w:rsid w:val="009E717E"/>
    <w:rsid w:val="009E737D"/>
    <w:rsid w:val="009F0F6A"/>
    <w:rsid w:val="009F5F20"/>
    <w:rsid w:val="009F6F0C"/>
    <w:rsid w:val="00A01FCE"/>
    <w:rsid w:val="00A03977"/>
    <w:rsid w:val="00A10C6A"/>
    <w:rsid w:val="00A12A3A"/>
    <w:rsid w:val="00A13E12"/>
    <w:rsid w:val="00A15281"/>
    <w:rsid w:val="00A22646"/>
    <w:rsid w:val="00A230F5"/>
    <w:rsid w:val="00A26FF7"/>
    <w:rsid w:val="00A27FE8"/>
    <w:rsid w:val="00A30230"/>
    <w:rsid w:val="00A31363"/>
    <w:rsid w:val="00A37A20"/>
    <w:rsid w:val="00A4348E"/>
    <w:rsid w:val="00A445DC"/>
    <w:rsid w:val="00A44BEA"/>
    <w:rsid w:val="00A50CC8"/>
    <w:rsid w:val="00A51253"/>
    <w:rsid w:val="00A52F5E"/>
    <w:rsid w:val="00A55B14"/>
    <w:rsid w:val="00A569E8"/>
    <w:rsid w:val="00A57FAF"/>
    <w:rsid w:val="00A601C4"/>
    <w:rsid w:val="00A62C1D"/>
    <w:rsid w:val="00A711C6"/>
    <w:rsid w:val="00A715DC"/>
    <w:rsid w:val="00A71682"/>
    <w:rsid w:val="00A73ED0"/>
    <w:rsid w:val="00A76720"/>
    <w:rsid w:val="00A831ED"/>
    <w:rsid w:val="00A839D5"/>
    <w:rsid w:val="00A84863"/>
    <w:rsid w:val="00A84BC5"/>
    <w:rsid w:val="00A86A72"/>
    <w:rsid w:val="00A9064A"/>
    <w:rsid w:val="00A94259"/>
    <w:rsid w:val="00A95D95"/>
    <w:rsid w:val="00A977EC"/>
    <w:rsid w:val="00AA3FD1"/>
    <w:rsid w:val="00AA52DE"/>
    <w:rsid w:val="00AA61AF"/>
    <w:rsid w:val="00AB11B3"/>
    <w:rsid w:val="00AB5C37"/>
    <w:rsid w:val="00AB5ED3"/>
    <w:rsid w:val="00AB6B0C"/>
    <w:rsid w:val="00AB70CD"/>
    <w:rsid w:val="00AC0153"/>
    <w:rsid w:val="00AC4898"/>
    <w:rsid w:val="00AC48B3"/>
    <w:rsid w:val="00AC7AC9"/>
    <w:rsid w:val="00AD387D"/>
    <w:rsid w:val="00AD7A01"/>
    <w:rsid w:val="00AE1920"/>
    <w:rsid w:val="00AE46F6"/>
    <w:rsid w:val="00AF01B3"/>
    <w:rsid w:val="00AF0F13"/>
    <w:rsid w:val="00AF148B"/>
    <w:rsid w:val="00AF1E76"/>
    <w:rsid w:val="00AF7992"/>
    <w:rsid w:val="00B00AB3"/>
    <w:rsid w:val="00B100B0"/>
    <w:rsid w:val="00B11266"/>
    <w:rsid w:val="00B12F22"/>
    <w:rsid w:val="00B14C52"/>
    <w:rsid w:val="00B14D54"/>
    <w:rsid w:val="00B1648A"/>
    <w:rsid w:val="00B16ADA"/>
    <w:rsid w:val="00B200AA"/>
    <w:rsid w:val="00B2010B"/>
    <w:rsid w:val="00B24669"/>
    <w:rsid w:val="00B2488E"/>
    <w:rsid w:val="00B25EB3"/>
    <w:rsid w:val="00B30F32"/>
    <w:rsid w:val="00B310AA"/>
    <w:rsid w:val="00B35AD9"/>
    <w:rsid w:val="00B40B6C"/>
    <w:rsid w:val="00B414F1"/>
    <w:rsid w:val="00B478C3"/>
    <w:rsid w:val="00B504BC"/>
    <w:rsid w:val="00B52715"/>
    <w:rsid w:val="00B55E04"/>
    <w:rsid w:val="00B5720F"/>
    <w:rsid w:val="00B60B09"/>
    <w:rsid w:val="00B60EF6"/>
    <w:rsid w:val="00B61348"/>
    <w:rsid w:val="00B6263F"/>
    <w:rsid w:val="00B64F89"/>
    <w:rsid w:val="00B67114"/>
    <w:rsid w:val="00B7521D"/>
    <w:rsid w:val="00B75449"/>
    <w:rsid w:val="00B7754B"/>
    <w:rsid w:val="00B8043A"/>
    <w:rsid w:val="00B81284"/>
    <w:rsid w:val="00B8134B"/>
    <w:rsid w:val="00B81DB1"/>
    <w:rsid w:val="00B878A8"/>
    <w:rsid w:val="00B96F25"/>
    <w:rsid w:val="00B97CB5"/>
    <w:rsid w:val="00BA29D8"/>
    <w:rsid w:val="00BA527C"/>
    <w:rsid w:val="00BA7F6B"/>
    <w:rsid w:val="00BB17AE"/>
    <w:rsid w:val="00BB69A7"/>
    <w:rsid w:val="00BB6E44"/>
    <w:rsid w:val="00BB7494"/>
    <w:rsid w:val="00BC0206"/>
    <w:rsid w:val="00BC22C2"/>
    <w:rsid w:val="00BC2390"/>
    <w:rsid w:val="00BC775D"/>
    <w:rsid w:val="00BD5A75"/>
    <w:rsid w:val="00BD6780"/>
    <w:rsid w:val="00BE07A9"/>
    <w:rsid w:val="00BE1C12"/>
    <w:rsid w:val="00BE2E36"/>
    <w:rsid w:val="00BE4D8F"/>
    <w:rsid w:val="00BF2141"/>
    <w:rsid w:val="00BF46A7"/>
    <w:rsid w:val="00BF5230"/>
    <w:rsid w:val="00C00289"/>
    <w:rsid w:val="00C1090C"/>
    <w:rsid w:val="00C229E8"/>
    <w:rsid w:val="00C240C8"/>
    <w:rsid w:val="00C26513"/>
    <w:rsid w:val="00C328C9"/>
    <w:rsid w:val="00C3366E"/>
    <w:rsid w:val="00C35BA8"/>
    <w:rsid w:val="00C37F72"/>
    <w:rsid w:val="00C40FC5"/>
    <w:rsid w:val="00C41DFE"/>
    <w:rsid w:val="00C420C1"/>
    <w:rsid w:val="00C43FEE"/>
    <w:rsid w:val="00C45963"/>
    <w:rsid w:val="00C472B8"/>
    <w:rsid w:val="00C529FD"/>
    <w:rsid w:val="00C53124"/>
    <w:rsid w:val="00C53B2E"/>
    <w:rsid w:val="00C56961"/>
    <w:rsid w:val="00C573AA"/>
    <w:rsid w:val="00C57FD0"/>
    <w:rsid w:val="00C6160A"/>
    <w:rsid w:val="00C626B9"/>
    <w:rsid w:val="00C65711"/>
    <w:rsid w:val="00C76ECD"/>
    <w:rsid w:val="00C82883"/>
    <w:rsid w:val="00C82DE1"/>
    <w:rsid w:val="00C84E04"/>
    <w:rsid w:val="00C851E3"/>
    <w:rsid w:val="00C8655F"/>
    <w:rsid w:val="00C87582"/>
    <w:rsid w:val="00C87D18"/>
    <w:rsid w:val="00C910BE"/>
    <w:rsid w:val="00C91EB8"/>
    <w:rsid w:val="00C922BE"/>
    <w:rsid w:val="00C93D9D"/>
    <w:rsid w:val="00C97722"/>
    <w:rsid w:val="00CA1C37"/>
    <w:rsid w:val="00CA1E23"/>
    <w:rsid w:val="00CA35E1"/>
    <w:rsid w:val="00CA45E6"/>
    <w:rsid w:val="00CA583F"/>
    <w:rsid w:val="00CA5844"/>
    <w:rsid w:val="00CA7415"/>
    <w:rsid w:val="00CB265C"/>
    <w:rsid w:val="00CB32BC"/>
    <w:rsid w:val="00CB4540"/>
    <w:rsid w:val="00CB6CFA"/>
    <w:rsid w:val="00CB7A07"/>
    <w:rsid w:val="00CB7F6A"/>
    <w:rsid w:val="00CC0E5B"/>
    <w:rsid w:val="00CC59BB"/>
    <w:rsid w:val="00CC5A52"/>
    <w:rsid w:val="00CC5CAF"/>
    <w:rsid w:val="00CD01DD"/>
    <w:rsid w:val="00CD3BD4"/>
    <w:rsid w:val="00CD5DFA"/>
    <w:rsid w:val="00CD635D"/>
    <w:rsid w:val="00CD6DEE"/>
    <w:rsid w:val="00CD7CED"/>
    <w:rsid w:val="00CE04C7"/>
    <w:rsid w:val="00CE54A3"/>
    <w:rsid w:val="00CF156B"/>
    <w:rsid w:val="00CF1E02"/>
    <w:rsid w:val="00CF5056"/>
    <w:rsid w:val="00CF597A"/>
    <w:rsid w:val="00CF5F0F"/>
    <w:rsid w:val="00D00ED5"/>
    <w:rsid w:val="00D0103F"/>
    <w:rsid w:val="00D05BAA"/>
    <w:rsid w:val="00D06BC8"/>
    <w:rsid w:val="00D07904"/>
    <w:rsid w:val="00D07F26"/>
    <w:rsid w:val="00D10F16"/>
    <w:rsid w:val="00D11A09"/>
    <w:rsid w:val="00D13B7A"/>
    <w:rsid w:val="00D1725B"/>
    <w:rsid w:val="00D226DA"/>
    <w:rsid w:val="00D22C4B"/>
    <w:rsid w:val="00D230C7"/>
    <w:rsid w:val="00D23E7D"/>
    <w:rsid w:val="00D2405F"/>
    <w:rsid w:val="00D25F38"/>
    <w:rsid w:val="00D30C7F"/>
    <w:rsid w:val="00D358A0"/>
    <w:rsid w:val="00D40324"/>
    <w:rsid w:val="00D41BA9"/>
    <w:rsid w:val="00D429B6"/>
    <w:rsid w:val="00D4511A"/>
    <w:rsid w:val="00D46443"/>
    <w:rsid w:val="00D50ED7"/>
    <w:rsid w:val="00D52376"/>
    <w:rsid w:val="00D54487"/>
    <w:rsid w:val="00D55000"/>
    <w:rsid w:val="00D57DC0"/>
    <w:rsid w:val="00D612C2"/>
    <w:rsid w:val="00D61FE1"/>
    <w:rsid w:val="00D62AF2"/>
    <w:rsid w:val="00D66427"/>
    <w:rsid w:val="00D745E0"/>
    <w:rsid w:val="00D7537C"/>
    <w:rsid w:val="00D76AA3"/>
    <w:rsid w:val="00D80136"/>
    <w:rsid w:val="00D80604"/>
    <w:rsid w:val="00D841D8"/>
    <w:rsid w:val="00D86F6B"/>
    <w:rsid w:val="00D870DF"/>
    <w:rsid w:val="00D87346"/>
    <w:rsid w:val="00D901C3"/>
    <w:rsid w:val="00D92475"/>
    <w:rsid w:val="00D9706F"/>
    <w:rsid w:val="00DA0040"/>
    <w:rsid w:val="00DA086B"/>
    <w:rsid w:val="00DA1D7A"/>
    <w:rsid w:val="00DA5DF4"/>
    <w:rsid w:val="00DA6834"/>
    <w:rsid w:val="00DA6CBB"/>
    <w:rsid w:val="00DA7145"/>
    <w:rsid w:val="00DA7E05"/>
    <w:rsid w:val="00DB283F"/>
    <w:rsid w:val="00DB4794"/>
    <w:rsid w:val="00DB5C3E"/>
    <w:rsid w:val="00DB628E"/>
    <w:rsid w:val="00DB6F22"/>
    <w:rsid w:val="00DD5B16"/>
    <w:rsid w:val="00DE1E39"/>
    <w:rsid w:val="00DE20B3"/>
    <w:rsid w:val="00DE3980"/>
    <w:rsid w:val="00DE79FC"/>
    <w:rsid w:val="00DF3959"/>
    <w:rsid w:val="00DF47D6"/>
    <w:rsid w:val="00DF4D5A"/>
    <w:rsid w:val="00DF5425"/>
    <w:rsid w:val="00DF605D"/>
    <w:rsid w:val="00DF70A5"/>
    <w:rsid w:val="00DF782C"/>
    <w:rsid w:val="00E030A0"/>
    <w:rsid w:val="00E04F16"/>
    <w:rsid w:val="00E075A1"/>
    <w:rsid w:val="00E124E3"/>
    <w:rsid w:val="00E13660"/>
    <w:rsid w:val="00E14812"/>
    <w:rsid w:val="00E15231"/>
    <w:rsid w:val="00E15DDE"/>
    <w:rsid w:val="00E17B01"/>
    <w:rsid w:val="00E2339E"/>
    <w:rsid w:val="00E26D58"/>
    <w:rsid w:val="00E3245B"/>
    <w:rsid w:val="00E32DCD"/>
    <w:rsid w:val="00E33FF6"/>
    <w:rsid w:val="00E3707B"/>
    <w:rsid w:val="00E373EE"/>
    <w:rsid w:val="00E43307"/>
    <w:rsid w:val="00E43BCD"/>
    <w:rsid w:val="00E46D1B"/>
    <w:rsid w:val="00E50685"/>
    <w:rsid w:val="00E57F6B"/>
    <w:rsid w:val="00E6234F"/>
    <w:rsid w:val="00E62E89"/>
    <w:rsid w:val="00E67AC7"/>
    <w:rsid w:val="00E7076B"/>
    <w:rsid w:val="00E720F4"/>
    <w:rsid w:val="00E7342C"/>
    <w:rsid w:val="00E736F7"/>
    <w:rsid w:val="00E753F9"/>
    <w:rsid w:val="00E75D8A"/>
    <w:rsid w:val="00E76363"/>
    <w:rsid w:val="00E77C78"/>
    <w:rsid w:val="00E84D0F"/>
    <w:rsid w:val="00E90BE3"/>
    <w:rsid w:val="00E90D6F"/>
    <w:rsid w:val="00E91D81"/>
    <w:rsid w:val="00E9272C"/>
    <w:rsid w:val="00E92BC2"/>
    <w:rsid w:val="00E97617"/>
    <w:rsid w:val="00EA010E"/>
    <w:rsid w:val="00EA5B63"/>
    <w:rsid w:val="00EA5E18"/>
    <w:rsid w:val="00EB1E33"/>
    <w:rsid w:val="00EB700A"/>
    <w:rsid w:val="00EC06D9"/>
    <w:rsid w:val="00EC0881"/>
    <w:rsid w:val="00EC1CF8"/>
    <w:rsid w:val="00ED27F0"/>
    <w:rsid w:val="00EE1C19"/>
    <w:rsid w:val="00EE2501"/>
    <w:rsid w:val="00EE6911"/>
    <w:rsid w:val="00EF2183"/>
    <w:rsid w:val="00EF6D51"/>
    <w:rsid w:val="00F018DF"/>
    <w:rsid w:val="00F0650A"/>
    <w:rsid w:val="00F16313"/>
    <w:rsid w:val="00F20FF1"/>
    <w:rsid w:val="00F27592"/>
    <w:rsid w:val="00F27654"/>
    <w:rsid w:val="00F3217B"/>
    <w:rsid w:val="00F32641"/>
    <w:rsid w:val="00F35457"/>
    <w:rsid w:val="00F3595B"/>
    <w:rsid w:val="00F367F3"/>
    <w:rsid w:val="00F36A26"/>
    <w:rsid w:val="00F41F54"/>
    <w:rsid w:val="00F426A6"/>
    <w:rsid w:val="00F429FD"/>
    <w:rsid w:val="00F4623C"/>
    <w:rsid w:val="00F50C8C"/>
    <w:rsid w:val="00F55E3E"/>
    <w:rsid w:val="00F56399"/>
    <w:rsid w:val="00F614F8"/>
    <w:rsid w:val="00F62561"/>
    <w:rsid w:val="00F73226"/>
    <w:rsid w:val="00F73402"/>
    <w:rsid w:val="00F7709C"/>
    <w:rsid w:val="00F7750A"/>
    <w:rsid w:val="00F80006"/>
    <w:rsid w:val="00F80084"/>
    <w:rsid w:val="00F807B0"/>
    <w:rsid w:val="00F811C7"/>
    <w:rsid w:val="00F81700"/>
    <w:rsid w:val="00F905AD"/>
    <w:rsid w:val="00F906FC"/>
    <w:rsid w:val="00F91B07"/>
    <w:rsid w:val="00F92C65"/>
    <w:rsid w:val="00F93540"/>
    <w:rsid w:val="00F95676"/>
    <w:rsid w:val="00F96401"/>
    <w:rsid w:val="00FA3F8B"/>
    <w:rsid w:val="00FA5808"/>
    <w:rsid w:val="00FA767D"/>
    <w:rsid w:val="00FA77CB"/>
    <w:rsid w:val="00FB10C5"/>
    <w:rsid w:val="00FB49B2"/>
    <w:rsid w:val="00FB5358"/>
    <w:rsid w:val="00FC3C96"/>
    <w:rsid w:val="00FC4EC2"/>
    <w:rsid w:val="00FC63AB"/>
    <w:rsid w:val="00FC7633"/>
    <w:rsid w:val="00FD05E5"/>
    <w:rsid w:val="00FD2470"/>
    <w:rsid w:val="00FD5823"/>
    <w:rsid w:val="00FD6DD9"/>
    <w:rsid w:val="00FE1C27"/>
    <w:rsid w:val="00FE1CF1"/>
    <w:rsid w:val="00FE34AE"/>
    <w:rsid w:val="00FE5C31"/>
    <w:rsid w:val="00FE763B"/>
    <w:rsid w:val="00FF1B0E"/>
    <w:rsid w:val="00FF748B"/>
    <w:rsid w:val="00FF77B6"/>
    <w:rsid w:val="01056664"/>
    <w:rsid w:val="011C0103"/>
    <w:rsid w:val="01246812"/>
    <w:rsid w:val="01266B4B"/>
    <w:rsid w:val="012F50E1"/>
    <w:rsid w:val="0132783D"/>
    <w:rsid w:val="01327A82"/>
    <w:rsid w:val="01372DC6"/>
    <w:rsid w:val="013A66DD"/>
    <w:rsid w:val="013A68B9"/>
    <w:rsid w:val="013F3A77"/>
    <w:rsid w:val="014B4F7B"/>
    <w:rsid w:val="01514AC5"/>
    <w:rsid w:val="01530B13"/>
    <w:rsid w:val="015D6670"/>
    <w:rsid w:val="016246EC"/>
    <w:rsid w:val="01673A74"/>
    <w:rsid w:val="0168051F"/>
    <w:rsid w:val="016D351E"/>
    <w:rsid w:val="0172227D"/>
    <w:rsid w:val="01747E56"/>
    <w:rsid w:val="017768FF"/>
    <w:rsid w:val="017C6D0A"/>
    <w:rsid w:val="01815229"/>
    <w:rsid w:val="01962FD2"/>
    <w:rsid w:val="01964B22"/>
    <w:rsid w:val="01985A6F"/>
    <w:rsid w:val="019953A2"/>
    <w:rsid w:val="019A5CA0"/>
    <w:rsid w:val="019C7C78"/>
    <w:rsid w:val="01AE557C"/>
    <w:rsid w:val="01C50B57"/>
    <w:rsid w:val="01C94987"/>
    <w:rsid w:val="01CE3A0A"/>
    <w:rsid w:val="01D435A5"/>
    <w:rsid w:val="01D61794"/>
    <w:rsid w:val="01D978C9"/>
    <w:rsid w:val="01DC464C"/>
    <w:rsid w:val="01DE7DB1"/>
    <w:rsid w:val="01EC5C3E"/>
    <w:rsid w:val="01EC6ED3"/>
    <w:rsid w:val="01F37D39"/>
    <w:rsid w:val="02064FCA"/>
    <w:rsid w:val="020940A9"/>
    <w:rsid w:val="02111989"/>
    <w:rsid w:val="0213766F"/>
    <w:rsid w:val="02147E04"/>
    <w:rsid w:val="021C2BDE"/>
    <w:rsid w:val="021F0D77"/>
    <w:rsid w:val="02210B4C"/>
    <w:rsid w:val="02337D11"/>
    <w:rsid w:val="02381D9F"/>
    <w:rsid w:val="02393119"/>
    <w:rsid w:val="02395941"/>
    <w:rsid w:val="023D0B8F"/>
    <w:rsid w:val="023D5DE9"/>
    <w:rsid w:val="02401FE2"/>
    <w:rsid w:val="02420477"/>
    <w:rsid w:val="02440CF8"/>
    <w:rsid w:val="024D3FD4"/>
    <w:rsid w:val="02516F48"/>
    <w:rsid w:val="025C1016"/>
    <w:rsid w:val="02637303"/>
    <w:rsid w:val="0265564A"/>
    <w:rsid w:val="026F7C66"/>
    <w:rsid w:val="027431B7"/>
    <w:rsid w:val="027B7EDC"/>
    <w:rsid w:val="027E07FC"/>
    <w:rsid w:val="027E49FA"/>
    <w:rsid w:val="02821EC7"/>
    <w:rsid w:val="02830AE3"/>
    <w:rsid w:val="0294463C"/>
    <w:rsid w:val="02981BF3"/>
    <w:rsid w:val="02A15075"/>
    <w:rsid w:val="02A20E42"/>
    <w:rsid w:val="02A93D50"/>
    <w:rsid w:val="02AC72EA"/>
    <w:rsid w:val="02B04B7F"/>
    <w:rsid w:val="02B16EA6"/>
    <w:rsid w:val="02B3728F"/>
    <w:rsid w:val="02B726F0"/>
    <w:rsid w:val="02B75B9A"/>
    <w:rsid w:val="02BB20F9"/>
    <w:rsid w:val="02CB04E9"/>
    <w:rsid w:val="02D00C06"/>
    <w:rsid w:val="02D4293B"/>
    <w:rsid w:val="02DA57A9"/>
    <w:rsid w:val="02E0420E"/>
    <w:rsid w:val="02E45CCA"/>
    <w:rsid w:val="02F41B9B"/>
    <w:rsid w:val="02FA3649"/>
    <w:rsid w:val="0302061B"/>
    <w:rsid w:val="03021945"/>
    <w:rsid w:val="03041A7E"/>
    <w:rsid w:val="03096539"/>
    <w:rsid w:val="030A0A72"/>
    <w:rsid w:val="03224369"/>
    <w:rsid w:val="03232523"/>
    <w:rsid w:val="032A6C66"/>
    <w:rsid w:val="0332621A"/>
    <w:rsid w:val="033705FE"/>
    <w:rsid w:val="03391357"/>
    <w:rsid w:val="033C5E0D"/>
    <w:rsid w:val="034B7137"/>
    <w:rsid w:val="035345EF"/>
    <w:rsid w:val="03545863"/>
    <w:rsid w:val="03574F05"/>
    <w:rsid w:val="035B58BA"/>
    <w:rsid w:val="036B4775"/>
    <w:rsid w:val="038C0E81"/>
    <w:rsid w:val="038F1A25"/>
    <w:rsid w:val="038F2C54"/>
    <w:rsid w:val="03953737"/>
    <w:rsid w:val="039706A5"/>
    <w:rsid w:val="0398181B"/>
    <w:rsid w:val="03984DDF"/>
    <w:rsid w:val="039876CD"/>
    <w:rsid w:val="039B63FA"/>
    <w:rsid w:val="039C7443"/>
    <w:rsid w:val="03A67415"/>
    <w:rsid w:val="03AA6D8F"/>
    <w:rsid w:val="03AD2F6B"/>
    <w:rsid w:val="03AD58A1"/>
    <w:rsid w:val="03B4319F"/>
    <w:rsid w:val="03B70147"/>
    <w:rsid w:val="03B8409E"/>
    <w:rsid w:val="03BA26C0"/>
    <w:rsid w:val="03BB5EB1"/>
    <w:rsid w:val="03BF010F"/>
    <w:rsid w:val="03C06164"/>
    <w:rsid w:val="03C63FB3"/>
    <w:rsid w:val="03C920ED"/>
    <w:rsid w:val="03CF3C93"/>
    <w:rsid w:val="03CF4D7B"/>
    <w:rsid w:val="03D35563"/>
    <w:rsid w:val="03DA0D79"/>
    <w:rsid w:val="03DA330E"/>
    <w:rsid w:val="03DD130B"/>
    <w:rsid w:val="03E27CBD"/>
    <w:rsid w:val="03E47515"/>
    <w:rsid w:val="03E75E55"/>
    <w:rsid w:val="03EC461B"/>
    <w:rsid w:val="03F17EE3"/>
    <w:rsid w:val="03F30FB2"/>
    <w:rsid w:val="03F4408D"/>
    <w:rsid w:val="03FA54F8"/>
    <w:rsid w:val="03FA6689"/>
    <w:rsid w:val="03FC3B04"/>
    <w:rsid w:val="040160A2"/>
    <w:rsid w:val="040224BB"/>
    <w:rsid w:val="04046FA4"/>
    <w:rsid w:val="04065F03"/>
    <w:rsid w:val="040A2994"/>
    <w:rsid w:val="040B55D0"/>
    <w:rsid w:val="04113FEB"/>
    <w:rsid w:val="0413544B"/>
    <w:rsid w:val="04186EF4"/>
    <w:rsid w:val="041D77FC"/>
    <w:rsid w:val="041F4C9B"/>
    <w:rsid w:val="043826BA"/>
    <w:rsid w:val="04383E6E"/>
    <w:rsid w:val="044131A2"/>
    <w:rsid w:val="044272AF"/>
    <w:rsid w:val="04480C5A"/>
    <w:rsid w:val="044B17BC"/>
    <w:rsid w:val="04581CB1"/>
    <w:rsid w:val="04621119"/>
    <w:rsid w:val="04642403"/>
    <w:rsid w:val="046F18B1"/>
    <w:rsid w:val="047240A1"/>
    <w:rsid w:val="047418B2"/>
    <w:rsid w:val="047832FC"/>
    <w:rsid w:val="04792E06"/>
    <w:rsid w:val="04894A74"/>
    <w:rsid w:val="048D46C1"/>
    <w:rsid w:val="049115B6"/>
    <w:rsid w:val="04916795"/>
    <w:rsid w:val="049422C9"/>
    <w:rsid w:val="049C61FC"/>
    <w:rsid w:val="04A974FE"/>
    <w:rsid w:val="04AA40EF"/>
    <w:rsid w:val="04AB3B8E"/>
    <w:rsid w:val="04AD368C"/>
    <w:rsid w:val="04AF4C7D"/>
    <w:rsid w:val="04AF678D"/>
    <w:rsid w:val="04B32ED9"/>
    <w:rsid w:val="04BE6918"/>
    <w:rsid w:val="04C44478"/>
    <w:rsid w:val="04C904B8"/>
    <w:rsid w:val="04C92FB5"/>
    <w:rsid w:val="04DA7714"/>
    <w:rsid w:val="04E5490C"/>
    <w:rsid w:val="04EC056D"/>
    <w:rsid w:val="04F60562"/>
    <w:rsid w:val="04F86C6C"/>
    <w:rsid w:val="04FF4BFD"/>
    <w:rsid w:val="05055A52"/>
    <w:rsid w:val="05073D2D"/>
    <w:rsid w:val="050C6C36"/>
    <w:rsid w:val="051D030C"/>
    <w:rsid w:val="05205AFD"/>
    <w:rsid w:val="05261CB8"/>
    <w:rsid w:val="05334DC9"/>
    <w:rsid w:val="05380D96"/>
    <w:rsid w:val="053E4293"/>
    <w:rsid w:val="05401C2D"/>
    <w:rsid w:val="054D6798"/>
    <w:rsid w:val="05515A58"/>
    <w:rsid w:val="055A7C97"/>
    <w:rsid w:val="056E3781"/>
    <w:rsid w:val="057220CC"/>
    <w:rsid w:val="05793650"/>
    <w:rsid w:val="057C6238"/>
    <w:rsid w:val="0580326D"/>
    <w:rsid w:val="058B3E67"/>
    <w:rsid w:val="059554DA"/>
    <w:rsid w:val="059850E1"/>
    <w:rsid w:val="059A7E4B"/>
    <w:rsid w:val="059C5893"/>
    <w:rsid w:val="05A253A9"/>
    <w:rsid w:val="05A41DF0"/>
    <w:rsid w:val="05A4669D"/>
    <w:rsid w:val="05A625A8"/>
    <w:rsid w:val="05A946D5"/>
    <w:rsid w:val="05AC4BAC"/>
    <w:rsid w:val="05B03EDB"/>
    <w:rsid w:val="05B61ED4"/>
    <w:rsid w:val="05B86E6A"/>
    <w:rsid w:val="05BC4295"/>
    <w:rsid w:val="05BF1F25"/>
    <w:rsid w:val="05C236AF"/>
    <w:rsid w:val="05C50CB2"/>
    <w:rsid w:val="05C55124"/>
    <w:rsid w:val="05CF5FA2"/>
    <w:rsid w:val="05DF3456"/>
    <w:rsid w:val="05E11883"/>
    <w:rsid w:val="05E65019"/>
    <w:rsid w:val="05E666F6"/>
    <w:rsid w:val="05EB6B22"/>
    <w:rsid w:val="05F2358A"/>
    <w:rsid w:val="05FC6EA6"/>
    <w:rsid w:val="060471D3"/>
    <w:rsid w:val="0608308D"/>
    <w:rsid w:val="060D7B7F"/>
    <w:rsid w:val="061D727E"/>
    <w:rsid w:val="06243E1D"/>
    <w:rsid w:val="062A71AC"/>
    <w:rsid w:val="06325BF4"/>
    <w:rsid w:val="06367DD0"/>
    <w:rsid w:val="063B590B"/>
    <w:rsid w:val="063D2F0C"/>
    <w:rsid w:val="063D47E5"/>
    <w:rsid w:val="06401EF3"/>
    <w:rsid w:val="06415F8F"/>
    <w:rsid w:val="06431377"/>
    <w:rsid w:val="06547798"/>
    <w:rsid w:val="06615EC2"/>
    <w:rsid w:val="06645072"/>
    <w:rsid w:val="067322B0"/>
    <w:rsid w:val="06747E2F"/>
    <w:rsid w:val="06795232"/>
    <w:rsid w:val="067B126A"/>
    <w:rsid w:val="067D21B2"/>
    <w:rsid w:val="06833B6B"/>
    <w:rsid w:val="068511F9"/>
    <w:rsid w:val="068D312B"/>
    <w:rsid w:val="06921C7D"/>
    <w:rsid w:val="069D20B4"/>
    <w:rsid w:val="06A04B10"/>
    <w:rsid w:val="06A36508"/>
    <w:rsid w:val="06AC6D49"/>
    <w:rsid w:val="06AF22F7"/>
    <w:rsid w:val="06C73FCF"/>
    <w:rsid w:val="06CB769A"/>
    <w:rsid w:val="06DB6DFB"/>
    <w:rsid w:val="06E70DC4"/>
    <w:rsid w:val="06E86AEC"/>
    <w:rsid w:val="06EA7A80"/>
    <w:rsid w:val="06FB3C45"/>
    <w:rsid w:val="07030734"/>
    <w:rsid w:val="07076D6F"/>
    <w:rsid w:val="070C4BC3"/>
    <w:rsid w:val="070D040C"/>
    <w:rsid w:val="0719774D"/>
    <w:rsid w:val="071A68C7"/>
    <w:rsid w:val="071C6DD1"/>
    <w:rsid w:val="071D4B6E"/>
    <w:rsid w:val="0723482F"/>
    <w:rsid w:val="072A2D82"/>
    <w:rsid w:val="072E57F1"/>
    <w:rsid w:val="0735351D"/>
    <w:rsid w:val="07381E43"/>
    <w:rsid w:val="07392F8E"/>
    <w:rsid w:val="073C2AFB"/>
    <w:rsid w:val="073C66EB"/>
    <w:rsid w:val="074841EC"/>
    <w:rsid w:val="0749550B"/>
    <w:rsid w:val="07535BC6"/>
    <w:rsid w:val="075823FB"/>
    <w:rsid w:val="076B0951"/>
    <w:rsid w:val="076C5619"/>
    <w:rsid w:val="07777405"/>
    <w:rsid w:val="077C1812"/>
    <w:rsid w:val="077F1302"/>
    <w:rsid w:val="078538A6"/>
    <w:rsid w:val="078D428E"/>
    <w:rsid w:val="078F66BB"/>
    <w:rsid w:val="079469D8"/>
    <w:rsid w:val="07950BB8"/>
    <w:rsid w:val="079B5A9B"/>
    <w:rsid w:val="07A025FC"/>
    <w:rsid w:val="07A30258"/>
    <w:rsid w:val="07A37377"/>
    <w:rsid w:val="07A65996"/>
    <w:rsid w:val="07B0189D"/>
    <w:rsid w:val="07B01B10"/>
    <w:rsid w:val="07B21FEE"/>
    <w:rsid w:val="07C5140B"/>
    <w:rsid w:val="07CB5F71"/>
    <w:rsid w:val="07CE6F21"/>
    <w:rsid w:val="07D751EE"/>
    <w:rsid w:val="07D9535D"/>
    <w:rsid w:val="07DB4C44"/>
    <w:rsid w:val="07E273C8"/>
    <w:rsid w:val="07F87BDD"/>
    <w:rsid w:val="07FE638D"/>
    <w:rsid w:val="07FF401F"/>
    <w:rsid w:val="08024FC0"/>
    <w:rsid w:val="080804DF"/>
    <w:rsid w:val="081622D1"/>
    <w:rsid w:val="081C478C"/>
    <w:rsid w:val="081E2A5F"/>
    <w:rsid w:val="082014D9"/>
    <w:rsid w:val="082055F7"/>
    <w:rsid w:val="08274EA1"/>
    <w:rsid w:val="0827674C"/>
    <w:rsid w:val="082D10CF"/>
    <w:rsid w:val="083A5BA6"/>
    <w:rsid w:val="084105D1"/>
    <w:rsid w:val="08430A92"/>
    <w:rsid w:val="0844358D"/>
    <w:rsid w:val="084F54D5"/>
    <w:rsid w:val="08520E83"/>
    <w:rsid w:val="085B790A"/>
    <w:rsid w:val="086234FA"/>
    <w:rsid w:val="086B2057"/>
    <w:rsid w:val="086F0BD1"/>
    <w:rsid w:val="087A025D"/>
    <w:rsid w:val="087A061F"/>
    <w:rsid w:val="087A48E9"/>
    <w:rsid w:val="087C41AE"/>
    <w:rsid w:val="087C5E83"/>
    <w:rsid w:val="088613DE"/>
    <w:rsid w:val="08982261"/>
    <w:rsid w:val="089963F4"/>
    <w:rsid w:val="089C5A04"/>
    <w:rsid w:val="08A444E1"/>
    <w:rsid w:val="08B20F06"/>
    <w:rsid w:val="08BA3379"/>
    <w:rsid w:val="08C84E5F"/>
    <w:rsid w:val="08CF4B03"/>
    <w:rsid w:val="08D15B8E"/>
    <w:rsid w:val="08D16C79"/>
    <w:rsid w:val="08D40888"/>
    <w:rsid w:val="08D91607"/>
    <w:rsid w:val="08DC6402"/>
    <w:rsid w:val="08E13590"/>
    <w:rsid w:val="08E82B72"/>
    <w:rsid w:val="08EB57B3"/>
    <w:rsid w:val="08EC4981"/>
    <w:rsid w:val="08F12AD4"/>
    <w:rsid w:val="08F71A98"/>
    <w:rsid w:val="08FA22AE"/>
    <w:rsid w:val="08FA76FC"/>
    <w:rsid w:val="08FC5DC2"/>
    <w:rsid w:val="08FD01AA"/>
    <w:rsid w:val="08FF77BF"/>
    <w:rsid w:val="0902043D"/>
    <w:rsid w:val="09067A3E"/>
    <w:rsid w:val="092343EE"/>
    <w:rsid w:val="0925342B"/>
    <w:rsid w:val="09265C5A"/>
    <w:rsid w:val="09274E52"/>
    <w:rsid w:val="092D053D"/>
    <w:rsid w:val="092E42B3"/>
    <w:rsid w:val="093452CF"/>
    <w:rsid w:val="093729E1"/>
    <w:rsid w:val="093802CC"/>
    <w:rsid w:val="093B1C38"/>
    <w:rsid w:val="093B47AB"/>
    <w:rsid w:val="093C1419"/>
    <w:rsid w:val="093C56FD"/>
    <w:rsid w:val="093D6E32"/>
    <w:rsid w:val="09460B2C"/>
    <w:rsid w:val="095078F6"/>
    <w:rsid w:val="09547283"/>
    <w:rsid w:val="0955056D"/>
    <w:rsid w:val="095C1E56"/>
    <w:rsid w:val="09617E80"/>
    <w:rsid w:val="09657494"/>
    <w:rsid w:val="09741D15"/>
    <w:rsid w:val="0978475E"/>
    <w:rsid w:val="097C06E7"/>
    <w:rsid w:val="09811362"/>
    <w:rsid w:val="099059EB"/>
    <w:rsid w:val="099318F4"/>
    <w:rsid w:val="09945541"/>
    <w:rsid w:val="099948FD"/>
    <w:rsid w:val="099F010E"/>
    <w:rsid w:val="09A02008"/>
    <w:rsid w:val="09A950C0"/>
    <w:rsid w:val="09AA41BB"/>
    <w:rsid w:val="09AE1D08"/>
    <w:rsid w:val="09B03B97"/>
    <w:rsid w:val="09B57309"/>
    <w:rsid w:val="09C003E3"/>
    <w:rsid w:val="09C4222A"/>
    <w:rsid w:val="09C450C5"/>
    <w:rsid w:val="09C9564B"/>
    <w:rsid w:val="09CC24CE"/>
    <w:rsid w:val="09D03ABE"/>
    <w:rsid w:val="09D22C8E"/>
    <w:rsid w:val="09D97A7C"/>
    <w:rsid w:val="09DA7220"/>
    <w:rsid w:val="09E85885"/>
    <w:rsid w:val="09EF5417"/>
    <w:rsid w:val="0A037FC9"/>
    <w:rsid w:val="0A110978"/>
    <w:rsid w:val="0A1165D8"/>
    <w:rsid w:val="0A1B48E6"/>
    <w:rsid w:val="0A1D023F"/>
    <w:rsid w:val="0A1D319C"/>
    <w:rsid w:val="0A1F5F84"/>
    <w:rsid w:val="0A2A3A0C"/>
    <w:rsid w:val="0A2E4B32"/>
    <w:rsid w:val="0A2F3035"/>
    <w:rsid w:val="0A3012D1"/>
    <w:rsid w:val="0A31311B"/>
    <w:rsid w:val="0A317AB6"/>
    <w:rsid w:val="0A3522FF"/>
    <w:rsid w:val="0A42023E"/>
    <w:rsid w:val="0A477CF0"/>
    <w:rsid w:val="0A4A0770"/>
    <w:rsid w:val="0A4B7454"/>
    <w:rsid w:val="0A4F35AF"/>
    <w:rsid w:val="0A4F467E"/>
    <w:rsid w:val="0A51425D"/>
    <w:rsid w:val="0A5A1ABE"/>
    <w:rsid w:val="0A5D1EFF"/>
    <w:rsid w:val="0A615356"/>
    <w:rsid w:val="0A6305E4"/>
    <w:rsid w:val="0A6B32CB"/>
    <w:rsid w:val="0A716E32"/>
    <w:rsid w:val="0A717628"/>
    <w:rsid w:val="0A743A6D"/>
    <w:rsid w:val="0A74770A"/>
    <w:rsid w:val="0A753A36"/>
    <w:rsid w:val="0A7916DA"/>
    <w:rsid w:val="0A7C7DD3"/>
    <w:rsid w:val="0A7E24E5"/>
    <w:rsid w:val="0A860399"/>
    <w:rsid w:val="0A88564D"/>
    <w:rsid w:val="0A91756E"/>
    <w:rsid w:val="0A984BB5"/>
    <w:rsid w:val="0A985E65"/>
    <w:rsid w:val="0AA04520"/>
    <w:rsid w:val="0AA55391"/>
    <w:rsid w:val="0AA631A2"/>
    <w:rsid w:val="0AA76525"/>
    <w:rsid w:val="0AAE79D7"/>
    <w:rsid w:val="0AB40540"/>
    <w:rsid w:val="0AB637A5"/>
    <w:rsid w:val="0ABB259F"/>
    <w:rsid w:val="0ABD2A88"/>
    <w:rsid w:val="0ABE12AE"/>
    <w:rsid w:val="0AC5351A"/>
    <w:rsid w:val="0AC85794"/>
    <w:rsid w:val="0ACB6C95"/>
    <w:rsid w:val="0ACE593B"/>
    <w:rsid w:val="0ADE58DD"/>
    <w:rsid w:val="0ADF0E97"/>
    <w:rsid w:val="0AE24082"/>
    <w:rsid w:val="0AE47F3E"/>
    <w:rsid w:val="0AE76079"/>
    <w:rsid w:val="0AEA05E4"/>
    <w:rsid w:val="0AF32F38"/>
    <w:rsid w:val="0B024FFB"/>
    <w:rsid w:val="0B034DC8"/>
    <w:rsid w:val="0B062F5C"/>
    <w:rsid w:val="0B0B7F7B"/>
    <w:rsid w:val="0B0C1812"/>
    <w:rsid w:val="0B0C5B9C"/>
    <w:rsid w:val="0B0F74C9"/>
    <w:rsid w:val="0B1535D5"/>
    <w:rsid w:val="0B1773D1"/>
    <w:rsid w:val="0B1C6496"/>
    <w:rsid w:val="0B1E164C"/>
    <w:rsid w:val="0B2D5E77"/>
    <w:rsid w:val="0B32462C"/>
    <w:rsid w:val="0B3463AF"/>
    <w:rsid w:val="0B383554"/>
    <w:rsid w:val="0B394341"/>
    <w:rsid w:val="0B41349E"/>
    <w:rsid w:val="0B5C547F"/>
    <w:rsid w:val="0B5D0762"/>
    <w:rsid w:val="0B5F0E66"/>
    <w:rsid w:val="0B68270C"/>
    <w:rsid w:val="0B726562"/>
    <w:rsid w:val="0B7C2C29"/>
    <w:rsid w:val="0B800A52"/>
    <w:rsid w:val="0B8E5257"/>
    <w:rsid w:val="0B945521"/>
    <w:rsid w:val="0B9B5591"/>
    <w:rsid w:val="0BA12F8A"/>
    <w:rsid w:val="0BA428EE"/>
    <w:rsid w:val="0BA8707A"/>
    <w:rsid w:val="0BAB0918"/>
    <w:rsid w:val="0BAE00DB"/>
    <w:rsid w:val="0BBA5F6F"/>
    <w:rsid w:val="0BBD3C62"/>
    <w:rsid w:val="0BC07C10"/>
    <w:rsid w:val="0BC12B5D"/>
    <w:rsid w:val="0BC7722C"/>
    <w:rsid w:val="0BC82FE5"/>
    <w:rsid w:val="0BCF528E"/>
    <w:rsid w:val="0BD2745A"/>
    <w:rsid w:val="0BD9544A"/>
    <w:rsid w:val="0BDC6238"/>
    <w:rsid w:val="0BDD68A6"/>
    <w:rsid w:val="0BDE524E"/>
    <w:rsid w:val="0BDE599A"/>
    <w:rsid w:val="0BE10258"/>
    <w:rsid w:val="0BE45EF1"/>
    <w:rsid w:val="0BE77517"/>
    <w:rsid w:val="0BE82804"/>
    <w:rsid w:val="0BF15BF3"/>
    <w:rsid w:val="0BF22A95"/>
    <w:rsid w:val="0BF46F3F"/>
    <w:rsid w:val="0BF621FF"/>
    <w:rsid w:val="0BFC5617"/>
    <w:rsid w:val="0C0156B0"/>
    <w:rsid w:val="0C0A58E5"/>
    <w:rsid w:val="0C0A5E74"/>
    <w:rsid w:val="0C120977"/>
    <w:rsid w:val="0C156140"/>
    <w:rsid w:val="0C1B3130"/>
    <w:rsid w:val="0C212829"/>
    <w:rsid w:val="0C244578"/>
    <w:rsid w:val="0C255844"/>
    <w:rsid w:val="0C272694"/>
    <w:rsid w:val="0C2B38F0"/>
    <w:rsid w:val="0C2E7655"/>
    <w:rsid w:val="0C311A54"/>
    <w:rsid w:val="0C316624"/>
    <w:rsid w:val="0C377C06"/>
    <w:rsid w:val="0C43388C"/>
    <w:rsid w:val="0C4C60A6"/>
    <w:rsid w:val="0C4F5B19"/>
    <w:rsid w:val="0C5D2722"/>
    <w:rsid w:val="0C5E145C"/>
    <w:rsid w:val="0C612659"/>
    <w:rsid w:val="0C612C5C"/>
    <w:rsid w:val="0C6F2BF3"/>
    <w:rsid w:val="0C716AE3"/>
    <w:rsid w:val="0C8068C9"/>
    <w:rsid w:val="0C833FFA"/>
    <w:rsid w:val="0C843673"/>
    <w:rsid w:val="0C865540"/>
    <w:rsid w:val="0C8C699B"/>
    <w:rsid w:val="0C915237"/>
    <w:rsid w:val="0C926606"/>
    <w:rsid w:val="0C927C2D"/>
    <w:rsid w:val="0C995F76"/>
    <w:rsid w:val="0C9D5001"/>
    <w:rsid w:val="0CA13F40"/>
    <w:rsid w:val="0CA5100F"/>
    <w:rsid w:val="0CA5667F"/>
    <w:rsid w:val="0CAC2DE1"/>
    <w:rsid w:val="0CB056F8"/>
    <w:rsid w:val="0CB1198F"/>
    <w:rsid w:val="0CB138A1"/>
    <w:rsid w:val="0CB21F81"/>
    <w:rsid w:val="0CBA5EBF"/>
    <w:rsid w:val="0CC300B9"/>
    <w:rsid w:val="0CC36A50"/>
    <w:rsid w:val="0CC5063E"/>
    <w:rsid w:val="0CD257B7"/>
    <w:rsid w:val="0CD93263"/>
    <w:rsid w:val="0CD970CC"/>
    <w:rsid w:val="0CDA7707"/>
    <w:rsid w:val="0CE865C3"/>
    <w:rsid w:val="0CED11B7"/>
    <w:rsid w:val="0CF2202E"/>
    <w:rsid w:val="0D0425B6"/>
    <w:rsid w:val="0D075E3F"/>
    <w:rsid w:val="0D0A17D8"/>
    <w:rsid w:val="0D0B0CD9"/>
    <w:rsid w:val="0D0E07AB"/>
    <w:rsid w:val="0D0E115E"/>
    <w:rsid w:val="0D100405"/>
    <w:rsid w:val="0D137A8C"/>
    <w:rsid w:val="0D137FC4"/>
    <w:rsid w:val="0D150730"/>
    <w:rsid w:val="0D242BD2"/>
    <w:rsid w:val="0D2619B3"/>
    <w:rsid w:val="0D2A76B4"/>
    <w:rsid w:val="0D2D6EBA"/>
    <w:rsid w:val="0D2F0EA5"/>
    <w:rsid w:val="0D383ABB"/>
    <w:rsid w:val="0D3A01A5"/>
    <w:rsid w:val="0D424DB8"/>
    <w:rsid w:val="0D4252AC"/>
    <w:rsid w:val="0D4255C5"/>
    <w:rsid w:val="0D4C4C43"/>
    <w:rsid w:val="0D6C2A58"/>
    <w:rsid w:val="0D6C4CD9"/>
    <w:rsid w:val="0D6C5846"/>
    <w:rsid w:val="0D6F20D5"/>
    <w:rsid w:val="0D7D357F"/>
    <w:rsid w:val="0D801F16"/>
    <w:rsid w:val="0D820E50"/>
    <w:rsid w:val="0D966267"/>
    <w:rsid w:val="0D9E4AD2"/>
    <w:rsid w:val="0DA0060C"/>
    <w:rsid w:val="0DA01C86"/>
    <w:rsid w:val="0DAA07C7"/>
    <w:rsid w:val="0DB2095D"/>
    <w:rsid w:val="0DCE0DA5"/>
    <w:rsid w:val="0DCE4936"/>
    <w:rsid w:val="0DDD73ED"/>
    <w:rsid w:val="0DE5433B"/>
    <w:rsid w:val="0DE56E50"/>
    <w:rsid w:val="0DE95727"/>
    <w:rsid w:val="0DEA192A"/>
    <w:rsid w:val="0DEA2DB1"/>
    <w:rsid w:val="0DEA5D45"/>
    <w:rsid w:val="0DEB662B"/>
    <w:rsid w:val="0DF01FA3"/>
    <w:rsid w:val="0DF613F1"/>
    <w:rsid w:val="0DF70922"/>
    <w:rsid w:val="0DFC3F7B"/>
    <w:rsid w:val="0DFF4F4B"/>
    <w:rsid w:val="0E0000AB"/>
    <w:rsid w:val="0E093542"/>
    <w:rsid w:val="0E0F69C3"/>
    <w:rsid w:val="0E134EB6"/>
    <w:rsid w:val="0E1D3E75"/>
    <w:rsid w:val="0E1E3299"/>
    <w:rsid w:val="0E22513F"/>
    <w:rsid w:val="0E270784"/>
    <w:rsid w:val="0E29090C"/>
    <w:rsid w:val="0E2A1EE7"/>
    <w:rsid w:val="0E316F1C"/>
    <w:rsid w:val="0E331874"/>
    <w:rsid w:val="0E3441DC"/>
    <w:rsid w:val="0E3B4156"/>
    <w:rsid w:val="0E3C619F"/>
    <w:rsid w:val="0E421FA4"/>
    <w:rsid w:val="0E4968FD"/>
    <w:rsid w:val="0E530A5A"/>
    <w:rsid w:val="0E5A35EF"/>
    <w:rsid w:val="0E5C01E8"/>
    <w:rsid w:val="0E5D1038"/>
    <w:rsid w:val="0E625709"/>
    <w:rsid w:val="0E640E2C"/>
    <w:rsid w:val="0E786D24"/>
    <w:rsid w:val="0E7F1819"/>
    <w:rsid w:val="0E7F235C"/>
    <w:rsid w:val="0E823C27"/>
    <w:rsid w:val="0E843C55"/>
    <w:rsid w:val="0E8631D1"/>
    <w:rsid w:val="0E8E30AE"/>
    <w:rsid w:val="0E8F20EF"/>
    <w:rsid w:val="0E8F4FB9"/>
    <w:rsid w:val="0E9A6F8B"/>
    <w:rsid w:val="0E9C6962"/>
    <w:rsid w:val="0EA00B67"/>
    <w:rsid w:val="0EA2615A"/>
    <w:rsid w:val="0EA51EF3"/>
    <w:rsid w:val="0EA65827"/>
    <w:rsid w:val="0EA94C30"/>
    <w:rsid w:val="0EA95DD7"/>
    <w:rsid w:val="0EB41EF8"/>
    <w:rsid w:val="0EB62159"/>
    <w:rsid w:val="0EB66DE3"/>
    <w:rsid w:val="0EC27BE1"/>
    <w:rsid w:val="0EC7294B"/>
    <w:rsid w:val="0EC872A1"/>
    <w:rsid w:val="0ECA57CC"/>
    <w:rsid w:val="0ECB0B43"/>
    <w:rsid w:val="0ED65A7E"/>
    <w:rsid w:val="0EDD4036"/>
    <w:rsid w:val="0EDF2EF7"/>
    <w:rsid w:val="0EE247D9"/>
    <w:rsid w:val="0EE309BA"/>
    <w:rsid w:val="0EE4486D"/>
    <w:rsid w:val="0EEC2D4A"/>
    <w:rsid w:val="0EED7365"/>
    <w:rsid w:val="0EF209AB"/>
    <w:rsid w:val="0EF4268D"/>
    <w:rsid w:val="0EF703A7"/>
    <w:rsid w:val="0F016078"/>
    <w:rsid w:val="0F022360"/>
    <w:rsid w:val="0F164AFD"/>
    <w:rsid w:val="0F2B48BF"/>
    <w:rsid w:val="0F2D4960"/>
    <w:rsid w:val="0F375198"/>
    <w:rsid w:val="0F3B3437"/>
    <w:rsid w:val="0F3E1484"/>
    <w:rsid w:val="0F421325"/>
    <w:rsid w:val="0F4366A5"/>
    <w:rsid w:val="0F4437CE"/>
    <w:rsid w:val="0F460CBE"/>
    <w:rsid w:val="0F470958"/>
    <w:rsid w:val="0F474774"/>
    <w:rsid w:val="0F4864ED"/>
    <w:rsid w:val="0F492155"/>
    <w:rsid w:val="0F4C20AF"/>
    <w:rsid w:val="0F5565E1"/>
    <w:rsid w:val="0F6E00F9"/>
    <w:rsid w:val="0F6E5828"/>
    <w:rsid w:val="0F790EA8"/>
    <w:rsid w:val="0F792383"/>
    <w:rsid w:val="0F794C09"/>
    <w:rsid w:val="0F7979C1"/>
    <w:rsid w:val="0F824B26"/>
    <w:rsid w:val="0F927F95"/>
    <w:rsid w:val="0F930A6E"/>
    <w:rsid w:val="0F9B283C"/>
    <w:rsid w:val="0FA37174"/>
    <w:rsid w:val="0FAA274B"/>
    <w:rsid w:val="0FAD464E"/>
    <w:rsid w:val="0FB0279A"/>
    <w:rsid w:val="0FB14BA2"/>
    <w:rsid w:val="0FB24F72"/>
    <w:rsid w:val="0FB5389D"/>
    <w:rsid w:val="0FBE3C62"/>
    <w:rsid w:val="0FBF5D4B"/>
    <w:rsid w:val="0FC9397E"/>
    <w:rsid w:val="0FD10748"/>
    <w:rsid w:val="0FD22F83"/>
    <w:rsid w:val="0FD64EF6"/>
    <w:rsid w:val="0FD83CA6"/>
    <w:rsid w:val="0FDD2339"/>
    <w:rsid w:val="0FEF0536"/>
    <w:rsid w:val="10004692"/>
    <w:rsid w:val="100346D6"/>
    <w:rsid w:val="10093E5F"/>
    <w:rsid w:val="101008B4"/>
    <w:rsid w:val="101322D8"/>
    <w:rsid w:val="10170DD1"/>
    <w:rsid w:val="10273A11"/>
    <w:rsid w:val="10283506"/>
    <w:rsid w:val="102A32D9"/>
    <w:rsid w:val="10352179"/>
    <w:rsid w:val="104273E7"/>
    <w:rsid w:val="1043652C"/>
    <w:rsid w:val="10437BBE"/>
    <w:rsid w:val="10465DB3"/>
    <w:rsid w:val="1048276D"/>
    <w:rsid w:val="104B22B9"/>
    <w:rsid w:val="1058227D"/>
    <w:rsid w:val="10644076"/>
    <w:rsid w:val="106C6806"/>
    <w:rsid w:val="106E78E9"/>
    <w:rsid w:val="10735CD5"/>
    <w:rsid w:val="107705D9"/>
    <w:rsid w:val="10824ED5"/>
    <w:rsid w:val="108304E9"/>
    <w:rsid w:val="10857D2C"/>
    <w:rsid w:val="1092436B"/>
    <w:rsid w:val="109602FB"/>
    <w:rsid w:val="10973CDC"/>
    <w:rsid w:val="109C77C7"/>
    <w:rsid w:val="10A0111F"/>
    <w:rsid w:val="10AB340E"/>
    <w:rsid w:val="10AC658C"/>
    <w:rsid w:val="10C92680"/>
    <w:rsid w:val="10CF2C7A"/>
    <w:rsid w:val="10E55D23"/>
    <w:rsid w:val="10EE48C8"/>
    <w:rsid w:val="10F76D7B"/>
    <w:rsid w:val="10FA5350"/>
    <w:rsid w:val="10FD540D"/>
    <w:rsid w:val="10FE0287"/>
    <w:rsid w:val="110033E0"/>
    <w:rsid w:val="110C4B24"/>
    <w:rsid w:val="110E2E47"/>
    <w:rsid w:val="110F7ADC"/>
    <w:rsid w:val="11112A4D"/>
    <w:rsid w:val="112B6C8D"/>
    <w:rsid w:val="112D017C"/>
    <w:rsid w:val="112D4261"/>
    <w:rsid w:val="112D4BA4"/>
    <w:rsid w:val="11365128"/>
    <w:rsid w:val="1139431F"/>
    <w:rsid w:val="113D0264"/>
    <w:rsid w:val="113E16DA"/>
    <w:rsid w:val="114268CC"/>
    <w:rsid w:val="114952B5"/>
    <w:rsid w:val="11496C09"/>
    <w:rsid w:val="114A7A50"/>
    <w:rsid w:val="114C5709"/>
    <w:rsid w:val="114D4E4D"/>
    <w:rsid w:val="1151565E"/>
    <w:rsid w:val="115A722B"/>
    <w:rsid w:val="1160162E"/>
    <w:rsid w:val="11614235"/>
    <w:rsid w:val="11614619"/>
    <w:rsid w:val="116574D4"/>
    <w:rsid w:val="1179708C"/>
    <w:rsid w:val="117A6C71"/>
    <w:rsid w:val="118D0D7D"/>
    <w:rsid w:val="118E17F0"/>
    <w:rsid w:val="118E434D"/>
    <w:rsid w:val="11915109"/>
    <w:rsid w:val="1195277A"/>
    <w:rsid w:val="11A169D9"/>
    <w:rsid w:val="11A31F0C"/>
    <w:rsid w:val="11AF0BB2"/>
    <w:rsid w:val="11BC3F35"/>
    <w:rsid w:val="11C05193"/>
    <w:rsid w:val="11C646FD"/>
    <w:rsid w:val="11C67F8F"/>
    <w:rsid w:val="11CC13CC"/>
    <w:rsid w:val="11CC3396"/>
    <w:rsid w:val="11CD38FF"/>
    <w:rsid w:val="11D40F89"/>
    <w:rsid w:val="11D42709"/>
    <w:rsid w:val="11DD5835"/>
    <w:rsid w:val="11E03E1A"/>
    <w:rsid w:val="11E55115"/>
    <w:rsid w:val="11E76C56"/>
    <w:rsid w:val="11F07011"/>
    <w:rsid w:val="11F65A72"/>
    <w:rsid w:val="11F71A89"/>
    <w:rsid w:val="12015736"/>
    <w:rsid w:val="120B590B"/>
    <w:rsid w:val="120E21E1"/>
    <w:rsid w:val="12105979"/>
    <w:rsid w:val="12107CE1"/>
    <w:rsid w:val="12174DB0"/>
    <w:rsid w:val="122D5386"/>
    <w:rsid w:val="12397936"/>
    <w:rsid w:val="123C771A"/>
    <w:rsid w:val="12477874"/>
    <w:rsid w:val="124803C3"/>
    <w:rsid w:val="124E3344"/>
    <w:rsid w:val="12566372"/>
    <w:rsid w:val="125A2318"/>
    <w:rsid w:val="1265546F"/>
    <w:rsid w:val="126578B2"/>
    <w:rsid w:val="12664FCB"/>
    <w:rsid w:val="1269635D"/>
    <w:rsid w:val="126A1714"/>
    <w:rsid w:val="126A20C1"/>
    <w:rsid w:val="12737CE7"/>
    <w:rsid w:val="127A0009"/>
    <w:rsid w:val="127A6B9D"/>
    <w:rsid w:val="127B54E8"/>
    <w:rsid w:val="127C013F"/>
    <w:rsid w:val="1281224D"/>
    <w:rsid w:val="12815C04"/>
    <w:rsid w:val="12854BF1"/>
    <w:rsid w:val="12863108"/>
    <w:rsid w:val="128939F9"/>
    <w:rsid w:val="1290334C"/>
    <w:rsid w:val="1294268A"/>
    <w:rsid w:val="12A8487B"/>
    <w:rsid w:val="12AA3DB2"/>
    <w:rsid w:val="12AD79D4"/>
    <w:rsid w:val="12AF3B4F"/>
    <w:rsid w:val="12AF6B7D"/>
    <w:rsid w:val="12B00A58"/>
    <w:rsid w:val="12B37C61"/>
    <w:rsid w:val="12B52348"/>
    <w:rsid w:val="12CF1470"/>
    <w:rsid w:val="12CF4663"/>
    <w:rsid w:val="12D16100"/>
    <w:rsid w:val="12E72545"/>
    <w:rsid w:val="12F57F45"/>
    <w:rsid w:val="13021F82"/>
    <w:rsid w:val="130510AC"/>
    <w:rsid w:val="130E18A1"/>
    <w:rsid w:val="1315662A"/>
    <w:rsid w:val="13164777"/>
    <w:rsid w:val="132A754F"/>
    <w:rsid w:val="132C0FAA"/>
    <w:rsid w:val="1331155B"/>
    <w:rsid w:val="1334293B"/>
    <w:rsid w:val="133435A6"/>
    <w:rsid w:val="134962B6"/>
    <w:rsid w:val="135416ED"/>
    <w:rsid w:val="13584F08"/>
    <w:rsid w:val="135C1D2F"/>
    <w:rsid w:val="135C674D"/>
    <w:rsid w:val="136366C8"/>
    <w:rsid w:val="13651CF4"/>
    <w:rsid w:val="13714B77"/>
    <w:rsid w:val="13725DAC"/>
    <w:rsid w:val="13760965"/>
    <w:rsid w:val="13774D5E"/>
    <w:rsid w:val="137A3CDA"/>
    <w:rsid w:val="138F4461"/>
    <w:rsid w:val="13A768B9"/>
    <w:rsid w:val="13A92C7E"/>
    <w:rsid w:val="13B17EAB"/>
    <w:rsid w:val="13B30AE3"/>
    <w:rsid w:val="13B52D50"/>
    <w:rsid w:val="13B77589"/>
    <w:rsid w:val="13BD4646"/>
    <w:rsid w:val="13C407D1"/>
    <w:rsid w:val="13C62BBA"/>
    <w:rsid w:val="13C72255"/>
    <w:rsid w:val="13C753D8"/>
    <w:rsid w:val="13CA1D72"/>
    <w:rsid w:val="13CA38C8"/>
    <w:rsid w:val="13CD0AB4"/>
    <w:rsid w:val="13D14BEC"/>
    <w:rsid w:val="13D30549"/>
    <w:rsid w:val="13D30C18"/>
    <w:rsid w:val="13D50C28"/>
    <w:rsid w:val="13D52A03"/>
    <w:rsid w:val="13D815DD"/>
    <w:rsid w:val="13D9101B"/>
    <w:rsid w:val="13DB361B"/>
    <w:rsid w:val="13DC3EC3"/>
    <w:rsid w:val="13F2541E"/>
    <w:rsid w:val="13F7521A"/>
    <w:rsid w:val="14005867"/>
    <w:rsid w:val="14015067"/>
    <w:rsid w:val="14051B60"/>
    <w:rsid w:val="1405356D"/>
    <w:rsid w:val="1408524F"/>
    <w:rsid w:val="141642BD"/>
    <w:rsid w:val="1418501A"/>
    <w:rsid w:val="14185AFB"/>
    <w:rsid w:val="14191294"/>
    <w:rsid w:val="14193025"/>
    <w:rsid w:val="142A3A14"/>
    <w:rsid w:val="142E590A"/>
    <w:rsid w:val="14327133"/>
    <w:rsid w:val="143369AC"/>
    <w:rsid w:val="14353475"/>
    <w:rsid w:val="1439188B"/>
    <w:rsid w:val="143A631E"/>
    <w:rsid w:val="1441660B"/>
    <w:rsid w:val="1443582D"/>
    <w:rsid w:val="14467204"/>
    <w:rsid w:val="144834E1"/>
    <w:rsid w:val="144A0171"/>
    <w:rsid w:val="144C5802"/>
    <w:rsid w:val="1469766A"/>
    <w:rsid w:val="146E06FC"/>
    <w:rsid w:val="146F3559"/>
    <w:rsid w:val="147238E6"/>
    <w:rsid w:val="14745611"/>
    <w:rsid w:val="1476702E"/>
    <w:rsid w:val="147A5E14"/>
    <w:rsid w:val="1494473E"/>
    <w:rsid w:val="149A307E"/>
    <w:rsid w:val="149F4798"/>
    <w:rsid w:val="14A0526E"/>
    <w:rsid w:val="14A37835"/>
    <w:rsid w:val="14A87052"/>
    <w:rsid w:val="14B103C4"/>
    <w:rsid w:val="14B11E44"/>
    <w:rsid w:val="14B64A7C"/>
    <w:rsid w:val="14B7140E"/>
    <w:rsid w:val="14C2547A"/>
    <w:rsid w:val="14CA0061"/>
    <w:rsid w:val="14CC4BF5"/>
    <w:rsid w:val="14D14E34"/>
    <w:rsid w:val="14D25167"/>
    <w:rsid w:val="14DE5522"/>
    <w:rsid w:val="14E02327"/>
    <w:rsid w:val="14E1184E"/>
    <w:rsid w:val="14E332A0"/>
    <w:rsid w:val="14E54F8B"/>
    <w:rsid w:val="14EC2CF5"/>
    <w:rsid w:val="14ED4D7E"/>
    <w:rsid w:val="14EE0ECB"/>
    <w:rsid w:val="14EE554E"/>
    <w:rsid w:val="14F0022F"/>
    <w:rsid w:val="14F236DC"/>
    <w:rsid w:val="14F5497E"/>
    <w:rsid w:val="14FC0436"/>
    <w:rsid w:val="15035FFD"/>
    <w:rsid w:val="15114340"/>
    <w:rsid w:val="15153C42"/>
    <w:rsid w:val="15191180"/>
    <w:rsid w:val="15284C2D"/>
    <w:rsid w:val="152A66AE"/>
    <w:rsid w:val="152A6C00"/>
    <w:rsid w:val="1530301B"/>
    <w:rsid w:val="153656F6"/>
    <w:rsid w:val="15376E6C"/>
    <w:rsid w:val="15377344"/>
    <w:rsid w:val="154170A3"/>
    <w:rsid w:val="154C35C8"/>
    <w:rsid w:val="15656C74"/>
    <w:rsid w:val="15686972"/>
    <w:rsid w:val="15695ACC"/>
    <w:rsid w:val="156C7641"/>
    <w:rsid w:val="15724B60"/>
    <w:rsid w:val="15765873"/>
    <w:rsid w:val="15791C5F"/>
    <w:rsid w:val="15825CA2"/>
    <w:rsid w:val="158444BD"/>
    <w:rsid w:val="15916DD0"/>
    <w:rsid w:val="15971754"/>
    <w:rsid w:val="159C62BF"/>
    <w:rsid w:val="159E7527"/>
    <w:rsid w:val="15B06C7F"/>
    <w:rsid w:val="15B361FD"/>
    <w:rsid w:val="15BA0160"/>
    <w:rsid w:val="15BB5289"/>
    <w:rsid w:val="15C10055"/>
    <w:rsid w:val="15C253A0"/>
    <w:rsid w:val="15C4283C"/>
    <w:rsid w:val="15CC508D"/>
    <w:rsid w:val="15CE272D"/>
    <w:rsid w:val="15D0025E"/>
    <w:rsid w:val="15D67D97"/>
    <w:rsid w:val="15D77D41"/>
    <w:rsid w:val="15DD0897"/>
    <w:rsid w:val="15DD15EE"/>
    <w:rsid w:val="15E11B06"/>
    <w:rsid w:val="15E13326"/>
    <w:rsid w:val="15E2587E"/>
    <w:rsid w:val="15E432A7"/>
    <w:rsid w:val="15EE2987"/>
    <w:rsid w:val="15F31279"/>
    <w:rsid w:val="1604029D"/>
    <w:rsid w:val="16041608"/>
    <w:rsid w:val="16054DB1"/>
    <w:rsid w:val="16092BF4"/>
    <w:rsid w:val="16135F2A"/>
    <w:rsid w:val="16136BBF"/>
    <w:rsid w:val="16141EBC"/>
    <w:rsid w:val="16194162"/>
    <w:rsid w:val="16213F9E"/>
    <w:rsid w:val="162213D9"/>
    <w:rsid w:val="1628726D"/>
    <w:rsid w:val="162A2370"/>
    <w:rsid w:val="162E300D"/>
    <w:rsid w:val="16360C5B"/>
    <w:rsid w:val="163B5679"/>
    <w:rsid w:val="163E2272"/>
    <w:rsid w:val="163F0EB0"/>
    <w:rsid w:val="16426B42"/>
    <w:rsid w:val="16430B1C"/>
    <w:rsid w:val="16445BF1"/>
    <w:rsid w:val="16476B8A"/>
    <w:rsid w:val="164E73B1"/>
    <w:rsid w:val="165E17E3"/>
    <w:rsid w:val="1666735F"/>
    <w:rsid w:val="16736025"/>
    <w:rsid w:val="16761927"/>
    <w:rsid w:val="167F046A"/>
    <w:rsid w:val="167F4E7B"/>
    <w:rsid w:val="16871F10"/>
    <w:rsid w:val="168C2E92"/>
    <w:rsid w:val="168F66B0"/>
    <w:rsid w:val="168F71CE"/>
    <w:rsid w:val="16997AFA"/>
    <w:rsid w:val="169C52B6"/>
    <w:rsid w:val="169F6627"/>
    <w:rsid w:val="16A20604"/>
    <w:rsid w:val="16A61A50"/>
    <w:rsid w:val="16AC1AAD"/>
    <w:rsid w:val="16B427F2"/>
    <w:rsid w:val="16B603BE"/>
    <w:rsid w:val="16CA0087"/>
    <w:rsid w:val="16CB07D4"/>
    <w:rsid w:val="16D10545"/>
    <w:rsid w:val="16D13C7D"/>
    <w:rsid w:val="16DC2CCF"/>
    <w:rsid w:val="16DD5051"/>
    <w:rsid w:val="16DF0089"/>
    <w:rsid w:val="16E473A2"/>
    <w:rsid w:val="16EF4171"/>
    <w:rsid w:val="16EF526D"/>
    <w:rsid w:val="16F155A2"/>
    <w:rsid w:val="16F15DB6"/>
    <w:rsid w:val="16F2010D"/>
    <w:rsid w:val="16F714F0"/>
    <w:rsid w:val="16FD4B04"/>
    <w:rsid w:val="17040A34"/>
    <w:rsid w:val="1706485C"/>
    <w:rsid w:val="17076E13"/>
    <w:rsid w:val="170B6CF8"/>
    <w:rsid w:val="1714795E"/>
    <w:rsid w:val="171A3209"/>
    <w:rsid w:val="171D4DA9"/>
    <w:rsid w:val="17204550"/>
    <w:rsid w:val="172102EC"/>
    <w:rsid w:val="17262B02"/>
    <w:rsid w:val="172E7B24"/>
    <w:rsid w:val="172F3504"/>
    <w:rsid w:val="17340142"/>
    <w:rsid w:val="17342109"/>
    <w:rsid w:val="1746586F"/>
    <w:rsid w:val="1749410C"/>
    <w:rsid w:val="175023C0"/>
    <w:rsid w:val="1750713D"/>
    <w:rsid w:val="1757379D"/>
    <w:rsid w:val="17576C19"/>
    <w:rsid w:val="175814B7"/>
    <w:rsid w:val="175C0D00"/>
    <w:rsid w:val="175E69A5"/>
    <w:rsid w:val="176302F9"/>
    <w:rsid w:val="177175A5"/>
    <w:rsid w:val="17740D00"/>
    <w:rsid w:val="17751CDB"/>
    <w:rsid w:val="17831DA7"/>
    <w:rsid w:val="1784519F"/>
    <w:rsid w:val="178A6E8E"/>
    <w:rsid w:val="179502FD"/>
    <w:rsid w:val="179D306E"/>
    <w:rsid w:val="17A16E3B"/>
    <w:rsid w:val="17A43A96"/>
    <w:rsid w:val="17A51A88"/>
    <w:rsid w:val="17B64846"/>
    <w:rsid w:val="17C912AF"/>
    <w:rsid w:val="17C92852"/>
    <w:rsid w:val="17CC7A8D"/>
    <w:rsid w:val="17D21CA8"/>
    <w:rsid w:val="17DE5931"/>
    <w:rsid w:val="17EC3984"/>
    <w:rsid w:val="17EC65EE"/>
    <w:rsid w:val="17F16E39"/>
    <w:rsid w:val="17FA4BA6"/>
    <w:rsid w:val="18073F68"/>
    <w:rsid w:val="180A170A"/>
    <w:rsid w:val="180F18CE"/>
    <w:rsid w:val="18107A5B"/>
    <w:rsid w:val="181E077D"/>
    <w:rsid w:val="182201B4"/>
    <w:rsid w:val="182C2055"/>
    <w:rsid w:val="183801FB"/>
    <w:rsid w:val="18425EE3"/>
    <w:rsid w:val="184616E8"/>
    <w:rsid w:val="184749BF"/>
    <w:rsid w:val="18494338"/>
    <w:rsid w:val="185A16FC"/>
    <w:rsid w:val="186708C6"/>
    <w:rsid w:val="186B0157"/>
    <w:rsid w:val="18714C97"/>
    <w:rsid w:val="187219FA"/>
    <w:rsid w:val="18756535"/>
    <w:rsid w:val="18833DE6"/>
    <w:rsid w:val="18835171"/>
    <w:rsid w:val="18882FBE"/>
    <w:rsid w:val="1889049C"/>
    <w:rsid w:val="18924089"/>
    <w:rsid w:val="18997840"/>
    <w:rsid w:val="189C7049"/>
    <w:rsid w:val="18A026D7"/>
    <w:rsid w:val="18A1056B"/>
    <w:rsid w:val="18A34354"/>
    <w:rsid w:val="18A84B5D"/>
    <w:rsid w:val="18AE1AD1"/>
    <w:rsid w:val="18BA27E6"/>
    <w:rsid w:val="18C40CBE"/>
    <w:rsid w:val="18C82B09"/>
    <w:rsid w:val="18CC6448"/>
    <w:rsid w:val="18CC7FB1"/>
    <w:rsid w:val="18D04370"/>
    <w:rsid w:val="18D1287F"/>
    <w:rsid w:val="18D37A39"/>
    <w:rsid w:val="18DD2147"/>
    <w:rsid w:val="18E60FEB"/>
    <w:rsid w:val="18EA394E"/>
    <w:rsid w:val="18EA52ED"/>
    <w:rsid w:val="18EB4648"/>
    <w:rsid w:val="18EB67F8"/>
    <w:rsid w:val="18ED0739"/>
    <w:rsid w:val="18ED7A84"/>
    <w:rsid w:val="18F111D3"/>
    <w:rsid w:val="18F7741E"/>
    <w:rsid w:val="18F9078F"/>
    <w:rsid w:val="190843A5"/>
    <w:rsid w:val="190C6521"/>
    <w:rsid w:val="19135DC5"/>
    <w:rsid w:val="191A18A1"/>
    <w:rsid w:val="192C36FB"/>
    <w:rsid w:val="192D0833"/>
    <w:rsid w:val="192E171E"/>
    <w:rsid w:val="192E3783"/>
    <w:rsid w:val="193625B1"/>
    <w:rsid w:val="193A1B5C"/>
    <w:rsid w:val="19466FFD"/>
    <w:rsid w:val="194A2F52"/>
    <w:rsid w:val="194D3ADA"/>
    <w:rsid w:val="194D5C4F"/>
    <w:rsid w:val="19566367"/>
    <w:rsid w:val="196579A7"/>
    <w:rsid w:val="196865C4"/>
    <w:rsid w:val="196B2F1B"/>
    <w:rsid w:val="197A43F7"/>
    <w:rsid w:val="197F583D"/>
    <w:rsid w:val="198033E4"/>
    <w:rsid w:val="19866520"/>
    <w:rsid w:val="198A3101"/>
    <w:rsid w:val="198B41A4"/>
    <w:rsid w:val="198C31F5"/>
    <w:rsid w:val="198E54AB"/>
    <w:rsid w:val="199537B8"/>
    <w:rsid w:val="19996E30"/>
    <w:rsid w:val="199F56A5"/>
    <w:rsid w:val="19A306CE"/>
    <w:rsid w:val="19A333F4"/>
    <w:rsid w:val="19A42527"/>
    <w:rsid w:val="19A6461F"/>
    <w:rsid w:val="19AD3D3B"/>
    <w:rsid w:val="19B03BF1"/>
    <w:rsid w:val="19B234CC"/>
    <w:rsid w:val="19B258BE"/>
    <w:rsid w:val="19B5302F"/>
    <w:rsid w:val="19B94B48"/>
    <w:rsid w:val="19BB37DB"/>
    <w:rsid w:val="19BD3B6D"/>
    <w:rsid w:val="19BE74D6"/>
    <w:rsid w:val="19C50E71"/>
    <w:rsid w:val="19C52F54"/>
    <w:rsid w:val="19C67E44"/>
    <w:rsid w:val="19CD05F2"/>
    <w:rsid w:val="19D12372"/>
    <w:rsid w:val="19D167EC"/>
    <w:rsid w:val="19D42705"/>
    <w:rsid w:val="19D8089B"/>
    <w:rsid w:val="19D83795"/>
    <w:rsid w:val="19DF305E"/>
    <w:rsid w:val="19E06AB7"/>
    <w:rsid w:val="19E679C4"/>
    <w:rsid w:val="19F52027"/>
    <w:rsid w:val="19FE6A98"/>
    <w:rsid w:val="1A05647A"/>
    <w:rsid w:val="1A0E4AA5"/>
    <w:rsid w:val="1A106391"/>
    <w:rsid w:val="1A122E3C"/>
    <w:rsid w:val="1A1F0E4F"/>
    <w:rsid w:val="1A2128A4"/>
    <w:rsid w:val="1A3366A8"/>
    <w:rsid w:val="1A371556"/>
    <w:rsid w:val="1A384B78"/>
    <w:rsid w:val="1A3A18BF"/>
    <w:rsid w:val="1A3D0133"/>
    <w:rsid w:val="1A451D07"/>
    <w:rsid w:val="1A5124B6"/>
    <w:rsid w:val="1A532233"/>
    <w:rsid w:val="1A6051EC"/>
    <w:rsid w:val="1A6B4224"/>
    <w:rsid w:val="1A6D25DE"/>
    <w:rsid w:val="1A6E76E0"/>
    <w:rsid w:val="1A705ED5"/>
    <w:rsid w:val="1A727F5D"/>
    <w:rsid w:val="1A7C4584"/>
    <w:rsid w:val="1A8062A0"/>
    <w:rsid w:val="1A830C81"/>
    <w:rsid w:val="1A835C66"/>
    <w:rsid w:val="1A851247"/>
    <w:rsid w:val="1A977C51"/>
    <w:rsid w:val="1A99742B"/>
    <w:rsid w:val="1A9A68CF"/>
    <w:rsid w:val="1A9E33B7"/>
    <w:rsid w:val="1AAC42F6"/>
    <w:rsid w:val="1AAE03C2"/>
    <w:rsid w:val="1AC01CFE"/>
    <w:rsid w:val="1AC34876"/>
    <w:rsid w:val="1ACB42F3"/>
    <w:rsid w:val="1ACB47AA"/>
    <w:rsid w:val="1AD51F68"/>
    <w:rsid w:val="1AD86A5A"/>
    <w:rsid w:val="1ADB142B"/>
    <w:rsid w:val="1ADD0E39"/>
    <w:rsid w:val="1ADE1523"/>
    <w:rsid w:val="1ADE7643"/>
    <w:rsid w:val="1AE215AB"/>
    <w:rsid w:val="1AE359EE"/>
    <w:rsid w:val="1AE87576"/>
    <w:rsid w:val="1AE96D67"/>
    <w:rsid w:val="1AEB0366"/>
    <w:rsid w:val="1AF413E9"/>
    <w:rsid w:val="1AFE26C3"/>
    <w:rsid w:val="1AFF01D9"/>
    <w:rsid w:val="1B00762C"/>
    <w:rsid w:val="1B0E03C5"/>
    <w:rsid w:val="1B1A4FBE"/>
    <w:rsid w:val="1B1D12DD"/>
    <w:rsid w:val="1B1D6885"/>
    <w:rsid w:val="1B1F511F"/>
    <w:rsid w:val="1B2311E9"/>
    <w:rsid w:val="1B243A80"/>
    <w:rsid w:val="1B2A4A71"/>
    <w:rsid w:val="1B2B6313"/>
    <w:rsid w:val="1B35752F"/>
    <w:rsid w:val="1B384549"/>
    <w:rsid w:val="1B3A75C2"/>
    <w:rsid w:val="1B4737F3"/>
    <w:rsid w:val="1B536C39"/>
    <w:rsid w:val="1B5970F0"/>
    <w:rsid w:val="1B5C048D"/>
    <w:rsid w:val="1B5E7973"/>
    <w:rsid w:val="1B664252"/>
    <w:rsid w:val="1B69651C"/>
    <w:rsid w:val="1B761F41"/>
    <w:rsid w:val="1B7730C1"/>
    <w:rsid w:val="1B7A75BD"/>
    <w:rsid w:val="1B7C5C55"/>
    <w:rsid w:val="1B8101AF"/>
    <w:rsid w:val="1B816128"/>
    <w:rsid w:val="1B827945"/>
    <w:rsid w:val="1B852F33"/>
    <w:rsid w:val="1B860889"/>
    <w:rsid w:val="1B8962ED"/>
    <w:rsid w:val="1B923200"/>
    <w:rsid w:val="1B9367A2"/>
    <w:rsid w:val="1B9470D9"/>
    <w:rsid w:val="1B962411"/>
    <w:rsid w:val="1B9C5331"/>
    <w:rsid w:val="1BA91340"/>
    <w:rsid w:val="1BA93A6A"/>
    <w:rsid w:val="1BAA6F6F"/>
    <w:rsid w:val="1BAC0A71"/>
    <w:rsid w:val="1BB04929"/>
    <w:rsid w:val="1BB37083"/>
    <w:rsid w:val="1BB4725E"/>
    <w:rsid w:val="1BB6084F"/>
    <w:rsid w:val="1BB63102"/>
    <w:rsid w:val="1BBB250F"/>
    <w:rsid w:val="1BBC04E9"/>
    <w:rsid w:val="1BC13A84"/>
    <w:rsid w:val="1BC259EE"/>
    <w:rsid w:val="1BC71F53"/>
    <w:rsid w:val="1BCC5FF2"/>
    <w:rsid w:val="1BCE0B63"/>
    <w:rsid w:val="1BDF0B9D"/>
    <w:rsid w:val="1BE16D9A"/>
    <w:rsid w:val="1BE81E46"/>
    <w:rsid w:val="1BF76D9C"/>
    <w:rsid w:val="1BFF371D"/>
    <w:rsid w:val="1C06386C"/>
    <w:rsid w:val="1C063BCC"/>
    <w:rsid w:val="1C095859"/>
    <w:rsid w:val="1C1549BE"/>
    <w:rsid w:val="1C1C1930"/>
    <w:rsid w:val="1C1C5084"/>
    <w:rsid w:val="1C1C5220"/>
    <w:rsid w:val="1C1D0B7A"/>
    <w:rsid w:val="1C1D1277"/>
    <w:rsid w:val="1C1F5136"/>
    <w:rsid w:val="1C212BC7"/>
    <w:rsid w:val="1C24274C"/>
    <w:rsid w:val="1C24426E"/>
    <w:rsid w:val="1C2C5011"/>
    <w:rsid w:val="1C2E7B10"/>
    <w:rsid w:val="1C3A31AC"/>
    <w:rsid w:val="1C3F126C"/>
    <w:rsid w:val="1C4A3D51"/>
    <w:rsid w:val="1C4E4299"/>
    <w:rsid w:val="1C50081D"/>
    <w:rsid w:val="1C514338"/>
    <w:rsid w:val="1C560A95"/>
    <w:rsid w:val="1C5D09B2"/>
    <w:rsid w:val="1C60640B"/>
    <w:rsid w:val="1C616954"/>
    <w:rsid w:val="1C626FF2"/>
    <w:rsid w:val="1C632268"/>
    <w:rsid w:val="1C6E27D0"/>
    <w:rsid w:val="1C7D48DC"/>
    <w:rsid w:val="1C831EE5"/>
    <w:rsid w:val="1C8A1499"/>
    <w:rsid w:val="1C8A46D1"/>
    <w:rsid w:val="1C8D0CB4"/>
    <w:rsid w:val="1C914929"/>
    <w:rsid w:val="1C9677C5"/>
    <w:rsid w:val="1C99042C"/>
    <w:rsid w:val="1C9A27C7"/>
    <w:rsid w:val="1C9C03E2"/>
    <w:rsid w:val="1C9C519C"/>
    <w:rsid w:val="1CA33281"/>
    <w:rsid w:val="1CA57EED"/>
    <w:rsid w:val="1CAE4FF3"/>
    <w:rsid w:val="1CB153BD"/>
    <w:rsid w:val="1CBB7B00"/>
    <w:rsid w:val="1CBD15AD"/>
    <w:rsid w:val="1CBE58DB"/>
    <w:rsid w:val="1CC60A6A"/>
    <w:rsid w:val="1CCB6E53"/>
    <w:rsid w:val="1CCD7C15"/>
    <w:rsid w:val="1CCE7307"/>
    <w:rsid w:val="1CD22A55"/>
    <w:rsid w:val="1CD614AB"/>
    <w:rsid w:val="1CDB1DBD"/>
    <w:rsid w:val="1CDF00A2"/>
    <w:rsid w:val="1CDF48C5"/>
    <w:rsid w:val="1CDF6673"/>
    <w:rsid w:val="1CE011A0"/>
    <w:rsid w:val="1CE23FA2"/>
    <w:rsid w:val="1CE4528A"/>
    <w:rsid w:val="1CE63109"/>
    <w:rsid w:val="1CE974F2"/>
    <w:rsid w:val="1CEF156C"/>
    <w:rsid w:val="1CF029E0"/>
    <w:rsid w:val="1CF41CE4"/>
    <w:rsid w:val="1CF43EE9"/>
    <w:rsid w:val="1CFD77ED"/>
    <w:rsid w:val="1CFE1560"/>
    <w:rsid w:val="1D057ED5"/>
    <w:rsid w:val="1D073A3F"/>
    <w:rsid w:val="1D08735E"/>
    <w:rsid w:val="1D116AB3"/>
    <w:rsid w:val="1D176430"/>
    <w:rsid w:val="1D1A76AB"/>
    <w:rsid w:val="1D1C71F9"/>
    <w:rsid w:val="1D2015F8"/>
    <w:rsid w:val="1D205498"/>
    <w:rsid w:val="1D300351"/>
    <w:rsid w:val="1D362C59"/>
    <w:rsid w:val="1D392227"/>
    <w:rsid w:val="1D3A318A"/>
    <w:rsid w:val="1D415DAD"/>
    <w:rsid w:val="1D4553E9"/>
    <w:rsid w:val="1D461BF0"/>
    <w:rsid w:val="1D46246F"/>
    <w:rsid w:val="1D507905"/>
    <w:rsid w:val="1D557350"/>
    <w:rsid w:val="1D5801D4"/>
    <w:rsid w:val="1D584BAA"/>
    <w:rsid w:val="1D6406CA"/>
    <w:rsid w:val="1D6B3C83"/>
    <w:rsid w:val="1D6E4ADD"/>
    <w:rsid w:val="1D707208"/>
    <w:rsid w:val="1D7C3782"/>
    <w:rsid w:val="1D817FA0"/>
    <w:rsid w:val="1D855523"/>
    <w:rsid w:val="1D8D3219"/>
    <w:rsid w:val="1D9456B0"/>
    <w:rsid w:val="1D9758E0"/>
    <w:rsid w:val="1D9D0264"/>
    <w:rsid w:val="1DA07D8B"/>
    <w:rsid w:val="1DA54FF2"/>
    <w:rsid w:val="1DAB77A3"/>
    <w:rsid w:val="1DB15500"/>
    <w:rsid w:val="1DB16D68"/>
    <w:rsid w:val="1DB2648D"/>
    <w:rsid w:val="1DB37ECD"/>
    <w:rsid w:val="1DB52F6A"/>
    <w:rsid w:val="1DBB7F76"/>
    <w:rsid w:val="1DBC4C07"/>
    <w:rsid w:val="1DC83080"/>
    <w:rsid w:val="1DC945BE"/>
    <w:rsid w:val="1DCC1C5F"/>
    <w:rsid w:val="1DD44E24"/>
    <w:rsid w:val="1DD56B3D"/>
    <w:rsid w:val="1DD731EA"/>
    <w:rsid w:val="1DD96B7E"/>
    <w:rsid w:val="1DDC4B35"/>
    <w:rsid w:val="1DDD69E8"/>
    <w:rsid w:val="1DE627C9"/>
    <w:rsid w:val="1DEA64CB"/>
    <w:rsid w:val="1DF319EF"/>
    <w:rsid w:val="1E013C56"/>
    <w:rsid w:val="1E0C11FD"/>
    <w:rsid w:val="1E143C52"/>
    <w:rsid w:val="1E1B095F"/>
    <w:rsid w:val="1E1D1445"/>
    <w:rsid w:val="1E281582"/>
    <w:rsid w:val="1E2846B0"/>
    <w:rsid w:val="1E2F37B8"/>
    <w:rsid w:val="1E3D5D47"/>
    <w:rsid w:val="1E3D6BE6"/>
    <w:rsid w:val="1E413094"/>
    <w:rsid w:val="1E444326"/>
    <w:rsid w:val="1E4A5DFA"/>
    <w:rsid w:val="1E50151E"/>
    <w:rsid w:val="1E603AF0"/>
    <w:rsid w:val="1E6C0801"/>
    <w:rsid w:val="1E6E1460"/>
    <w:rsid w:val="1E723A79"/>
    <w:rsid w:val="1E73014A"/>
    <w:rsid w:val="1E7A16CF"/>
    <w:rsid w:val="1E9240C0"/>
    <w:rsid w:val="1E935AF5"/>
    <w:rsid w:val="1E9B2627"/>
    <w:rsid w:val="1EA142C8"/>
    <w:rsid w:val="1EA263AA"/>
    <w:rsid w:val="1EA26A2B"/>
    <w:rsid w:val="1EA27958"/>
    <w:rsid w:val="1EA3025C"/>
    <w:rsid w:val="1EA336D1"/>
    <w:rsid w:val="1EA65CBE"/>
    <w:rsid w:val="1EAA7408"/>
    <w:rsid w:val="1EAC2737"/>
    <w:rsid w:val="1EC6368B"/>
    <w:rsid w:val="1EC87D5D"/>
    <w:rsid w:val="1ECB1DC7"/>
    <w:rsid w:val="1ED22B1C"/>
    <w:rsid w:val="1ED41619"/>
    <w:rsid w:val="1ED536AB"/>
    <w:rsid w:val="1ED90FDB"/>
    <w:rsid w:val="1EDA17A6"/>
    <w:rsid w:val="1EDD0402"/>
    <w:rsid w:val="1EE45408"/>
    <w:rsid w:val="1EE61E60"/>
    <w:rsid w:val="1EF91E69"/>
    <w:rsid w:val="1EFB0950"/>
    <w:rsid w:val="1EFC62F8"/>
    <w:rsid w:val="1F0277FC"/>
    <w:rsid w:val="1F086BF9"/>
    <w:rsid w:val="1F0D218A"/>
    <w:rsid w:val="1F0D396C"/>
    <w:rsid w:val="1F135806"/>
    <w:rsid w:val="1F184345"/>
    <w:rsid w:val="1F194344"/>
    <w:rsid w:val="1F1A4F85"/>
    <w:rsid w:val="1F261ACE"/>
    <w:rsid w:val="1F2A4495"/>
    <w:rsid w:val="1F2E5F13"/>
    <w:rsid w:val="1F3A513B"/>
    <w:rsid w:val="1F403C75"/>
    <w:rsid w:val="1F4209EC"/>
    <w:rsid w:val="1F42285E"/>
    <w:rsid w:val="1F457B7B"/>
    <w:rsid w:val="1F46730B"/>
    <w:rsid w:val="1F4B1294"/>
    <w:rsid w:val="1F4E7AE0"/>
    <w:rsid w:val="1F523513"/>
    <w:rsid w:val="1F556934"/>
    <w:rsid w:val="1F5B3593"/>
    <w:rsid w:val="1F5C3D24"/>
    <w:rsid w:val="1F5F03DA"/>
    <w:rsid w:val="1F660CDA"/>
    <w:rsid w:val="1F68156F"/>
    <w:rsid w:val="1F7054D7"/>
    <w:rsid w:val="1F8019D9"/>
    <w:rsid w:val="1F83461E"/>
    <w:rsid w:val="1F846228"/>
    <w:rsid w:val="1F8523D3"/>
    <w:rsid w:val="1F882FF2"/>
    <w:rsid w:val="1F883E3C"/>
    <w:rsid w:val="1F884BE2"/>
    <w:rsid w:val="1F9502EA"/>
    <w:rsid w:val="1F9806CF"/>
    <w:rsid w:val="1F9D1251"/>
    <w:rsid w:val="1F9F20EA"/>
    <w:rsid w:val="1FA0657D"/>
    <w:rsid w:val="1FA407DF"/>
    <w:rsid w:val="1FA75DB9"/>
    <w:rsid w:val="1FA97F72"/>
    <w:rsid w:val="1FB94B3E"/>
    <w:rsid w:val="1FC01CD7"/>
    <w:rsid w:val="1FC71731"/>
    <w:rsid w:val="1FC73423"/>
    <w:rsid w:val="1FCA22C7"/>
    <w:rsid w:val="1FD12E7C"/>
    <w:rsid w:val="1FD71884"/>
    <w:rsid w:val="1FDE6375"/>
    <w:rsid w:val="1FDE70B6"/>
    <w:rsid w:val="1FE22663"/>
    <w:rsid w:val="1FE30CEB"/>
    <w:rsid w:val="1FE76DCC"/>
    <w:rsid w:val="1FEA030F"/>
    <w:rsid w:val="1FEF2B65"/>
    <w:rsid w:val="1FF24910"/>
    <w:rsid w:val="1FF24C36"/>
    <w:rsid w:val="1FF34D94"/>
    <w:rsid w:val="1FF82A2F"/>
    <w:rsid w:val="1FF90986"/>
    <w:rsid w:val="1FFF2B12"/>
    <w:rsid w:val="1FFF7528"/>
    <w:rsid w:val="20012786"/>
    <w:rsid w:val="20066196"/>
    <w:rsid w:val="20131AA5"/>
    <w:rsid w:val="20137C22"/>
    <w:rsid w:val="20180C4E"/>
    <w:rsid w:val="2018573C"/>
    <w:rsid w:val="201E0946"/>
    <w:rsid w:val="20225757"/>
    <w:rsid w:val="20242B64"/>
    <w:rsid w:val="20295D55"/>
    <w:rsid w:val="2029725D"/>
    <w:rsid w:val="202A542E"/>
    <w:rsid w:val="202C7AF7"/>
    <w:rsid w:val="203205C3"/>
    <w:rsid w:val="2037509B"/>
    <w:rsid w:val="203B7034"/>
    <w:rsid w:val="203B74C0"/>
    <w:rsid w:val="20562545"/>
    <w:rsid w:val="20580C04"/>
    <w:rsid w:val="20621A95"/>
    <w:rsid w:val="20633E52"/>
    <w:rsid w:val="20697EC2"/>
    <w:rsid w:val="2073587B"/>
    <w:rsid w:val="20785704"/>
    <w:rsid w:val="20790B8D"/>
    <w:rsid w:val="207A35A6"/>
    <w:rsid w:val="207A41B7"/>
    <w:rsid w:val="20841E90"/>
    <w:rsid w:val="208756D8"/>
    <w:rsid w:val="20983709"/>
    <w:rsid w:val="20A61458"/>
    <w:rsid w:val="20B06444"/>
    <w:rsid w:val="20B36A21"/>
    <w:rsid w:val="20C31E08"/>
    <w:rsid w:val="20C441EE"/>
    <w:rsid w:val="20E00AB5"/>
    <w:rsid w:val="20E86C14"/>
    <w:rsid w:val="20E97AC1"/>
    <w:rsid w:val="20EA727E"/>
    <w:rsid w:val="20EA756A"/>
    <w:rsid w:val="20EB7717"/>
    <w:rsid w:val="20F326ED"/>
    <w:rsid w:val="21076C0E"/>
    <w:rsid w:val="21115CE1"/>
    <w:rsid w:val="211309AB"/>
    <w:rsid w:val="211750E9"/>
    <w:rsid w:val="21186AB6"/>
    <w:rsid w:val="211D566B"/>
    <w:rsid w:val="211E221A"/>
    <w:rsid w:val="212A5BB3"/>
    <w:rsid w:val="21315D0D"/>
    <w:rsid w:val="21333304"/>
    <w:rsid w:val="21350F58"/>
    <w:rsid w:val="21435E09"/>
    <w:rsid w:val="214361CB"/>
    <w:rsid w:val="21474687"/>
    <w:rsid w:val="214A0A6B"/>
    <w:rsid w:val="214A116A"/>
    <w:rsid w:val="214B31F1"/>
    <w:rsid w:val="2153731E"/>
    <w:rsid w:val="21553DA3"/>
    <w:rsid w:val="21573F6C"/>
    <w:rsid w:val="215D4269"/>
    <w:rsid w:val="21640F19"/>
    <w:rsid w:val="216C642E"/>
    <w:rsid w:val="216E72AC"/>
    <w:rsid w:val="216F4BAA"/>
    <w:rsid w:val="21742436"/>
    <w:rsid w:val="21761581"/>
    <w:rsid w:val="217854BE"/>
    <w:rsid w:val="217A351F"/>
    <w:rsid w:val="2188761C"/>
    <w:rsid w:val="218D0D4A"/>
    <w:rsid w:val="219A1503"/>
    <w:rsid w:val="219B1A3A"/>
    <w:rsid w:val="21A1317A"/>
    <w:rsid w:val="21A20898"/>
    <w:rsid w:val="21A41A49"/>
    <w:rsid w:val="21A66877"/>
    <w:rsid w:val="21AA26C4"/>
    <w:rsid w:val="21AC384E"/>
    <w:rsid w:val="21AC5C8C"/>
    <w:rsid w:val="21AE4421"/>
    <w:rsid w:val="21B46321"/>
    <w:rsid w:val="21B944CD"/>
    <w:rsid w:val="21BF3717"/>
    <w:rsid w:val="21C03C59"/>
    <w:rsid w:val="21CD4909"/>
    <w:rsid w:val="21CF76D0"/>
    <w:rsid w:val="21CF78AD"/>
    <w:rsid w:val="21D133B8"/>
    <w:rsid w:val="21D84800"/>
    <w:rsid w:val="21DA40C7"/>
    <w:rsid w:val="21E626CF"/>
    <w:rsid w:val="21EE2E5D"/>
    <w:rsid w:val="21EF7C6B"/>
    <w:rsid w:val="21F36041"/>
    <w:rsid w:val="21F954E1"/>
    <w:rsid w:val="21FC61E7"/>
    <w:rsid w:val="21FE735B"/>
    <w:rsid w:val="220167C1"/>
    <w:rsid w:val="22024AEB"/>
    <w:rsid w:val="220D02F5"/>
    <w:rsid w:val="22130638"/>
    <w:rsid w:val="221A6AEA"/>
    <w:rsid w:val="222A0722"/>
    <w:rsid w:val="222A6A90"/>
    <w:rsid w:val="222D400F"/>
    <w:rsid w:val="22322682"/>
    <w:rsid w:val="223E4A1D"/>
    <w:rsid w:val="224D5EF7"/>
    <w:rsid w:val="225226DF"/>
    <w:rsid w:val="22545ADD"/>
    <w:rsid w:val="225D74EB"/>
    <w:rsid w:val="226338A3"/>
    <w:rsid w:val="22645D35"/>
    <w:rsid w:val="226E64E4"/>
    <w:rsid w:val="226F278B"/>
    <w:rsid w:val="2273572C"/>
    <w:rsid w:val="22767EAA"/>
    <w:rsid w:val="227C1FE9"/>
    <w:rsid w:val="22800E97"/>
    <w:rsid w:val="2280592C"/>
    <w:rsid w:val="22806203"/>
    <w:rsid w:val="228D1980"/>
    <w:rsid w:val="22903024"/>
    <w:rsid w:val="22905469"/>
    <w:rsid w:val="229359F1"/>
    <w:rsid w:val="229D24E9"/>
    <w:rsid w:val="22AA6722"/>
    <w:rsid w:val="22AE2B11"/>
    <w:rsid w:val="22B70195"/>
    <w:rsid w:val="22BA2DBA"/>
    <w:rsid w:val="22C0475B"/>
    <w:rsid w:val="22CC733E"/>
    <w:rsid w:val="22D96782"/>
    <w:rsid w:val="22DC6F69"/>
    <w:rsid w:val="22E469A1"/>
    <w:rsid w:val="22E705F3"/>
    <w:rsid w:val="22F4099F"/>
    <w:rsid w:val="22F62969"/>
    <w:rsid w:val="22F81011"/>
    <w:rsid w:val="2306254D"/>
    <w:rsid w:val="23077789"/>
    <w:rsid w:val="230E044D"/>
    <w:rsid w:val="23107950"/>
    <w:rsid w:val="2319615B"/>
    <w:rsid w:val="23257B58"/>
    <w:rsid w:val="233A686A"/>
    <w:rsid w:val="233E3C9A"/>
    <w:rsid w:val="23414E65"/>
    <w:rsid w:val="2348017C"/>
    <w:rsid w:val="235377C7"/>
    <w:rsid w:val="235758FC"/>
    <w:rsid w:val="235A5E50"/>
    <w:rsid w:val="235B7383"/>
    <w:rsid w:val="23600323"/>
    <w:rsid w:val="236F3EF7"/>
    <w:rsid w:val="237A5348"/>
    <w:rsid w:val="23824830"/>
    <w:rsid w:val="238D0D16"/>
    <w:rsid w:val="238E3552"/>
    <w:rsid w:val="239E2117"/>
    <w:rsid w:val="23A979DB"/>
    <w:rsid w:val="23AC3027"/>
    <w:rsid w:val="23B2253D"/>
    <w:rsid w:val="23C4147D"/>
    <w:rsid w:val="23C44080"/>
    <w:rsid w:val="23CD12AE"/>
    <w:rsid w:val="23DD35E4"/>
    <w:rsid w:val="23DE002D"/>
    <w:rsid w:val="23F2607F"/>
    <w:rsid w:val="23F776D8"/>
    <w:rsid w:val="23FD1B6C"/>
    <w:rsid w:val="2400155A"/>
    <w:rsid w:val="2402179C"/>
    <w:rsid w:val="240E6F19"/>
    <w:rsid w:val="24103CC4"/>
    <w:rsid w:val="24105FA5"/>
    <w:rsid w:val="24126CC7"/>
    <w:rsid w:val="241F1CB2"/>
    <w:rsid w:val="242071FD"/>
    <w:rsid w:val="242C2E95"/>
    <w:rsid w:val="24333A79"/>
    <w:rsid w:val="24382188"/>
    <w:rsid w:val="243A72F1"/>
    <w:rsid w:val="243C48D8"/>
    <w:rsid w:val="243D7D25"/>
    <w:rsid w:val="24400FCA"/>
    <w:rsid w:val="24463DBE"/>
    <w:rsid w:val="24482D50"/>
    <w:rsid w:val="244E747A"/>
    <w:rsid w:val="244F690B"/>
    <w:rsid w:val="24597766"/>
    <w:rsid w:val="245B63E1"/>
    <w:rsid w:val="245E13E6"/>
    <w:rsid w:val="245E3E0C"/>
    <w:rsid w:val="245E432F"/>
    <w:rsid w:val="2462791D"/>
    <w:rsid w:val="2463402E"/>
    <w:rsid w:val="246C62EA"/>
    <w:rsid w:val="246F50DB"/>
    <w:rsid w:val="2479295A"/>
    <w:rsid w:val="247C2A99"/>
    <w:rsid w:val="247D28A4"/>
    <w:rsid w:val="247D372C"/>
    <w:rsid w:val="248D1408"/>
    <w:rsid w:val="24911416"/>
    <w:rsid w:val="249127AF"/>
    <w:rsid w:val="249227FD"/>
    <w:rsid w:val="249347F1"/>
    <w:rsid w:val="24982B2B"/>
    <w:rsid w:val="249A2692"/>
    <w:rsid w:val="249B24BC"/>
    <w:rsid w:val="249C261E"/>
    <w:rsid w:val="24A02CDA"/>
    <w:rsid w:val="24A3267C"/>
    <w:rsid w:val="24A57C58"/>
    <w:rsid w:val="24AD6BD8"/>
    <w:rsid w:val="24AF2491"/>
    <w:rsid w:val="24BF043E"/>
    <w:rsid w:val="24BF0F25"/>
    <w:rsid w:val="24CB67BB"/>
    <w:rsid w:val="24D65EFB"/>
    <w:rsid w:val="24D81F62"/>
    <w:rsid w:val="24D8608C"/>
    <w:rsid w:val="24E251E7"/>
    <w:rsid w:val="24E25C7A"/>
    <w:rsid w:val="24F12FFD"/>
    <w:rsid w:val="24F3770A"/>
    <w:rsid w:val="24F91A87"/>
    <w:rsid w:val="24FF1FDB"/>
    <w:rsid w:val="24FF3D57"/>
    <w:rsid w:val="250004C1"/>
    <w:rsid w:val="25094870"/>
    <w:rsid w:val="25160DA3"/>
    <w:rsid w:val="251E0AE9"/>
    <w:rsid w:val="251F6ECC"/>
    <w:rsid w:val="25234685"/>
    <w:rsid w:val="252B00EE"/>
    <w:rsid w:val="252E729F"/>
    <w:rsid w:val="25350B0A"/>
    <w:rsid w:val="25384EE8"/>
    <w:rsid w:val="253A2A46"/>
    <w:rsid w:val="253D691F"/>
    <w:rsid w:val="253F05F7"/>
    <w:rsid w:val="25487A7F"/>
    <w:rsid w:val="25504B68"/>
    <w:rsid w:val="25550187"/>
    <w:rsid w:val="25550B8A"/>
    <w:rsid w:val="255C6D00"/>
    <w:rsid w:val="255E3FBB"/>
    <w:rsid w:val="25631BB1"/>
    <w:rsid w:val="2566431A"/>
    <w:rsid w:val="25707530"/>
    <w:rsid w:val="25745A66"/>
    <w:rsid w:val="257A4807"/>
    <w:rsid w:val="25846666"/>
    <w:rsid w:val="258B0CB9"/>
    <w:rsid w:val="25994967"/>
    <w:rsid w:val="259C7404"/>
    <w:rsid w:val="259D70CC"/>
    <w:rsid w:val="25A3263C"/>
    <w:rsid w:val="25AA7315"/>
    <w:rsid w:val="25B612CE"/>
    <w:rsid w:val="25C10173"/>
    <w:rsid w:val="25C30168"/>
    <w:rsid w:val="25C35365"/>
    <w:rsid w:val="25CA22E5"/>
    <w:rsid w:val="25CA3BA8"/>
    <w:rsid w:val="25CB1854"/>
    <w:rsid w:val="25CC2942"/>
    <w:rsid w:val="25CC669B"/>
    <w:rsid w:val="25CC6B47"/>
    <w:rsid w:val="25D01DD5"/>
    <w:rsid w:val="25DC1ECC"/>
    <w:rsid w:val="25E12C4F"/>
    <w:rsid w:val="25EB7E37"/>
    <w:rsid w:val="25F1288B"/>
    <w:rsid w:val="25F21EE0"/>
    <w:rsid w:val="26011914"/>
    <w:rsid w:val="260B109B"/>
    <w:rsid w:val="2611159E"/>
    <w:rsid w:val="26115306"/>
    <w:rsid w:val="26167EAA"/>
    <w:rsid w:val="261F13E2"/>
    <w:rsid w:val="26213683"/>
    <w:rsid w:val="262670C1"/>
    <w:rsid w:val="262B727F"/>
    <w:rsid w:val="263165C2"/>
    <w:rsid w:val="26335038"/>
    <w:rsid w:val="26355721"/>
    <w:rsid w:val="263C6AB8"/>
    <w:rsid w:val="26410011"/>
    <w:rsid w:val="264228FB"/>
    <w:rsid w:val="265076A5"/>
    <w:rsid w:val="26562AC8"/>
    <w:rsid w:val="26570D20"/>
    <w:rsid w:val="26592DEA"/>
    <w:rsid w:val="26653B98"/>
    <w:rsid w:val="26653F9F"/>
    <w:rsid w:val="266F2496"/>
    <w:rsid w:val="26700408"/>
    <w:rsid w:val="26780E4A"/>
    <w:rsid w:val="267A1AA8"/>
    <w:rsid w:val="267A7E20"/>
    <w:rsid w:val="267B7224"/>
    <w:rsid w:val="26872D7E"/>
    <w:rsid w:val="268923EA"/>
    <w:rsid w:val="268A73D3"/>
    <w:rsid w:val="26942953"/>
    <w:rsid w:val="26971D6D"/>
    <w:rsid w:val="269B257E"/>
    <w:rsid w:val="26A14CFB"/>
    <w:rsid w:val="26A733B0"/>
    <w:rsid w:val="26A74146"/>
    <w:rsid w:val="26AC49E0"/>
    <w:rsid w:val="26B2033A"/>
    <w:rsid w:val="26B33B01"/>
    <w:rsid w:val="26B837DA"/>
    <w:rsid w:val="26CE1E76"/>
    <w:rsid w:val="26D60AE7"/>
    <w:rsid w:val="26E3525B"/>
    <w:rsid w:val="26F414BD"/>
    <w:rsid w:val="26F50B23"/>
    <w:rsid w:val="26F61BE2"/>
    <w:rsid w:val="27086959"/>
    <w:rsid w:val="270A47D0"/>
    <w:rsid w:val="270B2296"/>
    <w:rsid w:val="270E035C"/>
    <w:rsid w:val="271C1B0C"/>
    <w:rsid w:val="271C74C3"/>
    <w:rsid w:val="2720303C"/>
    <w:rsid w:val="27203D0E"/>
    <w:rsid w:val="272715AF"/>
    <w:rsid w:val="27277595"/>
    <w:rsid w:val="27296C05"/>
    <w:rsid w:val="272B5434"/>
    <w:rsid w:val="272B7CE1"/>
    <w:rsid w:val="272C6EB9"/>
    <w:rsid w:val="273479FF"/>
    <w:rsid w:val="27365549"/>
    <w:rsid w:val="27366DD7"/>
    <w:rsid w:val="274B78B6"/>
    <w:rsid w:val="274C41A6"/>
    <w:rsid w:val="274D592E"/>
    <w:rsid w:val="27504ECF"/>
    <w:rsid w:val="275821A5"/>
    <w:rsid w:val="275E5B3F"/>
    <w:rsid w:val="27630446"/>
    <w:rsid w:val="27640998"/>
    <w:rsid w:val="276A122F"/>
    <w:rsid w:val="27711D3B"/>
    <w:rsid w:val="2776060C"/>
    <w:rsid w:val="277C7404"/>
    <w:rsid w:val="277F2B57"/>
    <w:rsid w:val="27822A1D"/>
    <w:rsid w:val="27824C5F"/>
    <w:rsid w:val="278359BC"/>
    <w:rsid w:val="27857434"/>
    <w:rsid w:val="27886B4A"/>
    <w:rsid w:val="279474E1"/>
    <w:rsid w:val="27A10C29"/>
    <w:rsid w:val="27A961FC"/>
    <w:rsid w:val="27AC65CB"/>
    <w:rsid w:val="27AC6781"/>
    <w:rsid w:val="27AD7FAB"/>
    <w:rsid w:val="27AE550B"/>
    <w:rsid w:val="27B00DB9"/>
    <w:rsid w:val="27B05962"/>
    <w:rsid w:val="27B257E6"/>
    <w:rsid w:val="27B57501"/>
    <w:rsid w:val="27C065BA"/>
    <w:rsid w:val="27C2427E"/>
    <w:rsid w:val="27C303A3"/>
    <w:rsid w:val="27CE764C"/>
    <w:rsid w:val="27CF5FD4"/>
    <w:rsid w:val="27CF7A19"/>
    <w:rsid w:val="27D16E8D"/>
    <w:rsid w:val="27D52EE1"/>
    <w:rsid w:val="27D93150"/>
    <w:rsid w:val="27E64D5A"/>
    <w:rsid w:val="27FA1427"/>
    <w:rsid w:val="27FD2DA0"/>
    <w:rsid w:val="28026AEF"/>
    <w:rsid w:val="280C4787"/>
    <w:rsid w:val="280C597B"/>
    <w:rsid w:val="280D58F0"/>
    <w:rsid w:val="280D678A"/>
    <w:rsid w:val="28106910"/>
    <w:rsid w:val="281412A8"/>
    <w:rsid w:val="281C2E42"/>
    <w:rsid w:val="281D3672"/>
    <w:rsid w:val="282017F3"/>
    <w:rsid w:val="28224827"/>
    <w:rsid w:val="282B4E5E"/>
    <w:rsid w:val="28377F8D"/>
    <w:rsid w:val="283F0C31"/>
    <w:rsid w:val="2841252C"/>
    <w:rsid w:val="28447B97"/>
    <w:rsid w:val="28456988"/>
    <w:rsid w:val="284C5E1A"/>
    <w:rsid w:val="284E086D"/>
    <w:rsid w:val="28525501"/>
    <w:rsid w:val="2853163C"/>
    <w:rsid w:val="28625930"/>
    <w:rsid w:val="286D657F"/>
    <w:rsid w:val="286F5B1F"/>
    <w:rsid w:val="28766BC1"/>
    <w:rsid w:val="28797626"/>
    <w:rsid w:val="287B127F"/>
    <w:rsid w:val="287F6F5C"/>
    <w:rsid w:val="288014B5"/>
    <w:rsid w:val="28812CD5"/>
    <w:rsid w:val="2881461D"/>
    <w:rsid w:val="28882CBE"/>
    <w:rsid w:val="28892808"/>
    <w:rsid w:val="28920D22"/>
    <w:rsid w:val="289871C2"/>
    <w:rsid w:val="28A40E75"/>
    <w:rsid w:val="28A41443"/>
    <w:rsid w:val="28A7177D"/>
    <w:rsid w:val="28AB65DF"/>
    <w:rsid w:val="28AE27F3"/>
    <w:rsid w:val="28C23A01"/>
    <w:rsid w:val="28C74998"/>
    <w:rsid w:val="28C93AC3"/>
    <w:rsid w:val="28E42158"/>
    <w:rsid w:val="28E8116A"/>
    <w:rsid w:val="28E90F64"/>
    <w:rsid w:val="28EC17CE"/>
    <w:rsid w:val="28F1013D"/>
    <w:rsid w:val="28FB1BAC"/>
    <w:rsid w:val="28FB5C22"/>
    <w:rsid w:val="29077701"/>
    <w:rsid w:val="2909341C"/>
    <w:rsid w:val="290D7642"/>
    <w:rsid w:val="29180602"/>
    <w:rsid w:val="29186E85"/>
    <w:rsid w:val="291E5BAE"/>
    <w:rsid w:val="292677B7"/>
    <w:rsid w:val="29332D7E"/>
    <w:rsid w:val="293572B2"/>
    <w:rsid w:val="29381045"/>
    <w:rsid w:val="293B6D30"/>
    <w:rsid w:val="29433A05"/>
    <w:rsid w:val="294D2BB7"/>
    <w:rsid w:val="295120AB"/>
    <w:rsid w:val="296622CE"/>
    <w:rsid w:val="296B4BE6"/>
    <w:rsid w:val="29704B40"/>
    <w:rsid w:val="29772DD2"/>
    <w:rsid w:val="29797660"/>
    <w:rsid w:val="297C4047"/>
    <w:rsid w:val="2983149E"/>
    <w:rsid w:val="298E0A8B"/>
    <w:rsid w:val="29903309"/>
    <w:rsid w:val="2991426D"/>
    <w:rsid w:val="299444F6"/>
    <w:rsid w:val="299B791D"/>
    <w:rsid w:val="29A0142B"/>
    <w:rsid w:val="29A45D80"/>
    <w:rsid w:val="29A6119E"/>
    <w:rsid w:val="29A70519"/>
    <w:rsid w:val="29A743F5"/>
    <w:rsid w:val="29AB5CD6"/>
    <w:rsid w:val="29AF561F"/>
    <w:rsid w:val="29B90A5B"/>
    <w:rsid w:val="29BD3616"/>
    <w:rsid w:val="29BF7A57"/>
    <w:rsid w:val="29C311A0"/>
    <w:rsid w:val="29C476DB"/>
    <w:rsid w:val="29CC14CC"/>
    <w:rsid w:val="29CC6864"/>
    <w:rsid w:val="29CF4FC5"/>
    <w:rsid w:val="29CF6B60"/>
    <w:rsid w:val="29D01E9B"/>
    <w:rsid w:val="29DF45F4"/>
    <w:rsid w:val="29EB07FA"/>
    <w:rsid w:val="29F1583B"/>
    <w:rsid w:val="29F179E6"/>
    <w:rsid w:val="29F9234A"/>
    <w:rsid w:val="2A053A79"/>
    <w:rsid w:val="2A075DD3"/>
    <w:rsid w:val="2A0E6314"/>
    <w:rsid w:val="2A0F11ED"/>
    <w:rsid w:val="2A132776"/>
    <w:rsid w:val="2A1A6D6F"/>
    <w:rsid w:val="2A245CB1"/>
    <w:rsid w:val="2A254F10"/>
    <w:rsid w:val="2A373419"/>
    <w:rsid w:val="2A3A279C"/>
    <w:rsid w:val="2A3C21D5"/>
    <w:rsid w:val="2A3D3C9E"/>
    <w:rsid w:val="2A461AE0"/>
    <w:rsid w:val="2A4620B2"/>
    <w:rsid w:val="2A495A74"/>
    <w:rsid w:val="2A4C40DF"/>
    <w:rsid w:val="2A4D2368"/>
    <w:rsid w:val="2A56221D"/>
    <w:rsid w:val="2A573D00"/>
    <w:rsid w:val="2A5A18C4"/>
    <w:rsid w:val="2A5C4A68"/>
    <w:rsid w:val="2A5E6378"/>
    <w:rsid w:val="2A5F2BA2"/>
    <w:rsid w:val="2A6029FD"/>
    <w:rsid w:val="2A621E43"/>
    <w:rsid w:val="2A6277F0"/>
    <w:rsid w:val="2A653B1B"/>
    <w:rsid w:val="2A691364"/>
    <w:rsid w:val="2A724988"/>
    <w:rsid w:val="2A7861F6"/>
    <w:rsid w:val="2A7D25E2"/>
    <w:rsid w:val="2A7D5A3D"/>
    <w:rsid w:val="2A85460D"/>
    <w:rsid w:val="2A87565C"/>
    <w:rsid w:val="2A8D4A45"/>
    <w:rsid w:val="2A8E62C9"/>
    <w:rsid w:val="2A900A00"/>
    <w:rsid w:val="2A932D46"/>
    <w:rsid w:val="2AA247BE"/>
    <w:rsid w:val="2AAA07C5"/>
    <w:rsid w:val="2AAF3887"/>
    <w:rsid w:val="2AB32EED"/>
    <w:rsid w:val="2AB93496"/>
    <w:rsid w:val="2ABB0709"/>
    <w:rsid w:val="2ABC35A1"/>
    <w:rsid w:val="2AC210CC"/>
    <w:rsid w:val="2AD34A0A"/>
    <w:rsid w:val="2AD6727E"/>
    <w:rsid w:val="2AE213F6"/>
    <w:rsid w:val="2AE65071"/>
    <w:rsid w:val="2AF6758A"/>
    <w:rsid w:val="2AFC349E"/>
    <w:rsid w:val="2B0025D7"/>
    <w:rsid w:val="2B044780"/>
    <w:rsid w:val="2B08626C"/>
    <w:rsid w:val="2B105922"/>
    <w:rsid w:val="2B120584"/>
    <w:rsid w:val="2B1F5DEE"/>
    <w:rsid w:val="2B290EC9"/>
    <w:rsid w:val="2B2C493D"/>
    <w:rsid w:val="2B362A0F"/>
    <w:rsid w:val="2B3C674C"/>
    <w:rsid w:val="2B403850"/>
    <w:rsid w:val="2B4201F8"/>
    <w:rsid w:val="2B4926CC"/>
    <w:rsid w:val="2B50238A"/>
    <w:rsid w:val="2B5102DE"/>
    <w:rsid w:val="2B51698E"/>
    <w:rsid w:val="2B5A47FC"/>
    <w:rsid w:val="2B626FC3"/>
    <w:rsid w:val="2B710DDE"/>
    <w:rsid w:val="2B7A4A43"/>
    <w:rsid w:val="2B7A51CB"/>
    <w:rsid w:val="2B894C35"/>
    <w:rsid w:val="2B8C45DA"/>
    <w:rsid w:val="2B8F0135"/>
    <w:rsid w:val="2B9274C4"/>
    <w:rsid w:val="2B964E6E"/>
    <w:rsid w:val="2BA64F9D"/>
    <w:rsid w:val="2BA74026"/>
    <w:rsid w:val="2BAD0059"/>
    <w:rsid w:val="2BAF28FF"/>
    <w:rsid w:val="2BB05F93"/>
    <w:rsid w:val="2BB15833"/>
    <w:rsid w:val="2BB208B1"/>
    <w:rsid w:val="2BB222C7"/>
    <w:rsid w:val="2BB9186A"/>
    <w:rsid w:val="2BBA1AB4"/>
    <w:rsid w:val="2BBC2687"/>
    <w:rsid w:val="2BBE3A1E"/>
    <w:rsid w:val="2BCB1289"/>
    <w:rsid w:val="2BCC5CFB"/>
    <w:rsid w:val="2BD2366F"/>
    <w:rsid w:val="2BD74861"/>
    <w:rsid w:val="2BDE3F6E"/>
    <w:rsid w:val="2BEC1234"/>
    <w:rsid w:val="2BEC4B59"/>
    <w:rsid w:val="2BEF6ED6"/>
    <w:rsid w:val="2BF1308B"/>
    <w:rsid w:val="2BF60C1B"/>
    <w:rsid w:val="2C047D98"/>
    <w:rsid w:val="2C091002"/>
    <w:rsid w:val="2C0B756F"/>
    <w:rsid w:val="2C0F03C8"/>
    <w:rsid w:val="2C10416B"/>
    <w:rsid w:val="2C152C2D"/>
    <w:rsid w:val="2C2045B2"/>
    <w:rsid w:val="2C2D15DD"/>
    <w:rsid w:val="2C2D3788"/>
    <w:rsid w:val="2C335C64"/>
    <w:rsid w:val="2C3502BE"/>
    <w:rsid w:val="2C3D7EBB"/>
    <w:rsid w:val="2C4341AC"/>
    <w:rsid w:val="2C4958B7"/>
    <w:rsid w:val="2C4C248F"/>
    <w:rsid w:val="2C4E7569"/>
    <w:rsid w:val="2C512033"/>
    <w:rsid w:val="2C513A99"/>
    <w:rsid w:val="2C576511"/>
    <w:rsid w:val="2C5C6B56"/>
    <w:rsid w:val="2C5C7768"/>
    <w:rsid w:val="2C6D67C4"/>
    <w:rsid w:val="2C755126"/>
    <w:rsid w:val="2C7A54B8"/>
    <w:rsid w:val="2C7B7F24"/>
    <w:rsid w:val="2C7E4100"/>
    <w:rsid w:val="2C8233AC"/>
    <w:rsid w:val="2C8632F5"/>
    <w:rsid w:val="2C8A7455"/>
    <w:rsid w:val="2C8D7E9A"/>
    <w:rsid w:val="2C91679C"/>
    <w:rsid w:val="2C923702"/>
    <w:rsid w:val="2C92725E"/>
    <w:rsid w:val="2C9307CA"/>
    <w:rsid w:val="2C941177"/>
    <w:rsid w:val="2C9560B2"/>
    <w:rsid w:val="2C9D71CE"/>
    <w:rsid w:val="2C9F1552"/>
    <w:rsid w:val="2CA361BA"/>
    <w:rsid w:val="2CA5074E"/>
    <w:rsid w:val="2CA723FB"/>
    <w:rsid w:val="2CA73DA8"/>
    <w:rsid w:val="2CAF1E83"/>
    <w:rsid w:val="2CB15DF7"/>
    <w:rsid w:val="2CBD4B00"/>
    <w:rsid w:val="2CBF7DA3"/>
    <w:rsid w:val="2CCD454D"/>
    <w:rsid w:val="2CD753C1"/>
    <w:rsid w:val="2CD8482D"/>
    <w:rsid w:val="2CD85A8C"/>
    <w:rsid w:val="2CDD4252"/>
    <w:rsid w:val="2CE24587"/>
    <w:rsid w:val="2CEB1D6C"/>
    <w:rsid w:val="2CED551D"/>
    <w:rsid w:val="2D052D88"/>
    <w:rsid w:val="2D054D76"/>
    <w:rsid w:val="2D0C0ED6"/>
    <w:rsid w:val="2D113BDA"/>
    <w:rsid w:val="2D150B97"/>
    <w:rsid w:val="2D1E3CB5"/>
    <w:rsid w:val="2D1E5C93"/>
    <w:rsid w:val="2D22026D"/>
    <w:rsid w:val="2D296FEB"/>
    <w:rsid w:val="2D322D52"/>
    <w:rsid w:val="2D3262D5"/>
    <w:rsid w:val="2D431DB3"/>
    <w:rsid w:val="2D443ED8"/>
    <w:rsid w:val="2D4C1B03"/>
    <w:rsid w:val="2D4C5F80"/>
    <w:rsid w:val="2D4C7C52"/>
    <w:rsid w:val="2D5015B6"/>
    <w:rsid w:val="2D520565"/>
    <w:rsid w:val="2D5B38DD"/>
    <w:rsid w:val="2D5C151C"/>
    <w:rsid w:val="2D624A33"/>
    <w:rsid w:val="2D642FCF"/>
    <w:rsid w:val="2D693ED2"/>
    <w:rsid w:val="2D6A1952"/>
    <w:rsid w:val="2D746E52"/>
    <w:rsid w:val="2D7B5571"/>
    <w:rsid w:val="2D890723"/>
    <w:rsid w:val="2D917516"/>
    <w:rsid w:val="2D956DC9"/>
    <w:rsid w:val="2D96573A"/>
    <w:rsid w:val="2D981C83"/>
    <w:rsid w:val="2D9D5DE8"/>
    <w:rsid w:val="2DA64C11"/>
    <w:rsid w:val="2DC055A0"/>
    <w:rsid w:val="2DC60312"/>
    <w:rsid w:val="2DC60707"/>
    <w:rsid w:val="2DC80A24"/>
    <w:rsid w:val="2DC93122"/>
    <w:rsid w:val="2DCA0C7A"/>
    <w:rsid w:val="2DD212F1"/>
    <w:rsid w:val="2DDE5CEF"/>
    <w:rsid w:val="2DE20BD4"/>
    <w:rsid w:val="2DEB2C5D"/>
    <w:rsid w:val="2DF5008C"/>
    <w:rsid w:val="2E103E63"/>
    <w:rsid w:val="2E172FC3"/>
    <w:rsid w:val="2E296E5A"/>
    <w:rsid w:val="2E322D3A"/>
    <w:rsid w:val="2E326001"/>
    <w:rsid w:val="2E341DD7"/>
    <w:rsid w:val="2E34221D"/>
    <w:rsid w:val="2E3809D2"/>
    <w:rsid w:val="2E3B55A5"/>
    <w:rsid w:val="2E421EC8"/>
    <w:rsid w:val="2E4A16A0"/>
    <w:rsid w:val="2E4C6A2A"/>
    <w:rsid w:val="2E554436"/>
    <w:rsid w:val="2E56199B"/>
    <w:rsid w:val="2E592149"/>
    <w:rsid w:val="2E636CD0"/>
    <w:rsid w:val="2E642627"/>
    <w:rsid w:val="2E6D5E7D"/>
    <w:rsid w:val="2E7110F5"/>
    <w:rsid w:val="2E7320CE"/>
    <w:rsid w:val="2E757EFF"/>
    <w:rsid w:val="2E7708FA"/>
    <w:rsid w:val="2E805031"/>
    <w:rsid w:val="2E8378F9"/>
    <w:rsid w:val="2E854F07"/>
    <w:rsid w:val="2E8C23C9"/>
    <w:rsid w:val="2E8C41AB"/>
    <w:rsid w:val="2E933F04"/>
    <w:rsid w:val="2E99421D"/>
    <w:rsid w:val="2E9E21D1"/>
    <w:rsid w:val="2EA41C48"/>
    <w:rsid w:val="2EAB22DC"/>
    <w:rsid w:val="2EAE5FB3"/>
    <w:rsid w:val="2EAF4D7A"/>
    <w:rsid w:val="2EB00596"/>
    <w:rsid w:val="2EB21E3A"/>
    <w:rsid w:val="2EBA587E"/>
    <w:rsid w:val="2EBD3064"/>
    <w:rsid w:val="2EC05FE7"/>
    <w:rsid w:val="2EC26466"/>
    <w:rsid w:val="2ED43BD2"/>
    <w:rsid w:val="2EE9585B"/>
    <w:rsid w:val="2EEB6B28"/>
    <w:rsid w:val="2EEE2378"/>
    <w:rsid w:val="2EF169A6"/>
    <w:rsid w:val="2EF204E5"/>
    <w:rsid w:val="2EFC62E0"/>
    <w:rsid w:val="2F0429CA"/>
    <w:rsid w:val="2F0B46A2"/>
    <w:rsid w:val="2F0E335D"/>
    <w:rsid w:val="2F0E677D"/>
    <w:rsid w:val="2F144012"/>
    <w:rsid w:val="2F1D5D39"/>
    <w:rsid w:val="2F2617A7"/>
    <w:rsid w:val="2F282F9A"/>
    <w:rsid w:val="2F34515A"/>
    <w:rsid w:val="2F3B7C94"/>
    <w:rsid w:val="2F4108DB"/>
    <w:rsid w:val="2F4901B4"/>
    <w:rsid w:val="2F544D2A"/>
    <w:rsid w:val="2F5F0E72"/>
    <w:rsid w:val="2F630CE2"/>
    <w:rsid w:val="2F692E92"/>
    <w:rsid w:val="2F6B6336"/>
    <w:rsid w:val="2F6C3523"/>
    <w:rsid w:val="2F710330"/>
    <w:rsid w:val="2F7B70F8"/>
    <w:rsid w:val="2F811E68"/>
    <w:rsid w:val="2F814135"/>
    <w:rsid w:val="2F83513E"/>
    <w:rsid w:val="2F843D81"/>
    <w:rsid w:val="2F8B4BD7"/>
    <w:rsid w:val="2F8D0F06"/>
    <w:rsid w:val="2F951EFA"/>
    <w:rsid w:val="2F9525CE"/>
    <w:rsid w:val="2FA15554"/>
    <w:rsid w:val="2FAF2E51"/>
    <w:rsid w:val="2FB2109E"/>
    <w:rsid w:val="2FB9600E"/>
    <w:rsid w:val="2FBA3784"/>
    <w:rsid w:val="2FBA5362"/>
    <w:rsid w:val="2FC0182E"/>
    <w:rsid w:val="2FC115B8"/>
    <w:rsid w:val="2FC55434"/>
    <w:rsid w:val="2FCA3920"/>
    <w:rsid w:val="2FCF7B64"/>
    <w:rsid w:val="2FD437A7"/>
    <w:rsid w:val="2FD64A53"/>
    <w:rsid w:val="2FD81D8F"/>
    <w:rsid w:val="2FDB2CCA"/>
    <w:rsid w:val="2FE17C3A"/>
    <w:rsid w:val="2FEE365E"/>
    <w:rsid w:val="2FF12D33"/>
    <w:rsid w:val="2FF2327A"/>
    <w:rsid w:val="2FF320B7"/>
    <w:rsid w:val="2FF8610C"/>
    <w:rsid w:val="300970E3"/>
    <w:rsid w:val="300B0AFF"/>
    <w:rsid w:val="3012545F"/>
    <w:rsid w:val="301723DF"/>
    <w:rsid w:val="301B48DC"/>
    <w:rsid w:val="30236634"/>
    <w:rsid w:val="3028012C"/>
    <w:rsid w:val="302A32D4"/>
    <w:rsid w:val="302E3742"/>
    <w:rsid w:val="303A44D4"/>
    <w:rsid w:val="303D5733"/>
    <w:rsid w:val="30450A8C"/>
    <w:rsid w:val="30451368"/>
    <w:rsid w:val="304567D2"/>
    <w:rsid w:val="30456BFD"/>
    <w:rsid w:val="30463635"/>
    <w:rsid w:val="304F4103"/>
    <w:rsid w:val="30530618"/>
    <w:rsid w:val="305848C0"/>
    <w:rsid w:val="30625E54"/>
    <w:rsid w:val="30680370"/>
    <w:rsid w:val="30753DAD"/>
    <w:rsid w:val="3078676B"/>
    <w:rsid w:val="307F507C"/>
    <w:rsid w:val="3083623A"/>
    <w:rsid w:val="3086412A"/>
    <w:rsid w:val="308D5315"/>
    <w:rsid w:val="308F0018"/>
    <w:rsid w:val="30910409"/>
    <w:rsid w:val="30A212D0"/>
    <w:rsid w:val="30A22559"/>
    <w:rsid w:val="30A73F48"/>
    <w:rsid w:val="30A75B39"/>
    <w:rsid w:val="30A92D0C"/>
    <w:rsid w:val="30B95E9D"/>
    <w:rsid w:val="30BE2FB2"/>
    <w:rsid w:val="30BF2369"/>
    <w:rsid w:val="30BF2F44"/>
    <w:rsid w:val="30C714A1"/>
    <w:rsid w:val="30C8357A"/>
    <w:rsid w:val="30CC3EF1"/>
    <w:rsid w:val="30CC4D09"/>
    <w:rsid w:val="30CE0A5C"/>
    <w:rsid w:val="30DD67AD"/>
    <w:rsid w:val="30E06F3B"/>
    <w:rsid w:val="30E3452C"/>
    <w:rsid w:val="30E42A74"/>
    <w:rsid w:val="30E56E1D"/>
    <w:rsid w:val="30E658B5"/>
    <w:rsid w:val="30E93E21"/>
    <w:rsid w:val="30EA1395"/>
    <w:rsid w:val="30ED0CB7"/>
    <w:rsid w:val="30F91FD5"/>
    <w:rsid w:val="30FD7CAF"/>
    <w:rsid w:val="30FF2934"/>
    <w:rsid w:val="31003061"/>
    <w:rsid w:val="31031508"/>
    <w:rsid w:val="310418D5"/>
    <w:rsid w:val="3119218F"/>
    <w:rsid w:val="311957CC"/>
    <w:rsid w:val="31235771"/>
    <w:rsid w:val="312B7B76"/>
    <w:rsid w:val="312C01E9"/>
    <w:rsid w:val="31325070"/>
    <w:rsid w:val="31381D7A"/>
    <w:rsid w:val="31393E9B"/>
    <w:rsid w:val="31394140"/>
    <w:rsid w:val="313A60FA"/>
    <w:rsid w:val="313D2C28"/>
    <w:rsid w:val="31440159"/>
    <w:rsid w:val="314919CF"/>
    <w:rsid w:val="31496535"/>
    <w:rsid w:val="314A2415"/>
    <w:rsid w:val="316173E5"/>
    <w:rsid w:val="316513E5"/>
    <w:rsid w:val="31660DAA"/>
    <w:rsid w:val="31690E97"/>
    <w:rsid w:val="316E2119"/>
    <w:rsid w:val="316E4789"/>
    <w:rsid w:val="316F58FC"/>
    <w:rsid w:val="317225E5"/>
    <w:rsid w:val="31755F02"/>
    <w:rsid w:val="317E0C7F"/>
    <w:rsid w:val="317F5387"/>
    <w:rsid w:val="31844AE5"/>
    <w:rsid w:val="31867E3F"/>
    <w:rsid w:val="31905D36"/>
    <w:rsid w:val="31915ADF"/>
    <w:rsid w:val="3193495C"/>
    <w:rsid w:val="31995D42"/>
    <w:rsid w:val="31B1700E"/>
    <w:rsid w:val="31C01CFA"/>
    <w:rsid w:val="31C0317C"/>
    <w:rsid w:val="31C346EA"/>
    <w:rsid w:val="31C70DF5"/>
    <w:rsid w:val="31C75A3E"/>
    <w:rsid w:val="31CF0F21"/>
    <w:rsid w:val="31D00075"/>
    <w:rsid w:val="31D27AC8"/>
    <w:rsid w:val="31DF692A"/>
    <w:rsid w:val="31E171EF"/>
    <w:rsid w:val="31F72D85"/>
    <w:rsid w:val="31FD646A"/>
    <w:rsid w:val="320E1EBE"/>
    <w:rsid w:val="320E4D35"/>
    <w:rsid w:val="32106011"/>
    <w:rsid w:val="32110852"/>
    <w:rsid w:val="32193E5B"/>
    <w:rsid w:val="32261DB2"/>
    <w:rsid w:val="323479E4"/>
    <w:rsid w:val="32484FEE"/>
    <w:rsid w:val="324B07BD"/>
    <w:rsid w:val="324F24E5"/>
    <w:rsid w:val="3254274E"/>
    <w:rsid w:val="32544BDF"/>
    <w:rsid w:val="32550C70"/>
    <w:rsid w:val="32560D2E"/>
    <w:rsid w:val="325909FD"/>
    <w:rsid w:val="325E6910"/>
    <w:rsid w:val="32701107"/>
    <w:rsid w:val="3274719C"/>
    <w:rsid w:val="327F6D67"/>
    <w:rsid w:val="32821C93"/>
    <w:rsid w:val="328343EB"/>
    <w:rsid w:val="32854A29"/>
    <w:rsid w:val="3288244A"/>
    <w:rsid w:val="328D7C9C"/>
    <w:rsid w:val="329A7EE5"/>
    <w:rsid w:val="32A36A1D"/>
    <w:rsid w:val="32B461E4"/>
    <w:rsid w:val="32BA306B"/>
    <w:rsid w:val="32C716D6"/>
    <w:rsid w:val="32CA3FBC"/>
    <w:rsid w:val="32D1739F"/>
    <w:rsid w:val="32D940C6"/>
    <w:rsid w:val="32D958F4"/>
    <w:rsid w:val="32DB182E"/>
    <w:rsid w:val="32DD366B"/>
    <w:rsid w:val="32EF0A75"/>
    <w:rsid w:val="32FA541E"/>
    <w:rsid w:val="32FD412F"/>
    <w:rsid w:val="33084A3B"/>
    <w:rsid w:val="330E4A95"/>
    <w:rsid w:val="331117C0"/>
    <w:rsid w:val="331A7C8F"/>
    <w:rsid w:val="332B0710"/>
    <w:rsid w:val="332B5EB5"/>
    <w:rsid w:val="33371736"/>
    <w:rsid w:val="3338305B"/>
    <w:rsid w:val="334D0A9F"/>
    <w:rsid w:val="336A6CE7"/>
    <w:rsid w:val="336C266E"/>
    <w:rsid w:val="33792FE2"/>
    <w:rsid w:val="338120A0"/>
    <w:rsid w:val="33845ABC"/>
    <w:rsid w:val="338B5A94"/>
    <w:rsid w:val="338E7B48"/>
    <w:rsid w:val="3390450B"/>
    <w:rsid w:val="3396271C"/>
    <w:rsid w:val="339E3411"/>
    <w:rsid w:val="339F6214"/>
    <w:rsid w:val="33A35ED7"/>
    <w:rsid w:val="33AD30C5"/>
    <w:rsid w:val="33B05E45"/>
    <w:rsid w:val="33B31AE9"/>
    <w:rsid w:val="33C841B4"/>
    <w:rsid w:val="33CD110B"/>
    <w:rsid w:val="33D15F2E"/>
    <w:rsid w:val="33D7795C"/>
    <w:rsid w:val="33DD580A"/>
    <w:rsid w:val="33E727C5"/>
    <w:rsid w:val="33ED755A"/>
    <w:rsid w:val="33F16EEC"/>
    <w:rsid w:val="33F40E24"/>
    <w:rsid w:val="33FA2F1A"/>
    <w:rsid w:val="33FC25CA"/>
    <w:rsid w:val="3404036F"/>
    <w:rsid w:val="340B4D34"/>
    <w:rsid w:val="340C4058"/>
    <w:rsid w:val="340C4DD2"/>
    <w:rsid w:val="341E06F7"/>
    <w:rsid w:val="34243721"/>
    <w:rsid w:val="342A4F5F"/>
    <w:rsid w:val="342D23D8"/>
    <w:rsid w:val="343132D5"/>
    <w:rsid w:val="3438573F"/>
    <w:rsid w:val="343C247D"/>
    <w:rsid w:val="34414159"/>
    <w:rsid w:val="344E1DC8"/>
    <w:rsid w:val="3455236F"/>
    <w:rsid w:val="34672BEA"/>
    <w:rsid w:val="34690186"/>
    <w:rsid w:val="347B6A3A"/>
    <w:rsid w:val="34802C6C"/>
    <w:rsid w:val="34816DB7"/>
    <w:rsid w:val="34947504"/>
    <w:rsid w:val="349640AA"/>
    <w:rsid w:val="34A5006C"/>
    <w:rsid w:val="34A8302C"/>
    <w:rsid w:val="34AE0945"/>
    <w:rsid w:val="34B445FB"/>
    <w:rsid w:val="34B455DE"/>
    <w:rsid w:val="34B82070"/>
    <w:rsid w:val="34BC4090"/>
    <w:rsid w:val="34BE672D"/>
    <w:rsid w:val="34BF2DEA"/>
    <w:rsid w:val="34C25AE9"/>
    <w:rsid w:val="34CA55B1"/>
    <w:rsid w:val="34CF3529"/>
    <w:rsid w:val="34D7197A"/>
    <w:rsid w:val="34D94DA0"/>
    <w:rsid w:val="34DA7B4B"/>
    <w:rsid w:val="34DB551B"/>
    <w:rsid w:val="34DE7369"/>
    <w:rsid w:val="34E178F1"/>
    <w:rsid w:val="34E96194"/>
    <w:rsid w:val="34FA4928"/>
    <w:rsid w:val="34FA62E8"/>
    <w:rsid w:val="350A1E75"/>
    <w:rsid w:val="350D4220"/>
    <w:rsid w:val="35172E58"/>
    <w:rsid w:val="351D6888"/>
    <w:rsid w:val="3522520D"/>
    <w:rsid w:val="35255923"/>
    <w:rsid w:val="352E7D40"/>
    <w:rsid w:val="353411BC"/>
    <w:rsid w:val="353A4A31"/>
    <w:rsid w:val="353B0D84"/>
    <w:rsid w:val="353F67B8"/>
    <w:rsid w:val="35414D4C"/>
    <w:rsid w:val="354E3A78"/>
    <w:rsid w:val="354F1D48"/>
    <w:rsid w:val="354F3CE6"/>
    <w:rsid w:val="35505B43"/>
    <w:rsid w:val="35510E30"/>
    <w:rsid w:val="355B2679"/>
    <w:rsid w:val="356E5AE8"/>
    <w:rsid w:val="357912CE"/>
    <w:rsid w:val="357D67E7"/>
    <w:rsid w:val="358019E7"/>
    <w:rsid w:val="358E021C"/>
    <w:rsid w:val="3599321D"/>
    <w:rsid w:val="359A44C0"/>
    <w:rsid w:val="359E499A"/>
    <w:rsid w:val="359F150F"/>
    <w:rsid w:val="359F4D79"/>
    <w:rsid w:val="35AF1F78"/>
    <w:rsid w:val="35AF5AAB"/>
    <w:rsid w:val="35B01960"/>
    <w:rsid w:val="35B220D5"/>
    <w:rsid w:val="35B25EB8"/>
    <w:rsid w:val="35B86116"/>
    <w:rsid w:val="35C16399"/>
    <w:rsid w:val="35C34996"/>
    <w:rsid w:val="35C81C5B"/>
    <w:rsid w:val="35CD6421"/>
    <w:rsid w:val="35D51E1D"/>
    <w:rsid w:val="35E03A78"/>
    <w:rsid w:val="35EA0FD5"/>
    <w:rsid w:val="35EA11D2"/>
    <w:rsid w:val="35F60334"/>
    <w:rsid w:val="360044D8"/>
    <w:rsid w:val="360213C9"/>
    <w:rsid w:val="360369A3"/>
    <w:rsid w:val="36051BF9"/>
    <w:rsid w:val="360A07B9"/>
    <w:rsid w:val="360E6900"/>
    <w:rsid w:val="3610546C"/>
    <w:rsid w:val="3615104D"/>
    <w:rsid w:val="36154AF5"/>
    <w:rsid w:val="36177DD9"/>
    <w:rsid w:val="361F5EE3"/>
    <w:rsid w:val="362D3F50"/>
    <w:rsid w:val="362D624A"/>
    <w:rsid w:val="36330C6B"/>
    <w:rsid w:val="3635736B"/>
    <w:rsid w:val="363B0641"/>
    <w:rsid w:val="363F0394"/>
    <w:rsid w:val="36484E32"/>
    <w:rsid w:val="364C5483"/>
    <w:rsid w:val="364D71DB"/>
    <w:rsid w:val="365577FA"/>
    <w:rsid w:val="36590DED"/>
    <w:rsid w:val="365B6913"/>
    <w:rsid w:val="36635E01"/>
    <w:rsid w:val="3666142C"/>
    <w:rsid w:val="36721879"/>
    <w:rsid w:val="367714D5"/>
    <w:rsid w:val="367A071D"/>
    <w:rsid w:val="367F70AF"/>
    <w:rsid w:val="368045CB"/>
    <w:rsid w:val="368712CC"/>
    <w:rsid w:val="368B778C"/>
    <w:rsid w:val="36923452"/>
    <w:rsid w:val="369F24A2"/>
    <w:rsid w:val="36A377DA"/>
    <w:rsid w:val="36A86627"/>
    <w:rsid w:val="36AA05DC"/>
    <w:rsid w:val="36AE247A"/>
    <w:rsid w:val="36B20DD7"/>
    <w:rsid w:val="36B6667B"/>
    <w:rsid w:val="36B72924"/>
    <w:rsid w:val="36B9758D"/>
    <w:rsid w:val="36C13F6C"/>
    <w:rsid w:val="36C6023F"/>
    <w:rsid w:val="36C87B0D"/>
    <w:rsid w:val="36CA2FA3"/>
    <w:rsid w:val="36D10D79"/>
    <w:rsid w:val="36D41AC6"/>
    <w:rsid w:val="36DD2B0C"/>
    <w:rsid w:val="36DD5643"/>
    <w:rsid w:val="36E0116F"/>
    <w:rsid w:val="36ED6F0B"/>
    <w:rsid w:val="36F05B5F"/>
    <w:rsid w:val="36F83F7A"/>
    <w:rsid w:val="36FA5EF0"/>
    <w:rsid w:val="36FC701E"/>
    <w:rsid w:val="36FE7495"/>
    <w:rsid w:val="37000D38"/>
    <w:rsid w:val="37047404"/>
    <w:rsid w:val="37057757"/>
    <w:rsid w:val="37112659"/>
    <w:rsid w:val="37122F7B"/>
    <w:rsid w:val="371F705A"/>
    <w:rsid w:val="371F7A20"/>
    <w:rsid w:val="37260052"/>
    <w:rsid w:val="37281070"/>
    <w:rsid w:val="372C02AF"/>
    <w:rsid w:val="372C6E27"/>
    <w:rsid w:val="373F1567"/>
    <w:rsid w:val="37406625"/>
    <w:rsid w:val="37435DED"/>
    <w:rsid w:val="374970B3"/>
    <w:rsid w:val="374D21C0"/>
    <w:rsid w:val="375542A1"/>
    <w:rsid w:val="37573D84"/>
    <w:rsid w:val="37575797"/>
    <w:rsid w:val="375C0B95"/>
    <w:rsid w:val="376527A3"/>
    <w:rsid w:val="376673D6"/>
    <w:rsid w:val="376E6B33"/>
    <w:rsid w:val="3772259C"/>
    <w:rsid w:val="37784F66"/>
    <w:rsid w:val="377B1125"/>
    <w:rsid w:val="377E29AC"/>
    <w:rsid w:val="3785064C"/>
    <w:rsid w:val="3790495E"/>
    <w:rsid w:val="379D11CC"/>
    <w:rsid w:val="379E0288"/>
    <w:rsid w:val="37A2367B"/>
    <w:rsid w:val="37A637EF"/>
    <w:rsid w:val="37AB13AC"/>
    <w:rsid w:val="37AD7642"/>
    <w:rsid w:val="37BE7BCC"/>
    <w:rsid w:val="37C95A4C"/>
    <w:rsid w:val="37D16AE0"/>
    <w:rsid w:val="37E25735"/>
    <w:rsid w:val="37E62E65"/>
    <w:rsid w:val="37ED4E22"/>
    <w:rsid w:val="37F7677D"/>
    <w:rsid w:val="38010B31"/>
    <w:rsid w:val="38052BF0"/>
    <w:rsid w:val="38090653"/>
    <w:rsid w:val="380F6B34"/>
    <w:rsid w:val="38153493"/>
    <w:rsid w:val="38207590"/>
    <w:rsid w:val="38210F92"/>
    <w:rsid w:val="3822044B"/>
    <w:rsid w:val="38272059"/>
    <w:rsid w:val="382C51B9"/>
    <w:rsid w:val="38355A6B"/>
    <w:rsid w:val="383800AD"/>
    <w:rsid w:val="383C4EC4"/>
    <w:rsid w:val="383C6418"/>
    <w:rsid w:val="383F4FF1"/>
    <w:rsid w:val="38413E85"/>
    <w:rsid w:val="3841574F"/>
    <w:rsid w:val="38433B9D"/>
    <w:rsid w:val="384E69DC"/>
    <w:rsid w:val="385432AE"/>
    <w:rsid w:val="385E0E01"/>
    <w:rsid w:val="386606BD"/>
    <w:rsid w:val="38671983"/>
    <w:rsid w:val="38675216"/>
    <w:rsid w:val="386D2443"/>
    <w:rsid w:val="386D52D3"/>
    <w:rsid w:val="386F66A6"/>
    <w:rsid w:val="3870332A"/>
    <w:rsid w:val="3872150C"/>
    <w:rsid w:val="387271FD"/>
    <w:rsid w:val="387B329C"/>
    <w:rsid w:val="387E44BB"/>
    <w:rsid w:val="388151B6"/>
    <w:rsid w:val="388E5799"/>
    <w:rsid w:val="38950D8F"/>
    <w:rsid w:val="38984884"/>
    <w:rsid w:val="389D1465"/>
    <w:rsid w:val="38A00F55"/>
    <w:rsid w:val="38A11150"/>
    <w:rsid w:val="38A14DA4"/>
    <w:rsid w:val="38AE3672"/>
    <w:rsid w:val="38B52EC0"/>
    <w:rsid w:val="38B65638"/>
    <w:rsid w:val="38B75506"/>
    <w:rsid w:val="38BB2AC2"/>
    <w:rsid w:val="38BC25E2"/>
    <w:rsid w:val="38C17A8E"/>
    <w:rsid w:val="38C36CC3"/>
    <w:rsid w:val="38C4165F"/>
    <w:rsid w:val="38CD4ED7"/>
    <w:rsid w:val="38D315B1"/>
    <w:rsid w:val="38D657A7"/>
    <w:rsid w:val="38D66877"/>
    <w:rsid w:val="38D84957"/>
    <w:rsid w:val="38DC4D15"/>
    <w:rsid w:val="38DF5701"/>
    <w:rsid w:val="38E06774"/>
    <w:rsid w:val="38E2328F"/>
    <w:rsid w:val="38EE0781"/>
    <w:rsid w:val="38F16AA5"/>
    <w:rsid w:val="38F63ABA"/>
    <w:rsid w:val="38FF0B5D"/>
    <w:rsid w:val="38FF71D6"/>
    <w:rsid w:val="39047E23"/>
    <w:rsid w:val="39072F01"/>
    <w:rsid w:val="3909573F"/>
    <w:rsid w:val="390A3A3F"/>
    <w:rsid w:val="39153FA6"/>
    <w:rsid w:val="39174618"/>
    <w:rsid w:val="39182BD9"/>
    <w:rsid w:val="391B67FC"/>
    <w:rsid w:val="391D025D"/>
    <w:rsid w:val="392A4EC0"/>
    <w:rsid w:val="3943383B"/>
    <w:rsid w:val="39446C9D"/>
    <w:rsid w:val="394A2C6F"/>
    <w:rsid w:val="3954623F"/>
    <w:rsid w:val="39562469"/>
    <w:rsid w:val="39577BCA"/>
    <w:rsid w:val="3958538C"/>
    <w:rsid w:val="395914F0"/>
    <w:rsid w:val="395B071D"/>
    <w:rsid w:val="3966100F"/>
    <w:rsid w:val="39697FA0"/>
    <w:rsid w:val="39711B38"/>
    <w:rsid w:val="39712946"/>
    <w:rsid w:val="397202AC"/>
    <w:rsid w:val="39723F2D"/>
    <w:rsid w:val="397965DF"/>
    <w:rsid w:val="397B4977"/>
    <w:rsid w:val="397F45CA"/>
    <w:rsid w:val="398235E0"/>
    <w:rsid w:val="39882D3F"/>
    <w:rsid w:val="39924A41"/>
    <w:rsid w:val="399D59C0"/>
    <w:rsid w:val="39A03571"/>
    <w:rsid w:val="39A171A3"/>
    <w:rsid w:val="39AE7BCB"/>
    <w:rsid w:val="39B32E09"/>
    <w:rsid w:val="39BB5656"/>
    <w:rsid w:val="39C02446"/>
    <w:rsid w:val="39C45A8E"/>
    <w:rsid w:val="39CE5795"/>
    <w:rsid w:val="39D63010"/>
    <w:rsid w:val="39D96F6F"/>
    <w:rsid w:val="39DB2D68"/>
    <w:rsid w:val="39E036E8"/>
    <w:rsid w:val="39E44E27"/>
    <w:rsid w:val="39EB0AAC"/>
    <w:rsid w:val="39EF3A63"/>
    <w:rsid w:val="39F33306"/>
    <w:rsid w:val="39F51F21"/>
    <w:rsid w:val="39F8049F"/>
    <w:rsid w:val="39FA45AC"/>
    <w:rsid w:val="3A0F770C"/>
    <w:rsid w:val="3A1C2DA4"/>
    <w:rsid w:val="3A2033EB"/>
    <w:rsid w:val="3A232A86"/>
    <w:rsid w:val="3A267272"/>
    <w:rsid w:val="3A27373A"/>
    <w:rsid w:val="3A33443A"/>
    <w:rsid w:val="3A340151"/>
    <w:rsid w:val="3A3858F9"/>
    <w:rsid w:val="3A3B2355"/>
    <w:rsid w:val="3A40013B"/>
    <w:rsid w:val="3A421A17"/>
    <w:rsid w:val="3A4224D5"/>
    <w:rsid w:val="3A48295E"/>
    <w:rsid w:val="3A4C73EF"/>
    <w:rsid w:val="3A553058"/>
    <w:rsid w:val="3A626D06"/>
    <w:rsid w:val="3A6669D0"/>
    <w:rsid w:val="3A695377"/>
    <w:rsid w:val="3A6A1993"/>
    <w:rsid w:val="3A6A476F"/>
    <w:rsid w:val="3A6B5560"/>
    <w:rsid w:val="3A7032A6"/>
    <w:rsid w:val="3A712B04"/>
    <w:rsid w:val="3A751D32"/>
    <w:rsid w:val="3A755DC1"/>
    <w:rsid w:val="3A770FF2"/>
    <w:rsid w:val="3A773383"/>
    <w:rsid w:val="3A777D81"/>
    <w:rsid w:val="3A7D67C1"/>
    <w:rsid w:val="3A8401B2"/>
    <w:rsid w:val="3A872166"/>
    <w:rsid w:val="3A8A299E"/>
    <w:rsid w:val="3A8D681E"/>
    <w:rsid w:val="3A8E7D63"/>
    <w:rsid w:val="3A90441F"/>
    <w:rsid w:val="3A925E71"/>
    <w:rsid w:val="3A947BFC"/>
    <w:rsid w:val="3A9E7179"/>
    <w:rsid w:val="3AAB33C7"/>
    <w:rsid w:val="3AAE129F"/>
    <w:rsid w:val="3AB5512C"/>
    <w:rsid w:val="3AB71F2C"/>
    <w:rsid w:val="3AB90AF0"/>
    <w:rsid w:val="3ABB0323"/>
    <w:rsid w:val="3ABE1B66"/>
    <w:rsid w:val="3ABE6C61"/>
    <w:rsid w:val="3AC12D54"/>
    <w:rsid w:val="3AC56A30"/>
    <w:rsid w:val="3AD24F08"/>
    <w:rsid w:val="3AD526CE"/>
    <w:rsid w:val="3AD8001F"/>
    <w:rsid w:val="3AEE1D2F"/>
    <w:rsid w:val="3AEF16BC"/>
    <w:rsid w:val="3AEF3ACE"/>
    <w:rsid w:val="3AEF7D13"/>
    <w:rsid w:val="3AF4568E"/>
    <w:rsid w:val="3B047F69"/>
    <w:rsid w:val="3B071354"/>
    <w:rsid w:val="3B097256"/>
    <w:rsid w:val="3B0F656C"/>
    <w:rsid w:val="3B13270C"/>
    <w:rsid w:val="3B154103"/>
    <w:rsid w:val="3B170EE1"/>
    <w:rsid w:val="3B1A3241"/>
    <w:rsid w:val="3B265FF2"/>
    <w:rsid w:val="3B285EF7"/>
    <w:rsid w:val="3B3734AA"/>
    <w:rsid w:val="3B3F729E"/>
    <w:rsid w:val="3B421096"/>
    <w:rsid w:val="3B4524D9"/>
    <w:rsid w:val="3B476C55"/>
    <w:rsid w:val="3B567FFE"/>
    <w:rsid w:val="3B64238A"/>
    <w:rsid w:val="3B6746FF"/>
    <w:rsid w:val="3B6A07EB"/>
    <w:rsid w:val="3B6A0EC9"/>
    <w:rsid w:val="3B6C396A"/>
    <w:rsid w:val="3B6D3512"/>
    <w:rsid w:val="3B6F0BFF"/>
    <w:rsid w:val="3B6F7654"/>
    <w:rsid w:val="3B72704A"/>
    <w:rsid w:val="3B7D557D"/>
    <w:rsid w:val="3B7D788E"/>
    <w:rsid w:val="3B8139DF"/>
    <w:rsid w:val="3B844E86"/>
    <w:rsid w:val="3B846452"/>
    <w:rsid w:val="3B8A1951"/>
    <w:rsid w:val="3B96722B"/>
    <w:rsid w:val="3B9A6336"/>
    <w:rsid w:val="3BA3768E"/>
    <w:rsid w:val="3BA4450D"/>
    <w:rsid w:val="3BA66882"/>
    <w:rsid w:val="3BAE1BDB"/>
    <w:rsid w:val="3BAE7642"/>
    <w:rsid w:val="3BB24B3E"/>
    <w:rsid w:val="3BB32E97"/>
    <w:rsid w:val="3BB56AC5"/>
    <w:rsid w:val="3BB65D6F"/>
    <w:rsid w:val="3BB830F6"/>
    <w:rsid w:val="3BBF02F7"/>
    <w:rsid w:val="3BC91515"/>
    <w:rsid w:val="3BC92571"/>
    <w:rsid w:val="3BC97A93"/>
    <w:rsid w:val="3BCF06D3"/>
    <w:rsid w:val="3BD500FA"/>
    <w:rsid w:val="3BD71E31"/>
    <w:rsid w:val="3BDA06A1"/>
    <w:rsid w:val="3BDF72C0"/>
    <w:rsid w:val="3BDF7FE6"/>
    <w:rsid w:val="3BEE0229"/>
    <w:rsid w:val="3BF27D19"/>
    <w:rsid w:val="3BF41A8F"/>
    <w:rsid w:val="3BF7127B"/>
    <w:rsid w:val="3BFE67AA"/>
    <w:rsid w:val="3C044326"/>
    <w:rsid w:val="3C157424"/>
    <w:rsid w:val="3C1608D8"/>
    <w:rsid w:val="3C161A18"/>
    <w:rsid w:val="3C1C0FD0"/>
    <w:rsid w:val="3C1E3B04"/>
    <w:rsid w:val="3C21075D"/>
    <w:rsid w:val="3C265C15"/>
    <w:rsid w:val="3C281D3A"/>
    <w:rsid w:val="3C2B7CE1"/>
    <w:rsid w:val="3C3550EA"/>
    <w:rsid w:val="3C3750CA"/>
    <w:rsid w:val="3C38759A"/>
    <w:rsid w:val="3C486978"/>
    <w:rsid w:val="3C4D2A7B"/>
    <w:rsid w:val="3C542BE9"/>
    <w:rsid w:val="3C5930DF"/>
    <w:rsid w:val="3C5E5B97"/>
    <w:rsid w:val="3C6027B1"/>
    <w:rsid w:val="3C6A5D2D"/>
    <w:rsid w:val="3C6C104E"/>
    <w:rsid w:val="3C6F5717"/>
    <w:rsid w:val="3C6F5885"/>
    <w:rsid w:val="3C70144A"/>
    <w:rsid w:val="3C7542C9"/>
    <w:rsid w:val="3C760D8C"/>
    <w:rsid w:val="3C7756E2"/>
    <w:rsid w:val="3C7B2E9D"/>
    <w:rsid w:val="3C7C4CCB"/>
    <w:rsid w:val="3C7F794C"/>
    <w:rsid w:val="3C820466"/>
    <w:rsid w:val="3C827D2F"/>
    <w:rsid w:val="3C8E192E"/>
    <w:rsid w:val="3C9106DF"/>
    <w:rsid w:val="3C927310"/>
    <w:rsid w:val="3C98563D"/>
    <w:rsid w:val="3CA60696"/>
    <w:rsid w:val="3CA86681"/>
    <w:rsid w:val="3CAB7F97"/>
    <w:rsid w:val="3CAD1097"/>
    <w:rsid w:val="3CAD7FB2"/>
    <w:rsid w:val="3CB12168"/>
    <w:rsid w:val="3CBF51C0"/>
    <w:rsid w:val="3CC307B2"/>
    <w:rsid w:val="3CC528C8"/>
    <w:rsid w:val="3CC83503"/>
    <w:rsid w:val="3CD92C87"/>
    <w:rsid w:val="3CDC1A5B"/>
    <w:rsid w:val="3CE82D13"/>
    <w:rsid w:val="3CE85446"/>
    <w:rsid w:val="3CEA1BD9"/>
    <w:rsid w:val="3CEA4811"/>
    <w:rsid w:val="3CEE5571"/>
    <w:rsid w:val="3CF62F13"/>
    <w:rsid w:val="3CF7424C"/>
    <w:rsid w:val="3CFE2018"/>
    <w:rsid w:val="3D080646"/>
    <w:rsid w:val="3D08531B"/>
    <w:rsid w:val="3D0A7D01"/>
    <w:rsid w:val="3D0F13CC"/>
    <w:rsid w:val="3D0F7BE3"/>
    <w:rsid w:val="3D117B4D"/>
    <w:rsid w:val="3D140DE7"/>
    <w:rsid w:val="3D143CBF"/>
    <w:rsid w:val="3D154789"/>
    <w:rsid w:val="3D197C01"/>
    <w:rsid w:val="3D1F7AE1"/>
    <w:rsid w:val="3D210E7F"/>
    <w:rsid w:val="3D2248E4"/>
    <w:rsid w:val="3D32550F"/>
    <w:rsid w:val="3D331834"/>
    <w:rsid w:val="3D3B5C9C"/>
    <w:rsid w:val="3D3C603D"/>
    <w:rsid w:val="3D424260"/>
    <w:rsid w:val="3D48471F"/>
    <w:rsid w:val="3D503B25"/>
    <w:rsid w:val="3D5310AC"/>
    <w:rsid w:val="3D56190A"/>
    <w:rsid w:val="3D5C2EDA"/>
    <w:rsid w:val="3D6C4CDF"/>
    <w:rsid w:val="3D70175E"/>
    <w:rsid w:val="3D7059F2"/>
    <w:rsid w:val="3D724E90"/>
    <w:rsid w:val="3D746EDC"/>
    <w:rsid w:val="3D747F71"/>
    <w:rsid w:val="3D7A4454"/>
    <w:rsid w:val="3D81153E"/>
    <w:rsid w:val="3D83204D"/>
    <w:rsid w:val="3D857449"/>
    <w:rsid w:val="3D8E41C3"/>
    <w:rsid w:val="3D9226BD"/>
    <w:rsid w:val="3D9461BD"/>
    <w:rsid w:val="3D9A18CD"/>
    <w:rsid w:val="3D9B15D4"/>
    <w:rsid w:val="3DAC4F54"/>
    <w:rsid w:val="3DAD406F"/>
    <w:rsid w:val="3DB2652F"/>
    <w:rsid w:val="3DC36A45"/>
    <w:rsid w:val="3DCE3012"/>
    <w:rsid w:val="3DD31502"/>
    <w:rsid w:val="3DD447D5"/>
    <w:rsid w:val="3DDC75D4"/>
    <w:rsid w:val="3DDD34B7"/>
    <w:rsid w:val="3DE10282"/>
    <w:rsid w:val="3DE11DF4"/>
    <w:rsid w:val="3DF22926"/>
    <w:rsid w:val="3DF363D9"/>
    <w:rsid w:val="3DF4407F"/>
    <w:rsid w:val="3DFC769F"/>
    <w:rsid w:val="3DFD4D3B"/>
    <w:rsid w:val="3E060923"/>
    <w:rsid w:val="3E077567"/>
    <w:rsid w:val="3E0E6961"/>
    <w:rsid w:val="3E0F4F8A"/>
    <w:rsid w:val="3E0F66FD"/>
    <w:rsid w:val="3E1321C9"/>
    <w:rsid w:val="3E1464F6"/>
    <w:rsid w:val="3E160177"/>
    <w:rsid w:val="3E221DB3"/>
    <w:rsid w:val="3E24348A"/>
    <w:rsid w:val="3E24651C"/>
    <w:rsid w:val="3E2F7120"/>
    <w:rsid w:val="3E384399"/>
    <w:rsid w:val="3E396A91"/>
    <w:rsid w:val="3E3A265F"/>
    <w:rsid w:val="3E3F28BA"/>
    <w:rsid w:val="3E47632C"/>
    <w:rsid w:val="3E483328"/>
    <w:rsid w:val="3E4B0167"/>
    <w:rsid w:val="3E4D7D55"/>
    <w:rsid w:val="3E514939"/>
    <w:rsid w:val="3E58649D"/>
    <w:rsid w:val="3E591AE0"/>
    <w:rsid w:val="3E5B30CB"/>
    <w:rsid w:val="3E5C591E"/>
    <w:rsid w:val="3E5F4971"/>
    <w:rsid w:val="3E62067B"/>
    <w:rsid w:val="3E642EC4"/>
    <w:rsid w:val="3E6A3524"/>
    <w:rsid w:val="3E6D2477"/>
    <w:rsid w:val="3E6F5105"/>
    <w:rsid w:val="3E6F5651"/>
    <w:rsid w:val="3E7427B6"/>
    <w:rsid w:val="3E764A60"/>
    <w:rsid w:val="3E7958F9"/>
    <w:rsid w:val="3E7B1C01"/>
    <w:rsid w:val="3E7E5894"/>
    <w:rsid w:val="3E7E5D72"/>
    <w:rsid w:val="3E7E6837"/>
    <w:rsid w:val="3E8279E0"/>
    <w:rsid w:val="3E847EA3"/>
    <w:rsid w:val="3E897468"/>
    <w:rsid w:val="3E8B2CD3"/>
    <w:rsid w:val="3E8B5F85"/>
    <w:rsid w:val="3E900F2C"/>
    <w:rsid w:val="3E9055C8"/>
    <w:rsid w:val="3E92636A"/>
    <w:rsid w:val="3E944296"/>
    <w:rsid w:val="3E954BCA"/>
    <w:rsid w:val="3E991957"/>
    <w:rsid w:val="3EA13356"/>
    <w:rsid w:val="3EA333E1"/>
    <w:rsid w:val="3EA704CE"/>
    <w:rsid w:val="3EA8181B"/>
    <w:rsid w:val="3EBC4CC5"/>
    <w:rsid w:val="3EBD0528"/>
    <w:rsid w:val="3EBF1D3B"/>
    <w:rsid w:val="3EC01044"/>
    <w:rsid w:val="3EC259BE"/>
    <w:rsid w:val="3EC32EE9"/>
    <w:rsid w:val="3EC87820"/>
    <w:rsid w:val="3ECC0D7E"/>
    <w:rsid w:val="3ED16454"/>
    <w:rsid w:val="3ED3152B"/>
    <w:rsid w:val="3ED839E3"/>
    <w:rsid w:val="3EE109A2"/>
    <w:rsid w:val="3EE55989"/>
    <w:rsid w:val="3EE77BB4"/>
    <w:rsid w:val="3EEB3C31"/>
    <w:rsid w:val="3EED3002"/>
    <w:rsid w:val="3EF1250A"/>
    <w:rsid w:val="3EF86514"/>
    <w:rsid w:val="3F00011B"/>
    <w:rsid w:val="3F024306"/>
    <w:rsid w:val="3F025978"/>
    <w:rsid w:val="3F0575FD"/>
    <w:rsid w:val="3F057C4F"/>
    <w:rsid w:val="3F0A3495"/>
    <w:rsid w:val="3F0D2D41"/>
    <w:rsid w:val="3F0E415B"/>
    <w:rsid w:val="3F1415AC"/>
    <w:rsid w:val="3F1922E8"/>
    <w:rsid w:val="3F197C8D"/>
    <w:rsid w:val="3F1A5923"/>
    <w:rsid w:val="3F1F53C6"/>
    <w:rsid w:val="3F250DF5"/>
    <w:rsid w:val="3F2B6202"/>
    <w:rsid w:val="3F310C2D"/>
    <w:rsid w:val="3F324920"/>
    <w:rsid w:val="3F374CF1"/>
    <w:rsid w:val="3F376C36"/>
    <w:rsid w:val="3F3A01BA"/>
    <w:rsid w:val="3F403946"/>
    <w:rsid w:val="3F416A05"/>
    <w:rsid w:val="3F437930"/>
    <w:rsid w:val="3F48665F"/>
    <w:rsid w:val="3F4B4736"/>
    <w:rsid w:val="3F4E57AE"/>
    <w:rsid w:val="3F5071B2"/>
    <w:rsid w:val="3F5262EB"/>
    <w:rsid w:val="3F53738E"/>
    <w:rsid w:val="3F592257"/>
    <w:rsid w:val="3F5E25F5"/>
    <w:rsid w:val="3F61086A"/>
    <w:rsid w:val="3F635955"/>
    <w:rsid w:val="3F644891"/>
    <w:rsid w:val="3F6A3D11"/>
    <w:rsid w:val="3F6C3096"/>
    <w:rsid w:val="3F7A70AC"/>
    <w:rsid w:val="3F7B0DCB"/>
    <w:rsid w:val="3F7B56C0"/>
    <w:rsid w:val="3F853E20"/>
    <w:rsid w:val="3F87017F"/>
    <w:rsid w:val="3F8A6905"/>
    <w:rsid w:val="3F9726D8"/>
    <w:rsid w:val="3F990508"/>
    <w:rsid w:val="3FA4757D"/>
    <w:rsid w:val="3FAA4467"/>
    <w:rsid w:val="3FB3366E"/>
    <w:rsid w:val="3FB848CA"/>
    <w:rsid w:val="3FB85481"/>
    <w:rsid w:val="3FB90EE9"/>
    <w:rsid w:val="3FBE2074"/>
    <w:rsid w:val="3FBF6DA5"/>
    <w:rsid w:val="3FC032C4"/>
    <w:rsid w:val="3FC15000"/>
    <w:rsid w:val="3FC67B65"/>
    <w:rsid w:val="3FC86522"/>
    <w:rsid w:val="3FC86901"/>
    <w:rsid w:val="3FD634AE"/>
    <w:rsid w:val="3FD77807"/>
    <w:rsid w:val="3FE43782"/>
    <w:rsid w:val="3FE918A5"/>
    <w:rsid w:val="3FEF631E"/>
    <w:rsid w:val="3FF873F1"/>
    <w:rsid w:val="3FFC0F28"/>
    <w:rsid w:val="40066124"/>
    <w:rsid w:val="4007780B"/>
    <w:rsid w:val="40122749"/>
    <w:rsid w:val="4012633B"/>
    <w:rsid w:val="40135FA6"/>
    <w:rsid w:val="40137735"/>
    <w:rsid w:val="40181F72"/>
    <w:rsid w:val="40186C21"/>
    <w:rsid w:val="401A525E"/>
    <w:rsid w:val="401B36F8"/>
    <w:rsid w:val="4020422E"/>
    <w:rsid w:val="4021297B"/>
    <w:rsid w:val="402469B4"/>
    <w:rsid w:val="4029483F"/>
    <w:rsid w:val="402D3CFC"/>
    <w:rsid w:val="403846D3"/>
    <w:rsid w:val="4039429A"/>
    <w:rsid w:val="403A000E"/>
    <w:rsid w:val="403D31FE"/>
    <w:rsid w:val="403D445E"/>
    <w:rsid w:val="404300F4"/>
    <w:rsid w:val="40443CF9"/>
    <w:rsid w:val="404848DB"/>
    <w:rsid w:val="404959F7"/>
    <w:rsid w:val="404B053D"/>
    <w:rsid w:val="404B1B2E"/>
    <w:rsid w:val="404C105F"/>
    <w:rsid w:val="40574216"/>
    <w:rsid w:val="405E52C3"/>
    <w:rsid w:val="405E6D54"/>
    <w:rsid w:val="40625FCA"/>
    <w:rsid w:val="406A0B8A"/>
    <w:rsid w:val="406A0E43"/>
    <w:rsid w:val="406A1135"/>
    <w:rsid w:val="406C2229"/>
    <w:rsid w:val="406F29D5"/>
    <w:rsid w:val="407603F3"/>
    <w:rsid w:val="40783C0A"/>
    <w:rsid w:val="407E3667"/>
    <w:rsid w:val="4083714A"/>
    <w:rsid w:val="408A7A3C"/>
    <w:rsid w:val="40996326"/>
    <w:rsid w:val="40A055BA"/>
    <w:rsid w:val="40A267D7"/>
    <w:rsid w:val="40A96292"/>
    <w:rsid w:val="40BA3701"/>
    <w:rsid w:val="40BE500E"/>
    <w:rsid w:val="40D2033D"/>
    <w:rsid w:val="40D272E2"/>
    <w:rsid w:val="40D2748B"/>
    <w:rsid w:val="40D44DD3"/>
    <w:rsid w:val="40D8548F"/>
    <w:rsid w:val="40EA272D"/>
    <w:rsid w:val="40F233FD"/>
    <w:rsid w:val="40F44F88"/>
    <w:rsid w:val="40F97CC8"/>
    <w:rsid w:val="410C4224"/>
    <w:rsid w:val="4110479E"/>
    <w:rsid w:val="411104A2"/>
    <w:rsid w:val="41134423"/>
    <w:rsid w:val="41145753"/>
    <w:rsid w:val="411A5FC4"/>
    <w:rsid w:val="411E2FE5"/>
    <w:rsid w:val="41254497"/>
    <w:rsid w:val="41270465"/>
    <w:rsid w:val="41352357"/>
    <w:rsid w:val="41393B69"/>
    <w:rsid w:val="41407C91"/>
    <w:rsid w:val="414F037B"/>
    <w:rsid w:val="4150378E"/>
    <w:rsid w:val="41594065"/>
    <w:rsid w:val="415A6E4E"/>
    <w:rsid w:val="415B5E34"/>
    <w:rsid w:val="415D0EE1"/>
    <w:rsid w:val="415F127D"/>
    <w:rsid w:val="41657D9D"/>
    <w:rsid w:val="41660088"/>
    <w:rsid w:val="416845DA"/>
    <w:rsid w:val="416923E0"/>
    <w:rsid w:val="416C357C"/>
    <w:rsid w:val="41747D87"/>
    <w:rsid w:val="41760089"/>
    <w:rsid w:val="41773868"/>
    <w:rsid w:val="417B6A91"/>
    <w:rsid w:val="417D3053"/>
    <w:rsid w:val="417F7261"/>
    <w:rsid w:val="41884393"/>
    <w:rsid w:val="418C0E65"/>
    <w:rsid w:val="418E3C82"/>
    <w:rsid w:val="419054F5"/>
    <w:rsid w:val="419653FB"/>
    <w:rsid w:val="419851F3"/>
    <w:rsid w:val="41A80D37"/>
    <w:rsid w:val="41AA6B42"/>
    <w:rsid w:val="41B66BD7"/>
    <w:rsid w:val="41B80C14"/>
    <w:rsid w:val="41BD1E1F"/>
    <w:rsid w:val="41BD70DE"/>
    <w:rsid w:val="41BF444A"/>
    <w:rsid w:val="41C72E6A"/>
    <w:rsid w:val="41D47975"/>
    <w:rsid w:val="41E1654B"/>
    <w:rsid w:val="41E35EE7"/>
    <w:rsid w:val="41EB28A6"/>
    <w:rsid w:val="41F331FB"/>
    <w:rsid w:val="41F34603"/>
    <w:rsid w:val="41F77287"/>
    <w:rsid w:val="41F801BE"/>
    <w:rsid w:val="42011AC4"/>
    <w:rsid w:val="4207296E"/>
    <w:rsid w:val="42093990"/>
    <w:rsid w:val="4212581D"/>
    <w:rsid w:val="42145338"/>
    <w:rsid w:val="421B789E"/>
    <w:rsid w:val="421D0F3B"/>
    <w:rsid w:val="423215B5"/>
    <w:rsid w:val="423834B4"/>
    <w:rsid w:val="423861CA"/>
    <w:rsid w:val="424E5AAB"/>
    <w:rsid w:val="42541CFD"/>
    <w:rsid w:val="42546E00"/>
    <w:rsid w:val="4255725B"/>
    <w:rsid w:val="425A03C6"/>
    <w:rsid w:val="425D7EB7"/>
    <w:rsid w:val="42691F68"/>
    <w:rsid w:val="42743533"/>
    <w:rsid w:val="427E424F"/>
    <w:rsid w:val="428E12F9"/>
    <w:rsid w:val="42983814"/>
    <w:rsid w:val="42AA5EA1"/>
    <w:rsid w:val="42BA105B"/>
    <w:rsid w:val="42C5116B"/>
    <w:rsid w:val="42C70A01"/>
    <w:rsid w:val="42C85FA9"/>
    <w:rsid w:val="42CC188F"/>
    <w:rsid w:val="42D8572C"/>
    <w:rsid w:val="42E06908"/>
    <w:rsid w:val="42E21D93"/>
    <w:rsid w:val="42E962ED"/>
    <w:rsid w:val="42E96C4D"/>
    <w:rsid w:val="42FC4704"/>
    <w:rsid w:val="42FF1BEA"/>
    <w:rsid w:val="43107B89"/>
    <w:rsid w:val="4313214F"/>
    <w:rsid w:val="431465BF"/>
    <w:rsid w:val="43160C20"/>
    <w:rsid w:val="43163927"/>
    <w:rsid w:val="43174550"/>
    <w:rsid w:val="431C7377"/>
    <w:rsid w:val="431F0056"/>
    <w:rsid w:val="43283A45"/>
    <w:rsid w:val="432951DF"/>
    <w:rsid w:val="432B648A"/>
    <w:rsid w:val="433A1B6A"/>
    <w:rsid w:val="433B29DE"/>
    <w:rsid w:val="433E6051"/>
    <w:rsid w:val="43436285"/>
    <w:rsid w:val="435050E9"/>
    <w:rsid w:val="43511BD6"/>
    <w:rsid w:val="43531090"/>
    <w:rsid w:val="43582B12"/>
    <w:rsid w:val="43592ADB"/>
    <w:rsid w:val="435F1420"/>
    <w:rsid w:val="4365447B"/>
    <w:rsid w:val="43692A28"/>
    <w:rsid w:val="436E7072"/>
    <w:rsid w:val="437878CE"/>
    <w:rsid w:val="4379767E"/>
    <w:rsid w:val="437D0536"/>
    <w:rsid w:val="438A5840"/>
    <w:rsid w:val="43900072"/>
    <w:rsid w:val="43994D3A"/>
    <w:rsid w:val="439A525B"/>
    <w:rsid w:val="439B074D"/>
    <w:rsid w:val="439C6A6F"/>
    <w:rsid w:val="43A26866"/>
    <w:rsid w:val="43A750B5"/>
    <w:rsid w:val="43B34873"/>
    <w:rsid w:val="43B93A97"/>
    <w:rsid w:val="43C07F99"/>
    <w:rsid w:val="43C10DD6"/>
    <w:rsid w:val="43C64077"/>
    <w:rsid w:val="43D60EE5"/>
    <w:rsid w:val="43DE2CBF"/>
    <w:rsid w:val="43E2349D"/>
    <w:rsid w:val="43E308C1"/>
    <w:rsid w:val="43F13A93"/>
    <w:rsid w:val="43F3462F"/>
    <w:rsid w:val="4401576A"/>
    <w:rsid w:val="4403373B"/>
    <w:rsid w:val="440526DB"/>
    <w:rsid w:val="44057AF3"/>
    <w:rsid w:val="44076105"/>
    <w:rsid w:val="441033F6"/>
    <w:rsid w:val="44151BE3"/>
    <w:rsid w:val="44167ABD"/>
    <w:rsid w:val="44174286"/>
    <w:rsid w:val="441D4F1E"/>
    <w:rsid w:val="441E40DF"/>
    <w:rsid w:val="44200BC8"/>
    <w:rsid w:val="44292305"/>
    <w:rsid w:val="442B1604"/>
    <w:rsid w:val="442F580D"/>
    <w:rsid w:val="4437739E"/>
    <w:rsid w:val="444728D8"/>
    <w:rsid w:val="44476496"/>
    <w:rsid w:val="44476729"/>
    <w:rsid w:val="44496945"/>
    <w:rsid w:val="444C1C7E"/>
    <w:rsid w:val="444E4A37"/>
    <w:rsid w:val="444F1769"/>
    <w:rsid w:val="44532C0E"/>
    <w:rsid w:val="44536B0B"/>
    <w:rsid w:val="445E2ECB"/>
    <w:rsid w:val="44660DC1"/>
    <w:rsid w:val="44827449"/>
    <w:rsid w:val="44894051"/>
    <w:rsid w:val="448B40C8"/>
    <w:rsid w:val="448D5671"/>
    <w:rsid w:val="449617CF"/>
    <w:rsid w:val="449C2CF6"/>
    <w:rsid w:val="449F464A"/>
    <w:rsid w:val="44AB052A"/>
    <w:rsid w:val="44AB284E"/>
    <w:rsid w:val="44AC3B6B"/>
    <w:rsid w:val="44BF10AF"/>
    <w:rsid w:val="44C12064"/>
    <w:rsid w:val="44C3143B"/>
    <w:rsid w:val="44C3365F"/>
    <w:rsid w:val="44C7452D"/>
    <w:rsid w:val="44D6350C"/>
    <w:rsid w:val="44D64676"/>
    <w:rsid w:val="44D77066"/>
    <w:rsid w:val="44D84D08"/>
    <w:rsid w:val="44E21AE8"/>
    <w:rsid w:val="44E32F1B"/>
    <w:rsid w:val="44E41861"/>
    <w:rsid w:val="44ED5E56"/>
    <w:rsid w:val="44EF7A37"/>
    <w:rsid w:val="450244F8"/>
    <w:rsid w:val="45034D45"/>
    <w:rsid w:val="45060231"/>
    <w:rsid w:val="450C61F8"/>
    <w:rsid w:val="450D704A"/>
    <w:rsid w:val="450E7C7C"/>
    <w:rsid w:val="45143D6B"/>
    <w:rsid w:val="45157171"/>
    <w:rsid w:val="451D02E5"/>
    <w:rsid w:val="452A4C00"/>
    <w:rsid w:val="452D1CC9"/>
    <w:rsid w:val="45374519"/>
    <w:rsid w:val="453C5C7C"/>
    <w:rsid w:val="454364DB"/>
    <w:rsid w:val="454855B2"/>
    <w:rsid w:val="454A4722"/>
    <w:rsid w:val="454E2A38"/>
    <w:rsid w:val="45577E7A"/>
    <w:rsid w:val="45593E62"/>
    <w:rsid w:val="455F1731"/>
    <w:rsid w:val="45605CF4"/>
    <w:rsid w:val="4569773B"/>
    <w:rsid w:val="456A6AE6"/>
    <w:rsid w:val="456C7DC9"/>
    <w:rsid w:val="4577EE25"/>
    <w:rsid w:val="45820E8D"/>
    <w:rsid w:val="45861105"/>
    <w:rsid w:val="459067EA"/>
    <w:rsid w:val="45A8453A"/>
    <w:rsid w:val="45A86EFB"/>
    <w:rsid w:val="45B818EC"/>
    <w:rsid w:val="45B97CA3"/>
    <w:rsid w:val="45C14D4E"/>
    <w:rsid w:val="45CE788C"/>
    <w:rsid w:val="45D64208"/>
    <w:rsid w:val="45D960D8"/>
    <w:rsid w:val="45DB35CC"/>
    <w:rsid w:val="45ED3300"/>
    <w:rsid w:val="45F450CC"/>
    <w:rsid w:val="45F715AF"/>
    <w:rsid w:val="45F71B3B"/>
    <w:rsid w:val="46081744"/>
    <w:rsid w:val="4611722F"/>
    <w:rsid w:val="461476CB"/>
    <w:rsid w:val="46150E98"/>
    <w:rsid w:val="461A1127"/>
    <w:rsid w:val="462346E4"/>
    <w:rsid w:val="462352C8"/>
    <w:rsid w:val="46251554"/>
    <w:rsid w:val="4632261E"/>
    <w:rsid w:val="46332848"/>
    <w:rsid w:val="4638733C"/>
    <w:rsid w:val="463A6B3C"/>
    <w:rsid w:val="463E0106"/>
    <w:rsid w:val="46405B25"/>
    <w:rsid w:val="46433CCF"/>
    <w:rsid w:val="464376B2"/>
    <w:rsid w:val="464C2012"/>
    <w:rsid w:val="464F300E"/>
    <w:rsid w:val="465957BB"/>
    <w:rsid w:val="46614C45"/>
    <w:rsid w:val="46634905"/>
    <w:rsid w:val="46713370"/>
    <w:rsid w:val="467C0735"/>
    <w:rsid w:val="468204EF"/>
    <w:rsid w:val="46851FED"/>
    <w:rsid w:val="46854215"/>
    <w:rsid w:val="4685496D"/>
    <w:rsid w:val="468A4808"/>
    <w:rsid w:val="468E07DC"/>
    <w:rsid w:val="46970B7E"/>
    <w:rsid w:val="46A307AE"/>
    <w:rsid w:val="46A34A6C"/>
    <w:rsid w:val="46AE6BB9"/>
    <w:rsid w:val="46B34848"/>
    <w:rsid w:val="46B63BB4"/>
    <w:rsid w:val="46B66DAB"/>
    <w:rsid w:val="46BE3BC1"/>
    <w:rsid w:val="46C46BFB"/>
    <w:rsid w:val="46C8128E"/>
    <w:rsid w:val="46CE0FC1"/>
    <w:rsid w:val="46D80D6C"/>
    <w:rsid w:val="46F87D23"/>
    <w:rsid w:val="46FA102C"/>
    <w:rsid w:val="46FD25C1"/>
    <w:rsid w:val="46FD7665"/>
    <w:rsid w:val="46FE49F2"/>
    <w:rsid w:val="47042CE7"/>
    <w:rsid w:val="4713035E"/>
    <w:rsid w:val="471657A9"/>
    <w:rsid w:val="471D65CB"/>
    <w:rsid w:val="471F1494"/>
    <w:rsid w:val="47236D39"/>
    <w:rsid w:val="472668EF"/>
    <w:rsid w:val="472670F7"/>
    <w:rsid w:val="472A1332"/>
    <w:rsid w:val="47301EDA"/>
    <w:rsid w:val="473242CA"/>
    <w:rsid w:val="473D598E"/>
    <w:rsid w:val="474E43B5"/>
    <w:rsid w:val="475070B3"/>
    <w:rsid w:val="47532228"/>
    <w:rsid w:val="475E1903"/>
    <w:rsid w:val="475E6263"/>
    <w:rsid w:val="476358C8"/>
    <w:rsid w:val="47654703"/>
    <w:rsid w:val="4769407F"/>
    <w:rsid w:val="476A28CE"/>
    <w:rsid w:val="477067B2"/>
    <w:rsid w:val="47732CD5"/>
    <w:rsid w:val="47774339"/>
    <w:rsid w:val="47885C49"/>
    <w:rsid w:val="479D6E11"/>
    <w:rsid w:val="47AF5AAA"/>
    <w:rsid w:val="47B15014"/>
    <w:rsid w:val="47B32C82"/>
    <w:rsid w:val="47B71EFB"/>
    <w:rsid w:val="47C923E1"/>
    <w:rsid w:val="47D4481E"/>
    <w:rsid w:val="47DD7F58"/>
    <w:rsid w:val="47E5574E"/>
    <w:rsid w:val="47F16BCC"/>
    <w:rsid w:val="47FA5701"/>
    <w:rsid w:val="47FB39EA"/>
    <w:rsid w:val="47FE691F"/>
    <w:rsid w:val="48036331"/>
    <w:rsid w:val="480A1D14"/>
    <w:rsid w:val="480D00FD"/>
    <w:rsid w:val="4815506E"/>
    <w:rsid w:val="481D7912"/>
    <w:rsid w:val="481F1B20"/>
    <w:rsid w:val="48282B55"/>
    <w:rsid w:val="482C36D6"/>
    <w:rsid w:val="482F4C92"/>
    <w:rsid w:val="48316C4E"/>
    <w:rsid w:val="48330A04"/>
    <w:rsid w:val="48352352"/>
    <w:rsid w:val="483B30B0"/>
    <w:rsid w:val="484511D1"/>
    <w:rsid w:val="48466F0D"/>
    <w:rsid w:val="48486C5A"/>
    <w:rsid w:val="484950EF"/>
    <w:rsid w:val="484B512A"/>
    <w:rsid w:val="48501B75"/>
    <w:rsid w:val="48511725"/>
    <w:rsid w:val="48534FE1"/>
    <w:rsid w:val="485A5C74"/>
    <w:rsid w:val="48666576"/>
    <w:rsid w:val="486C1E67"/>
    <w:rsid w:val="486E697A"/>
    <w:rsid w:val="486F26F2"/>
    <w:rsid w:val="487F449E"/>
    <w:rsid w:val="487F6DE5"/>
    <w:rsid w:val="488024B1"/>
    <w:rsid w:val="48821331"/>
    <w:rsid w:val="488833E9"/>
    <w:rsid w:val="488B296E"/>
    <w:rsid w:val="48964544"/>
    <w:rsid w:val="48985CE2"/>
    <w:rsid w:val="489C5DC7"/>
    <w:rsid w:val="48A0681A"/>
    <w:rsid w:val="48A203D1"/>
    <w:rsid w:val="48B510D3"/>
    <w:rsid w:val="48B5156E"/>
    <w:rsid w:val="48B91D62"/>
    <w:rsid w:val="48BB69FD"/>
    <w:rsid w:val="48CB277A"/>
    <w:rsid w:val="48CD5129"/>
    <w:rsid w:val="48D12487"/>
    <w:rsid w:val="48D525B6"/>
    <w:rsid w:val="48D85B5B"/>
    <w:rsid w:val="48D92EED"/>
    <w:rsid w:val="48E64762"/>
    <w:rsid w:val="48EC6692"/>
    <w:rsid w:val="48ED09E4"/>
    <w:rsid w:val="48F16E9D"/>
    <w:rsid w:val="48F17AFF"/>
    <w:rsid w:val="48F53B50"/>
    <w:rsid w:val="48F76F67"/>
    <w:rsid w:val="48FA62A8"/>
    <w:rsid w:val="49017811"/>
    <w:rsid w:val="490521E9"/>
    <w:rsid w:val="490A2F86"/>
    <w:rsid w:val="4912460D"/>
    <w:rsid w:val="49177241"/>
    <w:rsid w:val="49180694"/>
    <w:rsid w:val="49182D69"/>
    <w:rsid w:val="491A5C36"/>
    <w:rsid w:val="491B2C27"/>
    <w:rsid w:val="492124A2"/>
    <w:rsid w:val="49250DD6"/>
    <w:rsid w:val="49336F31"/>
    <w:rsid w:val="49344E4A"/>
    <w:rsid w:val="493665C0"/>
    <w:rsid w:val="493C5A7C"/>
    <w:rsid w:val="4940267F"/>
    <w:rsid w:val="49444D7A"/>
    <w:rsid w:val="49450563"/>
    <w:rsid w:val="494C0DF4"/>
    <w:rsid w:val="49504F5F"/>
    <w:rsid w:val="49645788"/>
    <w:rsid w:val="49685F0B"/>
    <w:rsid w:val="49706721"/>
    <w:rsid w:val="498B2241"/>
    <w:rsid w:val="499A1140"/>
    <w:rsid w:val="499A2F46"/>
    <w:rsid w:val="499A70D7"/>
    <w:rsid w:val="49A16698"/>
    <w:rsid w:val="49AD5226"/>
    <w:rsid w:val="49B00E94"/>
    <w:rsid w:val="49C72BFC"/>
    <w:rsid w:val="49D136A3"/>
    <w:rsid w:val="49DA6F3E"/>
    <w:rsid w:val="49E2751A"/>
    <w:rsid w:val="49E4179C"/>
    <w:rsid w:val="49EB6CBC"/>
    <w:rsid w:val="49EF241A"/>
    <w:rsid w:val="49EF3D8A"/>
    <w:rsid w:val="49EF678D"/>
    <w:rsid w:val="49F66C27"/>
    <w:rsid w:val="49FB2C20"/>
    <w:rsid w:val="49FC7EA1"/>
    <w:rsid w:val="4A0330F2"/>
    <w:rsid w:val="4A056C41"/>
    <w:rsid w:val="4A0D2CA4"/>
    <w:rsid w:val="4A0E4BCC"/>
    <w:rsid w:val="4A0F7CE8"/>
    <w:rsid w:val="4A116E69"/>
    <w:rsid w:val="4A16242F"/>
    <w:rsid w:val="4A1E58CD"/>
    <w:rsid w:val="4A1F4D4C"/>
    <w:rsid w:val="4A266D62"/>
    <w:rsid w:val="4A266DE0"/>
    <w:rsid w:val="4A2859D9"/>
    <w:rsid w:val="4A355782"/>
    <w:rsid w:val="4A3A2851"/>
    <w:rsid w:val="4A417661"/>
    <w:rsid w:val="4A456ADD"/>
    <w:rsid w:val="4A4914AD"/>
    <w:rsid w:val="4A4F7C57"/>
    <w:rsid w:val="4A553BB8"/>
    <w:rsid w:val="4A590F64"/>
    <w:rsid w:val="4A5B5B57"/>
    <w:rsid w:val="4A5E2074"/>
    <w:rsid w:val="4A6D468F"/>
    <w:rsid w:val="4A6D4D16"/>
    <w:rsid w:val="4A812957"/>
    <w:rsid w:val="4A8731A2"/>
    <w:rsid w:val="4A8A3F66"/>
    <w:rsid w:val="4A8E1844"/>
    <w:rsid w:val="4A987C21"/>
    <w:rsid w:val="4A9B1546"/>
    <w:rsid w:val="4A9E59B5"/>
    <w:rsid w:val="4AA03E6E"/>
    <w:rsid w:val="4AA06186"/>
    <w:rsid w:val="4AA13213"/>
    <w:rsid w:val="4AA96950"/>
    <w:rsid w:val="4AAE2A70"/>
    <w:rsid w:val="4ABC6C05"/>
    <w:rsid w:val="4ABF720E"/>
    <w:rsid w:val="4AC264CA"/>
    <w:rsid w:val="4AC65D63"/>
    <w:rsid w:val="4AD53FD1"/>
    <w:rsid w:val="4AD9307A"/>
    <w:rsid w:val="4ADF2DFE"/>
    <w:rsid w:val="4AE16A23"/>
    <w:rsid w:val="4AE70821"/>
    <w:rsid w:val="4AF52DB7"/>
    <w:rsid w:val="4AFC67E9"/>
    <w:rsid w:val="4AFD002E"/>
    <w:rsid w:val="4B007554"/>
    <w:rsid w:val="4B06274D"/>
    <w:rsid w:val="4B161F17"/>
    <w:rsid w:val="4B186106"/>
    <w:rsid w:val="4B1C5D18"/>
    <w:rsid w:val="4B2865BE"/>
    <w:rsid w:val="4B291882"/>
    <w:rsid w:val="4B414E4E"/>
    <w:rsid w:val="4B4C1894"/>
    <w:rsid w:val="4B4E717E"/>
    <w:rsid w:val="4B5675CA"/>
    <w:rsid w:val="4B664412"/>
    <w:rsid w:val="4B6E4E16"/>
    <w:rsid w:val="4B700DB1"/>
    <w:rsid w:val="4B717749"/>
    <w:rsid w:val="4B787838"/>
    <w:rsid w:val="4B7934E1"/>
    <w:rsid w:val="4B7A3887"/>
    <w:rsid w:val="4B7D61BD"/>
    <w:rsid w:val="4B865F02"/>
    <w:rsid w:val="4B8C3E7B"/>
    <w:rsid w:val="4B942FBB"/>
    <w:rsid w:val="4B980D82"/>
    <w:rsid w:val="4B9A076E"/>
    <w:rsid w:val="4BA01AC0"/>
    <w:rsid w:val="4BAA33FD"/>
    <w:rsid w:val="4BB53328"/>
    <w:rsid w:val="4BB97283"/>
    <w:rsid w:val="4BC5033F"/>
    <w:rsid w:val="4BC75ED6"/>
    <w:rsid w:val="4BD1438E"/>
    <w:rsid w:val="4BD73A90"/>
    <w:rsid w:val="4BDA73F8"/>
    <w:rsid w:val="4BDC02A6"/>
    <w:rsid w:val="4BDD219B"/>
    <w:rsid w:val="4BDD69C7"/>
    <w:rsid w:val="4BE02EAC"/>
    <w:rsid w:val="4BE30200"/>
    <w:rsid w:val="4BE72B2E"/>
    <w:rsid w:val="4BEA6A1A"/>
    <w:rsid w:val="4BF06D96"/>
    <w:rsid w:val="4BF52630"/>
    <w:rsid w:val="4BF712C5"/>
    <w:rsid w:val="4BFE136E"/>
    <w:rsid w:val="4C003730"/>
    <w:rsid w:val="4C124170"/>
    <w:rsid w:val="4C1476A4"/>
    <w:rsid w:val="4C162619"/>
    <w:rsid w:val="4C24087F"/>
    <w:rsid w:val="4C2835AE"/>
    <w:rsid w:val="4C3F2608"/>
    <w:rsid w:val="4C4330AC"/>
    <w:rsid w:val="4C44267F"/>
    <w:rsid w:val="4C45458F"/>
    <w:rsid w:val="4C4548C3"/>
    <w:rsid w:val="4C4951B3"/>
    <w:rsid w:val="4C513763"/>
    <w:rsid w:val="4C5964D0"/>
    <w:rsid w:val="4C5A4A29"/>
    <w:rsid w:val="4C5E29FE"/>
    <w:rsid w:val="4C5E68E4"/>
    <w:rsid w:val="4C696A6D"/>
    <w:rsid w:val="4C6A6789"/>
    <w:rsid w:val="4C6D7A4F"/>
    <w:rsid w:val="4C6E596B"/>
    <w:rsid w:val="4C700260"/>
    <w:rsid w:val="4C792D67"/>
    <w:rsid w:val="4C7D4F23"/>
    <w:rsid w:val="4C991609"/>
    <w:rsid w:val="4C9A35A9"/>
    <w:rsid w:val="4CA34A95"/>
    <w:rsid w:val="4CAB4548"/>
    <w:rsid w:val="4CB5753A"/>
    <w:rsid w:val="4CB701C3"/>
    <w:rsid w:val="4CB712A9"/>
    <w:rsid w:val="4CC076A7"/>
    <w:rsid w:val="4CC529BE"/>
    <w:rsid w:val="4CC66DC7"/>
    <w:rsid w:val="4CCC08B2"/>
    <w:rsid w:val="4CD34FFD"/>
    <w:rsid w:val="4CDD2165"/>
    <w:rsid w:val="4CDE36D3"/>
    <w:rsid w:val="4CDF3312"/>
    <w:rsid w:val="4CE67DE1"/>
    <w:rsid w:val="4CEE59CC"/>
    <w:rsid w:val="4CEE62DB"/>
    <w:rsid w:val="4CF02461"/>
    <w:rsid w:val="4CF1164A"/>
    <w:rsid w:val="4CFA7AAF"/>
    <w:rsid w:val="4CFA7F3B"/>
    <w:rsid w:val="4CFD651E"/>
    <w:rsid w:val="4D0215F9"/>
    <w:rsid w:val="4D062868"/>
    <w:rsid w:val="4D07721A"/>
    <w:rsid w:val="4D0B7E8F"/>
    <w:rsid w:val="4D0C74FD"/>
    <w:rsid w:val="4D0F6236"/>
    <w:rsid w:val="4D1454B6"/>
    <w:rsid w:val="4D1770D3"/>
    <w:rsid w:val="4D184249"/>
    <w:rsid w:val="4D1A70D0"/>
    <w:rsid w:val="4D217D86"/>
    <w:rsid w:val="4D2B743F"/>
    <w:rsid w:val="4D3160B5"/>
    <w:rsid w:val="4D32074E"/>
    <w:rsid w:val="4D3604CB"/>
    <w:rsid w:val="4D3947F6"/>
    <w:rsid w:val="4D3D494A"/>
    <w:rsid w:val="4D3E5B2F"/>
    <w:rsid w:val="4D410984"/>
    <w:rsid w:val="4D443A5F"/>
    <w:rsid w:val="4D50309A"/>
    <w:rsid w:val="4D526D7C"/>
    <w:rsid w:val="4D550108"/>
    <w:rsid w:val="4D560E09"/>
    <w:rsid w:val="4D56709A"/>
    <w:rsid w:val="4D585332"/>
    <w:rsid w:val="4D5A4F33"/>
    <w:rsid w:val="4D5C08E8"/>
    <w:rsid w:val="4D617324"/>
    <w:rsid w:val="4D632E8A"/>
    <w:rsid w:val="4D6B3828"/>
    <w:rsid w:val="4D6E4D26"/>
    <w:rsid w:val="4D72317E"/>
    <w:rsid w:val="4D7B4665"/>
    <w:rsid w:val="4D8359B7"/>
    <w:rsid w:val="4D9144D6"/>
    <w:rsid w:val="4D945CC4"/>
    <w:rsid w:val="4D9562ED"/>
    <w:rsid w:val="4D961F22"/>
    <w:rsid w:val="4D975C78"/>
    <w:rsid w:val="4D9C1893"/>
    <w:rsid w:val="4D9E1EFE"/>
    <w:rsid w:val="4DA52871"/>
    <w:rsid w:val="4DA804BD"/>
    <w:rsid w:val="4DAF6529"/>
    <w:rsid w:val="4DB57321"/>
    <w:rsid w:val="4DB83C43"/>
    <w:rsid w:val="4DC75E04"/>
    <w:rsid w:val="4DCA2CD0"/>
    <w:rsid w:val="4DCC5732"/>
    <w:rsid w:val="4DD142AB"/>
    <w:rsid w:val="4DD35C51"/>
    <w:rsid w:val="4DE72219"/>
    <w:rsid w:val="4DF87CD8"/>
    <w:rsid w:val="4DFB4584"/>
    <w:rsid w:val="4DFD5471"/>
    <w:rsid w:val="4E025801"/>
    <w:rsid w:val="4E063D0D"/>
    <w:rsid w:val="4E0B31BD"/>
    <w:rsid w:val="4E0B4C6B"/>
    <w:rsid w:val="4E0E4371"/>
    <w:rsid w:val="4E101FCE"/>
    <w:rsid w:val="4E10623F"/>
    <w:rsid w:val="4E126B2F"/>
    <w:rsid w:val="4E162199"/>
    <w:rsid w:val="4E17642E"/>
    <w:rsid w:val="4E1C0847"/>
    <w:rsid w:val="4E4334AF"/>
    <w:rsid w:val="4E487C41"/>
    <w:rsid w:val="4E4916A1"/>
    <w:rsid w:val="4E500C56"/>
    <w:rsid w:val="4E521385"/>
    <w:rsid w:val="4E526C72"/>
    <w:rsid w:val="4E5657B7"/>
    <w:rsid w:val="4E577EB0"/>
    <w:rsid w:val="4E5A1C36"/>
    <w:rsid w:val="4E5D1B43"/>
    <w:rsid w:val="4E5E194D"/>
    <w:rsid w:val="4E5E2FEC"/>
    <w:rsid w:val="4E5F3278"/>
    <w:rsid w:val="4E5F6EC7"/>
    <w:rsid w:val="4E780CF8"/>
    <w:rsid w:val="4E787399"/>
    <w:rsid w:val="4E850346"/>
    <w:rsid w:val="4E857C56"/>
    <w:rsid w:val="4E866CBE"/>
    <w:rsid w:val="4E942FA5"/>
    <w:rsid w:val="4E970723"/>
    <w:rsid w:val="4E995AAA"/>
    <w:rsid w:val="4EAE3782"/>
    <w:rsid w:val="4EB64C84"/>
    <w:rsid w:val="4EB679CA"/>
    <w:rsid w:val="4EBA23A6"/>
    <w:rsid w:val="4EC106FD"/>
    <w:rsid w:val="4EC76438"/>
    <w:rsid w:val="4ECA6EDE"/>
    <w:rsid w:val="4EDF3796"/>
    <w:rsid w:val="4EE07C6B"/>
    <w:rsid w:val="4EE755A4"/>
    <w:rsid w:val="4EE92C64"/>
    <w:rsid w:val="4EEC048A"/>
    <w:rsid w:val="4EEC4798"/>
    <w:rsid w:val="4EF23735"/>
    <w:rsid w:val="4EF95660"/>
    <w:rsid w:val="4EFB083B"/>
    <w:rsid w:val="4EFF1909"/>
    <w:rsid w:val="4F022F1D"/>
    <w:rsid w:val="4F1175DE"/>
    <w:rsid w:val="4F167271"/>
    <w:rsid w:val="4F173034"/>
    <w:rsid w:val="4F175737"/>
    <w:rsid w:val="4F1A433D"/>
    <w:rsid w:val="4F1D2EA8"/>
    <w:rsid w:val="4F222B4D"/>
    <w:rsid w:val="4F22415D"/>
    <w:rsid w:val="4F2F2E4F"/>
    <w:rsid w:val="4F325948"/>
    <w:rsid w:val="4F350357"/>
    <w:rsid w:val="4F432EAC"/>
    <w:rsid w:val="4F473F09"/>
    <w:rsid w:val="4F4A4DB4"/>
    <w:rsid w:val="4F562E1D"/>
    <w:rsid w:val="4F615112"/>
    <w:rsid w:val="4F623386"/>
    <w:rsid w:val="4F6278F2"/>
    <w:rsid w:val="4F6524A5"/>
    <w:rsid w:val="4F6734CD"/>
    <w:rsid w:val="4F6A638E"/>
    <w:rsid w:val="4F6E78C9"/>
    <w:rsid w:val="4F800F9E"/>
    <w:rsid w:val="4F824BC4"/>
    <w:rsid w:val="4F84220D"/>
    <w:rsid w:val="4F871689"/>
    <w:rsid w:val="4F8F7A0B"/>
    <w:rsid w:val="4F9168C8"/>
    <w:rsid w:val="4F982F4F"/>
    <w:rsid w:val="4F9B56F9"/>
    <w:rsid w:val="4F9E77D3"/>
    <w:rsid w:val="4F9F2E5E"/>
    <w:rsid w:val="4FAA22F8"/>
    <w:rsid w:val="4FAB6890"/>
    <w:rsid w:val="4FAD2F74"/>
    <w:rsid w:val="4FB13FA2"/>
    <w:rsid w:val="4FC3272F"/>
    <w:rsid w:val="4FC616ED"/>
    <w:rsid w:val="4FCB6460"/>
    <w:rsid w:val="4FDA0F6A"/>
    <w:rsid w:val="4FEA34AF"/>
    <w:rsid w:val="4FF365E2"/>
    <w:rsid w:val="4FFE6835"/>
    <w:rsid w:val="4FFF2ADF"/>
    <w:rsid w:val="50055012"/>
    <w:rsid w:val="50062DC4"/>
    <w:rsid w:val="50083867"/>
    <w:rsid w:val="50100EFF"/>
    <w:rsid w:val="50101541"/>
    <w:rsid w:val="50106568"/>
    <w:rsid w:val="50112995"/>
    <w:rsid w:val="501F32AC"/>
    <w:rsid w:val="502035B4"/>
    <w:rsid w:val="50210F9C"/>
    <w:rsid w:val="5021159E"/>
    <w:rsid w:val="50272C5C"/>
    <w:rsid w:val="502B51C6"/>
    <w:rsid w:val="502C6E90"/>
    <w:rsid w:val="50313108"/>
    <w:rsid w:val="50326C49"/>
    <w:rsid w:val="503944E8"/>
    <w:rsid w:val="503C1682"/>
    <w:rsid w:val="503C37A9"/>
    <w:rsid w:val="503E14B7"/>
    <w:rsid w:val="504B3690"/>
    <w:rsid w:val="50526EF4"/>
    <w:rsid w:val="505271FA"/>
    <w:rsid w:val="505358A3"/>
    <w:rsid w:val="50544708"/>
    <w:rsid w:val="50566671"/>
    <w:rsid w:val="5057261F"/>
    <w:rsid w:val="505866C6"/>
    <w:rsid w:val="506223F9"/>
    <w:rsid w:val="506D0237"/>
    <w:rsid w:val="506D4B46"/>
    <w:rsid w:val="5076286F"/>
    <w:rsid w:val="5077108F"/>
    <w:rsid w:val="50774BC1"/>
    <w:rsid w:val="507A46BC"/>
    <w:rsid w:val="507B60D8"/>
    <w:rsid w:val="50834D92"/>
    <w:rsid w:val="50953316"/>
    <w:rsid w:val="509842B1"/>
    <w:rsid w:val="509C733A"/>
    <w:rsid w:val="509F36DF"/>
    <w:rsid w:val="50A02266"/>
    <w:rsid w:val="50AC470D"/>
    <w:rsid w:val="50B813A5"/>
    <w:rsid w:val="50BB7BA2"/>
    <w:rsid w:val="50BE304E"/>
    <w:rsid w:val="50BE7899"/>
    <w:rsid w:val="50C368BE"/>
    <w:rsid w:val="50C865A9"/>
    <w:rsid w:val="50D751D6"/>
    <w:rsid w:val="50DD66D9"/>
    <w:rsid w:val="50DE6B31"/>
    <w:rsid w:val="50DF3F72"/>
    <w:rsid w:val="50F47E1F"/>
    <w:rsid w:val="51025793"/>
    <w:rsid w:val="51063441"/>
    <w:rsid w:val="510950F3"/>
    <w:rsid w:val="510A2349"/>
    <w:rsid w:val="510A66FC"/>
    <w:rsid w:val="510F5171"/>
    <w:rsid w:val="510F6820"/>
    <w:rsid w:val="5111322A"/>
    <w:rsid w:val="5113193A"/>
    <w:rsid w:val="511A1496"/>
    <w:rsid w:val="511E42A9"/>
    <w:rsid w:val="51272A8A"/>
    <w:rsid w:val="512B622F"/>
    <w:rsid w:val="512F5DDF"/>
    <w:rsid w:val="51320E03"/>
    <w:rsid w:val="513230EE"/>
    <w:rsid w:val="513242BC"/>
    <w:rsid w:val="5137529F"/>
    <w:rsid w:val="513B0D30"/>
    <w:rsid w:val="51416790"/>
    <w:rsid w:val="514B1C22"/>
    <w:rsid w:val="514D1D3B"/>
    <w:rsid w:val="51525B58"/>
    <w:rsid w:val="515E2B16"/>
    <w:rsid w:val="516910E3"/>
    <w:rsid w:val="517150E8"/>
    <w:rsid w:val="51723D5F"/>
    <w:rsid w:val="51781B7F"/>
    <w:rsid w:val="517D025B"/>
    <w:rsid w:val="517D19C3"/>
    <w:rsid w:val="517F1381"/>
    <w:rsid w:val="5182309C"/>
    <w:rsid w:val="51823275"/>
    <w:rsid w:val="51952E2E"/>
    <w:rsid w:val="51963D8E"/>
    <w:rsid w:val="51A712F2"/>
    <w:rsid w:val="51AF1BC6"/>
    <w:rsid w:val="51B1506B"/>
    <w:rsid w:val="51B343AB"/>
    <w:rsid w:val="51B856E0"/>
    <w:rsid w:val="51BB63CA"/>
    <w:rsid w:val="51BC69D1"/>
    <w:rsid w:val="51C21AE4"/>
    <w:rsid w:val="51C52B47"/>
    <w:rsid w:val="51C67BA7"/>
    <w:rsid w:val="51CB5CF2"/>
    <w:rsid w:val="51CD54BD"/>
    <w:rsid w:val="51D1154C"/>
    <w:rsid w:val="51D264E1"/>
    <w:rsid w:val="51D60F8B"/>
    <w:rsid w:val="51D75216"/>
    <w:rsid w:val="51E06343"/>
    <w:rsid w:val="51E27A91"/>
    <w:rsid w:val="51E3724C"/>
    <w:rsid w:val="51E66AD8"/>
    <w:rsid w:val="51EB607A"/>
    <w:rsid w:val="51F10C04"/>
    <w:rsid w:val="51F249D6"/>
    <w:rsid w:val="51F24E6A"/>
    <w:rsid w:val="51F70E08"/>
    <w:rsid w:val="51F714EE"/>
    <w:rsid w:val="520C29D0"/>
    <w:rsid w:val="520E1591"/>
    <w:rsid w:val="52175A06"/>
    <w:rsid w:val="52224FAA"/>
    <w:rsid w:val="522555D2"/>
    <w:rsid w:val="52290CB4"/>
    <w:rsid w:val="52402881"/>
    <w:rsid w:val="525311D5"/>
    <w:rsid w:val="52661320"/>
    <w:rsid w:val="52664F6E"/>
    <w:rsid w:val="5270586C"/>
    <w:rsid w:val="52720E14"/>
    <w:rsid w:val="527A14DE"/>
    <w:rsid w:val="527E1EAF"/>
    <w:rsid w:val="527E37EB"/>
    <w:rsid w:val="527F05FD"/>
    <w:rsid w:val="528338D9"/>
    <w:rsid w:val="52843EAB"/>
    <w:rsid w:val="528A2896"/>
    <w:rsid w:val="528B637A"/>
    <w:rsid w:val="528D6710"/>
    <w:rsid w:val="52933E0D"/>
    <w:rsid w:val="529D37F3"/>
    <w:rsid w:val="529D59C2"/>
    <w:rsid w:val="529F29B3"/>
    <w:rsid w:val="52A62889"/>
    <w:rsid w:val="52A820CC"/>
    <w:rsid w:val="52A874A3"/>
    <w:rsid w:val="52AD3BBF"/>
    <w:rsid w:val="52AE3FA0"/>
    <w:rsid w:val="52B25EF6"/>
    <w:rsid w:val="52B32AF0"/>
    <w:rsid w:val="52B43566"/>
    <w:rsid w:val="52BE760C"/>
    <w:rsid w:val="52C1181F"/>
    <w:rsid w:val="52C45064"/>
    <w:rsid w:val="52C5255A"/>
    <w:rsid w:val="52C71D6D"/>
    <w:rsid w:val="52C81A6D"/>
    <w:rsid w:val="52CA0BA9"/>
    <w:rsid w:val="52CB6FA3"/>
    <w:rsid w:val="52CD6517"/>
    <w:rsid w:val="52CE04A0"/>
    <w:rsid w:val="52D64984"/>
    <w:rsid w:val="52D92ACB"/>
    <w:rsid w:val="52DA13ED"/>
    <w:rsid w:val="52E81580"/>
    <w:rsid w:val="52E85D89"/>
    <w:rsid w:val="52EE0301"/>
    <w:rsid w:val="52EE0307"/>
    <w:rsid w:val="52EF7879"/>
    <w:rsid w:val="52F57E23"/>
    <w:rsid w:val="52FE08FA"/>
    <w:rsid w:val="53027C79"/>
    <w:rsid w:val="530347A8"/>
    <w:rsid w:val="53131D0B"/>
    <w:rsid w:val="531819A1"/>
    <w:rsid w:val="531D16E0"/>
    <w:rsid w:val="531E1D87"/>
    <w:rsid w:val="53254B0C"/>
    <w:rsid w:val="532847DC"/>
    <w:rsid w:val="53354B5C"/>
    <w:rsid w:val="53406ACC"/>
    <w:rsid w:val="5343356D"/>
    <w:rsid w:val="534B7602"/>
    <w:rsid w:val="53546E0A"/>
    <w:rsid w:val="53547D59"/>
    <w:rsid w:val="535760F6"/>
    <w:rsid w:val="53674EA9"/>
    <w:rsid w:val="536A058E"/>
    <w:rsid w:val="536A41E2"/>
    <w:rsid w:val="537625F2"/>
    <w:rsid w:val="53786887"/>
    <w:rsid w:val="53791837"/>
    <w:rsid w:val="537B50F6"/>
    <w:rsid w:val="537F7C8D"/>
    <w:rsid w:val="538452A3"/>
    <w:rsid w:val="53852DC9"/>
    <w:rsid w:val="538724AF"/>
    <w:rsid w:val="53997B82"/>
    <w:rsid w:val="539D3DD1"/>
    <w:rsid w:val="539D6290"/>
    <w:rsid w:val="53A03969"/>
    <w:rsid w:val="53AE0C0A"/>
    <w:rsid w:val="53B904F8"/>
    <w:rsid w:val="53BD060C"/>
    <w:rsid w:val="53BF3C96"/>
    <w:rsid w:val="53CA50A0"/>
    <w:rsid w:val="53D47BA2"/>
    <w:rsid w:val="53D710AA"/>
    <w:rsid w:val="53D82F21"/>
    <w:rsid w:val="53E84668"/>
    <w:rsid w:val="53ED3AA5"/>
    <w:rsid w:val="53F14963"/>
    <w:rsid w:val="53F36916"/>
    <w:rsid w:val="53FB0385"/>
    <w:rsid w:val="53FB3DF0"/>
    <w:rsid w:val="53FC659A"/>
    <w:rsid w:val="541175DE"/>
    <w:rsid w:val="541A1764"/>
    <w:rsid w:val="541F1122"/>
    <w:rsid w:val="54226686"/>
    <w:rsid w:val="54244390"/>
    <w:rsid w:val="5434170B"/>
    <w:rsid w:val="54383A6E"/>
    <w:rsid w:val="543A407E"/>
    <w:rsid w:val="543D3585"/>
    <w:rsid w:val="543E304D"/>
    <w:rsid w:val="544220A4"/>
    <w:rsid w:val="54433EFC"/>
    <w:rsid w:val="544A573B"/>
    <w:rsid w:val="544E410C"/>
    <w:rsid w:val="54526581"/>
    <w:rsid w:val="545F6326"/>
    <w:rsid w:val="546314A0"/>
    <w:rsid w:val="547D126C"/>
    <w:rsid w:val="54815AD6"/>
    <w:rsid w:val="54834D11"/>
    <w:rsid w:val="548A3FC9"/>
    <w:rsid w:val="548F3067"/>
    <w:rsid w:val="54967A60"/>
    <w:rsid w:val="549D7114"/>
    <w:rsid w:val="54A035C0"/>
    <w:rsid w:val="54A07777"/>
    <w:rsid w:val="54A11674"/>
    <w:rsid w:val="54A51E5C"/>
    <w:rsid w:val="54A631EB"/>
    <w:rsid w:val="54A654A5"/>
    <w:rsid w:val="54A76832"/>
    <w:rsid w:val="54AD68B4"/>
    <w:rsid w:val="54B02444"/>
    <w:rsid w:val="54B46BE6"/>
    <w:rsid w:val="54B575F6"/>
    <w:rsid w:val="54BC1B13"/>
    <w:rsid w:val="54C42CEC"/>
    <w:rsid w:val="54C70DF9"/>
    <w:rsid w:val="54D1168D"/>
    <w:rsid w:val="54D960F5"/>
    <w:rsid w:val="54E446E2"/>
    <w:rsid w:val="54F1782E"/>
    <w:rsid w:val="54F402ED"/>
    <w:rsid w:val="54FB0ADE"/>
    <w:rsid w:val="55032B54"/>
    <w:rsid w:val="55083897"/>
    <w:rsid w:val="550A228E"/>
    <w:rsid w:val="55195B27"/>
    <w:rsid w:val="552A59D6"/>
    <w:rsid w:val="55345504"/>
    <w:rsid w:val="55400497"/>
    <w:rsid w:val="55502DFA"/>
    <w:rsid w:val="55520FBE"/>
    <w:rsid w:val="555262FC"/>
    <w:rsid w:val="555319D1"/>
    <w:rsid w:val="555F09E9"/>
    <w:rsid w:val="55613E55"/>
    <w:rsid w:val="556616C8"/>
    <w:rsid w:val="556B47C8"/>
    <w:rsid w:val="557442EA"/>
    <w:rsid w:val="55762F7B"/>
    <w:rsid w:val="55765516"/>
    <w:rsid w:val="557E7067"/>
    <w:rsid w:val="557F3F6A"/>
    <w:rsid w:val="55833079"/>
    <w:rsid w:val="558570B1"/>
    <w:rsid w:val="558B40B6"/>
    <w:rsid w:val="558E46D6"/>
    <w:rsid w:val="5594592A"/>
    <w:rsid w:val="5598074E"/>
    <w:rsid w:val="559A7A2A"/>
    <w:rsid w:val="559E0172"/>
    <w:rsid w:val="559E5231"/>
    <w:rsid w:val="55A162D3"/>
    <w:rsid w:val="55AF24DA"/>
    <w:rsid w:val="55C734F5"/>
    <w:rsid w:val="55D16941"/>
    <w:rsid w:val="55D35761"/>
    <w:rsid w:val="55D65B5E"/>
    <w:rsid w:val="55DC50C5"/>
    <w:rsid w:val="55E0078B"/>
    <w:rsid w:val="55E81CD4"/>
    <w:rsid w:val="55E93715"/>
    <w:rsid w:val="55F33FA5"/>
    <w:rsid w:val="560148F8"/>
    <w:rsid w:val="561346BC"/>
    <w:rsid w:val="561616F3"/>
    <w:rsid w:val="56164AD9"/>
    <w:rsid w:val="56185C97"/>
    <w:rsid w:val="561D19DF"/>
    <w:rsid w:val="561F7F94"/>
    <w:rsid w:val="56230716"/>
    <w:rsid w:val="562863CC"/>
    <w:rsid w:val="562A0715"/>
    <w:rsid w:val="562C17E1"/>
    <w:rsid w:val="563457A6"/>
    <w:rsid w:val="56557F7C"/>
    <w:rsid w:val="565A678F"/>
    <w:rsid w:val="565A69FD"/>
    <w:rsid w:val="56627E6C"/>
    <w:rsid w:val="566D18EB"/>
    <w:rsid w:val="566D2477"/>
    <w:rsid w:val="566D2743"/>
    <w:rsid w:val="566E6C4C"/>
    <w:rsid w:val="56754EBA"/>
    <w:rsid w:val="56780ED5"/>
    <w:rsid w:val="56794F6D"/>
    <w:rsid w:val="56797E23"/>
    <w:rsid w:val="569F2D23"/>
    <w:rsid w:val="56A47A0A"/>
    <w:rsid w:val="56A746C7"/>
    <w:rsid w:val="56AB014A"/>
    <w:rsid w:val="56AB04D2"/>
    <w:rsid w:val="56AC2220"/>
    <w:rsid w:val="56AF0889"/>
    <w:rsid w:val="56B848F9"/>
    <w:rsid w:val="56C2111B"/>
    <w:rsid w:val="56CE4A87"/>
    <w:rsid w:val="56E03993"/>
    <w:rsid w:val="56E36785"/>
    <w:rsid w:val="56E45187"/>
    <w:rsid w:val="56E514A1"/>
    <w:rsid w:val="56E85B49"/>
    <w:rsid w:val="56E92A63"/>
    <w:rsid w:val="56F112B1"/>
    <w:rsid w:val="56F40860"/>
    <w:rsid w:val="56F74F00"/>
    <w:rsid w:val="56F7571D"/>
    <w:rsid w:val="570120A9"/>
    <w:rsid w:val="57075EAC"/>
    <w:rsid w:val="57076301"/>
    <w:rsid w:val="570A59B7"/>
    <w:rsid w:val="570D53A0"/>
    <w:rsid w:val="57113B7B"/>
    <w:rsid w:val="5712720C"/>
    <w:rsid w:val="57211430"/>
    <w:rsid w:val="57270B3D"/>
    <w:rsid w:val="57272D89"/>
    <w:rsid w:val="572D6376"/>
    <w:rsid w:val="5730608A"/>
    <w:rsid w:val="57380AFC"/>
    <w:rsid w:val="573910BE"/>
    <w:rsid w:val="573D680E"/>
    <w:rsid w:val="573E4972"/>
    <w:rsid w:val="57411EFE"/>
    <w:rsid w:val="575708CA"/>
    <w:rsid w:val="575D1C67"/>
    <w:rsid w:val="57641ED2"/>
    <w:rsid w:val="576516CC"/>
    <w:rsid w:val="576605F2"/>
    <w:rsid w:val="576A4F03"/>
    <w:rsid w:val="576E0591"/>
    <w:rsid w:val="5773493B"/>
    <w:rsid w:val="57794F6E"/>
    <w:rsid w:val="577E60BE"/>
    <w:rsid w:val="57802C16"/>
    <w:rsid w:val="57815E55"/>
    <w:rsid w:val="578852D2"/>
    <w:rsid w:val="5797131D"/>
    <w:rsid w:val="57A22F47"/>
    <w:rsid w:val="57A26A67"/>
    <w:rsid w:val="57A67968"/>
    <w:rsid w:val="57A94D69"/>
    <w:rsid w:val="57AF2218"/>
    <w:rsid w:val="57B87153"/>
    <w:rsid w:val="57BC0495"/>
    <w:rsid w:val="57C06A26"/>
    <w:rsid w:val="57CA307E"/>
    <w:rsid w:val="57CC7074"/>
    <w:rsid w:val="57DF227D"/>
    <w:rsid w:val="57E76AC9"/>
    <w:rsid w:val="57E84CEC"/>
    <w:rsid w:val="57EB2845"/>
    <w:rsid w:val="57F51B05"/>
    <w:rsid w:val="57F64296"/>
    <w:rsid w:val="57F975D0"/>
    <w:rsid w:val="57FA0E5E"/>
    <w:rsid w:val="57FD35E3"/>
    <w:rsid w:val="58076D29"/>
    <w:rsid w:val="580C4B64"/>
    <w:rsid w:val="580C501E"/>
    <w:rsid w:val="580F5097"/>
    <w:rsid w:val="58100D70"/>
    <w:rsid w:val="581D0E40"/>
    <w:rsid w:val="581D7C2B"/>
    <w:rsid w:val="58233747"/>
    <w:rsid w:val="5834793C"/>
    <w:rsid w:val="58377008"/>
    <w:rsid w:val="58377264"/>
    <w:rsid w:val="58446718"/>
    <w:rsid w:val="5848705A"/>
    <w:rsid w:val="584B7EF0"/>
    <w:rsid w:val="585B5FB1"/>
    <w:rsid w:val="587830F6"/>
    <w:rsid w:val="587B7D70"/>
    <w:rsid w:val="587D6916"/>
    <w:rsid w:val="58824F05"/>
    <w:rsid w:val="588E4E06"/>
    <w:rsid w:val="58936C09"/>
    <w:rsid w:val="589D2BE1"/>
    <w:rsid w:val="58A6075C"/>
    <w:rsid w:val="58A6088E"/>
    <w:rsid w:val="58B14B2F"/>
    <w:rsid w:val="58B84BA8"/>
    <w:rsid w:val="58C4160B"/>
    <w:rsid w:val="58C419FA"/>
    <w:rsid w:val="58CF08A8"/>
    <w:rsid w:val="58D04AE7"/>
    <w:rsid w:val="58D83D70"/>
    <w:rsid w:val="58EB49A4"/>
    <w:rsid w:val="58F35A6F"/>
    <w:rsid w:val="58FA0CC9"/>
    <w:rsid w:val="58FF615D"/>
    <w:rsid w:val="590167CB"/>
    <w:rsid w:val="59032204"/>
    <w:rsid w:val="59065879"/>
    <w:rsid w:val="59082ECE"/>
    <w:rsid w:val="59132528"/>
    <w:rsid w:val="59190E40"/>
    <w:rsid w:val="59271BEF"/>
    <w:rsid w:val="59280B3B"/>
    <w:rsid w:val="592A19E3"/>
    <w:rsid w:val="592E635F"/>
    <w:rsid w:val="59331EA2"/>
    <w:rsid w:val="59336BFC"/>
    <w:rsid w:val="59342DF2"/>
    <w:rsid w:val="593A7169"/>
    <w:rsid w:val="593B3D2B"/>
    <w:rsid w:val="593C48DB"/>
    <w:rsid w:val="59433CF0"/>
    <w:rsid w:val="59496B9F"/>
    <w:rsid w:val="594A037D"/>
    <w:rsid w:val="59582258"/>
    <w:rsid w:val="596429D6"/>
    <w:rsid w:val="59650A48"/>
    <w:rsid w:val="59651CAE"/>
    <w:rsid w:val="5971064D"/>
    <w:rsid w:val="59752418"/>
    <w:rsid w:val="597C468B"/>
    <w:rsid w:val="597D6C89"/>
    <w:rsid w:val="59976FEB"/>
    <w:rsid w:val="599E4BE5"/>
    <w:rsid w:val="59A00EDC"/>
    <w:rsid w:val="59A02CF1"/>
    <w:rsid w:val="59A47020"/>
    <w:rsid w:val="59A57581"/>
    <w:rsid w:val="59AB2444"/>
    <w:rsid w:val="59AC701E"/>
    <w:rsid w:val="59AD01A7"/>
    <w:rsid w:val="59AD3B63"/>
    <w:rsid w:val="59B6533D"/>
    <w:rsid w:val="59B941E0"/>
    <w:rsid w:val="59BC13A7"/>
    <w:rsid w:val="59C10F62"/>
    <w:rsid w:val="59C2730A"/>
    <w:rsid w:val="59C462B0"/>
    <w:rsid w:val="59C503C4"/>
    <w:rsid w:val="59C707D0"/>
    <w:rsid w:val="59C817EE"/>
    <w:rsid w:val="59CF317E"/>
    <w:rsid w:val="59DD2F98"/>
    <w:rsid w:val="59E549BE"/>
    <w:rsid w:val="59F740F1"/>
    <w:rsid w:val="59F902DA"/>
    <w:rsid w:val="59F972F7"/>
    <w:rsid w:val="5A1C3EF8"/>
    <w:rsid w:val="5A226ECE"/>
    <w:rsid w:val="5A2B27D6"/>
    <w:rsid w:val="5A2F594A"/>
    <w:rsid w:val="5A3A337D"/>
    <w:rsid w:val="5A3E5ABB"/>
    <w:rsid w:val="5A4049FD"/>
    <w:rsid w:val="5A430D8D"/>
    <w:rsid w:val="5A525013"/>
    <w:rsid w:val="5A587D48"/>
    <w:rsid w:val="5A5D73C6"/>
    <w:rsid w:val="5A5F6122"/>
    <w:rsid w:val="5A6C32D3"/>
    <w:rsid w:val="5A702884"/>
    <w:rsid w:val="5A703622"/>
    <w:rsid w:val="5A796801"/>
    <w:rsid w:val="5A7F4A16"/>
    <w:rsid w:val="5A8126F4"/>
    <w:rsid w:val="5A814A82"/>
    <w:rsid w:val="5A9030E7"/>
    <w:rsid w:val="5A9261B6"/>
    <w:rsid w:val="5A9474D4"/>
    <w:rsid w:val="5A977542"/>
    <w:rsid w:val="5A9F3C87"/>
    <w:rsid w:val="5AA3470B"/>
    <w:rsid w:val="5AA53C49"/>
    <w:rsid w:val="5AA90130"/>
    <w:rsid w:val="5AB21842"/>
    <w:rsid w:val="5AB96EC4"/>
    <w:rsid w:val="5ABA75F5"/>
    <w:rsid w:val="5AC00736"/>
    <w:rsid w:val="5ACC58A9"/>
    <w:rsid w:val="5AD07020"/>
    <w:rsid w:val="5AD50C84"/>
    <w:rsid w:val="5AD87AA0"/>
    <w:rsid w:val="5AE1312B"/>
    <w:rsid w:val="5AE53EED"/>
    <w:rsid w:val="5AE56ED8"/>
    <w:rsid w:val="5AEB179F"/>
    <w:rsid w:val="5AEC28E9"/>
    <w:rsid w:val="5AF873F9"/>
    <w:rsid w:val="5AFD5CA1"/>
    <w:rsid w:val="5B0516D1"/>
    <w:rsid w:val="5B0A144B"/>
    <w:rsid w:val="5B0E2BE7"/>
    <w:rsid w:val="5B194774"/>
    <w:rsid w:val="5B215A6F"/>
    <w:rsid w:val="5B2272B8"/>
    <w:rsid w:val="5B2452CA"/>
    <w:rsid w:val="5B246C93"/>
    <w:rsid w:val="5B293FA4"/>
    <w:rsid w:val="5B2F5F72"/>
    <w:rsid w:val="5B3B1E10"/>
    <w:rsid w:val="5B410E19"/>
    <w:rsid w:val="5B4A3418"/>
    <w:rsid w:val="5B4B766A"/>
    <w:rsid w:val="5B511F36"/>
    <w:rsid w:val="5B5B6A56"/>
    <w:rsid w:val="5B5C08B4"/>
    <w:rsid w:val="5B5E5179"/>
    <w:rsid w:val="5B686769"/>
    <w:rsid w:val="5B6F4007"/>
    <w:rsid w:val="5B742E16"/>
    <w:rsid w:val="5B7431E3"/>
    <w:rsid w:val="5B864EEC"/>
    <w:rsid w:val="5B8655DE"/>
    <w:rsid w:val="5B887CBA"/>
    <w:rsid w:val="5B952E72"/>
    <w:rsid w:val="5B9F0154"/>
    <w:rsid w:val="5BA73307"/>
    <w:rsid w:val="5BA84FB7"/>
    <w:rsid w:val="5BAE7E46"/>
    <w:rsid w:val="5BB12742"/>
    <w:rsid w:val="5BB81E3B"/>
    <w:rsid w:val="5BC65BA5"/>
    <w:rsid w:val="5BC80610"/>
    <w:rsid w:val="5BCC3E7B"/>
    <w:rsid w:val="5BCD73CC"/>
    <w:rsid w:val="5BCF7335"/>
    <w:rsid w:val="5BD21052"/>
    <w:rsid w:val="5BE461A6"/>
    <w:rsid w:val="5BE520C5"/>
    <w:rsid w:val="5BF93486"/>
    <w:rsid w:val="5BF96C0C"/>
    <w:rsid w:val="5C050C37"/>
    <w:rsid w:val="5C0B6BEB"/>
    <w:rsid w:val="5C196691"/>
    <w:rsid w:val="5C214C1A"/>
    <w:rsid w:val="5C2D0C32"/>
    <w:rsid w:val="5C2E0656"/>
    <w:rsid w:val="5C2F4ED9"/>
    <w:rsid w:val="5C363AC4"/>
    <w:rsid w:val="5C39587B"/>
    <w:rsid w:val="5C45759A"/>
    <w:rsid w:val="5C487098"/>
    <w:rsid w:val="5C5210C9"/>
    <w:rsid w:val="5C551E2B"/>
    <w:rsid w:val="5C566ADD"/>
    <w:rsid w:val="5C584FCD"/>
    <w:rsid w:val="5C663F65"/>
    <w:rsid w:val="5C685FAD"/>
    <w:rsid w:val="5C6A2A90"/>
    <w:rsid w:val="5C6A5A44"/>
    <w:rsid w:val="5C775CC1"/>
    <w:rsid w:val="5C782B70"/>
    <w:rsid w:val="5C807ED9"/>
    <w:rsid w:val="5C8A31FF"/>
    <w:rsid w:val="5C8C5796"/>
    <w:rsid w:val="5C9028C8"/>
    <w:rsid w:val="5C9039A1"/>
    <w:rsid w:val="5C9365FD"/>
    <w:rsid w:val="5C9400FE"/>
    <w:rsid w:val="5C9802BB"/>
    <w:rsid w:val="5C9E37D6"/>
    <w:rsid w:val="5C9F4BE4"/>
    <w:rsid w:val="5CA1099C"/>
    <w:rsid w:val="5CAE1841"/>
    <w:rsid w:val="5CB009C2"/>
    <w:rsid w:val="5CB30E23"/>
    <w:rsid w:val="5CB63FA4"/>
    <w:rsid w:val="5CC02A56"/>
    <w:rsid w:val="5CC71318"/>
    <w:rsid w:val="5CC839E4"/>
    <w:rsid w:val="5CD557B6"/>
    <w:rsid w:val="5CD76FB9"/>
    <w:rsid w:val="5CDB024C"/>
    <w:rsid w:val="5CE2665E"/>
    <w:rsid w:val="5CE9646E"/>
    <w:rsid w:val="5CEB65B4"/>
    <w:rsid w:val="5CF30508"/>
    <w:rsid w:val="5D034955"/>
    <w:rsid w:val="5D037ACA"/>
    <w:rsid w:val="5D086B08"/>
    <w:rsid w:val="5D14283F"/>
    <w:rsid w:val="5D14552E"/>
    <w:rsid w:val="5D1C393A"/>
    <w:rsid w:val="5D234625"/>
    <w:rsid w:val="5D32024B"/>
    <w:rsid w:val="5D3664F7"/>
    <w:rsid w:val="5D3E30FA"/>
    <w:rsid w:val="5D3E7219"/>
    <w:rsid w:val="5D3F253F"/>
    <w:rsid w:val="5D445352"/>
    <w:rsid w:val="5D450682"/>
    <w:rsid w:val="5D465E58"/>
    <w:rsid w:val="5D485594"/>
    <w:rsid w:val="5D5217C8"/>
    <w:rsid w:val="5D5C0CC1"/>
    <w:rsid w:val="5D666FAB"/>
    <w:rsid w:val="5D68574F"/>
    <w:rsid w:val="5D69123B"/>
    <w:rsid w:val="5D6B3030"/>
    <w:rsid w:val="5D777C70"/>
    <w:rsid w:val="5D79399F"/>
    <w:rsid w:val="5D8104A7"/>
    <w:rsid w:val="5D826B92"/>
    <w:rsid w:val="5D897F69"/>
    <w:rsid w:val="5DA82D4A"/>
    <w:rsid w:val="5DAD1625"/>
    <w:rsid w:val="5DB713CE"/>
    <w:rsid w:val="5DBA3C0B"/>
    <w:rsid w:val="5DC3428A"/>
    <w:rsid w:val="5DC603E7"/>
    <w:rsid w:val="5DD15915"/>
    <w:rsid w:val="5DD40BD5"/>
    <w:rsid w:val="5DD47EED"/>
    <w:rsid w:val="5DD638E2"/>
    <w:rsid w:val="5DE036AE"/>
    <w:rsid w:val="5DE768DF"/>
    <w:rsid w:val="5DEB632A"/>
    <w:rsid w:val="5DFB2606"/>
    <w:rsid w:val="5DFC2B94"/>
    <w:rsid w:val="5DFD637E"/>
    <w:rsid w:val="5E044051"/>
    <w:rsid w:val="5E087C39"/>
    <w:rsid w:val="5E13621E"/>
    <w:rsid w:val="5E167DEA"/>
    <w:rsid w:val="5E1753DB"/>
    <w:rsid w:val="5E2733FB"/>
    <w:rsid w:val="5E2C032D"/>
    <w:rsid w:val="5E2D4B36"/>
    <w:rsid w:val="5E34043D"/>
    <w:rsid w:val="5E377142"/>
    <w:rsid w:val="5E3D70F6"/>
    <w:rsid w:val="5E48734A"/>
    <w:rsid w:val="5E4D151E"/>
    <w:rsid w:val="5E5256CF"/>
    <w:rsid w:val="5E525F9E"/>
    <w:rsid w:val="5E53251C"/>
    <w:rsid w:val="5E5B4CE2"/>
    <w:rsid w:val="5E5C42A1"/>
    <w:rsid w:val="5E5E4943"/>
    <w:rsid w:val="5E5F3E1C"/>
    <w:rsid w:val="5E65152B"/>
    <w:rsid w:val="5E7419FA"/>
    <w:rsid w:val="5E78597B"/>
    <w:rsid w:val="5E795E0F"/>
    <w:rsid w:val="5E7A7B1D"/>
    <w:rsid w:val="5E7E6E2D"/>
    <w:rsid w:val="5E821A10"/>
    <w:rsid w:val="5E8D7C39"/>
    <w:rsid w:val="5E917AFD"/>
    <w:rsid w:val="5E93573A"/>
    <w:rsid w:val="5E966703"/>
    <w:rsid w:val="5E9E0399"/>
    <w:rsid w:val="5EAC0285"/>
    <w:rsid w:val="5EAD5331"/>
    <w:rsid w:val="5EC0079D"/>
    <w:rsid w:val="5EC609DA"/>
    <w:rsid w:val="5ED40587"/>
    <w:rsid w:val="5ED61D18"/>
    <w:rsid w:val="5EDA5FEF"/>
    <w:rsid w:val="5EDC54EF"/>
    <w:rsid w:val="5EDD4B28"/>
    <w:rsid w:val="5EE85474"/>
    <w:rsid w:val="5EEC0B95"/>
    <w:rsid w:val="5EF00A7A"/>
    <w:rsid w:val="5EF71CFB"/>
    <w:rsid w:val="5EFC37E2"/>
    <w:rsid w:val="5F057E9B"/>
    <w:rsid w:val="5F100A56"/>
    <w:rsid w:val="5F100F52"/>
    <w:rsid w:val="5F125536"/>
    <w:rsid w:val="5F167B45"/>
    <w:rsid w:val="5F182D44"/>
    <w:rsid w:val="5F1833F7"/>
    <w:rsid w:val="5F1C0006"/>
    <w:rsid w:val="5F1D4307"/>
    <w:rsid w:val="5F290D9A"/>
    <w:rsid w:val="5F2913F5"/>
    <w:rsid w:val="5F3131FF"/>
    <w:rsid w:val="5F3561D8"/>
    <w:rsid w:val="5F39291B"/>
    <w:rsid w:val="5F3B13DB"/>
    <w:rsid w:val="5F41161E"/>
    <w:rsid w:val="5F5D1EB0"/>
    <w:rsid w:val="5F60136E"/>
    <w:rsid w:val="5F6319B8"/>
    <w:rsid w:val="5F6441DB"/>
    <w:rsid w:val="5F695B2D"/>
    <w:rsid w:val="5F725A62"/>
    <w:rsid w:val="5F74244C"/>
    <w:rsid w:val="5F835B70"/>
    <w:rsid w:val="5F850849"/>
    <w:rsid w:val="5F8E1395"/>
    <w:rsid w:val="5F944AC0"/>
    <w:rsid w:val="5FA56CCD"/>
    <w:rsid w:val="5FA67D65"/>
    <w:rsid w:val="5FAC52BF"/>
    <w:rsid w:val="5FAC5F18"/>
    <w:rsid w:val="5FAC708D"/>
    <w:rsid w:val="5FAD0AD1"/>
    <w:rsid w:val="5FAD5B82"/>
    <w:rsid w:val="5FB14366"/>
    <w:rsid w:val="5FB22DDD"/>
    <w:rsid w:val="5FB447FA"/>
    <w:rsid w:val="5FB919B2"/>
    <w:rsid w:val="5FBB0231"/>
    <w:rsid w:val="5FBB2CE0"/>
    <w:rsid w:val="5FC225BF"/>
    <w:rsid w:val="5FC25A3B"/>
    <w:rsid w:val="5FC80641"/>
    <w:rsid w:val="5FCC5FEB"/>
    <w:rsid w:val="5FD57842"/>
    <w:rsid w:val="5FD74889"/>
    <w:rsid w:val="5FD82DC5"/>
    <w:rsid w:val="5FE7047A"/>
    <w:rsid w:val="5FEB3422"/>
    <w:rsid w:val="5FF00E93"/>
    <w:rsid w:val="5FF05FCA"/>
    <w:rsid w:val="5FF52240"/>
    <w:rsid w:val="5FFE39B6"/>
    <w:rsid w:val="60044E19"/>
    <w:rsid w:val="601259E5"/>
    <w:rsid w:val="60135E1A"/>
    <w:rsid w:val="601C5517"/>
    <w:rsid w:val="602007E7"/>
    <w:rsid w:val="60205663"/>
    <w:rsid w:val="60234096"/>
    <w:rsid w:val="60256FE0"/>
    <w:rsid w:val="60293727"/>
    <w:rsid w:val="603875CB"/>
    <w:rsid w:val="603B13E0"/>
    <w:rsid w:val="603D3A0F"/>
    <w:rsid w:val="604D7370"/>
    <w:rsid w:val="604F72A6"/>
    <w:rsid w:val="605133AD"/>
    <w:rsid w:val="605A15AF"/>
    <w:rsid w:val="605F4CE9"/>
    <w:rsid w:val="6063510D"/>
    <w:rsid w:val="606876B6"/>
    <w:rsid w:val="606C14FB"/>
    <w:rsid w:val="60723414"/>
    <w:rsid w:val="608749A9"/>
    <w:rsid w:val="6088251F"/>
    <w:rsid w:val="608F3926"/>
    <w:rsid w:val="60901C43"/>
    <w:rsid w:val="609A45DE"/>
    <w:rsid w:val="60B06CDD"/>
    <w:rsid w:val="60B85231"/>
    <w:rsid w:val="60BA195F"/>
    <w:rsid w:val="60BB6B1C"/>
    <w:rsid w:val="60C44DAC"/>
    <w:rsid w:val="60CB3E5A"/>
    <w:rsid w:val="60DD2497"/>
    <w:rsid w:val="60E162FE"/>
    <w:rsid w:val="60F75845"/>
    <w:rsid w:val="60FA4DF7"/>
    <w:rsid w:val="60FC0323"/>
    <w:rsid w:val="60FD5F5A"/>
    <w:rsid w:val="60FF47EC"/>
    <w:rsid w:val="6108122D"/>
    <w:rsid w:val="61106CC0"/>
    <w:rsid w:val="61141C9D"/>
    <w:rsid w:val="612105D5"/>
    <w:rsid w:val="612431D1"/>
    <w:rsid w:val="61276859"/>
    <w:rsid w:val="612B0B99"/>
    <w:rsid w:val="613755FF"/>
    <w:rsid w:val="613D06E5"/>
    <w:rsid w:val="61416D81"/>
    <w:rsid w:val="614C3131"/>
    <w:rsid w:val="614E5428"/>
    <w:rsid w:val="615E1CD0"/>
    <w:rsid w:val="61651A9A"/>
    <w:rsid w:val="6166248C"/>
    <w:rsid w:val="616A05BA"/>
    <w:rsid w:val="61701712"/>
    <w:rsid w:val="61730705"/>
    <w:rsid w:val="6173579B"/>
    <w:rsid w:val="61745BFE"/>
    <w:rsid w:val="618A392D"/>
    <w:rsid w:val="618B6904"/>
    <w:rsid w:val="618B6F18"/>
    <w:rsid w:val="61902BE6"/>
    <w:rsid w:val="61906BE0"/>
    <w:rsid w:val="61917829"/>
    <w:rsid w:val="61A54181"/>
    <w:rsid w:val="61A82AF4"/>
    <w:rsid w:val="61A86E74"/>
    <w:rsid w:val="61AE542A"/>
    <w:rsid w:val="61B13862"/>
    <w:rsid w:val="61CC6481"/>
    <w:rsid w:val="61D93C9B"/>
    <w:rsid w:val="61DD38D1"/>
    <w:rsid w:val="61E27522"/>
    <w:rsid w:val="61E31D87"/>
    <w:rsid w:val="61E868FC"/>
    <w:rsid w:val="61EB343F"/>
    <w:rsid w:val="61EE526B"/>
    <w:rsid w:val="61F950AE"/>
    <w:rsid w:val="61FD11D4"/>
    <w:rsid w:val="61FF370F"/>
    <w:rsid w:val="61FF53AA"/>
    <w:rsid w:val="62036D8B"/>
    <w:rsid w:val="620B1AB5"/>
    <w:rsid w:val="6210615D"/>
    <w:rsid w:val="621E0127"/>
    <w:rsid w:val="621F029F"/>
    <w:rsid w:val="6221742E"/>
    <w:rsid w:val="622D4D58"/>
    <w:rsid w:val="62417E90"/>
    <w:rsid w:val="6251451B"/>
    <w:rsid w:val="62593CC6"/>
    <w:rsid w:val="62600241"/>
    <w:rsid w:val="626A664D"/>
    <w:rsid w:val="626B762E"/>
    <w:rsid w:val="626F3D3B"/>
    <w:rsid w:val="62726160"/>
    <w:rsid w:val="62887D39"/>
    <w:rsid w:val="629E7844"/>
    <w:rsid w:val="62A30169"/>
    <w:rsid w:val="62AB6771"/>
    <w:rsid w:val="62B0051C"/>
    <w:rsid w:val="62BF796D"/>
    <w:rsid w:val="62C16E74"/>
    <w:rsid w:val="62C66907"/>
    <w:rsid w:val="62CD2097"/>
    <w:rsid w:val="62CE135C"/>
    <w:rsid w:val="62DA4BE4"/>
    <w:rsid w:val="62E61243"/>
    <w:rsid w:val="62E62942"/>
    <w:rsid w:val="62EC3418"/>
    <w:rsid w:val="62FB1F5E"/>
    <w:rsid w:val="62FD61DC"/>
    <w:rsid w:val="6302572B"/>
    <w:rsid w:val="63040F2F"/>
    <w:rsid w:val="630C1C94"/>
    <w:rsid w:val="63121C38"/>
    <w:rsid w:val="631852E2"/>
    <w:rsid w:val="63194117"/>
    <w:rsid w:val="631F18D2"/>
    <w:rsid w:val="63252268"/>
    <w:rsid w:val="632B39DD"/>
    <w:rsid w:val="632B5373"/>
    <w:rsid w:val="63384FFE"/>
    <w:rsid w:val="6338598B"/>
    <w:rsid w:val="633A3CCF"/>
    <w:rsid w:val="633B3150"/>
    <w:rsid w:val="633C6265"/>
    <w:rsid w:val="63410D72"/>
    <w:rsid w:val="634A596F"/>
    <w:rsid w:val="635C1C78"/>
    <w:rsid w:val="636C69A2"/>
    <w:rsid w:val="63747317"/>
    <w:rsid w:val="637A0A5E"/>
    <w:rsid w:val="637C68D1"/>
    <w:rsid w:val="63810153"/>
    <w:rsid w:val="638C213E"/>
    <w:rsid w:val="638C475D"/>
    <w:rsid w:val="638F2034"/>
    <w:rsid w:val="6390720A"/>
    <w:rsid w:val="6393097B"/>
    <w:rsid w:val="639A4526"/>
    <w:rsid w:val="639C058F"/>
    <w:rsid w:val="63A106C4"/>
    <w:rsid w:val="63A40434"/>
    <w:rsid w:val="63A434A0"/>
    <w:rsid w:val="63A502AA"/>
    <w:rsid w:val="63AD3CD6"/>
    <w:rsid w:val="63AD3DFD"/>
    <w:rsid w:val="63B349F8"/>
    <w:rsid w:val="63B71CCE"/>
    <w:rsid w:val="63C20D04"/>
    <w:rsid w:val="63C6720C"/>
    <w:rsid w:val="63CA3DCB"/>
    <w:rsid w:val="63DC4943"/>
    <w:rsid w:val="63DE2E4C"/>
    <w:rsid w:val="63E3385C"/>
    <w:rsid w:val="63E87188"/>
    <w:rsid w:val="63F4337F"/>
    <w:rsid w:val="63FB151D"/>
    <w:rsid w:val="63FB7BEE"/>
    <w:rsid w:val="64020F30"/>
    <w:rsid w:val="64065DF6"/>
    <w:rsid w:val="6410506D"/>
    <w:rsid w:val="64120074"/>
    <w:rsid w:val="641B2E87"/>
    <w:rsid w:val="641B4AB3"/>
    <w:rsid w:val="641D5D50"/>
    <w:rsid w:val="641E5A76"/>
    <w:rsid w:val="641F72F5"/>
    <w:rsid w:val="64212490"/>
    <w:rsid w:val="64264920"/>
    <w:rsid w:val="64284D93"/>
    <w:rsid w:val="6429050D"/>
    <w:rsid w:val="642F4896"/>
    <w:rsid w:val="64362523"/>
    <w:rsid w:val="643644B1"/>
    <w:rsid w:val="643C3DFB"/>
    <w:rsid w:val="643D1B46"/>
    <w:rsid w:val="643E2BD3"/>
    <w:rsid w:val="643E534D"/>
    <w:rsid w:val="644B633C"/>
    <w:rsid w:val="6451339A"/>
    <w:rsid w:val="6456068A"/>
    <w:rsid w:val="645C6DD7"/>
    <w:rsid w:val="645D27B1"/>
    <w:rsid w:val="64607667"/>
    <w:rsid w:val="64633753"/>
    <w:rsid w:val="64644998"/>
    <w:rsid w:val="64681A73"/>
    <w:rsid w:val="646924DB"/>
    <w:rsid w:val="64694AC9"/>
    <w:rsid w:val="64745038"/>
    <w:rsid w:val="64781379"/>
    <w:rsid w:val="648B023D"/>
    <w:rsid w:val="648B779B"/>
    <w:rsid w:val="64903C06"/>
    <w:rsid w:val="649660D2"/>
    <w:rsid w:val="64A07C97"/>
    <w:rsid w:val="64A15589"/>
    <w:rsid w:val="64A6478B"/>
    <w:rsid w:val="64A84463"/>
    <w:rsid w:val="64A867F8"/>
    <w:rsid w:val="64AC0894"/>
    <w:rsid w:val="64B12423"/>
    <w:rsid w:val="64BE61AD"/>
    <w:rsid w:val="64CE35CE"/>
    <w:rsid w:val="64D1157E"/>
    <w:rsid w:val="64D63485"/>
    <w:rsid w:val="64E27658"/>
    <w:rsid w:val="6503657A"/>
    <w:rsid w:val="650B0218"/>
    <w:rsid w:val="650D1CAF"/>
    <w:rsid w:val="65106F33"/>
    <w:rsid w:val="65127C38"/>
    <w:rsid w:val="6517484E"/>
    <w:rsid w:val="651F664A"/>
    <w:rsid w:val="65227A4F"/>
    <w:rsid w:val="652F0A2D"/>
    <w:rsid w:val="652F59CE"/>
    <w:rsid w:val="6534721D"/>
    <w:rsid w:val="653647A3"/>
    <w:rsid w:val="653C5699"/>
    <w:rsid w:val="654D30E7"/>
    <w:rsid w:val="654F25D3"/>
    <w:rsid w:val="655B63EE"/>
    <w:rsid w:val="655C6B63"/>
    <w:rsid w:val="65623116"/>
    <w:rsid w:val="65687859"/>
    <w:rsid w:val="656B0071"/>
    <w:rsid w:val="656C4076"/>
    <w:rsid w:val="656D03A1"/>
    <w:rsid w:val="656D17D2"/>
    <w:rsid w:val="657713CD"/>
    <w:rsid w:val="6577655B"/>
    <w:rsid w:val="657A32D6"/>
    <w:rsid w:val="657C746C"/>
    <w:rsid w:val="6592636B"/>
    <w:rsid w:val="65931280"/>
    <w:rsid w:val="659B722F"/>
    <w:rsid w:val="659D08D8"/>
    <w:rsid w:val="65A15B32"/>
    <w:rsid w:val="65A22A7F"/>
    <w:rsid w:val="65B073B1"/>
    <w:rsid w:val="65B63234"/>
    <w:rsid w:val="65B85B12"/>
    <w:rsid w:val="65B909B4"/>
    <w:rsid w:val="65BF2FB7"/>
    <w:rsid w:val="65C92EDD"/>
    <w:rsid w:val="65CD0FDC"/>
    <w:rsid w:val="65CE09EE"/>
    <w:rsid w:val="65D16742"/>
    <w:rsid w:val="65D7216C"/>
    <w:rsid w:val="65DB7E2E"/>
    <w:rsid w:val="65DC3CB9"/>
    <w:rsid w:val="65E21F00"/>
    <w:rsid w:val="65EB028C"/>
    <w:rsid w:val="65EB742A"/>
    <w:rsid w:val="65EF094D"/>
    <w:rsid w:val="65EF6597"/>
    <w:rsid w:val="65FB4F29"/>
    <w:rsid w:val="65FC51BB"/>
    <w:rsid w:val="66022202"/>
    <w:rsid w:val="660309B0"/>
    <w:rsid w:val="66044022"/>
    <w:rsid w:val="660C5876"/>
    <w:rsid w:val="66167018"/>
    <w:rsid w:val="66173D55"/>
    <w:rsid w:val="661C606C"/>
    <w:rsid w:val="661D7B2C"/>
    <w:rsid w:val="662533F5"/>
    <w:rsid w:val="662C338C"/>
    <w:rsid w:val="662C6105"/>
    <w:rsid w:val="662D3F0C"/>
    <w:rsid w:val="66353557"/>
    <w:rsid w:val="66360279"/>
    <w:rsid w:val="66453182"/>
    <w:rsid w:val="665A5CD5"/>
    <w:rsid w:val="665F56FC"/>
    <w:rsid w:val="66605B83"/>
    <w:rsid w:val="66622235"/>
    <w:rsid w:val="66640C7A"/>
    <w:rsid w:val="666646A6"/>
    <w:rsid w:val="66765D82"/>
    <w:rsid w:val="667736A3"/>
    <w:rsid w:val="667C5ED4"/>
    <w:rsid w:val="668A2779"/>
    <w:rsid w:val="668B6205"/>
    <w:rsid w:val="668F27D9"/>
    <w:rsid w:val="6690699C"/>
    <w:rsid w:val="66947279"/>
    <w:rsid w:val="6696580B"/>
    <w:rsid w:val="669730E8"/>
    <w:rsid w:val="669A3DB2"/>
    <w:rsid w:val="669C1200"/>
    <w:rsid w:val="66A51953"/>
    <w:rsid w:val="66A63EE0"/>
    <w:rsid w:val="66A75FD3"/>
    <w:rsid w:val="66A97DBA"/>
    <w:rsid w:val="66AB361E"/>
    <w:rsid w:val="66B12615"/>
    <w:rsid w:val="66B24BAD"/>
    <w:rsid w:val="66B24E7E"/>
    <w:rsid w:val="66B3673A"/>
    <w:rsid w:val="66B4080A"/>
    <w:rsid w:val="66B43C9A"/>
    <w:rsid w:val="66B905D4"/>
    <w:rsid w:val="66B91700"/>
    <w:rsid w:val="66C1412F"/>
    <w:rsid w:val="66D971A4"/>
    <w:rsid w:val="66DB3E9D"/>
    <w:rsid w:val="66F422E8"/>
    <w:rsid w:val="66F42C1D"/>
    <w:rsid w:val="66F60A36"/>
    <w:rsid w:val="67013562"/>
    <w:rsid w:val="6706035F"/>
    <w:rsid w:val="6707199F"/>
    <w:rsid w:val="67072C08"/>
    <w:rsid w:val="67122355"/>
    <w:rsid w:val="67144396"/>
    <w:rsid w:val="671E3E7C"/>
    <w:rsid w:val="67272EEF"/>
    <w:rsid w:val="67331F7A"/>
    <w:rsid w:val="67384868"/>
    <w:rsid w:val="673C4C4D"/>
    <w:rsid w:val="673E0325"/>
    <w:rsid w:val="67411078"/>
    <w:rsid w:val="674B20D0"/>
    <w:rsid w:val="674F317D"/>
    <w:rsid w:val="675326B8"/>
    <w:rsid w:val="6754761A"/>
    <w:rsid w:val="675A11AE"/>
    <w:rsid w:val="67673A79"/>
    <w:rsid w:val="676845DE"/>
    <w:rsid w:val="676D456A"/>
    <w:rsid w:val="676D67E6"/>
    <w:rsid w:val="676E3EF2"/>
    <w:rsid w:val="67786A75"/>
    <w:rsid w:val="67803D0D"/>
    <w:rsid w:val="67880C2D"/>
    <w:rsid w:val="67891FF6"/>
    <w:rsid w:val="67991BFE"/>
    <w:rsid w:val="679C243B"/>
    <w:rsid w:val="67A642D9"/>
    <w:rsid w:val="67A7301C"/>
    <w:rsid w:val="67A95559"/>
    <w:rsid w:val="67AB6AAA"/>
    <w:rsid w:val="67AC7843"/>
    <w:rsid w:val="67AE4BBF"/>
    <w:rsid w:val="67B242B1"/>
    <w:rsid w:val="67BA0EC2"/>
    <w:rsid w:val="67C83EA7"/>
    <w:rsid w:val="67C96AF6"/>
    <w:rsid w:val="67DE3823"/>
    <w:rsid w:val="67E16919"/>
    <w:rsid w:val="67EB281D"/>
    <w:rsid w:val="67EF6A95"/>
    <w:rsid w:val="67F2058B"/>
    <w:rsid w:val="67F20F5B"/>
    <w:rsid w:val="67F26828"/>
    <w:rsid w:val="67F55EC6"/>
    <w:rsid w:val="67FA6EFF"/>
    <w:rsid w:val="680C7AE7"/>
    <w:rsid w:val="68144D95"/>
    <w:rsid w:val="681F60D4"/>
    <w:rsid w:val="682C3893"/>
    <w:rsid w:val="683B31A3"/>
    <w:rsid w:val="683D4893"/>
    <w:rsid w:val="683F123A"/>
    <w:rsid w:val="68436057"/>
    <w:rsid w:val="68464288"/>
    <w:rsid w:val="684941A9"/>
    <w:rsid w:val="684A163D"/>
    <w:rsid w:val="684B3682"/>
    <w:rsid w:val="684E4A69"/>
    <w:rsid w:val="685A0891"/>
    <w:rsid w:val="685B324E"/>
    <w:rsid w:val="68680F81"/>
    <w:rsid w:val="686B4A24"/>
    <w:rsid w:val="68717C38"/>
    <w:rsid w:val="68763A15"/>
    <w:rsid w:val="687640CE"/>
    <w:rsid w:val="687E370E"/>
    <w:rsid w:val="689031D4"/>
    <w:rsid w:val="68910A2F"/>
    <w:rsid w:val="68963137"/>
    <w:rsid w:val="6898386B"/>
    <w:rsid w:val="689F2031"/>
    <w:rsid w:val="68A019EB"/>
    <w:rsid w:val="68A172FF"/>
    <w:rsid w:val="68A2613A"/>
    <w:rsid w:val="68A44CC5"/>
    <w:rsid w:val="68B03FED"/>
    <w:rsid w:val="68B40871"/>
    <w:rsid w:val="68B57AD4"/>
    <w:rsid w:val="68B903C5"/>
    <w:rsid w:val="68B92688"/>
    <w:rsid w:val="68C27D64"/>
    <w:rsid w:val="68C502E7"/>
    <w:rsid w:val="68C5421B"/>
    <w:rsid w:val="68CB36D3"/>
    <w:rsid w:val="68CD5AEF"/>
    <w:rsid w:val="68DA219F"/>
    <w:rsid w:val="68DA2E33"/>
    <w:rsid w:val="68E03F04"/>
    <w:rsid w:val="68E10BEE"/>
    <w:rsid w:val="68E114F2"/>
    <w:rsid w:val="68E71E76"/>
    <w:rsid w:val="68FA490F"/>
    <w:rsid w:val="68FB0C3A"/>
    <w:rsid w:val="69035C29"/>
    <w:rsid w:val="690E375A"/>
    <w:rsid w:val="691120FD"/>
    <w:rsid w:val="69144C46"/>
    <w:rsid w:val="6917406C"/>
    <w:rsid w:val="691751DE"/>
    <w:rsid w:val="6919739A"/>
    <w:rsid w:val="692769A5"/>
    <w:rsid w:val="69343F33"/>
    <w:rsid w:val="693B054D"/>
    <w:rsid w:val="693E76AF"/>
    <w:rsid w:val="69426968"/>
    <w:rsid w:val="69436F2C"/>
    <w:rsid w:val="69451114"/>
    <w:rsid w:val="69473733"/>
    <w:rsid w:val="694774FF"/>
    <w:rsid w:val="695A4545"/>
    <w:rsid w:val="695F72BA"/>
    <w:rsid w:val="69673F37"/>
    <w:rsid w:val="696848C8"/>
    <w:rsid w:val="696C4EA3"/>
    <w:rsid w:val="696F17AC"/>
    <w:rsid w:val="69714FA5"/>
    <w:rsid w:val="69790883"/>
    <w:rsid w:val="697B0051"/>
    <w:rsid w:val="697C7EC1"/>
    <w:rsid w:val="698603DC"/>
    <w:rsid w:val="69894F6A"/>
    <w:rsid w:val="698B2497"/>
    <w:rsid w:val="698E1D27"/>
    <w:rsid w:val="699456BD"/>
    <w:rsid w:val="69987965"/>
    <w:rsid w:val="699A328A"/>
    <w:rsid w:val="699D4130"/>
    <w:rsid w:val="69A00331"/>
    <w:rsid w:val="69AD11FF"/>
    <w:rsid w:val="69BB70ED"/>
    <w:rsid w:val="69BE2697"/>
    <w:rsid w:val="69BF2F7D"/>
    <w:rsid w:val="69C65FD0"/>
    <w:rsid w:val="69CB1370"/>
    <w:rsid w:val="69CC297C"/>
    <w:rsid w:val="69D501AF"/>
    <w:rsid w:val="69D67007"/>
    <w:rsid w:val="69D7213B"/>
    <w:rsid w:val="69DB6B23"/>
    <w:rsid w:val="69DC0762"/>
    <w:rsid w:val="69DD7D9E"/>
    <w:rsid w:val="69DE1B61"/>
    <w:rsid w:val="69DF3FC1"/>
    <w:rsid w:val="69E22807"/>
    <w:rsid w:val="69E420D3"/>
    <w:rsid w:val="69EB45E0"/>
    <w:rsid w:val="69F07FAE"/>
    <w:rsid w:val="69F36887"/>
    <w:rsid w:val="69FA1B39"/>
    <w:rsid w:val="69FD0B82"/>
    <w:rsid w:val="6A063BCE"/>
    <w:rsid w:val="6A0C543B"/>
    <w:rsid w:val="6A0D5967"/>
    <w:rsid w:val="6A1202B5"/>
    <w:rsid w:val="6A1322C3"/>
    <w:rsid w:val="6A2417B9"/>
    <w:rsid w:val="6A2B078F"/>
    <w:rsid w:val="6A351BBE"/>
    <w:rsid w:val="6A3811E8"/>
    <w:rsid w:val="6A3A3B0F"/>
    <w:rsid w:val="6A3F7D9A"/>
    <w:rsid w:val="6A4E61B3"/>
    <w:rsid w:val="6A5341AF"/>
    <w:rsid w:val="6A63387F"/>
    <w:rsid w:val="6A6379E6"/>
    <w:rsid w:val="6A6514AF"/>
    <w:rsid w:val="6A672AFE"/>
    <w:rsid w:val="6A791CA8"/>
    <w:rsid w:val="6A7C083A"/>
    <w:rsid w:val="6A8A50D1"/>
    <w:rsid w:val="6A8E369A"/>
    <w:rsid w:val="6A9343B3"/>
    <w:rsid w:val="6AA30955"/>
    <w:rsid w:val="6AA87A37"/>
    <w:rsid w:val="6AAB58DE"/>
    <w:rsid w:val="6AAD06D7"/>
    <w:rsid w:val="6ABD5AC3"/>
    <w:rsid w:val="6AC74C5A"/>
    <w:rsid w:val="6ACD16CA"/>
    <w:rsid w:val="6ACE65A7"/>
    <w:rsid w:val="6AD273F7"/>
    <w:rsid w:val="6AD41A83"/>
    <w:rsid w:val="6AE27277"/>
    <w:rsid w:val="6AE34CA7"/>
    <w:rsid w:val="6AE84659"/>
    <w:rsid w:val="6AED1147"/>
    <w:rsid w:val="6AF428B7"/>
    <w:rsid w:val="6AFB3C45"/>
    <w:rsid w:val="6B056872"/>
    <w:rsid w:val="6B067730"/>
    <w:rsid w:val="6B125236"/>
    <w:rsid w:val="6B1D6B63"/>
    <w:rsid w:val="6B20309C"/>
    <w:rsid w:val="6B210A01"/>
    <w:rsid w:val="6B23725F"/>
    <w:rsid w:val="6B2D5950"/>
    <w:rsid w:val="6B35059A"/>
    <w:rsid w:val="6B357B4C"/>
    <w:rsid w:val="6B38141F"/>
    <w:rsid w:val="6B3E4E9A"/>
    <w:rsid w:val="6B4510F8"/>
    <w:rsid w:val="6B465CCC"/>
    <w:rsid w:val="6B473287"/>
    <w:rsid w:val="6B492FA0"/>
    <w:rsid w:val="6B4D2C64"/>
    <w:rsid w:val="6B4F1203"/>
    <w:rsid w:val="6B532EFE"/>
    <w:rsid w:val="6B5673BA"/>
    <w:rsid w:val="6B666391"/>
    <w:rsid w:val="6B6721B9"/>
    <w:rsid w:val="6B681DAE"/>
    <w:rsid w:val="6B6B308B"/>
    <w:rsid w:val="6B6D0775"/>
    <w:rsid w:val="6B7900F7"/>
    <w:rsid w:val="6B7A4956"/>
    <w:rsid w:val="6B7C357C"/>
    <w:rsid w:val="6B7F0D94"/>
    <w:rsid w:val="6B8206F2"/>
    <w:rsid w:val="6B865812"/>
    <w:rsid w:val="6B933BBB"/>
    <w:rsid w:val="6B954626"/>
    <w:rsid w:val="6B974D2E"/>
    <w:rsid w:val="6B9B6792"/>
    <w:rsid w:val="6B9E2B7D"/>
    <w:rsid w:val="6BAB71D3"/>
    <w:rsid w:val="6BAC1189"/>
    <w:rsid w:val="6BAC43D7"/>
    <w:rsid w:val="6BAC4F3F"/>
    <w:rsid w:val="6BAF4A30"/>
    <w:rsid w:val="6BB1796D"/>
    <w:rsid w:val="6BB822CC"/>
    <w:rsid w:val="6BB822DC"/>
    <w:rsid w:val="6BC0415C"/>
    <w:rsid w:val="6BCF3C1A"/>
    <w:rsid w:val="6BD10A2F"/>
    <w:rsid w:val="6BD8100E"/>
    <w:rsid w:val="6BE25F3B"/>
    <w:rsid w:val="6BEC7739"/>
    <w:rsid w:val="6BEE27E7"/>
    <w:rsid w:val="6BEF4971"/>
    <w:rsid w:val="6BF80129"/>
    <w:rsid w:val="6BFC0004"/>
    <w:rsid w:val="6C000248"/>
    <w:rsid w:val="6C031215"/>
    <w:rsid w:val="6C060AF4"/>
    <w:rsid w:val="6C094140"/>
    <w:rsid w:val="6C1B46BB"/>
    <w:rsid w:val="6C1C7A64"/>
    <w:rsid w:val="6C1E695B"/>
    <w:rsid w:val="6C23218C"/>
    <w:rsid w:val="6C28098A"/>
    <w:rsid w:val="6C2B5936"/>
    <w:rsid w:val="6C2D77A0"/>
    <w:rsid w:val="6C3167A1"/>
    <w:rsid w:val="6C333924"/>
    <w:rsid w:val="6C355BFC"/>
    <w:rsid w:val="6C3E7F33"/>
    <w:rsid w:val="6C41208A"/>
    <w:rsid w:val="6C450881"/>
    <w:rsid w:val="6C4572B8"/>
    <w:rsid w:val="6C563089"/>
    <w:rsid w:val="6C5775A1"/>
    <w:rsid w:val="6C636E09"/>
    <w:rsid w:val="6C6E066F"/>
    <w:rsid w:val="6C7506A3"/>
    <w:rsid w:val="6C7577C2"/>
    <w:rsid w:val="6C7B5EC3"/>
    <w:rsid w:val="6C83293F"/>
    <w:rsid w:val="6C85596C"/>
    <w:rsid w:val="6C8B30CE"/>
    <w:rsid w:val="6C91557B"/>
    <w:rsid w:val="6C9226BF"/>
    <w:rsid w:val="6C982439"/>
    <w:rsid w:val="6C9C2625"/>
    <w:rsid w:val="6CAD5A24"/>
    <w:rsid w:val="6CAF0075"/>
    <w:rsid w:val="6CAF2DAC"/>
    <w:rsid w:val="6CBB5ED0"/>
    <w:rsid w:val="6CBE4020"/>
    <w:rsid w:val="6CCB16B3"/>
    <w:rsid w:val="6CCB7CF7"/>
    <w:rsid w:val="6CD305D7"/>
    <w:rsid w:val="6CD7423E"/>
    <w:rsid w:val="6CDC431E"/>
    <w:rsid w:val="6CE26CAA"/>
    <w:rsid w:val="6CE8485E"/>
    <w:rsid w:val="6CF83396"/>
    <w:rsid w:val="6CFA2346"/>
    <w:rsid w:val="6D047403"/>
    <w:rsid w:val="6D090F6A"/>
    <w:rsid w:val="6D0A63C2"/>
    <w:rsid w:val="6D0F39D8"/>
    <w:rsid w:val="6D121576"/>
    <w:rsid w:val="6D162810"/>
    <w:rsid w:val="6D1845AE"/>
    <w:rsid w:val="6D194506"/>
    <w:rsid w:val="6D212275"/>
    <w:rsid w:val="6D2E426F"/>
    <w:rsid w:val="6D396CA7"/>
    <w:rsid w:val="6D417909"/>
    <w:rsid w:val="6D466E0C"/>
    <w:rsid w:val="6D476DF6"/>
    <w:rsid w:val="6D4C112F"/>
    <w:rsid w:val="6D4D6B34"/>
    <w:rsid w:val="6D526F61"/>
    <w:rsid w:val="6D544E73"/>
    <w:rsid w:val="6D5477C0"/>
    <w:rsid w:val="6D564056"/>
    <w:rsid w:val="6D6130ED"/>
    <w:rsid w:val="6D7301C9"/>
    <w:rsid w:val="6D75204A"/>
    <w:rsid w:val="6D7D4DE5"/>
    <w:rsid w:val="6D8697AE"/>
    <w:rsid w:val="6D894F96"/>
    <w:rsid w:val="6D8F571C"/>
    <w:rsid w:val="6D9013BD"/>
    <w:rsid w:val="6D91154C"/>
    <w:rsid w:val="6D9E3A5E"/>
    <w:rsid w:val="6D9F07AE"/>
    <w:rsid w:val="6DA950DB"/>
    <w:rsid w:val="6DB828F6"/>
    <w:rsid w:val="6DBB5AAA"/>
    <w:rsid w:val="6DC71B14"/>
    <w:rsid w:val="6DCC0D2D"/>
    <w:rsid w:val="6DD02F19"/>
    <w:rsid w:val="6DD06488"/>
    <w:rsid w:val="6DD24A05"/>
    <w:rsid w:val="6DD7199D"/>
    <w:rsid w:val="6DE02641"/>
    <w:rsid w:val="6DE31640"/>
    <w:rsid w:val="6DE42A39"/>
    <w:rsid w:val="6DEE5118"/>
    <w:rsid w:val="6DEF6212"/>
    <w:rsid w:val="6DF04D63"/>
    <w:rsid w:val="6DF27014"/>
    <w:rsid w:val="6DF30BD1"/>
    <w:rsid w:val="6E054DDB"/>
    <w:rsid w:val="6E0F1884"/>
    <w:rsid w:val="6E185FCD"/>
    <w:rsid w:val="6E1C5E51"/>
    <w:rsid w:val="6E263E98"/>
    <w:rsid w:val="6E2C5401"/>
    <w:rsid w:val="6E376A98"/>
    <w:rsid w:val="6E386F5E"/>
    <w:rsid w:val="6E420972"/>
    <w:rsid w:val="6E485408"/>
    <w:rsid w:val="6E4C415B"/>
    <w:rsid w:val="6E5122CF"/>
    <w:rsid w:val="6E55366C"/>
    <w:rsid w:val="6E570751"/>
    <w:rsid w:val="6E5A500E"/>
    <w:rsid w:val="6E5C4E98"/>
    <w:rsid w:val="6E5E554C"/>
    <w:rsid w:val="6E5F7947"/>
    <w:rsid w:val="6E60658B"/>
    <w:rsid w:val="6E695896"/>
    <w:rsid w:val="6E69656F"/>
    <w:rsid w:val="6E6C01DF"/>
    <w:rsid w:val="6E6D7C27"/>
    <w:rsid w:val="6E6F77A5"/>
    <w:rsid w:val="6E701332"/>
    <w:rsid w:val="6E7B483B"/>
    <w:rsid w:val="6E800B96"/>
    <w:rsid w:val="6E804461"/>
    <w:rsid w:val="6E830D30"/>
    <w:rsid w:val="6E8566BA"/>
    <w:rsid w:val="6E89512C"/>
    <w:rsid w:val="6E8965D6"/>
    <w:rsid w:val="6E8C0511"/>
    <w:rsid w:val="6E927CBC"/>
    <w:rsid w:val="6E931F11"/>
    <w:rsid w:val="6E9E7F0F"/>
    <w:rsid w:val="6EA13C94"/>
    <w:rsid w:val="6EAB7815"/>
    <w:rsid w:val="6EAC5E7F"/>
    <w:rsid w:val="6EB23337"/>
    <w:rsid w:val="6EBD6814"/>
    <w:rsid w:val="6EBF5A1C"/>
    <w:rsid w:val="6EC16F54"/>
    <w:rsid w:val="6EC27080"/>
    <w:rsid w:val="6EC32B7F"/>
    <w:rsid w:val="6EC45E24"/>
    <w:rsid w:val="6EC65B99"/>
    <w:rsid w:val="6EC70CB8"/>
    <w:rsid w:val="6ECB4229"/>
    <w:rsid w:val="6ED17AA0"/>
    <w:rsid w:val="6EE53020"/>
    <w:rsid w:val="6EF52B6E"/>
    <w:rsid w:val="6EF535E4"/>
    <w:rsid w:val="6EF67243"/>
    <w:rsid w:val="6F077D96"/>
    <w:rsid w:val="6F0A790D"/>
    <w:rsid w:val="6F1902C5"/>
    <w:rsid w:val="6F1A312E"/>
    <w:rsid w:val="6F1E116D"/>
    <w:rsid w:val="6F276B55"/>
    <w:rsid w:val="6F301887"/>
    <w:rsid w:val="6F3323F9"/>
    <w:rsid w:val="6F3516F0"/>
    <w:rsid w:val="6F364866"/>
    <w:rsid w:val="6F3D7BA9"/>
    <w:rsid w:val="6F4206A3"/>
    <w:rsid w:val="6F453A40"/>
    <w:rsid w:val="6F4E5FC7"/>
    <w:rsid w:val="6F4F749B"/>
    <w:rsid w:val="6F502A4C"/>
    <w:rsid w:val="6F577232"/>
    <w:rsid w:val="6F58297A"/>
    <w:rsid w:val="6F587CEE"/>
    <w:rsid w:val="6F5D1962"/>
    <w:rsid w:val="6F5E1880"/>
    <w:rsid w:val="6F641BAE"/>
    <w:rsid w:val="6F655B31"/>
    <w:rsid w:val="6F6C292D"/>
    <w:rsid w:val="6F6D6E9F"/>
    <w:rsid w:val="6F7C2AD5"/>
    <w:rsid w:val="6F7E2AA0"/>
    <w:rsid w:val="6F8C07AA"/>
    <w:rsid w:val="6F8F414B"/>
    <w:rsid w:val="6F9C1661"/>
    <w:rsid w:val="6FA10237"/>
    <w:rsid w:val="6FA37BAD"/>
    <w:rsid w:val="6FA85EF5"/>
    <w:rsid w:val="6FA939CB"/>
    <w:rsid w:val="6FA973ED"/>
    <w:rsid w:val="6FAA1FAA"/>
    <w:rsid w:val="6FAF4A0F"/>
    <w:rsid w:val="6FBA3679"/>
    <w:rsid w:val="6FC15642"/>
    <w:rsid w:val="6FC33788"/>
    <w:rsid w:val="6FC87C51"/>
    <w:rsid w:val="6FD21659"/>
    <w:rsid w:val="6FD34E20"/>
    <w:rsid w:val="6FE969BF"/>
    <w:rsid w:val="6FF75CA4"/>
    <w:rsid w:val="6FF86614"/>
    <w:rsid w:val="6FFF2140"/>
    <w:rsid w:val="70013535"/>
    <w:rsid w:val="700D529C"/>
    <w:rsid w:val="701D465E"/>
    <w:rsid w:val="702748A7"/>
    <w:rsid w:val="703302EF"/>
    <w:rsid w:val="704654AA"/>
    <w:rsid w:val="704A19BF"/>
    <w:rsid w:val="704B7320"/>
    <w:rsid w:val="70513018"/>
    <w:rsid w:val="705328B2"/>
    <w:rsid w:val="705B79C3"/>
    <w:rsid w:val="705C5D84"/>
    <w:rsid w:val="705C716E"/>
    <w:rsid w:val="705D334D"/>
    <w:rsid w:val="70645294"/>
    <w:rsid w:val="70677D76"/>
    <w:rsid w:val="70714C60"/>
    <w:rsid w:val="70774F92"/>
    <w:rsid w:val="70797815"/>
    <w:rsid w:val="707E2C63"/>
    <w:rsid w:val="70810331"/>
    <w:rsid w:val="708B6483"/>
    <w:rsid w:val="708E0945"/>
    <w:rsid w:val="70A1195B"/>
    <w:rsid w:val="70B02AFF"/>
    <w:rsid w:val="70B2124A"/>
    <w:rsid w:val="70B2620E"/>
    <w:rsid w:val="70B34FC2"/>
    <w:rsid w:val="70BB2883"/>
    <w:rsid w:val="70C25FEB"/>
    <w:rsid w:val="70D25AA9"/>
    <w:rsid w:val="70DA4D9D"/>
    <w:rsid w:val="70E64EC1"/>
    <w:rsid w:val="70E73F46"/>
    <w:rsid w:val="70FA297E"/>
    <w:rsid w:val="70FE03BA"/>
    <w:rsid w:val="70FF1C74"/>
    <w:rsid w:val="71045FFA"/>
    <w:rsid w:val="710F66E1"/>
    <w:rsid w:val="71143B8A"/>
    <w:rsid w:val="711448F7"/>
    <w:rsid w:val="711624A8"/>
    <w:rsid w:val="71184E25"/>
    <w:rsid w:val="71230CDA"/>
    <w:rsid w:val="712612F0"/>
    <w:rsid w:val="7128357B"/>
    <w:rsid w:val="712E2478"/>
    <w:rsid w:val="712E5B76"/>
    <w:rsid w:val="71331318"/>
    <w:rsid w:val="71377B98"/>
    <w:rsid w:val="713A2FED"/>
    <w:rsid w:val="7141589B"/>
    <w:rsid w:val="714B3B81"/>
    <w:rsid w:val="714D5BA5"/>
    <w:rsid w:val="71502811"/>
    <w:rsid w:val="71566EC1"/>
    <w:rsid w:val="715E59A7"/>
    <w:rsid w:val="715F3600"/>
    <w:rsid w:val="71633699"/>
    <w:rsid w:val="716C2D64"/>
    <w:rsid w:val="71721DB0"/>
    <w:rsid w:val="71776F63"/>
    <w:rsid w:val="717C3606"/>
    <w:rsid w:val="717D2CFB"/>
    <w:rsid w:val="718740B7"/>
    <w:rsid w:val="71902ECE"/>
    <w:rsid w:val="71916474"/>
    <w:rsid w:val="7193322E"/>
    <w:rsid w:val="71975A88"/>
    <w:rsid w:val="719A0DD7"/>
    <w:rsid w:val="71A21432"/>
    <w:rsid w:val="71A243D5"/>
    <w:rsid w:val="71A33B87"/>
    <w:rsid w:val="71A86FFA"/>
    <w:rsid w:val="71AB3346"/>
    <w:rsid w:val="71B87BFC"/>
    <w:rsid w:val="71BF2E91"/>
    <w:rsid w:val="71CA0007"/>
    <w:rsid w:val="71CA1EC1"/>
    <w:rsid w:val="71D51046"/>
    <w:rsid w:val="71E650F8"/>
    <w:rsid w:val="71E86FC2"/>
    <w:rsid w:val="71F34F09"/>
    <w:rsid w:val="71FC0C50"/>
    <w:rsid w:val="720226F5"/>
    <w:rsid w:val="72055131"/>
    <w:rsid w:val="72072549"/>
    <w:rsid w:val="72181E17"/>
    <w:rsid w:val="72394DEB"/>
    <w:rsid w:val="723A7C99"/>
    <w:rsid w:val="724858A3"/>
    <w:rsid w:val="7256691C"/>
    <w:rsid w:val="725D2801"/>
    <w:rsid w:val="72636F80"/>
    <w:rsid w:val="726805DE"/>
    <w:rsid w:val="727E4734"/>
    <w:rsid w:val="72907968"/>
    <w:rsid w:val="7291124D"/>
    <w:rsid w:val="729C3F60"/>
    <w:rsid w:val="72A52A32"/>
    <w:rsid w:val="72A703A1"/>
    <w:rsid w:val="72AD4ED3"/>
    <w:rsid w:val="72BB1F0C"/>
    <w:rsid w:val="72BC28CE"/>
    <w:rsid w:val="72C45265"/>
    <w:rsid w:val="72D103AA"/>
    <w:rsid w:val="72D73775"/>
    <w:rsid w:val="72DD00D4"/>
    <w:rsid w:val="72E23F94"/>
    <w:rsid w:val="72E32665"/>
    <w:rsid w:val="72E422B0"/>
    <w:rsid w:val="72E727FA"/>
    <w:rsid w:val="72F83CCF"/>
    <w:rsid w:val="730A4900"/>
    <w:rsid w:val="73137151"/>
    <w:rsid w:val="73147D6A"/>
    <w:rsid w:val="731964AC"/>
    <w:rsid w:val="731F06ED"/>
    <w:rsid w:val="73244C47"/>
    <w:rsid w:val="732540EB"/>
    <w:rsid w:val="732579C4"/>
    <w:rsid w:val="732B35B2"/>
    <w:rsid w:val="73314C47"/>
    <w:rsid w:val="733221CE"/>
    <w:rsid w:val="733572B0"/>
    <w:rsid w:val="73393162"/>
    <w:rsid w:val="733C5A7A"/>
    <w:rsid w:val="73421BB1"/>
    <w:rsid w:val="73436002"/>
    <w:rsid w:val="73441E16"/>
    <w:rsid w:val="7348083F"/>
    <w:rsid w:val="734B0AAB"/>
    <w:rsid w:val="73511323"/>
    <w:rsid w:val="735311C9"/>
    <w:rsid w:val="73591E51"/>
    <w:rsid w:val="735A7EFD"/>
    <w:rsid w:val="73640708"/>
    <w:rsid w:val="73651751"/>
    <w:rsid w:val="73681BF5"/>
    <w:rsid w:val="736C6E76"/>
    <w:rsid w:val="736D7A5B"/>
    <w:rsid w:val="7375143E"/>
    <w:rsid w:val="737E37EE"/>
    <w:rsid w:val="738327A1"/>
    <w:rsid w:val="7383602F"/>
    <w:rsid w:val="7387660A"/>
    <w:rsid w:val="73972979"/>
    <w:rsid w:val="739C05EC"/>
    <w:rsid w:val="739E4F47"/>
    <w:rsid w:val="739F4CEB"/>
    <w:rsid w:val="73A36F60"/>
    <w:rsid w:val="73AB55B6"/>
    <w:rsid w:val="73AC20BC"/>
    <w:rsid w:val="73B3752D"/>
    <w:rsid w:val="73BC6FB6"/>
    <w:rsid w:val="73BC7DCF"/>
    <w:rsid w:val="73C549DD"/>
    <w:rsid w:val="73C66D55"/>
    <w:rsid w:val="73C80071"/>
    <w:rsid w:val="73ED11A4"/>
    <w:rsid w:val="73EE68C5"/>
    <w:rsid w:val="73F0094D"/>
    <w:rsid w:val="73F80612"/>
    <w:rsid w:val="73F86087"/>
    <w:rsid w:val="73FD6EE8"/>
    <w:rsid w:val="74051D08"/>
    <w:rsid w:val="74061605"/>
    <w:rsid w:val="74083905"/>
    <w:rsid w:val="740B1A0D"/>
    <w:rsid w:val="740B5D45"/>
    <w:rsid w:val="740C0C71"/>
    <w:rsid w:val="74107850"/>
    <w:rsid w:val="74166EE1"/>
    <w:rsid w:val="7417064D"/>
    <w:rsid w:val="74330E81"/>
    <w:rsid w:val="74336611"/>
    <w:rsid w:val="743D22C4"/>
    <w:rsid w:val="743E4BA3"/>
    <w:rsid w:val="743F386D"/>
    <w:rsid w:val="74460566"/>
    <w:rsid w:val="744F5002"/>
    <w:rsid w:val="74515897"/>
    <w:rsid w:val="74525446"/>
    <w:rsid w:val="74591A20"/>
    <w:rsid w:val="74592B70"/>
    <w:rsid w:val="745A402C"/>
    <w:rsid w:val="745D351C"/>
    <w:rsid w:val="74697E0C"/>
    <w:rsid w:val="746B49A3"/>
    <w:rsid w:val="746D2D49"/>
    <w:rsid w:val="747351CD"/>
    <w:rsid w:val="747533B4"/>
    <w:rsid w:val="74806AF8"/>
    <w:rsid w:val="7483414B"/>
    <w:rsid w:val="749327C3"/>
    <w:rsid w:val="74944F3F"/>
    <w:rsid w:val="7495089F"/>
    <w:rsid w:val="74962C31"/>
    <w:rsid w:val="749709EA"/>
    <w:rsid w:val="74A93097"/>
    <w:rsid w:val="74A968D2"/>
    <w:rsid w:val="74B026BC"/>
    <w:rsid w:val="74B8269A"/>
    <w:rsid w:val="74B9247B"/>
    <w:rsid w:val="74B93ECA"/>
    <w:rsid w:val="74BB6E1B"/>
    <w:rsid w:val="74BD2567"/>
    <w:rsid w:val="74C4779E"/>
    <w:rsid w:val="74C60570"/>
    <w:rsid w:val="74CD020E"/>
    <w:rsid w:val="74D75775"/>
    <w:rsid w:val="74DB0643"/>
    <w:rsid w:val="74DD43BC"/>
    <w:rsid w:val="74E06734"/>
    <w:rsid w:val="74EE3F2F"/>
    <w:rsid w:val="74F920A2"/>
    <w:rsid w:val="74FA74AE"/>
    <w:rsid w:val="74FF0E11"/>
    <w:rsid w:val="750D6346"/>
    <w:rsid w:val="750D66AE"/>
    <w:rsid w:val="7510728E"/>
    <w:rsid w:val="75122A96"/>
    <w:rsid w:val="751B4EE4"/>
    <w:rsid w:val="752D2252"/>
    <w:rsid w:val="75501031"/>
    <w:rsid w:val="755A5D34"/>
    <w:rsid w:val="755E6B2C"/>
    <w:rsid w:val="75612E8C"/>
    <w:rsid w:val="756B645F"/>
    <w:rsid w:val="75727F8C"/>
    <w:rsid w:val="757759BB"/>
    <w:rsid w:val="757840E4"/>
    <w:rsid w:val="757D431E"/>
    <w:rsid w:val="75825F86"/>
    <w:rsid w:val="758C4102"/>
    <w:rsid w:val="75957DB3"/>
    <w:rsid w:val="759C7DD3"/>
    <w:rsid w:val="759D1CBC"/>
    <w:rsid w:val="75A847D4"/>
    <w:rsid w:val="75AF5D58"/>
    <w:rsid w:val="75B2299C"/>
    <w:rsid w:val="75B37393"/>
    <w:rsid w:val="75B85A11"/>
    <w:rsid w:val="75BF7059"/>
    <w:rsid w:val="75C06197"/>
    <w:rsid w:val="75C63889"/>
    <w:rsid w:val="75CA76AB"/>
    <w:rsid w:val="75D0670B"/>
    <w:rsid w:val="75D86337"/>
    <w:rsid w:val="75DE7C24"/>
    <w:rsid w:val="75E43E49"/>
    <w:rsid w:val="75EB6E1B"/>
    <w:rsid w:val="75EF1396"/>
    <w:rsid w:val="75F32D07"/>
    <w:rsid w:val="75F94007"/>
    <w:rsid w:val="75FD61D2"/>
    <w:rsid w:val="760148B4"/>
    <w:rsid w:val="76064A1F"/>
    <w:rsid w:val="76146B01"/>
    <w:rsid w:val="7615066E"/>
    <w:rsid w:val="761B49ED"/>
    <w:rsid w:val="761F7C33"/>
    <w:rsid w:val="761F7C96"/>
    <w:rsid w:val="76202B81"/>
    <w:rsid w:val="762A48C4"/>
    <w:rsid w:val="76311C78"/>
    <w:rsid w:val="76323996"/>
    <w:rsid w:val="76373F94"/>
    <w:rsid w:val="763A2440"/>
    <w:rsid w:val="763A3ABC"/>
    <w:rsid w:val="765242F7"/>
    <w:rsid w:val="76540FD1"/>
    <w:rsid w:val="765B1A3C"/>
    <w:rsid w:val="765C6756"/>
    <w:rsid w:val="76650B0D"/>
    <w:rsid w:val="766A2F89"/>
    <w:rsid w:val="76711323"/>
    <w:rsid w:val="76813313"/>
    <w:rsid w:val="768229A0"/>
    <w:rsid w:val="76836277"/>
    <w:rsid w:val="76841B13"/>
    <w:rsid w:val="768C5F10"/>
    <w:rsid w:val="769777E5"/>
    <w:rsid w:val="769E5F6F"/>
    <w:rsid w:val="76A76C88"/>
    <w:rsid w:val="76AF33B0"/>
    <w:rsid w:val="76BC0FD4"/>
    <w:rsid w:val="76C547D3"/>
    <w:rsid w:val="76C577FD"/>
    <w:rsid w:val="76CA670E"/>
    <w:rsid w:val="76CF197B"/>
    <w:rsid w:val="76D27EFB"/>
    <w:rsid w:val="76D508FD"/>
    <w:rsid w:val="76D50B34"/>
    <w:rsid w:val="76D60E98"/>
    <w:rsid w:val="76D73366"/>
    <w:rsid w:val="76DD5D8F"/>
    <w:rsid w:val="76E13BA4"/>
    <w:rsid w:val="76E22AB3"/>
    <w:rsid w:val="76E557A9"/>
    <w:rsid w:val="76E638E0"/>
    <w:rsid w:val="77004592"/>
    <w:rsid w:val="770251D2"/>
    <w:rsid w:val="77071BC4"/>
    <w:rsid w:val="7708097D"/>
    <w:rsid w:val="770A67AF"/>
    <w:rsid w:val="770E4D00"/>
    <w:rsid w:val="77154CF8"/>
    <w:rsid w:val="77203387"/>
    <w:rsid w:val="772C4170"/>
    <w:rsid w:val="772F2C3B"/>
    <w:rsid w:val="773306AE"/>
    <w:rsid w:val="773D39B5"/>
    <w:rsid w:val="774866E8"/>
    <w:rsid w:val="774B3887"/>
    <w:rsid w:val="77502310"/>
    <w:rsid w:val="775B2785"/>
    <w:rsid w:val="77602FC0"/>
    <w:rsid w:val="77647A3A"/>
    <w:rsid w:val="776D7169"/>
    <w:rsid w:val="777B3509"/>
    <w:rsid w:val="777D2EF5"/>
    <w:rsid w:val="777E0767"/>
    <w:rsid w:val="77854CA6"/>
    <w:rsid w:val="778D63EE"/>
    <w:rsid w:val="779276DF"/>
    <w:rsid w:val="7797127E"/>
    <w:rsid w:val="779F0D4A"/>
    <w:rsid w:val="77A44A88"/>
    <w:rsid w:val="77B20C3C"/>
    <w:rsid w:val="77BA7D2D"/>
    <w:rsid w:val="77BB59E0"/>
    <w:rsid w:val="77BF5FFA"/>
    <w:rsid w:val="77C213E2"/>
    <w:rsid w:val="77C55394"/>
    <w:rsid w:val="77CB4678"/>
    <w:rsid w:val="77CD3E88"/>
    <w:rsid w:val="77D31AA6"/>
    <w:rsid w:val="77D428FD"/>
    <w:rsid w:val="77D5752F"/>
    <w:rsid w:val="77DA0776"/>
    <w:rsid w:val="77E17C21"/>
    <w:rsid w:val="77E30CC3"/>
    <w:rsid w:val="77E634A7"/>
    <w:rsid w:val="77E972D4"/>
    <w:rsid w:val="77EB18C5"/>
    <w:rsid w:val="77FA5285"/>
    <w:rsid w:val="78001AEF"/>
    <w:rsid w:val="78005AC0"/>
    <w:rsid w:val="780463BD"/>
    <w:rsid w:val="78131046"/>
    <w:rsid w:val="78136924"/>
    <w:rsid w:val="78194D5D"/>
    <w:rsid w:val="781A7934"/>
    <w:rsid w:val="781B2C8F"/>
    <w:rsid w:val="782020F4"/>
    <w:rsid w:val="7829706D"/>
    <w:rsid w:val="782A09D9"/>
    <w:rsid w:val="782B2239"/>
    <w:rsid w:val="783103E9"/>
    <w:rsid w:val="783454ED"/>
    <w:rsid w:val="783F5079"/>
    <w:rsid w:val="78530F24"/>
    <w:rsid w:val="78552288"/>
    <w:rsid w:val="785637E9"/>
    <w:rsid w:val="785E550F"/>
    <w:rsid w:val="785F536B"/>
    <w:rsid w:val="785F7754"/>
    <w:rsid w:val="786A0783"/>
    <w:rsid w:val="787235E2"/>
    <w:rsid w:val="787258A5"/>
    <w:rsid w:val="78762AE6"/>
    <w:rsid w:val="78767391"/>
    <w:rsid w:val="7877507D"/>
    <w:rsid w:val="78793251"/>
    <w:rsid w:val="787A10D0"/>
    <w:rsid w:val="787C3218"/>
    <w:rsid w:val="78835694"/>
    <w:rsid w:val="788C5745"/>
    <w:rsid w:val="788F055D"/>
    <w:rsid w:val="78974216"/>
    <w:rsid w:val="789901FE"/>
    <w:rsid w:val="78A43B6E"/>
    <w:rsid w:val="78BA0845"/>
    <w:rsid w:val="78BB077D"/>
    <w:rsid w:val="78BD22F1"/>
    <w:rsid w:val="78BF59CE"/>
    <w:rsid w:val="78C45D02"/>
    <w:rsid w:val="78D22CAC"/>
    <w:rsid w:val="78DE0702"/>
    <w:rsid w:val="78E33283"/>
    <w:rsid w:val="78EE552B"/>
    <w:rsid w:val="78F002A8"/>
    <w:rsid w:val="78FC7964"/>
    <w:rsid w:val="7905396D"/>
    <w:rsid w:val="790A599B"/>
    <w:rsid w:val="79100D13"/>
    <w:rsid w:val="791C4D2D"/>
    <w:rsid w:val="7923282E"/>
    <w:rsid w:val="79276B05"/>
    <w:rsid w:val="79286182"/>
    <w:rsid w:val="792A7832"/>
    <w:rsid w:val="79330A4E"/>
    <w:rsid w:val="793752AC"/>
    <w:rsid w:val="79386064"/>
    <w:rsid w:val="79456A3E"/>
    <w:rsid w:val="7947493B"/>
    <w:rsid w:val="794E5C17"/>
    <w:rsid w:val="794F2472"/>
    <w:rsid w:val="79584247"/>
    <w:rsid w:val="795E412D"/>
    <w:rsid w:val="7968353F"/>
    <w:rsid w:val="796A100E"/>
    <w:rsid w:val="796E10C6"/>
    <w:rsid w:val="79700799"/>
    <w:rsid w:val="79724421"/>
    <w:rsid w:val="79734421"/>
    <w:rsid w:val="7980332C"/>
    <w:rsid w:val="79803C62"/>
    <w:rsid w:val="798B023C"/>
    <w:rsid w:val="799677A5"/>
    <w:rsid w:val="79975AB1"/>
    <w:rsid w:val="799875F6"/>
    <w:rsid w:val="79A057D2"/>
    <w:rsid w:val="79A60048"/>
    <w:rsid w:val="79B742FA"/>
    <w:rsid w:val="79B84AC6"/>
    <w:rsid w:val="79BA0DDA"/>
    <w:rsid w:val="79C042EA"/>
    <w:rsid w:val="79C12663"/>
    <w:rsid w:val="79C2574F"/>
    <w:rsid w:val="79CA5A16"/>
    <w:rsid w:val="79DA31B1"/>
    <w:rsid w:val="79DC2089"/>
    <w:rsid w:val="79F72F74"/>
    <w:rsid w:val="79F75648"/>
    <w:rsid w:val="7A035C90"/>
    <w:rsid w:val="7A0A6F13"/>
    <w:rsid w:val="7A143182"/>
    <w:rsid w:val="7A1512F4"/>
    <w:rsid w:val="7A1950DB"/>
    <w:rsid w:val="7A1A36E3"/>
    <w:rsid w:val="7A1E34AC"/>
    <w:rsid w:val="7A21704F"/>
    <w:rsid w:val="7A241A53"/>
    <w:rsid w:val="7A2659CF"/>
    <w:rsid w:val="7A2C3979"/>
    <w:rsid w:val="7A37456E"/>
    <w:rsid w:val="7A390514"/>
    <w:rsid w:val="7A465E66"/>
    <w:rsid w:val="7A4D4F83"/>
    <w:rsid w:val="7A5C585F"/>
    <w:rsid w:val="7A5C73F4"/>
    <w:rsid w:val="7A672BD8"/>
    <w:rsid w:val="7A68155D"/>
    <w:rsid w:val="7A6D224F"/>
    <w:rsid w:val="7A6D3825"/>
    <w:rsid w:val="7A7010D8"/>
    <w:rsid w:val="7A7A7EDE"/>
    <w:rsid w:val="7A7E7141"/>
    <w:rsid w:val="7A7F42F7"/>
    <w:rsid w:val="7A84302D"/>
    <w:rsid w:val="7A856AE6"/>
    <w:rsid w:val="7A86021F"/>
    <w:rsid w:val="7A875E1C"/>
    <w:rsid w:val="7A883EB7"/>
    <w:rsid w:val="7A8F4124"/>
    <w:rsid w:val="7A995229"/>
    <w:rsid w:val="7AA22941"/>
    <w:rsid w:val="7AA55E20"/>
    <w:rsid w:val="7AAD0AD9"/>
    <w:rsid w:val="7AAD77DB"/>
    <w:rsid w:val="7AB4605F"/>
    <w:rsid w:val="7AB50C2A"/>
    <w:rsid w:val="7AB85E6F"/>
    <w:rsid w:val="7ABB0CFB"/>
    <w:rsid w:val="7AC10BF1"/>
    <w:rsid w:val="7AC35BF4"/>
    <w:rsid w:val="7AC439F8"/>
    <w:rsid w:val="7AC4682F"/>
    <w:rsid w:val="7AC53893"/>
    <w:rsid w:val="7AC878BC"/>
    <w:rsid w:val="7ACB7653"/>
    <w:rsid w:val="7ACC098C"/>
    <w:rsid w:val="7ACC3D02"/>
    <w:rsid w:val="7ACD3B1B"/>
    <w:rsid w:val="7AD402F3"/>
    <w:rsid w:val="7AD920E6"/>
    <w:rsid w:val="7AE95B46"/>
    <w:rsid w:val="7AEA62DF"/>
    <w:rsid w:val="7AF31E92"/>
    <w:rsid w:val="7AFE508C"/>
    <w:rsid w:val="7B035EA0"/>
    <w:rsid w:val="7B05641A"/>
    <w:rsid w:val="7B062A7D"/>
    <w:rsid w:val="7B092F7C"/>
    <w:rsid w:val="7B105975"/>
    <w:rsid w:val="7B13647D"/>
    <w:rsid w:val="7B171866"/>
    <w:rsid w:val="7B187EFC"/>
    <w:rsid w:val="7B2252E6"/>
    <w:rsid w:val="7B257605"/>
    <w:rsid w:val="7B27008E"/>
    <w:rsid w:val="7B3C4232"/>
    <w:rsid w:val="7B4303C9"/>
    <w:rsid w:val="7B442DBA"/>
    <w:rsid w:val="7B472B20"/>
    <w:rsid w:val="7B4C7E96"/>
    <w:rsid w:val="7B4E50CF"/>
    <w:rsid w:val="7B510D35"/>
    <w:rsid w:val="7B510DB3"/>
    <w:rsid w:val="7B534D03"/>
    <w:rsid w:val="7B5C1AD7"/>
    <w:rsid w:val="7B5C1B3B"/>
    <w:rsid w:val="7B5D6C33"/>
    <w:rsid w:val="7B5F7760"/>
    <w:rsid w:val="7B7A2D3C"/>
    <w:rsid w:val="7B7B66DC"/>
    <w:rsid w:val="7B805244"/>
    <w:rsid w:val="7B8419F8"/>
    <w:rsid w:val="7B8440BF"/>
    <w:rsid w:val="7B8D0F98"/>
    <w:rsid w:val="7B9302C0"/>
    <w:rsid w:val="7B9427B7"/>
    <w:rsid w:val="7B956E63"/>
    <w:rsid w:val="7B9F2773"/>
    <w:rsid w:val="7BA372CF"/>
    <w:rsid w:val="7BA60B4B"/>
    <w:rsid w:val="7BAB29F0"/>
    <w:rsid w:val="7BB10411"/>
    <w:rsid w:val="7BB400CE"/>
    <w:rsid w:val="7BB61D01"/>
    <w:rsid w:val="7BB66BC0"/>
    <w:rsid w:val="7BBE5349"/>
    <w:rsid w:val="7BCB4D4F"/>
    <w:rsid w:val="7BCE78E1"/>
    <w:rsid w:val="7BD63036"/>
    <w:rsid w:val="7BDF54FA"/>
    <w:rsid w:val="7BE90669"/>
    <w:rsid w:val="7C021D63"/>
    <w:rsid w:val="7C063131"/>
    <w:rsid w:val="7C0B7A60"/>
    <w:rsid w:val="7C0D38A4"/>
    <w:rsid w:val="7C0E7550"/>
    <w:rsid w:val="7C101F62"/>
    <w:rsid w:val="7C121D87"/>
    <w:rsid w:val="7C132EC2"/>
    <w:rsid w:val="7C191320"/>
    <w:rsid w:val="7C1A1AFF"/>
    <w:rsid w:val="7C1D5D53"/>
    <w:rsid w:val="7C2120BD"/>
    <w:rsid w:val="7C255CFA"/>
    <w:rsid w:val="7C2E19A1"/>
    <w:rsid w:val="7C355C97"/>
    <w:rsid w:val="7C37216E"/>
    <w:rsid w:val="7C3D4040"/>
    <w:rsid w:val="7C40092F"/>
    <w:rsid w:val="7C41420C"/>
    <w:rsid w:val="7C454410"/>
    <w:rsid w:val="7C454889"/>
    <w:rsid w:val="7C46400D"/>
    <w:rsid w:val="7C4648C1"/>
    <w:rsid w:val="7C484810"/>
    <w:rsid w:val="7C485C7D"/>
    <w:rsid w:val="7C4B131F"/>
    <w:rsid w:val="7C507604"/>
    <w:rsid w:val="7C6604EE"/>
    <w:rsid w:val="7C662B35"/>
    <w:rsid w:val="7C697CC2"/>
    <w:rsid w:val="7C782756"/>
    <w:rsid w:val="7C84313F"/>
    <w:rsid w:val="7C8D2B6B"/>
    <w:rsid w:val="7C902833"/>
    <w:rsid w:val="7C9251F7"/>
    <w:rsid w:val="7C933E96"/>
    <w:rsid w:val="7C94071F"/>
    <w:rsid w:val="7C97739E"/>
    <w:rsid w:val="7C9F6428"/>
    <w:rsid w:val="7CB233AA"/>
    <w:rsid w:val="7CB36444"/>
    <w:rsid w:val="7CB60672"/>
    <w:rsid w:val="7CB83DD0"/>
    <w:rsid w:val="7CC53420"/>
    <w:rsid w:val="7CD73E6F"/>
    <w:rsid w:val="7CD8653A"/>
    <w:rsid w:val="7CDF415F"/>
    <w:rsid w:val="7CF053CA"/>
    <w:rsid w:val="7CFA4D1B"/>
    <w:rsid w:val="7CFF74FD"/>
    <w:rsid w:val="7D001F55"/>
    <w:rsid w:val="7D013991"/>
    <w:rsid w:val="7D0658B4"/>
    <w:rsid w:val="7D072B09"/>
    <w:rsid w:val="7D080889"/>
    <w:rsid w:val="7D133473"/>
    <w:rsid w:val="7D192D91"/>
    <w:rsid w:val="7D216A97"/>
    <w:rsid w:val="7D2403F6"/>
    <w:rsid w:val="7D295F33"/>
    <w:rsid w:val="7D336C15"/>
    <w:rsid w:val="7D3A0CD4"/>
    <w:rsid w:val="7D407273"/>
    <w:rsid w:val="7D5A1809"/>
    <w:rsid w:val="7D640779"/>
    <w:rsid w:val="7D6513F2"/>
    <w:rsid w:val="7D6A2914"/>
    <w:rsid w:val="7D795342"/>
    <w:rsid w:val="7D87623B"/>
    <w:rsid w:val="7D925637"/>
    <w:rsid w:val="7D9C3A9E"/>
    <w:rsid w:val="7DAA3AC1"/>
    <w:rsid w:val="7DAB2F22"/>
    <w:rsid w:val="7DAC4660"/>
    <w:rsid w:val="7DB01837"/>
    <w:rsid w:val="7DB96D90"/>
    <w:rsid w:val="7DC317D0"/>
    <w:rsid w:val="7DC557A7"/>
    <w:rsid w:val="7DC948FC"/>
    <w:rsid w:val="7DCB273D"/>
    <w:rsid w:val="7DCF22DF"/>
    <w:rsid w:val="7DCF35C4"/>
    <w:rsid w:val="7DD20D98"/>
    <w:rsid w:val="7DD42076"/>
    <w:rsid w:val="7DD45665"/>
    <w:rsid w:val="7DD81BC4"/>
    <w:rsid w:val="7DDD085F"/>
    <w:rsid w:val="7DE013C3"/>
    <w:rsid w:val="7DE35497"/>
    <w:rsid w:val="7DE63734"/>
    <w:rsid w:val="7DFA6F07"/>
    <w:rsid w:val="7DFD29E7"/>
    <w:rsid w:val="7DFD3DE7"/>
    <w:rsid w:val="7E0340E3"/>
    <w:rsid w:val="7E0C72A7"/>
    <w:rsid w:val="7E0E1504"/>
    <w:rsid w:val="7E1068AD"/>
    <w:rsid w:val="7E1A3354"/>
    <w:rsid w:val="7E1D1412"/>
    <w:rsid w:val="7E262D1A"/>
    <w:rsid w:val="7E3D5D54"/>
    <w:rsid w:val="7E445120"/>
    <w:rsid w:val="7E454A83"/>
    <w:rsid w:val="7E4876AF"/>
    <w:rsid w:val="7E4F5A11"/>
    <w:rsid w:val="7E533DF9"/>
    <w:rsid w:val="7E56175B"/>
    <w:rsid w:val="7E581989"/>
    <w:rsid w:val="7E656261"/>
    <w:rsid w:val="7E6873EC"/>
    <w:rsid w:val="7E69428C"/>
    <w:rsid w:val="7E696CC0"/>
    <w:rsid w:val="7E6E5139"/>
    <w:rsid w:val="7E6E7932"/>
    <w:rsid w:val="7E705088"/>
    <w:rsid w:val="7E761B3B"/>
    <w:rsid w:val="7E81026B"/>
    <w:rsid w:val="7E935007"/>
    <w:rsid w:val="7E9D6604"/>
    <w:rsid w:val="7EA93441"/>
    <w:rsid w:val="7EC1742C"/>
    <w:rsid w:val="7EC4681B"/>
    <w:rsid w:val="7ED73B7E"/>
    <w:rsid w:val="7EDA196C"/>
    <w:rsid w:val="7EF415E7"/>
    <w:rsid w:val="7EF50B7A"/>
    <w:rsid w:val="7F020DD4"/>
    <w:rsid w:val="7F057A2A"/>
    <w:rsid w:val="7F070033"/>
    <w:rsid w:val="7F072F4B"/>
    <w:rsid w:val="7F084ACC"/>
    <w:rsid w:val="7F0D0BD2"/>
    <w:rsid w:val="7F10114A"/>
    <w:rsid w:val="7F1629A4"/>
    <w:rsid w:val="7F1848C8"/>
    <w:rsid w:val="7F1C0D12"/>
    <w:rsid w:val="7F1C4EB2"/>
    <w:rsid w:val="7F26022B"/>
    <w:rsid w:val="7F2E528F"/>
    <w:rsid w:val="7F300642"/>
    <w:rsid w:val="7F323BCF"/>
    <w:rsid w:val="7F3A01F4"/>
    <w:rsid w:val="7F3F75E5"/>
    <w:rsid w:val="7F415352"/>
    <w:rsid w:val="7F426FA6"/>
    <w:rsid w:val="7F485479"/>
    <w:rsid w:val="7F486BDD"/>
    <w:rsid w:val="7F4C795A"/>
    <w:rsid w:val="7F4E1577"/>
    <w:rsid w:val="7F5349BF"/>
    <w:rsid w:val="7F547198"/>
    <w:rsid w:val="7F58451F"/>
    <w:rsid w:val="7F6536DB"/>
    <w:rsid w:val="7F6D71C0"/>
    <w:rsid w:val="7F720800"/>
    <w:rsid w:val="7F754370"/>
    <w:rsid w:val="7F7B22F2"/>
    <w:rsid w:val="7F81726E"/>
    <w:rsid w:val="7F871946"/>
    <w:rsid w:val="7F8C333B"/>
    <w:rsid w:val="7F8D215B"/>
    <w:rsid w:val="7F9363B3"/>
    <w:rsid w:val="7F957325"/>
    <w:rsid w:val="7F997B6B"/>
    <w:rsid w:val="7FA405F3"/>
    <w:rsid w:val="7FA501CC"/>
    <w:rsid w:val="7FA6276F"/>
    <w:rsid w:val="7FA65357"/>
    <w:rsid w:val="7FA80184"/>
    <w:rsid w:val="7FA97CBC"/>
    <w:rsid w:val="7FAA0174"/>
    <w:rsid w:val="7FAE382A"/>
    <w:rsid w:val="7FC578DC"/>
    <w:rsid w:val="7FC66319"/>
    <w:rsid w:val="7FCB1D9E"/>
    <w:rsid w:val="7FCC5153"/>
    <w:rsid w:val="7FD0468B"/>
    <w:rsid w:val="7FD339DD"/>
    <w:rsid w:val="7FD9337D"/>
    <w:rsid w:val="7FDA3561"/>
    <w:rsid w:val="7FEF6824"/>
    <w:rsid w:val="7FF91DD5"/>
    <w:rsid w:val="7FF9388A"/>
    <w:rsid w:val="7FFB57F7"/>
    <w:rsid w:val="7FFE5211"/>
    <w:rsid w:val="7FFFEA64"/>
    <w:rsid w:val="AF4F0EE4"/>
    <w:rsid w:val="AF8F9D0E"/>
    <w:rsid w:val="BBB620FB"/>
    <w:rsid w:val="C2D7C197"/>
    <w:rsid w:val="CDEB5747"/>
    <w:rsid w:val="DF6D0F46"/>
    <w:rsid w:val="E6B7A934"/>
    <w:rsid w:val="E6F7B1B7"/>
    <w:rsid w:val="EC85954F"/>
    <w:rsid w:val="FBF349FD"/>
    <w:rsid w:val="FDB7252F"/>
    <w:rsid w:val="FFEFA251"/>
    <w:rsid w:val="FFFA29F8"/>
    <w:rsid w:val="FFFFD5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8"/>
      <w:lang w:val="en-US" w:eastAsia="zh-CN" w:bidi="ar-SA"/>
    </w:rPr>
  </w:style>
  <w:style w:type="paragraph" w:styleId="3">
    <w:name w:val="heading 1"/>
    <w:basedOn w:val="1"/>
    <w:next w:val="1"/>
    <w:autoRedefine/>
    <w:qFormat/>
    <w:uiPriority w:val="0"/>
    <w:pPr>
      <w:keepNext/>
      <w:snapToGrid w:val="0"/>
      <w:spacing w:line="360" w:lineRule="atLeast"/>
      <w:outlineLvl w:val="0"/>
    </w:pPr>
    <w:rPr>
      <w:rFonts w:ascii="宋体"/>
    </w:rPr>
  </w:style>
  <w:style w:type="paragraph" w:styleId="4">
    <w:name w:val="heading 2"/>
    <w:basedOn w:val="1"/>
    <w:next w:val="1"/>
    <w:link w:val="101"/>
    <w:autoRedefine/>
    <w:qFormat/>
    <w:uiPriority w:val="0"/>
    <w:pPr>
      <w:keepNext/>
      <w:keepLines/>
      <w:spacing w:line="360" w:lineRule="auto"/>
      <w:jc w:val="center"/>
      <w:outlineLvl w:val="1"/>
    </w:pPr>
    <w:rPr>
      <w:rFonts w:ascii="Arial" w:hAnsi="Arial" w:eastAsia="仿宋"/>
      <w:sz w:val="36"/>
    </w:rPr>
  </w:style>
  <w:style w:type="paragraph" w:styleId="5">
    <w:name w:val="heading 3"/>
    <w:basedOn w:val="1"/>
    <w:next w:val="1"/>
    <w:link w:val="105"/>
    <w:autoRedefine/>
    <w:qFormat/>
    <w:uiPriority w:val="0"/>
    <w:pPr>
      <w:keepNext/>
      <w:keepLines/>
      <w:spacing w:line="360" w:lineRule="auto"/>
      <w:outlineLvl w:val="2"/>
    </w:pPr>
    <w:rPr>
      <w:rFonts w:eastAsia="仿宋"/>
      <w:b/>
      <w:sz w:val="24"/>
    </w:rPr>
  </w:style>
  <w:style w:type="paragraph" w:styleId="6">
    <w:name w:val="heading 4"/>
    <w:basedOn w:val="1"/>
    <w:next w:val="1"/>
    <w:autoRedefine/>
    <w:qFormat/>
    <w:uiPriority w:val="0"/>
    <w:pPr>
      <w:spacing w:before="280" w:after="290" w:line="372" w:lineRule="auto"/>
      <w:outlineLvl w:val="3"/>
    </w:pPr>
  </w:style>
  <w:style w:type="paragraph" w:styleId="7">
    <w:name w:val="heading 5"/>
    <w:basedOn w:val="1"/>
    <w:next w:val="1"/>
    <w:autoRedefine/>
    <w:qFormat/>
    <w:uiPriority w:val="0"/>
    <w:pPr>
      <w:keepNext/>
      <w:keepLines/>
      <w:tabs>
        <w:tab w:val="left" w:pos="2551"/>
      </w:tabs>
      <w:spacing w:before="280" w:after="290" w:line="372" w:lineRule="auto"/>
      <w:ind w:left="2551" w:hanging="850"/>
      <w:outlineLvl w:val="4"/>
    </w:pPr>
    <w:rPr>
      <w:b/>
    </w:rPr>
  </w:style>
  <w:style w:type="paragraph" w:styleId="8">
    <w:name w:val="heading 6"/>
    <w:basedOn w:val="1"/>
    <w:next w:val="1"/>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9">
    <w:name w:val="heading 7"/>
    <w:basedOn w:val="1"/>
    <w:next w:val="1"/>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10">
    <w:name w:val="heading 8"/>
    <w:basedOn w:val="1"/>
    <w:next w:val="1"/>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1">
    <w:name w:val="heading 9"/>
    <w:basedOn w:val="1"/>
    <w:next w:val="1"/>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next w:val="1"/>
    <w:semiHidden/>
    <w:qFormat/>
    <w:uiPriority w:val="0"/>
    <w:pPr>
      <w:spacing w:after="120" w:line="320" w:lineRule="exact"/>
      <w:ind w:firstLine="200" w:firstLineChars="200"/>
      <w:textAlignment w:val="baseline"/>
    </w:pPr>
    <w:rPr>
      <w:rFonts w:ascii="宋体" w:hAnsi="宋体" w:eastAsia="仿宋_GB2312"/>
      <w:lang w:eastAsia="en-US"/>
    </w:rPr>
  </w:style>
  <w:style w:type="paragraph" w:styleId="12">
    <w:name w:val="List 3"/>
    <w:basedOn w:val="1"/>
    <w:autoRedefine/>
    <w:qFormat/>
    <w:uiPriority w:val="0"/>
    <w:pPr>
      <w:adjustRightInd w:val="0"/>
      <w:snapToGrid w:val="0"/>
      <w:spacing w:line="360" w:lineRule="auto"/>
      <w:ind w:left="100" w:leftChars="400" w:hanging="200" w:hangingChars="200"/>
    </w:pPr>
    <w:rPr>
      <w:sz w:val="24"/>
    </w:rPr>
  </w:style>
  <w:style w:type="paragraph" w:styleId="13">
    <w:name w:val="toc 7"/>
    <w:basedOn w:val="1"/>
    <w:next w:val="1"/>
    <w:autoRedefine/>
    <w:qFormat/>
    <w:uiPriority w:val="0"/>
    <w:pPr>
      <w:ind w:left="2520" w:leftChars="1200"/>
    </w:pPr>
  </w:style>
  <w:style w:type="paragraph" w:styleId="14">
    <w:name w:val="List Number 2"/>
    <w:basedOn w:val="1"/>
    <w:autoRedefine/>
    <w:qFormat/>
    <w:uiPriority w:val="0"/>
    <w:pPr>
      <w:numPr>
        <w:ilvl w:val="0"/>
        <w:numId w:val="1"/>
      </w:numPr>
      <w:tabs>
        <w:tab w:val="left" w:pos="780"/>
      </w:tabs>
      <w:spacing w:line="360" w:lineRule="auto"/>
    </w:pPr>
    <w:rPr>
      <w:sz w:val="24"/>
    </w:rPr>
  </w:style>
  <w:style w:type="paragraph" w:styleId="15">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6">
    <w:name w:val="Normal Indent"/>
    <w:basedOn w:val="1"/>
    <w:autoRedefine/>
    <w:qFormat/>
    <w:uiPriority w:val="0"/>
    <w:pPr>
      <w:adjustRightInd w:val="0"/>
      <w:snapToGrid w:val="0"/>
      <w:spacing w:line="360" w:lineRule="auto"/>
      <w:ind w:firstLine="420"/>
    </w:pPr>
    <w:rPr>
      <w:sz w:val="24"/>
    </w:rPr>
  </w:style>
  <w:style w:type="paragraph" w:styleId="17">
    <w:name w:val="caption"/>
    <w:basedOn w:val="1"/>
    <w:next w:val="1"/>
    <w:autoRedefine/>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8">
    <w:name w:val="Document Map"/>
    <w:basedOn w:val="1"/>
    <w:autoRedefine/>
    <w:qFormat/>
    <w:uiPriority w:val="0"/>
    <w:pPr>
      <w:shd w:val="clear" w:color="auto" w:fill="000080"/>
    </w:pPr>
  </w:style>
  <w:style w:type="paragraph" w:styleId="19">
    <w:name w:val="toa heading"/>
    <w:basedOn w:val="1"/>
    <w:next w:val="1"/>
    <w:autoRedefine/>
    <w:qFormat/>
    <w:uiPriority w:val="0"/>
    <w:pPr>
      <w:spacing w:before="120"/>
    </w:pPr>
    <w:rPr>
      <w:rFonts w:ascii="Arial" w:hAnsi="Arial"/>
      <w:sz w:val="24"/>
    </w:rPr>
  </w:style>
  <w:style w:type="paragraph" w:styleId="20">
    <w:name w:val="annotation text"/>
    <w:basedOn w:val="1"/>
    <w:link w:val="82"/>
    <w:autoRedefine/>
    <w:qFormat/>
    <w:uiPriority w:val="0"/>
    <w:pPr>
      <w:adjustRightInd w:val="0"/>
      <w:spacing w:line="360" w:lineRule="atLeast"/>
      <w:jc w:val="left"/>
      <w:textAlignment w:val="baseline"/>
    </w:pPr>
    <w:rPr>
      <w:kern w:val="0"/>
      <w:sz w:val="24"/>
    </w:rPr>
  </w:style>
  <w:style w:type="paragraph" w:styleId="21">
    <w:name w:val="Body Text 3"/>
    <w:basedOn w:val="1"/>
    <w:autoRedefine/>
    <w:qFormat/>
    <w:uiPriority w:val="0"/>
    <w:pPr>
      <w:adjustRightInd w:val="0"/>
      <w:snapToGrid w:val="0"/>
      <w:spacing w:after="120" w:line="360" w:lineRule="auto"/>
    </w:pPr>
    <w:rPr>
      <w:sz w:val="16"/>
    </w:rPr>
  </w:style>
  <w:style w:type="paragraph" w:styleId="22">
    <w:name w:val="List Bullet 3"/>
    <w:basedOn w:val="1"/>
    <w:autoRedefine/>
    <w:qFormat/>
    <w:uiPriority w:val="0"/>
    <w:pPr>
      <w:tabs>
        <w:tab w:val="left" w:pos="1200"/>
      </w:tabs>
      <w:adjustRightInd w:val="0"/>
      <w:snapToGrid w:val="0"/>
      <w:spacing w:line="360" w:lineRule="auto"/>
      <w:ind w:left="1200" w:hanging="360"/>
    </w:pPr>
    <w:rPr>
      <w:sz w:val="24"/>
    </w:rPr>
  </w:style>
  <w:style w:type="paragraph" w:styleId="23">
    <w:name w:val="Body Text"/>
    <w:basedOn w:val="1"/>
    <w:next w:val="1"/>
    <w:autoRedefine/>
    <w:qFormat/>
    <w:uiPriority w:val="0"/>
    <w:rPr>
      <w:rFonts w:ascii="仿宋_GB2312" w:eastAsia="仿宋_GB2312"/>
      <w:sz w:val="32"/>
    </w:rPr>
  </w:style>
  <w:style w:type="paragraph" w:styleId="24">
    <w:name w:val="Body Text Indent"/>
    <w:basedOn w:val="1"/>
    <w:link w:val="84"/>
    <w:autoRedefine/>
    <w:qFormat/>
    <w:uiPriority w:val="0"/>
    <w:pPr>
      <w:spacing w:line="700" w:lineRule="exact"/>
      <w:ind w:left="960"/>
    </w:pPr>
    <w:rPr>
      <w:sz w:val="44"/>
    </w:rPr>
  </w:style>
  <w:style w:type="paragraph" w:styleId="25">
    <w:name w:val="List Number 3"/>
    <w:basedOn w:val="1"/>
    <w:autoRedefine/>
    <w:qFormat/>
    <w:uiPriority w:val="0"/>
    <w:pPr>
      <w:tabs>
        <w:tab w:val="left" w:pos="2120"/>
      </w:tabs>
      <w:adjustRightInd w:val="0"/>
      <w:snapToGrid w:val="0"/>
      <w:spacing w:line="360" w:lineRule="auto"/>
      <w:ind w:left="2120" w:hanging="720"/>
    </w:pPr>
    <w:rPr>
      <w:sz w:val="24"/>
    </w:rPr>
  </w:style>
  <w:style w:type="paragraph" w:styleId="26">
    <w:name w:val="List 2"/>
    <w:basedOn w:val="1"/>
    <w:autoRedefine/>
    <w:qFormat/>
    <w:uiPriority w:val="0"/>
    <w:pPr>
      <w:adjustRightInd w:val="0"/>
      <w:snapToGrid w:val="0"/>
      <w:spacing w:line="360" w:lineRule="auto"/>
      <w:ind w:left="100" w:leftChars="200" w:hanging="200" w:hangingChars="200"/>
    </w:pPr>
    <w:rPr>
      <w:sz w:val="24"/>
    </w:rPr>
  </w:style>
  <w:style w:type="paragraph" w:styleId="27">
    <w:name w:val="List Continue"/>
    <w:basedOn w:val="1"/>
    <w:autoRedefine/>
    <w:qFormat/>
    <w:uiPriority w:val="0"/>
    <w:pPr>
      <w:adjustRightInd w:val="0"/>
      <w:snapToGrid w:val="0"/>
      <w:spacing w:after="120" w:line="360" w:lineRule="auto"/>
      <w:ind w:left="420" w:leftChars="200"/>
    </w:pPr>
    <w:rPr>
      <w:sz w:val="24"/>
    </w:rPr>
  </w:style>
  <w:style w:type="paragraph" w:styleId="28">
    <w:name w:val="Block Text"/>
    <w:basedOn w:val="1"/>
    <w:autoRedefine/>
    <w:qFormat/>
    <w:uiPriority w:val="0"/>
    <w:pPr>
      <w:spacing w:after="120"/>
      <w:ind w:left="1440" w:leftChars="700" w:right="1440" w:rightChars="700"/>
    </w:pPr>
  </w:style>
  <w:style w:type="paragraph" w:styleId="29">
    <w:name w:val="List Bullet 2"/>
    <w:basedOn w:val="1"/>
    <w:autoRedefine/>
    <w:qFormat/>
    <w:uiPriority w:val="0"/>
    <w:pPr>
      <w:numPr>
        <w:ilvl w:val="0"/>
        <w:numId w:val="2"/>
      </w:numPr>
      <w:adjustRightInd w:val="0"/>
      <w:snapToGrid w:val="0"/>
      <w:spacing w:line="360" w:lineRule="auto"/>
    </w:pPr>
    <w:rPr>
      <w:sz w:val="24"/>
    </w:rPr>
  </w:style>
  <w:style w:type="paragraph" w:styleId="30">
    <w:name w:val="toc 5"/>
    <w:basedOn w:val="1"/>
    <w:next w:val="1"/>
    <w:autoRedefine/>
    <w:qFormat/>
    <w:uiPriority w:val="0"/>
    <w:pPr>
      <w:ind w:left="1680" w:leftChars="800"/>
    </w:pPr>
  </w:style>
  <w:style w:type="paragraph" w:styleId="31">
    <w:name w:val="toc 3"/>
    <w:basedOn w:val="1"/>
    <w:next w:val="1"/>
    <w:autoRedefine/>
    <w:qFormat/>
    <w:uiPriority w:val="39"/>
    <w:pPr>
      <w:spacing w:line="360" w:lineRule="auto"/>
      <w:ind w:firstLine="560" w:firstLineChars="200"/>
    </w:pPr>
    <w:rPr>
      <w:rFonts w:eastAsia="仿宋"/>
      <w:sz w:val="24"/>
    </w:rPr>
  </w:style>
  <w:style w:type="paragraph" w:styleId="32">
    <w:name w:val="Plain Text"/>
    <w:basedOn w:val="1"/>
    <w:autoRedefine/>
    <w:qFormat/>
    <w:uiPriority w:val="0"/>
    <w:rPr>
      <w:rFonts w:ascii="宋体" w:hAnsi="Courier New"/>
      <w:sz w:val="21"/>
    </w:rPr>
  </w:style>
  <w:style w:type="paragraph" w:styleId="33">
    <w:name w:val="toc 8"/>
    <w:basedOn w:val="1"/>
    <w:next w:val="1"/>
    <w:autoRedefine/>
    <w:qFormat/>
    <w:uiPriority w:val="0"/>
    <w:pPr>
      <w:ind w:left="2940" w:leftChars="1400"/>
    </w:pPr>
  </w:style>
  <w:style w:type="paragraph" w:styleId="34">
    <w:name w:val="Date"/>
    <w:basedOn w:val="1"/>
    <w:next w:val="1"/>
    <w:link w:val="110"/>
    <w:autoRedefine/>
    <w:qFormat/>
    <w:uiPriority w:val="0"/>
  </w:style>
  <w:style w:type="paragraph" w:styleId="35">
    <w:name w:val="Body Text Indent 2"/>
    <w:basedOn w:val="1"/>
    <w:link w:val="79"/>
    <w:autoRedefine/>
    <w:qFormat/>
    <w:uiPriority w:val="0"/>
    <w:pPr>
      <w:snapToGrid w:val="0"/>
      <w:spacing w:line="560" w:lineRule="atLeast"/>
      <w:ind w:firstLine="540"/>
    </w:pPr>
  </w:style>
  <w:style w:type="paragraph" w:styleId="36">
    <w:name w:val="Balloon Text"/>
    <w:basedOn w:val="1"/>
    <w:autoRedefine/>
    <w:qFormat/>
    <w:uiPriority w:val="0"/>
    <w:rPr>
      <w:sz w:val="18"/>
    </w:rPr>
  </w:style>
  <w:style w:type="paragraph" w:styleId="37">
    <w:name w:val="footer"/>
    <w:basedOn w:val="1"/>
    <w:link w:val="117"/>
    <w:autoRedefine/>
    <w:qFormat/>
    <w:uiPriority w:val="99"/>
    <w:pPr>
      <w:tabs>
        <w:tab w:val="center" w:pos="4153"/>
        <w:tab w:val="right" w:pos="8306"/>
      </w:tabs>
      <w:snapToGrid w:val="0"/>
      <w:jc w:val="left"/>
    </w:pPr>
    <w:rPr>
      <w:sz w:val="18"/>
    </w:rPr>
  </w:style>
  <w:style w:type="paragraph" w:styleId="38">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39">
    <w:name w:val="toc 1"/>
    <w:basedOn w:val="1"/>
    <w:next w:val="1"/>
    <w:autoRedefine/>
    <w:qFormat/>
    <w:uiPriority w:val="0"/>
    <w:pPr>
      <w:spacing w:line="180" w:lineRule="auto"/>
      <w:jc w:val="center"/>
    </w:pPr>
    <w:rPr>
      <w:sz w:val="30"/>
    </w:rPr>
  </w:style>
  <w:style w:type="paragraph" w:styleId="40">
    <w:name w:val="List Continue 4"/>
    <w:basedOn w:val="1"/>
    <w:autoRedefine/>
    <w:qFormat/>
    <w:uiPriority w:val="0"/>
    <w:pPr>
      <w:adjustRightInd w:val="0"/>
      <w:snapToGrid w:val="0"/>
      <w:spacing w:after="120" w:line="360" w:lineRule="auto"/>
      <w:ind w:left="1680" w:leftChars="800"/>
    </w:pPr>
    <w:rPr>
      <w:sz w:val="24"/>
    </w:rPr>
  </w:style>
  <w:style w:type="paragraph" w:styleId="41">
    <w:name w:val="toc 4"/>
    <w:basedOn w:val="1"/>
    <w:next w:val="1"/>
    <w:autoRedefine/>
    <w:qFormat/>
    <w:uiPriority w:val="0"/>
    <w:pPr>
      <w:ind w:left="1260" w:leftChars="600"/>
    </w:pPr>
  </w:style>
  <w:style w:type="paragraph" w:styleId="42">
    <w:name w:val="footnote text"/>
    <w:basedOn w:val="1"/>
    <w:link w:val="90"/>
    <w:autoRedefine/>
    <w:qFormat/>
    <w:uiPriority w:val="0"/>
    <w:pPr>
      <w:spacing w:line="360" w:lineRule="auto"/>
    </w:pPr>
    <w:rPr>
      <w:sz w:val="18"/>
    </w:rPr>
  </w:style>
  <w:style w:type="paragraph" w:styleId="43">
    <w:name w:val="toc 6"/>
    <w:basedOn w:val="1"/>
    <w:next w:val="1"/>
    <w:autoRedefine/>
    <w:qFormat/>
    <w:uiPriority w:val="0"/>
    <w:pPr>
      <w:ind w:left="2100" w:leftChars="1000"/>
    </w:pPr>
  </w:style>
  <w:style w:type="paragraph" w:styleId="44">
    <w:name w:val="List 5"/>
    <w:basedOn w:val="1"/>
    <w:autoRedefine/>
    <w:qFormat/>
    <w:uiPriority w:val="0"/>
    <w:pPr>
      <w:adjustRightInd w:val="0"/>
      <w:snapToGrid w:val="0"/>
      <w:spacing w:line="360" w:lineRule="auto"/>
      <w:ind w:left="100" w:leftChars="800" w:hanging="200" w:hangingChars="200"/>
    </w:pPr>
    <w:rPr>
      <w:sz w:val="24"/>
    </w:rPr>
  </w:style>
  <w:style w:type="paragraph" w:styleId="45">
    <w:name w:val="Body Text Indent 3"/>
    <w:basedOn w:val="1"/>
    <w:autoRedefine/>
    <w:qFormat/>
    <w:uiPriority w:val="0"/>
    <w:pPr>
      <w:spacing w:line="360" w:lineRule="auto"/>
      <w:ind w:firstLine="632"/>
    </w:pPr>
    <w:rPr>
      <w:rFonts w:ascii="黑体" w:eastAsia="黑体"/>
    </w:rPr>
  </w:style>
  <w:style w:type="paragraph" w:styleId="46">
    <w:name w:val="table of figures"/>
    <w:basedOn w:val="1"/>
    <w:next w:val="1"/>
    <w:autoRedefine/>
    <w:qFormat/>
    <w:uiPriority w:val="0"/>
    <w:pPr>
      <w:tabs>
        <w:tab w:val="right" w:leader="dot" w:pos="8640"/>
      </w:tabs>
      <w:spacing w:line="360" w:lineRule="auto"/>
      <w:ind w:left="400" w:hanging="400"/>
    </w:pPr>
    <w:rPr>
      <w:sz w:val="24"/>
    </w:rPr>
  </w:style>
  <w:style w:type="paragraph" w:styleId="47">
    <w:name w:val="toc 2"/>
    <w:basedOn w:val="1"/>
    <w:next w:val="1"/>
    <w:autoRedefine/>
    <w:qFormat/>
    <w:uiPriority w:val="39"/>
    <w:pPr>
      <w:spacing w:line="360" w:lineRule="auto"/>
      <w:jc w:val="left"/>
    </w:pPr>
    <w:rPr>
      <w:rFonts w:eastAsia="仿宋"/>
      <w:sz w:val="24"/>
    </w:rPr>
  </w:style>
  <w:style w:type="paragraph" w:styleId="48">
    <w:name w:val="toc 9"/>
    <w:basedOn w:val="1"/>
    <w:next w:val="1"/>
    <w:autoRedefine/>
    <w:qFormat/>
    <w:uiPriority w:val="0"/>
    <w:pPr>
      <w:ind w:left="3360" w:leftChars="1600"/>
    </w:pPr>
  </w:style>
  <w:style w:type="paragraph" w:styleId="49">
    <w:name w:val="Body Text 2"/>
    <w:basedOn w:val="1"/>
    <w:autoRedefine/>
    <w:qFormat/>
    <w:uiPriority w:val="0"/>
    <w:pPr>
      <w:adjustRightInd w:val="0"/>
      <w:snapToGrid w:val="0"/>
      <w:spacing w:after="120" w:line="480" w:lineRule="auto"/>
    </w:pPr>
    <w:rPr>
      <w:sz w:val="24"/>
    </w:rPr>
  </w:style>
  <w:style w:type="paragraph" w:styleId="50">
    <w:name w:val="List 4"/>
    <w:basedOn w:val="1"/>
    <w:autoRedefine/>
    <w:qFormat/>
    <w:uiPriority w:val="0"/>
    <w:pPr>
      <w:adjustRightInd w:val="0"/>
      <w:snapToGrid w:val="0"/>
      <w:spacing w:line="360" w:lineRule="auto"/>
      <w:ind w:left="100" w:leftChars="600" w:hanging="200" w:hangingChars="200"/>
    </w:pPr>
    <w:rPr>
      <w:sz w:val="24"/>
    </w:rPr>
  </w:style>
  <w:style w:type="paragraph" w:styleId="51">
    <w:name w:val="List Continue 2"/>
    <w:basedOn w:val="1"/>
    <w:autoRedefine/>
    <w:qFormat/>
    <w:uiPriority w:val="0"/>
    <w:pPr>
      <w:adjustRightInd w:val="0"/>
      <w:snapToGrid w:val="0"/>
      <w:spacing w:after="120" w:line="360" w:lineRule="auto"/>
      <w:ind w:left="840" w:leftChars="400"/>
    </w:pPr>
    <w:rPr>
      <w:sz w:val="24"/>
    </w:rPr>
  </w:style>
  <w:style w:type="paragraph" w:styleId="52">
    <w:name w:val="HTML Preformatted"/>
    <w:basedOn w:val="1"/>
    <w:autoRedefine/>
    <w:qFormat/>
    <w:uiPriority w:val="0"/>
    <w:rPr>
      <w:rFonts w:ascii="Courier New" w:hAnsi="Courier New"/>
      <w:sz w:val="20"/>
    </w:rPr>
  </w:style>
  <w:style w:type="paragraph" w:styleId="53">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54">
    <w:name w:val="List Continue 3"/>
    <w:basedOn w:val="1"/>
    <w:autoRedefine/>
    <w:qFormat/>
    <w:uiPriority w:val="0"/>
    <w:pPr>
      <w:adjustRightInd w:val="0"/>
      <w:snapToGrid w:val="0"/>
      <w:spacing w:after="120" w:line="360" w:lineRule="auto"/>
      <w:ind w:left="1260" w:leftChars="600"/>
    </w:pPr>
    <w:rPr>
      <w:sz w:val="24"/>
    </w:rPr>
  </w:style>
  <w:style w:type="paragraph" w:styleId="55">
    <w:name w:val="index 1"/>
    <w:basedOn w:val="1"/>
    <w:next w:val="1"/>
    <w:autoRedefine/>
    <w:qFormat/>
    <w:uiPriority w:val="0"/>
    <w:pPr>
      <w:adjustRightInd w:val="0"/>
      <w:spacing w:line="240" w:lineRule="atLeast"/>
      <w:textAlignment w:val="baseline"/>
    </w:pPr>
    <w:rPr>
      <w:rFonts w:ascii="宋体"/>
      <w:kern w:val="0"/>
      <w:sz w:val="21"/>
    </w:rPr>
  </w:style>
  <w:style w:type="paragraph" w:styleId="56">
    <w:name w:val="Title"/>
    <w:basedOn w:val="1"/>
    <w:next w:val="1"/>
    <w:autoRedefine/>
    <w:qFormat/>
    <w:uiPriority w:val="0"/>
    <w:pPr>
      <w:widowControl/>
      <w:spacing w:after="240" w:line="360" w:lineRule="auto"/>
      <w:jc w:val="center"/>
    </w:pPr>
    <w:rPr>
      <w:rFonts w:ascii="Arial" w:hAnsi="Arial"/>
      <w:b/>
      <w:smallCaps/>
      <w:kern w:val="28"/>
      <w:sz w:val="36"/>
      <w:lang w:eastAsia="en-US"/>
    </w:rPr>
  </w:style>
  <w:style w:type="paragraph" w:styleId="57">
    <w:name w:val="annotation subject"/>
    <w:basedOn w:val="20"/>
    <w:next w:val="20"/>
    <w:link w:val="81"/>
    <w:autoRedefine/>
    <w:qFormat/>
    <w:uiPriority w:val="0"/>
    <w:pPr>
      <w:adjustRightInd/>
      <w:spacing w:line="240" w:lineRule="auto"/>
      <w:textAlignment w:val="auto"/>
    </w:pPr>
  </w:style>
  <w:style w:type="paragraph" w:styleId="58">
    <w:name w:val="Body Text First Indent"/>
    <w:basedOn w:val="23"/>
    <w:next w:val="59"/>
    <w:autoRedefine/>
    <w:qFormat/>
    <w:uiPriority w:val="0"/>
    <w:pPr>
      <w:spacing w:line="360" w:lineRule="auto"/>
      <w:ind w:firstLine="420"/>
    </w:pPr>
    <w:rPr>
      <w:rFonts w:ascii="宋体" w:hAnsi="宋体"/>
      <w:sz w:val="24"/>
    </w:rPr>
  </w:style>
  <w:style w:type="paragraph" w:styleId="59">
    <w:name w:val="Body Text First Indent 2"/>
    <w:basedOn w:val="24"/>
    <w:link w:val="108"/>
    <w:autoRedefine/>
    <w:qFormat/>
    <w:uiPriority w:val="0"/>
    <w:pPr>
      <w:spacing w:after="120" w:line="240" w:lineRule="auto"/>
      <w:ind w:left="420" w:leftChars="200" w:firstLine="420" w:firstLineChars="200"/>
    </w:pPr>
  </w:style>
  <w:style w:type="table" w:styleId="61">
    <w:name w:val="Table Grid"/>
    <w:basedOn w:val="60"/>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autoRedefine/>
    <w:qFormat/>
    <w:uiPriority w:val="0"/>
    <w:rPr>
      <w:b/>
    </w:rPr>
  </w:style>
  <w:style w:type="character" w:styleId="64">
    <w:name w:val="page number"/>
    <w:basedOn w:val="62"/>
    <w:autoRedefine/>
    <w:qFormat/>
    <w:uiPriority w:val="0"/>
  </w:style>
  <w:style w:type="character" w:styleId="65">
    <w:name w:val="FollowedHyperlink"/>
    <w:autoRedefine/>
    <w:qFormat/>
    <w:uiPriority w:val="0"/>
    <w:rPr>
      <w:color w:val="800080"/>
      <w:u w:val="single"/>
    </w:rPr>
  </w:style>
  <w:style w:type="character" w:styleId="66">
    <w:name w:val="Emphasis"/>
    <w:autoRedefine/>
    <w:qFormat/>
    <w:uiPriority w:val="0"/>
    <w:rPr>
      <w:i/>
    </w:rPr>
  </w:style>
  <w:style w:type="character" w:styleId="67">
    <w:name w:val="Hyperlink"/>
    <w:autoRedefine/>
    <w:qFormat/>
    <w:uiPriority w:val="99"/>
    <w:rPr>
      <w:color w:val="0000FF"/>
      <w:u w:val="single"/>
    </w:rPr>
  </w:style>
  <w:style w:type="character" w:styleId="68">
    <w:name w:val="annotation reference"/>
    <w:autoRedefine/>
    <w:qFormat/>
    <w:uiPriority w:val="0"/>
    <w:rPr>
      <w:sz w:val="21"/>
      <w:szCs w:val="21"/>
    </w:rPr>
  </w:style>
  <w:style w:type="character" w:styleId="69">
    <w:name w:val="footnote reference"/>
    <w:autoRedefine/>
    <w:qFormat/>
    <w:uiPriority w:val="0"/>
    <w:rPr>
      <w:position w:val="6"/>
      <w:sz w:val="14"/>
      <w:vertAlign w:val="superscript"/>
    </w:rPr>
  </w:style>
  <w:style w:type="paragraph" w:customStyle="1" w:styleId="70">
    <w:name w:val="Default"/>
    <w:autoRedefine/>
    <w:qFormat/>
    <w:uiPriority w:val="0"/>
    <w:pPr>
      <w:widowControl w:val="0"/>
      <w:autoSpaceDE w:val="0"/>
      <w:autoSpaceDN w:val="0"/>
      <w:adjustRightInd w:val="0"/>
    </w:pPr>
    <w:rPr>
      <w:rFonts w:ascii="宋体" w:hAnsi="Calibri" w:eastAsia="宋体" w:cs="Times New Roman"/>
      <w:color w:val="000000"/>
      <w:sz w:val="24"/>
      <w:lang w:val="en-US" w:eastAsia="zh-CN" w:bidi="ar-SA"/>
    </w:rPr>
  </w:style>
  <w:style w:type="paragraph" w:customStyle="1" w:styleId="71">
    <w:name w:val="目录 53"/>
    <w:next w:val="1"/>
    <w:autoRedefine/>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72">
    <w:name w:val="无间隔1"/>
    <w:autoRedefine/>
    <w:qFormat/>
    <w:uiPriority w:val="1"/>
    <w:pPr>
      <w:jc w:val="both"/>
    </w:pPr>
    <w:rPr>
      <w:rFonts w:ascii="Calibri" w:hAnsi="Calibri" w:eastAsia="Times New Roman" w:cs="Times New Roman"/>
      <w:lang w:val="en-US" w:eastAsia="zh-CN" w:bidi="ar-SA"/>
    </w:rPr>
  </w:style>
  <w:style w:type="paragraph" w:customStyle="1" w:styleId="73">
    <w:name w:val="标书正文1"/>
    <w:basedOn w:val="1"/>
    <w:autoRedefine/>
    <w:qFormat/>
    <w:uiPriority w:val="0"/>
    <w:pPr>
      <w:spacing w:line="520" w:lineRule="exact"/>
      <w:ind w:firstLine="640" w:firstLineChars="200"/>
    </w:pPr>
    <w:rPr>
      <w:rFonts w:ascii="Times New Roman" w:hAnsi="Times New Roman"/>
    </w:rPr>
  </w:style>
  <w:style w:type="character" w:customStyle="1" w:styleId="74">
    <w:name w:val="Char Char7"/>
    <w:autoRedefine/>
    <w:qFormat/>
    <w:uiPriority w:val="0"/>
    <w:rPr>
      <w:rFonts w:ascii="宋体" w:hAnsi="宋体" w:eastAsia="宋体"/>
      <w:kern w:val="2"/>
      <w:sz w:val="28"/>
    </w:rPr>
  </w:style>
  <w:style w:type="character" w:customStyle="1" w:styleId="75">
    <w:name w:val="font91"/>
    <w:autoRedefine/>
    <w:qFormat/>
    <w:uiPriority w:val="0"/>
    <w:rPr>
      <w:rFonts w:hint="eastAsia" w:ascii="宋体" w:hAnsi="宋体" w:eastAsia="宋体" w:cs="宋体"/>
      <w:color w:val="000000"/>
      <w:sz w:val="20"/>
      <w:szCs w:val="20"/>
      <w:u w:val="none"/>
    </w:rPr>
  </w:style>
  <w:style w:type="character" w:customStyle="1" w:styleId="76">
    <w:name w:val="未命名11"/>
    <w:autoRedefine/>
    <w:qFormat/>
    <w:uiPriority w:val="0"/>
    <w:rPr>
      <w:color w:val="77FFFF"/>
      <w:sz w:val="24"/>
    </w:rPr>
  </w:style>
  <w:style w:type="character" w:customStyle="1" w:styleId="77">
    <w:name w:val="font51"/>
    <w:autoRedefine/>
    <w:qFormat/>
    <w:uiPriority w:val="0"/>
    <w:rPr>
      <w:rFonts w:hint="eastAsia" w:ascii="宋体" w:hAnsi="宋体" w:eastAsia="宋体" w:cs="宋体"/>
      <w:color w:val="000000"/>
      <w:sz w:val="20"/>
      <w:szCs w:val="20"/>
      <w:u w:val="none"/>
      <w:vertAlign w:val="superscript"/>
    </w:rPr>
  </w:style>
  <w:style w:type="character" w:customStyle="1" w:styleId="78">
    <w:name w:val="content-white1"/>
    <w:autoRedefine/>
    <w:qFormat/>
    <w:uiPriority w:val="0"/>
    <w:rPr>
      <w:color w:val="auto"/>
      <w:sz w:val="18"/>
      <w:u w:val="none"/>
    </w:rPr>
  </w:style>
  <w:style w:type="character" w:customStyle="1" w:styleId="79">
    <w:name w:val="正文文本缩进 2 Char"/>
    <w:link w:val="35"/>
    <w:autoRedefine/>
    <w:qFormat/>
    <w:uiPriority w:val="0"/>
    <w:rPr>
      <w:kern w:val="2"/>
      <w:sz w:val="28"/>
    </w:rPr>
  </w:style>
  <w:style w:type="character" w:customStyle="1" w:styleId="80">
    <w:name w:val="Char Char11"/>
    <w:autoRedefine/>
    <w:qFormat/>
    <w:uiPriority w:val="0"/>
    <w:rPr>
      <w:rFonts w:ascii="宋体"/>
      <w:kern w:val="2"/>
      <w:sz w:val="28"/>
    </w:rPr>
  </w:style>
  <w:style w:type="character" w:customStyle="1" w:styleId="81">
    <w:name w:val="批注主题 Char"/>
    <w:basedOn w:val="82"/>
    <w:link w:val="57"/>
    <w:autoRedefine/>
    <w:qFormat/>
    <w:uiPriority w:val="0"/>
    <w:rPr>
      <w:sz w:val="24"/>
    </w:rPr>
  </w:style>
  <w:style w:type="character" w:customStyle="1" w:styleId="82">
    <w:name w:val="批注文字 Char"/>
    <w:link w:val="20"/>
    <w:autoRedefine/>
    <w:qFormat/>
    <w:uiPriority w:val="0"/>
    <w:rPr>
      <w:sz w:val="24"/>
    </w:rPr>
  </w:style>
  <w:style w:type="character" w:customStyle="1" w:styleId="83">
    <w:name w:val="font41"/>
    <w:autoRedefine/>
    <w:qFormat/>
    <w:uiPriority w:val="0"/>
    <w:rPr>
      <w:rFonts w:hint="eastAsia" w:ascii="宋体" w:hAnsi="宋体" w:eastAsia="宋体" w:cs="宋体"/>
      <w:color w:val="000000"/>
      <w:sz w:val="20"/>
      <w:szCs w:val="20"/>
      <w:u w:val="none"/>
    </w:rPr>
  </w:style>
  <w:style w:type="character" w:customStyle="1" w:styleId="84">
    <w:name w:val="正文文本缩进 Char"/>
    <w:link w:val="24"/>
    <w:autoRedefine/>
    <w:qFormat/>
    <w:uiPriority w:val="0"/>
    <w:rPr>
      <w:kern w:val="2"/>
      <w:sz w:val="44"/>
    </w:rPr>
  </w:style>
  <w:style w:type="character" w:customStyle="1" w:styleId="85">
    <w:name w:val="Table Text Char"/>
    <w:link w:val="86"/>
    <w:autoRedefine/>
    <w:qFormat/>
    <w:uiPriority w:val="0"/>
    <w:rPr>
      <w:rFonts w:ascii="Arial" w:hAnsi="Arial"/>
      <w:kern w:val="2"/>
      <w:sz w:val="18"/>
      <w:lang w:val="en-US" w:eastAsia="zh-CN" w:bidi="ar-SA"/>
    </w:rPr>
  </w:style>
  <w:style w:type="paragraph" w:customStyle="1" w:styleId="86">
    <w:name w:val="Table Text"/>
    <w:link w:val="85"/>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87">
    <w:name w:val="v151"/>
    <w:autoRedefine/>
    <w:qFormat/>
    <w:uiPriority w:val="0"/>
    <w:rPr>
      <w:sz w:val="18"/>
    </w:rPr>
  </w:style>
  <w:style w:type="character" w:customStyle="1" w:styleId="88">
    <w:name w:val="样式 宋体"/>
    <w:autoRedefine/>
    <w:qFormat/>
    <w:uiPriority w:val="0"/>
    <w:rPr>
      <w:rFonts w:ascii="宋体" w:hAnsi="宋体" w:eastAsia="宋体"/>
      <w:sz w:val="28"/>
    </w:rPr>
  </w:style>
  <w:style w:type="character" w:customStyle="1" w:styleId="89">
    <w:name w:val="title_emph1"/>
    <w:autoRedefine/>
    <w:qFormat/>
    <w:uiPriority w:val="0"/>
    <w:rPr>
      <w:rFonts w:hint="default" w:ascii="Arial" w:hAnsi="Arial"/>
      <w:b/>
      <w:sz w:val="20"/>
    </w:rPr>
  </w:style>
  <w:style w:type="character" w:customStyle="1" w:styleId="90">
    <w:name w:val="脚注文本 Char"/>
    <w:link w:val="42"/>
    <w:autoRedefine/>
    <w:qFormat/>
    <w:uiPriority w:val="0"/>
    <w:rPr>
      <w:kern w:val="2"/>
      <w:sz w:val="18"/>
    </w:rPr>
  </w:style>
  <w:style w:type="character" w:customStyle="1" w:styleId="91">
    <w:name w:val="Char Char"/>
    <w:autoRedefine/>
    <w:qFormat/>
    <w:uiPriority w:val="0"/>
    <w:rPr>
      <w:rFonts w:ascii="宋体" w:hAnsi="宋体" w:eastAsia="宋体"/>
      <w:kern w:val="2"/>
      <w:sz w:val="24"/>
      <w:lang w:val="en-US" w:eastAsia="zh-CN" w:bidi="ar-SA"/>
    </w:rPr>
  </w:style>
  <w:style w:type="character" w:customStyle="1" w:styleId="92">
    <w:name w:val="Table Heading Char Char"/>
    <w:autoRedefine/>
    <w:qFormat/>
    <w:uiPriority w:val="0"/>
    <w:rPr>
      <w:rFonts w:ascii="Arial" w:hAnsi="Arial" w:eastAsia="黑体"/>
      <w:kern w:val="2"/>
      <w:sz w:val="18"/>
      <w:lang w:val="en-US" w:eastAsia="zh-CN"/>
    </w:rPr>
  </w:style>
  <w:style w:type="character" w:customStyle="1" w:styleId="93">
    <w:name w:val="正文 + 三号 Char"/>
    <w:autoRedefine/>
    <w:qFormat/>
    <w:uiPriority w:val="0"/>
    <w:rPr>
      <w:rFonts w:eastAsia="宋体"/>
      <w:kern w:val="2"/>
      <w:sz w:val="21"/>
      <w:lang w:val="en-US" w:eastAsia="zh-CN"/>
    </w:rPr>
  </w:style>
  <w:style w:type="character" w:customStyle="1" w:styleId="94">
    <w:name w:val="Char Char5"/>
    <w:autoRedefine/>
    <w:qFormat/>
    <w:uiPriority w:val="0"/>
    <w:rPr>
      <w:rFonts w:ascii="Arial" w:hAnsi="Arial" w:eastAsia="宋体"/>
      <w:b/>
      <w:smallCaps/>
      <w:kern w:val="28"/>
      <w:sz w:val="36"/>
      <w:lang w:val="en-US" w:eastAsia="en-US"/>
    </w:rPr>
  </w:style>
  <w:style w:type="character" w:customStyle="1" w:styleId="95">
    <w:name w:val="Table Text Char Char Char Char"/>
    <w:link w:val="96"/>
    <w:autoRedefine/>
    <w:qFormat/>
    <w:uiPriority w:val="0"/>
    <w:rPr>
      <w:rFonts w:ascii="Arial" w:hAnsi="Arial"/>
      <w:kern w:val="2"/>
      <w:sz w:val="18"/>
      <w:lang w:val="en-US" w:eastAsia="zh-CN" w:bidi="ar-SA"/>
    </w:rPr>
  </w:style>
  <w:style w:type="paragraph" w:customStyle="1" w:styleId="96">
    <w:name w:val="Table Text Char Char Char"/>
    <w:link w:val="95"/>
    <w:autoRedefine/>
    <w:qFormat/>
    <w:uiPriority w:val="0"/>
    <w:pPr>
      <w:snapToGrid w:val="0"/>
      <w:spacing w:before="80" w:after="80"/>
    </w:pPr>
    <w:rPr>
      <w:rFonts w:ascii="Arial" w:hAnsi="Arial" w:eastAsia="宋体" w:cs="Times New Roman"/>
      <w:kern w:val="2"/>
      <w:sz w:val="18"/>
      <w:lang w:val="en-US" w:eastAsia="zh-CN" w:bidi="ar-SA"/>
    </w:rPr>
  </w:style>
  <w:style w:type="character" w:customStyle="1" w:styleId="97">
    <w:name w:val="font01"/>
    <w:autoRedefine/>
    <w:qFormat/>
    <w:uiPriority w:val="0"/>
    <w:rPr>
      <w:rFonts w:hint="default" w:ascii="Times New Roman" w:hAnsi="Times New Roman" w:cs="Times New Roman"/>
      <w:color w:val="000000"/>
      <w:sz w:val="20"/>
      <w:szCs w:val="20"/>
      <w:u w:val="none"/>
    </w:rPr>
  </w:style>
  <w:style w:type="character" w:customStyle="1" w:styleId="98">
    <w:name w:val="font101"/>
    <w:autoRedefine/>
    <w:qFormat/>
    <w:uiPriority w:val="0"/>
    <w:rPr>
      <w:rFonts w:hint="default" w:ascii="Times New Roman" w:hAnsi="Times New Roman" w:cs="Times New Roman"/>
      <w:color w:val="000000"/>
      <w:sz w:val="20"/>
      <w:szCs w:val="20"/>
      <w:u w:val="none"/>
    </w:rPr>
  </w:style>
  <w:style w:type="character" w:customStyle="1" w:styleId="99">
    <w:name w:val="Table Text Char1 Char"/>
    <w:autoRedefine/>
    <w:qFormat/>
    <w:uiPriority w:val="0"/>
    <w:rPr>
      <w:rFonts w:ascii="Arial" w:hAnsi="Arial"/>
      <w:kern w:val="2"/>
      <w:sz w:val="18"/>
      <w:lang w:val="en-US" w:eastAsia="zh-CN" w:bidi="ar-SA"/>
    </w:rPr>
  </w:style>
  <w:style w:type="character" w:customStyle="1" w:styleId="100">
    <w:name w:val="Char Char2"/>
    <w:autoRedefine/>
    <w:qFormat/>
    <w:uiPriority w:val="0"/>
    <w:rPr>
      <w:rFonts w:eastAsia="宋体"/>
      <w:kern w:val="2"/>
      <w:sz w:val="18"/>
      <w:lang w:val="en-US" w:eastAsia="zh-CN"/>
    </w:rPr>
  </w:style>
  <w:style w:type="character" w:customStyle="1" w:styleId="101">
    <w:name w:val="标题 2 Char"/>
    <w:link w:val="4"/>
    <w:autoRedefine/>
    <w:qFormat/>
    <w:uiPriority w:val="0"/>
    <w:rPr>
      <w:rFonts w:ascii="Arial" w:hAnsi="Arial" w:eastAsia="仿宋"/>
      <w:kern w:val="2"/>
      <w:sz w:val="36"/>
    </w:rPr>
  </w:style>
  <w:style w:type="character" w:customStyle="1" w:styleId="102">
    <w:name w:val="font31"/>
    <w:autoRedefine/>
    <w:qFormat/>
    <w:uiPriority w:val="0"/>
    <w:rPr>
      <w:rFonts w:hint="eastAsia" w:ascii="宋体" w:hAnsi="宋体" w:eastAsia="宋体" w:cs="宋体"/>
      <w:b/>
      <w:color w:val="000000"/>
      <w:sz w:val="20"/>
      <w:szCs w:val="20"/>
      <w:u w:val="none"/>
    </w:rPr>
  </w:style>
  <w:style w:type="character" w:customStyle="1" w:styleId="103">
    <w:name w:val="文字 Char"/>
    <w:link w:val="104"/>
    <w:autoRedefine/>
    <w:qFormat/>
    <w:uiPriority w:val="0"/>
    <w:rPr>
      <w:rFonts w:ascii="宋体"/>
      <w:kern w:val="2"/>
      <w:sz w:val="28"/>
    </w:rPr>
  </w:style>
  <w:style w:type="paragraph" w:customStyle="1" w:styleId="104">
    <w:name w:val="文字"/>
    <w:basedOn w:val="1"/>
    <w:link w:val="103"/>
    <w:autoRedefine/>
    <w:qFormat/>
    <w:uiPriority w:val="0"/>
    <w:pPr>
      <w:tabs>
        <w:tab w:val="left" w:pos="8520"/>
      </w:tabs>
      <w:spacing w:line="312" w:lineRule="auto"/>
      <w:ind w:right="-210" w:firstLine="556"/>
    </w:pPr>
    <w:rPr>
      <w:rFonts w:ascii="宋体"/>
    </w:rPr>
  </w:style>
  <w:style w:type="character" w:customStyle="1" w:styleId="105">
    <w:name w:val="标题 3 Char"/>
    <w:link w:val="5"/>
    <w:autoRedefine/>
    <w:qFormat/>
    <w:uiPriority w:val="0"/>
    <w:rPr>
      <w:rFonts w:eastAsia="仿宋"/>
      <w:b/>
      <w:kern w:val="2"/>
      <w:sz w:val="24"/>
      <w:lang w:val="en-US" w:eastAsia="zh-CN"/>
    </w:rPr>
  </w:style>
  <w:style w:type="character" w:customStyle="1" w:styleId="106">
    <w:name w:val="Char Char6"/>
    <w:autoRedefine/>
    <w:qFormat/>
    <w:uiPriority w:val="0"/>
    <w:rPr>
      <w:rFonts w:ascii="仿宋_GB2312" w:eastAsia="仿宋_GB2312"/>
      <w:kern w:val="2"/>
      <w:sz w:val="32"/>
    </w:rPr>
  </w:style>
  <w:style w:type="character" w:customStyle="1" w:styleId="107">
    <w:name w:val="Char Char3"/>
    <w:autoRedefine/>
    <w:qFormat/>
    <w:uiPriority w:val="0"/>
    <w:rPr>
      <w:rFonts w:eastAsia="宋体"/>
      <w:kern w:val="2"/>
      <w:sz w:val="18"/>
      <w:lang w:val="en-US" w:eastAsia="zh-CN"/>
    </w:rPr>
  </w:style>
  <w:style w:type="character" w:customStyle="1" w:styleId="108">
    <w:name w:val="正文首行缩进 2 Char"/>
    <w:basedOn w:val="84"/>
    <w:link w:val="59"/>
    <w:autoRedefine/>
    <w:qFormat/>
    <w:uiPriority w:val="0"/>
    <w:rPr>
      <w:kern w:val="2"/>
      <w:sz w:val="44"/>
    </w:rPr>
  </w:style>
  <w:style w:type="character" w:customStyle="1" w:styleId="109">
    <w:name w:val="标书正文:  0.74 厘米 Char1"/>
    <w:autoRedefine/>
    <w:qFormat/>
    <w:uiPriority w:val="0"/>
    <w:rPr>
      <w:rFonts w:eastAsia="宋体"/>
      <w:kern w:val="2"/>
      <w:sz w:val="24"/>
      <w:lang w:val="en-US" w:eastAsia="zh-CN"/>
    </w:rPr>
  </w:style>
  <w:style w:type="character" w:customStyle="1" w:styleId="110">
    <w:name w:val="日期 Char"/>
    <w:link w:val="34"/>
    <w:autoRedefine/>
    <w:qFormat/>
    <w:uiPriority w:val="0"/>
    <w:rPr>
      <w:kern w:val="2"/>
      <w:sz w:val="28"/>
    </w:rPr>
  </w:style>
  <w:style w:type="character" w:customStyle="1" w:styleId="111">
    <w:name w:val="font1"/>
    <w:autoRedefine/>
    <w:qFormat/>
    <w:uiPriority w:val="0"/>
    <w:rPr>
      <w:color w:val="000000"/>
      <w:sz w:val="18"/>
    </w:rPr>
  </w:style>
  <w:style w:type="character" w:customStyle="1" w:styleId="112">
    <w:name w:val="Char Char4"/>
    <w:autoRedefine/>
    <w:qFormat/>
    <w:uiPriority w:val="0"/>
    <w:rPr>
      <w:rFonts w:eastAsia="宋体"/>
      <w:b/>
      <w:kern w:val="2"/>
      <w:sz w:val="21"/>
      <w:lang w:val="en-US" w:eastAsia="zh-CN"/>
    </w:rPr>
  </w:style>
  <w:style w:type="character" w:customStyle="1" w:styleId="113">
    <w:name w:val="top-det1"/>
    <w:autoRedefine/>
    <w:qFormat/>
    <w:uiPriority w:val="0"/>
    <w:rPr>
      <w:b/>
      <w:color w:val="000000"/>
    </w:rPr>
  </w:style>
  <w:style w:type="character" w:customStyle="1" w:styleId="114">
    <w:name w:val="crowed11"/>
    <w:autoRedefine/>
    <w:qFormat/>
    <w:uiPriority w:val="0"/>
    <w:rPr>
      <w:rFonts w:hint="default"/>
      <w:sz w:val="24"/>
    </w:rPr>
  </w:style>
  <w:style w:type="character" w:customStyle="1" w:styleId="115">
    <w:name w:val="H2 Char"/>
    <w:autoRedefine/>
    <w:qFormat/>
    <w:uiPriority w:val="0"/>
    <w:rPr>
      <w:rFonts w:ascii="Arial" w:hAnsi="Arial" w:eastAsia="宋体"/>
      <w:kern w:val="2"/>
      <w:sz w:val="28"/>
      <w:lang w:val="en-US" w:eastAsia="zh-CN"/>
    </w:rPr>
  </w:style>
  <w:style w:type="character" w:customStyle="1" w:styleId="116">
    <w:name w:val="小 Char"/>
    <w:autoRedefine/>
    <w:qFormat/>
    <w:uiPriority w:val="0"/>
    <w:rPr>
      <w:rFonts w:ascii="宋体" w:hAnsi="Courier New" w:eastAsia="宋体"/>
      <w:kern w:val="2"/>
      <w:sz w:val="21"/>
      <w:lang w:val="en-US" w:eastAsia="zh-CN" w:bidi="ar-SA"/>
    </w:rPr>
  </w:style>
  <w:style w:type="character" w:customStyle="1" w:styleId="117">
    <w:name w:val="页脚 Char"/>
    <w:link w:val="37"/>
    <w:autoRedefine/>
    <w:qFormat/>
    <w:uiPriority w:val="99"/>
    <w:rPr>
      <w:kern w:val="2"/>
      <w:sz w:val="18"/>
    </w:rPr>
  </w:style>
  <w:style w:type="character" w:customStyle="1" w:styleId="118">
    <w:name w:val="font11"/>
    <w:autoRedefine/>
    <w:qFormat/>
    <w:uiPriority w:val="0"/>
    <w:rPr>
      <w:rFonts w:hint="eastAsia" w:ascii="宋体" w:hAnsi="宋体" w:eastAsia="宋体" w:cs="宋体"/>
      <w:color w:val="000000"/>
      <w:sz w:val="20"/>
      <w:szCs w:val="20"/>
      <w:u w:val="none"/>
      <w:vertAlign w:val="superscript"/>
    </w:rPr>
  </w:style>
  <w:style w:type="paragraph" w:customStyle="1" w:styleId="119">
    <w:name w:val="样式 正文缩进正文（首行缩进两字）表正文正文非缩进特点标题4段1 + 首行缩进:  2 字符"/>
    <w:basedOn w:val="16"/>
    <w:autoRedefine/>
    <w:qFormat/>
    <w:uiPriority w:val="0"/>
    <w:pPr>
      <w:ind w:firstLine="480" w:firstLineChars="200"/>
    </w:pPr>
  </w:style>
  <w:style w:type="paragraph" w:customStyle="1" w:styleId="120">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121">
    <w:name w:val="修订1"/>
    <w:autoRedefine/>
    <w:qFormat/>
    <w:uiPriority w:val="0"/>
    <w:rPr>
      <w:rFonts w:ascii="Calibri" w:hAnsi="Calibri" w:eastAsia="宋体" w:cs="Times New Roman"/>
      <w:kern w:val="2"/>
      <w:sz w:val="21"/>
      <w:lang w:val="en-US" w:eastAsia="zh-CN" w:bidi="ar-SA"/>
    </w:rPr>
  </w:style>
  <w:style w:type="paragraph" w:customStyle="1" w:styleId="122">
    <w:name w:val="正文（首行不缩进）"/>
    <w:basedOn w:val="1"/>
    <w:autoRedefine/>
    <w:qFormat/>
    <w:uiPriority w:val="0"/>
    <w:pPr>
      <w:autoSpaceDE w:val="0"/>
      <w:autoSpaceDN w:val="0"/>
      <w:adjustRightInd w:val="0"/>
      <w:spacing w:line="360" w:lineRule="auto"/>
      <w:jc w:val="left"/>
    </w:pPr>
    <w:rPr>
      <w:kern w:val="0"/>
      <w:sz w:val="21"/>
    </w:rPr>
  </w:style>
  <w:style w:type="paragraph" w:customStyle="1" w:styleId="123">
    <w:name w:val="content"/>
    <w:basedOn w:val="1"/>
    <w:autoRedefine/>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24">
    <w:name w:val="操作步骤"/>
    <w:basedOn w:val="1"/>
    <w:autoRedefine/>
    <w:qFormat/>
    <w:uiPriority w:val="0"/>
    <w:pPr>
      <w:numPr>
        <w:ilvl w:val="0"/>
        <w:numId w:val="3"/>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25">
    <w:name w:val="Table Paragraph"/>
    <w:basedOn w:val="1"/>
    <w:autoRedefine/>
    <w:qFormat/>
    <w:uiPriority w:val="1"/>
    <w:pPr>
      <w:autoSpaceDE w:val="0"/>
      <w:autoSpaceDN w:val="0"/>
      <w:adjustRightInd w:val="0"/>
    </w:pPr>
    <w:rPr>
      <w:sz w:val="24"/>
    </w:rPr>
  </w:style>
  <w:style w:type="paragraph" w:customStyle="1" w:styleId="126">
    <w:name w:val="正文格式 Char"/>
    <w:basedOn w:val="1"/>
    <w:autoRedefine/>
    <w:qFormat/>
    <w:uiPriority w:val="0"/>
    <w:pPr>
      <w:widowControl/>
      <w:adjustRightInd w:val="0"/>
      <w:spacing w:line="440" w:lineRule="atLeast"/>
      <w:ind w:firstLine="510"/>
      <w:textAlignment w:val="baseline"/>
    </w:pPr>
    <w:rPr>
      <w:kern w:val="0"/>
      <w:sz w:val="24"/>
    </w:rPr>
  </w:style>
  <w:style w:type="paragraph" w:customStyle="1" w:styleId="127">
    <w:name w:val="样式5"/>
    <w:basedOn w:val="128"/>
    <w:next w:val="1"/>
    <w:autoRedefine/>
    <w:qFormat/>
    <w:uiPriority w:val="0"/>
  </w:style>
  <w:style w:type="paragraph" w:customStyle="1" w:styleId="128">
    <w:name w:val="编号正文"/>
    <w:basedOn w:val="129"/>
    <w:autoRedefine/>
    <w:qFormat/>
    <w:uiPriority w:val="0"/>
    <w:pPr>
      <w:snapToGrid/>
      <w:spacing w:line="360" w:lineRule="auto"/>
      <w:ind w:left="1407" w:hanging="1047"/>
      <w:jc w:val="left"/>
    </w:pPr>
    <w:rPr>
      <w:rFonts w:eastAsia="仿宋_GB2312"/>
    </w:rPr>
  </w:style>
  <w:style w:type="paragraph" w:customStyle="1" w:styleId="129">
    <w:name w:val="文档正文"/>
    <w:basedOn w:val="1"/>
    <w:autoRedefine/>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30">
    <w:name w:val="样式10"/>
    <w:basedOn w:val="1"/>
    <w:next w:val="1"/>
    <w:autoRedefine/>
    <w:qFormat/>
    <w:uiPriority w:val="0"/>
    <w:rPr>
      <w:rFonts w:ascii="Times New Roman" w:hAnsi="Times New Roman" w:eastAsia="仿宋"/>
      <w:sz w:val="24"/>
    </w:rPr>
  </w:style>
  <w:style w:type="paragraph" w:customStyle="1" w:styleId="131">
    <w:name w:val="Item Step"/>
    <w:autoRedefine/>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132">
    <w:name w:val="Char Char1 Char"/>
    <w:basedOn w:val="1"/>
    <w:autoRedefine/>
    <w:qFormat/>
    <w:uiPriority w:val="0"/>
    <w:rPr>
      <w:rFonts w:ascii="Tahoma" w:hAnsi="Tahoma"/>
      <w:sz w:val="24"/>
      <w:szCs w:val="24"/>
    </w:rPr>
  </w:style>
  <w:style w:type="paragraph" w:customStyle="1" w:styleId="133">
    <w:name w:val="样式1xz"/>
    <w:basedOn w:val="1"/>
    <w:autoRedefine/>
    <w:qFormat/>
    <w:uiPriority w:val="0"/>
    <w:pPr>
      <w:tabs>
        <w:tab w:val="left" w:pos="1050"/>
        <w:tab w:val="right" w:leader="dot" w:pos="8296"/>
      </w:tabs>
    </w:pPr>
    <w:rPr>
      <w:caps/>
      <w:spacing w:val="20"/>
      <w:sz w:val="24"/>
    </w:rPr>
  </w:style>
  <w:style w:type="paragraph" w:customStyle="1" w:styleId="134">
    <w:name w:val="_Style 19"/>
    <w:basedOn w:val="1"/>
    <w:next w:val="135"/>
    <w:autoRedefine/>
    <w:qFormat/>
    <w:uiPriority w:val="0"/>
    <w:pPr>
      <w:ind w:firstLine="420" w:firstLineChars="200"/>
    </w:pPr>
    <w:rPr>
      <w:sz w:val="21"/>
      <w:szCs w:val="22"/>
    </w:rPr>
  </w:style>
  <w:style w:type="paragraph" w:customStyle="1" w:styleId="135">
    <w:name w:val="列出段落1"/>
    <w:basedOn w:val="1"/>
    <w:autoRedefine/>
    <w:qFormat/>
    <w:uiPriority w:val="0"/>
    <w:pPr>
      <w:ind w:firstLine="420" w:firstLineChars="200"/>
    </w:pPr>
  </w:style>
  <w:style w:type="paragraph" w:customStyle="1" w:styleId="136">
    <w:name w:val="段 Char"/>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37">
    <w:name w:val="样式 宋体 五号 两端对齐 行距: 单倍行距"/>
    <w:basedOn w:val="1"/>
    <w:autoRedefine/>
    <w:qFormat/>
    <w:uiPriority w:val="0"/>
    <w:pPr>
      <w:adjustRightInd w:val="0"/>
      <w:textAlignment w:val="baseline"/>
    </w:pPr>
    <w:rPr>
      <w:rFonts w:ascii="宋体" w:hAnsi="宋体"/>
      <w:kern w:val="0"/>
      <w:sz w:val="21"/>
    </w:rPr>
  </w:style>
  <w:style w:type="paragraph" w:customStyle="1" w:styleId="138">
    <w:name w:val="普通正文"/>
    <w:basedOn w:val="1"/>
    <w:autoRedefine/>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39">
    <w:name w:val="Table Text Char Char"/>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140">
    <w:name w:val="司法正文"/>
    <w:autoRedefine/>
    <w:qFormat/>
    <w:uiPriority w:val="0"/>
    <w:pPr>
      <w:widowControl w:val="0"/>
      <w:ind w:firstLine="200" w:firstLineChars="200"/>
      <w:jc w:val="both"/>
    </w:pPr>
    <w:rPr>
      <w:rFonts w:ascii="Calibri" w:hAnsi="Calibri" w:eastAsia="仿宋_GB2312" w:cs="Times New Roman"/>
      <w:sz w:val="32"/>
      <w:lang w:val="en-US" w:eastAsia="zh-CN" w:bidi="ar-SA"/>
    </w:rPr>
  </w:style>
  <w:style w:type="paragraph" w:customStyle="1" w:styleId="141">
    <w:name w:val="文档正文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142">
    <w:name w:val="正文文本 21"/>
    <w:basedOn w:val="1"/>
    <w:autoRedefine/>
    <w:qFormat/>
    <w:uiPriority w:val="0"/>
    <w:pPr>
      <w:adjustRightInd w:val="0"/>
      <w:spacing w:before="120" w:line="360" w:lineRule="auto"/>
      <w:ind w:firstLine="480"/>
      <w:textAlignment w:val="baseline"/>
    </w:pPr>
    <w:rPr>
      <w:sz w:val="24"/>
    </w:rPr>
  </w:style>
  <w:style w:type="paragraph" w:customStyle="1" w:styleId="143">
    <w:name w:val="首行缩进"/>
    <w:basedOn w:val="1"/>
    <w:autoRedefine/>
    <w:qFormat/>
    <w:uiPriority w:val="0"/>
    <w:pPr>
      <w:numPr>
        <w:ilvl w:val="0"/>
        <w:numId w:val="4"/>
      </w:numPr>
      <w:spacing w:line="360" w:lineRule="auto"/>
    </w:pPr>
    <w:rPr>
      <w:rFonts w:eastAsia="仿宋_GB2312"/>
    </w:rPr>
  </w:style>
  <w:style w:type="paragraph" w:customStyle="1" w:styleId="144">
    <w:name w:val="简单回函地址"/>
    <w:basedOn w:val="1"/>
    <w:autoRedefine/>
    <w:qFormat/>
    <w:uiPriority w:val="0"/>
    <w:pPr>
      <w:adjustRightInd w:val="0"/>
      <w:snapToGrid w:val="0"/>
      <w:spacing w:line="360" w:lineRule="auto"/>
    </w:pPr>
    <w:rPr>
      <w:sz w:val="24"/>
    </w:rPr>
  </w:style>
  <w:style w:type="paragraph" w:customStyle="1" w:styleId="145">
    <w:name w:val="二级列表"/>
    <w:basedOn w:val="146"/>
    <w:next w:val="146"/>
    <w:autoRedefine/>
    <w:qFormat/>
    <w:uiPriority w:val="0"/>
    <w:pPr>
      <w:tabs>
        <w:tab w:val="left" w:pos="2120"/>
      </w:tabs>
      <w:ind w:firstLine="0" w:firstLineChars="0"/>
    </w:pPr>
    <w:rPr>
      <w:b/>
    </w:rPr>
  </w:style>
  <w:style w:type="paragraph" w:customStyle="1" w:styleId="146">
    <w:name w:val="段落正文"/>
    <w:basedOn w:val="1"/>
    <w:autoRedefine/>
    <w:qFormat/>
    <w:uiPriority w:val="0"/>
    <w:pPr>
      <w:spacing w:beforeLines="50" w:line="360" w:lineRule="auto"/>
      <w:ind w:firstLine="200" w:firstLineChars="200"/>
    </w:pPr>
    <w:rPr>
      <w:spacing w:val="2"/>
      <w:sz w:val="24"/>
    </w:rPr>
  </w:style>
  <w:style w:type="paragraph" w:customStyle="1" w:styleId="147">
    <w:name w:val="标题无"/>
    <w:basedOn w:val="1"/>
    <w:autoRedefine/>
    <w:qFormat/>
    <w:uiPriority w:val="0"/>
    <w:pPr>
      <w:spacing w:line="360" w:lineRule="auto"/>
    </w:pPr>
    <w:rPr>
      <w:sz w:val="24"/>
    </w:rPr>
  </w:style>
  <w:style w:type="paragraph" w:customStyle="1" w:styleId="148">
    <w:name w:val="没有缩进（为图形使用）"/>
    <w:basedOn w:val="1"/>
    <w:autoRedefine/>
    <w:qFormat/>
    <w:uiPriority w:val="0"/>
    <w:pPr>
      <w:spacing w:before="120" w:after="120" w:line="360" w:lineRule="auto"/>
    </w:pPr>
    <w:rPr>
      <w:sz w:val="24"/>
    </w:rPr>
  </w:style>
  <w:style w:type="paragraph" w:customStyle="1" w:styleId="149">
    <w:name w:val="正文（绿盟科技）"/>
    <w:autoRedefine/>
    <w:qFormat/>
    <w:uiPriority w:val="0"/>
    <w:pPr>
      <w:spacing w:line="300" w:lineRule="auto"/>
    </w:pPr>
    <w:rPr>
      <w:rFonts w:ascii="Arial" w:hAnsi="Arial" w:eastAsia="宋体" w:cs="Times New Roman"/>
      <w:sz w:val="21"/>
      <w:szCs w:val="21"/>
      <w:lang w:val="en-US" w:eastAsia="zh-CN" w:bidi="ar-SA"/>
    </w:rPr>
  </w:style>
  <w:style w:type="paragraph" w:customStyle="1" w:styleId="150">
    <w:name w:val="正文表格"/>
    <w:basedOn w:val="1"/>
    <w:autoRedefine/>
    <w:qFormat/>
    <w:uiPriority w:val="0"/>
    <w:pPr>
      <w:adjustRightInd w:val="0"/>
      <w:spacing w:before="40" w:after="40"/>
    </w:pPr>
    <w:rPr>
      <w:sz w:val="24"/>
    </w:rPr>
  </w:style>
  <w:style w:type="paragraph" w:customStyle="1" w:styleId="151">
    <w:name w:val="È±Ê¡ÎÄ±¾"/>
    <w:basedOn w:val="1"/>
    <w:autoRedefine/>
    <w:qFormat/>
    <w:uiPriority w:val="0"/>
    <w:pPr>
      <w:widowControl/>
      <w:overflowPunct w:val="0"/>
      <w:autoSpaceDE w:val="0"/>
      <w:autoSpaceDN w:val="0"/>
      <w:adjustRightInd w:val="0"/>
      <w:jc w:val="left"/>
      <w:textAlignment w:val="baseline"/>
    </w:pPr>
    <w:rPr>
      <w:kern w:val="0"/>
      <w:sz w:val="24"/>
    </w:rPr>
  </w:style>
  <w:style w:type="paragraph" w:customStyle="1" w:styleId="152">
    <w:name w:val="标书正文:  0.74 厘米"/>
    <w:basedOn w:val="1"/>
    <w:autoRedefine/>
    <w:qFormat/>
    <w:uiPriority w:val="0"/>
    <w:pPr>
      <w:snapToGrid w:val="0"/>
      <w:spacing w:line="360" w:lineRule="auto"/>
      <w:ind w:firstLine="420"/>
    </w:pPr>
    <w:rPr>
      <w:sz w:val="24"/>
    </w:rPr>
  </w:style>
  <w:style w:type="paragraph" w:customStyle="1" w:styleId="153">
    <w:name w:val="Title - Date"/>
    <w:basedOn w:val="56"/>
    <w:next w:val="1"/>
    <w:autoRedefine/>
    <w:qFormat/>
    <w:uiPriority w:val="0"/>
    <w:pPr>
      <w:spacing w:before="240" w:after="720"/>
    </w:pPr>
    <w:rPr>
      <w:sz w:val="28"/>
    </w:rPr>
  </w:style>
  <w:style w:type="paragraph" w:customStyle="1" w:styleId="154">
    <w:name w:val="样式 标题 6第五层条 + 三号 段前: 0.5 行"/>
    <w:basedOn w:val="8"/>
    <w:autoRedefine/>
    <w:qFormat/>
    <w:uiPriority w:val="0"/>
    <w:pPr>
      <w:widowControl/>
      <w:adjustRightInd/>
      <w:snapToGrid/>
      <w:spacing w:beforeLines="50"/>
      <w:jc w:val="left"/>
    </w:pPr>
    <w:rPr>
      <w:snapToGrid w:val="0"/>
      <w:kern w:val="24"/>
      <w:sz w:val="28"/>
    </w:rPr>
  </w:style>
  <w:style w:type="paragraph" w:customStyle="1" w:styleId="155">
    <w:name w:val="样式11"/>
    <w:basedOn w:val="1"/>
    <w:next w:val="1"/>
    <w:autoRedefine/>
    <w:qFormat/>
    <w:uiPriority w:val="0"/>
    <w:rPr>
      <w:rFonts w:ascii="Times New Roman" w:hAnsi="Times New Roman"/>
    </w:rPr>
  </w:style>
  <w:style w:type="paragraph" w:customStyle="1" w:styleId="156">
    <w:name w:val="Char Char14 Char Char"/>
    <w:basedOn w:val="1"/>
    <w:autoRedefine/>
    <w:qFormat/>
    <w:uiPriority w:val="0"/>
    <w:rPr>
      <w:sz w:val="21"/>
      <w:szCs w:val="24"/>
    </w:rPr>
  </w:style>
  <w:style w:type="paragraph" w:customStyle="1" w:styleId="157">
    <w:name w:val="正文1"/>
    <w:basedOn w:val="1"/>
    <w:autoRedefine/>
    <w:qFormat/>
    <w:uiPriority w:val="0"/>
    <w:pPr>
      <w:spacing w:line="300" w:lineRule="auto"/>
      <w:ind w:firstLine="200" w:firstLineChars="200"/>
    </w:pPr>
    <w:rPr>
      <w:sz w:val="24"/>
    </w:rPr>
  </w:style>
  <w:style w:type="paragraph" w:customStyle="1" w:styleId="158">
    <w:name w:val="表头文本"/>
    <w:autoRedefine/>
    <w:qFormat/>
    <w:uiPriority w:val="0"/>
    <w:pPr>
      <w:jc w:val="center"/>
    </w:pPr>
    <w:rPr>
      <w:rFonts w:ascii="Arial" w:hAnsi="Arial" w:eastAsia="宋体" w:cs="Times New Roman"/>
      <w:b/>
      <w:sz w:val="21"/>
      <w:lang w:val="en-US" w:eastAsia="zh-CN" w:bidi="ar-SA"/>
    </w:rPr>
  </w:style>
  <w:style w:type="paragraph" w:customStyle="1" w:styleId="159">
    <w:name w:val="Char Char Char Char Char Char Char"/>
    <w:basedOn w:val="1"/>
    <w:autoRedefine/>
    <w:qFormat/>
    <w:uiPriority w:val="0"/>
    <w:rPr>
      <w:rFonts w:ascii="Tahoma" w:hAnsi="Tahoma"/>
      <w:sz w:val="24"/>
    </w:rPr>
  </w:style>
  <w:style w:type="paragraph" w:customStyle="1" w:styleId="160">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61">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162">
    <w:name w:val="Char Char Char1 Char Char Char Char Char Char Char Char Char Char Char Char Char"/>
    <w:basedOn w:val="1"/>
    <w:autoRedefine/>
    <w:qFormat/>
    <w:uiPriority w:val="0"/>
    <w:pPr>
      <w:widowControl/>
      <w:spacing w:after="160" w:line="240" w:lineRule="exact"/>
      <w:jc w:val="left"/>
    </w:pPr>
    <w:rPr>
      <w:rFonts w:ascii="Verdana" w:hAnsi="Verdana"/>
      <w:kern w:val="0"/>
      <w:sz w:val="18"/>
      <w:lang w:eastAsia="en-US"/>
    </w:rPr>
  </w:style>
  <w:style w:type="paragraph" w:customStyle="1" w:styleId="163">
    <w:name w:val="正文文本缩进 21"/>
    <w:basedOn w:val="1"/>
    <w:autoRedefine/>
    <w:qFormat/>
    <w:uiPriority w:val="0"/>
    <w:pPr>
      <w:adjustRightInd w:val="0"/>
      <w:spacing w:before="120"/>
      <w:ind w:firstLine="420"/>
      <w:textAlignment w:val="baseline"/>
    </w:pPr>
    <w:rPr>
      <w:sz w:val="24"/>
    </w:rPr>
  </w:style>
  <w:style w:type="paragraph" w:customStyle="1" w:styleId="164">
    <w:name w:val="tabletext"/>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65">
    <w:name w:val="Char Char Char Char Char Char Char Char Char Char Char Char Char"/>
    <w:basedOn w:val="1"/>
    <w:autoRedefine/>
    <w:qFormat/>
    <w:uiPriority w:val="0"/>
    <w:pPr>
      <w:widowControl/>
      <w:spacing w:after="160" w:line="240" w:lineRule="exact"/>
      <w:jc w:val="left"/>
    </w:pPr>
    <w:rPr>
      <w:rFonts w:ascii="Verdana" w:hAnsi="Verdana" w:eastAsia="仿宋_GB2312"/>
      <w:kern w:val="0"/>
      <w:sz w:val="24"/>
      <w:lang w:eastAsia="en-US"/>
    </w:rPr>
  </w:style>
  <w:style w:type="paragraph" w:customStyle="1" w:styleId="166">
    <w:name w:val="样式 正文首行缩进 2 + 首行缩进:  2 字符"/>
    <w:basedOn w:val="1"/>
    <w:autoRedefine/>
    <w:qFormat/>
    <w:uiPriority w:val="0"/>
    <w:pPr>
      <w:numPr>
        <w:ilvl w:val="0"/>
        <w:numId w:val="5"/>
      </w:numPr>
      <w:adjustRightInd w:val="0"/>
      <w:snapToGrid w:val="0"/>
      <w:spacing w:line="360" w:lineRule="auto"/>
    </w:pPr>
    <w:rPr>
      <w:rFonts w:ascii="Arial" w:hAnsi="Arial"/>
      <w:b/>
      <w:sz w:val="24"/>
    </w:rPr>
  </w:style>
  <w:style w:type="paragraph" w:customStyle="1" w:styleId="167">
    <w:name w:val="样式 首行缩进:  0.74 厘米"/>
    <w:basedOn w:val="1"/>
    <w:autoRedefine/>
    <w:qFormat/>
    <w:uiPriority w:val="0"/>
    <w:pPr>
      <w:spacing w:line="360" w:lineRule="auto"/>
      <w:ind w:firstLine="420"/>
    </w:pPr>
    <w:rPr>
      <w:sz w:val="24"/>
    </w:rPr>
  </w:style>
  <w:style w:type="paragraph" w:customStyle="1" w:styleId="168">
    <w:name w:val="表格文本"/>
    <w:autoRedefine/>
    <w:qFormat/>
    <w:uiPriority w:val="0"/>
    <w:pPr>
      <w:tabs>
        <w:tab w:val="decimal" w:pos="0"/>
      </w:tabs>
    </w:pPr>
    <w:rPr>
      <w:rFonts w:ascii="Arial" w:hAnsi="Arial" w:eastAsia="宋体" w:cs="Times New Roman"/>
      <w:sz w:val="21"/>
      <w:lang w:val="en-US" w:eastAsia="zh-CN" w:bidi="ar-SA"/>
    </w:rPr>
  </w:style>
  <w:style w:type="paragraph" w:customStyle="1" w:styleId="169">
    <w:name w:val="默认段落字体 Para Char Char Char Char Char Char Char"/>
    <w:basedOn w:val="1"/>
    <w:autoRedefine/>
    <w:qFormat/>
    <w:uiPriority w:val="0"/>
    <w:rPr>
      <w:rFonts w:ascii="Tahoma" w:hAnsi="Tahoma"/>
      <w:sz w:val="24"/>
    </w:rPr>
  </w:style>
  <w:style w:type="paragraph" w:customStyle="1" w:styleId="170">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71">
    <w:name w:val="Char1"/>
    <w:basedOn w:val="1"/>
    <w:autoRedefine/>
    <w:qFormat/>
    <w:uiPriority w:val="0"/>
    <w:rPr>
      <w:sz w:val="21"/>
    </w:rPr>
  </w:style>
  <w:style w:type="paragraph" w:customStyle="1" w:styleId="172">
    <w:name w:val="样式 标题 1 + 居中 段前: 6 磅 段后: 6 磅 行距: 1.5 倍行距"/>
    <w:basedOn w:val="3"/>
    <w:autoRedefine/>
    <w:qFormat/>
    <w:uiPriority w:val="0"/>
    <w:pPr>
      <w:keepLines/>
      <w:adjustRightInd w:val="0"/>
      <w:spacing w:before="120" w:after="120" w:line="360" w:lineRule="auto"/>
      <w:jc w:val="center"/>
    </w:pPr>
    <w:rPr>
      <w:rFonts w:ascii="Times New Roman"/>
      <w:b/>
      <w:kern w:val="44"/>
      <w:sz w:val="32"/>
    </w:rPr>
  </w:style>
  <w:style w:type="paragraph" w:customStyle="1" w:styleId="173">
    <w:name w:val="Char1 Char Char Char"/>
    <w:basedOn w:val="1"/>
    <w:autoRedefine/>
    <w:qFormat/>
    <w:uiPriority w:val="0"/>
    <w:rPr>
      <w:rFonts w:ascii="Tahoma" w:hAnsi="Tahoma"/>
      <w:sz w:val="30"/>
    </w:rPr>
  </w:style>
  <w:style w:type="paragraph" w:customStyle="1" w:styleId="174">
    <w:name w:val="Char Char Char Char Char"/>
    <w:basedOn w:val="1"/>
    <w:autoRedefine/>
    <w:qFormat/>
    <w:uiPriority w:val="0"/>
    <w:pPr>
      <w:numPr>
        <w:ilvl w:val="0"/>
        <w:numId w:val="6"/>
      </w:numPr>
      <w:tabs>
        <w:tab w:val="left" w:pos="425"/>
      </w:tabs>
    </w:pPr>
    <w:rPr>
      <w:rFonts w:ascii="Tahoma" w:hAnsi="Tahoma"/>
      <w:sz w:val="24"/>
    </w:rPr>
  </w:style>
  <w:style w:type="paragraph" w:customStyle="1" w:styleId="175">
    <w:name w:val="Item Step in Table"/>
    <w:autoRedefine/>
    <w:qFormat/>
    <w:uiPriority w:val="0"/>
    <w:pPr>
      <w:numPr>
        <w:ilvl w:val="0"/>
        <w:numId w:val="7"/>
      </w:numPr>
      <w:tabs>
        <w:tab w:val="left" w:pos="397"/>
      </w:tabs>
      <w:spacing w:before="40" w:after="40"/>
      <w:jc w:val="both"/>
    </w:pPr>
    <w:rPr>
      <w:rFonts w:ascii="Arial" w:hAnsi="Arial" w:eastAsia="宋体" w:cs="Times New Roman"/>
      <w:sz w:val="18"/>
      <w:lang w:val="en-US" w:eastAsia="zh-CN" w:bidi="ar-SA"/>
    </w:rPr>
  </w:style>
  <w:style w:type="paragraph" w:customStyle="1" w:styleId="176">
    <w:name w:val="Table Contents"/>
    <w:basedOn w:val="23"/>
    <w:autoRedefine/>
    <w:qFormat/>
    <w:uiPriority w:val="0"/>
    <w:pPr>
      <w:suppressAutoHyphens/>
      <w:jc w:val="left"/>
    </w:pPr>
    <w:rPr>
      <w:rFonts w:ascii="Times New Roman" w:eastAsia="Times New Roman"/>
      <w:kern w:val="0"/>
      <w:sz w:val="24"/>
    </w:rPr>
  </w:style>
  <w:style w:type="paragraph" w:customStyle="1" w:styleId="177">
    <w:name w:val="标题2"/>
    <w:basedOn w:val="4"/>
    <w:autoRedefine/>
    <w:qFormat/>
    <w:uiPriority w:val="0"/>
    <w:pPr>
      <w:keepNext w:val="0"/>
      <w:keepLines w:val="0"/>
      <w:adjustRightInd w:val="0"/>
      <w:snapToGrid w:val="0"/>
      <w:ind w:firstLine="574" w:firstLineChars="196"/>
      <w:outlineLvl w:val="9"/>
    </w:pPr>
    <w:rPr>
      <w:rFonts w:ascii="宋体" w:hAnsi="宋体" w:eastAsia="宋体"/>
      <w:spacing w:val="6"/>
      <w:sz w:val="28"/>
      <w:u w:val="single"/>
    </w:rPr>
  </w:style>
  <w:style w:type="paragraph" w:customStyle="1" w:styleId="178">
    <w:name w:val="List Paragraph11"/>
    <w:basedOn w:val="1"/>
    <w:autoRedefine/>
    <w:qFormat/>
    <w:uiPriority w:val="0"/>
    <w:pPr>
      <w:ind w:firstLine="420" w:firstLineChars="200"/>
    </w:pPr>
    <w:rPr>
      <w:rFonts w:ascii="等线" w:hAnsi="等线" w:eastAsia="等线"/>
      <w:sz w:val="21"/>
      <w:szCs w:val="22"/>
    </w:rPr>
  </w:style>
  <w:style w:type="paragraph" w:customStyle="1" w:styleId="179">
    <w:name w:val="附录3"/>
    <w:basedOn w:val="1"/>
    <w:next w:val="1"/>
    <w:autoRedefine/>
    <w:qFormat/>
    <w:uiPriority w:val="0"/>
    <w:pPr>
      <w:tabs>
        <w:tab w:val="left" w:pos="851"/>
      </w:tabs>
      <w:ind w:left="425" w:hanging="425"/>
      <w:outlineLvl w:val="2"/>
    </w:pPr>
    <w:rPr>
      <w:rFonts w:eastAsia="黑体"/>
      <w:b/>
      <w:sz w:val="32"/>
    </w:rPr>
  </w:style>
  <w:style w:type="paragraph" w:customStyle="1" w:styleId="180">
    <w:name w:val="标题3——2"/>
    <w:basedOn w:val="5"/>
    <w:next w:val="58"/>
    <w:autoRedefine/>
    <w:qFormat/>
    <w:uiPriority w:val="0"/>
    <w:pPr>
      <w:tabs>
        <w:tab w:val="left" w:pos="1280"/>
        <w:tab w:val="right" w:leader="dot" w:pos="8777"/>
      </w:tabs>
      <w:spacing w:beforeLines="100" w:line="240" w:lineRule="auto"/>
      <w:ind w:left="851" w:hanging="851"/>
      <w:outlineLvl w:val="9"/>
    </w:pPr>
    <w:rPr>
      <w:rFonts w:ascii="黑体" w:hAnsi="宋体" w:eastAsia="黑体"/>
      <w:sz w:val="30"/>
    </w:rPr>
  </w:style>
  <w:style w:type="paragraph" w:customStyle="1" w:styleId="181">
    <w:name w:val="项目"/>
    <w:basedOn w:val="1"/>
    <w:autoRedefine/>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82">
    <w:name w:val="表号"/>
    <w:basedOn w:val="1"/>
    <w:autoRedefine/>
    <w:qFormat/>
    <w:uiPriority w:val="0"/>
    <w:pPr>
      <w:numPr>
        <w:ilvl w:val="0"/>
        <w:numId w:val="8"/>
      </w:numPr>
      <w:tabs>
        <w:tab w:val="left" w:pos="648"/>
      </w:tabs>
      <w:autoSpaceDE w:val="0"/>
      <w:autoSpaceDN w:val="0"/>
      <w:adjustRightInd w:val="0"/>
      <w:spacing w:before="210" w:after="210"/>
      <w:ind w:left="425" w:hanging="137"/>
      <w:jc w:val="center"/>
    </w:pPr>
    <w:rPr>
      <w:kern w:val="0"/>
      <w:sz w:val="21"/>
      <w:lang w:eastAsia="en-US"/>
    </w:rPr>
  </w:style>
  <w:style w:type="paragraph" w:customStyle="1" w:styleId="183">
    <w:name w:val="List Paragraph1"/>
    <w:basedOn w:val="1"/>
    <w:autoRedefine/>
    <w:qFormat/>
    <w:uiPriority w:val="0"/>
    <w:pPr>
      <w:ind w:firstLine="420" w:firstLineChars="200"/>
    </w:pPr>
    <w:rPr>
      <w:sz w:val="21"/>
      <w:szCs w:val="22"/>
    </w:rPr>
  </w:style>
  <w:style w:type="paragraph" w:customStyle="1" w:styleId="184">
    <w:name w:val="af"/>
    <w:basedOn w:val="1"/>
    <w:autoRedefine/>
    <w:qFormat/>
    <w:uiPriority w:val="0"/>
    <w:pPr>
      <w:widowControl/>
      <w:spacing w:line="300" w:lineRule="atLeast"/>
      <w:jc w:val="left"/>
    </w:pPr>
    <w:rPr>
      <w:rFonts w:ascii="宋体" w:hAnsi="宋体"/>
      <w:kern w:val="0"/>
      <w:sz w:val="18"/>
    </w:rPr>
  </w:style>
  <w:style w:type="paragraph" w:customStyle="1" w:styleId="185">
    <w:name w:val="样式8"/>
    <w:basedOn w:val="1"/>
    <w:next w:val="1"/>
    <w:autoRedefine/>
    <w:qFormat/>
    <w:uiPriority w:val="0"/>
    <w:rPr>
      <w:rFonts w:ascii="Times New Roman" w:hAnsi="Times New Roman" w:eastAsia="仿宋"/>
      <w:sz w:val="24"/>
    </w:rPr>
  </w:style>
  <w:style w:type="paragraph" w:customStyle="1" w:styleId="186">
    <w:name w:val="bt"/>
    <w:basedOn w:val="1"/>
    <w:next w:val="23"/>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187">
    <w:name w:val="style1"/>
    <w:basedOn w:val="1"/>
    <w:autoRedefine/>
    <w:qFormat/>
    <w:uiPriority w:val="0"/>
    <w:pPr>
      <w:widowControl/>
      <w:spacing w:before="100" w:beforeAutospacing="1" w:after="100" w:afterAutospacing="1"/>
      <w:jc w:val="left"/>
    </w:pPr>
    <w:rPr>
      <w:rFonts w:ascii="宋体" w:hAnsi="宋体"/>
      <w:kern w:val="0"/>
      <w:sz w:val="21"/>
    </w:rPr>
  </w:style>
  <w:style w:type="paragraph" w:customStyle="1" w:styleId="188">
    <w:name w:val="样式 标题 1章标题Heading 0Section HeadPIM 1H1h11st levell11H1..."/>
    <w:basedOn w:val="3"/>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189">
    <w:name w:val="图片文字"/>
    <w:basedOn w:val="1"/>
    <w:autoRedefine/>
    <w:qFormat/>
    <w:uiPriority w:val="0"/>
    <w:pPr>
      <w:spacing w:line="240" w:lineRule="atLeast"/>
      <w:jc w:val="center"/>
    </w:pPr>
    <w:rPr>
      <w:sz w:val="21"/>
    </w:rPr>
  </w:style>
  <w:style w:type="paragraph" w:customStyle="1" w:styleId="190">
    <w:name w:val="表格内文字"/>
    <w:basedOn w:val="32"/>
    <w:autoRedefine/>
    <w:qFormat/>
    <w:uiPriority w:val="0"/>
    <w:pPr>
      <w:adjustRightInd w:val="0"/>
    </w:pPr>
    <w:rPr>
      <w:color w:val="000000"/>
      <w:lang w:val="en-GB"/>
    </w:rPr>
  </w:style>
  <w:style w:type="paragraph" w:customStyle="1" w:styleId="191">
    <w:name w:val="二级条标题"/>
    <w:basedOn w:val="192"/>
    <w:next w:val="194"/>
    <w:autoRedefine/>
    <w:qFormat/>
    <w:uiPriority w:val="0"/>
    <w:pPr>
      <w:ind w:left="840"/>
      <w:outlineLvl w:val="3"/>
    </w:pPr>
  </w:style>
  <w:style w:type="paragraph" w:customStyle="1" w:styleId="192">
    <w:name w:val="一级条标题"/>
    <w:basedOn w:val="193"/>
    <w:next w:val="194"/>
    <w:autoRedefine/>
    <w:qFormat/>
    <w:uiPriority w:val="0"/>
    <w:pPr>
      <w:numPr>
        <w:numId w:val="0"/>
      </w:numPr>
      <w:spacing w:beforeLines="0" w:afterLines="0"/>
      <w:ind w:left="525"/>
      <w:outlineLvl w:val="2"/>
    </w:pPr>
    <w:rPr>
      <w:sz w:val="21"/>
    </w:rPr>
  </w:style>
  <w:style w:type="paragraph" w:customStyle="1" w:styleId="193">
    <w:name w:val="章标题"/>
    <w:next w:val="1"/>
    <w:autoRedefine/>
    <w:qFormat/>
    <w:uiPriority w:val="0"/>
    <w:pPr>
      <w:numPr>
        <w:ilvl w:val="1"/>
        <w:numId w:val="7"/>
      </w:numPr>
      <w:spacing w:beforeLines="50" w:afterLines="50"/>
      <w:ind w:left="0"/>
      <w:jc w:val="both"/>
      <w:outlineLvl w:val="1"/>
    </w:pPr>
    <w:rPr>
      <w:rFonts w:ascii="黑体" w:hAnsi="Calibri" w:eastAsia="宋体" w:cs="Times New Roman"/>
      <w:sz w:val="24"/>
      <w:lang w:val="en-US" w:eastAsia="zh-CN" w:bidi="ar-SA"/>
    </w:rPr>
  </w:style>
  <w:style w:type="paragraph" w:customStyle="1" w:styleId="194">
    <w:name w:val="段"/>
    <w:autoRedefine/>
    <w:qFormat/>
    <w:uiPriority w:val="0"/>
    <w:pPr>
      <w:autoSpaceDE w:val="0"/>
      <w:autoSpaceDN w:val="0"/>
      <w:ind w:firstLine="200" w:firstLineChars="200"/>
      <w:jc w:val="both"/>
    </w:pPr>
    <w:rPr>
      <w:rFonts w:ascii="宋体" w:hAnsi="Calibri" w:eastAsia="宋体" w:cs="Times New Roman"/>
      <w:sz w:val="21"/>
      <w:lang w:val="en-US" w:eastAsia="zh-CN" w:bidi="ar-SA"/>
    </w:rPr>
  </w:style>
  <w:style w:type="paragraph" w:customStyle="1" w:styleId="195">
    <w:name w:val="CSS1级正文 Char"/>
    <w:basedOn w:val="23"/>
    <w:autoRedefine/>
    <w:qFormat/>
    <w:uiPriority w:val="0"/>
    <w:pPr>
      <w:adjustRightInd w:val="0"/>
      <w:snapToGrid w:val="0"/>
      <w:spacing w:line="360" w:lineRule="auto"/>
      <w:ind w:firstLine="480"/>
    </w:pPr>
    <w:rPr>
      <w:rFonts w:ascii="Times New Roman" w:eastAsia="宋体"/>
      <w:sz w:val="24"/>
    </w:rPr>
  </w:style>
  <w:style w:type="paragraph" w:customStyle="1" w:styleId="196">
    <w:name w:val="标题 5（有编号）（绿盟科技）"/>
    <w:basedOn w:val="1"/>
    <w:next w:val="149"/>
    <w:autoRedefine/>
    <w:qFormat/>
    <w:uiPriority w:val="0"/>
    <w:pPr>
      <w:keepNext/>
      <w:keepLines/>
      <w:numPr>
        <w:ilvl w:val="4"/>
        <w:numId w:val="9"/>
      </w:numPr>
      <w:spacing w:before="280" w:after="156" w:line="377" w:lineRule="auto"/>
      <w:jc w:val="left"/>
      <w:outlineLvl w:val="4"/>
    </w:pPr>
    <w:rPr>
      <w:rFonts w:ascii="Arial" w:hAnsi="Arial" w:eastAsia="黑体"/>
      <w:b/>
      <w:kern w:val="0"/>
      <w:sz w:val="24"/>
      <w:szCs w:val="28"/>
    </w:rPr>
  </w:style>
  <w:style w:type="paragraph" w:customStyle="1" w:styleId="197">
    <w:name w:val="Char2 Char Char Char Char Char Char"/>
    <w:basedOn w:val="1"/>
    <w:autoRedefine/>
    <w:qFormat/>
    <w:uiPriority w:val="0"/>
    <w:rPr>
      <w:rFonts w:ascii="仿宋_GB2312"/>
      <w:b/>
      <w:sz w:val="30"/>
    </w:rPr>
  </w:style>
  <w:style w:type="paragraph" w:customStyle="1" w:styleId="198">
    <w:name w:val="表头样式"/>
    <w:basedOn w:val="1"/>
    <w:autoRedefine/>
    <w:qFormat/>
    <w:uiPriority w:val="0"/>
    <w:pPr>
      <w:autoSpaceDE w:val="0"/>
      <w:autoSpaceDN w:val="0"/>
      <w:adjustRightInd w:val="0"/>
      <w:spacing w:line="360" w:lineRule="auto"/>
      <w:jc w:val="left"/>
    </w:pPr>
    <w:rPr>
      <w:b/>
      <w:kern w:val="0"/>
      <w:sz w:val="21"/>
    </w:rPr>
  </w:style>
  <w:style w:type="paragraph" w:customStyle="1" w:styleId="199">
    <w:name w:val="文本框样式1"/>
    <w:basedOn w:val="1"/>
    <w:autoRedefine/>
    <w:qFormat/>
    <w:uiPriority w:val="0"/>
    <w:pPr>
      <w:adjustRightInd w:val="0"/>
      <w:snapToGrid w:val="0"/>
      <w:spacing w:before="60" w:line="180" w:lineRule="exact"/>
      <w:jc w:val="center"/>
    </w:pPr>
    <w:rPr>
      <w:sz w:val="21"/>
    </w:rPr>
  </w:style>
  <w:style w:type="paragraph" w:customStyle="1" w:styleId="200">
    <w:name w:val="样式6"/>
    <w:basedOn w:val="1"/>
    <w:next w:val="1"/>
    <w:autoRedefine/>
    <w:qFormat/>
    <w:uiPriority w:val="0"/>
    <w:rPr>
      <w:rFonts w:ascii="Times New Roman" w:hAnsi="Times New Roman"/>
    </w:rPr>
  </w:style>
  <w:style w:type="paragraph" w:customStyle="1" w:styleId="201">
    <w:name w:val="_"/>
    <w:basedOn w:val="1"/>
    <w:autoRedefine/>
    <w:qFormat/>
    <w:uiPriority w:val="0"/>
    <w:pPr>
      <w:adjustRightInd w:val="0"/>
      <w:spacing w:line="360" w:lineRule="auto"/>
      <w:ind w:left="480" w:firstLine="200" w:firstLineChars="200"/>
      <w:textAlignment w:val="baseline"/>
    </w:pPr>
    <w:rPr>
      <w:kern w:val="0"/>
      <w:sz w:val="24"/>
    </w:rPr>
  </w:style>
  <w:style w:type="paragraph" w:customStyle="1" w:styleId="202">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203">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204">
    <w:name w:val="样式 样式 首行缩进:  2 字符 + 首行缩进:  2 字符"/>
    <w:basedOn w:val="1"/>
    <w:autoRedefine/>
    <w:qFormat/>
    <w:uiPriority w:val="0"/>
    <w:pPr>
      <w:numPr>
        <w:ilvl w:val="0"/>
        <w:numId w:val="10"/>
      </w:numPr>
      <w:spacing w:line="360" w:lineRule="auto"/>
      <w:ind w:firstLine="480" w:firstLineChars="200"/>
    </w:pPr>
    <w:rPr>
      <w:sz w:val="24"/>
    </w:rPr>
  </w:style>
  <w:style w:type="paragraph" w:customStyle="1" w:styleId="205">
    <w:name w:val="Table Text Char1"/>
    <w:autoRedefine/>
    <w:qFormat/>
    <w:uiPriority w:val="0"/>
    <w:pPr>
      <w:snapToGrid w:val="0"/>
      <w:spacing w:before="80" w:after="80"/>
    </w:pPr>
    <w:rPr>
      <w:rFonts w:ascii="Arial" w:hAnsi="Arial" w:eastAsia="宋体" w:cs="Times New Roman"/>
      <w:kern w:val="2"/>
      <w:sz w:val="18"/>
      <w:lang w:val="en-US" w:eastAsia="zh-CN" w:bidi="ar-SA"/>
    </w:rPr>
  </w:style>
  <w:style w:type="paragraph" w:customStyle="1" w:styleId="206">
    <w:name w:val="Table Heading"/>
    <w:autoRedefine/>
    <w:qFormat/>
    <w:uiPriority w:val="0"/>
    <w:pPr>
      <w:keepNext/>
      <w:snapToGrid w:val="0"/>
      <w:spacing w:before="80" w:after="80"/>
      <w:jc w:val="center"/>
    </w:pPr>
    <w:rPr>
      <w:rFonts w:ascii="Arial" w:hAnsi="Arial" w:eastAsia="宋体" w:cs="Times New Roman"/>
      <w:sz w:val="18"/>
      <w:lang w:val="en-US" w:eastAsia="zh-CN" w:bidi="ar-SA"/>
    </w:rPr>
  </w:style>
  <w:style w:type="paragraph" w:customStyle="1" w:styleId="207">
    <w:name w:val="文本1"/>
    <w:basedOn w:val="1"/>
    <w:autoRedefine/>
    <w:qFormat/>
    <w:uiPriority w:val="0"/>
    <w:pPr>
      <w:adjustRightInd w:val="0"/>
      <w:spacing w:line="312" w:lineRule="atLeast"/>
      <w:jc w:val="center"/>
      <w:textAlignment w:val="baseline"/>
    </w:pPr>
    <w:rPr>
      <w:kern w:val="0"/>
      <w:sz w:val="18"/>
    </w:rPr>
  </w:style>
  <w:style w:type="paragraph" w:customStyle="1" w:styleId="208">
    <w:name w:val="IN Feature"/>
    <w:next w:val="209"/>
    <w:autoRedefine/>
    <w:qFormat/>
    <w:uiPriority w:val="0"/>
    <w:pPr>
      <w:keepNext/>
      <w:keepLines/>
      <w:spacing w:before="240" w:after="240"/>
      <w:outlineLvl w:val="7"/>
    </w:pPr>
    <w:rPr>
      <w:rFonts w:ascii="Arial" w:hAnsi="Arial" w:eastAsia="宋体" w:cs="Times New Roman"/>
      <w:sz w:val="21"/>
      <w:lang w:val="en-US" w:eastAsia="zh-CN" w:bidi="ar-SA"/>
    </w:rPr>
  </w:style>
  <w:style w:type="paragraph" w:customStyle="1" w:styleId="209">
    <w:name w:val="IN Step"/>
    <w:basedOn w:val="1"/>
    <w:autoRedefine/>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210">
    <w:name w:val="小标题 1"/>
    <w:basedOn w:val="1"/>
    <w:autoRedefine/>
    <w:qFormat/>
    <w:uiPriority w:val="0"/>
    <w:pPr>
      <w:autoSpaceDE w:val="0"/>
      <w:autoSpaceDN w:val="0"/>
      <w:adjustRightInd w:val="0"/>
      <w:spacing w:line="360" w:lineRule="atLeast"/>
    </w:pPr>
    <w:rPr>
      <w:rFonts w:ascii="文鼎粗黑" w:eastAsia="文鼎粗黑"/>
      <w:kern w:val="0"/>
      <w:sz w:val="22"/>
    </w:rPr>
  </w:style>
  <w:style w:type="paragraph" w:customStyle="1" w:styleId="211">
    <w:name w:val="附录2"/>
    <w:basedOn w:val="1"/>
    <w:next w:val="1"/>
    <w:autoRedefine/>
    <w:qFormat/>
    <w:uiPriority w:val="0"/>
    <w:pPr>
      <w:tabs>
        <w:tab w:val="left" w:pos="420"/>
        <w:tab w:val="left" w:pos="624"/>
      </w:tabs>
      <w:ind w:left="420" w:hanging="420"/>
      <w:outlineLvl w:val="1"/>
    </w:pPr>
    <w:rPr>
      <w:rFonts w:ascii="黑体" w:hAnsi="黑体" w:eastAsia="黑体"/>
      <w:b/>
      <w:sz w:val="32"/>
    </w:rPr>
  </w:style>
  <w:style w:type="paragraph" w:customStyle="1" w:styleId="212">
    <w:name w:val="正文字缩2字"/>
    <w:basedOn w:val="1"/>
    <w:autoRedefine/>
    <w:qFormat/>
    <w:uiPriority w:val="0"/>
    <w:pPr>
      <w:spacing w:before="60" w:after="60" w:line="360" w:lineRule="auto"/>
      <w:ind w:left="200" w:leftChars="200" w:firstLine="200" w:firstLineChars="200"/>
    </w:pPr>
    <w:rPr>
      <w:sz w:val="24"/>
    </w:rPr>
  </w:style>
  <w:style w:type="paragraph" w:customStyle="1" w:styleId="213">
    <w:name w:val="附录1"/>
    <w:basedOn w:val="1"/>
    <w:next w:val="1"/>
    <w:autoRedefine/>
    <w:qFormat/>
    <w:uiPriority w:val="0"/>
    <w:pPr>
      <w:tabs>
        <w:tab w:val="left" w:pos="1304"/>
      </w:tabs>
      <w:ind w:left="425" w:hanging="425"/>
      <w:outlineLvl w:val="0"/>
    </w:pPr>
    <w:rPr>
      <w:rFonts w:ascii="黑体" w:hAnsi="黑体" w:eastAsia="黑体"/>
      <w:b/>
      <w:sz w:val="44"/>
    </w:rPr>
  </w:style>
  <w:style w:type="paragraph" w:customStyle="1" w:styleId="214">
    <w:name w:val="样式4"/>
    <w:basedOn w:val="6"/>
    <w:autoRedefine/>
    <w:qFormat/>
    <w:uiPriority w:val="0"/>
    <w:pPr>
      <w:adjustRightInd w:val="0"/>
      <w:snapToGrid w:val="0"/>
    </w:pPr>
  </w:style>
  <w:style w:type="paragraph" w:customStyle="1" w:styleId="215">
    <w:name w:val="样式 行距: 1.5 倍行距1"/>
    <w:basedOn w:val="1"/>
    <w:autoRedefine/>
    <w:qFormat/>
    <w:uiPriority w:val="0"/>
    <w:pPr>
      <w:snapToGrid w:val="0"/>
    </w:pPr>
    <w:rPr>
      <w:sz w:val="21"/>
    </w:rPr>
  </w:style>
  <w:style w:type="paragraph" w:customStyle="1" w:styleId="216">
    <w:name w:val="Char"/>
    <w:basedOn w:val="1"/>
    <w:autoRedefine/>
    <w:qFormat/>
    <w:uiPriority w:val="0"/>
    <w:pPr>
      <w:spacing w:line="240" w:lineRule="atLeast"/>
      <w:ind w:left="420" w:firstLine="420"/>
    </w:pPr>
    <w:rPr>
      <w:kern w:val="0"/>
      <w:sz w:val="21"/>
    </w:rPr>
  </w:style>
  <w:style w:type="paragraph" w:customStyle="1" w:styleId="217">
    <w:name w:val="样式1"/>
    <w:basedOn w:val="6"/>
    <w:autoRedefine/>
    <w:qFormat/>
    <w:uiPriority w:val="0"/>
    <w:pPr>
      <w:tabs>
        <w:tab w:val="left" w:pos="720"/>
      </w:tabs>
      <w:spacing w:before="500" w:after="260" w:line="560" w:lineRule="atLeast"/>
      <w:ind w:left="420" w:hanging="420"/>
    </w:pPr>
  </w:style>
  <w:style w:type="paragraph" w:customStyle="1" w:styleId="218">
    <w:name w:val="标准正文"/>
    <w:basedOn w:val="24"/>
    <w:autoRedefine/>
    <w:qFormat/>
    <w:uiPriority w:val="0"/>
    <w:pPr>
      <w:spacing w:before="60" w:after="60" w:line="360" w:lineRule="auto"/>
      <w:ind w:left="0" w:firstLine="482"/>
    </w:pPr>
    <w:rPr>
      <w:rFonts w:ascii="Arial" w:hAnsi="Arial"/>
      <w:sz w:val="24"/>
    </w:rPr>
  </w:style>
  <w:style w:type="paragraph" w:customStyle="1" w:styleId="219">
    <w:name w:val="Char Char Char Char"/>
    <w:basedOn w:val="1"/>
    <w:autoRedefine/>
    <w:qFormat/>
    <w:uiPriority w:val="0"/>
    <w:pPr>
      <w:pageBreakBefore/>
      <w:widowControl/>
      <w:spacing w:after="160" w:line="240" w:lineRule="exact"/>
      <w:jc w:val="left"/>
    </w:pPr>
    <w:rPr>
      <w:rFonts w:ascii="Verdana" w:hAnsi="Verdana"/>
      <w:kern w:val="0"/>
      <w:sz w:val="20"/>
      <w:lang w:eastAsia="en-US"/>
    </w:rPr>
  </w:style>
  <w:style w:type="paragraph" w:customStyle="1" w:styleId="220">
    <w:name w:val="Item List"/>
    <w:autoRedefine/>
    <w:qFormat/>
    <w:uiPriority w:val="0"/>
    <w:pPr>
      <w:numPr>
        <w:ilvl w:val="0"/>
        <w:numId w:val="11"/>
      </w:numPr>
      <w:spacing w:line="300" w:lineRule="auto"/>
      <w:jc w:val="both"/>
    </w:pPr>
    <w:rPr>
      <w:rFonts w:ascii="Arial" w:hAnsi="Arial" w:eastAsia="宋体" w:cs="Times New Roman"/>
      <w:sz w:val="21"/>
      <w:lang w:val="en-US" w:eastAsia="zh-CN" w:bidi="ar-SA"/>
    </w:rPr>
  </w:style>
  <w:style w:type="paragraph" w:customStyle="1" w:styleId="221">
    <w:name w:val="Figure Description"/>
    <w:next w:val="1"/>
    <w:autoRedefine/>
    <w:qFormat/>
    <w:uiPriority w:val="0"/>
    <w:pPr>
      <w:snapToGrid w:val="0"/>
      <w:spacing w:before="80" w:after="320"/>
      <w:ind w:left="1134"/>
      <w:jc w:val="center"/>
    </w:pPr>
    <w:rPr>
      <w:rFonts w:ascii="Arial" w:hAnsi="Arial" w:eastAsia="宋体" w:cs="Times New Roman"/>
      <w:sz w:val="18"/>
      <w:lang w:val="en-US" w:eastAsia="zh-CN" w:bidi="ar-SA"/>
    </w:rPr>
  </w:style>
  <w:style w:type="paragraph" w:customStyle="1" w:styleId="222">
    <w:name w:val="样式7"/>
    <w:basedOn w:val="1"/>
    <w:next w:val="1"/>
    <w:autoRedefine/>
    <w:qFormat/>
    <w:uiPriority w:val="0"/>
    <w:rPr>
      <w:rFonts w:ascii="Times New Roman" w:hAnsi="Times New Roman"/>
    </w:rPr>
  </w:style>
  <w:style w:type="paragraph" w:customStyle="1" w:styleId="223">
    <w:name w:val="正文 A"/>
    <w:autoRedefine/>
    <w:qFormat/>
    <w:uiPriority w:val="0"/>
    <w:pPr>
      <w:framePr w:wrap="around" w:vAnchor="margin" w:hAnchor="text" w:y="1"/>
      <w:widowControl w:val="0"/>
      <w:jc w:val="both"/>
    </w:pPr>
    <w:rPr>
      <w:rFonts w:ascii="Calibri" w:hAnsi="Calibri" w:eastAsia="Times New Roman" w:cs="Times New Roman"/>
      <w:color w:val="000000"/>
      <w:kern w:val="2"/>
      <w:sz w:val="28"/>
      <w:szCs w:val="28"/>
      <w:lang w:val="en-US" w:eastAsia="zh-CN" w:bidi="ar-SA"/>
    </w:rPr>
  </w:style>
  <w:style w:type="paragraph" w:customStyle="1" w:styleId="224">
    <w:name w:val="样式 宋体 五号 行距: 单倍行距"/>
    <w:basedOn w:val="1"/>
    <w:autoRedefine/>
    <w:qFormat/>
    <w:uiPriority w:val="0"/>
    <w:pPr>
      <w:adjustRightInd w:val="0"/>
      <w:jc w:val="left"/>
    </w:pPr>
    <w:rPr>
      <w:rFonts w:ascii="宋体" w:hAnsi="宋体"/>
      <w:kern w:val="0"/>
      <w:sz w:val="21"/>
    </w:rPr>
  </w:style>
  <w:style w:type="paragraph" w:customStyle="1" w:styleId="225">
    <w:name w:val="Table Description"/>
    <w:next w:val="1"/>
    <w:autoRedefine/>
    <w:qFormat/>
    <w:uiPriority w:val="0"/>
    <w:pPr>
      <w:keepNext/>
      <w:snapToGrid w:val="0"/>
      <w:spacing w:before="160" w:after="80"/>
      <w:ind w:left="1134"/>
      <w:jc w:val="center"/>
    </w:pPr>
    <w:rPr>
      <w:rFonts w:ascii="Arial" w:hAnsi="Arial" w:eastAsia="宋体" w:cs="Times New Roman"/>
      <w:sz w:val="18"/>
      <w:lang w:val="en-US" w:eastAsia="zh-CN" w:bidi="ar-SA"/>
    </w:rPr>
  </w:style>
  <w:style w:type="paragraph" w:customStyle="1" w:styleId="226">
    <w:name w:val="Char Char 字元 字元 字元 Char Char Char Char"/>
    <w:basedOn w:val="1"/>
    <w:autoRedefine/>
    <w:qFormat/>
    <w:uiPriority w:val="0"/>
    <w:pPr>
      <w:adjustRightInd w:val="0"/>
      <w:spacing w:line="360" w:lineRule="auto"/>
    </w:pPr>
    <w:rPr>
      <w:kern w:val="0"/>
      <w:sz w:val="24"/>
    </w:rPr>
  </w:style>
  <w:style w:type="paragraph" w:customStyle="1" w:styleId="227">
    <w:name w:val="内容标题"/>
    <w:basedOn w:val="18"/>
    <w:autoRedefine/>
    <w:qFormat/>
    <w:uiPriority w:val="0"/>
    <w:rPr>
      <w:rFonts w:ascii="Tahoma" w:hAnsi="Tahoma"/>
      <w:sz w:val="24"/>
    </w:rPr>
  </w:style>
  <w:style w:type="paragraph" w:customStyle="1" w:styleId="228">
    <w:name w:val="Char Char Char Char Char Char Char Char Char Char Char Char Char Char Char Char"/>
    <w:basedOn w:val="1"/>
    <w:autoRedefine/>
    <w:qFormat/>
    <w:uiPriority w:val="0"/>
    <w:pPr>
      <w:tabs>
        <w:tab w:val="left" w:pos="360"/>
      </w:tabs>
    </w:pPr>
    <w:rPr>
      <w:sz w:val="24"/>
    </w:rPr>
  </w:style>
  <w:style w:type="paragraph" w:customStyle="1" w:styleId="229">
    <w:name w:val="附录4"/>
    <w:basedOn w:val="1"/>
    <w:next w:val="1"/>
    <w:autoRedefine/>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230">
    <w:name w:val="AA Numbering"/>
    <w:basedOn w:val="1"/>
    <w:autoRedefine/>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31">
    <w:name w:val="图例"/>
    <w:basedOn w:val="1"/>
    <w:autoRedefine/>
    <w:qFormat/>
    <w:uiPriority w:val="0"/>
    <w:pPr>
      <w:spacing w:before="120" w:after="120" w:line="360" w:lineRule="auto"/>
      <w:jc w:val="center"/>
    </w:pPr>
    <w:rPr>
      <w:rFonts w:eastAsia="仿宋_GB2312"/>
      <w:b/>
      <w:sz w:val="24"/>
    </w:rPr>
  </w:style>
  <w:style w:type="paragraph" w:customStyle="1" w:styleId="232">
    <w:name w:val="00"/>
    <w:basedOn w:val="1"/>
    <w:autoRedefine/>
    <w:qFormat/>
    <w:uiPriority w:val="0"/>
    <w:pPr>
      <w:autoSpaceDE w:val="0"/>
      <w:autoSpaceDN w:val="0"/>
      <w:adjustRightInd w:val="0"/>
      <w:jc w:val="left"/>
    </w:pPr>
    <w:rPr>
      <w:rFonts w:ascii="黑体" w:eastAsia="黑体"/>
      <w:b/>
      <w:kern w:val="0"/>
      <w:sz w:val="20"/>
    </w:rPr>
  </w:style>
  <w:style w:type="paragraph" w:customStyle="1" w:styleId="233">
    <w:name w:val="Char1 Char Char Char1"/>
    <w:basedOn w:val="1"/>
    <w:autoRedefine/>
    <w:qFormat/>
    <w:uiPriority w:val="0"/>
    <w:rPr>
      <w:rFonts w:ascii="Tahoma" w:hAnsi="Tahoma"/>
      <w:sz w:val="24"/>
    </w:rPr>
  </w:style>
  <w:style w:type="paragraph" w:customStyle="1" w:styleId="234">
    <w:name w:val="表文字"/>
    <w:autoRedefine/>
    <w:qFormat/>
    <w:uiPriority w:val="0"/>
    <w:rPr>
      <w:rFonts w:ascii="宋体" w:hAnsi="Calibri" w:eastAsia="宋体" w:cs="Times New Roman"/>
      <w:kern w:val="2"/>
      <w:lang w:val="en-US" w:eastAsia="zh-CN" w:bidi="ar-SA"/>
    </w:rPr>
  </w:style>
  <w:style w:type="paragraph" w:customStyle="1" w:styleId="235">
    <w:name w:val="正文4"/>
    <w:basedOn w:val="1"/>
    <w:autoRedefine/>
    <w:qFormat/>
    <w:uiPriority w:val="0"/>
    <w:pPr>
      <w:tabs>
        <w:tab w:val="left" w:pos="1275"/>
      </w:tabs>
      <w:spacing w:before="60" w:after="60" w:line="360" w:lineRule="auto"/>
      <w:ind w:left="820" w:leftChars="400" w:hanging="705"/>
    </w:pPr>
    <w:rPr>
      <w:sz w:val="24"/>
    </w:rPr>
  </w:style>
  <w:style w:type="paragraph" w:customStyle="1" w:styleId="236">
    <w:name w:val="可研正文"/>
    <w:basedOn w:val="23"/>
    <w:autoRedefine/>
    <w:qFormat/>
    <w:uiPriority w:val="0"/>
    <w:pPr>
      <w:adjustRightInd w:val="0"/>
      <w:snapToGrid w:val="0"/>
      <w:spacing w:line="440" w:lineRule="exact"/>
      <w:ind w:firstLine="567"/>
    </w:pPr>
    <w:rPr>
      <w:sz w:val="28"/>
    </w:rPr>
  </w:style>
  <w:style w:type="paragraph" w:customStyle="1" w:styleId="237">
    <w:name w:val="缺省文本"/>
    <w:basedOn w:val="1"/>
    <w:autoRedefine/>
    <w:qFormat/>
    <w:uiPriority w:val="0"/>
    <w:pPr>
      <w:tabs>
        <w:tab w:val="left" w:pos="1260"/>
      </w:tabs>
      <w:autoSpaceDE w:val="0"/>
      <w:autoSpaceDN w:val="0"/>
      <w:adjustRightInd w:val="0"/>
      <w:spacing w:line="360" w:lineRule="auto"/>
      <w:jc w:val="left"/>
    </w:pPr>
    <w:rPr>
      <w:kern w:val="0"/>
      <w:sz w:val="24"/>
    </w:rPr>
  </w:style>
  <w:style w:type="paragraph" w:customStyle="1" w:styleId="238">
    <w:name w:val="正文 + 三号"/>
    <w:basedOn w:val="1"/>
    <w:autoRedefine/>
    <w:qFormat/>
    <w:uiPriority w:val="0"/>
    <w:rPr>
      <w:sz w:val="21"/>
    </w:rPr>
  </w:style>
  <w:style w:type="paragraph" w:customStyle="1" w:styleId="239">
    <w:name w:val="样式3"/>
    <w:basedOn w:val="3"/>
    <w:next w:val="3"/>
    <w:autoRedefine/>
    <w:qFormat/>
    <w:uiPriority w:val="0"/>
    <w:pPr>
      <w:keepLines/>
      <w:adjustRightInd w:val="0"/>
      <w:spacing w:before="340" w:after="330" w:line="576" w:lineRule="auto"/>
    </w:pPr>
    <w:rPr>
      <w:rFonts w:ascii="Times New Roman" w:eastAsia="黑体"/>
      <w:b/>
      <w:kern w:val="44"/>
      <w:sz w:val="44"/>
    </w:rPr>
  </w:style>
  <w:style w:type="paragraph" w:customStyle="1" w:styleId="240">
    <w:name w:val="列表项目"/>
    <w:basedOn w:val="1"/>
    <w:autoRedefine/>
    <w:qFormat/>
    <w:uiPriority w:val="0"/>
    <w:pPr>
      <w:numPr>
        <w:ilvl w:val="0"/>
        <w:numId w:val="12"/>
      </w:numPr>
      <w:tabs>
        <w:tab w:val="left" w:pos="420"/>
      </w:tabs>
      <w:spacing w:line="288" w:lineRule="auto"/>
      <w:ind w:left="840" w:leftChars="200" w:hanging="420" w:hangingChars="200"/>
    </w:pPr>
    <w:rPr>
      <w:sz w:val="21"/>
    </w:rPr>
  </w:style>
  <w:style w:type="paragraph" w:customStyle="1" w:styleId="241">
    <w:name w:val="标题1"/>
    <w:basedOn w:val="1"/>
    <w:next w:val="1"/>
    <w:autoRedefine/>
    <w:qFormat/>
    <w:uiPriority w:val="0"/>
    <w:rPr>
      <w:rFonts w:ascii="Times New Roman" w:hAnsi="Times New Roman"/>
    </w:rPr>
  </w:style>
  <w:style w:type="paragraph" w:customStyle="1" w:styleId="242">
    <w:name w:val="xl23"/>
    <w:basedOn w:val="1"/>
    <w:autoRedefine/>
    <w:qFormat/>
    <w:uiPriority w:val="0"/>
    <w:pPr>
      <w:widowControl/>
      <w:spacing w:before="100" w:beforeAutospacing="1" w:after="100" w:afterAutospacing="1" w:line="360" w:lineRule="auto"/>
      <w:textAlignment w:val="top"/>
    </w:pPr>
    <w:rPr>
      <w:kern w:val="0"/>
      <w:sz w:val="24"/>
    </w:rPr>
  </w:style>
  <w:style w:type="paragraph" w:customStyle="1" w:styleId="243">
    <w:name w:val="关键词"/>
    <w:basedOn w:val="1"/>
    <w:next w:val="1"/>
    <w:autoRedefine/>
    <w:qFormat/>
    <w:uiPriority w:val="0"/>
    <w:pPr>
      <w:spacing w:line="360" w:lineRule="auto"/>
    </w:pPr>
    <w:rPr>
      <w:rFonts w:eastAsia="黑体"/>
      <w:sz w:val="20"/>
    </w:rPr>
  </w:style>
  <w:style w:type="paragraph" w:customStyle="1" w:styleId="244">
    <w:name w:val="Char Char Char Char Char Char Char1"/>
    <w:basedOn w:val="18"/>
    <w:autoRedefine/>
    <w:qFormat/>
    <w:uiPriority w:val="0"/>
    <w:rPr>
      <w:rFonts w:ascii="宋体" w:hAnsi="Tahoma"/>
    </w:rPr>
  </w:style>
  <w:style w:type="paragraph" w:customStyle="1" w:styleId="245">
    <w:name w:val="普通(网站)1"/>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246">
    <w:name w:val="Char Char Char Char Char Char1 Char"/>
    <w:basedOn w:val="1"/>
    <w:autoRedefine/>
    <w:qFormat/>
    <w:uiPriority w:val="0"/>
    <w:pPr>
      <w:widowControl/>
      <w:spacing w:after="160" w:line="240" w:lineRule="exact"/>
      <w:jc w:val="left"/>
    </w:pPr>
    <w:rPr>
      <w:rFonts w:ascii="Verdana" w:hAnsi="Verdana"/>
      <w:kern w:val="0"/>
      <w:sz w:val="21"/>
      <w:lang w:eastAsia="en-US"/>
    </w:rPr>
  </w:style>
  <w:style w:type="paragraph" w:customStyle="1" w:styleId="247">
    <w:name w:val="Char 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248">
    <w:name w:val="Char2"/>
    <w:basedOn w:val="1"/>
    <w:autoRedefine/>
    <w:qFormat/>
    <w:uiPriority w:val="0"/>
    <w:pPr>
      <w:spacing w:line="240" w:lineRule="atLeast"/>
      <w:ind w:left="420" w:firstLine="420"/>
    </w:pPr>
    <w:rPr>
      <w:kern w:val="0"/>
      <w:sz w:val="21"/>
    </w:rPr>
  </w:style>
  <w:style w:type="paragraph" w:customStyle="1" w:styleId="249">
    <w:name w:val="样式12"/>
    <w:basedOn w:val="1"/>
    <w:next w:val="1"/>
    <w:autoRedefine/>
    <w:qFormat/>
    <w:uiPriority w:val="0"/>
    <w:rPr>
      <w:rFonts w:ascii="Times New Roman" w:hAnsi="Times New Roman" w:eastAsia="仿宋"/>
      <w:sz w:val="24"/>
    </w:rPr>
  </w:style>
  <w:style w:type="paragraph" w:customStyle="1" w:styleId="250">
    <w:name w:val="样式2"/>
    <w:basedOn w:val="6"/>
    <w:autoRedefine/>
    <w:qFormat/>
    <w:uiPriority w:val="0"/>
    <w:pPr>
      <w:numPr>
        <w:ilvl w:val="0"/>
        <w:numId w:val="13"/>
      </w:numPr>
      <w:spacing w:before="560" w:line="400" w:lineRule="exact"/>
      <w:jc w:val="center"/>
      <w:outlineLvl w:val="0"/>
    </w:pPr>
    <w:rPr>
      <w:sz w:val="44"/>
    </w:rPr>
  </w:style>
  <w:style w:type="paragraph" w:customStyle="1" w:styleId="251">
    <w:name w:val="标题5"/>
    <w:basedOn w:val="1"/>
    <w:autoRedefine/>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252">
    <w:name w:val="列出段落11"/>
    <w:autoRedefine/>
    <w:qFormat/>
    <w:uiPriority w:val="0"/>
    <w:pPr>
      <w:framePr w:wrap="around" w:vAnchor="margin" w:hAnchor="text" w:y="1"/>
      <w:widowControl w:val="0"/>
      <w:ind w:firstLine="420"/>
      <w:jc w:val="both"/>
    </w:pPr>
    <w:rPr>
      <w:rFonts w:ascii="Calibri" w:hAnsi="Calibri" w:eastAsia="Times New Roman" w:cs="Calibri"/>
      <w:color w:val="000000"/>
      <w:kern w:val="2"/>
      <w:sz w:val="21"/>
      <w:szCs w:val="21"/>
      <w:u w:color="000000"/>
      <w:lang w:val="en-US" w:eastAsia="zh-CN" w:bidi="ar-SA"/>
    </w:rPr>
  </w:style>
  <w:style w:type="paragraph" w:customStyle="1" w:styleId="253">
    <w:name w:val="文章正文"/>
    <w:basedOn w:val="1"/>
    <w:autoRedefine/>
    <w:qFormat/>
    <w:uiPriority w:val="0"/>
    <w:pPr>
      <w:ind w:firstLine="560" w:firstLineChars="200"/>
    </w:pPr>
    <w:rPr>
      <w:rFonts w:ascii="仿宋_GB2312" w:hAnsi="宋体" w:eastAsia="仿宋_GB2312"/>
      <w:color w:val="000000"/>
    </w:rPr>
  </w:style>
  <w:style w:type="paragraph" w:customStyle="1" w:styleId="254">
    <w:name w:val="默认段落字体 Para Char Char Char Char Char Char Char Char Char1 Char Char Char Char"/>
    <w:basedOn w:val="1"/>
    <w:autoRedefine/>
    <w:qFormat/>
    <w:uiPriority w:val="0"/>
    <w:rPr>
      <w:rFonts w:ascii="Tahoma" w:hAnsi="Tahoma"/>
      <w:sz w:val="24"/>
    </w:rPr>
  </w:style>
  <w:style w:type="paragraph" w:customStyle="1" w:styleId="25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56">
    <w:name w:val="Title - Revision"/>
    <w:basedOn w:val="56"/>
    <w:autoRedefine/>
    <w:qFormat/>
    <w:uiPriority w:val="0"/>
    <w:pPr>
      <w:spacing w:before="720"/>
    </w:pPr>
  </w:style>
  <w:style w:type="paragraph" w:customStyle="1" w:styleId="257">
    <w:name w:val="样式 仿宋_GB2312 首行缩进:  2 字符"/>
    <w:basedOn w:val="1"/>
    <w:autoRedefine/>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258">
    <w:name w:val="样式 样式 正文首行缩进 2 + 左  0 字符 + 首行缩进:  2.57 字符"/>
    <w:basedOn w:val="1"/>
    <w:next w:val="1"/>
    <w:autoRedefine/>
    <w:qFormat/>
    <w:uiPriority w:val="0"/>
    <w:pPr>
      <w:adjustRightInd w:val="0"/>
      <w:snapToGrid w:val="0"/>
      <w:spacing w:after="120"/>
      <w:ind w:firstLine="540" w:firstLineChars="257"/>
    </w:pPr>
    <w:rPr>
      <w:sz w:val="21"/>
    </w:rPr>
  </w:style>
  <w:style w:type="paragraph" w:customStyle="1" w:styleId="259">
    <w:name w:val="Note"/>
    <w:basedOn w:val="1"/>
    <w:autoRedefine/>
    <w:qFormat/>
    <w:uiPriority w:val="0"/>
    <w:pPr>
      <w:pBdr>
        <w:top w:val="single" w:color="auto" w:sz="12" w:space="3"/>
        <w:bottom w:val="single" w:color="auto" w:sz="12" w:space="3"/>
      </w:pBdr>
      <w:spacing w:line="360" w:lineRule="auto"/>
    </w:pPr>
    <w:rPr>
      <w:sz w:val="24"/>
    </w:rPr>
  </w:style>
  <w:style w:type="paragraph" w:customStyle="1" w:styleId="260">
    <w:name w:val="文档正文 Char Char Char Char Char"/>
    <w:basedOn w:val="1"/>
    <w:autoRedefine/>
    <w:qFormat/>
    <w:uiPriority w:val="0"/>
    <w:pPr>
      <w:adjustRightInd w:val="0"/>
      <w:spacing w:line="440" w:lineRule="exact"/>
      <w:ind w:firstLine="420"/>
      <w:textAlignment w:val="baseline"/>
    </w:pPr>
    <w:rPr>
      <w:rFonts w:ascii="Arial Narrow" w:hAnsi="Arial Narrow"/>
      <w:kern w:val="0"/>
      <w:sz w:val="24"/>
    </w:rPr>
  </w:style>
  <w:style w:type="paragraph" w:customStyle="1" w:styleId="261">
    <w:name w:val="Char Char1 Char Char Char Char Char Char Char Char Char Char Char Char 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262">
    <w:name w:val="样式9"/>
    <w:basedOn w:val="1"/>
    <w:next w:val="1"/>
    <w:autoRedefine/>
    <w:qFormat/>
    <w:uiPriority w:val="0"/>
    <w:rPr>
      <w:rFonts w:ascii="Times New Roman" w:hAnsi="Times New Roman" w:eastAsia="仿宋"/>
      <w:sz w:val="24"/>
    </w:rPr>
  </w:style>
  <w:style w:type="paragraph" w:customStyle="1" w:styleId="263">
    <w:name w:val="首行缩进 1"/>
    <w:basedOn w:val="1"/>
    <w:autoRedefine/>
    <w:qFormat/>
    <w:uiPriority w:val="0"/>
    <w:pPr>
      <w:spacing w:after="120" w:line="360" w:lineRule="auto"/>
      <w:ind w:firstLine="200" w:firstLineChars="200"/>
    </w:pPr>
    <w:rPr>
      <w:sz w:val="24"/>
    </w:rPr>
  </w:style>
  <w:style w:type="paragraph" w:customStyle="1" w:styleId="264">
    <w:name w:val="1"/>
    <w:basedOn w:val="1"/>
    <w:next w:val="32"/>
    <w:autoRedefine/>
    <w:qFormat/>
    <w:uiPriority w:val="0"/>
    <w:rPr>
      <w:rFonts w:ascii="宋体" w:hAnsi="Courier New"/>
      <w:sz w:val="21"/>
    </w:rPr>
  </w:style>
  <w:style w:type="paragraph" w:customStyle="1" w:styleId="265">
    <w:name w:val="1.正文"/>
    <w:basedOn w:val="1"/>
    <w:autoRedefine/>
    <w:qFormat/>
    <w:uiPriority w:val="0"/>
    <w:pPr>
      <w:spacing w:line="360" w:lineRule="auto"/>
      <w:ind w:left="540" w:leftChars="225" w:firstLine="540" w:firstLineChars="225"/>
    </w:pPr>
    <w:rPr>
      <w:sz w:val="24"/>
    </w:rPr>
  </w:style>
  <w:style w:type="paragraph" w:customStyle="1" w:styleId="266">
    <w:name w:val="Style Heading 3h3Heading 3 - oldLevel 3 HeadH3level_3PIM 3se..."/>
    <w:basedOn w:val="5"/>
    <w:autoRedefine/>
    <w:qFormat/>
    <w:uiPriority w:val="0"/>
    <w:pPr>
      <w:tabs>
        <w:tab w:val="left" w:pos="709"/>
        <w:tab w:val="left" w:pos="1620"/>
      </w:tabs>
      <w:ind w:left="1620" w:hanging="360"/>
    </w:pPr>
  </w:style>
  <w:style w:type="paragraph" w:customStyle="1" w:styleId="267">
    <w:name w:val="摘要"/>
    <w:basedOn w:val="1"/>
    <w:next w:val="4"/>
    <w:autoRedefine/>
    <w:qFormat/>
    <w:uiPriority w:val="0"/>
    <w:pPr>
      <w:spacing w:line="360" w:lineRule="auto"/>
    </w:pPr>
    <w:rPr>
      <w:rFonts w:eastAsia="黑体"/>
      <w:sz w:val="20"/>
    </w:rPr>
  </w:style>
  <w:style w:type="paragraph" w:customStyle="1" w:styleId="268">
    <w:name w:val="Char Char Char"/>
    <w:basedOn w:val="1"/>
    <w:autoRedefine/>
    <w:qFormat/>
    <w:uiPriority w:val="0"/>
    <w:rPr>
      <w:rFonts w:ascii="Tahoma" w:hAnsi="Tahoma"/>
      <w:sz w:val="24"/>
    </w:rPr>
  </w:style>
  <w:style w:type="paragraph" w:customStyle="1" w:styleId="269">
    <w:name w:val="引用1"/>
    <w:basedOn w:val="1"/>
    <w:next w:val="1"/>
    <w:autoRedefine/>
    <w:qFormat/>
    <w:uiPriority w:val="29"/>
    <w:rPr>
      <w:i/>
      <w:iCs/>
      <w:color w:val="000000"/>
    </w:rPr>
  </w:style>
  <w:style w:type="paragraph" w:customStyle="1" w:styleId="270">
    <w:name w:val="西研院正文"/>
    <w:basedOn w:val="1"/>
    <w:autoRedefine/>
    <w:qFormat/>
    <w:uiPriority w:val="0"/>
    <w:pPr>
      <w:spacing w:line="560" w:lineRule="exact"/>
      <w:ind w:firstLine="643" w:firstLineChars="200"/>
    </w:pPr>
    <w:rPr>
      <w:rFonts w:eastAsia="方正仿宋_GBK"/>
      <w:sz w:val="32"/>
    </w:rPr>
  </w:style>
  <w:style w:type="character" w:customStyle="1" w:styleId="271">
    <w:name w:val="NormalCharacter"/>
    <w:autoRedefine/>
    <w:qFormat/>
    <w:uiPriority w:val="0"/>
  </w:style>
  <w:style w:type="paragraph" w:styleId="272">
    <w:name w:val="List Paragraph"/>
    <w:basedOn w:val="1"/>
    <w:autoRedefine/>
    <w:unhideWhenUsed/>
    <w:qFormat/>
    <w:uiPriority w:val="99"/>
    <w:pPr>
      <w:ind w:firstLine="420" w:firstLineChars="200"/>
    </w:pPr>
  </w:style>
  <w:style w:type="paragraph" w:customStyle="1" w:styleId="273">
    <w:name w:val="pa-34"/>
    <w:basedOn w:val="1"/>
    <w:autoRedefine/>
    <w:qFormat/>
    <w:uiPriority w:val="0"/>
    <w:pPr>
      <w:widowControl/>
      <w:spacing w:line="360" w:lineRule="atLeast"/>
      <w:ind w:firstLine="420"/>
      <w:jc w:val="left"/>
    </w:pPr>
    <w:rPr>
      <w:rFonts w:ascii="宋体" w:hAnsi="宋体" w:cs="宋体"/>
      <w:kern w:val="0"/>
      <w:sz w:val="24"/>
    </w:rPr>
  </w:style>
  <w:style w:type="character" w:customStyle="1" w:styleId="274">
    <w:name w:val="正文1 Char Char"/>
    <w:qFormat/>
    <w:uiPriority w:val="0"/>
    <w:rPr>
      <w:rFonts w:ascii="宋体" w:hAnsi="宋体" w:eastAsia="宋体"/>
      <w:u w:val="singl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75</Pages>
  <Words>15848</Words>
  <Characters>16406</Characters>
  <Lines>316</Lines>
  <Paragraphs>89</Paragraphs>
  <TotalTime>66</TotalTime>
  <ScaleCrop>false</ScaleCrop>
  <LinksUpToDate>false</LinksUpToDate>
  <CharactersWithSpaces>17146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2022-06-29T04:56:00Z</dcterms:created>
  <dc:creator>Administrator</dc:creator>
  <cp:lastModifiedBy>Chris</cp:lastModifiedBy>
  <cp:lastPrinted>2024-07-13T02:23:00Z</cp:lastPrinted>
  <dcterms:modified xsi:type="dcterms:W3CDTF">2026-06-10T07:19:06Z</dcterms:modified>
  <dc:title>竞争性谈判文件</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7990579_cloud</vt:lpwstr>
  </property>
  <property fmtid="{D5CDD505-2E9C-101B-9397-08002B2CF9AE}" pid="4" name="ICV">
    <vt:lpwstr>18F8826633C24BF1B6A28BF5A3951DB2_13</vt:lpwstr>
  </property>
  <property fmtid="{D5CDD505-2E9C-101B-9397-08002B2CF9AE}" pid="5" name="commondata">
    <vt:lpwstr>eyJoZGlkIjoiZDdiYjdhYmUyNjNhZjhhZWUwNGEwN2ZhNDNlYzkxN2UifQ==</vt:lpwstr>
  </property>
  <property fmtid="{D5CDD505-2E9C-101B-9397-08002B2CF9AE}" pid="6" name="KSOTemplateDocerSaveRecord">
    <vt:lpwstr>eyJoZGlkIjoiMTVhODE0ZWM4NjkyNDM3OWRlNWU3NzY1ZjNlN2U4NzAiLCJ1c2VySWQiOiIzOTgyNjkwMDYifQ==</vt:lpwstr>
  </property>
</Properties>
</file>