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7D7B2">
      <w:pPr>
        <w:spacing w:line="360" w:lineRule="auto"/>
        <w:jc w:val="both"/>
        <w:rPr>
          <w:rFonts w:hint="eastAsia" w:ascii="宋体" w:hAnsi="宋体" w:eastAsia="宋体" w:cs="宋体"/>
          <w:color w:val="auto"/>
          <w:highlight w:val="none"/>
        </w:rPr>
      </w:pPr>
    </w:p>
    <w:p w14:paraId="0BAB30CB">
      <w:pPr>
        <w:rPr>
          <w:rFonts w:hint="eastAsia" w:ascii="宋体" w:hAnsi="宋体" w:eastAsia="宋体" w:cs="宋体"/>
          <w:color w:val="auto"/>
          <w:highlight w:val="none"/>
        </w:rPr>
      </w:pPr>
    </w:p>
    <w:p w14:paraId="77AA93AE">
      <w:pPr>
        <w:spacing w:line="360" w:lineRule="auto"/>
        <w:jc w:val="center"/>
        <w:rPr>
          <w:rFonts w:hint="eastAsia" w:ascii="宋体" w:hAnsi="宋体" w:eastAsia="宋体" w:cs="宋体"/>
          <w:b/>
          <w:bCs/>
          <w:color w:val="auto"/>
          <w:spacing w:val="80"/>
          <w:sz w:val="48"/>
          <w:szCs w:val="48"/>
          <w:highlight w:val="none"/>
        </w:rPr>
      </w:pPr>
      <w:r>
        <w:rPr>
          <w:rFonts w:hint="eastAsia" w:ascii="宋体" w:hAnsi="宋体" w:eastAsia="宋体" w:cs="宋体"/>
          <w:b/>
          <w:bCs/>
          <w:color w:val="auto"/>
          <w:spacing w:val="80"/>
          <w:sz w:val="96"/>
          <w:szCs w:val="96"/>
          <w:highlight w:val="none"/>
        </w:rPr>
        <w:t>网上竞采文件</w:t>
      </w:r>
    </w:p>
    <w:p w14:paraId="6AC46086">
      <w:pPr>
        <w:spacing w:line="360" w:lineRule="auto"/>
        <w:rPr>
          <w:rFonts w:hint="eastAsia" w:ascii="宋体" w:hAnsi="宋体" w:eastAsia="宋体" w:cs="宋体"/>
          <w:b/>
          <w:bCs/>
          <w:color w:val="auto"/>
          <w:spacing w:val="80"/>
          <w:sz w:val="44"/>
          <w:szCs w:val="44"/>
          <w:highlight w:val="none"/>
        </w:rPr>
      </w:pPr>
    </w:p>
    <w:p w14:paraId="22039A4A">
      <w:pPr>
        <w:spacing w:line="360" w:lineRule="auto"/>
        <w:ind w:firstLine="720" w:firstLineChars="200"/>
        <w:jc w:val="left"/>
        <w:rPr>
          <w:rFonts w:hint="eastAsia" w:ascii="宋体" w:hAnsi="宋体" w:eastAsia="宋体" w:cs="宋体"/>
          <w:color w:val="auto"/>
          <w:sz w:val="36"/>
          <w:szCs w:val="30"/>
          <w:highlight w:val="none"/>
        </w:rPr>
      </w:pPr>
    </w:p>
    <w:p w14:paraId="35AE2352">
      <w:pPr>
        <w:pStyle w:val="9"/>
        <w:rPr>
          <w:rFonts w:hint="eastAsia" w:ascii="宋体" w:hAnsi="宋体" w:eastAsia="宋体" w:cs="宋体"/>
          <w:color w:val="auto"/>
          <w:highlight w:val="none"/>
        </w:rPr>
      </w:pPr>
    </w:p>
    <w:p w14:paraId="27DD3180">
      <w:pPr>
        <w:pStyle w:val="9"/>
        <w:spacing w:line="360" w:lineRule="auto"/>
        <w:jc w:val="both"/>
        <w:rPr>
          <w:rFonts w:hint="eastAsia" w:ascii="宋体" w:hAnsi="宋体" w:eastAsia="宋体" w:cs="宋体"/>
          <w:b/>
          <w:bCs/>
          <w:color w:val="auto"/>
          <w:szCs w:val="28"/>
          <w:highlight w:val="none"/>
        </w:rPr>
      </w:pPr>
    </w:p>
    <w:p w14:paraId="7FA5FFC8">
      <w:pPr>
        <w:pStyle w:val="9"/>
        <w:spacing w:line="360" w:lineRule="auto"/>
        <w:ind w:firstLine="1606" w:firstLineChars="500"/>
        <w:jc w:val="both"/>
        <w:rPr>
          <w:rFonts w:hint="default" w:ascii="宋体" w:hAnsi="宋体" w:eastAsia="宋体" w:cs="宋体"/>
          <w:b/>
          <w:bCs/>
          <w:color w:val="auto"/>
          <w:szCs w:val="28"/>
          <w:highlight w:val="none"/>
          <w:lang w:val="en-US" w:eastAsia="zh-CN"/>
        </w:rPr>
      </w:pPr>
      <w:r>
        <w:rPr>
          <w:rFonts w:hint="eastAsia" w:ascii="宋体" w:hAnsi="宋体" w:eastAsia="宋体" w:cs="宋体"/>
          <w:b/>
          <w:bCs/>
          <w:color w:val="auto"/>
          <w:szCs w:val="28"/>
          <w:highlight w:val="none"/>
        </w:rPr>
        <w:t>项目编</w:t>
      </w:r>
      <w:r>
        <w:rPr>
          <w:rFonts w:hint="eastAsia" w:ascii="宋体" w:hAnsi="宋体" w:eastAsia="宋体" w:cs="宋体"/>
          <w:b/>
          <w:bCs/>
          <w:color w:val="auto"/>
          <w:szCs w:val="28"/>
          <w:highlight w:val="none"/>
          <w:lang w:eastAsia="zh-CN"/>
        </w:rPr>
        <w:t>号：</w:t>
      </w:r>
      <w:bookmarkStart w:id="0" w:name="_Hlk111636989"/>
      <w:r>
        <w:rPr>
          <w:rFonts w:hint="eastAsia" w:ascii="宋体" w:hAnsi="宋体" w:eastAsia="宋体" w:cs="宋体"/>
          <w:b/>
          <w:bCs/>
          <w:color w:val="auto"/>
          <w:szCs w:val="28"/>
          <w:highlight w:val="none"/>
          <w:lang w:eastAsia="zh-CN"/>
        </w:rPr>
        <w:t>TZC-（招）-咨字-202</w:t>
      </w:r>
      <w:r>
        <w:rPr>
          <w:rFonts w:hint="eastAsia" w:ascii="宋体" w:hAnsi="宋体" w:eastAsia="宋体" w:cs="宋体"/>
          <w:b/>
          <w:bCs/>
          <w:color w:val="auto"/>
          <w:szCs w:val="28"/>
          <w:highlight w:val="none"/>
          <w:lang w:val="en-US" w:eastAsia="zh-CN"/>
        </w:rPr>
        <w:t>6</w:t>
      </w:r>
      <w:r>
        <w:rPr>
          <w:rFonts w:hint="eastAsia" w:ascii="宋体" w:hAnsi="宋体" w:eastAsia="宋体" w:cs="宋体"/>
          <w:b/>
          <w:bCs/>
          <w:color w:val="auto"/>
          <w:szCs w:val="28"/>
          <w:highlight w:val="none"/>
          <w:lang w:eastAsia="zh-CN"/>
        </w:rPr>
        <w:t>-A0</w:t>
      </w:r>
      <w:r>
        <w:rPr>
          <w:rFonts w:hint="eastAsia" w:ascii="宋体" w:hAnsi="宋体" w:eastAsia="宋体" w:cs="宋体"/>
          <w:b/>
          <w:bCs/>
          <w:color w:val="auto"/>
          <w:szCs w:val="28"/>
          <w:highlight w:val="none"/>
          <w:lang w:val="en-US" w:eastAsia="zh-CN"/>
        </w:rPr>
        <w:t>69</w:t>
      </w:r>
    </w:p>
    <w:p w14:paraId="022CA229">
      <w:pPr>
        <w:pStyle w:val="9"/>
        <w:spacing w:line="360" w:lineRule="auto"/>
        <w:ind w:firstLine="1606" w:firstLineChars="500"/>
        <w:jc w:val="both"/>
        <w:rPr>
          <w:rFonts w:hint="default" w:ascii="宋体" w:hAnsi="宋体" w:eastAsia="宋体" w:cs="宋体"/>
          <w:b/>
          <w:bCs/>
          <w:color w:val="auto"/>
          <w:szCs w:val="28"/>
          <w:highlight w:val="none"/>
          <w:lang w:val="en-US" w:eastAsia="zh-CN"/>
        </w:rPr>
      </w:pPr>
      <w:r>
        <w:rPr>
          <w:rFonts w:hint="eastAsia" w:ascii="宋体" w:hAnsi="宋体" w:eastAsia="宋体" w:cs="宋体"/>
          <w:b/>
          <w:bCs/>
          <w:color w:val="auto"/>
          <w:szCs w:val="28"/>
          <w:highlight w:val="none"/>
          <w:lang w:eastAsia="zh-CN"/>
        </w:rPr>
        <w:t>项目名称：</w:t>
      </w:r>
      <w:r>
        <w:rPr>
          <w:rFonts w:hint="eastAsia" w:ascii="宋体" w:hAnsi="宋体" w:eastAsia="宋体" w:cs="宋体"/>
          <w:b/>
          <w:bCs/>
          <w:color w:val="auto"/>
          <w:szCs w:val="28"/>
          <w:highlight w:val="none"/>
          <w:lang w:val="en-US" w:eastAsia="zh-CN"/>
        </w:rPr>
        <w:t>重庆中医药学院公共科研平台项目可行性研究报告编制</w:t>
      </w:r>
    </w:p>
    <w:bookmarkEnd w:id="0"/>
    <w:p w14:paraId="120F6B5E">
      <w:pPr>
        <w:rPr>
          <w:rFonts w:hint="eastAsia" w:ascii="宋体" w:hAnsi="宋体" w:eastAsia="宋体" w:cs="宋体"/>
          <w:color w:val="auto"/>
          <w:highlight w:val="none"/>
        </w:rPr>
      </w:pPr>
    </w:p>
    <w:p w14:paraId="77186761">
      <w:pPr>
        <w:rPr>
          <w:rFonts w:hint="eastAsia" w:ascii="宋体" w:hAnsi="宋体" w:eastAsia="宋体" w:cs="宋体"/>
          <w:color w:val="auto"/>
          <w:highlight w:val="none"/>
        </w:rPr>
      </w:pPr>
    </w:p>
    <w:p w14:paraId="421D42F6">
      <w:pPr>
        <w:pStyle w:val="30"/>
        <w:rPr>
          <w:rFonts w:hint="eastAsia" w:ascii="宋体" w:hAnsi="宋体" w:eastAsia="宋体" w:cs="宋体"/>
          <w:color w:val="auto"/>
          <w:highlight w:val="none"/>
        </w:rPr>
      </w:pPr>
    </w:p>
    <w:p w14:paraId="2A9D06B6">
      <w:pPr>
        <w:pStyle w:val="30"/>
        <w:rPr>
          <w:rFonts w:hint="eastAsia" w:ascii="宋体" w:hAnsi="宋体" w:eastAsia="宋体" w:cs="宋体"/>
          <w:color w:val="auto"/>
          <w:highlight w:val="none"/>
        </w:rPr>
      </w:pPr>
    </w:p>
    <w:p w14:paraId="11CEB467">
      <w:pPr>
        <w:rPr>
          <w:rFonts w:hint="eastAsia" w:ascii="宋体" w:hAnsi="宋体" w:eastAsia="宋体" w:cs="宋体"/>
          <w:color w:val="auto"/>
          <w:highlight w:val="none"/>
        </w:rPr>
      </w:pPr>
    </w:p>
    <w:p w14:paraId="3197DDE0">
      <w:pPr>
        <w:pStyle w:val="30"/>
        <w:rPr>
          <w:rFonts w:hint="eastAsia" w:ascii="宋体" w:hAnsi="宋体" w:eastAsia="宋体" w:cs="宋体"/>
          <w:color w:val="auto"/>
          <w:highlight w:val="none"/>
        </w:rPr>
      </w:pPr>
    </w:p>
    <w:p w14:paraId="4EA14A0C">
      <w:pPr>
        <w:pStyle w:val="9"/>
        <w:spacing w:line="360" w:lineRule="auto"/>
        <w:jc w:val="cente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采购人：重庆中医药学院</w:t>
      </w:r>
    </w:p>
    <w:p w14:paraId="54779B77">
      <w:pPr>
        <w:pStyle w:val="9"/>
        <w:spacing w:line="360" w:lineRule="auto"/>
        <w:jc w:val="center"/>
        <w:rPr>
          <w:rFonts w:hint="eastAsia" w:ascii="宋体" w:hAnsi="宋体" w:eastAsia="宋体" w:cs="宋体"/>
          <w:b/>
          <w:bCs/>
          <w:color w:val="auto"/>
          <w:szCs w:val="28"/>
          <w:highlight w:val="none"/>
          <w:lang w:eastAsia="zh-CN"/>
        </w:rPr>
      </w:pPr>
      <w:r>
        <w:rPr>
          <w:rFonts w:hint="eastAsia" w:ascii="宋体" w:hAnsi="宋体" w:eastAsia="宋体" w:cs="宋体"/>
          <w:b/>
          <w:bCs/>
          <w:color w:val="auto"/>
          <w:szCs w:val="28"/>
          <w:highlight w:val="none"/>
        </w:rPr>
        <w:t>采购代理机构：</w:t>
      </w:r>
      <w:r>
        <w:rPr>
          <w:rFonts w:hint="eastAsia" w:ascii="宋体" w:hAnsi="宋体" w:eastAsia="宋体" w:cs="宋体"/>
          <w:b/>
          <w:bCs/>
          <w:color w:val="auto"/>
          <w:szCs w:val="28"/>
          <w:highlight w:val="none"/>
          <w:lang w:eastAsia="zh-CN"/>
        </w:rPr>
        <w:t>同致诚工程咨询有限公司</w:t>
      </w:r>
    </w:p>
    <w:p w14:paraId="05E3E14C">
      <w:pPr>
        <w:spacing w:line="360" w:lineRule="auto"/>
        <w:jc w:val="center"/>
        <w:rPr>
          <w:rFonts w:hint="eastAsia" w:ascii="宋体" w:hAnsi="宋体" w:eastAsia="宋体" w:cs="宋体"/>
          <w:b/>
          <w:bCs/>
          <w:color w:val="auto"/>
          <w:sz w:val="32"/>
          <w:szCs w:val="28"/>
          <w:highlight w:val="none"/>
        </w:rPr>
      </w:pPr>
    </w:p>
    <w:p w14:paraId="783420ED">
      <w:pPr>
        <w:pStyle w:val="9"/>
        <w:spacing w:line="360" w:lineRule="auto"/>
        <w:jc w:val="center"/>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zCs w:val="28"/>
          <w:highlight w:val="none"/>
        </w:rPr>
        <w:t>二〇二</w:t>
      </w:r>
      <w:r>
        <w:rPr>
          <w:rFonts w:hint="eastAsia" w:ascii="宋体" w:hAnsi="宋体" w:eastAsia="宋体" w:cs="宋体"/>
          <w:b/>
          <w:bCs/>
          <w:color w:val="auto"/>
          <w:szCs w:val="28"/>
          <w:highlight w:val="none"/>
          <w:lang w:val="en-US" w:eastAsia="zh-CN"/>
        </w:rPr>
        <w:t>六</w:t>
      </w:r>
      <w:r>
        <w:rPr>
          <w:rFonts w:hint="eastAsia" w:ascii="宋体" w:hAnsi="宋体" w:eastAsia="宋体" w:cs="宋体"/>
          <w:b/>
          <w:bCs/>
          <w:color w:val="auto"/>
          <w:szCs w:val="28"/>
          <w:highlight w:val="none"/>
        </w:rPr>
        <w:t>年</w:t>
      </w:r>
      <w:r>
        <w:rPr>
          <w:rFonts w:hint="eastAsia" w:ascii="宋体" w:hAnsi="宋体" w:eastAsia="宋体" w:cs="宋体"/>
          <w:b/>
          <w:bCs/>
          <w:color w:val="auto"/>
          <w:szCs w:val="28"/>
          <w:highlight w:val="none"/>
          <w:lang w:val="en-US" w:eastAsia="zh-CN"/>
        </w:rPr>
        <w:t>五</w:t>
      </w:r>
      <w:r>
        <w:rPr>
          <w:rFonts w:hint="eastAsia" w:ascii="宋体" w:hAnsi="宋体" w:eastAsia="宋体" w:cs="宋体"/>
          <w:b/>
          <w:bCs/>
          <w:color w:val="auto"/>
          <w:szCs w:val="28"/>
          <w:highlight w:val="none"/>
        </w:rPr>
        <w:t>月</w:t>
      </w:r>
      <w:r>
        <w:rPr>
          <w:rFonts w:hint="eastAsia" w:ascii="宋体" w:hAnsi="宋体" w:eastAsia="宋体" w:cs="宋体"/>
          <w:color w:val="auto"/>
          <w:sz w:val="44"/>
          <w:szCs w:val="28"/>
          <w:highlight w:val="none"/>
        </w:rPr>
        <w:br w:type="page"/>
      </w:r>
    </w:p>
    <w:p w14:paraId="3CEBCDCA">
      <w:pPr>
        <w:spacing w:line="600" w:lineRule="auto"/>
        <w:jc w:val="center"/>
        <w:rPr>
          <w:rFonts w:hint="eastAsia" w:ascii="宋体" w:hAnsi="宋体" w:eastAsia="宋体" w:cs="宋体"/>
          <w:color w:val="auto"/>
          <w:sz w:val="30"/>
          <w:szCs w:val="30"/>
          <w:highlight w:val="none"/>
        </w:rPr>
      </w:pPr>
      <w:bookmarkStart w:id="1" w:name="_Toc106030870"/>
      <w:bookmarkStart w:id="2" w:name="_Toc76462316"/>
      <w:bookmarkStart w:id="3" w:name="_Toc11641050"/>
      <w:bookmarkStart w:id="4" w:name="_Toc12789052"/>
      <w:r>
        <w:rPr>
          <w:rFonts w:hint="eastAsia" w:ascii="宋体" w:hAnsi="宋体" w:eastAsia="宋体" w:cs="宋体"/>
          <w:color w:val="auto"/>
          <w:sz w:val="30"/>
          <w:szCs w:val="30"/>
          <w:highlight w:val="none"/>
        </w:rPr>
        <w:t>目录</w:t>
      </w:r>
    </w:p>
    <w:p w14:paraId="3A63EE93">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_Toc8626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0"/>
          <w:highlight w:val="none"/>
        </w:rPr>
        <w:t>第一篇  竞采邀请书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DB7BF6A">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_Toc8490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 xml:space="preserve">第二篇  </w:t>
      </w:r>
      <w:r>
        <w:rPr>
          <w:rFonts w:hint="eastAsia" w:ascii="宋体" w:hAnsi="宋体" w:eastAsia="宋体" w:cs="宋体"/>
          <w:bCs/>
          <w:color w:val="auto"/>
          <w:szCs w:val="36"/>
          <w:highlight w:val="none"/>
          <w:lang w:eastAsia="zh-CN"/>
        </w:rPr>
        <w:t>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_Toc8490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8651D58">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_Toc6345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第三篇 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3773225">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_Toc31245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第四篇  竞采程序、评标办法、无效响应及采购终止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0374F3F">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_Toc16203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第五篇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03B50B4">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_Toc12321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6"/>
          <w:highlight w:val="none"/>
        </w:rPr>
        <w:t>第六篇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7AB120">
      <w:pPr>
        <w:pStyle w:val="18"/>
        <w:tabs>
          <w:tab w:val="right" w:leader="dot" w:pos="9014"/>
        </w:tabs>
        <w:spacing w:line="600" w:lineRule="auto"/>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_Toc26851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30"/>
          <w:highlight w:val="none"/>
        </w:rPr>
        <w:t>第七篇  响应文件编制要求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85900D7">
      <w:pPr>
        <w:pStyle w:val="18"/>
        <w:tabs>
          <w:tab w:val="right" w:leader="dot" w:pos="9014"/>
        </w:tabs>
        <w:spacing w:line="600" w:lineRule="auto"/>
        <w:rPr>
          <w:rFonts w:hint="eastAsia" w:ascii="宋体" w:hAnsi="宋体" w:eastAsia="宋体" w:cs="宋体"/>
          <w:color w:val="auto"/>
          <w:highlight w:val="none"/>
        </w:rPr>
      </w:pPr>
    </w:p>
    <w:p w14:paraId="4A2C298A">
      <w:pPr>
        <w:spacing w:line="600" w:lineRule="auto"/>
        <w:rPr>
          <w:rFonts w:hint="eastAsia" w:ascii="宋体" w:hAnsi="宋体" w:eastAsia="宋体" w:cs="宋体"/>
          <w:color w:val="auto"/>
          <w:sz w:val="21"/>
          <w:szCs w:val="21"/>
          <w:highlight w:val="none"/>
        </w:rPr>
      </w:pPr>
      <w:r>
        <w:rPr>
          <w:rFonts w:hint="eastAsia" w:ascii="宋体" w:hAnsi="宋体" w:eastAsia="宋体" w:cs="宋体"/>
          <w:color w:val="auto"/>
          <w:szCs w:val="30"/>
          <w:highlight w:val="none"/>
        </w:rPr>
        <w:fldChar w:fldCharType="end"/>
      </w:r>
    </w:p>
    <w:p w14:paraId="499DC29F">
      <w:pPr>
        <w:snapToGrid w:val="0"/>
        <w:spacing w:line="360" w:lineRule="auto"/>
        <w:jc w:val="center"/>
        <w:outlineLvl w:val="0"/>
        <w:rPr>
          <w:rFonts w:hint="eastAsia" w:ascii="宋体" w:hAnsi="宋体" w:eastAsia="宋体" w:cs="宋体"/>
          <w:b/>
          <w:bCs/>
          <w:color w:val="auto"/>
          <w:sz w:val="36"/>
          <w:szCs w:val="30"/>
          <w:highlight w:val="none"/>
        </w:rPr>
        <w:sectPr>
          <w:footerReference r:id="rId3" w:type="default"/>
          <w:pgSz w:w="11906" w:h="16838"/>
          <w:pgMar w:top="1984" w:right="1446" w:bottom="1644" w:left="1446" w:header="851" w:footer="1304" w:gutter="0"/>
          <w:pgNumType w:start="0"/>
          <w:cols w:space="0" w:num="1"/>
          <w:titlePg/>
          <w:docGrid w:type="lines" w:linePitch="312" w:charSpace="0"/>
        </w:sectPr>
      </w:pPr>
    </w:p>
    <w:p w14:paraId="35971525">
      <w:pPr>
        <w:snapToGrid w:val="0"/>
        <w:spacing w:line="360" w:lineRule="auto"/>
        <w:jc w:val="center"/>
        <w:outlineLvl w:val="0"/>
        <w:rPr>
          <w:rFonts w:hint="eastAsia" w:ascii="宋体" w:hAnsi="宋体" w:eastAsia="宋体" w:cs="宋体"/>
          <w:b/>
          <w:bCs/>
          <w:color w:val="auto"/>
          <w:sz w:val="24"/>
          <w:szCs w:val="24"/>
          <w:highlight w:val="none"/>
        </w:rPr>
      </w:pPr>
      <w:bookmarkStart w:id="5" w:name="_Toc8626"/>
      <w:r>
        <w:rPr>
          <w:rFonts w:hint="eastAsia" w:ascii="宋体" w:hAnsi="宋体" w:eastAsia="宋体" w:cs="宋体"/>
          <w:b/>
          <w:bCs/>
          <w:color w:val="auto"/>
          <w:sz w:val="36"/>
          <w:szCs w:val="30"/>
          <w:highlight w:val="none"/>
        </w:rPr>
        <w:t>第一篇  竞采邀请书</w:t>
      </w:r>
      <w:bookmarkEnd w:id="1"/>
      <w:bookmarkEnd w:id="2"/>
      <w:bookmarkEnd w:id="3"/>
      <w:bookmarkEnd w:id="4"/>
      <w:bookmarkEnd w:id="5"/>
    </w:p>
    <w:p w14:paraId="24AC8F42">
      <w:pPr>
        <w:snapToGrid w:val="0"/>
        <w:spacing w:line="360" w:lineRule="auto"/>
        <w:ind w:firstLine="480" w:firstLineChars="200"/>
        <w:rPr>
          <w:rFonts w:hint="eastAsia" w:ascii="宋体" w:hAnsi="宋体" w:eastAsia="宋体" w:cs="宋体"/>
          <w:color w:val="auto"/>
          <w:sz w:val="24"/>
          <w:szCs w:val="24"/>
          <w:highlight w:val="none"/>
          <w:u w:val="single"/>
        </w:rPr>
      </w:pPr>
    </w:p>
    <w:p w14:paraId="0DDB41F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同致诚工程咨询有限公司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rPr>
        <w:t>重庆中医药学院</w:t>
      </w:r>
      <w:r>
        <w:rPr>
          <w:rFonts w:hint="eastAsia" w:ascii="宋体" w:hAnsi="宋体" w:eastAsia="宋体" w:cs="宋体"/>
          <w:color w:val="auto"/>
          <w:sz w:val="24"/>
          <w:szCs w:val="24"/>
          <w:highlight w:val="none"/>
        </w:rPr>
        <w:t>（以下简称：采购人）的委托，对</w:t>
      </w:r>
      <w:r>
        <w:rPr>
          <w:rFonts w:hint="eastAsia" w:ascii="宋体" w:hAnsi="宋体" w:cs="宋体"/>
          <w:iCs/>
          <w:color w:val="auto"/>
          <w:sz w:val="24"/>
          <w:szCs w:val="24"/>
          <w:highlight w:val="none"/>
          <w:u w:val="single"/>
          <w:lang w:eastAsia="zh-CN"/>
        </w:rPr>
        <w:t>重庆中医药学院公共科研平台项目可行性研究报告编制</w:t>
      </w:r>
      <w:r>
        <w:rPr>
          <w:rFonts w:hint="eastAsia" w:ascii="宋体" w:hAnsi="宋体" w:eastAsia="宋体" w:cs="宋体"/>
          <w:color w:val="auto"/>
          <w:sz w:val="24"/>
          <w:szCs w:val="24"/>
          <w:highlight w:val="none"/>
          <w:u w:val="none"/>
          <w:lang w:eastAsia="zh-CN"/>
        </w:rPr>
        <w:t>进行</w:t>
      </w:r>
      <w:r>
        <w:rPr>
          <w:rFonts w:hint="eastAsia" w:ascii="宋体" w:hAnsi="宋体" w:eastAsia="宋体" w:cs="宋体"/>
          <w:color w:val="auto"/>
          <w:sz w:val="24"/>
          <w:szCs w:val="24"/>
          <w:highlight w:val="none"/>
        </w:rPr>
        <w:t>网上竞采采购。欢迎有资格的供应商前来参与网上竞采。</w:t>
      </w:r>
    </w:p>
    <w:p w14:paraId="1C7E94E0">
      <w:pPr>
        <w:snapToGrid w:val="0"/>
        <w:spacing w:line="360" w:lineRule="auto"/>
        <w:ind w:firstLine="802" w:firstLineChars="200"/>
        <w:jc w:val="center"/>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pacing w:val="80"/>
          <w:sz w:val="24"/>
          <w:szCs w:val="24"/>
          <w:highlight w:val="none"/>
        </w:rPr>
        <w:t>（</w:t>
      </w:r>
      <w:r>
        <w:rPr>
          <w:rFonts w:hint="eastAsia" w:ascii="宋体" w:hAnsi="宋体" w:cs="宋体"/>
          <w:b/>
          <w:bCs/>
          <w:color w:val="auto"/>
          <w:spacing w:val="80"/>
          <w:sz w:val="24"/>
          <w:szCs w:val="24"/>
          <w:highlight w:val="none"/>
          <w:lang w:eastAsia="zh-CN"/>
        </w:rPr>
        <w:t>最低价</w:t>
      </w:r>
      <w:r>
        <w:rPr>
          <w:rFonts w:hint="eastAsia" w:ascii="宋体" w:hAnsi="宋体" w:eastAsia="宋体" w:cs="宋体"/>
          <w:b/>
          <w:bCs/>
          <w:color w:val="auto"/>
          <w:spacing w:val="80"/>
          <w:sz w:val="24"/>
          <w:szCs w:val="24"/>
          <w:highlight w:val="none"/>
        </w:rPr>
        <w:t>法）</w:t>
      </w:r>
    </w:p>
    <w:p w14:paraId="50D490DB">
      <w:pPr>
        <w:spacing w:line="360" w:lineRule="auto"/>
        <w:rPr>
          <w:rFonts w:hint="eastAsia" w:ascii="宋体" w:hAnsi="宋体" w:eastAsia="宋体" w:cs="宋体"/>
          <w:b/>
          <w:bCs/>
          <w:color w:val="auto"/>
          <w:sz w:val="24"/>
          <w:szCs w:val="24"/>
          <w:highlight w:val="none"/>
        </w:rPr>
      </w:pPr>
      <w:bookmarkStart w:id="6" w:name="_Toc7625"/>
      <w:bookmarkStart w:id="7" w:name="_Toc18159"/>
      <w:bookmarkStart w:id="8" w:name="_Toc18881"/>
      <w:bookmarkStart w:id="9" w:name="_Toc25458"/>
      <w:bookmarkStart w:id="10" w:name="_Toc3463"/>
      <w:bookmarkStart w:id="11" w:name="_Toc26820"/>
      <w:bookmarkStart w:id="12" w:name="_Toc313893526"/>
      <w:bookmarkStart w:id="13" w:name="_Toc12808"/>
      <w:bookmarkStart w:id="14" w:name="_Toc317775175"/>
      <w:r>
        <w:rPr>
          <w:rFonts w:hint="eastAsia" w:ascii="宋体" w:hAnsi="宋体" w:eastAsia="宋体" w:cs="宋体"/>
          <w:b/>
          <w:bCs/>
          <w:color w:val="auto"/>
          <w:sz w:val="24"/>
          <w:szCs w:val="24"/>
          <w:highlight w:val="none"/>
        </w:rPr>
        <w:t>一、竞采项目内容</w:t>
      </w:r>
      <w:bookmarkEnd w:id="6"/>
      <w:bookmarkEnd w:id="7"/>
      <w:bookmarkEnd w:id="8"/>
      <w:bookmarkEnd w:id="9"/>
      <w:bookmarkEnd w:id="10"/>
      <w:bookmarkEnd w:id="11"/>
      <w:bookmarkEnd w:id="12"/>
      <w:bookmarkEnd w:id="13"/>
      <w:bookmarkEnd w:id="14"/>
    </w:p>
    <w:tbl>
      <w:tblPr>
        <w:tblStyle w:val="2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3"/>
        <w:gridCol w:w="1584"/>
        <w:gridCol w:w="2062"/>
      </w:tblGrid>
      <w:tr w14:paraId="08F0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3" w:type="dxa"/>
            <w:tcBorders>
              <w:top w:val="single" w:color="auto" w:sz="4" w:space="0"/>
              <w:left w:val="single" w:color="auto" w:sz="4" w:space="0"/>
              <w:right w:val="single" w:color="auto" w:sz="4" w:space="0"/>
            </w:tcBorders>
            <w:vAlign w:val="center"/>
          </w:tcPr>
          <w:p w14:paraId="6DEB7244">
            <w:pPr>
              <w:widowControl/>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84" w:type="dxa"/>
            <w:tcBorders>
              <w:top w:val="single" w:color="auto" w:sz="4" w:space="0"/>
              <w:left w:val="single" w:color="auto" w:sz="4" w:space="0"/>
              <w:right w:val="single" w:color="auto" w:sz="4" w:space="0"/>
            </w:tcBorders>
            <w:vAlign w:val="center"/>
          </w:tcPr>
          <w:p w14:paraId="22B3381D">
            <w:pPr>
              <w:widowControl/>
              <w:spacing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最高限价</w:t>
            </w:r>
          </w:p>
          <w:p w14:paraId="248F9911">
            <w:pPr>
              <w:widowControl/>
              <w:spacing w:line="24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（元）</w:t>
            </w:r>
          </w:p>
        </w:tc>
        <w:tc>
          <w:tcPr>
            <w:tcW w:w="2062" w:type="dxa"/>
            <w:tcBorders>
              <w:top w:val="single" w:color="auto" w:sz="4" w:space="0"/>
              <w:left w:val="single" w:color="auto" w:sz="4" w:space="0"/>
              <w:right w:val="single" w:color="auto" w:sz="4" w:space="0"/>
            </w:tcBorders>
            <w:vAlign w:val="center"/>
          </w:tcPr>
          <w:p w14:paraId="740BEF9E">
            <w:pPr>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r>
      <w:tr w14:paraId="06B8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313" w:type="dxa"/>
            <w:tcBorders>
              <w:top w:val="single" w:color="auto" w:sz="4" w:space="0"/>
              <w:left w:val="single" w:color="auto" w:sz="4" w:space="0"/>
              <w:right w:val="single" w:color="auto" w:sz="4" w:space="0"/>
            </w:tcBorders>
            <w:vAlign w:val="center"/>
          </w:tcPr>
          <w:p w14:paraId="6C1E49B0">
            <w:pPr>
              <w:widowControl/>
              <w:spacing w:line="240" w:lineRule="auto"/>
              <w:jc w:val="center"/>
              <w:rPr>
                <w:rFonts w:hint="eastAsia" w:ascii="宋体" w:hAnsi="宋体" w:eastAsia="宋体" w:cs="宋体"/>
                <w:color w:val="auto"/>
                <w:kern w:val="0"/>
                <w:sz w:val="24"/>
                <w:szCs w:val="24"/>
                <w:highlight w:val="none"/>
                <w:lang w:eastAsia="zh-CN"/>
              </w:rPr>
            </w:pPr>
            <w:bookmarkStart w:id="15" w:name="_Hlk344477914"/>
            <w:r>
              <w:rPr>
                <w:rFonts w:hint="eastAsia" w:ascii="宋体" w:hAnsi="宋体" w:cs="宋体"/>
                <w:iCs/>
                <w:color w:val="auto"/>
                <w:sz w:val="24"/>
                <w:szCs w:val="24"/>
                <w:highlight w:val="none"/>
                <w:lang w:eastAsia="zh-CN"/>
              </w:rPr>
              <w:t>重庆中医药学院公共科研平台项目可行性研究报告编制</w:t>
            </w:r>
          </w:p>
        </w:tc>
        <w:tc>
          <w:tcPr>
            <w:tcW w:w="1584" w:type="dxa"/>
            <w:tcBorders>
              <w:top w:val="single" w:color="auto" w:sz="4" w:space="0"/>
              <w:left w:val="single" w:color="auto" w:sz="4" w:space="0"/>
              <w:right w:val="single" w:color="auto" w:sz="4" w:space="0"/>
            </w:tcBorders>
            <w:vAlign w:val="center"/>
          </w:tcPr>
          <w:p w14:paraId="4BDBD6D7">
            <w:pPr>
              <w:widowControl/>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200000.00</w:t>
            </w:r>
          </w:p>
        </w:tc>
        <w:tc>
          <w:tcPr>
            <w:tcW w:w="2062" w:type="dxa"/>
            <w:tcBorders>
              <w:top w:val="single" w:color="auto" w:sz="4" w:space="0"/>
              <w:left w:val="single" w:color="auto" w:sz="4" w:space="0"/>
              <w:right w:val="single" w:color="auto" w:sz="4" w:space="0"/>
            </w:tcBorders>
            <w:vAlign w:val="center"/>
          </w:tcPr>
          <w:p w14:paraId="28E31739">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bookmarkEnd w:id="15"/>
    </w:tbl>
    <w:p w14:paraId="1B8CA315">
      <w:pPr>
        <w:spacing w:line="360" w:lineRule="auto"/>
        <w:rPr>
          <w:rFonts w:hint="eastAsia" w:ascii="宋体" w:hAnsi="宋体" w:eastAsia="宋体" w:cs="宋体"/>
          <w:b/>
          <w:bCs/>
          <w:color w:val="auto"/>
          <w:sz w:val="24"/>
          <w:szCs w:val="24"/>
          <w:highlight w:val="none"/>
        </w:rPr>
      </w:pPr>
      <w:bookmarkStart w:id="16" w:name="_Toc25190"/>
      <w:bookmarkStart w:id="17" w:name="_Toc1790"/>
      <w:bookmarkStart w:id="18" w:name="_Toc19437"/>
      <w:bookmarkStart w:id="19" w:name="_Toc15576"/>
      <w:bookmarkStart w:id="20" w:name="_Toc22399"/>
      <w:bookmarkStart w:id="21" w:name="_Toc15727"/>
      <w:bookmarkStart w:id="22" w:name="_Toc6462"/>
      <w:bookmarkStart w:id="23" w:name="_Toc373860293"/>
      <w:bookmarkStart w:id="24" w:name="_Toc317775178"/>
      <w:r>
        <w:rPr>
          <w:rFonts w:hint="eastAsia" w:ascii="宋体" w:hAnsi="宋体" w:eastAsia="宋体" w:cs="宋体"/>
          <w:b/>
          <w:bCs/>
          <w:color w:val="auto"/>
          <w:sz w:val="24"/>
          <w:szCs w:val="24"/>
          <w:highlight w:val="none"/>
        </w:rPr>
        <w:t>二、资金来源</w:t>
      </w:r>
    </w:p>
    <w:p w14:paraId="5AF6DC0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w:t>
      </w: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u w:val="single"/>
          <w:lang w:val="en-US" w:eastAsia="zh-CN"/>
        </w:rPr>
        <w:t>200000.00</w:t>
      </w:r>
      <w:r>
        <w:rPr>
          <w:rFonts w:hint="eastAsia" w:ascii="宋体" w:hAnsi="宋体" w:eastAsia="宋体" w:cs="宋体"/>
          <w:color w:val="auto"/>
          <w:sz w:val="24"/>
          <w:szCs w:val="24"/>
          <w:highlight w:val="none"/>
          <w:lang w:val="en-US" w:eastAsia="zh-CN"/>
        </w:rPr>
        <w:t>元。</w:t>
      </w:r>
    </w:p>
    <w:p w14:paraId="3A00DBA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bookmarkEnd w:id="16"/>
      <w:bookmarkEnd w:id="17"/>
      <w:bookmarkEnd w:id="18"/>
      <w:bookmarkEnd w:id="19"/>
      <w:bookmarkEnd w:id="20"/>
      <w:bookmarkEnd w:id="21"/>
      <w:bookmarkEnd w:id="22"/>
      <w:r>
        <w:rPr>
          <w:rFonts w:hint="eastAsia" w:ascii="宋体" w:hAnsi="宋体" w:eastAsia="宋体" w:cs="宋体"/>
          <w:b/>
          <w:bCs/>
          <w:color w:val="auto"/>
          <w:sz w:val="24"/>
          <w:szCs w:val="24"/>
          <w:highlight w:val="none"/>
        </w:rPr>
        <w:t>竞采资格条件</w:t>
      </w:r>
    </w:p>
    <w:p w14:paraId="481254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（一）基本条件</w:t>
      </w:r>
    </w:p>
    <w:p w14:paraId="4304AD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满足《中华人民共和国政府采购法》第二十二条规定：　</w:t>
      </w:r>
    </w:p>
    <w:p w14:paraId="1144B3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6D5FC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8413E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01E808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4F9DF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1A72E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771354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（二）特定资格条件</w:t>
      </w:r>
      <w:bookmarkEnd w:id="23"/>
      <w:bookmarkEnd w:id="24"/>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具备</w:t>
      </w:r>
      <w:r>
        <w:rPr>
          <w:rFonts w:hint="eastAsia" w:ascii="宋体" w:hAnsi="宋体" w:cs="宋体"/>
          <w:color w:val="auto"/>
          <w:sz w:val="24"/>
          <w:szCs w:val="24"/>
          <w:highlight w:val="none"/>
          <w:lang w:val="en-US" w:eastAsia="zh-CN"/>
        </w:rPr>
        <w:t>工程咨询资信乙级及以上（建筑）。（提供证书复印件）</w:t>
      </w:r>
    </w:p>
    <w:p w14:paraId="35188CE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四、竞采有关说明</w:t>
      </w:r>
    </w:p>
    <w:p w14:paraId="54C49E5A">
      <w:pPr>
        <w:spacing w:line="360" w:lineRule="auto"/>
        <w:ind w:firstLine="480" w:firstLineChars="200"/>
        <w:rPr>
          <w:rFonts w:hint="eastAsia" w:ascii="宋体" w:hAnsi="宋体" w:eastAsia="宋体" w:cs="宋体"/>
          <w:color w:val="auto"/>
          <w:sz w:val="24"/>
          <w:szCs w:val="24"/>
          <w:highlight w:val="none"/>
        </w:rPr>
      </w:pPr>
      <w:bookmarkStart w:id="25" w:name="_Toc106030878"/>
      <w:bookmarkStart w:id="26" w:name="_Toc76462324"/>
      <w:r>
        <w:rPr>
          <w:rFonts w:hint="eastAsia" w:ascii="宋体" w:hAnsi="宋体" w:eastAsia="宋体" w:cs="宋体"/>
          <w:color w:val="auto"/>
          <w:sz w:val="24"/>
          <w:szCs w:val="24"/>
          <w:highlight w:val="none"/>
        </w:rPr>
        <w:t>（一）供应商应通过行采家平台（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"http://www.cqgp.gov.cn"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t>www.</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gec123.com）登记加入“行采家供应商库”。</w:t>
      </w:r>
    </w:p>
    <w:p w14:paraId="07FED8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供应商，请在行采家·竞采中心（https://www.gec123.com/xe/）网上下载本项目网上竞采文件以及变更等采购前公布的所有项目资料，无论供应商下载与否，均视为已知晓所有采购实质性要求内容。</w:t>
      </w:r>
    </w:p>
    <w:p w14:paraId="65884A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（三）网上竞采文件发售： </w:t>
      </w:r>
    </w:p>
    <w:p w14:paraId="67486E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网上竞采文件</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售价：人民币300元/包（</w:t>
      </w:r>
      <w:r>
        <w:rPr>
          <w:rFonts w:hint="eastAsia" w:ascii="宋体" w:hAnsi="宋体" w:eastAsia="宋体" w:cs="宋体"/>
          <w:color w:val="auto"/>
          <w:sz w:val="24"/>
          <w:szCs w:val="24"/>
          <w:highlight w:val="none"/>
          <w:lang w:val="en-US" w:eastAsia="zh-CN"/>
        </w:rPr>
        <w:t>售后不退，</w:t>
      </w:r>
      <w:r>
        <w:rPr>
          <w:rFonts w:hint="eastAsia" w:ascii="宋体" w:hAnsi="宋体" w:cs="宋体"/>
          <w:color w:val="auto"/>
          <w:sz w:val="24"/>
          <w:szCs w:val="24"/>
          <w:highlight w:val="none"/>
          <w:lang w:val="en-US" w:eastAsia="zh-CN"/>
        </w:rPr>
        <w:t>供应商应在</w:t>
      </w:r>
      <w:r>
        <w:rPr>
          <w:rFonts w:hint="eastAsia" w:ascii="宋体" w:hAnsi="宋体" w:cs="宋体"/>
          <w:color w:val="auto"/>
          <w:sz w:val="24"/>
          <w:szCs w:val="24"/>
          <w:highlight w:val="none"/>
          <w:lang w:val="en-US" w:eastAsia="zh-CN"/>
        </w:rPr>
        <w:t>2026年5月 28 日17:00前通过微信二维码</w:t>
      </w:r>
      <w:r>
        <w:rPr>
          <w:rFonts w:hint="eastAsia" w:ascii="宋体" w:hAnsi="宋体" w:eastAsia="宋体" w:cs="宋体"/>
          <w:color w:val="auto"/>
          <w:sz w:val="24"/>
          <w:szCs w:val="24"/>
          <w:highlight w:val="none"/>
          <w:lang w:val="en-US" w:eastAsia="zh-CN"/>
        </w:rPr>
        <w:t>缴纳，</w:t>
      </w:r>
      <w:r>
        <w:rPr>
          <w:rFonts w:hint="eastAsia" w:ascii="宋体" w:hAnsi="宋体" w:cs="宋体"/>
          <w:color w:val="auto"/>
          <w:sz w:val="24"/>
          <w:szCs w:val="24"/>
          <w:highlight w:val="none"/>
          <w:lang w:val="en-US" w:eastAsia="zh-CN"/>
        </w:rPr>
        <w:t>备注“项目名称简写+供应商名称”，</w:t>
      </w:r>
      <w:r>
        <w:rPr>
          <w:rFonts w:hint="eastAsia" w:ascii="宋体" w:hAnsi="宋体" w:eastAsia="宋体" w:cs="宋体"/>
          <w:color w:val="auto"/>
          <w:sz w:val="24"/>
          <w:szCs w:val="24"/>
          <w:highlight w:val="none"/>
          <w:lang w:val="en-US" w:eastAsia="zh-CN"/>
        </w:rPr>
        <w:t>未缴纳文件费或超过响应文件</w:t>
      </w:r>
      <w:r>
        <w:rPr>
          <w:rFonts w:hint="eastAsia" w:ascii="宋体" w:hAnsi="宋体" w:cs="宋体"/>
          <w:color w:val="auto"/>
          <w:sz w:val="24"/>
          <w:szCs w:val="24"/>
          <w:highlight w:val="none"/>
          <w:lang w:val="en-US" w:eastAsia="zh-CN"/>
        </w:rPr>
        <w:t>规定的</w:t>
      </w:r>
      <w:r>
        <w:rPr>
          <w:rFonts w:hint="eastAsia" w:ascii="宋体" w:hAnsi="宋体" w:eastAsia="宋体" w:cs="宋体"/>
          <w:color w:val="auto"/>
          <w:sz w:val="24"/>
          <w:szCs w:val="24"/>
          <w:highlight w:val="none"/>
          <w:lang w:val="en-US" w:eastAsia="zh-CN"/>
        </w:rPr>
        <w:t>截止时间递交的</w:t>
      </w:r>
      <w:r>
        <w:rPr>
          <w:rFonts w:hint="eastAsia" w:ascii="宋体" w:hAnsi="宋体" w:cs="宋体"/>
          <w:color w:val="auto"/>
          <w:sz w:val="24"/>
          <w:szCs w:val="24"/>
          <w:highlight w:val="none"/>
          <w:lang w:val="en-US" w:eastAsia="zh-CN"/>
        </w:rPr>
        <w:t>文件费</w:t>
      </w:r>
      <w:r>
        <w:rPr>
          <w:rFonts w:hint="eastAsia" w:ascii="宋体" w:hAnsi="宋体" w:eastAsia="宋体" w:cs="宋体"/>
          <w:color w:val="auto"/>
          <w:sz w:val="24"/>
          <w:szCs w:val="24"/>
          <w:highlight w:val="none"/>
          <w:lang w:val="en-US" w:eastAsia="zh-CN"/>
        </w:rPr>
        <w:t>，恕不接收</w:t>
      </w:r>
      <w:r>
        <w:rPr>
          <w:rFonts w:hint="eastAsia" w:ascii="宋体" w:hAnsi="宋体" w:eastAsia="宋体" w:cs="宋体"/>
          <w:color w:val="auto"/>
          <w:sz w:val="24"/>
          <w:szCs w:val="24"/>
          <w:highlight w:val="none"/>
        </w:rPr>
        <w:t>）。</w:t>
      </w:r>
    </w:p>
    <w:p w14:paraId="5D94A813">
      <w:pPr>
        <w:spacing w:line="360" w:lineRule="auto"/>
        <w:ind w:firstLine="560" w:firstLineChars="200"/>
        <w:rPr>
          <w:rFonts w:hint="eastAsia" w:ascii="宋体" w:hAnsi="宋体" w:eastAsia="宋体" w:cs="宋体"/>
          <w:color w:val="auto"/>
          <w:sz w:val="24"/>
          <w:szCs w:val="24"/>
          <w:highlight w:val="none"/>
        </w:rPr>
      </w:pPr>
      <w:r>
        <w:rPr>
          <w:color w:val="auto"/>
        </w:rPr>
        <w:drawing>
          <wp:anchor distT="0" distB="0" distL="114300" distR="114300" simplePos="0" relativeHeight="251660288" behindDoc="0" locked="0" layoutInCell="1" allowOverlap="1">
            <wp:simplePos x="0" y="0"/>
            <wp:positionH relativeFrom="column">
              <wp:posOffset>-359410</wp:posOffset>
            </wp:positionH>
            <wp:positionV relativeFrom="paragraph">
              <wp:posOffset>150495</wp:posOffset>
            </wp:positionV>
            <wp:extent cx="1677035" cy="2286000"/>
            <wp:effectExtent l="0" t="0" r="1841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677035" cy="2286000"/>
                    </a:xfrm>
                    <a:prstGeom prst="rect">
                      <a:avLst/>
                    </a:prstGeom>
                    <a:noFill/>
                    <a:ln>
                      <a:noFill/>
                    </a:ln>
                  </pic:spPr>
                </pic:pic>
              </a:graphicData>
            </a:graphic>
          </wp:anchor>
        </w:drawing>
      </w:r>
      <w:r>
        <w:rPr>
          <w:rFonts w:hint="eastAsia" w:ascii="宋体" w:hAnsi="宋体" w:eastAsia="宋体" w:cs="宋体"/>
          <w:color w:val="auto"/>
          <w:sz w:val="24"/>
          <w:szCs w:val="24"/>
          <w:highlight w:val="none"/>
        </w:rPr>
        <w:t>（四）线上报价</w:t>
      </w:r>
    </w:p>
    <w:p w14:paraId="61E939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1.线上报价时间：以本项目网上公告规定的报价时间为准。</w:t>
      </w:r>
    </w:p>
    <w:p w14:paraId="1F80CB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2.线上报价要求：按本项目规定的时间在行采家平台·竞采中心（https://www.gec123.com/xe/）进行网上报价并上传</w:t>
      </w:r>
      <w:r>
        <w:rPr>
          <w:rFonts w:hint="eastAsia" w:ascii="宋体" w:hAnsi="宋体" w:eastAsia="宋体" w:cs="宋体"/>
          <w:b/>
          <w:bCs/>
          <w:color w:val="auto"/>
          <w:sz w:val="24"/>
          <w:szCs w:val="24"/>
          <w:highlight w:val="none"/>
        </w:rPr>
        <w:t>响应文件电子档一份</w:t>
      </w:r>
      <w:r>
        <w:rPr>
          <w:rFonts w:hint="eastAsia" w:ascii="宋体" w:hAnsi="宋体" w:eastAsia="宋体" w:cs="宋体"/>
          <w:color w:val="auto"/>
          <w:sz w:val="24"/>
          <w:szCs w:val="24"/>
          <w:highlight w:val="none"/>
        </w:rPr>
        <w:t>。</w:t>
      </w:r>
    </w:p>
    <w:p w14:paraId="15469B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（五）纸质响应文件递交要求：</w:t>
      </w:r>
      <w:r>
        <w:rPr>
          <w:rFonts w:hint="eastAsia" w:ascii="宋体" w:hAnsi="宋体" w:eastAsia="宋体" w:cs="宋体"/>
          <w:b/>
          <w:bCs/>
          <w:color w:val="auto"/>
          <w:sz w:val="24"/>
          <w:szCs w:val="24"/>
          <w:highlight w:val="none"/>
        </w:rPr>
        <w:t>（本项目采取线上线下相结合方式）</w:t>
      </w:r>
    </w:p>
    <w:p w14:paraId="3DDDD45D">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1.纸质响应文件份数：</w:t>
      </w:r>
      <w:r>
        <w:rPr>
          <w:rFonts w:hint="eastAsia" w:ascii="宋体" w:hAnsi="宋体" w:eastAsia="宋体" w:cs="宋体"/>
          <w:b/>
          <w:bCs/>
          <w:color w:val="auto"/>
          <w:sz w:val="24"/>
          <w:szCs w:val="24"/>
          <w:highlight w:val="none"/>
        </w:rPr>
        <w:t>正本1份，副本2份。密封完好，封套注明项目名称、供应商名称。副本可为正本复印件，纸质档与网上上传的电子档须保持一致，如出现不一致情况以纸质档正本为准。</w:t>
      </w:r>
    </w:p>
    <w:p w14:paraId="1637645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2.递交方式：现场递交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联系人：张老师023-88602519递交地址：重庆市两江新区星光大道土星A2栋11楼</w:t>
      </w:r>
      <w:r>
        <w:rPr>
          <w:rFonts w:hint="eastAsia" w:ascii="宋体" w:hAnsi="宋体" w:eastAsia="宋体" w:cs="宋体"/>
          <w:color w:val="auto"/>
          <w:sz w:val="24"/>
          <w:szCs w:val="24"/>
          <w:highlight w:val="none"/>
          <w:lang w:eastAsia="zh-CN"/>
        </w:rPr>
        <w:t>）</w:t>
      </w:r>
    </w:p>
    <w:p w14:paraId="0A521C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3.纸质响应递交截止时间：按本项目网上公告规定的报价截止时间为准。</w:t>
      </w:r>
    </w:p>
    <w:p w14:paraId="05DFED6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（六）供应商须缴纳文件费，在截止时间内在平台上报价按要求上传响应文件并线下递交纸质响应文件，未按要求提供的为无效供应商。</w:t>
      </w:r>
    </w:p>
    <w:p w14:paraId="1109335E">
      <w:pPr>
        <w:spacing w:line="360" w:lineRule="auto"/>
        <w:rPr>
          <w:rFonts w:hint="eastAsia" w:ascii="宋体" w:hAnsi="宋体" w:eastAsia="宋体" w:cs="宋体"/>
          <w:b/>
          <w:bCs/>
          <w:color w:val="auto"/>
          <w:sz w:val="24"/>
          <w:szCs w:val="24"/>
          <w:highlight w:val="none"/>
        </w:rPr>
      </w:pPr>
      <w:bookmarkStart w:id="27" w:name="_Toc9027"/>
      <w:bookmarkStart w:id="28" w:name="_Toc19730"/>
      <w:bookmarkStart w:id="29" w:name="_Toc31315"/>
      <w:bookmarkStart w:id="30" w:name="_Toc15478"/>
      <w:bookmarkStart w:id="31" w:name="_Toc13969"/>
      <w:bookmarkStart w:id="32" w:name="_Toc25516"/>
      <w:bookmarkStart w:id="33" w:name="_Toc14778"/>
      <w:r>
        <w:rPr>
          <w:rFonts w:hint="eastAsia" w:ascii="宋体" w:hAnsi="宋体" w:eastAsia="宋体" w:cs="宋体"/>
          <w:b/>
          <w:bCs/>
          <w:color w:val="auto"/>
          <w:sz w:val="24"/>
          <w:szCs w:val="24"/>
          <w:highlight w:val="none"/>
        </w:rPr>
        <w:t>五、</w:t>
      </w:r>
      <w:bookmarkEnd w:id="27"/>
      <w:bookmarkEnd w:id="28"/>
      <w:bookmarkEnd w:id="29"/>
      <w:bookmarkEnd w:id="30"/>
      <w:bookmarkEnd w:id="31"/>
      <w:bookmarkEnd w:id="32"/>
      <w:bookmarkEnd w:id="33"/>
      <w:r>
        <w:rPr>
          <w:rFonts w:hint="eastAsia" w:ascii="宋体" w:hAnsi="宋体" w:eastAsia="宋体" w:cs="宋体"/>
          <w:b/>
          <w:bCs/>
          <w:color w:val="auto"/>
          <w:sz w:val="24"/>
          <w:szCs w:val="24"/>
          <w:highlight w:val="none"/>
        </w:rPr>
        <w:t>其它有关规定</w:t>
      </w:r>
    </w:p>
    <w:p w14:paraId="20FFDE7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（一）单位负责人为同一人或者存在直接控股、管理关系的不同供应商，不得参加同一合同项（分包）下的竞采活动，否则均为无效响应。</w:t>
      </w:r>
    </w:p>
    <w:p w14:paraId="418F1334">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365F528A">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（三）本项目的变更等文件（如果有）一律在“行采家•网上竞采”上发布，请各供应商注意下载；无论供应商下载与否，均视同供应商已知晓本项目澄清文件（如果有）的内容。</w:t>
      </w:r>
    </w:p>
    <w:p w14:paraId="4E457EFC">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19563C9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（五）竞采费用：无论竞采结果如何，供应商参与本项目竞采的所有成本费用均应由供应商自行承担。</w:t>
      </w:r>
    </w:p>
    <w:p w14:paraId="3DFEC27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b/>
          <w:color w:val="auto"/>
          <w:sz w:val="24"/>
          <w:szCs w:val="24"/>
          <w:highlight w:val="none"/>
        </w:rPr>
        <w:t>本项目不接受联合体参与竞采、不接受分包，否则作无效投标处理。</w:t>
      </w:r>
    </w:p>
    <w:p w14:paraId="0E52D72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网上竞采活动。</w:t>
      </w:r>
    </w:p>
    <w:p w14:paraId="4D92C6BF">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六、供应商提交响应文件</w:t>
      </w:r>
    </w:p>
    <w:p w14:paraId="4C734C4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1、供应商线上报名、报价时需上传盖章后的电子文档一份，并按网上竞采文件要求递交响应文件纸质文件。</w:t>
      </w:r>
    </w:p>
    <w:p w14:paraId="7DCB9E6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2、采购人将以线下递交的响应文件正本资料作为评判依据。</w:t>
      </w:r>
    </w:p>
    <w:p w14:paraId="293AA7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3、供应商制作的响应文件须按照要求制作，规定签字、盖章的地方必须按其规定签字、盖章，未按要求制作响应文件的进行废标处理。</w:t>
      </w:r>
    </w:p>
    <w:p w14:paraId="5336A9EE">
      <w:pPr>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w:t>
      </w:r>
      <w:bookmarkStart w:id="34" w:name="_Toc25886"/>
      <w:bookmarkStart w:id="35" w:name="_Toc5085"/>
      <w:bookmarkStart w:id="36" w:name="_Toc9654"/>
      <w:bookmarkStart w:id="37" w:name="_Toc20778"/>
      <w:bookmarkStart w:id="38" w:name="_Toc3475"/>
      <w:bookmarkStart w:id="39" w:name="_Toc11828"/>
      <w:bookmarkStart w:id="40" w:name="_Toc27955"/>
      <w:r>
        <w:rPr>
          <w:rFonts w:hint="eastAsia" w:ascii="宋体" w:hAnsi="宋体" w:eastAsia="宋体" w:cs="宋体"/>
          <w:b/>
          <w:bCs/>
          <w:color w:val="auto"/>
          <w:sz w:val="24"/>
          <w:szCs w:val="24"/>
          <w:highlight w:val="none"/>
        </w:rPr>
        <w:t>联系方式</w:t>
      </w:r>
      <w:bookmarkEnd w:id="34"/>
      <w:bookmarkEnd w:id="35"/>
      <w:bookmarkEnd w:id="36"/>
      <w:bookmarkEnd w:id="37"/>
      <w:bookmarkEnd w:id="38"/>
      <w:bookmarkEnd w:id="39"/>
      <w:bookmarkEnd w:id="40"/>
    </w:p>
    <w:p w14:paraId="610246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（一）采购人：重庆中医药学院</w:t>
      </w:r>
    </w:p>
    <w:p w14:paraId="4DF49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联系人：管老师</w:t>
      </w:r>
    </w:p>
    <w:p w14:paraId="2EC60B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65880046</w:t>
      </w:r>
    </w:p>
    <w:p w14:paraId="7BFB96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址：重庆市璧山区</w:t>
      </w:r>
      <w:r>
        <w:rPr>
          <w:rFonts w:hint="eastAsia" w:ascii="宋体" w:hAnsi="宋体" w:eastAsia="宋体" w:cs="宋体"/>
          <w:color w:val="auto"/>
          <w:sz w:val="24"/>
          <w:szCs w:val="24"/>
          <w:highlight w:val="none"/>
          <w:lang w:eastAsia="zh-CN"/>
        </w:rPr>
        <w:t>璧</w:t>
      </w:r>
      <w:r>
        <w:rPr>
          <w:rFonts w:hint="eastAsia" w:ascii="宋体" w:hAnsi="宋体" w:eastAsia="宋体" w:cs="宋体"/>
          <w:color w:val="auto"/>
          <w:sz w:val="24"/>
          <w:szCs w:val="24"/>
          <w:highlight w:val="none"/>
        </w:rPr>
        <w:t>城街道国学路61号</w:t>
      </w:r>
      <w:bookmarkStart w:id="138" w:name="_GoBack"/>
      <w:bookmarkEnd w:id="138"/>
    </w:p>
    <w:p w14:paraId="7E63F4DB">
      <w:pPr>
        <w:spacing w:line="360" w:lineRule="auto"/>
        <w:ind w:firstLine="480" w:firstLineChars="200"/>
        <w:rPr>
          <w:rFonts w:hint="eastAsia" w:ascii="宋体" w:hAnsi="宋体" w:eastAsia="宋体" w:cs="宋体"/>
          <w:color w:val="auto"/>
          <w:sz w:val="24"/>
          <w:szCs w:val="24"/>
          <w:highlight w:val="none"/>
        </w:rPr>
      </w:pPr>
    </w:p>
    <w:p w14:paraId="2DAD087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同致诚工程咨询有限公司</w:t>
      </w:r>
    </w:p>
    <w:p w14:paraId="6F86DB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p w14:paraId="113F015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023-88602519</w:t>
      </w:r>
    </w:p>
    <w:p w14:paraId="68402D8E">
      <w:pPr>
        <w:spacing w:line="360" w:lineRule="auto"/>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地  址：重庆市两江新区星光大道土星A2栋11楼</w:t>
      </w:r>
      <w:r>
        <w:rPr>
          <w:rFonts w:hint="eastAsia" w:ascii="宋体" w:hAnsi="宋体" w:eastAsia="宋体" w:cs="宋体"/>
          <w:b/>
          <w:bCs/>
          <w:color w:val="auto"/>
          <w:sz w:val="36"/>
          <w:szCs w:val="36"/>
          <w:highlight w:val="none"/>
        </w:rPr>
        <w:br w:type="page"/>
      </w:r>
    </w:p>
    <w:p w14:paraId="6CFBD0C1">
      <w:pPr>
        <w:spacing w:line="360" w:lineRule="auto"/>
        <w:jc w:val="center"/>
        <w:rPr>
          <w:rFonts w:hint="eastAsia" w:ascii="宋体" w:hAnsi="宋体" w:eastAsia="宋体" w:cs="宋体"/>
          <w:b/>
          <w:bCs/>
          <w:color w:val="auto"/>
          <w:sz w:val="36"/>
          <w:szCs w:val="36"/>
          <w:highlight w:val="none"/>
          <w:lang w:eastAsia="zh-CN"/>
        </w:rPr>
      </w:pPr>
      <w:bookmarkStart w:id="41" w:name="_Toc8490"/>
      <w:r>
        <w:rPr>
          <w:rFonts w:hint="eastAsia" w:ascii="宋体" w:hAnsi="宋体" w:eastAsia="宋体" w:cs="宋体"/>
          <w:b/>
          <w:bCs/>
          <w:color w:val="auto"/>
          <w:sz w:val="36"/>
          <w:szCs w:val="36"/>
          <w:highlight w:val="none"/>
        </w:rPr>
        <w:t xml:space="preserve">第二篇  </w:t>
      </w:r>
      <w:bookmarkEnd w:id="25"/>
      <w:bookmarkEnd w:id="26"/>
      <w:r>
        <w:rPr>
          <w:rFonts w:hint="eastAsia" w:ascii="宋体" w:hAnsi="宋体" w:eastAsia="宋体" w:cs="宋体"/>
          <w:b/>
          <w:bCs/>
          <w:color w:val="auto"/>
          <w:sz w:val="36"/>
          <w:szCs w:val="36"/>
          <w:highlight w:val="none"/>
          <w:lang w:eastAsia="zh-CN"/>
        </w:rPr>
        <w:t>项目</w:t>
      </w:r>
      <w:r>
        <w:rPr>
          <w:rFonts w:hint="eastAsia" w:ascii="宋体" w:hAnsi="宋体" w:cs="宋体"/>
          <w:b/>
          <w:bCs/>
          <w:color w:val="auto"/>
          <w:sz w:val="36"/>
          <w:szCs w:val="36"/>
          <w:highlight w:val="none"/>
          <w:lang w:eastAsia="zh-CN"/>
        </w:rPr>
        <w:t>技术</w:t>
      </w:r>
      <w:r>
        <w:rPr>
          <w:rFonts w:hint="eastAsia" w:ascii="宋体" w:hAnsi="宋体" w:eastAsia="宋体" w:cs="宋体"/>
          <w:b/>
          <w:bCs/>
          <w:color w:val="auto"/>
          <w:sz w:val="36"/>
          <w:szCs w:val="36"/>
          <w:highlight w:val="none"/>
          <w:lang w:eastAsia="zh-CN"/>
        </w:rPr>
        <w:t>需求</w:t>
      </w:r>
      <w:bookmarkEnd w:id="41"/>
    </w:p>
    <w:p w14:paraId="196F964A">
      <w:pPr>
        <w:spacing w:line="360" w:lineRule="auto"/>
        <w:jc w:val="center"/>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本篇</w:t>
      </w:r>
      <w:r>
        <w:rPr>
          <w:rFonts w:hint="eastAsia" w:ascii="宋体" w:hAnsi="宋体" w:cs="宋体"/>
          <w:b/>
          <w:bCs/>
          <w:color w:val="auto"/>
          <w:sz w:val="24"/>
          <w:szCs w:val="24"/>
          <w:highlight w:val="none"/>
          <w:lang w:val="zh-CN" w:eastAsia="zh-CN"/>
        </w:rPr>
        <w:t>技术</w:t>
      </w:r>
      <w:r>
        <w:rPr>
          <w:rFonts w:hint="eastAsia" w:ascii="宋体" w:hAnsi="宋体" w:eastAsia="宋体" w:cs="宋体"/>
          <w:b/>
          <w:bCs/>
          <w:color w:val="auto"/>
          <w:sz w:val="24"/>
          <w:szCs w:val="24"/>
          <w:highlight w:val="none"/>
          <w:lang w:val="zh-CN" w:eastAsia="zh-CN"/>
        </w:rPr>
        <w:t>需求为符合性审查中的实质性要求，响应文件若不满足按无效处理。</w:t>
      </w:r>
    </w:p>
    <w:p w14:paraId="696E7EEE">
      <w:pPr>
        <w:snapToGrid w:val="0"/>
        <w:spacing w:line="360" w:lineRule="auto"/>
        <w:rPr>
          <w:rFonts w:hint="eastAsia" w:ascii="宋体" w:hAnsi="宋体" w:eastAsia="宋体" w:cs="宋体"/>
          <w:b/>
          <w:bCs/>
          <w:color w:val="auto"/>
          <w:sz w:val="24"/>
          <w:szCs w:val="24"/>
          <w:highlight w:val="none"/>
        </w:rPr>
      </w:pPr>
      <w:bookmarkStart w:id="42" w:name="_Toc12789058"/>
      <w:bookmarkStart w:id="43" w:name="_Toc76462327"/>
      <w:bookmarkStart w:id="44" w:name="_Toc106030882"/>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采购服务内容</w:t>
      </w:r>
    </w:p>
    <w:p w14:paraId="60850E99">
      <w:pPr>
        <w:snapToGrid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本项目主要建设内容包括1600平米药物数智化工程研究中心、1790平米创新药物研发中心、1880平米应用医学实验室。科研平台主要包括：制药工艺区、中试转化区、无菌细胞房 、活细胞观测区、动物实验区、中药成分解析区、病理检测区、分子生物学实验区、质粒转染区、特种设备安置区、数据分析室、成像平台、代谢实验室、流式分析室等。按照有关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lang w:eastAsia="zh-CN"/>
        </w:rPr>
        <w:t>和规章，对项目进行可行性研究报告编制（含工程投资估算）等，具体内容以合同为准。</w:t>
      </w:r>
    </w:p>
    <w:p w14:paraId="41F9668E">
      <w:pPr>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为了完成可行性研究报告所进行的调研、勘察、利用已有成果等由投标人负责实施并承担相应费用。</w:t>
      </w:r>
    </w:p>
    <w:p w14:paraId="47C43A1B">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执行标准和服务</w:t>
      </w:r>
      <w:r>
        <w:rPr>
          <w:rFonts w:hint="eastAsia" w:ascii="宋体" w:hAnsi="宋体" w:eastAsia="宋体" w:cs="宋体"/>
          <w:b/>
          <w:bCs/>
          <w:color w:val="auto"/>
          <w:sz w:val="24"/>
          <w:szCs w:val="24"/>
          <w:highlight w:val="none"/>
          <w:lang w:eastAsia="zh-CN"/>
        </w:rPr>
        <w:t>要求</w:t>
      </w:r>
    </w:p>
    <w:p w14:paraId="088BDC68">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1.执行标准：</w:t>
      </w:r>
      <w:r>
        <w:rPr>
          <w:rFonts w:hint="eastAsia" w:ascii="宋体" w:hAnsi="宋体" w:eastAsia="宋体" w:cs="宋体"/>
          <w:color w:val="auto"/>
          <w:sz w:val="24"/>
          <w:szCs w:val="24"/>
          <w:highlight w:val="none"/>
          <w:lang w:eastAsia="zh-CN"/>
        </w:rPr>
        <w:t>严格执行《政府投资项目可行性研究报告编写通用大纲（2023年版）》、《重庆市政府投资管理办法》（渝府令〔2020〕339号）</w:t>
      </w:r>
      <w:r>
        <w:rPr>
          <w:rFonts w:hint="eastAsia" w:ascii="宋体" w:hAnsi="宋体" w:eastAsia="宋体" w:cs="宋体"/>
          <w:color w:val="auto"/>
          <w:sz w:val="24"/>
          <w:szCs w:val="24"/>
          <w:highlight w:val="none"/>
          <w:lang w:val="en-US" w:eastAsia="zh-CN"/>
        </w:rPr>
        <w:t>等法律法规。</w:t>
      </w:r>
    </w:p>
    <w:p w14:paraId="38112E7D">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2服务要求：</w:t>
      </w:r>
    </w:p>
    <w:p w14:paraId="6D6B7DCD">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2.1合同签订后，20个日历日内向采购人提交《</w:t>
      </w:r>
      <w:bookmarkStart w:id="45" w:name="OLE_LINK3"/>
      <w:r>
        <w:rPr>
          <w:rFonts w:hint="eastAsia" w:ascii="宋体" w:hAnsi="宋体" w:eastAsia="宋体" w:cs="宋体"/>
          <w:color w:val="auto"/>
          <w:sz w:val="24"/>
          <w:szCs w:val="24"/>
          <w:highlight w:val="none"/>
          <w:lang w:val="en-US" w:eastAsia="zh-CN"/>
        </w:rPr>
        <w:t>重庆中医药学院公共科研平台项目可行性研究报告</w:t>
      </w:r>
      <w:bookmarkEnd w:id="45"/>
      <w:r>
        <w:rPr>
          <w:rFonts w:hint="eastAsia" w:ascii="宋体" w:hAnsi="宋体" w:eastAsia="宋体" w:cs="宋体"/>
          <w:color w:val="auto"/>
          <w:sz w:val="24"/>
          <w:szCs w:val="24"/>
          <w:highlight w:val="none"/>
          <w:lang w:val="en-US" w:eastAsia="zh-CN"/>
        </w:rPr>
        <w:t>》。</w:t>
      </w:r>
    </w:p>
    <w:p w14:paraId="79E4FD4C">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2.2成交供应商按规定参加项目评审会，并根据审查意见，在不超出原定工作内容的基础上，对可行性研究报告进行补充和完善。</w:t>
      </w:r>
    </w:p>
    <w:p w14:paraId="551F4D4B">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2.3成交供应商向采购人提交《重庆中医药学院公共科研平台项目可行性研究报告》6份及光盘1份。</w:t>
      </w:r>
    </w:p>
    <w:p w14:paraId="5CB2BAB7">
      <w:pPr>
        <w:pStyle w:val="29"/>
        <w:rPr>
          <w:rFonts w:hint="eastAsia"/>
          <w:color w:val="auto"/>
          <w:lang w:eastAsia="zh-CN"/>
        </w:rPr>
      </w:pPr>
    </w:p>
    <w:p w14:paraId="6DE8486E">
      <w:pPr>
        <w:rPr>
          <w:rFonts w:hint="eastAsia" w:ascii="宋体" w:hAnsi="宋体" w:eastAsia="宋体" w:cs="宋体"/>
          <w:color w:val="auto"/>
          <w:szCs w:val="24"/>
          <w:highlight w:val="none"/>
          <w:lang w:eastAsia="zh-CN"/>
        </w:rPr>
      </w:pPr>
    </w:p>
    <w:p w14:paraId="78B0A669">
      <w:pPr>
        <w:pStyle w:val="5"/>
        <w:rPr>
          <w:rFonts w:hint="eastAsia" w:ascii="宋体" w:hAnsi="宋体" w:eastAsia="宋体" w:cs="宋体"/>
          <w:color w:val="auto"/>
          <w:szCs w:val="24"/>
          <w:highlight w:val="none"/>
          <w:lang w:eastAsia="zh-CN"/>
        </w:rPr>
      </w:pPr>
    </w:p>
    <w:p w14:paraId="4EAC7003">
      <w:pPr>
        <w:rPr>
          <w:rFonts w:hint="eastAsia" w:ascii="宋体" w:hAnsi="宋体" w:eastAsia="宋体" w:cs="宋体"/>
          <w:color w:val="auto"/>
          <w:szCs w:val="24"/>
          <w:highlight w:val="none"/>
          <w:lang w:eastAsia="zh-CN"/>
        </w:rPr>
      </w:pPr>
    </w:p>
    <w:p w14:paraId="2AF89B2F">
      <w:pPr>
        <w:pStyle w:val="5"/>
        <w:rPr>
          <w:rFonts w:hint="eastAsia" w:ascii="宋体" w:hAnsi="宋体" w:eastAsia="宋体" w:cs="宋体"/>
          <w:color w:val="auto"/>
          <w:szCs w:val="24"/>
          <w:highlight w:val="none"/>
          <w:lang w:eastAsia="zh-CN"/>
        </w:rPr>
      </w:pPr>
    </w:p>
    <w:p w14:paraId="5EADE8AB">
      <w:pPr>
        <w:rPr>
          <w:rFonts w:hint="eastAsia" w:ascii="宋体" w:hAnsi="宋体" w:eastAsia="宋体" w:cs="宋体"/>
          <w:color w:val="auto"/>
          <w:szCs w:val="24"/>
          <w:highlight w:val="none"/>
          <w:lang w:eastAsia="zh-CN"/>
        </w:rPr>
      </w:pPr>
    </w:p>
    <w:p w14:paraId="155EFE5C">
      <w:pPr>
        <w:rPr>
          <w:rFonts w:hint="eastAsia" w:ascii="宋体" w:hAnsi="宋体" w:eastAsia="宋体" w:cs="宋体"/>
          <w:color w:val="auto"/>
          <w:szCs w:val="24"/>
          <w:highlight w:val="none"/>
          <w:lang w:eastAsia="zh-CN"/>
        </w:rPr>
      </w:pPr>
    </w:p>
    <w:p w14:paraId="1D1CB033">
      <w:pPr>
        <w:pStyle w:val="5"/>
        <w:spacing w:before="0" w:after="0" w:line="240" w:lineRule="auto"/>
        <w:rPr>
          <w:rFonts w:hint="eastAsia"/>
          <w:color w:val="auto"/>
          <w:lang w:eastAsia="zh-CN"/>
        </w:rPr>
      </w:pPr>
    </w:p>
    <w:p w14:paraId="02FA08A5">
      <w:pPr>
        <w:numPr>
          <w:ilvl w:val="0"/>
          <w:numId w:val="2"/>
        </w:numPr>
        <w:spacing w:line="360" w:lineRule="auto"/>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w:t>
      </w:r>
      <w:bookmarkEnd w:id="42"/>
      <w:bookmarkStart w:id="46" w:name="_Toc6345"/>
      <w:r>
        <w:rPr>
          <w:rFonts w:hint="eastAsia" w:ascii="宋体" w:hAnsi="宋体" w:eastAsia="宋体" w:cs="宋体"/>
          <w:b/>
          <w:bCs/>
          <w:color w:val="auto"/>
          <w:sz w:val="36"/>
          <w:szCs w:val="36"/>
          <w:highlight w:val="none"/>
        </w:rPr>
        <w:t>项目商务需求</w:t>
      </w:r>
      <w:bookmarkEnd w:id="43"/>
      <w:bookmarkEnd w:id="44"/>
      <w:bookmarkEnd w:id="46"/>
    </w:p>
    <w:p w14:paraId="1B698CD4">
      <w:pPr>
        <w:spacing w:line="360" w:lineRule="auto"/>
        <w:jc w:val="center"/>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本篇商务需求为符合性审查中的实质性要求，响应文件若不满足按无效处理。</w:t>
      </w:r>
    </w:p>
    <w:p w14:paraId="54A56A2A">
      <w:pPr>
        <w:spacing w:line="360" w:lineRule="auto"/>
        <w:jc w:val="left"/>
        <w:rPr>
          <w:rFonts w:hint="eastAsia" w:ascii="宋体" w:hAnsi="宋体" w:eastAsia="宋体" w:cs="宋体"/>
          <w:b/>
          <w:bCs/>
          <w:color w:val="auto"/>
          <w:sz w:val="24"/>
          <w:szCs w:val="24"/>
          <w:highlight w:val="none"/>
          <w:lang w:val="en-US" w:eastAsia="zh-CN"/>
        </w:rPr>
      </w:pPr>
      <w:bookmarkStart w:id="47" w:name="_Toc106030883"/>
      <w:bookmarkStart w:id="48" w:name="_Toc76462328"/>
      <w:bookmarkStart w:id="49" w:name="_Toc344475120"/>
      <w:r>
        <w:rPr>
          <w:rFonts w:hint="eastAsia" w:ascii="宋体" w:hAnsi="宋体" w:eastAsia="宋体" w:cs="宋体"/>
          <w:b/>
          <w:bCs/>
          <w:color w:val="auto"/>
          <w:sz w:val="24"/>
          <w:szCs w:val="24"/>
          <w:highlight w:val="none"/>
          <w:lang w:val="en-US" w:eastAsia="zh-CN"/>
        </w:rPr>
        <w:t>一、</w:t>
      </w:r>
      <w:bookmarkEnd w:id="47"/>
      <w:bookmarkEnd w:id="48"/>
      <w:bookmarkEnd w:id="49"/>
      <w:r>
        <w:rPr>
          <w:rFonts w:hint="eastAsia" w:ascii="宋体" w:hAnsi="宋体" w:eastAsia="宋体" w:cs="宋体"/>
          <w:b/>
          <w:bCs/>
          <w:color w:val="auto"/>
          <w:sz w:val="24"/>
          <w:szCs w:val="24"/>
          <w:highlight w:val="none"/>
          <w:lang w:val="en-US" w:eastAsia="zh-CN"/>
        </w:rPr>
        <w:t>服务期、地点及</w:t>
      </w:r>
      <w:r>
        <w:rPr>
          <w:rFonts w:hint="eastAsia" w:ascii="宋体" w:hAnsi="宋体" w:cs="宋体"/>
          <w:b/>
          <w:bCs/>
          <w:color w:val="auto"/>
          <w:sz w:val="24"/>
          <w:szCs w:val="24"/>
          <w:highlight w:val="none"/>
          <w:lang w:val="en-US" w:eastAsia="zh-CN"/>
        </w:rPr>
        <w:t>考核</w:t>
      </w:r>
      <w:r>
        <w:rPr>
          <w:rFonts w:hint="eastAsia" w:ascii="宋体" w:hAnsi="宋体" w:eastAsia="宋体" w:cs="宋体"/>
          <w:b/>
          <w:bCs/>
          <w:color w:val="auto"/>
          <w:sz w:val="24"/>
          <w:szCs w:val="24"/>
          <w:highlight w:val="none"/>
          <w:lang w:val="en-US" w:eastAsia="zh-CN"/>
        </w:rPr>
        <w:t>验收方式</w:t>
      </w:r>
    </w:p>
    <w:p w14:paraId="28DA17AB">
      <w:pPr>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（一）服务期：</w:t>
      </w:r>
      <w:r>
        <w:rPr>
          <w:rFonts w:hint="eastAsia" w:ascii="宋体" w:hAnsi="宋体" w:cs="宋体"/>
          <w:color w:val="auto"/>
          <w:sz w:val="24"/>
          <w:szCs w:val="24"/>
          <w:highlight w:val="none"/>
          <w:lang w:val="zh-CN" w:eastAsia="zh-CN"/>
        </w:rPr>
        <w:t>合同签订后</w:t>
      </w:r>
      <w:r>
        <w:rPr>
          <w:rFonts w:hint="eastAsia" w:ascii="宋体" w:hAnsi="宋体" w:eastAsia="宋体" w:cs="宋体"/>
          <w:color w:val="auto"/>
          <w:sz w:val="24"/>
          <w:szCs w:val="24"/>
          <w:highlight w:val="none"/>
          <w:lang w:val="en-US" w:eastAsia="zh-CN"/>
        </w:rPr>
        <w:t>20个日历日</w:t>
      </w:r>
      <w:r>
        <w:rPr>
          <w:rFonts w:hint="eastAsia" w:ascii="宋体" w:hAnsi="宋体" w:eastAsia="宋体" w:cs="宋体"/>
          <w:color w:val="auto"/>
          <w:sz w:val="24"/>
          <w:szCs w:val="24"/>
          <w:highlight w:val="none"/>
          <w:lang w:val="zh-CN" w:eastAsia="zh-CN"/>
        </w:rPr>
        <w:t>。</w:t>
      </w:r>
    </w:p>
    <w:p w14:paraId="7A1903C4">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zh-CN" w:eastAsia="zh-CN"/>
        </w:rPr>
        <w:t>地点：</w:t>
      </w:r>
      <w:r>
        <w:rPr>
          <w:rFonts w:hint="eastAsia" w:ascii="宋体" w:hAnsi="宋体" w:cs="宋体"/>
          <w:color w:val="auto"/>
          <w:sz w:val="24"/>
          <w:szCs w:val="24"/>
          <w:highlight w:val="none"/>
          <w:lang w:val="en-US" w:eastAsia="zh-CN"/>
        </w:rPr>
        <w:t>重庆中医药学院。</w:t>
      </w:r>
    </w:p>
    <w:p w14:paraId="460D8D17">
      <w:pPr>
        <w:numPr>
          <w:ilvl w:val="0"/>
          <w:numId w:val="0"/>
        </w:numPr>
        <w:snapToGrid w:val="0"/>
        <w:spacing w:line="360" w:lineRule="auto"/>
        <w:ind w:firstLine="480" w:firstLineChars="200"/>
        <w:rPr>
          <w:rFonts w:hint="default" w:ascii="Times New Roman" w:hAnsi="Times New Roman" w:eastAsia="方正仿宋_GBK"/>
          <w:color w:val="auto"/>
          <w:sz w:val="28"/>
          <w:szCs w:val="28"/>
          <w:lang w:val="en-US" w:eastAsia="zh-CN"/>
        </w:rPr>
      </w:pPr>
      <w:r>
        <w:rPr>
          <w:rFonts w:hint="eastAsia" w:ascii="宋体" w:hAnsi="宋体" w:eastAsia="宋体" w:cs="宋体"/>
          <w:color w:val="auto"/>
          <w:sz w:val="24"/>
          <w:szCs w:val="24"/>
          <w:highlight w:val="none"/>
          <w:lang w:val="zh-CN" w:eastAsia="zh-CN"/>
        </w:rPr>
        <w:t>（三）验收方式：</w:t>
      </w:r>
      <w:r>
        <w:rPr>
          <w:rFonts w:hint="eastAsia" w:ascii="宋体" w:hAnsi="宋体" w:eastAsia="宋体" w:cs="宋体"/>
          <w:color w:val="auto"/>
          <w:sz w:val="24"/>
          <w:szCs w:val="24"/>
          <w:highlight w:val="none"/>
          <w:lang w:val="en-US" w:eastAsia="zh-CN"/>
        </w:rPr>
        <w:t>专家评审</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验收标准</w:t>
      </w:r>
      <w:r>
        <w:rPr>
          <w:rFonts w:hint="eastAsia" w:ascii="宋体" w:hAnsi="宋体" w:eastAsia="宋体" w:cs="宋体"/>
          <w:color w:val="auto"/>
          <w:sz w:val="24"/>
          <w:szCs w:val="24"/>
          <w:highlight w:val="none"/>
          <w:lang w:val="en-US" w:eastAsia="zh-CN"/>
        </w:rPr>
        <w:t>：通过专家评审并修改完善。</w:t>
      </w:r>
    </w:p>
    <w:p w14:paraId="36C42B4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、报价要求</w:t>
      </w:r>
    </w:p>
    <w:p w14:paraId="5BCA3AFA">
      <w:pPr>
        <w:spacing w:line="440" w:lineRule="exact"/>
        <w:ind w:firstLine="480" w:firstLineChars="200"/>
        <w:jc w:val="left"/>
        <w:rPr>
          <w:rFonts w:hint="eastAsia" w:ascii="宋体" w:hAnsi="宋体" w:eastAsia="宋体" w:cs="宋体"/>
          <w:color w:val="auto"/>
          <w:sz w:val="24"/>
          <w:szCs w:val="24"/>
          <w:highlight w:val="none"/>
          <w:lang w:val="en-US" w:eastAsia="zh-CN"/>
        </w:rPr>
      </w:pPr>
      <w:bookmarkStart w:id="50" w:name="_Toc344475122"/>
      <w:bookmarkStart w:id="51" w:name="_Toc106030885"/>
      <w:bookmarkStart w:id="52" w:name="_Toc76462330"/>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为总价包干，</w:t>
      </w:r>
      <w:r>
        <w:rPr>
          <w:rFonts w:hint="eastAsia" w:ascii="宋体" w:hAnsi="宋体" w:eastAsia="宋体" w:cs="宋体"/>
          <w:color w:val="auto"/>
          <w:sz w:val="24"/>
          <w:szCs w:val="24"/>
          <w:highlight w:val="none"/>
          <w:lang w:val="en-US" w:eastAsia="zh-CN"/>
        </w:rPr>
        <w:t>报价须为人民币报价，供应商的报价应包括完成项目的全部费用，包括但不限于人工费、材料费、管理费、利润、规费、税金、采购代理服务费等完成本项目所需的一切费用。供应商根据项目情况、自身实力、市场行情进行填报。因供应商自身原因造成漏报、少报皆由其自行承担责任，采购人不再补偿。</w:t>
      </w:r>
    </w:p>
    <w:p w14:paraId="27616412">
      <w:pPr>
        <w:spacing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付款方式</w:t>
      </w:r>
      <w:bookmarkEnd w:id="50"/>
      <w:bookmarkEnd w:id="51"/>
      <w:bookmarkEnd w:id="52"/>
    </w:p>
    <w:p w14:paraId="3CB13E09">
      <w:pPr>
        <w:spacing w:line="440" w:lineRule="exact"/>
        <w:ind w:firstLine="480" w:firstLineChars="200"/>
        <w:jc w:val="left"/>
        <w:rPr>
          <w:rFonts w:hint="eastAsia" w:ascii="宋体" w:hAnsi="宋体" w:eastAsia="宋体" w:cs="宋体"/>
          <w:color w:val="auto"/>
          <w:sz w:val="24"/>
          <w:szCs w:val="24"/>
          <w:highlight w:val="none"/>
          <w:lang w:val="en-US" w:eastAsia="zh-CN"/>
        </w:rPr>
      </w:pPr>
      <w:bookmarkStart w:id="53" w:name="_Toc20557"/>
      <w:r>
        <w:rPr>
          <w:rFonts w:hint="eastAsia" w:ascii="宋体" w:hAnsi="宋体" w:eastAsia="宋体" w:cs="宋体"/>
          <w:color w:val="auto"/>
          <w:sz w:val="24"/>
          <w:szCs w:val="24"/>
          <w:highlight w:val="none"/>
          <w:lang w:val="en-US" w:eastAsia="zh-CN"/>
        </w:rPr>
        <w:t>1.结算金额=包干价-应支付的违约金额。</w:t>
      </w:r>
      <w:bookmarkEnd w:id="53"/>
    </w:p>
    <w:p w14:paraId="647882EB">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2.成交供应商完成可行性研究报告编制并通过评审后，采购人支付结算金额70% ；施工图审查合格后，采购人支付结算金额30%。</w:t>
      </w:r>
    </w:p>
    <w:p w14:paraId="7F9A6F4E">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采购合同签订时，成交供应商向采购人缴纳合同金额5%的履约保证金(以银行转账、支票、汇票、本票或者金融机构、担保机构出具的保函等非现金形式提交);采用保函形式的，保函必须为不可撤销且见索即付。履约保证金无息退还时间:服务结束后，采购人参照渝财采购〔2021〕13号文件无息退还。</w:t>
      </w:r>
    </w:p>
    <w:p w14:paraId="5E5987AE">
      <w:pPr>
        <w:pStyle w:val="4"/>
        <w:spacing w:before="0" w:after="0" w:line="240" w:lineRule="auto"/>
        <w:rPr>
          <w:rFonts w:hint="eastAsia" w:ascii="宋体" w:hAnsi="宋体"/>
          <w:color w:val="auto"/>
          <w:sz w:val="24"/>
          <w:szCs w:val="24"/>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w:t>
      </w:r>
      <w:bookmarkStart w:id="54" w:name="_Toc229753116"/>
      <w:r>
        <w:rPr>
          <w:rFonts w:hint="eastAsia" w:ascii="宋体" w:hAnsi="宋体"/>
          <w:color w:val="auto"/>
          <w:sz w:val="24"/>
          <w:szCs w:val="24"/>
        </w:rPr>
        <w:t>知识产权</w:t>
      </w:r>
      <w:bookmarkEnd w:id="54"/>
    </w:p>
    <w:p w14:paraId="3F35A20D">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1.采购人在中华人民共和国境内使用供应商提供的货物及服务时免受第三方提出的侵犯其专利权或其它知识产权的起诉。如果第三方提出侵权指控，成交供应商应承担由此而引起的一切法律责任和费用。</w:t>
      </w:r>
    </w:p>
    <w:p w14:paraId="6751A5D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2.本项目过程文件和成果资料的知识产权归采购人所有，成交供应商需配合采购人对本项目知识产权进行保护。</w:t>
      </w:r>
    </w:p>
    <w:p w14:paraId="78E9135D">
      <w:pPr>
        <w:spacing w:line="440" w:lineRule="exact"/>
        <w:jc w:val="left"/>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其他</w:t>
      </w:r>
    </w:p>
    <w:p w14:paraId="514CD528">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1．供应商必须对以上条款和服务承诺明确列出，承诺内容必须达到要求。</w:t>
      </w:r>
    </w:p>
    <w:p w14:paraId="610D5D81">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2．其他未尽事宜由供需双方在采购合同中详细约定。</w:t>
      </w:r>
    </w:p>
    <w:p w14:paraId="72E0301B">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55" w:name="_Toc109836389"/>
      <w:bookmarkStart w:id="56" w:name="_Toc31245"/>
      <w:r>
        <w:rPr>
          <w:rFonts w:hint="eastAsia" w:ascii="宋体" w:hAnsi="宋体" w:eastAsia="宋体" w:cs="宋体"/>
          <w:b/>
          <w:bCs/>
          <w:color w:val="auto"/>
          <w:sz w:val="36"/>
          <w:szCs w:val="36"/>
          <w:highlight w:val="none"/>
        </w:rPr>
        <w:t>第四篇  竞采程序、评标办法</w:t>
      </w:r>
      <w:bookmarkEnd w:id="55"/>
      <w:r>
        <w:rPr>
          <w:rFonts w:hint="eastAsia" w:ascii="宋体" w:hAnsi="宋体" w:eastAsia="宋体" w:cs="宋体"/>
          <w:b/>
          <w:bCs/>
          <w:color w:val="auto"/>
          <w:sz w:val="36"/>
          <w:szCs w:val="36"/>
          <w:highlight w:val="none"/>
        </w:rPr>
        <w:t>、无效响应及采购终止</w:t>
      </w:r>
      <w:bookmarkEnd w:id="56"/>
    </w:p>
    <w:p w14:paraId="6932CD84">
      <w:pPr>
        <w:ind w:firstLine="482"/>
        <w:jc w:val="left"/>
        <w:rPr>
          <w:rFonts w:hint="eastAsia" w:ascii="宋体" w:hAnsi="宋体" w:eastAsia="宋体" w:cs="宋体"/>
          <w:b/>
          <w:bCs/>
          <w:color w:val="auto"/>
          <w:sz w:val="24"/>
          <w:szCs w:val="24"/>
          <w:highlight w:val="none"/>
        </w:rPr>
      </w:pPr>
      <w:bookmarkStart w:id="57" w:name="_Toc106030892"/>
      <w:bookmarkStart w:id="58" w:name="_Toc76462337"/>
      <w:bookmarkStart w:id="59" w:name="_Toc102227313"/>
      <w:r>
        <w:rPr>
          <w:rFonts w:hint="eastAsia" w:ascii="宋体" w:hAnsi="宋体" w:eastAsia="宋体" w:cs="宋体"/>
          <w:b/>
          <w:bCs/>
          <w:color w:val="auto"/>
          <w:sz w:val="24"/>
          <w:szCs w:val="24"/>
          <w:highlight w:val="none"/>
        </w:rPr>
        <w:t>一、</w:t>
      </w:r>
      <w:bookmarkStart w:id="60" w:name="_Toc75793518"/>
      <w:r>
        <w:rPr>
          <w:rFonts w:hint="eastAsia" w:ascii="宋体" w:hAnsi="宋体" w:eastAsia="宋体" w:cs="宋体"/>
          <w:b/>
          <w:bCs/>
          <w:color w:val="auto"/>
          <w:sz w:val="24"/>
          <w:szCs w:val="24"/>
          <w:highlight w:val="none"/>
        </w:rPr>
        <w:t>网上竞采程序</w:t>
      </w:r>
      <w:bookmarkEnd w:id="60"/>
    </w:p>
    <w:p w14:paraId="5D033218">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（一）报价截止后评审小组对各供应商的资格条件、响应文件的有效性、完整性和响应程度进行审查。各供应商只有在完全符合要求的前提下，才能参与正式采购。</w:t>
      </w:r>
    </w:p>
    <w:p w14:paraId="5EA5B2A9">
      <w:pPr>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1.资格性检查。</w:t>
      </w:r>
      <w:r>
        <w:rPr>
          <w:rFonts w:hint="eastAsia" w:ascii="宋体" w:hAnsi="宋体" w:eastAsia="宋体" w:cs="宋体"/>
          <w:color w:val="auto"/>
          <w:sz w:val="24"/>
          <w:szCs w:val="24"/>
          <w:highlight w:val="none"/>
        </w:rPr>
        <w:t>依据法律法规和采购文件的规定，对响应文件中的资格证明等进行审查，以确定供应商是否具备采购资格。资格性检查资料表如下：</w:t>
      </w:r>
    </w:p>
    <w:tbl>
      <w:tblPr>
        <w:tblStyle w:val="23"/>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98"/>
        <w:gridCol w:w="2934"/>
        <w:gridCol w:w="5081"/>
      </w:tblGrid>
      <w:tr w14:paraId="6C3E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Align w:val="center"/>
          </w:tcPr>
          <w:p w14:paraId="15C3E5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32" w:type="dxa"/>
            <w:gridSpan w:val="2"/>
            <w:vAlign w:val="center"/>
          </w:tcPr>
          <w:p w14:paraId="174711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5081" w:type="dxa"/>
            <w:vAlign w:val="center"/>
          </w:tcPr>
          <w:p w14:paraId="1C866E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14:paraId="0BEA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65" w:type="dxa"/>
            <w:vMerge w:val="restart"/>
            <w:vAlign w:val="center"/>
          </w:tcPr>
          <w:p w14:paraId="41B00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8" w:type="dxa"/>
            <w:vMerge w:val="restart"/>
            <w:vAlign w:val="center"/>
          </w:tcPr>
          <w:p w14:paraId="1867EFD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2934" w:type="dxa"/>
            <w:vAlign w:val="center"/>
          </w:tcPr>
          <w:p w14:paraId="66694A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081" w:type="dxa"/>
            <w:vAlign w:val="center"/>
          </w:tcPr>
          <w:p w14:paraId="70551A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 供应商法定代表人身份证明</w:t>
            </w:r>
            <w:r>
              <w:rPr>
                <w:rFonts w:hint="eastAsia" w:ascii="宋体" w:hAnsi="宋体" w:eastAsia="宋体" w:cs="宋体"/>
                <w:color w:val="auto"/>
                <w:sz w:val="24"/>
                <w:szCs w:val="24"/>
                <w:highlight w:val="none"/>
                <w:lang w:val="en-US" w:eastAsia="zh-CN"/>
              </w:rPr>
              <w:t>或其</w:t>
            </w:r>
            <w:r>
              <w:rPr>
                <w:rFonts w:hint="eastAsia" w:ascii="宋体" w:hAnsi="宋体" w:eastAsia="宋体" w:cs="宋体"/>
                <w:color w:val="auto"/>
                <w:sz w:val="24"/>
                <w:szCs w:val="24"/>
                <w:highlight w:val="none"/>
              </w:rPr>
              <w:t>法定代表人授权代表委托书。</w:t>
            </w:r>
          </w:p>
        </w:tc>
      </w:tr>
      <w:tr w14:paraId="1D4C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42E0A6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3F6C984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441A113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tc>
        <w:tc>
          <w:tcPr>
            <w:tcW w:w="5081" w:type="dxa"/>
            <w:vMerge w:val="restart"/>
            <w:vAlign w:val="center"/>
          </w:tcPr>
          <w:p w14:paraId="371435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供应商提供承诺函（见格式文件）</w:t>
            </w:r>
          </w:p>
        </w:tc>
      </w:tr>
      <w:tr w14:paraId="24D6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1117FA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6000FE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212BAB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tc>
        <w:tc>
          <w:tcPr>
            <w:tcW w:w="5081" w:type="dxa"/>
            <w:vMerge w:val="continue"/>
            <w:vAlign w:val="center"/>
          </w:tcPr>
          <w:p w14:paraId="235592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4A78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43403E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12B8C9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561FC0C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（4）有依法缴纳税收和社会保障金的良好记录</w:t>
            </w:r>
          </w:p>
        </w:tc>
        <w:tc>
          <w:tcPr>
            <w:tcW w:w="5081" w:type="dxa"/>
            <w:vMerge w:val="continue"/>
            <w:vAlign w:val="center"/>
          </w:tcPr>
          <w:p w14:paraId="1B348FA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1DC2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65" w:type="dxa"/>
            <w:vMerge w:val="continue"/>
            <w:vAlign w:val="center"/>
          </w:tcPr>
          <w:p w14:paraId="17A3022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6395ED3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09BAB5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5081" w:type="dxa"/>
            <w:vMerge w:val="continue"/>
            <w:vAlign w:val="center"/>
          </w:tcPr>
          <w:p w14:paraId="5AC6F57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3F7C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5" w:type="dxa"/>
            <w:vMerge w:val="continue"/>
            <w:vAlign w:val="center"/>
          </w:tcPr>
          <w:p w14:paraId="55C7D5F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c>
          <w:tcPr>
            <w:tcW w:w="698" w:type="dxa"/>
            <w:vMerge w:val="continue"/>
            <w:vAlign w:val="center"/>
          </w:tcPr>
          <w:p w14:paraId="6E6935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zh-CN"/>
              </w:rPr>
            </w:pPr>
          </w:p>
        </w:tc>
        <w:tc>
          <w:tcPr>
            <w:tcW w:w="2934" w:type="dxa"/>
            <w:vAlign w:val="center"/>
          </w:tcPr>
          <w:p w14:paraId="55292F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5081" w:type="dxa"/>
            <w:vAlign w:val="center"/>
          </w:tcPr>
          <w:p w14:paraId="2800BD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p>
        </w:tc>
      </w:tr>
      <w:tr w14:paraId="3CF8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65" w:type="dxa"/>
            <w:vAlign w:val="center"/>
          </w:tcPr>
          <w:p w14:paraId="3A6DC3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632" w:type="dxa"/>
            <w:gridSpan w:val="2"/>
            <w:vAlign w:val="center"/>
          </w:tcPr>
          <w:p w14:paraId="68C803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特定资格条件（</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tc>
        <w:tc>
          <w:tcPr>
            <w:tcW w:w="5081" w:type="dxa"/>
            <w:vAlign w:val="center"/>
          </w:tcPr>
          <w:p w14:paraId="6D0E00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按第一篇“三、竞采资格条件（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）特定资格条件”的要求提交</w:t>
            </w:r>
          </w:p>
        </w:tc>
      </w:tr>
    </w:tbl>
    <w:p w14:paraId="23D3372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78F78777">
      <w:pPr>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2.符合性检查。</w:t>
      </w:r>
      <w:r>
        <w:rPr>
          <w:rFonts w:hint="eastAsia" w:ascii="宋体" w:hAnsi="宋体" w:eastAsia="宋体" w:cs="宋体"/>
          <w:color w:val="auto"/>
          <w:kern w:val="0"/>
          <w:sz w:val="24"/>
          <w:szCs w:val="24"/>
          <w:highlight w:val="none"/>
        </w:rPr>
        <w:t>依据网上竞采文件的规定，从响应文件的有效性、完整性和对网上竞采文件的响应程度进行审查，以确定是否对网上竞采文件的实质性要求作出响应。符合性检查资料表如下：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58"/>
        <w:gridCol w:w="1984"/>
        <w:gridCol w:w="5409"/>
      </w:tblGrid>
      <w:tr w14:paraId="4FE5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77" w:type="dxa"/>
            <w:vAlign w:val="center"/>
          </w:tcPr>
          <w:p w14:paraId="4B14D83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42" w:type="dxa"/>
            <w:gridSpan w:val="2"/>
            <w:vAlign w:val="center"/>
          </w:tcPr>
          <w:p w14:paraId="79B6A24B">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6E7D16E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14E6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vMerge w:val="restart"/>
            <w:vAlign w:val="center"/>
          </w:tcPr>
          <w:p w14:paraId="2A3BF80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58" w:type="dxa"/>
            <w:vMerge w:val="restart"/>
            <w:vAlign w:val="center"/>
          </w:tcPr>
          <w:p w14:paraId="59A6374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14:paraId="58A43EE4">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14:paraId="300D9A54">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网上电子文档及响应文件</w:t>
            </w:r>
            <w:r>
              <w:rPr>
                <w:rFonts w:hint="eastAsia" w:ascii="宋体" w:hAnsi="宋体" w:eastAsia="宋体" w:cs="宋体"/>
                <w:color w:val="auto"/>
                <w:sz w:val="24"/>
                <w:szCs w:val="24"/>
                <w:highlight w:val="none"/>
              </w:rPr>
              <w:t>上法定代表人或其授权代表人的签字齐全。</w:t>
            </w:r>
          </w:p>
        </w:tc>
      </w:tr>
      <w:tr w14:paraId="2898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77" w:type="dxa"/>
            <w:vMerge w:val="continue"/>
            <w:vAlign w:val="center"/>
          </w:tcPr>
          <w:p w14:paraId="63E81F48">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5B050351">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p>
        </w:tc>
        <w:tc>
          <w:tcPr>
            <w:tcW w:w="1984" w:type="dxa"/>
            <w:vAlign w:val="center"/>
          </w:tcPr>
          <w:p w14:paraId="6A5D256C">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14:paraId="127188C3">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w:t>
            </w:r>
            <w:r>
              <w:rPr>
                <w:rFonts w:hint="eastAsia" w:ascii="宋体" w:hAnsi="宋体" w:eastAsia="宋体" w:cs="宋体"/>
                <w:color w:val="auto"/>
                <w:sz w:val="24"/>
                <w:szCs w:val="24"/>
                <w:highlight w:val="none"/>
                <w:lang w:val="en-US" w:eastAsia="zh-CN"/>
              </w:rPr>
              <w:t>或其</w:t>
            </w:r>
            <w:r>
              <w:rPr>
                <w:rFonts w:hint="eastAsia" w:ascii="宋体" w:hAnsi="宋体" w:eastAsia="宋体" w:cs="宋体"/>
                <w:color w:val="auto"/>
                <w:sz w:val="24"/>
                <w:szCs w:val="24"/>
                <w:highlight w:val="none"/>
              </w:rPr>
              <w:t>授权委托书有效，符合网上竞采文件规定的格式，签字或盖章齐全。</w:t>
            </w:r>
          </w:p>
        </w:tc>
      </w:tr>
      <w:tr w14:paraId="77D9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77" w:type="dxa"/>
            <w:vMerge w:val="continue"/>
            <w:vAlign w:val="center"/>
          </w:tcPr>
          <w:p w14:paraId="79237F5C">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61D9DDB6">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p>
        </w:tc>
        <w:tc>
          <w:tcPr>
            <w:tcW w:w="1984" w:type="dxa"/>
            <w:vAlign w:val="center"/>
          </w:tcPr>
          <w:p w14:paraId="7E1B818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14:paraId="00452643">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0378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77" w:type="dxa"/>
            <w:vMerge w:val="continue"/>
            <w:vAlign w:val="center"/>
          </w:tcPr>
          <w:p w14:paraId="6E7132A2">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07B064EB">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p>
        </w:tc>
        <w:tc>
          <w:tcPr>
            <w:tcW w:w="1984" w:type="dxa"/>
            <w:vAlign w:val="center"/>
          </w:tcPr>
          <w:p w14:paraId="151C4CC9">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14:paraId="79BA847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0A2A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77" w:type="dxa"/>
            <w:vAlign w:val="center"/>
          </w:tcPr>
          <w:p w14:paraId="2F2143A1">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58" w:type="dxa"/>
            <w:vAlign w:val="center"/>
          </w:tcPr>
          <w:p w14:paraId="2A2C475D">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14:paraId="7FBA866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14:paraId="31C2685F">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响应文件数量符合网上竞采文件要求。</w:t>
            </w:r>
          </w:p>
        </w:tc>
      </w:tr>
      <w:tr w14:paraId="2279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7" w:type="dxa"/>
            <w:vMerge w:val="restart"/>
            <w:vAlign w:val="center"/>
          </w:tcPr>
          <w:p w14:paraId="262B9C34">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58" w:type="dxa"/>
            <w:vMerge w:val="restart"/>
            <w:vAlign w:val="center"/>
          </w:tcPr>
          <w:p w14:paraId="72142D36">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网上竞采文件的响应程度审查</w:t>
            </w:r>
          </w:p>
        </w:tc>
        <w:tc>
          <w:tcPr>
            <w:tcW w:w="1984" w:type="dxa"/>
            <w:vAlign w:val="center"/>
          </w:tcPr>
          <w:p w14:paraId="0B1764E9">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vAlign w:val="center"/>
          </w:tcPr>
          <w:p w14:paraId="1B86EE8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对网上竞采文件第二篇</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第三篇规定的网上竞采内容作出响应。</w:t>
            </w:r>
          </w:p>
        </w:tc>
      </w:tr>
      <w:tr w14:paraId="6AF0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77" w:type="dxa"/>
            <w:vMerge w:val="continue"/>
            <w:vAlign w:val="center"/>
          </w:tcPr>
          <w:p w14:paraId="2676AF77">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color w:val="auto"/>
                <w:kern w:val="0"/>
                <w:sz w:val="24"/>
                <w:szCs w:val="24"/>
                <w:highlight w:val="none"/>
              </w:rPr>
            </w:pPr>
          </w:p>
        </w:tc>
        <w:tc>
          <w:tcPr>
            <w:tcW w:w="1458" w:type="dxa"/>
            <w:vMerge w:val="continue"/>
            <w:vAlign w:val="center"/>
          </w:tcPr>
          <w:p w14:paraId="32362479">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sz w:val="24"/>
                <w:szCs w:val="24"/>
                <w:highlight w:val="none"/>
                <w:lang w:val="zh-CN"/>
              </w:rPr>
            </w:pPr>
          </w:p>
        </w:tc>
        <w:tc>
          <w:tcPr>
            <w:tcW w:w="1984" w:type="dxa"/>
            <w:vAlign w:val="center"/>
          </w:tcPr>
          <w:p w14:paraId="6222114B">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网上竞采有效期</w:t>
            </w:r>
          </w:p>
        </w:tc>
        <w:tc>
          <w:tcPr>
            <w:tcW w:w="5409" w:type="dxa"/>
            <w:vAlign w:val="center"/>
          </w:tcPr>
          <w:p w14:paraId="4FFE5432">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满足网上竞采文件</w:t>
            </w:r>
            <w:r>
              <w:rPr>
                <w:rFonts w:hint="eastAsia" w:ascii="宋体" w:hAnsi="宋体" w:eastAsia="宋体" w:cs="宋体"/>
                <w:color w:val="auto"/>
                <w:sz w:val="24"/>
                <w:szCs w:val="24"/>
                <w:highlight w:val="none"/>
                <w:lang w:val="zh-CN"/>
              </w:rPr>
              <w:t>规定。</w:t>
            </w:r>
          </w:p>
        </w:tc>
      </w:tr>
    </w:tbl>
    <w:p w14:paraId="34492E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8F1B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B239E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（四）在网上竞采过程中网上竞采的任何一方不得向他人透露与网上竞采有关的服务资料、价格或其他信息。</w:t>
      </w:r>
    </w:p>
    <w:p w14:paraId="50975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（五）供应商在网上竞采时作出的所有书面承诺须由法定代表人或其授权代表签字。</w:t>
      </w:r>
    </w:p>
    <w:p w14:paraId="0F84AEA5">
      <w:pPr>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3.成交原则</w:t>
      </w:r>
    </w:p>
    <w:p w14:paraId="5182D9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（一）评审小组将依照本竞采文件相关规定对技术（质量）和服务均能满足实质性响应要求的供应商所提交的报价按照由低到高的顺序提出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名以上成交候选人，并编写评审报告。</w:t>
      </w:r>
    </w:p>
    <w:p w14:paraId="7072B3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（二）若供应商的报价相同，按技术（质量）的优劣顺序排列；以上都相同的，按</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条款的优劣顺序排列。</w:t>
      </w:r>
    </w:p>
    <w:p w14:paraId="11E2A8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（三）成交价格=成交供应商的报价。</w:t>
      </w:r>
    </w:p>
    <w:p w14:paraId="69B07AFE">
      <w:pPr>
        <w:rPr>
          <w:color w:val="auto"/>
          <w:sz w:val="24"/>
          <w:szCs w:val="18"/>
        </w:rPr>
      </w:pPr>
    </w:p>
    <w:p w14:paraId="7F9D60B7">
      <w:pPr>
        <w:snapToGrid w:val="0"/>
        <w:spacing w:line="400" w:lineRule="exact"/>
        <w:ind w:firstLine="465"/>
        <w:rPr>
          <w:rFonts w:hint="eastAsia" w:ascii="宋体" w:hAnsi="宋体" w:cs="宋体"/>
          <w:b w:val="0"/>
          <w:bCs w:val="0"/>
          <w:color w:val="auto"/>
          <w:sz w:val="24"/>
          <w:szCs w:val="24"/>
          <w:highlight w:val="none"/>
        </w:rPr>
      </w:pPr>
      <w:r>
        <w:rPr>
          <w:rFonts w:hint="eastAsia" w:ascii="宋体" w:hAnsi="宋体" w:cs="宋体"/>
          <w:b/>
          <w:bCs/>
          <w:color w:val="auto"/>
          <w:sz w:val="24"/>
          <w:szCs w:val="24"/>
          <w:highlight w:val="none"/>
        </w:rPr>
        <w:t>注：</w:t>
      </w:r>
      <w:r>
        <w:rPr>
          <w:rFonts w:hint="eastAsia" w:ascii="宋体" w:hAnsi="宋体" w:cs="宋体"/>
          <w:b w:val="0"/>
          <w:bCs w:val="0"/>
          <w:color w:val="auto"/>
          <w:sz w:val="24"/>
          <w:szCs w:val="24"/>
          <w:highlight w:val="none"/>
          <w:lang w:eastAsia="zh-CN"/>
        </w:rPr>
        <w:t>（一）</w:t>
      </w:r>
      <w:r>
        <w:rPr>
          <w:rFonts w:hint="eastAsia" w:ascii="宋体" w:hAnsi="宋体" w:cs="宋体"/>
          <w:b w:val="0"/>
          <w:bCs w:val="0"/>
          <w:color w:val="auto"/>
          <w:sz w:val="24"/>
          <w:szCs w:val="24"/>
          <w:highlight w:val="none"/>
        </w:rPr>
        <w:t>政府采购异常低价问题有关事项的说明</w:t>
      </w:r>
    </w:p>
    <w:p w14:paraId="36EA08D8">
      <w:pPr>
        <w:snapToGrid w:val="0"/>
        <w:spacing w:line="400" w:lineRule="exact"/>
        <w:ind w:firstLine="465"/>
        <w:rPr>
          <w:rFonts w:hint="eastAsia" w:ascii="宋体" w:hAnsi="宋体" w:cs="宋体"/>
          <w:color w:val="auto"/>
          <w:sz w:val="24"/>
          <w:szCs w:val="24"/>
          <w:highlight w:val="none"/>
          <w:lang w:bidi="ar"/>
        </w:rPr>
      </w:pPr>
      <w:r>
        <w:rPr>
          <w:rFonts w:hint="eastAsia" w:ascii="宋体" w:hAnsi="宋体" w:cs="宋体"/>
          <w:color w:val="auto"/>
          <w:sz w:val="24"/>
          <w:szCs w:val="24"/>
          <w:highlight w:val="none"/>
        </w:rPr>
        <w:t>1.根据《关于推动解决政府采购异常低价问题的通知》财库〔2026〕2号文件规定，</w:t>
      </w:r>
      <w:r>
        <w:rPr>
          <w:rFonts w:hint="eastAsia" w:ascii="宋体" w:hAnsi="宋体" w:cs="宋体"/>
          <w:color w:val="auto"/>
          <w:sz w:val="24"/>
          <w:szCs w:val="24"/>
          <w:highlight w:val="none"/>
          <w:lang w:bidi="ar"/>
        </w:rPr>
        <w:t>政府采购评审中出现下列情形之一的，评标委员会应当启动异常低价投标审查程序：</w:t>
      </w:r>
    </w:p>
    <w:p w14:paraId="18DACA4E">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1 投标报价低于全部通过符合性审查投标人投标报价平均值50%的，即投标报价＜全部通过符合性审查投标人投标报价平均值×50%；</w:t>
      </w:r>
    </w:p>
    <w:p w14:paraId="040848EF">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2 投标报价低于通过符合性审查的次低报价投标人投标报价50%的，即投标报价＜通过符合性审查的次低报价投标人投标报价×50%；</w:t>
      </w:r>
    </w:p>
    <w:p w14:paraId="0DCAA22B">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3 投标报价低于采购项目最高限价45%的，即投标报价＜采购项目最高限价×45%；</w:t>
      </w:r>
    </w:p>
    <w:p w14:paraId="5B8FA1B1">
      <w:pPr>
        <w:widowControl/>
        <w:snapToGrid w:val="0"/>
        <w:spacing w:line="400" w:lineRule="exact"/>
        <w:ind w:firstLine="46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4 评标委员会基于专业判断，认为投标人报价过低，有可能影响产品质量或者不能诚信履约的其他情形。</w:t>
      </w:r>
    </w:p>
    <w:p w14:paraId="116D73FF">
      <w:pPr>
        <w:widowControl/>
        <w:snapToGrid w:val="0"/>
        <w:spacing w:line="400" w:lineRule="exact"/>
        <w:ind w:firstLine="465"/>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526D64C9">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6B26BAB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三、无效响应</w:t>
      </w:r>
    </w:p>
    <w:p w14:paraId="47D620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供应商发生以下条款情况之一者，视为无效报价：</w:t>
      </w:r>
    </w:p>
    <w:p w14:paraId="7CAB96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5DC78D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4B94F2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（三）供应商所提交的响应文件未按竞选文件要求签署或盖章的；</w:t>
      </w:r>
    </w:p>
    <w:p w14:paraId="2C2FF7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472F0D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33440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699D2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和竞采邀请书规定的其他无效情形。</w:t>
      </w:r>
    </w:p>
    <w:p w14:paraId="463C87E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四、采购终止</w:t>
      </w:r>
    </w:p>
    <w:p w14:paraId="1B36E4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23FB94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0580B7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361A13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75EC5DBD">
      <w:pPr>
        <w:snapToGrid w:val="0"/>
        <w:spacing w:line="360" w:lineRule="auto"/>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（四）项目出现其他实质性影响，可能导致项目无法正常开展的情形。</w:t>
      </w:r>
    </w:p>
    <w:p w14:paraId="412D0489">
      <w:pPr>
        <w:jc w:val="center"/>
        <w:rPr>
          <w:rFonts w:hint="eastAsia" w:ascii="宋体" w:hAnsi="宋体" w:eastAsia="宋体" w:cs="宋体"/>
          <w:b/>
          <w:bCs/>
          <w:color w:val="auto"/>
          <w:sz w:val="36"/>
          <w:szCs w:val="36"/>
          <w:highlight w:val="none"/>
        </w:rPr>
      </w:pPr>
      <w:bookmarkStart w:id="61" w:name="_Toc16203"/>
      <w:r>
        <w:rPr>
          <w:rFonts w:hint="eastAsia" w:ascii="宋体" w:hAnsi="宋体" w:eastAsia="宋体" w:cs="宋体"/>
          <w:b/>
          <w:bCs/>
          <w:color w:val="auto"/>
          <w:sz w:val="36"/>
          <w:szCs w:val="36"/>
          <w:highlight w:val="none"/>
        </w:rPr>
        <w:t>第五篇  供应商须知</w:t>
      </w:r>
      <w:bookmarkEnd w:id="57"/>
      <w:bookmarkEnd w:id="58"/>
      <w:bookmarkEnd w:id="59"/>
      <w:bookmarkEnd w:id="61"/>
    </w:p>
    <w:p w14:paraId="73CB0154">
      <w:pPr>
        <w:pStyle w:val="32"/>
        <w:ind w:firstLine="482"/>
        <w:rPr>
          <w:rFonts w:hint="eastAsia" w:ascii="宋体" w:hAnsi="宋体" w:eastAsia="宋体" w:cs="宋体"/>
          <w:b/>
          <w:bCs/>
          <w:color w:val="auto"/>
          <w:szCs w:val="28"/>
          <w:highlight w:val="none"/>
        </w:rPr>
      </w:pPr>
      <w:bookmarkStart w:id="62" w:name="_Toc342913389"/>
      <w:bookmarkStart w:id="63" w:name="_Toc76462338"/>
      <w:bookmarkStart w:id="64" w:name="_Toc106030893"/>
      <w:r>
        <w:rPr>
          <w:rFonts w:hint="eastAsia" w:ascii="宋体" w:hAnsi="宋体" w:eastAsia="宋体" w:cs="宋体"/>
          <w:b/>
          <w:bCs/>
          <w:color w:val="auto"/>
          <w:szCs w:val="28"/>
          <w:highlight w:val="none"/>
        </w:rPr>
        <w:t>一、竞采费用</w:t>
      </w:r>
      <w:bookmarkEnd w:id="62"/>
      <w:bookmarkEnd w:id="63"/>
      <w:bookmarkEnd w:id="64"/>
    </w:p>
    <w:p w14:paraId="49451A06">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参与竞采的供应商应承担其编制响应文件与递交响应文件所涉及的一切费用，不论竞采结果如何由供应商自行承担。</w:t>
      </w:r>
    </w:p>
    <w:p w14:paraId="35E540FD">
      <w:pPr>
        <w:pStyle w:val="32"/>
        <w:ind w:firstLine="482"/>
        <w:rPr>
          <w:rFonts w:hint="eastAsia" w:ascii="宋体" w:hAnsi="宋体" w:eastAsia="宋体" w:cs="宋体"/>
          <w:b/>
          <w:bCs/>
          <w:color w:val="auto"/>
          <w:szCs w:val="28"/>
          <w:highlight w:val="none"/>
        </w:rPr>
      </w:pPr>
      <w:bookmarkStart w:id="65" w:name="_Toc106030894"/>
      <w:bookmarkStart w:id="66" w:name="_Toc76462339"/>
      <w:bookmarkStart w:id="67" w:name="_Toc342913391"/>
      <w:r>
        <w:rPr>
          <w:rFonts w:hint="eastAsia" w:ascii="宋体" w:hAnsi="宋体" w:eastAsia="宋体" w:cs="宋体"/>
          <w:b/>
          <w:bCs/>
          <w:color w:val="auto"/>
          <w:szCs w:val="28"/>
          <w:highlight w:val="none"/>
        </w:rPr>
        <w:t>二、竞采文件</w:t>
      </w:r>
      <w:bookmarkEnd w:id="65"/>
      <w:bookmarkEnd w:id="66"/>
      <w:bookmarkEnd w:id="67"/>
    </w:p>
    <w:p w14:paraId="6B557EFF">
      <w:pPr>
        <w:pStyle w:val="32"/>
        <w:ind w:firstLine="480"/>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（一）</w:t>
      </w:r>
      <w:r>
        <w:rPr>
          <w:rFonts w:hint="eastAsia" w:ascii="宋体" w:hAnsi="宋体" w:eastAsia="宋体" w:cs="宋体"/>
          <w:b/>
          <w:bCs/>
          <w:color w:val="auto"/>
          <w:szCs w:val="28"/>
          <w:highlight w:val="none"/>
        </w:rPr>
        <w:t>竞采文件由采购邀请书、</w:t>
      </w:r>
      <w:r>
        <w:rPr>
          <w:rFonts w:hint="eastAsia" w:ascii="宋体" w:hAnsi="宋体" w:eastAsia="宋体" w:cs="宋体"/>
          <w:b/>
          <w:bCs/>
          <w:color w:val="auto"/>
          <w:szCs w:val="28"/>
          <w:highlight w:val="none"/>
          <w:lang w:eastAsia="zh-CN"/>
        </w:rPr>
        <w:t>项目技术需求</w:t>
      </w:r>
      <w:r>
        <w:rPr>
          <w:rFonts w:hint="eastAsia" w:ascii="宋体" w:hAnsi="宋体" w:eastAsia="宋体" w:cs="宋体"/>
          <w:b/>
          <w:bCs/>
          <w:color w:val="auto"/>
          <w:szCs w:val="28"/>
          <w:highlight w:val="none"/>
        </w:rPr>
        <w:t>、供应商须知、项目商务需求、竞采程序及评审标准、采购合同、响应文件编制要求七部分组成。</w:t>
      </w:r>
    </w:p>
    <w:p w14:paraId="6516849B">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（二）采购人（或采购代理机构）所作的一切有效的书面通知、修改及补充，都是竞采文件不可分割的部分。</w:t>
      </w:r>
    </w:p>
    <w:p w14:paraId="1844A990">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（三）竞采文件的解释</w:t>
      </w:r>
    </w:p>
    <w:p w14:paraId="5E1218D2">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68" w:name="_Toc318159349"/>
      <w:bookmarkStart w:id="69" w:name="_Toc318159160"/>
      <w:bookmarkStart w:id="70" w:name="_Toc318166429"/>
      <w:bookmarkStart w:id="71" w:name="_Toc318159780"/>
    </w:p>
    <w:p w14:paraId="52243F76">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（四）评审的依据为竞采文件和响应文件（含有效的书面承诺）。评审小组判断响应文件对竞采文件的响应，仅基于响应文件本身而不靠外部证据。</w:t>
      </w:r>
    </w:p>
    <w:bookmarkEnd w:id="68"/>
    <w:bookmarkEnd w:id="69"/>
    <w:bookmarkEnd w:id="70"/>
    <w:bookmarkEnd w:id="71"/>
    <w:p w14:paraId="5B672321">
      <w:pPr>
        <w:pStyle w:val="32"/>
        <w:ind w:firstLine="482"/>
        <w:rPr>
          <w:rFonts w:hint="eastAsia" w:ascii="宋体" w:hAnsi="宋体" w:eastAsia="宋体" w:cs="宋体"/>
          <w:b/>
          <w:bCs/>
          <w:color w:val="auto"/>
          <w:szCs w:val="28"/>
          <w:highlight w:val="none"/>
        </w:rPr>
      </w:pPr>
      <w:bookmarkStart w:id="72" w:name="_Toc76462340"/>
      <w:bookmarkStart w:id="73" w:name="_Toc106030895"/>
      <w:bookmarkStart w:id="74" w:name="_Toc342913392"/>
      <w:bookmarkStart w:id="75" w:name="_Toc102227318"/>
      <w:bookmarkStart w:id="76" w:name="_Toc179714297"/>
      <w:r>
        <w:rPr>
          <w:rFonts w:hint="eastAsia" w:ascii="宋体" w:hAnsi="宋体" w:eastAsia="宋体" w:cs="宋体"/>
          <w:b/>
          <w:bCs/>
          <w:color w:val="auto"/>
          <w:szCs w:val="28"/>
          <w:highlight w:val="none"/>
        </w:rPr>
        <w:t>三、竞采要求</w:t>
      </w:r>
      <w:bookmarkEnd w:id="72"/>
      <w:bookmarkEnd w:id="73"/>
      <w:bookmarkEnd w:id="74"/>
      <w:bookmarkEnd w:id="75"/>
      <w:bookmarkEnd w:id="76"/>
    </w:p>
    <w:p w14:paraId="3FE80D24">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（一）响应文件</w:t>
      </w:r>
    </w:p>
    <w:p w14:paraId="515FD136">
      <w:pPr>
        <w:pStyle w:val="32"/>
        <w:ind w:firstLine="480"/>
        <w:rPr>
          <w:rFonts w:hint="eastAsia" w:ascii="宋体" w:hAnsi="宋体" w:eastAsia="宋体" w:cs="宋体"/>
          <w:color w:val="auto"/>
          <w:sz w:val="48"/>
          <w:szCs w:val="48"/>
          <w:highlight w:val="none"/>
        </w:rPr>
      </w:pPr>
      <w:r>
        <w:rPr>
          <w:rFonts w:hint="eastAsia" w:ascii="宋体" w:hAnsi="宋体" w:eastAsia="宋体" w:cs="宋体"/>
          <w:color w:val="auto"/>
          <w:szCs w:val="28"/>
          <w:highlight w:val="none"/>
        </w:rPr>
        <w:t>1.供应商应当按照竞采文件的要求编制响应文件，并对竞采文件提出的要求和条件作出实质性响应。</w:t>
      </w:r>
    </w:p>
    <w:p w14:paraId="1D18A538">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2.响应文件组成</w:t>
      </w:r>
    </w:p>
    <w:p w14:paraId="66FABD35">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7EE5D1C">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（二）竞采有效期：响应文件及有关承诺文件有效期为提交响应文件截止时间起90天。</w:t>
      </w:r>
    </w:p>
    <w:p w14:paraId="1E3A1306">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（三）修正错误</w:t>
      </w:r>
    </w:p>
    <w:p w14:paraId="3B3F4CB9">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1.若供应商所递交的响应文件或最后报价中的价格出现大写金额和小写金额不一致的错误，以</w:t>
      </w:r>
      <w:r>
        <w:rPr>
          <w:rFonts w:hint="eastAsia" w:ascii="宋体" w:hAnsi="宋体" w:eastAsia="宋体" w:cs="宋体"/>
          <w:b/>
          <w:bCs/>
          <w:color w:val="auto"/>
          <w:szCs w:val="28"/>
          <w:highlight w:val="none"/>
          <w:u w:val="single"/>
        </w:rPr>
        <w:t>大写金额修正为准</w:t>
      </w:r>
      <w:r>
        <w:rPr>
          <w:rFonts w:hint="eastAsia" w:ascii="宋体" w:hAnsi="宋体" w:eastAsia="宋体" w:cs="宋体"/>
          <w:color w:val="auto"/>
          <w:szCs w:val="28"/>
          <w:highlight w:val="none"/>
        </w:rPr>
        <w:t>。</w:t>
      </w:r>
    </w:p>
    <w:p w14:paraId="2748AC87">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2.竞采小组按上述修正错误的原则及方法修正供应商的报价</w:t>
      </w:r>
      <w:r>
        <w:rPr>
          <w:rFonts w:hint="eastAsia" w:ascii="宋体" w:hAnsi="宋体" w:cs="宋体"/>
          <w:color w:val="auto"/>
          <w:szCs w:val="28"/>
          <w:highlight w:val="none"/>
          <w:lang w:eastAsia="zh-CN"/>
        </w:rPr>
        <w:t>，经</w:t>
      </w:r>
      <w:r>
        <w:rPr>
          <w:rFonts w:hint="eastAsia" w:ascii="宋体" w:hAnsi="宋体" w:eastAsia="宋体" w:cs="宋体"/>
          <w:color w:val="auto"/>
          <w:szCs w:val="28"/>
          <w:highlight w:val="none"/>
        </w:rPr>
        <w:t>供应商同意并签字确认后，修正后的报价对供应商具有约束作用。如果供应商不接受修正后的价格，将失去成为成交供应商的资格。</w:t>
      </w:r>
    </w:p>
    <w:p w14:paraId="62BC2EED">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（四）提交响应文件的份数和签署</w:t>
      </w:r>
    </w:p>
    <w:p w14:paraId="193D9316">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b/>
          <w:bCs/>
          <w:color w:val="auto"/>
          <w:szCs w:val="28"/>
          <w:highlight w:val="none"/>
        </w:rPr>
        <w:t>响应文件电子文档一份，纸质档一正两副</w:t>
      </w:r>
      <w:r>
        <w:rPr>
          <w:rFonts w:hint="eastAsia" w:ascii="宋体" w:hAnsi="宋体" w:eastAsia="宋体" w:cs="宋体"/>
          <w:color w:val="auto"/>
          <w:szCs w:val="28"/>
          <w:highlight w:val="none"/>
        </w:rPr>
        <w:t>。</w:t>
      </w:r>
    </w:p>
    <w:p w14:paraId="26EAA2B1">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2.响应文件按竞采文件“第七篇响应文件编制要求”要求签署或盖章。</w:t>
      </w:r>
    </w:p>
    <w:p w14:paraId="16BDEC45">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（五）响应文件的递交</w:t>
      </w:r>
    </w:p>
    <w:p w14:paraId="3642ED42">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响应文件的电子文档应在有效报名时间段内，通过竞采系统在线提交，响应文件纸质件可通过现场递交或邮寄。</w:t>
      </w:r>
    </w:p>
    <w:p w14:paraId="21DF1B77">
      <w:pPr>
        <w:pStyle w:val="32"/>
        <w:ind w:firstLine="482"/>
        <w:rPr>
          <w:rFonts w:hint="eastAsia" w:ascii="宋体" w:hAnsi="宋体" w:eastAsia="宋体" w:cs="宋体"/>
          <w:b/>
          <w:bCs/>
          <w:color w:val="auto"/>
          <w:szCs w:val="28"/>
          <w:highlight w:val="none"/>
        </w:rPr>
      </w:pPr>
      <w:bookmarkStart w:id="77" w:name="_Toc76462341"/>
      <w:bookmarkStart w:id="78" w:name="_Toc106030896"/>
      <w:r>
        <w:rPr>
          <w:rFonts w:hint="eastAsia" w:ascii="宋体" w:hAnsi="宋体" w:eastAsia="宋体" w:cs="宋体"/>
          <w:b/>
          <w:bCs/>
          <w:color w:val="auto"/>
          <w:szCs w:val="28"/>
          <w:highlight w:val="none"/>
        </w:rPr>
        <w:t>四、成交供应商的确认和变更</w:t>
      </w:r>
      <w:bookmarkEnd w:id="77"/>
      <w:bookmarkEnd w:id="78"/>
    </w:p>
    <w:p w14:paraId="495B8925">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（一）成交供应商的确认</w:t>
      </w:r>
    </w:p>
    <w:p w14:paraId="1EA864DF">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采购人应当在5个工作日内，从评审报告提出的成交候选供应商中，按照排序由高到低的原则确定成交供应商。</w:t>
      </w:r>
    </w:p>
    <w:p w14:paraId="03B1693F">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（二）成交供应商的变更</w:t>
      </w:r>
    </w:p>
    <w:p w14:paraId="34B10F53">
      <w:pPr>
        <w:pStyle w:val="32"/>
        <w:ind w:firstLine="480"/>
        <w:rPr>
          <w:rFonts w:hint="eastAsia" w:ascii="宋体" w:hAnsi="宋体" w:eastAsia="宋体" w:cs="宋体"/>
          <w:b/>
          <w:bCs/>
          <w:color w:val="auto"/>
          <w:szCs w:val="28"/>
          <w:highlight w:val="none"/>
        </w:rPr>
      </w:pPr>
      <w:r>
        <w:rPr>
          <w:rFonts w:hint="eastAsia" w:ascii="宋体" w:hAnsi="宋体" w:eastAsia="宋体" w:cs="宋体"/>
          <w:color w:val="auto"/>
          <w:szCs w:val="28"/>
          <w:highlight w:val="none"/>
        </w:rPr>
        <w:t>成交供应商拒绝与采购人签订合同的，采购人可以按照评标报告推荐的成交候选供应商顺序，确定排名下一位的候选人为成交供应商，也可以重新开展竞采活动。</w:t>
      </w:r>
      <w:bookmarkStart w:id="79" w:name="_Toc102227321"/>
      <w:bookmarkStart w:id="80" w:name="_Toc106030897"/>
      <w:bookmarkStart w:id="81" w:name="_Toc76462342"/>
      <w:bookmarkStart w:id="82" w:name="_Toc342913395"/>
    </w:p>
    <w:p w14:paraId="4FE89935">
      <w:pPr>
        <w:pStyle w:val="32"/>
        <w:ind w:firstLine="482"/>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五、成交通知</w:t>
      </w:r>
      <w:bookmarkEnd w:id="79"/>
      <w:bookmarkEnd w:id="80"/>
      <w:bookmarkEnd w:id="81"/>
      <w:bookmarkEnd w:id="82"/>
    </w:p>
    <w:p w14:paraId="259C27CB">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（一）成交供应商确定后，采购人/代理机构将在行采家平台（wwwg.gec123.com）上发布成交结果公告。</w:t>
      </w:r>
    </w:p>
    <w:p w14:paraId="3041ADCC">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（二）结果公告发出同时，采购人/代理机构将以书面形式发出《成交通知书》。《成交通知书》一经发出即发生法律效力。</w:t>
      </w:r>
    </w:p>
    <w:p w14:paraId="7C7E1478">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（三）《成交通知书》作为签订合同的依据。</w:t>
      </w:r>
    </w:p>
    <w:p w14:paraId="02A6D16F">
      <w:pPr>
        <w:pStyle w:val="32"/>
        <w:ind w:firstLine="482"/>
        <w:rPr>
          <w:rFonts w:hint="eastAsia" w:ascii="宋体" w:hAnsi="宋体" w:eastAsia="宋体" w:cs="宋体"/>
          <w:b/>
          <w:bCs/>
          <w:color w:val="auto"/>
          <w:szCs w:val="28"/>
          <w:highlight w:val="none"/>
        </w:rPr>
      </w:pPr>
      <w:bookmarkStart w:id="83" w:name="_Toc76462343"/>
      <w:bookmarkStart w:id="84" w:name="_Toc106030898"/>
      <w:r>
        <w:rPr>
          <w:rFonts w:hint="eastAsia" w:ascii="宋体" w:hAnsi="宋体" w:eastAsia="宋体" w:cs="宋体"/>
          <w:b/>
          <w:bCs/>
          <w:color w:val="auto"/>
          <w:szCs w:val="28"/>
          <w:highlight w:val="none"/>
        </w:rPr>
        <w:t>六、关于质疑和投诉</w:t>
      </w:r>
      <w:bookmarkEnd w:id="83"/>
      <w:bookmarkEnd w:id="84"/>
    </w:p>
    <w:p w14:paraId="6AC67D4C">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（一）质疑</w:t>
      </w:r>
    </w:p>
    <w:p w14:paraId="15AF94EB">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供应商认为采购文件、采购过程和成交结果使自己的权益受到伤害的，可向采购人或采购代理机构以书面形式质疑。</w:t>
      </w:r>
    </w:p>
    <w:p w14:paraId="44C8F28A">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提出质疑的应当是参与所质疑项目采购活动的供应商。 </w:t>
      </w:r>
    </w:p>
    <w:p w14:paraId="346044AD">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1.质疑时限、内容</w:t>
      </w:r>
    </w:p>
    <w:p w14:paraId="79401ADD">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供应商认为采购文件、采购过程、成交结果使自己的权益受到损害的，可以在知道或者应知其权益受到损害之日起</w:t>
      </w:r>
      <w:r>
        <w:rPr>
          <w:rFonts w:hint="eastAsia" w:ascii="宋体" w:hAnsi="宋体" w:eastAsia="宋体" w:cs="宋体"/>
          <w:b/>
          <w:bCs/>
          <w:color w:val="auto"/>
          <w:szCs w:val="28"/>
          <w:highlight w:val="none"/>
        </w:rPr>
        <w:t>2</w:t>
      </w:r>
      <w:r>
        <w:rPr>
          <w:rFonts w:hint="eastAsia" w:ascii="宋体" w:hAnsi="宋体" w:eastAsia="宋体" w:cs="宋体"/>
          <w:color w:val="auto"/>
          <w:szCs w:val="28"/>
          <w:highlight w:val="none"/>
        </w:rPr>
        <w:t>个工作日内，以书面形式向采购人、采购代理机构提出质疑。</w:t>
      </w:r>
    </w:p>
    <w:p w14:paraId="0B4EC787">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1.2供应商提出质疑应当提交质疑函和必要的证明材料，质疑函应当包括下列内容：</w:t>
      </w:r>
    </w:p>
    <w:p w14:paraId="196DD707">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1.2.1供应商的名称、地址、联系人及联系电话；</w:t>
      </w:r>
    </w:p>
    <w:p w14:paraId="241BB3B3">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1.2.2质疑项目的名称、采购编号；</w:t>
      </w:r>
    </w:p>
    <w:p w14:paraId="529F77C7">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1.2.3具体、明确的质疑事项和与质疑事项相关的请求；</w:t>
      </w:r>
    </w:p>
    <w:p w14:paraId="108BFD15">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1.2.4事实依据；</w:t>
      </w:r>
    </w:p>
    <w:p w14:paraId="4611C20C">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1.2.5必要的法律依据；</w:t>
      </w:r>
    </w:p>
    <w:p w14:paraId="6A334F09">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1.2.6提出质疑的日期；</w:t>
      </w:r>
    </w:p>
    <w:p w14:paraId="4BE5E9FA">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1.2.7营业执照（或事业单位法人证书，或个体工商户营业执照或有效的自然人身份证明）复印件；</w:t>
      </w:r>
    </w:p>
    <w:p w14:paraId="186D1430">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1.2.8法定代表人授权委托书原件、法定代表人身份证复印件和其授权代表人的身份证复印件（供应商为自然人的提供自然人身份证复印件）；</w:t>
      </w:r>
    </w:p>
    <w:p w14:paraId="2BC1CBD1">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1.3供应商为自然人的，质疑函应当由本人签字；供应商为法人或者其他组织的，质疑函应当由法定代表人、主要负责人，或者其授权代表签字或者盖章，并加盖公章。</w:t>
      </w:r>
    </w:p>
    <w:p w14:paraId="4000E8F8">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2.质疑答复</w:t>
      </w:r>
    </w:p>
    <w:p w14:paraId="7AFB8964">
      <w:pPr>
        <w:pStyle w:val="32"/>
        <w:ind w:firstLine="480"/>
        <w:rPr>
          <w:rFonts w:hint="eastAsia" w:ascii="宋体" w:hAnsi="宋体" w:eastAsia="宋体" w:cs="宋体"/>
          <w:b/>
          <w:bCs/>
          <w:color w:val="auto"/>
          <w:sz w:val="48"/>
          <w:szCs w:val="48"/>
          <w:highlight w:val="none"/>
        </w:rPr>
      </w:pPr>
      <w:r>
        <w:rPr>
          <w:rFonts w:hint="eastAsia" w:ascii="宋体" w:hAnsi="宋体" w:eastAsia="宋体" w:cs="宋体"/>
          <w:color w:val="auto"/>
          <w:szCs w:val="28"/>
          <w:highlight w:val="none"/>
        </w:rPr>
        <w:t>采购人、采购代理机构应当在收到供应商的书面质疑后2个工作日内作出答复，并以书面形式通知质疑供应商和其他有关供应商。</w:t>
      </w:r>
    </w:p>
    <w:p w14:paraId="4331061C">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（二）投诉</w:t>
      </w:r>
    </w:p>
    <w:p w14:paraId="28451E55">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1.供应商对采购人、采购代理机构的答复不满意，或者采购人、采购代理机构未在规定时间内作出答复的，可以在答复期满后2个工作日内</w:t>
      </w:r>
      <w:r>
        <w:rPr>
          <w:rFonts w:hint="eastAsia" w:ascii="宋体" w:hAnsi="宋体" w:eastAsia="宋体" w:cs="宋体"/>
          <w:b/>
          <w:bCs/>
          <w:color w:val="auto"/>
          <w:szCs w:val="28"/>
          <w:highlight w:val="none"/>
          <w:u w:val="single"/>
        </w:rPr>
        <w:t>按照平台相关规则规定向平台运营方</w:t>
      </w:r>
      <w:r>
        <w:rPr>
          <w:rFonts w:hint="eastAsia" w:ascii="宋体" w:hAnsi="宋体" w:eastAsia="宋体" w:cs="宋体"/>
          <w:color w:val="auto"/>
          <w:szCs w:val="28"/>
          <w:highlight w:val="none"/>
        </w:rPr>
        <w:t>提起投诉。</w:t>
      </w:r>
    </w:p>
    <w:p w14:paraId="04835927">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2.在确定受理投诉后，</w:t>
      </w:r>
      <w:r>
        <w:rPr>
          <w:rFonts w:hint="eastAsia" w:ascii="宋体" w:hAnsi="宋体" w:eastAsia="宋体" w:cs="宋体"/>
          <w:b/>
          <w:bCs/>
          <w:color w:val="auto"/>
          <w:szCs w:val="28"/>
          <w:highlight w:val="none"/>
          <w:u w:val="single"/>
        </w:rPr>
        <w:t>平台运营方自受理投诉之日起7个工作日内</w:t>
      </w:r>
      <w:r>
        <w:rPr>
          <w:rFonts w:hint="eastAsia" w:ascii="宋体" w:hAnsi="宋体" w:eastAsia="宋体" w:cs="宋体"/>
          <w:color w:val="auto"/>
          <w:szCs w:val="28"/>
          <w:highlight w:val="none"/>
        </w:rPr>
        <w:t>（需要检验、检测、鉴定、专家评审以及需要投诉人补正材料的，所需时间不计算在投诉处理期限内）对投诉事项做出处理决定。</w:t>
      </w:r>
    </w:p>
    <w:p w14:paraId="658B6C10">
      <w:pPr>
        <w:pStyle w:val="32"/>
        <w:ind w:firstLine="482"/>
        <w:rPr>
          <w:rFonts w:hint="eastAsia" w:ascii="宋体" w:hAnsi="宋体" w:eastAsia="宋体" w:cs="宋体"/>
          <w:b/>
          <w:bCs/>
          <w:color w:val="auto"/>
          <w:szCs w:val="28"/>
          <w:highlight w:val="none"/>
        </w:rPr>
      </w:pPr>
      <w:bookmarkStart w:id="85" w:name="_Toc76462344"/>
      <w:bookmarkStart w:id="86" w:name="_Toc106030899"/>
      <w:r>
        <w:rPr>
          <w:rFonts w:hint="eastAsia" w:ascii="宋体" w:hAnsi="宋体" w:eastAsia="宋体" w:cs="宋体"/>
          <w:b/>
          <w:bCs/>
          <w:color w:val="auto"/>
          <w:szCs w:val="28"/>
          <w:highlight w:val="none"/>
        </w:rPr>
        <w:t>七、采购代理服务费</w:t>
      </w:r>
      <w:bookmarkEnd w:id="85"/>
      <w:bookmarkEnd w:id="86"/>
    </w:p>
    <w:p w14:paraId="6716DCBB">
      <w:pPr>
        <w:spacing w:line="400" w:lineRule="exact"/>
        <w:ind w:firstLine="480" w:firstLineChars="200"/>
        <w:rPr>
          <w:rFonts w:hint="eastAsia" w:ascii="宋体" w:hAnsi="宋体" w:eastAsia="宋体" w:cs="宋体"/>
          <w:color w:val="auto"/>
          <w:sz w:val="24"/>
          <w:highlight w:val="none"/>
        </w:rPr>
      </w:pPr>
      <w:bookmarkStart w:id="87" w:name="OLE_LINK7"/>
      <w:bookmarkStart w:id="88" w:name="OLE_LINK8"/>
      <w:bookmarkStart w:id="89" w:name="_Toc102227322"/>
      <w:bookmarkStart w:id="90" w:name="_Toc106030901"/>
      <w:bookmarkStart w:id="91" w:name="_Toc342913396"/>
      <w:bookmarkStart w:id="92" w:name="_Toc76462346"/>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代理服务费，采购代理服务费为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000元人民币。</w:t>
      </w:r>
    </w:p>
    <w:p w14:paraId="629B9D7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2、服务费以现金、转账等形式支付。</w:t>
      </w:r>
    </w:p>
    <w:p w14:paraId="06F4D8D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3、采购代理服务费缴纳账户信息：</w:t>
      </w:r>
    </w:p>
    <w:p w14:paraId="7A2E83B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户  名：同致诚工程咨询有限公司 </w:t>
      </w:r>
    </w:p>
    <w:p w14:paraId="657F1F3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开户行：招商银行重庆分行营业部</w:t>
      </w:r>
    </w:p>
    <w:p w14:paraId="58DDCCB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账号：123905532310301</w:t>
      </w:r>
    </w:p>
    <w:bookmarkEnd w:id="87"/>
    <w:bookmarkEnd w:id="88"/>
    <w:p w14:paraId="4D837237">
      <w:pPr>
        <w:pStyle w:val="32"/>
        <w:ind w:firstLine="482"/>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八、签订</w:t>
      </w:r>
      <w:bookmarkEnd w:id="89"/>
      <w:r>
        <w:rPr>
          <w:rFonts w:hint="eastAsia" w:ascii="宋体" w:hAnsi="宋体" w:eastAsia="宋体" w:cs="宋体"/>
          <w:b/>
          <w:bCs/>
          <w:color w:val="auto"/>
          <w:szCs w:val="28"/>
          <w:highlight w:val="none"/>
        </w:rPr>
        <w:t>合同</w:t>
      </w:r>
      <w:bookmarkEnd w:id="90"/>
      <w:bookmarkEnd w:id="91"/>
      <w:bookmarkEnd w:id="92"/>
    </w:p>
    <w:p w14:paraId="413EA70C">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（一）采购人原则上应在结果公告发出之日起</w:t>
      </w:r>
      <w:r>
        <w:rPr>
          <w:rFonts w:hint="eastAsia" w:ascii="宋体" w:hAnsi="宋体" w:eastAsia="宋体" w:cs="宋体"/>
          <w:color w:val="auto"/>
          <w:szCs w:val="28"/>
          <w:highlight w:val="none"/>
          <w:lang w:val="en-US" w:eastAsia="zh-CN"/>
        </w:rPr>
        <w:t>20</w:t>
      </w:r>
      <w:r>
        <w:rPr>
          <w:rFonts w:hint="eastAsia" w:ascii="宋体" w:hAnsi="宋体" w:eastAsia="宋体" w:cs="宋体"/>
          <w:color w:val="auto"/>
          <w:szCs w:val="28"/>
          <w:highlight w:val="none"/>
        </w:rPr>
        <w:t>日内和成交供应商签订采购合同，无正当理由不得拒绝或拖延合同签订。所签订的合同不得对竞采文件和供应商的响应文件作实质性修改。其他未尽事宜由采购人和成交供应商在采购合同中详细约定。</w:t>
      </w:r>
    </w:p>
    <w:p w14:paraId="14D95A62">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（二）竞采文件、供应商的响应文件及澄清文件等，均为签订采购合同的依据。</w:t>
      </w:r>
    </w:p>
    <w:p w14:paraId="5E7FE1BE">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（三）合同生效条款由供需双方约定，法律、行政法规规定应当办理批准、登记等手续后生效的合同，依照其规定。</w:t>
      </w:r>
    </w:p>
    <w:p w14:paraId="6A193548">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（四）合同原则上应按照《采购合同》签订，相关单位要求适用合同通用格式版本的，应按其要求另行签订其他合同。</w:t>
      </w:r>
    </w:p>
    <w:p w14:paraId="5AC993C9">
      <w:pPr>
        <w:pStyle w:val="32"/>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（五）采购人要求成交供应商提供履约保证金的，应当在采购文件中予以约定。成交供应商履约完毕后，采购人根据采购文件规定无息退还其履约保证金。</w:t>
      </w:r>
    </w:p>
    <w:p w14:paraId="506BE5A0">
      <w:pPr>
        <w:rPr>
          <w:rFonts w:hint="eastAsia" w:ascii="宋体" w:hAnsi="宋体" w:eastAsia="宋体" w:cs="宋体"/>
          <w:b/>
          <w:bCs/>
          <w:color w:val="auto"/>
          <w:sz w:val="36"/>
          <w:szCs w:val="36"/>
          <w:highlight w:val="none"/>
        </w:rPr>
      </w:pPr>
      <w:bookmarkStart w:id="93" w:name="_Toc109836391"/>
      <w:r>
        <w:rPr>
          <w:rFonts w:hint="eastAsia" w:ascii="宋体" w:hAnsi="宋体" w:eastAsia="宋体" w:cs="宋体"/>
          <w:b/>
          <w:bCs/>
          <w:color w:val="auto"/>
          <w:sz w:val="36"/>
          <w:szCs w:val="36"/>
          <w:highlight w:val="none"/>
        </w:rPr>
        <w:br w:type="page"/>
      </w:r>
    </w:p>
    <w:p w14:paraId="7113B36B">
      <w:pPr>
        <w:pStyle w:val="32"/>
        <w:ind w:left="0" w:leftChars="0" w:firstLine="0" w:firstLineChars="0"/>
        <w:jc w:val="center"/>
        <w:outlineLvl w:val="0"/>
        <w:rPr>
          <w:rFonts w:hint="eastAsia" w:ascii="宋体" w:hAnsi="宋体" w:eastAsia="宋体" w:cs="宋体"/>
          <w:b/>
          <w:bCs/>
          <w:color w:val="auto"/>
          <w:sz w:val="36"/>
          <w:szCs w:val="36"/>
          <w:highlight w:val="none"/>
        </w:rPr>
      </w:pPr>
      <w:bookmarkStart w:id="94" w:name="_Toc12321"/>
      <w:r>
        <w:rPr>
          <w:rFonts w:hint="eastAsia" w:ascii="宋体" w:hAnsi="宋体" w:eastAsia="宋体" w:cs="宋体"/>
          <w:b/>
          <w:bCs/>
          <w:color w:val="auto"/>
          <w:sz w:val="36"/>
          <w:szCs w:val="36"/>
          <w:highlight w:val="none"/>
        </w:rPr>
        <w:t>第六篇  采购合同</w:t>
      </w:r>
      <w:bookmarkEnd w:id="93"/>
      <w:bookmarkEnd w:id="94"/>
    </w:p>
    <w:p w14:paraId="6424A167">
      <w:pPr>
        <w:spacing w:line="660" w:lineRule="exact"/>
        <w:jc w:val="center"/>
        <w:rPr>
          <w:rFonts w:hint="eastAsia" w:ascii="宋体" w:hAnsi="宋体" w:eastAsia="宋体" w:cs="宋体"/>
          <w:color w:val="auto"/>
          <w:szCs w:val="28"/>
          <w:highlight w:val="none"/>
        </w:rPr>
      </w:pPr>
    </w:p>
    <w:p w14:paraId="2BC7EFAE">
      <w:pPr>
        <w:spacing w:line="660" w:lineRule="exact"/>
        <w:ind w:firstLine="960"/>
        <w:jc w:val="center"/>
        <w:rPr>
          <w:rFonts w:hint="eastAsia" w:ascii="宋体" w:hAnsi="宋体" w:eastAsia="宋体" w:cs="宋体"/>
          <w:color w:val="auto"/>
          <w:sz w:val="48"/>
          <w:szCs w:val="48"/>
          <w:highlight w:val="none"/>
        </w:rPr>
      </w:pPr>
      <w:bookmarkStart w:id="95" w:name="_Hlt41879464"/>
      <w:bookmarkEnd w:id="95"/>
      <w:bookmarkStart w:id="96" w:name="_Toc5319"/>
      <w:bookmarkStart w:id="97" w:name="_Hlk27399531"/>
    </w:p>
    <w:p w14:paraId="1709C64E">
      <w:pPr>
        <w:spacing w:line="660" w:lineRule="exact"/>
        <w:ind w:firstLine="960"/>
        <w:jc w:val="center"/>
        <w:rPr>
          <w:rFonts w:hint="eastAsia" w:ascii="宋体" w:hAnsi="宋体" w:eastAsia="宋体" w:cs="宋体"/>
          <w:color w:val="auto"/>
          <w:sz w:val="48"/>
          <w:szCs w:val="48"/>
          <w:highlight w:val="none"/>
        </w:rPr>
      </w:pPr>
    </w:p>
    <w:p w14:paraId="07382E7A">
      <w:pPr>
        <w:spacing w:line="660" w:lineRule="exact"/>
        <w:jc w:val="center"/>
        <w:rPr>
          <w:rFonts w:hint="eastAsia" w:ascii="宋体" w:hAnsi="宋体" w:eastAsia="宋体" w:cs="宋体"/>
          <w:color w:val="auto"/>
          <w:sz w:val="52"/>
          <w:szCs w:val="52"/>
        </w:rPr>
      </w:pPr>
      <w:r>
        <w:rPr>
          <w:rFonts w:hint="eastAsia" w:ascii="宋体" w:hAnsi="宋体" w:eastAsia="宋体" w:cs="宋体"/>
          <w:color w:val="auto"/>
          <w:sz w:val="52"/>
          <w:szCs w:val="52"/>
        </w:rPr>
        <w:t>重庆中医药学院服务采购合同</w:t>
      </w:r>
    </w:p>
    <w:p w14:paraId="0D8A8CD2">
      <w:pPr>
        <w:spacing w:line="660" w:lineRule="exact"/>
        <w:jc w:val="center"/>
        <w:rPr>
          <w:rFonts w:hint="eastAsia" w:ascii="宋体" w:hAnsi="宋体" w:eastAsia="宋体" w:cs="宋体"/>
          <w:color w:val="auto"/>
          <w:sz w:val="48"/>
          <w:szCs w:val="48"/>
        </w:rPr>
      </w:pPr>
    </w:p>
    <w:p w14:paraId="01539BF5">
      <w:pPr>
        <w:spacing w:line="660" w:lineRule="exact"/>
        <w:jc w:val="center"/>
        <w:rPr>
          <w:rFonts w:hint="eastAsia" w:ascii="宋体" w:hAnsi="宋体" w:eastAsia="宋体" w:cs="宋体"/>
          <w:color w:val="auto"/>
          <w:sz w:val="48"/>
          <w:szCs w:val="48"/>
        </w:rPr>
      </w:pPr>
    </w:p>
    <w:p w14:paraId="7E636CC6">
      <w:pPr>
        <w:spacing w:line="660" w:lineRule="exact"/>
        <w:jc w:val="center"/>
        <w:rPr>
          <w:rFonts w:hint="eastAsia" w:ascii="宋体" w:hAnsi="宋体" w:eastAsia="宋体" w:cs="宋体"/>
          <w:color w:val="auto"/>
          <w:sz w:val="48"/>
          <w:szCs w:val="48"/>
        </w:rPr>
      </w:pPr>
    </w:p>
    <w:p w14:paraId="7F1A4742">
      <w:pPr>
        <w:spacing w:line="660" w:lineRule="exact"/>
        <w:jc w:val="center"/>
        <w:rPr>
          <w:rFonts w:hint="eastAsia" w:ascii="宋体" w:hAnsi="宋体" w:eastAsia="宋体" w:cs="宋体"/>
          <w:color w:val="auto"/>
          <w:sz w:val="48"/>
          <w:szCs w:val="48"/>
        </w:rPr>
      </w:pPr>
    </w:p>
    <w:p w14:paraId="72C3B1F1">
      <w:pPr>
        <w:spacing w:line="660" w:lineRule="exact"/>
        <w:jc w:val="center"/>
        <w:rPr>
          <w:rFonts w:hint="eastAsia" w:ascii="宋体" w:hAnsi="宋体" w:eastAsia="宋体" w:cs="宋体"/>
          <w:color w:val="auto"/>
          <w:sz w:val="48"/>
          <w:szCs w:val="48"/>
        </w:rPr>
      </w:pPr>
    </w:p>
    <w:p w14:paraId="04F1988F">
      <w:pPr>
        <w:spacing w:line="660" w:lineRule="exact"/>
        <w:jc w:val="center"/>
        <w:rPr>
          <w:rFonts w:hint="eastAsia" w:ascii="宋体" w:hAnsi="宋体" w:eastAsia="宋体" w:cs="宋体"/>
          <w:color w:val="auto"/>
          <w:sz w:val="48"/>
          <w:szCs w:val="48"/>
        </w:rPr>
      </w:pPr>
    </w:p>
    <w:p w14:paraId="6D64D6C1">
      <w:pPr>
        <w:spacing w:line="660" w:lineRule="exact"/>
        <w:jc w:val="center"/>
        <w:rPr>
          <w:rFonts w:hint="eastAsia" w:ascii="宋体" w:hAnsi="宋体" w:eastAsia="宋体" w:cs="宋体"/>
          <w:color w:val="auto"/>
          <w:sz w:val="32"/>
          <w:szCs w:val="32"/>
        </w:rPr>
      </w:pPr>
    </w:p>
    <w:p w14:paraId="42DCC4F1">
      <w:pPr>
        <w:spacing w:line="660" w:lineRule="exact"/>
        <w:ind w:left="700" w:leftChars="250" w:right="700" w:rightChars="250"/>
        <w:rPr>
          <w:rFonts w:hint="eastAsia" w:ascii="宋体" w:hAnsi="宋体" w:eastAsia="宋体" w:cs="宋体"/>
          <w:color w:val="auto"/>
          <w:sz w:val="32"/>
          <w:szCs w:val="32"/>
          <w:u w:val="single"/>
        </w:rPr>
      </w:pPr>
      <w:r>
        <w:rPr>
          <w:rFonts w:hint="eastAsia" w:ascii="宋体" w:hAnsi="宋体" w:eastAsia="宋体" w:cs="宋体"/>
          <w:color w:val="auto"/>
          <w:sz w:val="32"/>
          <w:szCs w:val="32"/>
        </w:rPr>
        <w:t>项 目 号：</w:t>
      </w:r>
      <w:r>
        <w:rPr>
          <w:rFonts w:hint="eastAsia" w:ascii="宋体" w:hAnsi="宋体" w:cs="宋体"/>
          <w:color w:val="auto"/>
          <w:sz w:val="32"/>
          <w:szCs w:val="32"/>
          <w:u w:val="single"/>
          <w:lang w:val="en-US" w:eastAsia="zh-CN"/>
        </w:rPr>
        <w:t>TZC-（招）-咨字-2026-A069</w:t>
      </w:r>
      <w:r>
        <w:rPr>
          <w:rFonts w:hint="eastAsia" w:ascii="宋体" w:hAnsi="宋体" w:eastAsia="宋体" w:cs="宋体"/>
          <w:color w:val="auto"/>
          <w:sz w:val="32"/>
          <w:szCs w:val="32"/>
          <w:u w:val="single"/>
        </w:rPr>
        <w:t xml:space="preserve">    </w:t>
      </w:r>
    </w:p>
    <w:p w14:paraId="5A0C866E">
      <w:pPr>
        <w:spacing w:line="660" w:lineRule="exact"/>
        <w:ind w:left="2300" w:leftChars="250" w:right="700" w:rightChars="250" w:hanging="1600" w:hanging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合同项目：</w:t>
      </w:r>
      <w:r>
        <w:rPr>
          <w:rFonts w:hint="eastAsia" w:ascii="宋体" w:hAnsi="宋体" w:cs="宋体"/>
          <w:color w:val="auto"/>
          <w:sz w:val="32"/>
          <w:szCs w:val="32"/>
          <w:u w:val="single"/>
          <w:lang w:val="en-US" w:eastAsia="zh-CN"/>
        </w:rPr>
        <w:t>重庆中医药学院公共科研平台项目可行性研究报告编制</w:t>
      </w:r>
      <w:r>
        <w:rPr>
          <w:rFonts w:hint="eastAsia" w:ascii="宋体" w:hAnsi="宋体" w:eastAsia="宋体" w:cs="宋体"/>
          <w:color w:val="auto"/>
          <w:sz w:val="32"/>
          <w:szCs w:val="32"/>
          <w:u w:val="single"/>
        </w:rPr>
        <w:t xml:space="preserve">          </w:t>
      </w:r>
    </w:p>
    <w:p w14:paraId="063A815C">
      <w:pPr>
        <w:spacing w:line="660" w:lineRule="exact"/>
        <w:ind w:left="2300" w:leftChars="250" w:right="700" w:rightChars="250" w:hanging="1600" w:hanging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合同金额：</w:t>
      </w:r>
      <w:r>
        <w:rPr>
          <w:rFonts w:hint="eastAsia" w:ascii="宋体" w:hAnsi="宋体" w:eastAsia="宋体" w:cs="宋体"/>
          <w:color w:val="auto"/>
          <w:sz w:val="2"/>
          <w:szCs w:val="2"/>
        </w:rPr>
        <w:t xml:space="preserve"> </w:t>
      </w:r>
      <w:r>
        <w:rPr>
          <w:rFonts w:hint="eastAsia" w:ascii="宋体" w:hAnsi="宋体" w:eastAsia="宋体" w:cs="宋体"/>
          <w:color w:val="auto"/>
          <w:sz w:val="32"/>
          <w:szCs w:val="32"/>
          <w:u w:val="single"/>
        </w:rPr>
        <w:t xml:space="preserve"> </w:t>
      </w:r>
      <w:bookmarkStart w:id="98" w:name="OLE_LINK11"/>
      <w:r>
        <w:rPr>
          <w:rFonts w:hint="eastAsia" w:ascii="宋体" w:hAnsi="宋体" w:eastAsia="宋体" w:cs="宋体"/>
          <w:color w:val="auto"/>
          <w:sz w:val="32"/>
          <w:szCs w:val="32"/>
          <w:u w:val="single"/>
        </w:rPr>
        <w:t xml:space="preserve">  </w:t>
      </w:r>
      <w:bookmarkEnd w:id="98"/>
      <w:r>
        <w:rPr>
          <w:rFonts w:hint="eastAsia" w:ascii="宋体" w:hAnsi="宋体" w:eastAsia="宋体" w:cs="宋体"/>
          <w:color w:val="auto"/>
          <w:sz w:val="32"/>
          <w:szCs w:val="32"/>
          <w:u w:val="single"/>
        </w:rPr>
        <w:t xml:space="preserve">                                       </w:t>
      </w:r>
    </w:p>
    <w:p w14:paraId="43171DA1">
      <w:pPr>
        <w:spacing w:line="660" w:lineRule="exact"/>
        <w:ind w:left="700" w:leftChars="250" w:right="700" w:rightChars="250"/>
        <w:rPr>
          <w:rFonts w:hint="eastAsia" w:ascii="宋体" w:hAnsi="宋体" w:eastAsia="宋体" w:cs="宋体"/>
          <w:color w:val="auto"/>
          <w:sz w:val="32"/>
          <w:szCs w:val="32"/>
        </w:rPr>
      </w:pPr>
      <w:r>
        <w:rPr>
          <w:rFonts w:hint="eastAsia" w:ascii="宋体" w:hAnsi="宋体" w:eastAsia="宋体" w:cs="宋体"/>
          <w:color w:val="auto"/>
          <w:sz w:val="32"/>
          <w:szCs w:val="32"/>
        </w:rPr>
        <w:t>经费科目：</w:t>
      </w:r>
      <w:r>
        <w:rPr>
          <w:rFonts w:hint="eastAsia" w:ascii="宋体" w:hAnsi="宋体" w:eastAsia="宋体" w:cs="宋体"/>
          <w:color w:val="auto"/>
          <w:sz w:val="32"/>
          <w:szCs w:val="32"/>
          <w:u w:val="single"/>
        </w:rPr>
        <w:t xml:space="preserve">                                          </w:t>
      </w:r>
    </w:p>
    <w:p w14:paraId="2C79A068">
      <w:pPr>
        <w:spacing w:line="660" w:lineRule="exact"/>
        <w:ind w:left="700" w:leftChars="250" w:right="700" w:rightChars="250"/>
        <w:rPr>
          <w:rFonts w:hint="eastAsia" w:ascii="宋体" w:hAnsi="宋体" w:eastAsia="宋体" w:cs="宋体"/>
          <w:color w:val="auto"/>
          <w:sz w:val="32"/>
          <w:szCs w:val="32"/>
        </w:rPr>
      </w:pPr>
      <w:r>
        <w:rPr>
          <w:rFonts w:hint="eastAsia" w:ascii="宋体" w:hAnsi="宋体" w:eastAsia="宋体" w:cs="宋体"/>
          <w:color w:val="auto"/>
          <w:sz w:val="32"/>
          <w:szCs w:val="32"/>
        </w:rPr>
        <w:t>甲    方：</w:t>
      </w:r>
      <w:r>
        <w:rPr>
          <w:rFonts w:hint="eastAsia" w:ascii="宋体" w:hAnsi="宋体" w:eastAsia="宋体" w:cs="宋体"/>
          <w:color w:val="auto"/>
          <w:sz w:val="32"/>
          <w:szCs w:val="32"/>
          <w:u w:val="single"/>
        </w:rPr>
        <w:t xml:space="preserve">重庆中医药学院                            </w:t>
      </w:r>
    </w:p>
    <w:p w14:paraId="2D53E6FB">
      <w:pPr>
        <w:spacing w:line="660" w:lineRule="exact"/>
        <w:ind w:left="700" w:leftChars="250" w:right="700" w:rightChars="250"/>
        <w:rPr>
          <w:rFonts w:hint="eastAsia" w:ascii="宋体" w:hAnsi="宋体" w:eastAsia="宋体" w:cs="宋体"/>
          <w:color w:val="auto"/>
          <w:sz w:val="32"/>
          <w:szCs w:val="32"/>
        </w:rPr>
      </w:pPr>
      <w:r>
        <w:rPr>
          <w:rFonts w:hint="eastAsia" w:ascii="宋体" w:hAnsi="宋体" w:eastAsia="宋体" w:cs="宋体"/>
          <w:color w:val="auto"/>
          <w:sz w:val="32"/>
          <w:szCs w:val="32"/>
        </w:rPr>
        <w:t>乙    方：</w:t>
      </w:r>
      <w:r>
        <w:rPr>
          <w:rFonts w:hint="eastAsia" w:ascii="宋体" w:hAnsi="宋体" w:eastAsia="宋体" w:cs="宋体"/>
          <w:color w:val="auto"/>
          <w:sz w:val="32"/>
          <w:szCs w:val="32"/>
          <w:u w:val="single"/>
        </w:rPr>
        <w:t xml:space="preserve">                                          </w:t>
      </w:r>
    </w:p>
    <w:p w14:paraId="5C423D37">
      <w:pPr>
        <w:spacing w:line="660" w:lineRule="exact"/>
        <w:ind w:left="700" w:leftChars="250" w:right="700" w:rightChars="25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u w:val="single"/>
        </w:rPr>
        <w:t xml:space="preserve">                                          </w:t>
      </w:r>
    </w:p>
    <w:p w14:paraId="0B42C9B7">
      <w:pPr>
        <w:spacing w:line="660" w:lineRule="exact"/>
        <w:ind w:left="700" w:leftChars="250" w:right="700" w:rightChars="250"/>
        <w:rPr>
          <w:rFonts w:hint="eastAsia" w:ascii="宋体" w:hAnsi="宋体" w:eastAsia="宋体" w:cs="宋体"/>
          <w:color w:val="auto"/>
          <w:sz w:val="32"/>
          <w:szCs w:val="32"/>
          <w:u w:val="single"/>
        </w:rPr>
      </w:pPr>
      <w:r>
        <w:rPr>
          <w:rFonts w:hint="eastAsia" w:ascii="宋体" w:hAnsi="宋体" w:eastAsia="宋体" w:cs="宋体"/>
          <w:color w:val="auto"/>
          <w:sz w:val="32"/>
          <w:szCs w:val="32"/>
        </w:rPr>
        <w:t>签订时间：</w:t>
      </w:r>
      <w:r>
        <w:rPr>
          <w:rFonts w:hint="eastAsia" w:ascii="宋体" w:hAnsi="宋体" w:eastAsia="宋体" w:cs="宋体"/>
          <w:color w:val="auto"/>
          <w:sz w:val="32"/>
          <w:szCs w:val="32"/>
          <w:u w:val="single"/>
        </w:rPr>
        <w:t>202</w:t>
      </w:r>
      <w:r>
        <w:rPr>
          <w:rFonts w:hint="eastAsia" w:ascii="宋体" w:hAnsi="宋体" w:eastAsia="宋体" w:cs="宋体"/>
          <w:color w:val="auto"/>
          <w:sz w:val="32"/>
          <w:szCs w:val="32"/>
          <w:u w:val="single"/>
          <w:lang w:val="en-US" w:eastAsia="zh-CN"/>
        </w:rPr>
        <w:t>6</w:t>
      </w:r>
      <w:r>
        <w:rPr>
          <w:rFonts w:hint="eastAsia" w:ascii="宋体" w:hAnsi="宋体" w:eastAsia="宋体" w:cs="宋体"/>
          <w:color w:val="auto"/>
          <w:sz w:val="32"/>
          <w:szCs w:val="32"/>
          <w:u w:val="single"/>
        </w:rPr>
        <w:t xml:space="preserve">年   月   日                         </w:t>
      </w:r>
    </w:p>
    <w:p w14:paraId="1E27E82C">
      <w:pPr>
        <w:spacing w:line="6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重庆中医药学院服务采购合同</w:t>
      </w:r>
    </w:p>
    <w:p w14:paraId="7F6A4D30">
      <w:pPr>
        <w:spacing w:line="560" w:lineRule="exact"/>
        <w:ind w:firstLine="560" w:firstLineChars="200"/>
        <w:jc w:val="center"/>
        <w:rPr>
          <w:rFonts w:hint="eastAsia" w:ascii="宋体" w:hAnsi="宋体" w:eastAsia="宋体" w:cs="宋体"/>
          <w:color w:val="auto"/>
          <w:sz w:val="28"/>
          <w:szCs w:val="28"/>
        </w:rPr>
      </w:pPr>
    </w:p>
    <w:p w14:paraId="64CD48B7">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  方：重庆中医药学院</w:t>
      </w:r>
    </w:p>
    <w:p w14:paraId="4D5745EB">
      <w:pPr>
        <w:spacing w:line="560" w:lineRule="exact"/>
        <w:ind w:right="414" w:rightChars="148"/>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住所地：</w:t>
      </w:r>
      <w:r>
        <w:rPr>
          <w:rFonts w:hint="eastAsia" w:ascii="宋体" w:hAnsi="宋体" w:eastAsia="宋体" w:cs="宋体"/>
          <w:color w:val="auto"/>
          <w:kern w:val="0"/>
          <w:sz w:val="28"/>
          <w:szCs w:val="28"/>
          <w:lang w:eastAsia="zh-CN"/>
        </w:rPr>
        <w:t>重庆市璧山区璧城街道国学路61号</w:t>
      </w:r>
    </w:p>
    <w:p w14:paraId="601F568E">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  方：</w:t>
      </w:r>
    </w:p>
    <w:p w14:paraId="4D3DAFFE">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住所地：</w:t>
      </w:r>
    </w:p>
    <w:p w14:paraId="0BE17EB7">
      <w:pPr>
        <w:spacing w:line="560" w:lineRule="exact"/>
        <w:ind w:firstLine="560" w:firstLineChars="200"/>
        <w:rPr>
          <w:rFonts w:hint="eastAsia" w:ascii="宋体" w:hAnsi="宋体" w:eastAsia="宋体" w:cs="宋体"/>
          <w:color w:val="auto"/>
          <w:sz w:val="28"/>
          <w:szCs w:val="28"/>
          <w:u w:val="single"/>
        </w:rPr>
      </w:pPr>
    </w:p>
    <w:p w14:paraId="66E39F76">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根据</w:t>
      </w:r>
      <w:r>
        <w:rPr>
          <w:rFonts w:hint="eastAsia" w:ascii="宋体" w:hAnsi="宋体" w:cs="宋体"/>
          <w:color w:val="auto"/>
          <w:sz w:val="28"/>
          <w:szCs w:val="28"/>
          <w:u w:val="single"/>
          <w:lang w:val="en-US" w:eastAsia="zh-CN"/>
        </w:rPr>
        <w:t>TZC-（招）-咨字-2026-A069</w:t>
      </w:r>
      <w:r>
        <w:rPr>
          <w:rFonts w:hint="eastAsia" w:ascii="宋体" w:hAnsi="宋体" w:eastAsia="宋体" w:cs="宋体"/>
          <w:color w:val="auto"/>
          <w:sz w:val="28"/>
          <w:szCs w:val="28"/>
        </w:rPr>
        <w:t>号招标项目的投标结果，由乙方为中标方。按照《中华人民共和国民法典》，经甲乙双方平等协商，就甲方委托乙方承担服务采购项目，达成以下合同条款：</w:t>
      </w:r>
    </w:p>
    <w:p w14:paraId="1F100F3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项目目标与内容</w:t>
      </w:r>
    </w:p>
    <w:p w14:paraId="3BAD852C">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服务时间：合同签订后20个日历日。</w:t>
      </w:r>
    </w:p>
    <w:p w14:paraId="4A503ECA">
      <w:pPr>
        <w:spacing w:line="360" w:lineRule="auto"/>
        <w:ind w:firstLine="560" w:firstLineChars="200"/>
        <w:rPr>
          <w:rFonts w:hint="eastAsia" w:ascii="宋体" w:hAnsi="宋体" w:eastAsia="宋体" w:cs="宋体"/>
          <w:color w:val="auto"/>
          <w:sz w:val="28"/>
          <w:szCs w:val="28"/>
          <w:u w:val="none"/>
          <w:lang w:val="en-US" w:eastAsia="zh-CN"/>
        </w:rPr>
      </w:pPr>
      <w:bookmarkStart w:id="99" w:name="_Hlk110862304"/>
      <w:r>
        <w:rPr>
          <w:rFonts w:hint="eastAsia" w:ascii="宋体" w:hAnsi="宋体" w:eastAsia="宋体" w:cs="宋体"/>
          <w:color w:val="auto"/>
          <w:sz w:val="28"/>
          <w:szCs w:val="28"/>
          <w:u w:val="none"/>
          <w:lang w:val="en-US" w:eastAsia="zh-CN"/>
        </w:rPr>
        <w:t>本项目为总价包干，合同</w:t>
      </w:r>
      <w:bookmarkEnd w:id="99"/>
      <w:r>
        <w:rPr>
          <w:rFonts w:hint="eastAsia" w:ascii="宋体" w:hAnsi="宋体" w:eastAsia="宋体" w:cs="宋体"/>
          <w:color w:val="auto"/>
          <w:sz w:val="28"/>
          <w:szCs w:val="28"/>
          <w:u w:val="none"/>
          <w:lang w:val="en-US" w:eastAsia="zh-CN"/>
        </w:rPr>
        <w:t>金额为：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报价包括完成本项目所需的服务费、人工费及提供服务所需的策划费、撰写费、交通费等一切保证本项目实施完成的所有费用。因乙方自身原因造成漏报、少报皆由其自行承担责任，甲方不再补偿。</w:t>
      </w:r>
    </w:p>
    <w:p w14:paraId="2C01F253">
      <w:pPr>
        <w:spacing w:line="5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第二条  服务内容</w:t>
      </w:r>
    </w:p>
    <w:p w14:paraId="2AEA82D7">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本项目主要建设内容包括1600平米药物数智化工程研究中心、1790平米创新药物研发中心、1880平米应用医学实验室。科研平台主要包括：制药工艺区、中试转化区、无菌细胞房 、活细胞观测区、动物实验区、中药成分解析区、病理检测区、分子生物学实验区、质粒转染区、特种设备安置区、数据分析室、成像平台、代谢实验室、流式分析室等。按照有关</w:t>
      </w:r>
      <w:r>
        <w:rPr>
          <w:rFonts w:hint="eastAsia" w:ascii="宋体" w:hAnsi="宋体" w:cs="宋体"/>
          <w:color w:val="auto"/>
          <w:sz w:val="28"/>
          <w:szCs w:val="28"/>
          <w:lang w:val="en-US" w:eastAsia="zh-CN"/>
        </w:rPr>
        <w:t>法律法规</w:t>
      </w:r>
      <w:r>
        <w:rPr>
          <w:rFonts w:hint="eastAsia" w:ascii="宋体" w:hAnsi="宋体" w:eastAsia="宋体" w:cs="宋体"/>
          <w:color w:val="auto"/>
          <w:sz w:val="28"/>
          <w:szCs w:val="28"/>
          <w:lang w:val="en-US" w:eastAsia="zh-CN"/>
        </w:rPr>
        <w:t>和规章，对项目进行可行性研究报告编制（含工程投资估算）等，具体内容以合同为准。</w:t>
      </w:r>
    </w:p>
    <w:p w14:paraId="0C3140A0">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为了完成可行性研究报告所进行的调研、勘察、利用已有成果等由乙方负责实施并承担相应费用。</w:t>
      </w:r>
    </w:p>
    <w:p w14:paraId="59B070FF">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执行标准：严格执行《政府投资项目可行性研究报告编写通用大纲（2023年版）》、《重庆市政府投资管理办法》（渝府令〔2020〕339号）等法律法规。</w:t>
      </w:r>
    </w:p>
    <w:p w14:paraId="41413E25">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服务要求：</w:t>
      </w:r>
    </w:p>
    <w:p w14:paraId="01437986">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1.合同签订后，20个日历日内向甲方提交《重庆中医药学院公共科研平台项目可行性研究报告》。</w:t>
      </w:r>
    </w:p>
    <w:p w14:paraId="07C7644D">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2.乙方按规定参加项目评审会，并根据审查意见，在不超出原定工作内容的基础上，对可行性研究报告进行补充和完善。</w:t>
      </w:r>
    </w:p>
    <w:p w14:paraId="7B4898B9">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3.乙方商向甲方提交《重庆中医药学院公共科研平台项目可行性研究报告》6份及光盘1份。</w:t>
      </w:r>
    </w:p>
    <w:p w14:paraId="0781FFD1">
      <w:pPr>
        <w:spacing w:line="560" w:lineRule="exact"/>
        <w:ind w:firstLine="560" w:firstLineChars="200"/>
        <w:rPr>
          <w:rFonts w:hint="eastAsia" w:ascii="宋体" w:hAnsi="宋体" w:eastAsia="宋体" w:cs="宋体"/>
          <w:color w:val="auto"/>
          <w:sz w:val="28"/>
          <w:szCs w:val="28"/>
        </w:rPr>
      </w:pPr>
      <w:bookmarkStart w:id="100" w:name="_Hlk112580751"/>
      <w:r>
        <w:rPr>
          <w:rFonts w:hint="eastAsia" w:ascii="宋体" w:hAnsi="宋体" w:eastAsia="宋体" w:cs="宋体"/>
          <w:color w:val="auto"/>
          <w:sz w:val="28"/>
          <w:szCs w:val="28"/>
        </w:rPr>
        <w:t>第三条  时间要求</w:t>
      </w:r>
      <w:bookmarkEnd w:id="100"/>
      <w:r>
        <w:rPr>
          <w:rFonts w:hint="eastAsia" w:ascii="宋体" w:hAnsi="宋体" w:eastAsia="宋体" w:cs="宋体"/>
          <w:color w:val="auto"/>
          <w:sz w:val="28"/>
          <w:szCs w:val="28"/>
        </w:rPr>
        <w:t>及阶段成果</w:t>
      </w:r>
    </w:p>
    <w:p w14:paraId="0889ECDD">
      <w:pPr>
        <w:spacing w:line="560" w:lineRule="exact"/>
        <w:ind w:firstLine="560" w:firstLineChars="200"/>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服务时间：合同签订后20个日历日。</w:t>
      </w:r>
    </w:p>
    <w:p w14:paraId="48CDC8D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第四条  服务资料归属</w:t>
      </w:r>
    </w:p>
    <w:p w14:paraId="7ED91C1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所有提交给甲方的服务文件及相关的资料的最后文本，包括为履行技术服务范围所编制的各类文件、情况报告等，都属于甲方的财产，乙方在提交给甲方之前应将上述资料进行整理归类和编制索引。</w:t>
      </w:r>
    </w:p>
    <w:p w14:paraId="3BECFF1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乙方未经甲方的书面同意，不得将上述资料用于与本项目之外的任何项目。</w:t>
      </w:r>
    </w:p>
    <w:p w14:paraId="4A2064A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合同履行完毕，未经甲方的书面同意，乙方不得保存在履行合同过程中所获得或接触到的任何内部数据资料。</w:t>
      </w:r>
    </w:p>
    <w:p w14:paraId="2F4ED69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第五条  甲方的义务</w:t>
      </w:r>
    </w:p>
    <w:p w14:paraId="3D9F713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负责与本项目有关的第三方的协调，提供开展服务工作的外部条件。</w:t>
      </w:r>
    </w:p>
    <w:p w14:paraId="038B505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向乙方提供与本项目服务工作有关的资料。</w:t>
      </w:r>
    </w:p>
    <w:p w14:paraId="10E66DA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负责组织有关专家对项目成果评估报告的评审。</w:t>
      </w:r>
    </w:p>
    <w:p w14:paraId="634ACD0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第六条  乙方的义务</w:t>
      </w:r>
    </w:p>
    <w:p w14:paraId="52DF9BD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应按照甲方招标文件、乙方投标文件要求按期完成本项目服务工作。</w:t>
      </w:r>
    </w:p>
    <w:p w14:paraId="11CA9BA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必须严格执行国家法律法规，自觉接受甲方的业务指导和监督管理，全力维护甲方的合法权益；运用自身的专业技能为甲方做好服务工作，并提供与项目有关的其它服务。在服务中的整个过程需按照国家相关法律法规的要求，符合流程，不得有违法违规的行为。</w:t>
      </w:r>
    </w:p>
    <w:p w14:paraId="639E20B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乙方在项目服务过程要做出工作进度表给甲方（若需），让甲方了解整个服务工作的进展情况；在服务期限内，由甲方根据工作的特点和要求具体确定时间，乙方必须在约定的时间内完成相关工作。</w:t>
      </w:r>
    </w:p>
    <w:p w14:paraId="1F3D292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服务期限内若确实需要更换拟派负责人的，须征得甲方的书面同意，而且更换人员的技术职称和工作经验必须高于或等于拟派人员的技术职称和工作经验；</w:t>
      </w:r>
    </w:p>
    <w:p w14:paraId="40E1AF2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甲方向乙方提出的意见建议，乙方应予以审核，如与法规不符，乙方应当予以拒绝并提出相应意见，确保服务项目合法、合规。</w:t>
      </w:r>
    </w:p>
    <w:p w14:paraId="3DEF858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乙方必须对甲方单位信息进行保密，在未经甲方事先书面同意的情况下，任何时候均不得将有关甲方的任何内容或者从甲方处知晓的关于甲方单位的任何信息泄露给任何其它方。</w:t>
      </w:r>
    </w:p>
    <w:p w14:paraId="3FFDD69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 乙方承接服务前，应充分了解掌握服务项目需求情况，紧贴项目实际拟制各类文书，严禁随意将以往的服务文件复制剪贴，糊弄应付，甚至错漏百出。合同履约过程中，甲方将建立相关考评制度，对乙方实施量化考评，考核不合格与乙方将解除本服务合同。</w:t>
      </w:r>
    </w:p>
    <w:p w14:paraId="0844850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 乙方须无条件配合甲方接收各级审计、巡视工作；与本项目服务业务相关资料（含音视频资料）保存期限为招标结束之日起至少15年。</w:t>
      </w:r>
    </w:p>
    <w:p w14:paraId="49DA7B7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 在履行合同期间或合同规定期限内，不得向第三方泄露与本合同规定业务活动有关的任何资料。</w:t>
      </w:r>
    </w:p>
    <w:p w14:paraId="686297C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第七条  甲方的权利</w:t>
      </w:r>
    </w:p>
    <w:p w14:paraId="2DAA288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有权向乙方询问工作进展情况及相关内容。</w:t>
      </w:r>
    </w:p>
    <w:p w14:paraId="6D05E99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有权阐述对具体问题的</w:t>
      </w:r>
      <w:r>
        <w:rPr>
          <w:rFonts w:hint="eastAsia" w:ascii="宋体" w:hAnsi="宋体" w:cs="宋体"/>
          <w:color w:val="auto"/>
          <w:sz w:val="28"/>
          <w:szCs w:val="28"/>
          <w:lang w:eastAsia="zh-CN"/>
        </w:rPr>
        <w:t>意见和建议</w:t>
      </w:r>
      <w:r>
        <w:rPr>
          <w:rFonts w:hint="eastAsia" w:ascii="宋体" w:hAnsi="宋体" w:eastAsia="宋体" w:cs="宋体"/>
          <w:color w:val="auto"/>
          <w:sz w:val="28"/>
          <w:szCs w:val="28"/>
        </w:rPr>
        <w:t>。</w:t>
      </w:r>
    </w:p>
    <w:p w14:paraId="28B2895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当甲方认定乙方人员不按合同履行其职责，或与第三人串通给甲方造成经济损失的，甲方有权要求更换人员或解除合同并要求乙方承担相应的赔偿责任。</w:t>
      </w:r>
    </w:p>
    <w:p w14:paraId="042C524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第八条  乙方的权利</w:t>
      </w:r>
    </w:p>
    <w:p w14:paraId="5144DF9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乙方在本项目服务过程中，如甲方提供的资料不明确时可向甲方提出书面报告。</w:t>
      </w:r>
    </w:p>
    <w:p w14:paraId="6AA3170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乙方在本项目服务过程中，有权对第三方提出与本服务业务有关的问题进行核对或查问。</w:t>
      </w:r>
    </w:p>
    <w:p w14:paraId="7D45C15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乙方在本项目服务过程中，有随时了解项目进度的权利。</w:t>
      </w:r>
    </w:p>
    <w:p w14:paraId="0D1F895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第九条  甲方的责任</w:t>
      </w:r>
    </w:p>
    <w:p w14:paraId="3182E14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如乙方全面履行合同约定内容，甲方则按本合同约定履行付款义务，如有违反则应当承担违约责任。</w:t>
      </w:r>
    </w:p>
    <w:p w14:paraId="75F384A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甲方有权对乙方实施量化考评，考核不合格，有权解除合同，并要求乙方承担违约责任。</w:t>
      </w:r>
    </w:p>
    <w:p w14:paraId="49DFF6A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甲方向乙方提出赔偿要求不能成立时，则应补偿由于该赔偿或其他要求所导致乙方的各种费用的支出。</w:t>
      </w:r>
    </w:p>
    <w:p w14:paraId="45552B6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第十条  乙方的责任</w:t>
      </w:r>
    </w:p>
    <w:p w14:paraId="5794931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乙方的责任期即本合同有效期。如因非乙方的责任造成进度的推迟或延误而超过约定的日期，双方应进一步约定相应延长合同有效期。</w:t>
      </w:r>
    </w:p>
    <w:p w14:paraId="00F6AB3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乙方的责任期内，应当履行本合同中约定的义务，因乙方的单方过失给甲方造成损失，应当向甲方进行赔偿。</w:t>
      </w:r>
    </w:p>
    <w:p w14:paraId="5C44144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乙方对甲方或甲方指定的第三方所提出的问题不能及时核对或答复，导致合同不能全部或部分履行，甲方将记录在量化考评中，属于乙方违约，乙方应承担相应的违约责任。</w:t>
      </w:r>
    </w:p>
    <w:p w14:paraId="5575452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乙方向甲方提出赔偿要求不能成立时，则应补偿由于该赔偿或其他要求所导致甲方的各种费用的支出。</w:t>
      </w:r>
    </w:p>
    <w:p w14:paraId="4B788B1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第十一条  人员要求</w:t>
      </w:r>
    </w:p>
    <w:p w14:paraId="110467F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参加本项目的人员必须具有国家和有关部门规定的相应资质。</w:t>
      </w:r>
    </w:p>
    <w:p w14:paraId="45768BA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参加本项目的人员配置必须与投标文件中的服务承诺书和服务组织实施方案一致。</w:t>
      </w:r>
    </w:p>
    <w:p w14:paraId="7192E5F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必须以直属工作人员参与本项目服务，不得使用挂靠队伍。</w:t>
      </w:r>
    </w:p>
    <w:p w14:paraId="0DC212E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第十二条  乙方服务业务工具要求</w:t>
      </w:r>
    </w:p>
    <w:p w14:paraId="5F22BB4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乙方应配备中标项目所需的足够数量的各类设施设备。甲方不需向乙方提供任何本项目所需的各类设施设备。</w:t>
      </w:r>
    </w:p>
    <w:p w14:paraId="7414630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2、乙方在提供服务过程中应自备车辆。</w:t>
      </w:r>
    </w:p>
    <w:p w14:paraId="5876A2E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第十三条  保密要求</w:t>
      </w:r>
    </w:p>
    <w:p w14:paraId="2BF4FAB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由甲方收集的、开发的、整理的、复制的、研究的和准备的与本合同项下工作有关的所有资料在提供给乙方时，均为保密资料，</w:t>
      </w:r>
      <w:r>
        <w:rPr>
          <w:rFonts w:hint="eastAsia" w:ascii="宋体" w:hAnsi="宋体" w:cs="宋体"/>
          <w:color w:val="auto"/>
          <w:sz w:val="28"/>
          <w:szCs w:val="28"/>
          <w:lang w:eastAsia="zh-CN"/>
        </w:rPr>
        <w:t>不得泄露</w:t>
      </w:r>
      <w:r>
        <w:rPr>
          <w:rFonts w:hint="eastAsia" w:ascii="宋体" w:hAnsi="宋体" w:eastAsia="宋体" w:cs="宋体"/>
          <w:color w:val="auto"/>
          <w:sz w:val="28"/>
          <w:szCs w:val="28"/>
        </w:rPr>
        <w:t>给除甲方或其指定的代表之外的任何人、企业或公司，不管本合同因何种原因终止，本条款对乙方一直有效。</w:t>
      </w:r>
    </w:p>
    <w:p w14:paraId="15DAB80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乙方在履行合同过程中所获得或接触到的任何内部数据资料，未经甲方书面同意，不得向第三方透露。</w:t>
      </w:r>
    </w:p>
    <w:p w14:paraId="57BAB2C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乙方实施项目的一切程序都应符合国家安全、保密的有关规定和标准。</w:t>
      </w:r>
    </w:p>
    <w:p w14:paraId="63D6C44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乙方参加项目的有关人员均需同甲方签订保密协议。</w:t>
      </w:r>
    </w:p>
    <w:p w14:paraId="4D30803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第十四条  项目验收</w:t>
      </w:r>
    </w:p>
    <w:p w14:paraId="3C4AE0D8">
      <w:pPr>
        <w:spacing w:line="560" w:lineRule="exact"/>
        <w:ind w:firstLine="560" w:firstLineChars="200"/>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u w:val="none"/>
        </w:rPr>
        <w:t>1.</w:t>
      </w:r>
      <w:r>
        <w:rPr>
          <w:rFonts w:hint="eastAsia" w:ascii="宋体" w:hAnsi="宋体" w:cs="宋体"/>
          <w:color w:val="auto"/>
          <w:sz w:val="28"/>
          <w:szCs w:val="28"/>
          <w:u w:val="none"/>
          <w:lang w:eastAsia="zh-CN"/>
        </w:rPr>
        <w:t>验收</w:t>
      </w:r>
      <w:r>
        <w:rPr>
          <w:rFonts w:hint="eastAsia" w:ascii="宋体" w:hAnsi="宋体" w:eastAsia="宋体" w:cs="宋体"/>
          <w:color w:val="auto"/>
          <w:sz w:val="28"/>
          <w:szCs w:val="28"/>
          <w:u w:val="none"/>
        </w:rPr>
        <w:t>方式：专家评审</w:t>
      </w:r>
      <w:r>
        <w:rPr>
          <w:rFonts w:hint="eastAsia" w:ascii="宋体" w:hAnsi="宋体" w:cs="宋体"/>
          <w:color w:val="auto"/>
          <w:sz w:val="28"/>
          <w:szCs w:val="28"/>
          <w:u w:val="none"/>
          <w:lang w:eastAsia="zh-CN"/>
        </w:rPr>
        <w:t>。</w:t>
      </w:r>
    </w:p>
    <w:p w14:paraId="6C0133A9">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u w:val="none"/>
        </w:rPr>
        <w:t>2.验收标准：专家评审通过。</w:t>
      </w:r>
    </w:p>
    <w:p w14:paraId="3F6A83E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w:t>
      </w:r>
      <w:bookmarkStart w:id="101" w:name="_Hlk112581267"/>
      <w:r>
        <w:rPr>
          <w:rFonts w:hint="eastAsia" w:ascii="宋体" w:hAnsi="宋体" w:eastAsia="宋体" w:cs="宋体"/>
          <w:color w:val="auto"/>
          <w:sz w:val="28"/>
          <w:szCs w:val="28"/>
        </w:rPr>
        <w:t xml:space="preserve"> 付款方式</w:t>
      </w:r>
      <w:bookmarkEnd w:id="101"/>
    </w:p>
    <w:p w14:paraId="3D4C1D00">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1.结算金额=包干价-应支付的违约金额。</w:t>
      </w:r>
    </w:p>
    <w:p w14:paraId="5A42F0BE">
      <w:pPr>
        <w:spacing w:line="5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2.乙方完成可行性研究报告编制并通过评审后，甲方支付结算金额70%；施工图审查合格后，甲方支付结算金额30%。</w:t>
      </w:r>
    </w:p>
    <w:p w14:paraId="100BACBC">
      <w:pPr>
        <w:spacing w:line="56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合同签订时，乙方向甲方缴纳合同金额5%的履约保证金(以银行转账、支票、汇票、本票或者金融机构、担保机构出具的保函等非现金形式提交);采用保函形式的，保函必须为不可撤销且见索即付。履约保证金无息退还时间:服务结束后，甲方参照渝财采购〔2021〕13号文件无息退还。</w:t>
      </w:r>
    </w:p>
    <w:p w14:paraId="724976C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第十六条  争议解决办法</w:t>
      </w:r>
    </w:p>
    <w:p w14:paraId="74C2B8D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甲、乙双方在合同履行过程中发生的一切争议，由双方及时协商解决。协商不成时，双方均有权向甲方所在地管辖法院起诉。</w:t>
      </w:r>
    </w:p>
    <w:p w14:paraId="30C52F4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诉讼期间，除正在进行诉讼的部分外，合同</w:t>
      </w:r>
      <w:r>
        <w:rPr>
          <w:rFonts w:hint="eastAsia" w:ascii="宋体" w:hAnsi="宋体" w:cs="宋体"/>
          <w:color w:val="auto"/>
          <w:sz w:val="28"/>
          <w:szCs w:val="28"/>
          <w:lang w:eastAsia="zh-CN"/>
        </w:rPr>
        <w:t>其他部分</w:t>
      </w:r>
      <w:r>
        <w:rPr>
          <w:rFonts w:hint="eastAsia" w:ascii="宋体" w:hAnsi="宋体" w:eastAsia="宋体" w:cs="宋体"/>
          <w:color w:val="auto"/>
          <w:sz w:val="28"/>
          <w:szCs w:val="28"/>
        </w:rPr>
        <w:t>继续执行，除非诉讼部分与合同其他部分的履行存在时间上的先后关系。</w:t>
      </w:r>
    </w:p>
    <w:p w14:paraId="682487D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第十七条  风险责任</w:t>
      </w:r>
    </w:p>
    <w:p w14:paraId="1848CFD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乙方应完全地按照本合同对应招标文件的要求和乙方投标文件的承诺完成本项目，出于自身财务、技术、人力等原因导致服务未完成的，应承担违约责任。</w:t>
      </w:r>
    </w:p>
    <w:p w14:paraId="41488B1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乙方在服务过程中应对自身的安全负责，若由乙方原因发生的各种事故甲方不承担任何责任。</w:t>
      </w:r>
    </w:p>
    <w:p w14:paraId="418BC07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第十八条  违约责任</w:t>
      </w:r>
    </w:p>
    <w:p w14:paraId="5BEFA5F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1、乙方必须遵守甲方及作业现场的相关规定，乙方不执行甲方及作业现场的规定视为乙方违约，甲方有权根据相关规定对乙方予以处罚。处罚费用甲方有权从应支付给乙方的款项中扣除。</w:t>
      </w:r>
    </w:p>
    <w:p w14:paraId="549E32A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乙方不得由于合同纠纷采取不当行为影响甲方正常生产经营，若发生按2000元/次进行处罚，若给甲方或甲方的业主单位造成经济损失的，甲方有权要求赔偿并在所欠乙方款项中扣除，同时乙方还应承担相应的法律责任。</w:t>
      </w:r>
    </w:p>
    <w:p w14:paraId="2B2BF1F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3、乙方原因造成甲方损失，甲方有权从应支付给乙方的款项中扣除。乙方由于自身原因未能按本合同约定造成逾期交付成果的，按逾期每个工作日承担本项目总计合同费用的1%违约金支付给甲方。</w:t>
      </w:r>
    </w:p>
    <w:p w14:paraId="1CF60011">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4、乙方违反合同约定，甲方有权解除合同，相关经济责任和损失均由乙方承担。</w:t>
      </w:r>
    </w:p>
    <w:p w14:paraId="4DE42F7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5、未经甲方书面同意，乙方不得将乙方对甲方享有的债权转让给第三人，也不得用于担保。</w:t>
      </w:r>
    </w:p>
    <w:p w14:paraId="326BBD8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第十九条  附则</w:t>
      </w:r>
    </w:p>
    <w:p w14:paraId="3D5CB04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本合同是按照本合同对应招标文件和乙方投标文件订立的，除招标文件和投标文件中实质性条款之外的约定，以本合同条款为准。</w:t>
      </w:r>
    </w:p>
    <w:p w14:paraId="342D2A2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本合同未尽事宜，甲乙双方可另行协商一致签订补充协议。合同的变更或补充，须签订书面文件。补充协议与本合同具有同等法律效力。</w:t>
      </w:r>
    </w:p>
    <w:p w14:paraId="4559CD9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付款时请开具增值税普通发票。</w:t>
      </w:r>
    </w:p>
    <w:p w14:paraId="0B29C9E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下列文件均为本合同的组成部分：</w:t>
      </w:r>
    </w:p>
    <w:p w14:paraId="6AE25CC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（1）本合同对应招标文件、答疑及补充通知；</w:t>
      </w:r>
    </w:p>
    <w:p w14:paraId="40316B7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（2）投标文件</w:t>
      </w:r>
    </w:p>
    <w:p w14:paraId="7AD0861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（3）本合同执行中共同签署的补充与修正文件。</w:t>
      </w:r>
    </w:p>
    <w:p w14:paraId="2B61CB77">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本合同一式</w:t>
      </w:r>
      <w:r>
        <w:rPr>
          <w:rFonts w:hint="eastAsia" w:ascii="宋体" w:hAnsi="宋体" w:eastAsia="宋体" w:cs="宋体"/>
          <w:color w:val="auto"/>
          <w:sz w:val="28"/>
          <w:szCs w:val="28"/>
          <w:u w:val="single"/>
        </w:rPr>
        <w:t xml:space="preserve"> 陆</w:t>
      </w:r>
      <w:r>
        <w:rPr>
          <w:rFonts w:hint="eastAsia" w:ascii="宋体" w:hAnsi="宋体" w:eastAsia="宋体" w:cs="宋体"/>
          <w:color w:val="auto"/>
          <w:sz w:val="28"/>
          <w:szCs w:val="28"/>
        </w:rPr>
        <w:t>份，甲方</w:t>
      </w:r>
      <w:r>
        <w:rPr>
          <w:rFonts w:hint="eastAsia" w:ascii="宋体" w:hAnsi="宋体" w:eastAsia="宋体" w:cs="宋体"/>
          <w:color w:val="auto"/>
          <w:sz w:val="28"/>
          <w:szCs w:val="28"/>
          <w:u w:val="single"/>
        </w:rPr>
        <w:t xml:space="preserve"> 肆 </w:t>
      </w:r>
      <w:r>
        <w:rPr>
          <w:rFonts w:hint="eastAsia" w:ascii="宋体" w:hAnsi="宋体" w:eastAsia="宋体" w:cs="宋体"/>
          <w:color w:val="auto"/>
          <w:sz w:val="28"/>
          <w:szCs w:val="28"/>
        </w:rPr>
        <w:t>份，乙方</w:t>
      </w:r>
      <w:r>
        <w:rPr>
          <w:rFonts w:hint="eastAsia" w:ascii="宋体" w:hAnsi="宋体" w:eastAsia="宋体" w:cs="宋体"/>
          <w:color w:val="auto"/>
          <w:sz w:val="28"/>
          <w:szCs w:val="28"/>
          <w:u w:val="single"/>
        </w:rPr>
        <w:t>贰</w:t>
      </w:r>
      <w:r>
        <w:rPr>
          <w:rFonts w:hint="eastAsia" w:ascii="宋体" w:hAnsi="宋体" w:eastAsia="宋体" w:cs="宋体"/>
          <w:color w:val="auto"/>
          <w:sz w:val="28"/>
          <w:szCs w:val="28"/>
        </w:rPr>
        <w:t>份，具有同等法律效力。本合同自双方法人代表签字（盖章）认可之日起生效。</w:t>
      </w:r>
    </w:p>
    <w:p w14:paraId="5AD6177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（以下无正文）</w:t>
      </w:r>
    </w:p>
    <w:p w14:paraId="0FCCE940">
      <w:pPr>
        <w:spacing w:line="560" w:lineRule="exact"/>
        <w:ind w:firstLine="560" w:firstLineChars="200"/>
        <w:rPr>
          <w:rFonts w:hint="eastAsia" w:ascii="宋体" w:hAnsi="宋体" w:eastAsia="宋体" w:cs="宋体"/>
          <w:color w:val="auto"/>
          <w:sz w:val="28"/>
          <w:szCs w:val="28"/>
        </w:rPr>
      </w:pPr>
    </w:p>
    <w:tbl>
      <w:tblPr>
        <w:tblStyle w:val="23"/>
        <w:tblW w:w="9331" w:type="dxa"/>
        <w:jc w:val="center"/>
        <w:tblLayout w:type="fixed"/>
        <w:tblCellMar>
          <w:top w:w="0" w:type="dxa"/>
          <w:left w:w="108" w:type="dxa"/>
          <w:bottom w:w="0" w:type="dxa"/>
          <w:right w:w="108" w:type="dxa"/>
        </w:tblCellMar>
      </w:tblPr>
      <w:tblGrid>
        <w:gridCol w:w="4489"/>
        <w:gridCol w:w="4842"/>
      </w:tblGrid>
      <w:tr w14:paraId="74E92254">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5E78319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甲    方：重庆中医药学院</w:t>
            </w:r>
          </w:p>
        </w:tc>
        <w:tc>
          <w:tcPr>
            <w:tcW w:w="4842" w:type="dxa"/>
            <w:tcBorders>
              <w:tl2br w:val="nil"/>
              <w:tr2bl w:val="nil"/>
            </w:tcBorders>
            <w:noWrap w:val="0"/>
            <w:vAlign w:val="top"/>
          </w:tcPr>
          <w:p w14:paraId="369BC4A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乙    方：</w:t>
            </w:r>
          </w:p>
        </w:tc>
      </w:tr>
      <w:tr w14:paraId="3FA47223">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C224CF1">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4EF15A23">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6D4EABDC">
            <w:pPr>
              <w:pStyle w:val="18"/>
              <w:tabs>
                <w:tab w:val="left" w:pos="1260"/>
                <w:tab w:val="left" w:pos="1685"/>
                <w:tab w:val="right" w:leader="dot" w:pos="8400"/>
              </w:tabs>
              <w:spacing w:line="560" w:lineRule="exact"/>
              <w:rPr>
                <w:rFonts w:hint="eastAsia" w:ascii="宋体" w:hAnsi="宋体" w:eastAsia="宋体" w:cs="宋体"/>
                <w:color w:val="auto"/>
                <w:sz w:val="28"/>
                <w:szCs w:val="28"/>
              </w:rPr>
            </w:pPr>
          </w:p>
        </w:tc>
        <w:tc>
          <w:tcPr>
            <w:tcW w:w="4842" w:type="dxa"/>
            <w:tcBorders>
              <w:tl2br w:val="nil"/>
              <w:tr2bl w:val="nil"/>
            </w:tcBorders>
            <w:noWrap w:val="0"/>
            <w:vAlign w:val="top"/>
          </w:tcPr>
          <w:p w14:paraId="6D8FB682">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65A2A446">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152E71AE">
            <w:pPr>
              <w:pStyle w:val="9"/>
              <w:rPr>
                <w:rFonts w:hint="eastAsia" w:ascii="宋体" w:hAnsi="宋体" w:eastAsia="宋体" w:cs="宋体"/>
                <w:color w:val="auto"/>
              </w:rPr>
            </w:pPr>
          </w:p>
        </w:tc>
      </w:tr>
      <w:tr w14:paraId="739A395E">
        <w:tblPrEx>
          <w:tblCellMar>
            <w:top w:w="0" w:type="dxa"/>
            <w:left w:w="108" w:type="dxa"/>
            <w:bottom w:w="0" w:type="dxa"/>
            <w:right w:w="108" w:type="dxa"/>
          </w:tblCellMar>
        </w:tblPrEx>
        <w:trPr>
          <w:trHeight w:val="664" w:hRule="atLeast"/>
          <w:jc w:val="center"/>
        </w:trPr>
        <w:tc>
          <w:tcPr>
            <w:tcW w:w="4489" w:type="dxa"/>
            <w:tcBorders>
              <w:tl2br w:val="nil"/>
              <w:tr2bl w:val="nil"/>
            </w:tcBorders>
            <w:noWrap w:val="0"/>
            <w:vAlign w:val="top"/>
          </w:tcPr>
          <w:p w14:paraId="6D7405E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税    号：12500000MB1G7951XD</w:t>
            </w:r>
          </w:p>
        </w:tc>
        <w:tc>
          <w:tcPr>
            <w:tcW w:w="4842" w:type="dxa"/>
            <w:tcBorders>
              <w:tl2br w:val="nil"/>
              <w:tr2bl w:val="nil"/>
            </w:tcBorders>
            <w:noWrap w:val="0"/>
            <w:vAlign w:val="top"/>
          </w:tcPr>
          <w:p w14:paraId="3D49AF7E">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税    号：</w:t>
            </w:r>
          </w:p>
        </w:tc>
      </w:tr>
      <w:tr w14:paraId="4197403F">
        <w:tblPrEx>
          <w:tblCellMar>
            <w:top w:w="0" w:type="dxa"/>
            <w:left w:w="108" w:type="dxa"/>
            <w:bottom w:w="0" w:type="dxa"/>
            <w:right w:w="108" w:type="dxa"/>
          </w:tblCellMar>
        </w:tblPrEx>
        <w:trPr>
          <w:trHeight w:val="649" w:hRule="atLeast"/>
          <w:jc w:val="center"/>
        </w:trPr>
        <w:tc>
          <w:tcPr>
            <w:tcW w:w="4489" w:type="dxa"/>
            <w:tcBorders>
              <w:tl2br w:val="nil"/>
              <w:tr2bl w:val="nil"/>
            </w:tcBorders>
            <w:noWrap w:val="0"/>
            <w:vAlign w:val="top"/>
          </w:tcPr>
          <w:p w14:paraId="68CBFAE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开户银行：中信银行重庆科学城</w:t>
            </w:r>
          </w:p>
          <w:p w14:paraId="6EF76DD7">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rPr>
              <w:t>支行</w:t>
            </w:r>
          </w:p>
        </w:tc>
        <w:tc>
          <w:tcPr>
            <w:tcW w:w="4842" w:type="dxa"/>
            <w:tcBorders>
              <w:tl2br w:val="nil"/>
              <w:tr2bl w:val="nil"/>
            </w:tcBorders>
            <w:noWrap w:val="0"/>
            <w:vAlign w:val="top"/>
          </w:tcPr>
          <w:p w14:paraId="77CDBD80">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14:paraId="54B8CE9B">
        <w:tblPrEx>
          <w:tblCellMar>
            <w:top w:w="0" w:type="dxa"/>
            <w:left w:w="108" w:type="dxa"/>
            <w:bottom w:w="0" w:type="dxa"/>
            <w:right w:w="108" w:type="dxa"/>
          </w:tblCellMar>
        </w:tblPrEx>
        <w:trPr>
          <w:trHeight w:val="649" w:hRule="atLeast"/>
          <w:jc w:val="center"/>
        </w:trPr>
        <w:tc>
          <w:tcPr>
            <w:tcW w:w="4489" w:type="dxa"/>
            <w:tcBorders>
              <w:tl2br w:val="nil"/>
              <w:tr2bl w:val="nil"/>
            </w:tcBorders>
            <w:noWrap w:val="0"/>
            <w:vAlign w:val="top"/>
          </w:tcPr>
          <w:p w14:paraId="10B4199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账    号：8111201013500508457</w:t>
            </w:r>
          </w:p>
        </w:tc>
        <w:tc>
          <w:tcPr>
            <w:tcW w:w="4842" w:type="dxa"/>
            <w:tcBorders>
              <w:tl2br w:val="nil"/>
              <w:tr2bl w:val="nil"/>
            </w:tcBorders>
            <w:noWrap w:val="0"/>
            <w:vAlign w:val="top"/>
          </w:tcPr>
          <w:p w14:paraId="080E872B">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账    号：</w:t>
            </w:r>
          </w:p>
        </w:tc>
      </w:tr>
      <w:tr w14:paraId="1B195DCC">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41F25EB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话：023-65880092</w:t>
            </w:r>
          </w:p>
        </w:tc>
        <w:tc>
          <w:tcPr>
            <w:tcW w:w="4842" w:type="dxa"/>
            <w:tcBorders>
              <w:tl2br w:val="nil"/>
              <w:tr2bl w:val="nil"/>
            </w:tcBorders>
            <w:noWrap w:val="0"/>
            <w:vAlign w:val="top"/>
          </w:tcPr>
          <w:p w14:paraId="3A1AF0E2">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017F03CE">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251449F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址：重庆市璧山区璧城街道</w:t>
            </w:r>
          </w:p>
          <w:p w14:paraId="289CCD5F">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国学路</w:t>
            </w:r>
            <w:r>
              <w:rPr>
                <w:rFonts w:hint="eastAsia" w:ascii="宋体" w:hAnsi="宋体" w:eastAsia="宋体" w:cs="宋体"/>
                <w:color w:val="auto"/>
                <w:sz w:val="28"/>
                <w:szCs w:val="28"/>
              </w:rPr>
              <w:t>61号</w:t>
            </w:r>
          </w:p>
        </w:tc>
        <w:tc>
          <w:tcPr>
            <w:tcW w:w="4842" w:type="dxa"/>
            <w:tcBorders>
              <w:tl2br w:val="nil"/>
              <w:tr2bl w:val="nil"/>
            </w:tcBorders>
            <w:noWrap w:val="0"/>
            <w:vAlign w:val="top"/>
          </w:tcPr>
          <w:p w14:paraId="510A1C9D">
            <w:pPr>
              <w:spacing w:line="560" w:lineRule="exact"/>
              <w:ind w:left="14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r>
      <w:tr w14:paraId="64DED412">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374DF3B6">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c>
          <w:tcPr>
            <w:tcW w:w="4842" w:type="dxa"/>
            <w:tcBorders>
              <w:tl2br w:val="nil"/>
              <w:tr2bl w:val="nil"/>
            </w:tcBorders>
            <w:noWrap w:val="0"/>
            <w:vAlign w:val="top"/>
          </w:tcPr>
          <w:p w14:paraId="3024E15D">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r>
      <w:tr w14:paraId="0270F7C3">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5101731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签约地点：</w:t>
            </w:r>
            <w:r>
              <w:rPr>
                <w:rFonts w:hint="eastAsia" w:ascii="宋体" w:hAnsi="宋体" w:eastAsia="宋体" w:cs="宋体"/>
                <w:color w:val="auto"/>
                <w:kern w:val="0"/>
                <w:sz w:val="28"/>
                <w:szCs w:val="28"/>
                <w:lang w:eastAsia="zh-CN"/>
              </w:rPr>
              <w:t>重庆市璧山区璧城街道国学路61号</w:t>
            </w:r>
            <w:r>
              <w:rPr>
                <w:rFonts w:hint="eastAsia" w:ascii="宋体" w:hAnsi="宋体" w:eastAsia="宋体" w:cs="宋体"/>
                <w:color w:val="auto"/>
                <w:sz w:val="28"/>
                <w:szCs w:val="28"/>
              </w:rPr>
              <w:t>重庆中医药学院</w:t>
            </w:r>
          </w:p>
        </w:tc>
      </w:tr>
    </w:tbl>
    <w:p w14:paraId="05409CE4">
      <w:pPr>
        <w:spacing w:line="560" w:lineRule="exact"/>
        <w:ind w:firstLine="560" w:firstLineChars="200"/>
        <w:rPr>
          <w:rFonts w:hint="eastAsia" w:ascii="宋体" w:hAnsi="宋体" w:eastAsia="宋体" w:cs="宋体"/>
          <w:color w:val="auto"/>
          <w:sz w:val="28"/>
          <w:szCs w:val="28"/>
        </w:rPr>
      </w:pPr>
    </w:p>
    <w:p w14:paraId="4DF8B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eastAsia" w:ascii="宋体" w:hAnsi="宋体" w:eastAsia="宋体" w:cs="宋体"/>
          <w:b/>
          <w:bCs/>
          <w:color w:val="auto"/>
          <w:sz w:val="28"/>
          <w:szCs w:val="28"/>
        </w:rPr>
      </w:pPr>
    </w:p>
    <w:p w14:paraId="68904108">
      <w:pPr>
        <w:spacing w:line="56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color w:val="auto"/>
          <w:sz w:val="28"/>
          <w:szCs w:val="28"/>
        </w:rPr>
        <w:t>附件1</w:t>
      </w:r>
    </w:p>
    <w:p w14:paraId="4561F460">
      <w:pPr>
        <w:spacing w:line="6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信息安全保密协议</w:t>
      </w:r>
    </w:p>
    <w:p w14:paraId="4BBD17E3">
      <w:pPr>
        <w:spacing w:line="560" w:lineRule="exact"/>
        <w:ind w:right="414" w:rightChars="148"/>
        <w:rPr>
          <w:rFonts w:hint="eastAsia" w:ascii="宋体" w:hAnsi="宋体" w:eastAsia="宋体" w:cs="宋体"/>
          <w:color w:val="auto"/>
          <w:kern w:val="0"/>
          <w:sz w:val="28"/>
          <w:szCs w:val="28"/>
        </w:rPr>
      </w:pPr>
    </w:p>
    <w:p w14:paraId="4862C022">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  方：重庆中医药学院</w:t>
      </w:r>
    </w:p>
    <w:p w14:paraId="135F1E1B">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  方：</w:t>
      </w:r>
    </w:p>
    <w:p w14:paraId="64E5A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因乙方为甲方提供本主协议所述服务或/和采购供货，已经(或将要)知悉甲方的</w:t>
      </w:r>
      <w:r>
        <w:rPr>
          <w:rFonts w:hint="eastAsia" w:ascii="宋体" w:hAnsi="宋体" w:eastAsia="宋体" w:cs="宋体"/>
          <w:color w:val="auto"/>
          <w:sz w:val="28"/>
          <w:szCs w:val="28"/>
          <w:lang w:eastAsia="zh-Hans"/>
        </w:rPr>
        <w:t>信息</w:t>
      </w:r>
      <w:r>
        <w:rPr>
          <w:rFonts w:hint="eastAsia" w:ascii="宋体" w:hAnsi="宋体" w:eastAsia="宋体" w:cs="宋体"/>
          <w:color w:val="auto"/>
          <w:sz w:val="28"/>
          <w:szCs w:val="28"/>
        </w:rPr>
        <w:t>，为明确乙方的保密义务和维护双方的合法权益，依据相关法规，甲乙双方本着平等、自愿、公平和诚实信用的原则签订本协议。</w:t>
      </w:r>
    </w:p>
    <w:p w14:paraId="54AFDB5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保密内容及范围</w:t>
      </w:r>
    </w:p>
    <w:p w14:paraId="2737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乙方同意对甲方、或者</w:t>
      </w:r>
      <w:r>
        <w:rPr>
          <w:rFonts w:hint="eastAsia" w:ascii="宋体" w:hAnsi="宋体" w:eastAsia="宋体" w:cs="宋体"/>
          <w:color w:val="auto"/>
          <w:sz w:val="28"/>
          <w:szCs w:val="28"/>
          <w:lang w:eastAsia="zh-Hans"/>
        </w:rPr>
        <w:t>虽属于</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等第三方但甲方负有保密义务的</w:t>
      </w:r>
      <w:r>
        <w:rPr>
          <w:rFonts w:hint="eastAsia" w:ascii="宋体" w:hAnsi="宋体" w:eastAsia="宋体" w:cs="宋体"/>
          <w:color w:val="auto"/>
          <w:sz w:val="28"/>
          <w:szCs w:val="28"/>
          <w:lang w:eastAsia="zh-Hans"/>
        </w:rPr>
        <w:t>一</w:t>
      </w:r>
      <w:r>
        <w:rPr>
          <w:rFonts w:hint="eastAsia" w:ascii="宋体" w:hAnsi="宋体" w:eastAsia="宋体" w:cs="宋体"/>
          <w:color w:val="auto"/>
          <w:sz w:val="28"/>
          <w:szCs w:val="28"/>
        </w:rPr>
        <w:t>切保密信息予以严格保密。</w:t>
      </w:r>
    </w:p>
    <w:p w14:paraId="65E03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本协议中的“保密信息”是指乙方在甲方</w:t>
      </w:r>
      <w:r>
        <w:rPr>
          <w:rFonts w:hint="eastAsia" w:ascii="宋体" w:hAnsi="宋体" w:eastAsia="宋体" w:cs="宋体"/>
          <w:color w:val="auto"/>
          <w:sz w:val="28"/>
          <w:szCs w:val="28"/>
          <w:lang w:eastAsia="zh-Hans"/>
        </w:rPr>
        <w:t>服务</w:t>
      </w:r>
      <w:r>
        <w:rPr>
          <w:rFonts w:hint="eastAsia" w:ascii="宋体" w:hAnsi="宋体" w:eastAsia="宋体" w:cs="宋体"/>
          <w:color w:val="auto"/>
          <w:sz w:val="28"/>
          <w:szCs w:val="28"/>
        </w:rPr>
        <w:t>期间接触到的甲方、甲方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的任何形式的秘密信息，包括但不限于:</w:t>
      </w:r>
    </w:p>
    <w:p w14:paraId="678F3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（1）任何甲方、甲方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不欲公开的观点、发现、发明、公式、程序、计划、图表、模型、参数、数据、标准、商业秘密、专有技术以及任何知识产权等；</w:t>
      </w:r>
    </w:p>
    <w:p w14:paraId="41629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制作或拥有的任何形式的报告、访谈记录、数据、信件、电子邮件、报表、模型以及其他文件的原件或副件；</w:t>
      </w:r>
    </w:p>
    <w:p w14:paraId="770C9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的技术资料或秘密、经营情况、经营策略及经营信息、客户信息、客户经营状况等；</w:t>
      </w:r>
    </w:p>
    <w:p w14:paraId="49EED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（4）甲方内外部项目的项目建议书、项目计划、报价、合同、项目研究方法和工具、培训资料和工具以及项目成果等；</w:t>
      </w:r>
    </w:p>
    <w:p w14:paraId="062E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（5）甲方内部不欲公开或未经公开的公司制度、文件、决议、消息和公司运营情况等；</w:t>
      </w:r>
    </w:p>
    <w:p w14:paraId="4DD2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（6）任何甲方、甲方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w:t>
      </w:r>
      <w:r>
        <w:rPr>
          <w:rFonts w:hint="eastAsia" w:ascii="宋体" w:hAnsi="宋体" w:eastAsia="宋体" w:cs="宋体"/>
          <w:color w:val="auto"/>
          <w:sz w:val="28"/>
          <w:szCs w:val="28"/>
        </w:rPr>
        <w:t>不欲公开的关于财务、成本、利润、市场、销售、合同的信息及</w:t>
      </w:r>
      <w:r>
        <w:rPr>
          <w:rFonts w:hint="eastAsia" w:ascii="宋体" w:hAnsi="宋体" w:eastAsia="宋体" w:cs="宋体"/>
          <w:color w:val="auto"/>
          <w:sz w:val="28"/>
          <w:szCs w:val="28"/>
          <w:lang w:eastAsia="zh-Hans"/>
        </w:rPr>
        <w:t>上下级单位</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Hans"/>
        </w:rPr>
        <w:t>供应</w:t>
      </w:r>
      <w:r>
        <w:rPr>
          <w:rFonts w:hint="eastAsia" w:ascii="宋体" w:hAnsi="宋体" w:eastAsia="宋体" w:cs="宋体"/>
          <w:color w:val="auto"/>
          <w:sz w:val="28"/>
          <w:szCs w:val="28"/>
        </w:rPr>
        <w:t>商名单等。</w:t>
      </w:r>
    </w:p>
    <w:p w14:paraId="4CA3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乙方承认，上述“保密信息”均为甲方的保密信息。本协议不仅适用于乙方在本协议签订之后接触的保密信息，也适用于乙方在本协议生效日期前接触的所有保密信息。</w:t>
      </w:r>
    </w:p>
    <w:p w14:paraId="64ACB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乙方确认，如果对是否属于保密信息存在争议，则乙方应按保密信息进行处理，除非得到甲方明确否认。</w:t>
      </w:r>
    </w:p>
    <w:p w14:paraId="5B8EDB8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第二条  乙方的保密义务</w:t>
      </w:r>
    </w:p>
    <w:p w14:paraId="2554C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乙方同意为甲方利益尽最佳努力，在提供</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本主协议所述服务或/和采购供货不组织、参加或计划组织、参加任何竞争企业、或从事任何不正当使用甲方商业秘密的行为。</w:t>
      </w:r>
    </w:p>
    <w:p w14:paraId="26E8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乙方在为甲方提供服务期间，应严格遵守甲方规定的任何成文或不成文的保密规章、制度，履行与其服务内容相应的保密职责；若甲方的保密规章、制度没有规定或者规定不明确之处，乙方亦应本着谨慎、诚实的态度，采取任何必要、合理的措施，维护其</w:t>
      </w:r>
      <w:r>
        <w:rPr>
          <w:rFonts w:hint="eastAsia" w:ascii="宋体" w:hAnsi="宋体" w:eastAsia="宋体" w:cs="宋体"/>
          <w:color w:val="auto"/>
          <w:sz w:val="28"/>
          <w:szCs w:val="28"/>
          <w:lang w:eastAsia="zh-Hans"/>
        </w:rPr>
        <w:t>服务</w:t>
      </w:r>
      <w:r>
        <w:rPr>
          <w:rFonts w:hint="eastAsia" w:ascii="宋体" w:hAnsi="宋体" w:eastAsia="宋体" w:cs="宋体"/>
          <w:color w:val="auto"/>
          <w:sz w:val="28"/>
          <w:szCs w:val="28"/>
        </w:rPr>
        <w:t>期间知悉或者持有的保密信息。</w:t>
      </w:r>
    </w:p>
    <w:p w14:paraId="2C23B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3. 甲方或乙方</w:t>
      </w:r>
      <w:r>
        <w:rPr>
          <w:rFonts w:hint="eastAsia" w:ascii="宋体" w:hAnsi="宋体" w:eastAsia="宋体" w:cs="宋体"/>
          <w:color w:val="auto"/>
          <w:sz w:val="28"/>
          <w:szCs w:val="28"/>
          <w:lang w:eastAsia="zh-Hans"/>
        </w:rPr>
        <w:t>在服务</w:t>
      </w:r>
      <w:r>
        <w:rPr>
          <w:rFonts w:hint="eastAsia" w:ascii="宋体" w:hAnsi="宋体" w:eastAsia="宋体" w:cs="宋体"/>
          <w:color w:val="auto"/>
          <w:sz w:val="28"/>
          <w:szCs w:val="28"/>
        </w:rPr>
        <w:t>范围内就保密事宜对乙方提出的合理要求，乙方应予执行，并作为本合同约定的保密义务的</w:t>
      </w:r>
      <w:r>
        <w:rPr>
          <w:rFonts w:hint="eastAsia" w:ascii="宋体" w:hAnsi="宋体" w:eastAsia="宋体" w:cs="宋体"/>
          <w:color w:val="auto"/>
          <w:sz w:val="28"/>
          <w:szCs w:val="28"/>
          <w:lang w:eastAsia="zh-Hans"/>
        </w:rPr>
        <w:t>一部分。</w:t>
      </w:r>
    </w:p>
    <w:p w14:paraId="35ADB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4</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乙方同意对保密信息予以严格保密，承担的保密义务包括但不限于:</w:t>
      </w:r>
    </w:p>
    <w:p w14:paraId="2CC07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（1）乙方因某一项目而从甲方、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单位处获得的保密信息，乙方承诺只在进行该项目或与该项目紧密相关的项目研究时使用，绝不为与该项目无关的目的使用该保密信息</w:t>
      </w:r>
      <w:r>
        <w:rPr>
          <w:rFonts w:hint="eastAsia" w:ascii="宋体" w:hAnsi="宋体" w:eastAsia="宋体" w:cs="宋体"/>
          <w:color w:val="auto"/>
          <w:sz w:val="28"/>
          <w:szCs w:val="28"/>
        </w:rPr>
        <w:t>；</w:t>
      </w:r>
    </w:p>
    <w:p w14:paraId="45BA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乙方应对甲方、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单位交到自己手中的保密信息予以妥善保存，</w:t>
      </w:r>
      <w:r>
        <w:rPr>
          <w:rFonts w:hint="eastAsia" w:ascii="宋体" w:hAnsi="宋体" w:cs="宋体"/>
          <w:color w:val="auto"/>
          <w:sz w:val="28"/>
          <w:szCs w:val="28"/>
          <w:lang w:eastAsia="zh-CN"/>
        </w:rPr>
        <w:t>不得泄露</w:t>
      </w:r>
      <w:r>
        <w:rPr>
          <w:rFonts w:hint="eastAsia" w:ascii="宋体" w:hAnsi="宋体" w:eastAsia="宋体" w:cs="宋体"/>
          <w:color w:val="auto"/>
          <w:sz w:val="28"/>
          <w:szCs w:val="28"/>
          <w:lang w:eastAsia="zh-Hans"/>
        </w:rPr>
        <w:t>或遗失，在未经甲方事先书面许可，不得私自保留或复制、记录</w:t>
      </w:r>
      <w:r>
        <w:rPr>
          <w:rFonts w:hint="eastAsia" w:ascii="宋体" w:hAnsi="宋体" w:eastAsia="宋体" w:cs="宋体"/>
          <w:color w:val="auto"/>
          <w:sz w:val="28"/>
          <w:szCs w:val="28"/>
        </w:rPr>
        <w:t>；</w:t>
      </w:r>
    </w:p>
    <w:p w14:paraId="2A36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（3）非经甲方事先书面许可，乙方不得直接或间接地以任何方式或向任何第三方(包括除甲方该项目组人员以外的任何机构和人员)披露或透露保密信息</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Hans"/>
        </w:rPr>
        <w:t>亦不得依据保密信息，就任何问题，向任何第三方做出任何建议</w:t>
      </w:r>
      <w:r>
        <w:rPr>
          <w:rFonts w:hint="eastAsia" w:ascii="宋体" w:hAnsi="宋体" w:eastAsia="宋体" w:cs="宋体"/>
          <w:color w:val="auto"/>
          <w:sz w:val="28"/>
          <w:szCs w:val="28"/>
        </w:rPr>
        <w:t>；</w:t>
      </w:r>
    </w:p>
    <w:p w14:paraId="15DAB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（4）当甲方、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单位要求乙方交回保密信息时(无论出于何种理由)，乙方应立即将保密信息(及保密信息的载体、复制品等)完整交回</w:t>
      </w:r>
      <w:r>
        <w:rPr>
          <w:rFonts w:hint="eastAsia" w:ascii="宋体" w:hAnsi="宋体" w:eastAsia="宋体" w:cs="宋体"/>
          <w:color w:val="auto"/>
          <w:sz w:val="28"/>
          <w:szCs w:val="28"/>
        </w:rPr>
        <w:t>；</w:t>
      </w:r>
    </w:p>
    <w:p w14:paraId="176F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（5）根据甲方的要求，如实向甲方提供保密信息的使用记录</w:t>
      </w:r>
      <w:r>
        <w:rPr>
          <w:rFonts w:hint="eastAsia" w:ascii="宋体" w:hAnsi="宋体" w:eastAsia="宋体" w:cs="宋体"/>
          <w:color w:val="auto"/>
          <w:sz w:val="28"/>
          <w:szCs w:val="28"/>
        </w:rPr>
        <w:t>；</w:t>
      </w:r>
    </w:p>
    <w:p w14:paraId="4D689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（6）乙方提供服务结束时或任何时候甲方提出要求时，须将一切保密信息(及保密信息的载体、复制品等)在甲方要求的时间内交还甲方</w:t>
      </w:r>
      <w:r>
        <w:rPr>
          <w:rFonts w:hint="eastAsia" w:ascii="宋体" w:hAnsi="宋体" w:eastAsia="宋体" w:cs="宋体"/>
          <w:color w:val="auto"/>
          <w:sz w:val="28"/>
          <w:szCs w:val="28"/>
        </w:rPr>
        <w:t>；</w:t>
      </w:r>
    </w:p>
    <w:p w14:paraId="7521F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乙方在提供服务结束后，应严格遵守相关法律规定，以及以上各项保密义务，不得以任何方式利用、传播、披露所掌握或知悉的保密信息，不得利用所掌握或知悉的保密信息从事损害甲方利益或可能对甲方利益造成不利影响的活动，包括向乙方之后用户单位披露或使用保密信息、为乙方自营企业利益使用保密信息等。</w:t>
      </w:r>
    </w:p>
    <w:p w14:paraId="4DB45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5</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保密信息的保密期是指：乙方服务期间或服务期间后，甲方、</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单位对外公布保密信息，或者保密信息为公众所知之前的任何时间。</w:t>
      </w:r>
    </w:p>
    <w:p w14:paraId="426FC06D">
      <w:pPr>
        <w:spacing w:line="560" w:lineRule="exact"/>
        <w:ind w:firstLine="560" w:firstLineChars="200"/>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第三条</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 xml:space="preserve"> 甲乙双方确认</w:t>
      </w:r>
    </w:p>
    <w:p w14:paraId="2C0AC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1</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双方确认，就本协议的履行，甲方无需额外向乙方支付费用或报酬，除非双方另有约定。</w:t>
      </w:r>
    </w:p>
    <w:p w14:paraId="7D55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乙方确认，已经知悉并理解甲方的上述制度，并同意遵守执行:</w:t>
      </w:r>
    </w:p>
    <w:p w14:paraId="1C2B9AD1">
      <w:pPr>
        <w:spacing w:line="560" w:lineRule="exact"/>
        <w:ind w:firstLine="560" w:firstLineChars="200"/>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 xml:space="preserve">第四条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违约责任</w:t>
      </w:r>
    </w:p>
    <w:p w14:paraId="73CB6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1</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乙方违反保密义务时，应向甲方支付</w:t>
      </w:r>
      <w:r>
        <w:rPr>
          <w:rFonts w:hint="eastAsia" w:ascii="宋体" w:hAnsi="宋体" w:eastAsia="宋体" w:cs="宋体"/>
          <w:color w:val="auto"/>
          <w:sz w:val="28"/>
          <w:szCs w:val="28"/>
        </w:rPr>
        <w:t>合同金额3%的</w:t>
      </w:r>
      <w:r>
        <w:rPr>
          <w:rFonts w:hint="eastAsia" w:ascii="宋体" w:hAnsi="宋体" w:eastAsia="宋体" w:cs="宋体"/>
          <w:color w:val="auto"/>
          <w:sz w:val="28"/>
          <w:szCs w:val="28"/>
          <w:lang w:eastAsia="zh-Hans"/>
        </w:rPr>
        <w:t>违约金。同时还应赔偿由此给甲方、甲方的供应商及甲方关联单位造成的一切损失，损失范围包括但不限于甲方的名誉损失、直接损失和可得利益的损失，以及调查费用、公证费用、诉讼费用、律师费用，向第三方支付的赔偿，为应对第三方的指控而支付的一切费用等。上述赔偿可以从乙方的服务报酬或劳动报酬中扣除。</w:t>
      </w:r>
    </w:p>
    <w:p w14:paraId="2A31D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eastAsia="zh-Hans"/>
        </w:rPr>
        <w:t>如果乙方侵犯</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单位相关的保密信息或知识产权，甲方有权代表</w:t>
      </w:r>
      <w:r>
        <w:rPr>
          <w:rFonts w:hint="eastAsia" w:ascii="宋体" w:hAnsi="宋体" w:eastAsia="宋体" w:cs="宋体"/>
          <w:color w:val="auto"/>
          <w:sz w:val="28"/>
          <w:szCs w:val="28"/>
        </w:rPr>
        <w:t>甲方</w:t>
      </w:r>
      <w:r>
        <w:rPr>
          <w:rFonts w:hint="eastAsia" w:ascii="宋体" w:hAnsi="宋体" w:eastAsia="宋体" w:cs="宋体"/>
          <w:color w:val="auto"/>
          <w:sz w:val="28"/>
          <w:szCs w:val="28"/>
          <w:lang w:eastAsia="zh-Hans"/>
        </w:rPr>
        <w:t>的供应商</w:t>
      </w:r>
      <w:r>
        <w:rPr>
          <w:rFonts w:hint="eastAsia" w:ascii="宋体" w:hAnsi="宋体" w:eastAsia="宋体" w:cs="宋体"/>
          <w:color w:val="auto"/>
          <w:sz w:val="28"/>
          <w:szCs w:val="28"/>
        </w:rPr>
        <w:t>及甲方关联</w:t>
      </w:r>
      <w:r>
        <w:rPr>
          <w:rFonts w:hint="eastAsia" w:ascii="宋体" w:hAnsi="宋体" w:eastAsia="宋体" w:cs="宋体"/>
          <w:color w:val="auto"/>
          <w:sz w:val="28"/>
          <w:szCs w:val="28"/>
          <w:lang w:eastAsia="zh-Hans"/>
        </w:rPr>
        <w:t>单位追究乙方的法律责任。</w:t>
      </w:r>
    </w:p>
    <w:p w14:paraId="25D51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3. 乙方若违反本协议书内容，甲方有权制止乙方违约行为或侵权行为并要求乙方积极采取措施消除影响、赔偿损失；情节严重的，甲方有权向有关部门报案，乙方</w:t>
      </w:r>
      <w:r>
        <w:rPr>
          <w:rFonts w:hint="eastAsia" w:ascii="宋体" w:hAnsi="宋体" w:eastAsia="宋体" w:cs="宋体"/>
          <w:color w:val="auto"/>
          <w:sz w:val="28"/>
          <w:szCs w:val="28"/>
          <w:lang w:eastAsia="zh-Hans"/>
        </w:rPr>
        <w:t>应</w:t>
      </w:r>
      <w:r>
        <w:rPr>
          <w:rFonts w:hint="eastAsia" w:ascii="宋体" w:hAnsi="宋体" w:eastAsia="宋体" w:cs="宋体"/>
          <w:color w:val="auto"/>
          <w:sz w:val="28"/>
          <w:szCs w:val="28"/>
        </w:rPr>
        <w:t>承担相应的行政和刑事责任。</w:t>
      </w:r>
    </w:p>
    <w:p w14:paraId="7B353B20">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Hans"/>
        </w:rPr>
        <w:t xml:space="preserve">第五条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争议解决</w:t>
      </w:r>
      <w:r>
        <w:rPr>
          <w:rFonts w:hint="eastAsia" w:ascii="宋体" w:hAnsi="宋体" w:eastAsia="宋体" w:cs="宋体"/>
          <w:color w:val="auto"/>
          <w:sz w:val="28"/>
          <w:szCs w:val="28"/>
        </w:rPr>
        <w:t xml:space="preserve">. </w:t>
      </w:r>
    </w:p>
    <w:p w14:paraId="7BCB0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双方同意，因签订本协议发生的或同本协议有关的一切纠纷，由双方当事人协商解决，协商不成的，任何一方均可向甲方所在地有管辖权的人民法院提起诉讼。</w:t>
      </w:r>
    </w:p>
    <w:p w14:paraId="2775A2FF">
      <w:pPr>
        <w:spacing w:line="560" w:lineRule="exact"/>
        <w:ind w:firstLine="560" w:firstLineChars="200"/>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 xml:space="preserve">第六条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Hans"/>
        </w:rPr>
        <w:t>附则</w:t>
      </w:r>
    </w:p>
    <w:p w14:paraId="792CB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任何一方不得将本协议项下的权利和义务转让给第三方，但获得对方书面同意的除外。</w:t>
      </w:r>
    </w:p>
    <w:p w14:paraId="1468E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乙方的保密义务自本项目建设合作起开始生效。</w:t>
      </w:r>
    </w:p>
    <w:p w14:paraId="7EFE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乙方的保密义务并不因双方合作关系的解除而免除。</w:t>
      </w:r>
    </w:p>
    <w:p w14:paraId="4391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rPr>
        <w:t>4. 本协议一式</w:t>
      </w:r>
      <w:r>
        <w:rPr>
          <w:rFonts w:hint="eastAsia" w:ascii="宋体" w:hAnsi="宋体" w:eastAsia="宋体" w:cs="宋体"/>
          <w:color w:val="auto"/>
          <w:sz w:val="28"/>
          <w:szCs w:val="28"/>
          <w:u w:val="single"/>
        </w:rPr>
        <w:t xml:space="preserve"> 陆 </w:t>
      </w:r>
      <w:r>
        <w:rPr>
          <w:rFonts w:hint="eastAsia" w:ascii="宋体" w:hAnsi="宋体" w:eastAsia="宋体" w:cs="宋体"/>
          <w:color w:val="auto"/>
          <w:sz w:val="28"/>
          <w:szCs w:val="28"/>
        </w:rPr>
        <w:t>份，甲方</w:t>
      </w:r>
      <w:r>
        <w:rPr>
          <w:rFonts w:hint="eastAsia" w:ascii="宋体" w:hAnsi="宋体" w:eastAsia="宋体" w:cs="宋体"/>
          <w:color w:val="auto"/>
          <w:sz w:val="28"/>
          <w:szCs w:val="28"/>
          <w:u w:val="single"/>
        </w:rPr>
        <w:t xml:space="preserve"> 肆 </w:t>
      </w:r>
      <w:r>
        <w:rPr>
          <w:rFonts w:hint="eastAsia" w:ascii="宋体" w:hAnsi="宋体" w:eastAsia="宋体" w:cs="宋体"/>
          <w:color w:val="auto"/>
          <w:sz w:val="28"/>
          <w:szCs w:val="28"/>
        </w:rPr>
        <w:t>份和乙方</w:t>
      </w:r>
      <w:r>
        <w:rPr>
          <w:rFonts w:hint="eastAsia" w:ascii="宋体" w:hAnsi="宋体" w:eastAsia="宋体" w:cs="宋体"/>
          <w:color w:val="auto"/>
          <w:sz w:val="28"/>
          <w:szCs w:val="28"/>
          <w:u w:val="single"/>
        </w:rPr>
        <w:t xml:space="preserve"> 贰 </w:t>
      </w:r>
      <w:r>
        <w:rPr>
          <w:rFonts w:hint="eastAsia" w:ascii="宋体" w:hAnsi="宋体" w:eastAsia="宋体" w:cs="宋体"/>
          <w:color w:val="auto"/>
          <w:sz w:val="28"/>
          <w:szCs w:val="28"/>
        </w:rPr>
        <w:t>份。未尽事宜，甲乙双方友好协商，</w:t>
      </w:r>
      <w:r>
        <w:rPr>
          <w:rFonts w:hint="eastAsia" w:ascii="宋体" w:hAnsi="宋体" w:eastAsia="宋体" w:cs="宋体"/>
          <w:color w:val="auto"/>
          <w:sz w:val="28"/>
          <w:szCs w:val="28"/>
          <w:lang w:eastAsia="zh-Hans"/>
        </w:rPr>
        <w:t>可</w:t>
      </w:r>
      <w:r>
        <w:rPr>
          <w:rFonts w:hint="eastAsia" w:ascii="宋体" w:hAnsi="宋体" w:cs="宋体"/>
          <w:color w:val="auto"/>
          <w:sz w:val="28"/>
          <w:szCs w:val="28"/>
          <w:lang w:eastAsia="zh-CN"/>
        </w:rPr>
        <w:t>签订</w:t>
      </w:r>
      <w:r>
        <w:rPr>
          <w:rFonts w:hint="eastAsia" w:ascii="宋体" w:hAnsi="宋体" w:eastAsia="宋体" w:cs="宋体"/>
          <w:color w:val="auto"/>
          <w:sz w:val="28"/>
          <w:szCs w:val="28"/>
          <w:lang w:eastAsia="zh-Hans"/>
        </w:rPr>
        <w:t>补充协议予以完善。</w:t>
      </w:r>
    </w:p>
    <w:tbl>
      <w:tblPr>
        <w:tblStyle w:val="23"/>
        <w:tblW w:w="9331" w:type="dxa"/>
        <w:jc w:val="center"/>
        <w:tblLayout w:type="fixed"/>
        <w:tblCellMar>
          <w:top w:w="0" w:type="dxa"/>
          <w:left w:w="108" w:type="dxa"/>
          <w:bottom w:w="0" w:type="dxa"/>
          <w:right w:w="108" w:type="dxa"/>
        </w:tblCellMar>
      </w:tblPr>
      <w:tblGrid>
        <w:gridCol w:w="4489"/>
        <w:gridCol w:w="4842"/>
      </w:tblGrid>
      <w:tr w14:paraId="7771601B">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23C9B00D">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甲    方：重庆中医药学院</w:t>
            </w:r>
          </w:p>
        </w:tc>
        <w:tc>
          <w:tcPr>
            <w:tcW w:w="4842" w:type="dxa"/>
            <w:tcBorders>
              <w:tl2br w:val="nil"/>
              <w:tr2bl w:val="nil"/>
            </w:tcBorders>
            <w:noWrap w:val="0"/>
            <w:vAlign w:val="top"/>
          </w:tcPr>
          <w:p w14:paraId="04B1BFA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乙    方：</w:t>
            </w:r>
          </w:p>
        </w:tc>
      </w:tr>
      <w:tr w14:paraId="12C0C13E">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1C1377D">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1D5AF1B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tc>
        <w:tc>
          <w:tcPr>
            <w:tcW w:w="4842" w:type="dxa"/>
            <w:tcBorders>
              <w:tl2br w:val="nil"/>
              <w:tr2bl w:val="nil"/>
            </w:tcBorders>
            <w:noWrap w:val="0"/>
            <w:vAlign w:val="top"/>
          </w:tcPr>
          <w:p w14:paraId="09D19081">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5B29E66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4191F408">
            <w:pPr>
              <w:pStyle w:val="9"/>
              <w:rPr>
                <w:rFonts w:hint="eastAsia" w:ascii="宋体" w:hAnsi="宋体" w:eastAsia="宋体" w:cs="宋体"/>
                <w:color w:val="auto"/>
              </w:rPr>
            </w:pPr>
          </w:p>
        </w:tc>
      </w:tr>
      <w:tr w14:paraId="5D2EA1F7">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62FEF589">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话：023-65880092</w:t>
            </w:r>
          </w:p>
        </w:tc>
        <w:tc>
          <w:tcPr>
            <w:tcW w:w="4842" w:type="dxa"/>
            <w:tcBorders>
              <w:tl2br w:val="nil"/>
              <w:tr2bl w:val="nil"/>
            </w:tcBorders>
            <w:noWrap w:val="0"/>
            <w:vAlign w:val="top"/>
          </w:tcPr>
          <w:p w14:paraId="484EBE1F">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0AD3CEC2">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20323EBC">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址：重庆市璧山区璧城街道</w:t>
            </w:r>
          </w:p>
          <w:p w14:paraId="417F1917">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国学路</w:t>
            </w:r>
            <w:r>
              <w:rPr>
                <w:rFonts w:hint="eastAsia" w:ascii="宋体" w:hAnsi="宋体" w:eastAsia="宋体" w:cs="宋体"/>
                <w:color w:val="auto"/>
                <w:sz w:val="28"/>
                <w:szCs w:val="28"/>
              </w:rPr>
              <w:t>61号</w:t>
            </w:r>
          </w:p>
        </w:tc>
        <w:tc>
          <w:tcPr>
            <w:tcW w:w="4842" w:type="dxa"/>
            <w:tcBorders>
              <w:tl2br w:val="nil"/>
              <w:tr2bl w:val="nil"/>
            </w:tcBorders>
            <w:noWrap w:val="0"/>
            <w:vAlign w:val="top"/>
          </w:tcPr>
          <w:p w14:paraId="0D14C01D">
            <w:pPr>
              <w:spacing w:line="560" w:lineRule="exact"/>
              <w:ind w:left="14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r>
      <w:tr w14:paraId="5A5D1216">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15B69150">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c>
          <w:tcPr>
            <w:tcW w:w="4842" w:type="dxa"/>
            <w:tcBorders>
              <w:tl2br w:val="nil"/>
              <w:tr2bl w:val="nil"/>
            </w:tcBorders>
            <w:noWrap w:val="0"/>
            <w:vAlign w:val="top"/>
          </w:tcPr>
          <w:p w14:paraId="21088D60">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r>
      <w:tr w14:paraId="7BFBACB2">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1592291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签约地点：</w:t>
            </w:r>
            <w:r>
              <w:rPr>
                <w:rFonts w:hint="eastAsia" w:ascii="宋体" w:hAnsi="宋体" w:eastAsia="宋体" w:cs="宋体"/>
                <w:color w:val="auto"/>
                <w:kern w:val="0"/>
                <w:sz w:val="28"/>
                <w:szCs w:val="28"/>
                <w:lang w:eastAsia="zh-CN"/>
              </w:rPr>
              <w:t>重庆市璧山区璧城街道国学路61号</w:t>
            </w:r>
            <w:r>
              <w:rPr>
                <w:rFonts w:hint="eastAsia" w:ascii="宋体" w:hAnsi="宋体" w:eastAsia="宋体" w:cs="宋体"/>
                <w:color w:val="auto"/>
                <w:sz w:val="28"/>
                <w:szCs w:val="28"/>
              </w:rPr>
              <w:t>重庆中医药学院</w:t>
            </w:r>
          </w:p>
        </w:tc>
      </w:tr>
    </w:tbl>
    <w:p w14:paraId="7BD799D5">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附件2</w:t>
      </w:r>
    </w:p>
    <w:p w14:paraId="7E908F18">
      <w:pPr>
        <w:spacing w:line="66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安 全 协 议</w:t>
      </w:r>
    </w:p>
    <w:p w14:paraId="54A50222">
      <w:pPr>
        <w:spacing w:line="560" w:lineRule="exact"/>
        <w:ind w:right="414" w:rightChars="148"/>
        <w:rPr>
          <w:rFonts w:hint="eastAsia" w:ascii="宋体" w:hAnsi="宋体" w:eastAsia="宋体" w:cs="宋体"/>
          <w:color w:val="auto"/>
          <w:kern w:val="0"/>
          <w:sz w:val="28"/>
          <w:szCs w:val="28"/>
        </w:rPr>
      </w:pPr>
    </w:p>
    <w:p w14:paraId="04836FBB">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甲  方：重庆中医药学院</w:t>
      </w:r>
    </w:p>
    <w:p w14:paraId="59CD9B10">
      <w:pPr>
        <w:spacing w:line="560" w:lineRule="exact"/>
        <w:ind w:right="414" w:rightChars="148"/>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  方：</w:t>
      </w:r>
    </w:p>
    <w:p w14:paraId="5EE8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6A7F5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根据</w:t>
      </w:r>
      <w:r>
        <w:rPr>
          <w:rFonts w:hint="eastAsia" w:ascii="宋体" w:hAnsi="宋体" w:eastAsia="宋体" w:cs="宋体"/>
          <w:color w:val="auto"/>
          <w:sz w:val="28"/>
          <w:szCs w:val="28"/>
          <w:u w:val="single"/>
          <w:lang w:val="en-US" w:eastAsia="zh-CN"/>
        </w:rPr>
        <w:t>TZC-（招）-咨字-2026-A0</w:t>
      </w:r>
      <w:r>
        <w:rPr>
          <w:rFonts w:hint="eastAsia" w:ascii="宋体" w:hAnsi="宋体" w:cs="宋体"/>
          <w:color w:val="auto"/>
          <w:sz w:val="28"/>
          <w:szCs w:val="28"/>
          <w:u w:val="single"/>
          <w:lang w:val="en-US" w:eastAsia="zh-CN"/>
        </w:rPr>
        <w:t>69</w:t>
      </w:r>
      <w:r>
        <w:rPr>
          <w:rFonts w:hint="eastAsia" w:ascii="宋体" w:hAnsi="宋体" w:eastAsia="宋体" w:cs="宋体"/>
          <w:color w:val="auto"/>
          <w:sz w:val="28"/>
          <w:szCs w:val="28"/>
        </w:rPr>
        <w:t>号招标项目的投标结果，中标方（乙方）成为项目的供应商。为避免乙方在提供服务、供货或施工过程中的安全生产风险，有效防止安全事故发生，保障生命、财产安全，促进服务、供货或施工的顺利进行，明确双方安全责任，经甲乙双方友好协商，达成以下安全协议。</w:t>
      </w:r>
    </w:p>
    <w:p w14:paraId="5084D8B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第一条  甲方安全责任</w:t>
      </w:r>
    </w:p>
    <w:p w14:paraId="69D8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甲方有协助乙方在提供服务、供货或施工过程中遇到的安全风险、防火管理以及督促检查的义务。甲方有权检查督促乙方执行有关安全方面的工作情况，对乙方不符合安全文明施工的行为进行制止、纠正并发出安全整改通知书，直至清退出场。</w:t>
      </w:r>
    </w:p>
    <w:p w14:paraId="1483D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甲方及甲方委托的监管机构有权对乙方安全生产情况随时进行抽查，有权对乙方参与服务、供货或施工过程中人员进行安全技术知识和安全工作规程的抽查。乙方应予积极配合。若在检查过程中被发现存在的安全隐患，应立即按要求在甲方规定时限内进行整改。</w:t>
      </w:r>
    </w:p>
    <w:p w14:paraId="264CE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乙方在提供服务、供货或施工过程中如发生特、重大事故，甲方有权督促乙方立即通知当地政府和公安部门，要求派人保护现场；并有权要求乙方提供事故调查书面结论及处理意见。</w:t>
      </w:r>
    </w:p>
    <w:p w14:paraId="28CD2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 甲方不得要求乙方违反安全管理规定进行服务、供货或施工。</w:t>
      </w:r>
    </w:p>
    <w:p w14:paraId="77AC21CF">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第二条  乙方安全责任</w:t>
      </w:r>
    </w:p>
    <w:p w14:paraId="56F4D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乙方作为服务、供货或施工项目的实施单位，对提供服务、供货或施工项目过程中发生的人身伤害、设备损坏、环境污染等影响甲方安全的一切事故承担安全责任。乙方应切实履行以下安全责任:</w:t>
      </w:r>
    </w:p>
    <w:p w14:paraId="5F1F9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乙方提供的服务、供货或施工项目所要求的相关资质证明材料应真实、合法、有效。</w:t>
      </w:r>
    </w:p>
    <w:p w14:paraId="7A163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如乙方作为施工项目的供应商，乙方应取得施工企业安全生产许可证后方可从事工程施工（零星施工项目或国家没有强制企业施工前取得安全生产许可证的除外）。施工企业的主要负责人、项目负责人、专职安全生产管理人员任职或上岗条件必须符合国家</w:t>
      </w:r>
      <w:r>
        <w:rPr>
          <w:rFonts w:hint="eastAsia" w:ascii="宋体" w:hAnsi="宋体" w:cs="宋体"/>
          <w:color w:val="auto"/>
          <w:sz w:val="28"/>
          <w:szCs w:val="28"/>
          <w:lang w:eastAsia="zh-CN"/>
        </w:rPr>
        <w:t>法律法规</w:t>
      </w:r>
      <w:r>
        <w:rPr>
          <w:rFonts w:hint="eastAsia" w:ascii="宋体" w:hAnsi="宋体" w:eastAsia="宋体" w:cs="宋体"/>
          <w:color w:val="auto"/>
          <w:sz w:val="28"/>
          <w:szCs w:val="28"/>
        </w:rPr>
        <w:t>相关规定。</w:t>
      </w:r>
    </w:p>
    <w:p w14:paraId="69D59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乙方在提供服务、供货或施工项目过程中必须贯彻执行国家有关安全生产的法律法规，必须制定相应的安全管理制度；严格按照各种操作规程进行操控作业。</w:t>
      </w:r>
    </w:p>
    <w:p w14:paraId="38DBD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 乙方在提供服务、供货或施工期间，应根据项目需求设立安全责任岗位。</w:t>
      </w:r>
    </w:p>
    <w:p w14:paraId="35E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 乙方</w:t>
      </w:r>
      <w:r>
        <w:rPr>
          <w:rFonts w:hint="eastAsia" w:ascii="宋体" w:hAnsi="宋体" w:cs="宋体"/>
          <w:color w:val="auto"/>
          <w:sz w:val="28"/>
          <w:szCs w:val="28"/>
          <w:lang w:eastAsia="zh-CN"/>
        </w:rPr>
        <w:t>用于</w:t>
      </w:r>
      <w:r>
        <w:rPr>
          <w:rFonts w:hint="eastAsia" w:ascii="宋体" w:hAnsi="宋体" w:eastAsia="宋体" w:cs="宋体"/>
          <w:color w:val="auto"/>
          <w:sz w:val="28"/>
          <w:szCs w:val="28"/>
        </w:rPr>
        <w:t>提供服务、供货或施工项目的施工机械、工器具及安全防护用品等数量和质量必须满足项目需要，乙方对因使用工器具不当所造成的人员伤亡及设备损坏负责。</w:t>
      </w:r>
    </w:p>
    <w:p w14:paraId="74A46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 乙方在提供服务、供货或施工项目前，应组织全体工作人员进行安全教育。如需特种工作人员作业，必须</w:t>
      </w:r>
      <w:r>
        <w:rPr>
          <w:rFonts w:hint="eastAsia" w:ascii="宋体" w:hAnsi="宋体" w:cs="宋体"/>
          <w:color w:val="auto"/>
          <w:sz w:val="28"/>
          <w:szCs w:val="28"/>
          <w:lang w:eastAsia="zh-CN"/>
        </w:rPr>
        <w:t>有关</w:t>
      </w:r>
      <w:r>
        <w:rPr>
          <w:rFonts w:hint="eastAsia" w:ascii="宋体" w:hAnsi="宋体" w:eastAsia="宋体" w:cs="宋体"/>
          <w:color w:val="auto"/>
          <w:sz w:val="28"/>
          <w:szCs w:val="28"/>
        </w:rPr>
        <w:t>部门核发的合格有效的上岗资格证书。</w:t>
      </w:r>
    </w:p>
    <w:p w14:paraId="4D360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7. 乙方在提供服务、供货或施工项目前，乙方应组织人员对工作区域、作业环境、设施设备、工器具等进行检查，确认符合安全要求。</w:t>
      </w:r>
    </w:p>
    <w:p w14:paraId="51A5E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8. 乙方在提供服务、供货或施工项目过程中需要使用电、水源，应事先与甲方取得联系，不得私拉乱接。中断作业或遇故障应立即切断有关开关。</w:t>
      </w:r>
    </w:p>
    <w:p w14:paraId="664CE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9. 乙方在提供服务、供货或施工项目过程中必须接受甲方的监督、检查，对甲方提出的安全整改意见必须及时整改。</w:t>
      </w:r>
    </w:p>
    <w:p w14:paraId="5173A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10. 乙方在提供服务、供货或施工项目过程中发生人身伤亡、设备事故或危及生产运行的不安全情况，应立即报告甲方，并积极配合调查。</w:t>
      </w:r>
    </w:p>
    <w:p w14:paraId="4F51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11. 乙方在提供服务、供货或施工项目过程中由于管理不善，违章操作，违章施工，造成甲方其他设施、设备受损，包括但不限于房屋墙面地面损毁，通信网络管道损毁、信号中断等，由乙方承担补修和赔偿的全部责任。</w:t>
      </w:r>
    </w:p>
    <w:p w14:paraId="6F3E8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12. 乙方在提供服务、供货或施工项目过程中(验收前)，由于管理不善，造成工程施工材料损坏或丢失，由乙方承担全部责任。</w:t>
      </w:r>
    </w:p>
    <w:p w14:paraId="15F58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13. 乙方应依法为在提供服务、供货或施工项目过程中的工作人员缴纳工伤社会保险或购买意外伤害保险。</w:t>
      </w:r>
    </w:p>
    <w:p w14:paraId="5A7B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14. 乙方要加强对提供服务、供货或施工项目工作人员的管理教育，提高他们的安全意识，时刻考虑到学校师生的安全。教育其不得随意出入师生生活、学习及办公区域，不得随意与学生来往，所有施工人员要严格遵守甲方规章制度。</w:t>
      </w:r>
    </w:p>
    <w:p w14:paraId="539F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15. 乙方须遵守有关环境保护</w:t>
      </w:r>
      <w:r>
        <w:rPr>
          <w:rFonts w:hint="eastAsia" w:ascii="宋体" w:hAnsi="宋体" w:cs="宋体"/>
          <w:color w:val="auto"/>
          <w:sz w:val="28"/>
          <w:szCs w:val="28"/>
          <w:lang w:eastAsia="zh-CN"/>
        </w:rPr>
        <w:t>法律法规</w:t>
      </w:r>
      <w:r>
        <w:rPr>
          <w:rFonts w:hint="eastAsia" w:ascii="宋体" w:hAnsi="宋体" w:eastAsia="宋体" w:cs="宋体"/>
          <w:color w:val="auto"/>
          <w:sz w:val="28"/>
          <w:szCs w:val="28"/>
        </w:rPr>
        <w:t>的规定，建筑材料摆放规范，并合理调整工作时间，尽量减少工地</w:t>
      </w:r>
      <w:r>
        <w:rPr>
          <w:rFonts w:hint="eastAsia" w:ascii="宋体" w:hAnsi="宋体" w:cs="宋体"/>
          <w:color w:val="auto"/>
          <w:sz w:val="28"/>
          <w:szCs w:val="28"/>
          <w:lang w:eastAsia="zh-CN"/>
        </w:rPr>
        <w:t>噪声</w:t>
      </w:r>
      <w:r>
        <w:rPr>
          <w:rFonts w:hint="eastAsia" w:ascii="宋体" w:hAnsi="宋体" w:eastAsia="宋体" w:cs="宋体"/>
          <w:color w:val="auto"/>
          <w:sz w:val="28"/>
          <w:szCs w:val="28"/>
        </w:rPr>
        <w:t>，在确保安全的同时不影响正常教学及办公秩序。</w:t>
      </w:r>
    </w:p>
    <w:p w14:paraId="6EFCA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16. 乙方在提供服务、供货或施工过程中，应根据师生活动范围，搭设防护通道，并在显著的位置张贴安全生产的宣传标语，合理设置警示标志、绕行标志等，提示和引导避让危险，严密防范安全事故发生，确保在校师生和施工人员的人身安全。</w:t>
      </w:r>
    </w:p>
    <w:p w14:paraId="4A33809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第三条  违约责任</w:t>
      </w:r>
    </w:p>
    <w:p w14:paraId="13660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 由于乙方责任造成对方或第三方的人身伤害、设备损坏、环境污染等人身或财产损失，由乙方承担相应责任，并赔偿对方或第三方因此造成的全部损失。</w:t>
      </w:r>
    </w:p>
    <w:p w14:paraId="50D08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 合同履行中，发现乙方提供的有关资质材料无效，甲方有权解除合同，并由乙方承担由此造成的一切损失。</w:t>
      </w:r>
    </w:p>
    <w:p w14:paraId="20094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 如提供服务、供货或施工项目中，乙方需要设置安全责任人员而未设置，未能正确、全面执行安全技术措施、施工组织设计；工作人员未掌握本项目特点及安全措施；用于本项目的施工机械、工器具及安全防护用品不满足施工需要，甲方有权要求乙方立即停工整改，由此引起的后果及损失由乙方承担。</w:t>
      </w:r>
    </w:p>
    <w:p w14:paraId="14CB3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第四条 争议解决方式</w:t>
      </w:r>
    </w:p>
    <w:p w14:paraId="5B96B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本协议执行过程中，如发生争议，由双方协商解决；协商不成，任何一方可以向甲方所在地</w:t>
      </w:r>
      <w:r>
        <w:rPr>
          <w:rFonts w:hint="eastAsia" w:ascii="宋体" w:hAnsi="宋体" w:cs="宋体"/>
          <w:color w:val="auto"/>
          <w:sz w:val="28"/>
          <w:szCs w:val="28"/>
          <w:lang w:eastAsia="zh-CN"/>
        </w:rPr>
        <w:t>人民法院提起诉讼</w:t>
      </w:r>
      <w:r>
        <w:rPr>
          <w:rFonts w:hint="eastAsia" w:ascii="宋体" w:hAnsi="宋体" w:eastAsia="宋体" w:cs="宋体"/>
          <w:color w:val="auto"/>
          <w:sz w:val="28"/>
          <w:szCs w:val="28"/>
        </w:rPr>
        <w:t>。</w:t>
      </w:r>
    </w:p>
    <w:p w14:paraId="14B6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本协议一式</w:t>
      </w:r>
      <w:r>
        <w:rPr>
          <w:rFonts w:hint="eastAsia" w:ascii="宋体" w:hAnsi="宋体" w:eastAsia="宋体" w:cs="宋体"/>
          <w:color w:val="auto"/>
          <w:sz w:val="28"/>
          <w:szCs w:val="28"/>
          <w:u w:val="single"/>
        </w:rPr>
        <w:t>陆</w:t>
      </w:r>
      <w:r>
        <w:rPr>
          <w:rFonts w:hint="eastAsia" w:ascii="宋体" w:hAnsi="宋体" w:eastAsia="宋体" w:cs="宋体"/>
          <w:color w:val="auto"/>
          <w:sz w:val="28"/>
          <w:szCs w:val="28"/>
        </w:rPr>
        <w:t>份，甲方</w:t>
      </w:r>
      <w:r>
        <w:rPr>
          <w:rFonts w:hint="eastAsia" w:ascii="宋体" w:hAnsi="宋体" w:eastAsia="宋体" w:cs="宋体"/>
          <w:color w:val="auto"/>
          <w:sz w:val="28"/>
          <w:szCs w:val="28"/>
          <w:u w:val="single"/>
        </w:rPr>
        <w:t>肆</w:t>
      </w:r>
      <w:r>
        <w:rPr>
          <w:rFonts w:hint="eastAsia" w:ascii="宋体" w:hAnsi="宋体" w:eastAsia="宋体" w:cs="宋体"/>
          <w:color w:val="auto"/>
          <w:sz w:val="28"/>
          <w:szCs w:val="28"/>
        </w:rPr>
        <w:t>份和乙方</w:t>
      </w:r>
      <w:r>
        <w:rPr>
          <w:rFonts w:hint="eastAsia" w:ascii="宋体" w:hAnsi="宋体" w:eastAsia="宋体" w:cs="宋体"/>
          <w:color w:val="auto"/>
          <w:sz w:val="28"/>
          <w:szCs w:val="28"/>
          <w:u w:val="single"/>
        </w:rPr>
        <w:t>贰</w:t>
      </w:r>
      <w:r>
        <w:rPr>
          <w:rFonts w:hint="eastAsia" w:ascii="宋体" w:hAnsi="宋体" w:eastAsia="宋体" w:cs="宋体"/>
          <w:color w:val="auto"/>
          <w:sz w:val="28"/>
          <w:szCs w:val="28"/>
        </w:rPr>
        <w:t>份。未尽事宜，甲乙双方经友好协商可签订补充协议。</w:t>
      </w:r>
    </w:p>
    <w:p w14:paraId="18134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7919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27E4D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p w14:paraId="6061B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left"/>
        <w:rPr>
          <w:rFonts w:hint="eastAsia" w:ascii="宋体" w:hAnsi="宋体" w:eastAsia="宋体" w:cs="宋体"/>
          <w:color w:val="auto"/>
          <w:sz w:val="28"/>
          <w:szCs w:val="28"/>
        </w:rPr>
      </w:pPr>
    </w:p>
    <w:tbl>
      <w:tblPr>
        <w:tblStyle w:val="23"/>
        <w:tblW w:w="9331" w:type="dxa"/>
        <w:jc w:val="center"/>
        <w:tblLayout w:type="fixed"/>
        <w:tblCellMar>
          <w:top w:w="0" w:type="dxa"/>
          <w:left w:w="108" w:type="dxa"/>
          <w:bottom w:w="0" w:type="dxa"/>
          <w:right w:w="108" w:type="dxa"/>
        </w:tblCellMar>
      </w:tblPr>
      <w:tblGrid>
        <w:gridCol w:w="4489"/>
        <w:gridCol w:w="4842"/>
      </w:tblGrid>
      <w:tr w14:paraId="5D91F090">
        <w:tblPrEx>
          <w:tblCellMar>
            <w:top w:w="0" w:type="dxa"/>
            <w:left w:w="108" w:type="dxa"/>
            <w:bottom w:w="0" w:type="dxa"/>
            <w:right w:w="108" w:type="dxa"/>
          </w:tblCellMar>
        </w:tblPrEx>
        <w:trPr>
          <w:trHeight w:val="915" w:hRule="atLeast"/>
          <w:jc w:val="center"/>
        </w:trPr>
        <w:tc>
          <w:tcPr>
            <w:tcW w:w="4489" w:type="dxa"/>
            <w:tcBorders>
              <w:tl2br w:val="nil"/>
              <w:tr2bl w:val="nil"/>
            </w:tcBorders>
            <w:noWrap w:val="0"/>
            <w:vAlign w:val="top"/>
          </w:tcPr>
          <w:p w14:paraId="00CC384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甲    方：重庆中医药学院</w:t>
            </w:r>
          </w:p>
        </w:tc>
        <w:tc>
          <w:tcPr>
            <w:tcW w:w="4842" w:type="dxa"/>
            <w:tcBorders>
              <w:tl2br w:val="nil"/>
              <w:tr2bl w:val="nil"/>
            </w:tcBorders>
            <w:noWrap w:val="0"/>
            <w:vAlign w:val="top"/>
          </w:tcPr>
          <w:p w14:paraId="06C0780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乙    方：</w:t>
            </w:r>
          </w:p>
        </w:tc>
      </w:tr>
      <w:tr w14:paraId="594B7D87">
        <w:tblPrEx>
          <w:tblCellMar>
            <w:top w:w="0" w:type="dxa"/>
            <w:left w:w="108" w:type="dxa"/>
            <w:bottom w:w="0" w:type="dxa"/>
            <w:right w:w="108" w:type="dxa"/>
          </w:tblCellMar>
        </w:tblPrEx>
        <w:trPr>
          <w:trHeight w:val="745" w:hRule="atLeast"/>
          <w:jc w:val="center"/>
        </w:trPr>
        <w:tc>
          <w:tcPr>
            <w:tcW w:w="4489" w:type="dxa"/>
            <w:tcBorders>
              <w:tl2br w:val="nil"/>
              <w:tr2bl w:val="nil"/>
            </w:tcBorders>
            <w:noWrap w:val="0"/>
            <w:vAlign w:val="top"/>
          </w:tcPr>
          <w:p w14:paraId="34DE5555">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5AB44A3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7B937EED">
            <w:pPr>
              <w:pStyle w:val="18"/>
              <w:tabs>
                <w:tab w:val="left" w:pos="1260"/>
                <w:tab w:val="left" w:pos="1685"/>
                <w:tab w:val="right" w:leader="dot" w:pos="8400"/>
              </w:tabs>
              <w:spacing w:line="560" w:lineRule="exact"/>
              <w:rPr>
                <w:rFonts w:hint="eastAsia" w:ascii="宋体" w:hAnsi="宋体" w:eastAsia="宋体" w:cs="宋体"/>
                <w:color w:val="auto"/>
                <w:sz w:val="28"/>
                <w:szCs w:val="28"/>
              </w:rPr>
            </w:pPr>
          </w:p>
        </w:tc>
        <w:tc>
          <w:tcPr>
            <w:tcW w:w="4842" w:type="dxa"/>
            <w:tcBorders>
              <w:tl2br w:val="nil"/>
              <w:tr2bl w:val="nil"/>
            </w:tcBorders>
            <w:noWrap w:val="0"/>
            <w:vAlign w:val="top"/>
          </w:tcPr>
          <w:p w14:paraId="5B7BDAD4">
            <w:pPr>
              <w:spacing w:line="560" w:lineRule="exact"/>
              <w:rPr>
                <w:rFonts w:hint="eastAsia" w:ascii="宋体" w:hAnsi="宋体" w:eastAsia="宋体" w:cs="宋体"/>
                <w:color w:val="auto"/>
                <w:sz w:val="28"/>
                <w:szCs w:val="28"/>
              </w:rPr>
            </w:pPr>
            <w:r>
              <w:rPr>
                <w:rFonts w:hint="eastAsia" w:ascii="宋体" w:hAnsi="宋体" w:cs="宋体"/>
                <w:color w:val="auto"/>
                <w:sz w:val="28"/>
                <w:szCs w:val="28"/>
                <w:lang w:eastAsia="zh-CN"/>
              </w:rPr>
              <w:t>法定代表人</w:t>
            </w:r>
          </w:p>
          <w:p w14:paraId="1FBA27FC">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或委托代理人（签字）：</w:t>
            </w:r>
          </w:p>
          <w:p w14:paraId="597995A0">
            <w:pPr>
              <w:pStyle w:val="9"/>
              <w:rPr>
                <w:rFonts w:hint="eastAsia" w:ascii="宋体" w:hAnsi="宋体" w:eastAsia="宋体" w:cs="宋体"/>
                <w:color w:val="auto"/>
              </w:rPr>
            </w:pPr>
          </w:p>
        </w:tc>
      </w:tr>
      <w:tr w14:paraId="6E4814E5">
        <w:tblPrEx>
          <w:tblCellMar>
            <w:top w:w="0" w:type="dxa"/>
            <w:left w:w="108" w:type="dxa"/>
            <w:bottom w:w="0" w:type="dxa"/>
            <w:right w:w="108" w:type="dxa"/>
          </w:tblCellMar>
        </w:tblPrEx>
        <w:trPr>
          <w:trHeight w:val="596" w:hRule="atLeast"/>
          <w:jc w:val="center"/>
        </w:trPr>
        <w:tc>
          <w:tcPr>
            <w:tcW w:w="4489" w:type="dxa"/>
            <w:tcBorders>
              <w:tl2br w:val="nil"/>
              <w:tr2bl w:val="nil"/>
            </w:tcBorders>
            <w:noWrap w:val="0"/>
            <w:vAlign w:val="top"/>
          </w:tcPr>
          <w:p w14:paraId="30EAF0F7">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话：023-65880092</w:t>
            </w:r>
          </w:p>
        </w:tc>
        <w:tc>
          <w:tcPr>
            <w:tcW w:w="4842" w:type="dxa"/>
            <w:tcBorders>
              <w:tl2br w:val="nil"/>
              <w:tr2bl w:val="nil"/>
            </w:tcBorders>
            <w:noWrap w:val="0"/>
            <w:vAlign w:val="top"/>
          </w:tcPr>
          <w:p w14:paraId="3F60B73A">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电    话：</w:t>
            </w:r>
          </w:p>
        </w:tc>
      </w:tr>
      <w:tr w14:paraId="64A05875">
        <w:tblPrEx>
          <w:tblCellMar>
            <w:top w:w="0" w:type="dxa"/>
            <w:left w:w="108" w:type="dxa"/>
            <w:bottom w:w="0" w:type="dxa"/>
            <w:right w:w="108" w:type="dxa"/>
          </w:tblCellMar>
        </w:tblPrEx>
        <w:trPr>
          <w:trHeight w:val="1127" w:hRule="atLeast"/>
          <w:jc w:val="center"/>
        </w:trPr>
        <w:tc>
          <w:tcPr>
            <w:tcW w:w="4489" w:type="dxa"/>
            <w:tcBorders>
              <w:tl2br w:val="nil"/>
              <w:tr2bl w:val="nil"/>
            </w:tcBorders>
            <w:noWrap w:val="0"/>
            <w:vAlign w:val="top"/>
          </w:tcPr>
          <w:p w14:paraId="4FD978B4">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地    址：重庆市璧山区璧城街道</w:t>
            </w:r>
          </w:p>
          <w:p w14:paraId="4094AE9A">
            <w:pPr>
              <w:spacing w:line="560" w:lineRule="exact"/>
              <w:ind w:firstLine="1439" w:firstLineChars="514"/>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国学路</w:t>
            </w:r>
            <w:r>
              <w:rPr>
                <w:rFonts w:hint="eastAsia" w:ascii="宋体" w:hAnsi="宋体" w:eastAsia="宋体" w:cs="宋体"/>
                <w:color w:val="auto"/>
                <w:sz w:val="28"/>
                <w:szCs w:val="28"/>
              </w:rPr>
              <w:t>61号</w:t>
            </w:r>
          </w:p>
        </w:tc>
        <w:tc>
          <w:tcPr>
            <w:tcW w:w="4842" w:type="dxa"/>
            <w:tcBorders>
              <w:tl2br w:val="nil"/>
              <w:tr2bl w:val="nil"/>
            </w:tcBorders>
            <w:noWrap w:val="0"/>
            <w:vAlign w:val="top"/>
          </w:tcPr>
          <w:p w14:paraId="5FD8BD6F">
            <w:pPr>
              <w:spacing w:line="560" w:lineRule="exact"/>
              <w:ind w:left="1400" w:hanging="1400" w:hangingChars="500"/>
              <w:rPr>
                <w:rFonts w:hint="eastAsia" w:ascii="宋体" w:hAnsi="宋体" w:eastAsia="宋体" w:cs="宋体"/>
                <w:color w:val="auto"/>
                <w:sz w:val="28"/>
                <w:szCs w:val="28"/>
              </w:rPr>
            </w:pPr>
            <w:r>
              <w:rPr>
                <w:rFonts w:hint="eastAsia" w:ascii="宋体" w:hAnsi="宋体" w:eastAsia="宋体" w:cs="宋体"/>
                <w:color w:val="auto"/>
                <w:sz w:val="28"/>
                <w:szCs w:val="28"/>
              </w:rPr>
              <w:t>地    址：</w:t>
            </w:r>
          </w:p>
        </w:tc>
      </w:tr>
      <w:tr w14:paraId="34402B37">
        <w:tblPrEx>
          <w:tblCellMar>
            <w:top w:w="0" w:type="dxa"/>
            <w:left w:w="108" w:type="dxa"/>
            <w:bottom w:w="0" w:type="dxa"/>
            <w:right w:w="108" w:type="dxa"/>
          </w:tblCellMar>
        </w:tblPrEx>
        <w:trPr>
          <w:trHeight w:val="90" w:hRule="atLeast"/>
          <w:jc w:val="center"/>
        </w:trPr>
        <w:tc>
          <w:tcPr>
            <w:tcW w:w="4489" w:type="dxa"/>
            <w:tcBorders>
              <w:tl2br w:val="nil"/>
              <w:tr2bl w:val="nil"/>
            </w:tcBorders>
            <w:noWrap w:val="0"/>
            <w:vAlign w:val="top"/>
          </w:tcPr>
          <w:p w14:paraId="12E3578A">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c>
          <w:tcPr>
            <w:tcW w:w="4842" w:type="dxa"/>
            <w:tcBorders>
              <w:tl2br w:val="nil"/>
              <w:tr2bl w:val="nil"/>
            </w:tcBorders>
            <w:noWrap w:val="0"/>
            <w:vAlign w:val="top"/>
          </w:tcPr>
          <w:p w14:paraId="2BAB55B7">
            <w:pPr>
              <w:spacing w:line="560" w:lineRule="exact"/>
              <w:ind w:left="1400" w:hanging="1400" w:hangingChars="500"/>
              <w:jc w:val="left"/>
              <w:rPr>
                <w:rFonts w:hint="eastAsia" w:ascii="宋体" w:hAnsi="宋体" w:eastAsia="宋体" w:cs="宋体"/>
                <w:color w:val="auto"/>
                <w:sz w:val="28"/>
                <w:szCs w:val="28"/>
              </w:rPr>
            </w:pPr>
            <w:r>
              <w:rPr>
                <w:rFonts w:hint="eastAsia" w:ascii="宋体" w:hAnsi="宋体" w:eastAsia="宋体" w:cs="宋体"/>
                <w:color w:val="auto"/>
                <w:sz w:val="28"/>
                <w:szCs w:val="28"/>
              </w:rPr>
              <w:t>时    间：     年   月   日</w:t>
            </w:r>
          </w:p>
        </w:tc>
      </w:tr>
      <w:tr w14:paraId="7FBE3D00">
        <w:tblPrEx>
          <w:tblCellMar>
            <w:top w:w="0" w:type="dxa"/>
            <w:left w:w="108" w:type="dxa"/>
            <w:bottom w:w="0" w:type="dxa"/>
            <w:right w:w="108" w:type="dxa"/>
          </w:tblCellMar>
        </w:tblPrEx>
        <w:trPr>
          <w:trHeight w:val="562" w:hRule="atLeast"/>
          <w:jc w:val="center"/>
        </w:trPr>
        <w:tc>
          <w:tcPr>
            <w:tcW w:w="9331" w:type="dxa"/>
            <w:gridSpan w:val="2"/>
            <w:tcBorders>
              <w:tl2br w:val="nil"/>
              <w:tr2bl w:val="nil"/>
            </w:tcBorders>
            <w:noWrap w:val="0"/>
            <w:vAlign w:val="top"/>
          </w:tcPr>
          <w:p w14:paraId="79E209B6">
            <w:pPr>
              <w:spacing w:line="560" w:lineRule="exact"/>
              <w:rPr>
                <w:rFonts w:hint="eastAsia" w:ascii="宋体" w:hAnsi="宋体" w:eastAsia="宋体" w:cs="宋体"/>
                <w:color w:val="auto"/>
                <w:sz w:val="28"/>
                <w:szCs w:val="28"/>
              </w:rPr>
            </w:pPr>
            <w:r>
              <w:rPr>
                <w:rFonts w:hint="eastAsia" w:ascii="宋体" w:hAnsi="宋体" w:eastAsia="宋体" w:cs="宋体"/>
                <w:color w:val="auto"/>
                <w:sz w:val="28"/>
                <w:szCs w:val="28"/>
              </w:rPr>
              <w:t>签约地点：</w:t>
            </w:r>
            <w:r>
              <w:rPr>
                <w:rFonts w:hint="eastAsia" w:ascii="宋体" w:hAnsi="宋体" w:eastAsia="宋体" w:cs="宋体"/>
                <w:color w:val="auto"/>
                <w:kern w:val="0"/>
                <w:sz w:val="28"/>
                <w:szCs w:val="28"/>
                <w:lang w:eastAsia="zh-CN"/>
              </w:rPr>
              <w:t>重庆市璧山区璧城街道国学路61号</w:t>
            </w:r>
            <w:r>
              <w:rPr>
                <w:rFonts w:hint="eastAsia" w:ascii="宋体" w:hAnsi="宋体" w:eastAsia="宋体" w:cs="宋体"/>
                <w:color w:val="auto"/>
                <w:sz w:val="28"/>
                <w:szCs w:val="28"/>
              </w:rPr>
              <w:t>重庆中医药学院</w:t>
            </w:r>
          </w:p>
        </w:tc>
      </w:tr>
    </w:tbl>
    <w:p w14:paraId="1C934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2"/>
        <w:jc w:val="left"/>
        <w:rPr>
          <w:rFonts w:hint="eastAsia" w:ascii="宋体" w:hAnsi="宋体" w:eastAsia="宋体" w:cs="宋体"/>
          <w:b/>
          <w:bCs/>
          <w:color w:val="auto"/>
          <w:sz w:val="28"/>
          <w:szCs w:val="28"/>
          <w:highlight w:val="none"/>
        </w:rPr>
      </w:pPr>
    </w:p>
    <w:p w14:paraId="6F005E24">
      <w:pPr>
        <w:rPr>
          <w:rFonts w:hint="eastAsia" w:ascii="宋体" w:hAnsi="宋体" w:eastAsia="宋体" w:cs="宋体"/>
          <w:b/>
          <w:bCs/>
          <w:color w:val="auto"/>
          <w:sz w:val="36"/>
          <w:szCs w:val="30"/>
          <w:highlight w:val="none"/>
        </w:rPr>
      </w:pPr>
    </w:p>
    <w:p w14:paraId="35A0210C">
      <w:pPr>
        <w:pStyle w:val="2"/>
        <w:spacing w:line="360" w:lineRule="auto"/>
        <w:ind w:firstLine="723"/>
        <w:jc w:val="center"/>
        <w:outlineLvl w:val="0"/>
        <w:rPr>
          <w:rFonts w:hint="eastAsia" w:ascii="宋体" w:hAnsi="宋体" w:eastAsia="宋体" w:cs="宋体"/>
          <w:b/>
          <w:bCs/>
          <w:color w:val="auto"/>
          <w:sz w:val="36"/>
          <w:szCs w:val="30"/>
          <w:highlight w:val="none"/>
        </w:rPr>
      </w:pPr>
      <w:bookmarkStart w:id="102" w:name="_Toc26851"/>
      <w:r>
        <w:rPr>
          <w:rFonts w:hint="eastAsia" w:ascii="宋体" w:hAnsi="宋体" w:eastAsia="宋体" w:cs="宋体"/>
          <w:b/>
          <w:bCs/>
          <w:color w:val="auto"/>
          <w:sz w:val="36"/>
          <w:szCs w:val="30"/>
          <w:highlight w:val="none"/>
        </w:rPr>
        <w:t>第七篇  响应文件编制要求</w:t>
      </w:r>
      <w:bookmarkEnd w:id="96"/>
      <w:bookmarkEnd w:id="102"/>
    </w:p>
    <w:p w14:paraId="5B20890C">
      <w:pPr>
        <w:spacing w:line="360" w:lineRule="auto"/>
        <w:ind w:firstLine="482"/>
        <w:outlineLvl w:val="0"/>
        <w:rPr>
          <w:rFonts w:hint="eastAsia" w:ascii="宋体" w:hAnsi="宋体" w:eastAsia="宋体" w:cs="宋体"/>
          <w:b/>
          <w:bCs/>
          <w:color w:val="auto"/>
          <w:sz w:val="24"/>
          <w:szCs w:val="24"/>
          <w:highlight w:val="none"/>
        </w:rPr>
      </w:pPr>
      <w:bookmarkStart w:id="103" w:name="_Toc4398"/>
      <w:bookmarkStart w:id="104" w:name="_Toc6200"/>
      <w:bookmarkStart w:id="105" w:name="_Toc30206"/>
      <w:r>
        <w:rPr>
          <w:rFonts w:hint="eastAsia" w:ascii="宋体" w:hAnsi="宋体" w:eastAsia="宋体" w:cs="宋体"/>
          <w:b/>
          <w:bCs/>
          <w:color w:val="auto"/>
          <w:sz w:val="24"/>
          <w:szCs w:val="24"/>
          <w:highlight w:val="none"/>
        </w:rPr>
        <w:t>一、经济部分</w:t>
      </w:r>
      <w:bookmarkEnd w:id="103"/>
      <w:bookmarkEnd w:id="104"/>
      <w:bookmarkEnd w:id="105"/>
    </w:p>
    <w:p w14:paraId="0A367A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054FECD6">
      <w:pPr>
        <w:pStyle w:val="4"/>
        <w:spacing w:before="0" w:after="0" w:line="360" w:lineRule="auto"/>
        <w:ind w:firstLine="482"/>
        <w:rPr>
          <w:rFonts w:hint="eastAsia" w:ascii="宋体" w:hAnsi="宋体" w:eastAsia="宋体" w:cs="宋体"/>
          <w:color w:val="auto"/>
          <w:sz w:val="24"/>
          <w:szCs w:val="24"/>
          <w:highlight w:val="none"/>
          <w:lang w:eastAsia="zh-CN"/>
        </w:rPr>
      </w:pPr>
      <w:bookmarkStart w:id="106" w:name="_Toc11375"/>
      <w:r>
        <w:rPr>
          <w:rFonts w:hint="eastAsia" w:ascii="宋体" w:hAnsi="宋体" w:eastAsia="宋体" w:cs="宋体"/>
          <w:color w:val="auto"/>
          <w:sz w:val="24"/>
          <w:szCs w:val="24"/>
          <w:highlight w:val="none"/>
        </w:rPr>
        <w:t>二、</w:t>
      </w:r>
      <w:bookmarkEnd w:id="106"/>
      <w:r>
        <w:rPr>
          <w:rFonts w:hint="eastAsia" w:ascii="宋体" w:hAnsi="宋体" w:eastAsia="宋体" w:cs="宋体"/>
          <w:color w:val="auto"/>
          <w:sz w:val="24"/>
          <w:szCs w:val="24"/>
          <w:highlight w:val="none"/>
          <w:lang w:eastAsia="zh-CN"/>
        </w:rPr>
        <w:t>技术部分</w:t>
      </w:r>
    </w:p>
    <w:p w14:paraId="60796082">
      <w:pPr>
        <w:spacing w:line="360" w:lineRule="auto"/>
        <w:ind w:firstLine="480" w:firstLineChars="200"/>
        <w:rPr>
          <w:rFonts w:hint="eastAsia" w:ascii="宋体" w:hAnsi="宋体" w:eastAsia="宋体" w:cs="宋体"/>
          <w:color w:val="auto"/>
          <w:sz w:val="24"/>
          <w:szCs w:val="24"/>
          <w:highlight w:val="none"/>
        </w:rPr>
      </w:pPr>
      <w:bookmarkStart w:id="107" w:name="_Toc18693"/>
      <w:bookmarkStart w:id="108" w:name="_Toc28914"/>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技术条款</w:t>
      </w:r>
      <w:r>
        <w:rPr>
          <w:rFonts w:hint="eastAsia" w:ascii="宋体" w:hAnsi="宋体" w:eastAsia="宋体" w:cs="宋体"/>
          <w:color w:val="auto"/>
          <w:sz w:val="24"/>
          <w:szCs w:val="24"/>
          <w:highlight w:val="none"/>
        </w:rPr>
        <w:t>差异表</w:t>
      </w:r>
    </w:p>
    <w:p w14:paraId="0AFC636A">
      <w:pPr>
        <w:spacing w:line="360" w:lineRule="auto"/>
        <w:ind w:firstLine="482"/>
        <w:outlineLvl w:val="0"/>
        <w:rPr>
          <w:rFonts w:hint="eastAsia" w:ascii="宋体" w:hAnsi="宋体" w:eastAsia="宋体" w:cs="宋体"/>
          <w:b/>
          <w:bCs/>
          <w:color w:val="auto"/>
          <w:sz w:val="24"/>
          <w:szCs w:val="24"/>
          <w:highlight w:val="none"/>
        </w:rPr>
      </w:pPr>
      <w:bookmarkStart w:id="109" w:name="_Toc23797"/>
      <w:r>
        <w:rPr>
          <w:rFonts w:hint="eastAsia" w:ascii="宋体" w:hAnsi="宋体" w:eastAsia="宋体" w:cs="宋体"/>
          <w:b/>
          <w:bCs/>
          <w:color w:val="auto"/>
          <w:sz w:val="24"/>
          <w:szCs w:val="24"/>
          <w:highlight w:val="none"/>
        </w:rPr>
        <w:t>三、商务部分</w:t>
      </w:r>
      <w:bookmarkEnd w:id="107"/>
      <w:bookmarkEnd w:id="108"/>
      <w:bookmarkEnd w:id="109"/>
    </w:p>
    <w:p w14:paraId="4B6FA5B0">
      <w:pPr>
        <w:spacing w:line="360" w:lineRule="auto"/>
        <w:ind w:firstLine="480" w:firstLineChars="200"/>
        <w:rPr>
          <w:rFonts w:hint="eastAsia" w:ascii="宋体" w:hAnsi="宋体" w:eastAsia="宋体" w:cs="宋体"/>
          <w:color w:val="auto"/>
          <w:sz w:val="24"/>
          <w:szCs w:val="24"/>
          <w:highlight w:val="none"/>
        </w:rPr>
      </w:pPr>
      <w:bookmarkStart w:id="110" w:name="_Toc28227"/>
      <w:bookmarkStart w:id="111" w:name="_Toc22064"/>
      <w:r>
        <w:rPr>
          <w:rFonts w:hint="eastAsia" w:ascii="宋体" w:hAnsi="宋体" w:eastAsia="宋体" w:cs="宋体"/>
          <w:color w:val="auto"/>
          <w:sz w:val="24"/>
          <w:szCs w:val="24"/>
          <w:highlight w:val="none"/>
        </w:rPr>
        <w:t>（一）商务条款差异表</w:t>
      </w:r>
    </w:p>
    <w:p w14:paraId="238E3D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优惠承诺</w:t>
      </w:r>
    </w:p>
    <w:p w14:paraId="22374CB0">
      <w:pPr>
        <w:spacing w:line="360" w:lineRule="auto"/>
        <w:ind w:firstLine="482"/>
        <w:outlineLvl w:val="0"/>
        <w:rPr>
          <w:rFonts w:hint="eastAsia" w:ascii="宋体" w:hAnsi="宋体" w:eastAsia="宋体" w:cs="宋体"/>
          <w:b/>
          <w:bCs/>
          <w:color w:val="auto"/>
          <w:sz w:val="24"/>
          <w:szCs w:val="24"/>
          <w:highlight w:val="none"/>
        </w:rPr>
      </w:pPr>
      <w:bookmarkStart w:id="112" w:name="_Toc8165"/>
      <w:r>
        <w:rPr>
          <w:rFonts w:hint="eastAsia" w:ascii="宋体" w:hAnsi="宋体" w:eastAsia="宋体" w:cs="宋体"/>
          <w:b/>
          <w:bCs/>
          <w:color w:val="auto"/>
          <w:sz w:val="24"/>
          <w:szCs w:val="24"/>
          <w:highlight w:val="none"/>
        </w:rPr>
        <w:t>四、资格条件及其他</w:t>
      </w:r>
      <w:bookmarkEnd w:id="110"/>
      <w:bookmarkEnd w:id="111"/>
      <w:bookmarkEnd w:id="112"/>
    </w:p>
    <w:p w14:paraId="64374F95">
      <w:pPr>
        <w:snapToGrid w:val="0"/>
        <w:spacing w:line="360" w:lineRule="auto"/>
        <w:ind w:firstLine="480" w:firstLineChars="200"/>
        <w:rPr>
          <w:rFonts w:hint="eastAsia" w:ascii="宋体" w:hAnsi="宋体" w:eastAsia="宋体" w:cs="宋体"/>
          <w:color w:val="auto"/>
          <w:sz w:val="24"/>
          <w:szCs w:val="24"/>
          <w:highlight w:val="none"/>
        </w:rPr>
      </w:pPr>
      <w:bookmarkStart w:id="113" w:name="_Toc7466"/>
      <w:bookmarkStart w:id="114" w:name="_Toc11444"/>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5856A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（二）法定代表人身份证明书（格式）/法定代表人授权委托书（格式）</w:t>
      </w:r>
    </w:p>
    <w:p w14:paraId="7E9D853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（三）基本资格条件承诺函（格式）</w:t>
      </w:r>
    </w:p>
    <w:p w14:paraId="17CCD858">
      <w:pPr>
        <w:spacing w:line="360" w:lineRule="auto"/>
        <w:ind w:firstLine="482"/>
        <w:outlineLvl w:val="0"/>
        <w:rPr>
          <w:rFonts w:hint="eastAsia" w:ascii="宋体" w:hAnsi="宋体" w:eastAsia="宋体" w:cs="宋体"/>
          <w:b/>
          <w:bCs/>
          <w:color w:val="auto"/>
          <w:sz w:val="24"/>
          <w:szCs w:val="24"/>
          <w:highlight w:val="none"/>
        </w:rPr>
      </w:pPr>
      <w:bookmarkStart w:id="115" w:name="_Toc18310"/>
      <w:r>
        <w:rPr>
          <w:rFonts w:hint="eastAsia" w:ascii="宋体" w:hAnsi="宋体" w:eastAsia="宋体" w:cs="宋体"/>
          <w:b/>
          <w:bCs/>
          <w:color w:val="auto"/>
          <w:sz w:val="24"/>
          <w:szCs w:val="24"/>
          <w:highlight w:val="none"/>
        </w:rPr>
        <w:t>五、其他应提供的资料</w:t>
      </w:r>
      <w:bookmarkEnd w:id="113"/>
      <w:bookmarkEnd w:id="114"/>
      <w:bookmarkEnd w:id="115"/>
    </w:p>
    <w:p w14:paraId="1A26E36E">
      <w:pPr>
        <w:spacing w:line="360" w:lineRule="auto"/>
        <w:ind w:firstLine="480" w:firstLineChars="200"/>
        <w:rPr>
          <w:rFonts w:hint="eastAsia" w:ascii="宋体" w:hAnsi="宋体" w:eastAsia="宋体" w:cs="宋体"/>
          <w:color w:val="auto"/>
          <w:highlight w:val="none"/>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（一）其他与项目有关的资料</w:t>
      </w:r>
    </w:p>
    <w:p w14:paraId="3FEB62C2">
      <w:pPr>
        <w:numPr>
          <w:ilvl w:val="0"/>
          <w:numId w:val="3"/>
        </w:numPr>
        <w:spacing w:line="312" w:lineRule="auto"/>
        <w:ind w:firstLine="482"/>
        <w:outlineLvl w:val="0"/>
        <w:rPr>
          <w:rFonts w:hint="eastAsia" w:ascii="宋体" w:hAnsi="宋体" w:eastAsia="宋体" w:cs="宋体"/>
          <w:b/>
          <w:color w:val="auto"/>
          <w:sz w:val="24"/>
          <w:szCs w:val="24"/>
          <w:highlight w:val="none"/>
        </w:rPr>
      </w:pPr>
      <w:bookmarkStart w:id="116" w:name="_Toc14211"/>
      <w:bookmarkStart w:id="117" w:name="_Toc21819"/>
      <w:bookmarkStart w:id="118" w:name="_Toc18786"/>
      <w:r>
        <w:rPr>
          <w:rFonts w:hint="eastAsia" w:ascii="宋体" w:hAnsi="宋体" w:eastAsia="宋体" w:cs="宋体"/>
          <w:b/>
          <w:color w:val="auto"/>
          <w:sz w:val="24"/>
          <w:szCs w:val="24"/>
          <w:highlight w:val="none"/>
        </w:rPr>
        <w:t>经济部分</w:t>
      </w:r>
      <w:bookmarkEnd w:id="116"/>
      <w:bookmarkEnd w:id="117"/>
      <w:bookmarkEnd w:id="118"/>
    </w:p>
    <w:p w14:paraId="44387887">
      <w:pPr>
        <w:tabs>
          <w:tab w:val="left" w:pos="6300"/>
        </w:tabs>
        <w:snapToGrid w:val="0"/>
        <w:spacing w:line="312"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（一）报价函</w:t>
      </w:r>
    </w:p>
    <w:p w14:paraId="4574BAE5">
      <w:pPr>
        <w:tabs>
          <w:tab w:val="left" w:pos="6300"/>
        </w:tabs>
        <w:snapToGrid w:val="0"/>
        <w:spacing w:line="360" w:lineRule="auto"/>
        <w:ind w:firstLine="482"/>
        <w:jc w:val="center"/>
        <w:outlineLvl w:val="0"/>
        <w:rPr>
          <w:rFonts w:hint="eastAsia" w:ascii="宋体" w:hAnsi="宋体" w:eastAsia="宋体" w:cs="宋体"/>
          <w:b/>
          <w:color w:val="auto"/>
          <w:sz w:val="24"/>
          <w:szCs w:val="24"/>
          <w:highlight w:val="none"/>
        </w:rPr>
      </w:pPr>
      <w:bookmarkStart w:id="119" w:name="_Toc15549"/>
      <w:bookmarkStart w:id="120" w:name="_Toc14789"/>
      <w:bookmarkStart w:id="121" w:name="_Toc19038"/>
      <w:r>
        <w:rPr>
          <w:rFonts w:hint="eastAsia" w:ascii="宋体" w:hAnsi="宋体" w:eastAsia="宋体" w:cs="宋体"/>
          <w:b/>
          <w:color w:val="auto"/>
          <w:sz w:val="24"/>
          <w:szCs w:val="24"/>
          <w:highlight w:val="none"/>
        </w:rPr>
        <w:t>报价函</w:t>
      </w:r>
      <w:bookmarkEnd w:id="119"/>
      <w:bookmarkEnd w:id="120"/>
      <w:bookmarkEnd w:id="121"/>
    </w:p>
    <w:p w14:paraId="2A32B397">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76207DD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（项目名称）的竞采采购文件，经详细研究，决定参加该项目的竞采。</w:t>
      </w:r>
    </w:p>
    <w:p w14:paraId="5789C1EE">
      <w:pPr>
        <w:tabs>
          <w:tab w:val="left" w:pos="6300"/>
        </w:tabs>
        <w:snapToGrid w:val="0"/>
        <w:spacing w:line="360" w:lineRule="auto"/>
        <w:ind w:left="14" w:leftChars="5" w:firstLine="458" w:firstLineChars="19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愿意按照竞采采购文件中的一切要求，提供本项目的技术服务，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报价为人民币</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小写：    </w:t>
      </w:r>
      <w:r>
        <w:rPr>
          <w:rFonts w:hint="eastAsia" w:ascii="宋体" w:hAnsi="宋体" w:eastAsia="宋体" w:cs="宋体"/>
          <w:color w:val="auto"/>
          <w:sz w:val="24"/>
          <w:szCs w:val="24"/>
          <w:highlight w:val="none"/>
        </w:rPr>
        <w:t>。</w:t>
      </w:r>
    </w:p>
    <w:p w14:paraId="5AE1B34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我方现提交的响应文件为：正本1份，副本2份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响应文件电子文档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1FA7B99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我方承诺：本次竞采的有效期为90天。</w:t>
      </w:r>
    </w:p>
    <w:p w14:paraId="0088511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我方完全理解和接受贵方竞采采购文件的一切规定和要求及评审办法。</w:t>
      </w:r>
    </w:p>
    <w:p w14:paraId="089BBAC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在整个竞采采购过程中，我方若有违规行为，接受按照</w:t>
      </w:r>
      <w:r>
        <w:rPr>
          <w:rFonts w:hint="eastAsia" w:ascii="宋体" w:hAnsi="宋体" w:eastAsia="宋体" w:cs="宋体"/>
          <w:color w:val="auto"/>
          <w:sz w:val="24"/>
          <w:szCs w:val="24"/>
          <w:highlight w:val="none"/>
          <w:lang w:eastAsia="zh-CN"/>
        </w:rPr>
        <w:t>竞采</w:t>
      </w:r>
      <w:r>
        <w:rPr>
          <w:rFonts w:hint="eastAsia" w:ascii="宋体" w:hAnsi="宋体" w:eastAsia="宋体" w:cs="宋体"/>
          <w:color w:val="auto"/>
          <w:sz w:val="24"/>
          <w:szCs w:val="24"/>
          <w:highlight w:val="none"/>
        </w:rPr>
        <w:t>平台规定给予惩罚。</w:t>
      </w:r>
    </w:p>
    <w:p w14:paraId="5958E21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我方若中选，将按照竞采结果签订合同，</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严格履行合同义务。本承诺函将成为合同不可分割的一部分，与合同具有同等的法律效力。</w:t>
      </w:r>
    </w:p>
    <w:p w14:paraId="41E79A5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我方理解，最低报价不是成交的唯一条件。</w:t>
      </w:r>
    </w:p>
    <w:p w14:paraId="6D18B9F2">
      <w:pPr>
        <w:tabs>
          <w:tab w:val="left" w:pos="6300"/>
        </w:tabs>
        <w:snapToGrid w:val="0"/>
        <w:spacing w:line="360" w:lineRule="auto"/>
        <w:ind w:firstLine="480"/>
        <w:rPr>
          <w:rFonts w:hint="eastAsia" w:ascii="宋体" w:hAnsi="宋体" w:eastAsia="宋体" w:cs="宋体"/>
          <w:color w:val="auto"/>
          <w:sz w:val="24"/>
          <w:szCs w:val="24"/>
          <w:highlight w:val="none"/>
        </w:rPr>
      </w:pPr>
    </w:p>
    <w:p w14:paraId="68A2578C">
      <w:pPr>
        <w:tabs>
          <w:tab w:val="left" w:pos="6300"/>
        </w:tabs>
        <w:snapToGrid w:val="0"/>
        <w:spacing w:line="360" w:lineRule="auto"/>
        <w:ind w:firstLine="480"/>
        <w:rPr>
          <w:rFonts w:hint="eastAsia" w:ascii="宋体" w:hAnsi="宋体" w:eastAsia="宋体" w:cs="宋体"/>
          <w:color w:val="auto"/>
          <w:sz w:val="24"/>
          <w:szCs w:val="24"/>
          <w:highlight w:val="none"/>
        </w:rPr>
      </w:pPr>
    </w:p>
    <w:p w14:paraId="37057F96">
      <w:pPr>
        <w:tabs>
          <w:tab w:val="left" w:pos="6300"/>
        </w:tabs>
        <w:snapToGrid w:val="0"/>
        <w:spacing w:line="360" w:lineRule="auto"/>
        <w:ind w:firstLine="480"/>
        <w:rPr>
          <w:rFonts w:hint="eastAsia" w:ascii="宋体" w:hAnsi="宋体" w:eastAsia="宋体" w:cs="宋体"/>
          <w:color w:val="auto"/>
          <w:sz w:val="24"/>
          <w:szCs w:val="24"/>
          <w:highlight w:val="none"/>
        </w:rPr>
      </w:pPr>
    </w:p>
    <w:p w14:paraId="68FC5C48">
      <w:pPr>
        <w:tabs>
          <w:tab w:val="left" w:pos="6300"/>
        </w:tabs>
        <w:snapToGrid w:val="0"/>
        <w:spacing w:line="360" w:lineRule="auto"/>
        <w:ind w:firstLine="480"/>
        <w:rPr>
          <w:rFonts w:hint="eastAsia" w:ascii="宋体" w:hAnsi="宋体" w:eastAsia="宋体" w:cs="宋体"/>
          <w:color w:val="auto"/>
          <w:sz w:val="24"/>
          <w:szCs w:val="24"/>
          <w:highlight w:val="none"/>
        </w:rPr>
      </w:pPr>
    </w:p>
    <w:p w14:paraId="346D183D">
      <w:pPr>
        <w:tabs>
          <w:tab w:val="left" w:pos="6300"/>
        </w:tabs>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6E0693FF">
      <w:pPr>
        <w:snapToGrid w:val="0"/>
        <w:spacing w:line="360" w:lineRule="auto"/>
        <w:ind w:firstLine="480" w:firstLineChars="200"/>
        <w:rPr>
          <w:rFonts w:hint="eastAsia" w:ascii="宋体" w:hAnsi="宋体" w:eastAsia="宋体" w:cs="宋体"/>
          <w:color w:val="auto"/>
          <w:sz w:val="24"/>
          <w:szCs w:val="24"/>
          <w:highlight w:val="none"/>
        </w:rPr>
        <w:sectPr>
          <w:headerReference r:id="rId6" w:type="default"/>
          <w:footerReference r:id="rId7"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4"/>
          <w:szCs w:val="24"/>
          <w:highlight w:val="none"/>
        </w:rPr>
        <w:t xml:space="preserve">                                                  年   月   日</w:t>
      </w:r>
    </w:p>
    <w:p w14:paraId="10B8B2FC">
      <w:pPr>
        <w:pStyle w:val="4"/>
        <w:spacing w:before="0" w:after="0" w:line="360" w:lineRule="auto"/>
        <w:ind w:firstLine="482"/>
        <w:rPr>
          <w:rFonts w:hint="eastAsia" w:ascii="宋体" w:hAnsi="宋体" w:eastAsia="宋体" w:cs="宋体"/>
          <w:color w:val="auto"/>
          <w:sz w:val="24"/>
          <w:szCs w:val="24"/>
          <w:highlight w:val="none"/>
          <w:lang w:eastAsia="zh-CN"/>
        </w:rPr>
      </w:pPr>
      <w:bookmarkStart w:id="122" w:name="_Toc3192"/>
      <w:bookmarkStart w:id="123" w:name="_Toc19852"/>
      <w:bookmarkStart w:id="124" w:name="_Toc486585241"/>
      <w:bookmarkStart w:id="125" w:name="_Toc486608278"/>
      <w:bookmarkStart w:id="126" w:name="_Toc487204798"/>
      <w:bookmarkStart w:id="127" w:name="_Toc9090"/>
      <w:r>
        <w:rPr>
          <w:rFonts w:hint="eastAsia" w:ascii="宋体" w:hAnsi="宋体" w:eastAsia="宋体" w:cs="宋体"/>
          <w:color w:val="auto"/>
          <w:sz w:val="24"/>
          <w:szCs w:val="24"/>
          <w:highlight w:val="none"/>
        </w:rPr>
        <w:t>二、</w:t>
      </w:r>
      <w:bookmarkEnd w:id="122"/>
      <w:bookmarkEnd w:id="123"/>
      <w:bookmarkEnd w:id="124"/>
      <w:bookmarkEnd w:id="125"/>
      <w:bookmarkEnd w:id="126"/>
      <w:bookmarkEnd w:id="127"/>
      <w:r>
        <w:rPr>
          <w:rFonts w:hint="eastAsia" w:ascii="宋体" w:hAnsi="宋体" w:eastAsia="宋体" w:cs="宋体"/>
          <w:color w:val="auto"/>
          <w:sz w:val="24"/>
          <w:szCs w:val="24"/>
          <w:highlight w:val="none"/>
          <w:lang w:eastAsia="zh-CN"/>
        </w:rPr>
        <w:t>技术部分</w:t>
      </w:r>
    </w:p>
    <w:p w14:paraId="1489DA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技术条款</w:t>
      </w:r>
      <w:r>
        <w:rPr>
          <w:rFonts w:hint="eastAsia" w:ascii="宋体" w:hAnsi="宋体" w:eastAsia="宋体" w:cs="宋体"/>
          <w:color w:val="auto"/>
          <w:sz w:val="24"/>
          <w:szCs w:val="24"/>
          <w:highlight w:val="none"/>
        </w:rPr>
        <w:t>差异表</w:t>
      </w:r>
    </w:p>
    <w:p w14:paraId="48A61B8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BC3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7D35E5B">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58" w:type="dxa"/>
            <w:vAlign w:val="center"/>
          </w:tcPr>
          <w:p w14:paraId="5417B734">
            <w:pPr>
              <w:tabs>
                <w:tab w:val="left" w:pos="6300"/>
              </w:tabs>
              <w:snapToGrid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服务需求</w:t>
            </w:r>
          </w:p>
        </w:tc>
        <w:tc>
          <w:tcPr>
            <w:tcW w:w="2759" w:type="dxa"/>
            <w:vAlign w:val="center"/>
          </w:tcPr>
          <w:p w14:paraId="3B5034C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响应情况</w:t>
            </w:r>
          </w:p>
        </w:tc>
        <w:tc>
          <w:tcPr>
            <w:tcW w:w="2067" w:type="dxa"/>
            <w:vAlign w:val="center"/>
          </w:tcPr>
          <w:p w14:paraId="0B206AF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差异说明</w:t>
            </w:r>
          </w:p>
        </w:tc>
      </w:tr>
      <w:tr w14:paraId="50C0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6E264A">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1C98D44C">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2773021F">
            <w:pPr>
              <w:rPr>
                <w:rFonts w:hint="eastAsia" w:ascii="宋体" w:hAnsi="宋体" w:eastAsia="宋体" w:cs="宋体"/>
                <w:color w:val="auto"/>
                <w:highlight w:val="none"/>
              </w:rPr>
            </w:pPr>
            <w:r>
              <w:rPr>
                <w:rFonts w:hint="eastAsia" w:ascii="宋体" w:hAnsi="宋体" w:eastAsia="宋体" w:cs="宋体"/>
                <w:color w:val="auto"/>
                <w:sz w:val="24"/>
                <w:highlight w:val="none"/>
              </w:rPr>
              <w:t>提醒：请注明具体内容</w:t>
            </w:r>
          </w:p>
        </w:tc>
        <w:tc>
          <w:tcPr>
            <w:tcW w:w="2067" w:type="dxa"/>
            <w:vAlign w:val="center"/>
          </w:tcPr>
          <w:p w14:paraId="0E58E449">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283F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AF99D4">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0527E6D9">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68A787DE">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032FD36C">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3607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8" w:type="dxa"/>
            <w:vAlign w:val="center"/>
          </w:tcPr>
          <w:p w14:paraId="74BF3626">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1AC88E11">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291788D5">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76F6FBB3">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3F38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E51790">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17D1A45D">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79359668">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09C24687">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0C0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12492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08FEB9A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74A759E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3733BB99">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7AA4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2647E6">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29CFE90B">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4FD1D27A">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746A6964">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r w14:paraId="343C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3C94E">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658" w:type="dxa"/>
            <w:vAlign w:val="center"/>
          </w:tcPr>
          <w:p w14:paraId="2DA401CA">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759" w:type="dxa"/>
            <w:vAlign w:val="center"/>
          </w:tcPr>
          <w:p w14:paraId="42E15042">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c>
          <w:tcPr>
            <w:tcW w:w="2067" w:type="dxa"/>
            <w:vAlign w:val="center"/>
          </w:tcPr>
          <w:p w14:paraId="213A77DE">
            <w:pPr>
              <w:tabs>
                <w:tab w:val="left" w:pos="6300"/>
              </w:tabs>
              <w:snapToGrid w:val="0"/>
              <w:spacing w:line="500" w:lineRule="exact"/>
              <w:ind w:firstLine="420"/>
              <w:jc w:val="center"/>
              <w:rPr>
                <w:rFonts w:hint="eastAsia" w:ascii="宋体" w:hAnsi="宋体" w:eastAsia="宋体" w:cs="宋体"/>
                <w:color w:val="auto"/>
                <w:sz w:val="21"/>
                <w:szCs w:val="21"/>
                <w:highlight w:val="none"/>
              </w:rPr>
            </w:pPr>
          </w:p>
        </w:tc>
      </w:tr>
    </w:tbl>
    <w:p w14:paraId="5F707511">
      <w:pPr>
        <w:spacing w:line="5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                                     </w:t>
      </w:r>
      <w:r>
        <w:rPr>
          <w:rFonts w:hint="eastAsia" w:ascii="宋体" w:hAnsi="宋体" w:eastAsia="宋体" w:cs="宋体"/>
          <w:color w:val="auto"/>
          <w:sz w:val="24"/>
          <w:highlight w:val="none"/>
          <w:lang w:eastAsia="zh-CN"/>
        </w:rPr>
        <w:t>法定代表人或其授权代表</w:t>
      </w:r>
      <w:r>
        <w:rPr>
          <w:rFonts w:hint="eastAsia" w:ascii="宋体" w:hAnsi="宋体" w:eastAsia="宋体" w:cs="宋体"/>
          <w:color w:val="auto"/>
          <w:sz w:val="24"/>
          <w:highlight w:val="none"/>
        </w:rPr>
        <w:t>：</w:t>
      </w:r>
    </w:p>
    <w:p w14:paraId="7C6B0D10">
      <w:pPr>
        <w:spacing w:line="500" w:lineRule="exact"/>
        <w:rPr>
          <w:rFonts w:hint="eastAsia" w:ascii="宋体" w:hAnsi="宋体" w:eastAsia="宋体" w:cs="宋体"/>
          <w:color w:val="auto"/>
          <w:sz w:val="24"/>
          <w:highlight w:val="none"/>
        </w:rPr>
      </w:pPr>
    </w:p>
    <w:p w14:paraId="7BF4A25D">
      <w:pPr>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18E7B859">
      <w:pPr>
        <w:tabs>
          <w:tab w:val="left" w:pos="6300"/>
        </w:tabs>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A232DA7">
      <w:pPr>
        <w:spacing w:line="312" w:lineRule="auto"/>
        <w:ind w:firstLine="482"/>
        <w:rPr>
          <w:rFonts w:hint="eastAsia" w:ascii="宋体" w:hAnsi="宋体" w:eastAsia="宋体" w:cs="宋体"/>
          <w:b/>
          <w:color w:val="auto"/>
          <w:sz w:val="24"/>
          <w:szCs w:val="24"/>
          <w:highlight w:val="none"/>
        </w:rPr>
      </w:pPr>
    </w:p>
    <w:p w14:paraId="3BBC329B">
      <w:pPr>
        <w:pStyle w:val="4"/>
        <w:spacing w:before="0" w:after="0" w:line="360" w:lineRule="auto"/>
        <w:ind w:firstLine="482"/>
        <w:jc w:val="left"/>
        <w:rPr>
          <w:rFonts w:hint="eastAsia" w:ascii="宋体" w:hAnsi="宋体" w:eastAsia="宋体" w:cs="宋体"/>
          <w:color w:val="auto"/>
          <w:sz w:val="24"/>
          <w:szCs w:val="24"/>
          <w:highlight w:val="none"/>
        </w:rPr>
      </w:pPr>
    </w:p>
    <w:p w14:paraId="69338C35">
      <w:pPr>
        <w:rPr>
          <w:rFonts w:hint="eastAsia" w:ascii="宋体" w:hAnsi="宋体" w:eastAsia="宋体" w:cs="宋体"/>
          <w:color w:val="auto"/>
          <w:sz w:val="24"/>
          <w:szCs w:val="24"/>
          <w:highlight w:val="none"/>
        </w:rPr>
      </w:pPr>
    </w:p>
    <w:p w14:paraId="57C97B2E">
      <w:pPr>
        <w:rPr>
          <w:rFonts w:hint="eastAsia" w:ascii="宋体" w:hAnsi="宋体" w:eastAsia="宋体" w:cs="宋体"/>
          <w:color w:val="auto"/>
          <w:sz w:val="24"/>
          <w:szCs w:val="24"/>
          <w:highlight w:val="none"/>
        </w:rPr>
      </w:pPr>
    </w:p>
    <w:p w14:paraId="644C9D21">
      <w:pPr>
        <w:rPr>
          <w:rFonts w:hint="eastAsia" w:ascii="宋体" w:hAnsi="宋体" w:eastAsia="宋体" w:cs="宋体"/>
          <w:color w:val="auto"/>
          <w:sz w:val="24"/>
          <w:szCs w:val="24"/>
          <w:highlight w:val="none"/>
        </w:rPr>
      </w:pPr>
    </w:p>
    <w:p w14:paraId="2B8329EA">
      <w:pPr>
        <w:rPr>
          <w:rFonts w:hint="eastAsia" w:ascii="宋体" w:hAnsi="宋体" w:eastAsia="宋体" w:cs="宋体"/>
          <w:color w:val="auto"/>
          <w:sz w:val="24"/>
          <w:szCs w:val="24"/>
          <w:highlight w:val="none"/>
        </w:rPr>
      </w:pPr>
    </w:p>
    <w:p w14:paraId="5F55F321">
      <w:pPr>
        <w:snapToGrid w:val="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D65C578">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1.本表即为对本项目“第二篇 </w:t>
      </w:r>
      <w:r>
        <w:rPr>
          <w:rFonts w:hint="eastAsia" w:ascii="宋体" w:hAnsi="宋体" w:eastAsia="宋体" w:cs="宋体"/>
          <w:color w:val="auto"/>
          <w:sz w:val="24"/>
          <w:szCs w:val="24"/>
          <w:highlight w:val="none"/>
          <w:lang w:eastAsia="zh-CN"/>
        </w:rPr>
        <w:t>项目技术需求</w:t>
      </w:r>
      <w:r>
        <w:rPr>
          <w:rFonts w:hint="eastAsia" w:ascii="宋体" w:hAnsi="宋体" w:eastAsia="宋体" w:cs="宋体"/>
          <w:color w:val="auto"/>
          <w:sz w:val="24"/>
          <w:szCs w:val="24"/>
          <w:highlight w:val="none"/>
        </w:rPr>
        <w:t>”中所列要求进行比较和响应；</w:t>
      </w:r>
    </w:p>
    <w:p w14:paraId="166F3663">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2.该表必须按照网上竞采要求逐条如实填写，根据响应情况在“差异说明”项填写正偏离或负偏离及原因，完全符合的填写“无差异”，未按要求填写的按无效响应处理；</w:t>
      </w:r>
    </w:p>
    <w:p w14:paraId="21C7912F">
      <w:pPr>
        <w:tabs>
          <w:tab w:val="left" w:pos="6300"/>
        </w:tabs>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w:t>
      </w:r>
      <w:r>
        <w:rPr>
          <w:rFonts w:hint="eastAsia" w:ascii="宋体" w:hAnsi="宋体" w:cs="宋体"/>
          <w:color w:val="auto"/>
          <w:sz w:val="24"/>
          <w:szCs w:val="24"/>
          <w:highlight w:val="none"/>
          <w:lang w:eastAsia="zh-CN"/>
        </w:rPr>
        <w:t>或加</w:t>
      </w:r>
      <w:r>
        <w:rPr>
          <w:rFonts w:hint="eastAsia" w:ascii="宋体" w:hAnsi="宋体" w:eastAsia="宋体" w:cs="宋体"/>
          <w:color w:val="auto"/>
          <w:sz w:val="24"/>
          <w:szCs w:val="24"/>
          <w:highlight w:val="none"/>
        </w:rPr>
        <w:t>盖供应商公章。</w:t>
      </w:r>
    </w:p>
    <w:p w14:paraId="46FB1CC5">
      <w:pPr>
        <w:tabs>
          <w:tab w:val="left" w:pos="6300"/>
        </w:tabs>
        <w:snapToGrid w:val="0"/>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4.可</w:t>
      </w:r>
      <w:r>
        <w:rPr>
          <w:rFonts w:hint="eastAsia" w:ascii="宋体" w:hAnsi="宋体" w:eastAsia="宋体" w:cs="宋体"/>
          <w:b/>
          <w:bCs/>
          <w:color w:val="auto"/>
          <w:sz w:val="24"/>
          <w:szCs w:val="24"/>
          <w:highlight w:val="none"/>
          <w:lang w:val="en-US" w:eastAsia="zh-CN"/>
        </w:rPr>
        <w:t>后</w:t>
      </w:r>
      <w:r>
        <w:rPr>
          <w:rFonts w:hint="eastAsia" w:ascii="宋体" w:hAnsi="宋体" w:eastAsia="宋体" w:cs="宋体"/>
          <w:b/>
          <w:bCs/>
          <w:color w:val="auto"/>
          <w:sz w:val="24"/>
          <w:szCs w:val="24"/>
          <w:highlight w:val="none"/>
        </w:rPr>
        <w:t>附相关技术支撑材料。（</w:t>
      </w:r>
      <w:r>
        <w:rPr>
          <w:rFonts w:hint="eastAsia" w:ascii="宋体" w:hAnsi="宋体" w:eastAsia="宋体"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格式自定）</w:t>
      </w:r>
    </w:p>
    <w:p w14:paraId="3590CA0A">
      <w:pPr>
        <w:tabs>
          <w:tab w:val="left" w:pos="6300"/>
        </w:tabs>
        <w:snapToGrid w:val="0"/>
        <w:ind w:firstLine="482" w:firstLineChars="200"/>
        <w:rPr>
          <w:rFonts w:hint="eastAsia" w:ascii="宋体" w:hAnsi="宋体" w:eastAsia="宋体" w:cs="宋体"/>
          <w:b/>
          <w:bCs/>
          <w:color w:val="auto"/>
          <w:sz w:val="24"/>
          <w:szCs w:val="24"/>
          <w:highlight w:val="none"/>
        </w:rPr>
      </w:pPr>
    </w:p>
    <w:p w14:paraId="766A381B">
      <w:pPr>
        <w:tabs>
          <w:tab w:val="left" w:pos="6300"/>
        </w:tabs>
        <w:snapToGrid w:val="0"/>
        <w:ind w:firstLine="482" w:firstLineChars="200"/>
        <w:rPr>
          <w:rFonts w:hint="eastAsia" w:ascii="宋体" w:hAnsi="宋体" w:eastAsia="宋体" w:cs="宋体"/>
          <w:b/>
          <w:bCs/>
          <w:color w:val="auto"/>
          <w:sz w:val="24"/>
          <w:szCs w:val="24"/>
          <w:highlight w:val="none"/>
        </w:rPr>
      </w:pPr>
    </w:p>
    <w:p w14:paraId="26A1723D">
      <w:pPr>
        <w:tabs>
          <w:tab w:val="left" w:pos="6300"/>
        </w:tabs>
        <w:snapToGrid w:val="0"/>
        <w:ind w:firstLine="482" w:firstLineChars="200"/>
        <w:rPr>
          <w:rFonts w:hint="eastAsia" w:ascii="宋体" w:hAnsi="宋体" w:eastAsia="宋体" w:cs="宋体"/>
          <w:b/>
          <w:bCs/>
          <w:color w:val="auto"/>
          <w:sz w:val="24"/>
          <w:szCs w:val="24"/>
          <w:highlight w:val="none"/>
        </w:rPr>
      </w:pPr>
    </w:p>
    <w:p w14:paraId="6C9A2979">
      <w:pPr>
        <w:tabs>
          <w:tab w:val="left" w:pos="6300"/>
        </w:tabs>
        <w:snapToGrid w:val="0"/>
        <w:ind w:firstLine="482" w:firstLineChars="200"/>
        <w:rPr>
          <w:rFonts w:hint="eastAsia" w:ascii="宋体" w:hAnsi="宋体" w:eastAsia="宋体" w:cs="宋体"/>
          <w:b/>
          <w:bCs/>
          <w:color w:val="auto"/>
          <w:sz w:val="24"/>
          <w:szCs w:val="24"/>
          <w:highlight w:val="none"/>
        </w:rPr>
      </w:pPr>
    </w:p>
    <w:p w14:paraId="53EB4DFF">
      <w:pPr>
        <w:tabs>
          <w:tab w:val="left" w:pos="6300"/>
        </w:tabs>
        <w:snapToGrid w:val="0"/>
        <w:ind w:firstLine="482" w:firstLineChars="200"/>
        <w:rPr>
          <w:rFonts w:hint="eastAsia" w:ascii="宋体" w:hAnsi="宋体" w:eastAsia="宋体" w:cs="宋体"/>
          <w:b/>
          <w:bCs/>
          <w:color w:val="auto"/>
          <w:sz w:val="24"/>
          <w:szCs w:val="24"/>
          <w:highlight w:val="none"/>
        </w:rPr>
      </w:pPr>
    </w:p>
    <w:p w14:paraId="559062C7">
      <w:pPr>
        <w:tabs>
          <w:tab w:val="left" w:pos="6300"/>
        </w:tabs>
        <w:snapToGrid w:val="0"/>
        <w:ind w:firstLine="482" w:firstLineChars="200"/>
        <w:rPr>
          <w:rFonts w:hint="eastAsia" w:ascii="宋体" w:hAnsi="宋体" w:eastAsia="宋体" w:cs="宋体"/>
          <w:b/>
          <w:bCs/>
          <w:color w:val="auto"/>
          <w:sz w:val="24"/>
          <w:szCs w:val="24"/>
          <w:highlight w:val="none"/>
        </w:rPr>
      </w:pPr>
    </w:p>
    <w:p w14:paraId="168C3E22">
      <w:pPr>
        <w:tabs>
          <w:tab w:val="left" w:pos="6300"/>
        </w:tabs>
        <w:snapToGrid w:val="0"/>
        <w:ind w:firstLine="482" w:firstLineChars="200"/>
        <w:rPr>
          <w:rFonts w:hint="eastAsia" w:ascii="宋体" w:hAnsi="宋体" w:eastAsia="宋体" w:cs="宋体"/>
          <w:b/>
          <w:bCs/>
          <w:color w:val="auto"/>
          <w:sz w:val="24"/>
          <w:szCs w:val="24"/>
          <w:highlight w:val="none"/>
        </w:rPr>
      </w:pPr>
    </w:p>
    <w:p w14:paraId="469B3CC3">
      <w:pPr>
        <w:pStyle w:val="4"/>
        <w:spacing w:before="0" w:after="0" w:line="360" w:lineRule="auto"/>
        <w:ind w:firstLine="482"/>
        <w:rPr>
          <w:rFonts w:hint="eastAsia" w:ascii="宋体" w:hAnsi="宋体" w:eastAsia="宋体" w:cs="宋体"/>
          <w:color w:val="auto"/>
          <w:sz w:val="24"/>
          <w:szCs w:val="24"/>
          <w:highlight w:val="none"/>
          <w:lang w:eastAsia="zh-CN"/>
        </w:rPr>
      </w:pPr>
      <w:bookmarkStart w:id="128" w:name="_Toc29446"/>
      <w:bookmarkStart w:id="129" w:name="_Toc22810"/>
      <w:r>
        <w:rPr>
          <w:rFonts w:hint="eastAsia" w:ascii="宋体" w:hAnsi="宋体" w:eastAsia="宋体" w:cs="宋体"/>
          <w:color w:val="auto"/>
          <w:sz w:val="24"/>
          <w:szCs w:val="24"/>
          <w:highlight w:val="none"/>
          <w:lang w:eastAsia="zh-CN"/>
        </w:rPr>
        <w:t>三、商务部分</w:t>
      </w:r>
      <w:bookmarkEnd w:id="128"/>
      <w:bookmarkEnd w:id="129"/>
    </w:p>
    <w:p w14:paraId="2EFCB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（一）商务条款差异表</w:t>
      </w:r>
    </w:p>
    <w:p w14:paraId="0D4E91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693"/>
        <w:gridCol w:w="2096"/>
      </w:tblGrid>
      <w:tr w14:paraId="298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DE8C8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031E77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需求</w:t>
            </w:r>
          </w:p>
        </w:tc>
        <w:tc>
          <w:tcPr>
            <w:tcW w:w="2693" w:type="dxa"/>
            <w:vAlign w:val="center"/>
          </w:tcPr>
          <w:p w14:paraId="162B25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096" w:type="dxa"/>
            <w:vAlign w:val="center"/>
          </w:tcPr>
          <w:p w14:paraId="1FB057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差异说明</w:t>
            </w:r>
          </w:p>
        </w:tc>
      </w:tr>
      <w:tr w14:paraId="22E8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69D513">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4A4EB388">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5C8BBE3E">
            <w:pPr>
              <w:rPr>
                <w:rFonts w:hint="eastAsia" w:ascii="宋体" w:hAnsi="宋体" w:eastAsia="宋体" w:cs="宋体"/>
                <w:color w:val="auto"/>
                <w:highlight w:val="none"/>
              </w:rPr>
            </w:pPr>
            <w:bookmarkStart w:id="130" w:name="_Toc4318"/>
            <w:bookmarkStart w:id="131" w:name="_Toc25144"/>
            <w:r>
              <w:rPr>
                <w:rFonts w:hint="eastAsia" w:ascii="宋体" w:hAnsi="宋体" w:eastAsia="宋体" w:cs="宋体"/>
                <w:color w:val="auto"/>
                <w:sz w:val="24"/>
                <w:szCs w:val="24"/>
                <w:highlight w:val="none"/>
              </w:rPr>
              <w:t>提醒：请注明具体内容</w:t>
            </w:r>
            <w:bookmarkEnd w:id="130"/>
            <w:bookmarkEnd w:id="131"/>
          </w:p>
        </w:tc>
        <w:tc>
          <w:tcPr>
            <w:tcW w:w="2096" w:type="dxa"/>
            <w:vAlign w:val="center"/>
          </w:tcPr>
          <w:p w14:paraId="474C120D">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2848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A6DAF9">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323AF044">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529590E8">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2FCAF916">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607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B47D69">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3A2E5FC6">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18D9EF70">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157EAD8A">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4BA6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9F681E">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0C60EBAA">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03E5F03C">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18B1F207">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4871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23D22A">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22F51B12">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7A8FA2E3">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3289B7F0">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r w14:paraId="367E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8203BE">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3179" w:type="dxa"/>
            <w:vAlign w:val="center"/>
          </w:tcPr>
          <w:p w14:paraId="4AC33BDB">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693" w:type="dxa"/>
            <w:vAlign w:val="center"/>
          </w:tcPr>
          <w:p w14:paraId="4B24A191">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c>
          <w:tcPr>
            <w:tcW w:w="2096" w:type="dxa"/>
            <w:vAlign w:val="center"/>
          </w:tcPr>
          <w:p w14:paraId="163379F5">
            <w:pPr>
              <w:tabs>
                <w:tab w:val="left" w:pos="6300"/>
              </w:tabs>
              <w:snapToGrid w:val="0"/>
              <w:spacing w:line="360" w:lineRule="auto"/>
              <w:ind w:firstLine="420"/>
              <w:jc w:val="center"/>
              <w:rPr>
                <w:rFonts w:hint="eastAsia" w:ascii="宋体" w:hAnsi="宋体" w:eastAsia="宋体" w:cs="宋体"/>
                <w:color w:val="auto"/>
                <w:sz w:val="21"/>
                <w:szCs w:val="24"/>
                <w:highlight w:val="none"/>
              </w:rPr>
            </w:pPr>
          </w:p>
        </w:tc>
      </w:tr>
    </w:tbl>
    <w:p w14:paraId="6941821D">
      <w:pPr>
        <w:snapToGrid w:val="0"/>
        <w:spacing w:line="360" w:lineRule="auto"/>
        <w:rPr>
          <w:rFonts w:hint="eastAsia" w:ascii="宋体" w:hAnsi="宋体" w:eastAsia="宋体" w:cs="宋体"/>
          <w:color w:val="auto"/>
          <w:sz w:val="24"/>
          <w:szCs w:val="24"/>
          <w:highlight w:val="none"/>
        </w:rPr>
      </w:pPr>
    </w:p>
    <w:p w14:paraId="674672DF">
      <w:pPr>
        <w:spacing w:line="5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w:t>
      </w:r>
      <w:r>
        <w:rPr>
          <w:rFonts w:hint="eastAsia" w:ascii="宋体" w:hAnsi="宋体" w:eastAsia="宋体" w:cs="宋体"/>
          <w:color w:val="auto"/>
          <w:sz w:val="24"/>
          <w:highlight w:val="none"/>
          <w:lang w:val="en-US" w:eastAsia="zh-CN"/>
        </w:rPr>
        <w:t>或其</w:t>
      </w:r>
      <w:r>
        <w:rPr>
          <w:rFonts w:hint="eastAsia" w:ascii="宋体" w:hAnsi="宋体" w:eastAsia="宋体" w:cs="宋体"/>
          <w:color w:val="auto"/>
          <w:sz w:val="24"/>
          <w:highlight w:val="none"/>
        </w:rPr>
        <w:t>授权代表：</w:t>
      </w:r>
    </w:p>
    <w:p w14:paraId="7F702632">
      <w:pPr>
        <w:spacing w:line="5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（签字或盖章）</w:t>
      </w:r>
    </w:p>
    <w:p w14:paraId="1A7D21FA">
      <w:pPr>
        <w:tabs>
          <w:tab w:val="left" w:pos="6300"/>
        </w:tabs>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3163A9A">
      <w:pPr>
        <w:spacing w:line="380" w:lineRule="exact"/>
        <w:ind w:firstLine="480" w:firstLineChars="200"/>
        <w:rPr>
          <w:rFonts w:hint="eastAsia" w:ascii="宋体" w:hAnsi="宋体" w:eastAsia="宋体" w:cs="宋体"/>
          <w:color w:val="auto"/>
          <w:sz w:val="24"/>
          <w:szCs w:val="24"/>
          <w:highlight w:val="none"/>
        </w:rPr>
      </w:pPr>
    </w:p>
    <w:p w14:paraId="7ECDADCB">
      <w:pPr>
        <w:spacing w:line="380" w:lineRule="exact"/>
        <w:ind w:firstLine="480" w:firstLineChars="200"/>
        <w:rPr>
          <w:rFonts w:hint="eastAsia" w:ascii="宋体" w:hAnsi="宋体" w:eastAsia="宋体" w:cs="宋体"/>
          <w:color w:val="auto"/>
          <w:sz w:val="24"/>
          <w:szCs w:val="24"/>
          <w:highlight w:val="none"/>
        </w:rPr>
      </w:pPr>
    </w:p>
    <w:p w14:paraId="6D4E322D">
      <w:pPr>
        <w:spacing w:line="380" w:lineRule="exact"/>
        <w:rPr>
          <w:rFonts w:hint="eastAsia" w:ascii="宋体" w:hAnsi="宋体" w:eastAsia="宋体" w:cs="宋体"/>
          <w:color w:val="auto"/>
          <w:sz w:val="24"/>
          <w:szCs w:val="24"/>
          <w:highlight w:val="none"/>
        </w:rPr>
      </w:pPr>
    </w:p>
    <w:p w14:paraId="63A9CFD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项目商务需求”中所列要求进行比较和响应；</w:t>
      </w:r>
    </w:p>
    <w:p w14:paraId="54545E9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2.该表必须按照网上竞采要求逐条如实填写，根据响应情况在“差异说明”项填写正偏离或负偏离及原因，完全符合的填写“无差异”，未按要求填写的按无效响应处理；</w:t>
      </w:r>
    </w:p>
    <w:p w14:paraId="19FA16F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w:t>
      </w:r>
      <w:r>
        <w:rPr>
          <w:rFonts w:hint="eastAsia" w:ascii="宋体" w:hAnsi="宋体" w:cs="宋体"/>
          <w:color w:val="auto"/>
          <w:sz w:val="24"/>
          <w:szCs w:val="24"/>
          <w:highlight w:val="none"/>
          <w:lang w:eastAsia="zh-CN"/>
        </w:rPr>
        <w:t>或加</w:t>
      </w:r>
      <w:r>
        <w:rPr>
          <w:rFonts w:hint="eastAsia" w:ascii="宋体" w:hAnsi="宋体" w:eastAsia="宋体" w:cs="宋体"/>
          <w:color w:val="auto"/>
          <w:sz w:val="24"/>
          <w:szCs w:val="24"/>
          <w:highlight w:val="none"/>
        </w:rPr>
        <w:t>盖供应商公章。</w:t>
      </w: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）其它优惠承诺（格式自定）</w:t>
      </w:r>
    </w:p>
    <w:p w14:paraId="2A4F92F7">
      <w:pPr>
        <w:rPr>
          <w:rFonts w:hint="eastAsia" w:ascii="宋体" w:hAnsi="宋体" w:eastAsia="宋体" w:cs="宋体"/>
          <w:color w:val="auto"/>
          <w:sz w:val="24"/>
          <w:szCs w:val="24"/>
          <w:highlight w:val="none"/>
        </w:rPr>
      </w:pPr>
    </w:p>
    <w:p w14:paraId="49C5DF07">
      <w:pPr>
        <w:pStyle w:val="6"/>
        <w:ind w:left="560"/>
        <w:rPr>
          <w:rFonts w:hint="eastAsia" w:ascii="宋体" w:hAnsi="宋体" w:eastAsia="宋体" w:cs="宋体"/>
          <w:color w:val="auto"/>
          <w:sz w:val="24"/>
          <w:szCs w:val="24"/>
          <w:highlight w:val="none"/>
        </w:rPr>
      </w:pPr>
    </w:p>
    <w:p w14:paraId="4709EC74">
      <w:pPr>
        <w:rPr>
          <w:rFonts w:hint="eastAsia" w:ascii="宋体" w:hAnsi="宋体" w:eastAsia="宋体" w:cs="宋体"/>
          <w:color w:val="auto"/>
          <w:sz w:val="24"/>
          <w:szCs w:val="24"/>
          <w:highlight w:val="none"/>
        </w:rPr>
      </w:pPr>
    </w:p>
    <w:p w14:paraId="62C100F8">
      <w:pPr>
        <w:pStyle w:val="6"/>
        <w:ind w:left="560"/>
        <w:rPr>
          <w:rFonts w:hint="eastAsia" w:ascii="宋体" w:hAnsi="宋体" w:eastAsia="宋体" w:cs="宋体"/>
          <w:color w:val="auto"/>
          <w:sz w:val="24"/>
          <w:szCs w:val="24"/>
          <w:highlight w:val="none"/>
        </w:rPr>
      </w:pPr>
    </w:p>
    <w:p w14:paraId="214F1A57">
      <w:pPr>
        <w:rPr>
          <w:rFonts w:hint="eastAsia" w:ascii="宋体" w:hAnsi="宋体" w:eastAsia="宋体" w:cs="宋体"/>
          <w:color w:val="auto"/>
          <w:sz w:val="24"/>
          <w:szCs w:val="24"/>
          <w:highlight w:val="none"/>
        </w:rPr>
      </w:pPr>
    </w:p>
    <w:p w14:paraId="72B232D3">
      <w:pPr>
        <w:pStyle w:val="6"/>
        <w:ind w:left="560"/>
        <w:rPr>
          <w:rFonts w:hint="eastAsia" w:ascii="宋体" w:hAnsi="宋体" w:eastAsia="宋体" w:cs="宋体"/>
          <w:color w:val="auto"/>
          <w:sz w:val="24"/>
          <w:szCs w:val="24"/>
          <w:highlight w:val="none"/>
        </w:rPr>
      </w:pPr>
    </w:p>
    <w:p w14:paraId="3954C3D6">
      <w:pPr>
        <w:rPr>
          <w:rFonts w:hint="eastAsia" w:ascii="宋体" w:hAnsi="宋体" w:eastAsia="宋体" w:cs="宋体"/>
          <w:color w:val="auto"/>
          <w:sz w:val="24"/>
          <w:szCs w:val="24"/>
          <w:highlight w:val="none"/>
        </w:rPr>
      </w:pPr>
    </w:p>
    <w:p w14:paraId="03E9B3E6">
      <w:pPr>
        <w:pStyle w:val="6"/>
        <w:ind w:left="560"/>
        <w:rPr>
          <w:rFonts w:hint="eastAsia" w:ascii="宋体" w:hAnsi="宋体" w:eastAsia="宋体" w:cs="宋体"/>
          <w:color w:val="auto"/>
          <w:sz w:val="24"/>
          <w:szCs w:val="24"/>
          <w:highlight w:val="none"/>
        </w:rPr>
      </w:pPr>
    </w:p>
    <w:p w14:paraId="37A73926">
      <w:pPr>
        <w:rPr>
          <w:rFonts w:hint="eastAsia" w:ascii="宋体" w:hAnsi="宋体" w:eastAsia="宋体" w:cs="宋体"/>
          <w:color w:val="auto"/>
          <w:sz w:val="24"/>
          <w:szCs w:val="24"/>
          <w:highlight w:val="none"/>
        </w:rPr>
      </w:pPr>
    </w:p>
    <w:p w14:paraId="2548424B">
      <w:pPr>
        <w:pStyle w:val="6"/>
        <w:ind w:left="560"/>
        <w:rPr>
          <w:rFonts w:hint="eastAsia" w:ascii="宋体" w:hAnsi="宋体" w:eastAsia="宋体" w:cs="宋体"/>
          <w:color w:val="auto"/>
          <w:sz w:val="24"/>
          <w:szCs w:val="24"/>
          <w:highlight w:val="none"/>
        </w:rPr>
      </w:pPr>
    </w:p>
    <w:p w14:paraId="602408C4">
      <w:pPr>
        <w:rPr>
          <w:rFonts w:hint="eastAsia" w:ascii="宋体" w:hAnsi="宋体" w:eastAsia="宋体" w:cs="宋体"/>
          <w:color w:val="auto"/>
          <w:sz w:val="24"/>
          <w:szCs w:val="24"/>
          <w:highlight w:val="none"/>
        </w:rPr>
      </w:pPr>
    </w:p>
    <w:p w14:paraId="61713904">
      <w:pPr>
        <w:pStyle w:val="6"/>
        <w:ind w:left="560"/>
        <w:rPr>
          <w:rFonts w:hint="eastAsia" w:ascii="宋体" w:hAnsi="宋体" w:eastAsia="宋体" w:cs="宋体"/>
          <w:color w:val="auto"/>
          <w:sz w:val="24"/>
          <w:szCs w:val="24"/>
          <w:highlight w:val="none"/>
        </w:rPr>
      </w:pPr>
    </w:p>
    <w:p w14:paraId="4FA54B48">
      <w:pPr>
        <w:rPr>
          <w:rFonts w:hint="eastAsia" w:ascii="宋体" w:hAnsi="宋体" w:eastAsia="宋体" w:cs="宋体"/>
          <w:color w:val="auto"/>
          <w:sz w:val="24"/>
          <w:szCs w:val="24"/>
          <w:highlight w:val="none"/>
        </w:rPr>
      </w:pPr>
    </w:p>
    <w:p w14:paraId="1345FA87">
      <w:pPr>
        <w:pStyle w:val="6"/>
        <w:ind w:left="560"/>
        <w:rPr>
          <w:rFonts w:hint="eastAsia" w:ascii="宋体" w:hAnsi="宋体" w:eastAsia="宋体" w:cs="宋体"/>
          <w:color w:val="auto"/>
          <w:sz w:val="24"/>
          <w:szCs w:val="24"/>
          <w:highlight w:val="none"/>
        </w:rPr>
      </w:pPr>
    </w:p>
    <w:p w14:paraId="7EA8B9B2">
      <w:pPr>
        <w:rPr>
          <w:rFonts w:hint="eastAsia" w:ascii="宋体" w:hAnsi="宋体" w:eastAsia="宋体" w:cs="宋体"/>
          <w:color w:val="auto"/>
          <w:sz w:val="24"/>
          <w:szCs w:val="24"/>
          <w:highlight w:val="none"/>
        </w:rPr>
      </w:pPr>
    </w:p>
    <w:p w14:paraId="29E8EBC2">
      <w:pPr>
        <w:pStyle w:val="6"/>
        <w:ind w:left="560"/>
        <w:rPr>
          <w:rFonts w:hint="eastAsia" w:ascii="宋体" w:hAnsi="宋体" w:eastAsia="宋体" w:cs="宋体"/>
          <w:color w:val="auto"/>
          <w:sz w:val="24"/>
          <w:szCs w:val="24"/>
          <w:highlight w:val="none"/>
        </w:rPr>
      </w:pPr>
    </w:p>
    <w:p w14:paraId="67A94252">
      <w:pPr>
        <w:rPr>
          <w:rFonts w:hint="eastAsia" w:ascii="宋体" w:hAnsi="宋体" w:eastAsia="宋体" w:cs="宋体"/>
          <w:color w:val="auto"/>
          <w:sz w:val="24"/>
          <w:szCs w:val="24"/>
          <w:highlight w:val="none"/>
        </w:rPr>
      </w:pPr>
    </w:p>
    <w:p w14:paraId="6362439D">
      <w:pPr>
        <w:pStyle w:val="6"/>
        <w:ind w:left="560"/>
        <w:rPr>
          <w:rFonts w:hint="eastAsia" w:ascii="宋体" w:hAnsi="宋体" w:eastAsia="宋体" w:cs="宋体"/>
          <w:color w:val="auto"/>
          <w:sz w:val="24"/>
          <w:szCs w:val="24"/>
          <w:highlight w:val="none"/>
        </w:rPr>
      </w:pPr>
    </w:p>
    <w:p w14:paraId="4BC8D997">
      <w:pPr>
        <w:rPr>
          <w:rFonts w:hint="eastAsia" w:ascii="宋体" w:hAnsi="宋体" w:eastAsia="宋体" w:cs="宋体"/>
          <w:color w:val="auto"/>
          <w:sz w:val="24"/>
          <w:szCs w:val="24"/>
          <w:highlight w:val="none"/>
        </w:rPr>
      </w:pPr>
    </w:p>
    <w:p w14:paraId="735063D9">
      <w:pPr>
        <w:pStyle w:val="6"/>
        <w:ind w:left="560"/>
        <w:rPr>
          <w:rFonts w:hint="eastAsia" w:ascii="宋体" w:hAnsi="宋体" w:eastAsia="宋体" w:cs="宋体"/>
          <w:color w:val="auto"/>
          <w:sz w:val="24"/>
          <w:szCs w:val="24"/>
          <w:highlight w:val="none"/>
        </w:rPr>
      </w:pPr>
    </w:p>
    <w:p w14:paraId="6E136E8B">
      <w:pPr>
        <w:rPr>
          <w:rFonts w:hint="eastAsia" w:ascii="宋体" w:hAnsi="宋体" w:eastAsia="宋体" w:cs="宋体"/>
          <w:color w:val="auto"/>
          <w:sz w:val="24"/>
          <w:szCs w:val="24"/>
          <w:highlight w:val="none"/>
        </w:rPr>
      </w:pPr>
    </w:p>
    <w:p w14:paraId="7A84CE4B">
      <w:pPr>
        <w:pStyle w:val="6"/>
        <w:ind w:left="560"/>
        <w:rPr>
          <w:rFonts w:hint="eastAsia" w:ascii="宋体" w:hAnsi="宋体" w:eastAsia="宋体" w:cs="宋体"/>
          <w:color w:val="auto"/>
          <w:sz w:val="24"/>
          <w:szCs w:val="24"/>
          <w:highlight w:val="none"/>
        </w:rPr>
      </w:pPr>
    </w:p>
    <w:p w14:paraId="53EB0091">
      <w:pPr>
        <w:rPr>
          <w:rFonts w:hint="eastAsia" w:ascii="宋体" w:hAnsi="宋体" w:eastAsia="宋体" w:cs="宋体"/>
          <w:color w:val="auto"/>
          <w:sz w:val="24"/>
          <w:szCs w:val="24"/>
          <w:highlight w:val="none"/>
        </w:rPr>
      </w:pPr>
    </w:p>
    <w:p w14:paraId="7981951C">
      <w:pPr>
        <w:pStyle w:val="6"/>
        <w:ind w:left="560"/>
        <w:rPr>
          <w:rFonts w:hint="eastAsia" w:ascii="宋体" w:hAnsi="宋体" w:eastAsia="宋体" w:cs="宋体"/>
          <w:color w:val="auto"/>
          <w:sz w:val="24"/>
          <w:szCs w:val="24"/>
          <w:highlight w:val="none"/>
        </w:rPr>
      </w:pPr>
    </w:p>
    <w:p w14:paraId="7B425C96">
      <w:pPr>
        <w:rPr>
          <w:rFonts w:hint="eastAsia" w:ascii="宋体" w:hAnsi="宋体" w:eastAsia="宋体" w:cs="宋体"/>
          <w:color w:val="auto"/>
          <w:sz w:val="24"/>
          <w:szCs w:val="24"/>
          <w:highlight w:val="none"/>
        </w:rPr>
      </w:pPr>
    </w:p>
    <w:p w14:paraId="3BE6EBCA">
      <w:pPr>
        <w:pStyle w:val="6"/>
        <w:ind w:left="560"/>
        <w:rPr>
          <w:rFonts w:hint="eastAsia" w:ascii="宋体" w:hAnsi="宋体" w:eastAsia="宋体" w:cs="宋体"/>
          <w:color w:val="auto"/>
          <w:sz w:val="24"/>
          <w:szCs w:val="24"/>
          <w:highlight w:val="none"/>
        </w:rPr>
      </w:pPr>
    </w:p>
    <w:p w14:paraId="24F0839E">
      <w:pPr>
        <w:rPr>
          <w:rFonts w:hint="eastAsia" w:ascii="宋体" w:hAnsi="宋体" w:eastAsia="宋体" w:cs="宋体"/>
          <w:color w:val="auto"/>
          <w:sz w:val="24"/>
          <w:szCs w:val="24"/>
          <w:highlight w:val="none"/>
        </w:rPr>
      </w:pPr>
    </w:p>
    <w:p w14:paraId="39F61911">
      <w:pPr>
        <w:pStyle w:val="6"/>
        <w:ind w:left="560"/>
        <w:rPr>
          <w:rFonts w:hint="eastAsia" w:ascii="宋体" w:hAnsi="宋体" w:eastAsia="宋体" w:cs="宋体"/>
          <w:color w:val="auto"/>
          <w:sz w:val="24"/>
          <w:szCs w:val="24"/>
          <w:highlight w:val="none"/>
        </w:rPr>
      </w:pPr>
    </w:p>
    <w:p w14:paraId="312C84C2">
      <w:pPr>
        <w:rPr>
          <w:rFonts w:hint="eastAsia" w:ascii="宋体" w:hAnsi="宋体" w:eastAsia="宋体" w:cs="宋体"/>
          <w:color w:val="auto"/>
          <w:sz w:val="24"/>
          <w:szCs w:val="24"/>
          <w:highlight w:val="none"/>
        </w:rPr>
      </w:pPr>
    </w:p>
    <w:p w14:paraId="13EDC951">
      <w:pPr>
        <w:pStyle w:val="6"/>
        <w:ind w:left="560"/>
        <w:rPr>
          <w:rFonts w:hint="eastAsia" w:ascii="宋体" w:hAnsi="宋体" w:eastAsia="宋体" w:cs="宋体"/>
          <w:color w:val="auto"/>
          <w:sz w:val="24"/>
          <w:szCs w:val="24"/>
          <w:highlight w:val="none"/>
        </w:rPr>
      </w:pPr>
    </w:p>
    <w:p w14:paraId="2450DCCD">
      <w:pPr>
        <w:rPr>
          <w:rFonts w:hint="eastAsia" w:ascii="宋体" w:hAnsi="宋体" w:eastAsia="宋体" w:cs="宋体"/>
          <w:color w:val="auto"/>
          <w:sz w:val="24"/>
          <w:szCs w:val="24"/>
          <w:highlight w:val="none"/>
        </w:rPr>
      </w:pPr>
    </w:p>
    <w:p w14:paraId="4D337D0A">
      <w:pPr>
        <w:pStyle w:val="6"/>
        <w:ind w:left="560"/>
        <w:rPr>
          <w:rFonts w:hint="eastAsia" w:ascii="宋体" w:hAnsi="宋体" w:eastAsia="宋体" w:cs="宋体"/>
          <w:color w:val="auto"/>
          <w:sz w:val="24"/>
          <w:szCs w:val="24"/>
          <w:highlight w:val="none"/>
        </w:rPr>
      </w:pPr>
    </w:p>
    <w:p w14:paraId="4B50B6EF">
      <w:pPr>
        <w:rPr>
          <w:rFonts w:hint="eastAsia" w:ascii="宋体" w:hAnsi="宋体" w:eastAsia="宋体" w:cs="宋体"/>
          <w:color w:val="auto"/>
          <w:sz w:val="24"/>
          <w:szCs w:val="24"/>
          <w:highlight w:val="none"/>
        </w:rPr>
      </w:pPr>
    </w:p>
    <w:p w14:paraId="7286C18B">
      <w:pPr>
        <w:pStyle w:val="6"/>
        <w:ind w:left="560"/>
        <w:rPr>
          <w:rFonts w:hint="eastAsia" w:ascii="宋体" w:hAnsi="宋体" w:eastAsia="宋体" w:cs="宋体"/>
          <w:color w:val="auto"/>
          <w:sz w:val="24"/>
          <w:szCs w:val="24"/>
          <w:highlight w:val="none"/>
        </w:rPr>
      </w:pPr>
    </w:p>
    <w:p w14:paraId="36BBDFB7">
      <w:pPr>
        <w:rPr>
          <w:rFonts w:hint="eastAsia" w:ascii="宋体" w:hAnsi="宋体" w:eastAsia="宋体" w:cs="宋体"/>
          <w:color w:val="auto"/>
          <w:sz w:val="24"/>
          <w:szCs w:val="24"/>
          <w:highlight w:val="none"/>
        </w:rPr>
      </w:pPr>
    </w:p>
    <w:p w14:paraId="608250D0">
      <w:pPr>
        <w:pStyle w:val="6"/>
        <w:ind w:left="560"/>
        <w:rPr>
          <w:rFonts w:hint="eastAsia" w:ascii="宋体" w:hAnsi="宋体" w:eastAsia="宋体" w:cs="宋体"/>
          <w:color w:val="auto"/>
          <w:sz w:val="24"/>
          <w:szCs w:val="24"/>
          <w:highlight w:val="none"/>
        </w:rPr>
      </w:pPr>
    </w:p>
    <w:p w14:paraId="02631388">
      <w:pPr>
        <w:rPr>
          <w:rFonts w:hint="eastAsia" w:ascii="宋体" w:hAnsi="宋体" w:eastAsia="宋体" w:cs="宋体"/>
          <w:color w:val="auto"/>
          <w:sz w:val="24"/>
          <w:szCs w:val="24"/>
          <w:highlight w:val="none"/>
        </w:rPr>
      </w:pPr>
    </w:p>
    <w:p w14:paraId="2DF10553">
      <w:pPr>
        <w:pStyle w:val="6"/>
        <w:ind w:left="560"/>
        <w:rPr>
          <w:rFonts w:hint="eastAsia" w:ascii="宋体" w:hAnsi="宋体" w:eastAsia="宋体" w:cs="宋体"/>
          <w:color w:val="auto"/>
          <w:sz w:val="24"/>
          <w:szCs w:val="24"/>
          <w:highlight w:val="none"/>
        </w:rPr>
      </w:pPr>
    </w:p>
    <w:p w14:paraId="12660E7C">
      <w:pPr>
        <w:rPr>
          <w:rFonts w:hint="eastAsia" w:ascii="宋体" w:hAnsi="宋体" w:eastAsia="宋体" w:cs="宋体"/>
          <w:color w:val="auto"/>
          <w:sz w:val="24"/>
          <w:szCs w:val="24"/>
          <w:highlight w:val="none"/>
        </w:rPr>
      </w:pPr>
    </w:p>
    <w:p w14:paraId="32E3B842">
      <w:pPr>
        <w:rPr>
          <w:rFonts w:hint="eastAsia" w:ascii="宋体" w:hAnsi="宋体" w:eastAsia="宋体" w:cs="宋体"/>
          <w:b/>
          <w:bCs/>
          <w:color w:val="auto"/>
          <w:sz w:val="24"/>
          <w:szCs w:val="24"/>
          <w:highlight w:val="none"/>
        </w:rPr>
      </w:pPr>
      <w:bookmarkStart w:id="132" w:name="_Toc17649"/>
      <w:r>
        <w:rPr>
          <w:rFonts w:hint="eastAsia" w:ascii="宋体" w:hAnsi="宋体" w:eastAsia="宋体" w:cs="宋体"/>
          <w:b/>
          <w:bCs/>
          <w:color w:val="auto"/>
          <w:sz w:val="24"/>
          <w:szCs w:val="24"/>
          <w:highlight w:val="none"/>
        </w:rPr>
        <w:br w:type="page"/>
      </w:r>
    </w:p>
    <w:p w14:paraId="67153DBC">
      <w:pPr>
        <w:spacing w:line="360" w:lineRule="auto"/>
        <w:ind w:firstLine="482"/>
        <w:outlineLvl w:val="0"/>
        <w:rPr>
          <w:rFonts w:hint="eastAsia" w:ascii="宋体" w:hAnsi="宋体" w:eastAsia="宋体" w:cs="宋体"/>
          <w:b/>
          <w:bCs/>
          <w:color w:val="auto"/>
          <w:sz w:val="24"/>
          <w:szCs w:val="24"/>
          <w:highlight w:val="none"/>
        </w:rPr>
      </w:pPr>
      <w:bookmarkStart w:id="133" w:name="_Toc30533"/>
      <w:bookmarkStart w:id="134" w:name="_Toc25350"/>
      <w:r>
        <w:rPr>
          <w:rFonts w:hint="eastAsia" w:ascii="宋体" w:hAnsi="宋体" w:eastAsia="宋体" w:cs="宋体"/>
          <w:b/>
          <w:bCs/>
          <w:color w:val="auto"/>
          <w:sz w:val="24"/>
          <w:szCs w:val="24"/>
          <w:highlight w:val="none"/>
        </w:rPr>
        <w:t>四、资格条件及其他</w:t>
      </w:r>
      <w:bookmarkEnd w:id="132"/>
      <w:bookmarkEnd w:id="133"/>
      <w:bookmarkEnd w:id="134"/>
    </w:p>
    <w:p w14:paraId="32EEC8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D844366">
      <w:pPr>
        <w:snapToGrid w:val="0"/>
        <w:spacing w:line="360" w:lineRule="auto"/>
        <w:ind w:firstLine="480" w:firstLineChars="200"/>
        <w:rPr>
          <w:rFonts w:hint="eastAsia" w:ascii="宋体" w:hAnsi="宋体" w:eastAsia="宋体" w:cs="宋体"/>
          <w:color w:val="auto"/>
          <w:sz w:val="24"/>
          <w:szCs w:val="24"/>
          <w:highlight w:val="none"/>
        </w:rPr>
      </w:pPr>
    </w:p>
    <w:p w14:paraId="261A49DE">
      <w:pPr>
        <w:snapToGrid w:val="0"/>
        <w:spacing w:line="360" w:lineRule="auto"/>
        <w:ind w:firstLine="480" w:firstLineChars="200"/>
        <w:rPr>
          <w:rFonts w:hint="eastAsia" w:ascii="宋体" w:hAnsi="宋体" w:eastAsia="宋体" w:cs="宋体"/>
          <w:color w:val="auto"/>
          <w:sz w:val="24"/>
          <w:szCs w:val="24"/>
          <w:highlight w:val="none"/>
        </w:rPr>
      </w:pPr>
    </w:p>
    <w:p w14:paraId="59908AC3">
      <w:pPr>
        <w:snapToGrid w:val="0"/>
        <w:spacing w:line="360" w:lineRule="auto"/>
        <w:ind w:firstLine="480" w:firstLineChars="200"/>
        <w:rPr>
          <w:rFonts w:hint="eastAsia" w:ascii="宋体" w:hAnsi="宋体" w:eastAsia="宋体" w:cs="宋体"/>
          <w:color w:val="auto"/>
          <w:sz w:val="24"/>
          <w:szCs w:val="24"/>
          <w:highlight w:val="none"/>
        </w:rPr>
      </w:pPr>
    </w:p>
    <w:p w14:paraId="19282EC3">
      <w:pPr>
        <w:snapToGrid w:val="0"/>
        <w:spacing w:line="360" w:lineRule="auto"/>
        <w:ind w:firstLine="480" w:firstLineChars="200"/>
        <w:rPr>
          <w:rFonts w:hint="eastAsia" w:ascii="宋体" w:hAnsi="宋体" w:eastAsia="宋体" w:cs="宋体"/>
          <w:color w:val="auto"/>
          <w:sz w:val="24"/>
          <w:szCs w:val="24"/>
          <w:highlight w:val="none"/>
        </w:rPr>
      </w:pPr>
    </w:p>
    <w:p w14:paraId="3596B31A">
      <w:pPr>
        <w:snapToGrid w:val="0"/>
        <w:spacing w:line="360" w:lineRule="auto"/>
        <w:ind w:firstLine="480" w:firstLineChars="200"/>
        <w:rPr>
          <w:rFonts w:hint="eastAsia" w:ascii="宋体" w:hAnsi="宋体" w:eastAsia="宋体" w:cs="宋体"/>
          <w:color w:val="auto"/>
          <w:sz w:val="24"/>
          <w:szCs w:val="24"/>
          <w:highlight w:val="none"/>
        </w:rPr>
      </w:pPr>
    </w:p>
    <w:p w14:paraId="7161B220">
      <w:pPr>
        <w:snapToGrid w:val="0"/>
        <w:spacing w:line="360" w:lineRule="auto"/>
        <w:ind w:firstLine="480" w:firstLineChars="200"/>
        <w:rPr>
          <w:rFonts w:hint="eastAsia" w:ascii="宋体" w:hAnsi="宋体" w:eastAsia="宋体" w:cs="宋体"/>
          <w:color w:val="auto"/>
          <w:sz w:val="24"/>
          <w:szCs w:val="24"/>
          <w:highlight w:val="none"/>
        </w:rPr>
      </w:pPr>
    </w:p>
    <w:p w14:paraId="4BFB72FB">
      <w:pPr>
        <w:snapToGrid w:val="0"/>
        <w:spacing w:line="360" w:lineRule="auto"/>
        <w:ind w:firstLine="480" w:firstLineChars="200"/>
        <w:rPr>
          <w:rFonts w:hint="eastAsia" w:ascii="宋体" w:hAnsi="宋体" w:eastAsia="宋体" w:cs="宋体"/>
          <w:color w:val="auto"/>
          <w:sz w:val="24"/>
          <w:szCs w:val="24"/>
          <w:highlight w:val="none"/>
        </w:rPr>
      </w:pPr>
    </w:p>
    <w:p w14:paraId="0876DCAE">
      <w:pPr>
        <w:snapToGrid w:val="0"/>
        <w:spacing w:line="360" w:lineRule="auto"/>
        <w:ind w:firstLine="480" w:firstLineChars="200"/>
        <w:rPr>
          <w:rFonts w:hint="eastAsia" w:ascii="宋体" w:hAnsi="宋体" w:eastAsia="宋体" w:cs="宋体"/>
          <w:color w:val="auto"/>
          <w:sz w:val="24"/>
          <w:szCs w:val="24"/>
          <w:highlight w:val="none"/>
        </w:rPr>
      </w:pPr>
    </w:p>
    <w:p w14:paraId="52FCBC5A">
      <w:pPr>
        <w:snapToGrid w:val="0"/>
        <w:spacing w:line="360" w:lineRule="auto"/>
        <w:ind w:firstLine="480" w:firstLineChars="200"/>
        <w:rPr>
          <w:rFonts w:hint="eastAsia" w:ascii="宋体" w:hAnsi="宋体" w:eastAsia="宋体" w:cs="宋体"/>
          <w:color w:val="auto"/>
          <w:sz w:val="24"/>
          <w:szCs w:val="24"/>
          <w:highlight w:val="none"/>
        </w:rPr>
      </w:pPr>
    </w:p>
    <w:p w14:paraId="44D2AAED">
      <w:pPr>
        <w:snapToGrid w:val="0"/>
        <w:spacing w:line="360" w:lineRule="auto"/>
        <w:ind w:firstLine="480" w:firstLineChars="200"/>
        <w:rPr>
          <w:rFonts w:hint="eastAsia" w:ascii="宋体" w:hAnsi="宋体" w:eastAsia="宋体" w:cs="宋体"/>
          <w:color w:val="auto"/>
          <w:sz w:val="24"/>
          <w:szCs w:val="24"/>
          <w:highlight w:val="none"/>
        </w:rPr>
      </w:pPr>
    </w:p>
    <w:p w14:paraId="60F424F5">
      <w:pPr>
        <w:snapToGrid w:val="0"/>
        <w:spacing w:line="360" w:lineRule="auto"/>
        <w:ind w:firstLine="480" w:firstLineChars="200"/>
        <w:rPr>
          <w:rFonts w:hint="eastAsia" w:ascii="宋体" w:hAnsi="宋体" w:eastAsia="宋体" w:cs="宋体"/>
          <w:color w:val="auto"/>
          <w:sz w:val="24"/>
          <w:szCs w:val="24"/>
          <w:highlight w:val="none"/>
        </w:rPr>
      </w:pPr>
    </w:p>
    <w:p w14:paraId="113AA333">
      <w:pPr>
        <w:snapToGrid w:val="0"/>
        <w:spacing w:line="360" w:lineRule="auto"/>
        <w:ind w:firstLine="480" w:firstLineChars="200"/>
        <w:rPr>
          <w:rFonts w:hint="eastAsia" w:ascii="宋体" w:hAnsi="宋体" w:eastAsia="宋体" w:cs="宋体"/>
          <w:color w:val="auto"/>
          <w:sz w:val="24"/>
          <w:szCs w:val="24"/>
          <w:highlight w:val="none"/>
        </w:rPr>
      </w:pPr>
    </w:p>
    <w:p w14:paraId="119386FD">
      <w:pPr>
        <w:snapToGrid w:val="0"/>
        <w:spacing w:line="360" w:lineRule="auto"/>
        <w:ind w:firstLine="480" w:firstLineChars="200"/>
        <w:rPr>
          <w:rFonts w:hint="eastAsia" w:ascii="宋体" w:hAnsi="宋体" w:eastAsia="宋体" w:cs="宋体"/>
          <w:color w:val="auto"/>
          <w:sz w:val="24"/>
          <w:szCs w:val="24"/>
          <w:highlight w:val="none"/>
        </w:rPr>
      </w:pPr>
    </w:p>
    <w:p w14:paraId="63AE58DF">
      <w:pPr>
        <w:snapToGrid w:val="0"/>
        <w:spacing w:line="360" w:lineRule="auto"/>
        <w:ind w:firstLine="480" w:firstLineChars="200"/>
        <w:rPr>
          <w:rFonts w:hint="eastAsia" w:ascii="宋体" w:hAnsi="宋体" w:eastAsia="宋体" w:cs="宋体"/>
          <w:color w:val="auto"/>
          <w:sz w:val="24"/>
          <w:szCs w:val="24"/>
          <w:highlight w:val="none"/>
        </w:rPr>
      </w:pPr>
    </w:p>
    <w:p w14:paraId="32944F5C">
      <w:pPr>
        <w:snapToGrid w:val="0"/>
        <w:spacing w:line="360" w:lineRule="auto"/>
        <w:ind w:firstLine="480" w:firstLineChars="200"/>
        <w:rPr>
          <w:rFonts w:hint="eastAsia" w:ascii="宋体" w:hAnsi="宋体" w:eastAsia="宋体" w:cs="宋体"/>
          <w:color w:val="auto"/>
          <w:sz w:val="24"/>
          <w:szCs w:val="24"/>
          <w:highlight w:val="none"/>
        </w:rPr>
      </w:pPr>
    </w:p>
    <w:p w14:paraId="7EB548EC">
      <w:pPr>
        <w:snapToGrid w:val="0"/>
        <w:spacing w:line="360" w:lineRule="auto"/>
        <w:ind w:firstLine="480" w:firstLineChars="200"/>
        <w:rPr>
          <w:rFonts w:hint="eastAsia" w:ascii="宋体" w:hAnsi="宋体" w:eastAsia="宋体" w:cs="宋体"/>
          <w:color w:val="auto"/>
          <w:sz w:val="24"/>
          <w:szCs w:val="24"/>
          <w:highlight w:val="none"/>
        </w:rPr>
      </w:pPr>
    </w:p>
    <w:p w14:paraId="0BBB7109">
      <w:pPr>
        <w:snapToGrid w:val="0"/>
        <w:spacing w:line="360" w:lineRule="auto"/>
        <w:ind w:firstLine="480" w:firstLineChars="200"/>
        <w:rPr>
          <w:rFonts w:hint="eastAsia" w:ascii="宋体" w:hAnsi="宋体" w:eastAsia="宋体" w:cs="宋体"/>
          <w:color w:val="auto"/>
          <w:sz w:val="24"/>
          <w:szCs w:val="24"/>
          <w:highlight w:val="none"/>
        </w:rPr>
      </w:pPr>
    </w:p>
    <w:p w14:paraId="30EC1DF1">
      <w:pPr>
        <w:snapToGrid w:val="0"/>
        <w:spacing w:line="360" w:lineRule="auto"/>
        <w:ind w:firstLine="480" w:firstLineChars="200"/>
        <w:rPr>
          <w:rFonts w:hint="eastAsia" w:ascii="宋体" w:hAnsi="宋体" w:eastAsia="宋体" w:cs="宋体"/>
          <w:color w:val="auto"/>
          <w:sz w:val="24"/>
          <w:szCs w:val="24"/>
          <w:highlight w:val="none"/>
        </w:rPr>
      </w:pPr>
    </w:p>
    <w:p w14:paraId="6D457ED0">
      <w:pPr>
        <w:snapToGrid w:val="0"/>
        <w:spacing w:line="360" w:lineRule="auto"/>
        <w:ind w:firstLine="480" w:firstLineChars="200"/>
        <w:rPr>
          <w:rFonts w:hint="eastAsia" w:ascii="宋体" w:hAnsi="宋体" w:eastAsia="宋体" w:cs="宋体"/>
          <w:color w:val="auto"/>
          <w:sz w:val="24"/>
          <w:szCs w:val="24"/>
          <w:highlight w:val="none"/>
        </w:rPr>
      </w:pPr>
    </w:p>
    <w:p w14:paraId="1E1EF0B8">
      <w:pPr>
        <w:snapToGrid w:val="0"/>
        <w:spacing w:line="360" w:lineRule="auto"/>
        <w:ind w:firstLine="480" w:firstLineChars="200"/>
        <w:rPr>
          <w:rFonts w:hint="eastAsia" w:ascii="宋体" w:hAnsi="宋体" w:eastAsia="宋体" w:cs="宋体"/>
          <w:color w:val="auto"/>
          <w:sz w:val="24"/>
          <w:szCs w:val="24"/>
          <w:highlight w:val="none"/>
        </w:rPr>
      </w:pPr>
    </w:p>
    <w:p w14:paraId="24057FC3">
      <w:pPr>
        <w:snapToGrid w:val="0"/>
        <w:spacing w:line="360" w:lineRule="auto"/>
        <w:ind w:firstLine="480" w:firstLineChars="200"/>
        <w:rPr>
          <w:rFonts w:hint="eastAsia" w:ascii="宋体" w:hAnsi="宋体" w:eastAsia="宋体" w:cs="宋体"/>
          <w:color w:val="auto"/>
          <w:sz w:val="24"/>
          <w:szCs w:val="24"/>
          <w:highlight w:val="none"/>
        </w:rPr>
      </w:pPr>
    </w:p>
    <w:p w14:paraId="0203292C">
      <w:pPr>
        <w:snapToGrid w:val="0"/>
        <w:spacing w:line="360" w:lineRule="auto"/>
        <w:ind w:firstLine="480" w:firstLineChars="200"/>
        <w:rPr>
          <w:rFonts w:hint="eastAsia" w:ascii="宋体" w:hAnsi="宋体" w:eastAsia="宋体" w:cs="宋体"/>
          <w:color w:val="auto"/>
          <w:sz w:val="24"/>
          <w:szCs w:val="24"/>
          <w:highlight w:val="none"/>
        </w:rPr>
      </w:pPr>
    </w:p>
    <w:p w14:paraId="4E4F1B7B">
      <w:pPr>
        <w:snapToGrid w:val="0"/>
        <w:spacing w:line="360" w:lineRule="auto"/>
        <w:ind w:firstLine="480" w:firstLineChars="200"/>
        <w:rPr>
          <w:rFonts w:hint="eastAsia" w:ascii="宋体" w:hAnsi="宋体" w:eastAsia="宋体" w:cs="宋体"/>
          <w:color w:val="auto"/>
          <w:sz w:val="24"/>
          <w:szCs w:val="24"/>
          <w:highlight w:val="none"/>
        </w:rPr>
      </w:pPr>
    </w:p>
    <w:p w14:paraId="43BFC626">
      <w:pPr>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F217AB2">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（二）法定代表人身份证明书（格式）/法定代表人授权委托书（格式）</w:t>
      </w:r>
    </w:p>
    <w:p w14:paraId="326CBECE">
      <w:pPr>
        <w:tabs>
          <w:tab w:val="left" w:pos="6300"/>
        </w:tabs>
        <w:snapToGrid w:val="0"/>
        <w:spacing w:line="312" w:lineRule="auto"/>
        <w:jc w:val="center"/>
        <w:rPr>
          <w:rFonts w:hint="eastAsia" w:ascii="宋体" w:hAnsi="宋体" w:eastAsia="宋体" w:cs="宋体"/>
          <w:color w:val="auto"/>
          <w:sz w:val="24"/>
          <w:szCs w:val="24"/>
          <w:highlight w:val="none"/>
        </w:rPr>
      </w:pPr>
    </w:p>
    <w:p w14:paraId="717CFB9B">
      <w:pPr>
        <w:tabs>
          <w:tab w:val="left" w:pos="6300"/>
        </w:tabs>
        <w:snapToGrid w:val="0"/>
        <w:spacing w:line="312" w:lineRule="auto"/>
        <w:ind w:firstLine="48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法定代表人身份证明书</w:t>
      </w:r>
    </w:p>
    <w:p w14:paraId="7EDEAD3B">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0315F74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（法定代表人名称及身份证代码）是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代表我单位全权办理上述项目的竞采、签约等具体工作，并签署全部有关文件、协议及合同。签字负全部责任。</w:t>
      </w:r>
    </w:p>
    <w:p w14:paraId="31AE8B75">
      <w:pPr>
        <w:tabs>
          <w:tab w:val="left" w:pos="6300"/>
        </w:tabs>
        <w:snapToGrid w:val="0"/>
        <w:spacing w:line="312" w:lineRule="auto"/>
        <w:ind w:firstLine="480"/>
        <w:rPr>
          <w:rFonts w:hint="eastAsia" w:ascii="宋体" w:hAnsi="宋体" w:eastAsia="宋体" w:cs="宋体"/>
          <w:color w:val="auto"/>
          <w:sz w:val="24"/>
          <w:szCs w:val="24"/>
          <w:highlight w:val="none"/>
        </w:rPr>
      </w:pPr>
    </w:p>
    <w:p w14:paraId="0744A51C">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                          供应商名称（公章）</w:t>
      </w:r>
    </w:p>
    <w:p w14:paraId="08C19C05">
      <w:pPr>
        <w:tabs>
          <w:tab w:val="left" w:pos="6300"/>
        </w:tabs>
        <w:snapToGrid w:val="0"/>
        <w:spacing w:line="312" w:lineRule="auto"/>
        <w:ind w:right="36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8F643C6">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507C90DA">
      <w:pPr>
        <w:tabs>
          <w:tab w:val="left" w:pos="6300"/>
        </w:tabs>
        <w:snapToGrid w:val="0"/>
        <w:spacing w:line="312" w:lineRule="auto"/>
        <w:ind w:firstLine="480"/>
        <w:rPr>
          <w:rFonts w:hint="eastAsia" w:ascii="宋体" w:hAnsi="宋体" w:eastAsia="宋体" w:cs="宋体"/>
          <w:color w:val="auto"/>
          <w:sz w:val="24"/>
          <w:szCs w:val="24"/>
          <w:highlight w:val="none"/>
        </w:rPr>
      </w:pPr>
    </w:p>
    <w:p w14:paraId="128EDF58">
      <w:pPr>
        <w:pStyle w:val="18"/>
        <w:ind w:firstLine="600"/>
        <w:rPr>
          <w:rFonts w:hint="eastAsia" w:ascii="宋体" w:hAnsi="宋体" w:eastAsia="宋体" w:cs="宋体"/>
          <w:color w:val="auto"/>
          <w:highlight w:val="none"/>
        </w:rPr>
      </w:pPr>
    </w:p>
    <w:p w14:paraId="08A62B38">
      <w:pPr>
        <w:tabs>
          <w:tab w:val="left" w:pos="6300"/>
        </w:tabs>
        <w:snapToGrid w:val="0"/>
        <w:spacing w:line="500" w:lineRule="exact"/>
        <w:ind w:right="48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注：若为法定代表人办理并签署响应文件的，可不提供法定代表人授权委托书。</w:t>
      </w:r>
    </w:p>
    <w:p w14:paraId="6B85FFE2">
      <w:pPr>
        <w:tabs>
          <w:tab w:val="left" w:pos="6300"/>
        </w:tabs>
        <w:snapToGrid w:val="0"/>
        <w:spacing w:line="312" w:lineRule="auto"/>
        <w:ind w:right="-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0E0AAE6">
      <w:pPr>
        <w:tabs>
          <w:tab w:val="left" w:pos="6300"/>
        </w:tabs>
        <w:snapToGrid w:val="0"/>
        <w:spacing w:line="312" w:lineRule="auto"/>
        <w:ind w:firstLine="48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1608E6AA">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6E85C89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代表我单位全权办理上述项目的竞采、签约等具体工作，并签署全部有关文件、协议及合同。</w:t>
      </w:r>
    </w:p>
    <w:p w14:paraId="1D6C677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62C97B8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撤销</w:t>
      </w:r>
      <w:r>
        <w:rPr>
          <w:rFonts w:hint="eastAsia" w:ascii="宋体" w:hAnsi="宋体" w:eastAsia="宋体" w:cs="宋体"/>
          <w:color w:val="auto"/>
          <w:sz w:val="24"/>
          <w:szCs w:val="24"/>
          <w:highlight w:val="none"/>
        </w:rPr>
        <w:t>授权的书面通知以前，本授权书一直有效。被授权人在授权书有效期内签署的所有文件不因授权</w:t>
      </w:r>
      <w:r>
        <w:rPr>
          <w:rFonts w:hint="eastAsia" w:ascii="宋体" w:hAnsi="宋体" w:cs="宋体"/>
          <w:color w:val="auto"/>
          <w:sz w:val="24"/>
          <w:szCs w:val="24"/>
          <w:highlight w:val="none"/>
          <w:lang w:eastAsia="zh-CN"/>
        </w:rPr>
        <w:t>的撤销</w:t>
      </w:r>
      <w:r>
        <w:rPr>
          <w:rFonts w:hint="eastAsia" w:ascii="宋体" w:hAnsi="宋体" w:eastAsia="宋体" w:cs="宋体"/>
          <w:color w:val="auto"/>
          <w:sz w:val="24"/>
          <w:szCs w:val="24"/>
          <w:highlight w:val="none"/>
        </w:rPr>
        <w:t>而失效。</w:t>
      </w:r>
    </w:p>
    <w:p w14:paraId="6B2D0E5C">
      <w:pPr>
        <w:tabs>
          <w:tab w:val="left" w:pos="6300"/>
        </w:tabs>
        <w:snapToGrid w:val="0"/>
        <w:spacing w:line="312" w:lineRule="auto"/>
        <w:ind w:firstLine="480"/>
        <w:rPr>
          <w:rFonts w:hint="eastAsia" w:ascii="宋体" w:hAnsi="宋体" w:eastAsia="宋体" w:cs="宋体"/>
          <w:color w:val="auto"/>
          <w:sz w:val="24"/>
          <w:szCs w:val="24"/>
          <w:highlight w:val="none"/>
        </w:rPr>
      </w:pPr>
    </w:p>
    <w:p w14:paraId="3A8CE0E6">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法定代表人：</w:t>
      </w:r>
    </w:p>
    <w:p w14:paraId="499CAC99">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14:paraId="1A9649A5">
      <w:pPr>
        <w:tabs>
          <w:tab w:val="left" w:pos="6300"/>
        </w:tabs>
        <w:snapToGrid w:val="0"/>
        <w:spacing w:line="312" w:lineRule="auto"/>
        <w:ind w:firstLine="480"/>
        <w:rPr>
          <w:rFonts w:hint="eastAsia" w:ascii="宋体" w:hAnsi="宋体" w:eastAsia="宋体" w:cs="宋体"/>
          <w:color w:val="auto"/>
          <w:sz w:val="24"/>
          <w:szCs w:val="24"/>
          <w:highlight w:val="none"/>
        </w:rPr>
      </w:pPr>
    </w:p>
    <w:p w14:paraId="1293ED2D">
      <w:pPr>
        <w:tabs>
          <w:tab w:val="left" w:pos="6300"/>
        </w:tabs>
        <w:snapToGrid w:val="0"/>
        <w:spacing w:line="312"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4FFE8D98">
      <w:pPr>
        <w:tabs>
          <w:tab w:val="left" w:pos="6300"/>
        </w:tabs>
        <w:snapToGrid w:val="0"/>
        <w:spacing w:line="312" w:lineRule="auto"/>
        <w:ind w:firstLine="480"/>
        <w:rPr>
          <w:rFonts w:hint="eastAsia" w:ascii="宋体" w:hAnsi="宋体" w:eastAsia="宋体" w:cs="宋体"/>
          <w:color w:val="auto"/>
          <w:sz w:val="24"/>
          <w:szCs w:val="24"/>
          <w:highlight w:val="none"/>
        </w:rPr>
      </w:pPr>
    </w:p>
    <w:p w14:paraId="738AED89">
      <w:pPr>
        <w:tabs>
          <w:tab w:val="left" w:pos="6300"/>
        </w:tabs>
        <w:snapToGrid w:val="0"/>
        <w:spacing w:line="312" w:lineRule="auto"/>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p>
    <w:p w14:paraId="0C8B6160">
      <w:pPr>
        <w:tabs>
          <w:tab w:val="left" w:pos="6300"/>
        </w:tabs>
        <w:snapToGrid w:val="0"/>
        <w:spacing w:line="312" w:lineRule="auto"/>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p w14:paraId="561B270D">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14:paraId="6AB5F2D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（三）基本资格条件承诺函（格式）</w:t>
      </w:r>
    </w:p>
    <w:p w14:paraId="61320921">
      <w:pPr>
        <w:widowControl/>
        <w:spacing w:line="530" w:lineRule="exact"/>
        <w:jc w:val="left"/>
        <w:rPr>
          <w:rFonts w:hint="eastAsia" w:ascii="宋体" w:hAnsi="宋体" w:eastAsia="宋体" w:cs="宋体"/>
          <w:color w:val="auto"/>
          <w:sz w:val="24"/>
          <w:szCs w:val="24"/>
          <w:highlight w:val="none"/>
        </w:rPr>
      </w:pPr>
    </w:p>
    <w:p w14:paraId="57952DD3">
      <w:pPr>
        <w:tabs>
          <w:tab w:val="left" w:pos="6300"/>
        </w:tabs>
        <w:snapToGrid w:val="0"/>
        <w:spacing w:line="53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基本资格条件承诺函</w:t>
      </w:r>
    </w:p>
    <w:p w14:paraId="110BD4A4">
      <w:pPr>
        <w:tabs>
          <w:tab w:val="left" w:pos="6300"/>
        </w:tabs>
        <w:snapToGrid w:val="0"/>
        <w:spacing w:line="530" w:lineRule="exact"/>
        <w:rPr>
          <w:rFonts w:hint="eastAsia" w:ascii="宋体" w:hAnsi="宋体" w:eastAsia="宋体" w:cs="宋体"/>
          <w:color w:val="auto"/>
          <w:sz w:val="24"/>
          <w:szCs w:val="24"/>
          <w:highlight w:val="none"/>
        </w:rPr>
      </w:pPr>
    </w:p>
    <w:p w14:paraId="0DE95B04">
      <w:pPr>
        <w:tabs>
          <w:tab w:val="left" w:pos="6300"/>
        </w:tabs>
        <w:snapToGrid w:val="0"/>
        <w:spacing w:line="53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4C556E36">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0471EB95">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21675E11">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w:t>
      </w:r>
      <w:r>
        <w:rPr>
          <w:rFonts w:hint="eastAsia" w:ascii="宋体" w:hAnsi="宋体" w:cs="宋体"/>
          <w:color w:val="auto"/>
          <w:sz w:val="24"/>
          <w:szCs w:val="24"/>
          <w:highlight w:val="none"/>
          <w:lang w:eastAsia="zh-CN"/>
        </w:rPr>
        <w:t>列入</w:t>
      </w:r>
      <w:r>
        <w:rPr>
          <w:rFonts w:hint="eastAsia" w:ascii="宋体" w:hAnsi="宋体" w:eastAsia="宋体" w:cs="宋体"/>
          <w:color w:val="auto"/>
          <w:sz w:val="24"/>
          <w:szCs w:val="24"/>
          <w:highlight w:val="none"/>
        </w:rPr>
        <w:t>信用中国网站（www.creditchina.gov.cn）“失信被执行人”、“重大税收违法案件当事人名单”中，也未列入中国政府采购网（www.ccgp.gov.cn）“政府采购严重违法失信行为记录名单”中。</w:t>
      </w:r>
    </w:p>
    <w:p w14:paraId="159068BA">
      <w:pPr>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00E6409">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23209D84">
      <w:pPr>
        <w:tabs>
          <w:tab w:val="left" w:pos="6300"/>
        </w:tabs>
        <w:snapToGrid w:val="0"/>
        <w:spacing w:line="5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547882D">
      <w:pPr>
        <w:tabs>
          <w:tab w:val="left" w:pos="6300"/>
        </w:tabs>
        <w:snapToGrid w:val="0"/>
        <w:spacing w:line="530" w:lineRule="exact"/>
        <w:rPr>
          <w:rFonts w:hint="eastAsia" w:ascii="宋体" w:hAnsi="宋体" w:eastAsia="宋体" w:cs="宋体"/>
          <w:color w:val="auto"/>
          <w:sz w:val="24"/>
          <w:szCs w:val="24"/>
          <w:highlight w:val="none"/>
        </w:rPr>
      </w:pPr>
    </w:p>
    <w:p w14:paraId="143FFB2B">
      <w:pPr>
        <w:tabs>
          <w:tab w:val="left" w:pos="6300"/>
        </w:tabs>
        <w:snapToGrid w:val="0"/>
        <w:spacing w:line="530" w:lineRule="exact"/>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75936BC5">
      <w:pPr>
        <w:tabs>
          <w:tab w:val="left" w:pos="6300"/>
        </w:tabs>
        <w:snapToGrid w:val="0"/>
        <w:spacing w:line="530" w:lineRule="exact"/>
        <w:ind w:right="480"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39A6BE3">
      <w:pPr>
        <w:tabs>
          <w:tab w:val="left" w:pos="6300"/>
        </w:tabs>
        <w:snapToGrid w:val="0"/>
        <w:spacing w:line="312" w:lineRule="auto"/>
        <w:rPr>
          <w:rFonts w:hint="eastAsia" w:ascii="宋体" w:hAnsi="宋体" w:eastAsia="宋体" w:cs="宋体"/>
          <w:color w:val="auto"/>
          <w:sz w:val="24"/>
          <w:szCs w:val="24"/>
          <w:highlight w:val="none"/>
        </w:rPr>
      </w:pPr>
    </w:p>
    <w:p w14:paraId="4629BF1A">
      <w:pPr>
        <w:snapToGrid w:val="0"/>
        <w:spacing w:line="360" w:lineRule="auto"/>
        <w:rPr>
          <w:rFonts w:hint="eastAsia" w:ascii="宋体" w:hAnsi="宋体" w:eastAsia="宋体" w:cs="宋体"/>
          <w:color w:val="auto"/>
          <w:sz w:val="24"/>
          <w:szCs w:val="24"/>
          <w:highlight w:val="none"/>
        </w:rPr>
      </w:pPr>
    </w:p>
    <w:p w14:paraId="4A9527E7">
      <w:pPr>
        <w:snapToGrid w:val="0"/>
        <w:spacing w:line="360" w:lineRule="auto"/>
        <w:rPr>
          <w:rFonts w:hint="eastAsia" w:ascii="宋体" w:hAnsi="宋体" w:eastAsia="宋体" w:cs="宋体"/>
          <w:color w:val="auto"/>
          <w:sz w:val="24"/>
          <w:szCs w:val="24"/>
          <w:highlight w:val="none"/>
        </w:rPr>
      </w:pPr>
    </w:p>
    <w:p w14:paraId="5728B27E">
      <w:pPr>
        <w:ind w:firstLine="480"/>
        <w:rPr>
          <w:rFonts w:hint="eastAsia" w:ascii="宋体" w:hAnsi="宋体" w:eastAsia="宋体" w:cs="宋体"/>
          <w:color w:val="auto"/>
          <w:highlight w:val="none"/>
        </w:rPr>
      </w:pPr>
    </w:p>
    <w:p w14:paraId="4F5462FD">
      <w:pPr>
        <w:tabs>
          <w:tab w:val="left" w:pos="6300"/>
        </w:tabs>
        <w:snapToGrid w:val="0"/>
        <w:spacing w:line="312" w:lineRule="auto"/>
        <w:ind w:right="480" w:firstLine="480"/>
        <w:jc w:val="center"/>
        <w:rPr>
          <w:rFonts w:hint="eastAsia" w:ascii="宋体" w:hAnsi="宋体" w:eastAsia="宋体" w:cs="宋体"/>
          <w:color w:val="auto"/>
          <w:sz w:val="24"/>
          <w:szCs w:val="24"/>
          <w:highlight w:val="none"/>
        </w:rPr>
      </w:pPr>
    </w:p>
    <w:p w14:paraId="73666E3B">
      <w:pPr>
        <w:spacing w:line="360" w:lineRule="auto"/>
        <w:ind w:firstLine="482"/>
        <w:rPr>
          <w:rFonts w:hint="eastAsia" w:ascii="宋体" w:hAnsi="宋体" w:eastAsia="宋体" w:cs="宋体"/>
          <w:b/>
          <w:bCs/>
          <w:color w:val="auto"/>
          <w:sz w:val="24"/>
          <w:szCs w:val="24"/>
          <w:highlight w:val="none"/>
        </w:rPr>
      </w:pPr>
    </w:p>
    <w:p w14:paraId="3B9FC3F9">
      <w:pPr>
        <w:spacing w:line="360" w:lineRule="auto"/>
        <w:ind w:firstLine="482"/>
        <w:rPr>
          <w:rFonts w:hint="eastAsia" w:ascii="宋体" w:hAnsi="宋体" w:eastAsia="宋体" w:cs="宋体"/>
          <w:b/>
          <w:bCs/>
          <w:color w:val="auto"/>
          <w:sz w:val="24"/>
          <w:szCs w:val="24"/>
          <w:highlight w:val="none"/>
        </w:rPr>
      </w:pPr>
    </w:p>
    <w:p w14:paraId="246F9A7F">
      <w:pPr>
        <w:snapToGrid w:val="0"/>
        <w:spacing w:line="360" w:lineRule="auto"/>
        <w:rPr>
          <w:rFonts w:hint="default" w:ascii="宋体" w:hAnsi="宋体" w:eastAsia="宋体" w:cs="宋体"/>
          <w:b/>
          <w:bCs/>
          <w:color w:val="auto"/>
          <w:sz w:val="24"/>
          <w:szCs w:val="24"/>
          <w:highlight w:val="none"/>
          <w:lang w:val="en-US" w:eastAsia="zh-CN"/>
        </w:rPr>
      </w:pPr>
      <w:bookmarkStart w:id="135" w:name="_Toc10911"/>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特定资格条件</w:t>
      </w:r>
    </w:p>
    <w:p w14:paraId="7FB9101D">
      <w:pPr>
        <w:spacing w:line="360" w:lineRule="auto"/>
        <w:ind w:firstLine="482"/>
        <w:outlineLvl w:val="0"/>
        <w:rPr>
          <w:rFonts w:hint="eastAsia" w:ascii="宋体" w:hAnsi="宋体" w:eastAsia="宋体" w:cs="宋体"/>
          <w:b/>
          <w:bCs/>
          <w:color w:val="auto"/>
          <w:sz w:val="24"/>
          <w:szCs w:val="24"/>
          <w:highlight w:val="none"/>
        </w:rPr>
      </w:pPr>
      <w:bookmarkStart w:id="136" w:name="_Toc8886"/>
      <w:bookmarkStart w:id="137" w:name="_Toc30805"/>
    </w:p>
    <w:p w14:paraId="15AB461E">
      <w:pPr>
        <w:spacing w:line="360" w:lineRule="auto"/>
        <w:ind w:firstLine="482"/>
        <w:outlineLvl w:val="0"/>
        <w:rPr>
          <w:rFonts w:hint="eastAsia" w:ascii="宋体" w:hAnsi="宋体" w:eastAsia="宋体" w:cs="宋体"/>
          <w:b/>
          <w:bCs/>
          <w:color w:val="auto"/>
          <w:sz w:val="24"/>
          <w:szCs w:val="24"/>
          <w:highlight w:val="none"/>
        </w:rPr>
      </w:pPr>
    </w:p>
    <w:p w14:paraId="06C26C38">
      <w:pPr>
        <w:spacing w:line="360" w:lineRule="auto"/>
        <w:ind w:firstLine="482"/>
        <w:outlineLvl w:val="0"/>
        <w:rPr>
          <w:rFonts w:hint="eastAsia" w:ascii="宋体" w:hAnsi="宋体" w:eastAsia="宋体" w:cs="宋体"/>
          <w:b/>
          <w:bCs/>
          <w:color w:val="auto"/>
          <w:sz w:val="24"/>
          <w:szCs w:val="24"/>
          <w:highlight w:val="none"/>
        </w:rPr>
      </w:pPr>
    </w:p>
    <w:p w14:paraId="0CD00DF1">
      <w:pPr>
        <w:spacing w:line="360" w:lineRule="auto"/>
        <w:ind w:firstLine="482"/>
        <w:outlineLvl w:val="0"/>
        <w:rPr>
          <w:rFonts w:hint="eastAsia" w:ascii="宋体" w:hAnsi="宋体" w:eastAsia="宋体" w:cs="宋体"/>
          <w:b/>
          <w:bCs/>
          <w:color w:val="auto"/>
          <w:sz w:val="24"/>
          <w:szCs w:val="24"/>
          <w:highlight w:val="none"/>
        </w:rPr>
      </w:pPr>
    </w:p>
    <w:p w14:paraId="318C9843">
      <w:pPr>
        <w:spacing w:line="360" w:lineRule="auto"/>
        <w:ind w:firstLine="482"/>
        <w:outlineLvl w:val="0"/>
        <w:rPr>
          <w:rFonts w:hint="eastAsia" w:ascii="宋体" w:hAnsi="宋体" w:eastAsia="宋体" w:cs="宋体"/>
          <w:b/>
          <w:bCs/>
          <w:color w:val="auto"/>
          <w:sz w:val="24"/>
          <w:szCs w:val="24"/>
          <w:highlight w:val="none"/>
        </w:rPr>
      </w:pPr>
    </w:p>
    <w:p w14:paraId="2DD8A955">
      <w:pPr>
        <w:spacing w:line="360" w:lineRule="auto"/>
        <w:ind w:firstLine="482"/>
        <w:outlineLvl w:val="0"/>
        <w:rPr>
          <w:rFonts w:hint="eastAsia" w:ascii="宋体" w:hAnsi="宋体" w:eastAsia="宋体" w:cs="宋体"/>
          <w:b/>
          <w:bCs/>
          <w:color w:val="auto"/>
          <w:sz w:val="24"/>
          <w:szCs w:val="24"/>
          <w:highlight w:val="none"/>
        </w:rPr>
      </w:pPr>
    </w:p>
    <w:p w14:paraId="5DDF1DAC">
      <w:pPr>
        <w:spacing w:line="360" w:lineRule="auto"/>
        <w:ind w:firstLine="482"/>
        <w:outlineLvl w:val="0"/>
        <w:rPr>
          <w:rFonts w:hint="eastAsia" w:ascii="宋体" w:hAnsi="宋体" w:eastAsia="宋体" w:cs="宋体"/>
          <w:b/>
          <w:bCs/>
          <w:color w:val="auto"/>
          <w:sz w:val="24"/>
          <w:szCs w:val="24"/>
          <w:highlight w:val="none"/>
        </w:rPr>
      </w:pPr>
    </w:p>
    <w:p w14:paraId="538D8EBA">
      <w:pPr>
        <w:spacing w:line="360" w:lineRule="auto"/>
        <w:ind w:firstLine="482"/>
        <w:outlineLvl w:val="0"/>
        <w:rPr>
          <w:rFonts w:hint="eastAsia" w:ascii="宋体" w:hAnsi="宋体" w:eastAsia="宋体" w:cs="宋体"/>
          <w:b/>
          <w:bCs/>
          <w:color w:val="auto"/>
          <w:sz w:val="24"/>
          <w:szCs w:val="24"/>
          <w:highlight w:val="none"/>
        </w:rPr>
      </w:pPr>
    </w:p>
    <w:p w14:paraId="13A9A7C2">
      <w:pPr>
        <w:spacing w:line="360" w:lineRule="auto"/>
        <w:ind w:firstLine="482"/>
        <w:outlineLvl w:val="0"/>
        <w:rPr>
          <w:rFonts w:hint="eastAsia" w:ascii="宋体" w:hAnsi="宋体" w:eastAsia="宋体" w:cs="宋体"/>
          <w:b/>
          <w:bCs/>
          <w:color w:val="auto"/>
          <w:sz w:val="24"/>
          <w:szCs w:val="24"/>
          <w:highlight w:val="none"/>
        </w:rPr>
      </w:pPr>
    </w:p>
    <w:p w14:paraId="67D6B589">
      <w:pPr>
        <w:spacing w:line="360" w:lineRule="auto"/>
        <w:ind w:firstLine="482"/>
        <w:outlineLvl w:val="0"/>
        <w:rPr>
          <w:rFonts w:hint="eastAsia" w:ascii="宋体" w:hAnsi="宋体" w:eastAsia="宋体" w:cs="宋体"/>
          <w:b/>
          <w:bCs/>
          <w:color w:val="auto"/>
          <w:sz w:val="24"/>
          <w:szCs w:val="24"/>
          <w:highlight w:val="none"/>
        </w:rPr>
      </w:pPr>
    </w:p>
    <w:p w14:paraId="79EC459E">
      <w:pPr>
        <w:spacing w:line="360" w:lineRule="auto"/>
        <w:ind w:firstLine="482"/>
        <w:outlineLvl w:val="0"/>
        <w:rPr>
          <w:rFonts w:hint="eastAsia" w:ascii="宋体" w:hAnsi="宋体" w:eastAsia="宋体" w:cs="宋体"/>
          <w:b/>
          <w:bCs/>
          <w:color w:val="auto"/>
          <w:sz w:val="24"/>
          <w:szCs w:val="24"/>
          <w:highlight w:val="none"/>
        </w:rPr>
      </w:pPr>
    </w:p>
    <w:p w14:paraId="5D50A6F9">
      <w:pPr>
        <w:spacing w:line="360" w:lineRule="auto"/>
        <w:ind w:firstLine="482"/>
        <w:outlineLvl w:val="0"/>
        <w:rPr>
          <w:rFonts w:hint="eastAsia" w:ascii="宋体" w:hAnsi="宋体" w:eastAsia="宋体" w:cs="宋体"/>
          <w:b/>
          <w:bCs/>
          <w:color w:val="auto"/>
          <w:sz w:val="24"/>
          <w:szCs w:val="24"/>
          <w:highlight w:val="none"/>
        </w:rPr>
      </w:pPr>
    </w:p>
    <w:p w14:paraId="6E17C048">
      <w:pPr>
        <w:spacing w:line="360" w:lineRule="auto"/>
        <w:ind w:firstLine="482"/>
        <w:outlineLvl w:val="0"/>
        <w:rPr>
          <w:rFonts w:hint="eastAsia" w:ascii="宋体" w:hAnsi="宋体" w:eastAsia="宋体" w:cs="宋体"/>
          <w:b/>
          <w:bCs/>
          <w:color w:val="auto"/>
          <w:sz w:val="24"/>
          <w:szCs w:val="24"/>
          <w:highlight w:val="none"/>
        </w:rPr>
      </w:pPr>
    </w:p>
    <w:p w14:paraId="6BA766B0">
      <w:pPr>
        <w:spacing w:line="360" w:lineRule="auto"/>
        <w:ind w:firstLine="482"/>
        <w:outlineLvl w:val="0"/>
        <w:rPr>
          <w:rFonts w:hint="eastAsia" w:ascii="宋体" w:hAnsi="宋体" w:eastAsia="宋体" w:cs="宋体"/>
          <w:b/>
          <w:bCs/>
          <w:color w:val="auto"/>
          <w:sz w:val="24"/>
          <w:szCs w:val="24"/>
          <w:highlight w:val="none"/>
        </w:rPr>
      </w:pPr>
    </w:p>
    <w:p w14:paraId="2F65960A">
      <w:pPr>
        <w:spacing w:line="360" w:lineRule="auto"/>
        <w:ind w:firstLine="482"/>
        <w:outlineLvl w:val="0"/>
        <w:rPr>
          <w:rFonts w:hint="eastAsia" w:ascii="宋体" w:hAnsi="宋体" w:eastAsia="宋体" w:cs="宋体"/>
          <w:b/>
          <w:bCs/>
          <w:color w:val="auto"/>
          <w:sz w:val="24"/>
          <w:szCs w:val="24"/>
          <w:highlight w:val="none"/>
        </w:rPr>
      </w:pPr>
    </w:p>
    <w:p w14:paraId="7A879A75">
      <w:pPr>
        <w:spacing w:line="360" w:lineRule="auto"/>
        <w:ind w:firstLine="482"/>
        <w:outlineLvl w:val="0"/>
        <w:rPr>
          <w:rFonts w:hint="eastAsia" w:ascii="宋体" w:hAnsi="宋体" w:eastAsia="宋体" w:cs="宋体"/>
          <w:b/>
          <w:bCs/>
          <w:color w:val="auto"/>
          <w:sz w:val="24"/>
          <w:szCs w:val="24"/>
          <w:highlight w:val="none"/>
        </w:rPr>
      </w:pPr>
    </w:p>
    <w:p w14:paraId="3ACEB584">
      <w:pPr>
        <w:spacing w:line="360" w:lineRule="auto"/>
        <w:ind w:firstLine="482"/>
        <w:outlineLvl w:val="0"/>
        <w:rPr>
          <w:rFonts w:hint="eastAsia" w:ascii="宋体" w:hAnsi="宋体" w:eastAsia="宋体" w:cs="宋体"/>
          <w:b/>
          <w:bCs/>
          <w:color w:val="auto"/>
          <w:sz w:val="24"/>
          <w:szCs w:val="24"/>
          <w:highlight w:val="none"/>
        </w:rPr>
      </w:pPr>
    </w:p>
    <w:p w14:paraId="15B43E0F">
      <w:pPr>
        <w:spacing w:line="360" w:lineRule="auto"/>
        <w:ind w:firstLine="482"/>
        <w:outlineLvl w:val="0"/>
        <w:rPr>
          <w:rFonts w:hint="eastAsia" w:ascii="宋体" w:hAnsi="宋体" w:eastAsia="宋体" w:cs="宋体"/>
          <w:b/>
          <w:bCs/>
          <w:color w:val="auto"/>
          <w:sz w:val="24"/>
          <w:szCs w:val="24"/>
          <w:highlight w:val="none"/>
        </w:rPr>
      </w:pPr>
    </w:p>
    <w:p w14:paraId="23DF0E79">
      <w:pPr>
        <w:spacing w:line="360" w:lineRule="auto"/>
        <w:ind w:firstLine="482"/>
        <w:outlineLvl w:val="0"/>
        <w:rPr>
          <w:rFonts w:hint="eastAsia" w:ascii="宋体" w:hAnsi="宋体" w:eastAsia="宋体" w:cs="宋体"/>
          <w:b/>
          <w:bCs/>
          <w:color w:val="auto"/>
          <w:sz w:val="24"/>
          <w:szCs w:val="24"/>
          <w:highlight w:val="none"/>
        </w:rPr>
      </w:pPr>
    </w:p>
    <w:p w14:paraId="17A4FF8C">
      <w:pPr>
        <w:spacing w:line="360" w:lineRule="auto"/>
        <w:ind w:firstLine="482"/>
        <w:outlineLvl w:val="0"/>
        <w:rPr>
          <w:rFonts w:hint="eastAsia" w:ascii="宋体" w:hAnsi="宋体" w:eastAsia="宋体" w:cs="宋体"/>
          <w:b/>
          <w:bCs/>
          <w:color w:val="auto"/>
          <w:sz w:val="24"/>
          <w:szCs w:val="24"/>
          <w:highlight w:val="none"/>
        </w:rPr>
      </w:pPr>
    </w:p>
    <w:p w14:paraId="5F73D0C3">
      <w:pPr>
        <w:spacing w:line="360" w:lineRule="auto"/>
        <w:ind w:firstLine="482"/>
        <w:outlineLvl w:val="0"/>
        <w:rPr>
          <w:rFonts w:hint="eastAsia" w:ascii="宋体" w:hAnsi="宋体" w:eastAsia="宋体" w:cs="宋体"/>
          <w:b/>
          <w:bCs/>
          <w:color w:val="auto"/>
          <w:sz w:val="24"/>
          <w:szCs w:val="24"/>
          <w:highlight w:val="none"/>
        </w:rPr>
      </w:pPr>
    </w:p>
    <w:p w14:paraId="4D033B8A">
      <w:pPr>
        <w:spacing w:line="360" w:lineRule="auto"/>
        <w:ind w:firstLine="482"/>
        <w:outlineLvl w:val="0"/>
        <w:rPr>
          <w:rFonts w:hint="eastAsia" w:ascii="宋体" w:hAnsi="宋体" w:eastAsia="宋体" w:cs="宋体"/>
          <w:b/>
          <w:bCs/>
          <w:color w:val="auto"/>
          <w:sz w:val="24"/>
          <w:szCs w:val="24"/>
          <w:highlight w:val="none"/>
        </w:rPr>
      </w:pPr>
    </w:p>
    <w:p w14:paraId="0B05B91F">
      <w:pPr>
        <w:spacing w:line="360" w:lineRule="auto"/>
        <w:ind w:firstLine="482"/>
        <w:outlineLvl w:val="0"/>
        <w:rPr>
          <w:rFonts w:hint="eastAsia" w:ascii="宋体" w:hAnsi="宋体" w:eastAsia="宋体" w:cs="宋体"/>
          <w:b/>
          <w:bCs/>
          <w:color w:val="auto"/>
          <w:sz w:val="24"/>
          <w:szCs w:val="24"/>
          <w:highlight w:val="none"/>
        </w:rPr>
      </w:pPr>
    </w:p>
    <w:p w14:paraId="1408EEC1">
      <w:pPr>
        <w:spacing w:line="360" w:lineRule="auto"/>
        <w:ind w:firstLine="482"/>
        <w:outlineLvl w:val="0"/>
        <w:rPr>
          <w:rFonts w:hint="eastAsia" w:ascii="宋体" w:hAnsi="宋体" w:eastAsia="宋体" w:cs="宋体"/>
          <w:b/>
          <w:bCs/>
          <w:color w:val="auto"/>
          <w:sz w:val="24"/>
          <w:szCs w:val="24"/>
          <w:highlight w:val="none"/>
        </w:rPr>
      </w:pPr>
    </w:p>
    <w:p w14:paraId="611FF3CF">
      <w:pPr>
        <w:spacing w:line="360" w:lineRule="auto"/>
        <w:ind w:firstLine="482"/>
        <w:outlineLvl w:val="0"/>
        <w:rPr>
          <w:rFonts w:hint="eastAsia" w:ascii="宋体" w:hAnsi="宋体" w:eastAsia="宋体" w:cs="宋体"/>
          <w:b/>
          <w:bCs/>
          <w:color w:val="auto"/>
          <w:sz w:val="24"/>
          <w:szCs w:val="24"/>
          <w:highlight w:val="none"/>
        </w:rPr>
      </w:pPr>
    </w:p>
    <w:p w14:paraId="12973295">
      <w:pPr>
        <w:spacing w:line="360" w:lineRule="auto"/>
        <w:ind w:firstLine="482"/>
        <w:outlineLvl w:val="0"/>
        <w:rPr>
          <w:rFonts w:hint="eastAsia" w:ascii="宋体" w:hAnsi="宋体" w:eastAsia="宋体" w:cs="宋体"/>
          <w:b/>
          <w:bCs/>
          <w:color w:val="auto"/>
          <w:sz w:val="24"/>
          <w:szCs w:val="24"/>
          <w:highlight w:val="none"/>
        </w:rPr>
      </w:pPr>
    </w:p>
    <w:p w14:paraId="4AA804C7">
      <w:pPr>
        <w:spacing w:line="360" w:lineRule="auto"/>
        <w:ind w:firstLine="482"/>
        <w:outlineLvl w:val="0"/>
        <w:rPr>
          <w:rFonts w:hint="eastAsia" w:ascii="宋体" w:hAnsi="宋体" w:eastAsia="宋体" w:cs="宋体"/>
          <w:b/>
          <w:bCs/>
          <w:color w:val="auto"/>
          <w:sz w:val="24"/>
          <w:szCs w:val="24"/>
          <w:highlight w:val="none"/>
        </w:rPr>
      </w:pPr>
    </w:p>
    <w:p w14:paraId="2BCD4FB8">
      <w:pPr>
        <w:spacing w:line="360" w:lineRule="auto"/>
        <w:ind w:firstLine="482"/>
        <w:outlineLvl w:val="0"/>
        <w:rPr>
          <w:rFonts w:hint="eastAsia" w:ascii="宋体" w:hAnsi="宋体" w:eastAsia="宋体" w:cs="宋体"/>
          <w:b/>
          <w:bCs/>
          <w:color w:val="auto"/>
          <w:sz w:val="24"/>
          <w:szCs w:val="24"/>
          <w:highlight w:val="none"/>
        </w:rPr>
      </w:pPr>
    </w:p>
    <w:p w14:paraId="4581673E">
      <w:pPr>
        <w:spacing w:line="360" w:lineRule="auto"/>
        <w:ind w:firstLine="482"/>
        <w:outlineLvl w:val="0"/>
        <w:rPr>
          <w:rFonts w:hint="eastAsia" w:ascii="宋体" w:hAnsi="宋体" w:eastAsia="宋体" w:cs="宋体"/>
          <w:b/>
          <w:bCs/>
          <w:color w:val="auto"/>
          <w:sz w:val="24"/>
          <w:szCs w:val="24"/>
          <w:highlight w:val="none"/>
        </w:rPr>
      </w:pPr>
    </w:p>
    <w:p w14:paraId="43804954">
      <w:pPr>
        <w:spacing w:line="360" w:lineRule="auto"/>
        <w:ind w:firstLine="482"/>
        <w:outlineLvl w:val="0"/>
        <w:rPr>
          <w:rFonts w:hint="eastAsia" w:ascii="宋体" w:hAnsi="宋体" w:eastAsia="宋体" w:cs="宋体"/>
          <w:b/>
          <w:bCs/>
          <w:color w:val="auto"/>
          <w:sz w:val="24"/>
          <w:szCs w:val="24"/>
          <w:highlight w:val="none"/>
        </w:rPr>
      </w:pPr>
    </w:p>
    <w:p w14:paraId="2D65018F">
      <w:pPr>
        <w:spacing w:line="360" w:lineRule="auto"/>
        <w:ind w:firstLine="482"/>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五、其他应提供的资料</w:t>
      </w:r>
      <w:bookmarkEnd w:id="135"/>
      <w:bookmarkEnd w:id="136"/>
      <w:bookmarkEnd w:id="137"/>
    </w:p>
    <w:p w14:paraId="0E7BEA6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）其他与项目有关的资料</w:t>
      </w:r>
    </w:p>
    <w:p w14:paraId="25A794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3D94CFD6">
      <w:pPr>
        <w:spacing w:line="360" w:lineRule="auto"/>
        <w:ind w:firstLine="200"/>
        <w:jc w:val="center"/>
        <w:rPr>
          <w:rFonts w:hint="eastAsia" w:ascii="宋体" w:hAnsi="宋体" w:eastAsia="宋体" w:cs="宋体"/>
          <w:color w:val="auto"/>
          <w:sz w:val="24"/>
          <w:szCs w:val="24"/>
          <w:highlight w:val="none"/>
        </w:rPr>
      </w:pPr>
    </w:p>
    <w:p w14:paraId="1A789C2E">
      <w:pPr>
        <w:ind w:firstLine="200"/>
        <w:jc w:val="center"/>
        <w:rPr>
          <w:rFonts w:hint="eastAsia" w:ascii="宋体" w:hAnsi="宋体" w:eastAsia="宋体" w:cs="宋体"/>
          <w:color w:val="auto"/>
          <w:sz w:val="24"/>
          <w:szCs w:val="24"/>
          <w:highlight w:val="none"/>
        </w:rPr>
      </w:pPr>
    </w:p>
    <w:p w14:paraId="32037C6A">
      <w:pPr>
        <w:ind w:firstLine="200"/>
        <w:jc w:val="center"/>
        <w:rPr>
          <w:rFonts w:hint="eastAsia" w:ascii="宋体" w:hAnsi="宋体" w:eastAsia="宋体" w:cs="宋体"/>
          <w:color w:val="auto"/>
          <w:sz w:val="28"/>
          <w:szCs w:val="28"/>
          <w:highlight w:val="none"/>
        </w:rPr>
      </w:pPr>
    </w:p>
    <w:p w14:paraId="2549F249">
      <w:pPr>
        <w:ind w:firstLine="200"/>
        <w:jc w:val="center"/>
        <w:rPr>
          <w:rFonts w:hint="eastAsia" w:ascii="宋体" w:hAnsi="宋体" w:eastAsia="宋体" w:cs="宋体"/>
          <w:color w:val="auto"/>
          <w:sz w:val="28"/>
          <w:szCs w:val="28"/>
          <w:highlight w:val="none"/>
        </w:rPr>
      </w:pPr>
    </w:p>
    <w:p w14:paraId="6FB8DC5D">
      <w:pPr>
        <w:ind w:firstLine="200"/>
        <w:jc w:val="center"/>
        <w:rPr>
          <w:rFonts w:hint="eastAsia" w:ascii="宋体" w:hAnsi="宋体" w:eastAsia="宋体" w:cs="宋体"/>
          <w:color w:val="auto"/>
          <w:sz w:val="28"/>
          <w:szCs w:val="28"/>
          <w:highlight w:val="none"/>
        </w:rPr>
      </w:pPr>
    </w:p>
    <w:p w14:paraId="2AF8E672">
      <w:pPr>
        <w:ind w:firstLine="200"/>
        <w:jc w:val="center"/>
        <w:rPr>
          <w:rFonts w:hint="eastAsia" w:ascii="宋体" w:hAnsi="宋体" w:eastAsia="宋体" w:cs="宋体"/>
          <w:color w:val="auto"/>
          <w:sz w:val="28"/>
          <w:szCs w:val="28"/>
          <w:highlight w:val="none"/>
        </w:rPr>
      </w:pPr>
    </w:p>
    <w:p w14:paraId="0F40748F">
      <w:pPr>
        <w:ind w:firstLine="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（结束）</w:t>
      </w:r>
    </w:p>
    <w:p w14:paraId="179BA071">
      <w:pPr>
        <w:tabs>
          <w:tab w:val="left" w:pos="6300"/>
        </w:tabs>
        <w:snapToGrid w:val="0"/>
        <w:spacing w:line="360" w:lineRule="auto"/>
        <w:ind w:right="480"/>
        <w:jc w:val="center"/>
        <w:rPr>
          <w:rFonts w:hint="eastAsia" w:ascii="宋体" w:hAnsi="宋体" w:eastAsia="宋体" w:cs="宋体"/>
          <w:color w:val="auto"/>
          <w:sz w:val="32"/>
          <w:szCs w:val="32"/>
          <w:highlight w:val="none"/>
        </w:rPr>
      </w:pPr>
    </w:p>
    <w:bookmarkEnd w:id="97"/>
    <w:p w14:paraId="02B1B5A7">
      <w:pPr>
        <w:tabs>
          <w:tab w:val="left" w:pos="6300"/>
        </w:tabs>
        <w:snapToGrid w:val="0"/>
        <w:spacing w:line="360" w:lineRule="auto"/>
        <w:ind w:right="480"/>
        <w:rPr>
          <w:rFonts w:hint="eastAsia" w:ascii="宋体" w:hAnsi="宋体" w:eastAsia="宋体" w:cs="宋体"/>
          <w:color w:val="auto"/>
          <w:sz w:val="24"/>
          <w:szCs w:val="24"/>
          <w:highlight w:val="none"/>
        </w:rPr>
      </w:pPr>
    </w:p>
    <w:sectPr>
      <w:headerReference r:id="rId8" w:type="default"/>
      <w:footerReference r:id="rId9"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5526FF8-5AC9-4BA7-BE35-3CC5D2D58C0C}"/>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2" w:fontKey="{D3DBD908-14FC-4282-9AE0-7A574AA35F9A}"/>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6F94">
    <w:pPr>
      <w:tabs>
        <w:tab w:val="center" w:pos="4153"/>
        <w:tab w:val="right" w:pos="8306"/>
      </w:tabs>
      <w:snapToGrid w:val="0"/>
      <w:jc w:val="left"/>
      <w:rPr>
        <w:rFonts w:ascii="Times New Roman" w:hAnsi="Times New Roman" w:eastAsia="宋体" w:cs="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534D">
    <w:pPr>
      <w:pStyle w:val="16"/>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034DE">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61034DE">
                    <w:pPr>
                      <w:pStyle w:val="1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EAB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823F5">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E9823F5">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9DE9">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C519F">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8C519F">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33C9">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041C1">
    <w:pPr>
      <w:pStyle w:val="17"/>
      <w:pBdr>
        <w:bottom w:val="none" w:color="auto" w:sz="0" w:space="1"/>
      </w:pBdr>
    </w:pPr>
    <w:r>
      <w:rPr>
        <w:rFonts w:hint="eastAsia" w:ascii="仿宋" w:hAnsi="仿宋" w:eastAsia="仿宋"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2BFA">
    <w:pPr>
      <w:pStyle w:val="1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3"/>
      <w:numFmt w:val="chineseCounting"/>
      <w:suff w:val="space"/>
      <w:lvlText w:val="第%1篇"/>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4F7617D"/>
    <w:multiLevelType w:val="singleLevel"/>
    <w:tmpl w:val="64F7617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YjQzNDczN2IxNjYwMmJmMWQyYmJmNDA5OGI0ZDkifQ=="/>
  </w:docVars>
  <w:rsids>
    <w:rsidRoot w:val="00000000"/>
    <w:rsid w:val="00516709"/>
    <w:rsid w:val="00533315"/>
    <w:rsid w:val="01D92217"/>
    <w:rsid w:val="023A7385"/>
    <w:rsid w:val="02764B21"/>
    <w:rsid w:val="03C760F6"/>
    <w:rsid w:val="041330EA"/>
    <w:rsid w:val="04187F7B"/>
    <w:rsid w:val="04C20DD9"/>
    <w:rsid w:val="05DF682E"/>
    <w:rsid w:val="06442676"/>
    <w:rsid w:val="06943B8E"/>
    <w:rsid w:val="07972AF0"/>
    <w:rsid w:val="09D64820"/>
    <w:rsid w:val="0A664DDC"/>
    <w:rsid w:val="0B881241"/>
    <w:rsid w:val="0D9D443D"/>
    <w:rsid w:val="0E153CA2"/>
    <w:rsid w:val="0E71409B"/>
    <w:rsid w:val="0EE650CC"/>
    <w:rsid w:val="0FB00989"/>
    <w:rsid w:val="10896A30"/>
    <w:rsid w:val="11057A89"/>
    <w:rsid w:val="11807745"/>
    <w:rsid w:val="11D0104E"/>
    <w:rsid w:val="12F85CAD"/>
    <w:rsid w:val="13FD3CDB"/>
    <w:rsid w:val="14221350"/>
    <w:rsid w:val="14955985"/>
    <w:rsid w:val="15073A0B"/>
    <w:rsid w:val="15583D1A"/>
    <w:rsid w:val="1564245B"/>
    <w:rsid w:val="17BD76CF"/>
    <w:rsid w:val="17D46E24"/>
    <w:rsid w:val="1C75498D"/>
    <w:rsid w:val="1C7D00AF"/>
    <w:rsid w:val="1C9E0F27"/>
    <w:rsid w:val="1D245D5D"/>
    <w:rsid w:val="1D3D29E5"/>
    <w:rsid w:val="1D476FF3"/>
    <w:rsid w:val="1DFA2C78"/>
    <w:rsid w:val="1FD20711"/>
    <w:rsid w:val="21D4060F"/>
    <w:rsid w:val="231C6E9D"/>
    <w:rsid w:val="23C206B2"/>
    <w:rsid w:val="23D8675A"/>
    <w:rsid w:val="249547A2"/>
    <w:rsid w:val="24C279DD"/>
    <w:rsid w:val="260737D9"/>
    <w:rsid w:val="26D8566A"/>
    <w:rsid w:val="28272824"/>
    <w:rsid w:val="2A0D248D"/>
    <w:rsid w:val="2B815088"/>
    <w:rsid w:val="2BD30AF4"/>
    <w:rsid w:val="2C572784"/>
    <w:rsid w:val="2C696A69"/>
    <w:rsid w:val="2D55796B"/>
    <w:rsid w:val="2D677713"/>
    <w:rsid w:val="2DC773DC"/>
    <w:rsid w:val="2DD031B3"/>
    <w:rsid w:val="2E175CD9"/>
    <w:rsid w:val="2E48330B"/>
    <w:rsid w:val="2E763835"/>
    <w:rsid w:val="2EAA3011"/>
    <w:rsid w:val="30807BF5"/>
    <w:rsid w:val="30EF0216"/>
    <w:rsid w:val="313528AE"/>
    <w:rsid w:val="338B0EAB"/>
    <w:rsid w:val="34325CB8"/>
    <w:rsid w:val="34FF6A06"/>
    <w:rsid w:val="35646427"/>
    <w:rsid w:val="375B6B3F"/>
    <w:rsid w:val="37793A1C"/>
    <w:rsid w:val="37E454F1"/>
    <w:rsid w:val="395F6A4C"/>
    <w:rsid w:val="39C678D5"/>
    <w:rsid w:val="3AA70688"/>
    <w:rsid w:val="3C8846AD"/>
    <w:rsid w:val="3F595E1B"/>
    <w:rsid w:val="407325E8"/>
    <w:rsid w:val="41B628BF"/>
    <w:rsid w:val="42656669"/>
    <w:rsid w:val="42FE1677"/>
    <w:rsid w:val="44390021"/>
    <w:rsid w:val="445B3680"/>
    <w:rsid w:val="45640F00"/>
    <w:rsid w:val="45F0744B"/>
    <w:rsid w:val="46916C59"/>
    <w:rsid w:val="48C64154"/>
    <w:rsid w:val="492C0488"/>
    <w:rsid w:val="492E00E9"/>
    <w:rsid w:val="49A54C47"/>
    <w:rsid w:val="4ACF36DC"/>
    <w:rsid w:val="4BD25472"/>
    <w:rsid w:val="4D9329DF"/>
    <w:rsid w:val="4E200B89"/>
    <w:rsid w:val="4F547799"/>
    <w:rsid w:val="505F1978"/>
    <w:rsid w:val="51112598"/>
    <w:rsid w:val="51583315"/>
    <w:rsid w:val="515B7CB7"/>
    <w:rsid w:val="518058C4"/>
    <w:rsid w:val="51905A61"/>
    <w:rsid w:val="5237684E"/>
    <w:rsid w:val="52EA1BC9"/>
    <w:rsid w:val="5306723E"/>
    <w:rsid w:val="53150E9C"/>
    <w:rsid w:val="54880DC3"/>
    <w:rsid w:val="555330F7"/>
    <w:rsid w:val="5BE54B62"/>
    <w:rsid w:val="5C8C7343"/>
    <w:rsid w:val="5DD1657C"/>
    <w:rsid w:val="5DFD5A2E"/>
    <w:rsid w:val="5EFB59F3"/>
    <w:rsid w:val="60EC2575"/>
    <w:rsid w:val="61860438"/>
    <w:rsid w:val="61CB6FF3"/>
    <w:rsid w:val="62223352"/>
    <w:rsid w:val="626F4A8D"/>
    <w:rsid w:val="63CE60C7"/>
    <w:rsid w:val="64596731"/>
    <w:rsid w:val="663A3EE7"/>
    <w:rsid w:val="66CF3B3E"/>
    <w:rsid w:val="68091DC3"/>
    <w:rsid w:val="681D3257"/>
    <w:rsid w:val="694C1F68"/>
    <w:rsid w:val="696D5485"/>
    <w:rsid w:val="6B9478F0"/>
    <w:rsid w:val="6BCE4F47"/>
    <w:rsid w:val="6BE369FE"/>
    <w:rsid w:val="6CCB3AEB"/>
    <w:rsid w:val="6D241F9D"/>
    <w:rsid w:val="6D3D2C47"/>
    <w:rsid w:val="6EF206C1"/>
    <w:rsid w:val="6F863714"/>
    <w:rsid w:val="70CE255D"/>
    <w:rsid w:val="71BC6E55"/>
    <w:rsid w:val="72AB6BB1"/>
    <w:rsid w:val="72AE660D"/>
    <w:rsid w:val="749A6D4F"/>
    <w:rsid w:val="76B65452"/>
    <w:rsid w:val="77544037"/>
    <w:rsid w:val="78187E0F"/>
    <w:rsid w:val="7A2A1DA9"/>
    <w:rsid w:val="7AA17C39"/>
    <w:rsid w:val="7C1959F4"/>
    <w:rsid w:val="7D94447A"/>
    <w:rsid w:val="7DE80D01"/>
    <w:rsid w:val="7E2D7213"/>
    <w:rsid w:val="7E396041"/>
    <w:rsid w:val="7E6305E6"/>
    <w:rsid w:val="7E9C5F04"/>
    <w:rsid w:val="7EF41F00"/>
    <w:rsid w:val="7F201E51"/>
    <w:rsid w:val="7F84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3"/>
    <w:next w:val="1"/>
    <w:unhideWhenUsed/>
    <w:qFormat/>
    <w:uiPriority w:val="0"/>
    <w:pPr>
      <w:keepNext/>
      <w:keepLines/>
      <w:spacing w:before="280" w:after="290" w:line="376" w:lineRule="auto"/>
      <w:outlineLvl w:val="3"/>
    </w:pPr>
    <w:rPr>
      <w:rFonts w:ascii="Cambria" w:hAnsi="Cambria"/>
      <w:sz w:val="28"/>
      <w:szCs w:val="28"/>
    </w:rPr>
  </w:style>
  <w:style w:type="character" w:default="1" w:styleId="25">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99"/>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w:basedOn w:val="1"/>
    <w:next w:val="10"/>
    <w:qFormat/>
    <w:uiPriority w:val="0"/>
    <w:rPr>
      <w:rFonts w:ascii="仿宋_GB2312" w:eastAsia="仿宋_GB2312"/>
      <w:sz w:val="32"/>
    </w:rPr>
  </w:style>
  <w:style w:type="paragraph" w:customStyle="1" w:styleId="1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1">
    <w:name w:val="Body Text Indent"/>
    <w:basedOn w:val="1"/>
    <w:qFormat/>
    <w:uiPriority w:val="0"/>
    <w:pPr>
      <w:spacing w:line="700" w:lineRule="exact"/>
      <w:ind w:left="960"/>
    </w:pPr>
    <w:rPr>
      <w:sz w:val="44"/>
    </w:rPr>
  </w:style>
  <w:style w:type="paragraph" w:styleId="12">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line="180" w:lineRule="auto"/>
      <w:jc w:val="center"/>
    </w:pPr>
    <w:rPr>
      <w:sz w:val="30"/>
    </w:rPr>
  </w:style>
  <w:style w:type="paragraph" w:styleId="19">
    <w:name w:val="List"/>
    <w:basedOn w:val="1"/>
    <w:qFormat/>
    <w:uiPriority w:val="0"/>
    <w:pPr>
      <w:ind w:left="200" w:hanging="200" w:hangingChars="200"/>
    </w:pPr>
  </w:style>
  <w:style w:type="paragraph" w:styleId="20">
    <w:name w:val="table of figures"/>
    <w:basedOn w:val="1"/>
    <w:next w:val="1"/>
    <w:qFormat/>
    <w:uiPriority w:val="0"/>
    <w:pPr>
      <w:tabs>
        <w:tab w:val="right" w:leader="dot" w:pos="8640"/>
      </w:tabs>
      <w:spacing w:line="360" w:lineRule="auto"/>
      <w:ind w:left="400" w:hanging="400"/>
    </w:pPr>
    <w:rPr>
      <w:sz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9"/>
    <w:qFormat/>
    <w:uiPriority w:val="0"/>
    <w:pPr>
      <w:ind w:firstLine="420" w:firstLineChars="100"/>
    </w:pPr>
  </w:style>
  <w:style w:type="table" w:styleId="24">
    <w:name w:val="Table Grid"/>
    <w:basedOn w:val="2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annotation reference"/>
    <w:basedOn w:val="25"/>
    <w:qFormat/>
    <w:uiPriority w:val="0"/>
    <w:rPr>
      <w:sz w:val="21"/>
      <w:szCs w:val="21"/>
    </w:rPr>
  </w:style>
  <w:style w:type="paragraph" w:customStyle="1" w:styleId="2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1">
    <w:name w:val="图例"/>
    <w:basedOn w:val="1"/>
    <w:qFormat/>
    <w:uiPriority w:val="0"/>
    <w:pPr>
      <w:spacing w:before="120" w:after="120" w:line="360" w:lineRule="auto"/>
      <w:jc w:val="center"/>
    </w:pPr>
    <w:rPr>
      <w:rFonts w:eastAsia="仿宋_GB2312"/>
      <w:b/>
      <w:sz w:val="24"/>
    </w:rPr>
  </w:style>
  <w:style w:type="paragraph" w:customStyle="1" w:styleId="32">
    <w:name w:val="电建正文"/>
    <w:basedOn w:val="33"/>
    <w:qFormat/>
    <w:uiPriority w:val="0"/>
    <w:pPr>
      <w:tabs>
        <w:tab w:val="left" w:pos="720"/>
      </w:tabs>
      <w:spacing w:line="360" w:lineRule="auto"/>
      <w:ind w:firstLine="200" w:firstLineChars="200"/>
    </w:pPr>
    <w:rPr>
      <w:rFonts w:ascii="Tahoma" w:hAnsi="Tahoma"/>
      <w:sz w:val="24"/>
    </w:rPr>
  </w:style>
  <w:style w:type="paragraph" w:customStyle="1" w:styleId="33">
    <w:name w:val="List First"/>
    <w:basedOn w:val="19"/>
    <w:next w:val="19"/>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4">
    <w:name w:val="WPSOffice手动目录 1"/>
    <w:qFormat/>
    <w:uiPriority w:val="0"/>
    <w:rPr>
      <w:rFonts w:ascii="Calibri" w:hAnsi="Calibri" w:eastAsia="宋体" w:cs="宋体"/>
      <w:lang w:val="en-US" w:eastAsia="zh-CN" w:bidi="ar-SA"/>
    </w:rPr>
  </w:style>
  <w:style w:type="character" w:customStyle="1" w:styleId="35">
    <w:name w:val="批注框文本 字符"/>
    <w:basedOn w:val="25"/>
    <w:link w:val="15"/>
    <w:qFormat/>
    <w:uiPriority w:val="0"/>
    <w:rPr>
      <w:kern w:val="2"/>
      <w:sz w:val="18"/>
      <w:szCs w:val="18"/>
    </w:rPr>
  </w:style>
  <w:style w:type="paragraph" w:customStyle="1" w:styleId="36">
    <w:name w:val="正文1"/>
    <w:basedOn w:val="1"/>
    <w:next w:val="1"/>
    <w:qFormat/>
    <w:uiPriority w:val="0"/>
    <w:pPr>
      <w:spacing w:line="300" w:lineRule="auto"/>
      <w:ind w:firstLine="200" w:firstLineChars="200"/>
    </w:pPr>
    <w:rPr>
      <w:rFonts w:ascii="Times New Roman" w:hAnsi="Times New Roman" w:eastAsia="宋体" w:cs="Times New Roman"/>
      <w:sz w:val="24"/>
    </w:rPr>
  </w:style>
  <w:style w:type="paragraph" w:customStyle="1" w:styleId="37">
    <w:name w:val="正文 A"/>
    <w:qFormat/>
    <w:uiPriority w:val="0"/>
    <w:pPr>
      <w:widowControl w:val="0"/>
      <w:jc w:val="both"/>
    </w:pPr>
    <w:rPr>
      <w:rFonts w:ascii="Times New Roman" w:hAnsi="Times New Roman" w:eastAsia="Times New Roman" w:cs="Times New Roman"/>
      <w:color w:val="000000"/>
      <w:kern w:val="2"/>
      <w:sz w:val="28"/>
      <w:szCs w:val="28"/>
      <w:u w:val="none" w:color="000000"/>
      <w:lang w:val="en-US" w:eastAsia="zh-CN" w:bidi="ar-SA"/>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9">
    <w:name w:val="标题 5（有编号）（绿盟科技）"/>
    <w:basedOn w:val="1"/>
    <w:next w:val="38"/>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styleId="40">
    <w:name w:val="List Paragraph"/>
    <w:basedOn w:val="1"/>
    <w:qFormat/>
    <w:uiPriority w:val="99"/>
    <w:pPr>
      <w:ind w:firstLine="420" w:firstLineChars="200"/>
    </w:pPr>
  </w:style>
  <w:style w:type="paragraph" w:customStyle="1" w:styleId="41">
    <w:name w:val="样式 宋体 首行缩进:  2 字符"/>
    <w:basedOn w:val="1"/>
    <w:qFormat/>
    <w:uiPriority w:val="0"/>
    <w:pPr>
      <w:ind w:firstLine="480" w:firstLineChars="200"/>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f983fc9e-30df-4035-9e48-99f3ac216d9d</errorID>
      <errorWord>/）</errorWord>
      <group>L1_Punc</group>
      <groupName>标点问题</groupName>
      <ability>L2_Punc_CN</ability>
      <abilityName/>
      <candidateList>
        <item>）</item>
      </candidateList>
      <explain/>
      <paraID> 7FED865</paraID>
      <start>51</start>
      <end>53</end>
      <status>unmodified</status>
      <modifiedWord/>
      <trackRevisions>false</trackRevisions>
    </reviewItem>
    <reviewItem>
      <errorID>e87d776f-56e7-42cd-a3a3-01fb4ba1c771</errorID>
      <errorWord>/）</errorWord>
      <group>L1_Punc</group>
      <groupName>标点问题</groupName>
      <ability>L2_Punc_CN</ability>
      <abilityName/>
      <candidateList>
        <item>）</item>
      </candidateList>
      <explain/>
      <paraID>1F80CB38</paraID>
      <start>55</start>
      <end>57</end>
      <status>unmodified</status>
      <modifiedWord/>
      <trackRevisions>false</trackRevisions>
    </reviewItem>
    <reviewItem>
      <errorID>8d3c92bc-3413-49f4-a5d9-9da23e508003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4C734C47</paraID>
      <start>0</start>
      <end>2</end>
      <status>unmodified</status>
      <modifiedWord/>
      <trackRevisions>false</trackRevisions>
    </reviewItem>
    <reviewItem>
      <errorID>2e3450d8-fa9b-451f-8b3b-fe69f031a200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7DCB9E6E</paraID>
      <start>0</start>
      <end>2</end>
      <status>unmodified</status>
      <modifiedWord/>
      <trackRevisions>false</trackRevisions>
    </reviewItem>
    <reviewItem>
      <errorID>b31266d9-879e-4616-b31a-394262daa968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293AA7CB</paraID>
      <start>0</start>
      <end>2</end>
      <status>unmodified</status>
      <modifiedWord/>
      <trackRevisions>false</trackRevisions>
    </reviewItem>
    <reviewItem>
      <errorID>acc6e922-5598-450f-ac16-bf59dcff230c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88BDC68</paraID>
      <start>39</start>
      <end>42</end>
      <status>unmodified</status>
      <modifiedWord/>
      <trackRevisions>false</trackRevisions>
    </reviewItem>
    <reviewItem>
      <errorID>5bf6830c-42a2-46f3-acf4-e098b23d3f50</errorID>
      <errorWord>(</errorWord>
      <group>L1_Format</group>
      <groupName>格式问题</groupName>
      <ability>L2_HalfPunc_CN</ability>
      <abilityName/>
      <candidateList>
        <item>（</item>
      </candidateList>
      <explain>文本全半角错误。</explain>
      <paraID>7F9A6F4E</paraID>
      <start>33</start>
      <end>34</end>
      <status>unmodified</status>
      <modifiedWord/>
      <trackRevisions>false</trackRevisions>
    </reviewItem>
    <reviewItem>
      <errorID>8550d6fe-e72f-4832-bf30-83ef95a98253</errorID>
      <errorWord>);</errorWord>
      <group>L1_Format</group>
      <groupName>格式问题</groupName>
      <ability>L2_HalfPunc_CN</ability>
      <abilityName/>
      <candidateList>
        <item>）；</item>
      </candidateList>
      <explain>文本全半角错误。</explain>
      <paraID>7F9A6F4E</paraID>
      <start>72</start>
      <end>74</end>
      <status>unmodified</status>
      <modifiedWord/>
      <trackRevisions>false</trackRevisions>
    </reviewItem>
    <reviewItem>
      <errorID>172db787-c442-4e81-b2f6-856804539d57</errorID>
      <errorWord>:</errorWord>
      <group>L1_Format</group>
      <groupName>格式问题</groupName>
      <ability>L2_HalfPunc_CN</ability>
      <abilityName/>
      <candidateList>
        <item>：</item>
      </candidateList>
      <explain>文本全半角错误。</explain>
      <paraID>7F9A6F4E</paraID>
      <start>108</start>
      <end>109</end>
      <status>unmodified</status>
      <modifiedWord/>
      <trackRevisions>false</trackRevisions>
    </reviewItem>
    <reviewItem>
      <errorID>713b2afa-440b-4f3c-9ee6-38e696fee092</errorID>
      <errorWord>其它</errorWord>
      <group>L1_Word</group>
      <groupName>字词问题</groupName>
      <ability>L2_Alias</ability>
      <abilityName>也作/曾用词</abilityName>
      <candidateList>
        <item>其他</item>
      </candidateList>
      <explain>词汇[其它]为不规范表述或旧称，其规范书面表述为[其他]。</explain>
      <paraID>3F35A20D</paraID>
      <start>44</start>
      <end>46</end>
      <status>unmodified</status>
      <modifiedWord/>
      <trackRevisions>false</trackRevisions>
    </reviewItem>
    <reviewItem>
      <errorID>f5cb8533-4899-4e5c-8460-0277455463b5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514CD528</paraID>
      <start>0</start>
      <end>2</end>
      <status>unmodified</status>
      <modifiedWord/>
      <trackRevisions>false</trackRevisions>
    </reviewItem>
    <reviewItem>
      <errorID>cb7a5cfe-a71c-45b4-be5a-50e56839346a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610D5D81</paraID>
      <start>0</start>
      <end>2</end>
      <status>unmodified</status>
      <modifiedWord/>
      <trackRevisions>false</trackRevisions>
    </reviewItem>
    <reviewItem>
      <errorID>302f592d-4ec9-4cf1-b031-dcca79f6188f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6716DCBB</paraID>
      <start>0</start>
      <end>2</end>
      <status>unmodified</status>
      <modifiedWord/>
      <trackRevisions>false</trackRevisions>
    </reviewItem>
    <reviewItem>
      <errorID>3d8cf601-c6e0-4729-88ad-e1bb6279a57d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629B9D77</paraID>
      <start>0</start>
      <end>2</end>
      <status>unmodified</status>
      <modifiedWord/>
      <trackRevisions>false</trackRevisions>
    </reviewItem>
    <reviewItem>
      <errorID>02271810-cefb-4270-af29-a4802c54e3f5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6F4D8D1</paraID>
      <start>0</start>
      <end>2</end>
      <status>unmodified</status>
      <modifiedWord/>
      <trackRevisions>false</trackRevisions>
    </reviewItem>
    <reviewItem>
      <errorID>5e045a4a-f34b-47b9-b28e-8426ced7ed27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59B070FF</paraID>
      <start>37</start>
      <end>40</end>
      <status>unmodified</status>
      <modifiedWord/>
      <trackRevisions>false</trackRevisions>
    </reviewItem>
    <reviewItem>
      <errorID>22631f21-b409-45ca-afc0-6e88bc93da12</errorID>
      <errorWord>其它</errorWord>
      <group>L1_Word</group>
      <groupName>字词问题</groupName>
      <ability>L2_Alias</ability>
      <abilityName>也作/曾用词</abilityName>
      <candidateList>
        <item>其他</item>
      </candidateList>
      <explain>词汇[其它]为不规范表述或旧称，其规范书面表述为[其他]。</explain>
      <paraID>11CA9BA3</paraID>
      <start>75</start>
      <end>77</end>
      <status>unmodified</status>
      <modifiedWord/>
      <trackRevisions>false</trackRevisions>
    </reviewItem>
    <reviewItem>
      <errorID>103bb3c1-3f41-4fa3-8daf-5dda7a532012</errorID>
      <errorWord>违规的行为</errorWord>
      <group>L1_Word</group>
      <groupName>字词问题</groupName>
      <ability>L2_Typo</ability>
      <abilityName>字词错误</abilityName>
      <candidateList>
        <item>违规行为</item>
      </candidateList>
      <explain/>
      <paraID>11CA9BA3</paraID>
      <start>114</start>
      <end>119</end>
      <status>unmodified</status>
      <modifiedWord/>
      <trackRevisions>false</trackRevisions>
    </reviewItem>
    <reviewItem>
      <errorID>56dc73dc-b173-4478-b7b1-76bb0274a3e8</errorID>
      <errorWord>程</errorWord>
      <group>L1_Word</group>
      <groupName>字词问题</groupName>
      <ability>L2_Typo</ability>
      <abilityName>字词错误</abilityName>
      <candidateList>
        <item>程中</item>
      </candidateList>
      <explain/>
      <paraID>639E20B2</paraID>
      <start>11</start>
      <end>12</end>
      <status>unmodified</status>
      <modifiedWord/>
      <trackRevisions>false</trackRevisions>
    </reviewItem>
    <reviewItem>
      <errorID>94656262-5391-4319-84c1-ef6940155228</errorID>
      <errorWord>与</errorWord>
      <group>L1_Word</group>
      <groupName>字词问题</groupName>
      <ability>L2_Typo</ability>
      <abilityName>字词错误</abilityName>
      <candidateList>
        <item>的</item>
      </candidateList>
      <explain>存在字形相近字词的误用。</explain>
      <paraID>3FFDD694</paraID>
      <start>104</start>
      <end>105</end>
      <status>unmodified</status>
      <modifiedWord/>
      <trackRevisions>false</trackRevisions>
    </reviewItem>
    <reviewItem>
      <errorID>48ffd77f-80dc-4125-b31d-a80a4765f097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74146304</paraID>
      <start>0</start>
      <end>2</end>
      <status>unmodified</status>
      <modifiedWord/>
      <trackRevisions>false</trackRevisions>
    </reviewItem>
    <reviewItem>
      <errorID>9cb0a145-610a-47d8-9b59-47adb94cdefa</errorID>
      <errorWord>(</errorWord>
      <group>L1_Format</group>
      <groupName>格式问题</groupName>
      <ability>L2_HalfPunc_CN</ability>
      <abilityName/>
      <candidateList>
        <item>（</item>
      </candidateList>
      <explain>文本全半角错误。</explain>
      <paraID>100BACBC</paraID>
      <start>29</start>
      <end>30</end>
      <status>unmodified</status>
      <modifiedWord/>
      <trackRevisions>false</trackRevisions>
    </reviewItem>
    <reviewItem>
      <errorID>33878d96-49bd-4c87-8905-02dfa4119290</errorID>
      <errorWord>);</errorWord>
      <group>L1_Format</group>
      <groupName>格式问题</groupName>
      <ability>L2_HalfPunc_CN</ability>
      <abilityName/>
      <candidateList>
        <item>）；</item>
      </candidateList>
      <explain>文本全半角错误。</explain>
      <paraID>100BACBC</paraID>
      <start>68</start>
      <end>70</end>
      <status>unmodified</status>
      <modifiedWord/>
      <trackRevisions>false</trackRevisions>
    </reviewItem>
    <reviewItem>
      <errorID>881d5536-b574-4dc4-8bf7-2dc2570f6d61</errorID>
      <errorWord>:</errorWord>
      <group>L1_Format</group>
      <groupName>格式问题</groupName>
      <ability>L2_HalfPunc_CN</ability>
      <abilityName/>
      <candidateList>
        <item>：</item>
      </candidateList>
      <explain>文本全半角错误。</explain>
      <paraID>100BACBC</paraID>
      <start>104</start>
      <end>105</end>
      <status>unmodified</status>
      <modifiedWord/>
      <trackRevisions>false</trackRevisions>
    </reviewItem>
    <reviewItem>
      <errorID>e1c093cb-a6c9-4b45-bac0-497ed9df4f5b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5BEFA5F9</paraID>
      <start>0</start>
      <end>2</end>
      <status>unmodified</status>
      <modifiedWord/>
      <trackRevisions>false</trackRevisions>
    </reviewItem>
    <reviewItem>
      <errorID>20090afb-9211-4efc-8575-1401a74812c7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549E32A6</paraID>
      <start>0</start>
      <end>2</end>
      <status>unmodified</status>
      <modifiedWord/>
      <trackRevisions>false</trackRevisions>
    </reviewItem>
    <reviewItem>
      <errorID>e5244672-bfb0-4574-b0d2-d21c5ff62ea8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2B2BF1FA</paraID>
      <start>0</start>
      <end>2</end>
      <status>unmodified</status>
      <modifiedWord/>
      <trackRevisions>false</trackRevisions>
    </reviewItem>
    <reviewItem>
      <errorID>eb0bbbd8-e82b-4989-9b93-e16fc113bab3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1CF60011</paraID>
      <start>0</start>
      <end>2</end>
      <status>unmodified</status>
      <modifiedWord/>
      <trackRevisions>false</trackRevisions>
    </reviewItem>
    <reviewItem>
      <errorID>0bf447bb-d308-44ec-8522-6fbddfeec70f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4DE42F7E</paraID>
      <start>0</start>
      <end>2</end>
      <status>unmodified</status>
      <modifiedWord/>
      <trackRevisions>false</trackRevisions>
    </reviewItem>
    <reviewItem>
      <errorID>9306adf8-7862-495e-8c32-4678017792df</errorID>
      <errorWord>(</errorWord>
      <group>L1_Format</group>
      <groupName>格式问题</groupName>
      <ability>L2_HalfPunc_CN</ability>
      <abilityName/>
      <candidateList>
        <item>（</item>
      </candidateList>
      <explain>文本全半角错误。</explain>
      <paraID>64E5A44C</paraID>
      <start>26</start>
      <end>27</end>
      <status>unmodified</status>
      <modifiedWord/>
      <trackRevisions>false</trackRevisions>
    </reviewItem>
    <reviewItem>
      <errorID>2ef50bc8-7b11-4f1f-8339-48768994dc2d</errorID>
      <errorWord>)</errorWord>
      <group>L1_Format</group>
      <groupName>格式问题</groupName>
      <ability>L2_HalfPunc_CN</ability>
      <abilityName/>
      <candidateList>
        <item>）</item>
      </candidateList>
      <explain>文本全半角错误。</explain>
      <paraID>64E5A44C</paraID>
      <start>30</start>
      <end>31</end>
      <status>unmodified</status>
      <modifiedWord/>
      <trackRevisions>false</trackRevisions>
    </reviewItem>
    <reviewItem>
      <errorID>3319ecf0-f1e8-4ca5-9d6e-b25816a3dcd7</errorID>
      <errorWord>、或者</errorWord>
      <group>L1_Word</group>
      <groupName>字词问题</groupName>
      <ability>L2_Typo</ability>
      <abilityName>字词错误</abilityName>
      <candidateList>
        <item>，或者</item>
      </candidateList>
      <explain/>
      <paraID>27371CAF</paraID>
      <start>10</start>
      <end>13</end>
      <status>unmodified</status>
      <modifiedWord/>
      <trackRevisions>false</trackRevisions>
    </reviewItem>
    <reviewItem>
      <errorID>a90797b1-316d-44a0-9e55-b0171534eaf3</errorID>
      <errorWord>:</errorWord>
      <group>L1_Format</group>
      <groupName>格式问题</groupName>
      <ability>L2_HalfPunc_CN</ability>
      <abilityName/>
      <candidateList>
        <item>：</item>
      </candidateList>
      <explain>文本全半角错误。</explain>
      <paraID>65E03CB2</paraID>
      <start>62</start>
      <end>63</end>
      <status>unmodified</status>
      <modifiedWord/>
      <trackRevisions>false</trackRevisions>
    </reviewItem>
    <reviewItem>
      <errorID>2abd0c2c-3f1f-4605-8c00-4d43ed1f7ebf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2554C35B</paraID>
      <start>57</start>
      <end>59</end>
      <status>unmodified</status>
      <modifiedWord/>
      <trackRevisions>false</trackRevisions>
    </reviewItem>
    <reviewItem>
      <errorID>172dced7-b0eb-4e0a-9bcd-c6930f75e837</errorID>
      <errorWord>:</errorWord>
      <group>L1_Format</group>
      <groupName>格式问题</groupName>
      <ability>L2_HalfPunc_CN</ability>
      <abilityName/>
      <candidateList>
        <item>：</item>
      </candidateList>
      <explain>文本全半角错误。</explain>
      <paraID>35ADB50D</paraID>
      <start>32</start>
      <end>33</end>
      <status>unmodified</status>
      <modifiedWord/>
      <trackRevisions>false</trackRevisions>
    </reviewItem>
    <reviewItem>
      <errorID>59adf797-83d9-4d8e-9b68-e7de914715e2</errorID>
      <errorWord>(</errorWord>
      <group>L1_Format</group>
      <groupName>格式问题</groupName>
      <ability>L2_HalfPunc_CN</ability>
      <abilityName/>
      <candidateList>
        <item>（</item>
      </candidateList>
      <explain>文本全半角错误。</explain>
      <paraID>2A364CA2</paraID>
      <start>36</start>
      <end>37</end>
      <status>unmodified</status>
      <modifiedWord/>
      <trackRevisions>false</trackRevisions>
    </reviewItem>
    <reviewItem>
      <errorID>0e1af1ab-9b08-4246-a9aa-1c9f821efb10</errorID>
      <errorWord>)</errorWord>
      <group>L1_Format</group>
      <groupName>格式问题</groupName>
      <ability>L2_HalfPunc_CN</ability>
      <abilityName/>
      <candidateList>
        <item>）</item>
      </candidateList>
      <explain>文本全半角错误。</explain>
      <paraID>2A364CA2</paraID>
      <start>58</start>
      <end>59</end>
      <status>unmodified</status>
      <modifiedWord/>
      <trackRevisions>false</trackRevisions>
    </reviewItem>
    <reviewItem>
      <errorID>ff87fb27-6a9e-4ae9-ade7-97a110ed55de</errorID>
      <errorWord>(</errorWord>
      <group>L1_Format</group>
      <groupName>格式问题</groupName>
      <ability>L2_HalfPunc_CN</ability>
      <abilityName/>
      <candidateList>
        <item>（</item>
      </candidateList>
      <explain>文本全半角错误。</explain>
      <paraID>15DAB332</paraID>
      <start>31</start>
      <end>32</end>
      <status>unmodified</status>
      <modifiedWord/>
      <trackRevisions>false</trackRevisions>
    </reviewItem>
    <reviewItem>
      <errorID>0e602e35-b581-4156-8ee2-b7979f4283ce</errorID>
      <errorWord>)</errorWord>
      <group>L1_Format</group>
      <groupName>格式问题</groupName>
      <ability>L2_HalfPunc_CN</ability>
      <abilityName/>
      <candidateList>
        <item>）</item>
      </candidateList>
      <explain>文本全半角错误。</explain>
      <paraID>15DAB332</paraID>
      <start>40</start>
      <end>41</end>
      <status>unmodified</status>
      <modifiedWord/>
      <trackRevisions>false</trackRevisions>
    </reviewItem>
    <reviewItem>
      <errorID>463cfd0f-2e23-4aa0-97d1-7c3f177e0dea</errorID>
      <errorWord>(</errorWord>
      <group>L1_Format</group>
      <groupName>格式问题</groupName>
      <ability>L2_HalfPunc_CN</ability>
      <abilityName/>
      <candidateList>
        <item>（</item>
      </candidateList>
      <explain>文本全半角错误。</explain>
      <paraID>15DAB332</paraID>
      <start>52</start>
      <end>53</end>
      <status>unmodified</status>
      <modifiedWord/>
      <trackRevisions>false</trackRevisions>
    </reviewItem>
    <reviewItem>
      <errorID>58a3110b-ce3e-4512-b609-7e548f2f9685</errorID>
      <errorWord>)</errorWord>
      <group>L1_Format</group>
      <groupName>格式问题</groupName>
      <ability>L2_HalfPunc_CN</ability>
      <abilityName/>
      <candidateList>
        <item>）</item>
      </candidateList>
      <explain>文本全半角错误。</explain>
      <paraID>15DAB332</paraID>
      <start>66</start>
      <end>67</end>
      <status>unmodified</status>
      <modifiedWord/>
      <trackRevisions>false</trackRevisions>
    </reviewItem>
    <reviewItem>
      <errorID>c15bf88b-e268-46d1-8a17-be25035df7cb</errorID>
      <errorWord>(</errorWord>
      <group>L1_Format</group>
      <groupName>格式问题</groupName>
      <ability>L2_HalfPunc_CN</ability>
      <abilityName/>
      <candidateList>
        <item>（</item>
      </candidateList>
      <explain>文本全半角错误。</explain>
      <paraID>4D689C6A</paraID>
      <start>33</start>
      <end>34</end>
      <status>unmodified</status>
      <modifiedWord/>
      <trackRevisions>false</trackRevisions>
    </reviewItem>
    <reviewItem>
      <errorID>f94559ee-7968-4012-b733-aa30ae70cf82</errorID>
      <errorWord>)</errorWord>
      <group>L1_Format</group>
      <groupName>格式问题</groupName>
      <ability>L2_HalfPunc_CN</ability>
      <abilityName/>
      <candidateList>
        <item>）</item>
      </candidateList>
      <explain>文本全半角错误。</explain>
      <paraID>4D689C6A</paraID>
      <start>47</start>
      <end>48</end>
      <status>unmodified</status>
      <modifiedWord/>
      <trackRevisions>false</trackRevisions>
    </reviewItem>
    <reviewItem>
      <errorID>062406b5-0e73-4191-b472-59de935d29a1</errorID>
      <errorWord>:</errorWord>
      <group>L1_Format</group>
      <groupName>格式问题</groupName>
      <ability>L2_HalfPunc_CN</ability>
      <abilityName/>
      <candidateList>
        <item>：</item>
      </candidateList>
      <explain>文本全半角错误。</explain>
      <paraID>7D55337F</paraID>
      <start>30</start>
      <end>31</end>
      <status>unmodified</status>
      <modifiedWord/>
      <trackRevisions>false</trackRevisions>
    </reviewItem>
    <reviewItem>
      <errorID>6976192c-2552-4b02-ba5e-c236b0579c31</errorID>
      <errorWord>.</errorWord>
      <group>L1_Format</group>
      <groupName>格式问题</groupName>
      <ability>L2_HalfPunc_CN</ability>
      <abilityName/>
      <candidateList>
        <item>。</item>
      </candidateList>
      <explain>文本全半角错误。</explain>
      <paraID>7B353B20</paraID>
      <start>9</start>
      <end>10</end>
      <status>unmodified</status>
      <modifiedWord/>
      <trackRevisions>false</trackRevisions>
    </reviewItem>
    <reviewItem>
      <errorID>1f008339-4b0b-4eab-9e8e-7de23ffc54fd</errorID>
      <errorWord>:</errorWord>
      <group>L1_Format</group>
      <groupName>格式问题</groupName>
      <ability>L2_HalfPunc_CN</ability>
      <abilityName/>
      <candidateList>
        <item>：</item>
      </candidateList>
      <explain>文本全半角错误。</explain>
      <paraID>56F4D1A5</paraID>
      <start>85</start>
      <end>86</end>
      <status>unmodified</status>
      <modifiedWord/>
      <trackRevisions>false</trackRevisions>
    </reviewItem>
    <reviewItem>
      <errorID>c31cdd32-f125-4c47-8f23-c8c9d31a873a</errorID>
      <errorWord>(</errorWord>
      <group>L1_Format</group>
      <groupName>格式问题</groupName>
      <ability>L2_HalfPunc_CN</ability>
      <abilityName/>
      <candidateList>
        <item>（</item>
      </candidateList>
      <explain>文本全半角错误。</explain>
      <paraID>6F3E8D6B</paraID>
      <start>22</start>
      <end>23</end>
      <status>unmodified</status>
      <modifiedWord/>
      <trackRevisions>false</trackRevisions>
    </reviewItem>
    <reviewItem>
      <errorID>f5db3c6e-d53d-4ad5-a313-c00ccad2402d</errorID>
      <errorWord>)</errorWord>
      <group>L1_Format</group>
      <groupName>格式问题</groupName>
      <ability>L2_HalfPunc_CN</ability>
      <abilityName/>
      <candidateList>
        <item>）</item>
      </candidateList>
      <explain>文本全半角错误。</explain>
      <paraID>6F3E8D6B</paraID>
      <start>26</start>
      <end>27</end>
      <status>unmodified</status>
      <modifiedWord/>
      <trackRevisions>false</trackRevisions>
    </reviewItem>
    <reviewItem>
      <errorID>7a0aef70-6761-4f7e-b190-bff270c3b81b</errorID>
      <errorWord>提高</errorWord>
      <group>L1_Grammar</group>
      <groupName>语法问题</groupName>
      <ability>L2_Grammar</ability>
      <abilityName>语法错误</abilityName>
      <candidateList>
        <item>增强</item>
      </candidateList>
      <explain>“提高～意识”搭配不当，建议修改为“增强～意识”。</explain>
      <paraID>5A7B4489</paraID>
      <start>32</start>
      <end>34</end>
      <status>unmodified</status>
      <modifiedWord/>
      <trackRevisions>false</trackRevisions>
    </reviewItem>
    <reviewItem>
      <errorID>6e213495-d041-47e8-9bab-abb250a8c07b</errorID>
      <errorWord>其它</errorWord>
      <group>L1_Word</group>
      <groupName>字词问题</groupName>
      <ability>L2_Alias</ability>
      <abilityName>也作/曾用词</abilityName>
      <candidateList>
        <item>其他</item>
      </candidateList>
      <explain>词汇[其它]为不规范表述或旧称，其规范书面表述为[其他]。</explain>
      <paraID>19FA16F6</paraID>
      <start>27</start>
      <end>29</end>
      <status>unmodified</status>
      <modifiedWord/>
      <trackRevisions>false</trackRevisions>
    </reviewItem>
    <reviewItem>
      <errorID>c5d190f9-b456-45ad-8885-982b7df63e51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21675E11</paraID>
      <start>47</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bcd3b-98f3-4dde-aff0-f1db6027c671}">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15866</Words>
  <Characters>16405</Characters>
  <Paragraphs>1129</Paragraphs>
  <TotalTime>5</TotalTime>
  <ScaleCrop>false</ScaleCrop>
  <LinksUpToDate>false</LinksUpToDate>
  <CharactersWithSpaces>17005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张庆</cp:lastModifiedBy>
  <dcterms:modified xsi:type="dcterms:W3CDTF">2026-05-26T06:30:17Z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E59F6676D9F946449F603B2FF73A2E08_13</vt:lpwstr>
  </property>
  <property fmtid="{D5CDD505-2E9C-101B-9397-08002B2CF9AE}" pid="4" name="KSOTemplateDocerSaveRecord">
    <vt:lpwstr>eyJoZGlkIjoiMmE4ODQxMmEzYjEyM2YwZDRiZWI3YTc3YmY5ZDBjMDUiLCJ1c2VySWQiOiI1MzY1NTc4MjkifQ==</vt:lpwstr>
  </property>
</Properties>
</file>