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9818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仿宋" w:hAnsi="仿宋" w:eastAsia="仿宋" w:cs="仿宋"/>
          <w:b/>
          <w:bCs/>
          <w:i w:val="0"/>
          <w:iCs w:val="0"/>
          <w:color w:val="auto"/>
          <w:sz w:val="120"/>
          <w:szCs w:val="120"/>
          <w:highlight w:val="none"/>
          <w:lang w:eastAsia="zh-CN"/>
        </w:rPr>
      </w:pPr>
      <w:r>
        <w:rPr>
          <w:rFonts w:hint="eastAsia" w:ascii="仿宋" w:hAnsi="仿宋" w:eastAsia="仿宋" w:cs="仿宋"/>
          <w:b/>
          <w:bCs/>
          <w:i w:val="0"/>
          <w:iCs w:val="0"/>
          <w:color w:val="auto"/>
          <w:sz w:val="120"/>
          <w:szCs w:val="120"/>
          <w:highlight w:val="none"/>
          <w:lang w:eastAsia="zh-CN"/>
        </w:rPr>
        <w:t>竞争性比选文件</w:t>
      </w:r>
    </w:p>
    <w:p w14:paraId="7E23DE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i w:val="0"/>
          <w:iCs w:val="0"/>
          <w:color w:val="auto"/>
          <w:spacing w:val="80"/>
          <w:sz w:val="32"/>
          <w:szCs w:val="32"/>
          <w:highlight w:val="none"/>
          <w:lang w:eastAsia="zh-CN"/>
        </w:rPr>
      </w:pPr>
      <w:r>
        <w:rPr>
          <w:rFonts w:hint="eastAsia" w:ascii="仿宋" w:hAnsi="仿宋" w:eastAsia="仿宋" w:cs="仿宋"/>
          <w:b/>
          <w:bCs/>
          <w:color w:val="auto"/>
          <w:sz w:val="44"/>
          <w:szCs w:val="44"/>
          <w:highlight w:val="none"/>
          <w:lang w:eastAsia="zh-CN"/>
        </w:rPr>
        <w:t>（综合评分法）</w:t>
      </w:r>
    </w:p>
    <w:p w14:paraId="604C8F2B">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b/>
          <w:bCs/>
          <w:i w:val="0"/>
          <w:iCs w:val="0"/>
          <w:color w:val="auto"/>
          <w:spacing w:val="80"/>
          <w:sz w:val="44"/>
          <w:szCs w:val="44"/>
          <w:highlight w:val="none"/>
          <w:lang w:eastAsia="zh-CN"/>
        </w:rPr>
      </w:pPr>
    </w:p>
    <w:p w14:paraId="312EA64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i w:val="0"/>
          <w:iCs w:val="0"/>
          <w:color w:val="auto"/>
          <w:sz w:val="36"/>
          <w:szCs w:val="30"/>
          <w:highlight w:val="none"/>
        </w:rPr>
      </w:pPr>
    </w:p>
    <w:p w14:paraId="01A79BBA">
      <w:pPr>
        <w:pStyle w:val="8"/>
        <w:rPr>
          <w:rFonts w:hint="eastAsia" w:ascii="仿宋" w:hAnsi="仿宋" w:eastAsia="仿宋" w:cs="仿宋"/>
          <w:color w:val="auto"/>
          <w:highlight w:val="none"/>
        </w:rPr>
      </w:pPr>
    </w:p>
    <w:p w14:paraId="60F0DB9D">
      <w:pPr>
        <w:pStyle w:val="8"/>
        <w:rPr>
          <w:rFonts w:hint="eastAsia" w:ascii="仿宋" w:hAnsi="仿宋" w:eastAsia="仿宋" w:cs="仿宋"/>
          <w:color w:val="auto"/>
          <w:highlight w:val="none"/>
        </w:rPr>
      </w:pPr>
    </w:p>
    <w:p w14:paraId="71B643F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i w:val="0"/>
          <w:iCs w:val="0"/>
          <w:color w:val="auto"/>
          <w:sz w:val="36"/>
          <w:szCs w:val="30"/>
          <w:highlight w:val="none"/>
        </w:rPr>
      </w:pPr>
    </w:p>
    <w:p w14:paraId="48EED009">
      <w:pPr>
        <w:keepNext w:val="0"/>
        <w:keepLines w:val="0"/>
        <w:pageBreakBefore w:val="0"/>
        <w:widowControl w:val="0"/>
        <w:kinsoku/>
        <w:wordWrap/>
        <w:overflowPunct/>
        <w:topLinePunct w:val="0"/>
        <w:autoSpaceDE/>
        <w:autoSpaceDN/>
        <w:bidi w:val="0"/>
        <w:adjustRightInd/>
        <w:snapToGrid/>
        <w:spacing w:line="360" w:lineRule="auto"/>
        <w:ind w:firstLine="361" w:firstLineChars="100"/>
        <w:jc w:val="left"/>
        <w:textAlignment w:val="auto"/>
        <w:rPr>
          <w:rFonts w:hint="eastAsia" w:ascii="仿宋" w:hAnsi="仿宋" w:eastAsia="仿宋" w:cs="仿宋"/>
          <w:b/>
          <w:bCs/>
          <w:i w:val="0"/>
          <w:iCs w:val="0"/>
          <w:color w:val="auto"/>
          <w:kern w:val="2"/>
          <w:sz w:val="36"/>
          <w:szCs w:val="28"/>
          <w:highlight w:val="none"/>
          <w:lang w:val="en-US" w:eastAsia="zh-CN" w:bidi="ar-SA"/>
        </w:rPr>
      </w:pPr>
      <w:bookmarkStart w:id="0" w:name="_Hlk111636989"/>
      <w:r>
        <w:rPr>
          <w:rFonts w:hint="eastAsia" w:ascii="仿宋" w:hAnsi="仿宋" w:eastAsia="仿宋" w:cs="仿宋"/>
          <w:b/>
          <w:bCs/>
          <w:i w:val="0"/>
          <w:iCs w:val="0"/>
          <w:color w:val="auto"/>
          <w:kern w:val="2"/>
          <w:sz w:val="36"/>
          <w:szCs w:val="28"/>
          <w:highlight w:val="none"/>
          <w:lang w:val="en-US" w:eastAsia="zh-CN" w:bidi="ar-SA"/>
        </w:rPr>
        <w:t>项目编号：</w:t>
      </w:r>
      <w:r>
        <w:rPr>
          <w:rFonts w:hint="eastAsia" w:cs="仿宋"/>
          <w:b/>
          <w:bCs/>
          <w:i w:val="0"/>
          <w:iCs w:val="0"/>
          <w:color w:val="auto"/>
          <w:kern w:val="2"/>
          <w:sz w:val="36"/>
          <w:szCs w:val="28"/>
          <w:highlight w:val="none"/>
          <w:lang w:val="en-US" w:eastAsia="zh-CN" w:bidi="ar-SA"/>
        </w:rPr>
        <w:t>YQDZCG25008</w:t>
      </w:r>
    </w:p>
    <w:p w14:paraId="5FC43486">
      <w:pPr>
        <w:pStyle w:val="8"/>
        <w:keepNext w:val="0"/>
        <w:keepLines w:val="0"/>
        <w:pageBreakBefore w:val="0"/>
        <w:widowControl w:val="0"/>
        <w:kinsoku/>
        <w:wordWrap/>
        <w:overflowPunct/>
        <w:topLinePunct w:val="0"/>
        <w:autoSpaceDE/>
        <w:autoSpaceDN/>
        <w:bidi w:val="0"/>
        <w:adjustRightInd/>
        <w:snapToGrid/>
        <w:spacing w:line="360" w:lineRule="auto"/>
        <w:ind w:left="2167" w:leftChars="150" w:hanging="1807" w:hangingChars="500"/>
        <w:jc w:val="left"/>
        <w:textAlignment w:val="auto"/>
        <w:rPr>
          <w:rFonts w:hint="eastAsia" w:ascii="仿宋" w:hAnsi="仿宋" w:eastAsia="仿宋" w:cs="仿宋"/>
          <w:b/>
          <w:bCs/>
          <w:i w:val="0"/>
          <w:iCs w:val="0"/>
          <w:color w:val="auto"/>
          <w:sz w:val="36"/>
          <w:szCs w:val="28"/>
          <w:highlight w:val="none"/>
          <w:lang w:eastAsia="zh-CN"/>
        </w:rPr>
      </w:pPr>
      <w:r>
        <w:rPr>
          <w:rFonts w:hint="eastAsia" w:ascii="仿宋" w:hAnsi="仿宋" w:eastAsia="仿宋" w:cs="仿宋"/>
          <w:b/>
          <w:bCs/>
          <w:i w:val="0"/>
          <w:iCs w:val="0"/>
          <w:color w:val="auto"/>
          <w:sz w:val="36"/>
          <w:szCs w:val="28"/>
          <w:highlight w:val="none"/>
        </w:rPr>
        <w:t>项目</w:t>
      </w:r>
      <w:r>
        <w:rPr>
          <w:rFonts w:hint="eastAsia" w:ascii="仿宋" w:hAnsi="仿宋" w:eastAsia="仿宋" w:cs="仿宋"/>
          <w:b/>
          <w:bCs/>
          <w:i w:val="0"/>
          <w:iCs w:val="0"/>
          <w:color w:val="auto"/>
          <w:sz w:val="36"/>
          <w:szCs w:val="28"/>
          <w:highlight w:val="none"/>
          <w:lang w:val="en-US" w:eastAsia="zh-CN"/>
        </w:rPr>
        <w:t>名称</w:t>
      </w:r>
      <w:r>
        <w:rPr>
          <w:rFonts w:hint="eastAsia" w:ascii="仿宋" w:hAnsi="仿宋" w:eastAsia="仿宋" w:cs="仿宋"/>
          <w:b/>
          <w:bCs/>
          <w:i w:val="0"/>
          <w:iCs w:val="0"/>
          <w:color w:val="auto"/>
          <w:sz w:val="36"/>
          <w:szCs w:val="28"/>
          <w:highlight w:val="none"/>
        </w:rPr>
        <w:t>：</w:t>
      </w:r>
      <w:r>
        <w:rPr>
          <w:rFonts w:hint="eastAsia" w:ascii="仿宋" w:eastAsia="仿宋" w:cs="仿宋"/>
          <w:b/>
          <w:bCs/>
          <w:i w:val="0"/>
          <w:iCs w:val="0"/>
          <w:color w:val="auto"/>
          <w:sz w:val="36"/>
          <w:szCs w:val="28"/>
          <w:highlight w:val="none"/>
          <w:lang w:val="en-US" w:eastAsia="zh-CN"/>
        </w:rPr>
        <w:t>重庆市大足区人民政府双路街道办事处职工食堂食材全品类集中采购配送服务</w:t>
      </w:r>
    </w:p>
    <w:p w14:paraId="042A9CC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00"/>
        <w:jc w:val="left"/>
        <w:textAlignment w:val="auto"/>
        <w:rPr>
          <w:rFonts w:hint="eastAsia" w:ascii="仿宋" w:hAnsi="仿宋" w:eastAsia="仿宋" w:cs="仿宋"/>
          <w:b/>
          <w:bCs/>
          <w:i w:val="0"/>
          <w:iCs w:val="0"/>
          <w:color w:val="auto"/>
          <w:sz w:val="36"/>
          <w:szCs w:val="28"/>
          <w:highlight w:val="none"/>
          <w:lang w:val="en-US" w:eastAsia="zh-CN"/>
        </w:rPr>
      </w:pPr>
    </w:p>
    <w:bookmarkEnd w:id="0"/>
    <w:p w14:paraId="51F04556">
      <w:pPr>
        <w:pStyle w:val="8"/>
        <w:rPr>
          <w:rFonts w:hint="eastAsia" w:ascii="仿宋" w:hAnsi="仿宋" w:eastAsia="仿宋" w:cs="仿宋"/>
          <w:color w:val="auto"/>
          <w:highlight w:val="none"/>
        </w:rPr>
      </w:pPr>
    </w:p>
    <w:p w14:paraId="650242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i w:val="0"/>
          <w:iCs w:val="0"/>
          <w:color w:val="auto"/>
          <w:sz w:val="36"/>
          <w:szCs w:val="30"/>
          <w:highlight w:val="none"/>
        </w:rPr>
      </w:pPr>
    </w:p>
    <w:p w14:paraId="3A1B5C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i w:val="0"/>
          <w:iCs w:val="0"/>
          <w:color w:val="auto"/>
          <w:sz w:val="36"/>
          <w:szCs w:val="30"/>
          <w:highlight w:val="none"/>
        </w:rPr>
      </w:pPr>
    </w:p>
    <w:p w14:paraId="73E4A6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i w:val="0"/>
          <w:iCs w:val="0"/>
          <w:color w:val="auto"/>
          <w:sz w:val="36"/>
          <w:szCs w:val="30"/>
          <w:highlight w:val="none"/>
        </w:rPr>
      </w:pPr>
    </w:p>
    <w:p w14:paraId="7A2400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i w:val="0"/>
          <w:iCs w:val="0"/>
          <w:color w:val="auto"/>
          <w:sz w:val="36"/>
          <w:szCs w:val="30"/>
          <w:highlight w:val="none"/>
        </w:rPr>
      </w:pPr>
    </w:p>
    <w:p w14:paraId="5372433A">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highlight w:val="none"/>
        </w:rPr>
      </w:pPr>
    </w:p>
    <w:p w14:paraId="57803D80">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highlight w:val="none"/>
        </w:rPr>
      </w:pPr>
    </w:p>
    <w:p w14:paraId="2422A62C">
      <w:pPr>
        <w:keepNext w:val="0"/>
        <w:keepLines w:val="0"/>
        <w:pageBreakBefore w:val="0"/>
        <w:widowControl w:val="0"/>
        <w:kinsoku/>
        <w:wordWrap/>
        <w:overflowPunct/>
        <w:topLinePunct w:val="0"/>
        <w:autoSpaceDE/>
        <w:autoSpaceDN/>
        <w:bidi w:val="0"/>
        <w:adjustRightInd/>
        <w:snapToGrid/>
        <w:spacing w:line="360" w:lineRule="auto"/>
        <w:ind w:left="1443" w:leftChars="300" w:hanging="723" w:hangingChars="200"/>
        <w:jc w:val="left"/>
        <w:textAlignment w:val="auto"/>
        <w:rPr>
          <w:rFonts w:hint="eastAsia" w:ascii="仿宋" w:hAnsi="仿宋" w:eastAsia="仿宋" w:cs="仿宋"/>
          <w:b/>
          <w:bCs/>
          <w:i w:val="0"/>
          <w:iCs w:val="0"/>
          <w:color w:val="auto"/>
          <w:sz w:val="36"/>
          <w:szCs w:val="30"/>
          <w:highlight w:val="none"/>
          <w:lang w:val="en-US" w:eastAsia="zh-CN"/>
        </w:rPr>
      </w:pPr>
      <w:r>
        <w:rPr>
          <w:rFonts w:hint="eastAsia" w:ascii="仿宋" w:hAnsi="仿宋" w:eastAsia="仿宋" w:cs="仿宋"/>
          <w:b/>
          <w:bCs/>
          <w:i w:val="0"/>
          <w:iCs w:val="0"/>
          <w:color w:val="auto"/>
          <w:sz w:val="36"/>
          <w:szCs w:val="30"/>
          <w:highlight w:val="none"/>
        </w:rPr>
        <w:t>采购人：</w:t>
      </w:r>
      <w:r>
        <w:rPr>
          <w:rFonts w:hint="eastAsia" w:cs="仿宋"/>
          <w:b/>
          <w:bCs/>
          <w:i w:val="0"/>
          <w:iCs w:val="0"/>
          <w:color w:val="auto"/>
          <w:sz w:val="36"/>
          <w:szCs w:val="30"/>
          <w:highlight w:val="none"/>
          <w:lang w:eastAsia="zh-CN"/>
        </w:rPr>
        <w:t>重庆市大足区人民政府双路街道办事处</w:t>
      </w:r>
    </w:p>
    <w:p w14:paraId="2716B9A9">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rPr>
          <w:rFonts w:hint="eastAsia" w:ascii="仿宋" w:hAnsi="仿宋" w:eastAsia="仿宋" w:cs="仿宋"/>
          <w:b/>
          <w:bCs/>
          <w:i w:val="0"/>
          <w:iCs w:val="0"/>
          <w:color w:val="auto"/>
          <w:sz w:val="36"/>
          <w:szCs w:val="30"/>
          <w:highlight w:val="none"/>
          <w:lang w:val="en-US" w:eastAsia="zh-CN"/>
        </w:rPr>
      </w:pPr>
      <w:r>
        <w:rPr>
          <w:rFonts w:hint="eastAsia" w:ascii="仿宋" w:hAnsi="仿宋" w:eastAsia="仿宋" w:cs="仿宋"/>
          <w:b/>
          <w:bCs/>
          <w:i w:val="0"/>
          <w:iCs w:val="0"/>
          <w:color w:val="auto"/>
          <w:sz w:val="36"/>
          <w:szCs w:val="30"/>
          <w:highlight w:val="none"/>
        </w:rPr>
        <w:t>采购代理机构：</w:t>
      </w:r>
      <w:r>
        <w:rPr>
          <w:rFonts w:hint="eastAsia" w:cs="仿宋"/>
          <w:b/>
          <w:bCs/>
          <w:i w:val="0"/>
          <w:iCs w:val="0"/>
          <w:color w:val="auto"/>
          <w:sz w:val="36"/>
          <w:szCs w:val="30"/>
          <w:highlight w:val="none"/>
          <w:lang w:eastAsia="zh-CN"/>
        </w:rPr>
        <w:t>重庆渝强</w:t>
      </w:r>
      <w:r>
        <w:rPr>
          <w:rFonts w:hint="eastAsia" w:ascii="仿宋" w:hAnsi="仿宋" w:eastAsia="仿宋" w:cs="仿宋"/>
          <w:b/>
          <w:bCs/>
          <w:i w:val="0"/>
          <w:iCs w:val="0"/>
          <w:color w:val="auto"/>
          <w:sz w:val="36"/>
          <w:szCs w:val="30"/>
          <w:highlight w:val="none"/>
          <w:lang w:eastAsia="zh-CN"/>
        </w:rPr>
        <w:t>工程项目管理有限公司</w:t>
      </w:r>
    </w:p>
    <w:p w14:paraId="0BAACE1D">
      <w:pPr>
        <w:bidi w:val="0"/>
        <w:spacing w:line="360" w:lineRule="auto"/>
        <w:ind w:left="0" w:leftChars="0" w:firstLine="0" w:firstLineChars="0"/>
        <w:jc w:val="center"/>
        <w:outlineLvl w:val="9"/>
        <w:rPr>
          <w:rFonts w:hint="eastAsia" w:ascii="仿宋" w:hAnsi="仿宋" w:eastAsia="仿宋" w:cs="仿宋"/>
          <w:i w:val="0"/>
          <w:iCs w:val="0"/>
          <w:color w:val="auto"/>
          <w:sz w:val="36"/>
          <w:szCs w:val="30"/>
          <w:highlight w:val="none"/>
        </w:rPr>
      </w:pPr>
      <w:r>
        <w:rPr>
          <w:rFonts w:hint="eastAsia" w:ascii="仿宋" w:hAnsi="仿宋" w:eastAsia="仿宋" w:cs="仿宋"/>
          <w:b/>
          <w:bCs/>
          <w:i w:val="0"/>
          <w:iCs w:val="0"/>
          <w:color w:val="auto"/>
          <w:sz w:val="36"/>
          <w:szCs w:val="30"/>
          <w:highlight w:val="none"/>
        </w:rPr>
        <w:t>二〇二</w:t>
      </w:r>
      <w:r>
        <w:rPr>
          <w:rFonts w:hint="eastAsia" w:ascii="仿宋" w:hAnsi="仿宋" w:eastAsia="仿宋" w:cs="仿宋"/>
          <w:b/>
          <w:bCs/>
          <w:i w:val="0"/>
          <w:iCs w:val="0"/>
          <w:color w:val="auto"/>
          <w:sz w:val="36"/>
          <w:szCs w:val="30"/>
          <w:highlight w:val="none"/>
          <w:lang w:val="en-US" w:eastAsia="zh-CN"/>
        </w:rPr>
        <w:t>五</w:t>
      </w:r>
      <w:r>
        <w:rPr>
          <w:rFonts w:hint="eastAsia" w:ascii="仿宋" w:hAnsi="仿宋" w:eastAsia="仿宋" w:cs="仿宋"/>
          <w:b/>
          <w:bCs/>
          <w:i w:val="0"/>
          <w:iCs w:val="0"/>
          <w:color w:val="auto"/>
          <w:sz w:val="36"/>
          <w:szCs w:val="30"/>
          <w:highlight w:val="none"/>
        </w:rPr>
        <w:t>年</w:t>
      </w:r>
      <w:r>
        <w:rPr>
          <w:rFonts w:hint="eastAsia" w:cs="仿宋"/>
          <w:b/>
          <w:bCs/>
          <w:i w:val="0"/>
          <w:iCs w:val="0"/>
          <w:color w:val="auto"/>
          <w:sz w:val="36"/>
          <w:szCs w:val="30"/>
          <w:highlight w:val="none"/>
          <w:lang w:val="en-US" w:eastAsia="zh-CN"/>
        </w:rPr>
        <w:t>六</w:t>
      </w:r>
      <w:r>
        <w:rPr>
          <w:rFonts w:hint="eastAsia" w:ascii="仿宋" w:hAnsi="仿宋" w:eastAsia="仿宋" w:cs="仿宋"/>
          <w:b/>
          <w:bCs/>
          <w:i w:val="0"/>
          <w:iCs w:val="0"/>
          <w:color w:val="auto"/>
          <w:sz w:val="36"/>
          <w:szCs w:val="30"/>
          <w:highlight w:val="none"/>
        </w:rPr>
        <w:t>月</w:t>
      </w:r>
      <w:bookmarkStart w:id="1" w:name="_Toc11641050"/>
      <w:bookmarkStart w:id="2" w:name="_Toc12789052"/>
      <w:bookmarkStart w:id="3" w:name="_Toc76462316"/>
      <w:bookmarkStart w:id="4" w:name="_Toc106030870"/>
    </w:p>
    <w:p w14:paraId="3241C957">
      <w:pPr>
        <w:rPr>
          <w:rFonts w:hint="eastAsia" w:ascii="仿宋" w:hAnsi="仿宋" w:eastAsia="仿宋" w:cs="仿宋"/>
          <w:i w:val="0"/>
          <w:iCs w:val="0"/>
          <w:color w:val="auto"/>
          <w:sz w:val="36"/>
          <w:szCs w:val="30"/>
          <w:highlight w:val="none"/>
        </w:rPr>
      </w:pPr>
    </w:p>
    <w:p w14:paraId="440832BE">
      <w:pPr>
        <w:pStyle w:val="8"/>
        <w:rPr>
          <w:rFonts w:hint="eastAsia" w:ascii="仿宋" w:hAnsi="仿宋" w:eastAsia="仿宋" w:cs="仿宋"/>
          <w:color w:val="auto"/>
          <w:highlight w:val="none"/>
        </w:rPr>
        <w:sectPr>
          <w:headerReference r:id="rId5" w:type="default"/>
          <w:footerReference r:id="rId6" w:type="default"/>
          <w:footerReference r:id="rId7" w:type="even"/>
          <w:pgSz w:w="11907" w:h="16840"/>
          <w:pgMar w:top="1814" w:right="1191" w:bottom="1134" w:left="1304" w:header="794" w:footer="737" w:gutter="0"/>
          <w:pgNumType w:fmt="decimal"/>
          <w:cols w:space="0" w:num="1"/>
          <w:rtlGutter w:val="0"/>
          <w:docGrid w:linePitch="312" w:charSpace="0"/>
        </w:sectPr>
      </w:pPr>
    </w:p>
    <w:p w14:paraId="134D2DDA">
      <w:pPr>
        <w:pStyle w:val="15"/>
        <w:keepNext w:val="0"/>
        <w:keepLines w:val="0"/>
        <w:pageBreakBefore w:val="0"/>
        <w:widowControl w:val="0"/>
        <w:tabs>
          <w:tab w:val="right" w:leader="dot" w:pos="9412"/>
        </w:tabs>
        <w:kinsoku/>
        <w:wordWrap/>
        <w:overflowPunct/>
        <w:topLinePunct w:val="0"/>
        <w:autoSpaceDE/>
        <w:autoSpaceDN/>
        <w:bidi w:val="0"/>
        <w:adjustRightInd/>
        <w:snapToGrid/>
        <w:spacing w:before="219" w:beforeLines="70" w:after="63" w:afterLines="20" w:line="400" w:lineRule="exact"/>
        <w:textAlignment w:val="auto"/>
        <w:rPr>
          <w:rFonts w:hint="eastAsia" w:ascii="仿宋" w:hAnsi="仿宋" w:eastAsia="仿宋" w:cs="仿宋"/>
          <w:b/>
          <w:bCs/>
          <w:color w:val="auto"/>
          <w:sz w:val="40"/>
          <w:szCs w:val="24"/>
          <w:highlight w:val="none"/>
          <w:lang w:eastAsia="zh-CN"/>
        </w:rPr>
      </w:pPr>
      <w:r>
        <w:rPr>
          <w:rFonts w:hint="eastAsia" w:ascii="仿宋" w:hAnsi="仿宋" w:eastAsia="仿宋" w:cs="仿宋"/>
          <w:b/>
          <w:bCs/>
          <w:color w:val="auto"/>
          <w:sz w:val="40"/>
          <w:szCs w:val="24"/>
          <w:highlight w:val="none"/>
          <w:lang w:eastAsia="zh-CN"/>
        </w:rPr>
        <w:t>目</w:t>
      </w:r>
      <w:r>
        <w:rPr>
          <w:rFonts w:hint="eastAsia" w:ascii="仿宋" w:hAnsi="仿宋" w:eastAsia="仿宋" w:cs="仿宋"/>
          <w:b/>
          <w:bCs/>
          <w:color w:val="auto"/>
          <w:sz w:val="40"/>
          <w:szCs w:val="24"/>
          <w:highlight w:val="none"/>
          <w:lang w:val="en-US" w:eastAsia="zh-CN"/>
        </w:rPr>
        <w:t xml:space="preserve">  </w:t>
      </w:r>
      <w:r>
        <w:rPr>
          <w:rFonts w:hint="eastAsia" w:ascii="仿宋" w:hAnsi="仿宋" w:eastAsia="仿宋" w:cs="仿宋"/>
          <w:b/>
          <w:bCs/>
          <w:color w:val="auto"/>
          <w:sz w:val="40"/>
          <w:szCs w:val="24"/>
          <w:highlight w:val="none"/>
          <w:lang w:eastAsia="zh-CN"/>
        </w:rPr>
        <w:t>录</w:t>
      </w:r>
    </w:p>
    <w:p w14:paraId="6C24B1B9">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TOC \o "1-2" \h \u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_Toc15688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 xml:space="preserve">第一篇  </w:t>
      </w:r>
      <w:r>
        <w:rPr>
          <w:rFonts w:hint="eastAsia" w:ascii="仿宋" w:hAnsi="仿宋" w:eastAsia="仿宋" w:cs="仿宋"/>
          <w:color w:val="auto"/>
          <w:highlight w:val="none"/>
          <w:lang w:val="en-US" w:eastAsia="zh-CN"/>
        </w:rPr>
        <w:t>采购邀请书</w:t>
      </w:r>
      <w:r>
        <w:rPr>
          <w:color w:val="auto"/>
          <w:highlight w:val="none"/>
        </w:rPr>
        <w:tab/>
      </w:r>
      <w:r>
        <w:rPr>
          <w:color w:val="auto"/>
          <w:highlight w:val="none"/>
        </w:rPr>
        <w:fldChar w:fldCharType="begin"/>
      </w:r>
      <w:r>
        <w:rPr>
          <w:color w:val="auto"/>
          <w:highlight w:val="none"/>
        </w:rPr>
        <w:instrText xml:space="preserve"> PAGEREF _Toc15688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highlight w:val="none"/>
          <w:lang w:eastAsia="zh-CN"/>
        </w:rPr>
        <w:fldChar w:fldCharType="end"/>
      </w:r>
    </w:p>
    <w:p w14:paraId="53DDB14D">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_Toc20672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一、</w:t>
      </w:r>
      <w:r>
        <w:rPr>
          <w:rFonts w:hint="eastAsia" w:ascii="仿宋" w:hAnsi="仿宋" w:eastAsia="仿宋" w:cs="仿宋"/>
          <w:color w:val="auto"/>
          <w:highlight w:val="none"/>
          <w:lang w:val="en-US" w:eastAsia="zh-CN"/>
        </w:rPr>
        <w:t>比选项目内容</w:t>
      </w:r>
      <w:r>
        <w:rPr>
          <w:color w:val="auto"/>
          <w:highlight w:val="none"/>
        </w:rPr>
        <w:tab/>
      </w:r>
      <w:r>
        <w:rPr>
          <w:color w:val="auto"/>
          <w:highlight w:val="none"/>
        </w:rPr>
        <w:fldChar w:fldCharType="begin"/>
      </w:r>
      <w:r>
        <w:rPr>
          <w:color w:val="auto"/>
          <w:highlight w:val="none"/>
        </w:rPr>
        <w:instrText xml:space="preserve"> PAGEREF _Toc20672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highlight w:val="none"/>
          <w:lang w:eastAsia="zh-CN"/>
        </w:rPr>
        <w:fldChar w:fldCharType="end"/>
      </w:r>
    </w:p>
    <w:p w14:paraId="23923B1F">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_Toc2604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二、资金来源</w:t>
      </w:r>
      <w:r>
        <w:rPr>
          <w:color w:val="auto"/>
          <w:highlight w:val="none"/>
        </w:rPr>
        <w:tab/>
      </w:r>
      <w:r>
        <w:rPr>
          <w:color w:val="auto"/>
          <w:highlight w:val="none"/>
        </w:rPr>
        <w:fldChar w:fldCharType="begin"/>
      </w:r>
      <w:r>
        <w:rPr>
          <w:color w:val="auto"/>
          <w:highlight w:val="none"/>
        </w:rPr>
        <w:instrText xml:space="preserve"> PAGEREF _Toc2604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highlight w:val="none"/>
          <w:lang w:eastAsia="zh-CN"/>
        </w:rPr>
        <w:fldChar w:fldCharType="end"/>
      </w:r>
    </w:p>
    <w:p w14:paraId="39AFF9BC">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_Toc20443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资格条件</w:t>
      </w:r>
      <w:r>
        <w:rPr>
          <w:color w:val="auto"/>
          <w:highlight w:val="none"/>
        </w:rPr>
        <w:tab/>
      </w:r>
      <w:r>
        <w:rPr>
          <w:color w:val="auto"/>
          <w:highlight w:val="none"/>
        </w:rPr>
        <w:fldChar w:fldCharType="begin"/>
      </w:r>
      <w:r>
        <w:rPr>
          <w:color w:val="auto"/>
          <w:highlight w:val="none"/>
        </w:rPr>
        <w:instrText xml:space="preserve"> PAGEREF _Toc20443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highlight w:val="none"/>
          <w:lang w:eastAsia="zh-CN"/>
        </w:rPr>
        <w:fldChar w:fldCharType="end"/>
      </w:r>
    </w:p>
    <w:p w14:paraId="399AF8FE">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_Toc167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四、比选有关说明</w:t>
      </w:r>
      <w:r>
        <w:rPr>
          <w:color w:val="auto"/>
          <w:highlight w:val="none"/>
        </w:rPr>
        <w:tab/>
      </w:r>
      <w:r>
        <w:rPr>
          <w:color w:val="auto"/>
          <w:highlight w:val="none"/>
        </w:rPr>
        <w:fldChar w:fldCharType="begin"/>
      </w:r>
      <w:r>
        <w:rPr>
          <w:color w:val="auto"/>
          <w:highlight w:val="none"/>
        </w:rPr>
        <w:instrText xml:space="preserve"> PAGEREF _Toc167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highlight w:val="none"/>
          <w:lang w:eastAsia="zh-CN"/>
        </w:rPr>
        <w:fldChar w:fldCharType="end"/>
      </w:r>
    </w:p>
    <w:p w14:paraId="667031B5">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_Toc8616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_Toc8616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highlight w:val="none"/>
          <w:lang w:eastAsia="zh-CN"/>
        </w:rPr>
        <w:fldChar w:fldCharType="end"/>
      </w:r>
    </w:p>
    <w:p w14:paraId="77682B2C">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_Toc14762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eastAsia="zh-CN"/>
        </w:rPr>
        <w:t>其他</w:t>
      </w:r>
      <w:r>
        <w:rPr>
          <w:rFonts w:hint="eastAsia" w:ascii="仿宋" w:hAnsi="仿宋" w:eastAsia="仿宋" w:cs="仿宋"/>
          <w:color w:val="auto"/>
          <w:highlight w:val="none"/>
        </w:rPr>
        <w:t>有关规定</w:t>
      </w:r>
      <w:r>
        <w:rPr>
          <w:color w:val="auto"/>
          <w:highlight w:val="none"/>
        </w:rPr>
        <w:tab/>
      </w:r>
      <w:r>
        <w:rPr>
          <w:color w:val="auto"/>
          <w:highlight w:val="none"/>
        </w:rPr>
        <w:fldChar w:fldCharType="begin"/>
      </w:r>
      <w:r>
        <w:rPr>
          <w:color w:val="auto"/>
          <w:highlight w:val="none"/>
        </w:rPr>
        <w:instrText xml:space="preserve"> PAGEREF _Toc14762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highlight w:val="none"/>
          <w:lang w:eastAsia="zh-CN"/>
        </w:rPr>
        <w:fldChar w:fldCharType="end"/>
      </w:r>
    </w:p>
    <w:p w14:paraId="65DAB292">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_Toc258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_Toc258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highlight w:val="none"/>
          <w:lang w:eastAsia="zh-CN"/>
        </w:rPr>
        <w:fldChar w:fldCharType="end"/>
      </w:r>
    </w:p>
    <w:p w14:paraId="6738E95B">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_Toc15243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第二篇  项目</w:t>
      </w:r>
      <w:r>
        <w:rPr>
          <w:rFonts w:hint="eastAsia" w:cs="仿宋"/>
          <w:color w:val="auto"/>
          <w:highlight w:val="none"/>
          <w:lang w:val="en-US" w:eastAsia="zh-CN"/>
        </w:rPr>
        <w:t>服务</w:t>
      </w:r>
      <w:r>
        <w:rPr>
          <w:rFonts w:hint="eastAsia" w:ascii="仿宋" w:hAnsi="仿宋" w:eastAsia="仿宋" w:cs="仿宋"/>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_Toc15243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4B37BCFC">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_Toc24114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一、</w:t>
      </w:r>
      <w:r>
        <w:rPr>
          <w:rFonts w:hint="eastAsia" w:ascii="仿宋" w:hAnsi="仿宋" w:cs="仿宋"/>
          <w:color w:val="auto"/>
          <w:highlight w:val="none"/>
          <w:lang w:val="en-US" w:eastAsia="zh-CN"/>
        </w:rPr>
        <w:t>采购项目一览表</w:t>
      </w:r>
      <w:r>
        <w:rPr>
          <w:color w:val="auto"/>
          <w:highlight w:val="none"/>
        </w:rPr>
        <w:tab/>
      </w:r>
      <w:r>
        <w:rPr>
          <w:color w:val="auto"/>
          <w:highlight w:val="none"/>
        </w:rPr>
        <w:fldChar w:fldCharType="begin"/>
      </w:r>
      <w:r>
        <w:rPr>
          <w:color w:val="auto"/>
          <w:highlight w:val="none"/>
        </w:rPr>
        <w:instrText xml:space="preserve"> PAGEREF _Toc24114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2C01FF03">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_Toc13230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服务范围</w:t>
      </w:r>
      <w:r>
        <w:rPr>
          <w:color w:val="auto"/>
          <w:highlight w:val="none"/>
        </w:rPr>
        <w:tab/>
      </w:r>
      <w:bookmarkStart w:id="195" w:name="_GoBack"/>
      <w:bookmarkEnd w:id="195"/>
      <w:r>
        <w:rPr>
          <w:color w:val="auto"/>
          <w:highlight w:val="none"/>
        </w:rPr>
        <w:fldChar w:fldCharType="begin"/>
      </w:r>
      <w:r>
        <w:rPr>
          <w:color w:val="auto"/>
          <w:highlight w:val="none"/>
        </w:rPr>
        <w:instrText xml:space="preserve"> PAGEREF _Toc13230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7EEEC76D">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_Toc7762 </w:instrText>
      </w:r>
      <w:r>
        <w:rPr>
          <w:rFonts w:hint="eastAsia" w:ascii="仿宋" w:hAnsi="仿宋" w:eastAsia="仿宋" w:cs="仿宋"/>
          <w:color w:val="auto"/>
          <w:highlight w:val="none"/>
          <w:lang w:eastAsia="zh-CN"/>
        </w:rPr>
        <w:fldChar w:fldCharType="separate"/>
      </w:r>
      <w:r>
        <w:rPr>
          <w:rFonts w:hint="eastAsia"/>
          <w:color w:val="auto"/>
          <w:highlight w:val="none"/>
          <w:lang w:val="en-US" w:eastAsia="zh-CN"/>
        </w:rPr>
        <w:t>三、服务内容及要求</w:t>
      </w:r>
      <w:r>
        <w:rPr>
          <w:color w:val="auto"/>
          <w:highlight w:val="none"/>
        </w:rPr>
        <w:tab/>
      </w:r>
      <w:r>
        <w:rPr>
          <w:color w:val="auto"/>
          <w:highlight w:val="none"/>
        </w:rPr>
        <w:fldChar w:fldCharType="begin"/>
      </w:r>
      <w:r>
        <w:rPr>
          <w:color w:val="auto"/>
          <w:highlight w:val="none"/>
        </w:rPr>
        <w:instrText xml:space="preserve"> PAGEREF _Toc7762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4A26099D">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_Toc29387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第三篇</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项目商务需求</w:t>
      </w:r>
      <w:r>
        <w:rPr>
          <w:color w:val="auto"/>
          <w:highlight w:val="none"/>
        </w:rPr>
        <w:tab/>
      </w:r>
      <w:r>
        <w:rPr>
          <w:color w:val="auto"/>
          <w:highlight w:val="none"/>
        </w:rPr>
        <w:fldChar w:fldCharType="begin"/>
      </w:r>
      <w:r>
        <w:rPr>
          <w:color w:val="auto"/>
          <w:highlight w:val="none"/>
        </w:rPr>
        <w:instrText xml:space="preserve"> PAGEREF _Toc29387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highlight w:val="none"/>
          <w:lang w:eastAsia="zh-CN"/>
        </w:rPr>
        <w:fldChar w:fldCharType="end"/>
      </w:r>
    </w:p>
    <w:p w14:paraId="1066DAD7">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_Toc30503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一、</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期</w:t>
      </w:r>
      <w:r>
        <w:rPr>
          <w:rFonts w:hint="eastAsia" w:ascii="仿宋" w:hAnsi="仿宋" w:eastAsia="仿宋" w:cs="仿宋"/>
          <w:color w:val="auto"/>
          <w:highlight w:val="none"/>
          <w:lang w:eastAsia="zh-CN"/>
        </w:rPr>
        <w:t>限</w:t>
      </w:r>
      <w:r>
        <w:rPr>
          <w:rFonts w:hint="eastAsia" w:ascii="仿宋" w:hAnsi="仿宋" w:eastAsia="仿宋" w:cs="仿宋"/>
          <w:color w:val="auto"/>
          <w:highlight w:val="none"/>
        </w:rPr>
        <w:t>、地点及验收方式</w:t>
      </w:r>
      <w:r>
        <w:rPr>
          <w:color w:val="auto"/>
          <w:highlight w:val="none"/>
        </w:rPr>
        <w:tab/>
      </w:r>
      <w:r>
        <w:rPr>
          <w:color w:val="auto"/>
          <w:highlight w:val="none"/>
        </w:rPr>
        <w:fldChar w:fldCharType="begin"/>
      </w:r>
      <w:r>
        <w:rPr>
          <w:color w:val="auto"/>
          <w:highlight w:val="none"/>
        </w:rPr>
        <w:instrText xml:space="preserve"> PAGEREF _Toc30503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highlight w:val="none"/>
          <w:lang w:eastAsia="zh-CN"/>
        </w:rPr>
        <w:fldChar w:fldCharType="end"/>
      </w:r>
    </w:p>
    <w:p w14:paraId="3821A1AA">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_Toc26604 </w:instrText>
      </w:r>
      <w:r>
        <w:rPr>
          <w:rFonts w:hint="eastAsia" w:ascii="仿宋" w:hAnsi="仿宋" w:eastAsia="仿宋" w:cs="仿宋"/>
          <w:color w:val="auto"/>
          <w:highlight w:val="none"/>
          <w:lang w:eastAsia="zh-CN"/>
        </w:rPr>
        <w:fldChar w:fldCharType="separate"/>
      </w:r>
      <w:r>
        <w:rPr>
          <w:rFonts w:hint="eastAsia"/>
          <w:color w:val="auto"/>
          <w:highlight w:val="none"/>
          <w:lang w:val="en-US" w:eastAsia="zh-CN"/>
        </w:rPr>
        <w:t>二、</w:t>
      </w:r>
      <w:r>
        <w:rPr>
          <w:rFonts w:hint="eastAsia" w:ascii="仿宋" w:hAnsi="仿宋" w:eastAsia="仿宋" w:cs="仿宋"/>
          <w:color w:val="auto"/>
          <w:highlight w:val="none"/>
        </w:rPr>
        <w:t>报价要求</w:t>
      </w:r>
      <w:r>
        <w:rPr>
          <w:color w:val="auto"/>
          <w:highlight w:val="none"/>
        </w:rPr>
        <w:tab/>
      </w:r>
      <w:r>
        <w:rPr>
          <w:color w:val="auto"/>
          <w:highlight w:val="none"/>
        </w:rPr>
        <w:fldChar w:fldCharType="begin"/>
      </w:r>
      <w:r>
        <w:rPr>
          <w:color w:val="auto"/>
          <w:highlight w:val="none"/>
        </w:rPr>
        <w:instrText xml:space="preserve"> PAGEREF _Toc26604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highlight w:val="none"/>
          <w:lang w:eastAsia="zh-CN"/>
        </w:rPr>
        <w:fldChar w:fldCharType="end"/>
      </w:r>
    </w:p>
    <w:p w14:paraId="35BE88A5">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_Toc21117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询价及结算方式</w:t>
      </w:r>
      <w:r>
        <w:rPr>
          <w:color w:val="auto"/>
          <w:highlight w:val="none"/>
        </w:rPr>
        <w:tab/>
      </w:r>
      <w:r>
        <w:rPr>
          <w:color w:val="auto"/>
          <w:highlight w:val="none"/>
        </w:rPr>
        <w:fldChar w:fldCharType="begin"/>
      </w:r>
      <w:r>
        <w:rPr>
          <w:color w:val="auto"/>
          <w:highlight w:val="none"/>
        </w:rPr>
        <w:instrText xml:space="preserve"> PAGEREF _Toc21117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highlight w:val="none"/>
          <w:lang w:eastAsia="zh-CN"/>
        </w:rPr>
        <w:fldChar w:fldCharType="end"/>
      </w:r>
    </w:p>
    <w:p w14:paraId="5625B3D5">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_Toc30941 </w:instrText>
      </w:r>
      <w:r>
        <w:rPr>
          <w:rFonts w:hint="eastAsia" w:ascii="仿宋" w:hAnsi="仿宋" w:eastAsia="仿宋" w:cs="仿宋"/>
          <w:color w:val="auto"/>
          <w:highlight w:val="none"/>
          <w:lang w:eastAsia="zh-CN"/>
        </w:rPr>
        <w:fldChar w:fldCharType="separate"/>
      </w:r>
      <w:r>
        <w:rPr>
          <w:rFonts w:hint="eastAsia" w:ascii="仿宋" w:hAnsi="仿宋" w:cs="仿宋"/>
          <w:color w:val="auto"/>
          <w:highlight w:val="none"/>
          <w:lang w:val="en-US" w:eastAsia="zh-CN"/>
        </w:rPr>
        <w:t>四、履约保证金及</w:t>
      </w:r>
      <w:r>
        <w:rPr>
          <w:rFonts w:hint="eastAsia" w:ascii="仿宋" w:hAnsi="仿宋" w:eastAsia="仿宋" w:cs="仿宋"/>
          <w:color w:val="auto"/>
          <w:highlight w:val="none"/>
          <w:lang w:val="en-US" w:eastAsia="zh-CN"/>
        </w:rPr>
        <w:t>付款</w:t>
      </w:r>
      <w:r>
        <w:rPr>
          <w:rFonts w:hint="eastAsia" w:ascii="仿宋" w:hAnsi="仿宋" w:eastAsia="仿宋" w:cs="仿宋"/>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_Toc30941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highlight w:val="none"/>
          <w:lang w:eastAsia="zh-CN"/>
        </w:rPr>
        <w:fldChar w:fldCharType="end"/>
      </w:r>
    </w:p>
    <w:p w14:paraId="459B5580">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_Toc15735 </w:instrText>
      </w:r>
      <w:r>
        <w:rPr>
          <w:rFonts w:hint="eastAsia" w:ascii="仿宋" w:hAnsi="仿宋" w:eastAsia="仿宋" w:cs="仿宋"/>
          <w:color w:val="auto"/>
          <w:highlight w:val="none"/>
          <w:lang w:eastAsia="zh-CN"/>
        </w:rPr>
        <w:fldChar w:fldCharType="separate"/>
      </w:r>
      <w:r>
        <w:rPr>
          <w:rFonts w:hint="eastAsia" w:ascii="仿宋" w:hAnsi="仿宋" w:cs="仿宋"/>
          <w:color w:val="auto"/>
          <w:highlight w:val="none"/>
          <w:lang w:val="en-US" w:eastAsia="zh-CN"/>
        </w:rPr>
        <w:t>五</w:t>
      </w:r>
      <w:r>
        <w:rPr>
          <w:rFonts w:hint="eastAsia" w:ascii="仿宋" w:hAnsi="仿宋" w:eastAsia="仿宋" w:cs="仿宋"/>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_Toc15735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highlight w:val="none"/>
          <w:lang w:eastAsia="zh-CN"/>
        </w:rPr>
        <w:fldChar w:fldCharType="end"/>
      </w:r>
    </w:p>
    <w:p w14:paraId="2DC7AFE9">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_Toc19112 </w:instrText>
      </w:r>
      <w:r>
        <w:rPr>
          <w:rFonts w:hint="eastAsia" w:ascii="仿宋" w:hAnsi="仿宋" w:eastAsia="仿宋" w:cs="仿宋"/>
          <w:color w:val="auto"/>
          <w:highlight w:val="none"/>
          <w:lang w:eastAsia="zh-CN"/>
        </w:rPr>
        <w:fldChar w:fldCharType="separate"/>
      </w:r>
      <w:r>
        <w:rPr>
          <w:rFonts w:hint="eastAsia" w:ascii="仿宋" w:hAnsi="仿宋" w:cs="仿宋"/>
          <w:color w:val="auto"/>
          <w:highlight w:val="none"/>
          <w:lang w:val="en-US" w:eastAsia="zh-CN"/>
        </w:rPr>
        <w:t>六</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_Toc19112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highlight w:val="none"/>
          <w:lang w:eastAsia="zh-CN"/>
        </w:rPr>
        <w:fldChar w:fldCharType="end"/>
      </w:r>
    </w:p>
    <w:p w14:paraId="65C5B090">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_Toc19334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 xml:space="preserve">第四篇  </w:t>
      </w:r>
      <w:r>
        <w:rPr>
          <w:rFonts w:hint="eastAsia" w:ascii="仿宋" w:hAnsi="仿宋" w:eastAsia="仿宋" w:cs="仿宋"/>
          <w:color w:val="auto"/>
          <w:highlight w:val="none"/>
          <w:lang w:val="en-US" w:eastAsia="zh-CN"/>
        </w:rPr>
        <w:t>比选程序、</w:t>
      </w:r>
      <w:r>
        <w:rPr>
          <w:rFonts w:hint="eastAsia" w:ascii="仿宋" w:hAnsi="仿宋" w:eastAsia="仿宋" w:cs="仿宋"/>
          <w:color w:val="auto"/>
          <w:highlight w:val="none"/>
          <w:lang w:eastAsia="zh-CN"/>
        </w:rPr>
        <w:t>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lang w:eastAsia="zh-CN"/>
        </w:rPr>
        <w:t>标准、</w:t>
      </w:r>
      <w:r>
        <w:rPr>
          <w:rFonts w:hint="eastAsia" w:ascii="仿宋" w:hAnsi="仿宋" w:eastAsia="仿宋" w:cs="仿宋"/>
          <w:color w:val="auto"/>
          <w:highlight w:val="none"/>
          <w:lang w:val="en-US" w:eastAsia="zh-CN"/>
        </w:rPr>
        <w:t>无效响应及采购终止</w:t>
      </w:r>
      <w:r>
        <w:rPr>
          <w:color w:val="auto"/>
          <w:highlight w:val="none"/>
        </w:rPr>
        <w:tab/>
      </w:r>
      <w:r>
        <w:rPr>
          <w:color w:val="auto"/>
          <w:highlight w:val="none"/>
        </w:rPr>
        <w:fldChar w:fldCharType="begin"/>
      </w:r>
      <w:r>
        <w:rPr>
          <w:color w:val="auto"/>
          <w:highlight w:val="none"/>
        </w:rPr>
        <w:instrText xml:space="preserve"> PAGEREF _Toc19334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highlight w:val="none"/>
          <w:lang w:eastAsia="zh-CN"/>
        </w:rPr>
        <w:fldChar w:fldCharType="end"/>
      </w:r>
    </w:p>
    <w:p w14:paraId="1AF6304F">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_Toc25418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一、</w:t>
      </w:r>
      <w:r>
        <w:rPr>
          <w:rFonts w:hint="eastAsia" w:ascii="仿宋" w:hAnsi="仿宋" w:eastAsia="仿宋" w:cs="仿宋"/>
          <w:color w:val="auto"/>
          <w:highlight w:val="none"/>
          <w:lang w:val="en-US" w:eastAsia="zh-CN"/>
        </w:rPr>
        <w:t>比选程序</w:t>
      </w:r>
      <w:r>
        <w:rPr>
          <w:color w:val="auto"/>
          <w:highlight w:val="none"/>
        </w:rPr>
        <w:tab/>
      </w:r>
      <w:r>
        <w:rPr>
          <w:color w:val="auto"/>
          <w:highlight w:val="none"/>
        </w:rPr>
        <w:fldChar w:fldCharType="begin"/>
      </w:r>
      <w:r>
        <w:rPr>
          <w:color w:val="auto"/>
          <w:highlight w:val="none"/>
        </w:rPr>
        <w:instrText xml:space="preserve"> PAGEREF _Toc25418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highlight w:val="none"/>
          <w:lang w:eastAsia="zh-CN"/>
        </w:rPr>
        <w:fldChar w:fldCharType="end"/>
      </w:r>
    </w:p>
    <w:p w14:paraId="6A6E0CBB">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_Toc20953 </w:instrText>
      </w:r>
      <w:r>
        <w:rPr>
          <w:rFonts w:hint="eastAsia" w:ascii="仿宋" w:hAnsi="仿宋" w:eastAsia="仿宋" w:cs="仿宋"/>
          <w:color w:val="auto"/>
          <w:highlight w:val="none"/>
          <w:lang w:eastAsia="zh-CN"/>
        </w:rPr>
        <w:fldChar w:fldCharType="separate"/>
      </w:r>
      <w:r>
        <w:rPr>
          <w:rFonts w:hint="eastAsia"/>
          <w:color w:val="auto"/>
          <w:highlight w:val="none"/>
          <w:lang w:val="en-US" w:eastAsia="zh-CN"/>
        </w:rPr>
        <w:t>二、</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_Toc20953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highlight w:val="none"/>
          <w:lang w:eastAsia="zh-CN"/>
        </w:rPr>
        <w:fldChar w:fldCharType="end"/>
      </w:r>
    </w:p>
    <w:p w14:paraId="4CF81C2C">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_Toc5579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三、无效</w:t>
      </w:r>
      <w:r>
        <w:rPr>
          <w:rFonts w:hint="eastAsia" w:ascii="仿宋" w:hAnsi="仿宋" w:eastAsia="仿宋" w:cs="仿宋"/>
          <w:color w:val="auto"/>
          <w:highlight w:val="none"/>
          <w:lang w:val="en-US" w:eastAsia="zh-CN"/>
        </w:rPr>
        <w:t>响应</w:t>
      </w:r>
      <w:r>
        <w:rPr>
          <w:color w:val="auto"/>
          <w:highlight w:val="none"/>
        </w:rPr>
        <w:tab/>
      </w:r>
      <w:r>
        <w:rPr>
          <w:color w:val="auto"/>
          <w:highlight w:val="none"/>
        </w:rPr>
        <w:fldChar w:fldCharType="begin"/>
      </w:r>
      <w:r>
        <w:rPr>
          <w:color w:val="auto"/>
          <w:highlight w:val="none"/>
        </w:rPr>
        <w:instrText xml:space="preserve"> PAGEREF _Toc5579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highlight w:val="none"/>
          <w:lang w:eastAsia="zh-CN"/>
        </w:rPr>
        <w:fldChar w:fldCharType="end"/>
      </w:r>
    </w:p>
    <w:p w14:paraId="7F4079CD">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_Toc18307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_Toc18307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highlight w:val="none"/>
          <w:lang w:eastAsia="zh-CN"/>
        </w:rPr>
        <w:fldChar w:fldCharType="end"/>
      </w:r>
    </w:p>
    <w:p w14:paraId="12EA6979">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_Toc29791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_Toc29791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highlight w:val="none"/>
          <w:lang w:eastAsia="zh-CN"/>
        </w:rPr>
        <w:fldChar w:fldCharType="end"/>
      </w:r>
    </w:p>
    <w:p w14:paraId="7536FEEF">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_Toc14258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供应商</w:t>
      </w:r>
      <w:r>
        <w:rPr>
          <w:color w:val="auto"/>
          <w:highlight w:val="none"/>
        </w:rPr>
        <w:tab/>
      </w:r>
      <w:r>
        <w:rPr>
          <w:color w:val="auto"/>
          <w:highlight w:val="none"/>
        </w:rPr>
        <w:fldChar w:fldCharType="begin"/>
      </w:r>
      <w:r>
        <w:rPr>
          <w:color w:val="auto"/>
          <w:highlight w:val="none"/>
        </w:rPr>
        <w:instrText xml:space="preserve"> PAGEREF _Toc14258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highlight w:val="none"/>
          <w:lang w:eastAsia="zh-CN"/>
        </w:rPr>
        <w:fldChar w:fldCharType="end"/>
      </w:r>
    </w:p>
    <w:p w14:paraId="49D255AA">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_Toc8246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竞争性比选文件</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highlight w:val="none"/>
          <w:lang w:eastAsia="zh-CN"/>
        </w:rPr>
        <w:fldChar w:fldCharType="end"/>
      </w:r>
    </w:p>
    <w:p w14:paraId="11AA5938">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_Toc24226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响应文件</w:t>
      </w:r>
      <w:r>
        <w:rPr>
          <w:color w:val="auto"/>
          <w:highlight w:val="none"/>
        </w:rPr>
        <w:tab/>
      </w:r>
      <w:r>
        <w:rPr>
          <w:color w:val="auto"/>
          <w:highlight w:val="none"/>
        </w:rPr>
        <w:fldChar w:fldCharType="begin"/>
      </w:r>
      <w:r>
        <w:rPr>
          <w:color w:val="auto"/>
          <w:highlight w:val="none"/>
        </w:rPr>
        <w:instrText xml:space="preserve"> PAGEREF _Toc24226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highlight w:val="none"/>
          <w:lang w:eastAsia="zh-CN"/>
        </w:rPr>
        <w:fldChar w:fldCharType="end"/>
      </w:r>
    </w:p>
    <w:p w14:paraId="3B082425">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_Toc19749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_Toc19749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highlight w:val="none"/>
          <w:lang w:eastAsia="zh-CN"/>
        </w:rPr>
        <w:fldChar w:fldCharType="end"/>
      </w:r>
    </w:p>
    <w:p w14:paraId="7ED2746D">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_Toc3896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_Toc3896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highlight w:val="none"/>
          <w:lang w:eastAsia="zh-CN"/>
        </w:rPr>
        <w:fldChar w:fldCharType="end"/>
      </w:r>
    </w:p>
    <w:p w14:paraId="000B0329">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_Toc16214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_Toc16214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highlight w:val="none"/>
          <w:lang w:eastAsia="zh-CN"/>
        </w:rPr>
        <w:fldChar w:fldCharType="end"/>
      </w:r>
    </w:p>
    <w:p w14:paraId="611C5109">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_Toc11882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_Toc11882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highlight w:val="none"/>
          <w:lang w:eastAsia="zh-CN"/>
        </w:rPr>
        <w:fldChar w:fldCharType="end"/>
      </w:r>
    </w:p>
    <w:p w14:paraId="0E5CBB75">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_Toc31636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_Toc31636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highlight w:val="none"/>
          <w:lang w:eastAsia="zh-CN"/>
        </w:rPr>
        <w:fldChar w:fldCharType="end"/>
      </w:r>
    </w:p>
    <w:p w14:paraId="77328CA5">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_Toc15063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九、其他</w:t>
      </w:r>
      <w:r>
        <w:rPr>
          <w:color w:val="auto"/>
          <w:highlight w:val="none"/>
        </w:rPr>
        <w:tab/>
      </w:r>
      <w:r>
        <w:rPr>
          <w:color w:val="auto"/>
          <w:highlight w:val="none"/>
        </w:rPr>
        <w:fldChar w:fldCharType="begin"/>
      </w:r>
      <w:r>
        <w:rPr>
          <w:color w:val="auto"/>
          <w:highlight w:val="none"/>
        </w:rPr>
        <w:instrText xml:space="preserve"> PAGEREF _Toc15063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highlight w:val="none"/>
          <w:lang w:eastAsia="zh-CN"/>
        </w:rPr>
        <w:fldChar w:fldCharType="end"/>
      </w:r>
    </w:p>
    <w:p w14:paraId="3EF70553">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_Toc26361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 xml:space="preserve">第六篇  </w:t>
      </w:r>
      <w:r>
        <w:rPr>
          <w:rFonts w:hint="eastAsia" w:ascii="仿宋" w:hAnsi="仿宋" w:eastAsia="仿宋" w:cs="仿宋"/>
          <w:color w:val="auto"/>
          <w:highlight w:val="none"/>
          <w:lang w:val="en-US" w:eastAsia="zh-CN"/>
        </w:rPr>
        <w:t>采购合同</w:t>
      </w:r>
      <w:r>
        <w:rPr>
          <w:rFonts w:hint="eastAsia" w:cs="仿宋"/>
          <w:color w:val="auto"/>
          <w:highlight w:val="none"/>
          <w:lang w:val="en-US" w:eastAsia="zh-CN"/>
        </w:rPr>
        <w:t>（格式）</w:t>
      </w:r>
      <w:r>
        <w:rPr>
          <w:color w:val="auto"/>
          <w:highlight w:val="none"/>
        </w:rPr>
        <w:tab/>
      </w:r>
      <w:r>
        <w:rPr>
          <w:color w:val="auto"/>
          <w:highlight w:val="none"/>
        </w:rPr>
        <w:fldChar w:fldCharType="begin"/>
      </w:r>
      <w:r>
        <w:rPr>
          <w:color w:val="auto"/>
          <w:highlight w:val="none"/>
        </w:rPr>
        <w:instrText xml:space="preserve"> PAGEREF _Toc26361 \h </w:instrText>
      </w:r>
      <w:r>
        <w:rPr>
          <w:color w:val="auto"/>
          <w:highlight w:val="none"/>
        </w:rPr>
        <w:fldChar w:fldCharType="separate"/>
      </w:r>
      <w:r>
        <w:rPr>
          <w:color w:val="auto"/>
          <w:highlight w:val="none"/>
        </w:rPr>
        <w:t>- 20 -</w:t>
      </w:r>
      <w:r>
        <w:rPr>
          <w:color w:val="auto"/>
          <w:highlight w:val="none"/>
        </w:rPr>
        <w:fldChar w:fldCharType="end"/>
      </w:r>
      <w:r>
        <w:rPr>
          <w:rFonts w:hint="eastAsia" w:ascii="仿宋" w:hAnsi="仿宋" w:eastAsia="仿宋" w:cs="仿宋"/>
          <w:color w:val="auto"/>
          <w:highlight w:val="none"/>
          <w:lang w:eastAsia="zh-CN"/>
        </w:rPr>
        <w:fldChar w:fldCharType="end"/>
      </w:r>
    </w:p>
    <w:p w14:paraId="58C8B8C6">
      <w:pPr>
        <w:pStyle w:val="15"/>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_Toc19011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_Toc19011 \h </w:instrText>
      </w:r>
      <w:r>
        <w:rPr>
          <w:color w:val="auto"/>
          <w:highlight w:val="none"/>
        </w:rPr>
        <w:fldChar w:fldCharType="separate"/>
      </w:r>
      <w:r>
        <w:rPr>
          <w:color w:val="auto"/>
          <w:highlight w:val="none"/>
        </w:rPr>
        <w:t>- 23 -</w:t>
      </w:r>
      <w:r>
        <w:rPr>
          <w:color w:val="auto"/>
          <w:highlight w:val="none"/>
        </w:rPr>
        <w:fldChar w:fldCharType="end"/>
      </w:r>
      <w:r>
        <w:rPr>
          <w:rFonts w:hint="eastAsia" w:ascii="仿宋" w:hAnsi="仿宋" w:eastAsia="仿宋" w:cs="仿宋"/>
          <w:color w:val="auto"/>
          <w:highlight w:val="none"/>
          <w:lang w:eastAsia="zh-CN"/>
        </w:rPr>
        <w:fldChar w:fldCharType="end"/>
      </w:r>
    </w:p>
    <w:p w14:paraId="64BFEA60">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_Toc14596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val="en-US" w:eastAsia="zh-CN"/>
        </w:rPr>
        <w:t>一、经济部分</w:t>
      </w:r>
      <w:r>
        <w:rPr>
          <w:color w:val="auto"/>
          <w:highlight w:val="none"/>
        </w:rPr>
        <w:tab/>
      </w:r>
      <w:r>
        <w:rPr>
          <w:color w:val="auto"/>
          <w:highlight w:val="none"/>
        </w:rPr>
        <w:fldChar w:fldCharType="begin"/>
      </w:r>
      <w:r>
        <w:rPr>
          <w:color w:val="auto"/>
          <w:highlight w:val="none"/>
        </w:rPr>
        <w:instrText xml:space="preserve"> PAGEREF _Toc14596 \h </w:instrText>
      </w:r>
      <w:r>
        <w:rPr>
          <w:color w:val="auto"/>
          <w:highlight w:val="none"/>
        </w:rPr>
        <w:fldChar w:fldCharType="separate"/>
      </w:r>
      <w:r>
        <w:rPr>
          <w:color w:val="auto"/>
          <w:highlight w:val="none"/>
        </w:rPr>
        <w:t>- 25 -</w:t>
      </w:r>
      <w:r>
        <w:rPr>
          <w:color w:val="auto"/>
          <w:highlight w:val="none"/>
        </w:rPr>
        <w:fldChar w:fldCharType="end"/>
      </w:r>
      <w:r>
        <w:rPr>
          <w:rFonts w:hint="eastAsia" w:ascii="仿宋" w:hAnsi="仿宋" w:eastAsia="仿宋" w:cs="仿宋"/>
          <w:color w:val="auto"/>
          <w:highlight w:val="none"/>
          <w:lang w:eastAsia="zh-CN"/>
        </w:rPr>
        <w:fldChar w:fldCharType="end"/>
      </w:r>
    </w:p>
    <w:p w14:paraId="25403FD7">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_Toc29652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部分</w:t>
      </w:r>
      <w:r>
        <w:rPr>
          <w:color w:val="auto"/>
          <w:highlight w:val="none"/>
        </w:rPr>
        <w:tab/>
      </w:r>
      <w:r>
        <w:rPr>
          <w:color w:val="auto"/>
          <w:highlight w:val="none"/>
        </w:rPr>
        <w:fldChar w:fldCharType="begin"/>
      </w:r>
      <w:r>
        <w:rPr>
          <w:color w:val="auto"/>
          <w:highlight w:val="none"/>
        </w:rPr>
        <w:instrText xml:space="preserve"> PAGEREF _Toc29652 \h </w:instrText>
      </w:r>
      <w:r>
        <w:rPr>
          <w:color w:val="auto"/>
          <w:highlight w:val="none"/>
        </w:rPr>
        <w:fldChar w:fldCharType="separate"/>
      </w:r>
      <w:r>
        <w:rPr>
          <w:color w:val="auto"/>
          <w:highlight w:val="none"/>
        </w:rPr>
        <w:t>- 26 -</w:t>
      </w:r>
      <w:r>
        <w:rPr>
          <w:color w:val="auto"/>
          <w:highlight w:val="none"/>
        </w:rPr>
        <w:fldChar w:fldCharType="end"/>
      </w:r>
      <w:r>
        <w:rPr>
          <w:rFonts w:hint="eastAsia" w:ascii="仿宋" w:hAnsi="仿宋" w:eastAsia="仿宋" w:cs="仿宋"/>
          <w:color w:val="auto"/>
          <w:highlight w:val="none"/>
          <w:lang w:eastAsia="zh-CN"/>
        </w:rPr>
        <w:fldChar w:fldCharType="end"/>
      </w:r>
    </w:p>
    <w:p w14:paraId="3A809ECE">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_Toc31584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_Toc31584 \h </w:instrText>
      </w:r>
      <w:r>
        <w:rPr>
          <w:color w:val="auto"/>
          <w:highlight w:val="none"/>
        </w:rPr>
        <w:fldChar w:fldCharType="separate"/>
      </w:r>
      <w:r>
        <w:rPr>
          <w:color w:val="auto"/>
          <w:highlight w:val="none"/>
        </w:rPr>
        <w:t>- 28 -</w:t>
      </w:r>
      <w:r>
        <w:rPr>
          <w:color w:val="auto"/>
          <w:highlight w:val="none"/>
        </w:rPr>
        <w:fldChar w:fldCharType="end"/>
      </w:r>
      <w:r>
        <w:rPr>
          <w:rFonts w:hint="eastAsia" w:ascii="仿宋" w:hAnsi="仿宋" w:eastAsia="仿宋" w:cs="仿宋"/>
          <w:color w:val="auto"/>
          <w:highlight w:val="none"/>
          <w:lang w:eastAsia="zh-CN"/>
        </w:rPr>
        <w:fldChar w:fldCharType="end"/>
      </w:r>
    </w:p>
    <w:p w14:paraId="5E59B388">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_Toc5433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_Toc5433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highlight w:val="none"/>
          <w:lang w:eastAsia="zh-CN"/>
        </w:rPr>
        <w:fldChar w:fldCharType="end"/>
      </w:r>
    </w:p>
    <w:p w14:paraId="4A80841E">
      <w:pPr>
        <w:pStyle w:val="18"/>
        <w:tabs>
          <w:tab w:val="right" w:leader="dot" w:pos="9412"/>
        </w:tabs>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_Toc27876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_Toc27876 \h </w:instrText>
      </w:r>
      <w:r>
        <w:rPr>
          <w:color w:val="auto"/>
          <w:highlight w:val="none"/>
        </w:rPr>
        <w:fldChar w:fldCharType="separate"/>
      </w:r>
      <w:r>
        <w:rPr>
          <w:color w:val="auto"/>
          <w:highlight w:val="none"/>
        </w:rPr>
        <w:t>- 35 -</w:t>
      </w:r>
      <w:r>
        <w:rPr>
          <w:color w:val="auto"/>
          <w:highlight w:val="none"/>
        </w:rPr>
        <w:fldChar w:fldCharType="end"/>
      </w:r>
      <w:r>
        <w:rPr>
          <w:rFonts w:hint="eastAsia" w:ascii="仿宋" w:hAnsi="仿宋" w:eastAsia="仿宋" w:cs="仿宋"/>
          <w:color w:val="auto"/>
          <w:highlight w:val="none"/>
          <w:lang w:eastAsia="zh-CN"/>
        </w:rPr>
        <w:fldChar w:fldCharType="end"/>
      </w:r>
    </w:p>
    <w:p w14:paraId="55C06E44">
      <w:pPr>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fldChar w:fldCharType="end"/>
      </w:r>
    </w:p>
    <w:p w14:paraId="755E9021">
      <w:pPr>
        <w:bidi w:val="0"/>
        <w:rPr>
          <w:rFonts w:hint="eastAsia" w:ascii="仿宋" w:hAnsi="仿宋" w:eastAsia="仿宋" w:cs="仿宋"/>
          <w:color w:val="auto"/>
          <w:highlight w:val="none"/>
        </w:rPr>
        <w:sectPr>
          <w:footerReference r:id="rId8" w:type="default"/>
          <w:pgSz w:w="11907" w:h="16840"/>
          <w:pgMar w:top="1134" w:right="1191" w:bottom="1134" w:left="1304" w:header="794" w:footer="794" w:gutter="0"/>
          <w:pgNumType w:fmt="numberInDash" w:start="1"/>
          <w:cols w:space="0" w:num="1"/>
          <w:rtlGutter w:val="0"/>
          <w:docGrid w:linePitch="312" w:charSpace="0"/>
        </w:sectPr>
      </w:pPr>
      <w:bookmarkStart w:id="5" w:name="_Toc22498"/>
    </w:p>
    <w:p w14:paraId="2219F0E8">
      <w:pPr>
        <w:pStyle w:val="2"/>
        <w:bidi w:val="0"/>
        <w:rPr>
          <w:rFonts w:hint="eastAsia" w:ascii="仿宋" w:hAnsi="仿宋" w:eastAsia="仿宋" w:cs="仿宋"/>
          <w:color w:val="auto"/>
          <w:highlight w:val="none"/>
        </w:rPr>
      </w:pPr>
      <w:bookmarkStart w:id="6" w:name="_Toc15688"/>
      <w:r>
        <w:rPr>
          <w:rFonts w:hint="eastAsia" w:ascii="仿宋" w:hAnsi="仿宋" w:eastAsia="仿宋" w:cs="仿宋"/>
          <w:color w:val="auto"/>
          <w:highlight w:val="none"/>
        </w:rPr>
        <w:t xml:space="preserve">第一篇  </w:t>
      </w:r>
      <w:bookmarkEnd w:id="1"/>
      <w:bookmarkEnd w:id="2"/>
      <w:bookmarkEnd w:id="3"/>
      <w:bookmarkEnd w:id="4"/>
      <w:bookmarkEnd w:id="5"/>
      <w:r>
        <w:rPr>
          <w:rFonts w:hint="eastAsia" w:ascii="仿宋" w:hAnsi="仿宋" w:eastAsia="仿宋" w:cs="仿宋"/>
          <w:color w:val="auto"/>
          <w:highlight w:val="none"/>
          <w:lang w:val="en-US" w:eastAsia="zh-CN"/>
        </w:rPr>
        <w:t>采购邀请书</w:t>
      </w:r>
      <w:bookmarkEnd w:id="6"/>
    </w:p>
    <w:p w14:paraId="4EF2C47D">
      <w:pPr>
        <w:bidi w:val="0"/>
        <w:rPr>
          <w:rFonts w:hint="eastAsia" w:ascii="仿宋" w:hAnsi="仿宋" w:eastAsia="仿宋" w:cs="仿宋"/>
          <w:color w:val="auto"/>
          <w:highlight w:val="none"/>
          <w:lang w:eastAsia="zh-CN"/>
        </w:rPr>
      </w:pPr>
      <w:r>
        <w:rPr>
          <w:rFonts w:hint="eastAsia" w:cs="仿宋"/>
          <w:color w:val="auto"/>
          <w:highlight w:val="none"/>
          <w:u w:val="single"/>
          <w:lang w:val="en-US" w:eastAsia="zh-CN"/>
        </w:rPr>
        <w:t>重庆渝强</w:t>
      </w:r>
      <w:r>
        <w:rPr>
          <w:rFonts w:hint="eastAsia" w:ascii="仿宋" w:hAnsi="仿宋" w:eastAsia="仿宋" w:cs="仿宋"/>
          <w:color w:val="auto"/>
          <w:highlight w:val="none"/>
          <w:u w:val="single"/>
          <w:lang w:val="en-US" w:eastAsia="zh-CN"/>
        </w:rPr>
        <w:t>工程项目管理有限公司</w:t>
      </w:r>
      <w:r>
        <w:rPr>
          <w:rFonts w:hint="eastAsia" w:ascii="仿宋" w:hAnsi="仿宋" w:eastAsia="仿宋" w:cs="仿宋"/>
          <w:color w:val="auto"/>
          <w:highlight w:val="none"/>
        </w:rPr>
        <w:t>（以下简称：采购代理机构）</w:t>
      </w:r>
      <w:r>
        <w:rPr>
          <w:rFonts w:hint="eastAsia" w:ascii="仿宋" w:hAnsi="仿宋" w:eastAsia="仿宋" w:cs="仿宋"/>
          <w:color w:val="auto"/>
          <w:highlight w:val="none"/>
          <w:lang w:val="en-US" w:eastAsia="zh-CN"/>
        </w:rPr>
        <w:t>接</w:t>
      </w:r>
      <w:r>
        <w:rPr>
          <w:rFonts w:hint="eastAsia" w:ascii="仿宋" w:hAnsi="仿宋" w:eastAsia="仿宋" w:cs="仿宋"/>
          <w:color w:val="auto"/>
          <w:highlight w:val="none"/>
        </w:rPr>
        <w:t>受</w:t>
      </w:r>
      <w:r>
        <w:rPr>
          <w:rFonts w:hint="eastAsia" w:cs="仿宋"/>
          <w:color w:val="auto"/>
          <w:highlight w:val="none"/>
          <w:u w:val="single"/>
          <w:lang w:val="en-US" w:eastAsia="zh-CN"/>
        </w:rPr>
        <w:t>重庆市大足区人民政府双路街道办事处</w:t>
      </w:r>
      <w:r>
        <w:rPr>
          <w:rFonts w:hint="eastAsia" w:ascii="仿宋" w:hAnsi="仿宋" w:eastAsia="仿宋" w:cs="仿宋"/>
          <w:color w:val="auto"/>
          <w:highlight w:val="none"/>
        </w:rPr>
        <w:t>（以下简称：采购人）的委托，对</w:t>
      </w:r>
      <w:r>
        <w:rPr>
          <w:rFonts w:hint="eastAsia" w:cs="仿宋"/>
          <w:color w:val="auto"/>
          <w:highlight w:val="none"/>
          <w:u w:val="single"/>
          <w:lang w:val="en-US" w:eastAsia="zh-CN"/>
        </w:rPr>
        <w:t>重庆市大足区人民政府双路街道办事处职工食堂食材全品类集中采购配送服务</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u w:val="none"/>
          <w:lang w:eastAsia="zh-CN"/>
        </w:rPr>
        <w:t>项目采用竞争性比选方式进行采购。欢迎符合资格的供应商</w:t>
      </w:r>
      <w:r>
        <w:rPr>
          <w:rFonts w:hint="eastAsia" w:ascii="仿宋" w:hAnsi="仿宋" w:eastAsia="仿宋" w:cs="仿宋"/>
          <w:color w:val="auto"/>
          <w:highlight w:val="none"/>
          <w:u w:val="none"/>
          <w:lang w:val="en-US" w:eastAsia="zh-CN"/>
        </w:rPr>
        <w:t>踊跃</w:t>
      </w:r>
      <w:r>
        <w:rPr>
          <w:rFonts w:hint="eastAsia" w:ascii="仿宋" w:hAnsi="仿宋" w:eastAsia="仿宋" w:cs="仿宋"/>
          <w:color w:val="auto"/>
          <w:highlight w:val="none"/>
          <w:u w:val="none"/>
          <w:lang w:eastAsia="zh-CN"/>
        </w:rPr>
        <w:t>报价。</w:t>
      </w:r>
    </w:p>
    <w:p w14:paraId="328C3F02">
      <w:pPr>
        <w:pStyle w:val="3"/>
        <w:bidi w:val="0"/>
        <w:rPr>
          <w:rFonts w:hint="eastAsia" w:ascii="仿宋" w:hAnsi="仿宋" w:eastAsia="仿宋" w:cs="仿宋"/>
          <w:color w:val="auto"/>
          <w:highlight w:val="none"/>
        </w:rPr>
      </w:pPr>
      <w:bookmarkStart w:id="7" w:name="_Toc317775175"/>
      <w:bookmarkStart w:id="8" w:name="_Toc12808"/>
      <w:bookmarkStart w:id="9" w:name="_Toc313893526"/>
      <w:bookmarkStart w:id="10" w:name="_Toc18159"/>
      <w:bookmarkStart w:id="11" w:name="_Toc3463"/>
      <w:bookmarkStart w:id="12" w:name="_Toc25458"/>
      <w:bookmarkStart w:id="13" w:name="_Toc18881"/>
      <w:bookmarkStart w:id="14" w:name="_Toc26820"/>
      <w:bookmarkStart w:id="15" w:name="_Toc7625"/>
      <w:bookmarkStart w:id="16" w:name="_Toc25633"/>
      <w:bookmarkStart w:id="17" w:name="_Toc20672"/>
      <w:r>
        <w:rPr>
          <w:rFonts w:hint="eastAsia" w:ascii="仿宋" w:hAnsi="仿宋" w:eastAsia="仿宋" w:cs="仿宋"/>
          <w:color w:val="auto"/>
          <w:highlight w:val="none"/>
        </w:rPr>
        <w:t>一、</w:t>
      </w:r>
      <w:bookmarkEnd w:id="7"/>
      <w:bookmarkEnd w:id="8"/>
      <w:bookmarkEnd w:id="9"/>
      <w:bookmarkEnd w:id="10"/>
      <w:bookmarkEnd w:id="11"/>
      <w:bookmarkEnd w:id="12"/>
      <w:bookmarkEnd w:id="13"/>
      <w:bookmarkEnd w:id="14"/>
      <w:bookmarkEnd w:id="15"/>
      <w:bookmarkEnd w:id="16"/>
      <w:r>
        <w:rPr>
          <w:rFonts w:hint="eastAsia" w:ascii="仿宋" w:hAnsi="仿宋" w:eastAsia="仿宋" w:cs="仿宋"/>
          <w:color w:val="auto"/>
          <w:highlight w:val="none"/>
          <w:lang w:val="en-US" w:eastAsia="zh-CN"/>
        </w:rPr>
        <w:t>比选项目内容</w:t>
      </w:r>
      <w:bookmarkEnd w:id="17"/>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797"/>
        <w:gridCol w:w="1797"/>
        <w:gridCol w:w="1797"/>
        <w:gridCol w:w="1797"/>
      </w:tblGrid>
      <w:tr w14:paraId="6632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46" w:type="dxa"/>
            <w:tcBorders>
              <w:top w:val="single" w:color="auto" w:sz="4" w:space="0"/>
              <w:left w:val="single" w:color="auto" w:sz="4" w:space="0"/>
              <w:right w:val="single" w:color="auto" w:sz="4" w:space="0"/>
            </w:tcBorders>
            <w:vAlign w:val="center"/>
          </w:tcPr>
          <w:p w14:paraId="5E955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项目名称</w:t>
            </w:r>
          </w:p>
        </w:tc>
        <w:tc>
          <w:tcPr>
            <w:tcW w:w="1531" w:type="dxa"/>
            <w:tcBorders>
              <w:top w:val="single" w:color="auto" w:sz="4" w:space="0"/>
              <w:left w:val="single" w:color="auto" w:sz="4" w:space="0"/>
              <w:right w:val="single" w:color="auto" w:sz="4" w:space="0"/>
            </w:tcBorders>
            <w:vAlign w:val="center"/>
          </w:tcPr>
          <w:p w14:paraId="0835140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预算金额</w:t>
            </w:r>
          </w:p>
          <w:p w14:paraId="0C90AFB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color w:val="auto"/>
                <w:kern w:val="0"/>
                <w:sz w:val="22"/>
                <w:szCs w:val="22"/>
                <w:highlight w:val="none"/>
                <w:lang w:val="en-US" w:eastAsia="zh-CN"/>
              </w:rPr>
              <w:t>（</w:t>
            </w:r>
            <w:r>
              <w:rPr>
                <w:rFonts w:hint="eastAsia" w:cs="仿宋"/>
                <w:b/>
                <w:bCs/>
                <w:color w:val="auto"/>
                <w:kern w:val="0"/>
                <w:sz w:val="22"/>
                <w:szCs w:val="22"/>
                <w:highlight w:val="none"/>
                <w:lang w:val="en-US" w:eastAsia="zh-CN"/>
              </w:rPr>
              <w:t>万</w:t>
            </w:r>
            <w:r>
              <w:rPr>
                <w:rFonts w:hint="eastAsia" w:ascii="仿宋" w:hAnsi="仿宋" w:eastAsia="仿宋" w:cs="仿宋"/>
                <w:b/>
                <w:bCs/>
                <w:color w:val="auto"/>
                <w:kern w:val="0"/>
                <w:sz w:val="22"/>
                <w:szCs w:val="22"/>
                <w:highlight w:val="none"/>
                <w:lang w:val="en-US" w:eastAsia="zh-CN"/>
              </w:rPr>
              <w:t>元）</w:t>
            </w:r>
          </w:p>
        </w:tc>
        <w:tc>
          <w:tcPr>
            <w:tcW w:w="1531" w:type="dxa"/>
            <w:tcBorders>
              <w:top w:val="single" w:color="auto" w:sz="4" w:space="0"/>
              <w:left w:val="single" w:color="auto" w:sz="4" w:space="0"/>
              <w:right w:val="single" w:color="auto" w:sz="4" w:space="0"/>
            </w:tcBorders>
            <w:vAlign w:val="center"/>
          </w:tcPr>
          <w:p w14:paraId="148D13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比选保证金</w:t>
            </w:r>
          </w:p>
          <w:p w14:paraId="790BC7E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color w:val="auto"/>
                <w:kern w:val="0"/>
                <w:sz w:val="22"/>
                <w:szCs w:val="22"/>
                <w:highlight w:val="none"/>
                <w:lang w:val="en-US" w:eastAsia="zh-CN"/>
              </w:rPr>
              <w:t>（</w:t>
            </w:r>
            <w:r>
              <w:rPr>
                <w:rFonts w:hint="eastAsia" w:cs="仿宋"/>
                <w:b/>
                <w:bCs/>
                <w:color w:val="auto"/>
                <w:kern w:val="0"/>
                <w:sz w:val="22"/>
                <w:szCs w:val="22"/>
                <w:highlight w:val="none"/>
                <w:lang w:val="en-US" w:eastAsia="zh-CN"/>
              </w:rPr>
              <w:t>万</w:t>
            </w:r>
            <w:r>
              <w:rPr>
                <w:rFonts w:hint="eastAsia" w:ascii="仿宋" w:hAnsi="仿宋" w:eastAsia="仿宋" w:cs="仿宋"/>
                <w:b/>
                <w:bCs/>
                <w:color w:val="auto"/>
                <w:kern w:val="0"/>
                <w:sz w:val="22"/>
                <w:szCs w:val="22"/>
                <w:highlight w:val="none"/>
                <w:lang w:val="en-US" w:eastAsia="zh-CN"/>
              </w:rPr>
              <w:t>元）</w:t>
            </w:r>
          </w:p>
        </w:tc>
        <w:tc>
          <w:tcPr>
            <w:tcW w:w="1531" w:type="dxa"/>
            <w:tcBorders>
              <w:top w:val="single" w:color="auto" w:sz="4" w:space="0"/>
              <w:left w:val="single" w:color="auto" w:sz="4" w:space="0"/>
              <w:right w:val="single" w:color="auto" w:sz="4" w:space="0"/>
            </w:tcBorders>
            <w:vAlign w:val="center"/>
          </w:tcPr>
          <w:p w14:paraId="7ACCDEE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color w:val="auto"/>
                <w:kern w:val="0"/>
                <w:sz w:val="22"/>
                <w:szCs w:val="22"/>
                <w:highlight w:val="none"/>
                <w:lang w:val="en-US" w:eastAsia="zh-CN"/>
              </w:rPr>
              <w:t>最高</w:t>
            </w:r>
            <w:r>
              <w:rPr>
                <w:rFonts w:hint="eastAsia" w:cs="仿宋"/>
                <w:b/>
                <w:bCs/>
                <w:color w:val="auto"/>
                <w:kern w:val="0"/>
                <w:sz w:val="22"/>
                <w:szCs w:val="22"/>
                <w:highlight w:val="none"/>
                <w:lang w:val="en-US" w:eastAsia="zh-CN"/>
              </w:rPr>
              <w:t>折扣系数限价（%）</w:t>
            </w:r>
          </w:p>
        </w:tc>
        <w:tc>
          <w:tcPr>
            <w:tcW w:w="1531" w:type="dxa"/>
            <w:tcBorders>
              <w:top w:val="single" w:color="auto" w:sz="4" w:space="0"/>
              <w:left w:val="single" w:color="auto" w:sz="4" w:space="0"/>
              <w:right w:val="single" w:color="auto" w:sz="4" w:space="0"/>
            </w:tcBorders>
            <w:vAlign w:val="center"/>
          </w:tcPr>
          <w:p w14:paraId="4D7189C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b/>
                <w:bCs/>
                <w:i w:val="0"/>
                <w:iCs w:val="0"/>
                <w:color w:val="auto"/>
                <w:kern w:val="0"/>
                <w:sz w:val="21"/>
                <w:szCs w:val="21"/>
                <w:highlight w:val="none"/>
              </w:rPr>
            </w:pPr>
            <w:r>
              <w:rPr>
                <w:rFonts w:hint="eastAsia" w:cs="仿宋"/>
                <w:b/>
                <w:bCs/>
                <w:color w:val="auto"/>
                <w:kern w:val="0"/>
                <w:sz w:val="22"/>
                <w:szCs w:val="22"/>
                <w:highlight w:val="none"/>
                <w:lang w:val="en-US" w:eastAsia="zh-CN"/>
              </w:rPr>
              <w:t>成交供应商</w:t>
            </w:r>
            <w:r>
              <w:rPr>
                <w:rFonts w:hint="eastAsia" w:ascii="仿宋" w:hAnsi="仿宋" w:eastAsia="仿宋" w:cs="仿宋"/>
                <w:b/>
                <w:bCs/>
                <w:color w:val="auto"/>
                <w:kern w:val="0"/>
                <w:sz w:val="22"/>
                <w:szCs w:val="22"/>
                <w:highlight w:val="none"/>
                <w:lang w:val="en-US" w:eastAsia="zh-CN"/>
              </w:rPr>
              <w:t>（名）</w:t>
            </w:r>
          </w:p>
        </w:tc>
      </w:tr>
      <w:tr w14:paraId="7F43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607C66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kern w:val="0"/>
                <w:sz w:val="21"/>
                <w:szCs w:val="21"/>
                <w:highlight w:val="none"/>
                <w:lang w:val="en-US" w:eastAsia="zh-CN"/>
              </w:rPr>
            </w:pPr>
            <w:bookmarkStart w:id="18" w:name="_Hlk344477914"/>
            <w:r>
              <w:rPr>
                <w:rFonts w:hint="eastAsia" w:cs="仿宋"/>
                <w:i w:val="0"/>
                <w:iCs w:val="0"/>
                <w:color w:val="auto"/>
                <w:kern w:val="0"/>
                <w:sz w:val="21"/>
                <w:szCs w:val="21"/>
                <w:highlight w:val="none"/>
                <w:lang w:val="en-US" w:eastAsia="zh-CN"/>
              </w:rPr>
              <w:t>重庆市大足区人民政府双路街道办事处职工食堂食材全品类集中采购配送服务</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534B61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48.00</w:t>
            </w:r>
          </w:p>
        </w:tc>
        <w:tc>
          <w:tcPr>
            <w:tcW w:w="1531" w:type="dxa"/>
            <w:tcBorders>
              <w:top w:val="single" w:color="auto" w:sz="4" w:space="0"/>
              <w:left w:val="single" w:color="auto" w:sz="4" w:space="0"/>
              <w:bottom w:val="single" w:color="auto" w:sz="4" w:space="0"/>
              <w:right w:val="single" w:color="auto" w:sz="4" w:space="0"/>
            </w:tcBorders>
            <w:vAlign w:val="center"/>
          </w:tcPr>
          <w:p w14:paraId="15ED5F5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i w:val="0"/>
                <w:iCs w:val="0"/>
                <w:color w:val="auto"/>
                <w:kern w:val="0"/>
                <w:sz w:val="21"/>
                <w:szCs w:val="21"/>
                <w:highlight w:val="none"/>
                <w:lang w:val="en-US" w:eastAsia="zh-CN"/>
              </w:rPr>
            </w:pPr>
            <w:r>
              <w:rPr>
                <w:rFonts w:hint="eastAsia" w:cs="仿宋"/>
                <w:b w:val="0"/>
                <w:bCs w:val="0"/>
                <w:color w:val="auto"/>
                <w:kern w:val="0"/>
                <w:sz w:val="22"/>
                <w:szCs w:val="22"/>
                <w:highlight w:val="none"/>
                <w:lang w:val="en-US" w:eastAsia="zh-CN"/>
              </w:rPr>
              <w:t>/</w:t>
            </w:r>
          </w:p>
        </w:tc>
        <w:tc>
          <w:tcPr>
            <w:tcW w:w="1531" w:type="dxa"/>
            <w:tcBorders>
              <w:top w:val="single" w:color="auto" w:sz="4" w:space="0"/>
              <w:left w:val="single" w:color="auto" w:sz="4" w:space="0"/>
              <w:bottom w:val="single" w:color="auto" w:sz="4" w:space="0"/>
              <w:right w:val="single" w:color="auto" w:sz="4" w:space="0"/>
            </w:tcBorders>
            <w:vAlign w:val="center"/>
          </w:tcPr>
          <w:p w14:paraId="1C1DC67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color w:val="auto"/>
                <w:kern w:val="0"/>
                <w:sz w:val="21"/>
                <w:szCs w:val="21"/>
                <w:highlight w:val="none"/>
                <w:lang w:eastAsia="zh-CN"/>
              </w:rPr>
            </w:pPr>
            <w:r>
              <w:rPr>
                <w:rFonts w:hint="eastAsia" w:cs="仿宋"/>
                <w:b w:val="0"/>
                <w:bCs w:val="0"/>
                <w:color w:val="auto"/>
                <w:kern w:val="0"/>
                <w:sz w:val="22"/>
                <w:szCs w:val="22"/>
                <w:highlight w:val="none"/>
                <w:lang w:val="en-US" w:eastAsia="zh-CN"/>
              </w:rPr>
              <w:t>98.00</w:t>
            </w:r>
          </w:p>
        </w:tc>
        <w:tc>
          <w:tcPr>
            <w:tcW w:w="1531" w:type="dxa"/>
            <w:tcBorders>
              <w:top w:val="single" w:color="auto" w:sz="4" w:space="0"/>
              <w:left w:val="single" w:color="auto" w:sz="4" w:space="0"/>
              <w:bottom w:val="single" w:color="auto" w:sz="4" w:space="0"/>
              <w:right w:val="single" w:color="auto" w:sz="4" w:space="0"/>
            </w:tcBorders>
            <w:vAlign w:val="center"/>
          </w:tcPr>
          <w:p w14:paraId="3141B4D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 w:hAnsi="仿宋" w:eastAsia="仿宋" w:cs="仿宋"/>
                <w:color w:val="auto"/>
                <w:kern w:val="0"/>
                <w:sz w:val="21"/>
                <w:szCs w:val="21"/>
                <w:highlight w:val="none"/>
                <w:lang w:val="en-US" w:eastAsia="zh-CN"/>
              </w:rPr>
            </w:pPr>
            <w:r>
              <w:rPr>
                <w:rFonts w:hint="eastAsia" w:cs="仿宋"/>
                <w:b w:val="0"/>
                <w:bCs w:val="0"/>
                <w:color w:val="auto"/>
                <w:kern w:val="0"/>
                <w:sz w:val="22"/>
                <w:szCs w:val="22"/>
                <w:highlight w:val="none"/>
                <w:lang w:val="en-US" w:eastAsia="zh-CN"/>
              </w:rPr>
              <w:t>1</w:t>
            </w:r>
          </w:p>
        </w:tc>
      </w:tr>
      <w:bookmarkEnd w:id="18"/>
    </w:tbl>
    <w:p w14:paraId="775E94AD">
      <w:pPr>
        <w:pStyle w:val="3"/>
        <w:bidi w:val="0"/>
        <w:rPr>
          <w:rFonts w:hint="eastAsia" w:ascii="仿宋" w:hAnsi="仿宋" w:eastAsia="仿宋" w:cs="仿宋"/>
          <w:color w:val="auto"/>
          <w:highlight w:val="none"/>
          <w:lang w:val="en-US" w:eastAsia="zh-CN"/>
        </w:rPr>
      </w:pPr>
      <w:bookmarkStart w:id="19" w:name="_Toc812"/>
      <w:bookmarkStart w:id="20" w:name="_Toc2604"/>
      <w:bookmarkStart w:id="21" w:name="_Toc6462"/>
      <w:bookmarkStart w:id="22" w:name="_Toc22399"/>
      <w:bookmarkStart w:id="23" w:name="_Toc15727"/>
      <w:bookmarkStart w:id="24" w:name="_Toc19437"/>
      <w:bookmarkStart w:id="25" w:name="_Toc15576"/>
      <w:bookmarkStart w:id="26" w:name="_Toc1790"/>
      <w:bookmarkStart w:id="27" w:name="_Toc25190"/>
      <w:bookmarkStart w:id="28" w:name="_Toc317775178"/>
      <w:bookmarkStart w:id="29" w:name="_Toc373860293"/>
      <w:r>
        <w:rPr>
          <w:rFonts w:hint="eastAsia" w:ascii="仿宋" w:hAnsi="仿宋" w:eastAsia="仿宋" w:cs="仿宋"/>
          <w:color w:val="auto"/>
          <w:highlight w:val="none"/>
          <w:lang w:val="en-US" w:eastAsia="zh-CN"/>
        </w:rPr>
        <w:t>二、资金来源</w:t>
      </w:r>
      <w:bookmarkEnd w:id="19"/>
      <w:bookmarkEnd w:id="20"/>
    </w:p>
    <w:p w14:paraId="2C984DBD">
      <w:pPr>
        <w:bidi w:val="0"/>
        <w:rPr>
          <w:rFonts w:hint="eastAsia" w:ascii="仿宋" w:hAnsi="仿宋" w:eastAsia="仿宋" w:cs="仿宋"/>
          <w:color w:val="auto"/>
          <w:highlight w:val="none"/>
        </w:rPr>
      </w:pPr>
      <w:r>
        <w:rPr>
          <w:rFonts w:hint="eastAsia" w:cs="仿宋"/>
          <w:color w:val="auto"/>
          <w:highlight w:val="none"/>
          <w:lang w:val="en-US" w:eastAsia="zh-CN"/>
        </w:rPr>
        <w:t>财政</w:t>
      </w:r>
      <w:r>
        <w:rPr>
          <w:rFonts w:hint="eastAsia" w:ascii="仿宋" w:hAnsi="仿宋" w:eastAsia="仿宋" w:cs="仿宋"/>
          <w:color w:val="auto"/>
          <w:highlight w:val="none"/>
        </w:rPr>
        <w:t>资金。</w:t>
      </w:r>
    </w:p>
    <w:p w14:paraId="3B4EAC30">
      <w:pPr>
        <w:pStyle w:val="3"/>
        <w:bidi w:val="0"/>
        <w:rPr>
          <w:rFonts w:hint="eastAsia" w:ascii="仿宋" w:hAnsi="仿宋" w:eastAsia="仿宋" w:cs="仿宋"/>
          <w:color w:val="auto"/>
          <w:highlight w:val="none"/>
        </w:rPr>
      </w:pPr>
      <w:bookmarkStart w:id="30" w:name="_Toc30054"/>
      <w:bookmarkStart w:id="31" w:name="_Toc20443"/>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bookmarkEnd w:id="21"/>
      <w:bookmarkEnd w:id="22"/>
      <w:bookmarkEnd w:id="23"/>
      <w:bookmarkEnd w:id="24"/>
      <w:bookmarkEnd w:id="25"/>
      <w:bookmarkEnd w:id="26"/>
      <w:bookmarkEnd w:id="27"/>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资格条件</w:t>
      </w:r>
      <w:bookmarkEnd w:id="30"/>
      <w:bookmarkEnd w:id="31"/>
    </w:p>
    <w:bookmarkEnd w:id="28"/>
    <w:bookmarkEnd w:id="29"/>
    <w:p w14:paraId="5C5D013A">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供应商是指向采购人提供货物、工程或者服务的法人、其他组织或者自然人，以下简称供应商。合格的供应商应符合下列条件：</w:t>
      </w:r>
    </w:p>
    <w:p w14:paraId="5D0FD324">
      <w:pPr>
        <w:bidi w:val="0"/>
        <w:rPr>
          <w:rFonts w:hint="eastAsia" w:ascii="仿宋" w:hAnsi="仿宋" w:eastAsia="仿宋" w:cs="仿宋"/>
          <w:color w:val="auto"/>
          <w:highlight w:val="none"/>
          <w:u w:val="none"/>
        </w:rPr>
      </w:pPr>
      <w:r>
        <w:rPr>
          <w:rFonts w:hint="eastAsia" w:ascii="仿宋" w:hAnsi="仿宋" w:eastAsia="仿宋" w:cs="仿宋"/>
          <w:color w:val="auto"/>
          <w:highlight w:val="none"/>
        </w:rPr>
        <w:t>（一</w:t>
      </w:r>
      <w:r>
        <w:rPr>
          <w:rFonts w:hint="eastAsia" w:ascii="仿宋" w:hAnsi="仿宋" w:eastAsia="仿宋" w:cs="仿宋"/>
          <w:color w:val="auto"/>
          <w:highlight w:val="none"/>
          <w:u w:val="none"/>
        </w:rPr>
        <w:t>）满足《中华人民共和国政府采购法》第二十二条规定；</w:t>
      </w:r>
    </w:p>
    <w:p w14:paraId="17ED8C8C">
      <w:pPr>
        <w:bidi w:val="0"/>
        <w:rPr>
          <w:rFonts w:hint="eastAsia" w:ascii="仿宋" w:hAnsi="仿宋" w:eastAsia="仿宋" w:cs="仿宋"/>
          <w:color w:val="auto"/>
          <w:highlight w:val="none"/>
          <w:u w:val="none"/>
        </w:rPr>
      </w:pPr>
      <w:r>
        <w:rPr>
          <w:rFonts w:hint="eastAsia" w:ascii="仿宋" w:hAnsi="仿宋" w:eastAsia="仿宋" w:cs="仿宋"/>
          <w:color w:val="auto"/>
          <w:highlight w:val="none"/>
          <w:u w:val="none"/>
        </w:rPr>
        <w:t>（二）本项目的特定资格要求</w:t>
      </w:r>
      <w:r>
        <w:rPr>
          <w:rFonts w:hint="eastAsia" w:ascii="仿宋" w:hAnsi="仿宋" w:eastAsia="仿宋" w:cs="仿宋"/>
          <w:color w:val="auto"/>
          <w:highlight w:val="none"/>
          <w:u w:val="none"/>
          <w:lang w:val="en-US" w:eastAsia="zh-CN"/>
        </w:rPr>
        <w:t>：</w:t>
      </w:r>
      <w:r>
        <w:rPr>
          <w:rFonts w:hint="eastAsia" w:cs="仿宋"/>
          <w:color w:val="auto"/>
          <w:highlight w:val="none"/>
          <w:u w:val="none"/>
          <w:lang w:val="en-US" w:eastAsia="zh-CN"/>
        </w:rPr>
        <w:t>供应商</w:t>
      </w:r>
      <w:r>
        <w:rPr>
          <w:rFonts w:hint="eastAsia" w:ascii="仿宋" w:hAnsi="仿宋" w:eastAsia="仿宋" w:cs="仿宋"/>
          <w:color w:val="auto"/>
          <w:highlight w:val="none"/>
          <w:u w:val="none"/>
          <w:lang w:val="en-US" w:eastAsia="zh-CN"/>
        </w:rPr>
        <w:t>须具备市场监管部门颁发的食品生产许可证或食品经营许可证。（提供有效的证书复印件（加盖公章））</w:t>
      </w:r>
      <w:r>
        <w:rPr>
          <w:rFonts w:hint="eastAsia" w:ascii="仿宋" w:hAnsi="仿宋" w:eastAsia="仿宋" w:cs="仿宋"/>
          <w:color w:val="auto"/>
          <w:highlight w:val="none"/>
          <w:u w:val="none"/>
        </w:rPr>
        <w:t>。</w:t>
      </w:r>
    </w:p>
    <w:p w14:paraId="5C835672">
      <w:pPr>
        <w:pStyle w:val="3"/>
        <w:bidi w:val="0"/>
        <w:rPr>
          <w:rFonts w:hint="eastAsia" w:ascii="仿宋" w:hAnsi="仿宋" w:eastAsia="仿宋" w:cs="仿宋"/>
          <w:color w:val="auto"/>
          <w:highlight w:val="none"/>
          <w:lang w:val="en-US" w:eastAsia="zh-CN"/>
        </w:rPr>
      </w:pPr>
      <w:bookmarkStart w:id="32" w:name="_Toc8344"/>
      <w:bookmarkStart w:id="33" w:name="_Toc167"/>
      <w:r>
        <w:rPr>
          <w:rFonts w:hint="eastAsia" w:ascii="仿宋" w:hAnsi="仿宋" w:eastAsia="仿宋" w:cs="仿宋"/>
          <w:color w:val="auto"/>
          <w:highlight w:val="none"/>
          <w:lang w:val="en-US" w:eastAsia="zh-CN"/>
        </w:rPr>
        <w:t>四、</w:t>
      </w:r>
      <w:bookmarkEnd w:id="32"/>
      <w:r>
        <w:rPr>
          <w:rFonts w:hint="eastAsia" w:ascii="仿宋" w:hAnsi="仿宋" w:eastAsia="仿宋" w:cs="仿宋"/>
          <w:color w:val="auto"/>
          <w:highlight w:val="none"/>
          <w:lang w:val="en-US" w:eastAsia="zh-CN"/>
        </w:rPr>
        <w:t>比选有关说明</w:t>
      </w:r>
      <w:bookmarkEnd w:id="33"/>
    </w:p>
    <w:p w14:paraId="75556F42">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供应商应通过“行采家”服务平台（https://www.gec123.com）进行注册，成为行采家平台正式供应商。凡有意参加比选的供应商，请在行采家-电子竞采中心上下载本项目竞争性比选文件以及补遗等报价前公布的所有项目资料，无论供应商下载与否，均视为已知晓所有竞争性比选实质性要求内容。</w:t>
      </w:r>
    </w:p>
    <w:p w14:paraId="30B3219D">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（二）竞争性比选文件发售期限及报名方式</w:t>
      </w:r>
    </w:p>
    <w:p w14:paraId="30551779">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1.竞争性比选文件发售期限：本项目竞争性比选公告发布之日起至报价截止时间止。</w:t>
      </w:r>
    </w:p>
    <w:p w14:paraId="260E7B1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2.报名方式：在竞争性比选文件发售期限内，供应商将竞争性比选文件购买费转入附件一《竞争性比选文件发售登记表》要求的二维码中，转账时注明“</w:t>
      </w:r>
      <w:r>
        <w:rPr>
          <w:rFonts w:hint="eastAsia" w:ascii="仿宋" w:hAnsi="仿宋" w:eastAsia="仿宋" w:cs="仿宋"/>
          <w:color w:val="auto"/>
          <w:highlight w:val="none"/>
          <w:u w:val="single"/>
          <w:lang w:val="en-US" w:eastAsia="zh-CN"/>
        </w:rPr>
        <w:t>供应商简称—</w:t>
      </w:r>
      <w:r>
        <w:rPr>
          <w:rFonts w:hint="eastAsia" w:cs="仿宋"/>
          <w:color w:val="auto"/>
          <w:highlight w:val="none"/>
          <w:u w:val="single"/>
          <w:lang w:val="en-US" w:eastAsia="zh-CN"/>
        </w:rPr>
        <w:t>YQDZCG25008</w:t>
      </w:r>
      <w:r>
        <w:rPr>
          <w:rFonts w:hint="eastAsia" w:ascii="仿宋" w:hAnsi="仿宋" w:eastAsia="仿宋" w:cs="仿宋"/>
          <w:color w:val="auto"/>
          <w:highlight w:val="none"/>
          <w:lang w:val="en-US" w:eastAsia="zh-CN"/>
        </w:rPr>
        <w:t>”，并将《竞争性比选文件发售登记表》填写完整加盖供应商公章扫描后同竞争性比选文件购买费转账截图一起发送至指定邮箱（</w:t>
      </w:r>
      <w:r>
        <w:rPr>
          <w:rFonts w:hint="eastAsia" w:cs="仿宋"/>
          <w:color w:val="auto"/>
          <w:highlight w:val="none"/>
          <w:lang w:val="en-US" w:eastAsia="zh-CN"/>
        </w:rPr>
        <w:t>331409211</w:t>
      </w:r>
      <w:r>
        <w:rPr>
          <w:rFonts w:hint="eastAsia" w:ascii="仿宋" w:hAnsi="仿宋" w:eastAsia="仿宋" w:cs="仿宋"/>
          <w:color w:val="auto"/>
          <w:highlight w:val="none"/>
          <w:lang w:val="en-US" w:eastAsia="zh-CN"/>
        </w:rPr>
        <w:t>@qq.com）。</w:t>
      </w:r>
    </w:p>
    <w:p w14:paraId="3D81400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3.竞争性比选文件售价：人民币500元/份，售后不退。</w:t>
      </w:r>
    </w:p>
    <w:p w14:paraId="29B95D15">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注：在竞争性比选文件发售期限内，按时间要求及备注要求购买了竞争性比选文件的供应商，其响应文件才能被接收。</w:t>
      </w:r>
    </w:p>
    <w:p w14:paraId="7E7C387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（三）线上报价</w:t>
      </w:r>
    </w:p>
    <w:p w14:paraId="499DD0EB">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1.线上报价时间：按本项目竞争性比选公告规定的报价起止时间为准。</w:t>
      </w:r>
    </w:p>
    <w:p w14:paraId="35FA402A">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2.线上报价要求：按本项目竞争性比选公告规定的时间在行采家-电子竞采中心（https://www.gec123.com/xe/）进行网上报价</w:t>
      </w:r>
      <w:r>
        <w:rPr>
          <w:rFonts w:hint="eastAsia" w:cs="仿宋"/>
          <w:color w:val="auto"/>
          <w:highlight w:val="none"/>
          <w:lang w:val="en-US" w:eastAsia="zh-CN"/>
        </w:rPr>
        <w:t>并</w:t>
      </w:r>
      <w:r>
        <w:rPr>
          <w:rFonts w:hint="eastAsia" w:ascii="仿宋" w:hAnsi="仿宋" w:eastAsia="仿宋" w:cs="仿宋"/>
          <w:color w:val="auto"/>
          <w:highlight w:val="none"/>
          <w:lang w:val="en-US" w:eastAsia="zh-CN"/>
        </w:rPr>
        <w:t>按要求上传</w:t>
      </w:r>
      <w:r>
        <w:rPr>
          <w:rFonts w:hint="eastAsia" w:cs="仿宋"/>
          <w:color w:val="auto"/>
          <w:highlight w:val="none"/>
          <w:lang w:val="en-US" w:eastAsia="zh-CN"/>
        </w:rPr>
        <w:t>电子</w:t>
      </w:r>
      <w:r>
        <w:rPr>
          <w:rFonts w:hint="eastAsia" w:ascii="仿宋" w:hAnsi="仿宋" w:eastAsia="仿宋" w:cs="仿宋"/>
          <w:color w:val="auto"/>
          <w:highlight w:val="none"/>
          <w:lang w:val="en-US" w:eastAsia="zh-CN"/>
        </w:rPr>
        <w:t>响应文件，未按要求提供的为无效供应商。</w:t>
      </w:r>
    </w:p>
    <w:p w14:paraId="512D763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1.供应商线上报价时须上传签字盖章后的</w:t>
      </w:r>
      <w:r>
        <w:rPr>
          <w:rFonts w:hint="eastAsia" w:cs="仿宋"/>
          <w:color w:val="auto"/>
          <w:highlight w:val="none"/>
          <w:lang w:val="en-US" w:eastAsia="zh-CN"/>
        </w:rPr>
        <w:t>电子</w:t>
      </w:r>
      <w:r>
        <w:rPr>
          <w:rFonts w:hint="eastAsia" w:ascii="仿宋" w:hAnsi="仿宋" w:eastAsia="仿宋" w:cs="仿宋"/>
          <w:color w:val="auto"/>
          <w:highlight w:val="none"/>
          <w:lang w:val="en-US" w:eastAsia="zh-CN"/>
        </w:rPr>
        <w:t>响应文件</w:t>
      </w:r>
      <w:r>
        <w:rPr>
          <w:rFonts w:hint="eastAsia" w:cs="仿宋"/>
          <w:color w:val="auto"/>
          <w:highlight w:val="none"/>
          <w:lang w:val="en-US" w:eastAsia="zh-CN"/>
        </w:rPr>
        <w:t>（PDF格式）</w:t>
      </w:r>
      <w:r>
        <w:rPr>
          <w:rFonts w:hint="eastAsia" w:ascii="仿宋" w:hAnsi="仿宋" w:eastAsia="仿宋" w:cs="仿宋"/>
          <w:color w:val="auto"/>
          <w:highlight w:val="none"/>
          <w:lang w:val="en-US" w:eastAsia="zh-CN"/>
        </w:rPr>
        <w:t>一份。</w:t>
      </w:r>
    </w:p>
    <w:p w14:paraId="7BCF4FF4">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2.评审委员会将以平台的线上响应文件资料作为评判依据。</w:t>
      </w:r>
    </w:p>
    <w:p w14:paraId="47A74165">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3.供应商上传的响应文件应按照“第七篇 响应文件编制要求”制作，规定签字、盖章的地方必须按规定签字、盖章，未按要求制作响应文件的由评审委员会作无效响应处理。</w:t>
      </w:r>
    </w:p>
    <w:p w14:paraId="4DC33B77">
      <w:pPr>
        <w:pStyle w:val="3"/>
        <w:bidi w:val="0"/>
        <w:rPr>
          <w:rFonts w:hint="eastAsia" w:ascii="仿宋" w:hAnsi="仿宋" w:eastAsia="仿宋" w:cs="仿宋"/>
          <w:color w:val="auto"/>
          <w:highlight w:val="none"/>
        </w:rPr>
      </w:pPr>
      <w:bookmarkStart w:id="34" w:name="_Toc373860294"/>
      <w:bookmarkStart w:id="35" w:name="_Toc11956"/>
      <w:bookmarkStart w:id="36" w:name="_Toc8549"/>
      <w:bookmarkStart w:id="37" w:name="_Toc106034774"/>
      <w:bookmarkStart w:id="38" w:name="_Toc4638"/>
      <w:bookmarkStart w:id="39" w:name="_Toc521053053"/>
      <w:bookmarkStart w:id="40" w:name="_Toc65660334"/>
      <w:bookmarkStart w:id="41" w:name="_Toc6178"/>
      <w:bookmarkStart w:id="42" w:name="_Toc2455"/>
      <w:bookmarkStart w:id="43" w:name="_Toc31521"/>
      <w:bookmarkStart w:id="44" w:name="_Toc525047161"/>
      <w:bookmarkStart w:id="45" w:name="_Toc8616"/>
      <w:r>
        <w:rPr>
          <w:rFonts w:hint="eastAsia" w:ascii="仿宋" w:hAnsi="仿宋" w:eastAsia="仿宋" w:cs="仿宋"/>
          <w:color w:val="auto"/>
          <w:highlight w:val="none"/>
        </w:rPr>
        <w:t>五</w:t>
      </w:r>
      <w:bookmarkEnd w:id="34"/>
      <w:bookmarkEnd w:id="35"/>
      <w:bookmarkEnd w:id="36"/>
      <w:bookmarkEnd w:id="37"/>
      <w:bookmarkEnd w:id="38"/>
      <w:bookmarkEnd w:id="39"/>
      <w:bookmarkEnd w:id="40"/>
      <w:bookmarkEnd w:id="41"/>
      <w:bookmarkEnd w:id="42"/>
      <w:bookmarkEnd w:id="43"/>
      <w:bookmarkEnd w:id="44"/>
      <w:bookmarkStart w:id="46" w:name="_Toc521053054"/>
      <w:bookmarkStart w:id="47" w:name="_Toc15290"/>
      <w:bookmarkStart w:id="48" w:name="_Toc106034775"/>
      <w:bookmarkStart w:id="49" w:name="_Toc65660335"/>
      <w:bookmarkStart w:id="50" w:name="_Toc3166"/>
      <w:bookmarkStart w:id="51" w:name="_Toc479668114"/>
      <w:bookmarkStart w:id="52" w:name="_Toc2945"/>
      <w:bookmarkStart w:id="53" w:name="_Toc4355"/>
      <w:bookmarkStart w:id="54" w:name="_Toc32330"/>
      <w:bookmarkStart w:id="55" w:name="_Toc12296"/>
      <w:bookmarkStart w:id="56" w:name="_Toc525047162"/>
      <w:r>
        <w:rPr>
          <w:rFonts w:hint="eastAsia" w:ascii="仿宋" w:hAnsi="仿宋" w:eastAsia="仿宋" w:cs="仿宋"/>
          <w:color w:val="auto"/>
          <w:highlight w:val="none"/>
        </w:rPr>
        <w:t>、</w:t>
      </w:r>
      <w:bookmarkEnd w:id="46"/>
      <w:bookmarkEnd w:id="47"/>
      <w:bookmarkEnd w:id="48"/>
      <w:bookmarkEnd w:id="49"/>
      <w:bookmarkEnd w:id="50"/>
      <w:bookmarkEnd w:id="51"/>
      <w:bookmarkEnd w:id="52"/>
      <w:bookmarkEnd w:id="53"/>
      <w:bookmarkEnd w:id="54"/>
      <w:bookmarkEnd w:id="55"/>
      <w:bookmarkEnd w:id="56"/>
      <w:bookmarkStart w:id="57" w:name="_Toc717"/>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保证金</w:t>
      </w:r>
      <w:bookmarkEnd w:id="45"/>
    </w:p>
    <w:p w14:paraId="73A5C821">
      <w:pPr>
        <w:bidi w:val="0"/>
        <w:rPr>
          <w:rFonts w:hint="eastAsia" w:ascii="仿宋" w:hAnsi="仿宋" w:eastAsia="仿宋" w:cs="仿宋"/>
          <w:color w:val="auto"/>
          <w:highlight w:val="none"/>
          <w:lang w:eastAsia="zh-CN"/>
        </w:rPr>
      </w:pPr>
      <w:r>
        <w:rPr>
          <w:rFonts w:hint="eastAsia" w:cs="仿宋"/>
          <w:color w:val="auto"/>
          <w:highlight w:val="none"/>
          <w:lang w:val="en-US" w:eastAsia="zh-CN"/>
        </w:rPr>
        <w:t>无。</w:t>
      </w:r>
    </w:p>
    <w:p w14:paraId="4711AADF">
      <w:pPr>
        <w:pStyle w:val="3"/>
        <w:bidi w:val="0"/>
        <w:rPr>
          <w:rFonts w:hint="eastAsia" w:ascii="仿宋" w:hAnsi="仿宋" w:eastAsia="仿宋" w:cs="仿宋"/>
          <w:color w:val="auto"/>
          <w:highlight w:val="none"/>
        </w:rPr>
      </w:pPr>
      <w:bookmarkStart w:id="58" w:name="_Toc14762"/>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eastAsia="zh-CN"/>
        </w:rPr>
        <w:t>其他</w:t>
      </w:r>
      <w:r>
        <w:rPr>
          <w:rFonts w:hint="eastAsia" w:ascii="仿宋" w:hAnsi="仿宋" w:eastAsia="仿宋" w:cs="仿宋"/>
          <w:color w:val="auto"/>
          <w:highlight w:val="none"/>
        </w:rPr>
        <w:t>有关规定</w:t>
      </w:r>
      <w:bookmarkEnd w:id="57"/>
      <w:bookmarkEnd w:id="58"/>
    </w:p>
    <w:p w14:paraId="70D1F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（一）单位负责人为同一人或者存在直接控股、管理关系的不同供应商，不得参加同一合同项（分包）下的</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活动，否则均为无效响应。</w:t>
      </w:r>
    </w:p>
    <w:p w14:paraId="153C88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（二）本项目的</w:t>
      </w:r>
      <w:r>
        <w:rPr>
          <w:rFonts w:hint="eastAsia" w:ascii="仿宋" w:hAnsi="仿宋" w:eastAsia="仿宋" w:cs="仿宋"/>
          <w:color w:val="auto"/>
          <w:highlight w:val="none"/>
          <w:lang w:val="en-US" w:eastAsia="zh-CN"/>
        </w:rPr>
        <w:t>补遗等</w:t>
      </w:r>
      <w:r>
        <w:rPr>
          <w:rFonts w:hint="eastAsia" w:ascii="仿宋" w:hAnsi="仿宋" w:eastAsia="仿宋" w:cs="仿宋"/>
          <w:color w:val="auto"/>
          <w:highlight w:val="none"/>
        </w:rPr>
        <w:t>文件（如果有）一律在</w:t>
      </w:r>
      <w:r>
        <w:rPr>
          <w:rFonts w:hint="eastAsia" w:ascii="仿宋" w:hAnsi="仿宋" w:eastAsia="仿宋" w:cs="仿宋"/>
          <w:color w:val="auto"/>
          <w:highlight w:val="none"/>
          <w:lang w:eastAsia="zh-CN"/>
        </w:rPr>
        <w:t>行采家-电子竞采中心（https://www.gec123.com/xe/）</w:t>
      </w:r>
      <w:r>
        <w:rPr>
          <w:rFonts w:hint="eastAsia" w:ascii="仿宋" w:hAnsi="仿宋" w:eastAsia="仿宋" w:cs="仿宋"/>
          <w:color w:val="auto"/>
          <w:highlight w:val="none"/>
        </w:rPr>
        <w:t>上发布，请各供应商注意下载；无论供应商下载与否，均视同供应商已知晓本项目</w:t>
      </w:r>
      <w:r>
        <w:rPr>
          <w:rFonts w:hint="eastAsia" w:ascii="仿宋" w:hAnsi="仿宋" w:eastAsia="仿宋" w:cs="仿宋"/>
          <w:color w:val="auto"/>
          <w:highlight w:val="none"/>
          <w:lang w:val="en-US" w:eastAsia="zh-CN"/>
        </w:rPr>
        <w:t>补遗</w:t>
      </w:r>
      <w:r>
        <w:rPr>
          <w:rFonts w:hint="eastAsia" w:ascii="仿宋" w:hAnsi="仿宋" w:eastAsia="仿宋" w:cs="仿宋"/>
          <w:color w:val="auto"/>
          <w:highlight w:val="none"/>
        </w:rPr>
        <w:t>文件（如果有）的内容。</w:t>
      </w:r>
    </w:p>
    <w:p w14:paraId="73D868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三</w:t>
      </w:r>
      <w:r>
        <w:rPr>
          <w:rFonts w:hint="eastAsia" w:ascii="仿宋" w:hAnsi="仿宋" w:eastAsia="仿宋" w:cs="仿宋"/>
          <w:color w:val="auto"/>
          <w:highlight w:val="none"/>
        </w:rPr>
        <w:t>）超过</w:t>
      </w:r>
      <w:r>
        <w:rPr>
          <w:rFonts w:hint="eastAsia" w:ascii="仿宋" w:hAnsi="仿宋" w:eastAsia="仿宋" w:cs="仿宋"/>
          <w:color w:val="auto"/>
          <w:highlight w:val="none"/>
          <w:lang w:eastAsia="zh-CN"/>
        </w:rPr>
        <w:t>报价</w:t>
      </w:r>
      <w:r>
        <w:rPr>
          <w:rFonts w:hint="eastAsia" w:ascii="仿宋" w:hAnsi="仿宋" w:eastAsia="仿宋" w:cs="仿宋"/>
          <w:color w:val="auto"/>
          <w:highlight w:val="none"/>
        </w:rPr>
        <w:t>截止时间递交的响应文件，恕不接收。</w:t>
      </w:r>
    </w:p>
    <w:p w14:paraId="070F9E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比选费用</w:t>
      </w:r>
      <w:r>
        <w:rPr>
          <w:rFonts w:hint="eastAsia" w:ascii="仿宋" w:hAnsi="仿宋" w:eastAsia="仿宋" w:cs="仿宋"/>
          <w:color w:val="auto"/>
          <w:highlight w:val="none"/>
        </w:rPr>
        <w:t>：无论</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rPr>
        <w:t>结果如何，供应商参与本项目</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的所有</w:t>
      </w:r>
      <w:r>
        <w:rPr>
          <w:rFonts w:hint="eastAsia" w:ascii="仿宋" w:hAnsi="仿宋" w:eastAsia="仿宋" w:cs="仿宋"/>
          <w:color w:val="auto"/>
          <w:highlight w:val="none"/>
          <w:lang w:val="en-US" w:eastAsia="zh-CN"/>
        </w:rPr>
        <w:t>成本</w:t>
      </w:r>
      <w:r>
        <w:rPr>
          <w:rFonts w:hint="eastAsia" w:ascii="仿宋" w:hAnsi="仿宋" w:eastAsia="仿宋" w:cs="仿宋"/>
          <w:color w:val="auto"/>
          <w:highlight w:val="none"/>
        </w:rPr>
        <w:t>费用均应由供应商自行承担。</w:t>
      </w:r>
    </w:p>
    <w:p w14:paraId="5A4A63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rPr>
        <w:t>（</w:t>
      </w:r>
      <w:r>
        <w:rPr>
          <w:rFonts w:hint="eastAsia" w:cs="仿宋"/>
          <w:b w:val="0"/>
          <w:bCs w:val="0"/>
          <w:color w:val="auto"/>
          <w:highlight w:val="none"/>
          <w:lang w:val="en-US" w:eastAsia="zh-CN"/>
        </w:rPr>
        <w:t>五</w:t>
      </w:r>
      <w:r>
        <w:rPr>
          <w:rFonts w:hint="eastAsia" w:ascii="仿宋" w:hAnsi="仿宋" w:eastAsia="仿宋" w:cs="仿宋"/>
          <w:b w:val="0"/>
          <w:bCs w:val="0"/>
          <w:color w:val="auto"/>
          <w:highlight w:val="none"/>
        </w:rPr>
        <w:t>）本项目不接受联合体参与</w:t>
      </w:r>
      <w:r>
        <w:rPr>
          <w:rFonts w:hint="eastAsia" w:ascii="仿宋" w:hAnsi="仿宋" w:eastAsia="仿宋" w:cs="仿宋"/>
          <w:b w:val="0"/>
          <w:bCs w:val="0"/>
          <w:color w:val="auto"/>
          <w:highlight w:val="none"/>
          <w:lang w:eastAsia="zh-CN"/>
        </w:rPr>
        <w:t>比选，否则按无效处理。</w:t>
      </w:r>
    </w:p>
    <w:p w14:paraId="021648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w:t>
      </w:r>
      <w:r>
        <w:rPr>
          <w:rFonts w:hint="eastAsia" w:cs="仿宋"/>
          <w:color w:val="auto"/>
          <w:highlight w:val="none"/>
          <w:lang w:val="en-US" w:eastAsia="zh-CN"/>
        </w:rPr>
        <w:t>六</w:t>
      </w:r>
      <w:r>
        <w:rPr>
          <w:rFonts w:hint="eastAsia" w:ascii="仿宋" w:hAnsi="仿宋" w:eastAsia="仿宋" w:cs="仿宋"/>
          <w:b w:val="0"/>
          <w:bCs w:val="0"/>
          <w:color w:val="auto"/>
          <w:highlight w:val="none"/>
          <w:lang w:eastAsia="zh-CN"/>
        </w:rPr>
        <w:t>）本项目不接受合同分包，否则按无效处理。</w:t>
      </w:r>
    </w:p>
    <w:p w14:paraId="547A5E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b w:val="0"/>
          <w:bCs w:val="0"/>
          <w:color w:val="auto"/>
          <w:highlight w:val="none"/>
          <w:lang w:val="en-US" w:eastAsia="zh-CN"/>
        </w:rPr>
        <w:t>七</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参</w:t>
      </w:r>
      <w:r>
        <w:rPr>
          <w:rFonts w:hint="eastAsia" w:ascii="仿宋" w:hAnsi="仿宋" w:eastAsia="仿宋" w:cs="仿宋"/>
          <w:color w:val="auto"/>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w:t>
      </w:r>
      <w:r>
        <w:rPr>
          <w:rFonts w:hint="eastAsia" w:ascii="仿宋" w:hAnsi="仿宋" w:eastAsia="仿宋" w:cs="仿宋"/>
          <w:b w:val="0"/>
          <w:bCs w:val="0"/>
          <w:color w:val="auto"/>
          <w:highlight w:val="none"/>
        </w:rPr>
        <w:t>商，</w:t>
      </w:r>
      <w:r>
        <w:rPr>
          <w:rFonts w:hint="eastAsia" w:ascii="仿宋" w:hAnsi="仿宋" w:eastAsia="仿宋" w:cs="仿宋"/>
          <w:b w:val="0"/>
          <w:bCs w:val="0"/>
          <w:color w:val="auto"/>
          <w:highlight w:val="none"/>
          <w:lang w:val="en-US" w:eastAsia="zh-CN"/>
        </w:rPr>
        <w:t>或违反电子竞采平台相关规则、规定的供应商，</w:t>
      </w:r>
      <w:r>
        <w:rPr>
          <w:rFonts w:hint="eastAsia" w:ascii="仿宋" w:hAnsi="仿宋" w:eastAsia="仿宋" w:cs="仿宋"/>
          <w:b w:val="0"/>
          <w:bCs w:val="0"/>
          <w:color w:val="auto"/>
          <w:highlight w:val="none"/>
        </w:rPr>
        <w:t>将拒绝</w:t>
      </w:r>
      <w:r>
        <w:rPr>
          <w:rFonts w:hint="eastAsia" w:ascii="仿宋" w:hAnsi="仿宋" w:eastAsia="仿宋" w:cs="仿宋"/>
          <w:color w:val="auto"/>
          <w:highlight w:val="none"/>
        </w:rPr>
        <w:t>其参与</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活动。</w:t>
      </w:r>
    </w:p>
    <w:p w14:paraId="215849BF">
      <w:pPr>
        <w:pStyle w:val="3"/>
        <w:bidi w:val="0"/>
        <w:rPr>
          <w:rFonts w:hint="eastAsia" w:ascii="仿宋" w:hAnsi="仿宋" w:eastAsia="仿宋" w:cs="仿宋"/>
          <w:color w:val="auto"/>
          <w:highlight w:val="none"/>
        </w:rPr>
      </w:pPr>
      <w:bookmarkStart w:id="59" w:name="_Toc14427"/>
      <w:bookmarkStart w:id="60" w:name="_Toc258"/>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w:t>
      </w:r>
      <w:bookmarkStart w:id="61" w:name="_Toc25886"/>
      <w:bookmarkStart w:id="62" w:name="_Toc9654"/>
      <w:bookmarkStart w:id="63" w:name="_Toc11828"/>
      <w:bookmarkStart w:id="64" w:name="_Toc5085"/>
      <w:bookmarkStart w:id="65" w:name="_Toc20778"/>
      <w:bookmarkStart w:id="66" w:name="_Toc3475"/>
      <w:bookmarkStart w:id="67" w:name="_Toc27955"/>
      <w:r>
        <w:rPr>
          <w:rFonts w:hint="eastAsia" w:ascii="仿宋" w:hAnsi="仿宋" w:eastAsia="仿宋" w:cs="仿宋"/>
          <w:color w:val="auto"/>
          <w:highlight w:val="none"/>
        </w:rPr>
        <w:t>联系方式</w:t>
      </w:r>
      <w:bookmarkEnd w:id="59"/>
      <w:bookmarkEnd w:id="60"/>
      <w:bookmarkEnd w:id="61"/>
      <w:bookmarkEnd w:id="62"/>
      <w:bookmarkEnd w:id="63"/>
      <w:bookmarkEnd w:id="64"/>
      <w:bookmarkEnd w:id="65"/>
      <w:bookmarkEnd w:id="66"/>
      <w:bookmarkEnd w:id="67"/>
    </w:p>
    <w:p w14:paraId="43B656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（一）采购人：</w:t>
      </w:r>
      <w:r>
        <w:rPr>
          <w:rFonts w:hint="eastAsia" w:cs="仿宋"/>
          <w:color w:val="auto"/>
          <w:highlight w:val="none"/>
          <w:lang w:eastAsia="zh-CN"/>
        </w:rPr>
        <w:t>重庆市大足区人民政府双路街道办事处</w:t>
      </w:r>
    </w:p>
    <w:p w14:paraId="769E5087">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cs="仿宋"/>
          <w:color w:val="auto"/>
          <w:highlight w:val="none"/>
          <w:lang w:val="en-US" w:eastAsia="zh-CN"/>
        </w:rPr>
        <w:t>宋老师</w:t>
      </w:r>
    </w:p>
    <w:p w14:paraId="45FBB33D">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话：19122522072</w:t>
      </w:r>
    </w:p>
    <w:p w14:paraId="21F2729C">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址：重庆市大足区双路街道双星路1号</w:t>
      </w:r>
    </w:p>
    <w:p w14:paraId="53243F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（二）采购代理机构：</w:t>
      </w:r>
      <w:r>
        <w:rPr>
          <w:rFonts w:hint="eastAsia" w:cs="仿宋"/>
          <w:color w:val="auto"/>
          <w:highlight w:val="none"/>
          <w:lang w:val="en-US" w:eastAsia="zh-CN"/>
        </w:rPr>
        <w:t>重庆渝强</w:t>
      </w:r>
      <w:r>
        <w:rPr>
          <w:rFonts w:hint="eastAsia" w:ascii="仿宋" w:hAnsi="仿宋" w:eastAsia="仿宋" w:cs="仿宋"/>
          <w:color w:val="auto"/>
          <w:highlight w:val="none"/>
          <w:lang w:val="en-US" w:eastAsia="zh-CN"/>
        </w:rPr>
        <w:t>工程项目管理有限公司</w:t>
      </w:r>
    </w:p>
    <w:p w14:paraId="4FD7F65A">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cs="仿宋"/>
          <w:color w:val="auto"/>
          <w:highlight w:val="none"/>
          <w:lang w:val="en-US" w:eastAsia="zh-CN"/>
        </w:rPr>
        <w:t>刘</w:t>
      </w:r>
      <w:r>
        <w:rPr>
          <w:rFonts w:hint="eastAsia" w:ascii="仿宋" w:hAnsi="仿宋" w:eastAsia="仿宋" w:cs="仿宋"/>
          <w:color w:val="auto"/>
          <w:highlight w:val="none"/>
          <w:lang w:eastAsia="zh-CN"/>
        </w:rPr>
        <w:t>老师</w:t>
      </w:r>
    </w:p>
    <w:p w14:paraId="1AA7BAA7">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w:t>
      </w:r>
      <w:r>
        <w:rPr>
          <w:rFonts w:hint="eastAsia" w:cs="仿宋"/>
          <w:color w:val="auto"/>
          <w:highlight w:val="none"/>
          <w:lang w:val="en-US" w:eastAsia="zh-CN"/>
        </w:rPr>
        <w:t>17723552367</w:t>
      </w:r>
    </w:p>
    <w:p w14:paraId="5B0A2339">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地  址：重庆市大足区棠香街道五星大道南段229号</w:t>
      </w:r>
    </w:p>
    <w:p w14:paraId="65183147">
      <w:pPr>
        <w:bidi w:val="0"/>
        <w:rPr>
          <w:rFonts w:hint="eastAsia" w:ascii="仿宋" w:hAnsi="仿宋" w:eastAsia="仿宋" w:cs="仿宋"/>
          <w:color w:val="auto"/>
          <w:highlight w:val="none"/>
        </w:rPr>
      </w:pPr>
      <w:bookmarkStart w:id="68" w:name="_Toc106030878"/>
      <w:bookmarkStart w:id="69" w:name="_Toc76462324"/>
    </w:p>
    <w:p w14:paraId="23CCEF73">
      <w:pPr>
        <w:rPr>
          <w:rFonts w:hint="eastAsia" w:ascii="仿宋" w:hAnsi="仿宋" w:eastAsia="仿宋" w:cs="仿宋"/>
          <w:color w:val="auto"/>
          <w:highlight w:val="none"/>
        </w:rPr>
        <w:sectPr>
          <w:pgSz w:w="11907" w:h="16840"/>
          <w:pgMar w:top="1134" w:right="1191" w:bottom="1134" w:left="1304" w:header="794" w:footer="794" w:gutter="0"/>
          <w:pgNumType w:fmt="numberInDash"/>
          <w:cols w:space="0" w:num="1"/>
          <w:rtlGutter w:val="0"/>
          <w:docGrid w:linePitch="312" w:charSpace="0"/>
        </w:sectPr>
      </w:pPr>
    </w:p>
    <w:p w14:paraId="7326375C">
      <w:pPr>
        <w:pStyle w:val="2"/>
        <w:bidi w:val="0"/>
        <w:rPr>
          <w:rFonts w:hint="eastAsia" w:ascii="仿宋" w:hAnsi="仿宋" w:eastAsia="仿宋" w:cs="仿宋"/>
          <w:b/>
          <w:bCs/>
          <w:color w:val="auto"/>
          <w:highlight w:val="none"/>
        </w:rPr>
      </w:pPr>
      <w:bookmarkStart w:id="70" w:name="_Toc15243"/>
      <w:bookmarkStart w:id="71" w:name="_Toc19872"/>
      <w:r>
        <w:rPr>
          <w:rFonts w:hint="eastAsia" w:ascii="仿宋" w:hAnsi="仿宋" w:eastAsia="仿宋" w:cs="仿宋"/>
          <w:color w:val="auto"/>
          <w:highlight w:val="none"/>
        </w:rPr>
        <w:t>第二篇  项目</w:t>
      </w:r>
      <w:r>
        <w:rPr>
          <w:rFonts w:hint="eastAsia" w:cs="仿宋"/>
          <w:color w:val="auto"/>
          <w:highlight w:val="none"/>
          <w:lang w:val="en-US" w:eastAsia="zh-CN"/>
        </w:rPr>
        <w:t>服务</w:t>
      </w:r>
      <w:r>
        <w:rPr>
          <w:rFonts w:hint="eastAsia" w:ascii="仿宋" w:hAnsi="仿宋" w:eastAsia="仿宋" w:cs="仿宋"/>
          <w:color w:val="auto"/>
          <w:highlight w:val="none"/>
        </w:rPr>
        <w:t>需求</w:t>
      </w:r>
      <w:bookmarkEnd w:id="68"/>
      <w:bookmarkEnd w:id="69"/>
      <w:bookmarkEnd w:id="70"/>
      <w:bookmarkEnd w:id="71"/>
      <w:bookmarkStart w:id="72" w:name="_Toc76462325"/>
      <w:bookmarkStart w:id="73" w:name="_Toc12789058"/>
    </w:p>
    <w:bookmarkEnd w:id="72"/>
    <w:p w14:paraId="190D01B9">
      <w:pPr>
        <w:pStyle w:val="3"/>
        <w:bidi w:val="0"/>
        <w:rPr>
          <w:rFonts w:hint="default" w:ascii="仿宋" w:hAnsi="仿宋" w:eastAsia="仿宋" w:cs="仿宋"/>
          <w:color w:val="auto"/>
          <w:highlight w:val="none"/>
          <w:lang w:val="en-US" w:eastAsia="zh-CN"/>
        </w:rPr>
      </w:pPr>
      <w:bookmarkStart w:id="74" w:name="_Toc106030879"/>
      <w:bookmarkStart w:id="75" w:name="_Toc11895"/>
      <w:bookmarkStart w:id="76" w:name="_Toc24114"/>
      <w:bookmarkStart w:id="77" w:name="_Toc8879"/>
      <w:bookmarkStart w:id="78" w:name="_Toc106030880"/>
      <w:r>
        <w:rPr>
          <w:rFonts w:hint="eastAsia" w:ascii="仿宋" w:hAnsi="仿宋" w:eastAsia="仿宋" w:cs="仿宋"/>
          <w:color w:val="auto"/>
          <w:highlight w:val="none"/>
        </w:rPr>
        <w:t>一、</w:t>
      </w:r>
      <w:bookmarkEnd w:id="74"/>
      <w:bookmarkEnd w:id="75"/>
      <w:r>
        <w:rPr>
          <w:rFonts w:hint="eastAsia" w:ascii="仿宋" w:hAnsi="仿宋" w:cs="仿宋"/>
          <w:color w:val="auto"/>
          <w:highlight w:val="none"/>
          <w:lang w:val="en-US" w:eastAsia="zh-CN"/>
        </w:rPr>
        <w:t>采购项目一览表</w:t>
      </w:r>
      <w:bookmarkEnd w:id="76"/>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157"/>
        <w:gridCol w:w="2157"/>
        <w:gridCol w:w="2157"/>
      </w:tblGrid>
      <w:tr w14:paraId="1BE8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0" w:type="dxa"/>
            <w:tcBorders>
              <w:top w:val="single" w:color="auto" w:sz="4" w:space="0"/>
              <w:left w:val="single" w:color="auto" w:sz="4" w:space="0"/>
              <w:right w:val="single" w:color="auto" w:sz="4" w:space="0"/>
            </w:tcBorders>
            <w:vAlign w:val="center"/>
          </w:tcPr>
          <w:p w14:paraId="7F54F6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项目名称</w:t>
            </w:r>
          </w:p>
        </w:tc>
        <w:tc>
          <w:tcPr>
            <w:tcW w:w="2157" w:type="dxa"/>
            <w:tcBorders>
              <w:top w:val="single" w:color="auto" w:sz="4" w:space="0"/>
              <w:left w:val="single" w:color="auto" w:sz="4" w:space="0"/>
              <w:right w:val="single" w:color="auto" w:sz="4" w:space="0"/>
            </w:tcBorders>
            <w:vAlign w:val="center"/>
          </w:tcPr>
          <w:p w14:paraId="383294F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rPr>
            </w:pPr>
            <w:r>
              <w:rPr>
                <w:rFonts w:hint="eastAsia" w:cs="仿宋"/>
                <w:b/>
                <w:bCs/>
                <w:i w:val="0"/>
                <w:iCs w:val="0"/>
                <w:color w:val="auto"/>
                <w:kern w:val="0"/>
                <w:sz w:val="21"/>
                <w:szCs w:val="21"/>
                <w:highlight w:val="none"/>
                <w:lang w:val="en-US" w:eastAsia="zh-CN"/>
              </w:rPr>
              <w:t>预算金额</w:t>
            </w:r>
            <w:r>
              <w:rPr>
                <w:rFonts w:hint="eastAsia" w:ascii="仿宋" w:hAnsi="仿宋" w:eastAsia="仿宋" w:cs="仿宋"/>
                <w:b/>
                <w:bCs/>
                <w:i w:val="0"/>
                <w:iCs w:val="0"/>
                <w:color w:val="auto"/>
                <w:kern w:val="0"/>
                <w:sz w:val="21"/>
                <w:szCs w:val="21"/>
                <w:highlight w:val="none"/>
              </w:rPr>
              <w:t>（</w:t>
            </w:r>
            <w:r>
              <w:rPr>
                <w:rFonts w:hint="eastAsia" w:cs="仿宋"/>
                <w:b/>
                <w:bCs/>
                <w:i w:val="0"/>
                <w:iCs w:val="0"/>
                <w:color w:val="auto"/>
                <w:kern w:val="0"/>
                <w:sz w:val="21"/>
                <w:szCs w:val="21"/>
                <w:highlight w:val="none"/>
                <w:lang w:val="en-US" w:eastAsia="zh-CN"/>
              </w:rPr>
              <w:t>万</w:t>
            </w:r>
            <w:r>
              <w:rPr>
                <w:rFonts w:hint="eastAsia" w:ascii="仿宋" w:hAnsi="仿宋" w:eastAsia="仿宋" w:cs="仿宋"/>
                <w:b/>
                <w:bCs/>
                <w:i w:val="0"/>
                <w:iCs w:val="0"/>
                <w:color w:val="auto"/>
                <w:kern w:val="0"/>
                <w:sz w:val="21"/>
                <w:szCs w:val="21"/>
                <w:highlight w:val="none"/>
              </w:rPr>
              <w:t>元）</w:t>
            </w:r>
          </w:p>
        </w:tc>
        <w:tc>
          <w:tcPr>
            <w:tcW w:w="2157" w:type="dxa"/>
            <w:tcBorders>
              <w:top w:val="single" w:color="auto" w:sz="4" w:space="0"/>
              <w:left w:val="single" w:color="auto" w:sz="4" w:space="0"/>
              <w:right w:val="single" w:color="auto" w:sz="4" w:space="0"/>
            </w:tcBorders>
            <w:vAlign w:val="center"/>
          </w:tcPr>
          <w:p w14:paraId="49C0CB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i w:val="0"/>
                <w:iCs w:val="0"/>
                <w:color w:val="auto"/>
                <w:kern w:val="0"/>
                <w:sz w:val="21"/>
                <w:szCs w:val="21"/>
                <w:highlight w:val="none"/>
                <w:lang w:val="en-US"/>
              </w:rPr>
            </w:pPr>
            <w:r>
              <w:rPr>
                <w:rFonts w:hint="eastAsia" w:cs="仿宋"/>
                <w:b/>
                <w:bCs/>
                <w:i w:val="0"/>
                <w:iCs w:val="0"/>
                <w:color w:val="auto"/>
                <w:kern w:val="0"/>
                <w:sz w:val="21"/>
                <w:szCs w:val="21"/>
                <w:highlight w:val="none"/>
                <w:lang w:val="en-US" w:eastAsia="zh-CN"/>
              </w:rPr>
              <w:t>最高折扣系数限价（%）</w:t>
            </w:r>
          </w:p>
        </w:tc>
        <w:tc>
          <w:tcPr>
            <w:tcW w:w="2157" w:type="dxa"/>
            <w:tcBorders>
              <w:top w:val="single" w:color="auto" w:sz="4" w:space="0"/>
              <w:left w:val="single" w:color="auto" w:sz="4" w:space="0"/>
              <w:right w:val="single" w:color="auto" w:sz="4" w:space="0"/>
            </w:tcBorders>
            <w:vAlign w:val="center"/>
          </w:tcPr>
          <w:p w14:paraId="5C1F41F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备注</w:t>
            </w:r>
          </w:p>
        </w:tc>
      </w:tr>
      <w:tr w14:paraId="7EB4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0" w:type="dxa"/>
            <w:tcBorders>
              <w:top w:val="single" w:color="auto" w:sz="4" w:space="0"/>
              <w:left w:val="single" w:color="auto" w:sz="4" w:space="0"/>
              <w:bottom w:val="single" w:color="auto" w:sz="4" w:space="0"/>
              <w:right w:val="single" w:color="auto" w:sz="4" w:space="0"/>
            </w:tcBorders>
            <w:vAlign w:val="center"/>
          </w:tcPr>
          <w:p w14:paraId="35DC5D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重庆市大足区人民政府双路街道办事处职工食堂食材全品类集中采购配送服务</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34D186BB">
            <w:pPr>
              <w:keepNext w:val="0"/>
              <w:keepLines w:val="0"/>
              <w:pageBreakBefore w:val="0"/>
              <w:widowControl/>
              <w:tabs>
                <w:tab w:val="left" w:pos="536"/>
              </w:tabs>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i w:val="0"/>
                <w:iCs w:val="0"/>
                <w:color w:val="auto"/>
                <w:kern w:val="0"/>
                <w:sz w:val="21"/>
                <w:szCs w:val="21"/>
                <w:highlight w:val="none"/>
                <w:lang w:val="en-US" w:eastAsia="zh-CN"/>
              </w:rPr>
            </w:pPr>
            <w:r>
              <w:rPr>
                <w:rFonts w:hint="eastAsia" w:cs="仿宋"/>
                <w:i w:val="0"/>
                <w:iCs w:val="0"/>
                <w:color w:val="auto"/>
                <w:kern w:val="0"/>
                <w:sz w:val="21"/>
                <w:szCs w:val="21"/>
                <w:highlight w:val="none"/>
                <w:lang w:val="en-US" w:eastAsia="zh-CN"/>
              </w:rPr>
              <w:t>48.00</w:t>
            </w:r>
          </w:p>
        </w:tc>
        <w:tc>
          <w:tcPr>
            <w:tcW w:w="2157" w:type="dxa"/>
            <w:tcBorders>
              <w:top w:val="single" w:color="auto" w:sz="4" w:space="0"/>
              <w:left w:val="single" w:color="auto" w:sz="4" w:space="0"/>
              <w:bottom w:val="single" w:color="auto" w:sz="4" w:space="0"/>
              <w:right w:val="single" w:color="auto" w:sz="4" w:space="0"/>
            </w:tcBorders>
            <w:vAlign w:val="center"/>
          </w:tcPr>
          <w:p w14:paraId="0392B7D5">
            <w:pPr>
              <w:keepNext w:val="0"/>
              <w:keepLines w:val="0"/>
              <w:pageBreakBefore w:val="0"/>
              <w:widowControl/>
              <w:tabs>
                <w:tab w:val="left" w:pos="536"/>
              </w:tabs>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1"/>
                <w:szCs w:val="21"/>
                <w:highlight w:val="none"/>
                <w:lang w:val="en-US" w:eastAsia="zh-CN"/>
              </w:rPr>
            </w:pPr>
            <w:r>
              <w:rPr>
                <w:rFonts w:hint="eastAsia" w:cs="仿宋"/>
                <w:color w:val="auto"/>
                <w:kern w:val="0"/>
                <w:sz w:val="21"/>
                <w:szCs w:val="21"/>
                <w:highlight w:val="none"/>
                <w:lang w:val="en-US" w:eastAsia="zh-CN"/>
              </w:rPr>
              <w:t>98%</w:t>
            </w:r>
          </w:p>
        </w:tc>
        <w:tc>
          <w:tcPr>
            <w:tcW w:w="2157" w:type="dxa"/>
            <w:tcBorders>
              <w:top w:val="single" w:color="auto" w:sz="4" w:space="0"/>
              <w:left w:val="single" w:color="auto" w:sz="4" w:space="0"/>
              <w:bottom w:val="single" w:color="auto" w:sz="4" w:space="0"/>
              <w:right w:val="single" w:color="auto" w:sz="4" w:space="0"/>
            </w:tcBorders>
            <w:vAlign w:val="center"/>
          </w:tcPr>
          <w:p w14:paraId="0E673A5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lang w:val="en-US" w:eastAsia="zh-CN"/>
              </w:rPr>
            </w:pPr>
          </w:p>
        </w:tc>
      </w:tr>
    </w:tbl>
    <w:p w14:paraId="36A328F4">
      <w:pPr>
        <w:pStyle w:val="3"/>
        <w:bidi w:val="0"/>
        <w:rPr>
          <w:rFonts w:hint="eastAsia" w:ascii="仿宋" w:hAnsi="仿宋" w:eastAsia="仿宋" w:cs="仿宋"/>
          <w:color w:val="auto"/>
          <w:highlight w:val="none"/>
          <w:lang w:val="en-US" w:eastAsia="zh-CN"/>
        </w:rPr>
      </w:pPr>
      <w:bookmarkStart w:id="79" w:name="_Toc13230"/>
      <w:r>
        <w:rPr>
          <w:rFonts w:hint="eastAsia" w:ascii="仿宋" w:hAnsi="仿宋" w:eastAsia="仿宋" w:cs="仿宋"/>
          <w:color w:val="auto"/>
          <w:highlight w:val="none"/>
        </w:rPr>
        <w:t>二、</w:t>
      </w:r>
      <w:bookmarkEnd w:id="77"/>
      <w:bookmarkEnd w:id="78"/>
      <w:r>
        <w:rPr>
          <w:rFonts w:hint="eastAsia" w:ascii="仿宋" w:hAnsi="仿宋" w:eastAsia="仿宋" w:cs="仿宋"/>
          <w:color w:val="auto"/>
          <w:highlight w:val="none"/>
          <w:lang w:val="en-US" w:eastAsia="zh-CN"/>
        </w:rPr>
        <w:t>服务范围</w:t>
      </w:r>
      <w:bookmarkEnd w:id="79"/>
    </w:p>
    <w:p w14:paraId="18B085F5">
      <w:pPr>
        <w:bidi w:val="0"/>
        <w:rPr>
          <w:rFonts w:hint="eastAsia"/>
          <w:color w:val="auto"/>
          <w:highlight w:val="none"/>
        </w:rPr>
      </w:pPr>
      <w:r>
        <w:rPr>
          <w:rFonts w:hint="eastAsia"/>
          <w:color w:val="auto"/>
          <w:highlight w:val="none"/>
          <w:lang w:val="en-US" w:eastAsia="zh-CN"/>
        </w:rPr>
        <w:t>涵盖全品类食材采购配送服务，包括蔬菜类（如白菜、菠菜等各类叶菜，土豆、萝卜等根茎类蔬菜）、水果类（像苹果、香蕉、芒果等常见水果）、肉类（包含猪肉、牛肉、羊肉、鸡肉、鸭肉等鲜肉及内脏制品）、水产类（草鱼、鲫鱼等鱼类，虾、蟹、贝类等海鲜）、禽蛋类（鸡蛋、鸭蛋、鹌鹑蛋等）、粮油类（大米、面粉、大豆油、花生油等）、干货调料类（木耳、香菇、盐、味精、花椒、八角等）、奶类及奶制品类（牛奶、酸奶、奶粉等）、豆制品类（豆腐、豆干、豆浆、豆芽等），此外，还包含其他采购人需求的食材品类。供应商需按照采购人订单要求，将上述各类食材按时、按质、按量配送至指定地点，并提供详细送货清单，确保食材包装及质量符合合同约定标准。</w:t>
      </w:r>
    </w:p>
    <w:p w14:paraId="6AF110C8">
      <w:pPr>
        <w:pStyle w:val="3"/>
        <w:bidi w:val="0"/>
        <w:rPr>
          <w:rFonts w:hint="eastAsia"/>
          <w:color w:val="auto"/>
          <w:highlight w:val="none"/>
          <w:lang w:val="en-US" w:eastAsia="zh-CN"/>
        </w:rPr>
      </w:pPr>
      <w:bookmarkStart w:id="80" w:name="_Toc7762"/>
      <w:r>
        <w:rPr>
          <w:rFonts w:hint="eastAsia"/>
          <w:color w:val="auto"/>
          <w:highlight w:val="none"/>
          <w:lang w:val="en-US" w:eastAsia="zh-CN"/>
        </w:rPr>
        <w:t>三、服务内容及要求</w:t>
      </w:r>
      <w:bookmarkEnd w:id="80"/>
    </w:p>
    <w:p w14:paraId="6408F879">
      <w:pPr>
        <w:bidi w:val="0"/>
        <w:rPr>
          <w:rFonts w:hint="default"/>
          <w:color w:val="auto"/>
          <w:highlight w:val="none"/>
          <w:lang w:val="en-US" w:eastAsia="zh-CN"/>
        </w:rPr>
      </w:pPr>
      <w:r>
        <w:rPr>
          <w:rFonts w:hint="eastAsia" w:ascii="仿宋" w:eastAsia="仿宋"/>
          <w:color w:val="auto"/>
          <w:highlight w:val="none"/>
          <w:lang w:val="en-US" w:eastAsia="zh-CN"/>
        </w:rPr>
        <w:t>（一）产品要求</w:t>
      </w:r>
    </w:p>
    <w:tbl>
      <w:tblPr>
        <w:tblStyle w:val="22"/>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2"/>
        <w:gridCol w:w="1225"/>
        <w:gridCol w:w="1611"/>
        <w:gridCol w:w="5846"/>
      </w:tblGrid>
      <w:tr w14:paraId="7F62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tblHeader/>
          <w:jc w:val="center"/>
        </w:trPr>
        <w:tc>
          <w:tcPr>
            <w:tcW w:w="672" w:type="dxa"/>
            <w:tcBorders>
              <w:top w:val="single" w:color="9BBB59" w:sz="12" w:space="0"/>
              <w:left w:val="single" w:color="9BBB59" w:sz="12" w:space="0"/>
              <w:bottom w:val="single" w:color="9BBB59" w:sz="4" w:space="0"/>
              <w:right w:val="single" w:color="9BBB59" w:sz="4" w:space="0"/>
              <w:tl2br w:val="nil"/>
            </w:tcBorders>
            <w:shd w:val="clear" w:color="auto" w:fill="C3D69A"/>
            <w:noWrap w:val="0"/>
            <w:vAlign w:val="center"/>
          </w:tcPr>
          <w:p w14:paraId="67457E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color w:val="auto"/>
                <w:sz w:val="22"/>
                <w:szCs w:val="22"/>
                <w:highlight w:val="none"/>
                <w:lang w:val="en-US" w:eastAsia="zh-CN"/>
              </w:rPr>
            </w:pPr>
            <w:r>
              <w:rPr>
                <w:rFonts w:hint="eastAsia" w:ascii="仿宋" w:eastAsia="仿宋"/>
                <w:b/>
                <w:color w:val="auto"/>
                <w:sz w:val="22"/>
                <w:szCs w:val="22"/>
                <w:highlight w:val="none"/>
                <w:lang w:val="en-US" w:eastAsia="zh-CN"/>
              </w:rPr>
              <w:t>分类</w:t>
            </w:r>
          </w:p>
        </w:tc>
        <w:tc>
          <w:tcPr>
            <w:tcW w:w="1225" w:type="dxa"/>
            <w:tcBorders>
              <w:top w:val="single" w:color="9BBB59" w:sz="12" w:space="0"/>
              <w:left w:val="single" w:color="9BBB59" w:sz="4" w:space="0"/>
              <w:bottom w:val="single" w:color="9BBB59" w:sz="4" w:space="0"/>
              <w:right w:val="single" w:color="9BBB59" w:sz="4" w:space="0"/>
            </w:tcBorders>
            <w:shd w:val="clear" w:color="auto" w:fill="C3D69A"/>
            <w:noWrap w:val="0"/>
            <w:vAlign w:val="center"/>
          </w:tcPr>
          <w:p w14:paraId="5C04F1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color w:val="auto"/>
                <w:sz w:val="22"/>
                <w:szCs w:val="22"/>
                <w:highlight w:val="none"/>
                <w:lang w:val="en-US" w:eastAsia="zh-CN"/>
              </w:rPr>
            </w:pPr>
            <w:r>
              <w:rPr>
                <w:rFonts w:hint="eastAsia" w:ascii="仿宋" w:eastAsia="仿宋"/>
                <w:b/>
                <w:color w:val="auto"/>
                <w:sz w:val="22"/>
                <w:szCs w:val="22"/>
                <w:highlight w:val="none"/>
                <w:lang w:val="en-US" w:eastAsia="zh-CN"/>
              </w:rPr>
              <w:t>服务内容</w:t>
            </w:r>
          </w:p>
        </w:tc>
        <w:tc>
          <w:tcPr>
            <w:tcW w:w="0" w:type="auto"/>
            <w:tcBorders>
              <w:top w:val="single" w:color="9BBB59" w:sz="12" w:space="0"/>
              <w:left w:val="single" w:color="9BBB59" w:sz="4" w:space="0"/>
              <w:bottom w:val="single" w:color="9BBB59" w:sz="4" w:space="0"/>
              <w:right w:val="single" w:color="9BBB59" w:sz="4" w:space="0"/>
            </w:tcBorders>
            <w:shd w:val="clear" w:color="auto" w:fill="C3D69A"/>
            <w:noWrap w:val="0"/>
            <w:vAlign w:val="center"/>
          </w:tcPr>
          <w:p w14:paraId="6F8D4A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color w:val="auto"/>
                <w:sz w:val="22"/>
                <w:szCs w:val="22"/>
                <w:highlight w:val="none"/>
                <w:lang w:val="en-US" w:eastAsia="zh-CN"/>
              </w:rPr>
            </w:pPr>
            <w:r>
              <w:rPr>
                <w:rFonts w:hint="eastAsia" w:ascii="仿宋" w:eastAsia="仿宋"/>
                <w:b/>
                <w:color w:val="auto"/>
                <w:sz w:val="22"/>
                <w:szCs w:val="22"/>
                <w:highlight w:val="none"/>
                <w:lang w:val="en-US" w:eastAsia="zh-CN"/>
              </w:rPr>
              <w:t>需求</w:t>
            </w:r>
          </w:p>
        </w:tc>
        <w:tc>
          <w:tcPr>
            <w:tcW w:w="0" w:type="auto"/>
            <w:tcBorders>
              <w:top w:val="single" w:color="9BBB59" w:sz="12" w:space="0"/>
              <w:left w:val="single" w:color="9BBB59" w:sz="4" w:space="0"/>
              <w:bottom w:val="single" w:color="9BBB59" w:sz="4" w:space="0"/>
              <w:right w:val="single" w:color="9BBB59" w:sz="12" w:space="0"/>
            </w:tcBorders>
            <w:shd w:val="clear" w:color="auto" w:fill="C3D69A"/>
            <w:noWrap w:val="0"/>
            <w:vAlign w:val="center"/>
          </w:tcPr>
          <w:p w14:paraId="05D25B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color w:val="auto"/>
                <w:sz w:val="22"/>
                <w:szCs w:val="22"/>
                <w:highlight w:val="none"/>
                <w:lang w:val="en-US" w:eastAsia="zh-CN"/>
              </w:rPr>
            </w:pPr>
            <w:r>
              <w:rPr>
                <w:rFonts w:hint="eastAsia" w:ascii="仿宋" w:eastAsia="仿宋"/>
                <w:b/>
                <w:color w:val="auto"/>
                <w:sz w:val="22"/>
                <w:szCs w:val="22"/>
                <w:highlight w:val="none"/>
                <w:lang w:val="en-US" w:eastAsia="zh-CN"/>
              </w:rPr>
              <w:t>标准</w:t>
            </w:r>
          </w:p>
        </w:tc>
      </w:tr>
      <w:tr w14:paraId="5495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66E0D9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蔬菜类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29DAB5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按订单按时配送各类新鲜蔬菜</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5DCB98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每日有稳定多样的蔬菜供应，满足不同菜品制作需求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59DE16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1.外观：新鲜、无黄叶、烂叶、损伤、病虫害，形态完整。</w:t>
            </w:r>
          </w:p>
          <w:p w14:paraId="466D11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2.理化指标：农药残留符合GB2763《食品安全国家标准食品中农药最大残留限量》要求。</w:t>
            </w:r>
          </w:p>
          <w:p w14:paraId="3254B0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3.包装：使用透气的塑料筐或环保纸袋包装，避免过度包装造成浪费。若用塑料筐，需定期清洗消毒；若用纸袋，要保证其强度能承受蔬菜重量。外包装张贴标签，标注产地、采摘日期、保质期等信息。</w:t>
            </w:r>
          </w:p>
        </w:tc>
      </w:tr>
      <w:tr w14:paraId="5B6C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41DBFC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粮食类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1632BF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配送大米、面粉、杂粮等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3C67E5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保障日常主食供应，满足不同烹饪需求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47CD4B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1.感官：无霉变、无虫害、无异味，色泽正常。</w:t>
            </w:r>
          </w:p>
          <w:p w14:paraId="693DDA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2.理化指标：水分、杂质含量符合相关标准，如大米执行GB1354《大米》标准要求；面粉执行GB/T1355《小麦粉》标准要求等。</w:t>
            </w:r>
          </w:p>
          <w:p w14:paraId="7E6B90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大米、杂粮常用编织袋或密封塑料袋包装，面粉多采用布袋或密封纸袋包装。包装应牢固，具备防潮、防虫功能。包装材料符合食品包装相关标准。外包装清晰标注生产日期、保质期、产地、成分等信息。</w:t>
            </w:r>
          </w:p>
        </w:tc>
      </w:tr>
      <w:tr w14:paraId="0A31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5DFF87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干调类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0DE2BD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配送干货（如木耳、香菇等）和调料（如花椒、八角等）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780389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种类齐全，满足日常调味及特色菜品制作需求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6E92C7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1.干货：无变质、无异味、无霉变，无杂质。</w:t>
            </w:r>
          </w:p>
          <w:p w14:paraId="55E3CB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2.调料：在保质期内，感官性状良好，无异味、无霉变。</w:t>
            </w:r>
          </w:p>
          <w:p w14:paraId="05796A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3.包装：干货用密封塑料罐或塑料袋包装，调料常用玻璃瓶、塑料瓶或密封塑料袋包装。包装材料无毒无害，符合食品包装相关标准。包装标注生产日期、保质期、成分、产地等信息。</w:t>
            </w:r>
          </w:p>
        </w:tc>
      </w:tr>
      <w:tr w14:paraId="14AB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7AA665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猪牛肉类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3FE033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配送新鲜或冷冻的猪、牛肉及内脏等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63D874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满足日常及特殊时期（如节日加餐）需求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03B7B3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1.感官：肉质新鲜，色泽正常，无异味、无病变，冷冻肉无冰霜过多、无风干氧化现象。</w:t>
            </w:r>
          </w:p>
          <w:p w14:paraId="5677D5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2.检疫：具有动物检疫合格证明，符合GB2707《食品安全国家标准鲜（冻）畜、禽产品》要求。</w:t>
            </w:r>
          </w:p>
          <w:p w14:paraId="5612BE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3.包装：新鲜肉用食品级保鲜膜包裹后，放置在泡沫箱内，加冰袋保鲜；冷冻肉采用密封塑料袋或纸盒包装。包装标注生产日期、保质期、产地、品种、检疫合格信息等。</w:t>
            </w:r>
          </w:p>
        </w:tc>
      </w:tr>
      <w:tr w14:paraId="438B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64627D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鸡鸭肉品类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60A371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配送新鲜或冷冻的鸡、鸭肉及相关副产品</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5EAD96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满足日常及特殊需求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44DF94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1.感官：无病变、无异味、无羽毛残留，冷冻品无异常冰霜、无变质。</w:t>
            </w:r>
          </w:p>
          <w:p w14:paraId="6353CC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2.检疫：具备有效的动物检疫合格证明，符合GB2707《食品安全国家标准鲜（冻）畜、禽产品》要求。</w:t>
            </w:r>
          </w:p>
          <w:p w14:paraId="3DDCBD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3.包装：新鲜产品用食品级塑料袋包装后置于泡沫箱加冰袋；冷冻产品用密封塑料袋包装。包装标注生产日期、保质期、产地、品种、检疫情况等信息。</w:t>
            </w:r>
          </w:p>
        </w:tc>
      </w:tr>
      <w:tr w14:paraId="16C5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52FF3C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调味品类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740116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配送各类调味品，如盐、糖、酱油、醋等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5255ED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满足多样化调味需求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5144C8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1.感官：在保质期内，无异味、无霉变、无沉淀（液态调料）。</w:t>
            </w:r>
          </w:p>
          <w:p w14:paraId="69D193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2.理化指标：符合相应产品标准，如食用盐执行GB/T5461《食用盐》标准等。</w:t>
            </w:r>
          </w:p>
          <w:p w14:paraId="143878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3.包装：盐、糖常用塑料袋或纸盒包装；酱油、醋等液态调料采用玻璃瓶或塑料瓶包装，瓶盖密封良好。包装材料符合食品包装卫生标准。标注生产日期、保质期、成分、净含量、使用方法等信息。</w:t>
            </w:r>
          </w:p>
        </w:tc>
      </w:tr>
      <w:tr w14:paraId="396E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368385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食用油类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1D5B54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配送各类食用油，如大豆油、花生油等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544EDE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满足日常烹饪及特殊用油需求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581EA6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1.感官：澄清、透明，无异味、无沉淀，符合相应油脂特征。</w:t>
            </w:r>
          </w:p>
          <w:p w14:paraId="17D920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2.理化指标：符合GB2716《食品安全国家标准植物油》要求。</w:t>
            </w:r>
          </w:p>
          <w:p w14:paraId="6496BA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3.包装：采用食品级塑料桶或铁桶包装，密封</w:t>
            </w:r>
            <w:r>
              <w:rPr>
                <w:rFonts w:hint="eastAsia"/>
                <w:b w:val="0"/>
                <w:color w:val="auto"/>
                <w:sz w:val="21"/>
                <w:szCs w:val="21"/>
                <w:highlight w:val="none"/>
                <w:lang w:val="en-US" w:eastAsia="zh-CN"/>
              </w:rPr>
              <w:t>严密</w:t>
            </w:r>
            <w:r>
              <w:rPr>
                <w:rFonts w:hint="eastAsia" w:ascii="仿宋" w:eastAsia="仿宋"/>
                <w:b w:val="0"/>
                <w:color w:val="auto"/>
                <w:sz w:val="21"/>
                <w:szCs w:val="21"/>
                <w:highlight w:val="none"/>
                <w:lang w:val="en-US" w:eastAsia="zh-CN"/>
              </w:rPr>
              <w:t>，防止渗漏。包装标注生产日期、保质期、成分、净含量、生产工艺等信息。</w:t>
            </w:r>
          </w:p>
        </w:tc>
      </w:tr>
      <w:tr w14:paraId="3BB6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5EC761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面包点心类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66AA02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配送面包、糕点等成品或半成品</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5A4A8E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满足员工早餐、加餐或特殊活动需求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5A0C7D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1.感官：无变质、无异味、无霉变，外形完整，色泽正常。</w:t>
            </w:r>
          </w:p>
          <w:p w14:paraId="5C7222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2.微生物指标：符合GB7099《食品安全国家标准糕点、面包》要求。</w:t>
            </w:r>
          </w:p>
          <w:p w14:paraId="65A8C8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3.包装：用食品级塑料袋或纸盒包装，内附食品级保鲜纸，防止挤压变形。包装标注生产日期、保质期、成分、储存条件等信息。</w:t>
            </w:r>
          </w:p>
        </w:tc>
      </w:tr>
      <w:tr w14:paraId="51C1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742B0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奶类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7D1512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配送牛奶、酸奶等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388CE6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满足日常营养需求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1C2D1A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1.感官：具有该产品应有的色泽和滋味，无异味、无沉淀（除正常沉淀外）。</w:t>
            </w:r>
          </w:p>
          <w:p w14:paraId="1F9A27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2.理化及微生物指标：符合GB19301《食品安全国家标准生乳》、GB19302《食品安全国家标准发酵乳》等相关标准要求。</w:t>
            </w:r>
          </w:p>
          <w:p w14:paraId="715D91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3.包装：采用符合食品卫生标准的塑料瓶、纸盒或玻璃瓶包装，密封良好，防止污染、变质。标注生产日期、保质期、成分、净含量、储存条件等信息。</w:t>
            </w:r>
          </w:p>
        </w:tc>
      </w:tr>
      <w:tr w14:paraId="1D5F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100EBA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蛋类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378C6D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配送鸡蛋、鸭蛋等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6A2B42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满足日常饮食营养需求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110D48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1.感官：蛋壳清洁、完整，灯光透视时，整个蛋呈微红色，气室小。</w:t>
            </w:r>
          </w:p>
          <w:p w14:paraId="28487C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2.微生物指标：符合GB2748《食品安全国家标准蛋与蛋制品》要求。</w:t>
            </w:r>
          </w:p>
          <w:p w14:paraId="24F39D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3.包装：采用纸质蛋托或塑料蛋托，再用纸箱或塑料筐集中包装，防止碰撞破损。标注生产日期、产地、品种等信息。</w:t>
            </w:r>
          </w:p>
        </w:tc>
      </w:tr>
      <w:tr w14:paraId="20A5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1FB733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水产海鲜类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362A77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配送各类鱼、虾、蟹、贝类等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157139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满足多样化饮食需求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646469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1.感官：新鲜度高，体表有光泽，眼球饱满，鳃丝清晰，肌肉有弹性，无异味。</w:t>
            </w:r>
          </w:p>
          <w:p w14:paraId="4DCCB2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2.理化及微生物指标：符合GB2733《食品安全国家标准鲜、冻动物性水产品》要求。</w:t>
            </w:r>
          </w:p>
          <w:p w14:paraId="0B9A4A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3.包装：新鲜水产品用湿毛巾包裹或置于充氧袋中，再放入泡沫箱加冰袋；冷冻水产品用密封塑料袋包装后置于泡沫箱。包装标注生产日期、保质期、产地、品种等信息。</w:t>
            </w:r>
          </w:p>
        </w:tc>
      </w:tr>
      <w:tr w14:paraId="4A2C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04CF68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豆制品类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1628A3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配送豆腐、豆皮等</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3D0DFE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满足日常饮食需求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087757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1.感官：具有该产品应有的色泽和气味，无酸臭味、无霉变、无杂质。</w:t>
            </w:r>
          </w:p>
          <w:p w14:paraId="5FA323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2.微生物指标：符合GB2711《食品安全国家标准豆制品》要求。</w:t>
            </w:r>
          </w:p>
          <w:p w14:paraId="4531B0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3.包装：豆腐用塑料盒或泡沫盒包装，内附食品级吸水纸；豆皮用食品级塑料袋包装。包装标注生产日期、保质期、成分、储存条件等信息。</w:t>
            </w:r>
          </w:p>
        </w:tc>
      </w:tr>
      <w:tr w14:paraId="6612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4" w:space="0"/>
              <w:right w:val="single" w:color="9BBB59" w:sz="4" w:space="0"/>
            </w:tcBorders>
            <w:shd w:val="clear" w:color="auto" w:fill="FFFFFF"/>
            <w:noWrap w:val="0"/>
            <w:vAlign w:val="center"/>
          </w:tcPr>
          <w:p w14:paraId="5C002D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水果类</w:t>
            </w:r>
          </w:p>
        </w:tc>
        <w:tc>
          <w:tcPr>
            <w:tcW w:w="1225" w:type="dxa"/>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1AC793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配送各类时令水果</w:t>
            </w:r>
          </w:p>
        </w:tc>
        <w:tc>
          <w:tcPr>
            <w:tcW w:w="0" w:type="auto"/>
            <w:tcBorders>
              <w:top w:val="single" w:color="9BBB59" w:sz="4" w:space="0"/>
              <w:left w:val="single" w:color="9BBB59" w:sz="4" w:space="0"/>
              <w:bottom w:val="single" w:color="9BBB59" w:sz="4" w:space="0"/>
              <w:right w:val="single" w:color="9BBB59" w:sz="4" w:space="0"/>
            </w:tcBorders>
            <w:shd w:val="clear" w:color="auto" w:fill="FFFFFF"/>
            <w:noWrap w:val="0"/>
            <w:vAlign w:val="center"/>
          </w:tcPr>
          <w:p w14:paraId="1A82D9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满足日常营养及餐后水果需求</w:t>
            </w:r>
          </w:p>
        </w:tc>
        <w:tc>
          <w:tcPr>
            <w:tcW w:w="0" w:type="auto"/>
            <w:tcBorders>
              <w:top w:val="single" w:color="9BBB59" w:sz="4" w:space="0"/>
              <w:left w:val="single" w:color="9BBB59" w:sz="4" w:space="0"/>
              <w:bottom w:val="single" w:color="9BBB59" w:sz="4" w:space="0"/>
              <w:right w:val="single" w:color="9BBB59" w:sz="12" w:space="0"/>
            </w:tcBorders>
            <w:shd w:val="clear" w:color="auto" w:fill="FFFFFF"/>
            <w:noWrap w:val="0"/>
            <w:vAlign w:val="center"/>
          </w:tcPr>
          <w:p w14:paraId="13B8C7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1.外观：新鲜、无腐烂、无变质、无机械损伤、无病虫害，具有该品种应有的色泽和形状。</w:t>
            </w:r>
          </w:p>
          <w:p w14:paraId="621D76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eastAsia="仿宋"/>
                <w:b w:val="0"/>
                <w:color w:val="auto"/>
                <w:sz w:val="21"/>
                <w:szCs w:val="21"/>
                <w:highlight w:val="none"/>
                <w:lang w:val="en-US" w:eastAsia="zh-CN"/>
              </w:rPr>
            </w:pPr>
            <w:r>
              <w:rPr>
                <w:rFonts w:hint="eastAsia" w:ascii="仿宋" w:eastAsia="仿宋"/>
                <w:b w:val="0"/>
                <w:color w:val="auto"/>
                <w:sz w:val="21"/>
                <w:szCs w:val="21"/>
                <w:highlight w:val="none"/>
                <w:lang w:val="en-US" w:eastAsia="zh-CN"/>
              </w:rPr>
              <w:t>2.理化指标：农药残留符合GB2763《食品安全国家标准食品中农药最大残留限量》要求。</w:t>
            </w:r>
          </w:p>
          <w:p w14:paraId="7C875F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3.包装：使用透气的塑料网套或纸套对单个水果进行防护，再用纸箱或塑料筐包装。外包装标注产地、采摘日期、保质期等信息。</w:t>
            </w:r>
          </w:p>
        </w:tc>
      </w:tr>
      <w:tr w14:paraId="3ADD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2" w:type="dxa"/>
            <w:tcBorders>
              <w:top w:val="single" w:color="9BBB59" w:sz="4" w:space="0"/>
              <w:left w:val="single" w:color="9BBB59" w:sz="12" w:space="0"/>
              <w:bottom w:val="single" w:color="9BBB59" w:sz="12" w:space="0"/>
              <w:right w:val="single" w:color="9BBB59" w:sz="4" w:space="0"/>
            </w:tcBorders>
            <w:shd w:val="clear" w:color="auto" w:fill="FFFFFF"/>
            <w:noWrap w:val="0"/>
            <w:vAlign w:val="center"/>
          </w:tcPr>
          <w:p w14:paraId="292B36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其他</w:t>
            </w:r>
          </w:p>
        </w:tc>
        <w:tc>
          <w:tcPr>
            <w:tcW w:w="1225" w:type="dxa"/>
            <w:tcBorders>
              <w:top w:val="single" w:color="9BBB59" w:sz="4" w:space="0"/>
              <w:left w:val="single" w:color="9BBB59" w:sz="4" w:space="0"/>
              <w:bottom w:val="single" w:color="9BBB59" w:sz="12" w:space="0"/>
              <w:right w:val="single" w:color="9BBB59" w:sz="4" w:space="0"/>
            </w:tcBorders>
            <w:shd w:val="clear" w:color="auto" w:fill="FFFFFF"/>
            <w:noWrap w:val="0"/>
            <w:vAlign w:val="center"/>
          </w:tcPr>
          <w:p w14:paraId="5D0FAE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满足</w:t>
            </w:r>
            <w:r>
              <w:rPr>
                <w:rFonts w:hint="eastAsia"/>
                <w:b w:val="0"/>
                <w:color w:val="auto"/>
                <w:sz w:val="21"/>
                <w:szCs w:val="21"/>
                <w:highlight w:val="none"/>
                <w:lang w:val="en-US" w:eastAsia="zh-CN"/>
              </w:rPr>
              <w:t>采购人</w:t>
            </w:r>
            <w:r>
              <w:rPr>
                <w:rFonts w:hint="eastAsia" w:ascii="仿宋" w:eastAsia="仿宋"/>
                <w:b w:val="0"/>
                <w:color w:val="auto"/>
                <w:sz w:val="21"/>
                <w:szCs w:val="21"/>
                <w:highlight w:val="none"/>
                <w:lang w:val="en-US" w:eastAsia="zh-CN"/>
              </w:rPr>
              <w:t>临时提出的其他食材需求</w:t>
            </w:r>
          </w:p>
        </w:tc>
        <w:tc>
          <w:tcPr>
            <w:tcW w:w="0" w:type="auto"/>
            <w:tcBorders>
              <w:top w:val="single" w:color="9BBB59" w:sz="4" w:space="0"/>
              <w:left w:val="single" w:color="9BBB59" w:sz="4" w:space="0"/>
              <w:bottom w:val="single" w:color="9BBB59" w:sz="12" w:space="0"/>
              <w:right w:val="single" w:color="9BBB59" w:sz="4" w:space="0"/>
            </w:tcBorders>
            <w:shd w:val="clear" w:color="auto" w:fill="FFFFFF"/>
            <w:noWrap w:val="0"/>
            <w:vAlign w:val="center"/>
          </w:tcPr>
          <w:p w14:paraId="092B38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根据实际需求而定</w:t>
            </w:r>
          </w:p>
        </w:tc>
        <w:tc>
          <w:tcPr>
            <w:tcW w:w="0" w:type="auto"/>
            <w:tcBorders>
              <w:top w:val="single" w:color="9BBB59" w:sz="4" w:space="0"/>
              <w:left w:val="single" w:color="9BBB59" w:sz="4" w:space="0"/>
              <w:bottom w:val="single" w:color="9BBB59" w:sz="12" w:space="0"/>
              <w:right w:val="single" w:color="9BBB59" w:sz="12" w:space="0"/>
            </w:tcBorders>
            <w:shd w:val="clear" w:color="auto" w:fill="FFFFFF"/>
            <w:noWrap w:val="0"/>
            <w:vAlign w:val="center"/>
          </w:tcPr>
          <w:p w14:paraId="37C14E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符合相应食品安全标准</w:t>
            </w:r>
          </w:p>
        </w:tc>
      </w:tr>
    </w:tbl>
    <w:p w14:paraId="462946E2">
      <w:pPr>
        <w:bidi w:val="0"/>
        <w:rPr>
          <w:rFonts w:hint="eastAsia"/>
          <w:color w:val="auto"/>
          <w:highlight w:val="none"/>
          <w:lang w:val="en-US" w:eastAsia="zh-CN"/>
        </w:rPr>
      </w:pPr>
      <w:r>
        <w:rPr>
          <w:rFonts w:hint="eastAsia"/>
          <w:color w:val="auto"/>
          <w:highlight w:val="none"/>
          <w:lang w:val="en-US" w:eastAsia="zh-CN"/>
        </w:rPr>
        <w:t>（二）其他要求</w:t>
      </w:r>
    </w:p>
    <w:p w14:paraId="7803498B">
      <w:pPr>
        <w:bidi w:val="0"/>
        <w:rPr>
          <w:rFonts w:hint="eastAsia"/>
          <w:color w:val="auto"/>
          <w:highlight w:val="none"/>
          <w:lang w:val="en-US" w:eastAsia="zh-CN"/>
        </w:rPr>
      </w:pPr>
      <w:r>
        <w:rPr>
          <w:rFonts w:hint="eastAsia"/>
          <w:color w:val="auto"/>
          <w:highlight w:val="none"/>
          <w:lang w:val="en-US" w:eastAsia="zh-CN"/>
        </w:rPr>
        <w:t>1.具有外包装的食材，其外包装标识应标注清楚净含量、品名、执行标准号；生产者（或销售者）名称、地址、商标；生产日期、保质期和相应的质量等级。另外，外包装的图案、文字的印刷应清晰、端正、不褪色。</w:t>
      </w:r>
    </w:p>
    <w:p w14:paraId="72E5AF58">
      <w:pPr>
        <w:bidi w:val="0"/>
        <w:rPr>
          <w:rFonts w:hint="eastAsia"/>
          <w:color w:val="auto"/>
          <w:highlight w:val="none"/>
          <w:lang w:val="en-US" w:eastAsia="zh-CN"/>
        </w:rPr>
      </w:pPr>
      <w:r>
        <w:rPr>
          <w:rFonts w:hint="eastAsia"/>
          <w:color w:val="auto"/>
          <w:highlight w:val="none"/>
          <w:lang w:val="en-US" w:eastAsia="zh-CN"/>
        </w:rPr>
        <w:t>2.所有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w:t>
      </w:r>
    </w:p>
    <w:p w14:paraId="3F137A40">
      <w:pPr>
        <w:bidi w:val="0"/>
        <w:rPr>
          <w:rFonts w:hint="eastAsia"/>
          <w:color w:val="auto"/>
          <w:highlight w:val="none"/>
          <w:lang w:val="en-US" w:eastAsia="zh-CN"/>
        </w:rPr>
      </w:pPr>
      <w:r>
        <w:rPr>
          <w:rFonts w:hint="eastAsia"/>
          <w:color w:val="auto"/>
          <w:highlight w:val="none"/>
          <w:lang w:val="en-US" w:eastAsia="zh-CN"/>
        </w:rPr>
        <w:t>3.所有采购食材除达到上表中分类分项的标准外，均需达到以下要求：</w:t>
      </w:r>
    </w:p>
    <w:p w14:paraId="5C2C284D">
      <w:pPr>
        <w:bidi w:val="0"/>
        <w:rPr>
          <w:rFonts w:hint="eastAsia"/>
          <w:color w:val="auto"/>
          <w:highlight w:val="none"/>
          <w:lang w:val="en-US" w:eastAsia="zh-CN"/>
        </w:rPr>
      </w:pPr>
      <w:r>
        <w:rPr>
          <w:rFonts w:hint="eastAsia"/>
          <w:color w:val="auto"/>
          <w:highlight w:val="none"/>
          <w:lang w:val="en-US" w:eastAsia="zh-CN"/>
        </w:rPr>
        <w:t>（1）GB2760-2011《食品安全国家标准食品添加剂使用标准》</w:t>
      </w:r>
    </w:p>
    <w:p w14:paraId="0F1EA217">
      <w:pPr>
        <w:bidi w:val="0"/>
        <w:rPr>
          <w:rFonts w:hint="eastAsia"/>
          <w:color w:val="auto"/>
          <w:highlight w:val="none"/>
          <w:lang w:val="en-US" w:eastAsia="zh-CN"/>
        </w:rPr>
      </w:pPr>
      <w:r>
        <w:rPr>
          <w:rFonts w:hint="eastAsia"/>
          <w:color w:val="auto"/>
          <w:highlight w:val="none"/>
          <w:lang w:val="en-US" w:eastAsia="zh-CN"/>
        </w:rPr>
        <w:t>（2）GB2762-2012《食品安全国家标准食品中污染物限量标准》</w:t>
      </w:r>
    </w:p>
    <w:p w14:paraId="472C80AD">
      <w:pPr>
        <w:bidi w:val="0"/>
        <w:rPr>
          <w:rFonts w:hint="eastAsia"/>
          <w:color w:val="auto"/>
          <w:highlight w:val="none"/>
          <w:lang w:val="en-US" w:eastAsia="zh-CN"/>
        </w:rPr>
      </w:pPr>
      <w:r>
        <w:rPr>
          <w:rFonts w:hint="eastAsia"/>
          <w:color w:val="auto"/>
          <w:highlight w:val="none"/>
          <w:lang w:val="en-US" w:eastAsia="zh-CN"/>
        </w:rPr>
        <w:t>（3）GB2763-2012《食品安全国家标准食品中农药最大残留限量》</w:t>
      </w:r>
    </w:p>
    <w:p w14:paraId="296629E1">
      <w:pPr>
        <w:bidi w:val="0"/>
        <w:rPr>
          <w:rFonts w:hint="eastAsia"/>
          <w:color w:val="auto"/>
          <w:highlight w:val="none"/>
          <w:lang w:val="en-US" w:eastAsia="zh-CN"/>
        </w:rPr>
      </w:pPr>
      <w:r>
        <w:rPr>
          <w:rFonts w:hint="eastAsia"/>
          <w:color w:val="auto"/>
          <w:highlight w:val="none"/>
          <w:lang w:val="en-US" w:eastAsia="zh-CN"/>
        </w:rPr>
        <w:t>（4）GB31621-2014《食品安全国家标准食品经营过程卫生规范》</w:t>
      </w:r>
    </w:p>
    <w:p w14:paraId="2B16F25B">
      <w:pPr>
        <w:bidi w:val="0"/>
        <w:rPr>
          <w:rFonts w:hint="eastAsia"/>
          <w:color w:val="auto"/>
          <w:highlight w:val="none"/>
          <w:lang w:val="en-US" w:eastAsia="zh-CN"/>
        </w:rPr>
      </w:pPr>
      <w:r>
        <w:rPr>
          <w:rFonts w:hint="eastAsia"/>
          <w:color w:val="auto"/>
          <w:highlight w:val="none"/>
          <w:lang w:val="en-US" w:eastAsia="zh-CN"/>
        </w:rPr>
        <w:t>（5）GB7718-2004《预包装食品标签通则》</w:t>
      </w:r>
    </w:p>
    <w:p w14:paraId="4DB7BB14">
      <w:pPr>
        <w:bidi w:val="0"/>
        <w:rPr>
          <w:rFonts w:hint="eastAsia"/>
          <w:color w:val="auto"/>
          <w:highlight w:val="none"/>
          <w:lang w:val="en-US" w:eastAsia="zh-CN"/>
        </w:rPr>
      </w:pPr>
      <w:r>
        <w:rPr>
          <w:rFonts w:hint="eastAsia"/>
          <w:color w:val="auto"/>
          <w:highlight w:val="none"/>
          <w:lang w:val="en-US" w:eastAsia="zh-CN"/>
        </w:rPr>
        <w:t>（6）每种明细产品必须标明品名、规格、等级、生产厂家等内容。</w:t>
      </w:r>
    </w:p>
    <w:p w14:paraId="51070A49">
      <w:pPr>
        <w:bidi w:val="0"/>
        <w:rPr>
          <w:rFonts w:hint="eastAsia"/>
          <w:color w:val="auto"/>
          <w:highlight w:val="none"/>
          <w:lang w:val="en-US" w:eastAsia="zh-CN"/>
        </w:rPr>
      </w:pPr>
      <w:r>
        <w:rPr>
          <w:rFonts w:hint="eastAsia"/>
          <w:color w:val="auto"/>
          <w:highlight w:val="none"/>
          <w:lang w:val="en-US" w:eastAsia="zh-CN"/>
        </w:rPr>
        <w:t>（7）所有产品必须符合新颁布的《中华人民共和国食品安全法》及其他相关法规要求。</w:t>
      </w:r>
    </w:p>
    <w:p w14:paraId="3AAC5461">
      <w:pPr>
        <w:bidi w:val="0"/>
        <w:rPr>
          <w:rFonts w:hint="eastAsia"/>
          <w:color w:val="auto"/>
          <w:highlight w:val="none"/>
          <w:lang w:val="en-US" w:eastAsia="zh-CN"/>
        </w:rPr>
      </w:pPr>
      <w:r>
        <w:rPr>
          <w:rFonts w:hint="eastAsia"/>
          <w:color w:val="auto"/>
          <w:highlight w:val="none"/>
          <w:lang w:val="en-US" w:eastAsia="zh-CN"/>
        </w:rPr>
        <w:t>4.安全责任，供货人员要求</w:t>
      </w:r>
    </w:p>
    <w:p w14:paraId="650F1DD4">
      <w:pPr>
        <w:bidi w:val="0"/>
        <w:rPr>
          <w:rFonts w:hint="eastAsia"/>
          <w:color w:val="auto"/>
          <w:highlight w:val="none"/>
          <w:lang w:val="en-US" w:eastAsia="zh-CN"/>
        </w:rPr>
      </w:pPr>
      <w:r>
        <w:rPr>
          <w:rFonts w:hint="eastAsia"/>
          <w:color w:val="auto"/>
          <w:highlight w:val="none"/>
          <w:lang w:val="en-US" w:eastAsia="zh-CN"/>
        </w:rPr>
        <w:t>（1）供应商供货人员和车辆的安全责任，由供应商承担。</w:t>
      </w:r>
    </w:p>
    <w:p w14:paraId="4B19C2BE">
      <w:pPr>
        <w:bidi w:val="0"/>
        <w:rPr>
          <w:rFonts w:hint="eastAsia"/>
          <w:color w:val="auto"/>
          <w:highlight w:val="none"/>
          <w:lang w:val="en-US" w:eastAsia="zh-CN"/>
        </w:rPr>
      </w:pPr>
      <w:r>
        <w:rPr>
          <w:rFonts w:hint="eastAsia"/>
          <w:color w:val="auto"/>
          <w:highlight w:val="none"/>
          <w:lang w:val="en-US" w:eastAsia="zh-CN"/>
        </w:rPr>
        <w:t>（2）供应商所供产品出现质量问题，供应商应承担全部法律、经济责任。</w:t>
      </w:r>
    </w:p>
    <w:p w14:paraId="00081A43">
      <w:pPr>
        <w:bidi w:val="0"/>
        <w:rPr>
          <w:rFonts w:hint="eastAsia"/>
          <w:color w:val="auto"/>
          <w:highlight w:val="none"/>
          <w:lang w:val="en-US" w:eastAsia="zh-CN"/>
        </w:rPr>
      </w:pPr>
      <w:r>
        <w:rPr>
          <w:rFonts w:hint="eastAsia"/>
          <w:color w:val="auto"/>
          <w:highlight w:val="none"/>
          <w:lang w:val="en-US" w:eastAsia="zh-CN"/>
        </w:rPr>
        <w:t>（3）供应商在供货期间，因自身原因造成事故事件等，所有后果由供应商自行承担。</w:t>
      </w:r>
    </w:p>
    <w:p w14:paraId="6D7EA3A0">
      <w:pPr>
        <w:bidi w:val="0"/>
        <w:rPr>
          <w:rFonts w:hint="eastAsia"/>
          <w:color w:val="auto"/>
          <w:highlight w:val="none"/>
          <w:lang w:val="en-US" w:eastAsia="zh-CN"/>
        </w:rPr>
      </w:pPr>
      <w:r>
        <w:rPr>
          <w:rFonts w:hint="eastAsia"/>
          <w:color w:val="auto"/>
          <w:highlight w:val="none"/>
          <w:lang w:val="en-US" w:eastAsia="zh-CN"/>
        </w:rPr>
        <w:t>5.配送要求</w:t>
      </w:r>
    </w:p>
    <w:p w14:paraId="6FA1C273">
      <w:pPr>
        <w:bidi w:val="0"/>
        <w:rPr>
          <w:rFonts w:hint="eastAsia"/>
          <w:color w:val="auto"/>
          <w:highlight w:val="none"/>
          <w:lang w:val="en-US" w:eastAsia="zh-CN"/>
        </w:rPr>
      </w:pPr>
      <w:r>
        <w:rPr>
          <w:rFonts w:hint="eastAsia"/>
          <w:color w:val="auto"/>
          <w:highlight w:val="none"/>
          <w:lang w:val="en-US" w:eastAsia="zh-CN"/>
        </w:rPr>
        <w:t>（1）供应商需拥有专业的食材采购、仓储管理、配送等人员团队，配送车辆需为专业运输车辆，人员应相对固定，且持有健康证明。每天早上6：00前将采购人所需食材按时送到采购人指定地点。</w:t>
      </w:r>
    </w:p>
    <w:p w14:paraId="221B922F">
      <w:pPr>
        <w:bidi w:val="0"/>
        <w:rPr>
          <w:rFonts w:hint="eastAsia"/>
          <w:color w:val="auto"/>
          <w:highlight w:val="none"/>
          <w:lang w:val="en-US" w:eastAsia="zh-CN"/>
        </w:rPr>
      </w:pPr>
      <w:r>
        <w:rPr>
          <w:rFonts w:hint="eastAsia"/>
          <w:color w:val="auto"/>
          <w:highlight w:val="none"/>
          <w:lang w:val="en-US" w:eastAsia="zh-CN"/>
        </w:rPr>
        <w:t>（2）供应商按照前一工作日采购人拟定的食材采购单中的数量、规格和要求进行配送，供应商接受配送任务后，应按要求向采购人食堂提供符合品相及规格要求的货物。</w:t>
      </w:r>
    </w:p>
    <w:p w14:paraId="0F4A98F4">
      <w:pPr>
        <w:bidi w:val="0"/>
        <w:rPr>
          <w:rFonts w:hint="eastAsia"/>
          <w:color w:val="auto"/>
          <w:highlight w:val="none"/>
          <w:lang w:val="en-US" w:eastAsia="zh-CN"/>
        </w:rPr>
      </w:pPr>
      <w:r>
        <w:rPr>
          <w:rFonts w:hint="eastAsia"/>
          <w:color w:val="auto"/>
          <w:highlight w:val="none"/>
          <w:lang w:val="en-US" w:eastAsia="zh-CN"/>
        </w:rPr>
        <w:t>（3）供应商所送的食材应以采购人过磅计量为准，单一商品的送货量误差不得超过订购量的士5%。(不可分割商品除外)。对于多送部分，若采购人有需要的，可以相同价格购入；若采购人不需要的，则乙方须立即自行处理。对于数量不足，但采购人需要的，须按采购人要求限时补送。</w:t>
      </w:r>
    </w:p>
    <w:p w14:paraId="62EA30C5">
      <w:pPr>
        <w:bidi w:val="0"/>
        <w:rPr>
          <w:rFonts w:hint="eastAsia"/>
          <w:color w:val="auto"/>
          <w:highlight w:val="none"/>
          <w:lang w:val="en-US" w:eastAsia="zh-CN"/>
        </w:rPr>
      </w:pPr>
      <w:r>
        <w:rPr>
          <w:rFonts w:hint="eastAsia"/>
          <w:color w:val="auto"/>
          <w:highlight w:val="none"/>
          <w:lang w:val="en-US" w:eastAsia="zh-CN"/>
        </w:rPr>
        <w:t>（4）供应商遇有不可抗力因素不能及时送货的，应第一时间电话告知采购人，并在1日内补齐书面说明函给采购人，若乙方不能提供证明的，则仍须按协议书约定承担违约责任。</w:t>
      </w:r>
    </w:p>
    <w:p w14:paraId="2AD58E43">
      <w:pPr>
        <w:bidi w:val="0"/>
        <w:rPr>
          <w:rFonts w:hint="eastAsia"/>
          <w:color w:val="auto"/>
          <w:highlight w:val="none"/>
          <w:lang w:val="en-US" w:eastAsia="zh-CN"/>
        </w:rPr>
      </w:pPr>
      <w:r>
        <w:rPr>
          <w:rFonts w:hint="eastAsia"/>
          <w:color w:val="auto"/>
          <w:highlight w:val="none"/>
          <w:lang w:val="en-US" w:eastAsia="zh-CN"/>
        </w:rPr>
        <w:t>（5）对于质量及数量有问题的食品要保证退货，并及时更换符合质量标准的食品。对采购人要求的原料规格市场确实缺货的，经采购人研究同意后，可临时调整配送规格，价格按实际情况浮动。要努力提高有关工作人员的服务水平，不得强制向采购人食堂配送不符合质量标准的食品，供应商任何时候都不得向采购人出售超过保质期、腐烂变质和无相关检疫合格证明的食材。所有商品因验收货物时不能直接判断质量的，在使用过程中发现不合格商品，采购人应作退货处理，供应商应无条件接受退货。</w:t>
      </w:r>
    </w:p>
    <w:p w14:paraId="174CFE8F">
      <w:pPr>
        <w:bidi w:val="0"/>
        <w:rPr>
          <w:rFonts w:hint="eastAsia"/>
          <w:color w:val="auto"/>
          <w:highlight w:val="none"/>
          <w:lang w:val="en-US" w:eastAsia="zh-CN"/>
        </w:rPr>
      </w:pPr>
      <w:r>
        <w:rPr>
          <w:rFonts w:hint="eastAsia"/>
          <w:color w:val="auto"/>
          <w:highlight w:val="none"/>
          <w:lang w:val="en-US" w:eastAsia="zh-CN"/>
        </w:rPr>
        <w:t>（6）供应商未在采购人要求的时间内交货或交货少于协议书约定或未达到采购人要求的，或供应商所交货物经采购人验收不合格的，采购人有权根据自身需要决定是否要求供应商补交，供应商须予以配合，补货需于2小时内补齐。</w:t>
      </w:r>
    </w:p>
    <w:p w14:paraId="202803ED">
      <w:pPr>
        <w:bidi w:val="0"/>
        <w:rPr>
          <w:rFonts w:hint="eastAsia"/>
          <w:color w:val="auto"/>
          <w:highlight w:val="none"/>
        </w:rPr>
      </w:pPr>
      <w:bookmarkStart w:id="81" w:name="_Toc1367"/>
      <w:bookmarkStart w:id="82" w:name="_Toc3938"/>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其他未尽事宜由供需双方在</w:t>
      </w:r>
      <w:r>
        <w:rPr>
          <w:rFonts w:hint="eastAsia"/>
          <w:color w:val="auto"/>
          <w:highlight w:val="none"/>
          <w:lang w:eastAsia="zh-CN"/>
        </w:rPr>
        <w:t>服务</w:t>
      </w:r>
      <w:r>
        <w:rPr>
          <w:rFonts w:hint="eastAsia"/>
          <w:color w:val="auto"/>
          <w:highlight w:val="none"/>
        </w:rPr>
        <w:t>合同中详细约定。</w:t>
      </w:r>
      <w:bookmarkEnd w:id="81"/>
      <w:bookmarkEnd w:id="82"/>
    </w:p>
    <w:p w14:paraId="4EB48B13">
      <w:pPr>
        <w:rPr>
          <w:rFonts w:hint="eastAsia" w:ascii="仿宋" w:hAnsi="仿宋" w:eastAsia="仿宋" w:cs="仿宋"/>
          <w:color w:val="auto"/>
          <w:highlight w:val="none"/>
          <w:lang w:val="en-US" w:eastAsia="zh-CN"/>
        </w:rPr>
      </w:pPr>
      <w:bookmarkStart w:id="83" w:name="_Toc76462327"/>
      <w:bookmarkStart w:id="84" w:name="_Toc16786"/>
      <w:bookmarkStart w:id="85" w:name="_Toc106030882"/>
      <w:r>
        <w:rPr>
          <w:rFonts w:hint="eastAsia" w:ascii="仿宋" w:hAnsi="仿宋" w:eastAsia="仿宋" w:cs="仿宋"/>
          <w:color w:val="auto"/>
          <w:highlight w:val="none"/>
          <w:lang w:val="en-US" w:eastAsia="zh-CN"/>
        </w:rPr>
        <w:br w:type="page"/>
      </w:r>
    </w:p>
    <w:p w14:paraId="0527887E">
      <w:pPr>
        <w:pStyle w:val="2"/>
        <w:bidi w:val="0"/>
        <w:rPr>
          <w:rFonts w:hint="eastAsia" w:ascii="仿宋" w:hAnsi="仿宋" w:eastAsia="仿宋" w:cs="仿宋"/>
          <w:color w:val="auto"/>
          <w:highlight w:val="none"/>
        </w:rPr>
      </w:pPr>
      <w:bookmarkStart w:id="86" w:name="_Toc29387"/>
      <w:r>
        <w:rPr>
          <w:rFonts w:hint="eastAsia" w:ascii="仿宋" w:hAnsi="仿宋" w:eastAsia="仿宋" w:cs="仿宋"/>
          <w:color w:val="auto"/>
          <w:highlight w:val="none"/>
          <w:lang w:val="en-US" w:eastAsia="zh-CN"/>
        </w:rPr>
        <w:t>第三篇</w:t>
      </w:r>
      <w:r>
        <w:rPr>
          <w:rFonts w:hint="eastAsia" w:ascii="仿宋" w:hAnsi="仿宋" w:eastAsia="仿宋" w:cs="仿宋"/>
          <w:color w:val="auto"/>
          <w:highlight w:val="none"/>
        </w:rPr>
        <w:t xml:space="preserve"> </w:t>
      </w:r>
      <w:bookmarkEnd w:id="73"/>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项目商务需求</w:t>
      </w:r>
      <w:bookmarkEnd w:id="83"/>
      <w:bookmarkEnd w:id="84"/>
      <w:bookmarkEnd w:id="85"/>
      <w:bookmarkEnd w:id="86"/>
    </w:p>
    <w:p w14:paraId="458D2DA4">
      <w:pPr>
        <w:pStyle w:val="3"/>
        <w:bidi w:val="0"/>
        <w:rPr>
          <w:rFonts w:hint="eastAsia" w:ascii="仿宋" w:hAnsi="仿宋" w:eastAsia="仿宋" w:cs="仿宋"/>
          <w:color w:val="auto"/>
          <w:highlight w:val="none"/>
        </w:rPr>
      </w:pPr>
      <w:bookmarkStart w:id="87" w:name="_Toc30503"/>
      <w:bookmarkStart w:id="88" w:name="_Toc344475120"/>
      <w:bookmarkStart w:id="89" w:name="_Toc76462328"/>
      <w:bookmarkStart w:id="90" w:name="_Toc28289"/>
      <w:bookmarkStart w:id="91" w:name="_Toc106030883"/>
      <w:r>
        <w:rPr>
          <w:rFonts w:hint="eastAsia" w:ascii="仿宋" w:hAnsi="仿宋" w:eastAsia="仿宋" w:cs="仿宋"/>
          <w:color w:val="auto"/>
          <w:highlight w:val="none"/>
        </w:rPr>
        <w:t>一、</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期</w:t>
      </w:r>
      <w:r>
        <w:rPr>
          <w:rFonts w:hint="eastAsia" w:ascii="仿宋" w:hAnsi="仿宋" w:eastAsia="仿宋" w:cs="仿宋"/>
          <w:color w:val="auto"/>
          <w:highlight w:val="none"/>
          <w:lang w:eastAsia="zh-CN"/>
        </w:rPr>
        <w:t>限</w:t>
      </w:r>
      <w:r>
        <w:rPr>
          <w:rFonts w:hint="eastAsia" w:ascii="仿宋" w:hAnsi="仿宋" w:eastAsia="仿宋" w:cs="仿宋"/>
          <w:color w:val="auto"/>
          <w:highlight w:val="none"/>
        </w:rPr>
        <w:t>、地点及验收方式</w:t>
      </w:r>
      <w:bookmarkEnd w:id="87"/>
      <w:bookmarkEnd w:id="88"/>
      <w:bookmarkEnd w:id="89"/>
      <w:bookmarkEnd w:id="90"/>
      <w:bookmarkEnd w:id="91"/>
    </w:p>
    <w:p w14:paraId="22F7B587">
      <w:pPr>
        <w:bidi w:val="0"/>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cs="仿宋"/>
          <w:color w:val="auto"/>
          <w:highlight w:val="none"/>
          <w:lang w:val="en-US" w:eastAsia="zh-CN"/>
        </w:rPr>
        <w:t>服务</w:t>
      </w:r>
      <w:r>
        <w:rPr>
          <w:rFonts w:hint="eastAsia" w:ascii="仿宋" w:hAnsi="仿宋" w:eastAsia="仿宋" w:cs="仿宋"/>
          <w:color w:val="auto"/>
          <w:highlight w:val="none"/>
        </w:rPr>
        <w:t>期</w:t>
      </w:r>
      <w:r>
        <w:rPr>
          <w:rFonts w:hint="eastAsia" w:ascii="仿宋" w:hAnsi="仿宋" w:eastAsia="仿宋" w:cs="仿宋"/>
          <w:color w:val="auto"/>
          <w:highlight w:val="none"/>
          <w:lang w:eastAsia="zh-CN"/>
        </w:rPr>
        <w:t>限</w:t>
      </w:r>
      <w:r>
        <w:rPr>
          <w:rFonts w:hint="eastAsia" w:ascii="仿宋" w:hAnsi="仿宋" w:eastAsia="仿宋" w:cs="仿宋"/>
          <w:color w:val="auto"/>
          <w:highlight w:val="none"/>
        </w:rPr>
        <w:t>：本合同服务期限自合同签订之日起1年。</w:t>
      </w:r>
      <w:r>
        <w:rPr>
          <w:rFonts w:hint="eastAsia" w:ascii="仿宋" w:hAnsi="仿宋" w:eastAsia="仿宋" w:cs="仿宋"/>
          <w:color w:val="auto"/>
          <w:highlight w:val="none"/>
          <w:lang w:val="en-US" w:eastAsia="zh-CN"/>
        </w:rPr>
        <w:t>合同期满前30日，若成交供应商在履约考核周期内均达合格标准，且未出现重大食品安全问题等违约情形，</w:t>
      </w:r>
      <w:r>
        <w:rPr>
          <w:rFonts w:hint="eastAsia" w:ascii="仿宋" w:hAnsi="仿宋" w:eastAsia="仿宋" w:cs="仿宋"/>
          <w:color w:val="auto"/>
          <w:highlight w:val="none"/>
        </w:rPr>
        <w:t>则合同自动续签1年，累计续签次数不超过2次，总服务期限最长不超过3年</w:t>
      </w:r>
      <w:r>
        <w:rPr>
          <w:rFonts w:hint="eastAsia" w:ascii="仿宋" w:hAnsi="仿宋" w:eastAsia="仿宋" w:cs="仿宋"/>
          <w:color w:val="auto"/>
          <w:highlight w:val="none"/>
          <w:lang w:eastAsia="zh-CN"/>
        </w:rPr>
        <w:t>。</w:t>
      </w:r>
    </w:p>
    <w:p w14:paraId="5AB9A903">
      <w:pPr>
        <w:bidi w:val="0"/>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地点：双路街道办事处</w:t>
      </w:r>
      <w:r>
        <w:rPr>
          <w:rFonts w:hint="eastAsia" w:cs="仿宋"/>
          <w:color w:val="auto"/>
          <w:highlight w:val="none"/>
          <w:lang w:val="en-US" w:eastAsia="zh-CN"/>
        </w:rPr>
        <w:t>职工食堂（采购人指定地点）</w:t>
      </w:r>
      <w:r>
        <w:rPr>
          <w:rFonts w:hint="eastAsia" w:ascii="仿宋" w:hAnsi="仿宋" w:eastAsia="仿宋" w:cs="仿宋"/>
          <w:color w:val="auto"/>
          <w:highlight w:val="none"/>
          <w:lang w:eastAsia="zh-CN"/>
        </w:rPr>
        <w:t>。</w:t>
      </w:r>
    </w:p>
    <w:p w14:paraId="02F7F0FF">
      <w:pPr>
        <w:bidi w:val="0"/>
        <w:rPr>
          <w:rFonts w:hint="eastAsia" w:ascii="仿宋" w:hAnsi="仿宋" w:eastAsia="仿宋" w:cs="仿宋"/>
          <w:color w:val="auto"/>
          <w:highlight w:val="none"/>
        </w:rPr>
      </w:pPr>
      <w:r>
        <w:rPr>
          <w:rFonts w:hint="eastAsia" w:ascii="仿宋" w:hAnsi="仿宋" w:eastAsia="仿宋" w:cs="仿宋"/>
          <w:color w:val="auto"/>
          <w:highlight w:val="none"/>
        </w:rPr>
        <w:t>（三）验收方式：</w:t>
      </w:r>
    </w:p>
    <w:p w14:paraId="3EEF36AE">
      <w:pPr>
        <w:bidi w:val="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货物到达现场后，供应商应在采购人收货</w:t>
      </w:r>
      <w:r>
        <w:rPr>
          <w:rFonts w:hint="eastAsia"/>
          <w:color w:val="auto"/>
          <w:highlight w:val="none"/>
          <w:lang w:val="en-US" w:eastAsia="zh-CN"/>
        </w:rPr>
        <w:t>人</w:t>
      </w:r>
      <w:r>
        <w:rPr>
          <w:rFonts w:hint="eastAsia"/>
          <w:color w:val="auto"/>
          <w:highlight w:val="none"/>
          <w:lang w:eastAsia="zh-CN"/>
        </w:rPr>
        <w:t>员在场情况下当面进行感官检验、外观检验或试用检验等，若产品外观、包装、质量不能达到收货标准，采购人</w:t>
      </w:r>
      <w:r>
        <w:rPr>
          <w:rFonts w:hint="eastAsia"/>
          <w:color w:val="auto"/>
          <w:highlight w:val="none"/>
          <w:lang w:val="en-US" w:eastAsia="zh-CN"/>
        </w:rPr>
        <w:t>有权</w:t>
      </w:r>
      <w:r>
        <w:rPr>
          <w:rFonts w:hint="eastAsia"/>
          <w:color w:val="auto"/>
          <w:highlight w:val="none"/>
          <w:lang w:eastAsia="zh-CN"/>
        </w:rPr>
        <w:t>拒收配送物资，供应商应无条件迅速（</w:t>
      </w:r>
      <w:r>
        <w:rPr>
          <w:rFonts w:hint="eastAsia"/>
          <w:color w:val="auto"/>
          <w:highlight w:val="none"/>
          <w:lang w:val="en-US" w:eastAsia="zh-CN"/>
        </w:rPr>
        <w:t>2小时内）</w:t>
      </w:r>
      <w:r>
        <w:rPr>
          <w:rFonts w:hint="eastAsia"/>
          <w:color w:val="auto"/>
          <w:highlight w:val="none"/>
          <w:lang w:eastAsia="zh-CN"/>
        </w:rPr>
        <w:t>补充合格产品，不得影响正常开餐。对符合要求的产品当场作出记录，双方签字确认。</w:t>
      </w:r>
    </w:p>
    <w:p w14:paraId="7347886B">
      <w:pPr>
        <w:bidi w:val="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提供货物未达到竞争性比选文件规定要求的，采购人向供应商出具服务不合格书面通知，对采购人造成损失的，由供应商承担一切责任，并赔偿所造成损失。</w:t>
      </w:r>
    </w:p>
    <w:p w14:paraId="74D8F387">
      <w:pPr>
        <w:bidi w:val="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采购人组织定期或不定期货品抽检和送检。对检验不合格产品无条件退、换货外，需按双方约定予以处理。</w:t>
      </w:r>
    </w:p>
    <w:p w14:paraId="3C62B014">
      <w:pPr>
        <w:bidi w:val="0"/>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因验收货物时不能直接判断质量的，在使用过程中发现不合格商品，供应商应作退货处理。</w:t>
      </w:r>
    </w:p>
    <w:p w14:paraId="30FB30B2">
      <w:pPr>
        <w:bidi w:val="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凡按重量计量物资，均以物品净重方式计量结算。</w:t>
      </w:r>
    </w:p>
    <w:p w14:paraId="1AE8F841">
      <w:pPr>
        <w:pStyle w:val="3"/>
        <w:bidi w:val="0"/>
        <w:rPr>
          <w:rFonts w:hint="eastAsia" w:ascii="仿宋" w:hAnsi="仿宋" w:eastAsia="仿宋" w:cs="仿宋"/>
          <w:color w:val="auto"/>
          <w:highlight w:val="none"/>
        </w:rPr>
      </w:pPr>
      <w:bookmarkStart w:id="92" w:name="_Toc26604"/>
      <w:r>
        <w:rPr>
          <w:rFonts w:hint="eastAsia"/>
          <w:color w:val="auto"/>
          <w:highlight w:val="none"/>
          <w:lang w:val="en-US" w:eastAsia="zh-CN"/>
        </w:rPr>
        <w:t>二、</w:t>
      </w:r>
      <w:bookmarkStart w:id="93" w:name="_Toc106030884"/>
      <w:bookmarkStart w:id="94" w:name="_Toc22573"/>
      <w:bookmarkStart w:id="95" w:name="_Toc76462329"/>
      <w:r>
        <w:rPr>
          <w:rFonts w:hint="eastAsia" w:ascii="仿宋" w:hAnsi="仿宋" w:eastAsia="仿宋" w:cs="仿宋"/>
          <w:color w:val="auto"/>
          <w:highlight w:val="none"/>
        </w:rPr>
        <w:t>报价要求</w:t>
      </w:r>
      <w:bookmarkEnd w:id="92"/>
      <w:bookmarkEnd w:id="93"/>
      <w:bookmarkEnd w:id="94"/>
      <w:bookmarkEnd w:id="95"/>
    </w:p>
    <w:p w14:paraId="31A65A76">
      <w:pPr>
        <w:bidi w:val="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本次</w:t>
      </w:r>
      <w:r>
        <w:rPr>
          <w:rFonts w:hint="eastAsia" w:cs="仿宋"/>
          <w:i w:val="0"/>
          <w:iCs w:val="0"/>
          <w:color w:val="auto"/>
          <w:sz w:val="24"/>
          <w:szCs w:val="24"/>
          <w:highlight w:val="none"/>
          <w:lang w:val="en-US" w:eastAsia="zh-CN"/>
        </w:rPr>
        <w:t>响应</w:t>
      </w:r>
      <w:r>
        <w:rPr>
          <w:rFonts w:hint="eastAsia" w:ascii="仿宋" w:hAnsi="仿宋" w:eastAsia="仿宋" w:cs="仿宋"/>
          <w:i w:val="0"/>
          <w:iCs w:val="0"/>
          <w:color w:val="auto"/>
          <w:sz w:val="24"/>
          <w:szCs w:val="24"/>
          <w:highlight w:val="none"/>
          <w:lang w:val="en-US" w:eastAsia="zh-CN"/>
        </w:rPr>
        <w:t>报价以辖区内永辉超市、新世纪超市、重百超市等超市的商品挂牌价（不含特价品）的最低价作为基础价，并以此价格承诺</w:t>
      </w:r>
      <w:r>
        <w:rPr>
          <w:rFonts w:hint="eastAsia" w:cs="仿宋"/>
          <w:i w:val="0"/>
          <w:iCs w:val="0"/>
          <w:color w:val="auto"/>
          <w:sz w:val="24"/>
          <w:szCs w:val="24"/>
          <w:highlight w:val="none"/>
          <w:lang w:val="en-US" w:eastAsia="zh-CN"/>
        </w:rPr>
        <w:t>供应商折扣系数</w:t>
      </w:r>
      <w:r>
        <w:rPr>
          <w:rFonts w:hint="eastAsia" w:ascii="仿宋" w:hAnsi="仿宋" w:eastAsia="仿宋" w:cs="仿宋"/>
          <w:i w:val="0"/>
          <w:iCs w:val="0"/>
          <w:color w:val="auto"/>
          <w:sz w:val="24"/>
          <w:szCs w:val="24"/>
          <w:highlight w:val="none"/>
          <w:lang w:val="en-US" w:eastAsia="zh-CN"/>
        </w:rPr>
        <w:t>报价作为结算价格。</w:t>
      </w:r>
    </w:p>
    <w:p w14:paraId="007CE6CD">
      <w:pPr>
        <w:bidi w:val="0"/>
        <w:rPr>
          <w:rFonts w:hint="eastAsia" w:ascii="仿宋" w:hAnsi="仿宋" w:eastAsia="仿宋" w:cs="仿宋"/>
          <w:i w:val="0"/>
          <w:iCs w:val="0"/>
          <w:color w:val="auto"/>
          <w:sz w:val="24"/>
          <w:szCs w:val="24"/>
          <w:highlight w:val="none"/>
          <w:lang w:val="en-US" w:eastAsia="zh-CN"/>
        </w:rPr>
      </w:pPr>
      <w:r>
        <w:rPr>
          <w:rFonts w:hint="eastAsia"/>
          <w:color w:val="auto"/>
          <w:highlight w:val="none"/>
          <w:lang w:val="en-US" w:eastAsia="zh-CN"/>
        </w:rPr>
        <w:t>报价示例，供应商折扣系数报价小写：80%，供应商折扣系数报价大写：百分之八十；某食材结算单价=该食材询价基价×供应商折扣系数报价。</w:t>
      </w:r>
    </w:p>
    <w:p w14:paraId="5FA49C83">
      <w:pPr>
        <w:bidi w:val="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（一）</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须对全品类食材采用唯一统一</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报价，</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不得超过9</w:t>
      </w:r>
      <w:r>
        <w:rPr>
          <w:rFonts w:hint="eastAsia" w:cs="仿宋"/>
          <w:i w:val="0"/>
          <w:iCs w:val="0"/>
          <w:color w:val="auto"/>
          <w:sz w:val="24"/>
          <w:szCs w:val="24"/>
          <w:highlight w:val="none"/>
          <w:lang w:val="en-US" w:eastAsia="zh-CN"/>
        </w:rPr>
        <w:t>8</w:t>
      </w:r>
      <w:r>
        <w:rPr>
          <w:rFonts w:hint="eastAsia" w:ascii="仿宋" w:hAnsi="仿宋" w:eastAsia="仿宋" w:cs="仿宋"/>
          <w:i w:val="0"/>
          <w:iCs w:val="0"/>
          <w:color w:val="auto"/>
          <w:sz w:val="24"/>
          <w:szCs w:val="24"/>
          <w:highlight w:val="none"/>
          <w:lang w:val="en-US" w:eastAsia="zh-CN"/>
        </w:rPr>
        <w:t>.00%。报价需涵盖食材采购、运输（含燃油、过路过桥费）、装卸、包装、保险、税费、人员工资、设备维护、管理及利润等一切为完成本项目食材配送服务所需的费用，任一品类均执行该统一折扣。因</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自身原因导致的漏报、少报，相关风险及损失由</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自行承担，</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不再额外补偿。</w:t>
      </w:r>
    </w:p>
    <w:p w14:paraId="4B8E022C">
      <w:pPr>
        <w:bidi w:val="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需结合项目询价基价参考，依据自身实力进行综合</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报价，折扣比例精确到小数点后 2 位。报价时应充分考虑市场行情、运营成本及服务质量，确保报价合理、可行。​</w:t>
      </w:r>
    </w:p>
    <w:p w14:paraId="1355E40B">
      <w:pPr>
        <w:bidi w:val="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（三）合同期内，所有</w:t>
      </w:r>
      <w:r>
        <w:rPr>
          <w:rFonts w:hint="eastAsia" w:cs="仿宋"/>
          <w:i w:val="0"/>
          <w:iCs w:val="0"/>
          <w:color w:val="auto"/>
          <w:sz w:val="24"/>
          <w:szCs w:val="24"/>
          <w:highlight w:val="none"/>
          <w:lang w:val="en-US" w:eastAsia="zh-CN"/>
        </w:rPr>
        <w:t>食材</w:t>
      </w:r>
      <w:r>
        <w:rPr>
          <w:rFonts w:hint="eastAsia" w:ascii="仿宋" w:hAnsi="仿宋" w:eastAsia="仿宋" w:cs="仿宋"/>
          <w:i w:val="0"/>
          <w:iCs w:val="0"/>
          <w:color w:val="auto"/>
          <w:sz w:val="24"/>
          <w:szCs w:val="24"/>
          <w:highlight w:val="none"/>
          <w:lang w:val="en-US" w:eastAsia="zh-CN"/>
        </w:rPr>
        <w:t>采购品目均适用同一折扣比例进行结算，不接受针对不同品目设置差异化折扣。</w:t>
      </w:r>
    </w:p>
    <w:p w14:paraId="5AB3B0EE">
      <w:pPr>
        <w:bidi w:val="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（四）若</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提交多个</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报价，或</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报价高于</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设定的最高</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限价</w:t>
      </w:r>
      <w:r>
        <w:rPr>
          <w:rFonts w:hint="eastAsia" w:cs="仿宋"/>
          <w:i w:val="0"/>
          <w:iCs w:val="0"/>
          <w:color w:val="auto"/>
          <w:sz w:val="24"/>
          <w:szCs w:val="24"/>
          <w:highlight w:val="none"/>
          <w:lang w:val="en-US" w:eastAsia="zh-CN"/>
        </w:rPr>
        <w:t>的</w:t>
      </w:r>
      <w:r>
        <w:rPr>
          <w:rFonts w:hint="eastAsia" w:ascii="仿宋" w:hAnsi="仿宋" w:eastAsia="仿宋" w:cs="仿宋"/>
          <w:i w:val="0"/>
          <w:iCs w:val="0"/>
          <w:color w:val="auto"/>
          <w:sz w:val="24"/>
          <w:szCs w:val="24"/>
          <w:highlight w:val="none"/>
          <w:lang w:val="en-US" w:eastAsia="zh-CN"/>
        </w:rPr>
        <w:t>，</w:t>
      </w:r>
      <w:r>
        <w:rPr>
          <w:rFonts w:hint="eastAsia" w:cs="仿宋"/>
          <w:i w:val="0"/>
          <w:iCs w:val="0"/>
          <w:color w:val="auto"/>
          <w:sz w:val="24"/>
          <w:szCs w:val="24"/>
          <w:highlight w:val="none"/>
          <w:lang w:val="en-US" w:eastAsia="zh-CN"/>
        </w:rPr>
        <w:t>视为供应商未对竞争性比选文件作出实质性响应，由</w:t>
      </w:r>
      <w:r>
        <w:rPr>
          <w:rFonts w:hint="eastAsia" w:ascii="仿宋" w:hAnsi="仿宋" w:eastAsia="仿宋" w:cs="仿宋"/>
          <w:i w:val="0"/>
          <w:iCs w:val="0"/>
          <w:color w:val="auto"/>
          <w:sz w:val="24"/>
          <w:szCs w:val="24"/>
          <w:highlight w:val="none"/>
          <w:lang w:val="en-US" w:eastAsia="zh-CN"/>
        </w:rPr>
        <w:t>评标委员会</w:t>
      </w:r>
      <w:r>
        <w:rPr>
          <w:rFonts w:hint="eastAsia" w:cs="仿宋"/>
          <w:i w:val="0"/>
          <w:iCs w:val="0"/>
          <w:color w:val="auto"/>
          <w:sz w:val="24"/>
          <w:szCs w:val="24"/>
          <w:highlight w:val="none"/>
          <w:lang w:val="en-US" w:eastAsia="zh-CN"/>
        </w:rPr>
        <w:t>作无效响应处理</w:t>
      </w:r>
      <w:r>
        <w:rPr>
          <w:rFonts w:hint="eastAsia" w:ascii="仿宋" w:hAnsi="仿宋" w:eastAsia="仿宋" w:cs="仿宋"/>
          <w:i w:val="0"/>
          <w:iCs w:val="0"/>
          <w:color w:val="auto"/>
          <w:sz w:val="24"/>
          <w:szCs w:val="24"/>
          <w:highlight w:val="none"/>
          <w:lang w:val="en-US" w:eastAsia="zh-CN"/>
        </w:rPr>
        <w:t>。</w:t>
      </w:r>
    </w:p>
    <w:p w14:paraId="62145BF9">
      <w:pPr>
        <w:bidi w:val="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（五）严禁</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以明显低于成本价的</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进行报价，若成交</w:t>
      </w:r>
      <w:r>
        <w:rPr>
          <w:rFonts w:hint="eastAsia"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lang w:val="en-US" w:eastAsia="zh-CN"/>
        </w:rPr>
        <w:t>的</w:t>
      </w:r>
      <w:r>
        <w:rPr>
          <w:rFonts w:hint="eastAsia" w:cs="仿宋"/>
          <w:i w:val="0"/>
          <w:iCs w:val="0"/>
          <w:color w:val="auto"/>
          <w:sz w:val="24"/>
          <w:szCs w:val="24"/>
          <w:highlight w:val="none"/>
          <w:lang w:val="en-US" w:eastAsia="zh-CN"/>
        </w:rPr>
        <w:t>折扣系数</w:t>
      </w:r>
      <w:r>
        <w:rPr>
          <w:rFonts w:hint="eastAsia" w:ascii="仿宋" w:hAnsi="仿宋" w:eastAsia="仿宋" w:cs="仿宋"/>
          <w:i w:val="0"/>
          <w:iCs w:val="0"/>
          <w:color w:val="auto"/>
          <w:sz w:val="24"/>
          <w:szCs w:val="24"/>
          <w:highlight w:val="none"/>
          <w:lang w:val="en-US" w:eastAsia="zh-CN"/>
        </w:rPr>
        <w:t>报价经</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核实属于明显低于成本价，</w:t>
      </w:r>
      <w:r>
        <w:rPr>
          <w:rFonts w:hint="eastAsia"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val="en-US" w:eastAsia="zh-CN"/>
        </w:rPr>
        <w:t>有权取消其</w:t>
      </w:r>
      <w:r>
        <w:rPr>
          <w:rFonts w:hint="eastAsia" w:cs="仿宋"/>
          <w:i w:val="0"/>
          <w:iCs w:val="0"/>
          <w:color w:val="auto"/>
          <w:sz w:val="24"/>
          <w:szCs w:val="24"/>
          <w:highlight w:val="none"/>
          <w:lang w:val="en-US" w:eastAsia="zh-CN"/>
        </w:rPr>
        <w:t>成交</w:t>
      </w:r>
      <w:r>
        <w:rPr>
          <w:rFonts w:hint="eastAsia" w:ascii="仿宋" w:hAnsi="仿宋" w:eastAsia="仿宋" w:cs="仿宋"/>
          <w:i w:val="0"/>
          <w:iCs w:val="0"/>
          <w:color w:val="auto"/>
          <w:sz w:val="24"/>
          <w:szCs w:val="24"/>
          <w:highlight w:val="none"/>
          <w:lang w:val="en-US" w:eastAsia="zh-CN"/>
        </w:rPr>
        <w:t>资格 。</w:t>
      </w:r>
    </w:p>
    <w:p w14:paraId="4296A955">
      <w:pPr>
        <w:pStyle w:val="3"/>
        <w:bidi w:val="0"/>
        <w:rPr>
          <w:rFonts w:hint="default" w:ascii="仿宋" w:hAnsi="仿宋" w:eastAsia="仿宋" w:cs="仿宋"/>
          <w:color w:val="auto"/>
          <w:highlight w:val="none"/>
          <w:lang w:val="en-US" w:eastAsia="zh-CN"/>
        </w:rPr>
      </w:pPr>
      <w:bookmarkStart w:id="96" w:name="_Toc21117"/>
      <w:bookmarkStart w:id="97" w:name="_Toc344475122"/>
      <w:bookmarkStart w:id="98" w:name="_Toc106030885"/>
      <w:bookmarkStart w:id="99" w:name="_Toc31410"/>
      <w:bookmarkStart w:id="100" w:name="_Toc76462330"/>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询价及结算方式</w:t>
      </w:r>
      <w:bookmarkEnd w:id="96"/>
    </w:p>
    <w:p w14:paraId="5D43EBF7">
      <w:pPr>
        <w:bidi w:val="0"/>
        <w:rPr>
          <w:rFonts w:hint="eastAsia"/>
          <w:color w:val="auto"/>
          <w:highlight w:val="none"/>
          <w:lang w:val="en-US" w:eastAsia="zh-CN"/>
        </w:rPr>
      </w:pPr>
      <w:r>
        <w:rPr>
          <w:rFonts w:hint="eastAsia"/>
          <w:color w:val="auto"/>
          <w:highlight w:val="none"/>
          <w:lang w:val="en-US" w:eastAsia="zh-CN"/>
        </w:rPr>
        <w:t>（一）询价</w:t>
      </w:r>
    </w:p>
    <w:p w14:paraId="140F8188">
      <w:pPr>
        <w:bidi w:val="0"/>
        <w:rPr>
          <w:rFonts w:hint="eastAsia"/>
          <w:color w:val="auto"/>
          <w:highlight w:val="none"/>
          <w:lang w:val="en-US" w:eastAsia="zh-CN"/>
        </w:rPr>
      </w:pPr>
      <w:r>
        <w:rPr>
          <w:rFonts w:hint="eastAsia"/>
          <w:color w:val="auto"/>
          <w:highlight w:val="none"/>
          <w:lang w:val="en-US" w:eastAsia="zh-CN"/>
        </w:rPr>
        <w:t>1.采购人与成交供应商双方约定每月定期开展一次市场询价工作，通过实地走访或线上调研等方式，选取重庆市大足区范围内的永辉超市、新世纪超市、重百超市等大型超市进行全品类食材价格采集，具体时间以采购人通知时间为准。</w:t>
      </w:r>
    </w:p>
    <w:p w14:paraId="3227A243">
      <w:pPr>
        <w:bidi w:val="0"/>
        <w:rPr>
          <w:rFonts w:hint="eastAsia"/>
          <w:color w:val="auto"/>
          <w:highlight w:val="none"/>
          <w:lang w:val="en-US" w:eastAsia="zh-CN"/>
        </w:rPr>
      </w:pPr>
      <w:r>
        <w:rPr>
          <w:rFonts w:hint="eastAsia"/>
          <w:color w:val="auto"/>
          <w:highlight w:val="none"/>
          <w:lang w:val="en-US" w:eastAsia="zh-CN"/>
        </w:rPr>
        <w:t>2.询价小组由食堂管理人员、成交供应商代表组成；询价结束后，参与询价的人员均应在询价表上签字确认（接到询价通知确认后，询价当日迟到或未参加询定价的人员视同认可询定价结果）。</w:t>
      </w:r>
    </w:p>
    <w:p w14:paraId="321A4037">
      <w:pPr>
        <w:bidi w:val="0"/>
        <w:rPr>
          <w:rFonts w:hint="default"/>
          <w:color w:val="auto"/>
          <w:highlight w:val="none"/>
          <w:lang w:val="en-US" w:eastAsia="zh-CN"/>
        </w:rPr>
      </w:pPr>
      <w:r>
        <w:rPr>
          <w:rFonts w:hint="eastAsia"/>
          <w:color w:val="auto"/>
          <w:highlight w:val="none"/>
          <w:lang w:val="en-US" w:eastAsia="zh-CN"/>
        </w:rPr>
        <w:t>3.基价确定：询价小组在重庆市大足区范围内的永辉超市、新世纪超市等大型超市任选2家对即将采购的货品进行询价，同种货品以2家超市最低价作为采购货品的基价，特价打折商品除外。例如当月永辉超市询价到的青椒价格为 8 元 / 公斤、新世纪超市询价到的青椒价格为 10 元 / 公斤，则当月青椒基准价为 8 元 / 公斤。</w:t>
      </w:r>
    </w:p>
    <w:p w14:paraId="6CA4D1A5">
      <w:pPr>
        <w:bidi w:val="0"/>
        <w:rPr>
          <w:rFonts w:hint="eastAsia"/>
          <w:color w:val="auto"/>
          <w:highlight w:val="none"/>
          <w:lang w:val="en-US" w:eastAsia="zh-CN"/>
        </w:rPr>
      </w:pPr>
      <w:r>
        <w:rPr>
          <w:rFonts w:hint="eastAsia"/>
          <w:color w:val="auto"/>
          <w:highlight w:val="none"/>
          <w:lang w:val="en-US" w:eastAsia="zh-CN"/>
        </w:rPr>
        <w:t>4.在重庆市大足区范围内的大型超市无法询价的个别品种或采购人有特殊要求的货品，供应商应随行就市并承诺折扣系数报价作为结算价格，不得高于市场平均价格作为结算价格。</w:t>
      </w:r>
    </w:p>
    <w:p w14:paraId="1F7E55BC">
      <w:pPr>
        <w:bidi w:val="0"/>
        <w:rPr>
          <w:rFonts w:hint="eastAsia"/>
          <w:color w:val="auto"/>
          <w:highlight w:val="none"/>
          <w:lang w:val="en-US" w:eastAsia="zh-CN"/>
        </w:rPr>
      </w:pPr>
      <w:r>
        <w:rPr>
          <w:rFonts w:hint="eastAsia"/>
          <w:color w:val="auto"/>
          <w:highlight w:val="none"/>
          <w:lang w:val="en-US" w:eastAsia="zh-CN"/>
        </w:rPr>
        <w:t>5.若遇重大节假日（如春节、国庆等）或自然灾害等特殊时期，导致市场价格出现剧烈波动，双方可根据实际情况协商调整结算单价。协商过程中，需综合考虑市场供需状况、供应商成本变化以及采购方承受能力等因素，确保价格调整合理、公平</w:t>
      </w:r>
    </w:p>
    <w:p w14:paraId="2F73BB2F">
      <w:pPr>
        <w:bidi w:val="0"/>
        <w:rPr>
          <w:rFonts w:hint="eastAsia"/>
          <w:color w:val="auto"/>
          <w:highlight w:val="none"/>
          <w:lang w:val="en-US" w:eastAsia="zh-CN"/>
        </w:rPr>
      </w:pPr>
      <w:r>
        <w:rPr>
          <w:rFonts w:hint="eastAsia"/>
          <w:color w:val="auto"/>
          <w:highlight w:val="none"/>
          <w:lang w:val="en-US" w:eastAsia="zh-CN"/>
        </w:rPr>
        <w:t>（二）结算单价确定</w:t>
      </w:r>
    </w:p>
    <w:p w14:paraId="068EE34A">
      <w:pPr>
        <w:bidi w:val="0"/>
        <w:rPr>
          <w:rFonts w:hint="eastAsia"/>
          <w:color w:val="auto"/>
          <w:highlight w:val="none"/>
          <w:lang w:val="en-US" w:eastAsia="zh-CN"/>
        </w:rPr>
      </w:pPr>
      <w:r>
        <w:rPr>
          <w:rFonts w:hint="eastAsia"/>
          <w:color w:val="auto"/>
          <w:highlight w:val="none"/>
          <w:lang w:val="en-US" w:eastAsia="zh-CN"/>
        </w:rPr>
        <w:t>某食材当月结算单价=该食材当月询价基价×供应商折扣系数报价。</w:t>
      </w:r>
    </w:p>
    <w:p w14:paraId="2C089ADC">
      <w:pPr>
        <w:bidi w:val="0"/>
        <w:rPr>
          <w:rFonts w:hint="eastAsia"/>
          <w:color w:val="auto"/>
          <w:highlight w:val="none"/>
          <w:lang w:val="en-US" w:eastAsia="zh-CN"/>
        </w:rPr>
      </w:pPr>
      <w:r>
        <w:rPr>
          <w:rFonts w:hint="eastAsia"/>
          <w:color w:val="auto"/>
          <w:highlight w:val="none"/>
          <w:lang w:val="en-US" w:eastAsia="zh-CN"/>
        </w:rPr>
        <w:t>（三）结算方式</w:t>
      </w:r>
    </w:p>
    <w:p w14:paraId="077A0FF9">
      <w:pPr>
        <w:bidi w:val="0"/>
        <w:rPr>
          <w:rFonts w:hint="eastAsia"/>
          <w:color w:val="auto"/>
          <w:highlight w:val="none"/>
          <w:lang w:val="en-US" w:eastAsia="zh-CN"/>
        </w:rPr>
      </w:pPr>
      <w:r>
        <w:rPr>
          <w:rFonts w:hint="eastAsia"/>
          <w:color w:val="auto"/>
          <w:highlight w:val="none"/>
          <w:lang w:val="en-US" w:eastAsia="zh-CN"/>
        </w:rPr>
        <w:t>1.结算周期</w:t>
      </w:r>
    </w:p>
    <w:p w14:paraId="7B5D0DA4">
      <w:pPr>
        <w:bidi w:val="0"/>
        <w:rPr>
          <w:rFonts w:hint="eastAsia"/>
          <w:color w:val="auto"/>
          <w:highlight w:val="none"/>
          <w:lang w:val="en-US" w:eastAsia="zh-CN"/>
        </w:rPr>
      </w:pPr>
      <w:r>
        <w:rPr>
          <w:rFonts w:hint="eastAsia"/>
          <w:color w:val="auto"/>
          <w:highlight w:val="none"/>
          <w:lang w:val="en-US" w:eastAsia="zh-CN"/>
        </w:rPr>
        <w:t>按月结算，成交供应商应在每月10前，向采购人提交上月食材配送的结算清单及相关凭证。结算清单需详细列明配送食材的种类、数量、单价、金额等信息，并确保与采购方验收记录一致。​</w:t>
      </w:r>
    </w:p>
    <w:p w14:paraId="68753688">
      <w:pPr>
        <w:bidi w:val="0"/>
        <w:rPr>
          <w:rFonts w:hint="eastAsia"/>
          <w:color w:val="auto"/>
          <w:highlight w:val="none"/>
          <w:lang w:val="en-US" w:eastAsia="zh-CN"/>
        </w:rPr>
      </w:pPr>
      <w:r>
        <w:rPr>
          <w:rFonts w:hint="eastAsia"/>
          <w:color w:val="auto"/>
          <w:highlight w:val="none"/>
          <w:lang w:val="en-US" w:eastAsia="zh-CN"/>
        </w:rPr>
        <w:t>2.结算依据</w:t>
      </w:r>
    </w:p>
    <w:p w14:paraId="1ED49658">
      <w:pPr>
        <w:bidi w:val="0"/>
        <w:rPr>
          <w:rFonts w:hint="eastAsia"/>
          <w:color w:val="auto"/>
          <w:highlight w:val="none"/>
          <w:lang w:val="en-US" w:eastAsia="zh-CN"/>
        </w:rPr>
      </w:pPr>
      <w:r>
        <w:rPr>
          <w:rFonts w:hint="eastAsia"/>
          <w:color w:val="auto"/>
          <w:highlight w:val="none"/>
          <w:lang w:val="en-US" w:eastAsia="zh-CN"/>
        </w:rPr>
        <w:t>以采购人实际验收合格的食材数量、双方约定的结算单价及相关合同条款作为结算依据。对于验收不合格的食材，不纳入结算范围，并按照合同约定进行处理。</w:t>
      </w:r>
    </w:p>
    <w:p w14:paraId="3D5BFBAD">
      <w:pPr>
        <w:bidi w:val="0"/>
        <w:rPr>
          <w:rFonts w:hint="eastAsia"/>
          <w:color w:val="auto"/>
          <w:highlight w:val="none"/>
          <w:lang w:val="en-US" w:eastAsia="zh-CN"/>
        </w:rPr>
      </w:pPr>
      <w:r>
        <w:rPr>
          <w:rFonts w:hint="eastAsia"/>
          <w:color w:val="auto"/>
          <w:highlight w:val="none"/>
          <w:lang w:val="en-US" w:eastAsia="zh-CN"/>
        </w:rPr>
        <w:t>当月结算金额=Σ（当月各品类食材结算单价×当月各品类食材实际配送验收合格的数量）-考核扣除金额（如有）。</w:t>
      </w:r>
    </w:p>
    <w:p w14:paraId="5DC5C584">
      <w:pPr>
        <w:pStyle w:val="3"/>
        <w:bidi w:val="0"/>
        <w:rPr>
          <w:rFonts w:hint="eastAsia" w:ascii="仿宋" w:hAnsi="仿宋" w:eastAsia="仿宋" w:cs="仿宋"/>
          <w:color w:val="auto"/>
          <w:highlight w:val="none"/>
        </w:rPr>
      </w:pPr>
      <w:bookmarkStart w:id="101" w:name="_Toc30941"/>
      <w:r>
        <w:rPr>
          <w:rFonts w:hint="eastAsia" w:ascii="仿宋" w:hAnsi="仿宋" w:cs="仿宋"/>
          <w:color w:val="auto"/>
          <w:highlight w:val="none"/>
          <w:lang w:val="en-US" w:eastAsia="zh-CN"/>
        </w:rPr>
        <w:t>四、履约保证金及</w:t>
      </w:r>
      <w:r>
        <w:rPr>
          <w:rFonts w:hint="eastAsia" w:ascii="仿宋" w:hAnsi="仿宋" w:eastAsia="仿宋" w:cs="仿宋"/>
          <w:color w:val="auto"/>
          <w:highlight w:val="none"/>
          <w:lang w:val="en-US" w:eastAsia="zh-CN"/>
        </w:rPr>
        <w:t>付款</w:t>
      </w:r>
      <w:r>
        <w:rPr>
          <w:rFonts w:hint="eastAsia" w:ascii="仿宋" w:hAnsi="仿宋" w:eastAsia="仿宋" w:cs="仿宋"/>
          <w:color w:val="auto"/>
          <w:highlight w:val="none"/>
        </w:rPr>
        <w:t>方式</w:t>
      </w:r>
      <w:bookmarkEnd w:id="97"/>
      <w:bookmarkEnd w:id="98"/>
      <w:bookmarkEnd w:id="99"/>
      <w:bookmarkEnd w:id="100"/>
      <w:bookmarkEnd w:id="101"/>
    </w:p>
    <w:p w14:paraId="298F5C4E">
      <w:pPr>
        <w:bidi w:val="0"/>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（一）履约保证金</w:t>
      </w:r>
      <w:r>
        <w:rPr>
          <w:rFonts w:hint="eastAsia" w:cs="仿宋"/>
          <w:color w:val="auto"/>
          <w:highlight w:val="none"/>
          <w:lang w:val="en-US" w:eastAsia="zh-CN"/>
        </w:rPr>
        <w:t>:无。</w:t>
      </w:r>
    </w:p>
    <w:p w14:paraId="162E8BEF">
      <w:pPr>
        <w:bidi w:val="0"/>
        <w:rPr>
          <w:rFonts w:hint="eastAsia"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（二）付款方式</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按结算周期要求，整理配送验收单、价格计算清单等资料，提交结算申请。</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对提交资料进行审核，核对食材数量、单价及总价。如有疑问，在 3 个工作日内与</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沟通核实。审核通过后，成交供应商开具合规发票。采购人在收到发票后的 1</w:t>
      </w:r>
      <w:r>
        <w:rPr>
          <w:rFonts w:hint="eastAsia" w:cs="仿宋"/>
          <w:color w:val="auto"/>
          <w:highlight w:val="none"/>
          <w:lang w:val="en-US" w:eastAsia="zh-CN"/>
        </w:rPr>
        <w:t>0</w:t>
      </w:r>
      <w:r>
        <w:rPr>
          <w:rFonts w:hint="eastAsia" w:ascii="仿宋" w:hAnsi="仿宋" w:eastAsia="仿宋" w:cs="仿宋"/>
          <w:color w:val="auto"/>
          <w:highlight w:val="none"/>
          <w:lang w:val="en-US" w:eastAsia="zh-CN"/>
        </w:rPr>
        <w:t xml:space="preserve"> 个工作日内，通过银行转账方式支付结算款项。成交供应商需确保提供的银行账户信息准确无误，若因账户信息错误导致款项支付延误或损失，由成交供应商自行承担责任。</w:t>
      </w:r>
    </w:p>
    <w:p w14:paraId="50F6949C">
      <w:pPr>
        <w:pStyle w:val="3"/>
        <w:bidi w:val="0"/>
        <w:rPr>
          <w:rFonts w:hint="eastAsia" w:ascii="仿宋" w:hAnsi="仿宋" w:eastAsia="仿宋" w:cs="仿宋"/>
          <w:color w:val="auto"/>
          <w:highlight w:val="none"/>
        </w:rPr>
      </w:pPr>
      <w:bookmarkStart w:id="102" w:name="_Toc344475124"/>
      <w:bookmarkStart w:id="103" w:name="_Toc15735"/>
      <w:bookmarkStart w:id="104" w:name="_Toc76462331"/>
      <w:bookmarkStart w:id="105" w:name="_Toc8632"/>
      <w:bookmarkStart w:id="106" w:name="_Toc106030886"/>
      <w:r>
        <w:rPr>
          <w:rFonts w:hint="eastAsia" w:ascii="仿宋" w:hAnsi="仿宋" w:cs="仿宋"/>
          <w:color w:val="auto"/>
          <w:highlight w:val="none"/>
          <w:lang w:val="en-US" w:eastAsia="zh-CN"/>
        </w:rPr>
        <w:t>五</w:t>
      </w:r>
      <w:r>
        <w:rPr>
          <w:rFonts w:hint="eastAsia" w:ascii="仿宋" w:hAnsi="仿宋" w:eastAsia="仿宋" w:cs="仿宋"/>
          <w:color w:val="auto"/>
          <w:highlight w:val="none"/>
        </w:rPr>
        <w:t>、</w:t>
      </w:r>
      <w:bookmarkEnd w:id="102"/>
      <w:bookmarkStart w:id="107" w:name="_Toc344475125"/>
      <w:r>
        <w:rPr>
          <w:rFonts w:hint="eastAsia" w:ascii="仿宋" w:hAnsi="仿宋" w:eastAsia="仿宋" w:cs="仿宋"/>
          <w:color w:val="auto"/>
          <w:highlight w:val="none"/>
        </w:rPr>
        <w:t>知识产权</w:t>
      </w:r>
      <w:bookmarkEnd w:id="103"/>
    </w:p>
    <w:p w14:paraId="2433AAF6">
      <w:pPr>
        <w:bidi w:val="0"/>
        <w:rPr>
          <w:rFonts w:hint="eastAsia" w:ascii="仿宋" w:hAnsi="仿宋" w:eastAsia="仿宋" w:cs="仿宋"/>
          <w:color w:val="auto"/>
          <w:highlight w:val="none"/>
        </w:rPr>
      </w:pPr>
      <w:bookmarkStart w:id="108" w:name="_Toc2906"/>
      <w:bookmarkStart w:id="109" w:name="_Toc27078"/>
      <w:r>
        <w:rPr>
          <w:rFonts w:hint="eastAsia" w:ascii="仿宋" w:hAnsi="仿宋" w:eastAsia="仿宋" w:cs="仿宋"/>
          <w:color w:val="auto"/>
          <w:highlight w:val="none"/>
          <w:lang w:val="en-US" w:eastAsia="zh-CN"/>
        </w:rPr>
        <w:t>采购人在中华人民共和国境内使用成交供应商提供的</w:t>
      </w:r>
      <w:r>
        <w:rPr>
          <w:rFonts w:hint="eastAsia" w:cs="仿宋"/>
          <w:color w:val="auto"/>
          <w:highlight w:val="none"/>
          <w:lang w:val="en-US" w:eastAsia="zh-CN"/>
        </w:rPr>
        <w:t>货物或</w:t>
      </w:r>
      <w:r>
        <w:rPr>
          <w:rFonts w:hint="eastAsia" w:ascii="仿宋" w:hAnsi="仿宋" w:eastAsia="仿宋" w:cs="仿宋"/>
          <w:color w:val="auto"/>
          <w:highlight w:val="none"/>
          <w:lang w:val="en-US" w:eastAsia="zh-CN"/>
        </w:rPr>
        <w:t>服务时免受第三方提出的侵犯其专利权或</w:t>
      </w:r>
      <w:r>
        <w:rPr>
          <w:rFonts w:hint="eastAsia" w:cs="仿宋"/>
          <w:color w:val="auto"/>
          <w:highlight w:val="none"/>
          <w:lang w:val="en-US" w:eastAsia="zh-CN"/>
        </w:rPr>
        <w:t>其他</w:t>
      </w:r>
      <w:r>
        <w:rPr>
          <w:rFonts w:hint="eastAsia" w:ascii="仿宋" w:hAnsi="仿宋" w:eastAsia="仿宋" w:cs="仿宋"/>
          <w:color w:val="auto"/>
          <w:highlight w:val="none"/>
          <w:lang w:val="en-US" w:eastAsia="zh-CN"/>
        </w:rPr>
        <w:t>知识产权的起诉。如果第三方提出侵权指控，成交供应商应承担由此而引起的一切法律责任和费用。</w:t>
      </w:r>
      <w:bookmarkEnd w:id="108"/>
      <w:bookmarkEnd w:id="109"/>
    </w:p>
    <w:p w14:paraId="426EA887">
      <w:pPr>
        <w:pStyle w:val="3"/>
        <w:bidi w:val="0"/>
        <w:rPr>
          <w:rFonts w:hint="eastAsia" w:ascii="仿宋" w:hAnsi="仿宋" w:eastAsia="仿宋" w:cs="仿宋"/>
          <w:color w:val="auto"/>
          <w:highlight w:val="none"/>
        </w:rPr>
      </w:pPr>
      <w:bookmarkStart w:id="110" w:name="_Toc19112"/>
      <w:r>
        <w:rPr>
          <w:rFonts w:hint="eastAsia" w:ascii="仿宋" w:hAnsi="仿宋" w:cs="仿宋"/>
          <w:color w:val="auto"/>
          <w:highlight w:val="none"/>
          <w:lang w:val="en-US" w:eastAsia="zh-CN"/>
        </w:rPr>
        <w:t>六</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其他</w:t>
      </w:r>
      <w:bookmarkEnd w:id="104"/>
      <w:bookmarkEnd w:id="105"/>
      <w:bookmarkEnd w:id="106"/>
      <w:bookmarkEnd w:id="110"/>
    </w:p>
    <w:bookmarkEnd w:id="107"/>
    <w:p w14:paraId="1649ED7E">
      <w:pPr>
        <w:bidi w:val="0"/>
        <w:rPr>
          <w:rFonts w:hint="eastAsia" w:ascii="仿宋" w:hAnsi="仿宋" w:eastAsia="仿宋" w:cs="仿宋"/>
          <w:color w:val="auto"/>
          <w:highlight w:val="none"/>
          <w:lang w:eastAsia="zh-CN"/>
        </w:rPr>
      </w:pPr>
      <w:bookmarkStart w:id="111" w:name="_Toc109836389"/>
      <w:r>
        <w:rPr>
          <w:rFonts w:hint="eastAsia" w:cs="仿宋"/>
          <w:color w:val="auto"/>
          <w:highlight w:val="none"/>
          <w:lang w:eastAsia="zh-CN"/>
        </w:rPr>
        <w:t>（</w:t>
      </w:r>
      <w:r>
        <w:rPr>
          <w:rFonts w:hint="eastAsia" w:cs="仿宋"/>
          <w:color w:val="auto"/>
          <w:highlight w:val="none"/>
          <w:lang w:val="en-US" w:eastAsia="zh-CN"/>
        </w:rPr>
        <w:t>一</w:t>
      </w:r>
      <w:r>
        <w:rPr>
          <w:rFonts w:hint="eastAsia" w:cs="仿宋"/>
          <w:color w:val="auto"/>
          <w:highlight w:val="none"/>
          <w:lang w:eastAsia="zh-CN"/>
        </w:rPr>
        <w:t>）</w:t>
      </w:r>
      <w:r>
        <w:rPr>
          <w:rFonts w:hint="eastAsia"/>
          <w:color w:val="auto"/>
          <w:highlight w:val="none"/>
          <w:lang w:val="en-US" w:eastAsia="zh-CN"/>
        </w:rPr>
        <w:t>安全及考核办法</w:t>
      </w:r>
    </w:p>
    <w:p w14:paraId="4D25E426">
      <w:pPr>
        <w:bidi w:val="0"/>
        <w:rPr>
          <w:rFonts w:hint="eastAsia" w:ascii="仿宋" w:hAnsi="仿宋" w:eastAsia="仿宋" w:cs="仿宋"/>
          <w:color w:val="auto"/>
          <w:highlight w:val="none"/>
          <w:lang w:val="en-US" w:eastAsia="zh-CN"/>
        </w:rPr>
      </w:pPr>
      <w:r>
        <w:rPr>
          <w:rFonts w:hint="eastAsia" w:cs="仿宋"/>
          <w:color w:val="auto"/>
          <w:highlight w:val="none"/>
          <w:lang w:val="en-US" w:eastAsia="zh-CN"/>
        </w:rPr>
        <w:t>1.</w:t>
      </w:r>
      <w:r>
        <w:rPr>
          <w:rFonts w:hint="eastAsia" w:ascii="仿宋" w:hAnsi="仿宋" w:eastAsia="仿宋" w:cs="仿宋"/>
          <w:color w:val="auto"/>
          <w:highlight w:val="none"/>
          <w:lang w:val="en-US" w:eastAsia="zh-CN"/>
        </w:rPr>
        <w:t>供货前，所有食材均须提供食品供货渠道来源证明文件，提供相关质量检验检疫证明文件。</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应保证及时提供合格安全的产品。一旦发现伪劣假冒产品，经相关部门质量监测认证后，由</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承担一切法律责任。</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有权单方解除合同并要求</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赔偿所造成的所有损失，罚没履约保证金（如有），同时上报相关主管部门。</w:t>
      </w:r>
    </w:p>
    <w:p w14:paraId="6C6C7FDA">
      <w:pPr>
        <w:bidi w:val="0"/>
        <w:rPr>
          <w:rFonts w:hint="eastAsia" w:ascii="仿宋" w:hAnsi="仿宋" w:eastAsia="仿宋" w:cs="仿宋"/>
          <w:color w:val="auto"/>
          <w:highlight w:val="none"/>
          <w:lang w:val="en-US" w:eastAsia="zh-CN"/>
        </w:rPr>
      </w:pPr>
      <w:r>
        <w:rPr>
          <w:rFonts w:hint="eastAsia" w:cs="仿宋"/>
          <w:color w:val="auto"/>
          <w:highlight w:val="none"/>
          <w:lang w:val="en-US" w:eastAsia="zh-CN"/>
        </w:rPr>
        <w:t>2.成交供应商</w:t>
      </w:r>
      <w:r>
        <w:rPr>
          <w:rFonts w:hint="eastAsia" w:ascii="仿宋" w:hAnsi="仿宋" w:eastAsia="仿宋" w:cs="仿宋"/>
          <w:color w:val="auto"/>
          <w:highlight w:val="none"/>
          <w:lang w:val="en-US" w:eastAsia="zh-CN"/>
        </w:rPr>
        <w:t>应保留和提供所有食材的溯源信息依据。如产地、生产商、生产批次、质保期限等信息资料。</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有权对</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供应的货物进行定期或不定期的抽样检验，</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对</w:t>
      </w:r>
      <w:r>
        <w:rPr>
          <w:rFonts w:hint="eastAsia" w:cs="仿宋"/>
          <w:color w:val="auto"/>
          <w:highlight w:val="none"/>
          <w:lang w:val="en-US" w:eastAsia="zh-CN"/>
        </w:rPr>
        <w:t>有疑义</w:t>
      </w:r>
      <w:r>
        <w:rPr>
          <w:rFonts w:hint="eastAsia" w:ascii="仿宋" w:hAnsi="仿宋" w:eastAsia="仿宋" w:cs="仿宋"/>
          <w:color w:val="auto"/>
          <w:highlight w:val="none"/>
          <w:lang w:val="en-US" w:eastAsia="zh-CN"/>
        </w:rPr>
        <w:t>的货物有权提取样品送权威部门检验，检验费用由</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支付。</w:t>
      </w:r>
    </w:p>
    <w:p w14:paraId="55E5F0BF">
      <w:pPr>
        <w:bidi w:val="0"/>
        <w:rPr>
          <w:rFonts w:hint="eastAsia" w:ascii="仿宋" w:hAnsi="仿宋" w:eastAsia="仿宋" w:cs="仿宋"/>
          <w:color w:val="auto"/>
          <w:highlight w:val="none"/>
          <w:lang w:val="en-US" w:eastAsia="zh-CN"/>
        </w:rPr>
      </w:pPr>
      <w:r>
        <w:rPr>
          <w:rFonts w:hint="eastAsia" w:cs="仿宋"/>
          <w:color w:val="auto"/>
          <w:highlight w:val="none"/>
          <w:lang w:val="en-US" w:eastAsia="zh-CN"/>
        </w:rPr>
        <w:t>3.</w:t>
      </w:r>
      <w:r>
        <w:rPr>
          <w:rFonts w:hint="eastAsia" w:ascii="仿宋" w:hAnsi="仿宋" w:eastAsia="仿宋" w:cs="仿宋"/>
          <w:color w:val="auto"/>
          <w:highlight w:val="none"/>
          <w:lang w:val="en-US" w:eastAsia="zh-CN"/>
        </w:rPr>
        <w:t>如发生配送食品质量引发食品安全事故</w:t>
      </w:r>
      <w:r>
        <w:rPr>
          <w:rFonts w:hint="eastAsia" w:cs="仿宋"/>
          <w:color w:val="auto"/>
          <w:highlight w:val="none"/>
          <w:lang w:val="en-US" w:eastAsia="zh-CN"/>
        </w:rPr>
        <w:t>或</w:t>
      </w:r>
      <w:r>
        <w:rPr>
          <w:rFonts w:hint="eastAsia" w:ascii="仿宋" w:hAnsi="仿宋" w:eastAsia="仿宋" w:cs="仿宋"/>
          <w:color w:val="auto"/>
          <w:highlight w:val="none"/>
          <w:lang w:val="en-US" w:eastAsia="zh-CN"/>
        </w:rPr>
        <w:t>按《考核标准》未达到75分的，</w:t>
      </w:r>
      <w:r>
        <w:rPr>
          <w:rFonts w:hint="eastAsia" w:cs="仿宋"/>
          <w:color w:val="auto"/>
          <w:highlight w:val="none"/>
          <w:lang w:val="en-US" w:eastAsia="zh-CN"/>
        </w:rPr>
        <w:t>采购人</w:t>
      </w:r>
      <w:r>
        <w:rPr>
          <w:rFonts w:hint="eastAsia" w:ascii="仿宋" w:hAnsi="仿宋" w:eastAsia="仿宋" w:cs="仿宋"/>
          <w:color w:val="auto"/>
          <w:highlight w:val="none"/>
          <w:lang w:val="en-US" w:eastAsia="zh-CN"/>
        </w:rPr>
        <w:t>有权单方面解除合同且不支付任何补偿（赔偿），并罚没履约保证金（如有），一切责任由</w:t>
      </w:r>
      <w:r>
        <w:rPr>
          <w:rFonts w:hint="eastAsia" w:cs="仿宋"/>
          <w:color w:val="auto"/>
          <w:highlight w:val="none"/>
          <w:lang w:val="en-US" w:eastAsia="zh-CN"/>
        </w:rPr>
        <w:t>成交供应商</w:t>
      </w:r>
      <w:r>
        <w:rPr>
          <w:rFonts w:hint="eastAsia" w:ascii="仿宋" w:hAnsi="仿宋" w:eastAsia="仿宋" w:cs="仿宋"/>
          <w:color w:val="auto"/>
          <w:highlight w:val="none"/>
          <w:lang w:val="en-US" w:eastAsia="zh-CN"/>
        </w:rPr>
        <w:t>承担。</w:t>
      </w:r>
    </w:p>
    <w:p w14:paraId="53BDF91E">
      <w:pPr>
        <w:bidi w:val="0"/>
        <w:rPr>
          <w:rFonts w:hint="eastAsia" w:ascii="仿宋" w:hAnsi="仿宋" w:eastAsia="仿宋" w:cs="仿宋"/>
          <w:color w:val="auto"/>
          <w:highlight w:val="none"/>
          <w:lang w:val="en-US" w:eastAsia="zh-CN"/>
        </w:rPr>
      </w:pPr>
      <w:r>
        <w:rPr>
          <w:rFonts w:hint="eastAsia" w:cs="仿宋"/>
          <w:color w:val="auto"/>
          <w:highlight w:val="none"/>
          <w:lang w:val="en-US" w:eastAsia="zh-CN"/>
        </w:rPr>
        <w:t>4.</w:t>
      </w:r>
      <w:r>
        <w:rPr>
          <w:rFonts w:hint="eastAsia" w:ascii="仿宋" w:hAnsi="仿宋" w:eastAsia="仿宋" w:cs="仿宋"/>
          <w:color w:val="auto"/>
          <w:highlight w:val="none"/>
          <w:lang w:val="en-US" w:eastAsia="zh-CN"/>
        </w:rPr>
        <w:t>配送货物的质量、数量以接收货物单位现场验收、复秤的结果为准，每日8点前验收完毕。</w:t>
      </w:r>
    </w:p>
    <w:p w14:paraId="23B24B08">
      <w:pPr>
        <w:bidi w:val="0"/>
        <w:rPr>
          <w:rFonts w:hint="eastAsia" w:ascii="仿宋" w:hAnsi="仿宋" w:eastAsia="仿宋" w:cs="仿宋"/>
          <w:color w:val="auto"/>
          <w:highlight w:val="none"/>
          <w:lang w:val="en-US" w:eastAsia="zh-CN"/>
        </w:rPr>
      </w:pPr>
      <w:r>
        <w:rPr>
          <w:rFonts w:hint="eastAsia" w:cs="仿宋"/>
          <w:color w:val="auto"/>
          <w:highlight w:val="none"/>
          <w:lang w:val="en-US" w:eastAsia="zh-CN"/>
        </w:rPr>
        <w:t>5.</w:t>
      </w:r>
      <w:r>
        <w:rPr>
          <w:rFonts w:hint="eastAsia" w:ascii="仿宋" w:hAnsi="仿宋" w:eastAsia="仿宋" w:cs="仿宋"/>
          <w:color w:val="auto"/>
          <w:highlight w:val="none"/>
          <w:lang w:val="en-US" w:eastAsia="zh-CN"/>
        </w:rPr>
        <w:t>考核标准（考核基准分为100分）</w:t>
      </w:r>
    </w:p>
    <w:tbl>
      <w:tblPr>
        <w:tblStyle w:val="2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58"/>
        <w:gridCol w:w="6171"/>
      </w:tblGrid>
      <w:tr w14:paraId="424A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14:paraId="7F9A9A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3607FF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考核指标</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7AA2FB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考核说明</w:t>
            </w:r>
          </w:p>
        </w:tc>
      </w:tr>
      <w:tr w14:paraId="6197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14:paraId="0572B1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货品质量</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3F7BE0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配送货物质量合格</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2507206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现货物腐烂变质，霉变等质量问题的，每个单品一次扣5分并做退货处理；出现其他质量问题的，每个单品一次扣1分，出现以次充好、夹带的，每个单品一次扣2分。经检测，如出现因食物质量问题导致就餐人员食物中毒，情况较轻微的一次扣15分，造成严重影响的一次扣25分以上。</w:t>
            </w:r>
          </w:p>
        </w:tc>
      </w:tr>
      <w:tr w14:paraId="39FE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0F72DB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072C0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配送品种、品牌、规格、品质、含水（冰）量等符合约定标准的货物</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39A712C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经同意不得随意更换货物的品牌、品种、规格、型号等，随意更换的，每个单品一次扣2分并做退货处理；配送商以无货品、无利润为由，拒绝配送货物，每个单品一次扣3分；每月退货次数达到3次的扣2分，每月退货次数达到4次及以上的，扣5分。</w:t>
            </w:r>
          </w:p>
        </w:tc>
      </w:tr>
      <w:tr w14:paraId="7BD2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00A5CF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0E2117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配送具备相关产品信息的货物（包括生产日期、保质期、生产厂家、生产许可证号、检验检疫票据等）</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2BAAD5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货物应有相关产品信息（包括生产日期、保质期、生产厂家、生产许可证号等）,如没有，每个单品每次扣2分。</w:t>
            </w:r>
          </w:p>
        </w:tc>
      </w:tr>
      <w:tr w14:paraId="6B59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655F45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30A549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配送数量浮动标准</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362C77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一般货物实际供应量在计划数量基础上（每个单品30斤以上），上下浮动不得超过±5%，肉类上下浮动不得超过±1%，如超过相应比例视作违规配送，每个单品一次扣1分（特殊情况商请</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同意的除外）。</w:t>
            </w:r>
          </w:p>
        </w:tc>
      </w:tr>
      <w:tr w14:paraId="2CC8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14D71E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901C7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抽检管理</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10849DD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在服务期内可以提出对所供食材进行抽检不少于5次的要求，配送商必须完全配合，提供第三方检测机构的检测报告（检测费用由配送商承担），抽检结果报送管理方，缺少一次扣1分；</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不定期对水果类货品进行农残抽检，如不合格做退货（换货）处理，一次扣3分。</w:t>
            </w:r>
          </w:p>
        </w:tc>
      </w:tr>
      <w:tr w14:paraId="0760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14:paraId="78877D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服务质量</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F4EE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配送时间</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30FF373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日所需物资中的物品须于约定时间前送达，应急（特别）保障任务必须按照约定时间送达，迟到30分钟内，每次扣1分；迟到30分钟以上每次扣2分；影响开餐的（含因时间关系更换菜品、改变制作方式、延误开餐等情况）一次扣5分。</w:t>
            </w:r>
          </w:p>
        </w:tc>
      </w:tr>
      <w:tr w14:paraId="56A9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2B199B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931B5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漏送货情况，退换、补货情况</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463ECE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送货在不影响开餐的情况下，每月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5DF6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14:paraId="6BC4D0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12A2B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应急任务</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12B80D1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未按合同约定完成应急保障任务，每次扣4分。</w:t>
            </w:r>
          </w:p>
        </w:tc>
      </w:tr>
      <w:tr w14:paraId="522F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4CB45E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2B752B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代购物资</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223A945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一般性物资，急需物资按</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要求在约定时间内采购到位，每个单品逾期一天扣2分，最多扣10分；特殊保障物资必须在规定时间内采购到位，如延误，每个单品一次扣2分。</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提供代购物资样品的或指定采购地点的，配送商须按要求采购，未按要求采购的，一次扣2分。</w:t>
            </w:r>
          </w:p>
        </w:tc>
      </w:tr>
      <w:tr w14:paraId="61B0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1F1E18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58C4E5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缴纳履约保证金情况</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6A9164E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因考核等原因扣除履约保证金的，必须在3日内补交，延误一天扣2分，以此类推，每月最多扣6分。</w:t>
            </w:r>
          </w:p>
        </w:tc>
      </w:tr>
      <w:tr w14:paraId="1AD3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09A394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55FEB7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履行合同约定情况</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10C4FAD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w:t>
            </w:r>
            <w:r>
              <w:rPr>
                <w:rFonts w:hint="eastAsia" w:cs="仿宋"/>
                <w:color w:val="auto"/>
                <w:sz w:val="21"/>
                <w:szCs w:val="21"/>
                <w:highlight w:val="none"/>
                <w:lang w:val="en-US" w:eastAsia="zh-CN"/>
              </w:rPr>
              <w:t>采购文件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供应商响应文件</w:t>
            </w:r>
            <w:r>
              <w:rPr>
                <w:rFonts w:hint="eastAsia" w:ascii="仿宋" w:hAnsi="仿宋" w:eastAsia="仿宋" w:cs="仿宋"/>
                <w:color w:val="auto"/>
                <w:sz w:val="21"/>
                <w:szCs w:val="21"/>
                <w:highlight w:val="none"/>
                <w:lang w:val="en-US" w:eastAsia="zh-CN"/>
              </w:rPr>
              <w:t>、供应商承诺书等约定或承诺的相关事项，未完成一项每次扣2分。</w:t>
            </w:r>
          </w:p>
        </w:tc>
      </w:tr>
      <w:tr w14:paraId="1311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14:paraId="441505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4CAAFD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56E6F98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违反</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管理规定被通报一次扣5分；</w:t>
            </w:r>
          </w:p>
        </w:tc>
      </w:tr>
      <w:tr w14:paraId="10E7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14:paraId="5A1F1D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加分项目</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36F54F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应急任务</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0336790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1个月内顺利完成30分钟内的应急保障任务，加2分；顺利完成45分钟内应急保障任务，加1分。</w:t>
            </w:r>
          </w:p>
        </w:tc>
      </w:tr>
      <w:tr w14:paraId="309E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701" w:type="pct"/>
            <w:gridSpan w:val="2"/>
            <w:tcBorders>
              <w:top w:val="single" w:color="auto" w:sz="4" w:space="0"/>
              <w:left w:val="single" w:color="auto" w:sz="4" w:space="0"/>
              <w:bottom w:val="single" w:color="auto" w:sz="4" w:space="0"/>
              <w:right w:val="single" w:color="auto" w:sz="4" w:space="0"/>
            </w:tcBorders>
            <w:noWrap w:val="0"/>
            <w:vAlign w:val="center"/>
          </w:tcPr>
          <w:p w14:paraId="43B311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说明</w:t>
            </w:r>
          </w:p>
        </w:tc>
        <w:tc>
          <w:tcPr>
            <w:tcW w:w="3298" w:type="pct"/>
            <w:tcBorders>
              <w:top w:val="single" w:color="auto" w:sz="4" w:space="0"/>
              <w:left w:val="single" w:color="auto" w:sz="4" w:space="0"/>
              <w:bottom w:val="single" w:color="auto" w:sz="4" w:space="0"/>
              <w:right w:val="single" w:color="auto" w:sz="4" w:space="0"/>
            </w:tcBorders>
            <w:noWrap w:val="0"/>
            <w:vAlign w:val="center"/>
          </w:tcPr>
          <w:p w14:paraId="671FA50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1、以月为单位进行考核，考核基准分为100分，90分（含90分）以上为“合格”等级（小数点后数字四舍五入,下同）；</w:t>
            </w:r>
          </w:p>
          <w:p w14:paraId="6C2EC42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2、达到85分（含85分）以上且低于90分的为“基本合格”等级；</w:t>
            </w:r>
          </w:p>
          <w:p w14:paraId="7F8BE10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3、达到80分（含80分）以上且低于85分的为“较差”等级，以85分为基准分值，差1分扣除货款500元。</w:t>
            </w:r>
          </w:p>
          <w:p w14:paraId="65495A3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4、达到75分（含75分）为“差”等级，以80分为基准分值，差1分扣除货款1000元，累计两次低于75分的，</w:t>
            </w:r>
            <w:r>
              <w:rPr>
                <w:rFonts w:hint="eastAsia" w:cs="仿宋"/>
                <w:color w:val="auto"/>
                <w:sz w:val="21"/>
                <w:szCs w:val="21"/>
                <w:highlight w:val="none"/>
                <w:lang w:val="en-US" w:eastAsia="zh-CN"/>
              </w:rPr>
              <w:t>采购人</w:t>
            </w:r>
            <w:r>
              <w:rPr>
                <w:rFonts w:hint="eastAsia" w:ascii="仿宋" w:hAnsi="仿宋" w:eastAsia="仿宋" w:cs="仿宋"/>
                <w:color w:val="auto"/>
                <w:sz w:val="21"/>
                <w:szCs w:val="21"/>
                <w:highlight w:val="none"/>
                <w:lang w:val="en-US" w:eastAsia="zh-CN"/>
              </w:rPr>
              <w:t>有权解除劳动合同。</w:t>
            </w:r>
          </w:p>
        </w:tc>
      </w:tr>
    </w:tbl>
    <w:p w14:paraId="24E48767">
      <w:pPr>
        <w:bidi w:val="0"/>
        <w:rPr>
          <w:rFonts w:hint="eastAsia" w:ascii="仿宋" w:hAnsi="仿宋" w:eastAsia="仿宋" w:cs="仿宋"/>
          <w:color w:val="auto"/>
          <w:highlight w:val="none"/>
        </w:rPr>
      </w:pPr>
      <w:r>
        <w:rPr>
          <w:rFonts w:hint="eastAsia" w:cs="仿宋"/>
          <w:color w:val="auto"/>
          <w:highlight w:val="none"/>
          <w:lang w:val="en-US" w:eastAsia="zh-CN"/>
        </w:rPr>
        <w:t>（二）</w:t>
      </w:r>
      <w:r>
        <w:rPr>
          <w:rFonts w:hint="eastAsia" w:ascii="仿宋" w:hAnsi="仿宋" w:eastAsia="仿宋" w:cs="仿宋"/>
          <w:color w:val="auto"/>
          <w:highlight w:val="none"/>
          <w:lang w:val="en-US" w:eastAsia="zh-CN"/>
        </w:rPr>
        <w:t>未经采购人同意，成交供应商不得将中标的项目分包、转让给其他单位。否则，采购人可随时取消其成交资格。因此给采购人造成的经济损失由成交供应商全部承担。</w:t>
      </w:r>
    </w:p>
    <w:p w14:paraId="2273E365">
      <w:pPr>
        <w:bidi w:val="0"/>
        <w:rPr>
          <w:rFonts w:hint="eastAsia" w:ascii="仿宋" w:hAnsi="仿宋" w:eastAsia="仿宋" w:cs="仿宋"/>
          <w:color w:val="auto"/>
          <w:highlight w:val="none"/>
        </w:rPr>
        <w:sectPr>
          <w:pgSz w:w="11907" w:h="16840"/>
          <w:pgMar w:top="1134" w:right="1191" w:bottom="1134" w:left="1304" w:header="794" w:footer="794" w:gutter="0"/>
          <w:pgNumType w:fmt="numberInDash"/>
          <w:cols w:space="0" w:num="1"/>
          <w:rtlGutter w:val="0"/>
          <w:docGrid w:linePitch="380" w:charSpace="0"/>
        </w:sectPr>
      </w:pPr>
      <w:r>
        <w:rPr>
          <w:rFonts w:hint="eastAsia" w:cs="仿宋"/>
          <w:color w:val="auto"/>
          <w:highlight w:val="none"/>
          <w:lang w:eastAsia="zh-CN"/>
        </w:rPr>
        <w:t>（</w:t>
      </w:r>
      <w:r>
        <w:rPr>
          <w:rFonts w:hint="eastAsia" w:cs="仿宋"/>
          <w:color w:val="auto"/>
          <w:highlight w:val="none"/>
          <w:lang w:val="en-US" w:eastAsia="zh-CN"/>
        </w:rPr>
        <w:t>三</w:t>
      </w:r>
      <w:r>
        <w:rPr>
          <w:rFonts w:hint="eastAsia" w:cs="仿宋"/>
          <w:color w:val="auto"/>
          <w:highlight w:val="none"/>
          <w:lang w:eastAsia="zh-CN"/>
        </w:rPr>
        <w:t>）</w:t>
      </w:r>
      <w:r>
        <w:rPr>
          <w:rFonts w:hint="eastAsia" w:ascii="仿宋" w:hAnsi="仿宋" w:eastAsia="仿宋" w:cs="仿宋"/>
          <w:color w:val="auto"/>
          <w:highlight w:val="none"/>
        </w:rPr>
        <w:t>其他未尽事宜由</w:t>
      </w:r>
      <w:r>
        <w:rPr>
          <w:rFonts w:hint="eastAsia" w:ascii="仿宋" w:hAnsi="仿宋" w:eastAsia="仿宋" w:cs="仿宋"/>
          <w:color w:val="auto"/>
          <w:highlight w:val="none"/>
          <w:lang w:val="en-US" w:eastAsia="zh-CN"/>
        </w:rPr>
        <w:t>采购人与成交供应商</w:t>
      </w:r>
      <w:r>
        <w:rPr>
          <w:rFonts w:hint="eastAsia" w:ascii="仿宋" w:hAnsi="仿宋" w:eastAsia="仿宋" w:cs="仿宋"/>
          <w:color w:val="auto"/>
          <w:highlight w:val="none"/>
        </w:rPr>
        <w:t>在</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合同中详细约定。</w:t>
      </w:r>
    </w:p>
    <w:p w14:paraId="6C186429">
      <w:pPr>
        <w:pStyle w:val="2"/>
        <w:bidi w:val="0"/>
        <w:rPr>
          <w:rFonts w:hint="eastAsia" w:ascii="仿宋" w:hAnsi="仿宋" w:eastAsia="仿宋" w:cs="仿宋"/>
          <w:color w:val="auto"/>
          <w:highlight w:val="none"/>
          <w:lang w:val="en-US" w:eastAsia="zh-CN"/>
        </w:rPr>
      </w:pPr>
      <w:bookmarkStart w:id="112" w:name="_Toc14684"/>
      <w:bookmarkStart w:id="113" w:name="_Toc19334"/>
      <w:r>
        <w:rPr>
          <w:rFonts w:hint="eastAsia" w:ascii="仿宋" w:hAnsi="仿宋" w:eastAsia="仿宋" w:cs="仿宋"/>
          <w:color w:val="auto"/>
          <w:highlight w:val="none"/>
        </w:rPr>
        <w:t xml:space="preserve">第四篇  </w:t>
      </w:r>
      <w:r>
        <w:rPr>
          <w:rFonts w:hint="eastAsia" w:ascii="仿宋" w:hAnsi="仿宋" w:eastAsia="仿宋" w:cs="仿宋"/>
          <w:color w:val="auto"/>
          <w:highlight w:val="none"/>
          <w:lang w:val="en-US" w:eastAsia="zh-CN"/>
        </w:rPr>
        <w:t>比选程序、</w:t>
      </w:r>
      <w:bookmarkEnd w:id="111"/>
      <w:r>
        <w:rPr>
          <w:rFonts w:hint="eastAsia" w:ascii="仿宋" w:hAnsi="仿宋" w:eastAsia="仿宋" w:cs="仿宋"/>
          <w:color w:val="auto"/>
          <w:highlight w:val="none"/>
          <w:lang w:eastAsia="zh-CN"/>
        </w:rPr>
        <w:t>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lang w:eastAsia="zh-CN"/>
        </w:rPr>
        <w:t>标准、</w:t>
      </w:r>
      <w:r>
        <w:rPr>
          <w:rFonts w:hint="eastAsia" w:ascii="仿宋" w:hAnsi="仿宋" w:eastAsia="仿宋" w:cs="仿宋"/>
          <w:color w:val="auto"/>
          <w:highlight w:val="none"/>
          <w:lang w:val="en-US" w:eastAsia="zh-CN"/>
        </w:rPr>
        <w:t>无效响应及采购终止</w:t>
      </w:r>
      <w:bookmarkEnd w:id="112"/>
      <w:bookmarkEnd w:id="113"/>
    </w:p>
    <w:p w14:paraId="1A59AC3E">
      <w:pPr>
        <w:pStyle w:val="3"/>
        <w:bidi w:val="0"/>
        <w:rPr>
          <w:rFonts w:hint="eastAsia" w:ascii="仿宋" w:hAnsi="仿宋" w:eastAsia="仿宋" w:cs="仿宋"/>
          <w:color w:val="auto"/>
          <w:highlight w:val="none"/>
          <w:lang w:val="en-US" w:eastAsia="zh-CN"/>
        </w:rPr>
      </w:pPr>
      <w:bookmarkStart w:id="114" w:name="_Toc10124"/>
      <w:bookmarkStart w:id="115" w:name="_Toc25342"/>
      <w:bookmarkStart w:id="116" w:name="_Toc25418"/>
      <w:r>
        <w:rPr>
          <w:rFonts w:hint="eastAsia" w:ascii="仿宋" w:hAnsi="仿宋" w:eastAsia="仿宋" w:cs="仿宋"/>
          <w:color w:val="auto"/>
          <w:highlight w:val="none"/>
        </w:rPr>
        <w:t>一、</w:t>
      </w:r>
      <w:bookmarkEnd w:id="114"/>
      <w:bookmarkStart w:id="117" w:name="_Toc75793518"/>
      <w:r>
        <w:rPr>
          <w:rFonts w:hint="eastAsia" w:ascii="仿宋" w:hAnsi="仿宋" w:eastAsia="仿宋" w:cs="仿宋"/>
          <w:color w:val="auto"/>
          <w:highlight w:val="none"/>
          <w:lang w:val="en-US" w:eastAsia="zh-CN"/>
        </w:rPr>
        <w:t>比选程序</w:t>
      </w:r>
      <w:bookmarkEnd w:id="115"/>
      <w:bookmarkEnd w:id="116"/>
      <w:bookmarkEnd w:id="117"/>
    </w:p>
    <w:p w14:paraId="643EB98F">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评审委员会</w:t>
      </w:r>
      <w:r>
        <w:rPr>
          <w:rFonts w:hint="eastAsia" w:ascii="仿宋" w:hAnsi="仿宋" w:eastAsia="仿宋" w:cs="仿宋"/>
          <w:color w:val="auto"/>
          <w:highlight w:val="none"/>
        </w:rPr>
        <w:t>对各供应商的资格条件、响应文件的有效性、完整性和响应程度进行审查。若未通过资格</w:t>
      </w:r>
      <w:r>
        <w:rPr>
          <w:rFonts w:hint="eastAsia" w:ascii="仿宋" w:hAnsi="仿宋" w:eastAsia="仿宋" w:cs="仿宋"/>
          <w:color w:val="auto"/>
          <w:highlight w:val="none"/>
          <w:lang w:eastAsia="zh-CN"/>
        </w:rPr>
        <w:t>性</w:t>
      </w:r>
      <w:r>
        <w:rPr>
          <w:rFonts w:hint="eastAsia" w:ascii="仿宋" w:hAnsi="仿宋" w:eastAsia="仿宋" w:cs="仿宋"/>
          <w:color w:val="auto"/>
          <w:highlight w:val="none"/>
        </w:rPr>
        <w:t>审查及符合性审查的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，不进入</w:t>
      </w:r>
      <w:r>
        <w:rPr>
          <w:rFonts w:hint="eastAsia" w:cs="仿宋"/>
          <w:color w:val="auto"/>
          <w:highlight w:val="none"/>
          <w:lang w:val="en-US" w:eastAsia="zh-CN"/>
        </w:rPr>
        <w:t>详细</w:t>
      </w:r>
      <w:r>
        <w:rPr>
          <w:rFonts w:hint="eastAsia" w:ascii="仿宋" w:hAnsi="仿宋" w:eastAsia="仿宋" w:cs="仿宋"/>
          <w:color w:val="auto"/>
          <w:highlight w:val="none"/>
        </w:rPr>
        <w:t>评审环节。</w:t>
      </w:r>
    </w:p>
    <w:p w14:paraId="77CF9CA5">
      <w:pPr>
        <w:bidi w:val="0"/>
        <w:rPr>
          <w:rFonts w:hint="eastAsia" w:ascii="仿宋" w:hAnsi="仿宋" w:eastAsia="仿宋" w:cs="仿宋"/>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）资格性审查。</w:t>
      </w:r>
      <w:r>
        <w:rPr>
          <w:rFonts w:hint="eastAsia" w:ascii="仿宋" w:hAnsi="仿宋" w:eastAsia="仿宋" w:cs="仿宋"/>
          <w:color w:val="auto"/>
          <w:highlight w:val="none"/>
          <w:lang w:eastAsia="zh-CN"/>
        </w:rPr>
        <w:t>依据法律法规和竞争性比选文件</w:t>
      </w:r>
      <w:r>
        <w:rPr>
          <w:rFonts w:hint="eastAsia" w:ascii="仿宋" w:hAnsi="仿宋" w:eastAsia="仿宋" w:cs="仿宋"/>
          <w:color w:val="auto"/>
          <w:highlight w:val="none"/>
        </w:rPr>
        <w:t>的规定，对响应文件中的资格证明等进行审查，以确定供应商是否具备采购资格。资格性</w:t>
      </w:r>
      <w:r>
        <w:rPr>
          <w:rFonts w:hint="eastAsia" w:ascii="仿宋" w:hAnsi="仿宋" w:eastAsia="仿宋" w:cs="仿宋"/>
          <w:color w:val="auto"/>
          <w:highlight w:val="none"/>
          <w:lang w:eastAsia="zh-CN"/>
        </w:rPr>
        <w:t>审查</w:t>
      </w:r>
      <w:r>
        <w:rPr>
          <w:rFonts w:hint="eastAsia" w:ascii="仿宋" w:hAnsi="仿宋" w:eastAsia="仿宋" w:cs="仿宋"/>
          <w:color w:val="auto"/>
          <w:highlight w:val="none"/>
        </w:rPr>
        <w:t>资料表如下：</w:t>
      </w:r>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67"/>
        <w:gridCol w:w="3180"/>
        <w:gridCol w:w="4852"/>
      </w:tblGrid>
      <w:tr w14:paraId="6116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14:paraId="3F325F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序号</w:t>
            </w:r>
          </w:p>
        </w:tc>
        <w:tc>
          <w:tcPr>
            <w:tcW w:w="3947" w:type="dxa"/>
            <w:gridSpan w:val="2"/>
            <w:noWrap w:val="0"/>
            <w:vAlign w:val="center"/>
          </w:tcPr>
          <w:p w14:paraId="5C564D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检查因素</w:t>
            </w:r>
          </w:p>
        </w:tc>
        <w:tc>
          <w:tcPr>
            <w:tcW w:w="4852" w:type="dxa"/>
            <w:noWrap w:val="0"/>
            <w:vAlign w:val="center"/>
          </w:tcPr>
          <w:p w14:paraId="41EE71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检查内容</w:t>
            </w:r>
          </w:p>
        </w:tc>
      </w:tr>
      <w:tr w14:paraId="7282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noWrap w:val="0"/>
            <w:vAlign w:val="center"/>
          </w:tcPr>
          <w:p w14:paraId="58FA988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olor w:val="auto"/>
                <w:szCs w:val="21"/>
                <w:highlight w:val="none"/>
                <w:lang w:eastAsia="zh-CN"/>
              </w:rPr>
            </w:pPr>
            <w:r>
              <w:rPr>
                <w:rFonts w:hint="eastAsia" w:ascii="仿宋" w:hAnsi="仿宋" w:eastAsia="仿宋" w:cs="仿宋"/>
                <w:color w:val="auto"/>
                <w:highlight w:val="none"/>
                <w:lang w:eastAsia="zh-CN"/>
              </w:rPr>
              <w:t>（一）</w:t>
            </w:r>
          </w:p>
        </w:tc>
        <w:tc>
          <w:tcPr>
            <w:tcW w:w="767" w:type="dxa"/>
            <w:vMerge w:val="restart"/>
            <w:noWrap w:val="0"/>
            <w:vAlign w:val="center"/>
          </w:tcPr>
          <w:p w14:paraId="15DFF2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符合《中华人民共和国政府采购法》第二十二条规定</w:t>
            </w:r>
          </w:p>
        </w:tc>
        <w:tc>
          <w:tcPr>
            <w:tcW w:w="3180" w:type="dxa"/>
            <w:noWrap w:val="0"/>
            <w:vAlign w:val="center"/>
          </w:tcPr>
          <w:p w14:paraId="1F2838F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具有独立承担民事责任的能力</w:t>
            </w:r>
          </w:p>
        </w:tc>
        <w:tc>
          <w:tcPr>
            <w:tcW w:w="4852" w:type="dxa"/>
            <w:noWrap w:val="0"/>
            <w:vAlign w:val="center"/>
          </w:tcPr>
          <w:p w14:paraId="6936733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440EBA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2．供应商法定代表人身份证明和法定代表人授权代表委托书。</w:t>
            </w:r>
          </w:p>
        </w:tc>
      </w:tr>
      <w:tr w14:paraId="20D0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14:paraId="16D277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1AD4A8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2A4639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具有良好的商业信誉和健全的财务会计制度</w:t>
            </w:r>
          </w:p>
        </w:tc>
        <w:tc>
          <w:tcPr>
            <w:tcW w:w="4852" w:type="dxa"/>
            <w:vMerge w:val="restart"/>
            <w:noWrap w:val="0"/>
            <w:vAlign w:val="center"/>
          </w:tcPr>
          <w:p w14:paraId="772A56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供应商提供“基本资格条件承诺函”（格式详见第七篇）</w:t>
            </w:r>
          </w:p>
        </w:tc>
      </w:tr>
      <w:tr w14:paraId="26B1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14:paraId="6501F3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44ED6C5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5BC4BB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具有履行合同所必需的设备和专业技术能力</w:t>
            </w:r>
          </w:p>
        </w:tc>
        <w:tc>
          <w:tcPr>
            <w:tcW w:w="4852" w:type="dxa"/>
            <w:vMerge w:val="continue"/>
            <w:noWrap w:val="0"/>
            <w:vAlign w:val="center"/>
          </w:tcPr>
          <w:p w14:paraId="3DB03F8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p>
        </w:tc>
      </w:tr>
      <w:tr w14:paraId="5A73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9" w:type="dxa"/>
            <w:vMerge w:val="continue"/>
            <w:noWrap w:val="0"/>
            <w:vAlign w:val="center"/>
          </w:tcPr>
          <w:p w14:paraId="503B39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6E29D08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776CDF3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4.</w:t>
            </w:r>
            <w:r>
              <w:rPr>
                <w:rFonts w:hint="eastAsia" w:ascii="仿宋" w:hAnsi="仿宋" w:eastAsia="仿宋" w:cs="仿宋"/>
                <w:i w:val="0"/>
                <w:iCs w:val="0"/>
                <w:color w:val="auto"/>
                <w:sz w:val="21"/>
                <w:szCs w:val="21"/>
                <w:highlight w:val="none"/>
              </w:rPr>
              <w:t>有依法缴纳税收和社会保障金的良好记录</w:t>
            </w:r>
          </w:p>
        </w:tc>
        <w:tc>
          <w:tcPr>
            <w:tcW w:w="4852" w:type="dxa"/>
            <w:vMerge w:val="continue"/>
            <w:noWrap w:val="0"/>
            <w:vAlign w:val="center"/>
          </w:tcPr>
          <w:p w14:paraId="33F1258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p>
        </w:tc>
      </w:tr>
      <w:tr w14:paraId="0CC8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14:paraId="63BC9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5CE5ABD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085799C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en-US" w:eastAsia="zh-CN"/>
              </w:rPr>
              <w:t>5.</w:t>
            </w:r>
            <w:r>
              <w:rPr>
                <w:rFonts w:hint="eastAsia" w:ascii="仿宋" w:hAnsi="仿宋" w:eastAsia="仿宋" w:cs="仿宋"/>
                <w:i w:val="0"/>
                <w:iCs w:val="0"/>
                <w:color w:val="auto"/>
                <w:sz w:val="21"/>
                <w:szCs w:val="21"/>
                <w:highlight w:val="none"/>
              </w:rPr>
              <w:t>参加政府采购活动前三年内，在经营活动中没有重大违法记录</w:t>
            </w:r>
          </w:p>
        </w:tc>
        <w:tc>
          <w:tcPr>
            <w:tcW w:w="4852" w:type="dxa"/>
            <w:vMerge w:val="continue"/>
            <w:noWrap w:val="0"/>
            <w:vAlign w:val="center"/>
          </w:tcPr>
          <w:p w14:paraId="32C193A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p>
        </w:tc>
      </w:tr>
      <w:tr w14:paraId="2187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vMerge w:val="continue"/>
            <w:noWrap w:val="0"/>
            <w:vAlign w:val="center"/>
          </w:tcPr>
          <w:p w14:paraId="194AE6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rPr>
            </w:pPr>
          </w:p>
        </w:tc>
        <w:tc>
          <w:tcPr>
            <w:tcW w:w="767" w:type="dxa"/>
            <w:vMerge w:val="continue"/>
            <w:noWrap w:val="0"/>
            <w:vAlign w:val="center"/>
          </w:tcPr>
          <w:p w14:paraId="3E1056E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zh-CN"/>
              </w:rPr>
            </w:pPr>
          </w:p>
        </w:tc>
        <w:tc>
          <w:tcPr>
            <w:tcW w:w="3180" w:type="dxa"/>
            <w:noWrap w:val="0"/>
            <w:vAlign w:val="center"/>
          </w:tcPr>
          <w:p w14:paraId="7311144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法律、行政法规规定的其他条件</w:t>
            </w:r>
          </w:p>
        </w:tc>
        <w:tc>
          <w:tcPr>
            <w:tcW w:w="4852" w:type="dxa"/>
            <w:noWrap w:val="0"/>
            <w:vAlign w:val="center"/>
          </w:tcPr>
          <w:p w14:paraId="49C7F37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w:t>
            </w:r>
          </w:p>
        </w:tc>
      </w:tr>
      <w:tr w14:paraId="0182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9" w:type="dxa"/>
            <w:noWrap w:val="0"/>
            <w:vAlign w:val="center"/>
          </w:tcPr>
          <w:p w14:paraId="1FDCE6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（二）</w:t>
            </w:r>
          </w:p>
        </w:tc>
        <w:tc>
          <w:tcPr>
            <w:tcW w:w="3947" w:type="dxa"/>
            <w:gridSpan w:val="2"/>
            <w:noWrap w:val="0"/>
            <w:vAlign w:val="center"/>
          </w:tcPr>
          <w:p w14:paraId="4456F96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val="en-US" w:eastAsia="zh-CN"/>
              </w:rPr>
              <w:t>本项目的特定资格要求</w:t>
            </w:r>
          </w:p>
        </w:tc>
        <w:tc>
          <w:tcPr>
            <w:tcW w:w="4852" w:type="dxa"/>
            <w:noWrap w:val="0"/>
            <w:vAlign w:val="center"/>
          </w:tcPr>
          <w:p w14:paraId="4993142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按第一篇“三、</w:t>
            </w:r>
            <w:r>
              <w:rPr>
                <w:rFonts w:hint="eastAsia" w:ascii="仿宋" w:hAnsi="仿宋" w:eastAsia="仿宋" w:cs="仿宋"/>
                <w:i w:val="0"/>
                <w:iCs w:val="0"/>
                <w:color w:val="auto"/>
                <w:sz w:val="21"/>
                <w:szCs w:val="21"/>
                <w:highlight w:val="none"/>
                <w:lang w:val="en-US" w:eastAsia="zh-CN"/>
              </w:rPr>
              <w:t>供应商</w:t>
            </w:r>
            <w:r>
              <w:rPr>
                <w:rFonts w:hint="eastAsia" w:ascii="仿宋" w:hAnsi="仿宋" w:eastAsia="仿宋" w:cs="仿宋"/>
                <w:i w:val="0"/>
                <w:iCs w:val="0"/>
                <w:color w:val="auto"/>
                <w:sz w:val="21"/>
                <w:szCs w:val="21"/>
                <w:highlight w:val="none"/>
              </w:rPr>
              <w:t>资格条件</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二</w:t>
            </w:r>
            <w:r>
              <w:rPr>
                <w:rFonts w:hint="eastAsia" w:ascii="仿宋" w:hAnsi="仿宋" w:eastAsia="仿宋" w:cs="仿宋"/>
                <w:i w:val="0"/>
                <w:iCs w:val="0"/>
                <w:color w:val="auto"/>
                <w:sz w:val="21"/>
                <w:szCs w:val="21"/>
                <w:highlight w:val="none"/>
                <w:lang w:eastAsia="zh-CN"/>
              </w:rPr>
              <w:t>）本项目的特定资格要求</w:t>
            </w:r>
            <w:r>
              <w:rPr>
                <w:rFonts w:hint="eastAsia" w:ascii="仿宋" w:hAnsi="仿宋" w:eastAsia="仿宋" w:cs="仿宋"/>
                <w:i w:val="0"/>
                <w:iCs w:val="0"/>
                <w:color w:val="auto"/>
                <w:sz w:val="21"/>
                <w:szCs w:val="21"/>
                <w:highlight w:val="none"/>
              </w:rPr>
              <w:t>”的要求提交</w:t>
            </w:r>
            <w:r>
              <w:rPr>
                <w:rFonts w:hint="eastAsia" w:ascii="仿宋" w:hAnsi="仿宋" w:eastAsia="仿宋" w:cs="仿宋"/>
                <w:i w:val="0"/>
                <w:iCs w:val="0"/>
                <w:color w:val="auto"/>
                <w:sz w:val="21"/>
                <w:szCs w:val="21"/>
                <w:highlight w:val="none"/>
                <w:lang w:eastAsia="zh-CN"/>
              </w:rPr>
              <w:t>（如果有）。</w:t>
            </w:r>
          </w:p>
        </w:tc>
      </w:tr>
      <w:tr w14:paraId="05EF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9" w:type="dxa"/>
            <w:noWrap w:val="0"/>
            <w:vAlign w:val="center"/>
          </w:tcPr>
          <w:p w14:paraId="4896B0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auto"/>
                <w:sz w:val="21"/>
                <w:szCs w:val="21"/>
                <w:highlight w:val="none"/>
                <w:lang w:eastAsia="zh-CN"/>
              </w:rPr>
            </w:pPr>
            <w:r>
              <w:rPr>
                <w:rFonts w:hint="eastAsia" w:cs="仿宋"/>
                <w:i w:val="0"/>
                <w:iCs w:val="0"/>
                <w:color w:val="auto"/>
                <w:sz w:val="21"/>
                <w:szCs w:val="21"/>
                <w:highlight w:val="none"/>
                <w:lang w:eastAsia="zh-CN"/>
              </w:rPr>
              <w:t>（</w:t>
            </w:r>
            <w:r>
              <w:rPr>
                <w:rFonts w:hint="eastAsia" w:cs="仿宋"/>
                <w:i w:val="0"/>
                <w:iCs w:val="0"/>
                <w:color w:val="auto"/>
                <w:sz w:val="21"/>
                <w:szCs w:val="21"/>
                <w:highlight w:val="none"/>
                <w:lang w:val="en-US" w:eastAsia="zh-CN"/>
              </w:rPr>
              <w:t>三</w:t>
            </w:r>
            <w:r>
              <w:rPr>
                <w:rFonts w:hint="eastAsia" w:cs="仿宋"/>
                <w:i w:val="0"/>
                <w:iCs w:val="0"/>
                <w:color w:val="auto"/>
                <w:sz w:val="21"/>
                <w:szCs w:val="21"/>
                <w:highlight w:val="none"/>
                <w:lang w:eastAsia="zh-CN"/>
              </w:rPr>
              <w:t>）</w:t>
            </w:r>
          </w:p>
        </w:tc>
        <w:tc>
          <w:tcPr>
            <w:tcW w:w="3947" w:type="dxa"/>
            <w:gridSpan w:val="2"/>
            <w:noWrap w:val="0"/>
            <w:vAlign w:val="center"/>
          </w:tcPr>
          <w:p w14:paraId="11B91ED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i w:val="0"/>
                <w:iCs w:val="0"/>
                <w:color w:val="auto"/>
                <w:sz w:val="21"/>
                <w:szCs w:val="21"/>
                <w:highlight w:val="none"/>
                <w:lang w:val="en-US" w:eastAsia="zh-CN"/>
              </w:rPr>
            </w:pPr>
            <w:r>
              <w:rPr>
                <w:rFonts w:hint="eastAsia" w:cs="仿宋"/>
                <w:i w:val="0"/>
                <w:iCs w:val="0"/>
                <w:color w:val="auto"/>
                <w:sz w:val="21"/>
                <w:szCs w:val="21"/>
                <w:highlight w:val="none"/>
                <w:lang w:val="en-US" w:eastAsia="zh-CN"/>
              </w:rPr>
              <w:t>比选保证金</w:t>
            </w:r>
          </w:p>
        </w:tc>
        <w:tc>
          <w:tcPr>
            <w:tcW w:w="4852" w:type="dxa"/>
            <w:noWrap w:val="0"/>
            <w:vAlign w:val="center"/>
          </w:tcPr>
          <w:p w14:paraId="7A3682B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按照竞争性</w:t>
            </w:r>
            <w:r>
              <w:rPr>
                <w:rFonts w:hint="eastAsia" w:cs="仿宋"/>
                <w:i w:val="0"/>
                <w:iCs w:val="0"/>
                <w:color w:val="auto"/>
                <w:sz w:val="21"/>
                <w:szCs w:val="21"/>
                <w:highlight w:val="none"/>
                <w:lang w:val="en-US" w:eastAsia="zh-CN"/>
              </w:rPr>
              <w:t>比选</w:t>
            </w:r>
            <w:r>
              <w:rPr>
                <w:rFonts w:hint="eastAsia" w:ascii="仿宋" w:hAnsi="仿宋" w:eastAsia="仿宋" w:cs="仿宋"/>
                <w:i w:val="0"/>
                <w:iCs w:val="0"/>
                <w:color w:val="auto"/>
                <w:sz w:val="21"/>
                <w:szCs w:val="21"/>
                <w:highlight w:val="none"/>
              </w:rPr>
              <w:t>文件要求足额交纳</w:t>
            </w:r>
            <w:r>
              <w:rPr>
                <w:rFonts w:hint="eastAsia" w:cs="仿宋"/>
                <w:i w:val="0"/>
                <w:iCs w:val="0"/>
                <w:color w:val="auto"/>
                <w:sz w:val="21"/>
                <w:szCs w:val="21"/>
                <w:highlight w:val="none"/>
                <w:lang w:val="en-US" w:eastAsia="zh-CN"/>
              </w:rPr>
              <w:t>比选</w:t>
            </w:r>
            <w:r>
              <w:rPr>
                <w:rFonts w:hint="eastAsia" w:ascii="仿宋" w:hAnsi="仿宋" w:eastAsia="仿宋" w:cs="仿宋"/>
                <w:i w:val="0"/>
                <w:iCs w:val="0"/>
                <w:color w:val="auto"/>
                <w:sz w:val="21"/>
                <w:szCs w:val="21"/>
                <w:highlight w:val="none"/>
              </w:rPr>
              <w:t>保证金</w:t>
            </w:r>
            <w:r>
              <w:rPr>
                <w:rFonts w:hint="eastAsia" w:ascii="仿宋" w:hAnsi="仿宋" w:eastAsia="仿宋" w:cs="仿宋"/>
                <w:i w:val="0"/>
                <w:iCs w:val="0"/>
                <w:color w:val="auto"/>
                <w:sz w:val="21"/>
                <w:szCs w:val="21"/>
                <w:highlight w:val="none"/>
                <w:lang w:eastAsia="zh-CN"/>
              </w:rPr>
              <w:t>（如果有）</w:t>
            </w:r>
            <w:r>
              <w:rPr>
                <w:rFonts w:hint="eastAsia" w:ascii="仿宋" w:hAnsi="仿宋" w:eastAsia="仿宋" w:cs="仿宋"/>
                <w:i w:val="0"/>
                <w:iCs w:val="0"/>
                <w:color w:val="auto"/>
                <w:sz w:val="21"/>
                <w:szCs w:val="21"/>
                <w:highlight w:val="none"/>
              </w:rPr>
              <w:t>。</w:t>
            </w:r>
          </w:p>
        </w:tc>
      </w:tr>
    </w:tbl>
    <w:p w14:paraId="26E28F4F">
      <w:pPr>
        <w:bidi w:val="0"/>
        <w:rPr>
          <w:rFonts w:hint="eastAsia" w:ascii="仿宋" w:hAnsi="仿宋" w:eastAsia="仿宋" w:cs="仿宋"/>
          <w:color w:val="auto"/>
          <w:highlight w:val="none"/>
        </w:rPr>
      </w:pPr>
      <w:r>
        <w:rPr>
          <w:rFonts w:hint="eastAsia" w:ascii="仿宋" w:hAnsi="仿宋" w:eastAsia="仿宋" w:cs="仿宋"/>
          <w:color w:val="auto"/>
          <w:highlight w:val="none"/>
        </w:rPr>
        <w:t>注：根据《中华人民共和国政府采购法实施条例》第十九条“参加政府采购活动前三年内，在经营活动中没有重大违法记录”中“重大违法记录”，是指</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因违法经营受到刑事处罚或者责令停产停业、吊销许可证或者执照、较大数额罚款等行政处罚。行政处罚中“较大数额”的认定标准，按照《财政部关于</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中华人民共和国政府采购法实施条例</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第十九条第一款“较大数额罚款”具体适用问题的意见》（财库〔2022〕3号）执行。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可于</w:t>
      </w:r>
      <w:r>
        <w:rPr>
          <w:rFonts w:hint="eastAsia" w:ascii="仿宋" w:hAnsi="仿宋" w:eastAsia="仿宋" w:cs="仿宋"/>
          <w:color w:val="auto"/>
          <w:highlight w:val="none"/>
          <w:lang w:eastAsia="zh-CN"/>
        </w:rPr>
        <w:t>报价截止时间</w:t>
      </w:r>
      <w:r>
        <w:rPr>
          <w:rFonts w:hint="eastAsia" w:ascii="仿宋" w:hAnsi="仿宋" w:eastAsia="仿宋" w:cs="仿宋"/>
          <w:color w:val="auto"/>
          <w:highlight w:val="none"/>
        </w:rPr>
        <w:t>前通过“信用中国”网站</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www.creditchina.gov.cn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、“中国政府采购网”网站</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www.ccgp.gov.cn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等渠道查询信用记录。</w:t>
      </w:r>
    </w:p>
    <w:p w14:paraId="16E5DEA7">
      <w:pPr>
        <w:bidi w:val="0"/>
        <w:rPr>
          <w:rFonts w:hint="eastAsia" w:ascii="仿宋" w:hAnsi="仿宋" w:eastAsia="仿宋" w:cs="仿宋"/>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符合性审查</w:t>
      </w:r>
      <w:r>
        <w:rPr>
          <w:rFonts w:hint="eastAsia" w:ascii="仿宋" w:hAnsi="仿宋" w:eastAsia="仿宋" w:cs="仿宋"/>
          <w:b/>
          <w:bCs/>
          <w:color w:val="auto"/>
          <w:highlight w:val="none"/>
        </w:rPr>
        <w:t>。</w:t>
      </w:r>
      <w:r>
        <w:rPr>
          <w:rFonts w:hint="eastAsia" w:ascii="仿宋" w:hAnsi="仿宋" w:eastAsia="仿宋" w:cs="仿宋"/>
          <w:color w:val="auto"/>
          <w:highlight w:val="none"/>
          <w:lang w:eastAsia="zh-CN"/>
        </w:rPr>
        <w:t>评审委员会</w:t>
      </w:r>
      <w:r>
        <w:rPr>
          <w:rFonts w:hint="eastAsia" w:ascii="仿宋" w:hAnsi="仿宋" w:eastAsia="仿宋" w:cs="仿宋"/>
          <w:color w:val="auto"/>
          <w:highlight w:val="none"/>
        </w:rPr>
        <w:t>对</w:t>
      </w:r>
      <w:r>
        <w:rPr>
          <w:rFonts w:hint="eastAsia" w:ascii="仿宋" w:hAnsi="仿宋" w:eastAsia="仿宋" w:cs="仿宋"/>
          <w:color w:val="auto"/>
          <w:highlight w:val="none"/>
          <w:lang w:val="en-US" w:eastAsia="zh-CN"/>
        </w:rPr>
        <w:t>资格性审查合格供应商</w:t>
      </w:r>
      <w:r>
        <w:rPr>
          <w:rFonts w:hint="eastAsia" w:ascii="仿宋" w:hAnsi="仿宋" w:eastAsia="仿宋" w:cs="仿宋"/>
          <w:color w:val="auto"/>
          <w:highlight w:val="none"/>
        </w:rPr>
        <w:t>响应文件</w:t>
      </w:r>
      <w:r>
        <w:rPr>
          <w:rFonts w:hint="eastAsia" w:ascii="仿宋" w:hAnsi="仿宋" w:eastAsia="仿宋" w:cs="仿宋"/>
          <w:color w:val="auto"/>
          <w:highlight w:val="none"/>
          <w:lang w:eastAsia="zh-CN"/>
        </w:rPr>
        <w:t>的响应程度</w:t>
      </w:r>
      <w:r>
        <w:rPr>
          <w:rFonts w:hint="eastAsia" w:ascii="仿宋" w:hAnsi="仿宋" w:eastAsia="仿宋" w:cs="仿宋"/>
          <w:color w:val="auto"/>
          <w:highlight w:val="none"/>
        </w:rPr>
        <w:t>进行</w:t>
      </w:r>
      <w:r>
        <w:rPr>
          <w:rFonts w:hint="eastAsia" w:ascii="仿宋" w:hAnsi="仿宋" w:eastAsia="仿宋" w:cs="仿宋"/>
          <w:color w:val="auto"/>
          <w:highlight w:val="none"/>
          <w:lang w:val="en-US" w:eastAsia="zh-CN"/>
        </w:rPr>
        <w:t>符合性</w:t>
      </w:r>
      <w:r>
        <w:rPr>
          <w:rFonts w:hint="eastAsia" w:ascii="仿宋" w:hAnsi="仿宋" w:eastAsia="仿宋" w:cs="仿宋"/>
          <w:color w:val="auto"/>
          <w:highlight w:val="none"/>
          <w:lang w:eastAsia="zh-CN"/>
        </w:rPr>
        <w:t>审查</w:t>
      </w:r>
      <w:r>
        <w:rPr>
          <w:rFonts w:hint="eastAsia" w:ascii="仿宋" w:hAnsi="仿宋" w:eastAsia="仿宋" w:cs="仿宋"/>
          <w:color w:val="auto"/>
          <w:highlight w:val="none"/>
        </w:rPr>
        <w:t>，以确定</w:t>
      </w:r>
      <w:r>
        <w:rPr>
          <w:rFonts w:hint="eastAsia" w:ascii="仿宋" w:hAnsi="仿宋" w:eastAsia="仿宋" w:cs="仿宋"/>
          <w:color w:val="auto"/>
          <w:highlight w:val="none"/>
          <w:lang w:val="en-US" w:eastAsia="zh-CN"/>
        </w:rPr>
        <w:t>其</w:t>
      </w:r>
      <w:r>
        <w:rPr>
          <w:rFonts w:hint="eastAsia" w:ascii="仿宋" w:hAnsi="仿宋" w:eastAsia="仿宋" w:cs="仿宋"/>
          <w:color w:val="auto"/>
          <w:highlight w:val="none"/>
        </w:rPr>
        <w:t>是否对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的实质性要求作</w:t>
      </w:r>
      <w:r>
        <w:rPr>
          <w:rFonts w:hint="eastAsia" w:ascii="仿宋" w:hAnsi="仿宋" w:eastAsia="仿宋" w:cs="仿宋"/>
          <w:color w:val="auto"/>
          <w:sz w:val="24"/>
          <w:szCs w:val="24"/>
          <w:highlight w:val="none"/>
        </w:rPr>
        <w:t>出响应。未实质性响应</w:t>
      </w:r>
      <w:r>
        <w:rPr>
          <w:rFonts w:hint="eastAsia" w:ascii="仿宋" w:hAnsi="仿宋" w:eastAsia="仿宋" w:cs="仿宋"/>
          <w:color w:val="auto"/>
          <w:sz w:val="24"/>
          <w:szCs w:val="24"/>
          <w:highlight w:val="none"/>
          <w:lang w:eastAsia="zh-CN"/>
        </w:rPr>
        <w:t>竞争性比选文件</w:t>
      </w:r>
      <w:r>
        <w:rPr>
          <w:rFonts w:hint="eastAsia" w:ascii="仿宋" w:hAnsi="仿宋" w:eastAsia="仿宋" w:cs="仿宋"/>
          <w:color w:val="auto"/>
          <w:sz w:val="24"/>
          <w:szCs w:val="24"/>
          <w:highlight w:val="none"/>
        </w:rPr>
        <w:t>的响应文件按无效处理，</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应当告知有关供应商。</w:t>
      </w:r>
      <w:r>
        <w:rPr>
          <w:rFonts w:hint="eastAsia" w:ascii="仿宋" w:hAnsi="仿宋" w:eastAsia="仿宋" w:cs="仿宋"/>
          <w:color w:val="auto"/>
          <w:sz w:val="24"/>
          <w:szCs w:val="24"/>
          <w:highlight w:val="none"/>
          <w:lang w:eastAsia="zh-CN"/>
        </w:rPr>
        <w:t>符合性审查</w:t>
      </w:r>
      <w:r>
        <w:rPr>
          <w:rFonts w:hint="eastAsia" w:ascii="仿宋" w:hAnsi="仿宋" w:eastAsia="仿宋" w:cs="仿宋"/>
          <w:color w:val="auto"/>
          <w:sz w:val="24"/>
          <w:szCs w:val="24"/>
          <w:highlight w:val="none"/>
        </w:rPr>
        <w:t>内容如下</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22"/>
        <w:gridCol w:w="2126"/>
        <w:gridCol w:w="5512"/>
      </w:tblGrid>
      <w:tr w14:paraId="57D9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Align w:val="center"/>
          </w:tcPr>
          <w:p w14:paraId="79F181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048" w:type="dxa"/>
            <w:gridSpan w:val="2"/>
            <w:vAlign w:val="center"/>
          </w:tcPr>
          <w:p w14:paraId="364F56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512" w:type="dxa"/>
            <w:vAlign w:val="center"/>
          </w:tcPr>
          <w:p w14:paraId="47E66F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D7A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restart"/>
            <w:vAlign w:val="center"/>
          </w:tcPr>
          <w:p w14:paraId="0B4233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922" w:type="dxa"/>
            <w:vMerge w:val="restart"/>
            <w:vAlign w:val="center"/>
          </w:tcPr>
          <w:p w14:paraId="3F79BD2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有效性审查</w:t>
            </w:r>
          </w:p>
        </w:tc>
        <w:tc>
          <w:tcPr>
            <w:tcW w:w="2126" w:type="dxa"/>
            <w:vAlign w:val="center"/>
          </w:tcPr>
          <w:p w14:paraId="5C8AB7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响应文件签署或盖章</w:t>
            </w:r>
          </w:p>
        </w:tc>
        <w:tc>
          <w:tcPr>
            <w:tcW w:w="5512" w:type="dxa"/>
            <w:vAlign w:val="center"/>
          </w:tcPr>
          <w:p w14:paraId="0BB0C6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竞争性比选文件</w:t>
            </w:r>
            <w:r>
              <w:rPr>
                <w:rFonts w:hint="eastAsia" w:ascii="仿宋" w:hAnsi="仿宋" w:eastAsia="仿宋" w:cs="仿宋"/>
                <w:color w:val="auto"/>
                <w:sz w:val="21"/>
                <w:szCs w:val="21"/>
                <w:highlight w:val="none"/>
              </w:rPr>
              <w:t>要求签署或盖章</w:t>
            </w:r>
            <w:r>
              <w:rPr>
                <w:rFonts w:hint="eastAsia" w:ascii="仿宋" w:hAnsi="仿宋" w:eastAsia="仿宋" w:cs="仿宋"/>
                <w:color w:val="auto"/>
                <w:sz w:val="21"/>
                <w:szCs w:val="21"/>
                <w:highlight w:val="none"/>
                <w:lang w:eastAsia="zh-CN"/>
              </w:rPr>
              <w:t>齐全。</w:t>
            </w:r>
          </w:p>
        </w:tc>
      </w:tr>
      <w:tr w14:paraId="10CA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788D1B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6303C9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7015AD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5512" w:type="dxa"/>
            <w:vAlign w:val="center"/>
          </w:tcPr>
          <w:p w14:paraId="061F0A7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w:t>
            </w:r>
            <w:r>
              <w:rPr>
                <w:rFonts w:hint="eastAsia" w:ascii="仿宋" w:hAnsi="仿宋" w:eastAsia="仿宋" w:cs="仿宋"/>
                <w:color w:val="auto"/>
                <w:sz w:val="21"/>
                <w:szCs w:val="21"/>
                <w:highlight w:val="none"/>
                <w:lang w:eastAsia="zh-CN"/>
              </w:rPr>
              <w:t>竞争性比选文件</w:t>
            </w:r>
            <w:r>
              <w:rPr>
                <w:rFonts w:hint="eastAsia" w:ascii="仿宋" w:hAnsi="仿宋" w:eastAsia="仿宋" w:cs="仿宋"/>
                <w:color w:val="auto"/>
                <w:sz w:val="21"/>
                <w:szCs w:val="21"/>
                <w:highlight w:val="none"/>
              </w:rPr>
              <w:t>规定的格式，签字或盖章齐全。</w:t>
            </w:r>
          </w:p>
        </w:tc>
      </w:tr>
      <w:tr w14:paraId="60E3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3D8162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51CCB3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0B254B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5512" w:type="dxa"/>
            <w:vAlign w:val="center"/>
          </w:tcPr>
          <w:p w14:paraId="4D6829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14:paraId="4DB8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50B540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61FC15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586FEA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5512" w:type="dxa"/>
            <w:vAlign w:val="center"/>
          </w:tcPr>
          <w:p w14:paraId="5BA454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只能在最高限价内报价，</w:t>
            </w:r>
            <w:r>
              <w:rPr>
                <w:rFonts w:hint="eastAsia" w:ascii="仿宋" w:hAnsi="仿宋" w:eastAsia="仿宋" w:cs="仿宋"/>
                <w:color w:val="auto"/>
                <w:kern w:val="0"/>
                <w:sz w:val="21"/>
                <w:szCs w:val="21"/>
                <w:highlight w:val="none"/>
              </w:rPr>
              <w:t>只能有一个有效报价，不得提交选择性报价。</w:t>
            </w:r>
          </w:p>
        </w:tc>
      </w:tr>
      <w:tr w14:paraId="4ABD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Align w:val="center"/>
          </w:tcPr>
          <w:p w14:paraId="5DC80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922" w:type="dxa"/>
            <w:vAlign w:val="center"/>
          </w:tcPr>
          <w:p w14:paraId="1EDAED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完整性审查</w:t>
            </w:r>
          </w:p>
        </w:tc>
        <w:tc>
          <w:tcPr>
            <w:tcW w:w="2126" w:type="dxa"/>
            <w:vAlign w:val="center"/>
          </w:tcPr>
          <w:p w14:paraId="50ECDE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响应文件</w:t>
            </w:r>
            <w:r>
              <w:rPr>
                <w:rFonts w:hint="eastAsia" w:ascii="仿宋" w:hAnsi="仿宋" w:eastAsia="仿宋" w:cs="仿宋"/>
                <w:color w:val="auto"/>
                <w:sz w:val="21"/>
                <w:szCs w:val="21"/>
                <w:highlight w:val="none"/>
                <w:lang w:val="zh-CN"/>
              </w:rPr>
              <w:t>份数</w:t>
            </w:r>
          </w:p>
        </w:tc>
        <w:tc>
          <w:tcPr>
            <w:tcW w:w="5512" w:type="dxa"/>
            <w:vAlign w:val="center"/>
          </w:tcPr>
          <w:p w14:paraId="0F1E27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符合</w:t>
            </w:r>
            <w:r>
              <w:rPr>
                <w:rFonts w:hint="eastAsia" w:ascii="仿宋" w:hAnsi="仿宋" w:eastAsia="仿宋" w:cs="仿宋"/>
                <w:color w:val="auto"/>
                <w:kern w:val="0"/>
                <w:sz w:val="21"/>
                <w:szCs w:val="21"/>
                <w:highlight w:val="none"/>
                <w:lang w:eastAsia="zh-CN"/>
              </w:rPr>
              <w:t>竞争性比选文件</w:t>
            </w:r>
            <w:r>
              <w:rPr>
                <w:rFonts w:hint="eastAsia" w:ascii="仿宋" w:hAnsi="仿宋" w:eastAsia="仿宋" w:cs="仿宋"/>
                <w:color w:val="auto"/>
                <w:kern w:val="0"/>
                <w:sz w:val="21"/>
                <w:szCs w:val="21"/>
                <w:highlight w:val="none"/>
                <w:lang w:val="zh-CN"/>
              </w:rPr>
              <w:t>要求。</w:t>
            </w:r>
          </w:p>
        </w:tc>
      </w:tr>
      <w:tr w14:paraId="7813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restart"/>
            <w:vAlign w:val="center"/>
          </w:tcPr>
          <w:p w14:paraId="0E8547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922" w:type="dxa"/>
            <w:vMerge w:val="restart"/>
            <w:vAlign w:val="center"/>
          </w:tcPr>
          <w:p w14:paraId="3710C5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响应程度审查</w:t>
            </w:r>
          </w:p>
        </w:tc>
        <w:tc>
          <w:tcPr>
            <w:tcW w:w="2126" w:type="dxa"/>
            <w:vAlign w:val="center"/>
          </w:tcPr>
          <w:p w14:paraId="53100E4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响应文件内容</w:t>
            </w:r>
          </w:p>
        </w:tc>
        <w:tc>
          <w:tcPr>
            <w:tcW w:w="5512" w:type="dxa"/>
            <w:vAlign w:val="center"/>
          </w:tcPr>
          <w:p w14:paraId="1E80F39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SA"/>
              </w:rPr>
              <w:t>对竞争性比选文件内容进行实质性响应。</w:t>
            </w:r>
          </w:p>
        </w:tc>
      </w:tr>
      <w:tr w14:paraId="20E0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4" w:type="dxa"/>
            <w:vMerge w:val="continue"/>
            <w:vAlign w:val="center"/>
          </w:tcPr>
          <w:p w14:paraId="71B500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1"/>
                <w:szCs w:val="21"/>
                <w:highlight w:val="none"/>
              </w:rPr>
            </w:pPr>
          </w:p>
        </w:tc>
        <w:tc>
          <w:tcPr>
            <w:tcW w:w="922" w:type="dxa"/>
            <w:vMerge w:val="continue"/>
            <w:vAlign w:val="center"/>
          </w:tcPr>
          <w:p w14:paraId="565700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lang w:val="en-US" w:eastAsia="zh-CN"/>
              </w:rPr>
            </w:pPr>
          </w:p>
        </w:tc>
        <w:tc>
          <w:tcPr>
            <w:tcW w:w="2126" w:type="dxa"/>
            <w:vAlign w:val="center"/>
          </w:tcPr>
          <w:p w14:paraId="641FE5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比选</w:t>
            </w:r>
            <w:r>
              <w:rPr>
                <w:rFonts w:hint="eastAsia" w:ascii="仿宋" w:hAnsi="仿宋" w:eastAsia="仿宋" w:cs="仿宋"/>
                <w:color w:val="auto"/>
                <w:kern w:val="0"/>
                <w:sz w:val="21"/>
                <w:szCs w:val="21"/>
                <w:highlight w:val="none"/>
              </w:rPr>
              <w:t>有效期</w:t>
            </w:r>
          </w:p>
        </w:tc>
        <w:tc>
          <w:tcPr>
            <w:tcW w:w="5512" w:type="dxa"/>
            <w:vAlign w:val="center"/>
          </w:tcPr>
          <w:p w14:paraId="4D7BCC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竞争性比选文件</w:t>
            </w:r>
            <w:r>
              <w:rPr>
                <w:rFonts w:hint="eastAsia" w:ascii="仿宋" w:hAnsi="仿宋" w:eastAsia="仿宋" w:cs="仿宋"/>
                <w:color w:val="auto"/>
                <w:kern w:val="0"/>
                <w:sz w:val="21"/>
                <w:szCs w:val="21"/>
                <w:highlight w:val="none"/>
                <w:lang w:val="zh-CN"/>
              </w:rPr>
              <w:t>规定。</w:t>
            </w:r>
          </w:p>
        </w:tc>
      </w:tr>
    </w:tbl>
    <w:p w14:paraId="570CA4F2">
      <w:pPr>
        <w:numPr>
          <w:ilvl w:val="0"/>
          <w:numId w:val="0"/>
        </w:numPr>
        <w:bidi w:val="0"/>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评标办法</w:t>
      </w:r>
    </w:p>
    <w:p w14:paraId="17A80589">
      <w:pPr>
        <w:numPr>
          <w:ilvl w:val="0"/>
          <w:numId w:val="0"/>
        </w:numPr>
        <w:bidi w:val="0"/>
        <w:ind w:firstLine="480" w:firstLineChars="200"/>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本项目采用综合评分法进行评标。</w:t>
      </w:r>
    </w:p>
    <w:p w14:paraId="500E89B5">
      <w:pPr>
        <w:bidi w:val="0"/>
        <w:rPr>
          <w:rFonts w:hint="eastAsia" w:ascii="仿宋" w:hAnsi="仿宋" w:eastAsia="仿宋" w:cs="仿宋"/>
          <w:color w:val="auto"/>
          <w:highlight w:val="none"/>
        </w:rPr>
      </w:pPr>
      <w:r>
        <w:rPr>
          <w:rFonts w:hint="eastAsia" w:ascii="仿宋" w:hAnsi="仿宋" w:eastAsia="仿宋" w:cs="仿宋"/>
          <w:b w:val="0"/>
          <w:bCs w:val="0"/>
          <w:color w:val="auto"/>
          <w:highlight w:val="none"/>
        </w:rPr>
        <w:t>综合评分法，是指</w:t>
      </w:r>
      <w:r>
        <w:rPr>
          <w:rFonts w:hint="eastAsia" w:ascii="仿宋" w:hAnsi="仿宋" w:eastAsia="仿宋" w:cs="仿宋"/>
          <w:b w:val="0"/>
          <w:bCs w:val="0"/>
          <w:color w:val="auto"/>
          <w:highlight w:val="none"/>
          <w:lang w:eastAsia="zh-CN"/>
        </w:rPr>
        <w:t>响应文件</w:t>
      </w:r>
      <w:r>
        <w:rPr>
          <w:rFonts w:hint="eastAsia" w:ascii="仿宋" w:hAnsi="仿宋" w:eastAsia="仿宋" w:cs="仿宋"/>
          <w:b w:val="0"/>
          <w:bCs w:val="0"/>
          <w:color w:val="auto"/>
          <w:highlight w:val="none"/>
        </w:rPr>
        <w:t>满足</w:t>
      </w:r>
      <w:r>
        <w:rPr>
          <w:rFonts w:hint="eastAsia" w:ascii="仿宋" w:hAnsi="仿宋" w:eastAsia="仿宋" w:cs="仿宋"/>
          <w:b w:val="0"/>
          <w:bCs w:val="0"/>
          <w:color w:val="auto"/>
          <w:highlight w:val="none"/>
          <w:lang w:eastAsia="zh-CN"/>
        </w:rPr>
        <w:t>竞争性比选文件</w:t>
      </w:r>
      <w:r>
        <w:rPr>
          <w:rFonts w:hint="eastAsia" w:ascii="仿宋" w:hAnsi="仿宋" w:eastAsia="仿宋" w:cs="仿宋"/>
          <w:b w:val="0"/>
          <w:bCs w:val="0"/>
          <w:color w:val="auto"/>
          <w:highlight w:val="none"/>
        </w:rPr>
        <w:t>全部实质</w:t>
      </w:r>
      <w:r>
        <w:rPr>
          <w:rFonts w:hint="eastAsia" w:ascii="仿宋" w:hAnsi="仿宋" w:eastAsia="仿宋" w:cs="仿宋"/>
          <w:color w:val="auto"/>
          <w:highlight w:val="none"/>
        </w:rPr>
        <w:t>性要求且按照评审因素的量化指标评审得分最高的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候选人的评标方法。</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总得分为价格、商务、</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highlight w:val="none"/>
        </w:rPr>
        <w:t>等评定因素分别按照相应权重值计算分项得分后相加，满分为100分。</w:t>
      </w:r>
    </w:p>
    <w:p w14:paraId="3BC541B9">
      <w:pPr>
        <w:bidi w:val="0"/>
        <w:rPr>
          <w:rFonts w:hint="eastAsia" w:ascii="仿宋" w:hAnsi="仿宋" w:eastAsia="仿宋" w:cs="仿宋"/>
          <w:color w:val="auto"/>
          <w:highlight w:val="none"/>
        </w:rPr>
      </w:pPr>
      <w:r>
        <w:rPr>
          <w:rFonts w:hint="eastAsia" w:ascii="仿宋" w:hAnsi="仿宋" w:eastAsia="仿宋" w:cs="仿宋"/>
          <w:color w:val="auto"/>
          <w:highlight w:val="none"/>
        </w:rPr>
        <w:t>澄清有关问题。对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中含义不明确、同类问题表述不一致或者有明显文字和计算错误的内容，</w:t>
      </w:r>
      <w:r>
        <w:rPr>
          <w:rFonts w:hint="eastAsia" w:ascii="仿宋" w:hAnsi="仿宋" w:eastAsia="仿宋" w:cs="仿宋"/>
          <w:color w:val="auto"/>
          <w:highlight w:val="none"/>
          <w:lang w:eastAsia="zh-CN"/>
        </w:rPr>
        <w:t>评审委员会</w:t>
      </w:r>
      <w:r>
        <w:rPr>
          <w:rFonts w:hint="eastAsia" w:ascii="仿宋" w:hAnsi="仿宋" w:eastAsia="仿宋" w:cs="仿宋"/>
          <w:color w:val="auto"/>
          <w:highlight w:val="none"/>
        </w:rPr>
        <w:t>可以书面形式（应当由</w:t>
      </w:r>
      <w:r>
        <w:rPr>
          <w:rFonts w:hint="eastAsia" w:ascii="仿宋" w:hAnsi="仿宋" w:eastAsia="仿宋" w:cs="仿宋"/>
          <w:color w:val="auto"/>
          <w:highlight w:val="none"/>
          <w:lang w:eastAsia="zh-CN"/>
        </w:rPr>
        <w:t>评审委员会</w:t>
      </w:r>
      <w:r>
        <w:rPr>
          <w:rFonts w:hint="eastAsia" w:ascii="仿宋" w:hAnsi="仿宋" w:eastAsia="仿宋" w:cs="仿宋"/>
          <w:color w:val="auto"/>
          <w:highlight w:val="none"/>
        </w:rPr>
        <w:t>成员签字）要求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作出必要澄清、说明或者纠正。</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的澄清、说明或者补正应当采用书面形式，由其法定代表人（或其授权代表）或自然人（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为自然人）签字，其澄清的内容不得超出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的范围或者改变</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的实质性内容。</w:t>
      </w:r>
    </w:p>
    <w:p w14:paraId="5B326046">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评审委员会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响应报价由低到高的顺序排列推荐。评审得分且响应报价相同的，按照服务指标优劣顺序排列推荐。以上都相同的，按商务条款的优劣顺序排列推荐。</w:t>
      </w:r>
      <w:r>
        <w:rPr>
          <w:rFonts w:hint="eastAsia" w:ascii="仿宋" w:hAnsi="仿宋" w:eastAsia="仿宋" w:cs="仿宋"/>
          <w:color w:val="auto"/>
          <w:kern w:val="0"/>
          <w:sz w:val="24"/>
          <w:szCs w:val="24"/>
          <w:highlight w:val="none"/>
        </w:rPr>
        <w:t>以上所有都相同的，由采购人委托</w:t>
      </w:r>
      <w:r>
        <w:rPr>
          <w:rFonts w:hint="eastAsia" w:ascii="仿宋" w:hAnsi="仿宋" w:eastAsia="仿宋" w:cs="仿宋"/>
          <w:color w:val="auto"/>
          <w:kern w:val="0"/>
          <w:sz w:val="24"/>
          <w:szCs w:val="24"/>
          <w:highlight w:val="none"/>
          <w:lang w:eastAsia="zh-CN"/>
        </w:rPr>
        <w:t>评审委员会</w:t>
      </w:r>
      <w:r>
        <w:rPr>
          <w:rFonts w:hint="eastAsia" w:ascii="仿宋" w:hAnsi="仿宋" w:eastAsia="仿宋" w:cs="仿宋"/>
          <w:color w:val="auto"/>
          <w:kern w:val="0"/>
          <w:sz w:val="24"/>
          <w:szCs w:val="24"/>
          <w:highlight w:val="none"/>
        </w:rPr>
        <w:t>采取随机抽取方式确定。</w:t>
      </w:r>
      <w:r>
        <w:rPr>
          <w:rFonts w:hint="eastAsia" w:ascii="仿宋" w:hAnsi="仿宋" w:eastAsia="仿宋" w:cs="仿宋"/>
          <w:color w:val="auto"/>
          <w:highlight w:val="none"/>
          <w:lang w:eastAsia="zh-CN"/>
        </w:rPr>
        <w:t>（注：服务部分得分为0分的供应商将失去成为成交供应商候选人的资格）</w:t>
      </w:r>
    </w:p>
    <w:p w14:paraId="10CB8293">
      <w:pPr>
        <w:pStyle w:val="3"/>
        <w:bidi w:val="0"/>
        <w:rPr>
          <w:rFonts w:hint="eastAsia"/>
          <w:color w:val="auto"/>
          <w:highlight w:val="none"/>
        </w:rPr>
      </w:pPr>
      <w:bookmarkStart w:id="118" w:name="_Toc20953"/>
      <w:bookmarkStart w:id="119" w:name="_Toc4188"/>
      <w:bookmarkStart w:id="120" w:name="_Hlk27399823"/>
      <w:r>
        <w:rPr>
          <w:rFonts w:hint="eastAsia"/>
          <w:color w:val="auto"/>
          <w:highlight w:val="none"/>
          <w:lang w:val="en-US" w:eastAsia="zh-CN"/>
        </w:rPr>
        <w:t>二、</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bookmarkEnd w:id="118"/>
      <w:bookmarkEnd w:id="119"/>
    </w:p>
    <w:bookmarkEnd w:id="120"/>
    <w:tbl>
      <w:tblPr>
        <w:tblStyle w:val="22"/>
        <w:tblW w:w="9354" w:type="dxa"/>
        <w:jc w:val="center"/>
        <w:tblLayout w:type="fixed"/>
        <w:tblCellMar>
          <w:top w:w="15" w:type="dxa"/>
          <w:left w:w="15" w:type="dxa"/>
          <w:bottom w:w="15" w:type="dxa"/>
          <w:right w:w="15" w:type="dxa"/>
        </w:tblCellMar>
      </w:tblPr>
      <w:tblGrid>
        <w:gridCol w:w="552"/>
        <w:gridCol w:w="979"/>
        <w:gridCol w:w="598"/>
        <w:gridCol w:w="4659"/>
        <w:gridCol w:w="2566"/>
      </w:tblGrid>
      <w:tr w14:paraId="6F5B9778">
        <w:tblPrEx>
          <w:tblCellMar>
            <w:top w:w="15" w:type="dxa"/>
            <w:left w:w="15" w:type="dxa"/>
            <w:bottom w:w="15" w:type="dxa"/>
            <w:right w:w="15" w:type="dxa"/>
          </w:tblCellMar>
        </w:tblPrEx>
        <w:trPr>
          <w:trHeight w:val="352" w:hRule="atLeast"/>
          <w:tblHeader/>
          <w:jc w:val="center"/>
        </w:trPr>
        <w:tc>
          <w:tcPr>
            <w:tcW w:w="581"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467199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bookmarkStart w:id="121" w:name="_Toc21921"/>
            <w:bookmarkStart w:id="122" w:name="_Toc106030892"/>
            <w:bookmarkStart w:id="123" w:name="_Toc102227313"/>
            <w:bookmarkStart w:id="124" w:name="_Toc76462337"/>
            <w:r>
              <w:rPr>
                <w:rFonts w:hint="eastAsia" w:ascii="仿宋" w:eastAsia="仿宋"/>
                <w:b/>
                <w:bCs w:val="0"/>
                <w:color w:val="auto"/>
                <w:sz w:val="21"/>
                <w:szCs w:val="21"/>
                <w:highlight w:val="none"/>
                <w:lang w:val="en-US" w:eastAsia="zh-CN"/>
              </w:rPr>
              <w:t>序号</w:t>
            </w:r>
          </w:p>
        </w:tc>
        <w:tc>
          <w:tcPr>
            <w:tcW w:w="1032"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BB113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评分因素</w:t>
            </w:r>
          </w:p>
        </w:tc>
        <w:tc>
          <w:tcPr>
            <w:tcW w:w="62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04502C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分值</w:t>
            </w:r>
          </w:p>
        </w:tc>
        <w:tc>
          <w:tcPr>
            <w:tcW w:w="4918"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460312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评分标准</w:t>
            </w:r>
          </w:p>
        </w:tc>
        <w:tc>
          <w:tcPr>
            <w:tcW w:w="2708"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19863D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bCs w:val="0"/>
                <w:color w:val="auto"/>
                <w:sz w:val="21"/>
                <w:szCs w:val="21"/>
                <w:highlight w:val="none"/>
                <w:lang w:val="en-US" w:eastAsia="zh-CN"/>
              </w:rPr>
            </w:pPr>
            <w:r>
              <w:rPr>
                <w:rFonts w:hint="eastAsia" w:ascii="仿宋" w:eastAsia="仿宋"/>
                <w:b/>
                <w:bCs w:val="0"/>
                <w:color w:val="auto"/>
                <w:sz w:val="21"/>
                <w:szCs w:val="21"/>
                <w:highlight w:val="none"/>
                <w:lang w:val="en-US" w:eastAsia="zh-CN"/>
              </w:rPr>
              <w:t>说明</w:t>
            </w:r>
          </w:p>
        </w:tc>
      </w:tr>
      <w:tr w14:paraId="249B537F">
        <w:tblPrEx>
          <w:tblCellMar>
            <w:top w:w="15" w:type="dxa"/>
            <w:left w:w="15" w:type="dxa"/>
            <w:bottom w:w="15" w:type="dxa"/>
            <w:right w:w="15" w:type="dxa"/>
          </w:tblCellMar>
        </w:tblPrEx>
        <w:trPr>
          <w:trHeight w:val="90" w:hRule="atLeast"/>
          <w:jc w:val="center"/>
        </w:trPr>
        <w:tc>
          <w:tcPr>
            <w:tcW w:w="58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424F1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CE4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b w:val="0"/>
                <w:color w:val="auto"/>
                <w:sz w:val="21"/>
                <w:szCs w:val="21"/>
                <w:highlight w:val="none"/>
                <w:lang w:val="en-US" w:eastAsia="zh-CN"/>
              </w:rPr>
              <w:t>响应报价</w:t>
            </w:r>
          </w:p>
          <w:p w14:paraId="6A996F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D70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30分</w:t>
            </w:r>
          </w:p>
        </w:tc>
        <w:tc>
          <w:tcPr>
            <w:tcW w:w="4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7ACD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有效的</w:t>
            </w:r>
            <w:r>
              <w:rPr>
                <w:rFonts w:hint="eastAsia"/>
                <w:b w:val="0"/>
                <w:color w:val="auto"/>
                <w:sz w:val="21"/>
                <w:szCs w:val="21"/>
                <w:highlight w:val="none"/>
                <w:lang w:val="en-US" w:eastAsia="zh-CN"/>
              </w:rPr>
              <w:t>响应报价</w:t>
            </w:r>
            <w:r>
              <w:rPr>
                <w:rFonts w:hint="eastAsia" w:ascii="仿宋" w:eastAsia="仿宋"/>
                <w:b w:val="0"/>
                <w:color w:val="auto"/>
                <w:sz w:val="21"/>
                <w:szCs w:val="21"/>
                <w:highlight w:val="none"/>
                <w:lang w:val="en-US" w:eastAsia="zh-CN"/>
              </w:rPr>
              <w:t>中的最低价为评标基准价，其价格分为满分。其他</w:t>
            </w: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的价格分统一按照下列公式计算：</w:t>
            </w:r>
          </w:p>
          <w:p w14:paraId="18E1062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b w:val="0"/>
                <w:color w:val="auto"/>
                <w:sz w:val="21"/>
                <w:szCs w:val="21"/>
                <w:highlight w:val="none"/>
                <w:lang w:val="en-US" w:eastAsia="zh-CN"/>
              </w:rPr>
              <w:t>响应报价</w:t>
            </w:r>
            <w:r>
              <w:rPr>
                <w:rFonts w:hint="eastAsia" w:ascii="仿宋" w:eastAsia="仿宋"/>
                <w:b w:val="0"/>
                <w:color w:val="auto"/>
                <w:sz w:val="21"/>
                <w:szCs w:val="21"/>
                <w:highlight w:val="none"/>
                <w:lang w:val="en-US" w:eastAsia="zh-CN"/>
              </w:rPr>
              <w:t>得分＝（评标基准价/</w:t>
            </w:r>
            <w:r>
              <w:rPr>
                <w:rFonts w:hint="eastAsia"/>
                <w:b w:val="0"/>
                <w:color w:val="auto"/>
                <w:sz w:val="21"/>
                <w:szCs w:val="21"/>
                <w:highlight w:val="none"/>
                <w:lang w:val="en-US" w:eastAsia="zh-CN"/>
              </w:rPr>
              <w:t>响应报价</w:t>
            </w:r>
            <w:r>
              <w:rPr>
                <w:rFonts w:hint="eastAsia" w:ascii="仿宋" w:eastAsia="仿宋"/>
                <w:b w:val="0"/>
                <w:color w:val="auto"/>
                <w:sz w:val="21"/>
                <w:szCs w:val="21"/>
                <w:highlight w:val="none"/>
                <w:lang w:val="en-US" w:eastAsia="zh-CN"/>
              </w:rPr>
              <w:t>）×价格权重×100。</w:t>
            </w:r>
          </w:p>
        </w:tc>
        <w:tc>
          <w:tcPr>
            <w:tcW w:w="2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614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高于预算价为无效报价</w:t>
            </w:r>
          </w:p>
        </w:tc>
      </w:tr>
      <w:tr w14:paraId="27C79BAC">
        <w:tblPrEx>
          <w:tblCellMar>
            <w:top w:w="15" w:type="dxa"/>
            <w:left w:w="15" w:type="dxa"/>
            <w:bottom w:w="15" w:type="dxa"/>
            <w:right w:w="15" w:type="dxa"/>
          </w:tblCellMar>
        </w:tblPrEx>
        <w:trPr>
          <w:trHeight w:val="90" w:hRule="atLeast"/>
          <w:jc w:val="center"/>
        </w:trPr>
        <w:tc>
          <w:tcPr>
            <w:tcW w:w="581"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3BFB2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w:t>
            </w:r>
          </w:p>
          <w:p w14:paraId="779071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50E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服务部分60%</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04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4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2064B">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1、配送服务方案（15分）</w:t>
            </w:r>
          </w:p>
          <w:p w14:paraId="014A040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供应商针对本项目编制配送服务方案：</w:t>
            </w:r>
          </w:p>
          <w:p w14:paraId="42D161C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（1）方案内容科学合理，有针对性，完全满足采购人实际需求，效率高且表述清晰有逻辑性的，得15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3B0F1CB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（2）方案内容科学合理，有针对性，较为满足采购人实际需求，效率较高且表述清晰但逻辑性稍有不足的，得10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3707715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（3）方案内容科学合理，有针对性，基本满足采购人实际需求，效率一般，表述清晰度、逻辑性有不足的，得5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7259CD7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（4）方案内容不具备针对性，不能满足采购人实际需求，表述清晰度以及逻辑性较差的，得1分；</w:t>
            </w:r>
          </w:p>
          <w:p w14:paraId="6221F19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767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供应商提供服务方案（格式自拟），加盖供应商公章。评审委员会根据供应商的服务方案进行独立评审打分。供应商的得分取所有评审委员会成员打分的算术平均值。</w:t>
            </w:r>
          </w:p>
        </w:tc>
      </w:tr>
      <w:tr w14:paraId="4A1456EE">
        <w:tblPrEx>
          <w:tblCellMar>
            <w:top w:w="15" w:type="dxa"/>
            <w:left w:w="15" w:type="dxa"/>
            <w:bottom w:w="15" w:type="dxa"/>
            <w:right w:w="15" w:type="dxa"/>
          </w:tblCellMar>
        </w:tblPrEx>
        <w:trPr>
          <w:trHeight w:val="4111" w:hRule="atLeast"/>
          <w:jc w:val="center"/>
        </w:trPr>
        <w:tc>
          <w:tcPr>
            <w:tcW w:w="5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B1788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DF2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AD4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4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BAA6E">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2、配送运输储存保障方案（15分）</w:t>
            </w:r>
          </w:p>
          <w:p w14:paraId="1CE6192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供应商针对本项目配送服务运输储存保障方案：</w:t>
            </w:r>
          </w:p>
          <w:p w14:paraId="1ACACFE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（1）方案内容科学合理，有针对性，完全满足采购人实际需求，效率高且表述清晰有逻辑性的，得15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08D179B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（2）方案内容科学合理，有针对性，较为满足采购人实际需求，效率较高且表述清晰但逻辑性稍有不足的，得10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0924F20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（3）方案内容科学合理，有针对性，基本满足采购人实际需求，效率一般，表述清晰度、逻辑性有不足的，得5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3BF372D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（4）方案内容不具备针对性，不能满足采购人实际需求，表述清晰度以及逻辑性较差的，得1分；</w:t>
            </w:r>
          </w:p>
          <w:p w14:paraId="0060F07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EF6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r>
      <w:tr w14:paraId="72BEB649">
        <w:tblPrEx>
          <w:tblCellMar>
            <w:top w:w="15" w:type="dxa"/>
            <w:left w:w="15" w:type="dxa"/>
            <w:bottom w:w="15" w:type="dxa"/>
            <w:right w:w="15" w:type="dxa"/>
          </w:tblCellMar>
        </w:tblPrEx>
        <w:trPr>
          <w:trHeight w:val="434" w:hRule="atLeast"/>
          <w:jc w:val="center"/>
        </w:trPr>
        <w:tc>
          <w:tcPr>
            <w:tcW w:w="5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E6A82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66E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C95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4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E4474">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3、应急处理方案（15分）</w:t>
            </w:r>
          </w:p>
          <w:p w14:paraId="1E94A8B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供应商针对本项目编制应急处理方案：</w:t>
            </w:r>
          </w:p>
          <w:p w14:paraId="1E4D16D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（1）方案内容科学合理，有针对性，完全满足采购人实际需求，效率高且表述清晰有逻辑性的，得15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4940462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（2）方案内容科学合理，有针对性，较为满足采购人实际需求，效率较高且表述清晰但逻辑性稍有不足的，得10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66AFB8D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（3）方案内容科学合理，有针对性，基本满足采购人实际需求，效率一般，表述清晰度、逻辑性有不足的，得5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7E05F5B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（4）方案内容不具备针对性，不能满足采购人实际需求，表述清晰度以及逻辑性较差的，得1分；</w:t>
            </w:r>
          </w:p>
          <w:p w14:paraId="6BAFD7D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05E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r>
      <w:tr w14:paraId="1B3D9E74">
        <w:tblPrEx>
          <w:tblCellMar>
            <w:top w:w="15" w:type="dxa"/>
            <w:left w:w="15" w:type="dxa"/>
            <w:bottom w:w="15" w:type="dxa"/>
            <w:right w:w="15" w:type="dxa"/>
          </w:tblCellMar>
        </w:tblPrEx>
        <w:trPr>
          <w:trHeight w:val="1160" w:hRule="atLeast"/>
          <w:jc w:val="center"/>
        </w:trPr>
        <w:tc>
          <w:tcPr>
            <w:tcW w:w="5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62458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453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482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15分</w:t>
            </w:r>
          </w:p>
        </w:tc>
        <w:tc>
          <w:tcPr>
            <w:tcW w:w="4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4D98B">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b/>
                <w:bCs/>
                <w:color w:val="auto"/>
                <w:sz w:val="21"/>
                <w:szCs w:val="21"/>
                <w:highlight w:val="none"/>
                <w:lang w:val="en-US" w:eastAsia="zh-CN"/>
              </w:rPr>
            </w:pPr>
            <w:r>
              <w:rPr>
                <w:rFonts w:hint="eastAsia" w:ascii="仿宋" w:eastAsia="仿宋"/>
                <w:b/>
                <w:bCs/>
                <w:color w:val="auto"/>
                <w:sz w:val="21"/>
                <w:szCs w:val="21"/>
                <w:highlight w:val="none"/>
                <w:lang w:val="en-US" w:eastAsia="zh-CN"/>
              </w:rPr>
              <w:t>4、食品质量安全保证措施方案（15分）</w:t>
            </w:r>
          </w:p>
          <w:p w14:paraId="002F9A1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供应商针对本项目编制食品质量安全保证措施方案：</w:t>
            </w:r>
          </w:p>
          <w:p w14:paraId="0D0732D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（1）方案内容科学合理，有针对性，完全满足采购人实际需求，效率高且表述清晰有逻辑性的，得15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11分；</w:t>
            </w:r>
          </w:p>
          <w:p w14:paraId="372BA87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（2）方案内容科学合理，有针对性，较为满足采购人实际需求，效率较高且表述清晰但逻辑性稍有不足的，得10</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6分；</w:t>
            </w:r>
          </w:p>
          <w:p w14:paraId="20EF480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（3）方案内容科学合理，有针对性，基本满足采购人实际需求，效率一般，表述清晰度、逻辑性有不足的，得5</w:t>
            </w:r>
            <w:r>
              <w:rPr>
                <w:rFonts w:hint="eastAsia"/>
                <w:b w:val="0"/>
                <w:color w:val="auto"/>
                <w:sz w:val="21"/>
                <w:szCs w:val="21"/>
                <w:highlight w:val="none"/>
                <w:lang w:val="en-US" w:eastAsia="zh-CN"/>
              </w:rPr>
              <w:t>～</w:t>
            </w:r>
            <w:r>
              <w:rPr>
                <w:rFonts w:hint="eastAsia" w:ascii="仿宋" w:eastAsia="仿宋"/>
                <w:b w:val="0"/>
                <w:color w:val="auto"/>
                <w:sz w:val="21"/>
                <w:szCs w:val="21"/>
                <w:highlight w:val="none"/>
                <w:lang w:val="en-US" w:eastAsia="zh-CN"/>
              </w:rPr>
              <w:t>2分；</w:t>
            </w:r>
          </w:p>
          <w:p w14:paraId="229D2C6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（4）方案内容不具备针对性，不能满足采购人实际需求，表述清晰度以及逻辑性较差的，得1分；</w:t>
            </w:r>
          </w:p>
          <w:p w14:paraId="6087388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（5）未提供者不得分。</w:t>
            </w:r>
          </w:p>
        </w:tc>
        <w:tc>
          <w:tcPr>
            <w:tcW w:w="2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E65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p>
        </w:tc>
      </w:tr>
      <w:tr w14:paraId="5E13ED4A">
        <w:tblPrEx>
          <w:tblCellMar>
            <w:top w:w="15" w:type="dxa"/>
            <w:left w:w="15" w:type="dxa"/>
            <w:bottom w:w="15" w:type="dxa"/>
            <w:right w:w="15" w:type="dxa"/>
          </w:tblCellMar>
        </w:tblPrEx>
        <w:trPr>
          <w:trHeight w:val="1201" w:hRule="atLeast"/>
          <w:jc w:val="center"/>
        </w:trPr>
        <w:tc>
          <w:tcPr>
            <w:tcW w:w="58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B0465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E38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商务部分10%</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3B5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10分</w:t>
            </w:r>
          </w:p>
        </w:tc>
        <w:tc>
          <w:tcPr>
            <w:tcW w:w="4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570F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业绩（10分）</w:t>
            </w:r>
          </w:p>
          <w:p w14:paraId="1ABA44C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b w:val="0"/>
                <w:color w:val="auto"/>
                <w:sz w:val="21"/>
                <w:szCs w:val="21"/>
                <w:highlight w:val="none"/>
                <w:lang w:val="en-US" w:eastAsia="zh-CN"/>
              </w:rPr>
            </w:pPr>
            <w:r>
              <w:rPr>
                <w:rFonts w:hint="eastAsia" w:ascii="仿宋" w:eastAsia="仿宋"/>
                <w:b w:val="0"/>
                <w:color w:val="auto"/>
                <w:sz w:val="21"/>
                <w:szCs w:val="21"/>
                <w:highlight w:val="none"/>
                <w:lang w:val="en-US" w:eastAsia="zh-CN"/>
              </w:rPr>
              <w:t>2022年起至今有与政府机关单位或学校或医院或部队等企事业单位有食堂食材配送业绩的每提供一个</w:t>
            </w:r>
            <w:r>
              <w:rPr>
                <w:rFonts w:hint="eastAsia"/>
                <w:b w:val="0"/>
                <w:color w:val="auto"/>
                <w:sz w:val="21"/>
                <w:szCs w:val="21"/>
                <w:highlight w:val="none"/>
                <w:lang w:val="en-US" w:eastAsia="zh-CN"/>
              </w:rPr>
              <w:t>业绩证明</w:t>
            </w:r>
            <w:r>
              <w:rPr>
                <w:rFonts w:hint="eastAsia" w:ascii="仿宋" w:eastAsia="仿宋"/>
                <w:b w:val="0"/>
                <w:color w:val="auto"/>
                <w:sz w:val="21"/>
                <w:szCs w:val="21"/>
                <w:highlight w:val="none"/>
                <w:lang w:val="en-US" w:eastAsia="zh-CN"/>
              </w:rPr>
              <w:t>得5分，最多可得10分。</w:t>
            </w:r>
          </w:p>
        </w:tc>
        <w:tc>
          <w:tcPr>
            <w:tcW w:w="2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2E0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b w:val="0"/>
                <w:color w:val="auto"/>
                <w:sz w:val="21"/>
                <w:szCs w:val="21"/>
                <w:highlight w:val="none"/>
                <w:lang w:val="en-US" w:eastAsia="zh-CN"/>
              </w:rPr>
            </w:pPr>
            <w:r>
              <w:rPr>
                <w:rFonts w:hint="eastAsia" w:ascii="仿宋" w:eastAsia="仿宋"/>
                <w:b w:val="0"/>
                <w:color w:val="auto"/>
                <w:sz w:val="21"/>
                <w:szCs w:val="21"/>
                <w:highlight w:val="none"/>
                <w:lang w:val="en-US" w:eastAsia="zh-CN"/>
              </w:rPr>
              <w:t>提供有效的合同复印件或者发票复印件</w:t>
            </w:r>
            <w:r>
              <w:rPr>
                <w:rFonts w:hint="eastAsia"/>
                <w:b w:val="0"/>
                <w:color w:val="auto"/>
                <w:sz w:val="21"/>
                <w:szCs w:val="21"/>
                <w:highlight w:val="none"/>
                <w:lang w:val="en-US" w:eastAsia="zh-CN"/>
              </w:rPr>
              <w:t>并加盖供应商公章</w:t>
            </w:r>
          </w:p>
        </w:tc>
      </w:tr>
      <w:tr w14:paraId="1541273A">
        <w:tblPrEx>
          <w:tblCellMar>
            <w:top w:w="15" w:type="dxa"/>
            <w:left w:w="15" w:type="dxa"/>
            <w:bottom w:w="15" w:type="dxa"/>
            <w:right w:w="15" w:type="dxa"/>
          </w:tblCellMar>
        </w:tblPrEx>
        <w:trPr>
          <w:trHeight w:val="332" w:hRule="atLeast"/>
          <w:jc w:val="center"/>
        </w:trPr>
        <w:tc>
          <w:tcPr>
            <w:tcW w:w="9868" w:type="dxa"/>
            <w:gridSpan w:val="5"/>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3DD71F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b w:val="0"/>
                <w:color w:val="auto"/>
                <w:sz w:val="21"/>
                <w:szCs w:val="21"/>
                <w:highlight w:val="none"/>
                <w:lang w:val="en-US" w:eastAsia="zh-CN"/>
              </w:rPr>
            </w:pPr>
            <w:r>
              <w:rPr>
                <w:rFonts w:hint="eastAsia"/>
                <w:b w:val="0"/>
                <w:color w:val="auto"/>
                <w:sz w:val="21"/>
                <w:szCs w:val="21"/>
                <w:highlight w:val="none"/>
                <w:lang w:val="en-US" w:eastAsia="zh-CN"/>
              </w:rPr>
              <w:t>供应商</w:t>
            </w:r>
            <w:r>
              <w:rPr>
                <w:rFonts w:hint="eastAsia" w:ascii="仿宋" w:eastAsia="仿宋"/>
                <w:b w:val="0"/>
                <w:color w:val="auto"/>
                <w:sz w:val="21"/>
                <w:szCs w:val="21"/>
                <w:highlight w:val="none"/>
                <w:lang w:val="en-US" w:eastAsia="zh-CN"/>
              </w:rPr>
              <w:t>得分=</w:t>
            </w:r>
            <w:r>
              <w:rPr>
                <w:rFonts w:hint="eastAsia"/>
                <w:b w:val="0"/>
                <w:color w:val="auto"/>
                <w:sz w:val="21"/>
                <w:szCs w:val="21"/>
                <w:highlight w:val="none"/>
                <w:lang w:val="en-US" w:eastAsia="zh-CN"/>
              </w:rPr>
              <w:t>响应报价</w:t>
            </w:r>
            <w:r>
              <w:rPr>
                <w:rFonts w:hint="eastAsia" w:ascii="仿宋" w:eastAsia="仿宋"/>
                <w:b w:val="0"/>
                <w:color w:val="auto"/>
                <w:sz w:val="21"/>
                <w:szCs w:val="21"/>
                <w:highlight w:val="none"/>
                <w:lang w:val="en-US" w:eastAsia="zh-CN"/>
              </w:rPr>
              <w:t>得分+服务部分得分+商务部分得分</w:t>
            </w:r>
          </w:p>
        </w:tc>
      </w:tr>
    </w:tbl>
    <w:p w14:paraId="4FA87612">
      <w:pPr>
        <w:pStyle w:val="3"/>
        <w:bidi w:val="0"/>
        <w:rPr>
          <w:rFonts w:hint="eastAsia" w:ascii="仿宋" w:hAnsi="仿宋" w:eastAsia="仿宋" w:cs="仿宋"/>
          <w:color w:val="auto"/>
          <w:highlight w:val="none"/>
          <w:lang w:val="en-US" w:eastAsia="zh-CN"/>
        </w:rPr>
      </w:pPr>
      <w:bookmarkStart w:id="125" w:name="_Toc5579"/>
      <w:r>
        <w:rPr>
          <w:rFonts w:hint="eastAsia" w:ascii="仿宋" w:hAnsi="仿宋" w:eastAsia="仿宋" w:cs="仿宋"/>
          <w:color w:val="auto"/>
          <w:highlight w:val="none"/>
        </w:rPr>
        <w:t>三、无效</w:t>
      </w:r>
      <w:r>
        <w:rPr>
          <w:rFonts w:hint="eastAsia" w:ascii="仿宋" w:hAnsi="仿宋" w:eastAsia="仿宋" w:cs="仿宋"/>
          <w:color w:val="auto"/>
          <w:highlight w:val="none"/>
          <w:lang w:val="en-US" w:eastAsia="zh-CN"/>
        </w:rPr>
        <w:t>响应</w:t>
      </w:r>
      <w:bookmarkEnd w:id="121"/>
      <w:bookmarkEnd w:id="125"/>
    </w:p>
    <w:p w14:paraId="54205E2E">
      <w:pPr>
        <w:bidi w:val="0"/>
        <w:rPr>
          <w:rFonts w:hint="eastAsia" w:ascii="仿宋" w:hAnsi="仿宋" w:eastAsia="仿宋" w:cs="仿宋"/>
          <w:color w:val="auto"/>
          <w:highlight w:val="none"/>
        </w:rPr>
      </w:pPr>
      <w:r>
        <w:rPr>
          <w:rFonts w:hint="eastAsia" w:ascii="仿宋" w:hAnsi="仿宋" w:eastAsia="仿宋" w:cs="仿宋"/>
          <w:color w:val="auto"/>
          <w:highlight w:val="none"/>
        </w:rPr>
        <w:t>供应商发生以下条款情况之一者，视为无效</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其响应文件将被拒绝：</w:t>
      </w:r>
    </w:p>
    <w:p w14:paraId="421AA727">
      <w:pPr>
        <w:bidi w:val="0"/>
        <w:rPr>
          <w:rFonts w:hint="eastAsia" w:ascii="仿宋" w:hAnsi="仿宋" w:eastAsia="仿宋" w:cs="仿宋"/>
          <w:color w:val="auto"/>
          <w:highlight w:val="none"/>
        </w:rPr>
      </w:pPr>
      <w:r>
        <w:rPr>
          <w:rFonts w:hint="eastAsia" w:ascii="仿宋" w:hAnsi="仿宋" w:eastAsia="仿宋" w:cs="仿宋"/>
          <w:color w:val="auto"/>
          <w:highlight w:val="none"/>
        </w:rPr>
        <w:t>（一）未按照</w:t>
      </w:r>
      <w:r>
        <w:rPr>
          <w:rFonts w:hint="eastAsia" w:ascii="仿宋" w:hAnsi="仿宋" w:eastAsia="仿宋" w:cs="仿宋"/>
          <w:color w:val="auto"/>
          <w:highlight w:val="none"/>
          <w:lang w:eastAsia="zh-CN"/>
        </w:rPr>
        <w:t>采购竞争性比选文件</w:t>
      </w:r>
      <w:r>
        <w:rPr>
          <w:rFonts w:hint="eastAsia" w:ascii="仿宋" w:hAnsi="仿宋" w:eastAsia="仿宋" w:cs="仿宋"/>
          <w:color w:val="auto"/>
          <w:highlight w:val="none"/>
        </w:rPr>
        <w:t>的规定</w:t>
      </w:r>
      <w:r>
        <w:rPr>
          <w:rFonts w:hint="eastAsia" w:ascii="仿宋" w:hAnsi="仿宋" w:eastAsia="仿宋" w:cs="仿宋"/>
          <w:color w:val="auto"/>
          <w:highlight w:val="none"/>
          <w:lang w:eastAsia="zh-CN"/>
        </w:rPr>
        <w:t>缴纳比选保证金（</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w:t>
      </w:r>
    </w:p>
    <w:p w14:paraId="51F1881D">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（二）供应商</w:t>
      </w:r>
      <w:r>
        <w:rPr>
          <w:rFonts w:hint="eastAsia" w:ascii="仿宋" w:hAnsi="仿宋" w:eastAsia="仿宋" w:cs="仿宋"/>
          <w:color w:val="auto"/>
          <w:highlight w:val="none"/>
          <w:lang w:eastAsia="zh-CN"/>
        </w:rPr>
        <w:t>未通过资格性审查</w:t>
      </w:r>
      <w:r>
        <w:rPr>
          <w:rFonts w:hint="eastAsia" w:cs="仿宋"/>
          <w:color w:val="auto"/>
          <w:highlight w:val="none"/>
          <w:lang w:val="en-US" w:eastAsia="zh-CN"/>
        </w:rPr>
        <w:t>或</w:t>
      </w:r>
      <w:r>
        <w:rPr>
          <w:rFonts w:hint="eastAsia" w:ascii="仿宋" w:hAnsi="仿宋" w:eastAsia="仿宋" w:cs="仿宋"/>
          <w:color w:val="auto"/>
          <w:highlight w:val="none"/>
          <w:lang w:eastAsia="zh-CN"/>
        </w:rPr>
        <w:t>符合性审查</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w:t>
      </w:r>
    </w:p>
    <w:p w14:paraId="228C911C">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（三）供应商所提交的响应文件</w:t>
      </w:r>
      <w:r>
        <w:rPr>
          <w:rFonts w:hint="eastAsia" w:ascii="仿宋" w:hAnsi="仿宋" w:eastAsia="仿宋" w:cs="仿宋"/>
          <w:color w:val="auto"/>
          <w:highlight w:val="none"/>
          <w:lang w:eastAsia="zh-CN"/>
        </w:rPr>
        <w:t>未按</w:t>
      </w:r>
      <w:r>
        <w:rPr>
          <w:rFonts w:hint="eastAsia" w:ascii="仿宋" w:hAnsi="仿宋" w:eastAsia="仿宋" w:cs="仿宋"/>
          <w:color w:val="auto"/>
          <w:highlight w:val="none"/>
        </w:rPr>
        <w:t>“第七篇</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响应文件编制要求”要求签署或盖章</w:t>
      </w:r>
      <w:r>
        <w:rPr>
          <w:rFonts w:hint="eastAsia" w:ascii="仿宋" w:hAnsi="仿宋" w:eastAsia="仿宋" w:cs="仿宋"/>
          <w:color w:val="auto"/>
          <w:highlight w:val="none"/>
          <w:lang w:eastAsia="zh-CN"/>
        </w:rPr>
        <w:t>；</w:t>
      </w:r>
    </w:p>
    <w:p w14:paraId="5664E17B">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（四）供应商的</w:t>
      </w:r>
      <w:r>
        <w:rPr>
          <w:rFonts w:hint="eastAsia" w:ascii="仿宋" w:hAnsi="仿宋" w:eastAsia="仿宋" w:cs="仿宋"/>
          <w:color w:val="auto"/>
          <w:highlight w:val="none"/>
          <w:lang w:eastAsia="zh-CN"/>
        </w:rPr>
        <w:t>响应报价</w:t>
      </w:r>
      <w:r>
        <w:rPr>
          <w:rFonts w:hint="eastAsia" w:ascii="仿宋" w:hAnsi="仿宋" w:eastAsia="仿宋" w:cs="仿宋"/>
          <w:color w:val="auto"/>
          <w:highlight w:val="none"/>
        </w:rPr>
        <w:t>超过</w:t>
      </w:r>
      <w:r>
        <w:rPr>
          <w:rFonts w:hint="eastAsia" w:ascii="仿宋" w:hAnsi="仿宋" w:eastAsia="仿宋" w:cs="仿宋"/>
          <w:color w:val="auto"/>
          <w:highlight w:val="none"/>
          <w:lang w:eastAsia="zh-CN"/>
        </w:rPr>
        <w:t>采购最高限价的；</w:t>
      </w:r>
    </w:p>
    <w:p w14:paraId="40CA4720">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（五）法定代表人为同一个人的两个及两个以上法人，母公司、全资子公司及其控股公司，在同一包采购中同时参与</w:t>
      </w:r>
      <w:r>
        <w:rPr>
          <w:rFonts w:hint="eastAsia" w:ascii="仿宋" w:hAnsi="仿宋" w:eastAsia="仿宋" w:cs="仿宋"/>
          <w:color w:val="auto"/>
          <w:highlight w:val="none"/>
          <w:lang w:eastAsia="zh-CN"/>
        </w:rPr>
        <w:t>比选；</w:t>
      </w:r>
    </w:p>
    <w:p w14:paraId="3D0576F8">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（六）单位负责人为同一人或者存在直接控股、管理关系的不同供应商，参加同一合同项下的采购活动的</w:t>
      </w:r>
      <w:r>
        <w:rPr>
          <w:rFonts w:hint="eastAsia" w:ascii="仿宋" w:hAnsi="仿宋" w:eastAsia="仿宋" w:cs="仿宋"/>
          <w:color w:val="auto"/>
          <w:highlight w:val="none"/>
          <w:lang w:eastAsia="zh-CN"/>
        </w:rPr>
        <w:t>；</w:t>
      </w:r>
    </w:p>
    <w:p w14:paraId="5068294D">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（七）为采购项目提供整体设计、规范编制或者项目管理、检测等服务的供应商，再参加该采购项目的其他采购活动</w:t>
      </w:r>
      <w:r>
        <w:rPr>
          <w:rFonts w:hint="eastAsia" w:ascii="仿宋" w:hAnsi="仿宋" w:eastAsia="仿宋" w:cs="仿宋"/>
          <w:color w:val="auto"/>
          <w:highlight w:val="none"/>
          <w:lang w:eastAsia="zh-CN"/>
        </w:rPr>
        <w:t>；</w:t>
      </w:r>
    </w:p>
    <w:p w14:paraId="1E037D39">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（八）供应商</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有效期不满足</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要求的</w:t>
      </w:r>
      <w:r>
        <w:rPr>
          <w:rFonts w:hint="eastAsia" w:ascii="仿宋" w:hAnsi="仿宋" w:eastAsia="仿宋" w:cs="仿宋"/>
          <w:color w:val="auto"/>
          <w:highlight w:val="none"/>
          <w:lang w:eastAsia="zh-CN"/>
        </w:rPr>
        <w:t>；</w:t>
      </w:r>
    </w:p>
    <w:p w14:paraId="12452050">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（九）供应商响应文件内容有与国家现行法律法规相违背的内容，或附有采购人无法接受的条件</w:t>
      </w:r>
      <w:r>
        <w:rPr>
          <w:rFonts w:hint="eastAsia" w:ascii="仿宋" w:hAnsi="仿宋" w:eastAsia="仿宋" w:cs="仿宋"/>
          <w:color w:val="auto"/>
          <w:highlight w:val="none"/>
          <w:lang w:eastAsia="zh-CN"/>
        </w:rPr>
        <w:t>；</w:t>
      </w:r>
    </w:p>
    <w:p w14:paraId="6ABC68AA">
      <w:pPr>
        <w:bidi w:val="0"/>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eastAsia="zh-CN"/>
        </w:rPr>
        <w:t>法律法规</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采购竞争性比选文件</w:t>
      </w:r>
      <w:r>
        <w:rPr>
          <w:rFonts w:hint="eastAsia" w:ascii="仿宋" w:hAnsi="仿宋" w:eastAsia="仿宋" w:cs="仿宋"/>
          <w:color w:val="auto"/>
          <w:highlight w:val="none"/>
        </w:rPr>
        <w:t>规定的其他无效情形</w:t>
      </w:r>
      <w:r>
        <w:rPr>
          <w:rFonts w:hint="eastAsia" w:ascii="仿宋" w:hAnsi="仿宋" w:eastAsia="仿宋" w:cs="仿宋"/>
          <w:color w:val="auto"/>
          <w:highlight w:val="none"/>
          <w:lang w:eastAsia="zh-CN"/>
        </w:rPr>
        <w:t>。</w:t>
      </w:r>
    </w:p>
    <w:p w14:paraId="72CC451A">
      <w:pPr>
        <w:pStyle w:val="3"/>
        <w:bidi w:val="0"/>
        <w:rPr>
          <w:rFonts w:hint="eastAsia" w:ascii="仿宋" w:hAnsi="仿宋" w:eastAsia="仿宋" w:cs="仿宋"/>
          <w:color w:val="auto"/>
          <w:highlight w:val="none"/>
        </w:rPr>
      </w:pPr>
      <w:bookmarkStart w:id="126" w:name="_Toc18307"/>
      <w:bookmarkStart w:id="127" w:name="_Toc31009"/>
      <w:r>
        <w:rPr>
          <w:rFonts w:hint="eastAsia" w:ascii="仿宋" w:hAnsi="仿宋" w:eastAsia="仿宋" w:cs="仿宋"/>
          <w:color w:val="auto"/>
          <w:highlight w:val="none"/>
        </w:rPr>
        <w:t>四、采购终止</w:t>
      </w:r>
      <w:bookmarkEnd w:id="126"/>
      <w:bookmarkEnd w:id="127"/>
    </w:p>
    <w:p w14:paraId="066F19E9">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出现下列情形之一的，采购人或者采购代理机构应当终止采购活动，发布项目终止公告并说明原因，重新开展采购活动：</w:t>
      </w:r>
    </w:p>
    <w:p w14:paraId="68988DFF">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（一）因情况变化，不再符合规定的采购方式适用情形的；</w:t>
      </w:r>
    </w:p>
    <w:p w14:paraId="72933D64">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（二）出现影响采购公正的违法、违规行为的；</w:t>
      </w:r>
    </w:p>
    <w:p w14:paraId="060333F1">
      <w:pPr>
        <w:snapToGrid w:val="0"/>
        <w:spacing w:line="400" w:lineRule="exact"/>
        <w:ind w:firstLine="480" w:firstLineChars="200"/>
        <w:rPr>
          <w:rFonts w:hint="eastAsia" w:ascii="仿宋" w:hAnsi="仿宋" w:eastAsia="仿宋" w:cs="仿宋"/>
          <w:b w:val="0"/>
          <w:bCs/>
          <w:color w:val="auto"/>
          <w:sz w:val="24"/>
          <w:szCs w:val="24"/>
          <w:highlight w:val="none"/>
          <w:u w:val="none"/>
        </w:rPr>
      </w:pPr>
      <w:r>
        <w:rPr>
          <w:rFonts w:hint="eastAsia" w:ascii="仿宋" w:hAnsi="仿宋" w:eastAsia="仿宋" w:cs="仿宋"/>
          <w:b w:val="0"/>
          <w:bCs/>
          <w:color w:val="auto"/>
          <w:sz w:val="24"/>
          <w:szCs w:val="24"/>
          <w:highlight w:val="none"/>
        </w:rPr>
        <w:t>（三）在采购过程中符合竞争要求的供应商或者报价未超过采购预算的供应商</w:t>
      </w:r>
      <w:r>
        <w:rPr>
          <w:rFonts w:hint="eastAsia" w:ascii="仿宋" w:hAnsi="仿宋" w:eastAsia="仿宋" w:cs="仿宋"/>
          <w:b w:val="0"/>
          <w:bCs/>
          <w:color w:val="auto"/>
          <w:sz w:val="24"/>
          <w:szCs w:val="24"/>
          <w:highlight w:val="none"/>
          <w:u w:val="none"/>
        </w:rPr>
        <w:t>不足3家的。</w:t>
      </w:r>
    </w:p>
    <w:p w14:paraId="254C0266">
      <w:pPr>
        <w:pStyle w:val="5"/>
        <w:ind w:left="0" w:leftChars="0"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项目出现其他实质性影响，可能导致项目无法正常开展的情形。</w:t>
      </w:r>
    </w:p>
    <w:bookmarkEnd w:id="122"/>
    <w:bookmarkEnd w:id="123"/>
    <w:bookmarkEnd w:id="124"/>
    <w:p w14:paraId="38C8F637">
      <w:pPr>
        <w:spacing w:line="360" w:lineRule="auto"/>
        <w:ind w:left="0" w:leftChars="0" w:firstLine="0" w:firstLineChars="0"/>
        <w:rPr>
          <w:rFonts w:hint="eastAsia" w:ascii="仿宋" w:hAnsi="仿宋" w:eastAsia="仿宋" w:cs="仿宋"/>
          <w:color w:val="auto"/>
          <w:sz w:val="24"/>
          <w:highlight w:val="none"/>
        </w:rPr>
      </w:pPr>
    </w:p>
    <w:p w14:paraId="560D02AF">
      <w:pPr>
        <w:rPr>
          <w:rFonts w:hint="eastAsia" w:ascii="仿宋" w:hAnsi="仿宋" w:eastAsia="仿宋" w:cs="仿宋"/>
          <w:color w:val="auto"/>
          <w:highlight w:val="none"/>
        </w:rPr>
      </w:pPr>
      <w:bookmarkStart w:id="128" w:name="_Toc25187"/>
      <w:r>
        <w:rPr>
          <w:rFonts w:hint="eastAsia" w:ascii="仿宋" w:hAnsi="仿宋" w:eastAsia="仿宋" w:cs="仿宋"/>
          <w:color w:val="auto"/>
          <w:highlight w:val="none"/>
        </w:rPr>
        <w:br w:type="page"/>
      </w:r>
    </w:p>
    <w:p w14:paraId="53A45F87">
      <w:pPr>
        <w:pStyle w:val="2"/>
        <w:bidi w:val="0"/>
        <w:rPr>
          <w:rFonts w:hint="eastAsia" w:ascii="仿宋" w:hAnsi="仿宋" w:eastAsia="仿宋" w:cs="仿宋"/>
          <w:color w:val="auto"/>
          <w:highlight w:val="none"/>
        </w:rPr>
      </w:pPr>
      <w:bookmarkStart w:id="129" w:name="_Toc29791"/>
      <w:r>
        <w:rPr>
          <w:rFonts w:hint="eastAsia" w:ascii="仿宋" w:hAnsi="仿宋" w:eastAsia="仿宋" w:cs="仿宋"/>
          <w:color w:val="auto"/>
          <w:highlight w:val="none"/>
        </w:rPr>
        <w:t>第五篇  供应商须知</w:t>
      </w:r>
      <w:bookmarkEnd w:id="128"/>
      <w:bookmarkEnd w:id="129"/>
    </w:p>
    <w:p w14:paraId="327ED588">
      <w:pPr>
        <w:pStyle w:val="3"/>
        <w:bidi w:val="0"/>
        <w:rPr>
          <w:rFonts w:hint="eastAsia" w:ascii="仿宋" w:hAnsi="仿宋" w:eastAsia="仿宋" w:cs="仿宋"/>
          <w:color w:val="auto"/>
          <w:highlight w:val="none"/>
          <w:lang w:eastAsia="zh-CN"/>
        </w:rPr>
      </w:pPr>
      <w:bookmarkStart w:id="130" w:name="_Toc76462338"/>
      <w:bookmarkStart w:id="131" w:name="_Toc342913389"/>
      <w:bookmarkStart w:id="132" w:name="_Toc106030893"/>
      <w:bookmarkStart w:id="133" w:name="_Toc25162"/>
      <w:bookmarkStart w:id="134" w:name="_Toc14258"/>
      <w:r>
        <w:rPr>
          <w:rFonts w:hint="eastAsia" w:ascii="仿宋" w:hAnsi="仿宋" w:eastAsia="仿宋" w:cs="仿宋"/>
          <w:color w:val="auto"/>
          <w:highlight w:val="none"/>
        </w:rPr>
        <w:t>一、</w:t>
      </w:r>
      <w:bookmarkEnd w:id="130"/>
      <w:bookmarkEnd w:id="131"/>
      <w:bookmarkEnd w:id="132"/>
      <w:bookmarkEnd w:id="133"/>
      <w:r>
        <w:rPr>
          <w:rFonts w:hint="eastAsia" w:ascii="仿宋" w:hAnsi="仿宋" w:eastAsia="仿宋" w:cs="仿宋"/>
          <w:color w:val="auto"/>
          <w:highlight w:val="none"/>
          <w:lang w:eastAsia="zh-CN"/>
        </w:rPr>
        <w:t>供应商</w:t>
      </w:r>
      <w:bookmarkEnd w:id="134"/>
    </w:p>
    <w:p w14:paraId="570B23D9">
      <w:pPr>
        <w:bidi w:val="0"/>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供应商：供应商</w:t>
      </w:r>
      <w:r>
        <w:rPr>
          <w:rFonts w:hint="eastAsia" w:ascii="仿宋" w:hAnsi="仿宋" w:eastAsia="仿宋" w:cs="仿宋"/>
          <w:color w:val="auto"/>
          <w:highlight w:val="none"/>
        </w:rPr>
        <w:t>是指响应</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、参加</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竞争的法人、其他组织或者自然人。</w:t>
      </w:r>
    </w:p>
    <w:p w14:paraId="415E1981">
      <w:pPr>
        <w:bidi w:val="0"/>
        <w:rPr>
          <w:rFonts w:hint="eastAsia" w:ascii="仿宋" w:hAnsi="仿宋" w:eastAsia="仿宋" w:cs="仿宋"/>
          <w:color w:val="auto"/>
          <w:highlight w:val="none"/>
        </w:rPr>
      </w:pPr>
      <w:r>
        <w:rPr>
          <w:rFonts w:hint="eastAsia" w:ascii="仿宋" w:hAnsi="仿宋" w:eastAsia="仿宋" w:cs="仿宋"/>
          <w:color w:val="auto"/>
          <w:highlight w:val="none"/>
        </w:rPr>
        <w:t>（二）合格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条件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应完全符合</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第一篇中规定的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资格条件，并对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作出实质性响应。</w:t>
      </w:r>
    </w:p>
    <w:p w14:paraId="33D9658B">
      <w:pPr>
        <w:bidi w:val="0"/>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的风险</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没有按照</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要求提供全部资料，或者</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没有对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在各方面作出实质性响应，可能导致</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被拒绝或评定为无效</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w:t>
      </w:r>
    </w:p>
    <w:p w14:paraId="1F61BFBB">
      <w:pPr>
        <w:bidi w:val="0"/>
        <w:rPr>
          <w:rFonts w:hint="eastAsia" w:ascii="仿宋" w:hAnsi="仿宋" w:eastAsia="仿宋" w:cs="仿宋"/>
          <w:color w:val="auto"/>
          <w:highlight w:val="none"/>
        </w:rPr>
      </w:pPr>
      <w:r>
        <w:rPr>
          <w:rFonts w:hint="eastAsia" w:ascii="仿宋" w:hAnsi="仿宋" w:eastAsia="仿宋" w:cs="仿宋"/>
          <w:color w:val="auto"/>
          <w:highlight w:val="none"/>
        </w:rPr>
        <w:t>（四）法律责任</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违反《中华人民共和国政府采购法</w:t>
      </w:r>
      <w:r>
        <w:rPr>
          <w:rFonts w:hint="eastAsia" w:ascii="仿宋" w:hAnsi="仿宋" w:eastAsia="仿宋" w:cs="仿宋"/>
          <w:color w:val="auto"/>
          <w:highlight w:val="none"/>
          <w:lang w:eastAsia="zh-CN"/>
        </w:rPr>
        <w:t>》《中华人民共和国政府采购法实施条例</w:t>
      </w:r>
      <w:r>
        <w:rPr>
          <w:rFonts w:hint="eastAsia" w:ascii="仿宋" w:hAnsi="仿宋" w:eastAsia="仿宋" w:cs="仿宋"/>
          <w:color w:val="auto"/>
          <w:highlight w:val="none"/>
        </w:rPr>
        <w:t>》等相关规定，将按规定追究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法律责任。</w:t>
      </w:r>
    </w:p>
    <w:p w14:paraId="33AA3534">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（五）比选费用：参与比选的供应商应自行承担其编制响应文件与递交响应文件所涉及的一切费用，不论比选结果如何，采购人和采购代理机构在任何情况下无义务也无责任承担这些费用。</w:t>
      </w:r>
    </w:p>
    <w:p w14:paraId="647C1661">
      <w:pPr>
        <w:pStyle w:val="3"/>
        <w:bidi w:val="0"/>
        <w:rPr>
          <w:rFonts w:hint="eastAsia" w:ascii="仿宋" w:hAnsi="仿宋" w:eastAsia="仿宋" w:cs="仿宋"/>
          <w:color w:val="auto"/>
          <w:highlight w:val="none"/>
        </w:rPr>
      </w:pPr>
      <w:bookmarkStart w:id="135" w:name="_Toc342913391"/>
      <w:bookmarkStart w:id="136" w:name="_Toc106030894"/>
      <w:bookmarkStart w:id="137" w:name="_Toc76462339"/>
      <w:bookmarkStart w:id="138" w:name="_Toc19134"/>
      <w:bookmarkStart w:id="139" w:name="_Toc8246"/>
      <w:r>
        <w:rPr>
          <w:rFonts w:hint="eastAsia" w:ascii="仿宋" w:hAnsi="仿宋" w:eastAsia="仿宋" w:cs="仿宋"/>
          <w:color w:val="auto"/>
          <w:highlight w:val="none"/>
        </w:rPr>
        <w:t>二、</w:t>
      </w:r>
      <w:bookmarkEnd w:id="135"/>
      <w:bookmarkEnd w:id="136"/>
      <w:bookmarkEnd w:id="137"/>
      <w:bookmarkEnd w:id="138"/>
      <w:r>
        <w:rPr>
          <w:rFonts w:hint="eastAsia" w:ascii="仿宋" w:hAnsi="仿宋" w:eastAsia="仿宋" w:cs="仿宋"/>
          <w:color w:val="auto"/>
          <w:highlight w:val="none"/>
          <w:lang w:val="en-US" w:eastAsia="zh-CN"/>
        </w:rPr>
        <w:t>竞争性比选文件</w:t>
      </w:r>
      <w:bookmarkEnd w:id="139"/>
    </w:p>
    <w:p w14:paraId="679F72FF">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是</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编制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的依据，是</w:t>
      </w:r>
      <w:r>
        <w:rPr>
          <w:rFonts w:hint="eastAsia" w:ascii="仿宋" w:hAnsi="仿宋" w:eastAsia="仿宋" w:cs="仿宋"/>
          <w:color w:val="auto"/>
          <w:highlight w:val="none"/>
          <w:lang w:eastAsia="zh-CN"/>
        </w:rPr>
        <w:t>评审委员会</w:t>
      </w:r>
      <w:r>
        <w:rPr>
          <w:rFonts w:hint="eastAsia" w:ascii="仿宋" w:hAnsi="仿宋" w:eastAsia="仿宋" w:cs="仿宋"/>
          <w:color w:val="auto"/>
          <w:highlight w:val="none"/>
        </w:rPr>
        <w:t>评判依据和标准。</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也是采购人与</w:t>
      </w:r>
      <w:r>
        <w:rPr>
          <w:rFonts w:hint="eastAsia" w:ascii="仿宋" w:hAnsi="仿宋" w:eastAsia="仿宋" w:cs="仿宋"/>
          <w:color w:val="auto"/>
          <w:highlight w:val="none"/>
          <w:lang w:eastAsia="zh-CN"/>
        </w:rPr>
        <w:t>成交供应商</w:t>
      </w:r>
      <w:r>
        <w:rPr>
          <w:rFonts w:hint="eastAsia" w:ascii="仿宋" w:hAnsi="仿宋" w:eastAsia="仿宋" w:cs="仿宋"/>
          <w:color w:val="auto"/>
          <w:highlight w:val="none"/>
        </w:rPr>
        <w:t>签订合同的基础。</w:t>
      </w:r>
    </w:p>
    <w:p w14:paraId="6C26873D">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（一）</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由</w:t>
      </w:r>
      <w:r>
        <w:rPr>
          <w:rFonts w:hint="eastAsia" w:ascii="仿宋" w:hAnsi="仿宋" w:eastAsia="仿宋" w:cs="仿宋"/>
          <w:color w:val="auto"/>
          <w:highlight w:val="none"/>
          <w:lang w:eastAsia="zh-CN"/>
        </w:rPr>
        <w:t>采购邀请书；</w:t>
      </w:r>
      <w:r>
        <w:rPr>
          <w:rFonts w:hint="eastAsia" w:cs="仿宋"/>
          <w:color w:val="auto"/>
          <w:highlight w:val="none"/>
          <w:lang w:eastAsia="zh-CN"/>
        </w:rPr>
        <w:t>项目服务需求</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项目商务需求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比选程序、</w:t>
      </w:r>
      <w:r>
        <w:rPr>
          <w:rFonts w:hint="eastAsia" w:ascii="仿宋" w:hAnsi="仿宋" w:eastAsia="仿宋" w:cs="仿宋"/>
          <w:color w:val="auto"/>
          <w:highlight w:val="none"/>
          <w:lang w:eastAsia="zh-CN"/>
        </w:rPr>
        <w:t>评审标准、</w:t>
      </w:r>
      <w:r>
        <w:rPr>
          <w:rFonts w:hint="eastAsia" w:ascii="仿宋" w:hAnsi="仿宋" w:eastAsia="仿宋" w:cs="仿宋"/>
          <w:color w:val="auto"/>
          <w:highlight w:val="none"/>
          <w:lang w:val="en-US" w:eastAsia="zh-CN"/>
        </w:rPr>
        <w:t>无效响应及采购终止</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供应商须知</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合同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响应文件编制要求七部分组成。</w:t>
      </w:r>
    </w:p>
    <w:p w14:paraId="6D67B8B6">
      <w:pPr>
        <w:bidi w:val="0"/>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不可分割的部分。</w:t>
      </w:r>
    </w:p>
    <w:p w14:paraId="7A865D90">
      <w:pPr>
        <w:bidi w:val="0"/>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的解释</w:t>
      </w:r>
    </w:p>
    <w:p w14:paraId="56570E95">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供应商如对</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有疑问，必须以书面形式在提交响应文件截止时间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个工作日前向采购人（或采购代理机构）要求澄清，采购人（或采购代理机构）可视具体情况做出处理或答复。如供应商未提出疑问，视为完全理解并同意本</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。一经进入</w:t>
      </w:r>
      <w:r>
        <w:rPr>
          <w:rFonts w:hint="eastAsia" w:ascii="仿宋" w:hAnsi="仿宋" w:eastAsia="仿宋" w:cs="仿宋"/>
          <w:color w:val="auto"/>
          <w:highlight w:val="none"/>
          <w:lang w:val="en-US" w:eastAsia="zh-CN"/>
        </w:rPr>
        <w:t>评审</w:t>
      </w:r>
      <w:r>
        <w:rPr>
          <w:rFonts w:hint="eastAsia" w:ascii="仿宋" w:hAnsi="仿宋" w:eastAsia="仿宋" w:cs="仿宋"/>
          <w:color w:val="auto"/>
          <w:highlight w:val="none"/>
        </w:rPr>
        <w:t>程序，即视为供应商已详细阅读全部文件资料，完全理解</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所有条款内容并同意放弃对这方面有不明白及误解的权利。</w:t>
      </w:r>
      <w:bookmarkStart w:id="140" w:name="_Toc318166429"/>
      <w:bookmarkStart w:id="141" w:name="_Toc318159349"/>
      <w:bookmarkStart w:id="142" w:name="_Toc318159780"/>
      <w:bookmarkStart w:id="143" w:name="_Toc318159160"/>
      <w:r>
        <w:rPr>
          <w:rFonts w:hint="eastAsia" w:ascii="仿宋" w:hAnsi="仿宋" w:eastAsia="仿宋" w:cs="仿宋"/>
          <w:color w:val="auto"/>
          <w:highlight w:val="none"/>
          <w:lang w:val="en-US" w:eastAsia="zh-CN"/>
        </w:rPr>
        <w:t xml:space="preserve"> </w:t>
      </w:r>
    </w:p>
    <w:p w14:paraId="55FDDD7B">
      <w:pPr>
        <w:bidi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）评审的依据为</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和响应文件（含有效的书面承诺）。</w:t>
      </w:r>
      <w:r>
        <w:rPr>
          <w:rFonts w:hint="eastAsia" w:ascii="仿宋" w:hAnsi="仿宋" w:eastAsia="仿宋" w:cs="仿宋"/>
          <w:color w:val="auto"/>
          <w:highlight w:val="none"/>
          <w:lang w:val="en-US" w:eastAsia="zh-CN"/>
        </w:rPr>
        <w:t>评审委员会</w:t>
      </w:r>
      <w:r>
        <w:rPr>
          <w:rFonts w:hint="eastAsia" w:ascii="仿宋" w:hAnsi="仿宋" w:eastAsia="仿宋" w:cs="仿宋"/>
          <w:color w:val="auto"/>
          <w:highlight w:val="none"/>
        </w:rPr>
        <w:t>判断响应文件对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的响应，仅基于响应文件本身而不靠外部证据。</w:t>
      </w:r>
    </w:p>
    <w:bookmarkEnd w:id="140"/>
    <w:bookmarkEnd w:id="141"/>
    <w:bookmarkEnd w:id="142"/>
    <w:bookmarkEnd w:id="143"/>
    <w:p w14:paraId="7837892A">
      <w:pPr>
        <w:pStyle w:val="3"/>
        <w:bidi w:val="0"/>
        <w:rPr>
          <w:rFonts w:hint="eastAsia" w:ascii="仿宋" w:hAnsi="仿宋" w:eastAsia="仿宋" w:cs="仿宋"/>
          <w:color w:val="auto"/>
          <w:highlight w:val="none"/>
          <w:lang w:eastAsia="zh-CN"/>
        </w:rPr>
      </w:pPr>
      <w:bookmarkStart w:id="144" w:name="_Toc18263"/>
      <w:bookmarkStart w:id="145" w:name="_Toc342913392"/>
      <w:bookmarkStart w:id="146" w:name="_Toc102227318"/>
      <w:bookmarkStart w:id="147" w:name="_Toc76462340"/>
      <w:bookmarkStart w:id="148" w:name="_Toc179714297"/>
      <w:bookmarkStart w:id="149" w:name="_Toc106030895"/>
      <w:bookmarkStart w:id="150" w:name="_Toc24226"/>
      <w:r>
        <w:rPr>
          <w:rFonts w:hint="eastAsia" w:ascii="仿宋" w:hAnsi="仿宋" w:eastAsia="仿宋" w:cs="仿宋"/>
          <w:color w:val="auto"/>
          <w:highlight w:val="none"/>
        </w:rPr>
        <w:t>三、</w:t>
      </w:r>
      <w:bookmarkEnd w:id="144"/>
      <w:bookmarkEnd w:id="145"/>
      <w:bookmarkEnd w:id="146"/>
      <w:bookmarkEnd w:id="147"/>
      <w:bookmarkEnd w:id="148"/>
      <w:bookmarkEnd w:id="149"/>
      <w:r>
        <w:rPr>
          <w:rFonts w:hint="eastAsia" w:ascii="仿宋" w:hAnsi="仿宋" w:eastAsia="仿宋" w:cs="仿宋"/>
          <w:color w:val="auto"/>
          <w:highlight w:val="none"/>
          <w:lang w:eastAsia="zh-CN"/>
        </w:rPr>
        <w:t>响应文件</w:t>
      </w:r>
      <w:bookmarkEnd w:id="150"/>
    </w:p>
    <w:p w14:paraId="48A77AFB">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应当按照</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的要求编制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，并对</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提出的要求和条件作出实质性响应。</w:t>
      </w:r>
    </w:p>
    <w:p w14:paraId="485BB380">
      <w:pPr>
        <w:bidi w:val="0"/>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组成</w:t>
      </w:r>
    </w:p>
    <w:p w14:paraId="1AD1F625">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由第七篇“</w:t>
      </w:r>
      <w:r>
        <w:rPr>
          <w:rFonts w:hint="eastAsia" w:ascii="仿宋" w:hAnsi="仿宋" w:eastAsia="仿宋" w:cs="仿宋"/>
          <w:color w:val="auto"/>
          <w:highlight w:val="none"/>
          <w:lang w:eastAsia="zh-CN"/>
        </w:rPr>
        <w:t>响应文件编制要求</w:t>
      </w:r>
      <w:r>
        <w:rPr>
          <w:rFonts w:hint="eastAsia" w:ascii="仿宋" w:hAnsi="仿宋" w:eastAsia="仿宋" w:cs="仿宋"/>
          <w:color w:val="auto"/>
          <w:highlight w:val="none"/>
        </w:rPr>
        <w:t>”规定的部分和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所作的一切有效补充、修改和承诺</w:t>
      </w:r>
      <w:r>
        <w:rPr>
          <w:rFonts w:hint="eastAsia" w:ascii="仿宋" w:hAnsi="仿宋" w:eastAsia="仿宋" w:cs="仿宋"/>
          <w:color w:val="auto"/>
          <w:highlight w:val="none"/>
          <w:lang w:eastAsia="zh-CN"/>
        </w:rPr>
        <w:t>（本竞争性比选文件中所要求的承诺格式由供应商自拟）</w:t>
      </w:r>
      <w:r>
        <w:rPr>
          <w:rFonts w:hint="eastAsia" w:ascii="仿宋" w:hAnsi="仿宋" w:eastAsia="仿宋" w:cs="仿宋"/>
          <w:color w:val="auto"/>
          <w:highlight w:val="none"/>
        </w:rPr>
        <w:t>等文件组成，</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应按照第七篇“</w:t>
      </w:r>
      <w:r>
        <w:rPr>
          <w:rFonts w:hint="eastAsia" w:ascii="仿宋" w:hAnsi="仿宋" w:eastAsia="仿宋" w:cs="仿宋"/>
          <w:color w:val="auto"/>
          <w:highlight w:val="none"/>
          <w:lang w:eastAsia="zh-CN"/>
        </w:rPr>
        <w:t>响应文件编制要求</w:t>
      </w:r>
      <w:r>
        <w:rPr>
          <w:rFonts w:hint="eastAsia" w:ascii="仿宋" w:hAnsi="仿宋" w:eastAsia="仿宋" w:cs="仿宋"/>
          <w:color w:val="auto"/>
          <w:highlight w:val="none"/>
        </w:rPr>
        <w:t>”规定的目录顺序组织编写，同时应编制完整的页码、目录</w:t>
      </w:r>
      <w:r>
        <w:rPr>
          <w:rFonts w:hint="eastAsia" w:ascii="仿宋" w:hAnsi="仿宋" w:eastAsia="仿宋" w:cs="仿宋"/>
          <w:color w:val="auto"/>
          <w:highlight w:val="none"/>
          <w:lang w:eastAsia="zh-CN"/>
        </w:rPr>
        <w:t>，也可在基本格式基础上对表格进行扩展，未规定格式的由供应商自定格式。</w:t>
      </w:r>
    </w:p>
    <w:p w14:paraId="5E583201">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（二）联合体</w:t>
      </w:r>
      <w:r>
        <w:rPr>
          <w:rFonts w:hint="eastAsia" w:ascii="仿宋" w:hAnsi="仿宋" w:eastAsia="仿宋" w:cs="仿宋"/>
          <w:color w:val="auto"/>
          <w:highlight w:val="none"/>
          <w:lang w:eastAsia="zh-CN"/>
        </w:rPr>
        <w:t>：本项目不接受联合体参与比选，否则按无效处理。</w:t>
      </w:r>
    </w:p>
    <w:p w14:paraId="73C6FB1D">
      <w:pPr>
        <w:bidi w:val="0"/>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比选</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响应文件及有关承诺文件有效期为</w:t>
      </w:r>
      <w:r>
        <w:rPr>
          <w:rFonts w:hint="eastAsia" w:ascii="仿宋" w:hAnsi="仿宋" w:eastAsia="仿宋" w:cs="仿宋"/>
          <w:color w:val="auto"/>
          <w:highlight w:val="none"/>
          <w:lang w:eastAsia="zh-CN"/>
        </w:rPr>
        <w:t>报价</w:t>
      </w:r>
      <w:r>
        <w:rPr>
          <w:rFonts w:hint="eastAsia" w:ascii="仿宋" w:hAnsi="仿宋" w:eastAsia="仿宋" w:cs="仿宋"/>
          <w:color w:val="auto"/>
          <w:highlight w:val="none"/>
        </w:rPr>
        <w:t>截止时间起90天。</w:t>
      </w:r>
    </w:p>
    <w:p w14:paraId="45DF54F1">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（四）</w:t>
      </w:r>
      <w:r>
        <w:rPr>
          <w:rFonts w:hint="eastAsia" w:ascii="仿宋" w:hAnsi="仿宋" w:eastAsia="仿宋" w:cs="仿宋"/>
          <w:color w:val="auto"/>
          <w:highlight w:val="none"/>
          <w:lang w:eastAsia="zh-CN"/>
        </w:rPr>
        <w:t>比选保证金</w:t>
      </w:r>
      <w:r>
        <w:rPr>
          <w:rFonts w:hint="eastAsia" w:cs="仿宋"/>
          <w:color w:val="auto"/>
          <w:highlight w:val="none"/>
          <w:lang w:eastAsia="zh-CN"/>
        </w:rPr>
        <w:t>：</w:t>
      </w:r>
      <w:r>
        <w:rPr>
          <w:rFonts w:hint="eastAsia" w:cs="仿宋"/>
          <w:color w:val="auto"/>
          <w:highlight w:val="none"/>
          <w:lang w:val="en-US" w:eastAsia="zh-CN"/>
        </w:rPr>
        <w:t>无。</w:t>
      </w:r>
    </w:p>
    <w:p w14:paraId="7C3EB77B">
      <w:pPr>
        <w:bidi w:val="0"/>
        <w:rPr>
          <w:rFonts w:hint="eastAsia" w:ascii="仿宋" w:hAnsi="仿宋" w:eastAsia="仿宋" w:cs="仿宋"/>
          <w:color w:val="auto"/>
          <w:highlight w:val="none"/>
        </w:rPr>
      </w:pP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的份数和签署</w:t>
      </w:r>
    </w:p>
    <w:p w14:paraId="4C8DA817">
      <w:pPr>
        <w:bidi w:val="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供应商线上报价时需上传签字盖章后的电子响应文件</w:t>
      </w:r>
      <w:r>
        <w:rPr>
          <w:rFonts w:hint="eastAsia" w:cs="仿宋"/>
          <w:color w:val="auto"/>
          <w:highlight w:val="none"/>
          <w:lang w:eastAsia="zh-CN"/>
        </w:rPr>
        <w:t>（</w:t>
      </w:r>
      <w:r>
        <w:rPr>
          <w:rFonts w:hint="eastAsia" w:cs="仿宋"/>
          <w:color w:val="auto"/>
          <w:highlight w:val="none"/>
          <w:lang w:val="en-US" w:eastAsia="zh-CN"/>
        </w:rPr>
        <w:t>PDF格式</w:t>
      </w:r>
      <w:r>
        <w:rPr>
          <w:rFonts w:hint="eastAsia" w:cs="仿宋"/>
          <w:color w:val="auto"/>
          <w:highlight w:val="none"/>
          <w:lang w:eastAsia="zh-CN"/>
        </w:rPr>
        <w:t>）</w:t>
      </w:r>
      <w:r>
        <w:rPr>
          <w:rFonts w:hint="eastAsia" w:ascii="仿宋" w:hAnsi="仿宋" w:eastAsia="仿宋" w:cs="仿宋"/>
          <w:color w:val="auto"/>
          <w:highlight w:val="none"/>
        </w:rPr>
        <w:t>一份。</w:t>
      </w:r>
    </w:p>
    <w:p w14:paraId="73922A0B">
      <w:pPr>
        <w:bidi w:val="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本项目不组织线下投标。</w:t>
      </w:r>
    </w:p>
    <w:p w14:paraId="112A8FEF">
      <w:pPr>
        <w:bidi w:val="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响应文件</w:t>
      </w:r>
      <w:r>
        <w:rPr>
          <w:rFonts w:hint="eastAsia" w:ascii="仿宋" w:hAnsi="仿宋" w:eastAsia="仿宋" w:cs="仿宋"/>
          <w:color w:val="auto"/>
          <w:highlight w:val="none"/>
          <w:lang w:eastAsia="zh-CN"/>
        </w:rPr>
        <w:t>须逐页</w:t>
      </w:r>
      <w:r>
        <w:rPr>
          <w:rFonts w:hint="eastAsia" w:ascii="仿宋" w:hAnsi="仿宋" w:eastAsia="仿宋" w:cs="仿宋"/>
          <w:color w:val="auto"/>
          <w:highlight w:val="none"/>
        </w:rPr>
        <w:t>加盖</w:t>
      </w:r>
      <w:r>
        <w:rPr>
          <w:rFonts w:hint="eastAsia" w:ascii="仿宋" w:hAnsi="仿宋" w:eastAsia="仿宋" w:cs="仿宋"/>
          <w:color w:val="auto"/>
          <w:highlight w:val="none"/>
          <w:lang w:eastAsia="zh-CN"/>
        </w:rPr>
        <w:t>供应商单位</w:t>
      </w:r>
      <w:r>
        <w:rPr>
          <w:rFonts w:hint="eastAsia" w:ascii="仿宋" w:hAnsi="仿宋" w:eastAsia="仿宋" w:cs="仿宋"/>
          <w:color w:val="auto"/>
          <w:highlight w:val="none"/>
        </w:rPr>
        <w:t>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否则按无效响应处理</w:t>
      </w:r>
      <w:r>
        <w:rPr>
          <w:rFonts w:hint="eastAsia" w:ascii="仿宋" w:hAnsi="仿宋" w:eastAsia="仿宋" w:cs="仿宋"/>
          <w:color w:val="auto"/>
          <w:highlight w:val="none"/>
        </w:rPr>
        <w:t>。</w:t>
      </w:r>
    </w:p>
    <w:p w14:paraId="1FBAA42A">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4.在响应文件中，根据竞争性比选文件“第七篇 响应文件编制要求”的规定，凡需签署和盖章之处，必须严格按照其要求进行签署和盖章。</w:t>
      </w:r>
    </w:p>
    <w:p w14:paraId="3D8BE47C">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若供应商对响应文件的错处</w:t>
      </w:r>
      <w:r>
        <w:rPr>
          <w:rFonts w:hint="eastAsia" w:cs="仿宋"/>
          <w:color w:val="auto"/>
          <w:highlight w:val="none"/>
          <w:lang w:eastAsia="zh-CN"/>
        </w:rPr>
        <w:t>做必要</w:t>
      </w:r>
      <w:r>
        <w:rPr>
          <w:rFonts w:hint="eastAsia" w:ascii="仿宋" w:hAnsi="仿宋" w:eastAsia="仿宋" w:cs="仿宋"/>
          <w:color w:val="auto"/>
          <w:highlight w:val="none"/>
        </w:rPr>
        <w:t>修改，则应在修改处加盖供应商</w:t>
      </w:r>
      <w:r>
        <w:rPr>
          <w:rFonts w:hint="eastAsia" w:ascii="仿宋" w:hAnsi="仿宋" w:eastAsia="仿宋" w:cs="仿宋"/>
          <w:color w:val="auto"/>
          <w:highlight w:val="none"/>
          <w:lang w:eastAsia="zh-CN"/>
        </w:rPr>
        <w:t>单位</w:t>
      </w:r>
      <w:r>
        <w:rPr>
          <w:rFonts w:hint="eastAsia" w:ascii="仿宋" w:hAnsi="仿宋" w:eastAsia="仿宋" w:cs="仿宋"/>
          <w:color w:val="auto"/>
          <w:highlight w:val="none"/>
        </w:rPr>
        <w:t>公章或由法定代表人（或其授权代表）或自然人（供应商为自然人）签署确认。</w:t>
      </w:r>
    </w:p>
    <w:p w14:paraId="3B8ED3F1">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6.评审委员会将以平台的线上响应文件资料作为评判依据。</w:t>
      </w:r>
    </w:p>
    <w:p w14:paraId="4E1C45F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电报、电话、传真形式的响应文件概不接受。</w:t>
      </w:r>
    </w:p>
    <w:p w14:paraId="4534B8E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响应文件语言：简体中文。</w:t>
      </w:r>
    </w:p>
    <w:p w14:paraId="3619BA14">
      <w:pPr>
        <w:bidi w:val="0"/>
        <w:rPr>
          <w:rFonts w:hint="eastAsia" w:ascii="仿宋" w:hAnsi="仿宋" w:eastAsia="仿宋" w:cs="仿宋"/>
          <w:color w:val="auto"/>
          <w:highlight w:val="none"/>
        </w:rPr>
      </w:pPr>
      <w:r>
        <w:rPr>
          <w:rFonts w:hint="eastAsia" w:ascii="仿宋" w:hAnsi="仿宋" w:eastAsia="仿宋" w:cs="仿宋"/>
          <w:color w:val="auto"/>
          <w:highlight w:val="none"/>
        </w:rPr>
        <w:t>（六）修正错误</w:t>
      </w:r>
    </w:p>
    <w:p w14:paraId="22D77FF0">
      <w:pPr>
        <w:bidi w:val="0"/>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1.若供应商所递交的响应文件或报价中的价格出现大写金额和小写金额不一致的错误，以大写金额修正为准。</w:t>
      </w:r>
    </w:p>
    <w:p w14:paraId="4C752E96">
      <w:pPr>
        <w:bidi w:val="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评审委员会</w:t>
      </w:r>
      <w:r>
        <w:rPr>
          <w:rFonts w:hint="eastAsia" w:ascii="仿宋" w:hAnsi="仿宋" w:eastAsia="仿宋" w:cs="仿宋"/>
          <w:color w:val="auto"/>
          <w:highlight w:val="none"/>
        </w:rPr>
        <w:t>按上述修正错误的原则及方法修正供应商的报价，供应商同意并签字确认后，修正后的报价对供应商具有约束作用。如果供应商不接受修正后的价格，将失去成为成交供应商的资格。</w:t>
      </w:r>
    </w:p>
    <w:p w14:paraId="44885929">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（七）响应文件</w:t>
      </w:r>
      <w:r>
        <w:rPr>
          <w:rFonts w:hint="eastAsia" w:ascii="仿宋" w:hAnsi="仿宋" w:eastAsia="仿宋" w:cs="仿宋"/>
          <w:color w:val="auto"/>
          <w:highlight w:val="none"/>
        </w:rPr>
        <w:t>的递交</w:t>
      </w:r>
    </w:p>
    <w:p w14:paraId="1C5DF821">
      <w:pPr>
        <w:bidi w:val="0"/>
        <w:rPr>
          <w:rFonts w:hint="eastAsia" w:ascii="仿宋" w:hAnsi="仿宋" w:eastAsia="仿宋" w:cs="仿宋"/>
          <w:b/>
          <w:bCs/>
          <w:color w:val="auto"/>
          <w:highlight w:val="none"/>
          <w:lang w:eastAsia="zh-CN"/>
        </w:rPr>
      </w:pPr>
      <w:r>
        <w:rPr>
          <w:rFonts w:hint="eastAsia" w:ascii="仿宋" w:hAnsi="仿宋" w:eastAsia="仿宋" w:cs="仿宋"/>
          <w:color w:val="auto"/>
          <w:highlight w:val="none"/>
        </w:rPr>
        <w:t>响应文件的电子文档应</w:t>
      </w:r>
      <w:r>
        <w:rPr>
          <w:rFonts w:hint="eastAsia" w:ascii="仿宋" w:hAnsi="仿宋" w:eastAsia="仿宋" w:cs="仿宋"/>
          <w:color w:val="auto"/>
          <w:highlight w:val="none"/>
          <w:lang w:val="en-US" w:eastAsia="zh-CN"/>
        </w:rPr>
        <w:t>在有效报价时间段内，通过行采家-电子竞采中心（https://www.gec123.com/xe/）在线提交</w:t>
      </w:r>
      <w:r>
        <w:rPr>
          <w:rFonts w:hint="eastAsia" w:ascii="仿宋" w:hAnsi="仿宋" w:eastAsia="仿宋" w:cs="仿宋"/>
          <w:color w:val="auto"/>
          <w:highlight w:val="none"/>
        </w:rPr>
        <w:t>。</w:t>
      </w:r>
    </w:p>
    <w:p w14:paraId="2451D0DA">
      <w:pPr>
        <w:pStyle w:val="3"/>
        <w:bidi w:val="0"/>
        <w:rPr>
          <w:rFonts w:hint="eastAsia" w:ascii="仿宋" w:hAnsi="仿宋" w:eastAsia="仿宋" w:cs="仿宋"/>
          <w:color w:val="auto"/>
          <w:highlight w:val="none"/>
        </w:rPr>
      </w:pPr>
      <w:bookmarkStart w:id="151" w:name="_Toc106030896"/>
      <w:bookmarkStart w:id="152" w:name="_Toc76462341"/>
      <w:bookmarkStart w:id="153" w:name="_Toc19749"/>
      <w:bookmarkStart w:id="154" w:name="_Toc9309"/>
      <w:r>
        <w:rPr>
          <w:rFonts w:hint="eastAsia" w:ascii="仿宋" w:hAnsi="仿宋" w:eastAsia="仿宋" w:cs="仿宋"/>
          <w:color w:val="auto"/>
          <w:highlight w:val="none"/>
        </w:rPr>
        <w:t>四、成交供应商的确认和变更</w:t>
      </w:r>
      <w:bookmarkEnd w:id="151"/>
      <w:bookmarkEnd w:id="152"/>
      <w:bookmarkEnd w:id="153"/>
      <w:bookmarkEnd w:id="154"/>
    </w:p>
    <w:p w14:paraId="3ED9314A">
      <w:pPr>
        <w:bidi w:val="0"/>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78733493">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应当在5个工作日内，从评审报告提出的成交候选供应商中，按照排序由高到低的原则确定成交供应商，也可以授权</w:t>
      </w:r>
      <w:r>
        <w:rPr>
          <w:rFonts w:hint="eastAsia" w:ascii="仿宋" w:hAnsi="仿宋" w:eastAsia="仿宋" w:cs="仿宋"/>
          <w:color w:val="auto"/>
          <w:highlight w:val="none"/>
          <w:lang w:eastAsia="zh-CN"/>
        </w:rPr>
        <w:t>评审委员会</w:t>
      </w:r>
      <w:r>
        <w:rPr>
          <w:rFonts w:hint="eastAsia" w:ascii="仿宋" w:hAnsi="仿宋" w:eastAsia="仿宋" w:cs="仿宋"/>
          <w:color w:val="auto"/>
          <w:highlight w:val="none"/>
        </w:rPr>
        <w:t>直接确定成交供应商。</w:t>
      </w:r>
    </w:p>
    <w:p w14:paraId="1E8606CF">
      <w:pPr>
        <w:bidi w:val="0"/>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35DC39FD">
      <w:pPr>
        <w:bidi w:val="0"/>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活动。</w:t>
      </w:r>
    </w:p>
    <w:p w14:paraId="7C3626E3">
      <w:pPr>
        <w:pStyle w:val="3"/>
        <w:bidi w:val="0"/>
        <w:rPr>
          <w:rFonts w:hint="eastAsia" w:ascii="仿宋" w:hAnsi="仿宋" w:eastAsia="仿宋" w:cs="仿宋"/>
          <w:b w:val="0"/>
          <w:bCs/>
          <w:color w:val="auto"/>
          <w:highlight w:val="none"/>
        </w:rPr>
      </w:pPr>
      <w:bookmarkStart w:id="155" w:name="_Toc342913395"/>
      <w:bookmarkStart w:id="156" w:name="_Toc30412"/>
      <w:bookmarkStart w:id="157" w:name="_Toc76462342"/>
      <w:bookmarkStart w:id="158" w:name="_Toc106030897"/>
      <w:bookmarkStart w:id="159" w:name="_Toc102227321"/>
      <w:bookmarkStart w:id="160" w:name="_Toc3896"/>
      <w:r>
        <w:rPr>
          <w:rFonts w:hint="eastAsia" w:ascii="仿宋" w:hAnsi="仿宋" w:eastAsia="仿宋" w:cs="仿宋"/>
          <w:color w:val="auto"/>
          <w:highlight w:val="none"/>
        </w:rPr>
        <w:t>五、成交通知</w:t>
      </w:r>
      <w:bookmarkEnd w:id="155"/>
      <w:bookmarkEnd w:id="156"/>
      <w:bookmarkEnd w:id="157"/>
      <w:bookmarkEnd w:id="158"/>
      <w:bookmarkEnd w:id="159"/>
      <w:bookmarkEnd w:id="160"/>
    </w:p>
    <w:p w14:paraId="7257EB55">
      <w:pPr>
        <w:bidi w:val="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（一）成交供应商确定后，采购代理机构将在</w:t>
      </w:r>
      <w:r>
        <w:rPr>
          <w:rFonts w:hint="eastAsia" w:ascii="仿宋" w:hAnsi="仿宋" w:eastAsia="仿宋" w:cs="仿宋"/>
          <w:b w:val="0"/>
          <w:bCs/>
          <w:color w:val="auto"/>
          <w:highlight w:val="none"/>
          <w:lang w:eastAsia="zh-CN"/>
        </w:rPr>
        <w:t>行采家</w:t>
      </w:r>
      <w:r>
        <w:rPr>
          <w:rFonts w:hint="eastAsia" w:ascii="仿宋" w:hAnsi="仿宋" w:eastAsia="仿宋" w:cs="仿宋"/>
          <w:b w:val="0"/>
          <w:bCs/>
          <w:color w:val="auto"/>
          <w:highlight w:val="none"/>
        </w:rPr>
        <w:t>（</w:t>
      </w:r>
      <w:r>
        <w:rPr>
          <w:rFonts w:hint="eastAsia" w:ascii="仿宋" w:hAnsi="仿宋" w:eastAsia="仿宋" w:cs="仿宋"/>
          <w:b w:val="0"/>
          <w:bCs/>
          <w:color w:val="auto"/>
          <w:highlight w:val="none"/>
          <w:lang w:eastAsia="zh-CN"/>
        </w:rPr>
        <w:t>https://www.gec123.com/</w:t>
      </w:r>
      <w:r>
        <w:rPr>
          <w:rFonts w:hint="eastAsia" w:ascii="仿宋" w:hAnsi="仿宋" w:eastAsia="仿宋" w:cs="仿宋"/>
          <w:b w:val="0"/>
          <w:bCs/>
          <w:color w:val="auto"/>
          <w:highlight w:val="none"/>
        </w:rPr>
        <w:t>）发布成交结果公告。</w:t>
      </w:r>
    </w:p>
    <w:p w14:paraId="196C2F68">
      <w:pPr>
        <w:bidi w:val="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（二）成交结果公告</w:t>
      </w:r>
      <w:r>
        <w:rPr>
          <w:rFonts w:hint="eastAsia" w:ascii="仿宋" w:hAnsi="仿宋" w:eastAsia="仿宋" w:cs="仿宋"/>
          <w:b w:val="0"/>
          <w:bCs/>
          <w:color w:val="auto"/>
          <w:highlight w:val="none"/>
          <w:lang w:eastAsia="zh-CN"/>
        </w:rPr>
        <w:t>发布的</w:t>
      </w:r>
      <w:r>
        <w:rPr>
          <w:rFonts w:hint="eastAsia" w:ascii="仿宋" w:hAnsi="仿宋" w:eastAsia="仿宋" w:cs="仿宋"/>
          <w:b w:val="0"/>
          <w:bCs/>
          <w:color w:val="auto"/>
          <w:highlight w:val="none"/>
        </w:rPr>
        <w:t>同时，采购代理机构将以书面形式发出《成交通知书》。《成交通知书》一经发出即发生法律效力。</w:t>
      </w:r>
    </w:p>
    <w:p w14:paraId="697CD34E">
      <w:pPr>
        <w:bidi w:val="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w:t>
      </w:r>
      <w:r>
        <w:rPr>
          <w:rFonts w:hint="eastAsia" w:ascii="仿宋" w:hAnsi="仿宋" w:eastAsia="仿宋" w:cs="仿宋"/>
          <w:b w:val="0"/>
          <w:bCs/>
          <w:color w:val="auto"/>
          <w:highlight w:val="none"/>
          <w:lang w:eastAsia="zh-CN"/>
        </w:rPr>
        <w:t>三</w:t>
      </w:r>
      <w:r>
        <w:rPr>
          <w:rFonts w:hint="eastAsia" w:ascii="仿宋" w:hAnsi="仿宋" w:eastAsia="仿宋" w:cs="仿宋"/>
          <w:b w:val="0"/>
          <w:bCs/>
          <w:color w:val="auto"/>
          <w:highlight w:val="none"/>
        </w:rPr>
        <w:t>）《成交通知书》将作为签订合同的依据。</w:t>
      </w:r>
    </w:p>
    <w:p w14:paraId="66648EFB">
      <w:pPr>
        <w:pStyle w:val="3"/>
        <w:bidi w:val="0"/>
        <w:rPr>
          <w:rFonts w:hint="eastAsia" w:ascii="仿宋" w:hAnsi="仿宋" w:eastAsia="仿宋" w:cs="仿宋"/>
          <w:color w:val="auto"/>
          <w:highlight w:val="none"/>
          <w:lang w:eastAsia="zh-CN"/>
        </w:rPr>
      </w:pPr>
      <w:bookmarkStart w:id="161" w:name="_Toc76462343"/>
      <w:bookmarkStart w:id="162" w:name="_Toc23853"/>
      <w:bookmarkStart w:id="163" w:name="_Toc16214"/>
      <w:bookmarkStart w:id="164" w:name="_Toc106030898"/>
      <w:r>
        <w:rPr>
          <w:rFonts w:hint="eastAsia" w:ascii="仿宋" w:hAnsi="仿宋" w:eastAsia="仿宋" w:cs="仿宋"/>
          <w:color w:val="auto"/>
          <w:highlight w:val="none"/>
        </w:rPr>
        <w:t>六、关于质疑和投诉</w:t>
      </w:r>
      <w:bookmarkEnd w:id="161"/>
      <w:bookmarkEnd w:id="162"/>
      <w:bookmarkEnd w:id="163"/>
      <w:bookmarkEnd w:id="164"/>
    </w:p>
    <w:p w14:paraId="72E32B71">
      <w:pPr>
        <w:bidi w:val="0"/>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F8033F4">
      <w:pPr>
        <w:bidi w:val="0"/>
        <w:rPr>
          <w:rFonts w:hint="eastAsia" w:ascii="仿宋" w:hAnsi="仿宋" w:eastAsia="仿宋" w:cs="仿宋"/>
          <w:color w:val="auto"/>
          <w:highlight w:val="none"/>
        </w:rPr>
      </w:pPr>
      <w:r>
        <w:rPr>
          <w:rFonts w:hint="eastAsia" w:ascii="仿宋" w:hAnsi="仿宋" w:eastAsia="仿宋" w:cs="仿宋"/>
          <w:color w:val="auto"/>
          <w:highlight w:val="none"/>
        </w:rPr>
        <w:t>供应商认为</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、采购过程和成交结果使自己的权益</w:t>
      </w:r>
      <w:r>
        <w:rPr>
          <w:rFonts w:hint="eastAsia" w:ascii="仿宋" w:hAnsi="仿宋" w:eastAsia="仿宋" w:cs="仿宋"/>
          <w:color w:val="auto"/>
          <w:highlight w:val="none"/>
          <w:lang w:eastAsia="zh-CN"/>
        </w:rPr>
        <w:t>受到</w:t>
      </w:r>
      <w:r>
        <w:rPr>
          <w:rFonts w:hint="eastAsia" w:ascii="仿宋" w:hAnsi="仿宋" w:eastAsia="仿宋" w:cs="仿宋"/>
          <w:color w:val="auto"/>
          <w:highlight w:val="none"/>
        </w:rPr>
        <w:t>伤害的，可向采购人或采购代理机构以书面形式提出质疑。</w:t>
      </w:r>
    </w:p>
    <w:p w14:paraId="76CDEE1A">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29FCBBFC">
      <w:pPr>
        <w:bidi w:val="0"/>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0D992F07">
      <w:pPr>
        <w:bidi w:val="0"/>
        <w:rPr>
          <w:rFonts w:hint="eastAsia" w:ascii="仿宋" w:hAnsi="仿宋" w:eastAsia="仿宋" w:cs="仿宋"/>
          <w:color w:val="auto"/>
          <w:highlight w:val="none"/>
        </w:rPr>
      </w:pPr>
      <w:r>
        <w:rPr>
          <w:rFonts w:hint="eastAsia" w:ascii="仿宋" w:hAnsi="仿宋" w:eastAsia="仿宋" w:cs="仿宋"/>
          <w:color w:val="auto"/>
          <w:highlight w:val="none"/>
        </w:rPr>
        <w:t>供应商认为</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、采购过程、成交结果使自己的权益受到损害的，可以在知道或者应知其权益受到损害之日起</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个工作日内，以书面形式向采购人、采购代理机构提出质疑。</w:t>
      </w:r>
    </w:p>
    <w:p w14:paraId="621EF69C">
      <w:pPr>
        <w:bidi w:val="0"/>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90B7D37">
      <w:pPr>
        <w:bidi w:val="0"/>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541AF46B">
      <w:pPr>
        <w:bidi w:val="0"/>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1145A284">
      <w:pPr>
        <w:bidi w:val="0"/>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28A95CBD">
      <w:pPr>
        <w:bidi w:val="0"/>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DEBF663">
      <w:pPr>
        <w:bidi w:val="0"/>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5F5AF4BB">
      <w:pPr>
        <w:bidi w:val="0"/>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42EB4FC1">
      <w:pPr>
        <w:bidi w:val="0"/>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FEB92CB">
      <w:pPr>
        <w:bidi w:val="0"/>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61629894">
      <w:pPr>
        <w:bidi w:val="0"/>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1CE3A3E8">
      <w:pPr>
        <w:bidi w:val="0"/>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45F875BC">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采购人、采购代理机构应当在收到供应商的书面质疑后</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个工作日内作出答复，并以书面形式通知质疑供应商和其他有关供应商。</w:t>
      </w:r>
    </w:p>
    <w:p w14:paraId="6AC6FCE0">
      <w:pPr>
        <w:bidi w:val="0"/>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59348F4A">
      <w:pPr>
        <w:bidi w:val="0"/>
        <w:rPr>
          <w:rFonts w:hint="eastAsia" w:ascii="仿宋" w:hAnsi="仿宋" w:eastAsia="仿宋" w:cs="仿宋"/>
          <w:b w:val="0"/>
          <w:bCs w:val="0"/>
          <w:color w:val="auto"/>
          <w:highlight w:val="none"/>
          <w:u w:val="none"/>
        </w:rPr>
      </w:pPr>
      <w:r>
        <w:rPr>
          <w:rFonts w:hint="eastAsia" w:ascii="仿宋" w:hAnsi="仿宋" w:eastAsia="仿宋" w:cs="仿宋"/>
          <w:b w:val="0"/>
          <w:bCs w:val="0"/>
          <w:color w:val="auto"/>
          <w:highlight w:val="none"/>
        </w:rPr>
        <w:t>1.供应商对采购人、采购代理机构的答复不满意，或者采购人、采购代理机构未在规定时间内作出答复的，可以在答复期满后</w:t>
      </w:r>
      <w:r>
        <w:rPr>
          <w:rFonts w:hint="eastAsia" w:ascii="仿宋" w:hAnsi="仿宋" w:eastAsia="仿宋" w:cs="仿宋"/>
          <w:b w:val="0"/>
          <w:bCs w:val="0"/>
          <w:color w:val="auto"/>
          <w:highlight w:val="none"/>
          <w:lang w:val="en-US" w:eastAsia="zh-CN"/>
        </w:rPr>
        <w:t>2</w:t>
      </w:r>
      <w:r>
        <w:rPr>
          <w:rFonts w:hint="eastAsia" w:ascii="仿宋" w:hAnsi="仿宋" w:eastAsia="仿宋" w:cs="仿宋"/>
          <w:b w:val="0"/>
          <w:bCs w:val="0"/>
          <w:color w:val="auto"/>
          <w:highlight w:val="none"/>
        </w:rPr>
        <w:t>个工作日内按照</w:t>
      </w:r>
      <w:r>
        <w:rPr>
          <w:rFonts w:hint="eastAsia" w:ascii="仿宋" w:hAnsi="仿宋" w:eastAsia="仿宋" w:cs="仿宋"/>
          <w:b w:val="0"/>
          <w:bCs w:val="0"/>
          <w:color w:val="auto"/>
          <w:highlight w:val="none"/>
          <w:lang w:val="en-US" w:eastAsia="zh-CN"/>
        </w:rPr>
        <w:t>平台</w:t>
      </w:r>
      <w:r>
        <w:rPr>
          <w:rFonts w:hint="eastAsia" w:ascii="仿宋" w:hAnsi="仿宋" w:eastAsia="仿宋" w:cs="仿宋"/>
          <w:b w:val="0"/>
          <w:bCs w:val="0"/>
          <w:color w:val="auto"/>
          <w:highlight w:val="none"/>
          <w:u w:val="none"/>
          <w:lang w:val="en-US" w:eastAsia="zh-CN"/>
        </w:rPr>
        <w:t>相关规则规定</w:t>
      </w:r>
      <w:r>
        <w:rPr>
          <w:rFonts w:hint="eastAsia" w:ascii="仿宋" w:hAnsi="仿宋" w:eastAsia="仿宋" w:cs="仿宋"/>
          <w:b w:val="0"/>
          <w:bCs w:val="0"/>
          <w:color w:val="auto"/>
          <w:highlight w:val="none"/>
          <w:u w:val="none"/>
        </w:rPr>
        <w:t>向</w:t>
      </w:r>
      <w:r>
        <w:rPr>
          <w:rFonts w:hint="eastAsia" w:ascii="仿宋" w:hAnsi="仿宋" w:eastAsia="仿宋" w:cs="仿宋"/>
          <w:b w:val="0"/>
          <w:bCs w:val="0"/>
          <w:color w:val="auto"/>
          <w:highlight w:val="none"/>
          <w:u w:val="none"/>
          <w:lang w:val="en-US" w:eastAsia="zh-CN"/>
        </w:rPr>
        <w:t>平台运营方</w:t>
      </w:r>
      <w:r>
        <w:rPr>
          <w:rFonts w:hint="eastAsia" w:ascii="仿宋" w:hAnsi="仿宋" w:eastAsia="仿宋" w:cs="仿宋"/>
          <w:b w:val="0"/>
          <w:bCs w:val="0"/>
          <w:color w:val="auto"/>
          <w:highlight w:val="none"/>
          <w:u w:val="none"/>
        </w:rPr>
        <w:t>提起投诉。</w:t>
      </w:r>
    </w:p>
    <w:p w14:paraId="795B6CA3">
      <w:pPr>
        <w:bidi w:val="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2.在确定受理投诉后，</w:t>
      </w:r>
      <w:r>
        <w:rPr>
          <w:rFonts w:hint="eastAsia" w:ascii="仿宋" w:hAnsi="仿宋" w:eastAsia="仿宋" w:cs="仿宋"/>
          <w:b w:val="0"/>
          <w:bCs w:val="0"/>
          <w:color w:val="auto"/>
          <w:highlight w:val="none"/>
          <w:lang w:val="en-US" w:eastAsia="zh-CN"/>
        </w:rPr>
        <w:t>平台运营方</w:t>
      </w:r>
      <w:r>
        <w:rPr>
          <w:rFonts w:hint="eastAsia" w:ascii="仿宋" w:hAnsi="仿宋" w:eastAsia="仿宋" w:cs="仿宋"/>
          <w:b w:val="0"/>
          <w:bCs w:val="0"/>
          <w:color w:val="auto"/>
          <w:highlight w:val="none"/>
        </w:rPr>
        <w:t>自受理投诉之日起</w:t>
      </w:r>
      <w:r>
        <w:rPr>
          <w:rFonts w:hint="eastAsia" w:ascii="仿宋" w:hAnsi="仿宋" w:eastAsia="仿宋" w:cs="仿宋"/>
          <w:b w:val="0"/>
          <w:bCs w:val="0"/>
          <w:color w:val="auto"/>
          <w:highlight w:val="none"/>
          <w:lang w:val="en-US" w:eastAsia="zh-CN"/>
        </w:rPr>
        <w:t>7</w:t>
      </w:r>
      <w:r>
        <w:rPr>
          <w:rFonts w:hint="eastAsia" w:ascii="仿宋" w:hAnsi="仿宋" w:eastAsia="仿宋" w:cs="仿宋"/>
          <w:b w:val="0"/>
          <w:bCs w:val="0"/>
          <w:color w:val="auto"/>
          <w:highlight w:val="none"/>
        </w:rPr>
        <w:t>个工作日内（需要检验、检测、鉴定、专家评审以及需要投诉人补正材料的，所需时间不计算在投诉处理期限内）对投诉事项做出处理决定。</w:t>
      </w:r>
    </w:p>
    <w:p w14:paraId="6D8C3C72">
      <w:pPr>
        <w:pStyle w:val="3"/>
        <w:bidi w:val="0"/>
        <w:rPr>
          <w:rFonts w:hint="eastAsia" w:ascii="仿宋" w:hAnsi="仿宋" w:eastAsia="仿宋" w:cs="仿宋"/>
          <w:color w:val="auto"/>
          <w:highlight w:val="none"/>
        </w:rPr>
      </w:pPr>
      <w:bookmarkStart w:id="165" w:name="_Toc11882"/>
      <w:bookmarkStart w:id="166" w:name="_Toc626"/>
      <w:bookmarkStart w:id="167" w:name="_Toc76462344"/>
      <w:bookmarkStart w:id="168" w:name="_Toc106030899"/>
      <w:bookmarkStart w:id="169" w:name="_Toc102227322"/>
      <w:bookmarkStart w:id="170" w:name="_Toc76462346"/>
      <w:bookmarkStart w:id="171" w:name="_Toc342913396"/>
      <w:bookmarkStart w:id="172" w:name="_Toc106030901"/>
      <w:bookmarkStart w:id="173" w:name="_Toc29981"/>
      <w:r>
        <w:rPr>
          <w:rFonts w:hint="eastAsia" w:ascii="仿宋" w:hAnsi="仿宋" w:eastAsia="仿宋" w:cs="仿宋"/>
          <w:color w:val="auto"/>
          <w:highlight w:val="none"/>
        </w:rPr>
        <w:t>七、采购代理服务费</w:t>
      </w:r>
      <w:bookmarkEnd w:id="165"/>
      <w:bookmarkEnd w:id="166"/>
      <w:bookmarkEnd w:id="167"/>
      <w:bookmarkEnd w:id="168"/>
    </w:p>
    <w:p w14:paraId="2DF03EFE">
      <w:pPr>
        <w:bidi w:val="0"/>
        <w:rPr>
          <w:rFonts w:hint="eastAsia" w:ascii="仿宋" w:hAnsi="仿宋" w:eastAsia="仿宋" w:cs="仿宋"/>
          <w:color w:val="auto"/>
          <w:highlight w:val="none"/>
          <w:u w:val="none"/>
        </w:rPr>
      </w:pPr>
      <w:r>
        <w:rPr>
          <w:rFonts w:hint="eastAsia" w:ascii="仿宋" w:hAnsi="仿宋" w:eastAsia="仿宋" w:cs="仿宋"/>
          <w:color w:val="auto"/>
          <w:highlight w:val="none"/>
        </w:rPr>
        <w:t>本项目采购代理服务费</w:t>
      </w:r>
      <w:r>
        <w:rPr>
          <w:rFonts w:hint="eastAsia" w:ascii="仿宋" w:hAnsi="仿宋" w:eastAsia="仿宋" w:cs="仿宋"/>
          <w:color w:val="auto"/>
          <w:highlight w:val="none"/>
          <w:lang w:eastAsia="zh-CN"/>
        </w:rPr>
        <w:t>按包干</w:t>
      </w:r>
      <w:r>
        <w:rPr>
          <w:rFonts w:hint="eastAsia" w:ascii="仿宋" w:hAnsi="仿宋" w:eastAsia="仿宋" w:cs="仿宋"/>
          <w:color w:val="auto"/>
          <w:highlight w:val="none"/>
          <w:u w:val="none"/>
          <w:lang w:eastAsia="zh-CN"/>
        </w:rPr>
        <w:t>价</w:t>
      </w:r>
      <w:r>
        <w:rPr>
          <w:rFonts w:hint="eastAsia" w:ascii="仿宋" w:hAnsi="仿宋" w:eastAsia="仿宋" w:cs="仿宋"/>
          <w:color w:val="auto"/>
          <w:highlight w:val="none"/>
          <w:u w:val="single"/>
          <w:lang w:val="en-US" w:eastAsia="zh-CN"/>
        </w:rPr>
        <w:t>¥</w:t>
      </w:r>
      <w:r>
        <w:rPr>
          <w:rFonts w:hint="eastAsia" w:cs="仿宋"/>
          <w:color w:val="auto"/>
          <w:highlight w:val="none"/>
          <w:u w:val="single"/>
          <w:lang w:val="en-US" w:eastAsia="zh-CN"/>
        </w:rPr>
        <w:t>5000.00</w:t>
      </w:r>
      <w:r>
        <w:rPr>
          <w:rFonts w:hint="eastAsia" w:ascii="仿宋" w:hAnsi="仿宋" w:eastAsia="仿宋" w:cs="仿宋"/>
          <w:color w:val="auto"/>
          <w:highlight w:val="none"/>
          <w:u w:val="single"/>
        </w:rPr>
        <w:t>元（大写：</w:t>
      </w:r>
      <w:r>
        <w:rPr>
          <w:rFonts w:hint="eastAsia" w:cs="仿宋"/>
          <w:color w:val="auto"/>
          <w:highlight w:val="none"/>
          <w:u w:val="single"/>
          <w:lang w:val="en-US" w:eastAsia="zh-CN"/>
        </w:rPr>
        <w:t>伍仟元整</w:t>
      </w:r>
      <w:r>
        <w:rPr>
          <w:rFonts w:hint="eastAsia" w:ascii="仿宋" w:hAnsi="仿宋" w:eastAsia="仿宋" w:cs="仿宋"/>
          <w:color w:val="auto"/>
          <w:highlight w:val="none"/>
          <w:u w:val="single"/>
        </w:rPr>
        <w:t>）</w:t>
      </w:r>
      <w:r>
        <w:rPr>
          <w:rFonts w:hint="eastAsia" w:ascii="仿宋" w:hAnsi="仿宋" w:eastAsia="仿宋" w:cs="仿宋"/>
          <w:color w:val="auto"/>
          <w:highlight w:val="none"/>
          <w:u w:val="none"/>
          <w:lang w:eastAsia="zh-CN"/>
        </w:rPr>
        <w:t>计取，</w:t>
      </w:r>
      <w:r>
        <w:rPr>
          <w:rFonts w:hint="eastAsia" w:ascii="仿宋" w:hAnsi="仿宋" w:eastAsia="仿宋" w:cs="仿宋"/>
          <w:color w:val="auto"/>
          <w:highlight w:val="none"/>
        </w:rPr>
        <w:t>由成交供应商在领取成交通知书之前以转账形式一次性支付给代理机构，并在银行转账（汇款）凭证备注栏中注明</w:t>
      </w:r>
      <w:r>
        <w:rPr>
          <w:rFonts w:hint="eastAsia" w:ascii="仿宋" w:hAnsi="仿宋" w:eastAsia="仿宋" w:cs="仿宋"/>
          <w:color w:val="auto"/>
          <w:highlight w:val="none"/>
          <w:u w:val="none"/>
        </w:rPr>
        <w:t>“</w:t>
      </w:r>
      <w:r>
        <w:rPr>
          <w:rFonts w:hint="eastAsia" w:ascii="仿宋" w:hAnsi="仿宋" w:eastAsia="仿宋" w:cs="仿宋"/>
          <w:color w:val="auto"/>
          <w:highlight w:val="none"/>
          <w:u w:val="none"/>
          <w:lang w:eastAsia="zh-CN"/>
        </w:rPr>
        <w:t>采购</w:t>
      </w:r>
      <w:r>
        <w:rPr>
          <w:rFonts w:hint="eastAsia" w:ascii="仿宋" w:hAnsi="仿宋" w:eastAsia="仿宋" w:cs="仿宋"/>
          <w:color w:val="auto"/>
          <w:highlight w:val="none"/>
          <w:u w:val="none"/>
        </w:rPr>
        <w:t>代理服务费—</w:t>
      </w: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none"/>
        </w:rPr>
        <w:t>”。</w:t>
      </w:r>
    </w:p>
    <w:p w14:paraId="4A3DCC93">
      <w:pPr>
        <w:pStyle w:val="3"/>
        <w:bidi w:val="0"/>
        <w:rPr>
          <w:rFonts w:hint="eastAsia" w:ascii="仿宋" w:hAnsi="仿宋" w:eastAsia="仿宋" w:cs="仿宋"/>
          <w:color w:val="auto"/>
          <w:highlight w:val="none"/>
        </w:rPr>
      </w:pPr>
      <w:bookmarkStart w:id="174" w:name="_Toc31636"/>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、签订</w:t>
      </w:r>
      <w:bookmarkEnd w:id="169"/>
      <w:r>
        <w:rPr>
          <w:rFonts w:hint="eastAsia" w:ascii="仿宋" w:hAnsi="仿宋" w:eastAsia="仿宋" w:cs="仿宋"/>
          <w:color w:val="auto"/>
          <w:highlight w:val="none"/>
        </w:rPr>
        <w:t>合同</w:t>
      </w:r>
      <w:bookmarkEnd w:id="170"/>
      <w:bookmarkEnd w:id="171"/>
      <w:bookmarkEnd w:id="172"/>
      <w:bookmarkEnd w:id="173"/>
      <w:bookmarkEnd w:id="174"/>
    </w:p>
    <w:p w14:paraId="04641F31">
      <w:pPr>
        <w:bidi w:val="0"/>
        <w:rPr>
          <w:rFonts w:hint="eastAsia" w:ascii="仿宋" w:hAnsi="仿宋" w:eastAsia="仿宋" w:cs="仿宋"/>
          <w:color w:val="auto"/>
          <w:highlight w:val="none"/>
        </w:rPr>
      </w:pPr>
      <w:r>
        <w:rPr>
          <w:rFonts w:hint="eastAsia" w:ascii="仿宋" w:hAnsi="仿宋" w:eastAsia="仿宋" w:cs="仿宋"/>
          <w:color w:val="auto"/>
          <w:highlight w:val="none"/>
        </w:rPr>
        <w:t>（一）采购人原则上应在</w:t>
      </w:r>
      <w:r>
        <w:rPr>
          <w:rFonts w:hint="eastAsia" w:ascii="仿宋" w:hAnsi="仿宋" w:eastAsia="仿宋" w:cs="仿宋"/>
          <w:color w:val="auto"/>
          <w:highlight w:val="none"/>
          <w:lang w:val="en-US" w:eastAsia="zh-CN"/>
        </w:rPr>
        <w:t>结果公告</w:t>
      </w:r>
      <w:r>
        <w:rPr>
          <w:rFonts w:hint="eastAsia" w:ascii="仿宋" w:hAnsi="仿宋" w:eastAsia="仿宋" w:cs="仿宋"/>
          <w:color w:val="auto"/>
          <w:highlight w:val="none"/>
        </w:rPr>
        <w:t>发出之日起</w:t>
      </w:r>
      <w:r>
        <w:rPr>
          <w:rFonts w:hint="eastAsia" w:ascii="仿宋" w:hAnsi="仿宋" w:eastAsia="仿宋" w:cs="仿宋"/>
          <w:color w:val="auto"/>
          <w:highlight w:val="none"/>
          <w:lang w:val="en-US" w:eastAsia="zh-CN"/>
        </w:rPr>
        <w:t>20个工作</w:t>
      </w:r>
      <w:r>
        <w:rPr>
          <w:rFonts w:hint="eastAsia" w:ascii="仿宋" w:hAnsi="仿宋" w:eastAsia="仿宋" w:cs="仿宋"/>
          <w:color w:val="auto"/>
          <w:highlight w:val="none"/>
        </w:rPr>
        <w:t>日内和成交供应商签订政府采购合同，无正当理由不得拒绝或拖延合同签订。所签订的合同不得对</w:t>
      </w:r>
      <w:r>
        <w:rPr>
          <w:rFonts w:hint="eastAsia" w:ascii="仿宋" w:hAnsi="仿宋" w:eastAsia="仿宋" w:cs="仿宋"/>
          <w:color w:val="auto"/>
          <w:highlight w:val="none"/>
          <w:lang w:val="en-US" w:eastAsia="zh-CN"/>
        </w:rPr>
        <w:t>竞争性比选文件</w:t>
      </w:r>
      <w:r>
        <w:rPr>
          <w:rFonts w:hint="eastAsia" w:ascii="仿宋" w:hAnsi="仿宋" w:eastAsia="仿宋" w:cs="仿宋"/>
          <w:color w:val="auto"/>
          <w:highlight w:val="none"/>
        </w:rPr>
        <w:t>和供应商的响应文件作实质性修改。其他未尽事宜由采购人和成交供应商在采购合同中详细约定。</w:t>
      </w:r>
    </w:p>
    <w:p w14:paraId="61FB40A0">
      <w:pPr>
        <w:bidi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竞争性比选文件</w:t>
      </w:r>
      <w:r>
        <w:rPr>
          <w:rFonts w:hint="eastAsia" w:ascii="仿宋" w:hAnsi="仿宋" w:eastAsia="仿宋" w:cs="仿宋"/>
          <w:color w:val="auto"/>
          <w:highlight w:val="none"/>
        </w:rPr>
        <w:t>、供应商的响应文件及澄清文件等，均为签订政府采购合同的依据。</w:t>
      </w:r>
    </w:p>
    <w:p w14:paraId="34275452">
      <w:pPr>
        <w:bidi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）合同生效条款由供需双方约定，法律、行政法规规定应当办理批准、登记等手续后生效的合同，依照其规定。</w:t>
      </w:r>
    </w:p>
    <w:p w14:paraId="117E7E88">
      <w:pPr>
        <w:bidi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）合同原则上应按照《</w:t>
      </w:r>
      <w:r>
        <w:rPr>
          <w:rFonts w:hint="eastAsia" w:ascii="仿宋" w:hAnsi="仿宋" w:eastAsia="仿宋" w:cs="仿宋"/>
          <w:color w:val="auto"/>
          <w:highlight w:val="none"/>
          <w:lang w:eastAsia="zh-CN"/>
        </w:rPr>
        <w:t>采购合同</w:t>
      </w:r>
      <w:r>
        <w:rPr>
          <w:rFonts w:hint="eastAsia" w:ascii="仿宋" w:hAnsi="仿宋" w:eastAsia="仿宋" w:cs="仿宋"/>
          <w:color w:val="auto"/>
          <w:highlight w:val="none"/>
        </w:rPr>
        <w:t>》签订，相关单位要求适用合同通用格式版本的，按其</w:t>
      </w:r>
      <w:r>
        <w:rPr>
          <w:rFonts w:hint="eastAsia" w:cs="仿宋"/>
          <w:color w:val="auto"/>
          <w:highlight w:val="none"/>
          <w:lang w:val="en-US" w:eastAsia="zh-CN"/>
        </w:rPr>
        <w:t>规定执行</w:t>
      </w:r>
      <w:r>
        <w:rPr>
          <w:rFonts w:hint="eastAsia" w:ascii="仿宋" w:hAnsi="仿宋" w:eastAsia="仿宋" w:cs="仿宋"/>
          <w:color w:val="auto"/>
          <w:highlight w:val="none"/>
        </w:rPr>
        <w:t>。</w:t>
      </w:r>
    </w:p>
    <w:p w14:paraId="42BBA776">
      <w:pPr>
        <w:pStyle w:val="3"/>
        <w:bidi w:val="0"/>
        <w:rPr>
          <w:rFonts w:hint="eastAsia" w:ascii="仿宋" w:hAnsi="仿宋" w:eastAsia="仿宋" w:cs="仿宋"/>
          <w:color w:val="auto"/>
          <w:highlight w:val="none"/>
          <w:lang w:val="en-US" w:eastAsia="zh-CN"/>
        </w:rPr>
      </w:pPr>
      <w:bookmarkStart w:id="175" w:name="_Toc15063"/>
      <w:r>
        <w:rPr>
          <w:rFonts w:hint="eastAsia" w:ascii="仿宋" w:hAnsi="仿宋" w:eastAsia="仿宋" w:cs="仿宋"/>
          <w:color w:val="auto"/>
          <w:highlight w:val="none"/>
          <w:lang w:val="en-US" w:eastAsia="zh-CN"/>
        </w:rPr>
        <w:t>九、其他</w:t>
      </w:r>
      <w:bookmarkEnd w:id="175"/>
    </w:p>
    <w:p w14:paraId="53684FE4">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（一）参与行采家电子竞采项目的供应商在报价前应保障其平台账户余额大于或等于该参与项目预算金额的0.3%，不足100元按100元计算。</w:t>
      </w:r>
    </w:p>
    <w:p w14:paraId="6088C457">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（二）发布结果公告后，成交供应商需按成交额的0.3%缴纳平台服务费（不足100元按100元计算）。</w:t>
      </w:r>
    </w:p>
    <w:p w14:paraId="650997B9">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（三）发布结果公告后，若供应商未成交，行采家系统将根据该供应商的报价时的支付记录自动退回该笔款项。（咨询电话：023-88158017）。</w:t>
      </w:r>
    </w:p>
    <w:p w14:paraId="4579A63F">
      <w:pPr>
        <w:rPr>
          <w:rFonts w:hint="eastAsia" w:ascii="仿宋" w:hAnsi="仿宋" w:eastAsia="仿宋" w:cs="仿宋"/>
          <w:color w:val="auto"/>
          <w:highlight w:val="none"/>
        </w:rPr>
      </w:pPr>
      <w:bookmarkStart w:id="176" w:name="_Toc29339"/>
      <w:r>
        <w:rPr>
          <w:rFonts w:hint="eastAsia" w:ascii="仿宋" w:hAnsi="仿宋" w:eastAsia="仿宋" w:cs="仿宋"/>
          <w:color w:val="auto"/>
          <w:highlight w:val="none"/>
        </w:rPr>
        <w:br w:type="page"/>
      </w:r>
    </w:p>
    <w:p w14:paraId="3E9DB1B0">
      <w:pPr>
        <w:pStyle w:val="2"/>
        <w:bidi w:val="0"/>
        <w:rPr>
          <w:rFonts w:hint="eastAsia" w:ascii="仿宋" w:hAnsi="仿宋" w:eastAsia="仿宋" w:cs="仿宋"/>
          <w:color w:val="auto"/>
          <w:highlight w:val="none"/>
        </w:rPr>
      </w:pPr>
      <w:bookmarkStart w:id="177" w:name="_Toc26361"/>
      <w:r>
        <w:rPr>
          <w:rFonts w:hint="eastAsia" w:ascii="仿宋" w:hAnsi="仿宋" w:eastAsia="仿宋" w:cs="仿宋"/>
          <w:color w:val="auto"/>
          <w:highlight w:val="none"/>
        </w:rPr>
        <w:t xml:space="preserve">第六篇  </w:t>
      </w:r>
      <w:bookmarkEnd w:id="176"/>
      <w:r>
        <w:rPr>
          <w:rFonts w:hint="eastAsia" w:ascii="仿宋" w:hAnsi="仿宋" w:eastAsia="仿宋" w:cs="仿宋"/>
          <w:color w:val="auto"/>
          <w:highlight w:val="none"/>
          <w:lang w:val="en-US" w:eastAsia="zh-CN"/>
        </w:rPr>
        <w:t>采购合同</w:t>
      </w:r>
      <w:r>
        <w:rPr>
          <w:rFonts w:hint="eastAsia" w:cs="仿宋"/>
          <w:color w:val="auto"/>
          <w:highlight w:val="none"/>
          <w:lang w:val="en-US" w:eastAsia="zh-CN"/>
        </w:rPr>
        <w:t>（格式）</w:t>
      </w:r>
      <w:bookmarkEnd w:id="177"/>
    </w:p>
    <w:p w14:paraId="5309BE1A">
      <w:pPr>
        <w:bidi w:val="0"/>
        <w:spacing w:line="240" w:lineRule="auto"/>
        <w:rPr>
          <w:rFonts w:hint="eastAsia"/>
          <w:color w:val="auto"/>
          <w:highlight w:val="none"/>
        </w:rPr>
      </w:pPr>
      <w:r>
        <w:rPr>
          <w:rFonts w:hint="eastAsia"/>
          <w:color w:val="auto"/>
          <w:highlight w:val="none"/>
          <w:lang w:val="en-US" w:eastAsia="zh-CN"/>
        </w:rPr>
        <w:t>本项目采购合同</w:t>
      </w:r>
      <w:r>
        <w:rPr>
          <w:rFonts w:hint="eastAsia"/>
          <w:color w:val="auto"/>
          <w:highlight w:val="none"/>
          <w:lang w:eastAsia="zh-CN"/>
        </w:rPr>
        <w:t>由采购人与成交供应商协商后自行拟定，拟定的</w:t>
      </w:r>
      <w:r>
        <w:rPr>
          <w:rFonts w:hint="eastAsia"/>
          <w:color w:val="auto"/>
          <w:highlight w:val="none"/>
          <w:lang w:val="en-US" w:eastAsia="zh-CN"/>
        </w:rPr>
        <w:t>采购</w:t>
      </w:r>
      <w:r>
        <w:rPr>
          <w:rFonts w:hint="eastAsia"/>
          <w:color w:val="auto"/>
          <w:highlight w:val="none"/>
          <w:lang w:eastAsia="zh-CN"/>
        </w:rPr>
        <w:t>合同内容不得违背竞争性比选文件</w:t>
      </w:r>
      <w:r>
        <w:rPr>
          <w:rFonts w:hint="eastAsia"/>
          <w:color w:val="auto"/>
          <w:highlight w:val="none"/>
          <w:lang w:val="en-US" w:eastAsia="zh-CN"/>
        </w:rPr>
        <w:t>及供应商响应文件</w:t>
      </w:r>
      <w:r>
        <w:rPr>
          <w:rFonts w:hint="eastAsia"/>
          <w:color w:val="auto"/>
          <w:highlight w:val="none"/>
          <w:lang w:eastAsia="zh-CN"/>
        </w:rPr>
        <w:t>实质性要求。</w:t>
      </w:r>
    </w:p>
    <w:p w14:paraId="708031EE">
      <w:pPr>
        <w:bidi w:val="0"/>
        <w:rPr>
          <w:rFonts w:hint="eastAsia"/>
          <w:color w:val="auto"/>
          <w:highlight w:val="none"/>
        </w:rPr>
      </w:pPr>
      <w:r>
        <w:rPr>
          <w:rFonts w:hint="eastAsia"/>
          <w:color w:val="auto"/>
          <w:highlight w:val="none"/>
        </w:rPr>
        <w:t>合同原则上应按照《</w:t>
      </w:r>
      <w:r>
        <w:rPr>
          <w:rFonts w:hint="eastAsia"/>
          <w:color w:val="auto"/>
          <w:highlight w:val="none"/>
          <w:lang w:eastAsia="zh-CN"/>
        </w:rPr>
        <w:t>采购合同</w:t>
      </w:r>
      <w:r>
        <w:rPr>
          <w:rFonts w:hint="eastAsia"/>
          <w:color w:val="auto"/>
          <w:highlight w:val="none"/>
          <w:lang w:val="en-US" w:eastAsia="zh-CN"/>
        </w:rPr>
        <w:t>（格式）</w:t>
      </w:r>
      <w:r>
        <w:rPr>
          <w:rFonts w:hint="eastAsia"/>
          <w:color w:val="auto"/>
          <w:highlight w:val="none"/>
        </w:rPr>
        <w:t>》签订，相关单位要求适用合同通用格式版本的，按其</w:t>
      </w:r>
      <w:r>
        <w:rPr>
          <w:rFonts w:hint="eastAsia"/>
          <w:color w:val="auto"/>
          <w:highlight w:val="none"/>
          <w:lang w:val="en-US" w:eastAsia="zh-CN"/>
        </w:rPr>
        <w:t>规定执行</w:t>
      </w:r>
      <w:r>
        <w:rPr>
          <w:rFonts w:hint="eastAsia"/>
          <w:color w:val="auto"/>
          <w:highlight w:val="none"/>
        </w:rPr>
        <w:t>。</w:t>
      </w:r>
    </w:p>
    <w:p w14:paraId="573995D2">
      <w:pPr>
        <w:pStyle w:val="33"/>
        <w:ind w:left="0" w:leftChars="0" w:firstLine="0" w:firstLineChars="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全品目食材配送服务合同</w:t>
      </w: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模板</w:t>
      </w:r>
      <w:r>
        <w:rPr>
          <w:rFonts w:hint="eastAsia" w:ascii="仿宋" w:hAnsi="仿宋" w:cs="仿宋"/>
          <w:b/>
          <w:bCs/>
          <w:color w:val="auto"/>
          <w:sz w:val="24"/>
          <w:highlight w:val="none"/>
          <w:lang w:eastAsia="zh-CN"/>
        </w:rPr>
        <w:t>）</w:t>
      </w:r>
    </w:p>
    <w:p w14:paraId="27AE8ADC">
      <w:pPr>
        <w:pStyle w:val="33"/>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合同编号：</w:t>
      </w:r>
    </w:p>
    <w:p w14:paraId="5EEA9081">
      <w:pPr>
        <w:pStyle w:val="33"/>
        <w:rPr>
          <w:rFonts w:hint="eastAsia" w:ascii="仿宋" w:hAnsi="仿宋" w:eastAsia="仿宋" w:cs="仿宋"/>
          <w:color w:val="auto"/>
          <w:sz w:val="24"/>
          <w:highlight w:val="none"/>
        </w:rPr>
      </w:pPr>
    </w:p>
    <w:p w14:paraId="15E119BC">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甲方（采购人）名称：</w:t>
      </w:r>
      <w:r>
        <w:rPr>
          <w:rFonts w:hint="eastAsia" w:ascii="仿宋" w:hAnsi="仿宋" w:cs="仿宋"/>
          <w:color w:val="auto"/>
          <w:sz w:val="24"/>
          <w:highlight w:val="none"/>
          <w:u w:val="single"/>
          <w:lang w:val="en-US" w:eastAsia="zh-CN"/>
        </w:rPr>
        <w:t xml:space="preserve">                         </w:t>
      </w:r>
    </w:p>
    <w:p w14:paraId="0FFFEBC4">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w:t>
      </w:r>
      <w:r>
        <w:rPr>
          <w:rFonts w:hint="eastAsia" w:ascii="仿宋" w:hAnsi="仿宋" w:cs="仿宋"/>
          <w:color w:val="auto"/>
          <w:sz w:val="24"/>
          <w:highlight w:val="none"/>
          <w:u w:val="single"/>
          <w:lang w:val="en-US" w:eastAsia="zh-CN"/>
        </w:rPr>
        <w:t xml:space="preserve">                         </w:t>
      </w:r>
    </w:p>
    <w:p w14:paraId="1E237F0C">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w:t>
      </w:r>
      <w:r>
        <w:rPr>
          <w:rFonts w:hint="eastAsia" w:ascii="仿宋" w:hAnsi="仿宋" w:cs="仿宋"/>
          <w:color w:val="auto"/>
          <w:sz w:val="24"/>
          <w:highlight w:val="none"/>
          <w:u w:val="single"/>
          <w:lang w:val="en-US" w:eastAsia="zh-CN"/>
        </w:rPr>
        <w:t xml:space="preserve">                         </w:t>
      </w:r>
    </w:p>
    <w:p w14:paraId="15D00FAC">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联系电话：</w:t>
      </w:r>
      <w:r>
        <w:rPr>
          <w:rFonts w:hint="eastAsia" w:ascii="仿宋" w:hAnsi="仿宋" w:cs="仿宋"/>
          <w:color w:val="auto"/>
          <w:sz w:val="24"/>
          <w:highlight w:val="none"/>
          <w:u w:val="single"/>
          <w:lang w:val="en-US" w:eastAsia="zh-CN"/>
        </w:rPr>
        <w:t xml:space="preserve">                         </w:t>
      </w:r>
    </w:p>
    <w:p w14:paraId="6A5F915A">
      <w:pPr>
        <w:pStyle w:val="33"/>
        <w:keepNext w:val="0"/>
        <w:keepLines w:val="0"/>
        <w:pageBreakBefore w:val="0"/>
        <w:widowControl/>
        <w:kinsoku/>
        <w:wordWrap/>
        <w:overflowPunct w:val="0"/>
        <w:topLinePunct w:val="0"/>
        <w:autoSpaceDE w:val="0"/>
        <w:autoSpaceDN w:val="0"/>
        <w:bidi w:val="0"/>
        <w:adjustRightInd/>
        <w:snapToGrid/>
        <w:ind w:firstLine="480" w:firstLineChars="200"/>
        <w:textAlignment w:val="auto"/>
        <w:rPr>
          <w:rFonts w:hint="eastAsia" w:ascii="仿宋" w:hAnsi="仿宋" w:eastAsia="仿宋" w:cs="仿宋"/>
          <w:color w:val="auto"/>
          <w:sz w:val="24"/>
          <w:highlight w:val="none"/>
        </w:rPr>
      </w:pPr>
    </w:p>
    <w:p w14:paraId="22AF09ED">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乙方（供应商）名称：</w:t>
      </w:r>
      <w:r>
        <w:rPr>
          <w:rFonts w:hint="eastAsia" w:ascii="仿宋" w:hAnsi="仿宋" w:cs="仿宋"/>
          <w:color w:val="auto"/>
          <w:sz w:val="24"/>
          <w:highlight w:val="none"/>
          <w:u w:val="single"/>
          <w:lang w:val="en-US" w:eastAsia="zh-CN"/>
        </w:rPr>
        <w:t xml:space="preserve">                         </w:t>
      </w:r>
    </w:p>
    <w:p w14:paraId="5E137B52">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w:t>
      </w:r>
      <w:r>
        <w:rPr>
          <w:rFonts w:hint="eastAsia" w:ascii="仿宋" w:hAnsi="仿宋" w:cs="仿宋"/>
          <w:color w:val="auto"/>
          <w:sz w:val="24"/>
          <w:highlight w:val="none"/>
          <w:u w:val="single"/>
          <w:lang w:val="en-US" w:eastAsia="zh-CN"/>
        </w:rPr>
        <w:t xml:space="preserve">                         </w:t>
      </w:r>
    </w:p>
    <w:p w14:paraId="362C1930">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w:t>
      </w:r>
      <w:r>
        <w:rPr>
          <w:rFonts w:hint="eastAsia" w:ascii="仿宋" w:hAnsi="仿宋" w:cs="仿宋"/>
          <w:color w:val="auto"/>
          <w:sz w:val="24"/>
          <w:highlight w:val="none"/>
          <w:u w:val="single"/>
          <w:lang w:val="en-US" w:eastAsia="zh-CN"/>
        </w:rPr>
        <w:t xml:space="preserve">                         </w:t>
      </w:r>
    </w:p>
    <w:p w14:paraId="075F511A">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w:t>
      </w:r>
      <w:r>
        <w:rPr>
          <w:rFonts w:hint="eastAsia" w:ascii="仿宋" w:hAnsi="仿宋" w:cs="仿宋"/>
          <w:color w:val="auto"/>
          <w:sz w:val="24"/>
          <w:highlight w:val="none"/>
          <w:u w:val="single"/>
          <w:lang w:val="en-US" w:eastAsia="zh-CN"/>
        </w:rPr>
        <w:t xml:space="preserve">                         </w:t>
      </w:r>
    </w:p>
    <w:p w14:paraId="0737ACE3">
      <w:pPr>
        <w:pStyle w:val="33"/>
        <w:keepNext w:val="0"/>
        <w:keepLines w:val="0"/>
        <w:pageBreakBefore w:val="0"/>
        <w:widowControl/>
        <w:kinsoku/>
        <w:wordWrap/>
        <w:overflowPunct w:val="0"/>
        <w:topLinePunct w:val="0"/>
        <w:autoSpaceDE w:val="0"/>
        <w:autoSpaceDN w:val="0"/>
        <w:bidi w:val="0"/>
        <w:adjustRightInd/>
        <w:snapToGrid/>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食品经营许可证编号：</w:t>
      </w:r>
      <w:r>
        <w:rPr>
          <w:rFonts w:hint="eastAsia" w:ascii="仿宋" w:hAnsi="仿宋" w:cs="仿宋"/>
          <w:color w:val="auto"/>
          <w:sz w:val="24"/>
          <w:highlight w:val="none"/>
          <w:u w:val="single"/>
          <w:lang w:val="en-US" w:eastAsia="zh-CN"/>
        </w:rPr>
        <w:t xml:space="preserve">                         </w:t>
      </w:r>
    </w:p>
    <w:p w14:paraId="2DE45E91">
      <w:pPr>
        <w:bidi w:val="0"/>
        <w:rPr>
          <w:rFonts w:hint="eastAsia"/>
          <w:color w:val="auto"/>
          <w:highlight w:val="none"/>
        </w:rPr>
      </w:pPr>
      <w:r>
        <w:rPr>
          <w:rFonts w:hint="eastAsia"/>
          <w:color w:val="auto"/>
          <w:highlight w:val="none"/>
          <w:lang w:val="en-US" w:eastAsia="zh-CN"/>
        </w:rPr>
        <w:t>鉴于甲方需要全品目食材配送服务，乙方具备相应的资质和能力，根据《中华人民共和国民法典》《中华人民共和国食品安全法》等相关法律法规，经双方友好协商，达成如下协议：</w:t>
      </w:r>
    </w:p>
    <w:p w14:paraId="26ED0305">
      <w:pPr>
        <w:bidi w:val="0"/>
        <w:rPr>
          <w:rFonts w:hint="eastAsia"/>
          <w:b/>
          <w:bCs/>
          <w:color w:val="auto"/>
          <w:highlight w:val="none"/>
        </w:rPr>
      </w:pPr>
      <w:r>
        <w:rPr>
          <w:rFonts w:hint="eastAsia"/>
          <w:b/>
          <w:bCs/>
          <w:color w:val="auto"/>
          <w:highlight w:val="none"/>
        </w:rPr>
        <w:t>一、服务内容</w:t>
      </w:r>
    </w:p>
    <w:p w14:paraId="40336058">
      <w:pPr>
        <w:bidi w:val="0"/>
        <w:rPr>
          <w:rFonts w:hint="eastAsia"/>
          <w:color w:val="auto"/>
          <w:highlight w:val="none"/>
        </w:rPr>
      </w:pPr>
      <w:r>
        <w:rPr>
          <w:rFonts w:hint="eastAsia"/>
          <w:color w:val="auto"/>
          <w:highlight w:val="none"/>
          <w:lang w:val="en-US" w:eastAsia="zh-CN"/>
        </w:rPr>
        <w:t>1、</w:t>
      </w:r>
      <w:r>
        <w:rPr>
          <w:rFonts w:hint="eastAsia"/>
          <w:color w:val="auto"/>
          <w:highlight w:val="none"/>
        </w:rPr>
        <w:t>配送食材范围：乙方为甲方提供全品目食材配送服务，涵盖蔬菜类、水果类、肉类、水产类、禽蛋类、粮油类、干货调料类、奶制品类、豆制品类及其他甲方需求的食材（具体品类详见附件《食材配送品类清单》）。</w:t>
      </w:r>
    </w:p>
    <w:p w14:paraId="5C6DE543">
      <w:pPr>
        <w:bidi w:val="0"/>
        <w:rPr>
          <w:rFonts w:hint="eastAsia"/>
          <w:color w:val="auto"/>
          <w:highlight w:val="none"/>
        </w:rPr>
      </w:pPr>
      <w:r>
        <w:rPr>
          <w:rFonts w:hint="eastAsia"/>
          <w:color w:val="auto"/>
          <w:highlight w:val="none"/>
          <w:lang w:val="en-US" w:eastAsia="zh-CN"/>
        </w:rPr>
        <w:t>2、</w:t>
      </w:r>
      <w:r>
        <w:rPr>
          <w:rFonts w:hint="eastAsia"/>
          <w:color w:val="auto"/>
          <w:highlight w:val="none"/>
        </w:rPr>
        <w:t>配送服务要求</w:t>
      </w:r>
    </w:p>
    <w:p w14:paraId="3B1A42E6">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乙方按照甲方每日或定期提供的订单，在约定时间内将食材配送至甲方指定地点（地址：</w:t>
      </w:r>
      <w:r>
        <w:rPr>
          <w:rFonts w:hint="eastAsia" w:ascii="仿宋" w:hAnsi="仿宋" w:cs="仿宋"/>
          <w:color w:val="auto"/>
          <w:sz w:val="24"/>
          <w:highlight w:val="none"/>
          <w:u w:val="single"/>
          <w:lang w:val="en-US" w:eastAsia="zh-CN"/>
        </w:rPr>
        <w:t xml:space="preserve">                         </w:t>
      </w:r>
      <w:r>
        <w:rPr>
          <w:rFonts w:hint="eastAsia"/>
          <w:color w:val="auto"/>
          <w:highlight w:val="none"/>
        </w:rPr>
        <w:t>）。</w:t>
      </w:r>
    </w:p>
    <w:p w14:paraId="478FA4DD">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每次配送时，乙方应提供详细的送货清单，注明食材名称、规格、数量、单价、总价等信息，并由甲方验收人员签字确认。</w:t>
      </w:r>
    </w:p>
    <w:p w14:paraId="6B953DCB">
      <w:pPr>
        <w:bidi w:val="0"/>
        <w:rPr>
          <w:rFonts w:hint="eastAsia"/>
          <w:b/>
          <w:bCs/>
          <w:color w:val="auto"/>
          <w:highlight w:val="none"/>
        </w:rPr>
      </w:pPr>
      <w:r>
        <w:rPr>
          <w:rFonts w:hint="eastAsia"/>
          <w:b/>
          <w:bCs/>
          <w:color w:val="auto"/>
          <w:highlight w:val="none"/>
        </w:rPr>
        <w:t>二、服务期限</w:t>
      </w:r>
    </w:p>
    <w:p w14:paraId="3F224B07">
      <w:pPr>
        <w:bidi w:val="0"/>
        <w:rPr>
          <w:rFonts w:hint="default"/>
          <w:color w:val="auto"/>
          <w:highlight w:val="none"/>
          <w:lang w:val="en-US" w:eastAsia="zh-CN"/>
        </w:rPr>
      </w:pPr>
      <w:r>
        <w:rPr>
          <w:rFonts w:hint="eastAsia"/>
          <w:color w:val="auto"/>
          <w:highlight w:val="none"/>
          <w:lang w:val="en-US" w:eastAsia="zh-CN"/>
        </w:rPr>
        <w:t>本合同服务期限自</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年</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月</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日起至</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年</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月</w:t>
      </w:r>
      <w:r>
        <w:rPr>
          <w:rFonts w:hint="eastAsia" w:ascii="仿宋" w:hAnsi="仿宋" w:cs="仿宋"/>
          <w:color w:val="auto"/>
          <w:sz w:val="24"/>
          <w:highlight w:val="none"/>
          <w:u w:val="single"/>
          <w:lang w:val="en-US" w:eastAsia="zh-CN"/>
        </w:rPr>
        <w:t xml:space="preserve">    </w:t>
      </w:r>
      <w:r>
        <w:rPr>
          <w:rFonts w:hint="eastAsia"/>
          <w:color w:val="auto"/>
          <w:highlight w:val="none"/>
          <w:lang w:val="en-US" w:eastAsia="zh-CN"/>
        </w:rPr>
        <w:t>日止。合同期满前30日，若成交供应商在履约考核周期内均达合格标准，且未出现重大食品安全问题等违约情形，</w:t>
      </w:r>
      <w:r>
        <w:rPr>
          <w:rFonts w:hint="eastAsia"/>
          <w:b/>
          <w:bCs/>
          <w:color w:val="auto"/>
          <w:highlight w:val="none"/>
        </w:rPr>
        <w:t>则合同自动续签1年，累计续签次数不超过2次，总服务期限最长不超过3年</w:t>
      </w:r>
      <w:r>
        <w:rPr>
          <w:rFonts w:hint="eastAsia"/>
          <w:b/>
          <w:bCs/>
          <w:color w:val="auto"/>
          <w:highlight w:val="none"/>
          <w:lang w:eastAsia="zh-CN"/>
        </w:rPr>
        <w:t>。每次合同自动续签后，双方须以书面形式（包括但不限于续签确认书、往来函件等）明确续签事实及具体期限，作为履约执行依据。</w:t>
      </w:r>
      <w:r>
        <w:rPr>
          <w:rFonts w:hint="eastAsia"/>
          <w:b/>
          <w:bCs/>
          <w:color w:val="auto"/>
          <w:highlight w:val="none"/>
          <w:lang w:val="en-US" w:eastAsia="zh-CN"/>
        </w:rPr>
        <w:t>若一方需终止合同，应提前30日书面通知对方。</w:t>
      </w:r>
    </w:p>
    <w:p w14:paraId="7AC5585C">
      <w:pPr>
        <w:bidi w:val="0"/>
        <w:rPr>
          <w:rFonts w:hint="eastAsia"/>
          <w:b/>
          <w:bCs/>
          <w:color w:val="auto"/>
          <w:highlight w:val="none"/>
        </w:rPr>
      </w:pPr>
      <w:r>
        <w:rPr>
          <w:rFonts w:hint="eastAsia"/>
          <w:b/>
          <w:bCs/>
          <w:color w:val="auto"/>
          <w:highlight w:val="none"/>
        </w:rPr>
        <w:t>三、质量标准</w:t>
      </w:r>
    </w:p>
    <w:p w14:paraId="38FFCA4C">
      <w:pPr>
        <w:bidi w:val="0"/>
        <w:rPr>
          <w:rFonts w:hint="eastAsia"/>
          <w:color w:val="auto"/>
          <w:highlight w:val="none"/>
        </w:rPr>
      </w:pPr>
      <w:r>
        <w:rPr>
          <w:rFonts w:hint="eastAsia"/>
          <w:color w:val="auto"/>
          <w:highlight w:val="none"/>
          <w:lang w:val="en-US" w:eastAsia="zh-CN"/>
        </w:rPr>
        <w:t>1、</w:t>
      </w:r>
      <w:r>
        <w:rPr>
          <w:rFonts w:hint="eastAsia"/>
          <w:color w:val="auto"/>
          <w:highlight w:val="none"/>
        </w:rPr>
        <w:t>食材质量要求</w:t>
      </w:r>
    </w:p>
    <w:p w14:paraId="05A3546B">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乙方提供的食材必须符合国家及地方相关食品安全标准，包括但不限于《中华人民共和国食品安全法》《食品安全国家标准食品中污染物限量》（GB2762）</w:t>
      </w:r>
      <w:r>
        <w:rPr>
          <w:rFonts w:hint="eastAsia"/>
          <w:color w:val="auto"/>
          <w:highlight w:val="none"/>
          <w:lang w:eastAsia="zh-CN"/>
        </w:rPr>
        <w:t>、</w:t>
      </w:r>
      <w:r>
        <w:rPr>
          <w:rFonts w:hint="eastAsia"/>
          <w:color w:val="auto"/>
          <w:highlight w:val="none"/>
        </w:rPr>
        <w:t>《食品安全国家标准食品中农药最大残留限量》（GB2763）等。</w:t>
      </w:r>
    </w:p>
    <w:p w14:paraId="65EF466D">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食材应新鲜、无变质、无异味、无虫害，具有该食材应有的色泽、形态和口感。肉类需提供动物检疫合格证明，进口食材需提供海关报关单、检验检疫证明等相关文件。</w:t>
      </w:r>
    </w:p>
    <w:p w14:paraId="49CE0134">
      <w:pPr>
        <w:bidi w:val="0"/>
        <w:rPr>
          <w:rFonts w:hint="eastAsia"/>
          <w:color w:val="auto"/>
          <w:highlight w:val="none"/>
        </w:rPr>
      </w:pPr>
      <w:r>
        <w:rPr>
          <w:rFonts w:hint="eastAsia"/>
          <w:color w:val="auto"/>
          <w:highlight w:val="none"/>
          <w:lang w:val="en-US" w:eastAsia="zh-CN"/>
        </w:rPr>
        <w:t>2、</w:t>
      </w:r>
      <w:r>
        <w:rPr>
          <w:rFonts w:hint="eastAsia"/>
          <w:color w:val="auto"/>
          <w:highlight w:val="none"/>
        </w:rPr>
        <w:t>包装要求</w:t>
      </w:r>
    </w:p>
    <w:p w14:paraId="24A83B7B">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食材包装应使用无毒、无害、清洁、卫生的材料，确保在运输和储存过程中不受到污染和损坏。</w:t>
      </w:r>
    </w:p>
    <w:p w14:paraId="4CE944E5">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包装上应清晰标注食材名称、产地、生产日期、保质期、储存条件等信息。</w:t>
      </w:r>
    </w:p>
    <w:p w14:paraId="7ED61CB7">
      <w:pPr>
        <w:bidi w:val="0"/>
        <w:rPr>
          <w:rFonts w:hint="eastAsia" w:eastAsia="仿宋"/>
          <w:b/>
          <w:bCs/>
          <w:color w:val="auto"/>
          <w:highlight w:val="none"/>
          <w:lang w:val="en-US" w:eastAsia="zh-CN"/>
        </w:rPr>
      </w:pPr>
      <w:r>
        <w:rPr>
          <w:rFonts w:hint="eastAsia"/>
          <w:b/>
          <w:bCs/>
          <w:color w:val="auto"/>
          <w:highlight w:val="none"/>
        </w:rPr>
        <w:t>四、</w:t>
      </w:r>
      <w:r>
        <w:rPr>
          <w:rFonts w:hint="eastAsia"/>
          <w:b/>
          <w:bCs/>
          <w:color w:val="auto"/>
          <w:highlight w:val="none"/>
          <w:lang w:val="en-US" w:eastAsia="zh-CN"/>
        </w:rPr>
        <w:t>询价</w:t>
      </w:r>
      <w:r>
        <w:rPr>
          <w:rFonts w:hint="eastAsia"/>
          <w:b/>
          <w:bCs/>
          <w:color w:val="auto"/>
          <w:highlight w:val="none"/>
        </w:rPr>
        <w:t>与结算</w:t>
      </w:r>
      <w:r>
        <w:rPr>
          <w:rFonts w:hint="eastAsia"/>
          <w:b/>
          <w:bCs/>
          <w:color w:val="auto"/>
          <w:highlight w:val="none"/>
          <w:lang w:val="en-US" w:eastAsia="zh-CN"/>
        </w:rPr>
        <w:t>方式</w:t>
      </w:r>
    </w:p>
    <w:p w14:paraId="40069474">
      <w:pPr>
        <w:bidi w:val="0"/>
        <w:rPr>
          <w:rFonts w:hint="eastAsia"/>
          <w:color w:val="auto"/>
          <w:highlight w:val="none"/>
          <w:u w:val="single"/>
          <w:lang w:val="en-US" w:eastAsia="zh-CN"/>
        </w:rPr>
      </w:pPr>
      <w:r>
        <w:rPr>
          <w:rFonts w:hint="eastAsia"/>
          <w:color w:val="auto"/>
          <w:highlight w:val="none"/>
          <w:u w:val="single"/>
          <w:lang w:val="en-US" w:eastAsia="zh-CN"/>
        </w:rPr>
        <w:t xml:space="preserve">                                 </w:t>
      </w:r>
    </w:p>
    <w:p w14:paraId="071F6F5C">
      <w:pPr>
        <w:bidi w:val="0"/>
        <w:rPr>
          <w:rFonts w:hint="eastAsia"/>
          <w:b/>
          <w:bCs/>
          <w:color w:val="auto"/>
          <w:highlight w:val="none"/>
          <w:lang w:val="en-US" w:eastAsia="zh-CN"/>
        </w:rPr>
      </w:pPr>
      <w:r>
        <w:rPr>
          <w:rFonts w:hint="eastAsia"/>
          <w:b/>
          <w:bCs/>
          <w:color w:val="auto"/>
          <w:highlight w:val="none"/>
          <w:lang w:val="en-US" w:eastAsia="zh-CN"/>
        </w:rPr>
        <w:t>五、付款方式</w:t>
      </w:r>
    </w:p>
    <w:p w14:paraId="40A9F6B6">
      <w:pPr>
        <w:bidi w:val="0"/>
        <w:rPr>
          <w:rFonts w:hint="default"/>
          <w:color w:val="auto"/>
          <w:highlight w:val="none"/>
          <w:u w:val="single"/>
          <w:lang w:val="en-US" w:eastAsia="zh-CN"/>
        </w:rPr>
      </w:pPr>
      <w:r>
        <w:rPr>
          <w:rFonts w:hint="eastAsia"/>
          <w:color w:val="auto"/>
          <w:highlight w:val="none"/>
          <w:u w:val="single"/>
          <w:lang w:val="en-US" w:eastAsia="zh-CN"/>
        </w:rPr>
        <w:t xml:space="preserve">                                 </w:t>
      </w:r>
    </w:p>
    <w:p w14:paraId="01F98B3B">
      <w:pPr>
        <w:bidi w:val="0"/>
        <w:rPr>
          <w:rFonts w:hint="eastAsia"/>
          <w:b/>
          <w:bCs/>
          <w:color w:val="auto"/>
          <w:highlight w:val="none"/>
        </w:rPr>
      </w:pPr>
      <w:r>
        <w:rPr>
          <w:rFonts w:hint="eastAsia"/>
          <w:b/>
          <w:bCs/>
          <w:color w:val="auto"/>
          <w:highlight w:val="none"/>
          <w:lang w:val="en-US" w:eastAsia="zh-CN"/>
        </w:rPr>
        <w:t>六</w:t>
      </w:r>
      <w:r>
        <w:rPr>
          <w:rFonts w:hint="eastAsia"/>
          <w:b/>
          <w:bCs/>
          <w:color w:val="auto"/>
          <w:highlight w:val="none"/>
        </w:rPr>
        <w:t>、双方权利与义务</w:t>
      </w:r>
    </w:p>
    <w:p w14:paraId="1B096674">
      <w:pPr>
        <w:bidi w:val="0"/>
        <w:rPr>
          <w:rFonts w:hint="eastAsia"/>
          <w:color w:val="auto"/>
          <w:highlight w:val="none"/>
        </w:rPr>
      </w:pPr>
      <w:r>
        <w:rPr>
          <w:rFonts w:hint="eastAsia"/>
          <w:color w:val="auto"/>
          <w:highlight w:val="none"/>
        </w:rPr>
        <w:t>（一）甲方权利与义务</w:t>
      </w:r>
    </w:p>
    <w:p w14:paraId="4CD26993">
      <w:pPr>
        <w:bidi w:val="0"/>
        <w:rPr>
          <w:rFonts w:hint="eastAsia"/>
          <w:color w:val="auto"/>
          <w:highlight w:val="none"/>
        </w:rPr>
      </w:pPr>
      <w:r>
        <w:rPr>
          <w:rFonts w:hint="eastAsia"/>
          <w:color w:val="auto"/>
          <w:highlight w:val="none"/>
          <w:lang w:val="en-US" w:eastAsia="zh-CN"/>
        </w:rPr>
        <w:t>1、</w:t>
      </w:r>
      <w:r>
        <w:rPr>
          <w:rFonts w:hint="eastAsia"/>
          <w:color w:val="auto"/>
          <w:highlight w:val="none"/>
        </w:rPr>
        <w:t>权利</w:t>
      </w:r>
    </w:p>
    <w:p w14:paraId="3B9CED73">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有权对乙方配送的食材进行检验、验收，如发现食材不符合质量标准或合同约定，有权拒收，并要求乙方及时更换。</w:t>
      </w:r>
    </w:p>
    <w:p w14:paraId="57D36114">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有权对乙方的配送服务进行监督和评价，提出改进意见和建议。</w:t>
      </w:r>
    </w:p>
    <w:p w14:paraId="0755D821">
      <w:pPr>
        <w:bidi w:val="0"/>
        <w:rPr>
          <w:rFonts w:hint="eastAsia"/>
          <w:color w:val="auto"/>
          <w:highlight w:val="none"/>
        </w:rPr>
      </w:pPr>
      <w:r>
        <w:rPr>
          <w:rFonts w:hint="eastAsia"/>
          <w:color w:val="auto"/>
          <w:highlight w:val="none"/>
          <w:lang w:val="en-US" w:eastAsia="zh-CN"/>
        </w:rPr>
        <w:t>2、</w:t>
      </w:r>
      <w:r>
        <w:rPr>
          <w:rFonts w:hint="eastAsia"/>
          <w:color w:val="auto"/>
          <w:highlight w:val="none"/>
        </w:rPr>
        <w:t>义务</w:t>
      </w:r>
    </w:p>
    <w:p w14:paraId="3DFDB19F">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按照合同约定及时向乙方支付食材配送费用。</w:t>
      </w:r>
    </w:p>
    <w:p w14:paraId="41F3343C">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提前合理时间向乙方提供食材订单，明确食材的种类、规格、数量等要求。</w:t>
      </w:r>
    </w:p>
    <w:p w14:paraId="1B5BBF02">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为乙方提供必要的便利条件，协助乙方完成食材的验收和交接工作。</w:t>
      </w:r>
    </w:p>
    <w:p w14:paraId="401D8195">
      <w:pPr>
        <w:bidi w:val="0"/>
        <w:rPr>
          <w:rFonts w:hint="eastAsia"/>
          <w:color w:val="auto"/>
          <w:highlight w:val="none"/>
        </w:rPr>
      </w:pPr>
      <w:r>
        <w:rPr>
          <w:rFonts w:hint="eastAsia"/>
          <w:color w:val="auto"/>
          <w:highlight w:val="none"/>
        </w:rPr>
        <w:t>（二）乙方权利与义务</w:t>
      </w:r>
    </w:p>
    <w:p w14:paraId="13C818D6">
      <w:pPr>
        <w:bidi w:val="0"/>
        <w:rPr>
          <w:rFonts w:hint="eastAsia"/>
          <w:color w:val="auto"/>
          <w:highlight w:val="none"/>
        </w:rPr>
      </w:pPr>
      <w:r>
        <w:rPr>
          <w:rFonts w:hint="eastAsia"/>
          <w:color w:val="auto"/>
          <w:highlight w:val="none"/>
          <w:lang w:val="en-US" w:eastAsia="zh-CN"/>
        </w:rPr>
        <w:t>1、</w:t>
      </w:r>
      <w:r>
        <w:rPr>
          <w:rFonts w:hint="eastAsia"/>
          <w:color w:val="auto"/>
          <w:highlight w:val="none"/>
        </w:rPr>
        <w:t>权利</w:t>
      </w:r>
    </w:p>
    <w:p w14:paraId="12CAE413">
      <w:pPr>
        <w:bidi w:val="0"/>
        <w:rPr>
          <w:rFonts w:hint="eastAsia"/>
          <w:color w:val="auto"/>
          <w:highlight w:val="none"/>
        </w:rPr>
      </w:pPr>
      <w:r>
        <w:rPr>
          <w:rFonts w:hint="eastAsia"/>
          <w:color w:val="auto"/>
          <w:highlight w:val="none"/>
        </w:rPr>
        <w:t>有权按照合同约定向甲方收取食材配送费用。</w:t>
      </w:r>
    </w:p>
    <w:p w14:paraId="0051666E">
      <w:pPr>
        <w:bidi w:val="0"/>
        <w:rPr>
          <w:rFonts w:hint="eastAsia"/>
          <w:color w:val="auto"/>
          <w:highlight w:val="none"/>
        </w:rPr>
      </w:pPr>
      <w:r>
        <w:rPr>
          <w:rFonts w:hint="eastAsia"/>
          <w:color w:val="auto"/>
          <w:highlight w:val="none"/>
          <w:lang w:val="en-US" w:eastAsia="zh-CN"/>
        </w:rPr>
        <w:t>2、</w:t>
      </w:r>
      <w:r>
        <w:rPr>
          <w:rFonts w:hint="eastAsia"/>
          <w:color w:val="auto"/>
          <w:highlight w:val="none"/>
        </w:rPr>
        <w:t>义务</w:t>
      </w:r>
    </w:p>
    <w:p w14:paraId="26AACF4A">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严格按照甲方订单要求，按时、按质、按量配送食材。如因特殊原因无法按时配送，应提前</w:t>
      </w:r>
      <w:r>
        <w:rPr>
          <w:rFonts w:hint="eastAsia"/>
          <w:color w:val="auto"/>
          <w:highlight w:val="none"/>
          <w:u w:val="single"/>
          <w:lang w:val="en-US" w:eastAsia="zh-CN"/>
        </w:rPr>
        <w:t xml:space="preserve">     </w:t>
      </w:r>
      <w:r>
        <w:rPr>
          <w:rFonts w:hint="eastAsia"/>
          <w:color w:val="auto"/>
          <w:highlight w:val="none"/>
        </w:rPr>
        <w:t>小时通知甲方，并协商解决。</w:t>
      </w:r>
    </w:p>
    <w:p w14:paraId="0AF885C6">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负责食材在配送过程中的保管和运输安全，确保食材在送达甲方指定地点时的品质符合合同要求。</w:t>
      </w:r>
    </w:p>
    <w:p w14:paraId="045677B5">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建立完善的食品安全追溯体系，保留食材采购、检验、运输等相关记录，以备甲方或相关部门检查。</w:t>
      </w:r>
    </w:p>
    <w:p w14:paraId="1C7681E2">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接受甲方的监督和评价，对甲方提出的问题和建议及时进行整改。</w:t>
      </w:r>
    </w:p>
    <w:p w14:paraId="15863482">
      <w:pPr>
        <w:bidi w:val="0"/>
        <w:rPr>
          <w:rFonts w:hint="eastAsia"/>
          <w:b/>
          <w:bCs/>
          <w:color w:val="auto"/>
          <w:highlight w:val="none"/>
        </w:rPr>
      </w:pPr>
      <w:r>
        <w:rPr>
          <w:rFonts w:hint="eastAsia"/>
          <w:b/>
          <w:bCs/>
          <w:color w:val="auto"/>
          <w:highlight w:val="none"/>
          <w:lang w:val="en-US" w:eastAsia="zh-CN"/>
        </w:rPr>
        <w:t>七</w:t>
      </w:r>
      <w:r>
        <w:rPr>
          <w:rFonts w:hint="eastAsia"/>
          <w:b/>
          <w:bCs/>
          <w:color w:val="auto"/>
          <w:highlight w:val="none"/>
        </w:rPr>
        <w:t>、违约责任</w:t>
      </w:r>
    </w:p>
    <w:p w14:paraId="0CEB149B">
      <w:pPr>
        <w:bidi w:val="0"/>
        <w:rPr>
          <w:rFonts w:hint="eastAsia"/>
          <w:color w:val="auto"/>
          <w:highlight w:val="none"/>
        </w:rPr>
      </w:pPr>
      <w:r>
        <w:rPr>
          <w:rFonts w:hint="eastAsia"/>
          <w:color w:val="auto"/>
          <w:highlight w:val="none"/>
          <w:lang w:val="en-US" w:eastAsia="zh-CN"/>
        </w:rPr>
        <w:t>1、</w:t>
      </w:r>
      <w:r>
        <w:rPr>
          <w:rFonts w:hint="eastAsia"/>
          <w:color w:val="auto"/>
          <w:highlight w:val="none"/>
        </w:rPr>
        <w:t>若乙方提供的食材不符合质量标准，甲方有权拒收，乙方应立即更换合格食材，并承担因此给甲方造成的全部损失。如同一批次食材出现</w:t>
      </w:r>
      <w:r>
        <w:rPr>
          <w:rFonts w:hint="eastAsia"/>
          <w:color w:val="auto"/>
          <w:highlight w:val="none"/>
          <w:u w:val="single"/>
          <w:lang w:val="en-US" w:eastAsia="zh-CN"/>
        </w:rPr>
        <w:t xml:space="preserve">   </w:t>
      </w:r>
      <w:r>
        <w:rPr>
          <w:rFonts w:hint="eastAsia"/>
          <w:color w:val="auto"/>
          <w:highlight w:val="none"/>
        </w:rPr>
        <w:t>次及以上质量问题，甲方有权扣除该批次食材费用的</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作为违约金；累计出现</w:t>
      </w:r>
      <w:r>
        <w:rPr>
          <w:rFonts w:hint="eastAsia"/>
          <w:color w:val="auto"/>
          <w:highlight w:val="none"/>
          <w:u w:val="single"/>
          <w:lang w:val="en-US" w:eastAsia="zh-CN"/>
        </w:rPr>
        <w:t xml:space="preserve">   </w:t>
      </w:r>
      <w:r>
        <w:rPr>
          <w:rFonts w:hint="eastAsia"/>
          <w:color w:val="auto"/>
          <w:highlight w:val="none"/>
        </w:rPr>
        <w:t>次及以上质量问题，甲方有权解除本合同，并要求乙方按照合同总金额的</w:t>
      </w:r>
      <w:r>
        <w:rPr>
          <w:rFonts w:hint="eastAsia"/>
          <w:color w:val="auto"/>
          <w:highlight w:val="none"/>
          <w:u w:val="single"/>
          <w:lang w:val="en-US" w:eastAsia="zh-CN"/>
        </w:rPr>
        <w:t xml:space="preserve">   </w:t>
      </w:r>
      <w:r>
        <w:rPr>
          <w:rFonts w:hint="eastAsia"/>
          <w:color w:val="auto"/>
          <w:highlight w:val="none"/>
        </w:rPr>
        <w:t>支付违约金。</w:t>
      </w:r>
    </w:p>
    <w:p w14:paraId="27D53CCF">
      <w:pPr>
        <w:bidi w:val="0"/>
        <w:ind w:left="240" w:leftChars="100" w:firstLine="240" w:firstLineChars="100"/>
        <w:rPr>
          <w:rFonts w:hint="eastAsia"/>
          <w:color w:val="auto"/>
          <w:highlight w:val="none"/>
        </w:rPr>
      </w:pPr>
      <w:r>
        <w:rPr>
          <w:rFonts w:hint="eastAsia"/>
          <w:color w:val="auto"/>
          <w:highlight w:val="none"/>
          <w:lang w:val="en-US" w:eastAsia="zh-CN"/>
        </w:rPr>
        <w:t>2、</w:t>
      </w:r>
      <w:r>
        <w:rPr>
          <w:rFonts w:hint="eastAsia"/>
          <w:color w:val="auto"/>
          <w:highlight w:val="none"/>
        </w:rPr>
        <w:t>若乙方未按照约定时间配送食材，每逾期一日，应按照当次配送食材费用的</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rPr>
        <w:t>向甲方支付违约金；逾期超过</w:t>
      </w:r>
      <w:r>
        <w:rPr>
          <w:rFonts w:hint="eastAsia"/>
          <w:color w:val="auto"/>
          <w:highlight w:val="none"/>
          <w:u w:val="single"/>
          <w:lang w:val="en-US" w:eastAsia="zh-CN"/>
        </w:rPr>
        <w:t xml:space="preserve">   </w:t>
      </w:r>
      <w:r>
        <w:rPr>
          <w:rFonts w:hint="eastAsia"/>
          <w:color w:val="auto"/>
          <w:highlight w:val="none"/>
        </w:rPr>
        <w:t>日，甲方有权另行采购食材，由此产生的费用差额及其他损失由乙方承担，同时甲方有权解除本合同。</w:t>
      </w:r>
    </w:p>
    <w:p w14:paraId="577A4753">
      <w:pPr>
        <w:bidi w:val="0"/>
        <w:rPr>
          <w:rFonts w:hint="eastAsia"/>
          <w:color w:val="auto"/>
          <w:highlight w:val="none"/>
        </w:rPr>
      </w:pPr>
      <w:r>
        <w:rPr>
          <w:rFonts w:hint="eastAsia"/>
          <w:color w:val="auto"/>
          <w:highlight w:val="none"/>
          <w:lang w:val="en-US" w:eastAsia="zh-CN"/>
        </w:rPr>
        <w:t>3、</w:t>
      </w:r>
      <w:r>
        <w:rPr>
          <w:rFonts w:hint="eastAsia"/>
          <w:color w:val="auto"/>
          <w:highlight w:val="none"/>
        </w:rPr>
        <w:t>若甲方未按照合同约定支付费用，每逾期一日，应按照未支付金额的</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向乙方支付违约金。</w:t>
      </w:r>
    </w:p>
    <w:p w14:paraId="16780532">
      <w:pPr>
        <w:bidi w:val="0"/>
        <w:rPr>
          <w:rFonts w:hint="eastAsia"/>
          <w:color w:val="auto"/>
          <w:highlight w:val="none"/>
        </w:rPr>
      </w:pPr>
      <w:r>
        <w:rPr>
          <w:rFonts w:hint="eastAsia"/>
          <w:color w:val="auto"/>
          <w:highlight w:val="none"/>
          <w:lang w:val="en-US" w:eastAsia="zh-CN"/>
        </w:rPr>
        <w:t>4、</w:t>
      </w:r>
      <w:r>
        <w:rPr>
          <w:rFonts w:hint="eastAsia"/>
          <w:color w:val="auto"/>
          <w:highlight w:val="none"/>
        </w:rPr>
        <w:t>任何一方违反本合同约定，给对方造成损失的，应承担赔偿责任。</w:t>
      </w:r>
    </w:p>
    <w:p w14:paraId="2BC5AFE3">
      <w:pPr>
        <w:bidi w:val="0"/>
        <w:rPr>
          <w:rFonts w:hint="eastAsia"/>
          <w:b/>
          <w:bCs/>
          <w:color w:val="auto"/>
          <w:highlight w:val="none"/>
        </w:rPr>
      </w:pPr>
      <w:r>
        <w:rPr>
          <w:rFonts w:hint="eastAsia"/>
          <w:b/>
          <w:bCs/>
          <w:color w:val="auto"/>
          <w:highlight w:val="none"/>
          <w:lang w:val="en-US" w:eastAsia="zh-CN"/>
        </w:rPr>
        <w:t>八</w:t>
      </w:r>
      <w:r>
        <w:rPr>
          <w:rFonts w:hint="eastAsia"/>
          <w:b/>
          <w:bCs/>
          <w:color w:val="auto"/>
          <w:highlight w:val="none"/>
        </w:rPr>
        <w:t>、争议解决</w:t>
      </w:r>
    </w:p>
    <w:p w14:paraId="2D7F077C">
      <w:pPr>
        <w:bidi w:val="0"/>
        <w:rPr>
          <w:rFonts w:hint="eastAsia"/>
          <w:color w:val="auto"/>
          <w:highlight w:val="none"/>
        </w:rPr>
      </w:pPr>
      <w:r>
        <w:rPr>
          <w:rFonts w:hint="eastAsia"/>
          <w:color w:val="auto"/>
          <w:highlight w:val="none"/>
          <w:lang w:val="en-US" w:eastAsia="zh-CN"/>
        </w:rPr>
        <w:t>本合同在履行过程中如发生争议，双方应首先友好协商解决；协商不成的，任何一方均有权向合同签订地有管辖权的人民法院提起诉讼。</w:t>
      </w:r>
    </w:p>
    <w:p w14:paraId="059C0894">
      <w:pPr>
        <w:bidi w:val="0"/>
        <w:rPr>
          <w:rFonts w:hint="eastAsia"/>
          <w:b/>
          <w:bCs/>
          <w:color w:val="auto"/>
          <w:highlight w:val="none"/>
        </w:rPr>
      </w:pPr>
      <w:r>
        <w:rPr>
          <w:rFonts w:hint="eastAsia"/>
          <w:b/>
          <w:bCs/>
          <w:color w:val="auto"/>
          <w:highlight w:val="none"/>
          <w:lang w:val="en-US" w:eastAsia="zh-CN"/>
        </w:rPr>
        <w:t>九</w:t>
      </w:r>
      <w:r>
        <w:rPr>
          <w:rFonts w:hint="eastAsia"/>
          <w:b/>
          <w:bCs/>
          <w:color w:val="auto"/>
          <w:highlight w:val="none"/>
        </w:rPr>
        <w:t>、其他条款</w:t>
      </w:r>
    </w:p>
    <w:p w14:paraId="3907D478">
      <w:pPr>
        <w:bidi w:val="0"/>
        <w:rPr>
          <w:rFonts w:hint="eastAsia"/>
          <w:color w:val="auto"/>
          <w:highlight w:val="none"/>
        </w:rPr>
      </w:pPr>
      <w:r>
        <w:rPr>
          <w:rFonts w:hint="eastAsia"/>
          <w:color w:val="auto"/>
          <w:highlight w:val="none"/>
          <w:lang w:val="en-US" w:eastAsia="zh-CN"/>
        </w:rPr>
        <w:t>1、</w:t>
      </w:r>
      <w:r>
        <w:rPr>
          <w:rFonts w:hint="eastAsia"/>
          <w:color w:val="auto"/>
          <w:highlight w:val="none"/>
        </w:rPr>
        <w:t>本合同一式</w:t>
      </w:r>
      <w:r>
        <w:rPr>
          <w:rFonts w:hint="eastAsia"/>
          <w:color w:val="auto"/>
          <w:highlight w:val="none"/>
          <w:u w:val="single"/>
          <w:lang w:val="en-US" w:eastAsia="zh-CN"/>
        </w:rPr>
        <w:t xml:space="preserve">   </w:t>
      </w:r>
      <w:r>
        <w:rPr>
          <w:rFonts w:hint="eastAsia"/>
          <w:color w:val="auto"/>
          <w:highlight w:val="none"/>
        </w:rPr>
        <w:t>份，甲乙双方各执</w:t>
      </w:r>
      <w:r>
        <w:rPr>
          <w:rFonts w:hint="eastAsia"/>
          <w:color w:val="auto"/>
          <w:highlight w:val="none"/>
          <w:u w:val="single"/>
          <w:lang w:val="en-US" w:eastAsia="zh-CN"/>
        </w:rPr>
        <w:t xml:space="preserve">   </w:t>
      </w:r>
      <w:r>
        <w:rPr>
          <w:rFonts w:hint="eastAsia"/>
          <w:color w:val="auto"/>
          <w:highlight w:val="none"/>
        </w:rPr>
        <w:t>份，具有同等法律效力。</w:t>
      </w:r>
    </w:p>
    <w:p w14:paraId="7E0577A3">
      <w:pPr>
        <w:bidi w:val="0"/>
        <w:rPr>
          <w:rFonts w:hint="eastAsia"/>
          <w:color w:val="auto"/>
          <w:highlight w:val="none"/>
        </w:rPr>
      </w:pPr>
      <w:r>
        <w:rPr>
          <w:rFonts w:hint="eastAsia"/>
          <w:color w:val="auto"/>
          <w:highlight w:val="none"/>
          <w:lang w:val="en-US" w:eastAsia="zh-CN"/>
        </w:rPr>
        <w:t>2、</w:t>
      </w:r>
      <w:r>
        <w:rPr>
          <w:rFonts w:hint="eastAsia"/>
          <w:color w:val="auto"/>
          <w:highlight w:val="none"/>
        </w:rPr>
        <w:t>本合同自</w:t>
      </w:r>
      <w:r>
        <w:rPr>
          <w:rFonts w:hint="eastAsia"/>
          <w:color w:val="auto"/>
          <w:highlight w:val="none"/>
          <w:u w:val="single"/>
        </w:rPr>
        <w:t>双方签字（或盖章）之日起</w:t>
      </w:r>
      <w:r>
        <w:rPr>
          <w:rFonts w:hint="eastAsia"/>
          <w:color w:val="auto"/>
          <w:highlight w:val="none"/>
        </w:rPr>
        <w:t>生效。</w:t>
      </w:r>
    </w:p>
    <w:p w14:paraId="12C5C49A">
      <w:pPr>
        <w:bidi w:val="0"/>
        <w:rPr>
          <w:rFonts w:hint="eastAsia"/>
          <w:color w:val="auto"/>
          <w:highlight w:val="none"/>
        </w:rPr>
      </w:pPr>
      <w:r>
        <w:rPr>
          <w:rFonts w:hint="eastAsia"/>
          <w:color w:val="auto"/>
          <w:highlight w:val="none"/>
          <w:lang w:val="en-US" w:eastAsia="zh-CN"/>
        </w:rPr>
        <w:t>3、</w:t>
      </w:r>
      <w:r>
        <w:rPr>
          <w:rFonts w:hint="eastAsia"/>
          <w:color w:val="auto"/>
          <w:highlight w:val="none"/>
        </w:rPr>
        <w:t>本合同未尽事宜，双方可另行签订补充协议，补充协议与本合同具有同等法律效力。补充协议内容与本合同不一致的，以补充协议为准。</w:t>
      </w:r>
    </w:p>
    <w:p w14:paraId="43A24832">
      <w:pPr>
        <w:bidi w:val="0"/>
        <w:rPr>
          <w:rFonts w:hint="eastAsia"/>
          <w:color w:val="auto"/>
          <w:highlight w:val="none"/>
        </w:rPr>
      </w:pPr>
    </w:p>
    <w:p w14:paraId="511F0673">
      <w:pPr>
        <w:bidi w:val="0"/>
        <w:rPr>
          <w:rFonts w:hint="default"/>
          <w:color w:val="auto"/>
          <w:highlight w:val="none"/>
          <w:u w:val="single"/>
          <w:lang w:val="en-US" w:eastAsia="zh-CN"/>
        </w:rPr>
      </w:pPr>
      <w:r>
        <w:rPr>
          <w:rFonts w:hint="eastAsia"/>
          <w:color w:val="auto"/>
          <w:highlight w:val="none"/>
          <w:lang w:val="en-US" w:eastAsia="zh-CN"/>
        </w:rPr>
        <w:t>甲方（盖章）：</w:t>
      </w:r>
      <w:r>
        <w:rPr>
          <w:rFonts w:hint="eastAsia"/>
          <w:color w:val="auto"/>
          <w:highlight w:val="none"/>
          <w:u w:val="single"/>
          <w:lang w:val="en-US" w:eastAsia="zh-CN"/>
        </w:rPr>
        <w:t xml:space="preserve">                          </w:t>
      </w:r>
    </w:p>
    <w:p w14:paraId="18E88910">
      <w:pPr>
        <w:bidi w:val="0"/>
        <w:rPr>
          <w:rFonts w:hint="eastAsia"/>
          <w:color w:val="auto"/>
          <w:highlight w:val="none"/>
          <w:lang w:val="en-US" w:eastAsia="zh-CN"/>
        </w:rPr>
      </w:pPr>
      <w:r>
        <w:rPr>
          <w:rFonts w:hint="eastAsia"/>
          <w:color w:val="auto"/>
          <w:highlight w:val="none"/>
          <w:lang w:val="en-US" w:eastAsia="zh-CN"/>
        </w:rPr>
        <w:t>法定代表人或授权代表（签字）：</w:t>
      </w:r>
      <w:r>
        <w:rPr>
          <w:rFonts w:hint="eastAsia"/>
          <w:color w:val="auto"/>
          <w:highlight w:val="none"/>
          <w:u w:val="single"/>
          <w:lang w:val="en-US" w:eastAsia="zh-CN"/>
        </w:rPr>
        <w:t xml:space="preserve">                   </w:t>
      </w:r>
    </w:p>
    <w:p w14:paraId="4C3FD4CF">
      <w:pPr>
        <w:bidi w:val="0"/>
        <w:rPr>
          <w:rFonts w:hint="eastAsia"/>
          <w:color w:val="auto"/>
          <w:highlight w:val="none"/>
        </w:rPr>
      </w:pPr>
      <w:r>
        <w:rPr>
          <w:rFonts w:hint="eastAsia"/>
          <w:color w:val="auto"/>
          <w:highlight w:val="none"/>
          <w:lang w:val="en-US" w:eastAsia="zh-CN"/>
        </w:rPr>
        <w:t>签订日期：</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w:t>
      </w:r>
    </w:p>
    <w:p w14:paraId="3FF4DFD8">
      <w:pPr>
        <w:bidi w:val="0"/>
        <w:rPr>
          <w:rFonts w:hint="eastAsia"/>
          <w:color w:val="auto"/>
          <w:highlight w:val="none"/>
        </w:rPr>
      </w:pPr>
    </w:p>
    <w:p w14:paraId="261BA681">
      <w:pPr>
        <w:bidi w:val="0"/>
        <w:rPr>
          <w:rFonts w:hint="eastAsia"/>
          <w:color w:val="auto"/>
          <w:highlight w:val="none"/>
          <w:lang w:val="en-US" w:eastAsia="zh-CN"/>
        </w:rPr>
      </w:pPr>
      <w:r>
        <w:rPr>
          <w:rFonts w:hint="eastAsia"/>
          <w:color w:val="auto"/>
          <w:highlight w:val="none"/>
          <w:lang w:val="en-US" w:eastAsia="zh-CN"/>
        </w:rPr>
        <w:t>乙方（盖章）：</w:t>
      </w:r>
      <w:r>
        <w:rPr>
          <w:rFonts w:hint="eastAsia"/>
          <w:color w:val="auto"/>
          <w:highlight w:val="none"/>
          <w:u w:val="single"/>
          <w:lang w:val="en-US" w:eastAsia="zh-CN"/>
        </w:rPr>
        <w:t xml:space="preserve">                          </w:t>
      </w:r>
    </w:p>
    <w:p w14:paraId="551E60E0">
      <w:pPr>
        <w:bidi w:val="0"/>
        <w:rPr>
          <w:rFonts w:hint="eastAsia"/>
          <w:color w:val="auto"/>
          <w:highlight w:val="none"/>
          <w:lang w:val="en-US" w:eastAsia="zh-CN"/>
        </w:rPr>
      </w:pPr>
      <w:r>
        <w:rPr>
          <w:rFonts w:hint="eastAsia"/>
          <w:color w:val="auto"/>
          <w:highlight w:val="none"/>
          <w:lang w:val="en-US" w:eastAsia="zh-CN"/>
        </w:rPr>
        <w:t>法定代表人或授权代表（签字）：</w:t>
      </w:r>
      <w:r>
        <w:rPr>
          <w:rFonts w:hint="eastAsia"/>
          <w:color w:val="auto"/>
          <w:highlight w:val="none"/>
          <w:u w:val="single"/>
          <w:lang w:val="en-US" w:eastAsia="zh-CN"/>
        </w:rPr>
        <w:t xml:space="preserve">                   </w:t>
      </w:r>
    </w:p>
    <w:p w14:paraId="239E3BF5">
      <w:pPr>
        <w:bidi w:val="0"/>
        <w:rPr>
          <w:rFonts w:hint="eastAsia"/>
          <w:color w:val="auto"/>
          <w:highlight w:val="none"/>
        </w:rPr>
      </w:pPr>
      <w:r>
        <w:rPr>
          <w:rFonts w:hint="eastAsia"/>
          <w:color w:val="auto"/>
          <w:highlight w:val="none"/>
          <w:lang w:val="en-US" w:eastAsia="zh-CN"/>
        </w:rPr>
        <w:t>签订日期：</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w:t>
      </w:r>
    </w:p>
    <w:p w14:paraId="331F2746">
      <w:pPr>
        <w:bidi w:val="0"/>
        <w:rPr>
          <w:rFonts w:hint="eastAsia"/>
          <w:color w:val="auto"/>
          <w:highlight w:val="none"/>
        </w:rPr>
      </w:pPr>
    </w:p>
    <w:p w14:paraId="653E7529">
      <w:pPr>
        <w:pStyle w:val="33"/>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66E5B5F">
      <w:pPr>
        <w:pStyle w:val="2"/>
        <w:bidi w:val="0"/>
        <w:rPr>
          <w:rFonts w:hint="eastAsia" w:ascii="仿宋" w:hAnsi="仿宋" w:eastAsia="仿宋" w:cs="仿宋"/>
          <w:color w:val="auto"/>
          <w:highlight w:val="none"/>
        </w:rPr>
      </w:pPr>
      <w:bookmarkStart w:id="178" w:name="_Toc19011"/>
      <w:r>
        <w:rPr>
          <w:rFonts w:hint="eastAsia" w:ascii="仿宋" w:hAnsi="仿宋" w:eastAsia="仿宋" w:cs="仿宋"/>
          <w:color w:val="auto"/>
          <w:highlight w:val="none"/>
        </w:rPr>
        <w:t>第七篇  响应文件编制要求</w:t>
      </w:r>
      <w:bookmarkEnd w:id="178"/>
    </w:p>
    <w:p w14:paraId="04A104B1">
      <w:pPr>
        <w:spacing w:line="360" w:lineRule="auto"/>
        <w:jc w:val="both"/>
        <w:rPr>
          <w:rStyle w:val="25"/>
          <w:rFonts w:hint="eastAsia" w:ascii="仿宋" w:hAnsi="仿宋" w:eastAsia="仿宋" w:cs="仿宋"/>
          <w:b w:val="0"/>
          <w:bCs/>
          <w:color w:val="auto"/>
          <w:sz w:val="28"/>
          <w:szCs w:val="28"/>
          <w:highlight w:val="none"/>
        </w:rPr>
      </w:pPr>
    </w:p>
    <w:p w14:paraId="7859D776">
      <w:pPr>
        <w:spacing w:line="360" w:lineRule="auto"/>
        <w:jc w:val="both"/>
        <w:rPr>
          <w:rStyle w:val="25"/>
          <w:rFonts w:hint="eastAsia" w:ascii="仿宋" w:hAnsi="仿宋" w:eastAsia="仿宋" w:cs="仿宋"/>
          <w:b w:val="0"/>
          <w:bCs/>
          <w:color w:val="auto"/>
          <w:sz w:val="28"/>
          <w:szCs w:val="28"/>
          <w:highlight w:val="none"/>
          <w:lang w:val="en-US" w:eastAsia="zh-CN"/>
        </w:rPr>
      </w:pPr>
      <w:r>
        <w:rPr>
          <w:rStyle w:val="25"/>
          <w:rFonts w:hint="eastAsia" w:ascii="仿宋" w:hAnsi="仿宋" w:eastAsia="仿宋" w:cs="仿宋"/>
          <w:b w:val="0"/>
          <w:bCs/>
          <w:color w:val="auto"/>
          <w:sz w:val="28"/>
          <w:szCs w:val="28"/>
          <w:highlight w:val="none"/>
          <w:lang w:val="en-US" w:eastAsia="zh-CN"/>
        </w:rPr>
        <w:t>项目编号</w:t>
      </w:r>
      <w:r>
        <w:rPr>
          <w:rStyle w:val="25"/>
          <w:rFonts w:hint="eastAsia" w:ascii="仿宋" w:hAnsi="仿宋" w:eastAsia="仿宋" w:cs="仿宋"/>
          <w:b w:val="0"/>
          <w:bCs/>
          <w:color w:val="auto"/>
          <w:sz w:val="28"/>
          <w:szCs w:val="28"/>
          <w:highlight w:val="none"/>
        </w:rPr>
        <w:t>：</w:t>
      </w:r>
      <w:r>
        <w:rPr>
          <w:rStyle w:val="25"/>
          <w:rFonts w:hint="eastAsia" w:ascii="仿宋" w:hAnsi="仿宋" w:eastAsia="仿宋" w:cs="仿宋"/>
          <w:b w:val="0"/>
          <w:bCs/>
          <w:color w:val="auto"/>
          <w:sz w:val="28"/>
          <w:szCs w:val="28"/>
          <w:highlight w:val="none"/>
          <w:lang w:val="en-US" w:eastAsia="zh-CN"/>
        </w:rPr>
        <w:t xml:space="preserve"> </w:t>
      </w:r>
    </w:p>
    <w:p w14:paraId="3E81C084">
      <w:pPr>
        <w:spacing w:line="360" w:lineRule="auto"/>
        <w:jc w:val="both"/>
        <w:rPr>
          <w:rStyle w:val="25"/>
          <w:rFonts w:hint="eastAsia" w:ascii="仿宋" w:hAnsi="仿宋" w:eastAsia="仿宋" w:cs="仿宋"/>
          <w:b w:val="0"/>
          <w:bCs/>
          <w:color w:val="auto"/>
          <w:sz w:val="28"/>
          <w:szCs w:val="28"/>
          <w:highlight w:val="none"/>
        </w:rPr>
      </w:pPr>
      <w:r>
        <w:rPr>
          <w:rStyle w:val="25"/>
          <w:rFonts w:hint="eastAsia" w:ascii="仿宋" w:hAnsi="仿宋" w:eastAsia="仿宋" w:cs="仿宋"/>
          <w:b w:val="0"/>
          <w:bCs/>
          <w:color w:val="auto"/>
          <w:sz w:val="28"/>
          <w:szCs w:val="28"/>
          <w:highlight w:val="none"/>
        </w:rPr>
        <w:t>项目名称</w:t>
      </w:r>
      <w:r>
        <w:rPr>
          <w:rStyle w:val="25"/>
          <w:rFonts w:hint="eastAsia" w:ascii="仿宋" w:hAnsi="仿宋" w:eastAsia="仿宋" w:cs="仿宋"/>
          <w:b w:val="0"/>
          <w:bCs/>
          <w:color w:val="auto"/>
          <w:sz w:val="28"/>
          <w:szCs w:val="28"/>
          <w:highlight w:val="none"/>
          <w:lang w:val="en-US" w:eastAsia="zh-CN"/>
        </w:rPr>
        <w:t>：</w:t>
      </w:r>
      <w:r>
        <w:rPr>
          <w:rStyle w:val="25"/>
          <w:rFonts w:hint="eastAsia" w:ascii="仿宋" w:hAnsi="仿宋" w:eastAsia="仿宋" w:cs="仿宋"/>
          <w:b w:val="0"/>
          <w:bCs/>
          <w:color w:val="auto"/>
          <w:sz w:val="28"/>
          <w:szCs w:val="28"/>
          <w:highlight w:val="none"/>
        </w:rPr>
        <w:t xml:space="preserve">                                 </w:t>
      </w:r>
    </w:p>
    <w:p w14:paraId="1610734C">
      <w:pPr>
        <w:spacing w:line="360" w:lineRule="auto"/>
        <w:ind w:firstLine="560"/>
        <w:jc w:val="both"/>
        <w:rPr>
          <w:rStyle w:val="25"/>
          <w:rFonts w:hint="eastAsia" w:ascii="仿宋" w:hAnsi="仿宋" w:eastAsia="仿宋" w:cs="仿宋"/>
          <w:color w:val="auto"/>
          <w:sz w:val="36"/>
          <w:szCs w:val="36"/>
          <w:highlight w:val="none"/>
          <w:u w:val="single"/>
        </w:rPr>
      </w:pPr>
      <w:r>
        <w:rPr>
          <w:rStyle w:val="25"/>
          <w:rFonts w:hint="eastAsia" w:ascii="仿宋" w:hAnsi="仿宋" w:eastAsia="仿宋" w:cs="仿宋"/>
          <w:b w:val="0"/>
          <w:bCs/>
          <w:color w:val="auto"/>
          <w:sz w:val="28"/>
          <w:szCs w:val="28"/>
          <w:highlight w:val="none"/>
        </w:rPr>
        <w:t xml:space="preserve"> </w:t>
      </w:r>
    </w:p>
    <w:p w14:paraId="3B70F307">
      <w:pPr>
        <w:spacing w:line="360" w:lineRule="auto"/>
        <w:ind w:firstLine="723"/>
        <w:jc w:val="center"/>
        <w:rPr>
          <w:rStyle w:val="25"/>
          <w:rFonts w:hint="eastAsia" w:ascii="仿宋" w:hAnsi="仿宋" w:eastAsia="仿宋" w:cs="仿宋"/>
          <w:color w:val="auto"/>
          <w:sz w:val="36"/>
          <w:szCs w:val="36"/>
          <w:highlight w:val="none"/>
        </w:rPr>
      </w:pPr>
    </w:p>
    <w:p w14:paraId="44CB2A74">
      <w:pPr>
        <w:spacing w:line="360" w:lineRule="auto"/>
        <w:ind w:firstLine="723"/>
        <w:jc w:val="center"/>
        <w:rPr>
          <w:rStyle w:val="25"/>
          <w:rFonts w:hint="eastAsia" w:ascii="仿宋" w:hAnsi="仿宋" w:eastAsia="仿宋" w:cs="仿宋"/>
          <w:color w:val="auto"/>
          <w:sz w:val="36"/>
          <w:szCs w:val="36"/>
          <w:highlight w:val="none"/>
        </w:rPr>
      </w:pPr>
    </w:p>
    <w:p w14:paraId="716A814C">
      <w:pPr>
        <w:spacing w:line="360" w:lineRule="auto"/>
        <w:ind w:firstLine="723"/>
        <w:jc w:val="center"/>
        <w:rPr>
          <w:rStyle w:val="25"/>
          <w:rFonts w:hint="eastAsia" w:ascii="仿宋" w:hAnsi="仿宋" w:eastAsia="仿宋" w:cs="仿宋"/>
          <w:color w:val="auto"/>
          <w:sz w:val="36"/>
          <w:szCs w:val="36"/>
          <w:highlight w:val="none"/>
        </w:rPr>
      </w:pPr>
      <w:r>
        <w:rPr>
          <w:rStyle w:val="25"/>
          <w:rFonts w:hint="eastAsia" w:ascii="仿宋" w:hAnsi="仿宋" w:eastAsia="仿宋" w:cs="仿宋"/>
          <w:color w:val="auto"/>
          <w:sz w:val="36"/>
          <w:szCs w:val="36"/>
          <w:highlight w:val="none"/>
        </w:rPr>
        <w:t xml:space="preserve"> </w:t>
      </w:r>
    </w:p>
    <w:p w14:paraId="77EC5973">
      <w:pPr>
        <w:pStyle w:val="33"/>
        <w:spacing w:before="0" w:after="0"/>
        <w:ind w:firstLine="480"/>
        <w:rPr>
          <w:rFonts w:hint="eastAsia" w:ascii="仿宋" w:hAnsi="仿宋" w:eastAsia="仿宋" w:cs="仿宋"/>
          <w:color w:val="auto"/>
          <w:highlight w:val="none"/>
        </w:rPr>
      </w:pPr>
    </w:p>
    <w:p w14:paraId="3BC5B3F8">
      <w:pPr>
        <w:pStyle w:val="33"/>
        <w:spacing w:before="0" w:after="0"/>
        <w:ind w:firstLine="480"/>
        <w:rPr>
          <w:rFonts w:hint="eastAsia" w:ascii="仿宋" w:hAnsi="仿宋" w:eastAsia="仿宋" w:cs="仿宋"/>
          <w:color w:val="auto"/>
          <w:highlight w:val="none"/>
        </w:rPr>
      </w:pPr>
    </w:p>
    <w:p w14:paraId="6A2A0B5C">
      <w:pPr>
        <w:pStyle w:val="33"/>
        <w:spacing w:before="0" w:after="0"/>
        <w:ind w:firstLine="480"/>
        <w:rPr>
          <w:rFonts w:hint="eastAsia" w:ascii="仿宋" w:hAnsi="仿宋" w:eastAsia="仿宋" w:cs="仿宋"/>
          <w:color w:val="auto"/>
          <w:highlight w:val="none"/>
        </w:rPr>
      </w:pPr>
    </w:p>
    <w:p w14:paraId="1D58CEB9">
      <w:pPr>
        <w:spacing w:line="360" w:lineRule="auto"/>
        <w:ind w:left="0" w:leftChars="0" w:firstLine="0" w:firstLineChars="0"/>
        <w:jc w:val="center"/>
        <w:rPr>
          <w:rStyle w:val="25"/>
          <w:rFonts w:hint="eastAsia" w:ascii="仿宋" w:hAnsi="仿宋" w:eastAsia="仿宋" w:cs="仿宋"/>
          <w:color w:val="auto"/>
          <w:sz w:val="72"/>
          <w:szCs w:val="72"/>
          <w:highlight w:val="none"/>
        </w:rPr>
      </w:pPr>
      <w:r>
        <w:rPr>
          <w:rStyle w:val="25"/>
          <w:rFonts w:hint="eastAsia" w:ascii="仿宋" w:hAnsi="仿宋" w:eastAsia="仿宋" w:cs="仿宋"/>
          <w:color w:val="auto"/>
          <w:sz w:val="72"/>
          <w:szCs w:val="72"/>
          <w:highlight w:val="none"/>
        </w:rPr>
        <w:t>响应文件</w:t>
      </w:r>
    </w:p>
    <w:p w14:paraId="7F847762">
      <w:pPr>
        <w:spacing w:line="360" w:lineRule="auto"/>
        <w:jc w:val="center"/>
        <w:rPr>
          <w:rFonts w:hint="eastAsia" w:ascii="仿宋" w:hAnsi="仿宋" w:eastAsia="仿宋" w:cs="仿宋"/>
          <w:color w:val="auto"/>
          <w:sz w:val="32"/>
          <w:szCs w:val="32"/>
          <w:highlight w:val="none"/>
        </w:rPr>
      </w:pPr>
    </w:p>
    <w:p w14:paraId="7E6A95EA">
      <w:pPr>
        <w:pStyle w:val="39"/>
        <w:spacing w:line="360" w:lineRule="auto"/>
        <w:rPr>
          <w:rFonts w:hint="eastAsia" w:ascii="仿宋" w:hAnsi="仿宋" w:eastAsia="仿宋" w:cs="仿宋"/>
          <w:color w:val="auto"/>
          <w:sz w:val="18"/>
          <w:szCs w:val="18"/>
          <w:highlight w:val="none"/>
        </w:rPr>
      </w:pPr>
    </w:p>
    <w:p w14:paraId="33746B81">
      <w:pPr>
        <w:pStyle w:val="39"/>
        <w:spacing w:line="360" w:lineRule="auto"/>
        <w:rPr>
          <w:rFonts w:hint="eastAsia" w:ascii="仿宋" w:hAnsi="仿宋" w:eastAsia="仿宋" w:cs="仿宋"/>
          <w:color w:val="auto"/>
          <w:sz w:val="18"/>
          <w:szCs w:val="18"/>
          <w:highlight w:val="none"/>
        </w:rPr>
      </w:pPr>
    </w:p>
    <w:p w14:paraId="6838DEE0">
      <w:pPr>
        <w:pStyle w:val="39"/>
        <w:spacing w:line="360" w:lineRule="auto"/>
        <w:rPr>
          <w:rFonts w:hint="eastAsia" w:ascii="仿宋" w:hAnsi="仿宋" w:eastAsia="仿宋" w:cs="仿宋"/>
          <w:color w:val="auto"/>
          <w:sz w:val="18"/>
          <w:szCs w:val="18"/>
          <w:highlight w:val="none"/>
        </w:rPr>
      </w:pPr>
    </w:p>
    <w:p w14:paraId="31AE7183">
      <w:pPr>
        <w:spacing w:line="360" w:lineRule="auto"/>
        <w:ind w:firstLine="360"/>
        <w:jc w:val="center"/>
        <w:rPr>
          <w:rFonts w:hint="eastAsia" w:ascii="仿宋" w:hAnsi="仿宋" w:eastAsia="仿宋" w:cs="仿宋"/>
          <w:color w:val="auto"/>
          <w:sz w:val="18"/>
          <w:szCs w:val="18"/>
          <w:highlight w:val="none"/>
        </w:rPr>
      </w:pPr>
    </w:p>
    <w:p w14:paraId="14FEC951">
      <w:pPr>
        <w:spacing w:line="360" w:lineRule="auto"/>
        <w:ind w:firstLine="360"/>
        <w:jc w:val="center"/>
        <w:rPr>
          <w:rFonts w:hint="eastAsia" w:ascii="仿宋" w:hAnsi="仿宋" w:eastAsia="仿宋" w:cs="仿宋"/>
          <w:color w:val="auto"/>
          <w:sz w:val="18"/>
          <w:szCs w:val="18"/>
          <w:highlight w:val="none"/>
        </w:rPr>
      </w:pPr>
    </w:p>
    <w:p w14:paraId="60D1B4E3">
      <w:pPr>
        <w:spacing w:line="360" w:lineRule="auto"/>
        <w:ind w:firstLine="480"/>
        <w:jc w:val="center"/>
        <w:rPr>
          <w:rFonts w:hint="eastAsia" w:ascii="仿宋" w:hAnsi="仿宋" w:eastAsia="仿宋" w:cs="仿宋"/>
          <w:color w:val="auto"/>
          <w:sz w:val="28"/>
          <w:szCs w:val="32"/>
          <w:highlight w:val="none"/>
        </w:rPr>
      </w:pPr>
    </w:p>
    <w:p w14:paraId="00D6746D">
      <w:pPr>
        <w:spacing w:line="360" w:lineRule="auto"/>
        <w:ind w:firstLine="1400" w:firstLineChars="500"/>
        <w:jc w:val="both"/>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供应商名称：</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u w:val="single"/>
          <w:lang w:val="en-US" w:eastAsia="zh-CN"/>
        </w:rPr>
        <w:t xml:space="preserve">                  </w:t>
      </w:r>
      <w:r>
        <w:rPr>
          <w:rFonts w:hint="eastAsia" w:ascii="仿宋" w:hAnsi="仿宋" w:eastAsia="仿宋" w:cs="仿宋"/>
          <w:color w:val="auto"/>
          <w:sz w:val="28"/>
          <w:szCs w:val="32"/>
          <w:highlight w:val="none"/>
          <w:u w:val="single"/>
        </w:rPr>
        <w:t xml:space="preserve">   </w:t>
      </w:r>
      <w:r>
        <w:rPr>
          <w:rFonts w:hint="eastAsia" w:cs="仿宋"/>
          <w:color w:val="auto"/>
          <w:sz w:val="28"/>
          <w:szCs w:val="32"/>
          <w:highlight w:val="none"/>
          <w:u w:val="single"/>
          <w:lang w:eastAsia="zh-CN"/>
        </w:rPr>
        <w:t>（</w:t>
      </w:r>
      <w:r>
        <w:rPr>
          <w:rFonts w:hint="eastAsia" w:ascii="仿宋" w:hAnsi="仿宋" w:eastAsia="仿宋" w:cs="仿宋"/>
          <w:color w:val="auto"/>
          <w:sz w:val="28"/>
          <w:szCs w:val="32"/>
          <w:highlight w:val="none"/>
        </w:rPr>
        <w:t>盖单位法人章</w:t>
      </w:r>
      <w:r>
        <w:rPr>
          <w:rFonts w:hint="eastAsia" w:cs="仿宋"/>
          <w:color w:val="auto"/>
          <w:sz w:val="28"/>
          <w:szCs w:val="32"/>
          <w:highlight w:val="none"/>
          <w:lang w:eastAsia="zh-CN"/>
        </w:rPr>
        <w:t>）</w:t>
      </w:r>
    </w:p>
    <w:p w14:paraId="3CA704B9">
      <w:pPr>
        <w:spacing w:line="36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32"/>
          <w:highlight w:val="none"/>
        </w:rPr>
        <w:t>法定代表人或其委托代理人：</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u w:val="single"/>
          <w:lang w:val="en-US" w:eastAsia="zh-CN"/>
        </w:rPr>
        <w:t xml:space="preserve">  </w:t>
      </w:r>
      <w:r>
        <w:rPr>
          <w:rFonts w:hint="eastAsia" w:ascii="仿宋" w:hAnsi="仿宋" w:eastAsia="仿宋" w:cs="仿宋"/>
          <w:color w:val="auto"/>
          <w:sz w:val="28"/>
          <w:szCs w:val="32"/>
          <w:highlight w:val="none"/>
          <w:u w:val="single"/>
        </w:rPr>
        <w:t xml:space="preserve">    </w:t>
      </w:r>
      <w:r>
        <w:rPr>
          <w:rFonts w:hint="eastAsia" w:cs="仿宋"/>
          <w:color w:val="auto"/>
          <w:sz w:val="28"/>
          <w:szCs w:val="32"/>
          <w:highlight w:val="none"/>
          <w:u w:val="single"/>
          <w:lang w:eastAsia="zh-CN"/>
        </w:rPr>
        <w:t>（</w:t>
      </w:r>
      <w:r>
        <w:rPr>
          <w:rFonts w:hint="eastAsia" w:ascii="仿宋" w:hAnsi="仿宋" w:eastAsia="仿宋" w:cs="仿宋"/>
          <w:color w:val="auto"/>
          <w:sz w:val="28"/>
          <w:szCs w:val="32"/>
          <w:highlight w:val="none"/>
        </w:rPr>
        <w:t>签字</w:t>
      </w:r>
      <w:r>
        <w:rPr>
          <w:rFonts w:hint="eastAsia" w:ascii="仿宋" w:hAnsi="仿宋" w:eastAsia="仿宋" w:cs="仿宋"/>
          <w:color w:val="auto"/>
          <w:sz w:val="28"/>
          <w:szCs w:val="32"/>
          <w:highlight w:val="none"/>
          <w:lang w:val="en-US" w:eastAsia="zh-CN"/>
        </w:rPr>
        <w:t>或盖章</w:t>
      </w:r>
      <w:r>
        <w:rPr>
          <w:rFonts w:hint="eastAsia" w:cs="仿宋"/>
          <w:color w:val="auto"/>
          <w:sz w:val="28"/>
          <w:szCs w:val="32"/>
          <w:highlight w:val="none"/>
          <w:lang w:val="en-US" w:eastAsia="zh-CN"/>
        </w:rPr>
        <w:t>）</w:t>
      </w:r>
    </w:p>
    <w:p w14:paraId="2F3B8D50">
      <w:pPr>
        <w:ind w:firstLine="3080" w:firstLineChars="1100"/>
        <w:jc w:val="both"/>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u w:val="single"/>
          <w:lang w:val="en-US" w:eastAsia="zh-CN"/>
        </w:rPr>
        <w:t xml:space="preserve">     </w:t>
      </w:r>
      <w:r>
        <w:rPr>
          <w:rFonts w:hint="eastAsia" w:ascii="仿宋" w:hAnsi="仿宋" w:eastAsia="仿宋" w:cs="仿宋"/>
          <w:color w:val="auto"/>
          <w:sz w:val="28"/>
          <w:szCs w:val="32"/>
          <w:highlight w:val="none"/>
        </w:rPr>
        <w:t>年</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u w:val="single"/>
          <w:lang w:val="en-US" w:eastAsia="zh-CN"/>
        </w:rPr>
        <w:t xml:space="preserve"> </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月</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u w:val="single"/>
          <w:lang w:val="en-US" w:eastAsia="zh-CN"/>
        </w:rPr>
        <w:t xml:space="preserve">  </w:t>
      </w:r>
      <w:r>
        <w:rPr>
          <w:rFonts w:hint="eastAsia" w:ascii="仿宋" w:hAnsi="仿宋" w:eastAsia="仿宋" w:cs="仿宋"/>
          <w:color w:val="auto"/>
          <w:sz w:val="28"/>
          <w:szCs w:val="32"/>
          <w:highlight w:val="none"/>
          <w:u w:val="single"/>
        </w:rPr>
        <w:t xml:space="preserve">  </w:t>
      </w:r>
      <w:r>
        <w:rPr>
          <w:rFonts w:hint="eastAsia" w:ascii="仿宋" w:hAnsi="仿宋" w:eastAsia="仿宋" w:cs="仿宋"/>
          <w:color w:val="auto"/>
          <w:sz w:val="28"/>
          <w:szCs w:val="32"/>
          <w:highlight w:val="none"/>
        </w:rPr>
        <w:t>日</w:t>
      </w:r>
    </w:p>
    <w:p w14:paraId="3FB8920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69C72E0">
      <w:pPr>
        <w:spacing w:line="360" w:lineRule="auto"/>
        <w:rPr>
          <w:rFonts w:hint="eastAsia" w:ascii="仿宋" w:hAnsi="仿宋" w:eastAsia="仿宋" w:cs="仿宋"/>
          <w:b/>
          <w:bCs/>
          <w:color w:val="auto"/>
          <w:sz w:val="24"/>
          <w:szCs w:val="24"/>
          <w:highlight w:val="none"/>
        </w:rPr>
      </w:pPr>
    </w:p>
    <w:p w14:paraId="2709BBE3">
      <w:pPr>
        <w:spacing w:line="360" w:lineRule="auto"/>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目录</w:t>
      </w:r>
    </w:p>
    <w:p w14:paraId="5C96246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46AE4D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报价函</w:t>
      </w:r>
    </w:p>
    <w:p w14:paraId="41ADE4B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服务</w:t>
      </w:r>
      <w:r>
        <w:rPr>
          <w:rFonts w:hint="eastAsia" w:ascii="仿宋" w:hAnsi="仿宋" w:eastAsia="仿宋" w:cs="仿宋"/>
          <w:b/>
          <w:bCs/>
          <w:color w:val="auto"/>
          <w:sz w:val="24"/>
          <w:szCs w:val="24"/>
          <w:highlight w:val="none"/>
        </w:rPr>
        <w:t>部分</w:t>
      </w:r>
    </w:p>
    <w:p w14:paraId="09653D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服务方案</w:t>
      </w:r>
      <w:r>
        <w:rPr>
          <w:rFonts w:hint="eastAsia" w:ascii="仿宋" w:hAnsi="仿宋" w:eastAsia="仿宋" w:cs="仿宋"/>
          <w:color w:val="auto"/>
          <w:sz w:val="24"/>
          <w:szCs w:val="24"/>
          <w:highlight w:val="none"/>
        </w:rPr>
        <w:t>（格式自拟）</w:t>
      </w:r>
    </w:p>
    <w:p w14:paraId="7B2534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响应偏离表</w:t>
      </w:r>
    </w:p>
    <w:p w14:paraId="0D150EEC">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三、商务部分</w:t>
      </w:r>
    </w:p>
    <w:p w14:paraId="522061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5C5083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cs="仿宋"/>
          <w:color w:val="auto"/>
          <w:sz w:val="24"/>
          <w:szCs w:val="24"/>
          <w:highlight w:val="none"/>
          <w:lang w:eastAsia="zh-CN"/>
        </w:rPr>
        <w:t>其他</w:t>
      </w:r>
      <w:r>
        <w:rPr>
          <w:rFonts w:hint="eastAsia" w:ascii="仿宋" w:hAnsi="仿宋" w:eastAsia="仿宋" w:cs="仿宋"/>
          <w:color w:val="auto"/>
          <w:sz w:val="24"/>
          <w:szCs w:val="24"/>
          <w:highlight w:val="none"/>
        </w:rPr>
        <w:t>资料（格式自拟）</w:t>
      </w:r>
    </w:p>
    <w:p w14:paraId="21EAF1B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78A408C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4600CE9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（二）法定代表人身份证明书（格式</w:t>
      </w:r>
      <w:r>
        <w:rPr>
          <w:rFonts w:hint="eastAsia" w:ascii="仿宋" w:hAnsi="仿宋" w:eastAsia="仿宋" w:cs="仿宋"/>
          <w:color w:val="auto"/>
          <w:sz w:val="24"/>
          <w:szCs w:val="24"/>
          <w:highlight w:val="none"/>
          <w:lang w:eastAsia="zh-CN"/>
        </w:rPr>
        <w:t>）</w:t>
      </w:r>
    </w:p>
    <w:p w14:paraId="00E4C5D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法定代表人授权委托书（格式）</w:t>
      </w:r>
    </w:p>
    <w:p w14:paraId="3602EA6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）基本资格条件承诺函（格式）</w:t>
      </w:r>
    </w:p>
    <w:p w14:paraId="6A30085B">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）特定资格条件证书或证明文件</w:t>
      </w:r>
      <w:r>
        <w:rPr>
          <w:rFonts w:hint="eastAsia" w:ascii="仿宋" w:hAnsi="仿宋" w:eastAsia="仿宋" w:cs="仿宋"/>
          <w:color w:val="auto"/>
          <w:sz w:val="24"/>
          <w:szCs w:val="24"/>
          <w:highlight w:val="none"/>
          <w:lang w:eastAsia="zh-CN"/>
        </w:rPr>
        <w:t>（如果有）</w:t>
      </w:r>
    </w:p>
    <w:p w14:paraId="799B51B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33A14F3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业绩证明资料（如有）；</w:t>
      </w:r>
    </w:p>
    <w:p w14:paraId="389F8E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w:t>
      </w:r>
    </w:p>
    <w:p w14:paraId="22896B54">
      <w:pPr>
        <w:spacing w:line="360" w:lineRule="auto"/>
        <w:ind w:left="0" w:leftChars="0" w:firstLine="0" w:firstLineChars="0"/>
        <w:rPr>
          <w:rFonts w:hint="eastAsia" w:ascii="仿宋" w:hAnsi="仿宋" w:eastAsia="仿宋" w:cs="仿宋"/>
          <w:color w:val="auto"/>
          <w:sz w:val="24"/>
          <w:szCs w:val="24"/>
          <w:highlight w:val="none"/>
        </w:rPr>
      </w:pPr>
    </w:p>
    <w:p w14:paraId="67038B4A">
      <w:pPr>
        <w:rPr>
          <w:rFonts w:hint="eastAsia" w:ascii="仿宋" w:hAnsi="仿宋" w:eastAsia="仿宋" w:cs="仿宋"/>
          <w:color w:val="auto"/>
          <w:highlight w:val="none"/>
          <w:lang w:val="en-US" w:eastAsia="zh-CN"/>
        </w:rPr>
      </w:pPr>
      <w:bookmarkStart w:id="179" w:name="_Toc23705"/>
      <w:r>
        <w:rPr>
          <w:rFonts w:hint="eastAsia" w:ascii="仿宋" w:hAnsi="仿宋" w:eastAsia="仿宋" w:cs="仿宋"/>
          <w:color w:val="auto"/>
          <w:highlight w:val="none"/>
          <w:lang w:val="en-US" w:eastAsia="zh-CN"/>
        </w:rPr>
        <w:br w:type="page"/>
      </w:r>
    </w:p>
    <w:p w14:paraId="1A6B5E11">
      <w:pPr>
        <w:pStyle w:val="3"/>
        <w:bidi w:val="0"/>
        <w:rPr>
          <w:rFonts w:hint="eastAsia" w:ascii="仿宋" w:hAnsi="仿宋" w:eastAsia="仿宋" w:cs="仿宋"/>
          <w:color w:val="auto"/>
          <w:highlight w:val="none"/>
        </w:rPr>
      </w:pPr>
      <w:bookmarkStart w:id="180" w:name="_Toc14596"/>
      <w:r>
        <w:rPr>
          <w:rFonts w:hint="eastAsia" w:ascii="仿宋" w:hAnsi="仿宋" w:eastAsia="仿宋" w:cs="仿宋"/>
          <w:color w:val="auto"/>
          <w:highlight w:val="none"/>
          <w:lang w:val="en-US" w:eastAsia="zh-CN"/>
        </w:rPr>
        <w:t>一、经济部分</w:t>
      </w:r>
      <w:bookmarkEnd w:id="179"/>
      <w:bookmarkEnd w:id="180"/>
    </w:p>
    <w:p w14:paraId="7759D537">
      <w:pPr>
        <w:pStyle w:val="4"/>
        <w:bidi w:val="0"/>
        <w:ind w:left="0" w:leftChars="0" w:firstLine="0" w:firstLineChars="0"/>
        <w:jc w:val="center"/>
        <w:rPr>
          <w:rFonts w:hint="eastAsia"/>
          <w:color w:val="auto"/>
          <w:highlight w:val="none"/>
          <w:lang w:val="en-US" w:eastAsia="zh-CN"/>
        </w:rPr>
      </w:pPr>
      <w:r>
        <w:rPr>
          <w:rFonts w:hint="eastAsia"/>
          <w:color w:val="auto"/>
          <w:highlight w:val="none"/>
          <w:lang w:val="en-US" w:eastAsia="zh-CN"/>
        </w:rPr>
        <w:t>报价函</w:t>
      </w:r>
    </w:p>
    <w:p w14:paraId="42ED667C">
      <w:pPr>
        <w:pStyle w:val="13"/>
        <w:rPr>
          <w:rFonts w:hint="eastAsia" w:ascii="仿宋" w:hAnsi="仿宋" w:eastAsia="仿宋" w:cs="仿宋"/>
          <w:color w:val="auto"/>
          <w:highlight w:val="none"/>
          <w:lang w:val="en-US" w:eastAsia="zh-CN"/>
        </w:rPr>
      </w:pPr>
    </w:p>
    <w:p w14:paraId="73C3BF84">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14:paraId="3B325724">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，经详细研究，决定参加该项目的报价。</w:t>
      </w:r>
    </w:p>
    <w:p w14:paraId="78E18486">
      <w:pPr>
        <w:tabs>
          <w:tab w:val="left" w:pos="6300"/>
        </w:tabs>
        <w:snapToGrid w:val="0"/>
        <w:spacing w:line="360" w:lineRule="auto"/>
        <w:ind w:left="12" w:leftChars="5" w:firstLine="458" w:firstLineChars="191"/>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愿意按照</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中的一切要求，提供本项目的</w:t>
      </w:r>
      <w:r>
        <w:rPr>
          <w:rFonts w:hint="eastAsia"/>
          <w:color w:val="auto"/>
          <w:highlight w:val="none"/>
          <w:lang w:val="en-US" w:eastAsia="zh-CN"/>
        </w:rPr>
        <w:t>食材配送</w:t>
      </w:r>
      <w:r>
        <w:rPr>
          <w:rFonts w:hint="eastAsia"/>
          <w:color w:val="auto"/>
          <w:highlight w:val="none"/>
        </w:rPr>
        <w:t>服务，</w:t>
      </w:r>
      <w:r>
        <w:rPr>
          <w:rFonts w:hint="eastAsia"/>
          <w:color w:val="auto"/>
          <w:highlight w:val="none"/>
          <w:lang w:val="en-US" w:eastAsia="zh-CN"/>
        </w:rPr>
        <w:t>响应折扣系数报价为大写：</w:t>
      </w:r>
      <w:r>
        <w:rPr>
          <w:rFonts w:hint="eastAsia"/>
          <w:color w:val="auto"/>
          <w:highlight w:val="none"/>
          <w:u w:val="none"/>
          <w:lang w:val="en-US" w:eastAsia="zh-CN"/>
        </w:rPr>
        <w:t>百分之</w:t>
      </w:r>
      <w:r>
        <w:rPr>
          <w:rFonts w:hint="eastAsia"/>
          <w:color w:val="auto"/>
          <w:highlight w:val="none"/>
          <w:u w:val="single"/>
          <w:lang w:val="en-US" w:eastAsia="zh-CN"/>
        </w:rPr>
        <w:t xml:space="preserve">     </w:t>
      </w:r>
      <w:r>
        <w:rPr>
          <w:rFonts w:hint="eastAsia"/>
          <w:color w:val="auto"/>
          <w:highlight w:val="none"/>
          <w:lang w:val="en-US" w:eastAsia="zh-CN"/>
        </w:rPr>
        <w:t>，小写：</w:t>
      </w:r>
      <w:r>
        <w:rPr>
          <w:rFonts w:hint="eastAsia"/>
          <w:color w:val="auto"/>
          <w:highlight w:val="none"/>
          <w:u w:val="single"/>
          <w:lang w:val="en-US" w:eastAsia="zh-CN"/>
        </w:rPr>
        <w:t xml:space="preserve">     </w:t>
      </w:r>
      <w:r>
        <w:rPr>
          <w:rFonts w:hint="eastAsia"/>
          <w:color w:val="auto"/>
          <w:highlight w:val="none"/>
          <w:lang w:val="en-US" w:eastAsia="zh-CN"/>
        </w:rPr>
        <w:t>%</w:t>
      </w:r>
      <w:r>
        <w:rPr>
          <w:rFonts w:hint="eastAsia"/>
          <w:color w:val="auto"/>
          <w:highlight w:val="none"/>
        </w:rPr>
        <w:t>。</w:t>
      </w:r>
    </w:p>
    <w:p w14:paraId="299C7996">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我方现提交的响应文件为：电子响应文件</w:t>
      </w:r>
      <w:r>
        <w:rPr>
          <w:rFonts w:hint="eastAsia" w:ascii="仿宋" w:hAnsi="仿宋" w:eastAsia="仿宋" w:cs="仿宋"/>
          <w:i w:val="0"/>
          <w:iCs w:val="0"/>
          <w:color w:val="auto"/>
          <w:sz w:val="24"/>
          <w:szCs w:val="24"/>
          <w:highlight w:val="none"/>
          <w:u w:val="single"/>
        </w:rPr>
        <w:t>壹</w:t>
      </w:r>
      <w:r>
        <w:rPr>
          <w:rFonts w:hint="eastAsia" w:ascii="仿宋" w:hAnsi="仿宋" w:eastAsia="仿宋" w:cs="仿宋"/>
          <w:i w:val="0"/>
          <w:iCs w:val="0"/>
          <w:color w:val="auto"/>
          <w:sz w:val="24"/>
          <w:szCs w:val="24"/>
          <w:highlight w:val="none"/>
        </w:rPr>
        <w:t>份</w:t>
      </w:r>
      <w:r>
        <w:rPr>
          <w:rFonts w:hint="eastAsia" w:cs="仿宋"/>
          <w:i w:val="0"/>
          <w:iCs w:val="0"/>
          <w:color w:val="auto"/>
          <w:sz w:val="24"/>
          <w:szCs w:val="24"/>
          <w:highlight w:val="none"/>
          <w:lang w:eastAsia="zh-CN"/>
        </w:rPr>
        <w:t>（</w:t>
      </w:r>
      <w:r>
        <w:rPr>
          <w:rFonts w:hint="eastAsia" w:cs="仿宋"/>
          <w:i w:val="0"/>
          <w:iCs w:val="0"/>
          <w:color w:val="auto"/>
          <w:sz w:val="24"/>
          <w:szCs w:val="24"/>
          <w:highlight w:val="none"/>
          <w:lang w:val="en-US" w:eastAsia="zh-CN"/>
        </w:rPr>
        <w:t>PDF格式</w:t>
      </w:r>
      <w:r>
        <w:rPr>
          <w:rFonts w:hint="eastAsia"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w:t>
      </w:r>
    </w:p>
    <w:p w14:paraId="7F8CE5EC">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我方承诺：本次</w:t>
      </w:r>
      <w:r>
        <w:rPr>
          <w:rFonts w:hint="eastAsia" w:ascii="仿宋" w:hAnsi="仿宋" w:eastAsia="仿宋" w:cs="仿宋"/>
          <w:i w:val="0"/>
          <w:iCs w:val="0"/>
          <w:color w:val="auto"/>
          <w:sz w:val="24"/>
          <w:szCs w:val="24"/>
          <w:highlight w:val="none"/>
          <w:lang w:val="en-US" w:eastAsia="zh-CN"/>
        </w:rPr>
        <w:t>比选</w:t>
      </w:r>
      <w:r>
        <w:rPr>
          <w:rFonts w:hint="eastAsia" w:ascii="仿宋" w:hAnsi="仿宋" w:eastAsia="仿宋" w:cs="仿宋"/>
          <w:i w:val="0"/>
          <w:iCs w:val="0"/>
          <w:color w:val="auto"/>
          <w:sz w:val="24"/>
          <w:szCs w:val="24"/>
          <w:highlight w:val="none"/>
        </w:rPr>
        <w:t>的有效期为</w:t>
      </w:r>
      <w:r>
        <w:rPr>
          <w:rFonts w:hint="eastAsia" w:ascii="仿宋" w:hAnsi="仿宋" w:eastAsia="仿宋" w:cs="仿宋"/>
          <w:i w:val="0"/>
          <w:iCs w:val="0"/>
          <w:color w:val="auto"/>
          <w:sz w:val="24"/>
          <w:szCs w:val="24"/>
          <w:highlight w:val="none"/>
          <w:lang w:eastAsia="zh-CN"/>
        </w:rPr>
        <w:t>报价截止时间起</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天。</w:t>
      </w:r>
    </w:p>
    <w:p w14:paraId="210E6721">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我方完全理解和接受贵方</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的一切规定和要求及评审办法。</w:t>
      </w:r>
    </w:p>
    <w:p w14:paraId="67CC4FC2">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在整个</w:t>
      </w: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过程中，我方若有违规行为，</w:t>
      </w:r>
      <w:r>
        <w:rPr>
          <w:rFonts w:hint="eastAsia" w:ascii="仿宋" w:hAnsi="仿宋" w:eastAsia="仿宋" w:cs="仿宋"/>
          <w:i w:val="0"/>
          <w:iCs w:val="0"/>
          <w:color w:val="auto"/>
          <w:sz w:val="24"/>
          <w:szCs w:val="24"/>
          <w:highlight w:val="none"/>
          <w:lang w:eastAsia="zh-CN"/>
        </w:rPr>
        <w:t>自愿</w:t>
      </w:r>
      <w:r>
        <w:rPr>
          <w:rFonts w:hint="eastAsia" w:ascii="仿宋" w:hAnsi="仿宋" w:eastAsia="仿宋" w:cs="仿宋"/>
          <w:i w:val="0"/>
          <w:iCs w:val="0"/>
          <w:color w:val="auto"/>
          <w:sz w:val="24"/>
          <w:szCs w:val="24"/>
          <w:highlight w:val="none"/>
        </w:rPr>
        <w:t>接受按照《中华人民共和国</w:t>
      </w:r>
      <w:r>
        <w:rPr>
          <w:rFonts w:hint="eastAsia" w:ascii="仿宋" w:hAnsi="仿宋" w:eastAsia="仿宋" w:cs="仿宋"/>
          <w:i w:val="0"/>
          <w:iCs w:val="0"/>
          <w:color w:val="auto"/>
          <w:sz w:val="24"/>
          <w:szCs w:val="24"/>
          <w:highlight w:val="none"/>
          <w:lang w:eastAsia="zh-CN"/>
        </w:rPr>
        <w:t>政府采购</w:t>
      </w:r>
      <w:r>
        <w:rPr>
          <w:rFonts w:hint="eastAsia" w:ascii="仿宋" w:hAnsi="仿宋" w:eastAsia="仿宋" w:cs="仿宋"/>
          <w:i w:val="0"/>
          <w:iCs w:val="0"/>
          <w:color w:val="auto"/>
          <w:sz w:val="24"/>
          <w:szCs w:val="24"/>
          <w:highlight w:val="none"/>
        </w:rPr>
        <w:t>法》和《</w:t>
      </w:r>
      <w:r>
        <w:rPr>
          <w:rFonts w:hint="eastAsia" w:ascii="仿宋" w:hAnsi="仿宋" w:eastAsia="仿宋" w:cs="仿宋"/>
          <w:i w:val="0"/>
          <w:iCs w:val="0"/>
          <w:color w:val="auto"/>
          <w:sz w:val="24"/>
          <w:szCs w:val="24"/>
          <w:highlight w:val="none"/>
          <w:lang w:eastAsia="zh-CN"/>
        </w:rPr>
        <w:t>竞争性比选文件</w:t>
      </w:r>
      <w:r>
        <w:rPr>
          <w:rFonts w:hint="eastAsia" w:ascii="仿宋" w:hAnsi="仿宋" w:eastAsia="仿宋" w:cs="仿宋"/>
          <w:i w:val="0"/>
          <w:iCs w:val="0"/>
          <w:color w:val="auto"/>
          <w:sz w:val="24"/>
          <w:szCs w:val="24"/>
          <w:highlight w:val="none"/>
        </w:rPr>
        <w:t>》之规定给予惩罚。</w:t>
      </w:r>
    </w:p>
    <w:p w14:paraId="1DC4E243">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w:t>
      </w:r>
      <w:r>
        <w:rPr>
          <w:rFonts w:hint="eastAsia" w:ascii="仿宋" w:hAnsi="仿宋" w:eastAsia="仿宋" w:cs="仿宋"/>
          <w:i w:val="0"/>
          <w:iCs w:val="0"/>
          <w:color w:val="auto"/>
          <w:sz w:val="24"/>
          <w:szCs w:val="24"/>
          <w:highlight w:val="none"/>
          <w:lang w:val="en-US" w:eastAsia="zh-CN"/>
        </w:rPr>
        <w:t>.我方若成为成交供应商，</w:t>
      </w:r>
      <w:r>
        <w:rPr>
          <w:rFonts w:hint="eastAsia" w:ascii="仿宋" w:hAnsi="仿宋" w:eastAsia="仿宋" w:cs="仿宋"/>
          <w:i w:val="0"/>
          <w:iCs w:val="0"/>
          <w:color w:val="auto"/>
          <w:sz w:val="24"/>
          <w:szCs w:val="24"/>
          <w:highlight w:val="none"/>
        </w:rPr>
        <w:t>将按照</w:t>
      </w:r>
      <w:r>
        <w:rPr>
          <w:rFonts w:hint="eastAsia" w:ascii="仿宋" w:hAnsi="仿宋" w:eastAsia="仿宋" w:cs="仿宋"/>
          <w:i w:val="0"/>
          <w:iCs w:val="0"/>
          <w:color w:val="auto"/>
          <w:sz w:val="24"/>
          <w:szCs w:val="24"/>
          <w:highlight w:val="none"/>
          <w:lang w:val="en-US" w:eastAsia="zh-CN"/>
        </w:rPr>
        <w:t>采购报价</w:t>
      </w:r>
      <w:r>
        <w:rPr>
          <w:rFonts w:hint="eastAsia" w:ascii="仿宋" w:hAnsi="仿宋" w:eastAsia="仿宋" w:cs="仿宋"/>
          <w:i w:val="0"/>
          <w:iCs w:val="0"/>
          <w:color w:val="auto"/>
          <w:sz w:val="24"/>
          <w:szCs w:val="24"/>
          <w:highlight w:val="none"/>
        </w:rPr>
        <w:t>结果签订合同，</w:t>
      </w:r>
      <w:r>
        <w:rPr>
          <w:rFonts w:hint="eastAsia" w:cs="仿宋"/>
          <w:i w:val="0"/>
          <w:iCs w:val="0"/>
          <w:color w:val="auto"/>
          <w:sz w:val="24"/>
          <w:szCs w:val="24"/>
          <w:highlight w:val="none"/>
          <w:lang w:eastAsia="zh-CN"/>
        </w:rPr>
        <w:t>并</w:t>
      </w:r>
      <w:r>
        <w:rPr>
          <w:rFonts w:hint="eastAsia" w:ascii="仿宋" w:hAnsi="仿宋" w:eastAsia="仿宋" w:cs="仿宋"/>
          <w:i w:val="0"/>
          <w:iCs w:val="0"/>
          <w:color w:val="auto"/>
          <w:sz w:val="24"/>
          <w:szCs w:val="24"/>
          <w:highlight w:val="none"/>
        </w:rPr>
        <w:t>严格履行合同义务。本承诺函将成为合同不可分割的一部分，与合同具有同等的法律效力。</w:t>
      </w:r>
    </w:p>
    <w:p w14:paraId="1B8439E9">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我方理解，最低报价不是成交的唯一条件。</w:t>
      </w:r>
    </w:p>
    <w:p w14:paraId="4D211647">
      <w:pPr>
        <w:tabs>
          <w:tab w:val="left" w:pos="6300"/>
        </w:tabs>
        <w:snapToGrid w:val="0"/>
        <w:spacing w:line="360" w:lineRule="auto"/>
        <w:ind w:firstLine="570"/>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8.我方同意按竞争性比选文件规定，如果我方成为成交供应商，保证在接到成交通知书前，向采购代理机构缴纳竞争性比选文件规定的采购代理服务费。</w:t>
      </w:r>
    </w:p>
    <w:p w14:paraId="7F5BCB4F">
      <w:pPr>
        <w:tabs>
          <w:tab w:val="left" w:pos="6300"/>
        </w:tabs>
        <w:snapToGrid w:val="0"/>
        <w:spacing w:line="360" w:lineRule="auto"/>
        <w:ind w:firstLine="570"/>
        <w:rPr>
          <w:rFonts w:hint="eastAsia" w:ascii="仿宋" w:hAnsi="仿宋" w:eastAsia="仿宋" w:cs="仿宋"/>
          <w:i w:val="0"/>
          <w:iCs w:val="0"/>
          <w:color w:val="auto"/>
          <w:sz w:val="24"/>
          <w:szCs w:val="24"/>
          <w:highlight w:val="none"/>
          <w:lang w:val="en-US" w:eastAsia="zh-CN"/>
        </w:rPr>
      </w:pPr>
      <w:r>
        <w:rPr>
          <w:rFonts w:hint="eastAsia" w:cs="仿宋"/>
          <w:i w:val="0"/>
          <w:iCs w:val="0"/>
          <w:color w:val="auto"/>
          <w:sz w:val="24"/>
          <w:szCs w:val="24"/>
          <w:highlight w:val="none"/>
          <w:lang w:val="en-US" w:eastAsia="zh-CN"/>
        </w:rPr>
        <w:t>9.</w:t>
      </w:r>
      <w:r>
        <w:rPr>
          <w:rFonts w:hint="eastAsia" w:ascii="宋体" w:hAnsi="宋体" w:cs="宋体"/>
          <w:color w:val="auto"/>
          <w:sz w:val="24"/>
          <w:szCs w:val="28"/>
          <w:highlight w:val="none"/>
        </w:rPr>
        <w:t>我方同意按有关规定及</w:t>
      </w:r>
      <w:r>
        <w:rPr>
          <w:rFonts w:hint="eastAsia" w:ascii="宋体" w:hAnsi="宋体" w:cs="宋体"/>
          <w:color w:val="auto"/>
          <w:sz w:val="24"/>
          <w:szCs w:val="28"/>
          <w:highlight w:val="none"/>
          <w:lang w:val="en-US" w:eastAsia="zh-CN"/>
        </w:rPr>
        <w:t>竞争性比选</w:t>
      </w:r>
      <w:r>
        <w:rPr>
          <w:rFonts w:hint="eastAsia" w:ascii="宋体" w:hAnsi="宋体" w:cs="宋体"/>
          <w:color w:val="auto"/>
          <w:sz w:val="24"/>
          <w:szCs w:val="28"/>
          <w:highlight w:val="none"/>
        </w:rPr>
        <w:t>文件要求，交纳足额</w:t>
      </w:r>
      <w:r>
        <w:rPr>
          <w:rFonts w:hint="eastAsia" w:ascii="宋体" w:hAnsi="宋体" w:cs="宋体"/>
          <w:color w:val="auto"/>
          <w:sz w:val="24"/>
          <w:szCs w:val="28"/>
          <w:highlight w:val="none"/>
          <w:lang w:val="en-US" w:eastAsia="zh-CN"/>
        </w:rPr>
        <w:t>履约</w:t>
      </w:r>
      <w:r>
        <w:rPr>
          <w:rFonts w:hint="eastAsia" w:ascii="宋体" w:hAnsi="宋体" w:cs="宋体"/>
          <w:color w:val="auto"/>
          <w:sz w:val="24"/>
          <w:szCs w:val="28"/>
          <w:highlight w:val="none"/>
        </w:rPr>
        <w:t>保证金</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lang w:val="en-US" w:eastAsia="zh-CN"/>
        </w:rPr>
        <w:t>如有</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w:t>
      </w:r>
    </w:p>
    <w:p w14:paraId="421A5BB0">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4EFF662E">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28E738DC">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7DF92993">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0BDEC2D0">
      <w:pPr>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年   月   日</w:t>
      </w:r>
    </w:p>
    <w:p w14:paraId="14A6BBD7">
      <w:pP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br w:type="page"/>
      </w:r>
    </w:p>
    <w:p w14:paraId="5AF26C3C">
      <w:pPr>
        <w:pStyle w:val="3"/>
        <w:bidi w:val="0"/>
        <w:rPr>
          <w:rFonts w:hint="eastAsia" w:ascii="仿宋" w:hAnsi="仿宋" w:eastAsia="仿宋" w:cs="仿宋"/>
          <w:color w:val="auto"/>
          <w:highlight w:val="none"/>
        </w:rPr>
      </w:pPr>
      <w:bookmarkStart w:id="181" w:name="_Toc3192"/>
      <w:bookmarkStart w:id="182" w:name="_Toc29652"/>
      <w:bookmarkStart w:id="183" w:name="_Toc486585241"/>
      <w:bookmarkStart w:id="184" w:name="_Toc487204798"/>
      <w:bookmarkStart w:id="185" w:name="_Toc486608278"/>
      <w:bookmarkStart w:id="186" w:name="_Toc700"/>
      <w:bookmarkStart w:id="187" w:name="_Toc9090"/>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部分</w:t>
      </w:r>
      <w:bookmarkEnd w:id="181"/>
      <w:bookmarkEnd w:id="182"/>
      <w:bookmarkEnd w:id="183"/>
      <w:bookmarkEnd w:id="184"/>
      <w:bookmarkEnd w:id="185"/>
      <w:bookmarkEnd w:id="186"/>
      <w:bookmarkEnd w:id="187"/>
    </w:p>
    <w:p w14:paraId="0436D67D">
      <w:pPr>
        <w:pStyle w:val="4"/>
        <w:bidi w:val="0"/>
        <w:rPr>
          <w:rFonts w:hint="eastAsia" w:ascii="仿宋" w:hAnsi="仿宋" w:eastAsia="仿宋" w:cs="仿宋"/>
          <w:color w:val="auto"/>
          <w:szCs w:val="24"/>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服务方案</w:t>
      </w:r>
      <w:r>
        <w:rPr>
          <w:rFonts w:hint="eastAsia" w:ascii="仿宋" w:hAnsi="仿宋" w:eastAsia="仿宋" w:cs="仿宋"/>
          <w:color w:val="auto"/>
          <w:highlight w:val="none"/>
        </w:rPr>
        <w:t>（格式自拟）</w:t>
      </w:r>
    </w:p>
    <w:p w14:paraId="084E4817">
      <w:pPr>
        <w:bidi w:val="0"/>
        <w:rPr>
          <w:rFonts w:hint="eastAsia" w:ascii="仿宋" w:hAnsi="仿宋" w:eastAsia="仿宋" w:cs="仿宋"/>
          <w:color w:val="auto"/>
          <w:highlight w:val="none"/>
        </w:rPr>
      </w:pPr>
    </w:p>
    <w:p w14:paraId="39254B2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90637CA">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响应偏离表</w:t>
      </w:r>
    </w:p>
    <w:p w14:paraId="031CBCB9">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BA9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ED3A72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658" w:type="dxa"/>
            <w:noWrap w:val="0"/>
            <w:vAlign w:val="center"/>
          </w:tcPr>
          <w:p w14:paraId="1655B78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采购需求</w:t>
            </w:r>
          </w:p>
        </w:tc>
        <w:tc>
          <w:tcPr>
            <w:tcW w:w="2759" w:type="dxa"/>
            <w:noWrap w:val="0"/>
            <w:vAlign w:val="center"/>
          </w:tcPr>
          <w:p w14:paraId="7173A36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响应情况</w:t>
            </w:r>
          </w:p>
        </w:tc>
        <w:tc>
          <w:tcPr>
            <w:tcW w:w="2067" w:type="dxa"/>
            <w:noWrap w:val="0"/>
            <w:vAlign w:val="center"/>
          </w:tcPr>
          <w:p w14:paraId="3A26228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差异说明</w:t>
            </w:r>
          </w:p>
        </w:tc>
      </w:tr>
      <w:tr w14:paraId="6B81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47D988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0FB0C9A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3340A9B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 w:hAnsi="仿宋" w:eastAsia="仿宋" w:cs="仿宋"/>
                <w:color w:val="auto"/>
                <w:highlight w:val="none"/>
              </w:rPr>
            </w:pPr>
          </w:p>
        </w:tc>
        <w:tc>
          <w:tcPr>
            <w:tcW w:w="2067" w:type="dxa"/>
            <w:noWrap w:val="0"/>
            <w:vAlign w:val="center"/>
          </w:tcPr>
          <w:p w14:paraId="6F051F7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46FE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26FCDF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644C01A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65A16A1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0AE357B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7641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840730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6C99E04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357C8E6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6FBACB0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6BC1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555733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31FBB52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58AD7DF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77FCDCD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2195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C79B7D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5B1C45C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31EB18F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0A96245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141C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65D37D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0B2E92B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32BC5E6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30136DE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58C2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880377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658" w:type="dxa"/>
            <w:noWrap w:val="0"/>
            <w:vAlign w:val="center"/>
          </w:tcPr>
          <w:p w14:paraId="23AD999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759" w:type="dxa"/>
            <w:noWrap w:val="0"/>
            <w:vAlign w:val="center"/>
          </w:tcPr>
          <w:p w14:paraId="049992C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067" w:type="dxa"/>
            <w:noWrap w:val="0"/>
            <w:vAlign w:val="center"/>
          </w:tcPr>
          <w:p w14:paraId="58AD552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jc w:val="center"/>
              <w:textAlignment w:val="auto"/>
              <w:outlineLvl w:val="0"/>
              <w:rPr>
                <w:rFonts w:hint="eastAsia" w:ascii="仿宋" w:hAnsi="仿宋" w:eastAsia="仿宋" w:cs="仿宋"/>
                <w:color w:val="auto"/>
                <w:sz w:val="21"/>
                <w:szCs w:val="21"/>
                <w:highlight w:val="none"/>
              </w:rPr>
            </w:pPr>
          </w:p>
        </w:tc>
      </w:tr>
    </w:tbl>
    <w:p w14:paraId="3F1A4C7F">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118CB0D8">
      <w:pPr>
        <w:spacing w:line="500" w:lineRule="exact"/>
        <w:rPr>
          <w:rFonts w:hint="eastAsia" w:ascii="仿宋" w:hAnsi="仿宋" w:eastAsia="仿宋" w:cs="仿宋"/>
          <w:color w:val="auto"/>
          <w:sz w:val="24"/>
          <w:highlight w:val="none"/>
        </w:rPr>
      </w:pPr>
    </w:p>
    <w:p w14:paraId="048F7501">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732C7A52">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7D40B5DD">
      <w:pPr>
        <w:bidi w:val="0"/>
        <w:rPr>
          <w:rFonts w:hint="eastAsia" w:ascii="仿宋" w:hAnsi="仿宋" w:eastAsia="仿宋" w:cs="仿宋"/>
          <w:color w:val="auto"/>
          <w:highlight w:val="none"/>
        </w:rPr>
      </w:pPr>
      <w:r>
        <w:rPr>
          <w:rFonts w:hint="eastAsia" w:ascii="仿宋" w:hAnsi="仿宋" w:eastAsia="仿宋" w:cs="仿宋"/>
          <w:color w:val="auto"/>
          <w:highlight w:val="none"/>
        </w:rPr>
        <w:t>注：</w:t>
      </w:r>
    </w:p>
    <w:p w14:paraId="3A7A8761">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1.本表即为对本项目“第二篇 </w:t>
      </w:r>
      <w:r>
        <w:rPr>
          <w:rFonts w:hint="eastAsia" w:cs="仿宋"/>
          <w:color w:val="auto"/>
          <w:highlight w:val="none"/>
          <w:lang w:eastAsia="zh-CN"/>
        </w:rPr>
        <w:t>项目服务需求</w:t>
      </w:r>
      <w:r>
        <w:rPr>
          <w:rFonts w:hint="eastAsia" w:ascii="仿宋" w:hAnsi="仿宋" w:eastAsia="仿宋" w:cs="仿宋"/>
          <w:color w:val="auto"/>
          <w:highlight w:val="none"/>
        </w:rPr>
        <w:t>”中所列条款进行比较和响应；</w:t>
      </w:r>
    </w:p>
    <w:p w14:paraId="72CD5E4E">
      <w:pPr>
        <w:bidi w:val="0"/>
        <w:rPr>
          <w:rFonts w:hint="eastAsia" w:ascii="仿宋" w:hAnsi="仿宋" w:eastAsia="仿宋" w:cs="仿宋"/>
          <w:color w:val="auto"/>
          <w:highlight w:val="none"/>
        </w:rPr>
      </w:pPr>
      <w:r>
        <w:rPr>
          <w:rFonts w:hint="eastAsia" w:ascii="仿宋" w:hAnsi="仿宋" w:eastAsia="仿宋" w:cs="仿宋"/>
          <w:color w:val="auto"/>
          <w:highlight w:val="none"/>
        </w:rPr>
        <w:t>2.该表必须按照采购</w:t>
      </w:r>
      <w:r>
        <w:rPr>
          <w:rFonts w:hint="eastAsia" w:ascii="仿宋" w:hAnsi="仿宋" w:eastAsia="仿宋" w:cs="仿宋"/>
          <w:color w:val="auto"/>
          <w:highlight w:val="none"/>
          <w:lang w:eastAsia="zh-CN"/>
        </w:rPr>
        <w:t>需求</w:t>
      </w:r>
      <w:r>
        <w:rPr>
          <w:rFonts w:hint="eastAsia" w:ascii="仿宋" w:hAnsi="仿宋" w:eastAsia="仿宋" w:cs="仿宋"/>
          <w:color w:val="auto"/>
          <w:highlight w:val="none"/>
        </w:rPr>
        <w:t>逐条如实填写，</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根据响应情况在“差异说明”项填写正偏离或负偏离及原因，完全符合的填写“无差异”。</w:t>
      </w:r>
    </w:p>
    <w:p w14:paraId="4DF1F4B5">
      <w:pPr>
        <w:bidi w:val="0"/>
        <w:rPr>
          <w:rFonts w:hint="eastAsia" w:ascii="仿宋" w:hAnsi="仿宋" w:eastAsia="仿宋" w:cs="仿宋"/>
          <w:color w:val="auto"/>
          <w:highlight w:val="none"/>
        </w:rPr>
      </w:pPr>
      <w:r>
        <w:rPr>
          <w:rFonts w:hint="eastAsia" w:ascii="仿宋" w:hAnsi="仿宋" w:eastAsia="仿宋" w:cs="仿宋"/>
          <w:color w:val="auto"/>
          <w:highlight w:val="none"/>
        </w:rPr>
        <w:t>3.该表如有扩展，须逐页签字</w:t>
      </w:r>
      <w:r>
        <w:rPr>
          <w:rFonts w:hint="eastAsia" w:cs="仿宋"/>
          <w:color w:val="auto"/>
          <w:highlight w:val="none"/>
          <w:lang w:val="en-US" w:eastAsia="zh-CN"/>
        </w:rPr>
        <w:t>并</w:t>
      </w:r>
      <w:r>
        <w:rPr>
          <w:rFonts w:hint="eastAsia" w:ascii="仿宋" w:hAnsi="仿宋" w:eastAsia="仿宋" w:cs="仿宋"/>
          <w:color w:val="auto"/>
          <w:highlight w:val="none"/>
        </w:rPr>
        <w:t>盖章。</w:t>
      </w:r>
    </w:p>
    <w:p w14:paraId="0E9282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F5C4E59">
      <w:pPr>
        <w:pStyle w:val="3"/>
        <w:bidi w:val="0"/>
        <w:rPr>
          <w:rFonts w:hint="eastAsia" w:ascii="仿宋" w:hAnsi="仿宋" w:eastAsia="仿宋" w:cs="仿宋"/>
          <w:color w:val="auto"/>
          <w:highlight w:val="none"/>
        </w:rPr>
      </w:pPr>
      <w:bookmarkStart w:id="188" w:name="_Toc15807"/>
      <w:bookmarkStart w:id="189" w:name="_Toc31584"/>
      <w:r>
        <w:rPr>
          <w:rFonts w:hint="eastAsia" w:ascii="仿宋" w:hAnsi="仿宋" w:eastAsia="仿宋" w:cs="仿宋"/>
          <w:color w:val="auto"/>
          <w:highlight w:val="none"/>
        </w:rPr>
        <w:t>三、商务部分</w:t>
      </w:r>
      <w:bookmarkEnd w:id="188"/>
      <w:bookmarkEnd w:id="189"/>
    </w:p>
    <w:p w14:paraId="5BFF2426">
      <w:pPr>
        <w:pStyle w:val="4"/>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商务响应偏离表</w:t>
      </w:r>
    </w:p>
    <w:p w14:paraId="7DB1118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FF5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10" w:type="dxa"/>
            <w:noWrap w:val="0"/>
            <w:vAlign w:val="center"/>
          </w:tcPr>
          <w:p w14:paraId="4CC4EF3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79" w:type="dxa"/>
            <w:noWrap w:val="0"/>
            <w:vAlign w:val="center"/>
          </w:tcPr>
          <w:p w14:paraId="38426C6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采购需求</w:t>
            </w:r>
          </w:p>
        </w:tc>
        <w:tc>
          <w:tcPr>
            <w:tcW w:w="2434" w:type="dxa"/>
            <w:noWrap w:val="0"/>
            <w:vAlign w:val="center"/>
          </w:tcPr>
          <w:p w14:paraId="3CFC4DA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响应情况</w:t>
            </w:r>
          </w:p>
        </w:tc>
        <w:tc>
          <w:tcPr>
            <w:tcW w:w="2355" w:type="dxa"/>
            <w:noWrap w:val="0"/>
            <w:vAlign w:val="center"/>
          </w:tcPr>
          <w:p w14:paraId="6B0B07E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差异说明</w:t>
            </w:r>
          </w:p>
        </w:tc>
      </w:tr>
      <w:tr w14:paraId="440D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7530B0E8">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42EC0102">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72DAC7A4">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仿宋" w:hAnsi="仿宋" w:eastAsia="仿宋" w:cs="仿宋"/>
                <w:color w:val="auto"/>
                <w:sz w:val="21"/>
                <w:szCs w:val="21"/>
                <w:highlight w:val="none"/>
              </w:rPr>
            </w:pPr>
          </w:p>
        </w:tc>
        <w:tc>
          <w:tcPr>
            <w:tcW w:w="2355" w:type="dxa"/>
            <w:noWrap w:val="0"/>
            <w:vAlign w:val="center"/>
          </w:tcPr>
          <w:p w14:paraId="27496999">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7330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5BB96157">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1EBEBABB">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3A967D8E">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24BA47D6">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76FA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0F274A2A">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49B488DD">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77A69F46">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5FA3DA48">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082D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6B774E89">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056E9035">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509072CF">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79DC73FA">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4723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304E7041">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1953A005">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64AB96FD">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186773BA">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r w14:paraId="7C17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noWrap w:val="0"/>
            <w:vAlign w:val="center"/>
          </w:tcPr>
          <w:p w14:paraId="5B020793">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3179" w:type="dxa"/>
            <w:noWrap w:val="0"/>
            <w:vAlign w:val="center"/>
          </w:tcPr>
          <w:p w14:paraId="2CF14999">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434" w:type="dxa"/>
            <w:noWrap w:val="0"/>
            <w:vAlign w:val="center"/>
          </w:tcPr>
          <w:p w14:paraId="7DD0654F">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c>
          <w:tcPr>
            <w:tcW w:w="2355" w:type="dxa"/>
            <w:noWrap w:val="0"/>
            <w:vAlign w:val="center"/>
          </w:tcPr>
          <w:p w14:paraId="4F749621">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0" w:firstLineChars="0"/>
              <w:jc w:val="center"/>
              <w:textAlignment w:val="auto"/>
              <w:outlineLvl w:val="0"/>
              <w:rPr>
                <w:rFonts w:hint="eastAsia" w:ascii="仿宋" w:hAnsi="仿宋" w:eastAsia="仿宋" w:cs="仿宋"/>
                <w:color w:val="auto"/>
                <w:sz w:val="21"/>
                <w:szCs w:val="21"/>
                <w:highlight w:val="none"/>
              </w:rPr>
            </w:pPr>
          </w:p>
        </w:tc>
      </w:tr>
    </w:tbl>
    <w:p w14:paraId="742EEA35">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7D54216E">
      <w:pPr>
        <w:spacing w:line="5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4B9B9783">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CABE8DB">
      <w:pPr>
        <w:bidi w:val="0"/>
        <w:rPr>
          <w:rFonts w:hint="eastAsia" w:ascii="仿宋" w:hAnsi="仿宋" w:eastAsia="仿宋" w:cs="仿宋"/>
          <w:color w:val="auto"/>
          <w:highlight w:val="none"/>
        </w:rPr>
      </w:pPr>
      <w:r>
        <w:rPr>
          <w:rFonts w:hint="eastAsia" w:ascii="仿宋" w:hAnsi="仿宋" w:eastAsia="仿宋" w:cs="仿宋"/>
          <w:color w:val="auto"/>
          <w:highlight w:val="none"/>
        </w:rPr>
        <w:t>注：</w:t>
      </w:r>
    </w:p>
    <w:p w14:paraId="56B96907">
      <w:pPr>
        <w:bidi w:val="0"/>
        <w:rPr>
          <w:rFonts w:hint="eastAsia" w:ascii="仿宋" w:hAnsi="仿宋" w:eastAsia="仿宋" w:cs="仿宋"/>
          <w:color w:val="auto"/>
          <w:highlight w:val="none"/>
        </w:rPr>
      </w:pPr>
      <w:r>
        <w:rPr>
          <w:rFonts w:hint="eastAsia" w:ascii="仿宋" w:hAnsi="仿宋" w:eastAsia="仿宋" w:cs="仿宋"/>
          <w:color w:val="auto"/>
          <w:highlight w:val="none"/>
        </w:rPr>
        <w:t>1.本表即为对本项目“第三篇 项目商务需求”中所列条款进行比较和响应；</w:t>
      </w:r>
    </w:p>
    <w:p w14:paraId="7A132495">
      <w:pPr>
        <w:bidi w:val="0"/>
        <w:rPr>
          <w:rFonts w:hint="eastAsia" w:ascii="仿宋" w:hAnsi="仿宋" w:eastAsia="仿宋" w:cs="仿宋"/>
          <w:color w:val="auto"/>
          <w:highlight w:val="none"/>
        </w:rPr>
      </w:pPr>
      <w:r>
        <w:rPr>
          <w:rFonts w:hint="eastAsia" w:ascii="仿宋" w:hAnsi="仿宋" w:eastAsia="仿宋" w:cs="仿宋"/>
          <w:color w:val="auto"/>
          <w:highlight w:val="none"/>
        </w:rPr>
        <w:t>2.该表必须按照采购要求逐条如实填写，</w:t>
      </w:r>
      <w:r>
        <w:rPr>
          <w:rFonts w:hint="eastAsia" w:ascii="仿宋" w:hAnsi="仿宋" w:eastAsia="仿宋" w:cs="仿宋"/>
          <w:color w:val="auto"/>
          <w:highlight w:val="none"/>
          <w:lang w:eastAsia="zh-CN"/>
        </w:rPr>
        <w:t>并</w:t>
      </w:r>
      <w:r>
        <w:rPr>
          <w:rFonts w:hint="eastAsia" w:ascii="仿宋" w:hAnsi="仿宋" w:eastAsia="仿宋" w:cs="仿宋"/>
          <w:color w:val="auto"/>
          <w:highlight w:val="none"/>
        </w:rPr>
        <w:t>根据响应情况在“差异说明”项填写正偏离或负偏离及原因，完全符合的填写“无差异”。</w:t>
      </w:r>
    </w:p>
    <w:p w14:paraId="300A21D8">
      <w:pPr>
        <w:bidi w:val="0"/>
        <w:rPr>
          <w:rFonts w:hint="eastAsia" w:ascii="仿宋" w:hAnsi="仿宋" w:eastAsia="仿宋" w:cs="仿宋"/>
          <w:color w:val="auto"/>
          <w:highlight w:val="none"/>
        </w:rPr>
      </w:pPr>
      <w:r>
        <w:rPr>
          <w:rFonts w:hint="eastAsia" w:ascii="仿宋" w:hAnsi="仿宋" w:eastAsia="仿宋" w:cs="仿宋"/>
          <w:color w:val="auto"/>
          <w:highlight w:val="none"/>
        </w:rPr>
        <w:t>3.该表如有扩展，须逐页签字</w:t>
      </w:r>
      <w:r>
        <w:rPr>
          <w:rFonts w:hint="eastAsia" w:cs="仿宋"/>
          <w:color w:val="auto"/>
          <w:highlight w:val="none"/>
          <w:lang w:val="en-US" w:eastAsia="zh-CN"/>
        </w:rPr>
        <w:t>并</w:t>
      </w:r>
      <w:r>
        <w:rPr>
          <w:rFonts w:hint="eastAsia" w:ascii="仿宋" w:hAnsi="仿宋" w:eastAsia="仿宋" w:cs="仿宋"/>
          <w:color w:val="auto"/>
          <w:highlight w:val="none"/>
        </w:rPr>
        <w:t>盖章。</w:t>
      </w:r>
    </w:p>
    <w:p w14:paraId="573B0B72">
      <w:pPr>
        <w:rPr>
          <w:rFonts w:hint="eastAsia"/>
          <w:color w:val="auto"/>
          <w:highlight w:val="none"/>
          <w:lang w:eastAsia="zh-CN"/>
        </w:rPr>
      </w:pPr>
      <w:r>
        <w:rPr>
          <w:rFonts w:hint="eastAsia"/>
          <w:color w:val="auto"/>
          <w:highlight w:val="none"/>
          <w:lang w:eastAsia="zh-CN"/>
        </w:rPr>
        <w:br w:type="page"/>
      </w:r>
    </w:p>
    <w:p w14:paraId="6014BFE7">
      <w:pPr>
        <w:pStyle w:val="4"/>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）其他资料（格式自拟）</w:t>
      </w:r>
    </w:p>
    <w:p w14:paraId="7B69153A">
      <w:pPr>
        <w:bidi w:val="0"/>
        <w:rPr>
          <w:rFonts w:hint="eastAsia"/>
          <w:color w:val="auto"/>
          <w:highlight w:val="none"/>
        </w:rPr>
      </w:pPr>
    </w:p>
    <w:p w14:paraId="76B9A2D8">
      <w:pPr>
        <w:bidi w:val="0"/>
        <w:rPr>
          <w:rFonts w:hint="eastAsia"/>
          <w:color w:val="auto"/>
          <w:highlight w:val="none"/>
        </w:rPr>
      </w:pPr>
    </w:p>
    <w:p w14:paraId="1FC5163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B734375">
      <w:pPr>
        <w:pStyle w:val="3"/>
        <w:bidi w:val="0"/>
        <w:rPr>
          <w:rFonts w:hint="eastAsia" w:ascii="仿宋" w:hAnsi="仿宋" w:eastAsia="仿宋" w:cs="仿宋"/>
          <w:color w:val="auto"/>
          <w:highlight w:val="none"/>
        </w:rPr>
      </w:pPr>
      <w:bookmarkStart w:id="190" w:name="_Toc5433"/>
      <w:bookmarkStart w:id="191" w:name="_Toc11424"/>
      <w:r>
        <w:rPr>
          <w:rFonts w:hint="eastAsia" w:ascii="仿宋" w:hAnsi="仿宋" w:eastAsia="仿宋" w:cs="仿宋"/>
          <w:color w:val="auto"/>
          <w:highlight w:val="none"/>
        </w:rPr>
        <w:t>四、资格条件及其他</w:t>
      </w:r>
      <w:bookmarkEnd w:id="190"/>
      <w:bookmarkEnd w:id="191"/>
    </w:p>
    <w:p w14:paraId="18A57EA2">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（一）法人营业执照（副本）或事业单位法人证书（副本）或个体工商户营业执照或有效的自然人身份证明或社会团体法人登记证书复印件</w:t>
      </w:r>
    </w:p>
    <w:p w14:paraId="373947AB">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22B0E47D">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（二）法定代表人身份证明书（格式）</w:t>
      </w:r>
    </w:p>
    <w:p w14:paraId="5B2BCC91">
      <w:pPr>
        <w:tabs>
          <w:tab w:val="left" w:pos="6300"/>
        </w:tabs>
        <w:snapToGrid w:val="0"/>
        <w:spacing w:line="500" w:lineRule="exact"/>
        <w:ind w:firstLine="570"/>
        <w:rPr>
          <w:rFonts w:hint="eastAsia" w:ascii="仿宋" w:hAnsi="仿宋" w:eastAsia="仿宋" w:cs="仿宋"/>
          <w:color w:val="auto"/>
          <w:sz w:val="24"/>
          <w:highlight w:val="none"/>
        </w:rPr>
      </w:pPr>
    </w:p>
    <w:p w14:paraId="1A420449">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4B68AE14">
      <w:pPr>
        <w:tabs>
          <w:tab w:val="left" w:pos="6300"/>
        </w:tabs>
        <w:snapToGrid w:val="0"/>
        <w:spacing w:line="500" w:lineRule="exact"/>
        <w:ind w:firstLine="570"/>
        <w:rPr>
          <w:rFonts w:hint="eastAsia" w:ascii="仿宋" w:hAnsi="仿宋" w:eastAsia="仿宋" w:cs="仿宋"/>
          <w:color w:val="auto"/>
          <w:sz w:val="24"/>
          <w:highlight w:val="none"/>
        </w:rPr>
      </w:pPr>
    </w:p>
    <w:p w14:paraId="0BFB2584">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名称）：</w:t>
      </w:r>
    </w:p>
    <w:p w14:paraId="188C4863">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2521DBD">
      <w:pPr>
        <w:tabs>
          <w:tab w:val="left" w:pos="6300"/>
        </w:tabs>
        <w:snapToGrid w:val="0"/>
        <w:spacing w:line="500" w:lineRule="exact"/>
        <w:ind w:firstLine="570"/>
        <w:rPr>
          <w:rFonts w:hint="eastAsia" w:ascii="仿宋" w:hAnsi="仿宋" w:eastAsia="仿宋" w:cs="仿宋"/>
          <w:color w:val="auto"/>
          <w:sz w:val="24"/>
          <w:highlight w:val="none"/>
        </w:rPr>
      </w:pPr>
    </w:p>
    <w:p w14:paraId="1C6CF2C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3BA6180">
      <w:pPr>
        <w:tabs>
          <w:tab w:val="left" w:pos="6300"/>
        </w:tabs>
        <w:snapToGrid w:val="0"/>
        <w:spacing w:line="500" w:lineRule="exact"/>
        <w:ind w:firstLine="570"/>
        <w:rPr>
          <w:rFonts w:hint="eastAsia" w:ascii="仿宋" w:hAnsi="仿宋" w:eastAsia="仿宋" w:cs="仿宋"/>
          <w:color w:val="auto"/>
          <w:sz w:val="24"/>
          <w:highlight w:val="none"/>
        </w:rPr>
      </w:pPr>
    </w:p>
    <w:p w14:paraId="01AD9953">
      <w:pPr>
        <w:tabs>
          <w:tab w:val="left" w:pos="6300"/>
        </w:tabs>
        <w:snapToGrid w:val="0"/>
        <w:spacing w:line="500" w:lineRule="exact"/>
        <w:ind w:firstLine="570"/>
        <w:rPr>
          <w:rFonts w:hint="eastAsia" w:ascii="仿宋" w:hAnsi="仿宋" w:eastAsia="仿宋" w:cs="仿宋"/>
          <w:color w:val="auto"/>
          <w:sz w:val="24"/>
          <w:highlight w:val="none"/>
        </w:rPr>
      </w:pPr>
    </w:p>
    <w:p w14:paraId="68AE3A2C">
      <w:pPr>
        <w:tabs>
          <w:tab w:val="left" w:pos="6300"/>
        </w:tabs>
        <w:snapToGrid w:val="0"/>
        <w:spacing w:line="500" w:lineRule="exact"/>
        <w:ind w:firstLine="570"/>
        <w:rPr>
          <w:rFonts w:hint="eastAsia" w:ascii="仿宋" w:hAnsi="仿宋" w:eastAsia="仿宋" w:cs="仿宋"/>
          <w:color w:val="auto"/>
          <w:sz w:val="24"/>
          <w:highlight w:val="none"/>
        </w:rPr>
      </w:pPr>
    </w:p>
    <w:p w14:paraId="4A282F6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04546F7F">
      <w:pPr>
        <w:tabs>
          <w:tab w:val="left" w:pos="6300"/>
        </w:tabs>
        <w:snapToGrid w:val="0"/>
        <w:spacing w:line="500" w:lineRule="exact"/>
        <w:ind w:firstLine="570"/>
        <w:rPr>
          <w:rFonts w:hint="eastAsia" w:ascii="仿宋" w:hAnsi="仿宋" w:eastAsia="仿宋" w:cs="仿宋"/>
          <w:color w:val="auto"/>
          <w:sz w:val="24"/>
          <w:highlight w:val="none"/>
        </w:rPr>
      </w:pPr>
    </w:p>
    <w:p w14:paraId="5B6F9E39">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2DC3E09">
      <w:pPr>
        <w:tabs>
          <w:tab w:val="left" w:pos="6300"/>
        </w:tabs>
        <w:snapToGrid w:val="0"/>
        <w:spacing w:line="500" w:lineRule="exact"/>
        <w:ind w:firstLine="570"/>
        <w:rPr>
          <w:rFonts w:hint="eastAsia" w:ascii="仿宋" w:hAnsi="仿宋" w:eastAsia="仿宋" w:cs="仿宋"/>
          <w:color w:val="auto"/>
          <w:sz w:val="24"/>
          <w:highlight w:val="none"/>
        </w:rPr>
      </w:pPr>
    </w:p>
    <w:p w14:paraId="64546AF8">
      <w:pPr>
        <w:tabs>
          <w:tab w:val="left" w:pos="6300"/>
        </w:tabs>
        <w:snapToGrid w:val="0"/>
        <w:spacing w:line="500" w:lineRule="exact"/>
        <w:ind w:firstLine="570"/>
        <w:rPr>
          <w:rFonts w:hint="eastAsia" w:ascii="仿宋" w:hAnsi="仿宋" w:eastAsia="仿宋" w:cs="仿宋"/>
          <w:color w:val="auto"/>
          <w:sz w:val="24"/>
          <w:highlight w:val="none"/>
        </w:rPr>
      </w:pPr>
    </w:p>
    <w:p w14:paraId="2A81C69E">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电子邮箱：XXXXXX@XXXXX（若授权他人办理并签署响应文件的可不填写）</w:t>
      </w:r>
    </w:p>
    <w:p w14:paraId="26DC498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BCC5222">
      <w:pPr>
        <w:rPr>
          <w:rStyle w:val="35"/>
          <w:rFonts w:hint="eastAsia" w:ascii="仿宋" w:hAnsi="仿宋" w:eastAsia="仿宋" w:cs="仿宋"/>
          <w:color w:val="auto"/>
          <w:highlight w:val="none"/>
        </w:rPr>
      </w:pPr>
      <w:r>
        <w:rPr>
          <w:rStyle w:val="35"/>
          <w:rFonts w:hint="eastAsia" w:ascii="仿宋" w:hAnsi="仿宋" w:eastAsia="仿宋" w:cs="仿宋"/>
          <w:color w:val="auto"/>
          <w:highlight w:val="none"/>
        </w:rPr>
        <w:br w:type="page"/>
      </w:r>
    </w:p>
    <w:p w14:paraId="27D350B6">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（三）法定代表人授权委托书（格式）</w:t>
      </w:r>
    </w:p>
    <w:p w14:paraId="735F1CD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F390B07">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采购项目名称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D19C0CE">
      <w:pPr>
        <w:tabs>
          <w:tab w:val="left" w:pos="6300"/>
        </w:tabs>
        <w:snapToGrid w:val="0"/>
        <w:spacing w:line="500" w:lineRule="exact"/>
        <w:ind w:firstLine="570"/>
        <w:rPr>
          <w:rFonts w:hint="eastAsia" w:ascii="仿宋" w:hAnsi="仿宋" w:eastAsia="仿宋" w:cs="仿宋"/>
          <w:color w:val="auto"/>
          <w:sz w:val="24"/>
          <w:highlight w:val="none"/>
        </w:rPr>
      </w:pPr>
    </w:p>
    <w:p w14:paraId="45F3D8FF">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名称）：</w:t>
      </w:r>
    </w:p>
    <w:p w14:paraId="12B1115E">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w:t>
      </w:r>
      <w:r>
        <w:rPr>
          <w:rFonts w:hint="eastAsia" w:ascii="仿宋" w:hAnsi="仿宋" w:eastAsia="仿宋" w:cs="仿宋"/>
          <w:color w:val="auto"/>
          <w:sz w:val="24"/>
          <w:highlight w:val="none"/>
          <w:lang w:eastAsia="zh-CN"/>
        </w:rPr>
        <w:t>身份证号</w:t>
      </w:r>
      <w:r>
        <w:rPr>
          <w:rFonts w:hint="eastAsia" w:ascii="仿宋" w:hAnsi="仿宋" w:eastAsia="仿宋" w:cs="仿宋"/>
          <w:color w:val="auto"/>
          <w:sz w:val="24"/>
          <w:highlight w:val="none"/>
        </w:rPr>
        <w:t>码）代表我单位全权办理上述项目的报价、签约等具体工作，并签署全部有关文件、协议及合同。</w:t>
      </w:r>
    </w:p>
    <w:p w14:paraId="56464228">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08851B5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70DF88E2">
      <w:pPr>
        <w:tabs>
          <w:tab w:val="left" w:pos="6300"/>
        </w:tabs>
        <w:snapToGrid w:val="0"/>
        <w:spacing w:line="500" w:lineRule="exact"/>
        <w:ind w:firstLine="570"/>
        <w:rPr>
          <w:rFonts w:hint="eastAsia" w:ascii="仿宋" w:hAnsi="仿宋" w:eastAsia="仿宋" w:cs="仿宋"/>
          <w:color w:val="auto"/>
          <w:sz w:val="24"/>
          <w:highlight w:val="none"/>
        </w:rPr>
      </w:pPr>
    </w:p>
    <w:p w14:paraId="3D48122F">
      <w:pPr>
        <w:tabs>
          <w:tab w:val="left" w:pos="6300"/>
        </w:tabs>
        <w:snapToGrid w:val="0"/>
        <w:spacing w:line="500" w:lineRule="exact"/>
        <w:ind w:firstLine="570"/>
        <w:rPr>
          <w:rFonts w:hint="eastAsia" w:ascii="仿宋" w:hAnsi="仿宋" w:eastAsia="仿宋" w:cs="仿宋"/>
          <w:color w:val="auto"/>
          <w:sz w:val="24"/>
          <w:highlight w:val="none"/>
        </w:rPr>
      </w:pPr>
    </w:p>
    <w:p w14:paraId="16D301D8">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2C765129">
      <w:pPr>
        <w:tabs>
          <w:tab w:val="left" w:pos="6300"/>
        </w:tabs>
        <w:snapToGrid w:val="0"/>
        <w:spacing w:line="500" w:lineRule="exact"/>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34383430">
      <w:pPr>
        <w:tabs>
          <w:tab w:val="left" w:pos="6300"/>
        </w:tabs>
        <w:snapToGrid w:val="0"/>
        <w:spacing w:line="500" w:lineRule="exact"/>
        <w:ind w:firstLine="570"/>
        <w:rPr>
          <w:rFonts w:hint="eastAsia" w:ascii="仿宋" w:hAnsi="仿宋" w:eastAsia="仿宋" w:cs="仿宋"/>
          <w:color w:val="auto"/>
          <w:sz w:val="24"/>
          <w:szCs w:val="28"/>
          <w:highlight w:val="none"/>
        </w:rPr>
      </w:pPr>
    </w:p>
    <w:p w14:paraId="063F2252">
      <w:pPr>
        <w:tabs>
          <w:tab w:val="left" w:pos="6300"/>
        </w:tabs>
        <w:snapToGrid w:val="0"/>
        <w:spacing w:line="500" w:lineRule="exact"/>
        <w:ind w:firstLine="570"/>
        <w:rPr>
          <w:rFonts w:hint="eastAsia" w:ascii="仿宋" w:hAnsi="仿宋" w:eastAsia="仿宋" w:cs="仿宋"/>
          <w:color w:val="auto"/>
          <w:sz w:val="24"/>
          <w:highlight w:val="none"/>
        </w:rPr>
      </w:pPr>
    </w:p>
    <w:p w14:paraId="54C78A1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261F943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F1FD83A">
      <w:pPr>
        <w:tabs>
          <w:tab w:val="left" w:pos="6300"/>
        </w:tabs>
        <w:snapToGrid w:val="0"/>
        <w:spacing w:line="500" w:lineRule="exact"/>
        <w:ind w:firstLine="570"/>
        <w:rPr>
          <w:rFonts w:hint="eastAsia" w:ascii="仿宋" w:hAnsi="仿宋" w:eastAsia="仿宋" w:cs="仿宋"/>
          <w:color w:val="auto"/>
          <w:sz w:val="24"/>
          <w:highlight w:val="none"/>
        </w:rPr>
      </w:pPr>
    </w:p>
    <w:p w14:paraId="5BB37C41">
      <w:pPr>
        <w:tabs>
          <w:tab w:val="left" w:pos="6300"/>
        </w:tabs>
        <w:snapToGrid w:val="0"/>
        <w:spacing w:line="500" w:lineRule="exact"/>
        <w:ind w:firstLine="570"/>
        <w:rPr>
          <w:rFonts w:hint="eastAsia" w:ascii="仿宋" w:hAnsi="仿宋" w:eastAsia="仿宋" w:cs="仿宋"/>
          <w:color w:val="auto"/>
          <w:sz w:val="24"/>
          <w:highlight w:val="none"/>
        </w:rPr>
      </w:pPr>
    </w:p>
    <w:p w14:paraId="5C1A9B16">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1FAE1A44">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7D4D4D7">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电子邮箱：XXXXXX@XXXXX（若法定代表人办理并签署响应文件的可不填写）</w:t>
      </w:r>
    </w:p>
    <w:p w14:paraId="766ABD5B">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18E064C">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1.若为法定代表人办理并签署响应文件的，不提供此文件。</w:t>
      </w:r>
    </w:p>
    <w:p w14:paraId="054B4B7C">
      <w:pPr>
        <w:tabs>
          <w:tab w:val="left" w:pos="6300"/>
        </w:tabs>
        <w:snapToGrid w:val="0"/>
        <w:spacing w:line="400" w:lineRule="exact"/>
        <w:ind w:firstLine="573"/>
        <w:rPr>
          <w:rFonts w:hint="eastAsia" w:ascii="仿宋" w:hAnsi="仿宋" w:eastAsia="仿宋" w:cs="仿宋"/>
          <w:color w:val="auto"/>
          <w:sz w:val="24"/>
          <w:highlight w:val="none"/>
        </w:rPr>
      </w:pPr>
      <w:r>
        <w:rPr>
          <w:rFonts w:hint="eastAsia" w:ascii="仿宋" w:hAnsi="仿宋" w:eastAsia="仿宋" w:cs="仿宋"/>
          <w:color w:val="auto"/>
          <w:sz w:val="24"/>
          <w:highlight w:val="none"/>
        </w:rPr>
        <w:t>2.若为联合体参与的，法定代表人授权委托书由联合体主办方</w:t>
      </w:r>
      <w:r>
        <w:rPr>
          <w:rFonts w:hint="eastAsia" w:ascii="仿宋" w:hAnsi="仿宋" w:eastAsia="仿宋" w:cs="仿宋"/>
          <w:color w:val="auto"/>
          <w:kern w:val="0"/>
          <w:sz w:val="24"/>
          <w:szCs w:val="24"/>
          <w:highlight w:val="none"/>
        </w:rPr>
        <w:t>（主体）</w:t>
      </w:r>
      <w:r>
        <w:rPr>
          <w:rFonts w:hint="eastAsia" w:ascii="仿宋" w:hAnsi="仿宋" w:eastAsia="仿宋" w:cs="仿宋"/>
          <w:color w:val="auto"/>
          <w:sz w:val="24"/>
          <w:highlight w:val="none"/>
        </w:rPr>
        <w:t>出具。</w:t>
      </w:r>
    </w:p>
    <w:p w14:paraId="4D98E3D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D06839D">
      <w:pPr>
        <w:pStyle w:val="4"/>
        <w:bidi w:val="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）基本资格条件承诺函</w:t>
      </w:r>
    </w:p>
    <w:p w14:paraId="4BE6E861">
      <w:pPr>
        <w:widowControl/>
        <w:spacing w:line="530" w:lineRule="exact"/>
        <w:jc w:val="left"/>
        <w:rPr>
          <w:rFonts w:hint="eastAsia" w:ascii="仿宋" w:hAnsi="仿宋" w:eastAsia="仿宋" w:cs="仿宋"/>
          <w:color w:val="auto"/>
          <w:sz w:val="24"/>
          <w:szCs w:val="24"/>
          <w:highlight w:val="none"/>
        </w:rPr>
      </w:pPr>
    </w:p>
    <w:p w14:paraId="18B11626">
      <w:pPr>
        <w:tabs>
          <w:tab w:val="left" w:pos="6300"/>
        </w:tabs>
        <w:snapToGrid w:val="0"/>
        <w:spacing w:line="53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基本资格条件承诺函</w:t>
      </w:r>
    </w:p>
    <w:p w14:paraId="14182937">
      <w:pPr>
        <w:tabs>
          <w:tab w:val="left" w:pos="6300"/>
        </w:tabs>
        <w:snapToGrid w:val="0"/>
        <w:spacing w:line="530" w:lineRule="exact"/>
        <w:rPr>
          <w:rFonts w:hint="eastAsia" w:ascii="仿宋" w:hAnsi="仿宋" w:eastAsia="仿宋" w:cs="仿宋"/>
          <w:color w:val="auto"/>
          <w:sz w:val="24"/>
          <w:szCs w:val="24"/>
          <w:highlight w:val="none"/>
        </w:rPr>
      </w:pPr>
    </w:p>
    <w:p w14:paraId="57361EC1">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采购人名称</w:t>
      </w:r>
      <w:r>
        <w:rPr>
          <w:rFonts w:hint="eastAsia" w:ascii="仿宋" w:hAnsi="仿宋" w:eastAsia="仿宋" w:cs="仿宋"/>
          <w:color w:val="auto"/>
          <w:sz w:val="24"/>
          <w:szCs w:val="24"/>
          <w:highlight w:val="none"/>
        </w:rPr>
        <w:t>）：</w:t>
      </w:r>
    </w:p>
    <w:p w14:paraId="453C1D10">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7F3A0D6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72FB0BEC">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重大税收违法案件当事人名单”中，也未列入中国政府采购网（www.ccgp.gov.cn）“政府采购严重违法失信行为记录名单”中。</w:t>
      </w:r>
    </w:p>
    <w:p w14:paraId="72267C8F">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0221B2F6">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4209BE20">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3851774">
      <w:pPr>
        <w:tabs>
          <w:tab w:val="left" w:pos="6300"/>
        </w:tabs>
        <w:snapToGrid w:val="0"/>
        <w:spacing w:line="530" w:lineRule="exact"/>
        <w:rPr>
          <w:rFonts w:hint="eastAsia" w:ascii="仿宋" w:hAnsi="仿宋" w:eastAsia="仿宋" w:cs="仿宋"/>
          <w:color w:val="auto"/>
          <w:sz w:val="24"/>
          <w:szCs w:val="24"/>
          <w:highlight w:val="none"/>
        </w:rPr>
      </w:pPr>
    </w:p>
    <w:p w14:paraId="4181C58B">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66700FD6">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F908EC0">
      <w:pPr>
        <w:tabs>
          <w:tab w:val="left" w:pos="6300"/>
        </w:tabs>
        <w:snapToGrid w:val="0"/>
        <w:spacing w:line="312" w:lineRule="auto"/>
        <w:rPr>
          <w:rFonts w:hint="eastAsia" w:ascii="仿宋" w:hAnsi="仿宋" w:eastAsia="仿宋" w:cs="仿宋"/>
          <w:i w:val="0"/>
          <w:iCs w:val="0"/>
          <w:color w:val="auto"/>
          <w:sz w:val="24"/>
          <w:szCs w:val="24"/>
          <w:highlight w:val="none"/>
        </w:rPr>
      </w:pPr>
    </w:p>
    <w:p w14:paraId="44C40001">
      <w:pPr>
        <w:snapToGrid w:val="0"/>
        <w:spacing w:line="360" w:lineRule="auto"/>
        <w:rPr>
          <w:rFonts w:hint="eastAsia" w:ascii="仿宋" w:hAnsi="仿宋" w:eastAsia="仿宋" w:cs="仿宋"/>
          <w:color w:val="auto"/>
          <w:sz w:val="24"/>
          <w:szCs w:val="24"/>
          <w:highlight w:val="none"/>
        </w:rPr>
      </w:pPr>
    </w:p>
    <w:p w14:paraId="1B393F90">
      <w:pPr>
        <w:snapToGrid w:val="0"/>
        <w:spacing w:line="360" w:lineRule="auto"/>
        <w:rPr>
          <w:rFonts w:hint="eastAsia" w:ascii="仿宋" w:hAnsi="仿宋" w:eastAsia="仿宋" w:cs="仿宋"/>
          <w:color w:val="auto"/>
          <w:sz w:val="24"/>
          <w:szCs w:val="24"/>
          <w:highlight w:val="none"/>
        </w:rPr>
      </w:pPr>
    </w:p>
    <w:p w14:paraId="203624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9EFDF30">
      <w:pPr>
        <w:pStyle w:val="4"/>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）特定资格条件证书或证明文件</w:t>
      </w:r>
      <w:r>
        <w:rPr>
          <w:rFonts w:hint="eastAsia" w:ascii="仿宋" w:hAnsi="仿宋" w:eastAsia="仿宋" w:cs="仿宋"/>
          <w:color w:val="auto"/>
          <w:highlight w:val="none"/>
          <w:lang w:eastAsia="zh-CN"/>
        </w:rPr>
        <w:t>（如有）</w:t>
      </w:r>
    </w:p>
    <w:p w14:paraId="3C49DDCC">
      <w:pPr>
        <w:bidi w:val="0"/>
        <w:rPr>
          <w:rFonts w:hint="eastAsia"/>
          <w:color w:val="auto"/>
          <w:highlight w:val="none"/>
        </w:rPr>
      </w:pPr>
    </w:p>
    <w:p w14:paraId="2A070633">
      <w:pPr>
        <w:rPr>
          <w:rFonts w:hint="eastAsia" w:ascii="仿宋" w:hAnsi="仿宋" w:eastAsia="仿宋" w:cs="仿宋"/>
          <w:color w:val="auto"/>
          <w:highlight w:val="none"/>
        </w:rPr>
      </w:pPr>
      <w:bookmarkStart w:id="192" w:name="_Toc18348"/>
      <w:r>
        <w:rPr>
          <w:rFonts w:hint="eastAsia" w:ascii="仿宋" w:hAnsi="仿宋" w:eastAsia="仿宋" w:cs="仿宋"/>
          <w:color w:val="auto"/>
          <w:highlight w:val="none"/>
        </w:rPr>
        <w:br w:type="page"/>
      </w:r>
    </w:p>
    <w:p w14:paraId="6D891211">
      <w:pPr>
        <w:pStyle w:val="3"/>
        <w:bidi w:val="0"/>
        <w:rPr>
          <w:rFonts w:hint="eastAsia" w:ascii="仿宋" w:hAnsi="仿宋" w:eastAsia="仿宋" w:cs="仿宋"/>
          <w:color w:val="auto"/>
          <w:highlight w:val="none"/>
          <w:lang w:eastAsia="zh-CN"/>
        </w:rPr>
      </w:pPr>
      <w:bookmarkStart w:id="193" w:name="_Toc27876"/>
      <w:r>
        <w:rPr>
          <w:rFonts w:hint="eastAsia" w:ascii="仿宋" w:hAnsi="仿宋" w:eastAsia="仿宋" w:cs="仿宋"/>
          <w:color w:val="auto"/>
          <w:highlight w:val="none"/>
        </w:rPr>
        <w:t>五、其他应提供的资料</w:t>
      </w:r>
      <w:bookmarkEnd w:id="192"/>
      <w:bookmarkEnd w:id="193"/>
    </w:p>
    <w:p w14:paraId="3ED5B042">
      <w:pPr>
        <w:rPr>
          <w:rFonts w:hint="default" w:cs="仿宋"/>
          <w:color w:val="auto"/>
          <w:highlight w:val="none"/>
          <w:lang w:val="en-US" w:eastAsia="zh-CN"/>
        </w:rPr>
      </w:pPr>
      <w:r>
        <w:rPr>
          <w:rFonts w:hint="eastAsia" w:cs="仿宋"/>
          <w:color w:val="auto"/>
          <w:highlight w:val="none"/>
          <w:lang w:eastAsia="zh-CN"/>
        </w:rPr>
        <w:t>（</w:t>
      </w:r>
      <w:r>
        <w:rPr>
          <w:rFonts w:hint="eastAsia" w:cs="仿宋"/>
          <w:color w:val="auto"/>
          <w:highlight w:val="none"/>
          <w:lang w:val="en-US" w:eastAsia="zh-CN"/>
        </w:rPr>
        <w:t>一</w:t>
      </w:r>
      <w:r>
        <w:rPr>
          <w:rFonts w:hint="eastAsia" w:cs="仿宋"/>
          <w:color w:val="auto"/>
          <w:highlight w:val="none"/>
          <w:lang w:eastAsia="zh-CN"/>
        </w:rPr>
        <w:t>）</w:t>
      </w:r>
      <w:r>
        <w:rPr>
          <w:rFonts w:hint="eastAsia" w:cs="仿宋"/>
          <w:color w:val="auto"/>
          <w:highlight w:val="none"/>
          <w:lang w:val="en-US" w:eastAsia="zh-CN"/>
        </w:rPr>
        <w:t>业绩证明资料（如有）；</w:t>
      </w:r>
    </w:p>
    <w:p w14:paraId="46ABBF8C">
      <w:pPr>
        <w:rPr>
          <w:rFonts w:hint="eastAsia" w:ascii="仿宋" w:hAnsi="仿宋" w:eastAsia="仿宋" w:cs="仿宋"/>
          <w:color w:val="auto"/>
          <w:highlight w:val="none"/>
          <w:lang w:eastAsia="zh-CN"/>
        </w:rPr>
      </w:pPr>
      <w:r>
        <w:rPr>
          <w:rFonts w:hint="eastAsia" w:cs="仿宋"/>
          <w:color w:val="auto"/>
          <w:highlight w:val="none"/>
          <w:lang w:eastAsia="zh-CN"/>
        </w:rPr>
        <w:t>（</w:t>
      </w:r>
      <w:r>
        <w:rPr>
          <w:rFonts w:hint="eastAsia" w:cs="仿宋"/>
          <w:color w:val="auto"/>
          <w:highlight w:val="none"/>
          <w:lang w:val="en-US" w:eastAsia="zh-CN"/>
        </w:rPr>
        <w:t>二</w:t>
      </w:r>
      <w:r>
        <w:rPr>
          <w:rFonts w:hint="eastAsia" w:cs="仿宋"/>
          <w:color w:val="auto"/>
          <w:highlight w:val="none"/>
          <w:lang w:eastAsia="zh-CN"/>
        </w:rPr>
        <w:t>）</w:t>
      </w: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w:t>
      </w:r>
    </w:p>
    <w:p w14:paraId="399B875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3855E51">
      <w:pPr>
        <w:bidi w:val="0"/>
        <w:spacing w:line="360" w:lineRule="auto"/>
        <w:ind w:left="0" w:leftChars="0" w:firstLine="0" w:firstLineChars="0"/>
        <w:jc w:val="center"/>
        <w:rPr>
          <w:rFonts w:hint="eastAsia" w:ascii="仿宋" w:hAnsi="仿宋" w:eastAsia="仿宋" w:cs="仿宋"/>
          <w:b/>
          <w:bCs/>
          <w:color w:val="auto"/>
          <w:sz w:val="32"/>
          <w:szCs w:val="32"/>
          <w:highlight w:val="none"/>
        </w:rPr>
      </w:pPr>
      <w:bookmarkStart w:id="194" w:name="_Toc11433"/>
      <w:r>
        <w:rPr>
          <w:rFonts w:hint="eastAsia" w:ascii="仿宋" w:hAnsi="仿宋" w:eastAsia="仿宋" w:cs="仿宋"/>
          <w:b/>
          <w:bCs/>
          <w:color w:val="auto"/>
          <w:sz w:val="32"/>
          <w:szCs w:val="32"/>
          <w:highlight w:val="none"/>
          <w:lang w:eastAsia="zh-CN"/>
        </w:rPr>
        <w:t>附件一</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竞争性比选文件发售登记表</w:t>
      </w:r>
      <w:bookmarkEnd w:id="194"/>
    </w:p>
    <w:p w14:paraId="217AE7E8">
      <w:pPr>
        <w:pStyle w:val="8"/>
        <w:pageBreakBefore w:val="0"/>
        <w:widowControl w:val="0"/>
        <w:kinsoku/>
        <w:topLinePunct w:val="0"/>
        <w:bidi w:val="0"/>
        <w:rPr>
          <w:rFonts w:hint="eastAsia" w:ascii="仿宋" w:hAnsi="仿宋" w:eastAsia="仿宋" w:cs="仿宋"/>
          <w:b/>
          <w:color w:val="auto"/>
          <w:sz w:val="24"/>
          <w:highlight w:val="none"/>
        </w:rPr>
      </w:pPr>
    </w:p>
    <w:tbl>
      <w:tblPr>
        <w:tblStyle w:val="22"/>
        <w:tblW w:w="91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377"/>
        <w:gridCol w:w="1448"/>
        <w:gridCol w:w="3538"/>
      </w:tblGrid>
      <w:tr w14:paraId="77FED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21" w:type="dxa"/>
            <w:noWrap w:val="0"/>
            <w:vAlign w:val="center"/>
          </w:tcPr>
          <w:p w14:paraId="3C0DABC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363" w:type="dxa"/>
            <w:gridSpan w:val="3"/>
            <w:noWrap w:val="0"/>
            <w:vAlign w:val="center"/>
          </w:tcPr>
          <w:p w14:paraId="2C5D7FB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r>
      <w:tr w14:paraId="41F08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21" w:type="dxa"/>
            <w:noWrap w:val="0"/>
            <w:vAlign w:val="center"/>
          </w:tcPr>
          <w:p w14:paraId="2F33A03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tc>
        <w:tc>
          <w:tcPr>
            <w:tcW w:w="7363" w:type="dxa"/>
            <w:gridSpan w:val="3"/>
            <w:noWrap w:val="0"/>
            <w:vAlign w:val="center"/>
          </w:tcPr>
          <w:p w14:paraId="2AF6CA4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r>
      <w:tr w14:paraId="69EF95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21" w:type="dxa"/>
            <w:noWrap w:val="0"/>
            <w:vAlign w:val="center"/>
          </w:tcPr>
          <w:p w14:paraId="3165510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7363" w:type="dxa"/>
            <w:gridSpan w:val="3"/>
            <w:noWrap w:val="0"/>
            <w:vAlign w:val="center"/>
          </w:tcPr>
          <w:p w14:paraId="04913B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tc>
      </w:tr>
      <w:tr w14:paraId="16C2F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21" w:type="dxa"/>
            <w:noWrap w:val="0"/>
            <w:vAlign w:val="center"/>
          </w:tcPr>
          <w:p w14:paraId="737932D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77" w:type="dxa"/>
            <w:noWrap w:val="0"/>
            <w:vAlign w:val="center"/>
          </w:tcPr>
          <w:p w14:paraId="3AE3D92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c>
          <w:tcPr>
            <w:tcW w:w="1448" w:type="dxa"/>
            <w:noWrap w:val="0"/>
            <w:vAlign w:val="center"/>
          </w:tcPr>
          <w:p w14:paraId="55DCBD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538" w:type="dxa"/>
            <w:noWrap w:val="0"/>
            <w:vAlign w:val="center"/>
          </w:tcPr>
          <w:p w14:paraId="2773C2F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r>
      <w:tr w14:paraId="0C1C6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21" w:type="dxa"/>
            <w:noWrap w:val="0"/>
            <w:vAlign w:val="center"/>
          </w:tcPr>
          <w:p w14:paraId="49E5528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377" w:type="dxa"/>
            <w:noWrap w:val="0"/>
            <w:vAlign w:val="center"/>
          </w:tcPr>
          <w:p w14:paraId="35D179F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c>
          <w:tcPr>
            <w:tcW w:w="1448" w:type="dxa"/>
            <w:noWrap w:val="0"/>
            <w:vAlign w:val="center"/>
          </w:tcPr>
          <w:p w14:paraId="46EDD7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538" w:type="dxa"/>
            <w:noWrap w:val="0"/>
            <w:vAlign w:val="center"/>
          </w:tcPr>
          <w:p w14:paraId="6ACBA14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r>
      <w:tr w14:paraId="389FC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21" w:type="dxa"/>
            <w:noWrap w:val="0"/>
            <w:vAlign w:val="center"/>
          </w:tcPr>
          <w:p w14:paraId="03F0529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7363" w:type="dxa"/>
            <w:gridSpan w:val="3"/>
            <w:noWrap w:val="0"/>
            <w:vAlign w:val="center"/>
          </w:tcPr>
          <w:p w14:paraId="1EA488FC">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r>
      <w:tr w14:paraId="3CF862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21" w:type="dxa"/>
            <w:noWrap w:val="0"/>
            <w:vAlign w:val="center"/>
          </w:tcPr>
          <w:p w14:paraId="1CC982D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7363" w:type="dxa"/>
            <w:gridSpan w:val="3"/>
            <w:noWrap w:val="0"/>
            <w:vAlign w:val="center"/>
          </w:tcPr>
          <w:p w14:paraId="08EBE9B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sz w:val="24"/>
                <w:szCs w:val="24"/>
                <w:highlight w:val="none"/>
              </w:rPr>
            </w:pPr>
          </w:p>
        </w:tc>
      </w:tr>
    </w:tbl>
    <w:p w14:paraId="6B6C604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竞争性比选文件</w:t>
      </w: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00元/份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发售人：</w:t>
      </w:r>
      <w:r>
        <w:rPr>
          <w:rFonts w:hint="eastAsia" w:cs="仿宋"/>
          <w:color w:val="auto"/>
          <w:sz w:val="24"/>
          <w:szCs w:val="24"/>
          <w:highlight w:val="none"/>
          <w:lang w:val="en-US" w:eastAsia="zh-CN"/>
        </w:rPr>
        <w:t>重庆渝强</w:t>
      </w:r>
      <w:r>
        <w:rPr>
          <w:rFonts w:hint="eastAsia" w:ascii="仿宋" w:hAnsi="仿宋" w:eastAsia="仿宋" w:cs="仿宋"/>
          <w:color w:val="auto"/>
          <w:sz w:val="24"/>
          <w:szCs w:val="24"/>
          <w:highlight w:val="none"/>
          <w:lang w:val="en-US" w:eastAsia="zh-CN"/>
        </w:rPr>
        <w:t>工程项目管理有限公司</w:t>
      </w:r>
    </w:p>
    <w:p w14:paraId="346E777C">
      <w:pPr>
        <w:pageBreakBefore w:val="0"/>
        <w:widowControl w:val="0"/>
        <w:kinsoku/>
        <w:wordWrap w:val="0"/>
        <w:topLinePunct w:val="0"/>
        <w:bidi w:val="0"/>
        <w:spacing w:line="360" w:lineRule="auto"/>
        <w:ind w:left="0" w:leftChars="0" w:firstLine="0" w:firstLineChars="0"/>
        <w:rPr>
          <w:rFonts w:hint="eastAsia" w:ascii="仿宋" w:hAnsi="仿宋" w:eastAsia="仿宋" w:cs="仿宋"/>
          <w:b/>
          <w:bCs/>
          <w:color w:val="auto"/>
          <w:sz w:val="28"/>
          <w:szCs w:val="28"/>
          <w:highlight w:val="none"/>
        </w:rPr>
      </w:pPr>
    </w:p>
    <w:tbl>
      <w:tblPr>
        <w:tblStyle w:val="2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8"/>
        <w:gridCol w:w="3463"/>
      </w:tblGrid>
      <w:tr w14:paraId="1B60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8" w:hRule="atLeast"/>
          <w:jc w:val="center"/>
        </w:trPr>
        <w:tc>
          <w:tcPr>
            <w:tcW w:w="5687" w:type="dxa"/>
            <w:tcBorders>
              <w:tl2br w:val="nil"/>
              <w:tr2bl w:val="nil"/>
            </w:tcBorders>
            <w:noWrap w:val="0"/>
            <w:vAlign w:val="center"/>
          </w:tcPr>
          <w:p w14:paraId="683D2B9B">
            <w:pPr>
              <w:pageBreakBefore w:val="0"/>
              <w:widowControl w:val="0"/>
              <w:kinsoku/>
              <w:topLinePunct w:val="0"/>
              <w:bidi w:val="0"/>
              <w:spacing w:line="360" w:lineRule="auto"/>
              <w:jc w:val="both"/>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b/>
                <w:bCs/>
                <w:color w:val="auto"/>
                <w:sz w:val="24"/>
                <w:szCs w:val="24"/>
                <w:highlight w:val="none"/>
              </w:rPr>
              <w:t>相关说明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vertAlign w:val="baseline"/>
                <w:lang w:val="en-US" w:eastAsia="zh-CN"/>
              </w:rPr>
              <w:t>在竞争性比选文件发售期限内，供应商将竞争性比选文件购买费转入右侧二维码中，转账时注明“</w:t>
            </w:r>
            <w:r>
              <w:rPr>
                <w:rFonts w:hint="eastAsia" w:ascii="仿宋" w:hAnsi="仿宋" w:eastAsia="仿宋" w:cs="仿宋"/>
                <w:color w:val="auto"/>
                <w:sz w:val="24"/>
                <w:szCs w:val="24"/>
                <w:highlight w:val="none"/>
                <w:u w:val="single"/>
                <w:vertAlign w:val="baseline"/>
                <w:lang w:val="en-US" w:eastAsia="zh-CN"/>
              </w:rPr>
              <w:t>供应商简称—</w:t>
            </w:r>
            <w:r>
              <w:rPr>
                <w:rFonts w:hint="eastAsia" w:cs="仿宋"/>
                <w:color w:val="auto"/>
                <w:sz w:val="24"/>
                <w:szCs w:val="24"/>
                <w:highlight w:val="none"/>
                <w:u w:val="single"/>
                <w:vertAlign w:val="baseline"/>
                <w:lang w:val="en-US" w:eastAsia="zh-CN"/>
              </w:rPr>
              <w:t>YQDZCG25008</w:t>
            </w:r>
            <w:r>
              <w:rPr>
                <w:rFonts w:hint="eastAsia" w:ascii="仿宋" w:hAnsi="仿宋" w:eastAsia="仿宋" w:cs="仿宋"/>
                <w:color w:val="auto"/>
                <w:sz w:val="24"/>
                <w:szCs w:val="24"/>
                <w:highlight w:val="none"/>
                <w:vertAlign w:val="baseline"/>
                <w:lang w:val="en-US" w:eastAsia="zh-CN"/>
              </w:rPr>
              <w:t>”，并将《竞争性比选文件发售登记表》填写完整加盖供应商公章扫描后同竞争性比选文件购买费转账截图一起发送至指定邮箱（</w:t>
            </w:r>
            <w:r>
              <w:rPr>
                <w:rFonts w:hint="eastAsia" w:cs="仿宋"/>
                <w:color w:val="auto"/>
                <w:sz w:val="24"/>
                <w:szCs w:val="24"/>
                <w:highlight w:val="none"/>
                <w:vertAlign w:val="baseline"/>
                <w:lang w:val="en-US" w:eastAsia="zh-CN"/>
              </w:rPr>
              <w:t>331409211</w:t>
            </w:r>
            <w:r>
              <w:rPr>
                <w:rFonts w:hint="eastAsia" w:ascii="仿宋" w:hAnsi="仿宋" w:eastAsia="仿宋" w:cs="仿宋"/>
                <w:color w:val="auto"/>
                <w:sz w:val="24"/>
                <w:szCs w:val="24"/>
                <w:highlight w:val="none"/>
                <w:vertAlign w:val="baseline"/>
                <w:lang w:val="en-US" w:eastAsia="zh-CN"/>
              </w:rPr>
              <w:t>@qq.com）。</w:t>
            </w:r>
          </w:p>
        </w:tc>
        <w:tc>
          <w:tcPr>
            <w:tcW w:w="3510" w:type="dxa"/>
            <w:tcBorders>
              <w:tl2br w:val="nil"/>
              <w:tr2bl w:val="nil"/>
            </w:tcBorders>
            <w:noWrap w:val="0"/>
            <w:vAlign w:val="top"/>
          </w:tcPr>
          <w:p w14:paraId="48FE2D45">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lang w:eastAsia="zh-CN"/>
              </w:rPr>
              <w:drawing>
                <wp:anchor distT="0" distB="0" distL="114300" distR="114300" simplePos="0" relativeHeight="251659264" behindDoc="1" locked="0" layoutInCell="1" allowOverlap="1">
                  <wp:simplePos x="0" y="0"/>
                  <wp:positionH relativeFrom="column">
                    <wp:posOffset>231775</wp:posOffset>
                  </wp:positionH>
                  <wp:positionV relativeFrom="page">
                    <wp:posOffset>172720</wp:posOffset>
                  </wp:positionV>
                  <wp:extent cx="1903730" cy="2303780"/>
                  <wp:effectExtent l="0" t="0" r="1270" b="1270"/>
                  <wp:wrapTight wrapText="bothSides">
                    <wp:wrapPolygon>
                      <wp:start x="0" y="0"/>
                      <wp:lineTo x="0" y="21433"/>
                      <wp:lineTo x="21398" y="21433"/>
                      <wp:lineTo x="21398" y="0"/>
                      <wp:lineTo x="0" y="0"/>
                    </wp:wrapPolygon>
                  </wp:wrapTight>
                  <wp:docPr id="2" name="图片 2" descr="19b9d49bc0eea6402876d41080907bb"/>
                  <wp:cNvGraphicFramePr/>
                  <a:graphic xmlns:a="http://schemas.openxmlformats.org/drawingml/2006/main">
                    <a:graphicData uri="http://schemas.openxmlformats.org/drawingml/2006/picture">
                      <pic:pic xmlns:pic="http://schemas.openxmlformats.org/drawingml/2006/picture">
                        <pic:nvPicPr>
                          <pic:cNvPr id="2" name="图片 2" descr="19b9d49bc0eea6402876d41080907bb"/>
                          <pic:cNvPicPr/>
                        </pic:nvPicPr>
                        <pic:blipFill>
                          <a:blip r:embed="rId11"/>
                          <a:stretch>
                            <a:fillRect/>
                          </a:stretch>
                        </pic:blipFill>
                        <pic:spPr>
                          <a:xfrm>
                            <a:off x="0" y="0"/>
                            <a:ext cx="1903730" cy="2303780"/>
                          </a:xfrm>
                          <a:prstGeom prst="rect">
                            <a:avLst/>
                          </a:prstGeom>
                          <a:noFill/>
                          <a:ln>
                            <a:noFill/>
                          </a:ln>
                        </pic:spPr>
                      </pic:pic>
                    </a:graphicData>
                  </a:graphic>
                </wp:anchor>
              </w:drawing>
            </w:r>
          </w:p>
        </w:tc>
      </w:tr>
    </w:tbl>
    <w:p w14:paraId="3E933507">
      <w:pPr>
        <w:bidi w:val="0"/>
        <w:rPr>
          <w:rFonts w:hint="eastAsia" w:ascii="仿宋" w:hAnsi="仿宋" w:eastAsia="仿宋" w:cs="仿宋"/>
          <w:color w:val="auto"/>
          <w:highlight w:val="none"/>
        </w:rPr>
      </w:pPr>
    </w:p>
    <w:sectPr>
      <w:footerReference r:id="rId9" w:type="default"/>
      <w:pgSz w:w="11907" w:h="16840"/>
      <w:pgMar w:top="1134" w:right="1191" w:bottom="1134" w:left="1304" w:header="794" w:footer="794" w:gutter="0"/>
      <w:pgNumType w:fmt="numberInDash"/>
      <w:cols w:space="0" w:num="1"/>
      <w:rtlGutter w:val="0"/>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CCC570CC-54D4-4F42-B067-6C652DA02B19}"/>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DB0F">
    <w:pPr>
      <w:pStyle w:val="1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10D1E">
    <w:pPr>
      <w:pStyle w:val="13"/>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0E783322">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6E75">
    <w:pPr>
      <w:pStyle w:val="13"/>
      <w:bidi w:val="0"/>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AAE94">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AAAE94">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C2B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2CCB0A31">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CCB0A31">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4FC8">
    <w:pPr>
      <w:pStyle w:val="14"/>
      <w:pBdr>
        <w:bottom w:val="none" w:color="auto" w:sz="0" w:space="1"/>
      </w:pBdr>
      <w:ind w:left="0" w:leftChars="0" w:firstLine="0" w:firstLineChars="0"/>
      <w:jc w:val="both"/>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3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TYzY2RhNjM1YWI1MmQ1NGZiYmFjMTAxYWI3NTkifQ=="/>
  </w:docVars>
  <w:rsids>
    <w:rsidRoot w:val="4DEF5E83"/>
    <w:rsid w:val="00125237"/>
    <w:rsid w:val="001A64C4"/>
    <w:rsid w:val="00360E24"/>
    <w:rsid w:val="00377076"/>
    <w:rsid w:val="00EA40E8"/>
    <w:rsid w:val="01062EEC"/>
    <w:rsid w:val="011C626C"/>
    <w:rsid w:val="011E0236"/>
    <w:rsid w:val="01437C9C"/>
    <w:rsid w:val="0160259F"/>
    <w:rsid w:val="016A347B"/>
    <w:rsid w:val="0178495D"/>
    <w:rsid w:val="019127B6"/>
    <w:rsid w:val="01A7022B"/>
    <w:rsid w:val="01AD4F2A"/>
    <w:rsid w:val="01D31020"/>
    <w:rsid w:val="01DA7527"/>
    <w:rsid w:val="01FF2395"/>
    <w:rsid w:val="02555ED9"/>
    <w:rsid w:val="025657AD"/>
    <w:rsid w:val="026954E1"/>
    <w:rsid w:val="02781BC8"/>
    <w:rsid w:val="02806B76"/>
    <w:rsid w:val="029F2011"/>
    <w:rsid w:val="02A36C44"/>
    <w:rsid w:val="02BD75DA"/>
    <w:rsid w:val="02BE6F98"/>
    <w:rsid w:val="02CC5BEF"/>
    <w:rsid w:val="03125B78"/>
    <w:rsid w:val="03391357"/>
    <w:rsid w:val="03731FB8"/>
    <w:rsid w:val="039A1EEB"/>
    <w:rsid w:val="03A52548"/>
    <w:rsid w:val="03C50E3C"/>
    <w:rsid w:val="03CA7F40"/>
    <w:rsid w:val="042F4508"/>
    <w:rsid w:val="04762137"/>
    <w:rsid w:val="04AD3DAA"/>
    <w:rsid w:val="04CE5682"/>
    <w:rsid w:val="04DC643E"/>
    <w:rsid w:val="05080FE1"/>
    <w:rsid w:val="051E0804"/>
    <w:rsid w:val="055676A9"/>
    <w:rsid w:val="056106F1"/>
    <w:rsid w:val="05AC22B4"/>
    <w:rsid w:val="05CA273A"/>
    <w:rsid w:val="05E06A46"/>
    <w:rsid w:val="05E80E12"/>
    <w:rsid w:val="05FC53C3"/>
    <w:rsid w:val="062410E4"/>
    <w:rsid w:val="06304C93"/>
    <w:rsid w:val="063522A9"/>
    <w:rsid w:val="06467F99"/>
    <w:rsid w:val="065F7326"/>
    <w:rsid w:val="06742D3A"/>
    <w:rsid w:val="067A7CBC"/>
    <w:rsid w:val="067C1B11"/>
    <w:rsid w:val="0687062B"/>
    <w:rsid w:val="069A3EBB"/>
    <w:rsid w:val="06C142E2"/>
    <w:rsid w:val="06DF2215"/>
    <w:rsid w:val="06E72E78"/>
    <w:rsid w:val="07041C7C"/>
    <w:rsid w:val="070B300A"/>
    <w:rsid w:val="070D0B30"/>
    <w:rsid w:val="07133586"/>
    <w:rsid w:val="076170CE"/>
    <w:rsid w:val="076550A7"/>
    <w:rsid w:val="07743A9C"/>
    <w:rsid w:val="077E558A"/>
    <w:rsid w:val="07A174CB"/>
    <w:rsid w:val="07D01B5E"/>
    <w:rsid w:val="07EB0E6D"/>
    <w:rsid w:val="08145EEF"/>
    <w:rsid w:val="08286E7C"/>
    <w:rsid w:val="08314CF2"/>
    <w:rsid w:val="084542FA"/>
    <w:rsid w:val="084F6F27"/>
    <w:rsid w:val="0858227F"/>
    <w:rsid w:val="089824F1"/>
    <w:rsid w:val="08D833C0"/>
    <w:rsid w:val="08F80D73"/>
    <w:rsid w:val="09287EA3"/>
    <w:rsid w:val="09306D58"/>
    <w:rsid w:val="09594501"/>
    <w:rsid w:val="09616F12"/>
    <w:rsid w:val="097430E9"/>
    <w:rsid w:val="099077F7"/>
    <w:rsid w:val="0992531D"/>
    <w:rsid w:val="0A037FC9"/>
    <w:rsid w:val="0A1421D6"/>
    <w:rsid w:val="0A4A209B"/>
    <w:rsid w:val="0A4A3E4A"/>
    <w:rsid w:val="0A762E91"/>
    <w:rsid w:val="0AA60E0A"/>
    <w:rsid w:val="0AA61475"/>
    <w:rsid w:val="0AD33E3F"/>
    <w:rsid w:val="0AD41965"/>
    <w:rsid w:val="0B161F7E"/>
    <w:rsid w:val="0B1701D0"/>
    <w:rsid w:val="0B4A5C99"/>
    <w:rsid w:val="0B4C599F"/>
    <w:rsid w:val="0B5A630E"/>
    <w:rsid w:val="0B696551"/>
    <w:rsid w:val="0B7A075E"/>
    <w:rsid w:val="0B7C44D7"/>
    <w:rsid w:val="0B7E06D1"/>
    <w:rsid w:val="0B8213C1"/>
    <w:rsid w:val="0B8D2240"/>
    <w:rsid w:val="0BA31A63"/>
    <w:rsid w:val="0BBF6171"/>
    <w:rsid w:val="0BD7170D"/>
    <w:rsid w:val="0BDE2A9B"/>
    <w:rsid w:val="0BE32C22"/>
    <w:rsid w:val="0BF26547"/>
    <w:rsid w:val="0C032502"/>
    <w:rsid w:val="0C14470F"/>
    <w:rsid w:val="0C1C1816"/>
    <w:rsid w:val="0C1D6C30"/>
    <w:rsid w:val="0C2801BA"/>
    <w:rsid w:val="0C2B3807"/>
    <w:rsid w:val="0C3678DF"/>
    <w:rsid w:val="0C4024A9"/>
    <w:rsid w:val="0C6C00A7"/>
    <w:rsid w:val="0CB101B0"/>
    <w:rsid w:val="0CD71AF7"/>
    <w:rsid w:val="0D0B5B12"/>
    <w:rsid w:val="0D277CA0"/>
    <w:rsid w:val="0D7E68E9"/>
    <w:rsid w:val="0D847672"/>
    <w:rsid w:val="0DA43871"/>
    <w:rsid w:val="0DA63A8D"/>
    <w:rsid w:val="0DAB4BFF"/>
    <w:rsid w:val="0DEB76F2"/>
    <w:rsid w:val="0E030095"/>
    <w:rsid w:val="0E3015A8"/>
    <w:rsid w:val="0E480BC8"/>
    <w:rsid w:val="0E536A4C"/>
    <w:rsid w:val="0E7D2A40"/>
    <w:rsid w:val="0E903DF5"/>
    <w:rsid w:val="0EC266A4"/>
    <w:rsid w:val="0ED63EFE"/>
    <w:rsid w:val="0EEA5BFB"/>
    <w:rsid w:val="0EEC3721"/>
    <w:rsid w:val="0F07055B"/>
    <w:rsid w:val="0F227143"/>
    <w:rsid w:val="0F421593"/>
    <w:rsid w:val="0F507C23"/>
    <w:rsid w:val="0F7064D5"/>
    <w:rsid w:val="0F751969"/>
    <w:rsid w:val="0F8A6A96"/>
    <w:rsid w:val="0F9F2542"/>
    <w:rsid w:val="0FA607A8"/>
    <w:rsid w:val="0FBC7598"/>
    <w:rsid w:val="103A7FB9"/>
    <w:rsid w:val="103C4234"/>
    <w:rsid w:val="103F5AD3"/>
    <w:rsid w:val="10593038"/>
    <w:rsid w:val="10741C20"/>
    <w:rsid w:val="108C6069"/>
    <w:rsid w:val="108D6B23"/>
    <w:rsid w:val="10944070"/>
    <w:rsid w:val="10BB15FD"/>
    <w:rsid w:val="10D426BF"/>
    <w:rsid w:val="10ED552F"/>
    <w:rsid w:val="110F2CF1"/>
    <w:rsid w:val="111D5BA4"/>
    <w:rsid w:val="11252F1A"/>
    <w:rsid w:val="11335637"/>
    <w:rsid w:val="113849FC"/>
    <w:rsid w:val="11496C09"/>
    <w:rsid w:val="116003F7"/>
    <w:rsid w:val="11AB701E"/>
    <w:rsid w:val="11CB1D14"/>
    <w:rsid w:val="11D87F8D"/>
    <w:rsid w:val="11E132E5"/>
    <w:rsid w:val="11EA267A"/>
    <w:rsid w:val="11F12DFD"/>
    <w:rsid w:val="12015736"/>
    <w:rsid w:val="12040D82"/>
    <w:rsid w:val="12174B86"/>
    <w:rsid w:val="123A5494"/>
    <w:rsid w:val="123C051C"/>
    <w:rsid w:val="12443874"/>
    <w:rsid w:val="125A6BF4"/>
    <w:rsid w:val="12AA7B7B"/>
    <w:rsid w:val="12AD1419"/>
    <w:rsid w:val="12C14EC5"/>
    <w:rsid w:val="12D9220E"/>
    <w:rsid w:val="12E666D9"/>
    <w:rsid w:val="130421B7"/>
    <w:rsid w:val="133E6515"/>
    <w:rsid w:val="1340403C"/>
    <w:rsid w:val="134753CA"/>
    <w:rsid w:val="13866E68"/>
    <w:rsid w:val="138A7A8B"/>
    <w:rsid w:val="139B4AF3"/>
    <w:rsid w:val="13F15336"/>
    <w:rsid w:val="14107EB2"/>
    <w:rsid w:val="144F2407"/>
    <w:rsid w:val="145D7D3A"/>
    <w:rsid w:val="1474193D"/>
    <w:rsid w:val="1481490C"/>
    <w:rsid w:val="148207ED"/>
    <w:rsid w:val="14A16D5C"/>
    <w:rsid w:val="14D62EA9"/>
    <w:rsid w:val="14EC447B"/>
    <w:rsid w:val="14F41582"/>
    <w:rsid w:val="14F66251"/>
    <w:rsid w:val="1517701E"/>
    <w:rsid w:val="151B6B0E"/>
    <w:rsid w:val="15793835"/>
    <w:rsid w:val="158741A4"/>
    <w:rsid w:val="159D44E2"/>
    <w:rsid w:val="15AA7E92"/>
    <w:rsid w:val="15C4794F"/>
    <w:rsid w:val="15D03620"/>
    <w:rsid w:val="15D66983"/>
    <w:rsid w:val="15E038B4"/>
    <w:rsid w:val="15FC6940"/>
    <w:rsid w:val="161F618A"/>
    <w:rsid w:val="1641182C"/>
    <w:rsid w:val="164976AB"/>
    <w:rsid w:val="16500A3A"/>
    <w:rsid w:val="16783AEC"/>
    <w:rsid w:val="169C3C7F"/>
    <w:rsid w:val="16C531D6"/>
    <w:rsid w:val="16FA09A5"/>
    <w:rsid w:val="16FB6BF7"/>
    <w:rsid w:val="172F68A1"/>
    <w:rsid w:val="173C2D6C"/>
    <w:rsid w:val="17562080"/>
    <w:rsid w:val="1767603B"/>
    <w:rsid w:val="17C84600"/>
    <w:rsid w:val="17E60FC0"/>
    <w:rsid w:val="17E86A50"/>
    <w:rsid w:val="17EA27C8"/>
    <w:rsid w:val="17EE4066"/>
    <w:rsid w:val="17FD074D"/>
    <w:rsid w:val="18034752"/>
    <w:rsid w:val="182D7946"/>
    <w:rsid w:val="183C3BEE"/>
    <w:rsid w:val="18585984"/>
    <w:rsid w:val="18594FAA"/>
    <w:rsid w:val="18757159"/>
    <w:rsid w:val="18941397"/>
    <w:rsid w:val="18A003B7"/>
    <w:rsid w:val="18A64941"/>
    <w:rsid w:val="18B76B4E"/>
    <w:rsid w:val="18F20E4C"/>
    <w:rsid w:val="19120357"/>
    <w:rsid w:val="191775ED"/>
    <w:rsid w:val="193C7053"/>
    <w:rsid w:val="197113F3"/>
    <w:rsid w:val="19A35324"/>
    <w:rsid w:val="19BD61D9"/>
    <w:rsid w:val="19C374A3"/>
    <w:rsid w:val="19EF437E"/>
    <w:rsid w:val="19FB6F0E"/>
    <w:rsid w:val="1A0062D3"/>
    <w:rsid w:val="1A1A1D9C"/>
    <w:rsid w:val="1A2E4BEE"/>
    <w:rsid w:val="1A393593"/>
    <w:rsid w:val="1A6E24A9"/>
    <w:rsid w:val="1AB71087"/>
    <w:rsid w:val="1ABD2416"/>
    <w:rsid w:val="1AF02488"/>
    <w:rsid w:val="1AFF2A2E"/>
    <w:rsid w:val="1B083691"/>
    <w:rsid w:val="1B326960"/>
    <w:rsid w:val="1B3426D8"/>
    <w:rsid w:val="1B3E70B3"/>
    <w:rsid w:val="1B683882"/>
    <w:rsid w:val="1B7449F1"/>
    <w:rsid w:val="1B79633D"/>
    <w:rsid w:val="1B8B42C2"/>
    <w:rsid w:val="1B8C2514"/>
    <w:rsid w:val="1BB11F7A"/>
    <w:rsid w:val="1BB455C7"/>
    <w:rsid w:val="1BD87507"/>
    <w:rsid w:val="1BE614F8"/>
    <w:rsid w:val="1BE834C2"/>
    <w:rsid w:val="1C02560E"/>
    <w:rsid w:val="1C1A35B4"/>
    <w:rsid w:val="1C46375B"/>
    <w:rsid w:val="1C980A44"/>
    <w:rsid w:val="1CA613B3"/>
    <w:rsid w:val="1CA63842"/>
    <w:rsid w:val="1CE65C54"/>
    <w:rsid w:val="1D2608B0"/>
    <w:rsid w:val="1D2F75FB"/>
    <w:rsid w:val="1D4F36D7"/>
    <w:rsid w:val="1D5E1C8E"/>
    <w:rsid w:val="1D760EA8"/>
    <w:rsid w:val="1D840FC9"/>
    <w:rsid w:val="1D9236E6"/>
    <w:rsid w:val="1DAF6EE4"/>
    <w:rsid w:val="1DCD0BC2"/>
    <w:rsid w:val="1DCE13A0"/>
    <w:rsid w:val="1DD00B15"/>
    <w:rsid w:val="1E0D75CB"/>
    <w:rsid w:val="1E320A25"/>
    <w:rsid w:val="1E521B96"/>
    <w:rsid w:val="1E560BB7"/>
    <w:rsid w:val="1E62755C"/>
    <w:rsid w:val="1EAF02C7"/>
    <w:rsid w:val="1ECE4BF1"/>
    <w:rsid w:val="1ED65854"/>
    <w:rsid w:val="1F494278"/>
    <w:rsid w:val="1F542D83"/>
    <w:rsid w:val="1F654471"/>
    <w:rsid w:val="1F923E71"/>
    <w:rsid w:val="1F9951FF"/>
    <w:rsid w:val="1FA31BDA"/>
    <w:rsid w:val="1FF266BE"/>
    <w:rsid w:val="1FF561F6"/>
    <w:rsid w:val="1FF71F26"/>
    <w:rsid w:val="200563F1"/>
    <w:rsid w:val="200A7EAB"/>
    <w:rsid w:val="202D2326"/>
    <w:rsid w:val="20825C93"/>
    <w:rsid w:val="209B0B03"/>
    <w:rsid w:val="20D14525"/>
    <w:rsid w:val="20EA3839"/>
    <w:rsid w:val="20F14BC7"/>
    <w:rsid w:val="20FA3A7C"/>
    <w:rsid w:val="21022930"/>
    <w:rsid w:val="210743EB"/>
    <w:rsid w:val="211012E4"/>
    <w:rsid w:val="2110329F"/>
    <w:rsid w:val="21227D4A"/>
    <w:rsid w:val="21423675"/>
    <w:rsid w:val="214E201A"/>
    <w:rsid w:val="216929AF"/>
    <w:rsid w:val="21921F06"/>
    <w:rsid w:val="219914E7"/>
    <w:rsid w:val="21C5584A"/>
    <w:rsid w:val="21D1038F"/>
    <w:rsid w:val="21DA38AD"/>
    <w:rsid w:val="220A4192"/>
    <w:rsid w:val="22274D44"/>
    <w:rsid w:val="22377C84"/>
    <w:rsid w:val="224C6559"/>
    <w:rsid w:val="226553C5"/>
    <w:rsid w:val="22A2261D"/>
    <w:rsid w:val="22BA4FCF"/>
    <w:rsid w:val="22CE58A3"/>
    <w:rsid w:val="22DD5403"/>
    <w:rsid w:val="22DF73CD"/>
    <w:rsid w:val="23111551"/>
    <w:rsid w:val="234E6301"/>
    <w:rsid w:val="23711FEF"/>
    <w:rsid w:val="23757D31"/>
    <w:rsid w:val="23A96438"/>
    <w:rsid w:val="23B87C1E"/>
    <w:rsid w:val="23BC326A"/>
    <w:rsid w:val="23D22A8E"/>
    <w:rsid w:val="23F0560A"/>
    <w:rsid w:val="242332EA"/>
    <w:rsid w:val="245060A9"/>
    <w:rsid w:val="24836BF3"/>
    <w:rsid w:val="24A3513A"/>
    <w:rsid w:val="24D82326"/>
    <w:rsid w:val="24DD5B8E"/>
    <w:rsid w:val="24DD793C"/>
    <w:rsid w:val="24EB7A61"/>
    <w:rsid w:val="25072C0B"/>
    <w:rsid w:val="250E3F9A"/>
    <w:rsid w:val="25203CCD"/>
    <w:rsid w:val="25284BE3"/>
    <w:rsid w:val="253432D4"/>
    <w:rsid w:val="25441769"/>
    <w:rsid w:val="254E25E8"/>
    <w:rsid w:val="25783B09"/>
    <w:rsid w:val="258424AE"/>
    <w:rsid w:val="259F1096"/>
    <w:rsid w:val="25B55A12"/>
    <w:rsid w:val="25C26B32"/>
    <w:rsid w:val="25D56865"/>
    <w:rsid w:val="25E62821"/>
    <w:rsid w:val="25EB6089"/>
    <w:rsid w:val="26485289"/>
    <w:rsid w:val="265C2AE3"/>
    <w:rsid w:val="27070CA1"/>
    <w:rsid w:val="271A0FDD"/>
    <w:rsid w:val="27313F6F"/>
    <w:rsid w:val="27391076"/>
    <w:rsid w:val="27473793"/>
    <w:rsid w:val="27893DAB"/>
    <w:rsid w:val="27A26C1B"/>
    <w:rsid w:val="27A6670B"/>
    <w:rsid w:val="280C22E7"/>
    <w:rsid w:val="282615FA"/>
    <w:rsid w:val="282C4737"/>
    <w:rsid w:val="2830226B"/>
    <w:rsid w:val="28416434"/>
    <w:rsid w:val="285E47A9"/>
    <w:rsid w:val="28661C5E"/>
    <w:rsid w:val="2899338D"/>
    <w:rsid w:val="28A013AD"/>
    <w:rsid w:val="28AB663D"/>
    <w:rsid w:val="28AB7D51"/>
    <w:rsid w:val="28C0369D"/>
    <w:rsid w:val="28CF4308"/>
    <w:rsid w:val="28D9041B"/>
    <w:rsid w:val="28ED036A"/>
    <w:rsid w:val="28F72F97"/>
    <w:rsid w:val="28FE2577"/>
    <w:rsid w:val="290162C5"/>
    <w:rsid w:val="2917694A"/>
    <w:rsid w:val="295E6B72"/>
    <w:rsid w:val="29B82726"/>
    <w:rsid w:val="29C3025C"/>
    <w:rsid w:val="29E259F5"/>
    <w:rsid w:val="2A2658E2"/>
    <w:rsid w:val="2A5F68C5"/>
    <w:rsid w:val="2A6308E4"/>
    <w:rsid w:val="2AA41642"/>
    <w:rsid w:val="2AA66A22"/>
    <w:rsid w:val="2AE17A5A"/>
    <w:rsid w:val="2AEF3F25"/>
    <w:rsid w:val="2B1C0A93"/>
    <w:rsid w:val="2B2636BF"/>
    <w:rsid w:val="2B484546"/>
    <w:rsid w:val="2B4A1AA4"/>
    <w:rsid w:val="2B674404"/>
    <w:rsid w:val="2B7803BF"/>
    <w:rsid w:val="2BB7383F"/>
    <w:rsid w:val="2BC453B2"/>
    <w:rsid w:val="2BD004F8"/>
    <w:rsid w:val="2C016606"/>
    <w:rsid w:val="2C504BF0"/>
    <w:rsid w:val="2C5A5D16"/>
    <w:rsid w:val="2C602C01"/>
    <w:rsid w:val="2C7D1A05"/>
    <w:rsid w:val="2C8B2374"/>
    <w:rsid w:val="2C9C1E8B"/>
    <w:rsid w:val="2CB847EB"/>
    <w:rsid w:val="2CC53D32"/>
    <w:rsid w:val="2CD25D33"/>
    <w:rsid w:val="2D0143E4"/>
    <w:rsid w:val="2D0A3299"/>
    <w:rsid w:val="2D362E0A"/>
    <w:rsid w:val="2D485B6F"/>
    <w:rsid w:val="2DA01E4F"/>
    <w:rsid w:val="2DAD1E76"/>
    <w:rsid w:val="2DEA131C"/>
    <w:rsid w:val="2E132621"/>
    <w:rsid w:val="2E6469D8"/>
    <w:rsid w:val="2E7806D6"/>
    <w:rsid w:val="2E8D23D3"/>
    <w:rsid w:val="2EBF00B3"/>
    <w:rsid w:val="2EC61441"/>
    <w:rsid w:val="2EC658E5"/>
    <w:rsid w:val="2ED53FDC"/>
    <w:rsid w:val="2EF37D5C"/>
    <w:rsid w:val="2EF60BB0"/>
    <w:rsid w:val="2F124637"/>
    <w:rsid w:val="2F4862FA"/>
    <w:rsid w:val="2F522CD5"/>
    <w:rsid w:val="2F650C5A"/>
    <w:rsid w:val="2F6649D2"/>
    <w:rsid w:val="2F6D4145"/>
    <w:rsid w:val="2FBE65BC"/>
    <w:rsid w:val="2FCD4A51"/>
    <w:rsid w:val="2FE043BB"/>
    <w:rsid w:val="30221FB4"/>
    <w:rsid w:val="3023045A"/>
    <w:rsid w:val="303B5E5F"/>
    <w:rsid w:val="30586A11"/>
    <w:rsid w:val="306E7FE2"/>
    <w:rsid w:val="308415B4"/>
    <w:rsid w:val="30BF439A"/>
    <w:rsid w:val="30C776F3"/>
    <w:rsid w:val="30EE1123"/>
    <w:rsid w:val="30EE4C7F"/>
    <w:rsid w:val="30FD3114"/>
    <w:rsid w:val="31046251"/>
    <w:rsid w:val="31857392"/>
    <w:rsid w:val="31903F88"/>
    <w:rsid w:val="31A83080"/>
    <w:rsid w:val="31D67B9E"/>
    <w:rsid w:val="31DE4CF4"/>
    <w:rsid w:val="31EF0CAF"/>
    <w:rsid w:val="31F938DC"/>
    <w:rsid w:val="32002EBC"/>
    <w:rsid w:val="320A7897"/>
    <w:rsid w:val="320C1861"/>
    <w:rsid w:val="321626E0"/>
    <w:rsid w:val="32186458"/>
    <w:rsid w:val="32504720"/>
    <w:rsid w:val="32685F2C"/>
    <w:rsid w:val="32725B2C"/>
    <w:rsid w:val="32A61CB5"/>
    <w:rsid w:val="32B670C6"/>
    <w:rsid w:val="33136C1F"/>
    <w:rsid w:val="33280B5E"/>
    <w:rsid w:val="33291F9F"/>
    <w:rsid w:val="333345DF"/>
    <w:rsid w:val="333C7F24"/>
    <w:rsid w:val="3354762A"/>
    <w:rsid w:val="33883169"/>
    <w:rsid w:val="33947E11"/>
    <w:rsid w:val="33976255"/>
    <w:rsid w:val="33A81058"/>
    <w:rsid w:val="33C531F5"/>
    <w:rsid w:val="33D91C17"/>
    <w:rsid w:val="34142C4F"/>
    <w:rsid w:val="3421711A"/>
    <w:rsid w:val="3445105A"/>
    <w:rsid w:val="344572AC"/>
    <w:rsid w:val="34AF485F"/>
    <w:rsid w:val="350C1B78"/>
    <w:rsid w:val="351B1DBB"/>
    <w:rsid w:val="351B3C18"/>
    <w:rsid w:val="351C46B4"/>
    <w:rsid w:val="353115DE"/>
    <w:rsid w:val="35867B7C"/>
    <w:rsid w:val="35901861"/>
    <w:rsid w:val="35926521"/>
    <w:rsid w:val="35BF4E3C"/>
    <w:rsid w:val="36494363"/>
    <w:rsid w:val="366A3BC0"/>
    <w:rsid w:val="367244CE"/>
    <w:rsid w:val="367C4ADB"/>
    <w:rsid w:val="36941E25"/>
    <w:rsid w:val="36B6623F"/>
    <w:rsid w:val="36D16BD5"/>
    <w:rsid w:val="36E903C3"/>
    <w:rsid w:val="37080D29"/>
    <w:rsid w:val="37215DAE"/>
    <w:rsid w:val="37294C63"/>
    <w:rsid w:val="372C02AF"/>
    <w:rsid w:val="37461371"/>
    <w:rsid w:val="374776F1"/>
    <w:rsid w:val="3751103F"/>
    <w:rsid w:val="37521BDE"/>
    <w:rsid w:val="37643EED"/>
    <w:rsid w:val="37661A13"/>
    <w:rsid w:val="376712E7"/>
    <w:rsid w:val="377203B8"/>
    <w:rsid w:val="37797999"/>
    <w:rsid w:val="379406B9"/>
    <w:rsid w:val="37B02C3F"/>
    <w:rsid w:val="37D50947"/>
    <w:rsid w:val="37EA2644"/>
    <w:rsid w:val="37F708BD"/>
    <w:rsid w:val="380354B4"/>
    <w:rsid w:val="3805122C"/>
    <w:rsid w:val="381476C1"/>
    <w:rsid w:val="382F0057"/>
    <w:rsid w:val="386A5533"/>
    <w:rsid w:val="3875066B"/>
    <w:rsid w:val="3876277B"/>
    <w:rsid w:val="38A52EF3"/>
    <w:rsid w:val="38C509BB"/>
    <w:rsid w:val="38D24344"/>
    <w:rsid w:val="38DA77C6"/>
    <w:rsid w:val="39161217"/>
    <w:rsid w:val="39183D6A"/>
    <w:rsid w:val="393C6ED0"/>
    <w:rsid w:val="396159B3"/>
    <w:rsid w:val="39663F4D"/>
    <w:rsid w:val="396C0E37"/>
    <w:rsid w:val="399A3BF6"/>
    <w:rsid w:val="39BB609F"/>
    <w:rsid w:val="39E13099"/>
    <w:rsid w:val="39ED01CA"/>
    <w:rsid w:val="39EE7A9E"/>
    <w:rsid w:val="3A61098D"/>
    <w:rsid w:val="3A960861"/>
    <w:rsid w:val="3AA56BF4"/>
    <w:rsid w:val="3AC03371"/>
    <w:rsid w:val="3ACC6031"/>
    <w:rsid w:val="3B143534"/>
    <w:rsid w:val="3B4200A1"/>
    <w:rsid w:val="3B4A33FA"/>
    <w:rsid w:val="3B60677A"/>
    <w:rsid w:val="3B714E2B"/>
    <w:rsid w:val="3B8C3A12"/>
    <w:rsid w:val="3BAB3E99"/>
    <w:rsid w:val="3BC767F9"/>
    <w:rsid w:val="3BD038FF"/>
    <w:rsid w:val="3BD73C11"/>
    <w:rsid w:val="3BEB698B"/>
    <w:rsid w:val="3C410359"/>
    <w:rsid w:val="3C432323"/>
    <w:rsid w:val="3C461E13"/>
    <w:rsid w:val="3C662F25"/>
    <w:rsid w:val="3C7B03C2"/>
    <w:rsid w:val="3C956097"/>
    <w:rsid w:val="3CA32639"/>
    <w:rsid w:val="3CAB7EC8"/>
    <w:rsid w:val="3CC86CCC"/>
    <w:rsid w:val="3CEA279F"/>
    <w:rsid w:val="3CED6733"/>
    <w:rsid w:val="3CFE1B52"/>
    <w:rsid w:val="3D001FC2"/>
    <w:rsid w:val="3D0D46DF"/>
    <w:rsid w:val="3D0E0B83"/>
    <w:rsid w:val="3D130278"/>
    <w:rsid w:val="3D385C00"/>
    <w:rsid w:val="3D3D3216"/>
    <w:rsid w:val="3D7B5AED"/>
    <w:rsid w:val="3D7C2EA5"/>
    <w:rsid w:val="3D7F55DD"/>
    <w:rsid w:val="3D9B1CEB"/>
    <w:rsid w:val="3DE10046"/>
    <w:rsid w:val="3DEE2762"/>
    <w:rsid w:val="3E3363C7"/>
    <w:rsid w:val="3E391C30"/>
    <w:rsid w:val="3E4A100D"/>
    <w:rsid w:val="3E6842C3"/>
    <w:rsid w:val="3E895FE7"/>
    <w:rsid w:val="3E9A0C6C"/>
    <w:rsid w:val="3E9F580B"/>
    <w:rsid w:val="3EC15781"/>
    <w:rsid w:val="3EC62D97"/>
    <w:rsid w:val="3EE120B5"/>
    <w:rsid w:val="3EE85404"/>
    <w:rsid w:val="3EF73899"/>
    <w:rsid w:val="3F034197"/>
    <w:rsid w:val="3F5D7BA0"/>
    <w:rsid w:val="3FAA26B9"/>
    <w:rsid w:val="3FC31FB4"/>
    <w:rsid w:val="3FD80FD4"/>
    <w:rsid w:val="3FDD2A8F"/>
    <w:rsid w:val="4013200C"/>
    <w:rsid w:val="402B1A4C"/>
    <w:rsid w:val="40330901"/>
    <w:rsid w:val="404C3770"/>
    <w:rsid w:val="40624D42"/>
    <w:rsid w:val="409C46F8"/>
    <w:rsid w:val="40C81049"/>
    <w:rsid w:val="41066F44"/>
    <w:rsid w:val="411E6EBB"/>
    <w:rsid w:val="414C3A28"/>
    <w:rsid w:val="41703943"/>
    <w:rsid w:val="418D59F9"/>
    <w:rsid w:val="41CC6917"/>
    <w:rsid w:val="42164036"/>
    <w:rsid w:val="42462B6D"/>
    <w:rsid w:val="424D3EFC"/>
    <w:rsid w:val="42552DB0"/>
    <w:rsid w:val="426B25D4"/>
    <w:rsid w:val="42982C9D"/>
    <w:rsid w:val="42997141"/>
    <w:rsid w:val="42C817D4"/>
    <w:rsid w:val="42C85330"/>
    <w:rsid w:val="42D9578F"/>
    <w:rsid w:val="42E00A4C"/>
    <w:rsid w:val="43301127"/>
    <w:rsid w:val="43664B49"/>
    <w:rsid w:val="438C2802"/>
    <w:rsid w:val="43B012CC"/>
    <w:rsid w:val="440C3942"/>
    <w:rsid w:val="443833A3"/>
    <w:rsid w:val="445D419E"/>
    <w:rsid w:val="445F4D0F"/>
    <w:rsid w:val="447119F7"/>
    <w:rsid w:val="44A45929"/>
    <w:rsid w:val="44CB735A"/>
    <w:rsid w:val="45186B8F"/>
    <w:rsid w:val="451E1B7F"/>
    <w:rsid w:val="451E392D"/>
    <w:rsid w:val="45246A6A"/>
    <w:rsid w:val="45464C32"/>
    <w:rsid w:val="45AF0304"/>
    <w:rsid w:val="46054AED"/>
    <w:rsid w:val="46072613"/>
    <w:rsid w:val="464C6F34"/>
    <w:rsid w:val="4650429B"/>
    <w:rsid w:val="46585A46"/>
    <w:rsid w:val="467F03FC"/>
    <w:rsid w:val="46B207D1"/>
    <w:rsid w:val="46DD5122"/>
    <w:rsid w:val="46E30A49"/>
    <w:rsid w:val="470A00FF"/>
    <w:rsid w:val="472E597E"/>
    <w:rsid w:val="473D27AA"/>
    <w:rsid w:val="47431429"/>
    <w:rsid w:val="47486A40"/>
    <w:rsid w:val="475278BE"/>
    <w:rsid w:val="475573AE"/>
    <w:rsid w:val="476615BC"/>
    <w:rsid w:val="476B0980"/>
    <w:rsid w:val="47912C97"/>
    <w:rsid w:val="47D11F54"/>
    <w:rsid w:val="48253225"/>
    <w:rsid w:val="482C6361"/>
    <w:rsid w:val="483B0BC3"/>
    <w:rsid w:val="48657F5E"/>
    <w:rsid w:val="48B56357"/>
    <w:rsid w:val="48C26CC5"/>
    <w:rsid w:val="48C7608A"/>
    <w:rsid w:val="48E42798"/>
    <w:rsid w:val="48EC195F"/>
    <w:rsid w:val="48FD7CFE"/>
    <w:rsid w:val="491A4230"/>
    <w:rsid w:val="491F7C74"/>
    <w:rsid w:val="49213C28"/>
    <w:rsid w:val="49290AF3"/>
    <w:rsid w:val="49470F79"/>
    <w:rsid w:val="49697141"/>
    <w:rsid w:val="49926698"/>
    <w:rsid w:val="499E7CEB"/>
    <w:rsid w:val="49FB248F"/>
    <w:rsid w:val="49FD006B"/>
    <w:rsid w:val="4A090D57"/>
    <w:rsid w:val="4A2A68D0"/>
    <w:rsid w:val="4A331C29"/>
    <w:rsid w:val="4A3F67C0"/>
    <w:rsid w:val="4A471230"/>
    <w:rsid w:val="4A6C081F"/>
    <w:rsid w:val="4A7D2EA4"/>
    <w:rsid w:val="4ACF7478"/>
    <w:rsid w:val="4AE178D7"/>
    <w:rsid w:val="4AF0089A"/>
    <w:rsid w:val="4AF13892"/>
    <w:rsid w:val="4B1A4B97"/>
    <w:rsid w:val="4B5300A9"/>
    <w:rsid w:val="4B6B71A0"/>
    <w:rsid w:val="4B7D7469"/>
    <w:rsid w:val="4B9366F7"/>
    <w:rsid w:val="4BA10E14"/>
    <w:rsid w:val="4BAD5A0B"/>
    <w:rsid w:val="4BCE772F"/>
    <w:rsid w:val="4BEA4569"/>
    <w:rsid w:val="4BFC24EE"/>
    <w:rsid w:val="4BFC604B"/>
    <w:rsid w:val="4C177328"/>
    <w:rsid w:val="4C2B6930"/>
    <w:rsid w:val="4C3D6D8F"/>
    <w:rsid w:val="4C643B5B"/>
    <w:rsid w:val="4C72455F"/>
    <w:rsid w:val="4C880234"/>
    <w:rsid w:val="4C8E2679"/>
    <w:rsid w:val="4C8E75EA"/>
    <w:rsid w:val="4CA010CC"/>
    <w:rsid w:val="4CA94424"/>
    <w:rsid w:val="4CCA2BFB"/>
    <w:rsid w:val="4CD9638C"/>
    <w:rsid w:val="4CEF1E05"/>
    <w:rsid w:val="4D2A6BE7"/>
    <w:rsid w:val="4D3A32CE"/>
    <w:rsid w:val="4D4E28D6"/>
    <w:rsid w:val="4D574C97"/>
    <w:rsid w:val="4D5D520F"/>
    <w:rsid w:val="4D7D31BB"/>
    <w:rsid w:val="4D862070"/>
    <w:rsid w:val="4DCD7C9F"/>
    <w:rsid w:val="4DEF5E83"/>
    <w:rsid w:val="4E024664"/>
    <w:rsid w:val="4E091E01"/>
    <w:rsid w:val="4E0D453F"/>
    <w:rsid w:val="4E2875CB"/>
    <w:rsid w:val="4E53036B"/>
    <w:rsid w:val="4E53054B"/>
    <w:rsid w:val="4EA03605"/>
    <w:rsid w:val="4ECC264C"/>
    <w:rsid w:val="4ED06576"/>
    <w:rsid w:val="4EDC2A3F"/>
    <w:rsid w:val="4F4E3CE2"/>
    <w:rsid w:val="4F5F701C"/>
    <w:rsid w:val="4F6208BA"/>
    <w:rsid w:val="4F824AB9"/>
    <w:rsid w:val="4F8E345D"/>
    <w:rsid w:val="4F9273F2"/>
    <w:rsid w:val="4FA42C81"/>
    <w:rsid w:val="4FAC7D88"/>
    <w:rsid w:val="4FB530E0"/>
    <w:rsid w:val="4FBF5D0D"/>
    <w:rsid w:val="4FE65048"/>
    <w:rsid w:val="4FFE6835"/>
    <w:rsid w:val="500656EA"/>
    <w:rsid w:val="50444D71"/>
    <w:rsid w:val="50546455"/>
    <w:rsid w:val="5075461D"/>
    <w:rsid w:val="507E1724"/>
    <w:rsid w:val="508F5690"/>
    <w:rsid w:val="509C6548"/>
    <w:rsid w:val="509E6E33"/>
    <w:rsid w:val="50C01D3C"/>
    <w:rsid w:val="50D77086"/>
    <w:rsid w:val="51256043"/>
    <w:rsid w:val="517D5E7F"/>
    <w:rsid w:val="519277D2"/>
    <w:rsid w:val="51B9600D"/>
    <w:rsid w:val="51D236DC"/>
    <w:rsid w:val="51DA6E2E"/>
    <w:rsid w:val="51F36142"/>
    <w:rsid w:val="51FC6DA4"/>
    <w:rsid w:val="52171E30"/>
    <w:rsid w:val="523302EC"/>
    <w:rsid w:val="526C7969"/>
    <w:rsid w:val="52903990"/>
    <w:rsid w:val="52943481"/>
    <w:rsid w:val="52A15DDE"/>
    <w:rsid w:val="52A42F98"/>
    <w:rsid w:val="52E0112B"/>
    <w:rsid w:val="52E53CDC"/>
    <w:rsid w:val="53760DD8"/>
    <w:rsid w:val="53B768FB"/>
    <w:rsid w:val="53CE651E"/>
    <w:rsid w:val="53D8739D"/>
    <w:rsid w:val="542253DC"/>
    <w:rsid w:val="54232D0E"/>
    <w:rsid w:val="545C3B2A"/>
    <w:rsid w:val="547310A1"/>
    <w:rsid w:val="54955313"/>
    <w:rsid w:val="54F93A6F"/>
    <w:rsid w:val="5513722F"/>
    <w:rsid w:val="5531145B"/>
    <w:rsid w:val="5540169E"/>
    <w:rsid w:val="55502B3E"/>
    <w:rsid w:val="555750E8"/>
    <w:rsid w:val="5579695E"/>
    <w:rsid w:val="557F21C6"/>
    <w:rsid w:val="558275C0"/>
    <w:rsid w:val="55871C63"/>
    <w:rsid w:val="55A7171D"/>
    <w:rsid w:val="55BD684B"/>
    <w:rsid w:val="55C951EF"/>
    <w:rsid w:val="55CC644B"/>
    <w:rsid w:val="55CE6CAA"/>
    <w:rsid w:val="55D342C0"/>
    <w:rsid w:val="5621327D"/>
    <w:rsid w:val="56372AA1"/>
    <w:rsid w:val="56813D1C"/>
    <w:rsid w:val="56845FF7"/>
    <w:rsid w:val="56847368"/>
    <w:rsid w:val="568B6949"/>
    <w:rsid w:val="56A8574D"/>
    <w:rsid w:val="56EC4AB5"/>
    <w:rsid w:val="570064CA"/>
    <w:rsid w:val="572648C3"/>
    <w:rsid w:val="572A6162"/>
    <w:rsid w:val="572B3C88"/>
    <w:rsid w:val="57392849"/>
    <w:rsid w:val="57476D14"/>
    <w:rsid w:val="574B7E86"/>
    <w:rsid w:val="57517B92"/>
    <w:rsid w:val="57572CCF"/>
    <w:rsid w:val="57607DD5"/>
    <w:rsid w:val="576D24F2"/>
    <w:rsid w:val="57853398"/>
    <w:rsid w:val="579221F0"/>
    <w:rsid w:val="57A2162E"/>
    <w:rsid w:val="57A75A04"/>
    <w:rsid w:val="57DB745C"/>
    <w:rsid w:val="57E502DB"/>
    <w:rsid w:val="57FB7AFE"/>
    <w:rsid w:val="58236478"/>
    <w:rsid w:val="582F1556"/>
    <w:rsid w:val="583077A8"/>
    <w:rsid w:val="583628E4"/>
    <w:rsid w:val="586C6306"/>
    <w:rsid w:val="58773629"/>
    <w:rsid w:val="589966DD"/>
    <w:rsid w:val="58A32CEE"/>
    <w:rsid w:val="58DF11CE"/>
    <w:rsid w:val="58F24A5D"/>
    <w:rsid w:val="58F72402"/>
    <w:rsid w:val="594828CF"/>
    <w:rsid w:val="59690BBB"/>
    <w:rsid w:val="596D67DA"/>
    <w:rsid w:val="59EE7774"/>
    <w:rsid w:val="5A0A7FAF"/>
    <w:rsid w:val="5A1225D4"/>
    <w:rsid w:val="5A160C1F"/>
    <w:rsid w:val="5A317807"/>
    <w:rsid w:val="5A3410A5"/>
    <w:rsid w:val="5A490FF5"/>
    <w:rsid w:val="5A4D1CF7"/>
    <w:rsid w:val="5A64198B"/>
    <w:rsid w:val="5A7B0A82"/>
    <w:rsid w:val="5A951B44"/>
    <w:rsid w:val="5A9A6034"/>
    <w:rsid w:val="5AD85ED5"/>
    <w:rsid w:val="5B092532"/>
    <w:rsid w:val="5B1E7D8B"/>
    <w:rsid w:val="5B242EC8"/>
    <w:rsid w:val="5B2F01EA"/>
    <w:rsid w:val="5B5163B3"/>
    <w:rsid w:val="5B547D6A"/>
    <w:rsid w:val="5B7516A9"/>
    <w:rsid w:val="5B835E40"/>
    <w:rsid w:val="5BA34735"/>
    <w:rsid w:val="5BCA1CC1"/>
    <w:rsid w:val="5BCD5C82"/>
    <w:rsid w:val="5BDB7A2A"/>
    <w:rsid w:val="5BFB00CD"/>
    <w:rsid w:val="5C0276AD"/>
    <w:rsid w:val="5C2A2760"/>
    <w:rsid w:val="5C2E04A2"/>
    <w:rsid w:val="5C512D32"/>
    <w:rsid w:val="5C537F09"/>
    <w:rsid w:val="5C68135C"/>
    <w:rsid w:val="5CBC3D00"/>
    <w:rsid w:val="5CC214FE"/>
    <w:rsid w:val="5CD4149F"/>
    <w:rsid w:val="5CDA4186"/>
    <w:rsid w:val="5CF50FC0"/>
    <w:rsid w:val="5D4B5084"/>
    <w:rsid w:val="5D5F6439"/>
    <w:rsid w:val="5DF70D68"/>
    <w:rsid w:val="5E211941"/>
    <w:rsid w:val="5E2A2EEB"/>
    <w:rsid w:val="5E2A63FE"/>
    <w:rsid w:val="5E5B0994"/>
    <w:rsid w:val="5E60690D"/>
    <w:rsid w:val="5E800D5D"/>
    <w:rsid w:val="5EA20CD3"/>
    <w:rsid w:val="5EAE1426"/>
    <w:rsid w:val="5EB42F3B"/>
    <w:rsid w:val="5F0E0117"/>
    <w:rsid w:val="5F296A77"/>
    <w:rsid w:val="5F775CBC"/>
    <w:rsid w:val="5F8A29A8"/>
    <w:rsid w:val="5FCF78A6"/>
    <w:rsid w:val="5FEF1CF6"/>
    <w:rsid w:val="5FF32FFA"/>
    <w:rsid w:val="600F2399"/>
    <w:rsid w:val="6017124D"/>
    <w:rsid w:val="60200102"/>
    <w:rsid w:val="60583D40"/>
    <w:rsid w:val="606049A2"/>
    <w:rsid w:val="60651FB9"/>
    <w:rsid w:val="6089214B"/>
    <w:rsid w:val="609B1E7E"/>
    <w:rsid w:val="60A32AE1"/>
    <w:rsid w:val="60D31618"/>
    <w:rsid w:val="60F670B5"/>
    <w:rsid w:val="610F0FDE"/>
    <w:rsid w:val="611F660B"/>
    <w:rsid w:val="6138591F"/>
    <w:rsid w:val="61646714"/>
    <w:rsid w:val="6171498D"/>
    <w:rsid w:val="619A3EE4"/>
    <w:rsid w:val="619C7A7A"/>
    <w:rsid w:val="61BC02FE"/>
    <w:rsid w:val="61E0223F"/>
    <w:rsid w:val="61EF4230"/>
    <w:rsid w:val="61F23D20"/>
    <w:rsid w:val="622A5268"/>
    <w:rsid w:val="622B7232"/>
    <w:rsid w:val="6239194F"/>
    <w:rsid w:val="62871B95"/>
    <w:rsid w:val="62913539"/>
    <w:rsid w:val="62A0377C"/>
    <w:rsid w:val="62D33B51"/>
    <w:rsid w:val="62D653F0"/>
    <w:rsid w:val="62E573E1"/>
    <w:rsid w:val="62F12229"/>
    <w:rsid w:val="630E4B89"/>
    <w:rsid w:val="631B2E02"/>
    <w:rsid w:val="63495BC1"/>
    <w:rsid w:val="6375013F"/>
    <w:rsid w:val="637D3ABD"/>
    <w:rsid w:val="638C3D00"/>
    <w:rsid w:val="63DD3638"/>
    <w:rsid w:val="63E60F90"/>
    <w:rsid w:val="640D4E41"/>
    <w:rsid w:val="6414300C"/>
    <w:rsid w:val="64265F03"/>
    <w:rsid w:val="642E7B8A"/>
    <w:rsid w:val="643423CE"/>
    <w:rsid w:val="644665A5"/>
    <w:rsid w:val="645667E8"/>
    <w:rsid w:val="6459198E"/>
    <w:rsid w:val="646709F5"/>
    <w:rsid w:val="646A5DEF"/>
    <w:rsid w:val="646D1D84"/>
    <w:rsid w:val="64BE438D"/>
    <w:rsid w:val="64C60A0E"/>
    <w:rsid w:val="64E060B2"/>
    <w:rsid w:val="64E75692"/>
    <w:rsid w:val="64F61D79"/>
    <w:rsid w:val="6500743F"/>
    <w:rsid w:val="65077AE2"/>
    <w:rsid w:val="650F5397"/>
    <w:rsid w:val="6511270F"/>
    <w:rsid w:val="65163C77"/>
    <w:rsid w:val="65367E97"/>
    <w:rsid w:val="654E3963"/>
    <w:rsid w:val="65525F37"/>
    <w:rsid w:val="656942F9"/>
    <w:rsid w:val="656960A7"/>
    <w:rsid w:val="657333CA"/>
    <w:rsid w:val="65D33E68"/>
    <w:rsid w:val="65D5373C"/>
    <w:rsid w:val="65EF654B"/>
    <w:rsid w:val="65FF6A0B"/>
    <w:rsid w:val="66083B12"/>
    <w:rsid w:val="662D17CA"/>
    <w:rsid w:val="66344907"/>
    <w:rsid w:val="6645108C"/>
    <w:rsid w:val="66794A10"/>
    <w:rsid w:val="66855163"/>
    <w:rsid w:val="668D1157"/>
    <w:rsid w:val="669C24AC"/>
    <w:rsid w:val="66C42693"/>
    <w:rsid w:val="66D32372"/>
    <w:rsid w:val="67152BBC"/>
    <w:rsid w:val="67220C03"/>
    <w:rsid w:val="673964CD"/>
    <w:rsid w:val="673D77EB"/>
    <w:rsid w:val="67792FF4"/>
    <w:rsid w:val="679E4055"/>
    <w:rsid w:val="67A26B47"/>
    <w:rsid w:val="67A557D8"/>
    <w:rsid w:val="67B04461"/>
    <w:rsid w:val="67C219E5"/>
    <w:rsid w:val="67D363A2"/>
    <w:rsid w:val="67D90194"/>
    <w:rsid w:val="68071723"/>
    <w:rsid w:val="681F5143"/>
    <w:rsid w:val="682D5AB2"/>
    <w:rsid w:val="68646FFA"/>
    <w:rsid w:val="688651C2"/>
    <w:rsid w:val="688A32CD"/>
    <w:rsid w:val="68AD09A1"/>
    <w:rsid w:val="68C2682B"/>
    <w:rsid w:val="68CF0917"/>
    <w:rsid w:val="68D47F0F"/>
    <w:rsid w:val="690A7BA1"/>
    <w:rsid w:val="6916545C"/>
    <w:rsid w:val="6938470E"/>
    <w:rsid w:val="694641F3"/>
    <w:rsid w:val="696821A4"/>
    <w:rsid w:val="698931BC"/>
    <w:rsid w:val="699F478D"/>
    <w:rsid w:val="69AC6EAA"/>
    <w:rsid w:val="69AE2C22"/>
    <w:rsid w:val="69CE0BCF"/>
    <w:rsid w:val="69F148BD"/>
    <w:rsid w:val="69FD7706"/>
    <w:rsid w:val="6A2A02ED"/>
    <w:rsid w:val="6A2B4273"/>
    <w:rsid w:val="6A2E5B11"/>
    <w:rsid w:val="6A3C022E"/>
    <w:rsid w:val="6A590DE0"/>
    <w:rsid w:val="6A5B255C"/>
    <w:rsid w:val="6AB46016"/>
    <w:rsid w:val="6ABE6E95"/>
    <w:rsid w:val="6B113469"/>
    <w:rsid w:val="6B15282D"/>
    <w:rsid w:val="6B1747F7"/>
    <w:rsid w:val="6B19231D"/>
    <w:rsid w:val="6B3233DF"/>
    <w:rsid w:val="6B3E1AAB"/>
    <w:rsid w:val="6B3E7FD6"/>
    <w:rsid w:val="6B511AB7"/>
    <w:rsid w:val="6B686E01"/>
    <w:rsid w:val="6B720417"/>
    <w:rsid w:val="6B916358"/>
    <w:rsid w:val="6B9A2731"/>
    <w:rsid w:val="6BA51E03"/>
    <w:rsid w:val="6BA75B7B"/>
    <w:rsid w:val="6BF54B38"/>
    <w:rsid w:val="6BFD39ED"/>
    <w:rsid w:val="6BFD481D"/>
    <w:rsid w:val="6C164AAF"/>
    <w:rsid w:val="6C7812C6"/>
    <w:rsid w:val="6C823EF2"/>
    <w:rsid w:val="6CB22A29"/>
    <w:rsid w:val="6D022035"/>
    <w:rsid w:val="6D08089B"/>
    <w:rsid w:val="6D371181"/>
    <w:rsid w:val="6D417909"/>
    <w:rsid w:val="6D513FF0"/>
    <w:rsid w:val="6DB16D47"/>
    <w:rsid w:val="6DC7308F"/>
    <w:rsid w:val="6DE035C6"/>
    <w:rsid w:val="6DE704B1"/>
    <w:rsid w:val="6DF1132F"/>
    <w:rsid w:val="6E0B0643"/>
    <w:rsid w:val="6E161909"/>
    <w:rsid w:val="6E1D3ED3"/>
    <w:rsid w:val="6E587601"/>
    <w:rsid w:val="6E70494A"/>
    <w:rsid w:val="6E7B6E4B"/>
    <w:rsid w:val="6E867CCA"/>
    <w:rsid w:val="6E8757F0"/>
    <w:rsid w:val="6E934195"/>
    <w:rsid w:val="6EB503C5"/>
    <w:rsid w:val="6EC30F1E"/>
    <w:rsid w:val="6F1468E1"/>
    <w:rsid w:val="6F2968A7"/>
    <w:rsid w:val="6F2E3EBD"/>
    <w:rsid w:val="6F547DC8"/>
    <w:rsid w:val="6F906926"/>
    <w:rsid w:val="6F9E1043"/>
    <w:rsid w:val="6FA44ECA"/>
    <w:rsid w:val="6FF92F16"/>
    <w:rsid w:val="7019691C"/>
    <w:rsid w:val="701B2645"/>
    <w:rsid w:val="703D240A"/>
    <w:rsid w:val="706641B2"/>
    <w:rsid w:val="707E2AEB"/>
    <w:rsid w:val="70BA00FF"/>
    <w:rsid w:val="70BD2481"/>
    <w:rsid w:val="70C20D61"/>
    <w:rsid w:val="70D07922"/>
    <w:rsid w:val="70E17439"/>
    <w:rsid w:val="71267542"/>
    <w:rsid w:val="71724535"/>
    <w:rsid w:val="71744751"/>
    <w:rsid w:val="718F158B"/>
    <w:rsid w:val="71997D14"/>
    <w:rsid w:val="71A52AC3"/>
    <w:rsid w:val="71B8206E"/>
    <w:rsid w:val="71CD6690"/>
    <w:rsid w:val="71D46F9E"/>
    <w:rsid w:val="72095F77"/>
    <w:rsid w:val="7218332F"/>
    <w:rsid w:val="7275252F"/>
    <w:rsid w:val="729F57FE"/>
    <w:rsid w:val="72A2709C"/>
    <w:rsid w:val="72A921D9"/>
    <w:rsid w:val="72CC4119"/>
    <w:rsid w:val="72CE7E91"/>
    <w:rsid w:val="735859AD"/>
    <w:rsid w:val="738549F4"/>
    <w:rsid w:val="73990B1F"/>
    <w:rsid w:val="73B07597"/>
    <w:rsid w:val="73B61051"/>
    <w:rsid w:val="73C3551C"/>
    <w:rsid w:val="73C44DF0"/>
    <w:rsid w:val="73D634A1"/>
    <w:rsid w:val="73EB6821"/>
    <w:rsid w:val="740805F2"/>
    <w:rsid w:val="7423420D"/>
    <w:rsid w:val="74487E97"/>
    <w:rsid w:val="745A3D0B"/>
    <w:rsid w:val="745B7503"/>
    <w:rsid w:val="7487479C"/>
    <w:rsid w:val="748F3650"/>
    <w:rsid w:val="74B531D5"/>
    <w:rsid w:val="74E53270"/>
    <w:rsid w:val="74F00593"/>
    <w:rsid w:val="750202C6"/>
    <w:rsid w:val="750D2EF3"/>
    <w:rsid w:val="754F06D4"/>
    <w:rsid w:val="756643B1"/>
    <w:rsid w:val="758B6094"/>
    <w:rsid w:val="75967753"/>
    <w:rsid w:val="75A66EA3"/>
    <w:rsid w:val="75B415C0"/>
    <w:rsid w:val="75B53450"/>
    <w:rsid w:val="75DB4D9F"/>
    <w:rsid w:val="75DE488F"/>
    <w:rsid w:val="761C0537"/>
    <w:rsid w:val="765B5EE0"/>
    <w:rsid w:val="766F3739"/>
    <w:rsid w:val="7671125F"/>
    <w:rsid w:val="769B62DC"/>
    <w:rsid w:val="76C75323"/>
    <w:rsid w:val="76D812DE"/>
    <w:rsid w:val="7706409E"/>
    <w:rsid w:val="771F16A6"/>
    <w:rsid w:val="77336515"/>
    <w:rsid w:val="773504DF"/>
    <w:rsid w:val="77440722"/>
    <w:rsid w:val="77701517"/>
    <w:rsid w:val="7778661E"/>
    <w:rsid w:val="77B43AFA"/>
    <w:rsid w:val="77B638AE"/>
    <w:rsid w:val="77D9530E"/>
    <w:rsid w:val="77F20AE8"/>
    <w:rsid w:val="77FC0A7F"/>
    <w:rsid w:val="77FC0F91"/>
    <w:rsid w:val="78061E7B"/>
    <w:rsid w:val="781C51FB"/>
    <w:rsid w:val="78727511"/>
    <w:rsid w:val="78B10039"/>
    <w:rsid w:val="78FD367E"/>
    <w:rsid w:val="793219A9"/>
    <w:rsid w:val="793D3346"/>
    <w:rsid w:val="79445023"/>
    <w:rsid w:val="79450781"/>
    <w:rsid w:val="795C61F7"/>
    <w:rsid w:val="79652BD2"/>
    <w:rsid w:val="798738EF"/>
    <w:rsid w:val="79A454A8"/>
    <w:rsid w:val="79B31B8F"/>
    <w:rsid w:val="79FB00B7"/>
    <w:rsid w:val="7A1D3808"/>
    <w:rsid w:val="7A2605B3"/>
    <w:rsid w:val="7A2C303C"/>
    <w:rsid w:val="7A2E7F9C"/>
    <w:rsid w:val="7A3902E6"/>
    <w:rsid w:val="7A4F18B8"/>
    <w:rsid w:val="7A6D61E2"/>
    <w:rsid w:val="7A801B3B"/>
    <w:rsid w:val="7A810C91"/>
    <w:rsid w:val="7A9B2D4F"/>
    <w:rsid w:val="7AAC6D0A"/>
    <w:rsid w:val="7ABE4C8F"/>
    <w:rsid w:val="7AC57DCC"/>
    <w:rsid w:val="7ACA3634"/>
    <w:rsid w:val="7ADB314B"/>
    <w:rsid w:val="7B0F7299"/>
    <w:rsid w:val="7B503B39"/>
    <w:rsid w:val="7B615D46"/>
    <w:rsid w:val="7B786BEC"/>
    <w:rsid w:val="7B8732D3"/>
    <w:rsid w:val="7BC43485"/>
    <w:rsid w:val="7BFF3E25"/>
    <w:rsid w:val="7C29438A"/>
    <w:rsid w:val="7C334260"/>
    <w:rsid w:val="7C397D90"/>
    <w:rsid w:val="7C6E687F"/>
    <w:rsid w:val="7C7236B9"/>
    <w:rsid w:val="7CA659DB"/>
    <w:rsid w:val="7CA9603C"/>
    <w:rsid w:val="7CC55E61"/>
    <w:rsid w:val="7CCD2F68"/>
    <w:rsid w:val="7D221505"/>
    <w:rsid w:val="7D2863F0"/>
    <w:rsid w:val="7D4031C1"/>
    <w:rsid w:val="7D407BDD"/>
    <w:rsid w:val="7D603DDC"/>
    <w:rsid w:val="7D705930"/>
    <w:rsid w:val="7D9046C1"/>
    <w:rsid w:val="7D943A85"/>
    <w:rsid w:val="7DBF6D54"/>
    <w:rsid w:val="7DDD367E"/>
    <w:rsid w:val="7E154BC6"/>
    <w:rsid w:val="7E1626EC"/>
    <w:rsid w:val="7E3F7E95"/>
    <w:rsid w:val="7E411E5F"/>
    <w:rsid w:val="7E541204"/>
    <w:rsid w:val="7E7D2A5E"/>
    <w:rsid w:val="7EA146AC"/>
    <w:rsid w:val="7EB937A4"/>
    <w:rsid w:val="7EE051D4"/>
    <w:rsid w:val="7EFB0260"/>
    <w:rsid w:val="7F0916A5"/>
    <w:rsid w:val="7F0B7D77"/>
    <w:rsid w:val="7F196938"/>
    <w:rsid w:val="7F3E368E"/>
    <w:rsid w:val="7F594F87"/>
    <w:rsid w:val="7F660F12"/>
    <w:rsid w:val="7FA30D65"/>
    <w:rsid w:val="7FA53D28"/>
    <w:rsid w:val="7FB16B71"/>
    <w:rsid w:val="7FBF303C"/>
    <w:rsid w:val="7FD10FC1"/>
    <w:rsid w:val="7FE9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560" w:firstLineChars="200"/>
      <w:jc w:val="both"/>
    </w:pPr>
    <w:rPr>
      <w:rFonts w:ascii="仿宋" w:hAnsi="仿宋" w:eastAsia="仿宋" w:cs="Times New Roman"/>
      <w:kern w:val="2"/>
      <w:sz w:val="24"/>
      <w:lang w:val="en-US" w:eastAsia="zh-CN" w:bidi="ar-SA"/>
    </w:rPr>
  </w:style>
  <w:style w:type="paragraph" w:styleId="2">
    <w:name w:val="heading 1"/>
    <w:basedOn w:val="1"/>
    <w:next w:val="1"/>
    <w:link w:val="27"/>
    <w:autoRedefine/>
    <w:qFormat/>
    <w:uiPriority w:val="0"/>
    <w:pPr>
      <w:keepNext/>
      <w:keepLines/>
      <w:spacing w:before="20" w:beforeLines="20" w:after="30" w:afterLines="30" w:line="600" w:lineRule="exact"/>
      <w:ind w:firstLine="0" w:firstLineChars="0"/>
      <w:jc w:val="center"/>
      <w:outlineLvl w:val="0"/>
    </w:pPr>
    <w:rPr>
      <w:b/>
      <w:bCs/>
      <w:kern w:val="44"/>
      <w:sz w:val="36"/>
      <w:szCs w:val="44"/>
    </w:rPr>
  </w:style>
  <w:style w:type="paragraph" w:styleId="3">
    <w:name w:val="heading 2"/>
    <w:basedOn w:val="1"/>
    <w:next w:val="1"/>
    <w:link w:val="37"/>
    <w:autoRedefine/>
    <w:qFormat/>
    <w:uiPriority w:val="0"/>
    <w:pPr>
      <w:keepNext/>
      <w:keepLines/>
      <w:spacing w:line="470" w:lineRule="exact"/>
      <w:ind w:firstLine="280" w:firstLineChars="100"/>
      <w:outlineLvl w:val="1"/>
    </w:pPr>
    <w:rPr>
      <w:rFonts w:ascii="Arial" w:hAnsi="Arial"/>
      <w:b/>
      <w:sz w:val="28"/>
    </w:rPr>
  </w:style>
  <w:style w:type="paragraph" w:styleId="4">
    <w:name w:val="heading 3"/>
    <w:basedOn w:val="1"/>
    <w:next w:val="1"/>
    <w:link w:val="35"/>
    <w:autoRedefine/>
    <w:qFormat/>
    <w:uiPriority w:val="0"/>
    <w:pPr>
      <w:keepNext/>
      <w:keepLines/>
      <w:spacing w:line="460" w:lineRule="exact"/>
      <w:jc w:val="left"/>
      <w:outlineLvl w:val="2"/>
    </w:pPr>
    <w:rPr>
      <w:rFonts w:ascii="Times New Roman" w:hAnsi="Times New Roman"/>
      <w:b/>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autoRedefine/>
    <w:qFormat/>
    <w:uiPriority w:val="0"/>
    <w:pPr>
      <w:tabs>
        <w:tab w:val="center" w:pos="4153"/>
        <w:tab w:val="right" w:pos="8306"/>
      </w:tabs>
      <w:snapToGrid w:val="0"/>
      <w:spacing w:line="320" w:lineRule="exact"/>
      <w:ind w:firstLine="0" w:firstLineChars="0"/>
      <w:jc w:val="center"/>
    </w:pPr>
    <w:rPr>
      <w:rFonts w:ascii="Times New Roman" w:hAnsi="Times New Roman"/>
      <w:sz w:val="21"/>
    </w:rPr>
  </w:style>
  <w:style w:type="paragraph" w:styleId="14">
    <w:name w:val="header"/>
    <w:basedOn w:val="1"/>
    <w:autoRedefine/>
    <w:qFormat/>
    <w:uiPriority w:val="0"/>
    <w:pPr>
      <w:pBdr>
        <w:bottom w:val="single" w:color="auto" w:sz="6" w:space="1"/>
      </w:pBdr>
      <w:tabs>
        <w:tab w:val="center" w:pos="4153"/>
        <w:tab w:val="right" w:pos="8306"/>
      </w:tabs>
      <w:snapToGrid w:val="0"/>
      <w:spacing w:line="320" w:lineRule="exact"/>
      <w:jc w:val="center"/>
    </w:pPr>
    <w:rPr>
      <w:rFonts w:ascii="Times New Roman" w:hAnsi="Times New Roman"/>
      <w:sz w:val="18"/>
    </w:rPr>
  </w:style>
  <w:style w:type="paragraph" w:styleId="15">
    <w:name w:val="toc 1"/>
    <w:basedOn w:val="1"/>
    <w:next w:val="1"/>
    <w:autoRedefine/>
    <w:qFormat/>
    <w:uiPriority w:val="0"/>
    <w:pPr>
      <w:spacing w:line="240" w:lineRule="auto"/>
      <w:ind w:firstLine="883" w:firstLineChars="100"/>
      <w:jc w:val="center"/>
    </w:pPr>
    <w:rPr>
      <w:rFonts w:ascii="Times New Roman" w:hAnsi="Times New Roman"/>
      <w:b/>
      <w:sz w:val="28"/>
    </w:rPr>
  </w:style>
  <w:style w:type="paragraph" w:styleId="16">
    <w:name w:val="List"/>
    <w:basedOn w:val="1"/>
    <w:autoRedefine/>
    <w:semiHidden/>
    <w:qFormat/>
    <w:uiPriority w:val="0"/>
    <w:pPr>
      <w:ind w:left="200" w:hanging="200" w:hangingChars="200"/>
    </w:pPr>
  </w:style>
  <w:style w:type="paragraph" w:styleId="17">
    <w:name w:val="Body Text Indent 3"/>
    <w:basedOn w:val="1"/>
    <w:autoRedefine/>
    <w:qFormat/>
    <w:uiPriority w:val="0"/>
    <w:pPr>
      <w:spacing w:line="360" w:lineRule="auto"/>
      <w:ind w:firstLine="632"/>
    </w:pPr>
    <w:rPr>
      <w:rFonts w:ascii="黑体" w:eastAsia="黑体"/>
    </w:rPr>
  </w:style>
  <w:style w:type="paragraph" w:styleId="18">
    <w:name w:val="toc 2"/>
    <w:basedOn w:val="1"/>
    <w:next w:val="1"/>
    <w:autoRedefine/>
    <w:qFormat/>
    <w:uiPriority w:val="0"/>
    <w:pPr>
      <w:spacing w:line="320" w:lineRule="exact"/>
      <w:ind w:left="420" w:leftChars="200" w:firstLine="883" w:firstLineChars="100"/>
    </w:pPr>
    <w:rPr>
      <w:rFonts w:ascii="Times New Roman" w:hAnsi="Times New Roman"/>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8"/>
    <w:qFormat/>
    <w:uiPriority w:val="0"/>
    <w:pPr>
      <w:spacing w:line="360" w:lineRule="auto"/>
      <w:ind w:firstLine="420"/>
    </w:pPr>
    <w:rPr>
      <w:rFonts w:ascii="宋体" w:hAnsi="宋体"/>
      <w:sz w:val="24"/>
    </w:rPr>
  </w:style>
  <w:style w:type="paragraph" w:styleId="21">
    <w:name w:val="Body Text First Indent 2"/>
    <w:basedOn w:val="9"/>
    <w:semiHidden/>
    <w:qFormat/>
    <w:uiPriority w:val="0"/>
    <w:pPr>
      <w:ind w:firstLine="420"/>
    </w:pPr>
    <w:rPr>
      <w:sz w:val="18"/>
      <w:szCs w:val="18"/>
    </w:rPr>
  </w:style>
  <w:style w:type="table" w:styleId="23">
    <w:name w:val="Table Grid"/>
    <w:basedOn w:val="2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autoRedefine/>
    <w:qFormat/>
    <w:uiPriority w:val="0"/>
  </w:style>
  <w:style w:type="character" w:customStyle="1" w:styleId="27">
    <w:name w:val="标题 1 Char"/>
    <w:link w:val="2"/>
    <w:autoRedefine/>
    <w:qFormat/>
    <w:uiPriority w:val="0"/>
    <w:rPr>
      <w:rFonts w:ascii="Times New Roman" w:hAnsi="Times New Roman" w:eastAsia="仿宋"/>
      <w:b/>
      <w:bCs/>
      <w:kern w:val="44"/>
      <w:sz w:val="36"/>
      <w:szCs w:val="44"/>
    </w:rPr>
  </w:style>
  <w:style w:type="paragraph" w:customStyle="1" w:styleId="28">
    <w:name w:val="标书正文1"/>
    <w:basedOn w:val="1"/>
    <w:qFormat/>
    <w:uiPriority w:val="99"/>
    <w:pPr>
      <w:spacing w:line="520" w:lineRule="exact"/>
      <w:ind w:firstLine="640" w:firstLineChars="200"/>
    </w:pPr>
  </w:style>
  <w:style w:type="paragraph" w:customStyle="1" w:styleId="29">
    <w:name w:val="一级条标题"/>
    <w:basedOn w:val="30"/>
    <w:next w:val="31"/>
    <w:qFormat/>
    <w:uiPriority w:val="0"/>
    <w:pPr>
      <w:numPr>
        <w:numId w:val="0"/>
      </w:numPr>
      <w:spacing w:before="0" w:beforeLines="0" w:after="0" w:afterLines="0"/>
      <w:ind w:left="525"/>
      <w:outlineLvl w:val="2"/>
    </w:pPr>
    <w:rPr>
      <w:sz w:val="21"/>
    </w:rPr>
  </w:style>
  <w:style w:type="paragraph" w:customStyle="1" w:styleId="30">
    <w:name w:val="章标题"/>
    <w:next w:val="1"/>
    <w:qFormat/>
    <w:uiPriority w:val="0"/>
    <w:pPr>
      <w:numPr>
        <w:ilvl w:val="1"/>
        <w:numId w:val="1"/>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图例"/>
    <w:basedOn w:val="1"/>
    <w:autoRedefine/>
    <w:qFormat/>
    <w:uiPriority w:val="0"/>
    <w:pPr>
      <w:spacing w:before="120" w:after="120" w:line="360" w:lineRule="auto"/>
      <w:jc w:val="center"/>
    </w:pPr>
    <w:rPr>
      <w:rFonts w:eastAsia="仿宋_GB2312"/>
      <w:b/>
      <w:sz w:val="24"/>
    </w:rPr>
  </w:style>
  <w:style w:type="paragraph" w:customStyle="1" w:styleId="33">
    <w:name w:val="电建正文"/>
    <w:basedOn w:val="34"/>
    <w:autoRedefine/>
    <w:qFormat/>
    <w:uiPriority w:val="0"/>
    <w:pPr>
      <w:tabs>
        <w:tab w:val="left" w:pos="720"/>
      </w:tabs>
      <w:spacing w:line="360" w:lineRule="auto"/>
      <w:ind w:firstLine="200" w:firstLineChars="200"/>
    </w:pPr>
    <w:rPr>
      <w:rFonts w:ascii="Tahoma" w:hAnsi="Tahoma"/>
      <w:sz w:val="24"/>
    </w:rPr>
  </w:style>
  <w:style w:type="paragraph" w:customStyle="1" w:styleId="34">
    <w:name w:val="List First"/>
    <w:basedOn w:val="16"/>
    <w:next w:val="16"/>
    <w:autoRedefine/>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35">
    <w:name w:val="标题 3 Char"/>
    <w:link w:val="4"/>
    <w:autoRedefine/>
    <w:qFormat/>
    <w:uiPriority w:val="0"/>
    <w:rPr>
      <w:rFonts w:ascii="Times New Roman" w:hAnsi="Times New Roman"/>
      <w:b/>
    </w:rPr>
  </w:style>
  <w:style w:type="paragraph" w:customStyle="1" w:styleId="36">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标题 2 Char"/>
    <w:link w:val="3"/>
    <w:qFormat/>
    <w:uiPriority w:val="0"/>
    <w:rPr>
      <w:rFonts w:ascii="Arial" w:hAnsi="Arial" w:eastAsia="仿宋"/>
      <w:b/>
      <w:sz w:val="28"/>
    </w:rPr>
  </w:style>
  <w:style w:type="paragraph" w:customStyle="1" w:styleId="38">
    <w:name w:val="Other|1"/>
    <w:basedOn w:val="1"/>
    <w:qFormat/>
    <w:uiPriority w:val="0"/>
    <w:pPr>
      <w:widowControl w:val="0"/>
      <w:shd w:val="clear" w:color="auto" w:fill="auto"/>
      <w:spacing w:line="422" w:lineRule="exact"/>
    </w:pPr>
    <w:rPr>
      <w:rFonts w:ascii="宋体" w:hAnsi="宋体" w:eastAsia="宋体" w:cs="宋体"/>
      <w:sz w:val="22"/>
      <w:szCs w:val="22"/>
      <w:u w:val="none"/>
      <w:shd w:val="clear" w:color="auto" w:fill="auto"/>
      <w:lang w:val="zh-TW" w:eastAsia="zh-TW" w:bidi="zh-TW"/>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2691</Words>
  <Characters>2882</Characters>
  <Lines>0</Lines>
  <Paragraphs>0</Paragraphs>
  <TotalTime>0</TotalTime>
  <ScaleCrop>false</ScaleCrop>
  <LinksUpToDate>false</LinksUpToDate>
  <CharactersWithSpaces>3034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嘿，抬头！</cp:lastModifiedBy>
  <cp:lastPrinted>2023-12-20T05:49:00Z</cp:lastPrinted>
  <dcterms:modified xsi:type="dcterms:W3CDTF">2025-06-18T05:48:36Z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0C5EA21E24AC4226AC5631188515EF71_13</vt:lpwstr>
  </property>
  <property fmtid="{D5CDD505-2E9C-101B-9397-08002B2CF9AE}" pid="4" name="KSOTemplateDocerSaveRecord">
    <vt:lpwstr>eyJoZGlkIjoiNDBkZGRiODA4N2U0YTM5Yzc0NTEyNmFiYzc2MzM3ZGIiLCJ1c2VySWQiOiI1NjA4MTY3MDYifQ==</vt:lpwstr>
  </property>
</Properties>
</file>