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8800E">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BAB30CB">
      <w:pPr>
        <w:rPr>
          <w:rFonts w:hint="eastAsia" w:ascii="宋体" w:hAnsi="宋体" w:eastAsia="宋体" w:cs="宋体"/>
          <w:color w:val="auto"/>
          <w:highlight w:val="none"/>
        </w:rPr>
      </w:pPr>
    </w:p>
    <w:p w14:paraId="77AA93AE">
      <w:pPr>
        <w:spacing w:line="360" w:lineRule="auto"/>
        <w:jc w:val="center"/>
        <w:rPr>
          <w:rFonts w:hint="eastAsia" w:ascii="宋体" w:hAnsi="宋体" w:eastAsia="宋体" w:cs="宋体"/>
          <w:b/>
          <w:bCs/>
          <w:color w:val="auto"/>
          <w:spacing w:val="80"/>
          <w:sz w:val="48"/>
          <w:szCs w:val="48"/>
          <w:highlight w:val="none"/>
        </w:rPr>
      </w:pPr>
      <w:r>
        <w:rPr>
          <w:rFonts w:hint="eastAsia" w:ascii="宋体" w:hAnsi="宋体" w:eastAsia="宋体" w:cs="宋体"/>
          <w:b/>
          <w:bCs/>
          <w:color w:val="auto"/>
          <w:spacing w:val="80"/>
          <w:sz w:val="96"/>
          <w:szCs w:val="96"/>
          <w:highlight w:val="none"/>
        </w:rPr>
        <w:t>网上竞采文件</w:t>
      </w:r>
    </w:p>
    <w:p w14:paraId="6AC46086">
      <w:pPr>
        <w:spacing w:line="360" w:lineRule="auto"/>
        <w:rPr>
          <w:rFonts w:hint="eastAsia" w:ascii="宋体" w:hAnsi="宋体" w:eastAsia="宋体" w:cs="宋体"/>
          <w:b/>
          <w:bCs/>
          <w:color w:val="auto"/>
          <w:spacing w:val="80"/>
          <w:sz w:val="44"/>
          <w:szCs w:val="44"/>
          <w:highlight w:val="none"/>
        </w:rPr>
      </w:pPr>
    </w:p>
    <w:p w14:paraId="22039A4A">
      <w:pPr>
        <w:spacing w:line="360" w:lineRule="auto"/>
        <w:ind w:firstLine="720" w:firstLineChars="200"/>
        <w:jc w:val="left"/>
        <w:rPr>
          <w:rFonts w:hint="eastAsia" w:ascii="宋体" w:hAnsi="宋体" w:eastAsia="宋体" w:cs="宋体"/>
          <w:color w:val="auto"/>
          <w:sz w:val="36"/>
          <w:szCs w:val="30"/>
          <w:highlight w:val="none"/>
        </w:rPr>
      </w:pPr>
    </w:p>
    <w:p w14:paraId="35AE2352">
      <w:pPr>
        <w:pStyle w:val="9"/>
        <w:rPr>
          <w:rFonts w:hint="eastAsia" w:ascii="宋体" w:hAnsi="宋体" w:eastAsia="宋体" w:cs="宋体"/>
          <w:color w:val="auto"/>
          <w:highlight w:val="none"/>
        </w:rPr>
      </w:pPr>
    </w:p>
    <w:p w14:paraId="27DD3180">
      <w:pPr>
        <w:pStyle w:val="9"/>
        <w:spacing w:line="360" w:lineRule="auto"/>
        <w:jc w:val="both"/>
        <w:rPr>
          <w:rFonts w:hint="eastAsia" w:ascii="宋体" w:hAnsi="宋体" w:eastAsia="宋体" w:cs="宋体"/>
          <w:b/>
          <w:bCs/>
          <w:color w:val="auto"/>
          <w:szCs w:val="28"/>
          <w:highlight w:val="none"/>
        </w:rPr>
      </w:pPr>
    </w:p>
    <w:p w14:paraId="7FA5FFC8">
      <w:pPr>
        <w:pStyle w:val="9"/>
        <w:spacing w:line="360" w:lineRule="auto"/>
        <w:ind w:firstLine="1606" w:firstLineChars="500"/>
        <w:jc w:val="both"/>
        <w:rPr>
          <w:rFonts w:hint="default" w:ascii="宋体" w:hAnsi="宋体" w:eastAsia="宋体" w:cs="宋体"/>
          <w:b/>
          <w:bCs/>
          <w:color w:val="auto"/>
          <w:szCs w:val="28"/>
          <w:highlight w:val="none"/>
          <w:lang w:val="en-US" w:eastAsia="zh-CN"/>
        </w:rPr>
      </w:pPr>
      <w:r>
        <w:rPr>
          <w:rFonts w:hint="eastAsia" w:ascii="宋体" w:hAnsi="宋体" w:eastAsia="宋体" w:cs="宋体"/>
          <w:b/>
          <w:bCs/>
          <w:color w:val="auto"/>
          <w:szCs w:val="28"/>
          <w:highlight w:val="none"/>
        </w:rPr>
        <w:t>项目编</w:t>
      </w:r>
      <w:r>
        <w:rPr>
          <w:rFonts w:hint="eastAsia" w:ascii="宋体" w:hAnsi="宋体" w:eastAsia="宋体" w:cs="宋体"/>
          <w:b/>
          <w:bCs/>
          <w:color w:val="auto"/>
          <w:szCs w:val="28"/>
          <w:highlight w:val="none"/>
          <w:lang w:eastAsia="zh-CN"/>
        </w:rPr>
        <w:t>号：</w:t>
      </w:r>
      <w:bookmarkStart w:id="0" w:name="_Hlk111636989"/>
      <w:r>
        <w:rPr>
          <w:rFonts w:hint="eastAsia" w:ascii="宋体" w:hAnsi="宋体" w:eastAsia="宋体" w:cs="宋体"/>
          <w:b/>
          <w:bCs/>
          <w:color w:val="auto"/>
          <w:szCs w:val="28"/>
          <w:highlight w:val="none"/>
          <w:lang w:eastAsia="zh-CN"/>
        </w:rPr>
        <w:t>TZC-（招）-咨字-202</w:t>
      </w:r>
      <w:r>
        <w:rPr>
          <w:rFonts w:hint="eastAsia" w:ascii="宋体" w:hAnsi="宋体" w:eastAsia="宋体" w:cs="宋体"/>
          <w:b/>
          <w:bCs/>
          <w:color w:val="auto"/>
          <w:szCs w:val="28"/>
          <w:highlight w:val="none"/>
          <w:lang w:val="en-US" w:eastAsia="zh-CN"/>
        </w:rPr>
        <w:t>6</w:t>
      </w:r>
      <w:r>
        <w:rPr>
          <w:rFonts w:hint="eastAsia" w:ascii="宋体" w:hAnsi="宋体" w:eastAsia="宋体" w:cs="宋体"/>
          <w:b/>
          <w:bCs/>
          <w:color w:val="auto"/>
          <w:szCs w:val="28"/>
          <w:highlight w:val="none"/>
          <w:lang w:eastAsia="zh-CN"/>
        </w:rPr>
        <w:t>-A0</w:t>
      </w:r>
      <w:r>
        <w:rPr>
          <w:rFonts w:hint="eastAsia" w:ascii="宋体" w:hAnsi="宋体" w:eastAsia="宋体" w:cs="宋体"/>
          <w:b/>
          <w:bCs/>
          <w:color w:val="auto"/>
          <w:szCs w:val="28"/>
          <w:highlight w:val="none"/>
          <w:lang w:val="en-US" w:eastAsia="zh-CN"/>
        </w:rPr>
        <w:t>68</w:t>
      </w:r>
    </w:p>
    <w:p w14:paraId="022CA229">
      <w:pPr>
        <w:pStyle w:val="9"/>
        <w:spacing w:line="360" w:lineRule="auto"/>
        <w:ind w:firstLine="1606" w:firstLineChars="500"/>
        <w:jc w:val="both"/>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lang w:eastAsia="zh-CN"/>
        </w:rPr>
        <w:t>项目名称：重庆中医药学院公共科研平台项目初步设计（含概算编制）</w:t>
      </w:r>
    </w:p>
    <w:bookmarkEnd w:id="0"/>
    <w:p w14:paraId="120F6B5E">
      <w:pPr>
        <w:rPr>
          <w:rFonts w:hint="eastAsia" w:ascii="宋体" w:hAnsi="宋体" w:eastAsia="宋体" w:cs="宋体"/>
          <w:color w:val="auto"/>
          <w:highlight w:val="none"/>
        </w:rPr>
      </w:pPr>
    </w:p>
    <w:p w14:paraId="77186761">
      <w:pPr>
        <w:rPr>
          <w:rFonts w:hint="eastAsia" w:ascii="宋体" w:hAnsi="宋体" w:eastAsia="宋体" w:cs="宋体"/>
          <w:color w:val="auto"/>
          <w:highlight w:val="none"/>
        </w:rPr>
      </w:pPr>
    </w:p>
    <w:p w14:paraId="421D42F6">
      <w:pPr>
        <w:pStyle w:val="29"/>
        <w:rPr>
          <w:rFonts w:hint="eastAsia" w:ascii="宋体" w:hAnsi="宋体" w:eastAsia="宋体" w:cs="宋体"/>
          <w:color w:val="auto"/>
          <w:highlight w:val="none"/>
        </w:rPr>
      </w:pPr>
    </w:p>
    <w:p w14:paraId="2A9D06B6">
      <w:pPr>
        <w:pStyle w:val="29"/>
        <w:rPr>
          <w:rFonts w:hint="eastAsia" w:ascii="宋体" w:hAnsi="宋体" w:eastAsia="宋体" w:cs="宋体"/>
          <w:color w:val="auto"/>
          <w:highlight w:val="none"/>
        </w:rPr>
      </w:pPr>
    </w:p>
    <w:p w14:paraId="11CEB467">
      <w:pPr>
        <w:rPr>
          <w:rFonts w:hint="eastAsia" w:ascii="宋体" w:hAnsi="宋体" w:eastAsia="宋体" w:cs="宋体"/>
          <w:color w:val="auto"/>
          <w:highlight w:val="none"/>
        </w:rPr>
      </w:pPr>
    </w:p>
    <w:p w14:paraId="3197DDE0">
      <w:pPr>
        <w:pStyle w:val="29"/>
        <w:rPr>
          <w:rFonts w:hint="eastAsia" w:ascii="宋体" w:hAnsi="宋体" w:eastAsia="宋体" w:cs="宋体"/>
          <w:color w:val="auto"/>
          <w:highlight w:val="none"/>
        </w:rPr>
      </w:pPr>
    </w:p>
    <w:p w14:paraId="4EA14A0C">
      <w:pPr>
        <w:pStyle w:val="9"/>
        <w:spacing w:line="36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采购人：重庆中医药学院</w:t>
      </w:r>
    </w:p>
    <w:p w14:paraId="54779B77">
      <w:pPr>
        <w:pStyle w:val="9"/>
        <w:spacing w:line="360" w:lineRule="auto"/>
        <w:jc w:val="center"/>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rPr>
        <w:t>采购代理机构：</w:t>
      </w:r>
      <w:r>
        <w:rPr>
          <w:rFonts w:hint="eastAsia" w:ascii="宋体" w:hAnsi="宋体" w:eastAsia="宋体" w:cs="宋体"/>
          <w:b/>
          <w:bCs/>
          <w:color w:val="auto"/>
          <w:szCs w:val="28"/>
          <w:highlight w:val="none"/>
          <w:lang w:eastAsia="zh-CN"/>
        </w:rPr>
        <w:t>同致诚工程咨询有限公司</w:t>
      </w:r>
    </w:p>
    <w:p w14:paraId="05E3E14C">
      <w:pPr>
        <w:spacing w:line="360" w:lineRule="auto"/>
        <w:jc w:val="center"/>
        <w:rPr>
          <w:rFonts w:hint="eastAsia" w:ascii="宋体" w:hAnsi="宋体" w:eastAsia="宋体" w:cs="宋体"/>
          <w:b/>
          <w:bCs/>
          <w:color w:val="auto"/>
          <w:sz w:val="32"/>
          <w:szCs w:val="28"/>
          <w:highlight w:val="none"/>
        </w:rPr>
      </w:pPr>
    </w:p>
    <w:p w14:paraId="783420ED">
      <w:pPr>
        <w:pStyle w:val="9"/>
        <w:spacing w:line="360" w:lineRule="auto"/>
        <w:jc w:val="center"/>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zCs w:val="28"/>
          <w:highlight w:val="none"/>
        </w:rPr>
        <w:t>二〇二</w:t>
      </w:r>
      <w:r>
        <w:rPr>
          <w:rFonts w:hint="eastAsia" w:ascii="宋体" w:hAnsi="宋体" w:eastAsia="宋体" w:cs="宋体"/>
          <w:b/>
          <w:bCs/>
          <w:color w:val="auto"/>
          <w:szCs w:val="28"/>
          <w:highlight w:val="none"/>
          <w:lang w:val="en-US" w:eastAsia="zh-CN"/>
        </w:rPr>
        <w:t>六</w:t>
      </w:r>
      <w:r>
        <w:rPr>
          <w:rFonts w:hint="eastAsia" w:ascii="宋体" w:hAnsi="宋体" w:eastAsia="宋体" w:cs="宋体"/>
          <w:b/>
          <w:bCs/>
          <w:color w:val="auto"/>
          <w:szCs w:val="28"/>
          <w:highlight w:val="none"/>
        </w:rPr>
        <w:t>年</w:t>
      </w:r>
      <w:r>
        <w:rPr>
          <w:rFonts w:hint="eastAsia" w:ascii="宋体" w:hAnsi="宋体" w:eastAsia="宋体" w:cs="宋体"/>
          <w:b/>
          <w:bCs/>
          <w:color w:val="auto"/>
          <w:szCs w:val="28"/>
          <w:highlight w:val="none"/>
          <w:lang w:val="en-US" w:eastAsia="zh-CN"/>
        </w:rPr>
        <w:t>五</w:t>
      </w:r>
      <w:r>
        <w:rPr>
          <w:rFonts w:hint="eastAsia" w:ascii="宋体" w:hAnsi="宋体" w:eastAsia="宋体" w:cs="宋体"/>
          <w:b/>
          <w:bCs/>
          <w:color w:val="auto"/>
          <w:szCs w:val="28"/>
          <w:highlight w:val="none"/>
        </w:rPr>
        <w:t>月</w:t>
      </w:r>
      <w:r>
        <w:rPr>
          <w:rFonts w:hint="eastAsia" w:ascii="宋体" w:hAnsi="宋体" w:eastAsia="宋体" w:cs="宋体"/>
          <w:color w:val="auto"/>
          <w:sz w:val="44"/>
          <w:szCs w:val="28"/>
          <w:highlight w:val="none"/>
        </w:rPr>
        <w:br w:type="page"/>
      </w:r>
    </w:p>
    <w:p w14:paraId="3CEBCDCA">
      <w:pPr>
        <w:spacing w:line="600" w:lineRule="auto"/>
        <w:jc w:val="center"/>
        <w:rPr>
          <w:rFonts w:hint="eastAsia" w:ascii="宋体" w:hAnsi="宋体" w:eastAsia="宋体" w:cs="宋体"/>
          <w:color w:val="auto"/>
          <w:sz w:val="30"/>
          <w:szCs w:val="30"/>
          <w:highlight w:val="none"/>
        </w:rPr>
      </w:pPr>
      <w:bookmarkStart w:id="1" w:name="_Toc106030870"/>
      <w:bookmarkStart w:id="2" w:name="_Toc11641050"/>
      <w:bookmarkStart w:id="3" w:name="_Toc76462316"/>
      <w:bookmarkStart w:id="4" w:name="_Toc12789052"/>
      <w:r>
        <w:rPr>
          <w:rFonts w:hint="eastAsia" w:ascii="宋体" w:hAnsi="宋体" w:eastAsia="宋体" w:cs="宋体"/>
          <w:color w:val="auto"/>
          <w:sz w:val="30"/>
          <w:szCs w:val="30"/>
          <w:highlight w:val="none"/>
        </w:rPr>
        <w:t>目录</w:t>
      </w:r>
    </w:p>
    <w:p w14:paraId="3A63EE93">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_Toc8626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0"/>
          <w:highlight w:val="none"/>
        </w:rPr>
        <w:t>第一篇  竞采邀请书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DB7BF6A">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_Toc8490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 xml:space="preserve">第二篇  </w:t>
      </w:r>
      <w:r>
        <w:rPr>
          <w:rFonts w:hint="eastAsia" w:ascii="宋体" w:hAnsi="宋体" w:eastAsia="宋体" w:cs="宋体"/>
          <w:bCs/>
          <w:color w:val="auto"/>
          <w:szCs w:val="36"/>
          <w:highlight w:val="none"/>
          <w:lang w:eastAsia="zh-CN"/>
        </w:rPr>
        <w:t>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8651D58">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_Toc6345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3773225">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_Toc31245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第四篇  竞采程序、评标办法、无效响应及采购终止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0374F3F">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_Toc16203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03B50B4">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_Toc12321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第六篇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7AB120">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_Toc26851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0"/>
          <w:highlight w:val="none"/>
        </w:rPr>
        <w:t>第七篇  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85900D7">
      <w:pPr>
        <w:pStyle w:val="18"/>
        <w:tabs>
          <w:tab w:val="right" w:leader="dot" w:pos="9014"/>
        </w:tabs>
        <w:spacing w:line="600" w:lineRule="auto"/>
        <w:rPr>
          <w:rFonts w:hint="eastAsia" w:ascii="宋体" w:hAnsi="宋体" w:eastAsia="宋体" w:cs="宋体"/>
          <w:color w:val="auto"/>
          <w:highlight w:val="none"/>
        </w:rPr>
      </w:pPr>
    </w:p>
    <w:p w14:paraId="4A2C298A">
      <w:pPr>
        <w:spacing w:line="600" w:lineRule="auto"/>
        <w:rPr>
          <w:rFonts w:hint="eastAsia" w:ascii="宋体" w:hAnsi="宋体" w:eastAsia="宋体" w:cs="宋体"/>
          <w:color w:val="auto"/>
          <w:sz w:val="21"/>
          <w:szCs w:val="21"/>
          <w:highlight w:val="none"/>
        </w:rPr>
      </w:pPr>
      <w:r>
        <w:rPr>
          <w:rFonts w:hint="eastAsia" w:ascii="宋体" w:hAnsi="宋体" w:eastAsia="宋体" w:cs="宋体"/>
          <w:color w:val="auto"/>
          <w:szCs w:val="30"/>
          <w:highlight w:val="none"/>
        </w:rPr>
        <w:fldChar w:fldCharType="end"/>
      </w:r>
    </w:p>
    <w:p w14:paraId="499DC29F">
      <w:pPr>
        <w:snapToGrid w:val="0"/>
        <w:spacing w:line="360" w:lineRule="auto"/>
        <w:jc w:val="center"/>
        <w:outlineLvl w:val="0"/>
        <w:rPr>
          <w:rFonts w:hint="eastAsia" w:ascii="宋体" w:hAnsi="宋体" w:eastAsia="宋体" w:cs="宋体"/>
          <w:b/>
          <w:bCs/>
          <w:color w:val="auto"/>
          <w:sz w:val="36"/>
          <w:szCs w:val="30"/>
          <w:highlight w:val="none"/>
        </w:rPr>
        <w:sectPr>
          <w:footerReference r:id="rId3" w:type="default"/>
          <w:pgSz w:w="11906" w:h="16838"/>
          <w:pgMar w:top="1984" w:right="1446" w:bottom="1644" w:left="1446" w:header="851" w:footer="1304" w:gutter="0"/>
          <w:pgNumType w:start="0"/>
          <w:cols w:space="0" w:num="1"/>
          <w:titlePg/>
          <w:docGrid w:type="lines" w:linePitch="312" w:charSpace="0"/>
        </w:sectPr>
      </w:pPr>
    </w:p>
    <w:p w14:paraId="35971525">
      <w:pPr>
        <w:snapToGrid w:val="0"/>
        <w:spacing w:line="360" w:lineRule="auto"/>
        <w:jc w:val="center"/>
        <w:outlineLvl w:val="0"/>
        <w:rPr>
          <w:rFonts w:hint="eastAsia" w:ascii="宋体" w:hAnsi="宋体" w:eastAsia="宋体" w:cs="宋体"/>
          <w:b/>
          <w:bCs/>
          <w:color w:val="auto"/>
          <w:sz w:val="24"/>
          <w:szCs w:val="24"/>
          <w:highlight w:val="none"/>
        </w:rPr>
      </w:pPr>
      <w:bookmarkStart w:id="5" w:name="_Toc8626"/>
      <w:r>
        <w:rPr>
          <w:rFonts w:hint="eastAsia" w:ascii="宋体" w:hAnsi="宋体" w:eastAsia="宋体" w:cs="宋体"/>
          <w:b/>
          <w:bCs/>
          <w:color w:val="auto"/>
          <w:sz w:val="36"/>
          <w:szCs w:val="30"/>
          <w:highlight w:val="none"/>
        </w:rPr>
        <w:t>第一篇  竞采邀请书</w:t>
      </w:r>
      <w:bookmarkEnd w:id="1"/>
      <w:bookmarkEnd w:id="2"/>
      <w:bookmarkEnd w:id="3"/>
      <w:bookmarkEnd w:id="4"/>
      <w:bookmarkEnd w:id="5"/>
    </w:p>
    <w:p w14:paraId="24AC8F42">
      <w:pPr>
        <w:snapToGrid w:val="0"/>
        <w:spacing w:line="360" w:lineRule="auto"/>
        <w:ind w:firstLine="480" w:firstLineChars="200"/>
        <w:rPr>
          <w:rFonts w:hint="eastAsia" w:ascii="宋体" w:hAnsi="宋体" w:eastAsia="宋体" w:cs="宋体"/>
          <w:color w:val="auto"/>
          <w:sz w:val="24"/>
          <w:szCs w:val="24"/>
          <w:highlight w:val="none"/>
          <w:u w:val="single"/>
        </w:rPr>
      </w:pPr>
    </w:p>
    <w:p w14:paraId="0DDB41F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同致诚工程咨询有限公司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rPr>
        <w:t>重庆中医药学院</w:t>
      </w:r>
      <w:r>
        <w:rPr>
          <w:rFonts w:hint="eastAsia" w:ascii="宋体" w:hAnsi="宋体" w:eastAsia="宋体" w:cs="宋体"/>
          <w:color w:val="auto"/>
          <w:sz w:val="24"/>
          <w:szCs w:val="24"/>
          <w:highlight w:val="none"/>
        </w:rPr>
        <w:t>（以下简称：采购人）的委托，对</w:t>
      </w:r>
      <w:r>
        <w:rPr>
          <w:rFonts w:hint="eastAsia" w:ascii="宋体" w:hAnsi="宋体" w:cs="宋体"/>
          <w:iCs/>
          <w:color w:val="auto"/>
          <w:sz w:val="24"/>
          <w:szCs w:val="24"/>
          <w:highlight w:val="none"/>
          <w:u w:val="single"/>
          <w:lang w:eastAsia="zh-CN"/>
        </w:rPr>
        <w:t>重庆中医药学院公共科研平台项目初步设计（含概算编制）</w:t>
      </w:r>
      <w:r>
        <w:rPr>
          <w:rFonts w:hint="eastAsia" w:ascii="宋体" w:hAnsi="宋体" w:eastAsia="宋体" w:cs="宋体"/>
          <w:color w:val="auto"/>
          <w:sz w:val="24"/>
          <w:szCs w:val="24"/>
          <w:highlight w:val="none"/>
          <w:u w:val="none"/>
          <w:lang w:eastAsia="zh-CN"/>
        </w:rPr>
        <w:t>进行</w:t>
      </w:r>
      <w:r>
        <w:rPr>
          <w:rFonts w:hint="eastAsia" w:ascii="宋体" w:hAnsi="宋体" w:eastAsia="宋体" w:cs="宋体"/>
          <w:color w:val="auto"/>
          <w:sz w:val="24"/>
          <w:szCs w:val="24"/>
          <w:highlight w:val="none"/>
        </w:rPr>
        <w:t>网上竞采采购。欢迎有资格的供应商前来参与网上竞采。</w:t>
      </w:r>
    </w:p>
    <w:p w14:paraId="1C7E94E0">
      <w:pPr>
        <w:snapToGrid w:val="0"/>
        <w:spacing w:line="360" w:lineRule="auto"/>
        <w:ind w:firstLine="802" w:firstLineChars="200"/>
        <w:jc w:val="center"/>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pacing w:val="80"/>
          <w:sz w:val="24"/>
          <w:szCs w:val="24"/>
          <w:highlight w:val="none"/>
        </w:rPr>
        <w:t>（综合评分法）</w:t>
      </w:r>
    </w:p>
    <w:p w14:paraId="50D490DB">
      <w:pPr>
        <w:spacing w:line="360" w:lineRule="auto"/>
        <w:rPr>
          <w:rFonts w:hint="eastAsia" w:ascii="宋体" w:hAnsi="宋体" w:eastAsia="宋体" w:cs="宋体"/>
          <w:b/>
          <w:bCs/>
          <w:color w:val="auto"/>
          <w:sz w:val="24"/>
          <w:szCs w:val="24"/>
          <w:highlight w:val="none"/>
        </w:rPr>
      </w:pPr>
      <w:bookmarkStart w:id="6" w:name="_Toc18881"/>
      <w:bookmarkStart w:id="7" w:name="_Toc3463"/>
      <w:bookmarkStart w:id="8" w:name="_Toc12808"/>
      <w:bookmarkStart w:id="9" w:name="_Toc317775175"/>
      <w:bookmarkStart w:id="10" w:name="_Toc7625"/>
      <w:bookmarkStart w:id="11" w:name="_Toc313893526"/>
      <w:bookmarkStart w:id="12" w:name="_Toc18159"/>
      <w:bookmarkStart w:id="13" w:name="_Toc25458"/>
      <w:bookmarkStart w:id="14" w:name="_Toc26820"/>
      <w:r>
        <w:rPr>
          <w:rFonts w:hint="eastAsia" w:ascii="宋体" w:hAnsi="宋体" w:eastAsia="宋体" w:cs="宋体"/>
          <w:b/>
          <w:bCs/>
          <w:color w:val="auto"/>
          <w:sz w:val="24"/>
          <w:szCs w:val="24"/>
          <w:highlight w:val="none"/>
        </w:rPr>
        <w:t>一、竞采项目内容</w:t>
      </w:r>
      <w:bookmarkEnd w:id="6"/>
      <w:bookmarkEnd w:id="7"/>
      <w:bookmarkEnd w:id="8"/>
      <w:bookmarkEnd w:id="9"/>
      <w:bookmarkEnd w:id="10"/>
      <w:bookmarkEnd w:id="11"/>
      <w:bookmarkEnd w:id="12"/>
      <w:bookmarkEnd w:id="13"/>
      <w:bookmarkEnd w:id="14"/>
    </w:p>
    <w:tbl>
      <w:tblPr>
        <w:tblStyle w:val="2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3"/>
        <w:gridCol w:w="1584"/>
        <w:gridCol w:w="2062"/>
      </w:tblGrid>
      <w:tr w14:paraId="08F0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3" w:type="dxa"/>
            <w:tcBorders>
              <w:top w:val="single" w:color="auto" w:sz="4" w:space="0"/>
              <w:left w:val="single" w:color="auto" w:sz="4" w:space="0"/>
              <w:right w:val="single" w:color="auto" w:sz="4" w:space="0"/>
            </w:tcBorders>
            <w:vAlign w:val="center"/>
          </w:tcPr>
          <w:p w14:paraId="6DEB7244">
            <w:pPr>
              <w:widowControl/>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84" w:type="dxa"/>
            <w:tcBorders>
              <w:top w:val="single" w:color="auto" w:sz="4" w:space="0"/>
              <w:left w:val="single" w:color="auto" w:sz="4" w:space="0"/>
              <w:right w:val="single" w:color="auto" w:sz="4" w:space="0"/>
            </w:tcBorders>
            <w:vAlign w:val="center"/>
          </w:tcPr>
          <w:p w14:paraId="22B3381D">
            <w:pPr>
              <w:widowControl/>
              <w:spacing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w:t>
            </w:r>
          </w:p>
          <w:p w14:paraId="248F9911">
            <w:pPr>
              <w:widowControl/>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（元）</w:t>
            </w:r>
          </w:p>
        </w:tc>
        <w:tc>
          <w:tcPr>
            <w:tcW w:w="2062" w:type="dxa"/>
            <w:tcBorders>
              <w:top w:val="single" w:color="auto" w:sz="4" w:space="0"/>
              <w:left w:val="single" w:color="auto" w:sz="4" w:space="0"/>
              <w:right w:val="single" w:color="auto" w:sz="4" w:space="0"/>
            </w:tcBorders>
            <w:vAlign w:val="center"/>
          </w:tcPr>
          <w:p w14:paraId="740BEF9E">
            <w:pPr>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r>
      <w:tr w14:paraId="06B8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13" w:type="dxa"/>
            <w:tcBorders>
              <w:top w:val="single" w:color="auto" w:sz="4" w:space="0"/>
              <w:left w:val="single" w:color="auto" w:sz="4" w:space="0"/>
              <w:right w:val="single" w:color="auto" w:sz="4" w:space="0"/>
            </w:tcBorders>
            <w:vAlign w:val="center"/>
          </w:tcPr>
          <w:p w14:paraId="6C1E49B0">
            <w:pPr>
              <w:widowControl/>
              <w:spacing w:line="240" w:lineRule="auto"/>
              <w:jc w:val="center"/>
              <w:rPr>
                <w:rFonts w:hint="eastAsia" w:ascii="宋体" w:hAnsi="宋体" w:eastAsia="宋体" w:cs="宋体"/>
                <w:color w:val="auto"/>
                <w:kern w:val="0"/>
                <w:sz w:val="24"/>
                <w:szCs w:val="24"/>
                <w:highlight w:val="none"/>
                <w:lang w:eastAsia="zh-CN"/>
              </w:rPr>
            </w:pPr>
            <w:bookmarkStart w:id="15" w:name="_Hlk344477914"/>
            <w:r>
              <w:rPr>
                <w:rFonts w:hint="eastAsia" w:ascii="宋体" w:hAnsi="宋体" w:cs="宋体"/>
                <w:iCs/>
                <w:color w:val="auto"/>
                <w:sz w:val="24"/>
                <w:szCs w:val="24"/>
                <w:highlight w:val="none"/>
                <w:lang w:eastAsia="zh-CN"/>
              </w:rPr>
              <w:t>重庆中医药学院公共科研平台项目初步设计（含概算编制）</w:t>
            </w:r>
          </w:p>
        </w:tc>
        <w:tc>
          <w:tcPr>
            <w:tcW w:w="1584" w:type="dxa"/>
            <w:tcBorders>
              <w:top w:val="single" w:color="auto" w:sz="4" w:space="0"/>
              <w:left w:val="single" w:color="auto" w:sz="4" w:space="0"/>
              <w:right w:val="single" w:color="auto" w:sz="4" w:space="0"/>
            </w:tcBorders>
            <w:vAlign w:val="center"/>
          </w:tcPr>
          <w:p w14:paraId="4BDBD6D7">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220200.00</w:t>
            </w:r>
          </w:p>
        </w:tc>
        <w:tc>
          <w:tcPr>
            <w:tcW w:w="2062" w:type="dxa"/>
            <w:tcBorders>
              <w:top w:val="single" w:color="auto" w:sz="4" w:space="0"/>
              <w:left w:val="single" w:color="auto" w:sz="4" w:space="0"/>
              <w:right w:val="single" w:color="auto" w:sz="4" w:space="0"/>
            </w:tcBorders>
            <w:vAlign w:val="center"/>
          </w:tcPr>
          <w:p w14:paraId="28E31739">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bookmarkEnd w:id="15"/>
    </w:tbl>
    <w:p w14:paraId="1B8CA315">
      <w:pPr>
        <w:spacing w:line="360" w:lineRule="auto"/>
        <w:rPr>
          <w:rFonts w:hint="eastAsia" w:ascii="宋体" w:hAnsi="宋体" w:eastAsia="宋体" w:cs="宋体"/>
          <w:b/>
          <w:bCs/>
          <w:color w:val="auto"/>
          <w:sz w:val="24"/>
          <w:szCs w:val="24"/>
          <w:highlight w:val="none"/>
        </w:rPr>
      </w:pPr>
      <w:bookmarkStart w:id="16" w:name="_Toc22399"/>
      <w:bookmarkStart w:id="17" w:name="_Toc25190"/>
      <w:bookmarkStart w:id="18" w:name="_Toc15727"/>
      <w:bookmarkStart w:id="19" w:name="_Toc15576"/>
      <w:bookmarkStart w:id="20" w:name="_Toc1790"/>
      <w:bookmarkStart w:id="21" w:name="_Toc19437"/>
      <w:bookmarkStart w:id="22" w:name="_Toc6462"/>
      <w:bookmarkStart w:id="23" w:name="_Toc317775178"/>
      <w:bookmarkStart w:id="24" w:name="_Toc373860293"/>
      <w:r>
        <w:rPr>
          <w:rFonts w:hint="eastAsia" w:ascii="宋体" w:hAnsi="宋体" w:eastAsia="宋体" w:cs="宋体"/>
          <w:b/>
          <w:bCs/>
          <w:color w:val="auto"/>
          <w:sz w:val="24"/>
          <w:szCs w:val="24"/>
          <w:highlight w:val="none"/>
        </w:rPr>
        <w:t>二、资金来源</w:t>
      </w:r>
    </w:p>
    <w:p w14:paraId="5AF6DC0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w:t>
      </w: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u w:val="single"/>
          <w:lang w:val="en-US" w:eastAsia="zh-CN"/>
        </w:rPr>
        <w:t>220200.00</w:t>
      </w:r>
      <w:r>
        <w:rPr>
          <w:rFonts w:hint="eastAsia" w:ascii="宋体" w:hAnsi="宋体" w:eastAsia="宋体" w:cs="宋体"/>
          <w:color w:val="auto"/>
          <w:sz w:val="24"/>
          <w:szCs w:val="24"/>
          <w:highlight w:val="none"/>
          <w:lang w:val="en-US" w:eastAsia="zh-CN"/>
        </w:rPr>
        <w:t>元。</w:t>
      </w:r>
    </w:p>
    <w:p w14:paraId="3A00DBA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bookmarkEnd w:id="16"/>
      <w:bookmarkEnd w:id="17"/>
      <w:bookmarkEnd w:id="18"/>
      <w:bookmarkEnd w:id="19"/>
      <w:bookmarkEnd w:id="20"/>
      <w:bookmarkEnd w:id="21"/>
      <w:bookmarkEnd w:id="22"/>
      <w:r>
        <w:rPr>
          <w:rFonts w:hint="eastAsia" w:ascii="宋体" w:hAnsi="宋体" w:eastAsia="宋体" w:cs="宋体"/>
          <w:b/>
          <w:bCs/>
          <w:color w:val="auto"/>
          <w:sz w:val="24"/>
          <w:szCs w:val="24"/>
          <w:highlight w:val="none"/>
        </w:rPr>
        <w:t>竞采资格条件</w:t>
      </w:r>
    </w:p>
    <w:p w14:paraId="481254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（一）基本条件</w:t>
      </w:r>
    </w:p>
    <w:p w14:paraId="4304AD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　</w:t>
      </w:r>
    </w:p>
    <w:p w14:paraId="1144B3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6D5FC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8413E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1E808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4F9DF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1A72E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6FF6FD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（二）特定资格条件</w:t>
      </w:r>
      <w:bookmarkEnd w:id="23"/>
      <w:bookmarkEnd w:id="24"/>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供应商具备建设行政主管部门颁发的以下特定资质之一：</w:t>
      </w:r>
    </w:p>
    <w:p w14:paraId="7929A1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①工程设计综合甲级资质；</w:t>
      </w:r>
    </w:p>
    <w:p w14:paraId="058B38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②工程设计建筑行业乙级及以上资质；</w:t>
      </w:r>
    </w:p>
    <w:p w14:paraId="377135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③工程设计建筑行业（建筑工程）乙级及以上资质。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提供证书复印件，加盖供应商公章</w:t>
      </w:r>
      <w:r>
        <w:rPr>
          <w:rFonts w:hint="eastAsia" w:ascii="宋体" w:hAnsi="宋体" w:cs="宋体"/>
          <w:color w:val="auto"/>
          <w:sz w:val="24"/>
          <w:szCs w:val="24"/>
          <w:highlight w:val="none"/>
          <w:lang w:eastAsia="zh-CN"/>
        </w:rPr>
        <w:t>）</w:t>
      </w:r>
    </w:p>
    <w:p w14:paraId="35188CE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四、竞采有关说明</w:t>
      </w:r>
    </w:p>
    <w:p w14:paraId="54C49E5A">
      <w:pPr>
        <w:spacing w:line="360" w:lineRule="auto"/>
        <w:ind w:firstLine="480" w:firstLineChars="200"/>
        <w:rPr>
          <w:rFonts w:hint="eastAsia" w:ascii="宋体" w:hAnsi="宋体" w:eastAsia="宋体" w:cs="宋体"/>
          <w:color w:val="auto"/>
          <w:sz w:val="24"/>
          <w:szCs w:val="24"/>
          <w:highlight w:val="none"/>
        </w:rPr>
      </w:pPr>
      <w:bookmarkStart w:id="25" w:name="_Toc106030878"/>
      <w:bookmarkStart w:id="26" w:name="_Toc76462324"/>
      <w:r>
        <w:rPr>
          <w:rFonts w:hint="eastAsia" w:ascii="宋体" w:hAnsi="宋体" w:eastAsia="宋体" w:cs="宋体"/>
          <w:color w:val="auto"/>
          <w:sz w:val="24"/>
          <w:szCs w:val="24"/>
          <w:highlight w:val="none"/>
        </w:rPr>
        <w:t>（一）供应商应通过行采家平台（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gec123.com）登记加入“行采家供应商库”。</w:t>
      </w:r>
    </w:p>
    <w:p w14:paraId="07FED8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供应商，请在行采家·竞采中心（https://www.gec123.com/xe/）网上下载本项目网上竞采文件以及变更等采购前公布的所有项目资料，无论供应商下载与否，均视为已知晓所有采购实质性要求内容。</w:t>
      </w:r>
    </w:p>
    <w:p w14:paraId="65884A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（三）网上竞采文件发售： </w:t>
      </w:r>
    </w:p>
    <w:p w14:paraId="67486E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网上竞采文件</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售价：</w:t>
      </w:r>
      <w:r>
        <w:rPr>
          <w:rFonts w:hint="eastAsia" w:ascii="宋体" w:hAnsi="宋体" w:eastAsia="宋体" w:cs="宋体"/>
          <w:b/>
          <w:bCs/>
          <w:color w:val="auto"/>
          <w:sz w:val="24"/>
          <w:szCs w:val="24"/>
          <w:highlight w:val="none"/>
        </w:rPr>
        <w:t>人民币300元/包（</w:t>
      </w:r>
      <w:r>
        <w:rPr>
          <w:rFonts w:hint="eastAsia" w:ascii="宋体" w:hAnsi="宋体" w:eastAsia="宋体" w:cs="宋体"/>
          <w:b/>
          <w:bCs/>
          <w:color w:val="auto"/>
          <w:sz w:val="24"/>
          <w:szCs w:val="24"/>
          <w:highlight w:val="none"/>
          <w:lang w:val="en-US" w:eastAsia="zh-CN"/>
        </w:rPr>
        <w:t>售后不退，</w:t>
      </w:r>
      <w:r>
        <w:rPr>
          <w:rFonts w:hint="eastAsia" w:ascii="宋体" w:hAnsi="宋体" w:cs="宋体"/>
          <w:b/>
          <w:bCs/>
          <w:color w:val="auto"/>
          <w:sz w:val="24"/>
          <w:szCs w:val="24"/>
          <w:highlight w:val="none"/>
          <w:lang w:val="en-US" w:eastAsia="zh-CN"/>
        </w:rPr>
        <w:t>供应商应在2026年5月 28 日17:00前通过微信二维码</w:t>
      </w:r>
      <w:r>
        <w:rPr>
          <w:rFonts w:hint="eastAsia" w:ascii="宋体" w:hAnsi="宋体" w:eastAsia="宋体" w:cs="宋体"/>
          <w:b/>
          <w:bCs/>
          <w:color w:val="auto"/>
          <w:sz w:val="24"/>
          <w:szCs w:val="24"/>
          <w:highlight w:val="none"/>
          <w:lang w:val="en-US" w:eastAsia="zh-CN"/>
        </w:rPr>
        <w:t>缴纳，</w:t>
      </w:r>
      <w:r>
        <w:rPr>
          <w:rFonts w:hint="eastAsia" w:ascii="宋体" w:hAnsi="宋体" w:cs="宋体"/>
          <w:b/>
          <w:bCs/>
          <w:color w:val="auto"/>
          <w:sz w:val="24"/>
          <w:szCs w:val="24"/>
          <w:highlight w:val="none"/>
          <w:lang w:val="en-US" w:eastAsia="zh-CN"/>
        </w:rPr>
        <w:t>备注“项目名称简写+供应商名称”，</w:t>
      </w:r>
      <w:r>
        <w:rPr>
          <w:rFonts w:hint="eastAsia" w:ascii="宋体" w:hAnsi="宋体" w:eastAsia="宋体" w:cs="宋体"/>
          <w:b/>
          <w:bCs/>
          <w:color w:val="auto"/>
          <w:sz w:val="24"/>
          <w:szCs w:val="24"/>
          <w:highlight w:val="none"/>
          <w:lang w:val="en-US" w:eastAsia="zh-CN"/>
        </w:rPr>
        <w:t>未缴纳文件费或超过响应文件</w:t>
      </w:r>
      <w:r>
        <w:rPr>
          <w:rFonts w:hint="eastAsia" w:ascii="宋体" w:hAnsi="宋体" w:cs="宋体"/>
          <w:b/>
          <w:bCs/>
          <w:color w:val="auto"/>
          <w:sz w:val="24"/>
          <w:szCs w:val="24"/>
          <w:highlight w:val="none"/>
          <w:lang w:val="en-US" w:eastAsia="zh-CN"/>
        </w:rPr>
        <w:t>规定的</w:t>
      </w:r>
      <w:r>
        <w:rPr>
          <w:rFonts w:hint="eastAsia" w:ascii="宋体" w:hAnsi="宋体" w:eastAsia="宋体" w:cs="宋体"/>
          <w:b/>
          <w:bCs/>
          <w:color w:val="auto"/>
          <w:sz w:val="24"/>
          <w:szCs w:val="24"/>
          <w:highlight w:val="none"/>
          <w:lang w:val="en-US" w:eastAsia="zh-CN"/>
        </w:rPr>
        <w:t>截止时间递交的</w:t>
      </w:r>
      <w:r>
        <w:rPr>
          <w:rFonts w:hint="eastAsia" w:ascii="宋体" w:hAnsi="宋体" w:cs="宋体"/>
          <w:b/>
          <w:bCs/>
          <w:color w:val="auto"/>
          <w:sz w:val="24"/>
          <w:szCs w:val="24"/>
          <w:highlight w:val="none"/>
          <w:lang w:val="en-US" w:eastAsia="zh-CN"/>
        </w:rPr>
        <w:t>文件费</w:t>
      </w:r>
      <w:r>
        <w:rPr>
          <w:rFonts w:hint="eastAsia" w:ascii="宋体" w:hAnsi="宋体" w:eastAsia="宋体" w:cs="宋体"/>
          <w:b/>
          <w:bCs/>
          <w:color w:val="auto"/>
          <w:sz w:val="24"/>
          <w:szCs w:val="24"/>
          <w:highlight w:val="none"/>
          <w:lang w:val="en-US" w:eastAsia="zh-CN"/>
        </w:rPr>
        <w:t>，恕不接收</w:t>
      </w:r>
      <w:r>
        <w:rPr>
          <w:rFonts w:hint="eastAsia" w:ascii="宋体" w:hAnsi="宋体" w:eastAsia="宋体" w:cs="宋体"/>
          <w:color w:val="auto"/>
          <w:sz w:val="24"/>
          <w:szCs w:val="24"/>
          <w:highlight w:val="none"/>
        </w:rPr>
        <w:t>。</w:t>
      </w:r>
    </w:p>
    <w:p w14:paraId="5D94A813">
      <w:pPr>
        <w:spacing w:line="360" w:lineRule="auto"/>
        <w:ind w:firstLine="560" w:firstLineChars="200"/>
        <w:rPr>
          <w:rFonts w:hint="eastAsia" w:ascii="宋体" w:hAnsi="宋体" w:eastAsia="宋体" w:cs="宋体"/>
          <w:color w:val="auto"/>
          <w:sz w:val="24"/>
          <w:szCs w:val="24"/>
          <w:highlight w:val="none"/>
        </w:rPr>
      </w:pPr>
      <w:r>
        <w:rPr>
          <w:color w:val="auto"/>
        </w:rPr>
        <w:drawing>
          <wp:anchor distT="0" distB="0" distL="114300" distR="114300" simplePos="0" relativeHeight="251659264" behindDoc="0" locked="0" layoutInCell="1" allowOverlap="1">
            <wp:simplePos x="0" y="0"/>
            <wp:positionH relativeFrom="column">
              <wp:posOffset>-97155</wp:posOffset>
            </wp:positionH>
            <wp:positionV relativeFrom="paragraph">
              <wp:posOffset>35560</wp:posOffset>
            </wp:positionV>
            <wp:extent cx="1677035" cy="2286000"/>
            <wp:effectExtent l="0" t="0" r="1841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677035" cy="2286000"/>
                    </a:xfrm>
                    <a:prstGeom prst="rect">
                      <a:avLst/>
                    </a:prstGeom>
                    <a:noFill/>
                    <a:ln>
                      <a:noFill/>
                    </a:ln>
                  </pic:spPr>
                </pic:pic>
              </a:graphicData>
            </a:graphic>
          </wp:anchor>
        </w:drawing>
      </w:r>
      <w:r>
        <w:rPr>
          <w:rFonts w:hint="eastAsia" w:ascii="宋体" w:hAnsi="宋体" w:eastAsia="宋体" w:cs="宋体"/>
          <w:color w:val="auto"/>
          <w:sz w:val="24"/>
          <w:szCs w:val="24"/>
          <w:highlight w:val="none"/>
        </w:rPr>
        <w:t>（四）线上报价</w:t>
      </w:r>
    </w:p>
    <w:p w14:paraId="61E939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1.线上报价时间：以本项目网上公告规定的报价时间为准。</w:t>
      </w:r>
    </w:p>
    <w:p w14:paraId="1F80CB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2.线上报价要求：按本项目规定的时间在行采家平台·竞采中心（https://www.gec123.com/xe/）进行网上报价并上传</w:t>
      </w:r>
      <w:r>
        <w:rPr>
          <w:rFonts w:hint="eastAsia" w:ascii="宋体" w:hAnsi="宋体" w:eastAsia="宋体" w:cs="宋体"/>
          <w:b/>
          <w:bCs/>
          <w:color w:val="auto"/>
          <w:sz w:val="24"/>
          <w:szCs w:val="24"/>
          <w:highlight w:val="none"/>
        </w:rPr>
        <w:t>响应文件电子档一份</w:t>
      </w:r>
      <w:r>
        <w:rPr>
          <w:rFonts w:hint="eastAsia" w:ascii="宋体" w:hAnsi="宋体" w:eastAsia="宋体" w:cs="宋体"/>
          <w:color w:val="auto"/>
          <w:sz w:val="24"/>
          <w:szCs w:val="24"/>
          <w:highlight w:val="none"/>
        </w:rPr>
        <w:t>。</w:t>
      </w:r>
    </w:p>
    <w:p w14:paraId="15469B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（五）纸质响应文件递交要求：</w:t>
      </w:r>
      <w:r>
        <w:rPr>
          <w:rFonts w:hint="eastAsia" w:ascii="宋体" w:hAnsi="宋体" w:eastAsia="宋体" w:cs="宋体"/>
          <w:b/>
          <w:bCs/>
          <w:color w:val="auto"/>
          <w:sz w:val="24"/>
          <w:szCs w:val="24"/>
          <w:highlight w:val="none"/>
        </w:rPr>
        <w:t>（本项目采取线上线下相结合方式）</w:t>
      </w:r>
    </w:p>
    <w:p w14:paraId="3DDDD45D">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1.纸质响应文件份数：</w:t>
      </w:r>
      <w:r>
        <w:rPr>
          <w:rFonts w:hint="eastAsia" w:ascii="宋体" w:hAnsi="宋体" w:eastAsia="宋体" w:cs="宋体"/>
          <w:b/>
          <w:bCs/>
          <w:color w:val="auto"/>
          <w:sz w:val="24"/>
          <w:szCs w:val="24"/>
          <w:highlight w:val="none"/>
        </w:rPr>
        <w:t>正本1份，副本2份。密封完好，封套注明项目名称、供应商名称。副本可为正本复印件，纸质档与网上上传的电子档须保持一致，如出现不一致情况以纸质档正本为准。</w:t>
      </w:r>
    </w:p>
    <w:p w14:paraId="163764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2.递交方式：现场递交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联系人：张老师023-88602519递交地址：重庆市两江新区星光大道土星A2栋11楼</w:t>
      </w:r>
      <w:r>
        <w:rPr>
          <w:rFonts w:hint="eastAsia" w:ascii="宋体" w:hAnsi="宋体" w:eastAsia="宋体" w:cs="宋体"/>
          <w:color w:val="auto"/>
          <w:sz w:val="24"/>
          <w:szCs w:val="24"/>
          <w:highlight w:val="none"/>
          <w:lang w:eastAsia="zh-CN"/>
        </w:rPr>
        <w:t>）</w:t>
      </w:r>
    </w:p>
    <w:p w14:paraId="0A521C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3.纸质响应递交截止时间：按本项目网上公告规定的报价截止时间为准。</w:t>
      </w:r>
    </w:p>
    <w:p w14:paraId="05DFED6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（六）供应商须缴纳文件费，在截止时间内在平台上报价按要求上传响应文件并线下递交纸质响应文件，未按要求提供的为无效供应商。</w:t>
      </w:r>
    </w:p>
    <w:p w14:paraId="1109335E">
      <w:pPr>
        <w:spacing w:line="360" w:lineRule="auto"/>
        <w:rPr>
          <w:rFonts w:hint="eastAsia" w:ascii="宋体" w:hAnsi="宋体" w:eastAsia="宋体" w:cs="宋体"/>
          <w:b/>
          <w:bCs/>
          <w:color w:val="auto"/>
          <w:sz w:val="24"/>
          <w:szCs w:val="24"/>
          <w:highlight w:val="none"/>
        </w:rPr>
      </w:pPr>
      <w:bookmarkStart w:id="27" w:name="_Toc31315"/>
      <w:bookmarkStart w:id="28" w:name="_Toc14778"/>
      <w:bookmarkStart w:id="29" w:name="_Toc9027"/>
      <w:bookmarkStart w:id="30" w:name="_Toc25516"/>
      <w:bookmarkStart w:id="31" w:name="_Toc15478"/>
      <w:bookmarkStart w:id="32" w:name="_Toc13969"/>
      <w:bookmarkStart w:id="33" w:name="_Toc19730"/>
      <w:r>
        <w:rPr>
          <w:rFonts w:hint="eastAsia" w:ascii="宋体" w:hAnsi="宋体" w:eastAsia="宋体" w:cs="宋体"/>
          <w:b/>
          <w:bCs/>
          <w:color w:val="auto"/>
          <w:sz w:val="24"/>
          <w:szCs w:val="24"/>
          <w:highlight w:val="none"/>
        </w:rPr>
        <w:t>五、</w:t>
      </w:r>
      <w:bookmarkEnd w:id="27"/>
      <w:bookmarkEnd w:id="28"/>
      <w:bookmarkEnd w:id="29"/>
      <w:bookmarkEnd w:id="30"/>
      <w:bookmarkEnd w:id="31"/>
      <w:bookmarkEnd w:id="32"/>
      <w:bookmarkEnd w:id="33"/>
      <w:r>
        <w:rPr>
          <w:rFonts w:hint="eastAsia" w:ascii="宋体" w:hAnsi="宋体" w:eastAsia="宋体" w:cs="宋体"/>
          <w:b/>
          <w:bCs/>
          <w:color w:val="auto"/>
          <w:sz w:val="24"/>
          <w:szCs w:val="24"/>
          <w:highlight w:val="none"/>
        </w:rPr>
        <w:t>其它有关规定</w:t>
      </w:r>
    </w:p>
    <w:p w14:paraId="20FFDE7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（一）单位负责人为同一人或者存在直接控股、管理关系的不同供应商，不得参加同一合同项（分包）下的竞采活动，否则均为无效响应。</w:t>
      </w:r>
    </w:p>
    <w:p w14:paraId="418F1334">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365F528A">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（三）本项目的变更等文件（如果有）一律在“行采家•网上竞采”上发布，请各供应商注意下载；无论供应商下载与否，均视同供应商已知晓本项目澄清文件（如果有）的内容。</w:t>
      </w:r>
    </w:p>
    <w:p w14:paraId="4E457EFC">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19563C9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（五）竞采费用：无论竞采结果如何，供应商参与本项目竞采的所有成本费用均应由供应商自行承担。</w:t>
      </w:r>
    </w:p>
    <w:p w14:paraId="3DFEC27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本项目不接受联合体参与竞采、不接受分包，否则作无效投标处理。</w:t>
      </w:r>
    </w:p>
    <w:p w14:paraId="0E52D72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网上竞采活动。</w:t>
      </w:r>
    </w:p>
    <w:p w14:paraId="4D92C6BF">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六、供应商提交响应文件</w:t>
      </w:r>
    </w:p>
    <w:p w14:paraId="4C734C4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1、供应商线上报名、报价时需上传盖章后的电子文档一份，并按网上竞采文件要求递交响应文件纸质文件。</w:t>
      </w:r>
    </w:p>
    <w:p w14:paraId="7DCB9E6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2、采购人将以线下递交的响应文件正本资料作为评判依据。</w:t>
      </w:r>
    </w:p>
    <w:p w14:paraId="293AA7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3、供应商制作的响应文件须按照要求制作，规定签字、盖章的地方必须按其规定签字、盖章，未按要求制作响应文件的进行废标处理。</w:t>
      </w:r>
    </w:p>
    <w:p w14:paraId="5336A9EE">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w:t>
      </w:r>
      <w:bookmarkStart w:id="34" w:name="_Toc3475"/>
      <w:bookmarkStart w:id="35" w:name="_Toc11828"/>
      <w:bookmarkStart w:id="36" w:name="_Toc27955"/>
      <w:bookmarkStart w:id="37" w:name="_Toc20778"/>
      <w:bookmarkStart w:id="38" w:name="_Toc9654"/>
      <w:bookmarkStart w:id="39" w:name="_Toc5085"/>
      <w:bookmarkStart w:id="40" w:name="_Toc25886"/>
      <w:r>
        <w:rPr>
          <w:rFonts w:hint="eastAsia" w:ascii="宋体" w:hAnsi="宋体" w:eastAsia="宋体" w:cs="宋体"/>
          <w:b/>
          <w:bCs/>
          <w:color w:val="auto"/>
          <w:sz w:val="24"/>
          <w:szCs w:val="24"/>
          <w:highlight w:val="none"/>
        </w:rPr>
        <w:t>联系方式</w:t>
      </w:r>
      <w:bookmarkEnd w:id="34"/>
      <w:bookmarkEnd w:id="35"/>
      <w:bookmarkEnd w:id="36"/>
      <w:bookmarkEnd w:id="37"/>
      <w:bookmarkEnd w:id="38"/>
      <w:bookmarkEnd w:id="39"/>
      <w:bookmarkEnd w:id="40"/>
    </w:p>
    <w:p w14:paraId="610246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（一）采购人：重庆中医药学院</w:t>
      </w:r>
    </w:p>
    <w:p w14:paraId="4DF49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联系人：管老师</w:t>
      </w:r>
    </w:p>
    <w:p w14:paraId="2EC60B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65880046</w:t>
      </w:r>
    </w:p>
    <w:p w14:paraId="7BFB96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址：重庆市璧山区</w:t>
      </w:r>
      <w:r>
        <w:rPr>
          <w:rFonts w:hint="eastAsia" w:ascii="宋体" w:hAnsi="宋体" w:eastAsia="宋体" w:cs="宋体"/>
          <w:color w:val="auto"/>
          <w:sz w:val="24"/>
          <w:szCs w:val="24"/>
          <w:highlight w:val="none"/>
          <w:lang w:eastAsia="zh-CN"/>
        </w:rPr>
        <w:t>璧</w:t>
      </w:r>
      <w:r>
        <w:rPr>
          <w:rFonts w:hint="eastAsia" w:ascii="宋体" w:hAnsi="宋体" w:eastAsia="宋体" w:cs="宋体"/>
          <w:color w:val="auto"/>
          <w:sz w:val="24"/>
          <w:szCs w:val="24"/>
          <w:highlight w:val="none"/>
        </w:rPr>
        <w:t>城街道国学路61号</w:t>
      </w:r>
    </w:p>
    <w:p w14:paraId="7E63F4DB">
      <w:pPr>
        <w:spacing w:line="360" w:lineRule="auto"/>
        <w:ind w:firstLine="480" w:firstLineChars="200"/>
        <w:rPr>
          <w:rFonts w:hint="eastAsia" w:ascii="宋体" w:hAnsi="宋体" w:eastAsia="宋体" w:cs="宋体"/>
          <w:color w:val="auto"/>
          <w:sz w:val="24"/>
          <w:szCs w:val="24"/>
          <w:highlight w:val="none"/>
        </w:rPr>
      </w:pPr>
    </w:p>
    <w:p w14:paraId="2DAD087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同致诚工程咨询有限公司</w:t>
      </w:r>
    </w:p>
    <w:p w14:paraId="6F86DB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p w14:paraId="113F015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023-88602519</w:t>
      </w:r>
    </w:p>
    <w:p w14:paraId="68402D8E">
      <w:pPr>
        <w:spacing w:line="360" w:lineRule="auto"/>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地  址：重庆市两江新区星光大道土星A2栋11楼</w:t>
      </w:r>
      <w:r>
        <w:rPr>
          <w:rFonts w:hint="eastAsia" w:ascii="宋体" w:hAnsi="宋体" w:eastAsia="宋体" w:cs="宋体"/>
          <w:b/>
          <w:bCs/>
          <w:color w:val="auto"/>
          <w:sz w:val="36"/>
          <w:szCs w:val="36"/>
          <w:highlight w:val="none"/>
        </w:rPr>
        <w:br w:type="page"/>
      </w:r>
    </w:p>
    <w:p w14:paraId="6CFBD0C1">
      <w:pPr>
        <w:spacing w:line="360" w:lineRule="auto"/>
        <w:jc w:val="center"/>
        <w:rPr>
          <w:rFonts w:hint="eastAsia" w:ascii="宋体" w:hAnsi="宋体" w:eastAsia="宋体" w:cs="宋体"/>
          <w:b/>
          <w:bCs/>
          <w:color w:val="auto"/>
          <w:sz w:val="36"/>
          <w:szCs w:val="36"/>
          <w:highlight w:val="none"/>
          <w:lang w:eastAsia="zh-CN"/>
        </w:rPr>
      </w:pPr>
      <w:bookmarkStart w:id="41" w:name="_Toc8490"/>
      <w:r>
        <w:rPr>
          <w:rFonts w:hint="eastAsia" w:ascii="宋体" w:hAnsi="宋体" w:eastAsia="宋体" w:cs="宋体"/>
          <w:b/>
          <w:bCs/>
          <w:color w:val="auto"/>
          <w:sz w:val="36"/>
          <w:szCs w:val="36"/>
          <w:highlight w:val="none"/>
        </w:rPr>
        <w:t xml:space="preserve">第二篇  </w:t>
      </w:r>
      <w:bookmarkEnd w:id="25"/>
      <w:bookmarkEnd w:id="26"/>
      <w:r>
        <w:rPr>
          <w:rFonts w:hint="eastAsia" w:ascii="宋体" w:hAnsi="宋体" w:eastAsia="宋体" w:cs="宋体"/>
          <w:b/>
          <w:bCs/>
          <w:color w:val="auto"/>
          <w:sz w:val="36"/>
          <w:szCs w:val="36"/>
          <w:highlight w:val="none"/>
          <w:lang w:eastAsia="zh-CN"/>
        </w:rPr>
        <w:t>项目</w:t>
      </w:r>
      <w:r>
        <w:rPr>
          <w:rFonts w:hint="eastAsia" w:ascii="宋体" w:hAnsi="宋体" w:cs="宋体"/>
          <w:b/>
          <w:bCs/>
          <w:color w:val="auto"/>
          <w:sz w:val="36"/>
          <w:szCs w:val="36"/>
          <w:highlight w:val="none"/>
          <w:lang w:eastAsia="zh-CN"/>
        </w:rPr>
        <w:t>技术</w:t>
      </w:r>
      <w:r>
        <w:rPr>
          <w:rFonts w:hint="eastAsia" w:ascii="宋体" w:hAnsi="宋体" w:eastAsia="宋体" w:cs="宋体"/>
          <w:b/>
          <w:bCs/>
          <w:color w:val="auto"/>
          <w:sz w:val="36"/>
          <w:szCs w:val="36"/>
          <w:highlight w:val="none"/>
          <w:lang w:eastAsia="zh-CN"/>
        </w:rPr>
        <w:t>需求</w:t>
      </w:r>
      <w:bookmarkEnd w:id="41"/>
    </w:p>
    <w:p w14:paraId="196F964A">
      <w:pPr>
        <w:spacing w:line="360" w:lineRule="auto"/>
        <w:jc w:val="center"/>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本篇</w:t>
      </w:r>
      <w:r>
        <w:rPr>
          <w:rFonts w:hint="eastAsia" w:ascii="宋体" w:hAnsi="宋体" w:cs="宋体"/>
          <w:b/>
          <w:bCs/>
          <w:color w:val="auto"/>
          <w:sz w:val="24"/>
          <w:szCs w:val="24"/>
          <w:highlight w:val="none"/>
          <w:lang w:val="zh-CN" w:eastAsia="zh-CN"/>
        </w:rPr>
        <w:t>技术</w:t>
      </w:r>
      <w:r>
        <w:rPr>
          <w:rFonts w:hint="eastAsia" w:ascii="宋体" w:hAnsi="宋体" w:eastAsia="宋体" w:cs="宋体"/>
          <w:b/>
          <w:bCs/>
          <w:color w:val="auto"/>
          <w:sz w:val="24"/>
          <w:szCs w:val="24"/>
          <w:highlight w:val="none"/>
          <w:lang w:val="zh-CN" w:eastAsia="zh-CN"/>
        </w:rPr>
        <w:t>需求为符合性审查中的实质性要求，响应文件若不满足按无效处理。</w:t>
      </w:r>
    </w:p>
    <w:p w14:paraId="696E7EEE">
      <w:pPr>
        <w:snapToGrid w:val="0"/>
        <w:spacing w:line="360" w:lineRule="auto"/>
        <w:rPr>
          <w:rFonts w:hint="eastAsia" w:ascii="宋体" w:hAnsi="宋体" w:eastAsia="宋体" w:cs="宋体"/>
          <w:b/>
          <w:bCs/>
          <w:color w:val="auto"/>
          <w:sz w:val="24"/>
          <w:szCs w:val="24"/>
          <w:highlight w:val="none"/>
        </w:rPr>
      </w:pPr>
      <w:bookmarkStart w:id="42" w:name="_Toc12789058"/>
      <w:bookmarkStart w:id="43" w:name="_Toc106030882"/>
      <w:bookmarkStart w:id="44" w:name="_Toc76462327"/>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采购服务内容</w:t>
      </w:r>
    </w:p>
    <w:p w14:paraId="41F9668E">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完成本项目的初步设计（含概算）、施工图设计阶段的配合等工作，以及协助</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完成各项审批手续办理、报批等工作（本项目设计内容包括市政设计相关配套设施设备、附属设计等，具体范围以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下发的设计任务书为准）。</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有权对设计范围、设计内容</w:t>
      </w:r>
      <w:r>
        <w:rPr>
          <w:rFonts w:hint="eastAsia" w:ascii="宋体" w:hAnsi="宋体" w:cs="宋体"/>
          <w:color w:val="auto"/>
          <w:sz w:val="24"/>
          <w:szCs w:val="24"/>
          <w:highlight w:val="none"/>
          <w:lang w:eastAsia="zh-CN"/>
        </w:rPr>
        <w:t>做</w:t>
      </w:r>
      <w:r>
        <w:rPr>
          <w:rFonts w:hint="eastAsia" w:ascii="宋体" w:hAnsi="宋体" w:eastAsia="宋体" w:cs="宋体"/>
          <w:color w:val="auto"/>
          <w:sz w:val="24"/>
          <w:szCs w:val="24"/>
          <w:highlight w:val="none"/>
          <w:lang w:eastAsia="zh-CN"/>
        </w:rPr>
        <w:t>调整。</w:t>
      </w:r>
    </w:p>
    <w:p w14:paraId="47C43A1B">
      <w:pPr>
        <w:numPr>
          <w:ilvl w:val="0"/>
          <w:numId w:val="0"/>
        </w:numPr>
        <w:snapToGrid w:val="0"/>
        <w:spacing w:line="360" w:lineRule="auto"/>
        <w:rPr>
          <w:rFonts w:hint="eastAsia" w:ascii="Times New Roman" w:hAnsi="Times New Roman" w:eastAsia="宋体"/>
          <w:bCs/>
          <w:color w:val="auto"/>
          <w:sz w:val="28"/>
          <w:szCs w:val="28"/>
          <w:lang w:eastAsia="zh-CN"/>
        </w:rPr>
      </w:pPr>
      <w:r>
        <w:rPr>
          <w:rFonts w:hint="eastAsia" w:ascii="Times New Roman" w:hAnsi="Times New Roman" w:eastAsia="方正黑体_GBK"/>
          <w:bCs/>
          <w:color w:val="auto"/>
          <w:sz w:val="28"/>
          <w:szCs w:val="28"/>
          <w:lang w:eastAsia="zh-CN"/>
        </w:rPr>
        <w:t>二、</w:t>
      </w:r>
      <w:r>
        <w:rPr>
          <w:rFonts w:hint="eastAsia" w:ascii="宋体" w:hAnsi="宋体" w:eastAsia="宋体" w:cs="宋体"/>
          <w:b/>
          <w:bCs/>
          <w:color w:val="auto"/>
          <w:sz w:val="24"/>
          <w:szCs w:val="24"/>
          <w:highlight w:val="none"/>
        </w:rPr>
        <w:t>执行标准、服务</w:t>
      </w:r>
      <w:r>
        <w:rPr>
          <w:rFonts w:hint="eastAsia" w:ascii="宋体" w:hAnsi="宋体" w:cs="宋体"/>
          <w:b/>
          <w:bCs/>
          <w:color w:val="auto"/>
          <w:sz w:val="24"/>
          <w:szCs w:val="24"/>
          <w:highlight w:val="none"/>
          <w:lang w:eastAsia="zh-CN"/>
        </w:rPr>
        <w:t>要求</w:t>
      </w:r>
    </w:p>
    <w:p w14:paraId="088BDC6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执行标准：工程设计严格执行工程建设强制性质量标准，必须达到国家及重庆市现行规范与标准，并按照建设项目审批流程通过相关职能部门审核。</w:t>
      </w:r>
    </w:p>
    <w:p w14:paraId="38112E7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服务要求：</w:t>
      </w:r>
    </w:p>
    <w:p w14:paraId="6D6B7DC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2.1成交供应商</w:t>
      </w:r>
      <w:r>
        <w:rPr>
          <w:rFonts w:hint="eastAsia" w:ascii="宋体" w:hAnsi="宋体" w:eastAsia="宋体" w:cs="宋体"/>
          <w:color w:val="auto"/>
          <w:sz w:val="24"/>
          <w:szCs w:val="24"/>
          <w:highlight w:val="none"/>
          <w:lang w:val="en-US" w:eastAsia="zh-CN"/>
        </w:rPr>
        <w:t>在收到</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提供的设计所需资料后</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30个日历日内向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提交《</w:t>
      </w:r>
      <w:bookmarkStart w:id="45" w:name="OLE_LINK3"/>
      <w:r>
        <w:rPr>
          <w:rFonts w:hint="eastAsia" w:ascii="宋体" w:hAnsi="宋体" w:eastAsia="宋体" w:cs="宋体"/>
          <w:color w:val="auto"/>
          <w:sz w:val="24"/>
          <w:szCs w:val="24"/>
          <w:highlight w:val="none"/>
          <w:lang w:val="en-US" w:eastAsia="zh-CN"/>
        </w:rPr>
        <w:t>重庆中医药学院公共科研平台项目</w:t>
      </w:r>
      <w:bookmarkEnd w:id="45"/>
      <w:r>
        <w:rPr>
          <w:rFonts w:hint="eastAsia" w:ascii="宋体" w:hAnsi="宋体" w:eastAsia="宋体" w:cs="宋体"/>
          <w:color w:val="auto"/>
          <w:sz w:val="24"/>
          <w:szCs w:val="24"/>
          <w:highlight w:val="none"/>
          <w:lang w:val="en-US" w:eastAsia="zh-CN"/>
        </w:rPr>
        <w:t>初步设计图》及概算。</w:t>
      </w:r>
    </w:p>
    <w:p w14:paraId="79E4FD4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2.2成交供应商</w:t>
      </w:r>
      <w:r>
        <w:rPr>
          <w:rFonts w:hint="eastAsia" w:ascii="宋体" w:hAnsi="宋体" w:eastAsia="宋体" w:cs="宋体"/>
          <w:color w:val="auto"/>
          <w:sz w:val="24"/>
          <w:szCs w:val="24"/>
          <w:highlight w:val="none"/>
          <w:lang w:val="en-US" w:eastAsia="zh-CN"/>
        </w:rPr>
        <w:t>按规定参加项目评审会，并根据审查意见，在不超出原定工作内容的基础上，对可行性研究报告进行补充和完善。</w:t>
      </w:r>
    </w:p>
    <w:p w14:paraId="551F4D4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2.3成交供应商</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提交《重庆中医药学院公共科研平台项目初步设计图》（含概算）6份及光盘1份。</w:t>
      </w:r>
    </w:p>
    <w:p w14:paraId="71907F3A">
      <w:pPr>
        <w:pStyle w:val="3"/>
        <w:rPr>
          <w:rFonts w:hint="eastAsia"/>
          <w:color w:val="auto"/>
          <w:lang w:eastAsia="zh-CN"/>
        </w:rPr>
      </w:pPr>
    </w:p>
    <w:p w14:paraId="6DE8486E">
      <w:pPr>
        <w:rPr>
          <w:rFonts w:hint="eastAsia" w:ascii="宋体" w:hAnsi="宋体" w:eastAsia="宋体" w:cs="宋体"/>
          <w:color w:val="auto"/>
          <w:szCs w:val="24"/>
          <w:highlight w:val="none"/>
          <w:lang w:eastAsia="zh-CN"/>
        </w:rPr>
      </w:pPr>
    </w:p>
    <w:p w14:paraId="78B0A669">
      <w:pPr>
        <w:pStyle w:val="5"/>
        <w:rPr>
          <w:rFonts w:hint="eastAsia" w:ascii="宋体" w:hAnsi="宋体" w:eastAsia="宋体" w:cs="宋体"/>
          <w:color w:val="auto"/>
          <w:szCs w:val="24"/>
          <w:highlight w:val="none"/>
          <w:lang w:eastAsia="zh-CN"/>
        </w:rPr>
      </w:pPr>
    </w:p>
    <w:p w14:paraId="4EAC7003">
      <w:pPr>
        <w:rPr>
          <w:rFonts w:hint="eastAsia" w:ascii="宋体" w:hAnsi="宋体" w:eastAsia="宋体" w:cs="宋体"/>
          <w:color w:val="auto"/>
          <w:szCs w:val="24"/>
          <w:highlight w:val="none"/>
          <w:lang w:eastAsia="zh-CN"/>
        </w:rPr>
      </w:pPr>
    </w:p>
    <w:p w14:paraId="2AF89B2F">
      <w:pPr>
        <w:pStyle w:val="5"/>
        <w:rPr>
          <w:rFonts w:hint="eastAsia" w:ascii="宋体" w:hAnsi="宋体" w:eastAsia="宋体" w:cs="宋体"/>
          <w:color w:val="auto"/>
          <w:szCs w:val="24"/>
          <w:highlight w:val="none"/>
          <w:lang w:eastAsia="zh-CN"/>
        </w:rPr>
      </w:pPr>
    </w:p>
    <w:p w14:paraId="5EADE8AB">
      <w:pPr>
        <w:rPr>
          <w:rFonts w:hint="eastAsia" w:ascii="宋体" w:hAnsi="宋体" w:eastAsia="宋体" w:cs="宋体"/>
          <w:color w:val="auto"/>
          <w:szCs w:val="24"/>
          <w:highlight w:val="none"/>
          <w:lang w:eastAsia="zh-CN"/>
        </w:rPr>
      </w:pPr>
    </w:p>
    <w:p w14:paraId="372D6ED7">
      <w:pPr>
        <w:pStyle w:val="5"/>
        <w:rPr>
          <w:rFonts w:hint="eastAsia" w:ascii="宋体" w:hAnsi="宋体" w:eastAsia="宋体" w:cs="宋体"/>
          <w:color w:val="auto"/>
          <w:szCs w:val="24"/>
          <w:highlight w:val="none"/>
          <w:lang w:eastAsia="zh-CN"/>
        </w:rPr>
      </w:pPr>
    </w:p>
    <w:p w14:paraId="1B538B2F">
      <w:pPr>
        <w:rPr>
          <w:rFonts w:hint="eastAsia" w:ascii="宋体" w:hAnsi="宋体" w:eastAsia="宋体" w:cs="宋体"/>
          <w:color w:val="auto"/>
          <w:szCs w:val="24"/>
          <w:highlight w:val="none"/>
          <w:lang w:eastAsia="zh-CN"/>
        </w:rPr>
      </w:pPr>
    </w:p>
    <w:p w14:paraId="02FA08A5">
      <w:pPr>
        <w:numPr>
          <w:ilvl w:val="0"/>
          <w:numId w:val="2"/>
        </w:numPr>
        <w:spacing w:line="360" w:lineRule="auto"/>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bookmarkEnd w:id="42"/>
      <w:bookmarkStart w:id="46" w:name="_Toc6345"/>
      <w:r>
        <w:rPr>
          <w:rFonts w:hint="eastAsia" w:ascii="宋体" w:hAnsi="宋体" w:eastAsia="宋体" w:cs="宋体"/>
          <w:b/>
          <w:bCs/>
          <w:color w:val="auto"/>
          <w:sz w:val="36"/>
          <w:szCs w:val="36"/>
          <w:highlight w:val="none"/>
        </w:rPr>
        <w:t>项目商务需求</w:t>
      </w:r>
      <w:bookmarkEnd w:id="43"/>
      <w:bookmarkEnd w:id="44"/>
      <w:bookmarkEnd w:id="46"/>
    </w:p>
    <w:p w14:paraId="1B698CD4">
      <w:pPr>
        <w:spacing w:line="360" w:lineRule="auto"/>
        <w:jc w:val="center"/>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本篇商务需求为符合性审查中的实质性要求，响应文件若不满足按无效处理。</w:t>
      </w:r>
    </w:p>
    <w:p w14:paraId="54A56A2A">
      <w:pPr>
        <w:spacing w:line="360" w:lineRule="auto"/>
        <w:jc w:val="left"/>
        <w:rPr>
          <w:rFonts w:hint="eastAsia" w:ascii="宋体" w:hAnsi="宋体" w:eastAsia="宋体" w:cs="宋体"/>
          <w:b/>
          <w:bCs/>
          <w:color w:val="auto"/>
          <w:sz w:val="24"/>
          <w:szCs w:val="24"/>
          <w:highlight w:val="none"/>
          <w:lang w:val="en-US" w:eastAsia="zh-CN"/>
        </w:rPr>
      </w:pPr>
      <w:bookmarkStart w:id="47" w:name="_Toc344475120"/>
      <w:bookmarkStart w:id="48" w:name="_Toc76462328"/>
      <w:bookmarkStart w:id="49" w:name="_Toc106030883"/>
      <w:r>
        <w:rPr>
          <w:rFonts w:hint="eastAsia" w:ascii="宋体" w:hAnsi="宋体" w:eastAsia="宋体" w:cs="宋体"/>
          <w:b/>
          <w:bCs/>
          <w:color w:val="auto"/>
          <w:sz w:val="24"/>
          <w:szCs w:val="24"/>
          <w:highlight w:val="none"/>
          <w:lang w:val="en-US" w:eastAsia="zh-CN"/>
        </w:rPr>
        <w:t>一、</w:t>
      </w:r>
      <w:bookmarkEnd w:id="47"/>
      <w:bookmarkEnd w:id="48"/>
      <w:bookmarkEnd w:id="49"/>
      <w:r>
        <w:rPr>
          <w:rFonts w:hint="eastAsia" w:ascii="宋体" w:hAnsi="宋体" w:eastAsia="宋体" w:cs="宋体"/>
          <w:b/>
          <w:bCs/>
          <w:color w:val="auto"/>
          <w:sz w:val="24"/>
          <w:szCs w:val="24"/>
          <w:highlight w:val="none"/>
          <w:lang w:val="en-US" w:eastAsia="zh-CN"/>
        </w:rPr>
        <w:t>服务期、地点及</w:t>
      </w:r>
      <w:r>
        <w:rPr>
          <w:rFonts w:hint="eastAsia" w:ascii="宋体" w:hAnsi="宋体" w:cs="宋体"/>
          <w:b/>
          <w:bCs/>
          <w:color w:val="auto"/>
          <w:sz w:val="24"/>
          <w:szCs w:val="24"/>
          <w:highlight w:val="none"/>
          <w:lang w:val="en-US" w:eastAsia="zh-CN"/>
        </w:rPr>
        <w:t>考核</w:t>
      </w:r>
      <w:r>
        <w:rPr>
          <w:rFonts w:hint="eastAsia" w:ascii="宋体" w:hAnsi="宋体" w:eastAsia="宋体" w:cs="宋体"/>
          <w:b/>
          <w:bCs/>
          <w:color w:val="auto"/>
          <w:sz w:val="24"/>
          <w:szCs w:val="24"/>
          <w:highlight w:val="none"/>
          <w:lang w:val="en-US" w:eastAsia="zh-CN"/>
        </w:rPr>
        <w:t>验收方式</w:t>
      </w:r>
    </w:p>
    <w:p w14:paraId="28DA17AB">
      <w:pPr>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（一）服务期：</w:t>
      </w:r>
      <w:r>
        <w:rPr>
          <w:rFonts w:hint="eastAsia" w:ascii="宋体" w:hAnsi="宋体" w:cs="宋体"/>
          <w:color w:val="auto"/>
          <w:sz w:val="24"/>
          <w:szCs w:val="24"/>
          <w:highlight w:val="none"/>
          <w:lang w:val="zh-CN" w:eastAsia="zh-CN"/>
        </w:rPr>
        <w:t>以本项目</w:t>
      </w:r>
      <w:r>
        <w:rPr>
          <w:rFonts w:hint="eastAsia" w:ascii="宋体" w:hAnsi="宋体" w:eastAsia="宋体" w:cs="宋体"/>
          <w:color w:val="auto"/>
          <w:sz w:val="24"/>
          <w:szCs w:val="24"/>
          <w:highlight w:val="none"/>
          <w:lang w:val="zh-CN" w:eastAsia="zh-CN"/>
        </w:rPr>
        <w:t>建设周期</w:t>
      </w:r>
      <w:r>
        <w:rPr>
          <w:rFonts w:hint="eastAsia" w:ascii="宋体" w:hAnsi="宋体" w:cs="宋体"/>
          <w:color w:val="auto"/>
          <w:sz w:val="24"/>
          <w:szCs w:val="24"/>
          <w:highlight w:val="none"/>
          <w:lang w:val="zh-CN" w:eastAsia="zh-CN"/>
        </w:rPr>
        <w:t>为准。</w:t>
      </w:r>
    </w:p>
    <w:p w14:paraId="7A1903C4">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eastAsia="zh-CN"/>
        </w:rPr>
        <w:t>地点：</w:t>
      </w:r>
      <w:r>
        <w:rPr>
          <w:rFonts w:hint="eastAsia" w:ascii="宋体" w:hAnsi="宋体" w:cs="宋体"/>
          <w:color w:val="auto"/>
          <w:sz w:val="24"/>
          <w:szCs w:val="24"/>
          <w:highlight w:val="none"/>
          <w:lang w:val="en-US" w:eastAsia="zh-CN"/>
        </w:rPr>
        <w:t>重庆中医药学院。</w:t>
      </w:r>
    </w:p>
    <w:p w14:paraId="0E1D5FE8">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（三）验收方式：</w:t>
      </w:r>
      <w:r>
        <w:rPr>
          <w:rFonts w:hint="eastAsia" w:ascii="宋体" w:hAnsi="宋体" w:eastAsia="宋体" w:cs="宋体"/>
          <w:color w:val="auto"/>
          <w:sz w:val="24"/>
          <w:szCs w:val="24"/>
          <w:highlight w:val="none"/>
          <w:lang w:val="en-US" w:eastAsia="zh-CN"/>
        </w:rPr>
        <w:t>专家评审。</w:t>
      </w:r>
    </w:p>
    <w:p w14:paraId="09D319B9">
      <w:pPr>
        <w:spacing w:line="360" w:lineRule="auto"/>
        <w:ind w:firstLine="1200" w:firstLineChars="50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验收标准</w:t>
      </w:r>
      <w:r>
        <w:rPr>
          <w:rFonts w:hint="eastAsia" w:ascii="宋体" w:hAnsi="宋体" w:eastAsia="宋体" w:cs="宋体"/>
          <w:color w:val="auto"/>
          <w:sz w:val="24"/>
          <w:szCs w:val="24"/>
          <w:highlight w:val="none"/>
          <w:lang w:val="en-US" w:eastAsia="zh-CN"/>
        </w:rPr>
        <w:t>：专家评审通过。</w:t>
      </w:r>
    </w:p>
    <w:p w14:paraId="36C42B4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、报价要求</w:t>
      </w:r>
    </w:p>
    <w:p w14:paraId="5BCA3AFA">
      <w:pPr>
        <w:spacing w:line="440" w:lineRule="exact"/>
        <w:ind w:firstLine="480" w:firstLineChars="200"/>
        <w:jc w:val="left"/>
        <w:rPr>
          <w:rFonts w:hint="eastAsia" w:ascii="宋体" w:hAnsi="宋体" w:eastAsia="宋体" w:cs="宋体"/>
          <w:color w:val="auto"/>
          <w:sz w:val="24"/>
          <w:szCs w:val="24"/>
          <w:highlight w:val="none"/>
          <w:lang w:val="en-US" w:eastAsia="zh-CN"/>
        </w:rPr>
      </w:pPr>
      <w:bookmarkStart w:id="50" w:name="_Toc106030885"/>
      <w:bookmarkStart w:id="51" w:name="_Toc76462330"/>
      <w:bookmarkStart w:id="52" w:name="_Toc344475122"/>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为总价包干，</w:t>
      </w:r>
      <w:r>
        <w:rPr>
          <w:rFonts w:hint="eastAsia" w:ascii="宋体" w:hAnsi="宋体" w:eastAsia="宋体" w:cs="宋体"/>
          <w:color w:val="auto"/>
          <w:sz w:val="24"/>
          <w:szCs w:val="24"/>
          <w:highlight w:val="none"/>
          <w:lang w:val="en-US" w:eastAsia="zh-CN"/>
        </w:rPr>
        <w:t>报价须为人民币报价，供应商的报价应包括完成项目的全部费用，包括但不限于设计费、完成工作所需的设施设备费、成果编制和印刷费、人工费、交通费、通讯费、管理费、税费及其它与本项目相关的一切费用。因供应商自身原因造成漏报、少报皆由其自行承担责任，采购人不再补偿。</w:t>
      </w:r>
    </w:p>
    <w:p w14:paraId="27616412">
      <w:pPr>
        <w:spacing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付款方式</w:t>
      </w:r>
      <w:bookmarkEnd w:id="50"/>
      <w:bookmarkEnd w:id="51"/>
      <w:bookmarkEnd w:id="52"/>
    </w:p>
    <w:p w14:paraId="3CB13E09">
      <w:pPr>
        <w:spacing w:line="440" w:lineRule="exact"/>
        <w:ind w:firstLine="480" w:firstLineChars="200"/>
        <w:jc w:val="left"/>
        <w:rPr>
          <w:rFonts w:hint="eastAsia" w:ascii="宋体" w:hAnsi="宋体" w:cs="宋体"/>
          <w:color w:val="auto"/>
          <w:sz w:val="24"/>
          <w:szCs w:val="24"/>
          <w:highlight w:val="none"/>
          <w:lang w:val="en-US" w:eastAsia="zh-CN"/>
        </w:rPr>
      </w:pPr>
      <w:bookmarkStart w:id="53" w:name="_Toc20557"/>
      <w:r>
        <w:rPr>
          <w:rFonts w:hint="eastAsia" w:ascii="宋体" w:hAnsi="宋体" w:cs="宋体"/>
          <w:color w:val="auto"/>
          <w:sz w:val="24"/>
          <w:szCs w:val="24"/>
          <w:highlight w:val="none"/>
          <w:lang w:val="en-US" w:eastAsia="zh-CN"/>
        </w:rPr>
        <w:t>1.结算金额=包干价-应支付的违约金额。</w:t>
      </w:r>
      <w:bookmarkEnd w:id="53"/>
    </w:p>
    <w:p w14:paraId="0ED888C7">
      <w:pPr>
        <w:spacing w:line="44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2.成交供应商完成初步设计并通过评审后，采购人支付结算金额70% ；竣工验收合格后，采购人支付结算金额30%。</w:t>
      </w:r>
    </w:p>
    <w:p w14:paraId="7F9A6F4E">
      <w:pPr>
        <w:spacing w:line="440" w:lineRule="exact"/>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采购合同签订时，成交供应商向采购人缴纳合同金额5%的履约保证金(以银行转账、支票、汇票、本票或者金融机构、担保机构出具的保函等非现金形式提交);采用保函形式的，保函必须为不可撤销且见索即付。履约保证金无息退还时间:服务结束后，采购人参照渝财采购〔2021〕13号文件无息退还。</w:t>
      </w:r>
    </w:p>
    <w:p w14:paraId="5E5987AE">
      <w:pPr>
        <w:pStyle w:val="4"/>
        <w:spacing w:before="0" w:after="0" w:line="240" w:lineRule="auto"/>
        <w:rPr>
          <w:rFonts w:hint="eastAsia" w:ascii="宋体" w:hAnsi="宋体"/>
          <w:color w:val="auto"/>
          <w:sz w:val="24"/>
          <w:szCs w:val="24"/>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w:t>
      </w:r>
      <w:bookmarkStart w:id="54" w:name="_Toc229753116"/>
      <w:r>
        <w:rPr>
          <w:rFonts w:hint="eastAsia" w:ascii="宋体" w:hAnsi="宋体"/>
          <w:color w:val="auto"/>
          <w:sz w:val="24"/>
          <w:szCs w:val="24"/>
        </w:rPr>
        <w:t>知识产权</w:t>
      </w:r>
      <w:bookmarkEnd w:id="54"/>
    </w:p>
    <w:p w14:paraId="3F35A20D">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1.采购人在中华人民共和国境内使用供应商提供的货物及服务时免受第三方提出的侵犯其专利权或其它知识产权的起诉。如果第三方提出侵权指控，成交供应商应承担由此而引起的一切法律责任和费用。</w:t>
      </w:r>
    </w:p>
    <w:p w14:paraId="6751A5D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2.本项目过程文件和成果资料的知识产权归采购人所有，成交供应商需配合采购人对本项目知识产权进行保护。</w:t>
      </w:r>
    </w:p>
    <w:p w14:paraId="4B0ECE64">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有参与本项目竞标的供应商必须做出书面承诺（格式自拟），其响应文件中载明的设计方案的知识产权均归采购人所有，无论供应商是否成为成交供应商，其初步设计方案可供采购人使用或部分使用，不得要求采购人支付任何费用。</w:t>
      </w:r>
    </w:p>
    <w:p w14:paraId="78E9135D">
      <w:pPr>
        <w:spacing w:line="440" w:lineRule="exact"/>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其他</w:t>
      </w:r>
    </w:p>
    <w:p w14:paraId="514CD528">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1．供应商必须对以上条款和服务承诺明确列出，承诺内容必须达到要求。</w:t>
      </w:r>
    </w:p>
    <w:p w14:paraId="610D5D81">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2．其他未尽事宜由供需双方在采购合同中详细约定。</w:t>
      </w:r>
    </w:p>
    <w:p w14:paraId="72E0301B">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55" w:name="_Toc109836389"/>
      <w:bookmarkStart w:id="56" w:name="_Toc31245"/>
      <w:r>
        <w:rPr>
          <w:rFonts w:hint="eastAsia" w:ascii="宋体" w:hAnsi="宋体" w:eastAsia="宋体" w:cs="宋体"/>
          <w:b/>
          <w:bCs/>
          <w:color w:val="auto"/>
          <w:sz w:val="36"/>
          <w:szCs w:val="36"/>
          <w:highlight w:val="none"/>
        </w:rPr>
        <w:t>第四篇  竞采程序、评标办法</w:t>
      </w:r>
      <w:bookmarkEnd w:id="55"/>
      <w:r>
        <w:rPr>
          <w:rFonts w:hint="eastAsia" w:ascii="宋体" w:hAnsi="宋体" w:eastAsia="宋体" w:cs="宋体"/>
          <w:b/>
          <w:bCs/>
          <w:color w:val="auto"/>
          <w:sz w:val="36"/>
          <w:szCs w:val="36"/>
          <w:highlight w:val="none"/>
        </w:rPr>
        <w:t>、无效响应及采购终止</w:t>
      </w:r>
      <w:bookmarkEnd w:id="56"/>
    </w:p>
    <w:p w14:paraId="6932CD84">
      <w:pPr>
        <w:ind w:firstLine="482"/>
        <w:jc w:val="left"/>
        <w:rPr>
          <w:rFonts w:hint="eastAsia" w:ascii="宋体" w:hAnsi="宋体" w:eastAsia="宋体" w:cs="宋体"/>
          <w:b/>
          <w:bCs/>
          <w:color w:val="auto"/>
          <w:sz w:val="24"/>
          <w:szCs w:val="24"/>
          <w:highlight w:val="none"/>
        </w:rPr>
      </w:pPr>
      <w:bookmarkStart w:id="57" w:name="_Toc106030892"/>
      <w:bookmarkStart w:id="58" w:name="_Toc102227313"/>
      <w:bookmarkStart w:id="59" w:name="_Toc76462337"/>
      <w:r>
        <w:rPr>
          <w:rFonts w:hint="eastAsia" w:ascii="宋体" w:hAnsi="宋体" w:eastAsia="宋体" w:cs="宋体"/>
          <w:b/>
          <w:bCs/>
          <w:color w:val="auto"/>
          <w:sz w:val="24"/>
          <w:szCs w:val="24"/>
          <w:highlight w:val="none"/>
        </w:rPr>
        <w:t>一、</w:t>
      </w:r>
      <w:bookmarkStart w:id="60" w:name="_Toc75793518"/>
      <w:r>
        <w:rPr>
          <w:rFonts w:hint="eastAsia" w:ascii="宋体" w:hAnsi="宋体" w:eastAsia="宋体" w:cs="宋体"/>
          <w:b/>
          <w:bCs/>
          <w:color w:val="auto"/>
          <w:sz w:val="24"/>
          <w:szCs w:val="24"/>
          <w:highlight w:val="none"/>
        </w:rPr>
        <w:t>网上竞采程序</w:t>
      </w:r>
      <w:bookmarkEnd w:id="60"/>
    </w:p>
    <w:p w14:paraId="5D033218">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（一）报价截止后评审小组对各供应商的资格条件、响应文件的有效性、完整性和响应程度进行审查。各供应商只有在完全符合要求的前提下，才能参与正式采购。</w:t>
      </w:r>
    </w:p>
    <w:p w14:paraId="5EA5B2A9">
      <w:pPr>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1.资格性检查。</w:t>
      </w:r>
      <w:r>
        <w:rPr>
          <w:rFonts w:hint="eastAsia" w:ascii="宋体" w:hAnsi="宋体" w:eastAsia="宋体" w:cs="宋体"/>
          <w:color w:val="auto"/>
          <w:sz w:val="24"/>
          <w:szCs w:val="24"/>
          <w:highlight w:val="none"/>
        </w:rPr>
        <w:t>依据法律法规和采购文件的规定，对响应文件中的资格证明等进行审查，以确定供应商是否具备采购资格。资格性检查资料表如下：</w:t>
      </w:r>
    </w:p>
    <w:tbl>
      <w:tblPr>
        <w:tblStyle w:val="23"/>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98"/>
        <w:gridCol w:w="2934"/>
        <w:gridCol w:w="5081"/>
      </w:tblGrid>
      <w:tr w14:paraId="6C3E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Align w:val="center"/>
          </w:tcPr>
          <w:p w14:paraId="15C3E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32" w:type="dxa"/>
            <w:gridSpan w:val="2"/>
            <w:vAlign w:val="center"/>
          </w:tcPr>
          <w:p w14:paraId="174711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5081" w:type="dxa"/>
            <w:vAlign w:val="center"/>
          </w:tcPr>
          <w:p w14:paraId="1C866E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14:paraId="0BEA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65" w:type="dxa"/>
            <w:vMerge w:val="restart"/>
            <w:vAlign w:val="center"/>
          </w:tcPr>
          <w:p w14:paraId="41B00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8" w:type="dxa"/>
            <w:vMerge w:val="restart"/>
            <w:vAlign w:val="center"/>
          </w:tcPr>
          <w:p w14:paraId="1867EF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2934" w:type="dxa"/>
            <w:vAlign w:val="center"/>
          </w:tcPr>
          <w:p w14:paraId="66694A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081" w:type="dxa"/>
            <w:vAlign w:val="center"/>
          </w:tcPr>
          <w:p w14:paraId="70551A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 供应商法定代表人身份证明</w:t>
            </w:r>
            <w:r>
              <w:rPr>
                <w:rFonts w:hint="eastAsia" w:ascii="宋体" w:hAnsi="宋体" w:eastAsia="宋体" w:cs="宋体"/>
                <w:color w:val="auto"/>
                <w:sz w:val="24"/>
                <w:szCs w:val="24"/>
                <w:highlight w:val="none"/>
                <w:lang w:val="en-US" w:eastAsia="zh-CN"/>
              </w:rPr>
              <w:t>或其</w:t>
            </w:r>
            <w:r>
              <w:rPr>
                <w:rFonts w:hint="eastAsia" w:ascii="宋体" w:hAnsi="宋体" w:eastAsia="宋体" w:cs="宋体"/>
                <w:color w:val="auto"/>
                <w:sz w:val="24"/>
                <w:szCs w:val="24"/>
                <w:highlight w:val="none"/>
              </w:rPr>
              <w:t>法定代表人授权代表委托书。</w:t>
            </w:r>
          </w:p>
        </w:tc>
      </w:tr>
      <w:tr w14:paraId="1D4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42E0A6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3F6C984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441A113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5081" w:type="dxa"/>
            <w:vMerge w:val="restart"/>
            <w:vAlign w:val="center"/>
          </w:tcPr>
          <w:p w14:paraId="371435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供应商提供承诺函（见格式文件）</w:t>
            </w:r>
          </w:p>
        </w:tc>
      </w:tr>
      <w:tr w14:paraId="24D6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1117FA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6000FE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212BAB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5081" w:type="dxa"/>
            <w:vMerge w:val="continue"/>
            <w:vAlign w:val="center"/>
          </w:tcPr>
          <w:p w14:paraId="235592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4A78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43403E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12B8C9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561FC0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（4）有依法缴纳税收和社会保障金的良好记录</w:t>
            </w:r>
          </w:p>
        </w:tc>
        <w:tc>
          <w:tcPr>
            <w:tcW w:w="5081" w:type="dxa"/>
            <w:vMerge w:val="continue"/>
            <w:vAlign w:val="center"/>
          </w:tcPr>
          <w:p w14:paraId="1B348F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1DC2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65" w:type="dxa"/>
            <w:vMerge w:val="continue"/>
            <w:vAlign w:val="center"/>
          </w:tcPr>
          <w:p w14:paraId="17A302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6395ED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09BAB5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5081" w:type="dxa"/>
            <w:vMerge w:val="continue"/>
            <w:vAlign w:val="center"/>
          </w:tcPr>
          <w:p w14:paraId="5AC6F5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3F7C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55C7D5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6E6935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55292F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5081" w:type="dxa"/>
            <w:vAlign w:val="center"/>
          </w:tcPr>
          <w:p w14:paraId="2800BD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3CF8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65" w:type="dxa"/>
            <w:vAlign w:val="center"/>
          </w:tcPr>
          <w:p w14:paraId="3A6DC3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632" w:type="dxa"/>
            <w:gridSpan w:val="2"/>
            <w:vAlign w:val="center"/>
          </w:tcPr>
          <w:p w14:paraId="68C803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特定资格条件（</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tc>
        <w:tc>
          <w:tcPr>
            <w:tcW w:w="5081" w:type="dxa"/>
            <w:vAlign w:val="center"/>
          </w:tcPr>
          <w:p w14:paraId="6D0E00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按第一篇“三、竞采资格条件（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）特定资格条件”的要求提交</w:t>
            </w:r>
          </w:p>
        </w:tc>
      </w:tr>
    </w:tbl>
    <w:p w14:paraId="23D3372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8F78777">
      <w:pPr>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2.符合性检查。</w:t>
      </w:r>
      <w:r>
        <w:rPr>
          <w:rFonts w:hint="eastAsia" w:ascii="宋体" w:hAnsi="宋体" w:eastAsia="宋体" w:cs="宋体"/>
          <w:color w:val="auto"/>
          <w:kern w:val="0"/>
          <w:sz w:val="24"/>
          <w:szCs w:val="24"/>
          <w:highlight w:val="none"/>
        </w:rPr>
        <w:t>依据网上竞采文件的规定，从响应文件的有效性、完整性和对网上竞采文件的响应程度进行审查，以确定是否对网上竞采文件的实质性要求作出响应。符合性检查资料表如下：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58"/>
        <w:gridCol w:w="1984"/>
        <w:gridCol w:w="5409"/>
      </w:tblGrid>
      <w:tr w14:paraId="4FE5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77" w:type="dxa"/>
            <w:vAlign w:val="center"/>
          </w:tcPr>
          <w:p w14:paraId="4B14D83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42" w:type="dxa"/>
            <w:gridSpan w:val="2"/>
            <w:vAlign w:val="center"/>
          </w:tcPr>
          <w:p w14:paraId="79B6A2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6E7D16E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14E6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vMerge w:val="restart"/>
            <w:vAlign w:val="center"/>
          </w:tcPr>
          <w:p w14:paraId="2A3BF80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58" w:type="dxa"/>
            <w:vMerge w:val="restart"/>
            <w:vAlign w:val="center"/>
          </w:tcPr>
          <w:p w14:paraId="59A6374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14:paraId="58A43EE4">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14:paraId="300D9A54">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网上电子文档及响应文件</w:t>
            </w:r>
            <w:r>
              <w:rPr>
                <w:rFonts w:hint="eastAsia" w:ascii="宋体" w:hAnsi="宋体" w:eastAsia="宋体" w:cs="宋体"/>
                <w:color w:val="auto"/>
                <w:sz w:val="24"/>
                <w:szCs w:val="24"/>
                <w:highlight w:val="none"/>
              </w:rPr>
              <w:t>上法定代表人或其授权代表人的签字齐全。</w:t>
            </w:r>
          </w:p>
        </w:tc>
      </w:tr>
      <w:tr w14:paraId="2898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7" w:type="dxa"/>
            <w:vMerge w:val="continue"/>
            <w:vAlign w:val="center"/>
          </w:tcPr>
          <w:p w14:paraId="63E81F4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5B050351">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p>
        </w:tc>
        <w:tc>
          <w:tcPr>
            <w:tcW w:w="1984" w:type="dxa"/>
            <w:vAlign w:val="center"/>
          </w:tcPr>
          <w:p w14:paraId="6A5D256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14:paraId="127188C3">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sz w:val="24"/>
                <w:szCs w:val="24"/>
                <w:highlight w:val="none"/>
                <w:lang w:val="en-US" w:eastAsia="zh-CN"/>
              </w:rPr>
              <w:t>或其</w:t>
            </w:r>
            <w:r>
              <w:rPr>
                <w:rFonts w:hint="eastAsia" w:ascii="宋体" w:hAnsi="宋体" w:eastAsia="宋体" w:cs="宋体"/>
                <w:color w:val="auto"/>
                <w:sz w:val="24"/>
                <w:szCs w:val="24"/>
                <w:highlight w:val="none"/>
              </w:rPr>
              <w:t>授权委托书有效，符合网上竞采文件规定的格式，签字或盖章齐全。</w:t>
            </w:r>
          </w:p>
        </w:tc>
      </w:tr>
      <w:tr w14:paraId="77D9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77" w:type="dxa"/>
            <w:vMerge w:val="continue"/>
            <w:vAlign w:val="center"/>
          </w:tcPr>
          <w:p w14:paraId="79237F5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61D9DDB6">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p>
        </w:tc>
        <w:tc>
          <w:tcPr>
            <w:tcW w:w="1984" w:type="dxa"/>
            <w:vAlign w:val="center"/>
          </w:tcPr>
          <w:p w14:paraId="7E1B818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14:paraId="00452643">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0378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77" w:type="dxa"/>
            <w:vMerge w:val="continue"/>
            <w:vAlign w:val="center"/>
          </w:tcPr>
          <w:p w14:paraId="6E7132A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07B064EB">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p>
        </w:tc>
        <w:tc>
          <w:tcPr>
            <w:tcW w:w="1984" w:type="dxa"/>
            <w:vAlign w:val="center"/>
          </w:tcPr>
          <w:p w14:paraId="151C4CC9">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14:paraId="79BA847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0A2A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77" w:type="dxa"/>
            <w:vAlign w:val="center"/>
          </w:tcPr>
          <w:p w14:paraId="2F2143A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58" w:type="dxa"/>
            <w:vAlign w:val="center"/>
          </w:tcPr>
          <w:p w14:paraId="2A2C475D">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14:paraId="7FBA866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14:paraId="31C2685F">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响应文件数量符合网上竞采文件要求。</w:t>
            </w:r>
          </w:p>
        </w:tc>
      </w:tr>
      <w:tr w14:paraId="2279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7" w:type="dxa"/>
            <w:vMerge w:val="restart"/>
            <w:vAlign w:val="center"/>
          </w:tcPr>
          <w:p w14:paraId="262B9C3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58" w:type="dxa"/>
            <w:vMerge w:val="restart"/>
            <w:vAlign w:val="center"/>
          </w:tcPr>
          <w:p w14:paraId="72142D36">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网上竞采文件的响应程度审查</w:t>
            </w:r>
          </w:p>
        </w:tc>
        <w:tc>
          <w:tcPr>
            <w:tcW w:w="1984" w:type="dxa"/>
            <w:vAlign w:val="center"/>
          </w:tcPr>
          <w:p w14:paraId="0B1764E9">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vAlign w:val="center"/>
          </w:tcPr>
          <w:p w14:paraId="1B86EE8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对网上竞采文件第二篇</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第三篇规定的网上竞采内容作出响应。</w:t>
            </w:r>
          </w:p>
        </w:tc>
      </w:tr>
      <w:tr w14:paraId="6AF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77" w:type="dxa"/>
            <w:vMerge w:val="continue"/>
            <w:vAlign w:val="center"/>
          </w:tcPr>
          <w:p w14:paraId="2676AF7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32362479">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p>
        </w:tc>
        <w:tc>
          <w:tcPr>
            <w:tcW w:w="1984" w:type="dxa"/>
            <w:vAlign w:val="center"/>
          </w:tcPr>
          <w:p w14:paraId="6222114B">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网上竞采有效期</w:t>
            </w:r>
          </w:p>
        </w:tc>
        <w:tc>
          <w:tcPr>
            <w:tcW w:w="5409" w:type="dxa"/>
            <w:vAlign w:val="center"/>
          </w:tcPr>
          <w:p w14:paraId="4FFE543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满足网上竞采文件</w:t>
            </w:r>
            <w:r>
              <w:rPr>
                <w:rFonts w:hint="eastAsia" w:ascii="宋体" w:hAnsi="宋体" w:eastAsia="宋体" w:cs="宋体"/>
                <w:color w:val="auto"/>
                <w:sz w:val="24"/>
                <w:szCs w:val="24"/>
                <w:highlight w:val="none"/>
                <w:lang w:val="zh-CN"/>
              </w:rPr>
              <w:t>规定。</w:t>
            </w:r>
          </w:p>
        </w:tc>
      </w:tr>
    </w:tbl>
    <w:p w14:paraId="34492E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8F1B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B239E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（四）在网上竞采过程中网上竞采的任何一方不得向他人透露与网上竞采有关的服务资料、价格或其他信息。</w:t>
      </w:r>
    </w:p>
    <w:p w14:paraId="50975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（五）供应商在网上竞采时作出的所有书面承诺须由法定代表人或其授权代表签字。</w:t>
      </w:r>
    </w:p>
    <w:p w14:paraId="2B5CA1F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3.评选方法：综合评分法。</w:t>
      </w:r>
    </w:p>
    <w:p w14:paraId="5D683FF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综合评分法，是指响应文件满足网上竞采文件全部实质性要求且按照评审因素的量化指标评审得分最高的供应商为成交候选供应商的评审方法。供应商总得分为价格、</w:t>
      </w:r>
      <w:r>
        <w:rPr>
          <w:rFonts w:hint="eastAsia" w:ascii="宋体" w:hAnsi="宋体" w:cs="宋体"/>
          <w:color w:val="auto"/>
          <w:kern w:val="0"/>
          <w:sz w:val="24"/>
          <w:szCs w:val="24"/>
          <w:highlight w:val="none"/>
          <w:lang w:eastAsia="zh-CN"/>
        </w:rPr>
        <w:t>服务</w:t>
      </w:r>
      <w:r>
        <w:rPr>
          <w:rFonts w:hint="eastAsia" w:ascii="宋体" w:hAnsi="宋体" w:eastAsia="宋体" w:cs="宋体"/>
          <w:color w:val="auto"/>
          <w:kern w:val="0"/>
          <w:sz w:val="24"/>
          <w:szCs w:val="24"/>
          <w:highlight w:val="none"/>
        </w:rPr>
        <w:t>、商务等评定因素分别按照相应权重值计算分项得分后相加，满分为100分。供应商出现评分相同的情况，按</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部分得分由</w:t>
      </w:r>
      <w:r>
        <w:rPr>
          <w:rFonts w:hint="eastAsia" w:ascii="宋体" w:hAnsi="宋体" w:eastAsia="宋体" w:cs="宋体"/>
          <w:color w:val="auto"/>
          <w:kern w:val="0"/>
          <w:sz w:val="24"/>
          <w:szCs w:val="24"/>
          <w:highlight w:val="none"/>
          <w:lang w:val="en-US" w:eastAsia="zh-CN"/>
        </w:rPr>
        <w:t>高</w:t>
      </w:r>
      <w:r>
        <w:rPr>
          <w:rFonts w:hint="eastAsia" w:ascii="宋体" w:hAnsi="宋体" w:eastAsia="宋体" w:cs="宋体"/>
          <w:color w:val="auto"/>
          <w:kern w:val="0"/>
          <w:sz w:val="24"/>
          <w:szCs w:val="24"/>
          <w:highlight w:val="none"/>
        </w:rPr>
        <w:t>到</w:t>
      </w:r>
      <w:r>
        <w:rPr>
          <w:rFonts w:hint="eastAsia" w:ascii="宋体" w:hAnsi="宋体" w:eastAsia="宋体" w:cs="宋体"/>
          <w:color w:val="auto"/>
          <w:kern w:val="0"/>
          <w:sz w:val="24"/>
          <w:szCs w:val="24"/>
          <w:highlight w:val="none"/>
          <w:lang w:val="en-US" w:eastAsia="zh-CN"/>
        </w:rPr>
        <w:t>低</w:t>
      </w:r>
      <w:r>
        <w:rPr>
          <w:rFonts w:hint="eastAsia" w:ascii="宋体" w:hAnsi="宋体" w:eastAsia="宋体" w:cs="宋体"/>
          <w:color w:val="auto"/>
          <w:kern w:val="0"/>
          <w:sz w:val="24"/>
          <w:szCs w:val="24"/>
          <w:highlight w:val="none"/>
        </w:rPr>
        <w:t>进行排序。</w:t>
      </w:r>
    </w:p>
    <w:p w14:paraId="44DE7A15">
      <w:pPr>
        <w:pStyle w:val="5"/>
        <w:spacing w:before="0" w:after="0" w:line="240" w:lineRule="auto"/>
        <w:rPr>
          <w:rFonts w:hint="eastAsia" w:ascii="宋体" w:hAnsi="宋体" w:eastAsia="宋体" w:cs="宋体"/>
          <w:color w:val="auto"/>
          <w:kern w:val="0"/>
          <w:sz w:val="24"/>
          <w:szCs w:val="24"/>
          <w:highlight w:val="none"/>
        </w:rPr>
      </w:pPr>
    </w:p>
    <w:p w14:paraId="00D8E73C">
      <w:pPr>
        <w:rPr>
          <w:rFonts w:hint="eastAsia"/>
          <w:color w:val="auto"/>
        </w:rPr>
      </w:pPr>
    </w:p>
    <w:tbl>
      <w:tblPr>
        <w:tblStyle w:val="23"/>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30"/>
        <w:gridCol w:w="1095"/>
        <w:gridCol w:w="5177"/>
        <w:gridCol w:w="2094"/>
      </w:tblGrid>
      <w:tr w14:paraId="32A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4" w:type="dxa"/>
            <w:noWrap w:val="0"/>
            <w:vAlign w:val="center"/>
          </w:tcPr>
          <w:p w14:paraId="038897BD">
            <w:pPr>
              <w:spacing w:line="440" w:lineRule="exact"/>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序号</w:t>
            </w:r>
          </w:p>
        </w:tc>
        <w:tc>
          <w:tcPr>
            <w:tcW w:w="1230" w:type="dxa"/>
            <w:noWrap w:val="0"/>
            <w:vAlign w:val="center"/>
          </w:tcPr>
          <w:p w14:paraId="0E0B2CB6">
            <w:pPr>
              <w:spacing w:line="440" w:lineRule="exact"/>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评分因素</w:t>
            </w:r>
          </w:p>
        </w:tc>
        <w:tc>
          <w:tcPr>
            <w:tcW w:w="1095" w:type="dxa"/>
            <w:noWrap w:val="0"/>
            <w:vAlign w:val="center"/>
          </w:tcPr>
          <w:p w14:paraId="4E5566A9">
            <w:pPr>
              <w:spacing w:line="440" w:lineRule="exact"/>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分值</w:t>
            </w:r>
          </w:p>
        </w:tc>
        <w:tc>
          <w:tcPr>
            <w:tcW w:w="5177" w:type="dxa"/>
            <w:noWrap w:val="0"/>
            <w:vAlign w:val="center"/>
          </w:tcPr>
          <w:p w14:paraId="78BC9490">
            <w:pPr>
              <w:spacing w:line="440" w:lineRule="exact"/>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评分标准</w:t>
            </w:r>
          </w:p>
        </w:tc>
        <w:tc>
          <w:tcPr>
            <w:tcW w:w="2094" w:type="dxa"/>
            <w:noWrap w:val="0"/>
            <w:vAlign w:val="center"/>
          </w:tcPr>
          <w:p w14:paraId="16FB8DB1">
            <w:pPr>
              <w:pStyle w:val="30"/>
              <w:spacing w:before="0" w:after="0" w:line="440" w:lineRule="exact"/>
              <w:jc w:val="center"/>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说明</w:t>
            </w:r>
          </w:p>
        </w:tc>
      </w:tr>
      <w:tr w14:paraId="3F6D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34" w:type="dxa"/>
            <w:noWrap w:val="0"/>
            <w:vAlign w:val="center"/>
          </w:tcPr>
          <w:p w14:paraId="3AA77820">
            <w:pPr>
              <w:spacing w:line="36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230" w:type="dxa"/>
            <w:noWrap w:val="0"/>
            <w:vAlign w:val="center"/>
          </w:tcPr>
          <w:p w14:paraId="416D653F">
            <w:pPr>
              <w:spacing w:line="360" w:lineRule="exact"/>
              <w:rPr>
                <w:rFonts w:hint="eastAsia" w:ascii="宋体" w:hAnsi="宋体" w:eastAsia="宋体" w:cs="宋体"/>
                <w:color w:val="auto"/>
                <w:sz w:val="22"/>
                <w:szCs w:val="22"/>
              </w:rPr>
            </w:pPr>
            <w:r>
              <w:rPr>
                <w:rFonts w:hint="eastAsia" w:ascii="宋体" w:hAnsi="宋体" w:eastAsia="宋体" w:cs="宋体"/>
                <w:color w:val="auto"/>
                <w:sz w:val="22"/>
                <w:szCs w:val="22"/>
              </w:rPr>
              <w:t>投标报价</w:t>
            </w:r>
          </w:p>
        </w:tc>
        <w:tc>
          <w:tcPr>
            <w:tcW w:w="1095" w:type="dxa"/>
            <w:noWrap w:val="0"/>
            <w:vAlign w:val="center"/>
          </w:tcPr>
          <w:p w14:paraId="2807A66F">
            <w:pPr>
              <w:spacing w:line="360" w:lineRule="exact"/>
              <w:rPr>
                <w:rFonts w:hint="eastAsia" w:ascii="宋体" w:hAnsi="宋体" w:eastAsia="宋体" w:cs="宋体"/>
                <w:color w:val="auto"/>
                <w:sz w:val="22"/>
                <w:szCs w:val="22"/>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0（分）</w:t>
            </w:r>
          </w:p>
        </w:tc>
        <w:tc>
          <w:tcPr>
            <w:tcW w:w="5177" w:type="dxa"/>
            <w:noWrap w:val="0"/>
            <w:vAlign w:val="center"/>
          </w:tcPr>
          <w:p w14:paraId="1081A16A">
            <w:pPr>
              <w:widowControl/>
              <w:spacing w:line="300" w:lineRule="exact"/>
              <w:outlineLvl w:val="2"/>
              <w:rPr>
                <w:rFonts w:hint="eastAsia" w:ascii="宋体" w:hAnsi="宋体" w:eastAsia="宋体" w:cs="宋体"/>
                <w:color w:val="auto"/>
                <w:sz w:val="22"/>
                <w:szCs w:val="22"/>
              </w:rPr>
            </w:pPr>
            <w:r>
              <w:rPr>
                <w:rFonts w:hint="eastAsia" w:ascii="宋体" w:hAnsi="宋体" w:eastAsia="宋体" w:cs="宋体"/>
                <w:color w:val="auto"/>
                <w:sz w:val="22"/>
                <w:szCs w:val="22"/>
              </w:rPr>
              <w:t>有效的投标报价中的最低价为评标基准价，按照下列公式计算每个投标人的投标价格得分。</w:t>
            </w:r>
          </w:p>
          <w:p w14:paraId="1BA9C96E">
            <w:pPr>
              <w:widowControl/>
              <w:spacing w:line="300" w:lineRule="exact"/>
              <w:outlineLvl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投标报价得分＝（评标基准价/投标报价）×价格权重×100。</w:t>
            </w:r>
          </w:p>
        </w:tc>
        <w:tc>
          <w:tcPr>
            <w:tcW w:w="2094" w:type="dxa"/>
            <w:noWrap w:val="0"/>
            <w:vAlign w:val="center"/>
          </w:tcPr>
          <w:p w14:paraId="695C0093">
            <w:pPr>
              <w:spacing w:line="360" w:lineRule="exact"/>
              <w:rPr>
                <w:rFonts w:hint="eastAsia" w:ascii="宋体" w:hAnsi="宋体" w:eastAsia="宋体" w:cs="宋体"/>
                <w:color w:val="auto"/>
                <w:sz w:val="22"/>
                <w:szCs w:val="22"/>
                <w:lang w:val="en-US" w:eastAsia="zh-CN"/>
              </w:rPr>
            </w:pPr>
          </w:p>
        </w:tc>
      </w:tr>
      <w:tr w14:paraId="2B87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734" w:type="dxa"/>
            <w:vMerge w:val="restart"/>
            <w:noWrap w:val="0"/>
            <w:vAlign w:val="center"/>
          </w:tcPr>
          <w:p w14:paraId="393E07BF">
            <w:pPr>
              <w:spacing w:line="36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230" w:type="dxa"/>
            <w:vMerge w:val="restart"/>
            <w:noWrap w:val="0"/>
            <w:vAlign w:val="center"/>
          </w:tcPr>
          <w:p w14:paraId="1D66F7C5">
            <w:pPr>
              <w:spacing w:line="360" w:lineRule="exact"/>
              <w:rPr>
                <w:rFonts w:hint="eastAsia" w:ascii="宋体" w:hAnsi="宋体" w:eastAsia="宋体" w:cs="宋体"/>
                <w:color w:val="auto"/>
                <w:sz w:val="22"/>
                <w:szCs w:val="22"/>
              </w:rPr>
            </w:pPr>
            <w:r>
              <w:rPr>
                <w:rFonts w:hint="eastAsia" w:ascii="宋体" w:hAnsi="宋体" w:eastAsia="宋体" w:cs="宋体"/>
                <w:color w:val="auto"/>
                <w:sz w:val="22"/>
                <w:szCs w:val="22"/>
              </w:rPr>
              <w:t>服务部分</w:t>
            </w:r>
          </w:p>
        </w:tc>
        <w:tc>
          <w:tcPr>
            <w:tcW w:w="1095" w:type="dxa"/>
            <w:vMerge w:val="restart"/>
            <w:noWrap w:val="0"/>
            <w:vAlign w:val="center"/>
          </w:tcPr>
          <w:p w14:paraId="6BCFBC30">
            <w:pPr>
              <w:spacing w:line="240" w:lineRule="exact"/>
              <w:rPr>
                <w:rFonts w:hint="eastAsia" w:ascii="宋体" w:hAnsi="宋体" w:eastAsia="宋体" w:cs="宋体"/>
                <w:color w:val="auto"/>
                <w:sz w:val="22"/>
                <w:szCs w:val="22"/>
              </w:rPr>
            </w:pPr>
            <w:r>
              <w:rPr>
                <w:rFonts w:hint="eastAsia" w:ascii="宋体" w:hAnsi="宋体" w:cs="宋体"/>
                <w:color w:val="auto"/>
                <w:sz w:val="22"/>
                <w:szCs w:val="22"/>
                <w:lang w:val="en-US" w:eastAsia="zh-CN"/>
              </w:rPr>
              <w:t>46</w:t>
            </w:r>
            <w:r>
              <w:rPr>
                <w:rFonts w:hint="eastAsia" w:ascii="宋体" w:hAnsi="宋体" w:eastAsia="宋体" w:cs="宋体"/>
                <w:color w:val="auto"/>
                <w:sz w:val="22"/>
                <w:szCs w:val="22"/>
              </w:rPr>
              <w:t>（分）</w:t>
            </w:r>
          </w:p>
        </w:tc>
        <w:tc>
          <w:tcPr>
            <w:tcW w:w="5177" w:type="dxa"/>
            <w:noWrap w:val="0"/>
            <w:vAlign w:val="center"/>
          </w:tcPr>
          <w:p w14:paraId="367A87C6">
            <w:pPr>
              <w:spacing w:line="360" w:lineRule="auto"/>
              <w:ind w:firstLine="241" w:firstLineChars="100"/>
              <w:jc w:val="left"/>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lang w:val="en-US" w:eastAsia="zh-CN"/>
              </w:rPr>
              <w:t>工程初步设计实施方案（</w:t>
            </w:r>
            <w:r>
              <w:rPr>
                <w:rFonts w:hint="eastAsia" w:ascii="宋体" w:hAnsi="宋体" w:cs="宋体"/>
                <w:b/>
                <w:bCs/>
                <w:color w:val="auto"/>
                <w:sz w:val="24"/>
                <w:szCs w:val="24"/>
                <w:lang w:val="en-US" w:eastAsia="zh-CN"/>
              </w:rPr>
              <w:t>32</w:t>
            </w:r>
            <w:r>
              <w:rPr>
                <w:rFonts w:hint="eastAsia" w:ascii="宋体" w:hAnsi="宋体" w:eastAsia="宋体" w:cs="宋体"/>
                <w:b/>
                <w:bCs/>
                <w:color w:val="auto"/>
                <w:sz w:val="24"/>
                <w:szCs w:val="24"/>
                <w:lang w:val="en-US" w:eastAsia="zh-CN"/>
              </w:rPr>
              <w:t>分）</w:t>
            </w:r>
          </w:p>
          <w:p w14:paraId="69177CCC">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highlight w:val="none"/>
                <w:lang w:val="en-US" w:eastAsia="zh-CN"/>
              </w:rPr>
              <w:t>设计实施方案</w:t>
            </w:r>
            <w:r>
              <w:rPr>
                <w:rFonts w:hint="eastAsia" w:ascii="宋体" w:hAnsi="宋体" w:eastAsia="宋体" w:cs="宋体"/>
                <w:color w:val="auto"/>
                <w:sz w:val="24"/>
                <w:szCs w:val="24"/>
                <w:highlight w:val="none"/>
              </w:rPr>
              <w:t>进行综合评审，方案</w:t>
            </w:r>
            <w:r>
              <w:rPr>
                <w:rFonts w:hint="eastAsia" w:ascii="宋体" w:hAnsi="宋体" w:eastAsia="宋体" w:cs="宋体"/>
                <w:color w:val="auto"/>
                <w:sz w:val="24"/>
                <w:szCs w:val="24"/>
                <w:highlight w:val="none"/>
                <w:lang w:val="en-US" w:eastAsia="zh-CN"/>
              </w:rPr>
              <w:t>包括以下</w:t>
            </w:r>
            <w:r>
              <w:rPr>
                <w:rFonts w:hint="eastAsia" w:ascii="宋体" w:hAnsi="宋体" w:eastAsia="宋体" w:cs="宋体"/>
                <w:color w:val="auto"/>
                <w:sz w:val="24"/>
                <w:szCs w:val="24"/>
                <w:highlight w:val="none"/>
              </w:rPr>
              <w:t>内容：</w:t>
            </w:r>
          </w:p>
          <w:p w14:paraId="7E4481E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①</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highlight w:val="none"/>
                <w:lang w:val="en-US" w:eastAsia="zh-CN"/>
              </w:rPr>
              <w:t>设计</w:t>
            </w:r>
            <w:r>
              <w:rPr>
                <w:rFonts w:hint="eastAsia" w:ascii="宋体" w:hAnsi="宋体" w:eastAsia="宋体" w:cs="宋体"/>
                <w:i w:val="0"/>
                <w:iCs w:val="0"/>
                <w:color w:val="auto"/>
                <w:sz w:val="24"/>
                <w:szCs w:val="24"/>
                <w:highlight w:val="none"/>
                <w:lang w:val="en-US" w:eastAsia="zh-CN"/>
              </w:rPr>
              <w:t>范围、内容；</w:t>
            </w:r>
          </w:p>
          <w:p w14:paraId="13CB1E4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②</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highlight w:val="none"/>
                <w:lang w:val="en-US" w:eastAsia="zh-CN"/>
              </w:rPr>
              <w:t>设计</w:t>
            </w:r>
            <w:r>
              <w:rPr>
                <w:rFonts w:hint="eastAsia" w:ascii="宋体" w:hAnsi="宋体" w:eastAsia="宋体" w:cs="宋体"/>
                <w:i w:val="0"/>
                <w:iCs w:val="0"/>
                <w:color w:val="auto"/>
                <w:sz w:val="24"/>
                <w:szCs w:val="24"/>
                <w:highlight w:val="none"/>
                <w:lang w:val="en-US" w:eastAsia="zh-CN"/>
              </w:rPr>
              <w:t>依据、</w:t>
            </w:r>
            <w:r>
              <w:rPr>
                <w:rFonts w:hint="eastAsia" w:ascii="宋体" w:hAnsi="宋体" w:eastAsia="宋体" w:cs="宋体"/>
                <w:color w:val="auto"/>
                <w:sz w:val="24"/>
                <w:szCs w:val="24"/>
                <w:highlight w:val="none"/>
                <w:lang w:val="en-US" w:eastAsia="zh-CN"/>
              </w:rPr>
              <w:t>设计</w:t>
            </w:r>
            <w:r>
              <w:rPr>
                <w:rFonts w:hint="eastAsia" w:ascii="宋体" w:hAnsi="宋体" w:eastAsia="宋体" w:cs="宋体"/>
                <w:i w:val="0"/>
                <w:iCs w:val="0"/>
                <w:color w:val="auto"/>
                <w:sz w:val="24"/>
                <w:szCs w:val="24"/>
                <w:highlight w:val="none"/>
                <w:lang w:val="en-US" w:eastAsia="zh-CN"/>
              </w:rPr>
              <w:t>工作目标；</w:t>
            </w:r>
          </w:p>
          <w:p w14:paraId="64B16E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highlight w:val="none"/>
                <w:lang w:val="en-US" w:eastAsia="zh-CN"/>
              </w:rPr>
              <w:t>设计</w:t>
            </w:r>
            <w:r>
              <w:rPr>
                <w:rFonts w:hint="eastAsia" w:ascii="宋体" w:hAnsi="宋体" w:eastAsia="宋体" w:cs="宋体"/>
                <w:i w:val="0"/>
                <w:iCs w:val="0"/>
                <w:color w:val="auto"/>
                <w:sz w:val="24"/>
                <w:szCs w:val="24"/>
                <w:highlight w:val="none"/>
                <w:lang w:val="en-US" w:eastAsia="zh-CN"/>
              </w:rPr>
              <w:t>机构设置和岗位职责；</w:t>
            </w:r>
          </w:p>
          <w:p w14:paraId="65D2B84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④</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highlight w:val="none"/>
                <w:lang w:val="en-US" w:eastAsia="zh-CN"/>
              </w:rPr>
              <w:t>设计</w:t>
            </w:r>
            <w:r>
              <w:rPr>
                <w:rFonts w:hint="eastAsia" w:ascii="宋体" w:hAnsi="宋体" w:eastAsia="宋体" w:cs="宋体"/>
                <w:i w:val="0"/>
                <w:iCs w:val="0"/>
                <w:color w:val="auto"/>
                <w:sz w:val="24"/>
                <w:szCs w:val="24"/>
                <w:highlight w:val="none"/>
                <w:lang w:val="en-US" w:eastAsia="zh-CN"/>
              </w:rPr>
              <w:t>方案；</w:t>
            </w:r>
          </w:p>
          <w:p w14:paraId="7E678A2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⑤质量、进度等保证措施；</w:t>
            </w:r>
          </w:p>
          <w:p w14:paraId="422BE1A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⑥</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highlight w:val="none"/>
                <w:lang w:val="en-US" w:eastAsia="zh-CN"/>
              </w:rPr>
              <w:t>设计</w:t>
            </w:r>
            <w:r>
              <w:rPr>
                <w:rFonts w:hint="eastAsia" w:ascii="宋体" w:hAnsi="宋体" w:eastAsia="宋体" w:cs="宋体"/>
                <w:i w:val="0"/>
                <w:iCs w:val="0"/>
                <w:color w:val="auto"/>
                <w:sz w:val="24"/>
                <w:szCs w:val="24"/>
                <w:highlight w:val="none"/>
                <w:lang w:val="en-US" w:eastAsia="zh-CN"/>
              </w:rPr>
              <w:t>工作重点、难点分析；</w:t>
            </w:r>
          </w:p>
          <w:p w14:paraId="491630C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⑦设计人员安全保证措施；</w:t>
            </w:r>
          </w:p>
          <w:p w14:paraId="1AB593D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⑧保密措施。</w:t>
            </w:r>
          </w:p>
          <w:p w14:paraId="39369169">
            <w:pPr>
              <w:widowControl/>
              <w:spacing w:line="300" w:lineRule="exact"/>
              <w:outlineLvl w:val="2"/>
              <w:rPr>
                <w:rFonts w:hint="eastAsia" w:ascii="宋体" w:hAnsi="宋体" w:eastAsia="宋体" w:cs="宋体"/>
                <w:color w:val="auto"/>
                <w:sz w:val="22"/>
                <w:szCs w:val="22"/>
                <w:lang w:val="en-US" w:eastAsia="zh-CN"/>
              </w:rPr>
            </w:pPr>
            <w:r>
              <w:rPr>
                <w:rFonts w:hint="eastAsia" w:ascii="宋体" w:hAnsi="宋体" w:eastAsia="宋体" w:cs="宋体"/>
                <w:i w:val="0"/>
                <w:iCs w:val="0"/>
                <w:color w:val="auto"/>
                <w:sz w:val="24"/>
                <w:szCs w:val="24"/>
                <w:highlight w:val="none"/>
                <w:lang w:val="zh-CN"/>
              </w:rPr>
              <w:t>充分体现以</w:t>
            </w:r>
            <w:r>
              <w:rPr>
                <w:rFonts w:hint="eastAsia" w:ascii="宋体" w:hAnsi="宋体" w:eastAsia="宋体" w:cs="宋体"/>
                <w:i w:val="0"/>
                <w:iCs w:val="0"/>
                <w:color w:val="auto"/>
                <w:sz w:val="24"/>
                <w:szCs w:val="24"/>
                <w:highlight w:val="none"/>
                <w:lang w:val="en-US" w:eastAsia="zh-CN"/>
              </w:rPr>
              <w:t>上8项</w:t>
            </w:r>
            <w:r>
              <w:rPr>
                <w:rFonts w:hint="eastAsia" w:ascii="宋体" w:hAnsi="宋体" w:eastAsia="宋体" w:cs="宋体"/>
                <w:i w:val="0"/>
                <w:iCs w:val="0"/>
                <w:color w:val="auto"/>
                <w:sz w:val="24"/>
                <w:szCs w:val="24"/>
                <w:highlight w:val="none"/>
                <w:lang w:val="zh-CN"/>
              </w:rPr>
              <w:t>内容，能完全匹配项目需求，保障项目实施的得</w:t>
            </w:r>
            <w:r>
              <w:rPr>
                <w:rFonts w:hint="eastAsia" w:ascii="宋体" w:hAnsi="宋体" w:cs="宋体"/>
                <w:i w:val="0"/>
                <w:iCs w:val="0"/>
                <w:color w:val="auto"/>
                <w:sz w:val="24"/>
                <w:szCs w:val="24"/>
                <w:highlight w:val="none"/>
                <w:lang w:val="en-US" w:eastAsia="zh-CN"/>
              </w:rPr>
              <w:t>32</w:t>
            </w:r>
            <w:r>
              <w:rPr>
                <w:rFonts w:hint="eastAsia" w:ascii="宋体" w:hAnsi="宋体" w:eastAsia="宋体" w:cs="宋体"/>
                <w:i w:val="0"/>
                <w:iCs w:val="0"/>
                <w:color w:val="auto"/>
                <w:sz w:val="24"/>
                <w:szCs w:val="24"/>
                <w:highlight w:val="none"/>
                <w:lang w:val="zh-CN"/>
              </w:rPr>
              <w:t>分；每有一项内容缺项扣</w:t>
            </w: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rPr>
              <w:t>分，内容要素中每有一处存在缺陷（存在缺陷是指：①内容描述前后矛盾或项目名称及项目编号错误或所阐述的项目信息与本项目实际信息不一致</w:t>
            </w:r>
            <w:r>
              <w:rPr>
                <w:rFonts w:hint="eastAsia" w:ascii="宋体" w:hAnsi="宋体" w:eastAsia="宋体" w:cs="宋体"/>
                <w:i w:val="0"/>
                <w:iCs w:val="0"/>
                <w:color w:val="auto"/>
                <w:sz w:val="24"/>
                <w:szCs w:val="24"/>
                <w:highlight w:val="none"/>
                <w:lang w:val="zh-CN" w:eastAsia="zh-CN"/>
              </w:rPr>
              <w:t>或</w:t>
            </w:r>
            <w:r>
              <w:rPr>
                <w:rFonts w:hint="eastAsia" w:ascii="宋体" w:hAnsi="宋体" w:eastAsia="宋体" w:cs="宋体"/>
                <w:i w:val="0"/>
                <w:iCs w:val="0"/>
                <w:color w:val="auto"/>
                <w:sz w:val="24"/>
                <w:szCs w:val="24"/>
                <w:highlight w:val="none"/>
                <w:lang w:val="zh-CN"/>
              </w:rPr>
              <w:t>套用</w:t>
            </w:r>
            <w:r>
              <w:rPr>
                <w:rFonts w:hint="eastAsia" w:ascii="宋体" w:hAnsi="宋体" w:eastAsia="宋体" w:cs="宋体"/>
                <w:i w:val="0"/>
                <w:iCs w:val="0"/>
                <w:color w:val="auto"/>
                <w:sz w:val="24"/>
                <w:szCs w:val="24"/>
                <w:highlight w:val="none"/>
                <w:lang w:val="zh-CN" w:eastAsia="zh-CN"/>
              </w:rPr>
              <w:t>复制、</w:t>
            </w:r>
            <w:r>
              <w:rPr>
                <w:rFonts w:hint="eastAsia" w:ascii="宋体" w:hAnsi="宋体" w:eastAsia="宋体" w:cs="宋体"/>
                <w:i w:val="0"/>
                <w:iCs w:val="0"/>
                <w:color w:val="auto"/>
                <w:sz w:val="24"/>
                <w:szCs w:val="24"/>
                <w:highlight w:val="none"/>
                <w:lang w:val="en-US" w:eastAsia="zh-CN"/>
              </w:rPr>
              <w:t>其他</w:t>
            </w:r>
            <w:r>
              <w:rPr>
                <w:rFonts w:hint="eastAsia" w:ascii="宋体" w:hAnsi="宋体" w:eastAsia="宋体" w:cs="宋体"/>
                <w:i w:val="0"/>
                <w:iCs w:val="0"/>
                <w:color w:val="auto"/>
                <w:sz w:val="24"/>
                <w:szCs w:val="24"/>
                <w:highlight w:val="none"/>
                <w:lang w:val="zh-CN"/>
              </w:rPr>
              <w:t>项目方案等情形；②</w:t>
            </w:r>
            <w:r>
              <w:rPr>
                <w:rFonts w:hint="eastAsia" w:ascii="宋体" w:hAnsi="宋体" w:eastAsia="宋体" w:cs="宋体"/>
                <w:i w:val="0"/>
                <w:iCs w:val="0"/>
                <w:color w:val="auto"/>
                <w:sz w:val="24"/>
                <w:szCs w:val="24"/>
                <w:highlight w:val="none"/>
                <w:lang w:val="zh-CN" w:eastAsia="zh-CN"/>
              </w:rPr>
              <w:t>编制的方案内容不能指导本项目实施的</w:t>
            </w:r>
            <w:r>
              <w:rPr>
                <w:rFonts w:hint="eastAsia" w:ascii="宋体" w:hAnsi="宋体" w:eastAsia="宋体" w:cs="宋体"/>
                <w:i w:val="0"/>
                <w:iCs w:val="0"/>
                <w:color w:val="auto"/>
                <w:sz w:val="24"/>
                <w:szCs w:val="24"/>
                <w:highlight w:val="none"/>
                <w:lang w:val="zh-CN"/>
              </w:rPr>
              <w:t>或提供的文字、图片内容错误或本项目内容引用的规定、规范、标准错误或描述不符合国家相关法律法规、规范要求；</w:t>
            </w: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i w:val="0"/>
                <w:iCs w:val="0"/>
                <w:color w:val="auto"/>
                <w:sz w:val="24"/>
                <w:szCs w:val="24"/>
                <w:highlight w:val="none"/>
                <w:lang w:val="zh-CN"/>
              </w:rPr>
              <w:t>阐述的方式方法等不符合本项目实际情况）的扣</w:t>
            </w: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rPr>
              <w:t>分，扣完为止，未提供不得分。</w:t>
            </w:r>
          </w:p>
        </w:tc>
        <w:tc>
          <w:tcPr>
            <w:tcW w:w="2094" w:type="dxa"/>
            <w:noWrap w:val="0"/>
            <w:vAlign w:val="center"/>
          </w:tcPr>
          <w:p w14:paraId="66304D7D">
            <w:pPr>
              <w:widowControl/>
              <w:spacing w:line="300" w:lineRule="exact"/>
              <w:outlineLvl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提供方案，格式自拟。</w:t>
            </w:r>
          </w:p>
          <w:p w14:paraId="7D4A3D41">
            <w:pPr>
              <w:widowControl/>
              <w:spacing w:line="300" w:lineRule="exact"/>
              <w:outlineLvl w:val="2"/>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注：本项内容中所称的“瑕疵”指以下内容：</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(1)要素欠缺、仅有标题而无实质意义叙述内容、内容表述不完整、缺少关键分析点；(2)缺乏科学合理性，存在逻辑漏洞、常识错误；(3)内容表述前后矛盾、无连贯性；(4)方案不适用本项目特性、非专门针对本项目目标实现；(5)方案内容中出现与本项目无关的其他内容；(6)内容空泛，无具体方法或内容；(7)现有条件下不可能实现的情形。上述任意一种情形为1处瑕疵。</w:t>
            </w:r>
          </w:p>
        </w:tc>
      </w:tr>
      <w:tr w14:paraId="1E0F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734" w:type="dxa"/>
            <w:vMerge w:val="continue"/>
            <w:noWrap w:val="0"/>
            <w:vAlign w:val="center"/>
          </w:tcPr>
          <w:p w14:paraId="404424CE">
            <w:pPr>
              <w:spacing w:line="360" w:lineRule="exact"/>
              <w:jc w:val="center"/>
              <w:rPr>
                <w:rFonts w:hint="eastAsia" w:ascii="宋体" w:hAnsi="宋体" w:eastAsia="宋体" w:cs="宋体"/>
                <w:color w:val="auto"/>
                <w:sz w:val="22"/>
                <w:szCs w:val="22"/>
              </w:rPr>
            </w:pPr>
          </w:p>
        </w:tc>
        <w:tc>
          <w:tcPr>
            <w:tcW w:w="1230" w:type="dxa"/>
            <w:vMerge w:val="continue"/>
            <w:noWrap w:val="0"/>
            <w:vAlign w:val="center"/>
          </w:tcPr>
          <w:p w14:paraId="14C79715">
            <w:pPr>
              <w:spacing w:line="360" w:lineRule="exact"/>
              <w:rPr>
                <w:rFonts w:hint="eastAsia" w:ascii="宋体" w:hAnsi="宋体" w:eastAsia="宋体" w:cs="宋体"/>
                <w:color w:val="auto"/>
                <w:sz w:val="22"/>
                <w:szCs w:val="22"/>
              </w:rPr>
            </w:pPr>
          </w:p>
        </w:tc>
        <w:tc>
          <w:tcPr>
            <w:tcW w:w="1095" w:type="dxa"/>
            <w:vMerge w:val="continue"/>
            <w:noWrap w:val="0"/>
            <w:vAlign w:val="center"/>
          </w:tcPr>
          <w:p w14:paraId="69491A73">
            <w:pPr>
              <w:spacing w:line="240" w:lineRule="exact"/>
              <w:rPr>
                <w:rFonts w:hint="eastAsia" w:ascii="宋体" w:hAnsi="宋体" w:eastAsia="宋体" w:cs="宋体"/>
                <w:color w:val="auto"/>
                <w:sz w:val="22"/>
                <w:szCs w:val="22"/>
              </w:rPr>
            </w:pPr>
          </w:p>
        </w:tc>
        <w:tc>
          <w:tcPr>
            <w:tcW w:w="5177" w:type="dxa"/>
            <w:noWrap w:val="0"/>
            <w:vAlign w:val="center"/>
          </w:tcPr>
          <w:p w14:paraId="61DAD8DA">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宋体" w:hAnsi="宋体" w:eastAsia="宋体" w:cs="宋体"/>
                <w:b/>
                <w:bCs/>
                <w:i w:val="0"/>
                <w:iCs w:val="0"/>
                <w:color w:val="auto"/>
                <w:sz w:val="24"/>
                <w:szCs w:val="24"/>
                <w:highlight w:val="none"/>
                <w:lang w:val="zh-CN"/>
              </w:rPr>
            </w:pPr>
            <w:r>
              <w:rPr>
                <w:rFonts w:hint="eastAsia" w:ascii="宋体" w:hAnsi="宋体" w:cs="宋体"/>
                <w:b/>
                <w:bCs/>
                <w:i w:val="0"/>
                <w:iCs w:val="0"/>
                <w:color w:val="auto"/>
                <w:sz w:val="24"/>
                <w:szCs w:val="24"/>
                <w:highlight w:val="none"/>
                <w:lang w:val="zh-CN"/>
              </w:rPr>
              <w:t>二、</w:t>
            </w:r>
            <w:r>
              <w:rPr>
                <w:rFonts w:hint="eastAsia" w:ascii="宋体" w:hAnsi="宋体" w:eastAsia="宋体" w:cs="宋体"/>
                <w:b/>
                <w:bCs/>
                <w:color w:val="auto"/>
                <w:sz w:val="24"/>
                <w:szCs w:val="24"/>
                <w:lang w:val="en-US" w:eastAsia="zh-CN"/>
              </w:rPr>
              <w:t>工程初步设计</w:t>
            </w:r>
            <w:r>
              <w:rPr>
                <w:rFonts w:hint="eastAsia" w:ascii="宋体" w:hAnsi="宋体" w:eastAsia="宋体" w:cs="宋体"/>
                <w:b/>
                <w:bCs/>
                <w:i w:val="0"/>
                <w:iCs w:val="0"/>
                <w:color w:val="auto"/>
                <w:sz w:val="24"/>
                <w:szCs w:val="24"/>
                <w:highlight w:val="none"/>
                <w:lang w:val="zh-CN" w:eastAsia="zh-CN"/>
              </w:rPr>
              <w:t>后续</w:t>
            </w:r>
            <w:r>
              <w:rPr>
                <w:rFonts w:hint="eastAsia" w:ascii="宋体" w:hAnsi="宋体" w:eastAsia="宋体" w:cs="宋体"/>
                <w:b/>
                <w:bCs/>
                <w:i w:val="0"/>
                <w:iCs w:val="0"/>
                <w:color w:val="auto"/>
                <w:sz w:val="24"/>
                <w:szCs w:val="24"/>
                <w:highlight w:val="none"/>
                <w:lang w:val="zh-CN"/>
              </w:rPr>
              <w:t>服务方案</w:t>
            </w:r>
            <w:r>
              <w:rPr>
                <w:rFonts w:hint="eastAsia" w:ascii="宋体" w:hAnsi="宋体" w:cs="宋体"/>
                <w:b/>
                <w:bCs/>
                <w:i w:val="0"/>
                <w:iCs w:val="0"/>
                <w:color w:val="auto"/>
                <w:sz w:val="24"/>
                <w:szCs w:val="24"/>
                <w:highlight w:val="none"/>
                <w:lang w:val="zh-CN"/>
              </w:rPr>
              <w:t>（</w:t>
            </w:r>
            <w:r>
              <w:rPr>
                <w:rFonts w:hint="eastAsia" w:ascii="宋体" w:hAnsi="宋体" w:cs="宋体"/>
                <w:b/>
                <w:bCs/>
                <w:i w:val="0"/>
                <w:iCs w:val="0"/>
                <w:color w:val="auto"/>
                <w:sz w:val="24"/>
                <w:szCs w:val="24"/>
                <w:highlight w:val="none"/>
                <w:lang w:val="en-US" w:eastAsia="zh-CN"/>
              </w:rPr>
              <w:t>14分</w:t>
            </w:r>
            <w:r>
              <w:rPr>
                <w:rFonts w:hint="eastAsia" w:ascii="宋体" w:hAnsi="宋体" w:cs="宋体"/>
                <w:b/>
                <w:bCs/>
                <w:i w:val="0"/>
                <w:iCs w:val="0"/>
                <w:color w:val="auto"/>
                <w:sz w:val="24"/>
                <w:szCs w:val="24"/>
                <w:highlight w:val="none"/>
                <w:lang w:val="zh-CN"/>
              </w:rPr>
              <w:t>）</w:t>
            </w:r>
          </w:p>
          <w:p w14:paraId="1D8023E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宋体" w:hAnsi="宋体" w:eastAsia="宋体" w:cs="宋体"/>
                <w:b/>
                <w:bCs/>
                <w:i w:val="0"/>
                <w:iCs w:val="0"/>
                <w:color w:val="auto"/>
                <w:sz w:val="24"/>
                <w:szCs w:val="24"/>
                <w:highlight w:val="none"/>
                <w:lang w:val="zh-CN" w:eastAsia="zh-CN"/>
              </w:rPr>
            </w:pPr>
            <w:r>
              <w:rPr>
                <w:rFonts w:hint="eastAsia" w:ascii="宋体" w:hAnsi="宋体" w:eastAsia="宋体" w:cs="宋体"/>
                <w:b/>
                <w:bCs/>
                <w:i w:val="0"/>
                <w:iCs w:val="0"/>
                <w:color w:val="auto"/>
                <w:sz w:val="24"/>
                <w:szCs w:val="24"/>
                <w:highlight w:val="none"/>
                <w:lang w:val="zh-CN"/>
              </w:rPr>
              <w:t>方案</w:t>
            </w:r>
            <w:r>
              <w:rPr>
                <w:rFonts w:hint="eastAsia" w:ascii="宋体" w:hAnsi="宋体" w:eastAsia="宋体" w:cs="宋体"/>
                <w:b/>
                <w:bCs/>
                <w:i w:val="0"/>
                <w:iCs w:val="0"/>
                <w:color w:val="auto"/>
                <w:sz w:val="24"/>
                <w:szCs w:val="24"/>
                <w:highlight w:val="none"/>
                <w:lang w:val="zh-CN" w:eastAsia="zh-CN"/>
              </w:rPr>
              <w:t>包括以下</w:t>
            </w:r>
            <w:r>
              <w:rPr>
                <w:rFonts w:hint="eastAsia" w:ascii="宋体" w:hAnsi="宋体" w:eastAsia="宋体" w:cs="宋体"/>
                <w:b/>
                <w:bCs/>
                <w:i w:val="0"/>
                <w:iCs w:val="0"/>
                <w:color w:val="auto"/>
                <w:sz w:val="24"/>
                <w:szCs w:val="24"/>
                <w:highlight w:val="none"/>
                <w:lang w:val="zh-CN"/>
              </w:rPr>
              <w:t>内容：</w:t>
            </w:r>
          </w:p>
          <w:p w14:paraId="7836E1EB">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 xml:space="preserve">  </w:t>
            </w:r>
            <w:r>
              <w:rPr>
                <w:rFonts w:hint="eastAsia" w:ascii="宋体" w:hAnsi="宋体" w:eastAsia="宋体" w:cs="宋体"/>
                <w:i w:val="0"/>
                <w:iCs w:val="0"/>
                <w:color w:val="auto"/>
                <w:sz w:val="24"/>
                <w:szCs w:val="24"/>
                <w:highlight w:val="none"/>
                <w:lang w:val="zh-CN"/>
              </w:rPr>
              <w:t>①后续服务方案&lt;包含：响应时间、响应次数、服务体系等&gt;；</w:t>
            </w:r>
          </w:p>
          <w:p w14:paraId="7088DF99">
            <w:pPr>
              <w:keepNext w:val="0"/>
              <w:keepLines w:val="0"/>
              <w:pageBreakBefore w:val="0"/>
              <w:widowControl w:val="0"/>
              <w:kinsoku/>
              <w:wordWrap/>
              <w:overflowPunct/>
              <w:topLinePunct w:val="0"/>
              <w:autoSpaceDE/>
              <w:autoSpaceDN/>
              <w:bidi w:val="0"/>
              <w:adjustRightInd/>
              <w:snapToGrid/>
              <w:spacing w:line="360" w:lineRule="auto"/>
              <w:ind w:firstLine="28"/>
              <w:textAlignment w:val="auto"/>
              <w:outlineLvl w:val="9"/>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eastAsia="zh-CN"/>
              </w:rPr>
              <w:t xml:space="preserve">  </w:t>
            </w:r>
            <w:r>
              <w:rPr>
                <w:rFonts w:hint="eastAsia" w:ascii="宋体" w:hAnsi="宋体" w:eastAsia="宋体" w:cs="宋体"/>
                <w:i w:val="0"/>
                <w:iCs w:val="0"/>
                <w:color w:val="auto"/>
                <w:sz w:val="24"/>
                <w:szCs w:val="24"/>
                <w:highlight w:val="none"/>
                <w:lang w:val="zh-CN"/>
              </w:rPr>
              <w:t>②后续服务保障承诺&lt;包含：服务网点、服务电话及后续技术服务人员名单等&gt;；</w:t>
            </w:r>
          </w:p>
          <w:p w14:paraId="47AD3F50">
            <w:pPr>
              <w:widowControl/>
              <w:spacing w:line="300" w:lineRule="exact"/>
              <w:outlineLvl w:val="2"/>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充分体现以上</w:t>
            </w:r>
            <w:r>
              <w:rPr>
                <w:rFonts w:hint="eastAsia" w:ascii="宋体" w:hAnsi="宋体" w:eastAsia="宋体" w:cs="宋体"/>
                <w:i w:val="0"/>
                <w:iCs w:val="0"/>
                <w:color w:val="auto"/>
                <w:sz w:val="24"/>
                <w:szCs w:val="24"/>
                <w:highlight w:val="none"/>
                <w:lang w:val="en-US" w:eastAsia="zh-CN"/>
              </w:rPr>
              <w:t>2项</w:t>
            </w:r>
            <w:r>
              <w:rPr>
                <w:rFonts w:hint="eastAsia" w:ascii="宋体" w:hAnsi="宋体" w:eastAsia="宋体" w:cs="宋体"/>
                <w:i w:val="0"/>
                <w:iCs w:val="0"/>
                <w:color w:val="auto"/>
                <w:sz w:val="24"/>
                <w:szCs w:val="24"/>
                <w:highlight w:val="none"/>
                <w:lang w:val="zh-CN"/>
              </w:rPr>
              <w:t>内容，能完全匹配项目需求，保障项目实施的得</w:t>
            </w:r>
            <w:r>
              <w:rPr>
                <w:rFonts w:hint="eastAsia" w:ascii="宋体" w:hAnsi="宋体" w:cs="宋体"/>
                <w:i w:val="0"/>
                <w:iCs w:val="0"/>
                <w:color w:val="auto"/>
                <w:sz w:val="24"/>
                <w:szCs w:val="24"/>
                <w:highlight w:val="none"/>
                <w:lang w:val="en-US" w:eastAsia="zh-CN"/>
              </w:rPr>
              <w:t>14</w:t>
            </w:r>
            <w:r>
              <w:rPr>
                <w:rFonts w:hint="eastAsia" w:ascii="宋体" w:hAnsi="宋体" w:eastAsia="宋体" w:cs="宋体"/>
                <w:i w:val="0"/>
                <w:iCs w:val="0"/>
                <w:color w:val="auto"/>
                <w:sz w:val="24"/>
                <w:szCs w:val="24"/>
                <w:highlight w:val="none"/>
                <w:lang w:val="zh-CN"/>
              </w:rPr>
              <w:t>分；每有一项内容缺项扣</w:t>
            </w:r>
            <w:r>
              <w:rPr>
                <w:rFonts w:hint="eastAsia" w:ascii="宋体" w:hAnsi="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lang w:val="zh-CN"/>
              </w:rPr>
              <w:t>分，内容要素中每有一处存在缺陷（存在缺陷是指：①内容描述前后矛盾或项目名称及项目编号错误或所阐述的项目信息与本项目实际信息不一致</w:t>
            </w:r>
            <w:r>
              <w:rPr>
                <w:rFonts w:hint="eastAsia" w:ascii="宋体" w:hAnsi="宋体" w:eastAsia="宋体" w:cs="宋体"/>
                <w:i w:val="0"/>
                <w:iCs w:val="0"/>
                <w:color w:val="auto"/>
                <w:sz w:val="24"/>
                <w:szCs w:val="24"/>
                <w:highlight w:val="none"/>
                <w:lang w:val="zh-CN" w:eastAsia="zh-CN"/>
              </w:rPr>
              <w:t>或</w:t>
            </w:r>
            <w:r>
              <w:rPr>
                <w:rFonts w:hint="eastAsia" w:ascii="宋体" w:hAnsi="宋体" w:eastAsia="宋体" w:cs="宋体"/>
                <w:i w:val="0"/>
                <w:iCs w:val="0"/>
                <w:color w:val="auto"/>
                <w:sz w:val="24"/>
                <w:szCs w:val="24"/>
                <w:highlight w:val="none"/>
                <w:lang w:val="zh-CN"/>
              </w:rPr>
              <w:t>套用</w:t>
            </w:r>
            <w:r>
              <w:rPr>
                <w:rFonts w:hint="eastAsia" w:ascii="宋体" w:hAnsi="宋体" w:eastAsia="宋体" w:cs="宋体"/>
                <w:i w:val="0"/>
                <w:iCs w:val="0"/>
                <w:color w:val="auto"/>
                <w:sz w:val="24"/>
                <w:szCs w:val="24"/>
                <w:highlight w:val="none"/>
                <w:lang w:val="zh-CN" w:eastAsia="zh-CN"/>
              </w:rPr>
              <w:t>复制、</w:t>
            </w:r>
            <w:r>
              <w:rPr>
                <w:rFonts w:hint="eastAsia" w:ascii="宋体" w:hAnsi="宋体" w:eastAsia="宋体" w:cs="宋体"/>
                <w:i w:val="0"/>
                <w:iCs w:val="0"/>
                <w:color w:val="auto"/>
                <w:sz w:val="24"/>
                <w:szCs w:val="24"/>
                <w:highlight w:val="none"/>
                <w:lang w:val="en-US" w:eastAsia="zh-CN"/>
              </w:rPr>
              <w:t>其他</w:t>
            </w:r>
            <w:r>
              <w:rPr>
                <w:rFonts w:hint="eastAsia" w:ascii="宋体" w:hAnsi="宋体" w:eastAsia="宋体" w:cs="宋体"/>
                <w:i w:val="0"/>
                <w:iCs w:val="0"/>
                <w:color w:val="auto"/>
                <w:sz w:val="24"/>
                <w:szCs w:val="24"/>
                <w:highlight w:val="none"/>
                <w:lang w:val="zh-CN"/>
              </w:rPr>
              <w:t>项目方案等情形；②</w:t>
            </w:r>
            <w:r>
              <w:rPr>
                <w:rFonts w:hint="eastAsia" w:ascii="宋体" w:hAnsi="宋体" w:eastAsia="宋体" w:cs="宋体"/>
                <w:i w:val="0"/>
                <w:iCs w:val="0"/>
                <w:color w:val="auto"/>
                <w:sz w:val="24"/>
                <w:szCs w:val="24"/>
                <w:highlight w:val="none"/>
                <w:lang w:val="zh-CN" w:eastAsia="zh-CN"/>
              </w:rPr>
              <w:t>编制的方案内容不能指导本项目实施的</w:t>
            </w:r>
            <w:r>
              <w:rPr>
                <w:rFonts w:hint="eastAsia" w:ascii="宋体" w:hAnsi="宋体" w:eastAsia="宋体" w:cs="宋体"/>
                <w:i w:val="0"/>
                <w:iCs w:val="0"/>
                <w:color w:val="auto"/>
                <w:sz w:val="24"/>
                <w:szCs w:val="24"/>
                <w:highlight w:val="none"/>
                <w:lang w:val="zh-CN"/>
              </w:rPr>
              <w:t>或提供的文字、图片内容错误或本项目内容引用的规定、规范、标准错误或描述不符合国家相关法律法规、规范要求；</w:t>
            </w:r>
            <w:r>
              <w:rPr>
                <w:rFonts w:hint="eastAsia" w:ascii="宋体" w:hAnsi="宋体" w:eastAsia="宋体" w:cs="宋体"/>
                <w:i w:val="0"/>
                <w:iCs w:val="0"/>
                <w:color w:val="auto"/>
                <w:sz w:val="24"/>
                <w:szCs w:val="24"/>
                <w:highlight w:val="none"/>
                <w:lang w:val="en-US" w:eastAsia="zh-CN"/>
              </w:rPr>
              <w:t>③</w:t>
            </w:r>
            <w:r>
              <w:rPr>
                <w:rFonts w:hint="eastAsia" w:ascii="宋体" w:hAnsi="宋体" w:eastAsia="宋体" w:cs="宋体"/>
                <w:i w:val="0"/>
                <w:iCs w:val="0"/>
                <w:color w:val="auto"/>
                <w:sz w:val="24"/>
                <w:szCs w:val="24"/>
                <w:highlight w:val="none"/>
                <w:lang w:val="zh-CN"/>
              </w:rPr>
              <w:t>阐述的方式方法等不符合本项目实际情况）的扣</w:t>
            </w: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rPr>
              <w:t>分，扣完为止，未提供不得分。</w:t>
            </w:r>
          </w:p>
        </w:tc>
        <w:tc>
          <w:tcPr>
            <w:tcW w:w="2094" w:type="dxa"/>
            <w:noWrap w:val="0"/>
            <w:vAlign w:val="center"/>
          </w:tcPr>
          <w:p w14:paraId="1CF5A921">
            <w:pPr>
              <w:widowControl/>
              <w:spacing w:line="300" w:lineRule="exact"/>
              <w:outlineLvl w:val="2"/>
              <w:rPr>
                <w:rFonts w:hint="eastAsia" w:ascii="宋体" w:hAnsi="宋体" w:eastAsia="宋体" w:cs="宋体"/>
                <w:color w:val="auto"/>
                <w:sz w:val="22"/>
                <w:szCs w:val="22"/>
                <w:lang w:val="en-US" w:eastAsia="zh-CN"/>
              </w:rPr>
            </w:pPr>
          </w:p>
        </w:tc>
      </w:tr>
      <w:tr w14:paraId="2863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734" w:type="dxa"/>
            <w:vMerge w:val="restart"/>
            <w:noWrap w:val="0"/>
            <w:vAlign w:val="center"/>
          </w:tcPr>
          <w:p w14:paraId="32D7E654">
            <w:pPr>
              <w:spacing w:line="32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230" w:type="dxa"/>
            <w:vMerge w:val="restart"/>
            <w:noWrap w:val="0"/>
            <w:vAlign w:val="center"/>
          </w:tcPr>
          <w:p w14:paraId="031ACD25">
            <w:pPr>
              <w:spacing w:line="320" w:lineRule="exact"/>
              <w:rPr>
                <w:rFonts w:hint="eastAsia" w:ascii="宋体" w:hAnsi="宋体" w:eastAsia="宋体" w:cs="宋体"/>
                <w:color w:val="auto"/>
                <w:sz w:val="22"/>
                <w:szCs w:val="22"/>
              </w:rPr>
            </w:pPr>
            <w:r>
              <w:rPr>
                <w:rFonts w:hint="eastAsia" w:ascii="宋体" w:hAnsi="宋体" w:eastAsia="宋体" w:cs="宋体"/>
                <w:color w:val="auto"/>
                <w:sz w:val="22"/>
                <w:szCs w:val="22"/>
              </w:rPr>
              <w:t>商务部分</w:t>
            </w:r>
          </w:p>
        </w:tc>
        <w:tc>
          <w:tcPr>
            <w:tcW w:w="1095" w:type="dxa"/>
            <w:vMerge w:val="restart"/>
            <w:noWrap w:val="0"/>
            <w:vAlign w:val="center"/>
          </w:tcPr>
          <w:p w14:paraId="0FB5584B">
            <w:pPr>
              <w:widowControl/>
              <w:spacing w:line="300" w:lineRule="exact"/>
              <w:outlineLvl w:val="2"/>
              <w:rPr>
                <w:rFonts w:hint="eastAsia" w:ascii="宋体" w:hAnsi="宋体" w:eastAsia="宋体" w:cs="宋体"/>
                <w:color w:val="auto"/>
                <w:sz w:val="22"/>
                <w:szCs w:val="22"/>
              </w:rPr>
            </w:pPr>
            <w:r>
              <w:rPr>
                <w:rFonts w:hint="eastAsia" w:ascii="宋体" w:hAnsi="宋体" w:cs="宋体"/>
                <w:color w:val="auto"/>
                <w:sz w:val="22"/>
                <w:szCs w:val="22"/>
                <w:lang w:val="en-US" w:eastAsia="zh-CN"/>
              </w:rPr>
              <w:t>14</w:t>
            </w:r>
            <w:r>
              <w:rPr>
                <w:rFonts w:hint="eastAsia" w:ascii="宋体" w:hAnsi="宋体" w:eastAsia="宋体" w:cs="宋体"/>
                <w:color w:val="auto"/>
                <w:sz w:val="22"/>
                <w:szCs w:val="22"/>
              </w:rPr>
              <w:t>（分）</w:t>
            </w:r>
          </w:p>
        </w:tc>
        <w:tc>
          <w:tcPr>
            <w:tcW w:w="5177" w:type="dxa"/>
            <w:noWrap w:val="0"/>
            <w:vAlign w:val="center"/>
          </w:tcPr>
          <w:p w14:paraId="7E330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21" w:firstLineChars="100"/>
              <w:textAlignment w:val="auto"/>
              <w:outlineLvl w:val="9"/>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w:t>
            </w:r>
            <w:r>
              <w:rPr>
                <w:rFonts w:hint="eastAsia" w:ascii="宋体" w:hAnsi="宋体" w:cs="宋体"/>
                <w:b/>
                <w:bCs/>
                <w:color w:val="auto"/>
                <w:sz w:val="22"/>
                <w:szCs w:val="22"/>
                <w:lang w:val="en-US" w:eastAsia="zh-CN"/>
              </w:rPr>
              <w:t>人员配置</w:t>
            </w:r>
            <w:r>
              <w:rPr>
                <w:rFonts w:hint="eastAsia" w:ascii="宋体" w:hAnsi="宋体" w:eastAsia="宋体" w:cs="宋体"/>
                <w:b/>
                <w:bCs/>
                <w:color w:val="auto"/>
                <w:sz w:val="22"/>
                <w:szCs w:val="22"/>
                <w:lang w:val="en-US" w:eastAsia="zh-CN"/>
              </w:rPr>
              <w:t>（1</w:t>
            </w:r>
            <w:r>
              <w:rPr>
                <w:rFonts w:hint="eastAsia" w:ascii="宋体" w:hAnsi="宋体" w:cs="宋体"/>
                <w:b/>
                <w:bCs/>
                <w:color w:val="auto"/>
                <w:sz w:val="22"/>
                <w:szCs w:val="22"/>
                <w:lang w:val="en-US" w:eastAsia="zh-CN"/>
              </w:rPr>
              <w:t>0</w:t>
            </w:r>
            <w:r>
              <w:rPr>
                <w:rFonts w:hint="eastAsia" w:ascii="宋体" w:hAnsi="宋体" w:eastAsia="宋体" w:cs="宋体"/>
                <w:b/>
                <w:bCs/>
                <w:color w:val="auto"/>
                <w:sz w:val="22"/>
                <w:szCs w:val="22"/>
                <w:lang w:val="en-US" w:eastAsia="zh-CN"/>
              </w:rPr>
              <w:t>分）：</w:t>
            </w:r>
          </w:p>
          <w:p w14:paraId="1A5E8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1、项目负责人：</w:t>
            </w:r>
          </w:p>
          <w:p w14:paraId="0E59E6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具有建筑相关高级或以上职</w:t>
            </w:r>
            <w:r>
              <w:rPr>
                <w:rFonts w:hint="eastAsia" w:ascii="宋体" w:hAnsi="宋体" w:cs="宋体"/>
                <w:i w:val="0"/>
                <w:iCs w:val="0"/>
                <w:color w:val="auto"/>
                <w:sz w:val="24"/>
                <w:szCs w:val="24"/>
                <w:highlight w:val="none"/>
                <w:lang w:val="en-US" w:eastAsia="zh-CN"/>
              </w:rPr>
              <w:t>称</w:t>
            </w:r>
            <w:r>
              <w:rPr>
                <w:rFonts w:hint="eastAsia" w:ascii="宋体" w:hAnsi="宋体" w:eastAsia="宋体" w:cs="宋体"/>
                <w:i w:val="0"/>
                <w:iCs w:val="0"/>
                <w:color w:val="auto"/>
                <w:sz w:val="24"/>
                <w:szCs w:val="24"/>
                <w:highlight w:val="none"/>
                <w:lang w:val="en-US" w:eastAsia="zh-CN"/>
              </w:rPr>
              <w:t>，同时具备一级注册建筑师资格加5分。</w:t>
            </w:r>
          </w:p>
          <w:p w14:paraId="0D0FF97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结构专业负责人：</w:t>
            </w:r>
          </w:p>
          <w:p w14:paraId="0395644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具有结构相关高级或以上职</w:t>
            </w:r>
            <w:r>
              <w:rPr>
                <w:rFonts w:hint="eastAsia" w:ascii="宋体" w:hAnsi="宋体" w:cs="宋体"/>
                <w:i w:val="0"/>
                <w:iCs w:val="0"/>
                <w:color w:val="auto"/>
                <w:sz w:val="24"/>
                <w:szCs w:val="24"/>
                <w:highlight w:val="none"/>
                <w:lang w:val="en-US" w:eastAsia="zh-CN"/>
              </w:rPr>
              <w:t>称</w:t>
            </w:r>
            <w:r>
              <w:rPr>
                <w:rFonts w:hint="eastAsia" w:ascii="宋体" w:hAnsi="宋体" w:eastAsia="宋体" w:cs="宋体"/>
                <w:i w:val="0"/>
                <w:iCs w:val="0"/>
                <w:color w:val="auto"/>
                <w:sz w:val="24"/>
                <w:szCs w:val="24"/>
                <w:highlight w:val="none"/>
                <w:lang w:val="en-US" w:eastAsia="zh-CN"/>
              </w:rPr>
              <w:t>，同时具备一级注册结构工程师资格加5分。</w:t>
            </w:r>
          </w:p>
          <w:p w14:paraId="04234DC5">
            <w:pPr>
              <w:widowControl/>
              <w:numPr>
                <w:ilvl w:val="0"/>
                <w:numId w:val="0"/>
              </w:numPr>
              <w:spacing w:line="300" w:lineRule="exact"/>
              <w:outlineLvl w:val="2"/>
              <w:rPr>
                <w:rFonts w:hint="eastAsia" w:ascii="宋体" w:hAnsi="宋体" w:eastAsia="宋体" w:cs="宋体"/>
                <w:color w:val="auto"/>
                <w:sz w:val="22"/>
                <w:szCs w:val="22"/>
              </w:rPr>
            </w:pPr>
            <w:r>
              <w:rPr>
                <w:rFonts w:hint="eastAsia" w:ascii="宋体" w:hAnsi="宋体" w:eastAsia="宋体" w:cs="宋体"/>
                <w:i w:val="0"/>
                <w:iCs w:val="0"/>
                <w:color w:val="auto"/>
                <w:sz w:val="24"/>
                <w:szCs w:val="24"/>
                <w:highlight w:val="none"/>
                <w:lang w:val="en-US" w:eastAsia="zh-CN"/>
              </w:rPr>
              <w:t>本项最高得10分。</w:t>
            </w:r>
          </w:p>
          <w:p w14:paraId="26BA1B81">
            <w:pPr>
              <w:widowControl/>
              <w:numPr>
                <w:ilvl w:val="0"/>
                <w:numId w:val="0"/>
              </w:numPr>
              <w:spacing w:line="300" w:lineRule="exact"/>
              <w:outlineLvl w:val="2"/>
              <w:rPr>
                <w:rFonts w:hint="eastAsia" w:ascii="宋体" w:hAnsi="宋体" w:eastAsia="宋体" w:cs="宋体"/>
                <w:color w:val="auto"/>
                <w:sz w:val="22"/>
                <w:szCs w:val="22"/>
                <w:lang w:val="en-US"/>
              </w:rPr>
            </w:pPr>
          </w:p>
        </w:tc>
        <w:tc>
          <w:tcPr>
            <w:tcW w:w="2094" w:type="dxa"/>
            <w:noWrap w:val="0"/>
            <w:vAlign w:val="center"/>
          </w:tcPr>
          <w:p w14:paraId="722328D5">
            <w:pPr>
              <w:widowControl/>
              <w:numPr>
                <w:ilvl w:val="0"/>
                <w:numId w:val="0"/>
              </w:numPr>
              <w:spacing w:line="300" w:lineRule="exact"/>
              <w:outlineLvl w:val="2"/>
              <w:rPr>
                <w:rFonts w:hint="eastAsia" w:ascii="宋体" w:hAnsi="宋体" w:eastAsia="宋体" w:cs="宋体"/>
                <w:color w:val="auto"/>
                <w:sz w:val="22"/>
                <w:szCs w:val="22"/>
                <w:lang w:eastAsia="zh-CN"/>
              </w:rPr>
            </w:pPr>
            <w:r>
              <w:rPr>
                <w:rFonts w:hint="eastAsia" w:ascii="宋体" w:hAnsi="宋体" w:eastAsia="宋体" w:cs="宋体"/>
                <w:color w:val="auto"/>
                <w:kern w:val="0"/>
                <w:sz w:val="22"/>
                <w:szCs w:val="22"/>
              </w:rPr>
              <w:t>提供</w:t>
            </w:r>
            <w:r>
              <w:rPr>
                <w:rFonts w:hint="eastAsia" w:ascii="宋体" w:hAnsi="宋体" w:cs="宋体"/>
                <w:color w:val="auto"/>
                <w:kern w:val="0"/>
                <w:sz w:val="22"/>
                <w:szCs w:val="22"/>
                <w:lang w:eastAsia="zh-CN"/>
              </w:rPr>
              <w:t>相关证书复印件，加盖公章。</w:t>
            </w:r>
          </w:p>
        </w:tc>
      </w:tr>
      <w:tr w14:paraId="3D49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734" w:type="dxa"/>
            <w:vMerge w:val="continue"/>
            <w:noWrap w:val="0"/>
            <w:vAlign w:val="center"/>
          </w:tcPr>
          <w:p w14:paraId="1BE03E03">
            <w:pPr>
              <w:spacing w:line="320" w:lineRule="exact"/>
              <w:jc w:val="center"/>
              <w:rPr>
                <w:rFonts w:hint="eastAsia" w:ascii="宋体" w:hAnsi="宋体" w:eastAsia="宋体" w:cs="宋体"/>
                <w:color w:val="auto"/>
                <w:sz w:val="22"/>
                <w:szCs w:val="22"/>
              </w:rPr>
            </w:pPr>
          </w:p>
        </w:tc>
        <w:tc>
          <w:tcPr>
            <w:tcW w:w="1230" w:type="dxa"/>
            <w:vMerge w:val="continue"/>
            <w:noWrap w:val="0"/>
            <w:vAlign w:val="center"/>
          </w:tcPr>
          <w:p w14:paraId="7F57FB81">
            <w:pPr>
              <w:spacing w:line="320" w:lineRule="exact"/>
              <w:rPr>
                <w:rFonts w:hint="eastAsia" w:ascii="宋体" w:hAnsi="宋体" w:eastAsia="宋体" w:cs="宋体"/>
                <w:color w:val="auto"/>
                <w:sz w:val="22"/>
                <w:szCs w:val="22"/>
              </w:rPr>
            </w:pPr>
          </w:p>
        </w:tc>
        <w:tc>
          <w:tcPr>
            <w:tcW w:w="1095" w:type="dxa"/>
            <w:vMerge w:val="continue"/>
            <w:noWrap w:val="0"/>
            <w:vAlign w:val="center"/>
          </w:tcPr>
          <w:p w14:paraId="1258FD65">
            <w:pPr>
              <w:widowControl/>
              <w:spacing w:line="300" w:lineRule="exact"/>
              <w:outlineLvl w:val="2"/>
              <w:rPr>
                <w:rFonts w:hint="eastAsia" w:ascii="宋体" w:hAnsi="宋体" w:eastAsia="宋体" w:cs="宋体"/>
                <w:color w:val="auto"/>
                <w:sz w:val="22"/>
                <w:szCs w:val="22"/>
              </w:rPr>
            </w:pPr>
          </w:p>
        </w:tc>
        <w:tc>
          <w:tcPr>
            <w:tcW w:w="5177" w:type="dxa"/>
            <w:noWrap w:val="0"/>
            <w:vAlign w:val="center"/>
          </w:tcPr>
          <w:p w14:paraId="2BB97BDD">
            <w:pPr>
              <w:keepNext w:val="0"/>
              <w:keepLines w:val="0"/>
              <w:pageBreakBefore w:val="0"/>
              <w:widowControl w:val="0"/>
              <w:kinsoku/>
              <w:wordWrap/>
              <w:overflowPunct/>
              <w:topLinePunct w:val="0"/>
              <w:autoSpaceDE/>
              <w:autoSpaceDN/>
              <w:bidi w:val="0"/>
              <w:adjustRightInd/>
              <w:snapToGrid/>
              <w:spacing w:line="360" w:lineRule="auto"/>
              <w:ind w:firstLine="221" w:firstLineChars="100"/>
              <w:jc w:val="left"/>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2.</w:t>
            </w:r>
            <w:r>
              <w:rPr>
                <w:rFonts w:hint="eastAsia" w:ascii="宋体" w:hAnsi="宋体" w:cs="宋体"/>
                <w:b/>
                <w:bCs/>
                <w:color w:val="auto"/>
                <w:sz w:val="22"/>
                <w:szCs w:val="22"/>
                <w:lang w:val="en-US" w:eastAsia="zh-CN"/>
              </w:rPr>
              <w:t>履约能力</w:t>
            </w:r>
            <w:r>
              <w:rPr>
                <w:rFonts w:hint="eastAsia" w:ascii="宋体" w:hAnsi="宋体" w:eastAsia="宋体" w:cs="宋体"/>
                <w:b/>
                <w:bCs/>
                <w:color w:val="auto"/>
                <w:sz w:val="22"/>
                <w:szCs w:val="22"/>
                <w:lang w:val="en-US" w:eastAsia="zh-CN"/>
              </w:rPr>
              <w:t>（</w:t>
            </w:r>
            <w:r>
              <w:rPr>
                <w:rFonts w:hint="eastAsia" w:ascii="宋体" w:hAnsi="宋体" w:cs="宋体"/>
                <w:b/>
                <w:bCs/>
                <w:color w:val="auto"/>
                <w:sz w:val="22"/>
                <w:szCs w:val="22"/>
                <w:lang w:val="en-US" w:eastAsia="zh-CN"/>
              </w:rPr>
              <w:t>4</w:t>
            </w:r>
            <w:r>
              <w:rPr>
                <w:rFonts w:hint="eastAsia" w:ascii="宋体" w:hAnsi="宋体" w:eastAsia="宋体" w:cs="宋体"/>
                <w:b/>
                <w:bCs/>
                <w:color w:val="auto"/>
                <w:sz w:val="22"/>
                <w:szCs w:val="22"/>
                <w:lang w:val="en-US" w:eastAsia="zh-CN"/>
              </w:rPr>
              <w:t>分）：</w:t>
            </w:r>
          </w:p>
          <w:p w14:paraId="141FEBB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提供20</w:t>
            </w:r>
            <w:r>
              <w:rPr>
                <w:rFonts w:hint="eastAsia" w:ascii="宋体" w:hAnsi="宋体" w:eastAsia="宋体" w:cs="宋体"/>
                <w:color w:val="auto"/>
                <w:sz w:val="24"/>
                <w:lang w:val="en-US" w:eastAsia="zh-CN"/>
              </w:rPr>
              <w:t>22</w:t>
            </w:r>
            <w:r>
              <w:rPr>
                <w:rFonts w:hint="eastAsia" w:ascii="宋体" w:hAnsi="宋体" w:eastAsia="宋体" w:cs="宋体"/>
                <w:color w:val="auto"/>
                <w:sz w:val="24"/>
              </w:rPr>
              <w:t>年01月01日（含）以来类似本项目业绩的，每提供一个得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分，本项最多</w:t>
            </w:r>
            <w:r>
              <w:rPr>
                <w:rFonts w:hint="eastAsia" w:ascii="宋体" w:hAnsi="宋体" w:eastAsia="宋体" w:cs="宋体"/>
                <w:color w:val="auto"/>
                <w:sz w:val="24"/>
                <w:lang w:val="en-US" w:eastAsia="zh-CN"/>
              </w:rPr>
              <w:t>4</w:t>
            </w:r>
            <w:r>
              <w:rPr>
                <w:rFonts w:hint="eastAsia" w:ascii="宋体" w:hAnsi="宋体" w:eastAsia="宋体" w:cs="宋体"/>
                <w:color w:val="auto"/>
                <w:sz w:val="24"/>
              </w:rPr>
              <w:t>分。未提供不得分。</w:t>
            </w:r>
          </w:p>
          <w:p w14:paraId="48BC286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bCs/>
                <w:color w:val="auto"/>
                <w:sz w:val="22"/>
                <w:szCs w:val="22"/>
                <w:lang w:val="en-US" w:eastAsia="zh-CN"/>
              </w:rPr>
            </w:pPr>
            <w:r>
              <w:rPr>
                <w:rFonts w:hint="eastAsia" w:ascii="宋体" w:hAnsi="宋体" w:eastAsia="宋体" w:cs="宋体"/>
                <w:color w:val="auto"/>
                <w:sz w:val="24"/>
                <w:szCs w:val="24"/>
                <w:lang w:val="en-US" w:eastAsia="zh-CN"/>
              </w:rPr>
              <w:t>类似业绩指：建设工程</w:t>
            </w:r>
            <w:r>
              <w:rPr>
                <w:rFonts w:hint="eastAsia" w:ascii="宋体" w:hAnsi="宋体" w:eastAsia="宋体" w:cs="宋体"/>
                <w:color w:val="auto"/>
                <w:kern w:val="2"/>
                <w:sz w:val="24"/>
                <w:szCs w:val="32"/>
                <w:highlight w:val="none"/>
                <w:lang w:val="en-US" w:eastAsia="zh-CN" w:bidi="ar-SA"/>
              </w:rPr>
              <w:t>初步</w:t>
            </w:r>
            <w:r>
              <w:rPr>
                <w:rFonts w:hint="eastAsia" w:ascii="宋体" w:hAnsi="宋体" w:eastAsia="宋体" w:cs="宋体"/>
                <w:color w:val="auto"/>
                <w:sz w:val="24"/>
                <w:szCs w:val="24"/>
                <w:lang w:val="en-US" w:eastAsia="zh-CN"/>
              </w:rPr>
              <w:t>设计。</w:t>
            </w:r>
          </w:p>
        </w:tc>
        <w:tc>
          <w:tcPr>
            <w:tcW w:w="2094" w:type="dxa"/>
            <w:noWrap w:val="0"/>
            <w:vAlign w:val="center"/>
          </w:tcPr>
          <w:p w14:paraId="4DF4BA3A">
            <w:pPr>
              <w:widowControl/>
              <w:numPr>
                <w:ilvl w:val="0"/>
                <w:numId w:val="0"/>
              </w:numPr>
              <w:spacing w:line="300" w:lineRule="exact"/>
              <w:outlineLvl w:val="2"/>
              <w:rPr>
                <w:rFonts w:hint="eastAsia" w:ascii="宋体" w:hAnsi="宋体" w:eastAsia="宋体" w:cs="宋体"/>
                <w:color w:val="auto"/>
                <w:sz w:val="22"/>
                <w:szCs w:val="22"/>
              </w:rPr>
            </w:pPr>
            <w:r>
              <w:rPr>
                <w:rFonts w:hint="eastAsia" w:ascii="宋体" w:hAnsi="宋体" w:eastAsia="宋体" w:cs="宋体"/>
                <w:color w:val="auto"/>
                <w:sz w:val="24"/>
                <w:szCs w:val="24"/>
                <w:lang w:val="en-US" w:eastAsia="zh-CN"/>
              </w:rPr>
              <w:t>以供应商提供的合同或中标或成交通知书复印件，加盖供应商单位公章，未提供不得分。</w:t>
            </w:r>
          </w:p>
        </w:tc>
      </w:tr>
    </w:tbl>
    <w:p w14:paraId="5ED7918C">
      <w:pPr>
        <w:rPr>
          <w:color w:val="auto"/>
          <w:sz w:val="24"/>
          <w:szCs w:val="18"/>
        </w:rPr>
      </w:pPr>
    </w:p>
    <w:p w14:paraId="7F9D60B7">
      <w:pPr>
        <w:snapToGrid w:val="0"/>
        <w:spacing w:line="400" w:lineRule="exact"/>
        <w:ind w:firstLine="465"/>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val="0"/>
          <w:bCs w:val="0"/>
          <w:color w:val="auto"/>
          <w:sz w:val="24"/>
          <w:szCs w:val="24"/>
          <w:highlight w:val="none"/>
          <w:lang w:eastAsia="zh-CN"/>
        </w:rPr>
        <w:t>（一）</w:t>
      </w:r>
      <w:r>
        <w:rPr>
          <w:rFonts w:hint="eastAsia" w:ascii="宋体" w:hAnsi="宋体" w:cs="宋体"/>
          <w:b w:val="0"/>
          <w:bCs w:val="0"/>
          <w:color w:val="auto"/>
          <w:sz w:val="24"/>
          <w:szCs w:val="24"/>
          <w:highlight w:val="none"/>
        </w:rPr>
        <w:t>政府采购异常低价问题有关事项的说明</w:t>
      </w:r>
    </w:p>
    <w:p w14:paraId="36EA08D8">
      <w:pPr>
        <w:snapToGrid w:val="0"/>
        <w:spacing w:line="400" w:lineRule="exact"/>
        <w:ind w:firstLine="465"/>
        <w:rPr>
          <w:rFonts w:hint="eastAsia" w:ascii="宋体" w:hAnsi="宋体" w:cs="宋体"/>
          <w:color w:val="auto"/>
          <w:sz w:val="24"/>
          <w:szCs w:val="24"/>
          <w:highlight w:val="none"/>
          <w:lang w:bidi="ar"/>
        </w:rPr>
      </w:pPr>
      <w:r>
        <w:rPr>
          <w:rFonts w:hint="eastAsia" w:ascii="宋体" w:hAnsi="宋体" w:cs="宋体"/>
          <w:color w:val="auto"/>
          <w:sz w:val="24"/>
          <w:szCs w:val="24"/>
          <w:highlight w:val="none"/>
        </w:rPr>
        <w:t>1.根据《关于推动解决政府采购异常低价问题的通知》财库〔2026〕2号文件规定，</w:t>
      </w:r>
      <w:r>
        <w:rPr>
          <w:rFonts w:hint="eastAsia" w:ascii="宋体" w:hAnsi="宋体" w:cs="宋体"/>
          <w:color w:val="auto"/>
          <w:sz w:val="24"/>
          <w:szCs w:val="24"/>
          <w:highlight w:val="none"/>
          <w:lang w:bidi="ar"/>
        </w:rPr>
        <w:t>政府采购评审中出现下列情形之一的，评标委员会应当启动异常低价投标审查程序：</w:t>
      </w:r>
    </w:p>
    <w:p w14:paraId="18DACA4E">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1 投标报价低于全部通过符合性审查投标人投标报价平均值50%的，即投标报价＜全部通过符合性审查投标人投标报价平均值×50%；</w:t>
      </w:r>
    </w:p>
    <w:p w14:paraId="040848EF">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2 投标报价低于通过符合性审查的次低报价投标人投标报价50%的，即投标报价＜通过符合性审查的次低报价投标人投标报价×50%；</w:t>
      </w:r>
    </w:p>
    <w:p w14:paraId="0DCAA22B">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3 投标报价低于采购项目最高限价45%的，即投标报价＜采购项目最高限价×45%；</w:t>
      </w:r>
    </w:p>
    <w:p w14:paraId="5B8FA1B1">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4 评标委员会基于专业判断，认为投标人报价过低，有可能影响产品质量或者不能诚信履约的其他情形。</w:t>
      </w:r>
    </w:p>
    <w:p w14:paraId="116D73FF">
      <w:pPr>
        <w:widowControl/>
        <w:snapToGrid w:val="0"/>
        <w:spacing w:line="400" w:lineRule="exact"/>
        <w:ind w:firstLine="465"/>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526D64C9">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6B26BAB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三、无效响应</w:t>
      </w:r>
    </w:p>
    <w:p w14:paraId="47D620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供应商发生以下条款情况之一者，视为无效报价：</w:t>
      </w:r>
    </w:p>
    <w:p w14:paraId="7CAB96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5DC78D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4B94F2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（三）供应商所提交的响应文件未按竞选文件要求签署或盖章的；</w:t>
      </w:r>
    </w:p>
    <w:p w14:paraId="2C2FF7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472F0D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3344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699D2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和竞采邀请书规定的其他无效情形。</w:t>
      </w:r>
    </w:p>
    <w:p w14:paraId="463C87E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四、采购终止</w:t>
      </w:r>
    </w:p>
    <w:p w14:paraId="1B36E4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23FB94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0580B7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361A1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75EC5DBD">
      <w:pPr>
        <w:snapToGrid w:val="0"/>
        <w:spacing w:line="360" w:lineRule="auto"/>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（四）项目出现其他实质性影响，可能导致项目无法正常开展的情形。</w:t>
      </w:r>
    </w:p>
    <w:p w14:paraId="61A9434C">
      <w:pPr>
        <w:jc w:val="center"/>
        <w:rPr>
          <w:rFonts w:hint="eastAsia" w:ascii="宋体" w:hAnsi="宋体" w:eastAsia="宋体" w:cs="宋体"/>
          <w:b/>
          <w:bCs/>
          <w:color w:val="auto"/>
          <w:sz w:val="36"/>
          <w:szCs w:val="36"/>
          <w:highlight w:val="none"/>
        </w:rPr>
      </w:pPr>
      <w:bookmarkStart w:id="61" w:name="_Toc16203"/>
    </w:p>
    <w:p w14:paraId="165EA470">
      <w:pPr>
        <w:jc w:val="center"/>
        <w:rPr>
          <w:rFonts w:hint="eastAsia" w:ascii="宋体" w:hAnsi="宋体" w:eastAsia="宋体" w:cs="宋体"/>
          <w:b/>
          <w:bCs/>
          <w:color w:val="auto"/>
          <w:sz w:val="36"/>
          <w:szCs w:val="36"/>
          <w:highlight w:val="none"/>
        </w:rPr>
      </w:pPr>
      <w:bookmarkStart w:id="138" w:name="_GoBack"/>
      <w:bookmarkEnd w:id="138"/>
    </w:p>
    <w:p w14:paraId="04757B06">
      <w:pPr>
        <w:jc w:val="center"/>
        <w:rPr>
          <w:rFonts w:hint="eastAsia" w:ascii="宋体" w:hAnsi="宋体" w:eastAsia="宋体" w:cs="宋体"/>
          <w:b/>
          <w:bCs/>
          <w:color w:val="auto"/>
          <w:sz w:val="36"/>
          <w:szCs w:val="36"/>
          <w:highlight w:val="none"/>
        </w:rPr>
      </w:pPr>
    </w:p>
    <w:p w14:paraId="1890AD0A">
      <w:pPr>
        <w:jc w:val="center"/>
        <w:rPr>
          <w:rFonts w:hint="eastAsia" w:ascii="宋体" w:hAnsi="宋体" w:eastAsia="宋体" w:cs="宋体"/>
          <w:b/>
          <w:bCs/>
          <w:color w:val="auto"/>
          <w:sz w:val="36"/>
          <w:szCs w:val="36"/>
          <w:highlight w:val="none"/>
        </w:rPr>
      </w:pPr>
    </w:p>
    <w:p w14:paraId="412D0489">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第五篇  供应商须知</w:t>
      </w:r>
      <w:bookmarkEnd w:id="57"/>
      <w:bookmarkEnd w:id="58"/>
      <w:bookmarkEnd w:id="59"/>
      <w:bookmarkEnd w:id="61"/>
    </w:p>
    <w:p w14:paraId="73CB0154">
      <w:pPr>
        <w:pStyle w:val="31"/>
        <w:ind w:firstLine="482"/>
        <w:rPr>
          <w:rFonts w:hint="eastAsia" w:ascii="宋体" w:hAnsi="宋体" w:eastAsia="宋体" w:cs="宋体"/>
          <w:b/>
          <w:bCs/>
          <w:color w:val="auto"/>
          <w:szCs w:val="28"/>
          <w:highlight w:val="none"/>
        </w:rPr>
      </w:pPr>
      <w:bookmarkStart w:id="62" w:name="_Toc342913389"/>
      <w:bookmarkStart w:id="63" w:name="_Toc106030893"/>
      <w:bookmarkStart w:id="64" w:name="_Toc76462338"/>
      <w:r>
        <w:rPr>
          <w:rFonts w:hint="eastAsia" w:ascii="宋体" w:hAnsi="宋体" w:eastAsia="宋体" w:cs="宋体"/>
          <w:b/>
          <w:bCs/>
          <w:color w:val="auto"/>
          <w:szCs w:val="28"/>
          <w:highlight w:val="none"/>
        </w:rPr>
        <w:t>一、竞采费用</w:t>
      </w:r>
      <w:bookmarkEnd w:id="62"/>
      <w:bookmarkEnd w:id="63"/>
      <w:bookmarkEnd w:id="64"/>
    </w:p>
    <w:p w14:paraId="49451A06">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参与竞采的供应商应承担其编制响应文件与递交响应文件所涉及的一切费用，不论竞采结果如何由供应商自行承担。</w:t>
      </w:r>
    </w:p>
    <w:p w14:paraId="35E540FD">
      <w:pPr>
        <w:pStyle w:val="31"/>
        <w:ind w:firstLine="482"/>
        <w:rPr>
          <w:rFonts w:hint="eastAsia" w:ascii="宋体" w:hAnsi="宋体" w:eastAsia="宋体" w:cs="宋体"/>
          <w:b/>
          <w:bCs/>
          <w:color w:val="auto"/>
          <w:szCs w:val="28"/>
          <w:highlight w:val="none"/>
        </w:rPr>
      </w:pPr>
      <w:bookmarkStart w:id="65" w:name="_Toc342913391"/>
      <w:bookmarkStart w:id="66" w:name="_Toc106030894"/>
      <w:bookmarkStart w:id="67" w:name="_Toc76462339"/>
      <w:r>
        <w:rPr>
          <w:rFonts w:hint="eastAsia" w:ascii="宋体" w:hAnsi="宋体" w:eastAsia="宋体" w:cs="宋体"/>
          <w:b/>
          <w:bCs/>
          <w:color w:val="auto"/>
          <w:szCs w:val="28"/>
          <w:highlight w:val="none"/>
        </w:rPr>
        <w:t>二、竞采文件</w:t>
      </w:r>
      <w:bookmarkEnd w:id="65"/>
      <w:bookmarkEnd w:id="66"/>
      <w:bookmarkEnd w:id="67"/>
    </w:p>
    <w:p w14:paraId="6B557EFF">
      <w:pPr>
        <w:pStyle w:val="31"/>
        <w:ind w:firstLine="480"/>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（一）</w:t>
      </w:r>
      <w:r>
        <w:rPr>
          <w:rFonts w:hint="eastAsia" w:ascii="宋体" w:hAnsi="宋体" w:eastAsia="宋体" w:cs="宋体"/>
          <w:b/>
          <w:bCs/>
          <w:color w:val="auto"/>
          <w:szCs w:val="28"/>
          <w:highlight w:val="none"/>
        </w:rPr>
        <w:t>竞采文件由采购邀请书、</w:t>
      </w:r>
      <w:r>
        <w:rPr>
          <w:rFonts w:hint="eastAsia" w:ascii="宋体" w:hAnsi="宋体" w:eastAsia="宋体" w:cs="宋体"/>
          <w:b/>
          <w:bCs/>
          <w:color w:val="auto"/>
          <w:szCs w:val="28"/>
          <w:highlight w:val="none"/>
          <w:lang w:eastAsia="zh-CN"/>
        </w:rPr>
        <w:t>项目技术需求</w:t>
      </w:r>
      <w:r>
        <w:rPr>
          <w:rFonts w:hint="eastAsia" w:ascii="宋体" w:hAnsi="宋体" w:eastAsia="宋体" w:cs="宋体"/>
          <w:b/>
          <w:bCs/>
          <w:color w:val="auto"/>
          <w:szCs w:val="28"/>
          <w:highlight w:val="none"/>
        </w:rPr>
        <w:t>、供应商须知、项目商务需求、竞采程序及评审标准、采购合同、响应文件编制要求七部分组成。</w:t>
      </w:r>
    </w:p>
    <w:p w14:paraId="6516849B">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（二）采购人（或采购代理机构）所作的一切有效的书面通知、修改及补充，都是竞采文件不可分割的部分。</w:t>
      </w:r>
    </w:p>
    <w:p w14:paraId="1844A990">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（三）竞采文件的解释</w:t>
      </w:r>
    </w:p>
    <w:p w14:paraId="5E1218D2">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68" w:name="_Toc318159160"/>
      <w:bookmarkStart w:id="69" w:name="_Toc318166429"/>
      <w:bookmarkStart w:id="70" w:name="_Toc318159349"/>
      <w:bookmarkStart w:id="71" w:name="_Toc318159780"/>
    </w:p>
    <w:p w14:paraId="52243F76">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（四）评审的依据为竞采文件和响应文件（含有效的书面承诺）。评审小组判断响应文件对竞采文件的响应，仅基于响应文件本身而不靠外部证据。</w:t>
      </w:r>
    </w:p>
    <w:bookmarkEnd w:id="68"/>
    <w:bookmarkEnd w:id="69"/>
    <w:bookmarkEnd w:id="70"/>
    <w:bookmarkEnd w:id="71"/>
    <w:p w14:paraId="5B672321">
      <w:pPr>
        <w:pStyle w:val="31"/>
        <w:ind w:firstLine="482"/>
        <w:rPr>
          <w:rFonts w:hint="eastAsia" w:ascii="宋体" w:hAnsi="宋体" w:eastAsia="宋体" w:cs="宋体"/>
          <w:b/>
          <w:bCs/>
          <w:color w:val="auto"/>
          <w:szCs w:val="28"/>
          <w:highlight w:val="none"/>
        </w:rPr>
      </w:pPr>
      <w:bookmarkStart w:id="72" w:name="_Toc76462340"/>
      <w:bookmarkStart w:id="73" w:name="_Toc102227318"/>
      <w:bookmarkStart w:id="74" w:name="_Toc179714297"/>
      <w:bookmarkStart w:id="75" w:name="_Toc106030895"/>
      <w:bookmarkStart w:id="76" w:name="_Toc342913392"/>
      <w:r>
        <w:rPr>
          <w:rFonts w:hint="eastAsia" w:ascii="宋体" w:hAnsi="宋体" w:eastAsia="宋体" w:cs="宋体"/>
          <w:b/>
          <w:bCs/>
          <w:color w:val="auto"/>
          <w:szCs w:val="28"/>
          <w:highlight w:val="none"/>
        </w:rPr>
        <w:t>三、竞采要求</w:t>
      </w:r>
      <w:bookmarkEnd w:id="72"/>
      <w:bookmarkEnd w:id="73"/>
      <w:bookmarkEnd w:id="74"/>
      <w:bookmarkEnd w:id="75"/>
      <w:bookmarkEnd w:id="76"/>
    </w:p>
    <w:p w14:paraId="3FE80D24">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（一）响应文件</w:t>
      </w:r>
    </w:p>
    <w:p w14:paraId="515FD136">
      <w:pPr>
        <w:pStyle w:val="31"/>
        <w:ind w:firstLine="480"/>
        <w:rPr>
          <w:rFonts w:hint="eastAsia" w:ascii="宋体" w:hAnsi="宋体" w:eastAsia="宋体" w:cs="宋体"/>
          <w:color w:val="auto"/>
          <w:sz w:val="48"/>
          <w:szCs w:val="48"/>
          <w:highlight w:val="none"/>
        </w:rPr>
      </w:pPr>
      <w:r>
        <w:rPr>
          <w:rFonts w:hint="eastAsia" w:ascii="宋体" w:hAnsi="宋体" w:eastAsia="宋体" w:cs="宋体"/>
          <w:color w:val="auto"/>
          <w:szCs w:val="28"/>
          <w:highlight w:val="none"/>
        </w:rPr>
        <w:t>1.供应商应当按照竞采文件的要求编制响应文件，并对竞采文件提出的要求和条件作出实质性响应。</w:t>
      </w:r>
    </w:p>
    <w:p w14:paraId="1D18A538">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2.响应文件组成</w:t>
      </w:r>
    </w:p>
    <w:p w14:paraId="66FABD35">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7EE5D1C">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（二）竞采有效期：响应文件及有关承诺文件有效期为提交响应文件截止时间起90天。</w:t>
      </w:r>
    </w:p>
    <w:p w14:paraId="1E3A1306">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（三）修正错误</w:t>
      </w:r>
    </w:p>
    <w:p w14:paraId="3B3F4CB9">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1.若供应商所递交的响应文件或最后报价中的价格出现大写金额和小写金额不一致的错误，以</w:t>
      </w:r>
      <w:r>
        <w:rPr>
          <w:rFonts w:hint="eastAsia" w:ascii="宋体" w:hAnsi="宋体" w:eastAsia="宋体" w:cs="宋体"/>
          <w:b/>
          <w:bCs/>
          <w:color w:val="auto"/>
          <w:szCs w:val="28"/>
          <w:highlight w:val="none"/>
          <w:u w:val="single"/>
        </w:rPr>
        <w:t>大写金额修正为准</w:t>
      </w:r>
      <w:r>
        <w:rPr>
          <w:rFonts w:hint="eastAsia" w:ascii="宋体" w:hAnsi="宋体" w:eastAsia="宋体" w:cs="宋体"/>
          <w:color w:val="auto"/>
          <w:szCs w:val="28"/>
          <w:highlight w:val="none"/>
        </w:rPr>
        <w:t>。</w:t>
      </w:r>
    </w:p>
    <w:p w14:paraId="2748AC87">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2.竞采小组按上述修正错误的原则及方法修正供应商的报价</w:t>
      </w:r>
      <w:r>
        <w:rPr>
          <w:rFonts w:hint="eastAsia" w:ascii="宋体" w:hAnsi="宋体" w:cs="宋体"/>
          <w:color w:val="auto"/>
          <w:szCs w:val="28"/>
          <w:highlight w:val="none"/>
          <w:lang w:eastAsia="zh-CN"/>
        </w:rPr>
        <w:t>，经</w:t>
      </w:r>
      <w:r>
        <w:rPr>
          <w:rFonts w:hint="eastAsia" w:ascii="宋体" w:hAnsi="宋体" w:eastAsia="宋体" w:cs="宋体"/>
          <w:color w:val="auto"/>
          <w:szCs w:val="28"/>
          <w:highlight w:val="none"/>
        </w:rPr>
        <w:t>供应商同意并签字确认后，修正后的报价对供应商具有约束作用。如果供应商不接受修正后的价格，将失去成为成交供应商的资格。</w:t>
      </w:r>
    </w:p>
    <w:p w14:paraId="62BC2EED">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（四）提交响应文件的份数和签署</w:t>
      </w:r>
    </w:p>
    <w:p w14:paraId="193D9316">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b/>
          <w:bCs/>
          <w:color w:val="auto"/>
          <w:szCs w:val="28"/>
          <w:highlight w:val="none"/>
        </w:rPr>
        <w:t>响应文件电子文档一份，纸质档一正两副</w:t>
      </w:r>
      <w:r>
        <w:rPr>
          <w:rFonts w:hint="eastAsia" w:ascii="宋体" w:hAnsi="宋体" w:eastAsia="宋体" w:cs="宋体"/>
          <w:color w:val="auto"/>
          <w:szCs w:val="28"/>
          <w:highlight w:val="none"/>
        </w:rPr>
        <w:t>。</w:t>
      </w:r>
    </w:p>
    <w:p w14:paraId="26EAA2B1">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2.响应文件按竞采文件“第七篇响应文件编制要求”要求签署或盖章。</w:t>
      </w:r>
    </w:p>
    <w:p w14:paraId="16BDEC45">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（五）响应文件的递交</w:t>
      </w:r>
    </w:p>
    <w:p w14:paraId="3642ED42">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响应文件的电子文档应在有效报名时间段内，通过竞采系统在线提交，响应文件纸质件可通过现场递交或邮寄。</w:t>
      </w:r>
    </w:p>
    <w:p w14:paraId="21DF1B77">
      <w:pPr>
        <w:pStyle w:val="31"/>
        <w:ind w:firstLine="482"/>
        <w:rPr>
          <w:rFonts w:hint="eastAsia" w:ascii="宋体" w:hAnsi="宋体" w:eastAsia="宋体" w:cs="宋体"/>
          <w:b/>
          <w:bCs/>
          <w:color w:val="auto"/>
          <w:szCs w:val="28"/>
          <w:highlight w:val="none"/>
        </w:rPr>
      </w:pPr>
      <w:bookmarkStart w:id="77" w:name="_Toc76462341"/>
      <w:bookmarkStart w:id="78" w:name="_Toc106030896"/>
      <w:r>
        <w:rPr>
          <w:rFonts w:hint="eastAsia" w:ascii="宋体" w:hAnsi="宋体" w:eastAsia="宋体" w:cs="宋体"/>
          <w:b/>
          <w:bCs/>
          <w:color w:val="auto"/>
          <w:szCs w:val="28"/>
          <w:highlight w:val="none"/>
        </w:rPr>
        <w:t>四、成交供应商的确认和变更</w:t>
      </w:r>
      <w:bookmarkEnd w:id="77"/>
      <w:bookmarkEnd w:id="78"/>
    </w:p>
    <w:p w14:paraId="495B8925">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（一）成交供应商的确认</w:t>
      </w:r>
    </w:p>
    <w:p w14:paraId="1EA864DF">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采购人应当在5个工作日内，从评审报告提出的成交候选供应商中，按照排序由高到低的原则确定成交供应商。</w:t>
      </w:r>
    </w:p>
    <w:p w14:paraId="03B1693F">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（二）成交供应商的变更</w:t>
      </w:r>
    </w:p>
    <w:p w14:paraId="34B10F53">
      <w:pPr>
        <w:pStyle w:val="31"/>
        <w:ind w:firstLine="480"/>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成交供应商拒绝与采购人签订合同的，采购人可以按照评标报告推荐的成交候选供应商顺序，确定排名下一位的候选人为成交供应商，也可以重新开展竞采活动。</w:t>
      </w:r>
      <w:bookmarkStart w:id="79" w:name="_Toc342913395"/>
      <w:bookmarkStart w:id="80" w:name="_Toc102227321"/>
      <w:bookmarkStart w:id="81" w:name="_Toc76462342"/>
      <w:bookmarkStart w:id="82" w:name="_Toc106030897"/>
    </w:p>
    <w:p w14:paraId="4FE89935">
      <w:pPr>
        <w:pStyle w:val="31"/>
        <w:ind w:firstLine="482"/>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五、成交通知</w:t>
      </w:r>
      <w:bookmarkEnd w:id="79"/>
      <w:bookmarkEnd w:id="80"/>
      <w:bookmarkEnd w:id="81"/>
      <w:bookmarkEnd w:id="82"/>
    </w:p>
    <w:p w14:paraId="259C27CB">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（一）成交供应商确定后，采购人/代理机构将在行采家平台（wwwg.gec123.com）上发布成交结果公告。</w:t>
      </w:r>
    </w:p>
    <w:p w14:paraId="3041ADCC">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（二）结果公告发出同时，采购人/代理机构将以书面形式发出《成交通知书》。《成交通知书》一经发出即发生法律效力。</w:t>
      </w:r>
    </w:p>
    <w:p w14:paraId="7C7E1478">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（三）《成交通知书》作为签订合同的依据。</w:t>
      </w:r>
    </w:p>
    <w:p w14:paraId="02A6D16F">
      <w:pPr>
        <w:pStyle w:val="31"/>
        <w:ind w:firstLine="482"/>
        <w:rPr>
          <w:rFonts w:hint="eastAsia" w:ascii="宋体" w:hAnsi="宋体" w:eastAsia="宋体" w:cs="宋体"/>
          <w:b/>
          <w:bCs/>
          <w:color w:val="auto"/>
          <w:szCs w:val="28"/>
          <w:highlight w:val="none"/>
        </w:rPr>
      </w:pPr>
      <w:bookmarkStart w:id="83" w:name="_Toc76462343"/>
      <w:bookmarkStart w:id="84" w:name="_Toc106030898"/>
      <w:r>
        <w:rPr>
          <w:rFonts w:hint="eastAsia" w:ascii="宋体" w:hAnsi="宋体" w:eastAsia="宋体" w:cs="宋体"/>
          <w:b/>
          <w:bCs/>
          <w:color w:val="auto"/>
          <w:szCs w:val="28"/>
          <w:highlight w:val="none"/>
        </w:rPr>
        <w:t>六、关于质疑和投诉</w:t>
      </w:r>
      <w:bookmarkEnd w:id="83"/>
      <w:bookmarkEnd w:id="84"/>
    </w:p>
    <w:p w14:paraId="6AC67D4C">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（一）质疑</w:t>
      </w:r>
    </w:p>
    <w:p w14:paraId="15AF94EB">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供应商认为采购文件、采购过程和成交结果使自己的权益受到伤害的，可向采购人或采购代理机构以书面形式质疑。</w:t>
      </w:r>
    </w:p>
    <w:p w14:paraId="44C8F28A">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提出质疑的应当是参与所质疑项目采购活动的供应商。 </w:t>
      </w:r>
    </w:p>
    <w:p w14:paraId="346044AD">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1.质疑时限、内容</w:t>
      </w:r>
    </w:p>
    <w:p w14:paraId="79401ADD">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供应商认为采购文件、采购过程、成交结果使自己的权益受到损害的，可以在知道或者应知其权益受到损害之日起</w:t>
      </w:r>
      <w:r>
        <w:rPr>
          <w:rFonts w:hint="eastAsia" w:ascii="宋体" w:hAnsi="宋体" w:eastAsia="宋体" w:cs="宋体"/>
          <w:b/>
          <w:bCs/>
          <w:color w:val="auto"/>
          <w:szCs w:val="28"/>
          <w:highlight w:val="none"/>
        </w:rPr>
        <w:t>2</w:t>
      </w:r>
      <w:r>
        <w:rPr>
          <w:rFonts w:hint="eastAsia" w:ascii="宋体" w:hAnsi="宋体" w:eastAsia="宋体" w:cs="宋体"/>
          <w:color w:val="auto"/>
          <w:szCs w:val="28"/>
          <w:highlight w:val="none"/>
        </w:rPr>
        <w:t>个工作日内，以书面形式向采购人、采购代理机构提出质疑。</w:t>
      </w:r>
    </w:p>
    <w:p w14:paraId="0B4EC787">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1.2供应商提出质疑应当提交质疑函和必要的证明材料，质疑函应当包括下列内容：</w:t>
      </w:r>
    </w:p>
    <w:p w14:paraId="196DD707">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1.2.1供应商的名称、地址、联系人及联系电话；</w:t>
      </w:r>
    </w:p>
    <w:p w14:paraId="241BB3B3">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1.2.2质疑项目的名称、采购编号；</w:t>
      </w:r>
    </w:p>
    <w:p w14:paraId="529F77C7">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1.2.3具体、明确的质疑事项和与质疑事项相关的请求；</w:t>
      </w:r>
    </w:p>
    <w:p w14:paraId="108BFD15">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1.2.4事实依据；</w:t>
      </w:r>
    </w:p>
    <w:p w14:paraId="4611C20C">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1.2.5必要的法律依据；</w:t>
      </w:r>
    </w:p>
    <w:p w14:paraId="6A334F09">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1.2.6提出质疑的日期；</w:t>
      </w:r>
    </w:p>
    <w:p w14:paraId="4BE5E9FA">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1.2.7营业执照（或事业单位法人证书，或个体工商户营业执照或有效的自然人身份证明）复印件；</w:t>
      </w:r>
    </w:p>
    <w:p w14:paraId="186D1430">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1.2.8法定代表人授权委托书原件、法定代表人身份证复印件和其授权代表人的身份证复印件（供应商为自然人的提供自然人身份证复印件）；</w:t>
      </w:r>
    </w:p>
    <w:p w14:paraId="2BC1CBD1">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1.3供应商为自然人的，质疑函应当由本人签字；供应商为法人或者其他组织的，质疑函应当由法定代表人、主要负责人，或者其授权代表签字或者盖章，并加盖公章。</w:t>
      </w:r>
    </w:p>
    <w:p w14:paraId="4000E8F8">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2.质疑答复</w:t>
      </w:r>
    </w:p>
    <w:p w14:paraId="7AFB8964">
      <w:pPr>
        <w:pStyle w:val="31"/>
        <w:ind w:firstLine="480"/>
        <w:rPr>
          <w:rFonts w:hint="eastAsia" w:ascii="宋体" w:hAnsi="宋体" w:eastAsia="宋体" w:cs="宋体"/>
          <w:b/>
          <w:bCs/>
          <w:color w:val="auto"/>
          <w:sz w:val="48"/>
          <w:szCs w:val="48"/>
          <w:highlight w:val="none"/>
        </w:rPr>
      </w:pPr>
      <w:r>
        <w:rPr>
          <w:rFonts w:hint="eastAsia" w:ascii="宋体" w:hAnsi="宋体" w:eastAsia="宋体" w:cs="宋体"/>
          <w:color w:val="auto"/>
          <w:szCs w:val="28"/>
          <w:highlight w:val="none"/>
        </w:rPr>
        <w:t>采购人、采购代理机构应当在收到供应商的书面质疑后2个工作日内作出答复，并以书面形式通知质疑供应商和其他有关供应商。</w:t>
      </w:r>
    </w:p>
    <w:p w14:paraId="4331061C">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（二）投诉</w:t>
      </w:r>
    </w:p>
    <w:p w14:paraId="28451E55">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1.供应商对采购人、采购代理机构的答复不满意，或者采购人、采购代理机构未在规定时间内作出答复的，可以在答复期满后2个工作日内</w:t>
      </w:r>
      <w:r>
        <w:rPr>
          <w:rFonts w:hint="eastAsia" w:ascii="宋体" w:hAnsi="宋体" w:eastAsia="宋体" w:cs="宋体"/>
          <w:b/>
          <w:bCs/>
          <w:color w:val="auto"/>
          <w:szCs w:val="28"/>
          <w:highlight w:val="none"/>
          <w:u w:val="single"/>
        </w:rPr>
        <w:t>按照平台相关规则规定向平台运营方</w:t>
      </w:r>
      <w:r>
        <w:rPr>
          <w:rFonts w:hint="eastAsia" w:ascii="宋体" w:hAnsi="宋体" w:eastAsia="宋体" w:cs="宋体"/>
          <w:color w:val="auto"/>
          <w:szCs w:val="28"/>
          <w:highlight w:val="none"/>
        </w:rPr>
        <w:t>提起投诉。</w:t>
      </w:r>
    </w:p>
    <w:p w14:paraId="04835927">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2.在确定受理投诉后，</w:t>
      </w:r>
      <w:r>
        <w:rPr>
          <w:rFonts w:hint="eastAsia" w:ascii="宋体" w:hAnsi="宋体" w:eastAsia="宋体" w:cs="宋体"/>
          <w:b/>
          <w:bCs/>
          <w:color w:val="auto"/>
          <w:szCs w:val="28"/>
          <w:highlight w:val="none"/>
          <w:u w:val="single"/>
        </w:rPr>
        <w:t>平台运营方自受理投诉之日起7个工作日内</w:t>
      </w:r>
      <w:r>
        <w:rPr>
          <w:rFonts w:hint="eastAsia" w:ascii="宋体" w:hAnsi="宋体" w:eastAsia="宋体" w:cs="宋体"/>
          <w:color w:val="auto"/>
          <w:szCs w:val="28"/>
          <w:highlight w:val="none"/>
        </w:rPr>
        <w:t>（需要检验、检测、鉴定、专家评审以及需要投诉人补正材料的，所需时间不计算在投诉处理期限内）对投诉事项做出处理决定。</w:t>
      </w:r>
    </w:p>
    <w:p w14:paraId="658B6C10">
      <w:pPr>
        <w:pStyle w:val="31"/>
        <w:ind w:firstLine="482"/>
        <w:rPr>
          <w:rFonts w:hint="eastAsia" w:ascii="宋体" w:hAnsi="宋体" w:eastAsia="宋体" w:cs="宋体"/>
          <w:b/>
          <w:bCs/>
          <w:color w:val="auto"/>
          <w:szCs w:val="28"/>
          <w:highlight w:val="none"/>
        </w:rPr>
      </w:pPr>
      <w:bookmarkStart w:id="85" w:name="_Toc106030899"/>
      <w:bookmarkStart w:id="86" w:name="_Toc76462344"/>
      <w:r>
        <w:rPr>
          <w:rFonts w:hint="eastAsia" w:ascii="宋体" w:hAnsi="宋体" w:eastAsia="宋体" w:cs="宋体"/>
          <w:b/>
          <w:bCs/>
          <w:color w:val="auto"/>
          <w:szCs w:val="28"/>
          <w:highlight w:val="none"/>
        </w:rPr>
        <w:t>七、采购代理服务费</w:t>
      </w:r>
      <w:bookmarkEnd w:id="85"/>
      <w:bookmarkEnd w:id="86"/>
    </w:p>
    <w:p w14:paraId="6716DCBB">
      <w:pPr>
        <w:spacing w:line="400" w:lineRule="exact"/>
        <w:ind w:firstLine="480" w:firstLineChars="200"/>
        <w:rPr>
          <w:rFonts w:hint="eastAsia" w:ascii="宋体" w:hAnsi="宋体" w:eastAsia="宋体" w:cs="宋体"/>
          <w:color w:val="auto"/>
          <w:sz w:val="24"/>
          <w:highlight w:val="none"/>
        </w:rPr>
      </w:pPr>
      <w:bookmarkStart w:id="87" w:name="OLE_LINK8"/>
      <w:bookmarkStart w:id="88" w:name="OLE_LINK7"/>
      <w:bookmarkStart w:id="89" w:name="_Toc102227322"/>
      <w:bookmarkStart w:id="90" w:name="_Toc342913396"/>
      <w:bookmarkStart w:id="91" w:name="_Toc76462346"/>
      <w:bookmarkStart w:id="92" w:name="_Toc106030901"/>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代理服务费，采购代理服务费为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000元人民币。</w:t>
      </w:r>
    </w:p>
    <w:p w14:paraId="629B9D7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2、服务费以现金、转账等形式支付。</w:t>
      </w:r>
    </w:p>
    <w:p w14:paraId="06F4D8D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3、采购代理服务费缴纳账户信息：</w:t>
      </w:r>
    </w:p>
    <w:p w14:paraId="7A2E83B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户  名：同致诚工程咨询有限公司 </w:t>
      </w:r>
    </w:p>
    <w:p w14:paraId="657F1F3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开户行：招商银行重庆分行营业部</w:t>
      </w:r>
    </w:p>
    <w:p w14:paraId="58DDCCB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账号：123905532310301</w:t>
      </w:r>
    </w:p>
    <w:bookmarkEnd w:id="87"/>
    <w:bookmarkEnd w:id="88"/>
    <w:p w14:paraId="4D837237">
      <w:pPr>
        <w:pStyle w:val="31"/>
        <w:ind w:firstLine="482"/>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八、签订</w:t>
      </w:r>
      <w:bookmarkEnd w:id="89"/>
      <w:r>
        <w:rPr>
          <w:rFonts w:hint="eastAsia" w:ascii="宋体" w:hAnsi="宋体" w:eastAsia="宋体" w:cs="宋体"/>
          <w:b/>
          <w:bCs/>
          <w:color w:val="auto"/>
          <w:szCs w:val="28"/>
          <w:highlight w:val="none"/>
        </w:rPr>
        <w:t>合同</w:t>
      </w:r>
      <w:bookmarkEnd w:id="90"/>
      <w:bookmarkEnd w:id="91"/>
      <w:bookmarkEnd w:id="92"/>
    </w:p>
    <w:p w14:paraId="413EA70C">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（一）采购人原则上应在结果公告发出之日起</w:t>
      </w:r>
      <w:r>
        <w:rPr>
          <w:rFonts w:hint="eastAsia" w:ascii="宋体" w:hAnsi="宋体" w:eastAsia="宋体" w:cs="宋体"/>
          <w:color w:val="auto"/>
          <w:szCs w:val="28"/>
          <w:highlight w:val="none"/>
          <w:lang w:val="en-US" w:eastAsia="zh-CN"/>
        </w:rPr>
        <w:t>20</w:t>
      </w:r>
      <w:r>
        <w:rPr>
          <w:rFonts w:hint="eastAsia" w:ascii="宋体" w:hAnsi="宋体" w:eastAsia="宋体" w:cs="宋体"/>
          <w:color w:val="auto"/>
          <w:szCs w:val="28"/>
          <w:highlight w:val="none"/>
        </w:rPr>
        <w:t>日内和成交供应商签订采购合同，无正当理由不得拒绝或拖延合同签订。所签订的合同不得对竞采文件和供应商的响应文件作实质性修改。其他未尽事宜由采购人和成交供应商在采购合同中详细约定。</w:t>
      </w:r>
    </w:p>
    <w:p w14:paraId="14D95A62">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（二）竞采文件、供应商的响应文件及澄清文件等，均为签订采购合同的依据。</w:t>
      </w:r>
    </w:p>
    <w:p w14:paraId="5E7FE1BE">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（三）合同生效条款由供需双方约定，法律、行政法规规定应当办理批准、登记等手续后生效的合同，依照其规定。</w:t>
      </w:r>
    </w:p>
    <w:p w14:paraId="6A193548">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（四）合同原则上应按照《采购合同》签订，相关单位要求适用合同通用格式版本的，应按其要求另行签订其他合同。</w:t>
      </w:r>
    </w:p>
    <w:p w14:paraId="5AC993C9">
      <w:pPr>
        <w:pStyle w:val="31"/>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（五）采购人要求成交供应商提供履约保证金的，应当在采购文件中予以约定。成交供应商履约完毕后，采购人根据采购文件规定无息退还其履约保证金。</w:t>
      </w:r>
    </w:p>
    <w:p w14:paraId="506BE5A0">
      <w:pPr>
        <w:rPr>
          <w:rFonts w:hint="eastAsia" w:ascii="宋体" w:hAnsi="宋体" w:eastAsia="宋体" w:cs="宋体"/>
          <w:b/>
          <w:bCs/>
          <w:color w:val="auto"/>
          <w:sz w:val="36"/>
          <w:szCs w:val="36"/>
          <w:highlight w:val="none"/>
        </w:rPr>
      </w:pPr>
      <w:bookmarkStart w:id="93" w:name="_Toc109836391"/>
      <w:r>
        <w:rPr>
          <w:rFonts w:hint="eastAsia" w:ascii="宋体" w:hAnsi="宋体" w:eastAsia="宋体" w:cs="宋体"/>
          <w:b/>
          <w:bCs/>
          <w:color w:val="auto"/>
          <w:sz w:val="36"/>
          <w:szCs w:val="36"/>
          <w:highlight w:val="none"/>
        </w:rPr>
        <w:br w:type="page"/>
      </w:r>
    </w:p>
    <w:p w14:paraId="7113B36B">
      <w:pPr>
        <w:pStyle w:val="31"/>
        <w:ind w:left="0" w:leftChars="0" w:firstLine="0" w:firstLineChars="0"/>
        <w:jc w:val="center"/>
        <w:outlineLvl w:val="0"/>
        <w:rPr>
          <w:rFonts w:hint="eastAsia" w:ascii="宋体" w:hAnsi="宋体" w:eastAsia="宋体" w:cs="宋体"/>
          <w:b/>
          <w:bCs/>
          <w:color w:val="auto"/>
          <w:sz w:val="36"/>
          <w:szCs w:val="36"/>
          <w:highlight w:val="none"/>
        </w:rPr>
      </w:pPr>
      <w:bookmarkStart w:id="94" w:name="_Toc12321"/>
      <w:r>
        <w:rPr>
          <w:rFonts w:hint="eastAsia" w:ascii="宋体" w:hAnsi="宋体" w:eastAsia="宋体" w:cs="宋体"/>
          <w:b/>
          <w:bCs/>
          <w:color w:val="auto"/>
          <w:sz w:val="36"/>
          <w:szCs w:val="36"/>
          <w:highlight w:val="none"/>
        </w:rPr>
        <w:t>第六篇  采购合同</w:t>
      </w:r>
      <w:bookmarkEnd w:id="93"/>
      <w:bookmarkEnd w:id="94"/>
    </w:p>
    <w:p w14:paraId="6424A167">
      <w:pPr>
        <w:spacing w:line="660" w:lineRule="exact"/>
        <w:jc w:val="center"/>
        <w:rPr>
          <w:rFonts w:hint="eastAsia" w:ascii="宋体" w:hAnsi="宋体" w:eastAsia="宋体" w:cs="宋体"/>
          <w:color w:val="auto"/>
          <w:szCs w:val="28"/>
          <w:highlight w:val="none"/>
        </w:rPr>
      </w:pPr>
    </w:p>
    <w:p w14:paraId="2BC7EFAE">
      <w:pPr>
        <w:spacing w:line="660" w:lineRule="exact"/>
        <w:ind w:firstLine="960"/>
        <w:jc w:val="center"/>
        <w:rPr>
          <w:rFonts w:hint="eastAsia" w:ascii="宋体" w:hAnsi="宋体" w:eastAsia="宋体" w:cs="宋体"/>
          <w:color w:val="auto"/>
          <w:sz w:val="48"/>
          <w:szCs w:val="48"/>
          <w:highlight w:val="none"/>
        </w:rPr>
      </w:pPr>
      <w:bookmarkStart w:id="95" w:name="_Hlt41879464"/>
      <w:bookmarkEnd w:id="95"/>
      <w:bookmarkStart w:id="96" w:name="_Toc5319"/>
      <w:bookmarkStart w:id="97" w:name="_Hlk27399531"/>
    </w:p>
    <w:p w14:paraId="1709C64E">
      <w:pPr>
        <w:spacing w:line="660" w:lineRule="exact"/>
        <w:ind w:firstLine="960"/>
        <w:jc w:val="center"/>
        <w:rPr>
          <w:rFonts w:hint="eastAsia" w:ascii="宋体" w:hAnsi="宋体" w:eastAsia="宋体" w:cs="宋体"/>
          <w:color w:val="auto"/>
          <w:sz w:val="48"/>
          <w:szCs w:val="48"/>
          <w:highlight w:val="none"/>
        </w:rPr>
      </w:pPr>
    </w:p>
    <w:p w14:paraId="07382E7A">
      <w:pPr>
        <w:spacing w:line="660" w:lineRule="exact"/>
        <w:jc w:val="center"/>
        <w:rPr>
          <w:rFonts w:hint="eastAsia" w:ascii="宋体" w:hAnsi="宋体" w:eastAsia="宋体" w:cs="宋体"/>
          <w:color w:val="auto"/>
          <w:sz w:val="52"/>
          <w:szCs w:val="52"/>
        </w:rPr>
      </w:pPr>
      <w:r>
        <w:rPr>
          <w:rFonts w:hint="eastAsia" w:ascii="宋体" w:hAnsi="宋体" w:eastAsia="宋体" w:cs="宋体"/>
          <w:color w:val="auto"/>
          <w:sz w:val="52"/>
          <w:szCs w:val="52"/>
        </w:rPr>
        <w:t>重庆中医药学院服务采购合同</w:t>
      </w:r>
    </w:p>
    <w:p w14:paraId="0D8A8CD2">
      <w:pPr>
        <w:spacing w:line="660" w:lineRule="exact"/>
        <w:jc w:val="center"/>
        <w:rPr>
          <w:rFonts w:hint="eastAsia" w:ascii="宋体" w:hAnsi="宋体" w:eastAsia="宋体" w:cs="宋体"/>
          <w:color w:val="auto"/>
          <w:sz w:val="48"/>
          <w:szCs w:val="48"/>
        </w:rPr>
      </w:pPr>
    </w:p>
    <w:p w14:paraId="01539BF5">
      <w:pPr>
        <w:spacing w:line="660" w:lineRule="exact"/>
        <w:jc w:val="center"/>
        <w:rPr>
          <w:rFonts w:hint="eastAsia" w:ascii="宋体" w:hAnsi="宋体" w:eastAsia="宋体" w:cs="宋体"/>
          <w:color w:val="auto"/>
          <w:sz w:val="48"/>
          <w:szCs w:val="48"/>
        </w:rPr>
      </w:pPr>
    </w:p>
    <w:p w14:paraId="7E636CC6">
      <w:pPr>
        <w:spacing w:line="660" w:lineRule="exact"/>
        <w:jc w:val="center"/>
        <w:rPr>
          <w:rFonts w:hint="eastAsia" w:ascii="宋体" w:hAnsi="宋体" w:eastAsia="宋体" w:cs="宋体"/>
          <w:color w:val="auto"/>
          <w:sz w:val="48"/>
          <w:szCs w:val="48"/>
        </w:rPr>
      </w:pPr>
    </w:p>
    <w:p w14:paraId="7F1A4742">
      <w:pPr>
        <w:spacing w:line="660" w:lineRule="exact"/>
        <w:jc w:val="center"/>
        <w:rPr>
          <w:rFonts w:hint="eastAsia" w:ascii="宋体" w:hAnsi="宋体" w:eastAsia="宋体" w:cs="宋体"/>
          <w:color w:val="auto"/>
          <w:sz w:val="48"/>
          <w:szCs w:val="48"/>
        </w:rPr>
      </w:pPr>
    </w:p>
    <w:p w14:paraId="72C3B1F1">
      <w:pPr>
        <w:spacing w:line="660" w:lineRule="exact"/>
        <w:jc w:val="center"/>
        <w:rPr>
          <w:rFonts w:hint="eastAsia" w:ascii="宋体" w:hAnsi="宋体" w:eastAsia="宋体" w:cs="宋体"/>
          <w:color w:val="auto"/>
          <w:sz w:val="48"/>
          <w:szCs w:val="48"/>
        </w:rPr>
      </w:pPr>
    </w:p>
    <w:p w14:paraId="04F1988F">
      <w:pPr>
        <w:spacing w:line="660" w:lineRule="exact"/>
        <w:jc w:val="center"/>
        <w:rPr>
          <w:rFonts w:hint="eastAsia" w:ascii="宋体" w:hAnsi="宋体" w:eastAsia="宋体" w:cs="宋体"/>
          <w:color w:val="auto"/>
          <w:sz w:val="48"/>
          <w:szCs w:val="48"/>
        </w:rPr>
      </w:pPr>
    </w:p>
    <w:p w14:paraId="6D64D6C1">
      <w:pPr>
        <w:spacing w:line="660" w:lineRule="exact"/>
        <w:jc w:val="center"/>
        <w:rPr>
          <w:rFonts w:hint="eastAsia" w:ascii="宋体" w:hAnsi="宋体" w:eastAsia="宋体" w:cs="宋体"/>
          <w:color w:val="auto"/>
          <w:sz w:val="32"/>
          <w:szCs w:val="32"/>
        </w:rPr>
      </w:pPr>
    </w:p>
    <w:p w14:paraId="42DCC4F1">
      <w:pPr>
        <w:spacing w:line="660" w:lineRule="exact"/>
        <w:ind w:left="700" w:leftChars="250" w:right="700" w:rightChars="250"/>
        <w:rPr>
          <w:rFonts w:hint="eastAsia" w:ascii="宋体" w:hAnsi="宋体" w:eastAsia="宋体" w:cs="宋体"/>
          <w:color w:val="auto"/>
          <w:sz w:val="32"/>
          <w:szCs w:val="32"/>
          <w:u w:val="single"/>
        </w:rPr>
      </w:pPr>
      <w:r>
        <w:rPr>
          <w:rFonts w:hint="eastAsia" w:ascii="宋体" w:hAnsi="宋体" w:eastAsia="宋体" w:cs="宋体"/>
          <w:color w:val="auto"/>
          <w:sz w:val="32"/>
          <w:szCs w:val="32"/>
        </w:rPr>
        <w:t>项 目 号：</w:t>
      </w:r>
      <w:r>
        <w:rPr>
          <w:rFonts w:hint="eastAsia" w:ascii="宋体" w:hAnsi="宋体" w:cs="宋体"/>
          <w:color w:val="auto"/>
          <w:sz w:val="32"/>
          <w:szCs w:val="32"/>
          <w:u w:val="single"/>
          <w:lang w:val="en-US" w:eastAsia="zh-CN"/>
        </w:rPr>
        <w:t>TZC-（招）-咨字-2026-A068</w:t>
      </w:r>
      <w:r>
        <w:rPr>
          <w:rFonts w:hint="eastAsia" w:ascii="宋体" w:hAnsi="宋体" w:eastAsia="宋体" w:cs="宋体"/>
          <w:color w:val="auto"/>
          <w:sz w:val="32"/>
          <w:szCs w:val="32"/>
          <w:u w:val="single"/>
        </w:rPr>
        <w:t xml:space="preserve">           </w:t>
      </w:r>
    </w:p>
    <w:p w14:paraId="5A0C866E">
      <w:pPr>
        <w:spacing w:line="660" w:lineRule="exact"/>
        <w:ind w:left="2300" w:leftChars="250" w:right="700" w:rightChars="250" w:hanging="1600" w:hanging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合同项目：</w:t>
      </w:r>
      <w:r>
        <w:rPr>
          <w:rFonts w:hint="eastAsia" w:ascii="宋体" w:hAnsi="宋体" w:cs="宋体"/>
          <w:color w:val="auto"/>
          <w:sz w:val="32"/>
          <w:szCs w:val="32"/>
          <w:u w:val="single"/>
          <w:lang w:eastAsia="zh-CN"/>
        </w:rPr>
        <w:t>重庆中医药学院公共科研平台项目初步设计（含概算编制）</w:t>
      </w:r>
    </w:p>
    <w:p w14:paraId="063A815C">
      <w:pPr>
        <w:spacing w:line="660" w:lineRule="exact"/>
        <w:ind w:left="2300" w:leftChars="250" w:right="700" w:rightChars="250" w:hanging="1600" w:hanging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合同金额：</w:t>
      </w:r>
      <w:r>
        <w:rPr>
          <w:rFonts w:hint="eastAsia" w:ascii="宋体" w:hAnsi="宋体" w:eastAsia="宋体" w:cs="宋体"/>
          <w:color w:val="auto"/>
          <w:sz w:val="2"/>
          <w:szCs w:val="2"/>
        </w:rPr>
        <w:t xml:space="preserve"> </w:t>
      </w:r>
      <w:r>
        <w:rPr>
          <w:rFonts w:hint="eastAsia" w:ascii="宋体" w:hAnsi="宋体" w:eastAsia="宋体" w:cs="宋体"/>
          <w:color w:val="auto"/>
          <w:sz w:val="32"/>
          <w:szCs w:val="32"/>
          <w:u w:val="single"/>
        </w:rPr>
        <w:t xml:space="preserve"> </w:t>
      </w:r>
      <w:bookmarkStart w:id="98" w:name="OLE_LINK11"/>
      <w:r>
        <w:rPr>
          <w:rFonts w:hint="eastAsia" w:ascii="宋体" w:hAnsi="宋体" w:eastAsia="宋体" w:cs="宋体"/>
          <w:color w:val="auto"/>
          <w:sz w:val="32"/>
          <w:szCs w:val="32"/>
          <w:u w:val="single"/>
        </w:rPr>
        <w:t xml:space="preserve">  </w:t>
      </w:r>
      <w:bookmarkEnd w:id="98"/>
      <w:r>
        <w:rPr>
          <w:rFonts w:hint="eastAsia" w:ascii="宋体" w:hAnsi="宋体" w:eastAsia="宋体" w:cs="宋体"/>
          <w:color w:val="auto"/>
          <w:sz w:val="32"/>
          <w:szCs w:val="32"/>
          <w:u w:val="single"/>
        </w:rPr>
        <w:t xml:space="preserve">                                       </w:t>
      </w:r>
    </w:p>
    <w:p w14:paraId="43171DA1">
      <w:pPr>
        <w:spacing w:line="660" w:lineRule="exact"/>
        <w:ind w:left="700" w:leftChars="250" w:right="700" w:rightChars="250"/>
        <w:rPr>
          <w:rFonts w:hint="eastAsia" w:ascii="宋体" w:hAnsi="宋体" w:eastAsia="宋体" w:cs="宋体"/>
          <w:color w:val="auto"/>
          <w:sz w:val="32"/>
          <w:szCs w:val="32"/>
        </w:rPr>
      </w:pPr>
      <w:r>
        <w:rPr>
          <w:rFonts w:hint="eastAsia" w:ascii="宋体" w:hAnsi="宋体" w:eastAsia="宋体" w:cs="宋体"/>
          <w:color w:val="auto"/>
          <w:sz w:val="32"/>
          <w:szCs w:val="32"/>
        </w:rPr>
        <w:t>经费科目：</w:t>
      </w:r>
      <w:r>
        <w:rPr>
          <w:rFonts w:hint="eastAsia" w:ascii="宋体" w:hAnsi="宋体" w:eastAsia="宋体" w:cs="宋体"/>
          <w:color w:val="auto"/>
          <w:sz w:val="32"/>
          <w:szCs w:val="32"/>
          <w:u w:val="single"/>
        </w:rPr>
        <w:t xml:space="preserve">                                          </w:t>
      </w:r>
    </w:p>
    <w:p w14:paraId="2C79A068">
      <w:pPr>
        <w:spacing w:line="660" w:lineRule="exact"/>
        <w:ind w:left="700" w:leftChars="250" w:right="700" w:rightChars="250"/>
        <w:rPr>
          <w:rFonts w:hint="eastAsia" w:ascii="宋体" w:hAnsi="宋体" w:eastAsia="宋体" w:cs="宋体"/>
          <w:color w:val="auto"/>
          <w:sz w:val="32"/>
          <w:szCs w:val="32"/>
        </w:rPr>
      </w:pPr>
      <w:r>
        <w:rPr>
          <w:rFonts w:hint="eastAsia" w:ascii="宋体" w:hAnsi="宋体" w:eastAsia="宋体" w:cs="宋体"/>
          <w:color w:val="auto"/>
          <w:sz w:val="32"/>
          <w:szCs w:val="32"/>
        </w:rPr>
        <w:t>甲    方：</w:t>
      </w:r>
      <w:r>
        <w:rPr>
          <w:rFonts w:hint="eastAsia" w:ascii="宋体" w:hAnsi="宋体" w:eastAsia="宋体" w:cs="宋体"/>
          <w:color w:val="auto"/>
          <w:sz w:val="32"/>
          <w:szCs w:val="32"/>
          <w:u w:val="single"/>
        </w:rPr>
        <w:t xml:space="preserve">重庆中医药学院                            </w:t>
      </w:r>
    </w:p>
    <w:p w14:paraId="2D53E6FB">
      <w:pPr>
        <w:spacing w:line="660" w:lineRule="exact"/>
        <w:ind w:left="700" w:leftChars="250" w:right="700" w:rightChars="250"/>
        <w:rPr>
          <w:rFonts w:hint="eastAsia" w:ascii="宋体" w:hAnsi="宋体" w:eastAsia="宋体" w:cs="宋体"/>
          <w:color w:val="auto"/>
          <w:sz w:val="32"/>
          <w:szCs w:val="32"/>
        </w:rPr>
      </w:pPr>
      <w:r>
        <w:rPr>
          <w:rFonts w:hint="eastAsia" w:ascii="宋体" w:hAnsi="宋体" w:eastAsia="宋体" w:cs="宋体"/>
          <w:color w:val="auto"/>
          <w:sz w:val="32"/>
          <w:szCs w:val="32"/>
        </w:rPr>
        <w:t>乙    方：</w:t>
      </w:r>
      <w:r>
        <w:rPr>
          <w:rFonts w:hint="eastAsia" w:ascii="宋体" w:hAnsi="宋体" w:eastAsia="宋体" w:cs="宋体"/>
          <w:color w:val="auto"/>
          <w:sz w:val="32"/>
          <w:szCs w:val="32"/>
          <w:u w:val="single"/>
        </w:rPr>
        <w:t xml:space="preserve">                                          </w:t>
      </w:r>
    </w:p>
    <w:p w14:paraId="5C423D37">
      <w:pPr>
        <w:spacing w:line="660" w:lineRule="exact"/>
        <w:ind w:left="700" w:leftChars="250" w:right="700" w:rightChars="25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u w:val="single"/>
        </w:rPr>
        <w:t xml:space="preserve">                                          </w:t>
      </w:r>
    </w:p>
    <w:p w14:paraId="0B42C9B7">
      <w:pPr>
        <w:spacing w:line="660" w:lineRule="exact"/>
        <w:ind w:left="700" w:leftChars="250" w:right="700" w:rightChars="250"/>
        <w:rPr>
          <w:rFonts w:hint="eastAsia" w:ascii="宋体" w:hAnsi="宋体" w:eastAsia="宋体" w:cs="宋体"/>
          <w:color w:val="auto"/>
          <w:sz w:val="32"/>
          <w:szCs w:val="32"/>
          <w:u w:val="single"/>
        </w:rPr>
      </w:pPr>
      <w:r>
        <w:rPr>
          <w:rFonts w:hint="eastAsia" w:ascii="宋体" w:hAnsi="宋体" w:eastAsia="宋体" w:cs="宋体"/>
          <w:color w:val="auto"/>
          <w:sz w:val="32"/>
          <w:szCs w:val="32"/>
        </w:rPr>
        <w:t>签订时间：</w:t>
      </w:r>
      <w:r>
        <w:rPr>
          <w:rFonts w:hint="eastAsia" w:ascii="宋体" w:hAnsi="宋体" w:eastAsia="宋体" w:cs="宋体"/>
          <w:color w:val="auto"/>
          <w:sz w:val="32"/>
          <w:szCs w:val="32"/>
          <w:u w:val="single"/>
        </w:rPr>
        <w:t>202</w:t>
      </w:r>
      <w:r>
        <w:rPr>
          <w:rFonts w:hint="eastAsia" w:ascii="宋体" w:hAnsi="宋体" w:eastAsia="宋体" w:cs="宋体"/>
          <w:color w:val="auto"/>
          <w:sz w:val="32"/>
          <w:szCs w:val="32"/>
          <w:u w:val="single"/>
          <w:lang w:val="en-US" w:eastAsia="zh-CN"/>
        </w:rPr>
        <w:t>6</w:t>
      </w:r>
      <w:r>
        <w:rPr>
          <w:rFonts w:hint="eastAsia" w:ascii="宋体" w:hAnsi="宋体" w:eastAsia="宋体" w:cs="宋体"/>
          <w:color w:val="auto"/>
          <w:sz w:val="32"/>
          <w:szCs w:val="32"/>
          <w:u w:val="single"/>
        </w:rPr>
        <w:t xml:space="preserve">年   月   日                         </w:t>
      </w:r>
    </w:p>
    <w:p w14:paraId="637D25A5">
      <w:pPr>
        <w:spacing w:line="660" w:lineRule="exact"/>
        <w:jc w:val="center"/>
        <w:rPr>
          <w:rFonts w:hint="eastAsia" w:ascii="宋体" w:hAnsi="宋体" w:eastAsia="宋体" w:cs="宋体"/>
          <w:color w:val="auto"/>
          <w:sz w:val="44"/>
          <w:szCs w:val="44"/>
        </w:rPr>
      </w:pPr>
    </w:p>
    <w:p w14:paraId="1E27E82C">
      <w:pPr>
        <w:spacing w:line="6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重庆中医药学院服务采购合同</w:t>
      </w:r>
    </w:p>
    <w:p w14:paraId="7F6A4D30">
      <w:pPr>
        <w:spacing w:line="560" w:lineRule="exact"/>
        <w:ind w:firstLine="560" w:firstLineChars="200"/>
        <w:jc w:val="center"/>
        <w:rPr>
          <w:rFonts w:hint="eastAsia" w:ascii="宋体" w:hAnsi="宋体" w:eastAsia="宋体" w:cs="宋体"/>
          <w:color w:val="auto"/>
          <w:sz w:val="28"/>
          <w:szCs w:val="28"/>
        </w:rPr>
      </w:pPr>
    </w:p>
    <w:p w14:paraId="64CD48B7">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  方：重庆中医药学院</w:t>
      </w:r>
    </w:p>
    <w:p w14:paraId="4D5745EB">
      <w:pPr>
        <w:spacing w:line="560" w:lineRule="exact"/>
        <w:ind w:right="414" w:rightChars="148"/>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住所地：</w:t>
      </w:r>
      <w:r>
        <w:rPr>
          <w:rFonts w:hint="eastAsia" w:ascii="宋体" w:hAnsi="宋体" w:eastAsia="宋体" w:cs="宋体"/>
          <w:color w:val="auto"/>
          <w:kern w:val="0"/>
          <w:sz w:val="28"/>
          <w:szCs w:val="28"/>
          <w:lang w:eastAsia="zh-CN"/>
        </w:rPr>
        <w:t>重庆市璧山区璧城街道国学路61号</w:t>
      </w:r>
    </w:p>
    <w:p w14:paraId="601F568E">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  方：</w:t>
      </w:r>
    </w:p>
    <w:p w14:paraId="4D3DAFFE">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住所地：</w:t>
      </w:r>
    </w:p>
    <w:p w14:paraId="0BE17EB7">
      <w:pPr>
        <w:spacing w:line="560" w:lineRule="exact"/>
        <w:ind w:firstLine="560" w:firstLineChars="200"/>
        <w:rPr>
          <w:rFonts w:hint="eastAsia" w:ascii="宋体" w:hAnsi="宋体" w:eastAsia="宋体" w:cs="宋体"/>
          <w:color w:val="auto"/>
          <w:sz w:val="28"/>
          <w:szCs w:val="28"/>
          <w:u w:val="single"/>
        </w:rPr>
      </w:pPr>
    </w:p>
    <w:p w14:paraId="66E39F76">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根据</w:t>
      </w:r>
      <w:r>
        <w:rPr>
          <w:rFonts w:hint="eastAsia" w:ascii="宋体" w:hAnsi="宋体" w:cs="宋体"/>
          <w:color w:val="auto"/>
          <w:sz w:val="28"/>
          <w:szCs w:val="28"/>
          <w:u w:val="single"/>
          <w:lang w:val="en-US" w:eastAsia="zh-CN"/>
        </w:rPr>
        <w:t>TZC-（招）-咨字-2026-A068</w:t>
      </w:r>
      <w:r>
        <w:rPr>
          <w:rFonts w:hint="eastAsia" w:ascii="宋体" w:hAnsi="宋体" w:eastAsia="宋体" w:cs="宋体"/>
          <w:color w:val="auto"/>
          <w:sz w:val="28"/>
          <w:szCs w:val="28"/>
        </w:rPr>
        <w:t>号招标项目的投标结果，由乙方为中标方。按照《中华人民共和国民法典》，经甲乙双方平等协商，就甲方委托乙方承担服务采购项目，达成以下合同条款：</w:t>
      </w:r>
    </w:p>
    <w:p w14:paraId="1F100F3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项目目标与内容</w:t>
      </w:r>
    </w:p>
    <w:p w14:paraId="3BAD852C">
      <w:pPr>
        <w:spacing w:line="360" w:lineRule="auto"/>
        <w:ind w:firstLine="560" w:firstLineChars="2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服务时间：以本项目建设周期为准</w:t>
      </w:r>
      <w:r>
        <w:rPr>
          <w:rFonts w:hint="eastAsia" w:ascii="宋体" w:hAnsi="宋体" w:cs="宋体"/>
          <w:color w:val="auto"/>
          <w:sz w:val="28"/>
          <w:szCs w:val="28"/>
          <w:lang w:eastAsia="zh-CN"/>
        </w:rPr>
        <w:t>。</w:t>
      </w:r>
    </w:p>
    <w:p w14:paraId="4A503ECA">
      <w:pPr>
        <w:spacing w:line="360" w:lineRule="auto"/>
        <w:ind w:firstLine="560" w:firstLineChars="20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本项目为总价包干，</w:t>
      </w:r>
      <w:bookmarkStart w:id="99" w:name="_Hlk110862304"/>
      <w:r>
        <w:rPr>
          <w:rFonts w:hint="eastAsia" w:ascii="宋体" w:hAnsi="宋体" w:eastAsia="宋体" w:cs="宋体"/>
          <w:color w:val="auto"/>
          <w:sz w:val="28"/>
          <w:szCs w:val="28"/>
          <w:u w:val="none"/>
          <w:lang w:val="en-US" w:eastAsia="zh-CN"/>
        </w:rPr>
        <w:t>合同</w:t>
      </w:r>
      <w:bookmarkEnd w:id="99"/>
      <w:r>
        <w:rPr>
          <w:rFonts w:hint="eastAsia" w:ascii="宋体" w:hAnsi="宋体" w:eastAsia="宋体" w:cs="宋体"/>
          <w:color w:val="auto"/>
          <w:sz w:val="28"/>
          <w:szCs w:val="28"/>
          <w:u w:val="none"/>
          <w:lang w:val="en-US" w:eastAsia="zh-CN"/>
        </w:rPr>
        <w:t>金额为：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报价须为人民币报价，报价应包括完成项目的全部费用，包括但不限于设计费、完成工作所需的设施设备费、成果编制和印刷费、人工费、交通费、通讯费、管理费、税费及其它与本项目相关的一切费用。因</w:t>
      </w:r>
      <w:r>
        <w:rPr>
          <w:rFonts w:hint="eastAsia" w:ascii="宋体" w:hAnsi="宋体" w:cs="宋体"/>
          <w:color w:val="auto"/>
          <w:sz w:val="28"/>
          <w:szCs w:val="28"/>
          <w:lang w:val="en-US" w:eastAsia="zh-CN"/>
        </w:rPr>
        <w:t>乙方</w:t>
      </w:r>
      <w:r>
        <w:rPr>
          <w:rFonts w:hint="eastAsia" w:ascii="宋体" w:hAnsi="宋体" w:eastAsia="宋体" w:cs="宋体"/>
          <w:color w:val="auto"/>
          <w:sz w:val="28"/>
          <w:szCs w:val="28"/>
          <w:lang w:val="en-US" w:eastAsia="zh-CN"/>
        </w:rPr>
        <w:t>自身原因造成漏报、少报皆由其自行承担责任，</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lang w:val="en-US" w:eastAsia="zh-CN"/>
        </w:rPr>
        <w:t>不再补偿。</w:t>
      </w:r>
    </w:p>
    <w:p w14:paraId="2C01F253">
      <w:pPr>
        <w:spacing w:line="5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第二条  服务内容</w:t>
      </w:r>
    </w:p>
    <w:p w14:paraId="31D0B3A8">
      <w:pPr>
        <w:numPr>
          <w:ilvl w:val="0"/>
          <w:numId w:val="0"/>
        </w:numPr>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完成本项目的初步设计（含概算）、施工图设计阶段的配合等工作，以及协助</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lang w:val="en-US" w:eastAsia="zh-CN"/>
        </w:rPr>
        <w:t>完成各项审批手续办理、报批等工作（本项目设计内容包括市政设计相关配套设施设备、附属设计等，具体范围以</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lang w:val="en-US" w:eastAsia="zh-CN"/>
        </w:rPr>
        <w:t>下发的设计任务书为准）。</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lang w:val="en-US" w:eastAsia="zh-CN"/>
        </w:rPr>
        <w:t>有权对设计范围、设计内容作调整。</w:t>
      </w:r>
    </w:p>
    <w:p w14:paraId="2437AA98">
      <w:pPr>
        <w:numPr>
          <w:ilvl w:val="0"/>
          <w:numId w:val="0"/>
        </w:numPr>
        <w:snapToGrid w:val="0"/>
        <w:spacing w:line="360" w:lineRule="auto"/>
        <w:ind w:firstLine="482" w:firstLineChars="200"/>
        <w:rPr>
          <w:rFonts w:hint="eastAsia" w:ascii="Times New Roman" w:hAnsi="Times New Roman" w:eastAsia="宋体"/>
          <w:bCs/>
          <w:color w:val="auto"/>
          <w:sz w:val="28"/>
          <w:szCs w:val="28"/>
          <w:lang w:eastAsia="zh-CN"/>
        </w:rPr>
      </w:pPr>
      <w:r>
        <w:rPr>
          <w:rFonts w:hint="eastAsia" w:ascii="宋体" w:hAnsi="宋体" w:eastAsia="宋体" w:cs="宋体"/>
          <w:b/>
          <w:bCs/>
          <w:color w:val="auto"/>
          <w:sz w:val="24"/>
          <w:szCs w:val="24"/>
          <w:highlight w:val="none"/>
        </w:rPr>
        <w:t>执行标准、服务</w:t>
      </w:r>
      <w:r>
        <w:rPr>
          <w:rFonts w:hint="eastAsia" w:ascii="宋体" w:hAnsi="宋体" w:cs="宋体"/>
          <w:b/>
          <w:bCs/>
          <w:color w:val="auto"/>
          <w:sz w:val="24"/>
          <w:szCs w:val="24"/>
          <w:highlight w:val="none"/>
          <w:lang w:eastAsia="zh-CN"/>
        </w:rPr>
        <w:t>要求</w:t>
      </w:r>
    </w:p>
    <w:p w14:paraId="1ECB024C">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1.执行标准：工程设计严格执行工程建设强制性质量标准，必须达到国家及重庆市现行规范与标准，并按照建设项目审批流程通过相关职能部门审核。</w:t>
      </w:r>
    </w:p>
    <w:p w14:paraId="733A812A">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2.服务要求：</w:t>
      </w:r>
    </w:p>
    <w:p w14:paraId="21AB6C9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2.1乙方在收到甲方提供的设计所需资料后，30个日历日内向甲方提交《重庆中医药学院公共科研平台项目初步设计图》及概算。</w:t>
      </w:r>
    </w:p>
    <w:p w14:paraId="350DF31C">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2.2乙方按规定参加项目评审会，并根据审查意见，在不超出原定工作内容的基础上，对可行性研究报告进行补充和完善。</w:t>
      </w:r>
    </w:p>
    <w:p w14:paraId="253539C3">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2.3乙方向甲方提交《重庆中医药学院公共科研平台项目初步设计图》（含概算）6份及光盘1份。</w:t>
      </w:r>
    </w:p>
    <w:p w14:paraId="0781FFD1">
      <w:pPr>
        <w:spacing w:line="560" w:lineRule="exact"/>
        <w:ind w:firstLine="560" w:firstLineChars="200"/>
        <w:rPr>
          <w:rFonts w:hint="eastAsia" w:ascii="宋体" w:hAnsi="宋体" w:eastAsia="宋体" w:cs="宋体"/>
          <w:color w:val="auto"/>
          <w:sz w:val="28"/>
          <w:szCs w:val="28"/>
        </w:rPr>
      </w:pPr>
      <w:bookmarkStart w:id="100" w:name="_Hlk112580751"/>
      <w:r>
        <w:rPr>
          <w:rFonts w:hint="eastAsia" w:ascii="宋体" w:hAnsi="宋体" w:eastAsia="宋体" w:cs="宋体"/>
          <w:color w:val="auto"/>
          <w:sz w:val="28"/>
          <w:szCs w:val="28"/>
        </w:rPr>
        <w:t>第三条  时间要求</w:t>
      </w:r>
      <w:bookmarkEnd w:id="100"/>
      <w:r>
        <w:rPr>
          <w:rFonts w:hint="eastAsia" w:ascii="宋体" w:hAnsi="宋体" w:eastAsia="宋体" w:cs="宋体"/>
          <w:color w:val="auto"/>
          <w:sz w:val="28"/>
          <w:szCs w:val="28"/>
        </w:rPr>
        <w:t>及阶段成果</w:t>
      </w:r>
    </w:p>
    <w:p w14:paraId="0889ECDD">
      <w:pPr>
        <w:spacing w:line="5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服务时间：以本项目建设周期为准。</w:t>
      </w:r>
    </w:p>
    <w:p w14:paraId="48CDC8D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第四条  服务资料归属</w:t>
      </w:r>
    </w:p>
    <w:p w14:paraId="7ED91C1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所有提交给甲方的服务文件及相关的资料的最后文本，包括为履行技术服务范围所编制的各类文件、情况报告等，都属于甲方的财产，乙方在提交给甲方之前应将上述资料进行整理归类和编制索引。</w:t>
      </w:r>
    </w:p>
    <w:p w14:paraId="3BECFF1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乙方未经甲方的书面同意，不得将上述资料用于与本项目之外的任何项目。</w:t>
      </w:r>
    </w:p>
    <w:p w14:paraId="4A2064A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合同履行完毕，未经甲方的书面同意，乙方不得保存在履行合同过程中所获得或接触到的任何内部数据资料。</w:t>
      </w:r>
    </w:p>
    <w:p w14:paraId="2F4ED69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第五条  甲方的义务</w:t>
      </w:r>
    </w:p>
    <w:p w14:paraId="3D9F713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负责与本项目有关的第三方的协调，提供开展服务工作的外部条件。</w:t>
      </w:r>
    </w:p>
    <w:p w14:paraId="038B505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向乙方提供与本项目服务工作有关的资料。</w:t>
      </w:r>
    </w:p>
    <w:p w14:paraId="10E66DA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负责组织有关专家对项目成果评估报告的评审。</w:t>
      </w:r>
    </w:p>
    <w:p w14:paraId="634ACD0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第六条  乙方的义务</w:t>
      </w:r>
    </w:p>
    <w:p w14:paraId="52DF9BD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应按照甲方招标文件、乙方投标文件要求按期完成本项目服务工作。</w:t>
      </w:r>
    </w:p>
    <w:p w14:paraId="11CA9BA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必须严格执行国家法律法规，自觉接受甲方的业务指导和监督管理，全力维护甲方的合法权益；运用自身的专业技能为甲方做好服务工作，并提供与项目有关的其它服务。在服务中的整个过程需按照国家相关法律法规的要求，符合流程，不得有违法</w:t>
      </w:r>
      <w:r>
        <w:rPr>
          <w:rFonts w:hint="eastAsia" w:ascii="宋体" w:hAnsi="宋体" w:cs="宋体"/>
          <w:color w:val="auto"/>
          <w:sz w:val="28"/>
          <w:szCs w:val="28"/>
          <w:lang w:eastAsia="zh-CN"/>
        </w:rPr>
        <w:t>违规行为</w:t>
      </w:r>
      <w:r>
        <w:rPr>
          <w:rFonts w:hint="eastAsia" w:ascii="宋体" w:hAnsi="宋体" w:eastAsia="宋体" w:cs="宋体"/>
          <w:color w:val="auto"/>
          <w:sz w:val="28"/>
          <w:szCs w:val="28"/>
        </w:rPr>
        <w:t>。</w:t>
      </w:r>
    </w:p>
    <w:p w14:paraId="639E20B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乙方在项目服务过</w:t>
      </w:r>
      <w:r>
        <w:rPr>
          <w:rFonts w:hint="eastAsia" w:ascii="宋体" w:hAnsi="宋体" w:cs="宋体"/>
          <w:color w:val="auto"/>
          <w:sz w:val="28"/>
          <w:szCs w:val="28"/>
          <w:lang w:eastAsia="zh-CN"/>
        </w:rPr>
        <w:t>程中</w:t>
      </w:r>
      <w:r>
        <w:rPr>
          <w:rFonts w:hint="eastAsia" w:ascii="宋体" w:hAnsi="宋体" w:eastAsia="宋体" w:cs="宋体"/>
          <w:color w:val="auto"/>
          <w:sz w:val="28"/>
          <w:szCs w:val="28"/>
        </w:rPr>
        <w:t>要做出工作进度表给甲方（若需），让甲方了解整个服务工作的进展情况；在服务期限内，由甲方根据工作的特点和要求具体确定时间，乙方必须在约定的时间内完成相关工作。</w:t>
      </w:r>
    </w:p>
    <w:p w14:paraId="1F3D292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服务期限内若确实需要更换拟派负责人的，须征得甲方的书面同意，而且更换人员的技术职称和工作经验必须高于或等于拟派人员的技术职称和工作经验；</w:t>
      </w:r>
    </w:p>
    <w:p w14:paraId="40E1AF2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甲方向乙方提出的意见建议，乙方应予以审核，如与法规不符，乙方应当予以拒绝并提出相应意见，确保服务项目合法、合规。</w:t>
      </w:r>
    </w:p>
    <w:p w14:paraId="3DEF858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乙方必须对甲方单位信息进行保密，在未经甲方事先书面同意的情况下，任何时候均不得将有关甲方的任何内容或者从甲方处知晓的关于甲方单位的任何信息泄露给任何其它方。</w:t>
      </w:r>
    </w:p>
    <w:p w14:paraId="3FFDD69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 乙方承接服务前，应充分了解掌握服务项目需求情况，紧贴项目实际拟制各类文书，严禁随意将以往的服务文件复制剪贴，糊弄应付，甚至错漏百出。合同履约过程中，甲方将建立相关考评制度，对乙方实施量化考评，考核不合格</w:t>
      </w:r>
      <w:r>
        <w:rPr>
          <w:rFonts w:hint="eastAsia" w:ascii="宋体" w:hAnsi="宋体" w:cs="宋体"/>
          <w:color w:val="auto"/>
          <w:sz w:val="28"/>
          <w:szCs w:val="28"/>
          <w:lang w:eastAsia="zh-CN"/>
        </w:rPr>
        <w:t>的</w:t>
      </w:r>
      <w:r>
        <w:rPr>
          <w:rFonts w:hint="eastAsia" w:ascii="宋体" w:hAnsi="宋体" w:eastAsia="宋体" w:cs="宋体"/>
          <w:color w:val="auto"/>
          <w:sz w:val="28"/>
          <w:szCs w:val="28"/>
        </w:rPr>
        <w:t>乙方将解除本服务合同。</w:t>
      </w:r>
    </w:p>
    <w:p w14:paraId="0844850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 乙方须无条件配合甲方接收各级审计、巡视工作；与本项目服务业务相关资料（含音视频资料）保存期限为招标结束之日起至少15年。</w:t>
      </w:r>
    </w:p>
    <w:p w14:paraId="49DA7B7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 在履行合同期间或合同规定期限内，不得向第三方泄露与本合同规定业务活动有关的任何资料。</w:t>
      </w:r>
    </w:p>
    <w:p w14:paraId="686297C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第七条  甲方的权利</w:t>
      </w:r>
    </w:p>
    <w:p w14:paraId="2DAA288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有权向乙方询问工作进展情况及</w:t>
      </w:r>
      <w:r>
        <w:rPr>
          <w:rFonts w:hint="eastAsia" w:ascii="宋体" w:hAnsi="宋体" w:cs="宋体"/>
          <w:color w:val="auto"/>
          <w:sz w:val="28"/>
          <w:szCs w:val="28"/>
          <w:lang w:eastAsia="zh-CN"/>
        </w:rPr>
        <w:t>相关</w:t>
      </w:r>
      <w:r>
        <w:rPr>
          <w:rFonts w:hint="eastAsia" w:ascii="宋体" w:hAnsi="宋体" w:eastAsia="宋体" w:cs="宋体"/>
          <w:color w:val="auto"/>
          <w:sz w:val="28"/>
          <w:szCs w:val="28"/>
        </w:rPr>
        <w:t>内容。</w:t>
      </w:r>
    </w:p>
    <w:p w14:paraId="6D05E99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有权阐述对具体问题的</w:t>
      </w:r>
      <w:r>
        <w:rPr>
          <w:rFonts w:hint="eastAsia" w:ascii="宋体" w:hAnsi="宋体" w:cs="宋体"/>
          <w:color w:val="auto"/>
          <w:sz w:val="28"/>
          <w:szCs w:val="28"/>
          <w:lang w:eastAsia="zh-CN"/>
        </w:rPr>
        <w:t>意见和建议</w:t>
      </w:r>
      <w:r>
        <w:rPr>
          <w:rFonts w:hint="eastAsia" w:ascii="宋体" w:hAnsi="宋体" w:eastAsia="宋体" w:cs="宋体"/>
          <w:color w:val="auto"/>
          <w:sz w:val="28"/>
          <w:szCs w:val="28"/>
        </w:rPr>
        <w:t>。</w:t>
      </w:r>
    </w:p>
    <w:p w14:paraId="28B2895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当甲方认定乙方人员不按合同履行其职责，或与第三人串通给甲方造成经济损失的，甲方有权要求更换人员或解除合同并要求乙方承担相应的赔偿责任。</w:t>
      </w:r>
    </w:p>
    <w:p w14:paraId="042C524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第八条  乙方的权利</w:t>
      </w:r>
    </w:p>
    <w:p w14:paraId="5144DF9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乙方在本项目服务过程中，如甲方提供的资料不明确时可向甲方提出书面报告。</w:t>
      </w:r>
    </w:p>
    <w:p w14:paraId="6AA3170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乙方在本项目服务过程中，有权对第三方提出与本服务业务有关的问题进行核对或查问。</w:t>
      </w:r>
    </w:p>
    <w:p w14:paraId="7D45C15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乙方在本项目服务过程中，有随时了解项目进度的权利。</w:t>
      </w:r>
    </w:p>
    <w:p w14:paraId="0D1F895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第九条  甲方的责任</w:t>
      </w:r>
    </w:p>
    <w:p w14:paraId="3182E14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如乙方全面履行合同约定内容，甲方则按本合同约定履行付款义务，如有违反则应当承担违约责任。</w:t>
      </w:r>
    </w:p>
    <w:p w14:paraId="75F384A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甲方有权对乙方实施量化考评，考核不合格，有权解除合同，并要求乙方承担违约责任。</w:t>
      </w:r>
    </w:p>
    <w:p w14:paraId="49DFF6A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甲方向乙方提出赔偿要求不能成立时，则应补偿由于该赔偿或其他要求所导致乙方的各种费用的支出。</w:t>
      </w:r>
    </w:p>
    <w:p w14:paraId="45552B6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第十条  乙方的责任</w:t>
      </w:r>
    </w:p>
    <w:p w14:paraId="5794931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乙方的责任期即本合同有效期。如因非乙方的责任造成进度的推迟或延误而超过约定的日期，双方应进一步约定相应延长合同有效期。</w:t>
      </w:r>
    </w:p>
    <w:p w14:paraId="00F6AB3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乙方的责任期内，应当履行本合同中约定的义务，因乙方的单方过失给甲方造成损失，应当向甲方进行赔偿。</w:t>
      </w:r>
    </w:p>
    <w:p w14:paraId="5C44144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乙方对甲方或甲方指定的第三方所提出的问题不能及时核对或答复，导致合同不能全部或部分履行，甲方将记录在量化考评中，属于乙方违约，乙方应承担相应的违约责任。</w:t>
      </w:r>
    </w:p>
    <w:p w14:paraId="5575452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乙方向甲方提出赔偿要求不能成立时，则应补偿由于该赔偿或其他要求所导致甲方的各种费用的支出。</w:t>
      </w:r>
    </w:p>
    <w:p w14:paraId="4B788B1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第十一条  人员要求</w:t>
      </w:r>
    </w:p>
    <w:p w14:paraId="110467F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参加本项目的人员必须具有国家和有关部门规定的相应资质。</w:t>
      </w:r>
    </w:p>
    <w:p w14:paraId="45768BA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参加本项目的人员配置必须与投标文件中的服务承诺书和服务组织实施方案一致。</w:t>
      </w:r>
    </w:p>
    <w:p w14:paraId="7192E5F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必须以直属工作人员参与本项目服务，不得使用挂靠队伍。</w:t>
      </w:r>
    </w:p>
    <w:p w14:paraId="0DC212E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第十二条  乙方服务业务工具要求</w:t>
      </w:r>
    </w:p>
    <w:p w14:paraId="5F22BB4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乙方应配备中标项目所需的足够数量的各类设施设备。甲方不需向乙方提供任何本项目所需的各类设施设备。</w:t>
      </w:r>
    </w:p>
    <w:p w14:paraId="7414630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2、乙方在提供服务过程中应自备车辆。</w:t>
      </w:r>
    </w:p>
    <w:p w14:paraId="5876A2E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第十三条  保密要求</w:t>
      </w:r>
    </w:p>
    <w:p w14:paraId="2BF4FAB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由甲方收集的、开发的、整理的、复制的、研究的和准备的与本合同项下工作有关的所有资料在提供给乙方时，均为保密资料，</w:t>
      </w:r>
      <w:r>
        <w:rPr>
          <w:rFonts w:hint="eastAsia" w:ascii="宋体" w:hAnsi="宋体" w:cs="宋体"/>
          <w:color w:val="auto"/>
          <w:sz w:val="28"/>
          <w:szCs w:val="28"/>
          <w:lang w:eastAsia="zh-CN"/>
        </w:rPr>
        <w:t>不得泄露</w:t>
      </w:r>
      <w:r>
        <w:rPr>
          <w:rFonts w:hint="eastAsia" w:ascii="宋体" w:hAnsi="宋体" w:eastAsia="宋体" w:cs="宋体"/>
          <w:color w:val="auto"/>
          <w:sz w:val="28"/>
          <w:szCs w:val="28"/>
        </w:rPr>
        <w:t>给除甲方或其指定的代表之外的任何人、企业或公司，不管本合同因何种原因终止，本条款对乙方一直有效。</w:t>
      </w:r>
    </w:p>
    <w:p w14:paraId="15DAB80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乙方在履行合同过程中所获得或接触到的任何内部数据资料，未经甲方书面同意，不得向第三方透露。</w:t>
      </w:r>
    </w:p>
    <w:p w14:paraId="57BAB2C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乙方实施项目的一切程序都应符合国家安全、保密的有关规定和标准。</w:t>
      </w:r>
    </w:p>
    <w:p w14:paraId="63D6C44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乙方参加项目的有关人员均需同甲方签订保密协议。</w:t>
      </w:r>
    </w:p>
    <w:p w14:paraId="4D30803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第十四条  项目验收</w:t>
      </w:r>
    </w:p>
    <w:p w14:paraId="0651C0CD">
      <w:pPr>
        <w:spacing w:line="560" w:lineRule="exact"/>
        <w:ind w:firstLine="560" w:firstLineChars="200"/>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rPr>
        <w:t>1.</w:t>
      </w:r>
      <w:r>
        <w:rPr>
          <w:rFonts w:hint="eastAsia" w:ascii="宋体" w:hAnsi="宋体" w:cs="宋体"/>
          <w:color w:val="auto"/>
          <w:sz w:val="28"/>
          <w:szCs w:val="28"/>
          <w:u w:val="none"/>
          <w:lang w:eastAsia="zh-CN"/>
        </w:rPr>
        <w:t>验收</w:t>
      </w:r>
      <w:r>
        <w:rPr>
          <w:rFonts w:hint="eastAsia" w:ascii="宋体" w:hAnsi="宋体" w:eastAsia="宋体" w:cs="宋体"/>
          <w:color w:val="auto"/>
          <w:sz w:val="28"/>
          <w:szCs w:val="28"/>
          <w:u w:val="none"/>
        </w:rPr>
        <w:t>方式：专家评审</w:t>
      </w:r>
      <w:r>
        <w:rPr>
          <w:rFonts w:hint="eastAsia" w:ascii="宋体" w:hAnsi="宋体" w:cs="宋体"/>
          <w:color w:val="auto"/>
          <w:sz w:val="28"/>
          <w:szCs w:val="28"/>
          <w:u w:val="none"/>
          <w:lang w:eastAsia="zh-CN"/>
        </w:rPr>
        <w:t>。</w:t>
      </w:r>
    </w:p>
    <w:p w14:paraId="095317D8">
      <w:pPr>
        <w:spacing w:line="5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2.验收标准：专家评审通过。</w:t>
      </w:r>
    </w:p>
    <w:p w14:paraId="3F6A83E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w:t>
      </w:r>
      <w:bookmarkStart w:id="101" w:name="_Hlk112581267"/>
      <w:r>
        <w:rPr>
          <w:rFonts w:hint="eastAsia" w:ascii="宋体" w:hAnsi="宋体" w:eastAsia="宋体" w:cs="宋体"/>
          <w:color w:val="auto"/>
          <w:sz w:val="28"/>
          <w:szCs w:val="28"/>
        </w:rPr>
        <w:t xml:space="preserve"> 付款方式</w:t>
      </w:r>
      <w:bookmarkEnd w:id="101"/>
    </w:p>
    <w:p w14:paraId="6148D634">
      <w:pPr>
        <w:spacing w:line="560" w:lineRule="exact"/>
        <w:ind w:firstLine="560" w:firstLineChars="200"/>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1.结算金额=包干价-应支付的违约金额。</w:t>
      </w:r>
    </w:p>
    <w:p w14:paraId="5DCFD1D6">
      <w:pPr>
        <w:spacing w:line="560" w:lineRule="exact"/>
        <w:ind w:firstLine="560" w:firstLineChars="200"/>
        <w:rPr>
          <w:rFonts w:hint="eastAsia"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2.乙方完成初步设计并通过评审后，甲方支付结算金额70% ；竣工验收合格后，甲方支付结算金额30%。</w:t>
      </w:r>
    </w:p>
    <w:p w14:paraId="37569563">
      <w:pPr>
        <w:spacing w:line="560" w:lineRule="exact"/>
        <w:ind w:firstLine="560" w:firstLineChars="200"/>
        <w:rPr>
          <w:rFonts w:hint="default" w:ascii="宋体" w:hAnsi="宋体" w:cs="宋体"/>
          <w:color w:val="auto"/>
          <w:sz w:val="28"/>
          <w:szCs w:val="28"/>
          <w:u w:val="none"/>
          <w:lang w:val="en-US" w:eastAsia="zh-CN"/>
        </w:rPr>
      </w:pPr>
      <w:r>
        <w:rPr>
          <w:rFonts w:hint="eastAsia" w:ascii="宋体" w:hAnsi="宋体" w:cs="宋体"/>
          <w:color w:val="auto"/>
          <w:sz w:val="28"/>
          <w:szCs w:val="28"/>
          <w:u w:val="none"/>
          <w:lang w:val="en-US" w:eastAsia="zh-CN"/>
        </w:rPr>
        <w:t>3.采购合同签订时，乙方向甲方缴纳合同金额5%的履约保证金(以银行转账、支票、汇票、本票或者金融机构、担保机构出具的保函等非现金形式提交);采用保函形式的，保函必须为不可撤销且见索即付。履约保证金无息退还时间:服务结束后，甲方参照渝财采购〔2021〕13号文件无息退还。</w:t>
      </w:r>
    </w:p>
    <w:p w14:paraId="724976C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第十六条  争议解决办法</w:t>
      </w:r>
    </w:p>
    <w:p w14:paraId="74C2B8D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甲、乙双方在合同履行过程中发生的一切争议，由双方及时协商解决。协商不成时，双方均有权向甲方所在地管辖法院起诉。</w:t>
      </w:r>
    </w:p>
    <w:p w14:paraId="30C52F4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诉讼期间，除正在进行诉讼的部分外，合同</w:t>
      </w:r>
      <w:r>
        <w:rPr>
          <w:rFonts w:hint="eastAsia" w:ascii="宋体" w:hAnsi="宋体" w:cs="宋体"/>
          <w:color w:val="auto"/>
          <w:sz w:val="28"/>
          <w:szCs w:val="28"/>
          <w:lang w:eastAsia="zh-CN"/>
        </w:rPr>
        <w:t>其他部分</w:t>
      </w:r>
      <w:r>
        <w:rPr>
          <w:rFonts w:hint="eastAsia" w:ascii="宋体" w:hAnsi="宋体" w:eastAsia="宋体" w:cs="宋体"/>
          <w:color w:val="auto"/>
          <w:sz w:val="28"/>
          <w:szCs w:val="28"/>
        </w:rPr>
        <w:t>继续执行，除非诉讼部分与合同其他部分的履行存在时间上的先后关系。</w:t>
      </w:r>
    </w:p>
    <w:p w14:paraId="682487D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第十七条  风险责任</w:t>
      </w:r>
    </w:p>
    <w:p w14:paraId="1848CFD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乙方应完全地按照本合同对应招标文件的要求和乙方投标文件的承诺完成本项目，出于自身财务、技术、人力等原因导致服务未完成的，应承担违约责任。</w:t>
      </w:r>
    </w:p>
    <w:p w14:paraId="41488B1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乙方在服务过程中应对自身的安全负责，若由乙方原因发生的各种事故甲方不承担任何责任。</w:t>
      </w:r>
    </w:p>
    <w:p w14:paraId="418BC07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第十八条  违约责任</w:t>
      </w:r>
    </w:p>
    <w:p w14:paraId="2028892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1、乙方必须遵守甲方及作业现场的相关规定，乙方不执行甲方及作业现场的规定视为乙方违约，甲方有权根据相关规定对乙方予以处罚。处罚费用甲方有权从应支付给乙方的款项中扣除。</w:t>
      </w:r>
    </w:p>
    <w:p w14:paraId="02887D4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不得由于合同纠纷采取不当行为影响甲方正常生产经营，若发生按2000元/次进行处罚，若给甲方或甲方的业主单位造成经济损失的，甲方有权要求赔偿并在所欠乙方款项中扣除，同时乙方还应承担相应的法律责任。</w:t>
      </w:r>
    </w:p>
    <w:p w14:paraId="7F44ED7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3、乙方原因造成甲方损失，甲方有权从应支付给乙方的款项中扣除。乙方由于自身原因未能按本合同约定造成逾期交付成果的，按逾期每个工作日承担本项目总计合同费用的1%违约金支付给甲方。</w:t>
      </w:r>
    </w:p>
    <w:p w14:paraId="77F6318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4、乙方违反合同约定，甲方有权解除合同，相关经济责任和损失均由乙方承担。</w:t>
      </w:r>
    </w:p>
    <w:p w14:paraId="090E5BF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5、未经甲方书面同意，乙方不得将乙方对甲方享有的债权转让给第三人，也不得用于担保。</w:t>
      </w:r>
    </w:p>
    <w:p w14:paraId="326BBD8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第十九条  附则</w:t>
      </w:r>
    </w:p>
    <w:p w14:paraId="3D5CB04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本合同是按照本合同对应招标文件和乙方投标文件订立的，除招标文件和投标文件中实质性条款之外的约定，以本合同条款为准。</w:t>
      </w:r>
    </w:p>
    <w:p w14:paraId="342D2A2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本合同未尽事宜，甲乙双方可另行协商一致签订补充协议。合同的变更或补充，须签订书面文件。补充协议与本合同具有同等法律效力。</w:t>
      </w:r>
    </w:p>
    <w:p w14:paraId="4559CD9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付款时请开具增值税普通发票。</w:t>
      </w:r>
    </w:p>
    <w:p w14:paraId="0B29C9E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下列文件均为本合同的组成部分：</w:t>
      </w:r>
    </w:p>
    <w:p w14:paraId="6AE25CC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（1）本合同对应招标文件、答疑及补充通知；</w:t>
      </w:r>
    </w:p>
    <w:p w14:paraId="40316B7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（2）投标文件</w:t>
      </w:r>
    </w:p>
    <w:p w14:paraId="7AD0861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（3）本合同执行中共同签署的补充与修正文件。</w:t>
      </w:r>
    </w:p>
    <w:p w14:paraId="2B61CB7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本合同一式</w:t>
      </w:r>
      <w:r>
        <w:rPr>
          <w:rFonts w:hint="eastAsia" w:ascii="宋体" w:hAnsi="宋体" w:eastAsia="宋体" w:cs="宋体"/>
          <w:color w:val="auto"/>
          <w:sz w:val="28"/>
          <w:szCs w:val="28"/>
          <w:u w:val="single"/>
        </w:rPr>
        <w:t xml:space="preserve"> 陆</w:t>
      </w:r>
      <w:r>
        <w:rPr>
          <w:rFonts w:hint="eastAsia" w:ascii="宋体" w:hAnsi="宋体" w:eastAsia="宋体" w:cs="宋体"/>
          <w:color w:val="auto"/>
          <w:sz w:val="28"/>
          <w:szCs w:val="28"/>
        </w:rPr>
        <w:t>份，甲方</w:t>
      </w:r>
      <w:r>
        <w:rPr>
          <w:rFonts w:hint="eastAsia" w:ascii="宋体" w:hAnsi="宋体" w:eastAsia="宋体" w:cs="宋体"/>
          <w:color w:val="auto"/>
          <w:sz w:val="28"/>
          <w:szCs w:val="28"/>
          <w:u w:val="single"/>
        </w:rPr>
        <w:t xml:space="preserve"> 肆 </w:t>
      </w:r>
      <w:r>
        <w:rPr>
          <w:rFonts w:hint="eastAsia" w:ascii="宋体" w:hAnsi="宋体" w:eastAsia="宋体" w:cs="宋体"/>
          <w:color w:val="auto"/>
          <w:sz w:val="28"/>
          <w:szCs w:val="28"/>
        </w:rPr>
        <w:t>份，乙方</w:t>
      </w:r>
      <w:r>
        <w:rPr>
          <w:rFonts w:hint="eastAsia" w:ascii="宋体" w:hAnsi="宋体" w:eastAsia="宋体" w:cs="宋体"/>
          <w:color w:val="auto"/>
          <w:sz w:val="28"/>
          <w:szCs w:val="28"/>
          <w:u w:val="single"/>
        </w:rPr>
        <w:t>贰</w:t>
      </w:r>
      <w:r>
        <w:rPr>
          <w:rFonts w:hint="eastAsia" w:ascii="宋体" w:hAnsi="宋体" w:eastAsia="宋体" w:cs="宋体"/>
          <w:color w:val="auto"/>
          <w:sz w:val="28"/>
          <w:szCs w:val="28"/>
        </w:rPr>
        <w:t>份，具有同等法律效力。本合同自双方法人代表签字（盖章）认可之日起生效。</w:t>
      </w:r>
    </w:p>
    <w:p w14:paraId="5AD6177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（以下无正文）</w:t>
      </w:r>
    </w:p>
    <w:p w14:paraId="0FCCE940">
      <w:pPr>
        <w:spacing w:line="560" w:lineRule="exact"/>
        <w:ind w:firstLine="560" w:firstLineChars="200"/>
        <w:rPr>
          <w:rFonts w:hint="eastAsia" w:ascii="宋体" w:hAnsi="宋体" w:eastAsia="宋体" w:cs="宋体"/>
          <w:color w:val="auto"/>
          <w:sz w:val="28"/>
          <w:szCs w:val="28"/>
        </w:rPr>
      </w:pPr>
    </w:p>
    <w:tbl>
      <w:tblPr>
        <w:tblStyle w:val="23"/>
        <w:tblW w:w="9331" w:type="dxa"/>
        <w:jc w:val="center"/>
        <w:tblLayout w:type="fixed"/>
        <w:tblCellMar>
          <w:top w:w="0" w:type="dxa"/>
          <w:left w:w="108" w:type="dxa"/>
          <w:bottom w:w="0" w:type="dxa"/>
          <w:right w:w="108" w:type="dxa"/>
        </w:tblCellMar>
      </w:tblPr>
      <w:tblGrid>
        <w:gridCol w:w="4489"/>
        <w:gridCol w:w="4842"/>
      </w:tblGrid>
      <w:tr w14:paraId="74E92254">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5E78319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甲    方：重庆中医药学院</w:t>
            </w:r>
          </w:p>
        </w:tc>
        <w:tc>
          <w:tcPr>
            <w:tcW w:w="4842" w:type="dxa"/>
            <w:tcBorders>
              <w:tl2br w:val="nil"/>
              <w:tr2bl w:val="nil"/>
            </w:tcBorders>
            <w:noWrap w:val="0"/>
            <w:vAlign w:val="top"/>
          </w:tcPr>
          <w:p w14:paraId="369BC4A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乙    方：</w:t>
            </w:r>
          </w:p>
        </w:tc>
      </w:tr>
      <w:tr w14:paraId="3FA47223">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C224CF1">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4EF15A23">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6D4EABDC">
            <w:pPr>
              <w:pStyle w:val="18"/>
              <w:tabs>
                <w:tab w:val="left" w:pos="1260"/>
                <w:tab w:val="left" w:pos="1685"/>
                <w:tab w:val="right" w:leader="dot" w:pos="8400"/>
              </w:tabs>
              <w:spacing w:line="560" w:lineRule="exact"/>
              <w:rPr>
                <w:rFonts w:hint="eastAsia" w:ascii="宋体" w:hAnsi="宋体" w:eastAsia="宋体" w:cs="宋体"/>
                <w:color w:val="auto"/>
                <w:sz w:val="28"/>
                <w:szCs w:val="28"/>
              </w:rPr>
            </w:pPr>
          </w:p>
        </w:tc>
        <w:tc>
          <w:tcPr>
            <w:tcW w:w="4842" w:type="dxa"/>
            <w:tcBorders>
              <w:tl2br w:val="nil"/>
              <w:tr2bl w:val="nil"/>
            </w:tcBorders>
            <w:noWrap w:val="0"/>
            <w:vAlign w:val="top"/>
          </w:tcPr>
          <w:p w14:paraId="6D8FB682">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65A2A446">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152E71AE">
            <w:pPr>
              <w:pStyle w:val="9"/>
              <w:rPr>
                <w:rFonts w:hint="eastAsia" w:ascii="宋体" w:hAnsi="宋体" w:eastAsia="宋体" w:cs="宋体"/>
                <w:color w:val="auto"/>
              </w:rPr>
            </w:pPr>
          </w:p>
        </w:tc>
      </w:tr>
      <w:tr w14:paraId="739A395E">
        <w:tblPrEx>
          <w:tblCellMar>
            <w:top w:w="0" w:type="dxa"/>
            <w:left w:w="108" w:type="dxa"/>
            <w:bottom w:w="0" w:type="dxa"/>
            <w:right w:w="108" w:type="dxa"/>
          </w:tblCellMar>
        </w:tblPrEx>
        <w:trPr>
          <w:trHeight w:val="664" w:hRule="atLeast"/>
          <w:jc w:val="center"/>
        </w:trPr>
        <w:tc>
          <w:tcPr>
            <w:tcW w:w="4489" w:type="dxa"/>
            <w:tcBorders>
              <w:tl2br w:val="nil"/>
              <w:tr2bl w:val="nil"/>
            </w:tcBorders>
            <w:noWrap w:val="0"/>
            <w:vAlign w:val="top"/>
          </w:tcPr>
          <w:p w14:paraId="6D7405E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税    号：12500000MB1G7951XD</w:t>
            </w:r>
          </w:p>
        </w:tc>
        <w:tc>
          <w:tcPr>
            <w:tcW w:w="4842" w:type="dxa"/>
            <w:tcBorders>
              <w:tl2br w:val="nil"/>
              <w:tr2bl w:val="nil"/>
            </w:tcBorders>
            <w:noWrap w:val="0"/>
            <w:vAlign w:val="top"/>
          </w:tcPr>
          <w:p w14:paraId="3D49AF7E">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税    号：</w:t>
            </w:r>
          </w:p>
        </w:tc>
      </w:tr>
      <w:tr w14:paraId="4197403F">
        <w:tblPrEx>
          <w:tblCellMar>
            <w:top w:w="0" w:type="dxa"/>
            <w:left w:w="108" w:type="dxa"/>
            <w:bottom w:w="0" w:type="dxa"/>
            <w:right w:w="108" w:type="dxa"/>
          </w:tblCellMar>
        </w:tblPrEx>
        <w:trPr>
          <w:trHeight w:val="649" w:hRule="atLeast"/>
          <w:jc w:val="center"/>
        </w:trPr>
        <w:tc>
          <w:tcPr>
            <w:tcW w:w="4489" w:type="dxa"/>
            <w:tcBorders>
              <w:tl2br w:val="nil"/>
              <w:tr2bl w:val="nil"/>
            </w:tcBorders>
            <w:noWrap w:val="0"/>
            <w:vAlign w:val="top"/>
          </w:tcPr>
          <w:p w14:paraId="68CBFAE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开户银行：中信银行重庆科学城</w:t>
            </w:r>
          </w:p>
          <w:p w14:paraId="6EF76DD7">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rPr>
              <w:t>支行</w:t>
            </w:r>
          </w:p>
        </w:tc>
        <w:tc>
          <w:tcPr>
            <w:tcW w:w="4842" w:type="dxa"/>
            <w:tcBorders>
              <w:tl2br w:val="nil"/>
              <w:tr2bl w:val="nil"/>
            </w:tcBorders>
            <w:noWrap w:val="0"/>
            <w:vAlign w:val="top"/>
          </w:tcPr>
          <w:p w14:paraId="77CDBD8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14:paraId="54B8CE9B">
        <w:tblPrEx>
          <w:tblCellMar>
            <w:top w:w="0" w:type="dxa"/>
            <w:left w:w="108" w:type="dxa"/>
            <w:bottom w:w="0" w:type="dxa"/>
            <w:right w:w="108" w:type="dxa"/>
          </w:tblCellMar>
        </w:tblPrEx>
        <w:trPr>
          <w:trHeight w:val="649" w:hRule="atLeast"/>
          <w:jc w:val="center"/>
        </w:trPr>
        <w:tc>
          <w:tcPr>
            <w:tcW w:w="4489" w:type="dxa"/>
            <w:tcBorders>
              <w:tl2br w:val="nil"/>
              <w:tr2bl w:val="nil"/>
            </w:tcBorders>
            <w:noWrap w:val="0"/>
            <w:vAlign w:val="top"/>
          </w:tcPr>
          <w:p w14:paraId="10B4199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账    号：8111201013500508457</w:t>
            </w:r>
          </w:p>
        </w:tc>
        <w:tc>
          <w:tcPr>
            <w:tcW w:w="4842" w:type="dxa"/>
            <w:tcBorders>
              <w:tl2br w:val="nil"/>
              <w:tr2bl w:val="nil"/>
            </w:tcBorders>
            <w:noWrap w:val="0"/>
            <w:vAlign w:val="top"/>
          </w:tcPr>
          <w:p w14:paraId="080E872B">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账    号：</w:t>
            </w:r>
          </w:p>
        </w:tc>
      </w:tr>
      <w:tr w14:paraId="1B195DCC">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41F25EB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话：023-65880092</w:t>
            </w:r>
          </w:p>
        </w:tc>
        <w:tc>
          <w:tcPr>
            <w:tcW w:w="4842" w:type="dxa"/>
            <w:tcBorders>
              <w:tl2br w:val="nil"/>
              <w:tr2bl w:val="nil"/>
            </w:tcBorders>
            <w:noWrap w:val="0"/>
            <w:vAlign w:val="top"/>
          </w:tcPr>
          <w:p w14:paraId="3A1AF0E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017F03CE">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251449F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址：重庆市璧山区璧城街道</w:t>
            </w:r>
          </w:p>
          <w:p w14:paraId="289CCD5F">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国学路</w:t>
            </w:r>
            <w:r>
              <w:rPr>
                <w:rFonts w:hint="eastAsia" w:ascii="宋体" w:hAnsi="宋体" w:eastAsia="宋体" w:cs="宋体"/>
                <w:color w:val="auto"/>
                <w:sz w:val="28"/>
                <w:szCs w:val="28"/>
              </w:rPr>
              <w:t>61号</w:t>
            </w:r>
          </w:p>
        </w:tc>
        <w:tc>
          <w:tcPr>
            <w:tcW w:w="4842" w:type="dxa"/>
            <w:tcBorders>
              <w:tl2br w:val="nil"/>
              <w:tr2bl w:val="nil"/>
            </w:tcBorders>
            <w:noWrap w:val="0"/>
            <w:vAlign w:val="top"/>
          </w:tcPr>
          <w:p w14:paraId="510A1C9D">
            <w:pPr>
              <w:spacing w:line="560" w:lineRule="exact"/>
              <w:ind w:left="14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r>
      <w:tr w14:paraId="64DED412">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374DF3B6">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c>
          <w:tcPr>
            <w:tcW w:w="4842" w:type="dxa"/>
            <w:tcBorders>
              <w:tl2br w:val="nil"/>
              <w:tr2bl w:val="nil"/>
            </w:tcBorders>
            <w:noWrap w:val="0"/>
            <w:vAlign w:val="top"/>
          </w:tcPr>
          <w:p w14:paraId="3024E15D">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r>
      <w:tr w14:paraId="0270F7C3">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5101731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签约地点：</w:t>
            </w:r>
            <w:r>
              <w:rPr>
                <w:rFonts w:hint="eastAsia" w:ascii="宋体" w:hAnsi="宋体" w:eastAsia="宋体" w:cs="宋体"/>
                <w:color w:val="auto"/>
                <w:kern w:val="0"/>
                <w:sz w:val="28"/>
                <w:szCs w:val="28"/>
                <w:lang w:eastAsia="zh-CN"/>
              </w:rPr>
              <w:t>重庆市璧山区璧城街道国学路61号</w:t>
            </w:r>
            <w:r>
              <w:rPr>
                <w:rFonts w:hint="eastAsia" w:ascii="宋体" w:hAnsi="宋体" w:eastAsia="宋体" w:cs="宋体"/>
                <w:color w:val="auto"/>
                <w:sz w:val="28"/>
                <w:szCs w:val="28"/>
              </w:rPr>
              <w:t>重庆中医药学院</w:t>
            </w:r>
          </w:p>
        </w:tc>
      </w:tr>
    </w:tbl>
    <w:p w14:paraId="05409CE4">
      <w:pPr>
        <w:spacing w:line="560" w:lineRule="exact"/>
        <w:ind w:firstLine="560" w:firstLineChars="200"/>
        <w:rPr>
          <w:rFonts w:hint="eastAsia" w:ascii="宋体" w:hAnsi="宋体" w:eastAsia="宋体" w:cs="宋体"/>
          <w:color w:val="auto"/>
          <w:sz w:val="28"/>
          <w:szCs w:val="28"/>
        </w:rPr>
      </w:pPr>
    </w:p>
    <w:p w14:paraId="4DF8B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b/>
          <w:bCs/>
          <w:color w:val="auto"/>
          <w:sz w:val="28"/>
          <w:szCs w:val="28"/>
        </w:rPr>
      </w:pPr>
    </w:p>
    <w:p w14:paraId="68904108">
      <w:pPr>
        <w:spacing w:line="56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color w:val="auto"/>
          <w:sz w:val="28"/>
          <w:szCs w:val="28"/>
        </w:rPr>
        <w:t>附件1</w:t>
      </w:r>
    </w:p>
    <w:p w14:paraId="4561F460">
      <w:pPr>
        <w:spacing w:line="6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信息安全保密协议</w:t>
      </w:r>
    </w:p>
    <w:p w14:paraId="4BBD17E3">
      <w:pPr>
        <w:spacing w:line="560" w:lineRule="exact"/>
        <w:ind w:right="414" w:rightChars="148"/>
        <w:rPr>
          <w:rFonts w:hint="eastAsia" w:ascii="宋体" w:hAnsi="宋体" w:eastAsia="宋体" w:cs="宋体"/>
          <w:color w:val="auto"/>
          <w:kern w:val="0"/>
          <w:sz w:val="28"/>
          <w:szCs w:val="28"/>
        </w:rPr>
      </w:pPr>
    </w:p>
    <w:p w14:paraId="4862C022">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  方：重庆中医药学院</w:t>
      </w:r>
    </w:p>
    <w:p w14:paraId="135F1E1B">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  方：</w:t>
      </w:r>
    </w:p>
    <w:p w14:paraId="64E5A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因乙方为甲方提供本主协议所述服务或/和采购供货，已经(或将要)知悉甲方的</w:t>
      </w:r>
      <w:r>
        <w:rPr>
          <w:rFonts w:hint="eastAsia" w:ascii="宋体" w:hAnsi="宋体" w:eastAsia="宋体" w:cs="宋体"/>
          <w:color w:val="auto"/>
          <w:sz w:val="28"/>
          <w:szCs w:val="28"/>
          <w:lang w:eastAsia="zh-Hans"/>
        </w:rPr>
        <w:t>信息</w:t>
      </w:r>
      <w:r>
        <w:rPr>
          <w:rFonts w:hint="eastAsia" w:ascii="宋体" w:hAnsi="宋体" w:eastAsia="宋体" w:cs="宋体"/>
          <w:color w:val="auto"/>
          <w:sz w:val="28"/>
          <w:szCs w:val="28"/>
        </w:rPr>
        <w:t>，为明确乙方的保密义务和维护双方的合法权益，依据相关法规，甲乙双方本着平等、自愿、公平和诚实信用的原则签订本协议。</w:t>
      </w:r>
    </w:p>
    <w:p w14:paraId="54AFDB5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保密内容及范围</w:t>
      </w:r>
    </w:p>
    <w:p w14:paraId="2737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乙方同意对甲方</w:t>
      </w:r>
      <w:r>
        <w:rPr>
          <w:rFonts w:hint="eastAsia" w:ascii="宋体" w:hAnsi="宋体" w:cs="宋体"/>
          <w:color w:val="auto"/>
          <w:sz w:val="28"/>
          <w:szCs w:val="28"/>
          <w:lang w:eastAsia="zh-CN"/>
        </w:rPr>
        <w:t>，或者</w:t>
      </w:r>
      <w:r>
        <w:rPr>
          <w:rFonts w:hint="eastAsia" w:ascii="宋体" w:hAnsi="宋体" w:eastAsia="宋体" w:cs="宋体"/>
          <w:color w:val="auto"/>
          <w:sz w:val="28"/>
          <w:szCs w:val="28"/>
          <w:lang w:eastAsia="zh-Hans"/>
        </w:rPr>
        <w:t>虽属于</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等第三方但甲方负有保密义务的</w:t>
      </w:r>
      <w:r>
        <w:rPr>
          <w:rFonts w:hint="eastAsia" w:ascii="宋体" w:hAnsi="宋体" w:eastAsia="宋体" w:cs="宋体"/>
          <w:color w:val="auto"/>
          <w:sz w:val="28"/>
          <w:szCs w:val="28"/>
          <w:lang w:eastAsia="zh-Hans"/>
        </w:rPr>
        <w:t>一</w:t>
      </w:r>
      <w:r>
        <w:rPr>
          <w:rFonts w:hint="eastAsia" w:ascii="宋体" w:hAnsi="宋体" w:eastAsia="宋体" w:cs="宋体"/>
          <w:color w:val="auto"/>
          <w:sz w:val="28"/>
          <w:szCs w:val="28"/>
        </w:rPr>
        <w:t>切保密信息予以严格保密。</w:t>
      </w:r>
    </w:p>
    <w:p w14:paraId="65E03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本协议中的“保密信息”是指乙方在甲方</w:t>
      </w:r>
      <w:r>
        <w:rPr>
          <w:rFonts w:hint="eastAsia" w:ascii="宋体" w:hAnsi="宋体" w:eastAsia="宋体" w:cs="宋体"/>
          <w:color w:val="auto"/>
          <w:sz w:val="28"/>
          <w:szCs w:val="28"/>
          <w:lang w:eastAsia="zh-Hans"/>
        </w:rPr>
        <w:t>服务</w:t>
      </w:r>
      <w:r>
        <w:rPr>
          <w:rFonts w:hint="eastAsia" w:ascii="宋体" w:hAnsi="宋体" w:eastAsia="宋体" w:cs="宋体"/>
          <w:color w:val="auto"/>
          <w:sz w:val="28"/>
          <w:szCs w:val="28"/>
        </w:rPr>
        <w:t>期间接触到的甲方、甲方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的任何形式的秘密信息，包括但不限于:</w:t>
      </w:r>
    </w:p>
    <w:p w14:paraId="678F3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（1）任何甲方、甲方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不欲公开的观点、发现、发明、公式、程序、计划、图表、模型、参数、数据、标准、商业秘密、专有技术以及任何知识产权等；</w:t>
      </w:r>
    </w:p>
    <w:p w14:paraId="41629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制作或拥有的任何形式的报告、访谈记录、数据、信件、电子邮件、报表、模型以及其他文件的原件或副件；</w:t>
      </w:r>
    </w:p>
    <w:p w14:paraId="770C9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的技术资料或秘密、经营情况、经营策略及经营信息、客户信息、客户经营状况等；</w:t>
      </w:r>
    </w:p>
    <w:p w14:paraId="49EED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（4）甲方内外部项目的项目建议书、项目计划、报价、合同、项目研究方法和工具、培训资料和工具以及项目成果等；</w:t>
      </w:r>
    </w:p>
    <w:p w14:paraId="062E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（5）甲方内部不欲公开或未经公开的公司制度、文件、决议、消息和公司运营情况等；</w:t>
      </w:r>
    </w:p>
    <w:p w14:paraId="4DD2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（6）任何甲方、甲方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不欲公开的关于财务、成本、利润、市场、销售、合同的信息及</w:t>
      </w:r>
      <w:r>
        <w:rPr>
          <w:rFonts w:hint="eastAsia" w:ascii="宋体" w:hAnsi="宋体" w:eastAsia="宋体" w:cs="宋体"/>
          <w:color w:val="auto"/>
          <w:sz w:val="28"/>
          <w:szCs w:val="28"/>
          <w:lang w:eastAsia="zh-Hans"/>
        </w:rPr>
        <w:t>上下级单位</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Hans"/>
        </w:rPr>
        <w:t>供应</w:t>
      </w:r>
      <w:r>
        <w:rPr>
          <w:rFonts w:hint="eastAsia" w:ascii="宋体" w:hAnsi="宋体" w:eastAsia="宋体" w:cs="宋体"/>
          <w:color w:val="auto"/>
          <w:sz w:val="28"/>
          <w:szCs w:val="28"/>
        </w:rPr>
        <w:t>商名单等。</w:t>
      </w:r>
    </w:p>
    <w:p w14:paraId="4CA3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乙方承认，上述“保密信息”均为甲方的保密信息。本协议不仅适用于乙方在本协议签订之后接触的保密信息，也适用于乙方在本协议生效日期前接触的所有保密信息。</w:t>
      </w:r>
    </w:p>
    <w:p w14:paraId="64ACB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乙方确认，如果对是否属于保密信息存在争议，则乙方应按保密信息进行处理，除非得到甲方明确否认。</w:t>
      </w:r>
    </w:p>
    <w:p w14:paraId="5B8EDB8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第二条  乙方的保密义务</w:t>
      </w:r>
    </w:p>
    <w:p w14:paraId="2554C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乙方同意为甲方利益尽最佳努力，在提供</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本主协议所述服务或/和采购供货不组织、参加或计划组织、参加任何竞争企业、或从事任何不正当使用甲方商业秘密的行为。</w:t>
      </w:r>
    </w:p>
    <w:p w14:paraId="26E8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乙方在为甲方提供服务期间，应严格遵守甲方规定的任何成文或不成文的保密规章、制度，履行与其服务内容相应的保密职责；若甲方的保密规章、制度没有规定或者规定不明确之处，乙方亦应本着谨慎、诚实的态度，采取任何必要、合理的措施，维护其</w:t>
      </w:r>
      <w:r>
        <w:rPr>
          <w:rFonts w:hint="eastAsia" w:ascii="宋体" w:hAnsi="宋体" w:eastAsia="宋体" w:cs="宋体"/>
          <w:color w:val="auto"/>
          <w:sz w:val="28"/>
          <w:szCs w:val="28"/>
          <w:lang w:eastAsia="zh-Hans"/>
        </w:rPr>
        <w:t>服务</w:t>
      </w:r>
      <w:r>
        <w:rPr>
          <w:rFonts w:hint="eastAsia" w:ascii="宋体" w:hAnsi="宋体" w:eastAsia="宋体" w:cs="宋体"/>
          <w:color w:val="auto"/>
          <w:sz w:val="28"/>
          <w:szCs w:val="28"/>
        </w:rPr>
        <w:t>期间知悉或者持有的保密信息。</w:t>
      </w:r>
    </w:p>
    <w:p w14:paraId="2C23B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3. 甲方或乙方</w:t>
      </w:r>
      <w:r>
        <w:rPr>
          <w:rFonts w:hint="eastAsia" w:ascii="宋体" w:hAnsi="宋体" w:eastAsia="宋体" w:cs="宋体"/>
          <w:color w:val="auto"/>
          <w:sz w:val="28"/>
          <w:szCs w:val="28"/>
          <w:lang w:eastAsia="zh-Hans"/>
        </w:rPr>
        <w:t>在服务</w:t>
      </w:r>
      <w:r>
        <w:rPr>
          <w:rFonts w:hint="eastAsia" w:ascii="宋体" w:hAnsi="宋体" w:eastAsia="宋体" w:cs="宋体"/>
          <w:color w:val="auto"/>
          <w:sz w:val="28"/>
          <w:szCs w:val="28"/>
        </w:rPr>
        <w:t>范围内就保密事宜对乙方提出的合理要求，乙方应予执行，并作为本合同约定的保密义务的</w:t>
      </w:r>
      <w:r>
        <w:rPr>
          <w:rFonts w:hint="eastAsia" w:ascii="宋体" w:hAnsi="宋体" w:eastAsia="宋体" w:cs="宋体"/>
          <w:color w:val="auto"/>
          <w:sz w:val="28"/>
          <w:szCs w:val="28"/>
          <w:lang w:eastAsia="zh-Hans"/>
        </w:rPr>
        <w:t>一部分。</w:t>
      </w:r>
    </w:p>
    <w:p w14:paraId="35ADB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4</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乙方同意对保密信息予以严格保密，承担的保密义务包括但不限于:</w:t>
      </w:r>
    </w:p>
    <w:p w14:paraId="2CC0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（1）乙方因某一项目而从甲方、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单位处获得的保密信息，乙方承诺只在进行该项目或与该项目紧密相关的项目研究时使用，绝不为与该项目无关的目的使用该保密信息</w:t>
      </w:r>
      <w:r>
        <w:rPr>
          <w:rFonts w:hint="eastAsia" w:ascii="宋体" w:hAnsi="宋体" w:eastAsia="宋体" w:cs="宋体"/>
          <w:color w:val="auto"/>
          <w:sz w:val="28"/>
          <w:szCs w:val="28"/>
        </w:rPr>
        <w:t>；</w:t>
      </w:r>
    </w:p>
    <w:p w14:paraId="45BA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乙方应对甲方、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单位交到自己手中的保密信息予以妥善保存，</w:t>
      </w:r>
      <w:r>
        <w:rPr>
          <w:rFonts w:hint="eastAsia" w:ascii="宋体" w:hAnsi="宋体" w:cs="宋体"/>
          <w:color w:val="auto"/>
          <w:sz w:val="28"/>
          <w:szCs w:val="28"/>
          <w:lang w:eastAsia="zh-CN"/>
        </w:rPr>
        <w:t>不得泄露</w:t>
      </w:r>
      <w:r>
        <w:rPr>
          <w:rFonts w:hint="eastAsia" w:ascii="宋体" w:hAnsi="宋体" w:eastAsia="宋体" w:cs="宋体"/>
          <w:color w:val="auto"/>
          <w:sz w:val="28"/>
          <w:szCs w:val="28"/>
          <w:lang w:eastAsia="zh-Hans"/>
        </w:rPr>
        <w:t>或遗失，在未经甲方事先书面许可，不得私自保留或复制、记录</w:t>
      </w:r>
      <w:r>
        <w:rPr>
          <w:rFonts w:hint="eastAsia" w:ascii="宋体" w:hAnsi="宋体" w:eastAsia="宋体" w:cs="宋体"/>
          <w:color w:val="auto"/>
          <w:sz w:val="28"/>
          <w:szCs w:val="28"/>
        </w:rPr>
        <w:t>；</w:t>
      </w:r>
    </w:p>
    <w:p w14:paraId="2A36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（3）非经甲方事先书面许可，乙方不得直接或间接地以任何方式或向任何第三方(包括除甲方该项目组人员以外的任何机构和人员)披露或透露保密信息</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Hans"/>
        </w:rPr>
        <w:t>亦不得依据保密信息，就任何问题，向任何第三方做出任何建议</w:t>
      </w:r>
      <w:r>
        <w:rPr>
          <w:rFonts w:hint="eastAsia" w:ascii="宋体" w:hAnsi="宋体" w:eastAsia="宋体" w:cs="宋体"/>
          <w:color w:val="auto"/>
          <w:sz w:val="28"/>
          <w:szCs w:val="28"/>
        </w:rPr>
        <w:t>；</w:t>
      </w:r>
    </w:p>
    <w:p w14:paraId="15DAB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（4）当甲方、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单位要求乙方交回保密信息时(无论出于何种理由)，乙方应立即将保密信息(及保密信息的载体、复制品等)完整交回</w:t>
      </w:r>
      <w:r>
        <w:rPr>
          <w:rFonts w:hint="eastAsia" w:ascii="宋体" w:hAnsi="宋体" w:eastAsia="宋体" w:cs="宋体"/>
          <w:color w:val="auto"/>
          <w:sz w:val="28"/>
          <w:szCs w:val="28"/>
        </w:rPr>
        <w:t>；</w:t>
      </w:r>
    </w:p>
    <w:p w14:paraId="176F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（5）根据甲方的要求，如实向甲方提供保密信息的使用记录</w:t>
      </w:r>
      <w:r>
        <w:rPr>
          <w:rFonts w:hint="eastAsia" w:ascii="宋体" w:hAnsi="宋体" w:eastAsia="宋体" w:cs="宋体"/>
          <w:color w:val="auto"/>
          <w:sz w:val="28"/>
          <w:szCs w:val="28"/>
        </w:rPr>
        <w:t>；</w:t>
      </w:r>
    </w:p>
    <w:p w14:paraId="4D689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（6）乙方提供服务结束时或任何时候甲方提出要求时，须将一切保密信息(及保密信息的载体、复制品等)在甲方要求的时间内交还甲方</w:t>
      </w:r>
      <w:r>
        <w:rPr>
          <w:rFonts w:hint="eastAsia" w:ascii="宋体" w:hAnsi="宋体" w:eastAsia="宋体" w:cs="宋体"/>
          <w:color w:val="auto"/>
          <w:sz w:val="28"/>
          <w:szCs w:val="28"/>
        </w:rPr>
        <w:t>；</w:t>
      </w:r>
    </w:p>
    <w:p w14:paraId="7521F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乙方在提供服务结束后，应严格遵守相关法律规定，以及以上各项保密义务，不得以任何方式利用、传播、披露所掌握或知悉的保密信息，不得利用所掌握或知悉的保密信息从事损害甲方利益或可能对甲方利益造成不利影响的活动，包括向乙方之后用户单位披露或使用保密信息、为乙方自营企业利益使用保密信息等。</w:t>
      </w:r>
    </w:p>
    <w:p w14:paraId="4DB45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5</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保密信息的保密期是指：乙方服务期间或服务期间后，甲方、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单位对外公布保密信息，或者保密信息为公众所知之前的任何时间。</w:t>
      </w:r>
    </w:p>
    <w:p w14:paraId="426FC06D">
      <w:pPr>
        <w:spacing w:line="560" w:lineRule="exact"/>
        <w:ind w:firstLine="560" w:firstLineChars="200"/>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第三条</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 xml:space="preserve"> 甲乙双方确认</w:t>
      </w:r>
    </w:p>
    <w:p w14:paraId="2C0AC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1</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双方确认，就本协议的履行，甲方无需额外向乙方支付费用或报酬，除非双方另有约定。</w:t>
      </w:r>
    </w:p>
    <w:p w14:paraId="7D55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乙方确认，已经知悉并理解甲方的上述制度，并同意遵守执行:</w:t>
      </w:r>
    </w:p>
    <w:p w14:paraId="1C2B9AD1">
      <w:pPr>
        <w:spacing w:line="560" w:lineRule="exact"/>
        <w:ind w:firstLine="560" w:firstLineChars="200"/>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 xml:space="preserve">第四条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违约责任</w:t>
      </w:r>
    </w:p>
    <w:p w14:paraId="73CB6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1</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乙方违反保密义务时，应向甲方支付</w:t>
      </w:r>
      <w:r>
        <w:rPr>
          <w:rFonts w:hint="eastAsia" w:ascii="宋体" w:hAnsi="宋体" w:eastAsia="宋体" w:cs="宋体"/>
          <w:color w:val="auto"/>
          <w:sz w:val="28"/>
          <w:szCs w:val="28"/>
        </w:rPr>
        <w:t>合同金额3%的</w:t>
      </w:r>
      <w:r>
        <w:rPr>
          <w:rFonts w:hint="eastAsia" w:ascii="宋体" w:hAnsi="宋体" w:eastAsia="宋体" w:cs="宋体"/>
          <w:color w:val="auto"/>
          <w:sz w:val="28"/>
          <w:szCs w:val="28"/>
          <w:lang w:eastAsia="zh-Hans"/>
        </w:rPr>
        <w:t>违约金。同时还应赔偿由此给甲方、甲方的供应商及甲方关联单位造成的一切损失，损失范围包括但不限于甲方的名誉损失、直接损失和可得利益的损失，以及调查费用、公证费用、诉讼费用、律师费用，向第三方支付的赔偿，为应对第三方的指控而支付的一切费用等。上述赔偿可以从乙方的服务报酬或劳动报酬中扣除。</w:t>
      </w:r>
    </w:p>
    <w:p w14:paraId="2A31D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eastAsia="zh-Hans"/>
        </w:rPr>
        <w:t>如果乙方侵犯</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单位相关的保密信息或知识产权，甲方有权代表</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单位追究乙方的法律责任。</w:t>
      </w:r>
    </w:p>
    <w:p w14:paraId="25D5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3. 乙方若违反本协议书内容，甲方有权制止乙方违约行为或侵权行为并要求乙方积极采取措施消除影响、赔偿损失；情节严重的，甲方有权向有关部门报案，乙方</w:t>
      </w:r>
      <w:r>
        <w:rPr>
          <w:rFonts w:hint="eastAsia" w:ascii="宋体" w:hAnsi="宋体" w:eastAsia="宋体" w:cs="宋体"/>
          <w:color w:val="auto"/>
          <w:sz w:val="28"/>
          <w:szCs w:val="28"/>
          <w:lang w:eastAsia="zh-Hans"/>
        </w:rPr>
        <w:t>应</w:t>
      </w:r>
      <w:r>
        <w:rPr>
          <w:rFonts w:hint="eastAsia" w:ascii="宋体" w:hAnsi="宋体" w:eastAsia="宋体" w:cs="宋体"/>
          <w:color w:val="auto"/>
          <w:sz w:val="28"/>
          <w:szCs w:val="28"/>
        </w:rPr>
        <w:t>承担相应的行政和刑事责任。</w:t>
      </w:r>
    </w:p>
    <w:p w14:paraId="7B353B2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 xml:space="preserve">第五条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争议解决</w:t>
      </w:r>
      <w:r>
        <w:rPr>
          <w:rFonts w:hint="eastAsia" w:ascii="宋体" w:hAnsi="宋体" w:eastAsia="宋体" w:cs="宋体"/>
          <w:color w:val="auto"/>
          <w:sz w:val="28"/>
          <w:szCs w:val="28"/>
        </w:rPr>
        <w:t xml:space="preserve">. </w:t>
      </w:r>
    </w:p>
    <w:p w14:paraId="7BCB0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双方同意，因签订本协议发生的或同本协议有关的一切纠纷，由双方当事人协商解决，协商不成的，任何一方均可向甲方所在地有管辖权的人民法院提起诉讼。</w:t>
      </w:r>
    </w:p>
    <w:p w14:paraId="2775A2FF">
      <w:pPr>
        <w:spacing w:line="560" w:lineRule="exact"/>
        <w:ind w:firstLine="560" w:firstLineChars="200"/>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 xml:space="preserve">第六条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附则</w:t>
      </w:r>
    </w:p>
    <w:p w14:paraId="792CB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任何一方不得将本协议项下的权利和义务转让给第三方，但获得对方书面同意的除外。</w:t>
      </w:r>
    </w:p>
    <w:p w14:paraId="1468E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乙方的保密义务自本项目建设合作起开始生效。</w:t>
      </w:r>
    </w:p>
    <w:p w14:paraId="7EFE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乙方的保密义务并不因双方合作关系的解除而免除。</w:t>
      </w:r>
    </w:p>
    <w:p w14:paraId="4391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4. 本协议一式</w:t>
      </w:r>
      <w:r>
        <w:rPr>
          <w:rFonts w:hint="eastAsia" w:ascii="宋体" w:hAnsi="宋体" w:eastAsia="宋体" w:cs="宋体"/>
          <w:color w:val="auto"/>
          <w:sz w:val="28"/>
          <w:szCs w:val="28"/>
          <w:u w:val="single"/>
        </w:rPr>
        <w:t xml:space="preserve"> 陆 </w:t>
      </w:r>
      <w:r>
        <w:rPr>
          <w:rFonts w:hint="eastAsia" w:ascii="宋体" w:hAnsi="宋体" w:eastAsia="宋体" w:cs="宋体"/>
          <w:color w:val="auto"/>
          <w:sz w:val="28"/>
          <w:szCs w:val="28"/>
        </w:rPr>
        <w:t>份，甲方</w:t>
      </w:r>
      <w:r>
        <w:rPr>
          <w:rFonts w:hint="eastAsia" w:ascii="宋体" w:hAnsi="宋体" w:eastAsia="宋体" w:cs="宋体"/>
          <w:color w:val="auto"/>
          <w:sz w:val="28"/>
          <w:szCs w:val="28"/>
          <w:u w:val="single"/>
        </w:rPr>
        <w:t xml:space="preserve"> 肆 </w:t>
      </w:r>
      <w:r>
        <w:rPr>
          <w:rFonts w:hint="eastAsia" w:ascii="宋体" w:hAnsi="宋体" w:eastAsia="宋体" w:cs="宋体"/>
          <w:color w:val="auto"/>
          <w:sz w:val="28"/>
          <w:szCs w:val="28"/>
        </w:rPr>
        <w:t>份和乙方</w:t>
      </w:r>
      <w:r>
        <w:rPr>
          <w:rFonts w:hint="eastAsia" w:ascii="宋体" w:hAnsi="宋体" w:eastAsia="宋体" w:cs="宋体"/>
          <w:color w:val="auto"/>
          <w:sz w:val="28"/>
          <w:szCs w:val="28"/>
          <w:u w:val="single"/>
        </w:rPr>
        <w:t xml:space="preserve"> 贰 </w:t>
      </w:r>
      <w:r>
        <w:rPr>
          <w:rFonts w:hint="eastAsia" w:ascii="宋体" w:hAnsi="宋体" w:eastAsia="宋体" w:cs="宋体"/>
          <w:color w:val="auto"/>
          <w:sz w:val="28"/>
          <w:szCs w:val="28"/>
        </w:rPr>
        <w:t>份。未尽事宜，甲乙双方友好协商，</w:t>
      </w:r>
      <w:r>
        <w:rPr>
          <w:rFonts w:hint="eastAsia" w:ascii="宋体" w:hAnsi="宋体" w:eastAsia="宋体" w:cs="宋体"/>
          <w:color w:val="auto"/>
          <w:sz w:val="28"/>
          <w:szCs w:val="28"/>
          <w:lang w:eastAsia="zh-Hans"/>
        </w:rPr>
        <w:t>可</w:t>
      </w:r>
      <w:r>
        <w:rPr>
          <w:rFonts w:hint="eastAsia" w:ascii="宋体" w:hAnsi="宋体" w:cs="宋体"/>
          <w:color w:val="auto"/>
          <w:sz w:val="28"/>
          <w:szCs w:val="28"/>
          <w:lang w:eastAsia="zh-CN"/>
        </w:rPr>
        <w:t>签订</w:t>
      </w:r>
      <w:r>
        <w:rPr>
          <w:rFonts w:hint="eastAsia" w:ascii="宋体" w:hAnsi="宋体" w:eastAsia="宋体" w:cs="宋体"/>
          <w:color w:val="auto"/>
          <w:sz w:val="28"/>
          <w:szCs w:val="28"/>
          <w:lang w:eastAsia="zh-Hans"/>
        </w:rPr>
        <w:t>补充协议予以完善。</w:t>
      </w:r>
    </w:p>
    <w:tbl>
      <w:tblPr>
        <w:tblStyle w:val="23"/>
        <w:tblW w:w="9331" w:type="dxa"/>
        <w:jc w:val="center"/>
        <w:tblLayout w:type="fixed"/>
        <w:tblCellMar>
          <w:top w:w="0" w:type="dxa"/>
          <w:left w:w="108" w:type="dxa"/>
          <w:bottom w:w="0" w:type="dxa"/>
          <w:right w:w="108" w:type="dxa"/>
        </w:tblCellMar>
      </w:tblPr>
      <w:tblGrid>
        <w:gridCol w:w="4489"/>
        <w:gridCol w:w="4842"/>
      </w:tblGrid>
      <w:tr w14:paraId="7771601B">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23C9B00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甲    方：重庆中医药学院</w:t>
            </w:r>
          </w:p>
        </w:tc>
        <w:tc>
          <w:tcPr>
            <w:tcW w:w="4842" w:type="dxa"/>
            <w:tcBorders>
              <w:tl2br w:val="nil"/>
              <w:tr2bl w:val="nil"/>
            </w:tcBorders>
            <w:noWrap w:val="0"/>
            <w:vAlign w:val="top"/>
          </w:tcPr>
          <w:p w14:paraId="04B1BFA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乙    方：</w:t>
            </w:r>
          </w:p>
        </w:tc>
      </w:tr>
      <w:tr w14:paraId="12C0C13E">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1C1377D">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1D5AF1B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tc>
        <w:tc>
          <w:tcPr>
            <w:tcW w:w="4842" w:type="dxa"/>
            <w:tcBorders>
              <w:tl2br w:val="nil"/>
              <w:tr2bl w:val="nil"/>
            </w:tcBorders>
            <w:noWrap w:val="0"/>
            <w:vAlign w:val="top"/>
          </w:tcPr>
          <w:p w14:paraId="09D19081">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5B29E66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4191F408">
            <w:pPr>
              <w:pStyle w:val="9"/>
              <w:rPr>
                <w:rFonts w:hint="eastAsia" w:ascii="宋体" w:hAnsi="宋体" w:eastAsia="宋体" w:cs="宋体"/>
                <w:color w:val="auto"/>
              </w:rPr>
            </w:pPr>
          </w:p>
        </w:tc>
      </w:tr>
      <w:tr w14:paraId="5D2EA1F7">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62FEF58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话：023-65880092</w:t>
            </w:r>
          </w:p>
        </w:tc>
        <w:tc>
          <w:tcPr>
            <w:tcW w:w="4842" w:type="dxa"/>
            <w:tcBorders>
              <w:tl2br w:val="nil"/>
              <w:tr2bl w:val="nil"/>
            </w:tcBorders>
            <w:noWrap w:val="0"/>
            <w:vAlign w:val="top"/>
          </w:tcPr>
          <w:p w14:paraId="484EBE1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0AD3CEC2">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20323EBC">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址：重庆市璧山区璧城街道</w:t>
            </w:r>
          </w:p>
          <w:p w14:paraId="417F1917">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国学路</w:t>
            </w:r>
            <w:r>
              <w:rPr>
                <w:rFonts w:hint="eastAsia" w:ascii="宋体" w:hAnsi="宋体" w:eastAsia="宋体" w:cs="宋体"/>
                <w:color w:val="auto"/>
                <w:sz w:val="28"/>
                <w:szCs w:val="28"/>
              </w:rPr>
              <w:t>61号</w:t>
            </w:r>
          </w:p>
        </w:tc>
        <w:tc>
          <w:tcPr>
            <w:tcW w:w="4842" w:type="dxa"/>
            <w:tcBorders>
              <w:tl2br w:val="nil"/>
              <w:tr2bl w:val="nil"/>
            </w:tcBorders>
            <w:noWrap w:val="0"/>
            <w:vAlign w:val="top"/>
          </w:tcPr>
          <w:p w14:paraId="0D14C01D">
            <w:pPr>
              <w:spacing w:line="560" w:lineRule="exact"/>
              <w:ind w:left="14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r>
      <w:tr w14:paraId="5A5D1216">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15B69150">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c>
          <w:tcPr>
            <w:tcW w:w="4842" w:type="dxa"/>
            <w:tcBorders>
              <w:tl2br w:val="nil"/>
              <w:tr2bl w:val="nil"/>
            </w:tcBorders>
            <w:noWrap w:val="0"/>
            <w:vAlign w:val="top"/>
          </w:tcPr>
          <w:p w14:paraId="21088D60">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r>
      <w:tr w14:paraId="7BFBACB2">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1592291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签约地点：</w:t>
            </w:r>
            <w:r>
              <w:rPr>
                <w:rFonts w:hint="eastAsia" w:ascii="宋体" w:hAnsi="宋体" w:eastAsia="宋体" w:cs="宋体"/>
                <w:color w:val="auto"/>
                <w:kern w:val="0"/>
                <w:sz w:val="28"/>
                <w:szCs w:val="28"/>
                <w:lang w:eastAsia="zh-CN"/>
              </w:rPr>
              <w:t>重庆市璧山区璧城街道国学路61号</w:t>
            </w:r>
            <w:r>
              <w:rPr>
                <w:rFonts w:hint="eastAsia" w:ascii="宋体" w:hAnsi="宋体" w:eastAsia="宋体" w:cs="宋体"/>
                <w:color w:val="auto"/>
                <w:sz w:val="28"/>
                <w:szCs w:val="28"/>
              </w:rPr>
              <w:t>重庆中医药学院</w:t>
            </w:r>
          </w:p>
        </w:tc>
      </w:tr>
    </w:tbl>
    <w:p w14:paraId="7BD799D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附件2</w:t>
      </w:r>
    </w:p>
    <w:p w14:paraId="7E908F18">
      <w:pPr>
        <w:spacing w:line="6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安 全 协 议</w:t>
      </w:r>
    </w:p>
    <w:p w14:paraId="54A50222">
      <w:pPr>
        <w:spacing w:line="560" w:lineRule="exact"/>
        <w:ind w:right="414" w:rightChars="148"/>
        <w:rPr>
          <w:rFonts w:hint="eastAsia" w:ascii="宋体" w:hAnsi="宋体" w:eastAsia="宋体" w:cs="宋体"/>
          <w:color w:val="auto"/>
          <w:kern w:val="0"/>
          <w:sz w:val="28"/>
          <w:szCs w:val="28"/>
        </w:rPr>
      </w:pPr>
    </w:p>
    <w:p w14:paraId="04836FBB">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  方：重庆中医药学院</w:t>
      </w:r>
    </w:p>
    <w:p w14:paraId="59CD9B10">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  方：</w:t>
      </w:r>
    </w:p>
    <w:p w14:paraId="5EE8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6A7F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根据</w:t>
      </w:r>
      <w:r>
        <w:rPr>
          <w:rFonts w:hint="eastAsia" w:ascii="宋体" w:hAnsi="宋体" w:eastAsia="宋体" w:cs="宋体"/>
          <w:color w:val="auto"/>
          <w:sz w:val="28"/>
          <w:szCs w:val="28"/>
          <w:u w:val="single"/>
          <w:lang w:val="en-US" w:eastAsia="zh-CN"/>
        </w:rPr>
        <w:t>TZC-（招）-咨字-2026-A068</w:t>
      </w:r>
      <w:r>
        <w:rPr>
          <w:rFonts w:hint="eastAsia" w:ascii="宋体" w:hAnsi="宋体" w:eastAsia="宋体" w:cs="宋体"/>
          <w:color w:val="auto"/>
          <w:sz w:val="28"/>
          <w:szCs w:val="28"/>
        </w:rPr>
        <w:t>号招标项目的投标结果，中标方（乙方）成为项目的供应商。为避免乙方在提供服务、供货或施工过程中的安全生产风险，有效防止安全事故发生，保障生命、财产安全，促进服务、供货或施工的顺利进行，明确双方安全责任，经甲乙双方友好协商，达成以下安全协议。</w:t>
      </w:r>
    </w:p>
    <w:p w14:paraId="5084D8B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甲方安全责任</w:t>
      </w:r>
    </w:p>
    <w:p w14:paraId="69D8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甲方有协助乙方在提供服务、供货或施工过程中遇到的安全风险、防火管理以及督促检查的义务。甲方有权检查督促乙方执行有关安全方面的工作情况，对乙方不符合安全文明施工的行为进行制止、纠正并发出安全整改通知书，直至清退出场。</w:t>
      </w:r>
    </w:p>
    <w:p w14:paraId="1483D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甲方及甲方委托的监管机构有权对乙方安全生产情况随时进行抽查，有权对乙方参与服务、供货或施工过程中人员进行安全技术知识和安全工作规程的抽查。乙方应予积极配合。若在检查过程中被发现存在的安全隐患，应立即按要求在甲方规定时限内进行整改。</w:t>
      </w:r>
    </w:p>
    <w:p w14:paraId="264CE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乙方在提供服务、供货或施工过程中如发生特、重大事故，甲方有权督促乙方立即通知当地政府和公安部门，要求派人保护现场；并有权要求乙方提供事故调查书面结论及处理意见。</w:t>
      </w:r>
    </w:p>
    <w:p w14:paraId="28CD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 甲方不得要求乙方违反安全管理规定进行服务、供货或施工。</w:t>
      </w:r>
    </w:p>
    <w:p w14:paraId="77AC21C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第二条  乙方安全责任</w:t>
      </w:r>
    </w:p>
    <w:p w14:paraId="56F4D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乙方作为服务、供货或施工项目的实施单位，对提供服务、供货或施工项目过程中发生的人身伤害、设备损坏、环境污染等影响甲方安全的一切事故承担安全责任。乙方应切实履行以下安全责任:</w:t>
      </w:r>
    </w:p>
    <w:p w14:paraId="5F1F9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乙方提供的服务、供货或施工项目所要求的相关资质证明材料应真实、合法、有效。</w:t>
      </w:r>
    </w:p>
    <w:p w14:paraId="7A163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如乙方作为施工项目的供应商，乙方应取得施工企业安全生产许可证后方可从事工程施工（零星施工项目或国家没有强制企业施工前取得安全生产许可证的除外）。施工企业的主要负责人、项目负责人、专职安全生产管理人员任职或上岗条件必须符合国家</w:t>
      </w:r>
      <w:r>
        <w:rPr>
          <w:rFonts w:hint="eastAsia" w:ascii="宋体" w:hAnsi="宋体" w:cs="宋体"/>
          <w:color w:val="auto"/>
          <w:sz w:val="28"/>
          <w:szCs w:val="28"/>
          <w:lang w:eastAsia="zh-CN"/>
        </w:rPr>
        <w:t>法律法规</w:t>
      </w:r>
      <w:r>
        <w:rPr>
          <w:rFonts w:hint="eastAsia" w:ascii="宋体" w:hAnsi="宋体" w:eastAsia="宋体" w:cs="宋体"/>
          <w:color w:val="auto"/>
          <w:sz w:val="28"/>
          <w:szCs w:val="28"/>
        </w:rPr>
        <w:t>相关规定。</w:t>
      </w:r>
    </w:p>
    <w:p w14:paraId="69D59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乙方在提供服务、供货或施工项目过程中必须贯彻执行国家有关安全生产的法律法规，必须制定相应的安全管理制度；严格按照各种操作规程进行操控作业。</w:t>
      </w:r>
    </w:p>
    <w:p w14:paraId="38DBD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 乙方在提供服务、供货或施工期间，应根据项目需求设立安全责任岗位。</w:t>
      </w:r>
    </w:p>
    <w:p w14:paraId="35E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 乙方</w:t>
      </w:r>
      <w:r>
        <w:rPr>
          <w:rFonts w:hint="eastAsia" w:ascii="宋体" w:hAnsi="宋体" w:cs="宋体"/>
          <w:color w:val="auto"/>
          <w:sz w:val="28"/>
          <w:szCs w:val="28"/>
          <w:lang w:eastAsia="zh-CN"/>
        </w:rPr>
        <w:t>用于</w:t>
      </w:r>
      <w:r>
        <w:rPr>
          <w:rFonts w:hint="eastAsia" w:ascii="宋体" w:hAnsi="宋体" w:eastAsia="宋体" w:cs="宋体"/>
          <w:color w:val="auto"/>
          <w:sz w:val="28"/>
          <w:szCs w:val="28"/>
        </w:rPr>
        <w:t>提供服务、供货或施工项目的施工机械、工器具及安全防护用品等数量和质量必须满足项目需要，乙方对因使用工器具不当所造成的人员伤亡及设备损坏负责。</w:t>
      </w:r>
    </w:p>
    <w:p w14:paraId="74A4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 乙方在提供服务、供货或施工项目前，应组织全体工作人员进行安全教育。如需特种工作人员作业，必须</w:t>
      </w:r>
      <w:r>
        <w:rPr>
          <w:rFonts w:hint="eastAsia" w:ascii="宋体" w:hAnsi="宋体" w:cs="宋体"/>
          <w:color w:val="auto"/>
          <w:sz w:val="28"/>
          <w:szCs w:val="28"/>
          <w:lang w:eastAsia="zh-CN"/>
        </w:rPr>
        <w:t>有关</w:t>
      </w:r>
      <w:r>
        <w:rPr>
          <w:rFonts w:hint="eastAsia" w:ascii="宋体" w:hAnsi="宋体" w:eastAsia="宋体" w:cs="宋体"/>
          <w:color w:val="auto"/>
          <w:sz w:val="28"/>
          <w:szCs w:val="28"/>
        </w:rPr>
        <w:t>部门核发的合格有效的上岗资格证书。</w:t>
      </w:r>
    </w:p>
    <w:p w14:paraId="4D360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7. 乙方在提供服务、供货或施工项目前，乙方应组织人员对工作区域、作业环境、设施设备、工器具等进行检查，确认符合安全要求。</w:t>
      </w:r>
    </w:p>
    <w:p w14:paraId="51A5E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8. 乙方在提供服务、供货或施工项目过程中需要使用电、水源，应事先与甲方取得联系，不得私拉乱接。中断作业或遇故障应立即切断有关开关。</w:t>
      </w:r>
    </w:p>
    <w:p w14:paraId="664CE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9. 乙方在提供服务、供货或施工项目过程中必须接受甲方的监督、检查，对甲方提出的安全整改意见必须及时整改。</w:t>
      </w:r>
    </w:p>
    <w:p w14:paraId="5173A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10. 乙方在提供服务、供货或施工项目过程中发生人身伤亡、设备事故或危及生产运行的不安全情况，应立即报告甲方，并积极配合调查。</w:t>
      </w:r>
    </w:p>
    <w:p w14:paraId="4F51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11. 乙方在提供服务、供货或施工项目过程中由于管理不善，违章操作，违章施工，造成甲方其他设施、设备受损，包括但不限于房屋墙面地面损毁，通信网络管道损毁、信号中断等，由乙方承担补修和赔偿的全部责任。</w:t>
      </w:r>
    </w:p>
    <w:p w14:paraId="6F3E8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12. 乙方在提供服务、供货或施工项目过程中(验收前)，由于管理不善，造成工程施工材料损坏或丢失，由乙方承担全部责任。</w:t>
      </w:r>
    </w:p>
    <w:p w14:paraId="15F58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13. 乙方应依法为在提供服务、供货或施工项目过程中的工作人员缴纳工伤社会保险或购买意外伤害保险。</w:t>
      </w:r>
    </w:p>
    <w:p w14:paraId="5A7B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14. 乙方要加强对提供服务、供货或施工项目工作人员的管理教育，提高他们的安全意识，时刻考虑到学校师生的安全。教育其不得随意出入师生生活、学习及办公区域，不得随意与学生来往，所有施工人员要严格遵守甲方规章制度。</w:t>
      </w:r>
    </w:p>
    <w:p w14:paraId="539F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15. 乙方须遵守有关环境保护</w:t>
      </w:r>
      <w:r>
        <w:rPr>
          <w:rFonts w:hint="eastAsia" w:ascii="宋体" w:hAnsi="宋体" w:cs="宋体"/>
          <w:color w:val="auto"/>
          <w:sz w:val="28"/>
          <w:szCs w:val="28"/>
          <w:lang w:eastAsia="zh-CN"/>
        </w:rPr>
        <w:t>法律法规</w:t>
      </w:r>
      <w:r>
        <w:rPr>
          <w:rFonts w:hint="eastAsia" w:ascii="宋体" w:hAnsi="宋体" w:eastAsia="宋体" w:cs="宋体"/>
          <w:color w:val="auto"/>
          <w:sz w:val="28"/>
          <w:szCs w:val="28"/>
        </w:rPr>
        <w:t>的规定，建筑材料摆放规范，并合理调整工作时间，尽量减少工地噪音，在确保安全的同时不影响正常教学及办公秩序。</w:t>
      </w:r>
    </w:p>
    <w:p w14:paraId="6EFCA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16. 乙方在提供服务、供货或施工过程中，应根据师生活动范围，搭设防护通道，并在显著的位置张贴安全生产的宣传标语，合理设置警示标志、绕行标志等，提示和引导避让危险，严密防范安全事故发生，确保在校师生和施工人员的人身安全。</w:t>
      </w:r>
    </w:p>
    <w:p w14:paraId="4A33809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第三条  违约责任</w:t>
      </w:r>
    </w:p>
    <w:p w14:paraId="1366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由于乙方责任造成对方或第三方的人身伤害、设备损坏、环境污染等人身或财产损失，由乙方承担相应责任，并赔偿对方或第三方因此造成的全部损失。</w:t>
      </w:r>
    </w:p>
    <w:p w14:paraId="50D08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合同履行中，发现乙方提供的有关资质材料无效，甲方有权解除合同，并由乙方承担由此造成的一切损失。</w:t>
      </w:r>
    </w:p>
    <w:p w14:paraId="20094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如提供服务、供货或施工项目中，乙方需要设置安全责任人员而未设置，未能正确、全面执行安全技术措施、施工组织设计；工作人员未掌握本项目特点及安全措施；用于本项目的施工机械、工器具及安全防护用品不满足施工需要，甲方有权要求乙方立即停工整改，由此引起的后果及损失由乙方承担。</w:t>
      </w:r>
    </w:p>
    <w:p w14:paraId="14CB3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第四条 争议解决方式</w:t>
      </w:r>
    </w:p>
    <w:p w14:paraId="5B96B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本协议执行过程中，如发生争议，由双方协商解决；协商不成，任何一方可以向甲方所在地人民法院提出诉讼。</w:t>
      </w:r>
    </w:p>
    <w:p w14:paraId="14B6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本协议一式</w:t>
      </w:r>
      <w:r>
        <w:rPr>
          <w:rFonts w:hint="eastAsia" w:ascii="宋体" w:hAnsi="宋体" w:eastAsia="宋体" w:cs="宋体"/>
          <w:color w:val="auto"/>
          <w:sz w:val="28"/>
          <w:szCs w:val="28"/>
          <w:u w:val="single"/>
        </w:rPr>
        <w:t>陆</w:t>
      </w:r>
      <w:r>
        <w:rPr>
          <w:rFonts w:hint="eastAsia" w:ascii="宋体" w:hAnsi="宋体" w:eastAsia="宋体" w:cs="宋体"/>
          <w:color w:val="auto"/>
          <w:sz w:val="28"/>
          <w:szCs w:val="28"/>
        </w:rPr>
        <w:t>份，甲方</w:t>
      </w:r>
      <w:r>
        <w:rPr>
          <w:rFonts w:hint="eastAsia" w:ascii="宋体" w:hAnsi="宋体" w:eastAsia="宋体" w:cs="宋体"/>
          <w:color w:val="auto"/>
          <w:sz w:val="28"/>
          <w:szCs w:val="28"/>
          <w:u w:val="single"/>
        </w:rPr>
        <w:t>肆</w:t>
      </w:r>
      <w:r>
        <w:rPr>
          <w:rFonts w:hint="eastAsia" w:ascii="宋体" w:hAnsi="宋体" w:eastAsia="宋体" w:cs="宋体"/>
          <w:color w:val="auto"/>
          <w:sz w:val="28"/>
          <w:szCs w:val="28"/>
        </w:rPr>
        <w:t>份和乙方</w:t>
      </w:r>
      <w:r>
        <w:rPr>
          <w:rFonts w:hint="eastAsia" w:ascii="宋体" w:hAnsi="宋体" w:eastAsia="宋体" w:cs="宋体"/>
          <w:color w:val="auto"/>
          <w:sz w:val="28"/>
          <w:szCs w:val="28"/>
          <w:u w:val="single"/>
        </w:rPr>
        <w:t>贰</w:t>
      </w:r>
      <w:r>
        <w:rPr>
          <w:rFonts w:hint="eastAsia" w:ascii="宋体" w:hAnsi="宋体" w:eastAsia="宋体" w:cs="宋体"/>
          <w:color w:val="auto"/>
          <w:sz w:val="28"/>
          <w:szCs w:val="28"/>
        </w:rPr>
        <w:t>份。未尽事宜，甲乙双方经友好协商可签订补充协议。</w:t>
      </w:r>
    </w:p>
    <w:p w14:paraId="18134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7919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27E4D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6061B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tbl>
      <w:tblPr>
        <w:tblStyle w:val="23"/>
        <w:tblW w:w="9331" w:type="dxa"/>
        <w:jc w:val="center"/>
        <w:tblLayout w:type="fixed"/>
        <w:tblCellMar>
          <w:top w:w="0" w:type="dxa"/>
          <w:left w:w="108" w:type="dxa"/>
          <w:bottom w:w="0" w:type="dxa"/>
          <w:right w:w="108" w:type="dxa"/>
        </w:tblCellMar>
      </w:tblPr>
      <w:tblGrid>
        <w:gridCol w:w="4489"/>
        <w:gridCol w:w="4842"/>
      </w:tblGrid>
      <w:tr w14:paraId="5D91F090">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00CC384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甲    方：重庆中医药学院</w:t>
            </w:r>
          </w:p>
        </w:tc>
        <w:tc>
          <w:tcPr>
            <w:tcW w:w="4842" w:type="dxa"/>
            <w:tcBorders>
              <w:tl2br w:val="nil"/>
              <w:tr2bl w:val="nil"/>
            </w:tcBorders>
            <w:noWrap w:val="0"/>
            <w:vAlign w:val="top"/>
          </w:tcPr>
          <w:p w14:paraId="06C0780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乙    方：</w:t>
            </w:r>
          </w:p>
        </w:tc>
      </w:tr>
      <w:tr w14:paraId="594B7D87">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4DE5555">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5AB44A3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7B937EED">
            <w:pPr>
              <w:pStyle w:val="18"/>
              <w:tabs>
                <w:tab w:val="left" w:pos="1260"/>
                <w:tab w:val="left" w:pos="1685"/>
                <w:tab w:val="right" w:leader="dot" w:pos="8400"/>
              </w:tabs>
              <w:spacing w:line="560" w:lineRule="exact"/>
              <w:rPr>
                <w:rFonts w:hint="eastAsia" w:ascii="宋体" w:hAnsi="宋体" w:eastAsia="宋体" w:cs="宋体"/>
                <w:color w:val="auto"/>
                <w:sz w:val="28"/>
                <w:szCs w:val="28"/>
              </w:rPr>
            </w:pPr>
          </w:p>
        </w:tc>
        <w:tc>
          <w:tcPr>
            <w:tcW w:w="4842" w:type="dxa"/>
            <w:tcBorders>
              <w:tl2br w:val="nil"/>
              <w:tr2bl w:val="nil"/>
            </w:tcBorders>
            <w:noWrap w:val="0"/>
            <w:vAlign w:val="top"/>
          </w:tcPr>
          <w:p w14:paraId="5B7BDAD4">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1FBA27FC">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597995A0">
            <w:pPr>
              <w:pStyle w:val="9"/>
              <w:rPr>
                <w:rFonts w:hint="eastAsia" w:ascii="宋体" w:hAnsi="宋体" w:eastAsia="宋体" w:cs="宋体"/>
                <w:color w:val="auto"/>
              </w:rPr>
            </w:pPr>
          </w:p>
        </w:tc>
      </w:tr>
      <w:tr w14:paraId="6E4814E5">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30EAF0F7">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话：023-65880092</w:t>
            </w:r>
          </w:p>
        </w:tc>
        <w:tc>
          <w:tcPr>
            <w:tcW w:w="4842" w:type="dxa"/>
            <w:tcBorders>
              <w:tl2br w:val="nil"/>
              <w:tr2bl w:val="nil"/>
            </w:tcBorders>
            <w:noWrap w:val="0"/>
            <w:vAlign w:val="top"/>
          </w:tcPr>
          <w:p w14:paraId="3F60B73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64A05875">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4FD978B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址：重庆市璧山区璧城街道</w:t>
            </w:r>
          </w:p>
          <w:p w14:paraId="4094AE9A">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国学路</w:t>
            </w:r>
            <w:r>
              <w:rPr>
                <w:rFonts w:hint="eastAsia" w:ascii="宋体" w:hAnsi="宋体" w:eastAsia="宋体" w:cs="宋体"/>
                <w:color w:val="auto"/>
                <w:sz w:val="28"/>
                <w:szCs w:val="28"/>
              </w:rPr>
              <w:t>61号</w:t>
            </w:r>
          </w:p>
        </w:tc>
        <w:tc>
          <w:tcPr>
            <w:tcW w:w="4842" w:type="dxa"/>
            <w:tcBorders>
              <w:tl2br w:val="nil"/>
              <w:tr2bl w:val="nil"/>
            </w:tcBorders>
            <w:noWrap w:val="0"/>
            <w:vAlign w:val="top"/>
          </w:tcPr>
          <w:p w14:paraId="5FD8BD6F">
            <w:pPr>
              <w:spacing w:line="560" w:lineRule="exact"/>
              <w:ind w:left="14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r>
      <w:tr w14:paraId="34402B37">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12E3578A">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c>
          <w:tcPr>
            <w:tcW w:w="4842" w:type="dxa"/>
            <w:tcBorders>
              <w:tl2br w:val="nil"/>
              <w:tr2bl w:val="nil"/>
            </w:tcBorders>
            <w:noWrap w:val="0"/>
            <w:vAlign w:val="top"/>
          </w:tcPr>
          <w:p w14:paraId="2BAB55B7">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r>
      <w:tr w14:paraId="7FBE3D00">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79E209B6">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签约地点：</w:t>
            </w:r>
            <w:r>
              <w:rPr>
                <w:rFonts w:hint="eastAsia" w:ascii="宋体" w:hAnsi="宋体" w:eastAsia="宋体" w:cs="宋体"/>
                <w:color w:val="auto"/>
                <w:kern w:val="0"/>
                <w:sz w:val="28"/>
                <w:szCs w:val="28"/>
                <w:lang w:eastAsia="zh-CN"/>
              </w:rPr>
              <w:t>重庆市璧山区璧城街道国学路61号</w:t>
            </w:r>
            <w:r>
              <w:rPr>
                <w:rFonts w:hint="eastAsia" w:ascii="宋体" w:hAnsi="宋体" w:eastAsia="宋体" w:cs="宋体"/>
                <w:color w:val="auto"/>
                <w:sz w:val="28"/>
                <w:szCs w:val="28"/>
              </w:rPr>
              <w:t>重庆中医药学院</w:t>
            </w:r>
          </w:p>
        </w:tc>
      </w:tr>
    </w:tbl>
    <w:p w14:paraId="1C93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2"/>
        <w:jc w:val="left"/>
        <w:rPr>
          <w:rFonts w:hint="eastAsia" w:ascii="宋体" w:hAnsi="宋体" w:eastAsia="宋体" w:cs="宋体"/>
          <w:b/>
          <w:bCs/>
          <w:color w:val="auto"/>
          <w:sz w:val="28"/>
          <w:szCs w:val="28"/>
          <w:highlight w:val="none"/>
        </w:rPr>
      </w:pPr>
    </w:p>
    <w:p w14:paraId="6F005E24">
      <w:pPr>
        <w:rPr>
          <w:rFonts w:hint="eastAsia" w:ascii="宋体" w:hAnsi="宋体" w:eastAsia="宋体" w:cs="宋体"/>
          <w:b/>
          <w:bCs/>
          <w:color w:val="auto"/>
          <w:sz w:val="36"/>
          <w:szCs w:val="30"/>
          <w:highlight w:val="none"/>
        </w:rPr>
      </w:pPr>
    </w:p>
    <w:p w14:paraId="35A0210C">
      <w:pPr>
        <w:pStyle w:val="2"/>
        <w:spacing w:line="360" w:lineRule="auto"/>
        <w:ind w:firstLine="723"/>
        <w:jc w:val="center"/>
        <w:outlineLvl w:val="0"/>
        <w:rPr>
          <w:rFonts w:hint="eastAsia" w:ascii="宋体" w:hAnsi="宋体" w:eastAsia="宋体" w:cs="宋体"/>
          <w:b/>
          <w:bCs/>
          <w:color w:val="auto"/>
          <w:sz w:val="36"/>
          <w:szCs w:val="30"/>
          <w:highlight w:val="none"/>
        </w:rPr>
      </w:pPr>
      <w:bookmarkStart w:id="102" w:name="_Toc26851"/>
      <w:r>
        <w:rPr>
          <w:rFonts w:hint="eastAsia" w:ascii="宋体" w:hAnsi="宋体" w:eastAsia="宋体" w:cs="宋体"/>
          <w:b/>
          <w:bCs/>
          <w:color w:val="auto"/>
          <w:sz w:val="36"/>
          <w:szCs w:val="30"/>
          <w:highlight w:val="none"/>
        </w:rPr>
        <w:t>第七篇  响应文件编制要求</w:t>
      </w:r>
      <w:bookmarkEnd w:id="96"/>
      <w:bookmarkEnd w:id="102"/>
    </w:p>
    <w:p w14:paraId="5B20890C">
      <w:pPr>
        <w:spacing w:line="360" w:lineRule="auto"/>
        <w:ind w:firstLine="482"/>
        <w:outlineLvl w:val="0"/>
        <w:rPr>
          <w:rFonts w:hint="eastAsia" w:ascii="宋体" w:hAnsi="宋体" w:eastAsia="宋体" w:cs="宋体"/>
          <w:b/>
          <w:bCs/>
          <w:color w:val="auto"/>
          <w:sz w:val="24"/>
          <w:szCs w:val="24"/>
          <w:highlight w:val="none"/>
        </w:rPr>
      </w:pPr>
      <w:bookmarkStart w:id="103" w:name="_Toc30206"/>
      <w:bookmarkStart w:id="104" w:name="_Toc4398"/>
      <w:bookmarkStart w:id="105" w:name="_Toc6200"/>
      <w:r>
        <w:rPr>
          <w:rFonts w:hint="eastAsia" w:ascii="宋体" w:hAnsi="宋体" w:eastAsia="宋体" w:cs="宋体"/>
          <w:b/>
          <w:bCs/>
          <w:color w:val="auto"/>
          <w:sz w:val="24"/>
          <w:szCs w:val="24"/>
          <w:highlight w:val="none"/>
        </w:rPr>
        <w:t>一、经济部分</w:t>
      </w:r>
      <w:bookmarkEnd w:id="103"/>
      <w:bookmarkEnd w:id="104"/>
      <w:bookmarkEnd w:id="105"/>
    </w:p>
    <w:p w14:paraId="0A367A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054FECD6">
      <w:pPr>
        <w:pStyle w:val="4"/>
        <w:spacing w:before="0" w:after="0" w:line="360" w:lineRule="auto"/>
        <w:ind w:firstLine="482"/>
        <w:rPr>
          <w:rFonts w:hint="eastAsia" w:ascii="宋体" w:hAnsi="宋体" w:eastAsia="宋体" w:cs="宋体"/>
          <w:color w:val="auto"/>
          <w:sz w:val="24"/>
          <w:szCs w:val="24"/>
          <w:highlight w:val="none"/>
          <w:lang w:eastAsia="zh-CN"/>
        </w:rPr>
      </w:pPr>
      <w:bookmarkStart w:id="106" w:name="_Toc11375"/>
      <w:r>
        <w:rPr>
          <w:rFonts w:hint="eastAsia" w:ascii="宋体" w:hAnsi="宋体" w:eastAsia="宋体" w:cs="宋体"/>
          <w:color w:val="auto"/>
          <w:sz w:val="24"/>
          <w:szCs w:val="24"/>
          <w:highlight w:val="none"/>
        </w:rPr>
        <w:t>二、</w:t>
      </w:r>
      <w:bookmarkEnd w:id="106"/>
      <w:r>
        <w:rPr>
          <w:rFonts w:hint="eastAsia" w:ascii="宋体" w:hAnsi="宋体" w:eastAsia="宋体" w:cs="宋体"/>
          <w:color w:val="auto"/>
          <w:sz w:val="24"/>
          <w:szCs w:val="24"/>
          <w:highlight w:val="none"/>
          <w:lang w:eastAsia="zh-CN"/>
        </w:rPr>
        <w:t>技术部分</w:t>
      </w:r>
    </w:p>
    <w:p w14:paraId="60796082">
      <w:pPr>
        <w:spacing w:line="360" w:lineRule="auto"/>
        <w:ind w:firstLine="480" w:firstLineChars="200"/>
        <w:rPr>
          <w:rFonts w:hint="eastAsia" w:ascii="宋体" w:hAnsi="宋体" w:eastAsia="宋体" w:cs="宋体"/>
          <w:color w:val="auto"/>
          <w:sz w:val="24"/>
          <w:szCs w:val="24"/>
          <w:highlight w:val="none"/>
        </w:rPr>
      </w:pPr>
      <w:bookmarkStart w:id="107" w:name="_Toc28914"/>
      <w:bookmarkStart w:id="108" w:name="_Toc18693"/>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技术条款</w:t>
      </w:r>
      <w:r>
        <w:rPr>
          <w:rFonts w:hint="eastAsia" w:ascii="宋体" w:hAnsi="宋体" w:eastAsia="宋体" w:cs="宋体"/>
          <w:color w:val="auto"/>
          <w:sz w:val="24"/>
          <w:szCs w:val="24"/>
          <w:highlight w:val="none"/>
        </w:rPr>
        <w:t>差异表</w:t>
      </w:r>
    </w:p>
    <w:p w14:paraId="759A7FDD">
      <w:pPr>
        <w:spacing w:line="360" w:lineRule="auto"/>
        <w:ind w:firstLine="480" w:firstLineChars="200"/>
        <w:rPr>
          <w:rFonts w:hint="default"/>
          <w:color w:val="auto"/>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技术方案</w:t>
      </w:r>
    </w:p>
    <w:p w14:paraId="0AFC636A">
      <w:pPr>
        <w:spacing w:line="360" w:lineRule="auto"/>
        <w:ind w:firstLine="482"/>
        <w:outlineLvl w:val="0"/>
        <w:rPr>
          <w:rFonts w:hint="eastAsia" w:ascii="宋体" w:hAnsi="宋体" w:eastAsia="宋体" w:cs="宋体"/>
          <w:b/>
          <w:bCs/>
          <w:color w:val="auto"/>
          <w:sz w:val="24"/>
          <w:szCs w:val="24"/>
          <w:highlight w:val="none"/>
        </w:rPr>
      </w:pPr>
      <w:bookmarkStart w:id="109" w:name="_Toc23797"/>
      <w:r>
        <w:rPr>
          <w:rFonts w:hint="eastAsia" w:ascii="宋体" w:hAnsi="宋体" w:eastAsia="宋体" w:cs="宋体"/>
          <w:b/>
          <w:bCs/>
          <w:color w:val="auto"/>
          <w:sz w:val="24"/>
          <w:szCs w:val="24"/>
          <w:highlight w:val="none"/>
        </w:rPr>
        <w:t>三、商务部分</w:t>
      </w:r>
      <w:bookmarkEnd w:id="107"/>
      <w:bookmarkEnd w:id="108"/>
      <w:bookmarkEnd w:id="109"/>
    </w:p>
    <w:p w14:paraId="4B6FA5B0">
      <w:pPr>
        <w:spacing w:line="360" w:lineRule="auto"/>
        <w:ind w:firstLine="480" w:firstLineChars="200"/>
        <w:rPr>
          <w:rFonts w:hint="eastAsia" w:ascii="宋体" w:hAnsi="宋体" w:eastAsia="宋体" w:cs="宋体"/>
          <w:color w:val="auto"/>
          <w:sz w:val="24"/>
          <w:szCs w:val="24"/>
          <w:highlight w:val="none"/>
        </w:rPr>
      </w:pPr>
      <w:bookmarkStart w:id="110" w:name="_Toc28227"/>
      <w:bookmarkStart w:id="111" w:name="_Toc22064"/>
      <w:r>
        <w:rPr>
          <w:rFonts w:hint="eastAsia" w:ascii="宋体" w:hAnsi="宋体" w:eastAsia="宋体" w:cs="宋体"/>
          <w:color w:val="auto"/>
          <w:sz w:val="24"/>
          <w:szCs w:val="24"/>
          <w:highlight w:val="none"/>
        </w:rPr>
        <w:t>（一）商务条款差异表</w:t>
      </w:r>
    </w:p>
    <w:p w14:paraId="238E3D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（二）其它优惠承诺</w:t>
      </w:r>
    </w:p>
    <w:p w14:paraId="22374CB0">
      <w:pPr>
        <w:spacing w:line="360" w:lineRule="auto"/>
        <w:ind w:firstLine="482"/>
        <w:outlineLvl w:val="0"/>
        <w:rPr>
          <w:rFonts w:hint="eastAsia" w:ascii="宋体" w:hAnsi="宋体" w:eastAsia="宋体" w:cs="宋体"/>
          <w:b/>
          <w:bCs/>
          <w:color w:val="auto"/>
          <w:sz w:val="24"/>
          <w:szCs w:val="24"/>
          <w:highlight w:val="none"/>
        </w:rPr>
      </w:pPr>
      <w:bookmarkStart w:id="112" w:name="_Toc8165"/>
      <w:r>
        <w:rPr>
          <w:rFonts w:hint="eastAsia" w:ascii="宋体" w:hAnsi="宋体" w:eastAsia="宋体" w:cs="宋体"/>
          <w:b/>
          <w:bCs/>
          <w:color w:val="auto"/>
          <w:sz w:val="24"/>
          <w:szCs w:val="24"/>
          <w:highlight w:val="none"/>
        </w:rPr>
        <w:t>四、资格条件及其他</w:t>
      </w:r>
      <w:bookmarkEnd w:id="110"/>
      <w:bookmarkEnd w:id="111"/>
      <w:bookmarkEnd w:id="112"/>
    </w:p>
    <w:p w14:paraId="64374F95">
      <w:pPr>
        <w:snapToGrid w:val="0"/>
        <w:spacing w:line="360" w:lineRule="auto"/>
        <w:ind w:firstLine="480" w:firstLineChars="200"/>
        <w:rPr>
          <w:rFonts w:hint="eastAsia" w:ascii="宋体" w:hAnsi="宋体" w:eastAsia="宋体" w:cs="宋体"/>
          <w:color w:val="auto"/>
          <w:sz w:val="24"/>
          <w:szCs w:val="24"/>
          <w:highlight w:val="none"/>
        </w:rPr>
      </w:pPr>
      <w:bookmarkStart w:id="113" w:name="_Toc7466"/>
      <w:bookmarkStart w:id="114" w:name="_Toc11444"/>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5856A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（二）法定代表人身份证明书（格式）/法定代表人授权委托书（格式）</w:t>
      </w:r>
    </w:p>
    <w:p w14:paraId="7E9D85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（三）基本资格条件承诺函（格式）</w:t>
      </w:r>
    </w:p>
    <w:p w14:paraId="17CCD858">
      <w:pPr>
        <w:spacing w:line="360" w:lineRule="auto"/>
        <w:ind w:firstLine="482"/>
        <w:outlineLvl w:val="0"/>
        <w:rPr>
          <w:rFonts w:hint="eastAsia" w:ascii="宋体" w:hAnsi="宋体" w:eastAsia="宋体" w:cs="宋体"/>
          <w:b/>
          <w:bCs/>
          <w:color w:val="auto"/>
          <w:sz w:val="24"/>
          <w:szCs w:val="24"/>
          <w:highlight w:val="none"/>
        </w:rPr>
      </w:pPr>
      <w:bookmarkStart w:id="115" w:name="_Toc18310"/>
      <w:r>
        <w:rPr>
          <w:rFonts w:hint="eastAsia" w:ascii="宋体" w:hAnsi="宋体" w:eastAsia="宋体" w:cs="宋体"/>
          <w:b/>
          <w:bCs/>
          <w:color w:val="auto"/>
          <w:sz w:val="24"/>
          <w:szCs w:val="24"/>
          <w:highlight w:val="none"/>
        </w:rPr>
        <w:t>五、其他应提供的资料</w:t>
      </w:r>
      <w:bookmarkEnd w:id="113"/>
      <w:bookmarkEnd w:id="114"/>
      <w:bookmarkEnd w:id="115"/>
    </w:p>
    <w:p w14:paraId="1A26E36E">
      <w:pPr>
        <w:spacing w:line="360" w:lineRule="auto"/>
        <w:ind w:firstLine="480" w:firstLineChars="200"/>
        <w:rPr>
          <w:rFonts w:hint="eastAsia" w:ascii="宋体" w:hAnsi="宋体" w:eastAsia="宋体" w:cs="宋体"/>
          <w:color w:val="auto"/>
          <w:highlight w:val="none"/>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（一）其他与项目有关的资料</w:t>
      </w:r>
    </w:p>
    <w:p w14:paraId="3FEB62C2">
      <w:pPr>
        <w:numPr>
          <w:ilvl w:val="0"/>
          <w:numId w:val="4"/>
        </w:numPr>
        <w:spacing w:line="312" w:lineRule="auto"/>
        <w:ind w:firstLine="482"/>
        <w:outlineLvl w:val="0"/>
        <w:rPr>
          <w:rFonts w:hint="eastAsia" w:ascii="宋体" w:hAnsi="宋体" w:eastAsia="宋体" w:cs="宋体"/>
          <w:b/>
          <w:color w:val="auto"/>
          <w:sz w:val="24"/>
          <w:szCs w:val="24"/>
          <w:highlight w:val="none"/>
        </w:rPr>
      </w:pPr>
      <w:bookmarkStart w:id="116" w:name="_Toc18786"/>
      <w:bookmarkStart w:id="117" w:name="_Toc14211"/>
      <w:bookmarkStart w:id="118" w:name="_Toc21819"/>
      <w:r>
        <w:rPr>
          <w:rFonts w:hint="eastAsia" w:ascii="宋体" w:hAnsi="宋体" w:eastAsia="宋体" w:cs="宋体"/>
          <w:b/>
          <w:color w:val="auto"/>
          <w:sz w:val="24"/>
          <w:szCs w:val="24"/>
          <w:highlight w:val="none"/>
        </w:rPr>
        <w:t>经济部分</w:t>
      </w:r>
      <w:bookmarkEnd w:id="116"/>
      <w:bookmarkEnd w:id="117"/>
      <w:bookmarkEnd w:id="118"/>
    </w:p>
    <w:p w14:paraId="44387887">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14:paraId="4574BAE5">
      <w:pPr>
        <w:tabs>
          <w:tab w:val="left" w:pos="6300"/>
        </w:tabs>
        <w:snapToGrid w:val="0"/>
        <w:spacing w:line="360" w:lineRule="auto"/>
        <w:ind w:firstLine="482"/>
        <w:jc w:val="center"/>
        <w:outlineLvl w:val="0"/>
        <w:rPr>
          <w:rFonts w:hint="eastAsia" w:ascii="宋体" w:hAnsi="宋体" w:eastAsia="宋体" w:cs="宋体"/>
          <w:b/>
          <w:color w:val="auto"/>
          <w:sz w:val="24"/>
          <w:szCs w:val="24"/>
          <w:highlight w:val="none"/>
        </w:rPr>
      </w:pPr>
      <w:bookmarkStart w:id="119" w:name="_Toc19038"/>
      <w:bookmarkStart w:id="120" w:name="_Toc15549"/>
      <w:bookmarkStart w:id="121" w:name="_Toc14789"/>
      <w:r>
        <w:rPr>
          <w:rFonts w:hint="eastAsia" w:ascii="宋体" w:hAnsi="宋体" w:eastAsia="宋体" w:cs="宋体"/>
          <w:b/>
          <w:color w:val="auto"/>
          <w:sz w:val="24"/>
          <w:szCs w:val="24"/>
          <w:highlight w:val="none"/>
        </w:rPr>
        <w:t>报价函</w:t>
      </w:r>
      <w:bookmarkEnd w:id="119"/>
      <w:bookmarkEnd w:id="120"/>
      <w:bookmarkEnd w:id="121"/>
    </w:p>
    <w:p w14:paraId="2A32B397">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76207DD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（项目名称）的竞采采购文件，经详细研究，决定参加该项目的竞采。</w:t>
      </w:r>
    </w:p>
    <w:p w14:paraId="5789C1EE">
      <w:pPr>
        <w:tabs>
          <w:tab w:val="left" w:pos="6300"/>
        </w:tabs>
        <w:snapToGrid w:val="0"/>
        <w:spacing w:line="360" w:lineRule="auto"/>
        <w:ind w:left="14" w:leftChars="5" w:firstLine="458" w:firstLineChars="19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愿意按照竞采采购文件中的一切要求，提供本项目的技术服务，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小写：    </w:t>
      </w:r>
      <w:r>
        <w:rPr>
          <w:rFonts w:hint="eastAsia" w:ascii="宋体" w:hAnsi="宋体" w:eastAsia="宋体" w:cs="宋体"/>
          <w:color w:val="auto"/>
          <w:sz w:val="24"/>
          <w:szCs w:val="24"/>
          <w:highlight w:val="none"/>
        </w:rPr>
        <w:t>。</w:t>
      </w:r>
    </w:p>
    <w:p w14:paraId="5AE1B34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我方现提交的响应文件为：正本1份，副本2份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响应文件电子文档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1FA7B99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我方承诺：本次竞采的有效期为90天。</w:t>
      </w:r>
    </w:p>
    <w:p w14:paraId="0088511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我方完全理解和接受贵方竞采采购文件的一切规定和要求及评审办法。</w:t>
      </w:r>
    </w:p>
    <w:p w14:paraId="089BBAC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在整个竞采采购过程中，我方若有违规行为，接受按照</w:t>
      </w:r>
      <w:r>
        <w:rPr>
          <w:rFonts w:hint="eastAsia" w:ascii="宋体" w:hAnsi="宋体" w:eastAsia="宋体" w:cs="宋体"/>
          <w:color w:val="auto"/>
          <w:sz w:val="24"/>
          <w:szCs w:val="24"/>
          <w:highlight w:val="none"/>
          <w:lang w:eastAsia="zh-CN"/>
        </w:rPr>
        <w:t>竞采</w:t>
      </w:r>
      <w:r>
        <w:rPr>
          <w:rFonts w:hint="eastAsia" w:ascii="宋体" w:hAnsi="宋体" w:eastAsia="宋体" w:cs="宋体"/>
          <w:color w:val="auto"/>
          <w:sz w:val="24"/>
          <w:szCs w:val="24"/>
          <w:highlight w:val="none"/>
        </w:rPr>
        <w:t>平台规定给予惩罚。</w:t>
      </w:r>
    </w:p>
    <w:p w14:paraId="5958E21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我方若中选，将按照竞采结果签订合同，</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严格履行合同义务。本承诺函将成为合同不可分割的一部分，与合同具有同等的法律效力。</w:t>
      </w:r>
    </w:p>
    <w:p w14:paraId="41E79A5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我方理解，最低报价不是成交的唯一条件。</w:t>
      </w:r>
    </w:p>
    <w:p w14:paraId="6D18B9F2">
      <w:pPr>
        <w:tabs>
          <w:tab w:val="left" w:pos="6300"/>
        </w:tabs>
        <w:snapToGrid w:val="0"/>
        <w:spacing w:line="360" w:lineRule="auto"/>
        <w:ind w:firstLine="480"/>
        <w:rPr>
          <w:rFonts w:hint="eastAsia" w:ascii="宋体" w:hAnsi="宋体" w:eastAsia="宋体" w:cs="宋体"/>
          <w:color w:val="auto"/>
          <w:sz w:val="24"/>
          <w:szCs w:val="24"/>
          <w:highlight w:val="none"/>
        </w:rPr>
      </w:pPr>
    </w:p>
    <w:p w14:paraId="68A2578C">
      <w:pPr>
        <w:tabs>
          <w:tab w:val="left" w:pos="6300"/>
        </w:tabs>
        <w:snapToGrid w:val="0"/>
        <w:spacing w:line="360" w:lineRule="auto"/>
        <w:ind w:firstLine="480"/>
        <w:rPr>
          <w:rFonts w:hint="eastAsia" w:ascii="宋体" w:hAnsi="宋体" w:eastAsia="宋体" w:cs="宋体"/>
          <w:color w:val="auto"/>
          <w:sz w:val="24"/>
          <w:szCs w:val="24"/>
          <w:highlight w:val="none"/>
        </w:rPr>
      </w:pPr>
    </w:p>
    <w:p w14:paraId="37057F96">
      <w:pPr>
        <w:tabs>
          <w:tab w:val="left" w:pos="6300"/>
        </w:tabs>
        <w:snapToGrid w:val="0"/>
        <w:spacing w:line="360" w:lineRule="auto"/>
        <w:ind w:firstLine="480"/>
        <w:rPr>
          <w:rFonts w:hint="eastAsia" w:ascii="宋体" w:hAnsi="宋体" w:eastAsia="宋体" w:cs="宋体"/>
          <w:color w:val="auto"/>
          <w:sz w:val="24"/>
          <w:szCs w:val="24"/>
          <w:highlight w:val="none"/>
        </w:rPr>
      </w:pPr>
    </w:p>
    <w:p w14:paraId="68FC5C48">
      <w:pPr>
        <w:tabs>
          <w:tab w:val="left" w:pos="6300"/>
        </w:tabs>
        <w:snapToGrid w:val="0"/>
        <w:spacing w:line="360" w:lineRule="auto"/>
        <w:ind w:firstLine="480"/>
        <w:rPr>
          <w:rFonts w:hint="eastAsia" w:ascii="宋体" w:hAnsi="宋体" w:eastAsia="宋体" w:cs="宋体"/>
          <w:color w:val="auto"/>
          <w:sz w:val="24"/>
          <w:szCs w:val="24"/>
          <w:highlight w:val="none"/>
        </w:rPr>
      </w:pPr>
    </w:p>
    <w:p w14:paraId="346D183D">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6E0693FF">
      <w:pPr>
        <w:snapToGrid w:val="0"/>
        <w:spacing w:line="360" w:lineRule="auto"/>
        <w:ind w:firstLine="480" w:firstLineChars="200"/>
        <w:rPr>
          <w:rFonts w:hint="eastAsia" w:ascii="宋体" w:hAnsi="宋体" w:eastAsia="宋体" w:cs="宋体"/>
          <w:color w:val="auto"/>
          <w:sz w:val="24"/>
          <w:szCs w:val="24"/>
          <w:highlight w:val="none"/>
        </w:rPr>
        <w:sectPr>
          <w:headerReference r:id="rId6" w:type="default"/>
          <w:footerReference r:id="rId7"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 xml:space="preserve">                                                  年   月   日</w:t>
      </w:r>
    </w:p>
    <w:p w14:paraId="10B8B2FC">
      <w:pPr>
        <w:pStyle w:val="4"/>
        <w:spacing w:before="0" w:after="0" w:line="360" w:lineRule="auto"/>
        <w:ind w:firstLine="482"/>
        <w:rPr>
          <w:rFonts w:hint="eastAsia" w:ascii="宋体" w:hAnsi="宋体" w:eastAsia="宋体" w:cs="宋体"/>
          <w:color w:val="auto"/>
          <w:sz w:val="24"/>
          <w:szCs w:val="24"/>
          <w:highlight w:val="none"/>
          <w:lang w:eastAsia="zh-CN"/>
        </w:rPr>
      </w:pPr>
      <w:bookmarkStart w:id="122" w:name="_Toc19852"/>
      <w:bookmarkStart w:id="123" w:name="_Toc9090"/>
      <w:bookmarkStart w:id="124" w:name="_Toc487204798"/>
      <w:bookmarkStart w:id="125" w:name="_Toc486585241"/>
      <w:bookmarkStart w:id="126" w:name="_Toc3192"/>
      <w:bookmarkStart w:id="127" w:name="_Toc486608278"/>
      <w:r>
        <w:rPr>
          <w:rFonts w:hint="eastAsia" w:ascii="宋体" w:hAnsi="宋体" w:eastAsia="宋体" w:cs="宋体"/>
          <w:color w:val="auto"/>
          <w:sz w:val="24"/>
          <w:szCs w:val="24"/>
          <w:highlight w:val="none"/>
        </w:rPr>
        <w:t>二、</w:t>
      </w:r>
      <w:bookmarkEnd w:id="122"/>
      <w:bookmarkEnd w:id="123"/>
      <w:bookmarkEnd w:id="124"/>
      <w:bookmarkEnd w:id="125"/>
      <w:bookmarkEnd w:id="126"/>
      <w:bookmarkEnd w:id="127"/>
      <w:r>
        <w:rPr>
          <w:rFonts w:hint="eastAsia" w:ascii="宋体" w:hAnsi="宋体" w:eastAsia="宋体" w:cs="宋体"/>
          <w:color w:val="auto"/>
          <w:sz w:val="24"/>
          <w:szCs w:val="24"/>
          <w:highlight w:val="none"/>
          <w:lang w:eastAsia="zh-CN"/>
        </w:rPr>
        <w:t>技术部分</w:t>
      </w:r>
    </w:p>
    <w:p w14:paraId="1489DA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技术条款</w:t>
      </w:r>
      <w:r>
        <w:rPr>
          <w:rFonts w:hint="eastAsia" w:ascii="宋体" w:hAnsi="宋体" w:eastAsia="宋体" w:cs="宋体"/>
          <w:color w:val="auto"/>
          <w:sz w:val="24"/>
          <w:szCs w:val="24"/>
          <w:highlight w:val="none"/>
        </w:rPr>
        <w:t>差异表</w:t>
      </w:r>
    </w:p>
    <w:p w14:paraId="48A61B8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BC3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7D35E5B">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58" w:type="dxa"/>
            <w:vAlign w:val="center"/>
          </w:tcPr>
          <w:p w14:paraId="5417B734">
            <w:pPr>
              <w:tabs>
                <w:tab w:val="left" w:pos="6300"/>
              </w:tabs>
              <w:snapToGrid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服务需求</w:t>
            </w:r>
          </w:p>
        </w:tc>
        <w:tc>
          <w:tcPr>
            <w:tcW w:w="2759" w:type="dxa"/>
            <w:vAlign w:val="center"/>
          </w:tcPr>
          <w:p w14:paraId="3B5034C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响应情况</w:t>
            </w:r>
          </w:p>
        </w:tc>
        <w:tc>
          <w:tcPr>
            <w:tcW w:w="2067" w:type="dxa"/>
            <w:vAlign w:val="center"/>
          </w:tcPr>
          <w:p w14:paraId="0B206AF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差异说明</w:t>
            </w:r>
          </w:p>
        </w:tc>
      </w:tr>
      <w:tr w14:paraId="50C0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6E264A">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1C98D44C">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2773021F">
            <w:pPr>
              <w:rPr>
                <w:rFonts w:hint="eastAsia" w:ascii="宋体" w:hAnsi="宋体" w:eastAsia="宋体" w:cs="宋体"/>
                <w:color w:val="auto"/>
                <w:highlight w:val="none"/>
              </w:rPr>
            </w:pPr>
            <w:r>
              <w:rPr>
                <w:rFonts w:hint="eastAsia" w:ascii="宋体" w:hAnsi="宋体" w:eastAsia="宋体" w:cs="宋体"/>
                <w:color w:val="auto"/>
                <w:sz w:val="24"/>
                <w:highlight w:val="none"/>
              </w:rPr>
              <w:t>提醒：请注明具体内容</w:t>
            </w:r>
          </w:p>
        </w:tc>
        <w:tc>
          <w:tcPr>
            <w:tcW w:w="2067" w:type="dxa"/>
            <w:vAlign w:val="center"/>
          </w:tcPr>
          <w:p w14:paraId="0E58E449">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283F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AF99D4">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0527E6D9">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68A787DE">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032FD36C">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360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8" w:type="dxa"/>
            <w:vAlign w:val="center"/>
          </w:tcPr>
          <w:p w14:paraId="74BF3626">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1AC88E11">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291788D5">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76F6FBB3">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3F38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E51790">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17D1A45D">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79359668">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09C24687">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0C0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12492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08FEB9A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74A759E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3733BB99">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7AA4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2647E6">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29CFE90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4FD1D27A">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746A6964">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343C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3C94E">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2DA401CA">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42E15042">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213A77DE">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bl>
    <w:p w14:paraId="5F707511">
      <w:pPr>
        <w:spacing w:line="5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                                     </w:t>
      </w:r>
      <w:r>
        <w:rPr>
          <w:rFonts w:hint="eastAsia" w:ascii="宋体" w:hAnsi="宋体" w:eastAsia="宋体" w:cs="宋体"/>
          <w:color w:val="auto"/>
          <w:sz w:val="24"/>
          <w:highlight w:val="none"/>
          <w:lang w:eastAsia="zh-CN"/>
        </w:rPr>
        <w:t>法定代表人或其授权代表</w:t>
      </w:r>
      <w:r>
        <w:rPr>
          <w:rFonts w:hint="eastAsia" w:ascii="宋体" w:hAnsi="宋体" w:eastAsia="宋体" w:cs="宋体"/>
          <w:color w:val="auto"/>
          <w:sz w:val="24"/>
          <w:highlight w:val="none"/>
        </w:rPr>
        <w:t>：</w:t>
      </w:r>
    </w:p>
    <w:p w14:paraId="7C6B0D10">
      <w:pPr>
        <w:spacing w:line="500" w:lineRule="exact"/>
        <w:rPr>
          <w:rFonts w:hint="eastAsia" w:ascii="宋体" w:hAnsi="宋体" w:eastAsia="宋体" w:cs="宋体"/>
          <w:color w:val="auto"/>
          <w:sz w:val="24"/>
          <w:highlight w:val="none"/>
        </w:rPr>
      </w:pPr>
    </w:p>
    <w:p w14:paraId="7BF4A25D">
      <w:pPr>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18E7B859">
      <w:pPr>
        <w:tabs>
          <w:tab w:val="left" w:pos="6300"/>
        </w:tabs>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A232DA7">
      <w:pPr>
        <w:spacing w:line="312" w:lineRule="auto"/>
        <w:ind w:firstLine="482"/>
        <w:rPr>
          <w:rFonts w:hint="eastAsia" w:ascii="宋体" w:hAnsi="宋体" w:eastAsia="宋体" w:cs="宋体"/>
          <w:b/>
          <w:color w:val="auto"/>
          <w:sz w:val="24"/>
          <w:szCs w:val="24"/>
          <w:highlight w:val="none"/>
        </w:rPr>
      </w:pPr>
    </w:p>
    <w:p w14:paraId="3BBC329B">
      <w:pPr>
        <w:pStyle w:val="4"/>
        <w:spacing w:before="0" w:after="0" w:line="360" w:lineRule="auto"/>
        <w:ind w:firstLine="482"/>
        <w:jc w:val="left"/>
        <w:rPr>
          <w:rFonts w:hint="eastAsia" w:ascii="宋体" w:hAnsi="宋体" w:eastAsia="宋体" w:cs="宋体"/>
          <w:color w:val="auto"/>
          <w:sz w:val="24"/>
          <w:szCs w:val="24"/>
          <w:highlight w:val="none"/>
        </w:rPr>
      </w:pPr>
    </w:p>
    <w:p w14:paraId="69338C35">
      <w:pPr>
        <w:rPr>
          <w:rFonts w:hint="eastAsia" w:ascii="宋体" w:hAnsi="宋体" w:eastAsia="宋体" w:cs="宋体"/>
          <w:color w:val="auto"/>
          <w:sz w:val="24"/>
          <w:szCs w:val="24"/>
          <w:highlight w:val="none"/>
        </w:rPr>
      </w:pPr>
    </w:p>
    <w:p w14:paraId="57C97B2E">
      <w:pPr>
        <w:rPr>
          <w:rFonts w:hint="eastAsia" w:ascii="宋体" w:hAnsi="宋体" w:eastAsia="宋体" w:cs="宋体"/>
          <w:color w:val="auto"/>
          <w:sz w:val="24"/>
          <w:szCs w:val="24"/>
          <w:highlight w:val="none"/>
        </w:rPr>
      </w:pPr>
    </w:p>
    <w:p w14:paraId="644C9D21">
      <w:pPr>
        <w:rPr>
          <w:rFonts w:hint="eastAsia" w:ascii="宋体" w:hAnsi="宋体" w:eastAsia="宋体" w:cs="宋体"/>
          <w:color w:val="auto"/>
          <w:sz w:val="24"/>
          <w:szCs w:val="24"/>
          <w:highlight w:val="none"/>
        </w:rPr>
      </w:pPr>
    </w:p>
    <w:p w14:paraId="2B8329EA">
      <w:pPr>
        <w:rPr>
          <w:rFonts w:hint="eastAsia" w:ascii="宋体" w:hAnsi="宋体" w:eastAsia="宋体" w:cs="宋体"/>
          <w:color w:val="auto"/>
          <w:sz w:val="24"/>
          <w:szCs w:val="24"/>
          <w:highlight w:val="none"/>
        </w:rPr>
      </w:pPr>
    </w:p>
    <w:p w14:paraId="5F55F321">
      <w:pPr>
        <w:snapToGrid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D65C578">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1.本表即为对本项目“第二篇 </w:t>
      </w:r>
      <w:r>
        <w:rPr>
          <w:rFonts w:hint="eastAsia" w:ascii="宋体" w:hAnsi="宋体" w:eastAsia="宋体" w:cs="宋体"/>
          <w:color w:val="auto"/>
          <w:sz w:val="24"/>
          <w:szCs w:val="24"/>
          <w:highlight w:val="none"/>
          <w:lang w:eastAsia="zh-CN"/>
        </w:rPr>
        <w:t>项目技术需求</w:t>
      </w:r>
      <w:r>
        <w:rPr>
          <w:rFonts w:hint="eastAsia" w:ascii="宋体" w:hAnsi="宋体" w:eastAsia="宋体" w:cs="宋体"/>
          <w:color w:val="auto"/>
          <w:sz w:val="24"/>
          <w:szCs w:val="24"/>
          <w:highlight w:val="none"/>
        </w:rPr>
        <w:t>”中所列要求进行比较和响应；</w:t>
      </w:r>
    </w:p>
    <w:p w14:paraId="166F3663">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2.该表必须按照网上竞采要求逐条如实填写，根据响应情况在“差异说明”项填写正偏离或负偏离及原因，完全符合的填写“无差异”，未按要求填写的按无效响应处理；</w:t>
      </w:r>
    </w:p>
    <w:p w14:paraId="21C7912F">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w:t>
      </w:r>
      <w:r>
        <w:rPr>
          <w:rFonts w:hint="eastAsia" w:ascii="宋体" w:hAnsi="宋体" w:cs="宋体"/>
          <w:color w:val="auto"/>
          <w:sz w:val="24"/>
          <w:szCs w:val="24"/>
          <w:highlight w:val="none"/>
          <w:lang w:eastAsia="zh-CN"/>
        </w:rPr>
        <w:t>或加</w:t>
      </w:r>
      <w:r>
        <w:rPr>
          <w:rFonts w:hint="eastAsia" w:ascii="宋体" w:hAnsi="宋体" w:eastAsia="宋体" w:cs="宋体"/>
          <w:color w:val="auto"/>
          <w:sz w:val="24"/>
          <w:szCs w:val="24"/>
          <w:highlight w:val="none"/>
        </w:rPr>
        <w:t>盖供应商公章。</w:t>
      </w:r>
    </w:p>
    <w:p w14:paraId="46FB1CC5">
      <w:pPr>
        <w:tabs>
          <w:tab w:val="left" w:pos="6300"/>
        </w:tabs>
        <w:snapToGri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4.可</w:t>
      </w:r>
      <w:r>
        <w:rPr>
          <w:rFonts w:hint="eastAsia" w:ascii="宋体" w:hAnsi="宋体" w:eastAsia="宋体" w:cs="宋体"/>
          <w:b/>
          <w:bCs/>
          <w:color w:val="auto"/>
          <w:sz w:val="24"/>
          <w:szCs w:val="24"/>
          <w:highlight w:val="none"/>
          <w:lang w:val="en-US" w:eastAsia="zh-CN"/>
        </w:rPr>
        <w:t>后</w:t>
      </w:r>
      <w:r>
        <w:rPr>
          <w:rFonts w:hint="eastAsia" w:ascii="宋体" w:hAnsi="宋体" w:eastAsia="宋体" w:cs="宋体"/>
          <w:b/>
          <w:bCs/>
          <w:color w:val="auto"/>
          <w:sz w:val="24"/>
          <w:szCs w:val="24"/>
          <w:highlight w:val="none"/>
        </w:rPr>
        <w:t>附相关技术支撑材料。（</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格式自定）</w:t>
      </w:r>
    </w:p>
    <w:p w14:paraId="3590CA0A">
      <w:pPr>
        <w:tabs>
          <w:tab w:val="left" w:pos="6300"/>
        </w:tabs>
        <w:snapToGrid w:val="0"/>
        <w:ind w:firstLine="482" w:firstLineChars="200"/>
        <w:rPr>
          <w:rFonts w:hint="eastAsia" w:ascii="宋体" w:hAnsi="宋体" w:eastAsia="宋体" w:cs="宋体"/>
          <w:b/>
          <w:bCs/>
          <w:color w:val="auto"/>
          <w:sz w:val="24"/>
          <w:szCs w:val="24"/>
          <w:highlight w:val="none"/>
        </w:rPr>
      </w:pPr>
    </w:p>
    <w:p w14:paraId="766A381B">
      <w:pPr>
        <w:tabs>
          <w:tab w:val="left" w:pos="6300"/>
        </w:tabs>
        <w:snapToGrid w:val="0"/>
        <w:ind w:firstLine="482" w:firstLineChars="200"/>
        <w:rPr>
          <w:rFonts w:hint="eastAsia" w:ascii="宋体" w:hAnsi="宋体" w:eastAsia="宋体" w:cs="宋体"/>
          <w:b/>
          <w:bCs/>
          <w:color w:val="auto"/>
          <w:sz w:val="24"/>
          <w:szCs w:val="24"/>
          <w:highlight w:val="none"/>
        </w:rPr>
      </w:pPr>
    </w:p>
    <w:p w14:paraId="26A1723D">
      <w:pPr>
        <w:tabs>
          <w:tab w:val="left" w:pos="6300"/>
        </w:tabs>
        <w:snapToGrid w:val="0"/>
        <w:ind w:firstLine="482" w:firstLineChars="200"/>
        <w:rPr>
          <w:rFonts w:hint="eastAsia" w:ascii="宋体" w:hAnsi="宋体" w:eastAsia="宋体" w:cs="宋体"/>
          <w:b/>
          <w:bCs/>
          <w:color w:val="auto"/>
          <w:sz w:val="24"/>
          <w:szCs w:val="24"/>
          <w:highlight w:val="none"/>
        </w:rPr>
      </w:pPr>
    </w:p>
    <w:p w14:paraId="6C9A2979">
      <w:pPr>
        <w:tabs>
          <w:tab w:val="left" w:pos="6300"/>
        </w:tabs>
        <w:snapToGrid w:val="0"/>
        <w:ind w:firstLine="482" w:firstLineChars="200"/>
        <w:rPr>
          <w:rFonts w:hint="eastAsia" w:ascii="宋体" w:hAnsi="宋体" w:eastAsia="宋体" w:cs="宋体"/>
          <w:b/>
          <w:bCs/>
          <w:color w:val="auto"/>
          <w:sz w:val="24"/>
          <w:szCs w:val="24"/>
          <w:highlight w:val="none"/>
        </w:rPr>
      </w:pPr>
    </w:p>
    <w:p w14:paraId="53EB4DFF">
      <w:pPr>
        <w:tabs>
          <w:tab w:val="left" w:pos="6300"/>
        </w:tabs>
        <w:snapToGrid w:val="0"/>
        <w:ind w:firstLine="482" w:firstLineChars="200"/>
        <w:rPr>
          <w:rFonts w:hint="eastAsia" w:ascii="宋体" w:hAnsi="宋体" w:eastAsia="宋体" w:cs="宋体"/>
          <w:b/>
          <w:bCs/>
          <w:color w:val="auto"/>
          <w:sz w:val="24"/>
          <w:szCs w:val="24"/>
          <w:highlight w:val="none"/>
        </w:rPr>
      </w:pPr>
    </w:p>
    <w:p w14:paraId="559062C7">
      <w:pPr>
        <w:tabs>
          <w:tab w:val="left" w:pos="6300"/>
        </w:tabs>
        <w:snapToGrid w:val="0"/>
        <w:ind w:firstLine="482" w:firstLineChars="200"/>
        <w:rPr>
          <w:rFonts w:hint="eastAsia" w:ascii="宋体" w:hAnsi="宋体" w:eastAsia="宋体" w:cs="宋体"/>
          <w:b/>
          <w:bCs/>
          <w:color w:val="auto"/>
          <w:sz w:val="24"/>
          <w:szCs w:val="24"/>
          <w:highlight w:val="none"/>
        </w:rPr>
      </w:pPr>
    </w:p>
    <w:p w14:paraId="168C3E22">
      <w:pPr>
        <w:tabs>
          <w:tab w:val="left" w:pos="6300"/>
        </w:tabs>
        <w:snapToGrid w:val="0"/>
        <w:ind w:firstLine="482" w:firstLineChars="200"/>
        <w:rPr>
          <w:rFonts w:hint="eastAsia" w:ascii="宋体" w:hAnsi="宋体" w:eastAsia="宋体" w:cs="宋体"/>
          <w:b/>
          <w:bCs/>
          <w:color w:val="auto"/>
          <w:sz w:val="24"/>
          <w:szCs w:val="24"/>
          <w:highlight w:val="none"/>
        </w:rPr>
      </w:pPr>
    </w:p>
    <w:p w14:paraId="623EB8DB">
      <w:pPr>
        <w:tabs>
          <w:tab w:val="left" w:pos="6300"/>
        </w:tabs>
        <w:snapToGrid w:val="0"/>
        <w:ind w:firstLine="480" w:firstLineChars="200"/>
        <w:rPr>
          <w:rFonts w:hint="default" w:ascii="宋体" w:hAnsi="宋体" w:eastAsia="宋体" w:cs="宋体"/>
          <w:b/>
          <w:bCs/>
          <w:color w:val="auto"/>
          <w:sz w:val="24"/>
          <w:szCs w:val="24"/>
          <w:highlight w:val="none"/>
          <w:lang w:val="en-US" w:eastAsia="zh-CN"/>
        </w:rPr>
        <w:sectPr>
          <w:headerReference r:id="rId8" w:type="default"/>
          <w:footerReference r:id="rId9"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技术方案</w:t>
      </w:r>
    </w:p>
    <w:p w14:paraId="469B3CC3">
      <w:pPr>
        <w:pStyle w:val="4"/>
        <w:spacing w:before="0" w:after="0" w:line="360" w:lineRule="auto"/>
        <w:ind w:firstLine="482"/>
        <w:rPr>
          <w:rFonts w:hint="eastAsia" w:ascii="宋体" w:hAnsi="宋体" w:eastAsia="宋体" w:cs="宋体"/>
          <w:color w:val="auto"/>
          <w:sz w:val="24"/>
          <w:szCs w:val="24"/>
          <w:highlight w:val="none"/>
          <w:lang w:eastAsia="zh-CN"/>
        </w:rPr>
      </w:pPr>
      <w:bookmarkStart w:id="128" w:name="_Toc29446"/>
      <w:bookmarkStart w:id="129" w:name="_Toc22810"/>
      <w:r>
        <w:rPr>
          <w:rFonts w:hint="eastAsia" w:ascii="宋体" w:hAnsi="宋体" w:eastAsia="宋体" w:cs="宋体"/>
          <w:color w:val="auto"/>
          <w:sz w:val="24"/>
          <w:szCs w:val="24"/>
          <w:highlight w:val="none"/>
          <w:lang w:eastAsia="zh-CN"/>
        </w:rPr>
        <w:t>三、商务部分</w:t>
      </w:r>
      <w:bookmarkEnd w:id="128"/>
      <w:bookmarkEnd w:id="129"/>
    </w:p>
    <w:p w14:paraId="2EFCB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（一）商务条款差异表</w:t>
      </w:r>
    </w:p>
    <w:p w14:paraId="0D4E91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693"/>
        <w:gridCol w:w="2096"/>
      </w:tblGrid>
      <w:tr w14:paraId="298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DE8C8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031E77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需求</w:t>
            </w:r>
          </w:p>
        </w:tc>
        <w:tc>
          <w:tcPr>
            <w:tcW w:w="2693" w:type="dxa"/>
            <w:vAlign w:val="center"/>
          </w:tcPr>
          <w:p w14:paraId="162B25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096" w:type="dxa"/>
            <w:vAlign w:val="center"/>
          </w:tcPr>
          <w:p w14:paraId="1FB057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差异说明</w:t>
            </w:r>
          </w:p>
        </w:tc>
      </w:tr>
      <w:tr w14:paraId="22E8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9D513">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4A4EB388">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5C8BBE3E">
            <w:pPr>
              <w:rPr>
                <w:rFonts w:hint="eastAsia" w:ascii="宋体" w:hAnsi="宋体" w:eastAsia="宋体" w:cs="宋体"/>
                <w:color w:val="auto"/>
                <w:highlight w:val="none"/>
              </w:rPr>
            </w:pPr>
            <w:bookmarkStart w:id="130" w:name="_Toc4318"/>
            <w:bookmarkStart w:id="131" w:name="_Toc25144"/>
            <w:r>
              <w:rPr>
                <w:rFonts w:hint="eastAsia" w:ascii="宋体" w:hAnsi="宋体" w:eastAsia="宋体" w:cs="宋体"/>
                <w:color w:val="auto"/>
                <w:sz w:val="24"/>
                <w:szCs w:val="24"/>
                <w:highlight w:val="none"/>
              </w:rPr>
              <w:t>提醒：请注明具体内容</w:t>
            </w:r>
            <w:bookmarkEnd w:id="130"/>
            <w:bookmarkEnd w:id="131"/>
          </w:p>
        </w:tc>
        <w:tc>
          <w:tcPr>
            <w:tcW w:w="2096" w:type="dxa"/>
            <w:vAlign w:val="center"/>
          </w:tcPr>
          <w:p w14:paraId="474C120D">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2848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A6DAF9">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323AF044">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529590E8">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2FCAF916">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607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B47D69">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3A2E5FC6">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18D9EF70">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157EAD8A">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4BA6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9F681E">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0C60EBAA">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03E5F03C">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18B1F207">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4871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3D22A">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22F51B12">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7A8FA2E3">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3289B7F0">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367E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8203BE">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4AC33BDB">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4B24A191">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163379F5">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bl>
    <w:p w14:paraId="6941821D">
      <w:pPr>
        <w:snapToGrid w:val="0"/>
        <w:spacing w:line="360" w:lineRule="auto"/>
        <w:rPr>
          <w:rFonts w:hint="eastAsia" w:ascii="宋体" w:hAnsi="宋体" w:eastAsia="宋体" w:cs="宋体"/>
          <w:color w:val="auto"/>
          <w:sz w:val="24"/>
          <w:szCs w:val="24"/>
          <w:highlight w:val="none"/>
        </w:rPr>
      </w:pPr>
    </w:p>
    <w:p w14:paraId="674672DF">
      <w:pPr>
        <w:spacing w:line="5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w:t>
      </w:r>
      <w:r>
        <w:rPr>
          <w:rFonts w:hint="eastAsia" w:ascii="宋体" w:hAnsi="宋体" w:eastAsia="宋体" w:cs="宋体"/>
          <w:color w:val="auto"/>
          <w:sz w:val="24"/>
          <w:highlight w:val="none"/>
          <w:lang w:val="en-US" w:eastAsia="zh-CN"/>
        </w:rPr>
        <w:t>或其</w:t>
      </w:r>
      <w:r>
        <w:rPr>
          <w:rFonts w:hint="eastAsia" w:ascii="宋体" w:hAnsi="宋体" w:eastAsia="宋体" w:cs="宋体"/>
          <w:color w:val="auto"/>
          <w:sz w:val="24"/>
          <w:highlight w:val="none"/>
        </w:rPr>
        <w:t>授权代表：</w:t>
      </w:r>
    </w:p>
    <w:p w14:paraId="7F702632">
      <w:pPr>
        <w:spacing w:line="5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1A7D21FA">
      <w:pPr>
        <w:tabs>
          <w:tab w:val="left" w:pos="6300"/>
        </w:tabs>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3163A9A">
      <w:pPr>
        <w:spacing w:line="380" w:lineRule="exact"/>
        <w:ind w:firstLine="480" w:firstLineChars="200"/>
        <w:rPr>
          <w:rFonts w:hint="eastAsia" w:ascii="宋体" w:hAnsi="宋体" w:eastAsia="宋体" w:cs="宋体"/>
          <w:color w:val="auto"/>
          <w:sz w:val="24"/>
          <w:szCs w:val="24"/>
          <w:highlight w:val="none"/>
        </w:rPr>
      </w:pPr>
    </w:p>
    <w:p w14:paraId="7ECDADCB">
      <w:pPr>
        <w:spacing w:line="380" w:lineRule="exact"/>
        <w:ind w:firstLine="480" w:firstLineChars="200"/>
        <w:rPr>
          <w:rFonts w:hint="eastAsia" w:ascii="宋体" w:hAnsi="宋体" w:eastAsia="宋体" w:cs="宋体"/>
          <w:color w:val="auto"/>
          <w:sz w:val="24"/>
          <w:szCs w:val="24"/>
          <w:highlight w:val="none"/>
        </w:rPr>
      </w:pPr>
    </w:p>
    <w:p w14:paraId="6D4E322D">
      <w:pPr>
        <w:spacing w:line="380" w:lineRule="exact"/>
        <w:rPr>
          <w:rFonts w:hint="eastAsia" w:ascii="宋体" w:hAnsi="宋体" w:eastAsia="宋体" w:cs="宋体"/>
          <w:color w:val="auto"/>
          <w:sz w:val="24"/>
          <w:szCs w:val="24"/>
          <w:highlight w:val="none"/>
        </w:rPr>
      </w:pPr>
    </w:p>
    <w:p w14:paraId="63A9CFD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项目商务需求”中所列要求进行比较和响应；</w:t>
      </w:r>
    </w:p>
    <w:p w14:paraId="54545E9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2.该表必须按照网上竞采要求逐条如实填写，根据响应情况在“差异说明”项填写正偏离或负偏离及原因，完全符合的填写“无差异”，未按要求填写的按无效响应处理；</w:t>
      </w:r>
    </w:p>
    <w:p w14:paraId="19FA16F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w:t>
      </w:r>
      <w:r>
        <w:rPr>
          <w:rFonts w:hint="eastAsia" w:ascii="宋体" w:hAnsi="宋体" w:cs="宋体"/>
          <w:color w:val="auto"/>
          <w:sz w:val="24"/>
          <w:szCs w:val="24"/>
          <w:highlight w:val="none"/>
          <w:lang w:eastAsia="zh-CN"/>
        </w:rPr>
        <w:t>或加</w:t>
      </w:r>
      <w:r>
        <w:rPr>
          <w:rFonts w:hint="eastAsia" w:ascii="宋体" w:hAnsi="宋体" w:eastAsia="宋体" w:cs="宋体"/>
          <w:color w:val="auto"/>
          <w:sz w:val="24"/>
          <w:szCs w:val="24"/>
          <w:highlight w:val="none"/>
        </w:rPr>
        <w:t>盖供应商公章。</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）其它优惠承诺（格式自定）</w:t>
      </w:r>
    </w:p>
    <w:p w14:paraId="2A4F92F7">
      <w:pPr>
        <w:rPr>
          <w:rFonts w:hint="eastAsia" w:ascii="宋体" w:hAnsi="宋体" w:eastAsia="宋体" w:cs="宋体"/>
          <w:color w:val="auto"/>
          <w:sz w:val="24"/>
          <w:szCs w:val="24"/>
          <w:highlight w:val="none"/>
        </w:rPr>
      </w:pPr>
    </w:p>
    <w:p w14:paraId="49C5DF07">
      <w:pPr>
        <w:pStyle w:val="6"/>
        <w:ind w:left="560"/>
        <w:rPr>
          <w:rFonts w:hint="eastAsia" w:ascii="宋体" w:hAnsi="宋体" w:eastAsia="宋体" w:cs="宋体"/>
          <w:color w:val="auto"/>
          <w:sz w:val="24"/>
          <w:szCs w:val="24"/>
          <w:highlight w:val="none"/>
        </w:rPr>
      </w:pPr>
    </w:p>
    <w:p w14:paraId="4709EC74">
      <w:pPr>
        <w:rPr>
          <w:rFonts w:hint="eastAsia" w:ascii="宋体" w:hAnsi="宋体" w:eastAsia="宋体" w:cs="宋体"/>
          <w:color w:val="auto"/>
          <w:sz w:val="24"/>
          <w:szCs w:val="24"/>
          <w:highlight w:val="none"/>
        </w:rPr>
      </w:pPr>
    </w:p>
    <w:p w14:paraId="62C100F8">
      <w:pPr>
        <w:pStyle w:val="6"/>
        <w:ind w:left="560"/>
        <w:rPr>
          <w:rFonts w:hint="eastAsia" w:ascii="宋体" w:hAnsi="宋体" w:eastAsia="宋体" w:cs="宋体"/>
          <w:color w:val="auto"/>
          <w:sz w:val="24"/>
          <w:szCs w:val="24"/>
          <w:highlight w:val="none"/>
        </w:rPr>
      </w:pPr>
    </w:p>
    <w:p w14:paraId="214F1A57">
      <w:pPr>
        <w:rPr>
          <w:rFonts w:hint="eastAsia" w:ascii="宋体" w:hAnsi="宋体" w:eastAsia="宋体" w:cs="宋体"/>
          <w:color w:val="auto"/>
          <w:sz w:val="24"/>
          <w:szCs w:val="24"/>
          <w:highlight w:val="none"/>
        </w:rPr>
      </w:pPr>
    </w:p>
    <w:p w14:paraId="72B232D3">
      <w:pPr>
        <w:pStyle w:val="6"/>
        <w:ind w:left="560"/>
        <w:rPr>
          <w:rFonts w:hint="eastAsia" w:ascii="宋体" w:hAnsi="宋体" w:eastAsia="宋体" w:cs="宋体"/>
          <w:color w:val="auto"/>
          <w:sz w:val="24"/>
          <w:szCs w:val="24"/>
          <w:highlight w:val="none"/>
        </w:rPr>
      </w:pPr>
    </w:p>
    <w:p w14:paraId="3954C3D6">
      <w:pPr>
        <w:rPr>
          <w:rFonts w:hint="eastAsia" w:ascii="宋体" w:hAnsi="宋体" w:eastAsia="宋体" w:cs="宋体"/>
          <w:color w:val="auto"/>
          <w:sz w:val="24"/>
          <w:szCs w:val="24"/>
          <w:highlight w:val="none"/>
        </w:rPr>
      </w:pPr>
    </w:p>
    <w:p w14:paraId="03E9B3E6">
      <w:pPr>
        <w:pStyle w:val="6"/>
        <w:ind w:left="560"/>
        <w:rPr>
          <w:rFonts w:hint="eastAsia" w:ascii="宋体" w:hAnsi="宋体" w:eastAsia="宋体" w:cs="宋体"/>
          <w:color w:val="auto"/>
          <w:sz w:val="24"/>
          <w:szCs w:val="24"/>
          <w:highlight w:val="none"/>
        </w:rPr>
      </w:pPr>
    </w:p>
    <w:p w14:paraId="37A73926">
      <w:pPr>
        <w:rPr>
          <w:rFonts w:hint="eastAsia" w:ascii="宋体" w:hAnsi="宋体" w:eastAsia="宋体" w:cs="宋体"/>
          <w:color w:val="auto"/>
          <w:sz w:val="24"/>
          <w:szCs w:val="24"/>
          <w:highlight w:val="none"/>
        </w:rPr>
      </w:pPr>
    </w:p>
    <w:p w14:paraId="2548424B">
      <w:pPr>
        <w:pStyle w:val="6"/>
        <w:ind w:left="560"/>
        <w:rPr>
          <w:rFonts w:hint="eastAsia" w:ascii="宋体" w:hAnsi="宋体" w:eastAsia="宋体" w:cs="宋体"/>
          <w:color w:val="auto"/>
          <w:sz w:val="24"/>
          <w:szCs w:val="24"/>
          <w:highlight w:val="none"/>
        </w:rPr>
      </w:pPr>
    </w:p>
    <w:p w14:paraId="602408C4">
      <w:pPr>
        <w:rPr>
          <w:rFonts w:hint="eastAsia" w:ascii="宋体" w:hAnsi="宋体" w:eastAsia="宋体" w:cs="宋体"/>
          <w:color w:val="auto"/>
          <w:sz w:val="24"/>
          <w:szCs w:val="24"/>
          <w:highlight w:val="none"/>
        </w:rPr>
      </w:pPr>
    </w:p>
    <w:p w14:paraId="61713904">
      <w:pPr>
        <w:pStyle w:val="6"/>
        <w:ind w:left="560"/>
        <w:rPr>
          <w:rFonts w:hint="eastAsia" w:ascii="宋体" w:hAnsi="宋体" w:eastAsia="宋体" w:cs="宋体"/>
          <w:color w:val="auto"/>
          <w:sz w:val="24"/>
          <w:szCs w:val="24"/>
          <w:highlight w:val="none"/>
        </w:rPr>
      </w:pPr>
    </w:p>
    <w:p w14:paraId="4FA54B48">
      <w:pPr>
        <w:rPr>
          <w:rFonts w:hint="eastAsia" w:ascii="宋体" w:hAnsi="宋体" w:eastAsia="宋体" w:cs="宋体"/>
          <w:color w:val="auto"/>
          <w:sz w:val="24"/>
          <w:szCs w:val="24"/>
          <w:highlight w:val="none"/>
        </w:rPr>
      </w:pPr>
    </w:p>
    <w:p w14:paraId="1345FA87">
      <w:pPr>
        <w:pStyle w:val="6"/>
        <w:ind w:left="560"/>
        <w:rPr>
          <w:rFonts w:hint="eastAsia" w:ascii="宋体" w:hAnsi="宋体" w:eastAsia="宋体" w:cs="宋体"/>
          <w:color w:val="auto"/>
          <w:sz w:val="24"/>
          <w:szCs w:val="24"/>
          <w:highlight w:val="none"/>
        </w:rPr>
      </w:pPr>
    </w:p>
    <w:p w14:paraId="7EA8B9B2">
      <w:pPr>
        <w:rPr>
          <w:rFonts w:hint="eastAsia" w:ascii="宋体" w:hAnsi="宋体" w:eastAsia="宋体" w:cs="宋体"/>
          <w:color w:val="auto"/>
          <w:sz w:val="24"/>
          <w:szCs w:val="24"/>
          <w:highlight w:val="none"/>
        </w:rPr>
      </w:pPr>
    </w:p>
    <w:p w14:paraId="29E8EBC2">
      <w:pPr>
        <w:pStyle w:val="6"/>
        <w:ind w:left="560"/>
        <w:rPr>
          <w:rFonts w:hint="eastAsia" w:ascii="宋体" w:hAnsi="宋体" w:eastAsia="宋体" w:cs="宋体"/>
          <w:color w:val="auto"/>
          <w:sz w:val="24"/>
          <w:szCs w:val="24"/>
          <w:highlight w:val="none"/>
        </w:rPr>
      </w:pPr>
    </w:p>
    <w:p w14:paraId="67A94252">
      <w:pPr>
        <w:rPr>
          <w:rFonts w:hint="eastAsia" w:ascii="宋体" w:hAnsi="宋体" w:eastAsia="宋体" w:cs="宋体"/>
          <w:color w:val="auto"/>
          <w:sz w:val="24"/>
          <w:szCs w:val="24"/>
          <w:highlight w:val="none"/>
        </w:rPr>
      </w:pPr>
    </w:p>
    <w:p w14:paraId="6362439D">
      <w:pPr>
        <w:pStyle w:val="6"/>
        <w:ind w:left="560"/>
        <w:rPr>
          <w:rFonts w:hint="eastAsia" w:ascii="宋体" w:hAnsi="宋体" w:eastAsia="宋体" w:cs="宋体"/>
          <w:color w:val="auto"/>
          <w:sz w:val="24"/>
          <w:szCs w:val="24"/>
          <w:highlight w:val="none"/>
        </w:rPr>
      </w:pPr>
    </w:p>
    <w:p w14:paraId="4BC8D997">
      <w:pPr>
        <w:rPr>
          <w:rFonts w:hint="eastAsia" w:ascii="宋体" w:hAnsi="宋体" w:eastAsia="宋体" w:cs="宋体"/>
          <w:color w:val="auto"/>
          <w:sz w:val="24"/>
          <w:szCs w:val="24"/>
          <w:highlight w:val="none"/>
        </w:rPr>
      </w:pPr>
    </w:p>
    <w:p w14:paraId="735063D9">
      <w:pPr>
        <w:pStyle w:val="6"/>
        <w:ind w:left="560"/>
        <w:rPr>
          <w:rFonts w:hint="eastAsia" w:ascii="宋体" w:hAnsi="宋体" w:eastAsia="宋体" w:cs="宋体"/>
          <w:color w:val="auto"/>
          <w:sz w:val="24"/>
          <w:szCs w:val="24"/>
          <w:highlight w:val="none"/>
        </w:rPr>
      </w:pPr>
    </w:p>
    <w:p w14:paraId="6E136E8B">
      <w:pPr>
        <w:rPr>
          <w:rFonts w:hint="eastAsia" w:ascii="宋体" w:hAnsi="宋体" w:eastAsia="宋体" w:cs="宋体"/>
          <w:color w:val="auto"/>
          <w:sz w:val="24"/>
          <w:szCs w:val="24"/>
          <w:highlight w:val="none"/>
        </w:rPr>
      </w:pPr>
    </w:p>
    <w:p w14:paraId="7A84CE4B">
      <w:pPr>
        <w:pStyle w:val="6"/>
        <w:ind w:left="560"/>
        <w:rPr>
          <w:rFonts w:hint="eastAsia" w:ascii="宋体" w:hAnsi="宋体" w:eastAsia="宋体" w:cs="宋体"/>
          <w:color w:val="auto"/>
          <w:sz w:val="24"/>
          <w:szCs w:val="24"/>
          <w:highlight w:val="none"/>
        </w:rPr>
      </w:pPr>
    </w:p>
    <w:p w14:paraId="53EB0091">
      <w:pPr>
        <w:rPr>
          <w:rFonts w:hint="eastAsia" w:ascii="宋体" w:hAnsi="宋体" w:eastAsia="宋体" w:cs="宋体"/>
          <w:color w:val="auto"/>
          <w:sz w:val="24"/>
          <w:szCs w:val="24"/>
          <w:highlight w:val="none"/>
        </w:rPr>
      </w:pPr>
    </w:p>
    <w:p w14:paraId="7981951C">
      <w:pPr>
        <w:pStyle w:val="6"/>
        <w:ind w:left="560"/>
        <w:rPr>
          <w:rFonts w:hint="eastAsia" w:ascii="宋体" w:hAnsi="宋体" w:eastAsia="宋体" w:cs="宋体"/>
          <w:color w:val="auto"/>
          <w:sz w:val="24"/>
          <w:szCs w:val="24"/>
          <w:highlight w:val="none"/>
        </w:rPr>
      </w:pPr>
    </w:p>
    <w:p w14:paraId="7B425C96">
      <w:pPr>
        <w:rPr>
          <w:rFonts w:hint="eastAsia" w:ascii="宋体" w:hAnsi="宋体" w:eastAsia="宋体" w:cs="宋体"/>
          <w:color w:val="auto"/>
          <w:sz w:val="24"/>
          <w:szCs w:val="24"/>
          <w:highlight w:val="none"/>
        </w:rPr>
      </w:pPr>
    </w:p>
    <w:p w14:paraId="3BE6EBCA">
      <w:pPr>
        <w:pStyle w:val="6"/>
        <w:ind w:left="560"/>
        <w:rPr>
          <w:rFonts w:hint="eastAsia" w:ascii="宋体" w:hAnsi="宋体" w:eastAsia="宋体" w:cs="宋体"/>
          <w:color w:val="auto"/>
          <w:sz w:val="24"/>
          <w:szCs w:val="24"/>
          <w:highlight w:val="none"/>
        </w:rPr>
      </w:pPr>
    </w:p>
    <w:p w14:paraId="24F0839E">
      <w:pPr>
        <w:rPr>
          <w:rFonts w:hint="eastAsia" w:ascii="宋体" w:hAnsi="宋体" w:eastAsia="宋体" w:cs="宋体"/>
          <w:color w:val="auto"/>
          <w:sz w:val="24"/>
          <w:szCs w:val="24"/>
          <w:highlight w:val="none"/>
        </w:rPr>
      </w:pPr>
    </w:p>
    <w:p w14:paraId="39F61911">
      <w:pPr>
        <w:pStyle w:val="6"/>
        <w:ind w:left="560"/>
        <w:rPr>
          <w:rFonts w:hint="eastAsia" w:ascii="宋体" w:hAnsi="宋体" w:eastAsia="宋体" w:cs="宋体"/>
          <w:color w:val="auto"/>
          <w:sz w:val="24"/>
          <w:szCs w:val="24"/>
          <w:highlight w:val="none"/>
        </w:rPr>
      </w:pPr>
    </w:p>
    <w:p w14:paraId="312C84C2">
      <w:pPr>
        <w:rPr>
          <w:rFonts w:hint="eastAsia" w:ascii="宋体" w:hAnsi="宋体" w:eastAsia="宋体" w:cs="宋体"/>
          <w:color w:val="auto"/>
          <w:sz w:val="24"/>
          <w:szCs w:val="24"/>
          <w:highlight w:val="none"/>
        </w:rPr>
      </w:pPr>
    </w:p>
    <w:p w14:paraId="13EDC951">
      <w:pPr>
        <w:pStyle w:val="6"/>
        <w:ind w:left="560"/>
        <w:rPr>
          <w:rFonts w:hint="eastAsia" w:ascii="宋体" w:hAnsi="宋体" w:eastAsia="宋体" w:cs="宋体"/>
          <w:color w:val="auto"/>
          <w:sz w:val="24"/>
          <w:szCs w:val="24"/>
          <w:highlight w:val="none"/>
        </w:rPr>
      </w:pPr>
    </w:p>
    <w:p w14:paraId="2450DCCD">
      <w:pPr>
        <w:rPr>
          <w:rFonts w:hint="eastAsia" w:ascii="宋体" w:hAnsi="宋体" w:eastAsia="宋体" w:cs="宋体"/>
          <w:color w:val="auto"/>
          <w:sz w:val="24"/>
          <w:szCs w:val="24"/>
          <w:highlight w:val="none"/>
        </w:rPr>
      </w:pPr>
    </w:p>
    <w:p w14:paraId="4D337D0A">
      <w:pPr>
        <w:pStyle w:val="6"/>
        <w:ind w:left="560"/>
        <w:rPr>
          <w:rFonts w:hint="eastAsia" w:ascii="宋体" w:hAnsi="宋体" w:eastAsia="宋体" w:cs="宋体"/>
          <w:color w:val="auto"/>
          <w:sz w:val="24"/>
          <w:szCs w:val="24"/>
          <w:highlight w:val="none"/>
        </w:rPr>
      </w:pPr>
    </w:p>
    <w:p w14:paraId="4B50B6EF">
      <w:pPr>
        <w:rPr>
          <w:rFonts w:hint="eastAsia" w:ascii="宋体" w:hAnsi="宋体" w:eastAsia="宋体" w:cs="宋体"/>
          <w:color w:val="auto"/>
          <w:sz w:val="24"/>
          <w:szCs w:val="24"/>
          <w:highlight w:val="none"/>
        </w:rPr>
      </w:pPr>
    </w:p>
    <w:p w14:paraId="7286C18B">
      <w:pPr>
        <w:pStyle w:val="6"/>
        <w:ind w:left="560"/>
        <w:rPr>
          <w:rFonts w:hint="eastAsia" w:ascii="宋体" w:hAnsi="宋体" w:eastAsia="宋体" w:cs="宋体"/>
          <w:color w:val="auto"/>
          <w:sz w:val="24"/>
          <w:szCs w:val="24"/>
          <w:highlight w:val="none"/>
        </w:rPr>
      </w:pPr>
    </w:p>
    <w:p w14:paraId="36BBDFB7">
      <w:pPr>
        <w:rPr>
          <w:rFonts w:hint="eastAsia" w:ascii="宋体" w:hAnsi="宋体" w:eastAsia="宋体" w:cs="宋体"/>
          <w:color w:val="auto"/>
          <w:sz w:val="24"/>
          <w:szCs w:val="24"/>
          <w:highlight w:val="none"/>
        </w:rPr>
      </w:pPr>
    </w:p>
    <w:p w14:paraId="608250D0">
      <w:pPr>
        <w:pStyle w:val="6"/>
        <w:ind w:left="560"/>
        <w:rPr>
          <w:rFonts w:hint="eastAsia" w:ascii="宋体" w:hAnsi="宋体" w:eastAsia="宋体" w:cs="宋体"/>
          <w:color w:val="auto"/>
          <w:sz w:val="24"/>
          <w:szCs w:val="24"/>
          <w:highlight w:val="none"/>
        </w:rPr>
      </w:pPr>
    </w:p>
    <w:p w14:paraId="02631388">
      <w:pPr>
        <w:rPr>
          <w:rFonts w:hint="eastAsia" w:ascii="宋体" w:hAnsi="宋体" w:eastAsia="宋体" w:cs="宋体"/>
          <w:color w:val="auto"/>
          <w:sz w:val="24"/>
          <w:szCs w:val="24"/>
          <w:highlight w:val="none"/>
        </w:rPr>
      </w:pPr>
    </w:p>
    <w:p w14:paraId="2DF10553">
      <w:pPr>
        <w:pStyle w:val="6"/>
        <w:ind w:left="560"/>
        <w:rPr>
          <w:rFonts w:hint="eastAsia" w:ascii="宋体" w:hAnsi="宋体" w:eastAsia="宋体" w:cs="宋体"/>
          <w:color w:val="auto"/>
          <w:sz w:val="24"/>
          <w:szCs w:val="24"/>
          <w:highlight w:val="none"/>
        </w:rPr>
      </w:pPr>
    </w:p>
    <w:p w14:paraId="12660E7C">
      <w:pPr>
        <w:rPr>
          <w:rFonts w:hint="eastAsia" w:ascii="宋体" w:hAnsi="宋体" w:eastAsia="宋体" w:cs="宋体"/>
          <w:color w:val="auto"/>
          <w:sz w:val="24"/>
          <w:szCs w:val="24"/>
          <w:highlight w:val="none"/>
        </w:rPr>
      </w:pPr>
    </w:p>
    <w:p w14:paraId="32E3B842">
      <w:pPr>
        <w:rPr>
          <w:rFonts w:hint="eastAsia" w:ascii="宋体" w:hAnsi="宋体" w:eastAsia="宋体" w:cs="宋体"/>
          <w:b/>
          <w:bCs/>
          <w:color w:val="auto"/>
          <w:sz w:val="24"/>
          <w:szCs w:val="24"/>
          <w:highlight w:val="none"/>
        </w:rPr>
      </w:pPr>
      <w:bookmarkStart w:id="132" w:name="_Toc17649"/>
      <w:r>
        <w:rPr>
          <w:rFonts w:hint="eastAsia" w:ascii="宋体" w:hAnsi="宋体" w:eastAsia="宋体" w:cs="宋体"/>
          <w:b/>
          <w:bCs/>
          <w:color w:val="auto"/>
          <w:sz w:val="24"/>
          <w:szCs w:val="24"/>
          <w:highlight w:val="none"/>
        </w:rPr>
        <w:br w:type="page"/>
      </w:r>
    </w:p>
    <w:p w14:paraId="67153DBC">
      <w:pPr>
        <w:spacing w:line="360" w:lineRule="auto"/>
        <w:ind w:firstLine="482"/>
        <w:outlineLvl w:val="0"/>
        <w:rPr>
          <w:rFonts w:hint="eastAsia" w:ascii="宋体" w:hAnsi="宋体" w:eastAsia="宋体" w:cs="宋体"/>
          <w:b/>
          <w:bCs/>
          <w:color w:val="auto"/>
          <w:sz w:val="24"/>
          <w:szCs w:val="24"/>
          <w:highlight w:val="none"/>
        </w:rPr>
      </w:pPr>
      <w:bookmarkStart w:id="133" w:name="_Toc25350"/>
      <w:bookmarkStart w:id="134" w:name="_Toc30533"/>
      <w:r>
        <w:rPr>
          <w:rFonts w:hint="eastAsia" w:ascii="宋体" w:hAnsi="宋体" w:eastAsia="宋体" w:cs="宋体"/>
          <w:b/>
          <w:bCs/>
          <w:color w:val="auto"/>
          <w:sz w:val="24"/>
          <w:szCs w:val="24"/>
          <w:highlight w:val="none"/>
        </w:rPr>
        <w:t>四、资格条件及其他</w:t>
      </w:r>
      <w:bookmarkEnd w:id="132"/>
      <w:bookmarkEnd w:id="133"/>
      <w:bookmarkEnd w:id="134"/>
    </w:p>
    <w:p w14:paraId="32EEC8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D844366">
      <w:pPr>
        <w:snapToGrid w:val="0"/>
        <w:spacing w:line="360" w:lineRule="auto"/>
        <w:ind w:firstLine="480" w:firstLineChars="200"/>
        <w:rPr>
          <w:rFonts w:hint="eastAsia" w:ascii="宋体" w:hAnsi="宋体" w:eastAsia="宋体" w:cs="宋体"/>
          <w:color w:val="auto"/>
          <w:sz w:val="24"/>
          <w:szCs w:val="24"/>
          <w:highlight w:val="none"/>
        </w:rPr>
      </w:pPr>
    </w:p>
    <w:p w14:paraId="261A49DE">
      <w:pPr>
        <w:snapToGrid w:val="0"/>
        <w:spacing w:line="360" w:lineRule="auto"/>
        <w:ind w:firstLine="480" w:firstLineChars="200"/>
        <w:rPr>
          <w:rFonts w:hint="eastAsia" w:ascii="宋体" w:hAnsi="宋体" w:eastAsia="宋体" w:cs="宋体"/>
          <w:color w:val="auto"/>
          <w:sz w:val="24"/>
          <w:szCs w:val="24"/>
          <w:highlight w:val="none"/>
        </w:rPr>
      </w:pPr>
    </w:p>
    <w:p w14:paraId="59908AC3">
      <w:pPr>
        <w:snapToGrid w:val="0"/>
        <w:spacing w:line="360" w:lineRule="auto"/>
        <w:ind w:firstLine="480" w:firstLineChars="200"/>
        <w:rPr>
          <w:rFonts w:hint="eastAsia" w:ascii="宋体" w:hAnsi="宋体" w:eastAsia="宋体" w:cs="宋体"/>
          <w:color w:val="auto"/>
          <w:sz w:val="24"/>
          <w:szCs w:val="24"/>
          <w:highlight w:val="none"/>
        </w:rPr>
      </w:pPr>
    </w:p>
    <w:p w14:paraId="19282EC3">
      <w:pPr>
        <w:snapToGrid w:val="0"/>
        <w:spacing w:line="360" w:lineRule="auto"/>
        <w:ind w:firstLine="480" w:firstLineChars="200"/>
        <w:rPr>
          <w:rFonts w:hint="eastAsia" w:ascii="宋体" w:hAnsi="宋体" w:eastAsia="宋体" w:cs="宋体"/>
          <w:color w:val="auto"/>
          <w:sz w:val="24"/>
          <w:szCs w:val="24"/>
          <w:highlight w:val="none"/>
        </w:rPr>
      </w:pPr>
    </w:p>
    <w:p w14:paraId="3596B31A">
      <w:pPr>
        <w:snapToGrid w:val="0"/>
        <w:spacing w:line="360" w:lineRule="auto"/>
        <w:ind w:firstLine="480" w:firstLineChars="200"/>
        <w:rPr>
          <w:rFonts w:hint="eastAsia" w:ascii="宋体" w:hAnsi="宋体" w:eastAsia="宋体" w:cs="宋体"/>
          <w:color w:val="auto"/>
          <w:sz w:val="24"/>
          <w:szCs w:val="24"/>
          <w:highlight w:val="none"/>
        </w:rPr>
      </w:pPr>
    </w:p>
    <w:p w14:paraId="7161B220">
      <w:pPr>
        <w:snapToGrid w:val="0"/>
        <w:spacing w:line="360" w:lineRule="auto"/>
        <w:ind w:firstLine="480" w:firstLineChars="200"/>
        <w:rPr>
          <w:rFonts w:hint="eastAsia" w:ascii="宋体" w:hAnsi="宋体" w:eastAsia="宋体" w:cs="宋体"/>
          <w:color w:val="auto"/>
          <w:sz w:val="24"/>
          <w:szCs w:val="24"/>
          <w:highlight w:val="none"/>
        </w:rPr>
      </w:pPr>
    </w:p>
    <w:p w14:paraId="4BFB72FB">
      <w:pPr>
        <w:snapToGrid w:val="0"/>
        <w:spacing w:line="360" w:lineRule="auto"/>
        <w:ind w:firstLine="480" w:firstLineChars="200"/>
        <w:rPr>
          <w:rFonts w:hint="eastAsia" w:ascii="宋体" w:hAnsi="宋体" w:eastAsia="宋体" w:cs="宋体"/>
          <w:color w:val="auto"/>
          <w:sz w:val="24"/>
          <w:szCs w:val="24"/>
          <w:highlight w:val="none"/>
        </w:rPr>
      </w:pPr>
    </w:p>
    <w:p w14:paraId="0876DCAE">
      <w:pPr>
        <w:snapToGrid w:val="0"/>
        <w:spacing w:line="360" w:lineRule="auto"/>
        <w:ind w:firstLine="480" w:firstLineChars="200"/>
        <w:rPr>
          <w:rFonts w:hint="eastAsia" w:ascii="宋体" w:hAnsi="宋体" w:eastAsia="宋体" w:cs="宋体"/>
          <w:color w:val="auto"/>
          <w:sz w:val="24"/>
          <w:szCs w:val="24"/>
          <w:highlight w:val="none"/>
        </w:rPr>
      </w:pPr>
    </w:p>
    <w:p w14:paraId="52FCBC5A">
      <w:pPr>
        <w:snapToGrid w:val="0"/>
        <w:spacing w:line="360" w:lineRule="auto"/>
        <w:ind w:firstLine="480" w:firstLineChars="200"/>
        <w:rPr>
          <w:rFonts w:hint="eastAsia" w:ascii="宋体" w:hAnsi="宋体" w:eastAsia="宋体" w:cs="宋体"/>
          <w:color w:val="auto"/>
          <w:sz w:val="24"/>
          <w:szCs w:val="24"/>
          <w:highlight w:val="none"/>
        </w:rPr>
      </w:pPr>
    </w:p>
    <w:p w14:paraId="44D2AAED">
      <w:pPr>
        <w:snapToGrid w:val="0"/>
        <w:spacing w:line="360" w:lineRule="auto"/>
        <w:ind w:firstLine="480" w:firstLineChars="200"/>
        <w:rPr>
          <w:rFonts w:hint="eastAsia" w:ascii="宋体" w:hAnsi="宋体" w:eastAsia="宋体" w:cs="宋体"/>
          <w:color w:val="auto"/>
          <w:sz w:val="24"/>
          <w:szCs w:val="24"/>
          <w:highlight w:val="none"/>
        </w:rPr>
      </w:pPr>
    </w:p>
    <w:p w14:paraId="60F424F5">
      <w:pPr>
        <w:snapToGrid w:val="0"/>
        <w:spacing w:line="360" w:lineRule="auto"/>
        <w:ind w:firstLine="480" w:firstLineChars="200"/>
        <w:rPr>
          <w:rFonts w:hint="eastAsia" w:ascii="宋体" w:hAnsi="宋体" w:eastAsia="宋体" w:cs="宋体"/>
          <w:color w:val="auto"/>
          <w:sz w:val="24"/>
          <w:szCs w:val="24"/>
          <w:highlight w:val="none"/>
        </w:rPr>
      </w:pPr>
    </w:p>
    <w:p w14:paraId="113AA333">
      <w:pPr>
        <w:snapToGrid w:val="0"/>
        <w:spacing w:line="360" w:lineRule="auto"/>
        <w:ind w:firstLine="480" w:firstLineChars="200"/>
        <w:rPr>
          <w:rFonts w:hint="eastAsia" w:ascii="宋体" w:hAnsi="宋体" w:eastAsia="宋体" w:cs="宋体"/>
          <w:color w:val="auto"/>
          <w:sz w:val="24"/>
          <w:szCs w:val="24"/>
          <w:highlight w:val="none"/>
        </w:rPr>
      </w:pPr>
    </w:p>
    <w:p w14:paraId="119386FD">
      <w:pPr>
        <w:snapToGrid w:val="0"/>
        <w:spacing w:line="360" w:lineRule="auto"/>
        <w:ind w:firstLine="480" w:firstLineChars="200"/>
        <w:rPr>
          <w:rFonts w:hint="eastAsia" w:ascii="宋体" w:hAnsi="宋体" w:eastAsia="宋体" w:cs="宋体"/>
          <w:color w:val="auto"/>
          <w:sz w:val="24"/>
          <w:szCs w:val="24"/>
          <w:highlight w:val="none"/>
        </w:rPr>
      </w:pPr>
    </w:p>
    <w:p w14:paraId="63AE58DF">
      <w:pPr>
        <w:snapToGrid w:val="0"/>
        <w:spacing w:line="360" w:lineRule="auto"/>
        <w:ind w:firstLine="480" w:firstLineChars="200"/>
        <w:rPr>
          <w:rFonts w:hint="eastAsia" w:ascii="宋体" w:hAnsi="宋体" w:eastAsia="宋体" w:cs="宋体"/>
          <w:color w:val="auto"/>
          <w:sz w:val="24"/>
          <w:szCs w:val="24"/>
          <w:highlight w:val="none"/>
        </w:rPr>
      </w:pPr>
    </w:p>
    <w:p w14:paraId="32944F5C">
      <w:pPr>
        <w:snapToGrid w:val="0"/>
        <w:spacing w:line="360" w:lineRule="auto"/>
        <w:ind w:firstLine="480" w:firstLineChars="200"/>
        <w:rPr>
          <w:rFonts w:hint="eastAsia" w:ascii="宋体" w:hAnsi="宋体" w:eastAsia="宋体" w:cs="宋体"/>
          <w:color w:val="auto"/>
          <w:sz w:val="24"/>
          <w:szCs w:val="24"/>
          <w:highlight w:val="none"/>
        </w:rPr>
      </w:pPr>
    </w:p>
    <w:p w14:paraId="7EB548EC">
      <w:pPr>
        <w:snapToGrid w:val="0"/>
        <w:spacing w:line="360" w:lineRule="auto"/>
        <w:ind w:firstLine="480" w:firstLineChars="200"/>
        <w:rPr>
          <w:rFonts w:hint="eastAsia" w:ascii="宋体" w:hAnsi="宋体" w:eastAsia="宋体" w:cs="宋体"/>
          <w:color w:val="auto"/>
          <w:sz w:val="24"/>
          <w:szCs w:val="24"/>
          <w:highlight w:val="none"/>
        </w:rPr>
      </w:pPr>
    </w:p>
    <w:p w14:paraId="0BBB7109">
      <w:pPr>
        <w:snapToGrid w:val="0"/>
        <w:spacing w:line="360" w:lineRule="auto"/>
        <w:ind w:firstLine="480" w:firstLineChars="200"/>
        <w:rPr>
          <w:rFonts w:hint="eastAsia" w:ascii="宋体" w:hAnsi="宋体" w:eastAsia="宋体" w:cs="宋体"/>
          <w:color w:val="auto"/>
          <w:sz w:val="24"/>
          <w:szCs w:val="24"/>
          <w:highlight w:val="none"/>
        </w:rPr>
      </w:pPr>
    </w:p>
    <w:p w14:paraId="30EC1DF1">
      <w:pPr>
        <w:snapToGrid w:val="0"/>
        <w:spacing w:line="360" w:lineRule="auto"/>
        <w:ind w:firstLine="480" w:firstLineChars="200"/>
        <w:rPr>
          <w:rFonts w:hint="eastAsia" w:ascii="宋体" w:hAnsi="宋体" w:eastAsia="宋体" w:cs="宋体"/>
          <w:color w:val="auto"/>
          <w:sz w:val="24"/>
          <w:szCs w:val="24"/>
          <w:highlight w:val="none"/>
        </w:rPr>
      </w:pPr>
    </w:p>
    <w:p w14:paraId="6D457ED0">
      <w:pPr>
        <w:snapToGrid w:val="0"/>
        <w:spacing w:line="360" w:lineRule="auto"/>
        <w:ind w:firstLine="480" w:firstLineChars="200"/>
        <w:rPr>
          <w:rFonts w:hint="eastAsia" w:ascii="宋体" w:hAnsi="宋体" w:eastAsia="宋体" w:cs="宋体"/>
          <w:color w:val="auto"/>
          <w:sz w:val="24"/>
          <w:szCs w:val="24"/>
          <w:highlight w:val="none"/>
        </w:rPr>
      </w:pPr>
    </w:p>
    <w:p w14:paraId="1E1EF0B8">
      <w:pPr>
        <w:snapToGrid w:val="0"/>
        <w:spacing w:line="360" w:lineRule="auto"/>
        <w:ind w:firstLine="480" w:firstLineChars="200"/>
        <w:rPr>
          <w:rFonts w:hint="eastAsia" w:ascii="宋体" w:hAnsi="宋体" w:eastAsia="宋体" w:cs="宋体"/>
          <w:color w:val="auto"/>
          <w:sz w:val="24"/>
          <w:szCs w:val="24"/>
          <w:highlight w:val="none"/>
        </w:rPr>
      </w:pPr>
    </w:p>
    <w:p w14:paraId="24057FC3">
      <w:pPr>
        <w:snapToGrid w:val="0"/>
        <w:spacing w:line="360" w:lineRule="auto"/>
        <w:ind w:firstLine="480" w:firstLineChars="200"/>
        <w:rPr>
          <w:rFonts w:hint="eastAsia" w:ascii="宋体" w:hAnsi="宋体" w:eastAsia="宋体" w:cs="宋体"/>
          <w:color w:val="auto"/>
          <w:sz w:val="24"/>
          <w:szCs w:val="24"/>
          <w:highlight w:val="none"/>
        </w:rPr>
      </w:pPr>
    </w:p>
    <w:p w14:paraId="0203292C">
      <w:pPr>
        <w:snapToGrid w:val="0"/>
        <w:spacing w:line="360" w:lineRule="auto"/>
        <w:ind w:firstLine="480" w:firstLineChars="200"/>
        <w:rPr>
          <w:rFonts w:hint="eastAsia" w:ascii="宋体" w:hAnsi="宋体" w:eastAsia="宋体" w:cs="宋体"/>
          <w:color w:val="auto"/>
          <w:sz w:val="24"/>
          <w:szCs w:val="24"/>
          <w:highlight w:val="none"/>
        </w:rPr>
      </w:pPr>
    </w:p>
    <w:p w14:paraId="4E4F1B7B">
      <w:pPr>
        <w:snapToGrid w:val="0"/>
        <w:spacing w:line="360" w:lineRule="auto"/>
        <w:ind w:firstLine="480" w:firstLineChars="200"/>
        <w:rPr>
          <w:rFonts w:hint="eastAsia" w:ascii="宋体" w:hAnsi="宋体" w:eastAsia="宋体" w:cs="宋体"/>
          <w:color w:val="auto"/>
          <w:sz w:val="24"/>
          <w:szCs w:val="24"/>
          <w:highlight w:val="none"/>
        </w:rPr>
      </w:pPr>
    </w:p>
    <w:p w14:paraId="43BFC626">
      <w:pPr>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F217AB2">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（二）法定代表人身份证明书（格式）/法定代表人授权委托书（格式）</w:t>
      </w:r>
    </w:p>
    <w:p w14:paraId="326CBECE">
      <w:pPr>
        <w:tabs>
          <w:tab w:val="left" w:pos="6300"/>
        </w:tabs>
        <w:snapToGrid w:val="0"/>
        <w:spacing w:line="312" w:lineRule="auto"/>
        <w:jc w:val="center"/>
        <w:rPr>
          <w:rFonts w:hint="eastAsia" w:ascii="宋体" w:hAnsi="宋体" w:eastAsia="宋体" w:cs="宋体"/>
          <w:color w:val="auto"/>
          <w:sz w:val="24"/>
          <w:szCs w:val="24"/>
          <w:highlight w:val="none"/>
        </w:rPr>
      </w:pPr>
    </w:p>
    <w:p w14:paraId="717CFB9B">
      <w:pPr>
        <w:tabs>
          <w:tab w:val="left" w:pos="6300"/>
        </w:tabs>
        <w:snapToGrid w:val="0"/>
        <w:spacing w:line="312" w:lineRule="auto"/>
        <w:ind w:firstLine="48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法定代表人身份证明书</w:t>
      </w:r>
    </w:p>
    <w:p w14:paraId="7EDEAD3B">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315F74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（法定代表人名称及身份证代码）是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代表我单位全权办理上述项目的竞采、签约等具体工作，并签署全部有关文件、协议及合同。签字负全部责任。</w:t>
      </w:r>
    </w:p>
    <w:p w14:paraId="31AE8B75">
      <w:pPr>
        <w:tabs>
          <w:tab w:val="left" w:pos="6300"/>
        </w:tabs>
        <w:snapToGrid w:val="0"/>
        <w:spacing w:line="312" w:lineRule="auto"/>
        <w:ind w:firstLine="480"/>
        <w:rPr>
          <w:rFonts w:hint="eastAsia" w:ascii="宋体" w:hAnsi="宋体" w:eastAsia="宋体" w:cs="宋体"/>
          <w:color w:val="auto"/>
          <w:sz w:val="24"/>
          <w:szCs w:val="24"/>
          <w:highlight w:val="none"/>
        </w:rPr>
      </w:pPr>
    </w:p>
    <w:p w14:paraId="0744A51C">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                          供应商名称（公章）</w:t>
      </w:r>
    </w:p>
    <w:p w14:paraId="08C19C05">
      <w:pPr>
        <w:tabs>
          <w:tab w:val="left" w:pos="6300"/>
        </w:tabs>
        <w:snapToGrid w:val="0"/>
        <w:spacing w:line="312" w:lineRule="auto"/>
        <w:ind w:right="36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8F643C6">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507C90DA">
      <w:pPr>
        <w:tabs>
          <w:tab w:val="left" w:pos="6300"/>
        </w:tabs>
        <w:snapToGrid w:val="0"/>
        <w:spacing w:line="312" w:lineRule="auto"/>
        <w:ind w:firstLine="480"/>
        <w:rPr>
          <w:rFonts w:hint="eastAsia" w:ascii="宋体" w:hAnsi="宋体" w:eastAsia="宋体" w:cs="宋体"/>
          <w:color w:val="auto"/>
          <w:sz w:val="24"/>
          <w:szCs w:val="24"/>
          <w:highlight w:val="none"/>
        </w:rPr>
      </w:pPr>
    </w:p>
    <w:p w14:paraId="128EDF58">
      <w:pPr>
        <w:pStyle w:val="18"/>
        <w:ind w:firstLine="600"/>
        <w:rPr>
          <w:rFonts w:hint="eastAsia" w:ascii="宋体" w:hAnsi="宋体" w:eastAsia="宋体" w:cs="宋体"/>
          <w:color w:val="auto"/>
          <w:highlight w:val="none"/>
        </w:rPr>
      </w:pPr>
    </w:p>
    <w:p w14:paraId="08A62B38">
      <w:pPr>
        <w:tabs>
          <w:tab w:val="left" w:pos="6300"/>
        </w:tabs>
        <w:snapToGrid w:val="0"/>
        <w:spacing w:line="500" w:lineRule="exact"/>
        <w:ind w:right="48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注：若为法定代表人办理并签署响应文件的，可不提供法定代表人授权委托书。</w:t>
      </w:r>
    </w:p>
    <w:p w14:paraId="6B85FFE2">
      <w:pPr>
        <w:tabs>
          <w:tab w:val="left" w:pos="6300"/>
        </w:tabs>
        <w:snapToGrid w:val="0"/>
        <w:spacing w:line="312" w:lineRule="auto"/>
        <w:ind w:righ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0E0AAE6">
      <w:pPr>
        <w:tabs>
          <w:tab w:val="left" w:pos="6300"/>
        </w:tabs>
        <w:snapToGrid w:val="0"/>
        <w:spacing w:line="312" w:lineRule="auto"/>
        <w:ind w:firstLine="48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1608E6AA">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6E85C89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代表我单位全权办理上述项目的竞采、签约等具体工作，并签署全部有关文件、协议及合同。</w:t>
      </w:r>
    </w:p>
    <w:p w14:paraId="1D6C677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62C97B8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撤销</w:t>
      </w:r>
      <w:r>
        <w:rPr>
          <w:rFonts w:hint="eastAsia" w:ascii="宋体" w:hAnsi="宋体" w:eastAsia="宋体" w:cs="宋体"/>
          <w:color w:val="auto"/>
          <w:sz w:val="24"/>
          <w:szCs w:val="24"/>
          <w:highlight w:val="none"/>
        </w:rPr>
        <w:t>授权的书面通知以前，本授权书一直有效。被授权人在授权书有效期内签署的所有文件不因授权</w:t>
      </w:r>
      <w:r>
        <w:rPr>
          <w:rFonts w:hint="eastAsia" w:ascii="宋体" w:hAnsi="宋体" w:cs="宋体"/>
          <w:color w:val="auto"/>
          <w:sz w:val="24"/>
          <w:szCs w:val="24"/>
          <w:highlight w:val="none"/>
          <w:lang w:eastAsia="zh-CN"/>
        </w:rPr>
        <w:t>的撤销</w:t>
      </w:r>
      <w:r>
        <w:rPr>
          <w:rFonts w:hint="eastAsia" w:ascii="宋体" w:hAnsi="宋体" w:eastAsia="宋体" w:cs="宋体"/>
          <w:color w:val="auto"/>
          <w:sz w:val="24"/>
          <w:szCs w:val="24"/>
          <w:highlight w:val="none"/>
        </w:rPr>
        <w:t>而失效。</w:t>
      </w:r>
    </w:p>
    <w:p w14:paraId="6B2D0E5C">
      <w:pPr>
        <w:tabs>
          <w:tab w:val="left" w:pos="6300"/>
        </w:tabs>
        <w:snapToGrid w:val="0"/>
        <w:spacing w:line="312" w:lineRule="auto"/>
        <w:ind w:firstLine="480"/>
        <w:rPr>
          <w:rFonts w:hint="eastAsia" w:ascii="宋体" w:hAnsi="宋体" w:eastAsia="宋体" w:cs="宋体"/>
          <w:color w:val="auto"/>
          <w:sz w:val="24"/>
          <w:szCs w:val="24"/>
          <w:highlight w:val="none"/>
        </w:rPr>
      </w:pPr>
    </w:p>
    <w:p w14:paraId="3A8CE0E6">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法定代表人：</w:t>
      </w:r>
    </w:p>
    <w:p w14:paraId="499CAC99">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14:paraId="1A9649A5">
      <w:pPr>
        <w:tabs>
          <w:tab w:val="left" w:pos="6300"/>
        </w:tabs>
        <w:snapToGrid w:val="0"/>
        <w:spacing w:line="312" w:lineRule="auto"/>
        <w:ind w:firstLine="480"/>
        <w:rPr>
          <w:rFonts w:hint="eastAsia" w:ascii="宋体" w:hAnsi="宋体" w:eastAsia="宋体" w:cs="宋体"/>
          <w:color w:val="auto"/>
          <w:sz w:val="24"/>
          <w:szCs w:val="24"/>
          <w:highlight w:val="none"/>
        </w:rPr>
      </w:pPr>
    </w:p>
    <w:p w14:paraId="1293ED2D">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4FFE8D98">
      <w:pPr>
        <w:tabs>
          <w:tab w:val="left" w:pos="6300"/>
        </w:tabs>
        <w:snapToGrid w:val="0"/>
        <w:spacing w:line="312" w:lineRule="auto"/>
        <w:ind w:firstLine="480"/>
        <w:rPr>
          <w:rFonts w:hint="eastAsia" w:ascii="宋体" w:hAnsi="宋体" w:eastAsia="宋体" w:cs="宋体"/>
          <w:color w:val="auto"/>
          <w:sz w:val="24"/>
          <w:szCs w:val="24"/>
          <w:highlight w:val="none"/>
        </w:rPr>
      </w:pPr>
    </w:p>
    <w:p w14:paraId="738AED89">
      <w:pPr>
        <w:tabs>
          <w:tab w:val="left" w:pos="6300"/>
        </w:tabs>
        <w:snapToGrid w:val="0"/>
        <w:spacing w:line="312" w:lineRule="auto"/>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p>
    <w:p w14:paraId="0C8B6160">
      <w:pPr>
        <w:tabs>
          <w:tab w:val="left" w:pos="6300"/>
        </w:tabs>
        <w:snapToGrid w:val="0"/>
        <w:spacing w:line="312" w:lineRule="auto"/>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p w14:paraId="561B270D">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6AB5F2D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（三）基本资格条件承诺函（格式）</w:t>
      </w:r>
    </w:p>
    <w:p w14:paraId="61320921">
      <w:pPr>
        <w:widowControl/>
        <w:spacing w:line="530" w:lineRule="exact"/>
        <w:jc w:val="left"/>
        <w:rPr>
          <w:rFonts w:hint="eastAsia" w:ascii="宋体" w:hAnsi="宋体" w:eastAsia="宋体" w:cs="宋体"/>
          <w:color w:val="auto"/>
          <w:sz w:val="24"/>
          <w:szCs w:val="24"/>
          <w:highlight w:val="none"/>
        </w:rPr>
      </w:pPr>
    </w:p>
    <w:p w14:paraId="57952DD3">
      <w:pPr>
        <w:tabs>
          <w:tab w:val="left" w:pos="6300"/>
        </w:tabs>
        <w:snapToGrid w:val="0"/>
        <w:spacing w:line="53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110BD4A4">
      <w:pPr>
        <w:tabs>
          <w:tab w:val="left" w:pos="6300"/>
        </w:tabs>
        <w:snapToGrid w:val="0"/>
        <w:spacing w:line="530" w:lineRule="exact"/>
        <w:rPr>
          <w:rFonts w:hint="eastAsia" w:ascii="宋体" w:hAnsi="宋体" w:eastAsia="宋体" w:cs="宋体"/>
          <w:color w:val="auto"/>
          <w:sz w:val="24"/>
          <w:szCs w:val="24"/>
          <w:highlight w:val="none"/>
        </w:rPr>
      </w:pPr>
    </w:p>
    <w:p w14:paraId="0DE95B04">
      <w:pPr>
        <w:tabs>
          <w:tab w:val="left" w:pos="6300"/>
        </w:tabs>
        <w:snapToGrid w:val="0"/>
        <w:spacing w:line="53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4C556E36">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0471EB95">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21675E11">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w:t>
      </w:r>
      <w:r>
        <w:rPr>
          <w:rFonts w:hint="eastAsia" w:ascii="宋体" w:hAnsi="宋体" w:cs="宋体"/>
          <w:color w:val="auto"/>
          <w:sz w:val="24"/>
          <w:szCs w:val="24"/>
          <w:highlight w:val="none"/>
          <w:lang w:eastAsia="zh-CN"/>
        </w:rPr>
        <w:t>列入</w:t>
      </w:r>
      <w:r>
        <w:rPr>
          <w:rFonts w:hint="eastAsia" w:ascii="宋体" w:hAnsi="宋体" w:eastAsia="宋体" w:cs="宋体"/>
          <w:color w:val="auto"/>
          <w:sz w:val="24"/>
          <w:szCs w:val="24"/>
          <w:highlight w:val="none"/>
        </w:rPr>
        <w:t>信用中国网站（www.creditchina.gov.cn）“失信被执行人”、“重大税收违法案件当事人名单”中，也未列入中国政府采购网（www.ccgp.gov.cn）“政府采购严重违法失信行为记录名单”中。</w:t>
      </w:r>
    </w:p>
    <w:p w14:paraId="159068BA">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00E6409">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3209D84">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547882D">
      <w:pPr>
        <w:tabs>
          <w:tab w:val="left" w:pos="6300"/>
        </w:tabs>
        <w:snapToGrid w:val="0"/>
        <w:spacing w:line="530" w:lineRule="exact"/>
        <w:rPr>
          <w:rFonts w:hint="eastAsia" w:ascii="宋体" w:hAnsi="宋体" w:eastAsia="宋体" w:cs="宋体"/>
          <w:color w:val="auto"/>
          <w:sz w:val="24"/>
          <w:szCs w:val="24"/>
          <w:highlight w:val="none"/>
        </w:rPr>
      </w:pPr>
    </w:p>
    <w:p w14:paraId="143FFB2B">
      <w:pPr>
        <w:tabs>
          <w:tab w:val="left" w:pos="6300"/>
        </w:tabs>
        <w:snapToGrid w:val="0"/>
        <w:spacing w:line="530" w:lineRule="exact"/>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75936BC5">
      <w:pPr>
        <w:tabs>
          <w:tab w:val="left" w:pos="6300"/>
        </w:tabs>
        <w:snapToGrid w:val="0"/>
        <w:spacing w:line="530" w:lineRule="exact"/>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39A6BE3">
      <w:pPr>
        <w:tabs>
          <w:tab w:val="left" w:pos="6300"/>
        </w:tabs>
        <w:snapToGrid w:val="0"/>
        <w:spacing w:line="312" w:lineRule="auto"/>
        <w:rPr>
          <w:rFonts w:hint="eastAsia" w:ascii="宋体" w:hAnsi="宋体" w:eastAsia="宋体" w:cs="宋体"/>
          <w:color w:val="auto"/>
          <w:sz w:val="24"/>
          <w:szCs w:val="24"/>
          <w:highlight w:val="none"/>
        </w:rPr>
      </w:pPr>
    </w:p>
    <w:p w14:paraId="4629BF1A">
      <w:pPr>
        <w:snapToGrid w:val="0"/>
        <w:spacing w:line="360" w:lineRule="auto"/>
        <w:rPr>
          <w:rFonts w:hint="eastAsia" w:ascii="宋体" w:hAnsi="宋体" w:eastAsia="宋体" w:cs="宋体"/>
          <w:color w:val="auto"/>
          <w:sz w:val="24"/>
          <w:szCs w:val="24"/>
          <w:highlight w:val="none"/>
        </w:rPr>
      </w:pPr>
    </w:p>
    <w:p w14:paraId="4A9527E7">
      <w:pPr>
        <w:snapToGrid w:val="0"/>
        <w:spacing w:line="360" w:lineRule="auto"/>
        <w:rPr>
          <w:rFonts w:hint="eastAsia" w:ascii="宋体" w:hAnsi="宋体" w:eastAsia="宋体" w:cs="宋体"/>
          <w:color w:val="auto"/>
          <w:sz w:val="24"/>
          <w:szCs w:val="24"/>
          <w:highlight w:val="none"/>
        </w:rPr>
      </w:pPr>
    </w:p>
    <w:p w14:paraId="5728B27E">
      <w:pPr>
        <w:ind w:firstLine="480"/>
        <w:rPr>
          <w:rFonts w:hint="eastAsia" w:ascii="宋体" w:hAnsi="宋体" w:eastAsia="宋体" w:cs="宋体"/>
          <w:color w:val="auto"/>
          <w:highlight w:val="none"/>
        </w:rPr>
      </w:pPr>
    </w:p>
    <w:p w14:paraId="4F5462FD">
      <w:pPr>
        <w:tabs>
          <w:tab w:val="left" w:pos="6300"/>
        </w:tabs>
        <w:snapToGrid w:val="0"/>
        <w:spacing w:line="312" w:lineRule="auto"/>
        <w:ind w:right="480" w:firstLine="480"/>
        <w:jc w:val="center"/>
        <w:rPr>
          <w:rFonts w:hint="eastAsia" w:ascii="宋体" w:hAnsi="宋体" w:eastAsia="宋体" w:cs="宋体"/>
          <w:color w:val="auto"/>
          <w:sz w:val="24"/>
          <w:szCs w:val="24"/>
          <w:highlight w:val="none"/>
        </w:rPr>
      </w:pPr>
    </w:p>
    <w:p w14:paraId="73666E3B">
      <w:pPr>
        <w:spacing w:line="360" w:lineRule="auto"/>
        <w:ind w:firstLine="482"/>
        <w:rPr>
          <w:rFonts w:hint="eastAsia" w:ascii="宋体" w:hAnsi="宋体" w:eastAsia="宋体" w:cs="宋体"/>
          <w:b/>
          <w:bCs/>
          <w:color w:val="auto"/>
          <w:sz w:val="24"/>
          <w:szCs w:val="24"/>
          <w:highlight w:val="none"/>
        </w:rPr>
      </w:pPr>
    </w:p>
    <w:p w14:paraId="3B9FC3F9">
      <w:pPr>
        <w:spacing w:line="360" w:lineRule="auto"/>
        <w:ind w:firstLine="482"/>
        <w:rPr>
          <w:rFonts w:hint="eastAsia" w:ascii="宋体" w:hAnsi="宋体" w:eastAsia="宋体" w:cs="宋体"/>
          <w:b/>
          <w:bCs/>
          <w:color w:val="auto"/>
          <w:sz w:val="24"/>
          <w:szCs w:val="24"/>
          <w:highlight w:val="none"/>
        </w:rPr>
      </w:pPr>
    </w:p>
    <w:p w14:paraId="246F9A7F">
      <w:pPr>
        <w:snapToGrid w:val="0"/>
        <w:spacing w:line="360" w:lineRule="auto"/>
        <w:rPr>
          <w:rFonts w:hint="default" w:ascii="宋体" w:hAnsi="宋体" w:eastAsia="宋体" w:cs="宋体"/>
          <w:b/>
          <w:bCs/>
          <w:color w:val="auto"/>
          <w:sz w:val="24"/>
          <w:szCs w:val="24"/>
          <w:highlight w:val="none"/>
          <w:lang w:val="en-US" w:eastAsia="zh-CN"/>
        </w:rPr>
      </w:pPr>
      <w:bookmarkStart w:id="135" w:name="_Toc10911"/>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特定资格条件</w:t>
      </w:r>
    </w:p>
    <w:p w14:paraId="7FB9101D">
      <w:pPr>
        <w:spacing w:line="360" w:lineRule="auto"/>
        <w:ind w:firstLine="482"/>
        <w:outlineLvl w:val="0"/>
        <w:rPr>
          <w:rFonts w:hint="eastAsia" w:ascii="宋体" w:hAnsi="宋体" w:eastAsia="宋体" w:cs="宋体"/>
          <w:b/>
          <w:bCs/>
          <w:color w:val="auto"/>
          <w:sz w:val="24"/>
          <w:szCs w:val="24"/>
          <w:highlight w:val="none"/>
        </w:rPr>
      </w:pPr>
      <w:bookmarkStart w:id="136" w:name="_Toc30805"/>
      <w:bookmarkStart w:id="137" w:name="_Toc8886"/>
    </w:p>
    <w:p w14:paraId="15AB461E">
      <w:pPr>
        <w:spacing w:line="360" w:lineRule="auto"/>
        <w:ind w:firstLine="482"/>
        <w:outlineLvl w:val="0"/>
        <w:rPr>
          <w:rFonts w:hint="eastAsia" w:ascii="宋体" w:hAnsi="宋体" w:eastAsia="宋体" w:cs="宋体"/>
          <w:b/>
          <w:bCs/>
          <w:color w:val="auto"/>
          <w:sz w:val="24"/>
          <w:szCs w:val="24"/>
          <w:highlight w:val="none"/>
        </w:rPr>
      </w:pPr>
    </w:p>
    <w:p w14:paraId="06C26C38">
      <w:pPr>
        <w:spacing w:line="360" w:lineRule="auto"/>
        <w:ind w:firstLine="482"/>
        <w:outlineLvl w:val="0"/>
        <w:rPr>
          <w:rFonts w:hint="eastAsia" w:ascii="宋体" w:hAnsi="宋体" w:eastAsia="宋体" w:cs="宋体"/>
          <w:b/>
          <w:bCs/>
          <w:color w:val="auto"/>
          <w:sz w:val="24"/>
          <w:szCs w:val="24"/>
          <w:highlight w:val="none"/>
        </w:rPr>
      </w:pPr>
    </w:p>
    <w:p w14:paraId="0CD00DF1">
      <w:pPr>
        <w:spacing w:line="360" w:lineRule="auto"/>
        <w:ind w:firstLine="482"/>
        <w:outlineLvl w:val="0"/>
        <w:rPr>
          <w:rFonts w:hint="eastAsia" w:ascii="宋体" w:hAnsi="宋体" w:eastAsia="宋体" w:cs="宋体"/>
          <w:b/>
          <w:bCs/>
          <w:color w:val="auto"/>
          <w:sz w:val="24"/>
          <w:szCs w:val="24"/>
          <w:highlight w:val="none"/>
        </w:rPr>
      </w:pPr>
    </w:p>
    <w:p w14:paraId="318C9843">
      <w:pPr>
        <w:spacing w:line="360" w:lineRule="auto"/>
        <w:ind w:firstLine="482"/>
        <w:outlineLvl w:val="0"/>
        <w:rPr>
          <w:rFonts w:hint="eastAsia" w:ascii="宋体" w:hAnsi="宋体" w:eastAsia="宋体" w:cs="宋体"/>
          <w:b/>
          <w:bCs/>
          <w:color w:val="auto"/>
          <w:sz w:val="24"/>
          <w:szCs w:val="24"/>
          <w:highlight w:val="none"/>
        </w:rPr>
      </w:pPr>
    </w:p>
    <w:p w14:paraId="2DD8A955">
      <w:pPr>
        <w:spacing w:line="360" w:lineRule="auto"/>
        <w:ind w:firstLine="482"/>
        <w:outlineLvl w:val="0"/>
        <w:rPr>
          <w:rFonts w:hint="eastAsia" w:ascii="宋体" w:hAnsi="宋体" w:eastAsia="宋体" w:cs="宋体"/>
          <w:b/>
          <w:bCs/>
          <w:color w:val="auto"/>
          <w:sz w:val="24"/>
          <w:szCs w:val="24"/>
          <w:highlight w:val="none"/>
        </w:rPr>
      </w:pPr>
    </w:p>
    <w:p w14:paraId="5DDF1DAC">
      <w:pPr>
        <w:spacing w:line="360" w:lineRule="auto"/>
        <w:ind w:firstLine="482"/>
        <w:outlineLvl w:val="0"/>
        <w:rPr>
          <w:rFonts w:hint="eastAsia" w:ascii="宋体" w:hAnsi="宋体" w:eastAsia="宋体" w:cs="宋体"/>
          <w:b/>
          <w:bCs/>
          <w:color w:val="auto"/>
          <w:sz w:val="24"/>
          <w:szCs w:val="24"/>
          <w:highlight w:val="none"/>
        </w:rPr>
      </w:pPr>
    </w:p>
    <w:p w14:paraId="538D8EBA">
      <w:pPr>
        <w:spacing w:line="360" w:lineRule="auto"/>
        <w:ind w:firstLine="482"/>
        <w:outlineLvl w:val="0"/>
        <w:rPr>
          <w:rFonts w:hint="eastAsia" w:ascii="宋体" w:hAnsi="宋体" w:eastAsia="宋体" w:cs="宋体"/>
          <w:b/>
          <w:bCs/>
          <w:color w:val="auto"/>
          <w:sz w:val="24"/>
          <w:szCs w:val="24"/>
          <w:highlight w:val="none"/>
        </w:rPr>
      </w:pPr>
    </w:p>
    <w:p w14:paraId="13A9A7C2">
      <w:pPr>
        <w:spacing w:line="360" w:lineRule="auto"/>
        <w:ind w:firstLine="482"/>
        <w:outlineLvl w:val="0"/>
        <w:rPr>
          <w:rFonts w:hint="eastAsia" w:ascii="宋体" w:hAnsi="宋体" w:eastAsia="宋体" w:cs="宋体"/>
          <w:b/>
          <w:bCs/>
          <w:color w:val="auto"/>
          <w:sz w:val="24"/>
          <w:szCs w:val="24"/>
          <w:highlight w:val="none"/>
        </w:rPr>
      </w:pPr>
    </w:p>
    <w:p w14:paraId="67D6B589">
      <w:pPr>
        <w:spacing w:line="360" w:lineRule="auto"/>
        <w:ind w:firstLine="482"/>
        <w:outlineLvl w:val="0"/>
        <w:rPr>
          <w:rFonts w:hint="eastAsia" w:ascii="宋体" w:hAnsi="宋体" w:eastAsia="宋体" w:cs="宋体"/>
          <w:b/>
          <w:bCs/>
          <w:color w:val="auto"/>
          <w:sz w:val="24"/>
          <w:szCs w:val="24"/>
          <w:highlight w:val="none"/>
        </w:rPr>
      </w:pPr>
    </w:p>
    <w:p w14:paraId="79EC459E">
      <w:pPr>
        <w:spacing w:line="360" w:lineRule="auto"/>
        <w:ind w:firstLine="482"/>
        <w:outlineLvl w:val="0"/>
        <w:rPr>
          <w:rFonts w:hint="eastAsia" w:ascii="宋体" w:hAnsi="宋体" w:eastAsia="宋体" w:cs="宋体"/>
          <w:b/>
          <w:bCs/>
          <w:color w:val="auto"/>
          <w:sz w:val="24"/>
          <w:szCs w:val="24"/>
          <w:highlight w:val="none"/>
        </w:rPr>
      </w:pPr>
    </w:p>
    <w:p w14:paraId="5D50A6F9">
      <w:pPr>
        <w:spacing w:line="360" w:lineRule="auto"/>
        <w:ind w:firstLine="482"/>
        <w:outlineLvl w:val="0"/>
        <w:rPr>
          <w:rFonts w:hint="eastAsia" w:ascii="宋体" w:hAnsi="宋体" w:eastAsia="宋体" w:cs="宋体"/>
          <w:b/>
          <w:bCs/>
          <w:color w:val="auto"/>
          <w:sz w:val="24"/>
          <w:szCs w:val="24"/>
          <w:highlight w:val="none"/>
        </w:rPr>
      </w:pPr>
    </w:p>
    <w:p w14:paraId="6E17C048">
      <w:pPr>
        <w:spacing w:line="360" w:lineRule="auto"/>
        <w:ind w:firstLine="482"/>
        <w:outlineLvl w:val="0"/>
        <w:rPr>
          <w:rFonts w:hint="eastAsia" w:ascii="宋体" w:hAnsi="宋体" w:eastAsia="宋体" w:cs="宋体"/>
          <w:b/>
          <w:bCs/>
          <w:color w:val="auto"/>
          <w:sz w:val="24"/>
          <w:szCs w:val="24"/>
          <w:highlight w:val="none"/>
        </w:rPr>
      </w:pPr>
    </w:p>
    <w:p w14:paraId="6BA766B0">
      <w:pPr>
        <w:spacing w:line="360" w:lineRule="auto"/>
        <w:ind w:firstLine="482"/>
        <w:outlineLvl w:val="0"/>
        <w:rPr>
          <w:rFonts w:hint="eastAsia" w:ascii="宋体" w:hAnsi="宋体" w:eastAsia="宋体" w:cs="宋体"/>
          <w:b/>
          <w:bCs/>
          <w:color w:val="auto"/>
          <w:sz w:val="24"/>
          <w:szCs w:val="24"/>
          <w:highlight w:val="none"/>
        </w:rPr>
      </w:pPr>
    </w:p>
    <w:p w14:paraId="2F65960A">
      <w:pPr>
        <w:spacing w:line="360" w:lineRule="auto"/>
        <w:ind w:firstLine="482"/>
        <w:outlineLvl w:val="0"/>
        <w:rPr>
          <w:rFonts w:hint="eastAsia" w:ascii="宋体" w:hAnsi="宋体" w:eastAsia="宋体" w:cs="宋体"/>
          <w:b/>
          <w:bCs/>
          <w:color w:val="auto"/>
          <w:sz w:val="24"/>
          <w:szCs w:val="24"/>
          <w:highlight w:val="none"/>
        </w:rPr>
      </w:pPr>
    </w:p>
    <w:p w14:paraId="7A879A75">
      <w:pPr>
        <w:spacing w:line="360" w:lineRule="auto"/>
        <w:ind w:firstLine="482"/>
        <w:outlineLvl w:val="0"/>
        <w:rPr>
          <w:rFonts w:hint="eastAsia" w:ascii="宋体" w:hAnsi="宋体" w:eastAsia="宋体" w:cs="宋体"/>
          <w:b/>
          <w:bCs/>
          <w:color w:val="auto"/>
          <w:sz w:val="24"/>
          <w:szCs w:val="24"/>
          <w:highlight w:val="none"/>
        </w:rPr>
      </w:pPr>
    </w:p>
    <w:p w14:paraId="3ACEB584">
      <w:pPr>
        <w:spacing w:line="360" w:lineRule="auto"/>
        <w:ind w:firstLine="482"/>
        <w:outlineLvl w:val="0"/>
        <w:rPr>
          <w:rFonts w:hint="eastAsia" w:ascii="宋体" w:hAnsi="宋体" w:eastAsia="宋体" w:cs="宋体"/>
          <w:b/>
          <w:bCs/>
          <w:color w:val="auto"/>
          <w:sz w:val="24"/>
          <w:szCs w:val="24"/>
          <w:highlight w:val="none"/>
        </w:rPr>
      </w:pPr>
    </w:p>
    <w:p w14:paraId="15B43E0F">
      <w:pPr>
        <w:spacing w:line="360" w:lineRule="auto"/>
        <w:ind w:firstLine="482"/>
        <w:outlineLvl w:val="0"/>
        <w:rPr>
          <w:rFonts w:hint="eastAsia" w:ascii="宋体" w:hAnsi="宋体" w:eastAsia="宋体" w:cs="宋体"/>
          <w:b/>
          <w:bCs/>
          <w:color w:val="auto"/>
          <w:sz w:val="24"/>
          <w:szCs w:val="24"/>
          <w:highlight w:val="none"/>
        </w:rPr>
      </w:pPr>
    </w:p>
    <w:p w14:paraId="23DF0E79">
      <w:pPr>
        <w:spacing w:line="360" w:lineRule="auto"/>
        <w:ind w:firstLine="482"/>
        <w:outlineLvl w:val="0"/>
        <w:rPr>
          <w:rFonts w:hint="eastAsia" w:ascii="宋体" w:hAnsi="宋体" w:eastAsia="宋体" w:cs="宋体"/>
          <w:b/>
          <w:bCs/>
          <w:color w:val="auto"/>
          <w:sz w:val="24"/>
          <w:szCs w:val="24"/>
          <w:highlight w:val="none"/>
        </w:rPr>
      </w:pPr>
    </w:p>
    <w:p w14:paraId="17A4FF8C">
      <w:pPr>
        <w:spacing w:line="360" w:lineRule="auto"/>
        <w:ind w:firstLine="482"/>
        <w:outlineLvl w:val="0"/>
        <w:rPr>
          <w:rFonts w:hint="eastAsia" w:ascii="宋体" w:hAnsi="宋体" w:eastAsia="宋体" w:cs="宋体"/>
          <w:b/>
          <w:bCs/>
          <w:color w:val="auto"/>
          <w:sz w:val="24"/>
          <w:szCs w:val="24"/>
          <w:highlight w:val="none"/>
        </w:rPr>
      </w:pPr>
    </w:p>
    <w:p w14:paraId="5F73D0C3">
      <w:pPr>
        <w:spacing w:line="360" w:lineRule="auto"/>
        <w:ind w:firstLine="482"/>
        <w:outlineLvl w:val="0"/>
        <w:rPr>
          <w:rFonts w:hint="eastAsia" w:ascii="宋体" w:hAnsi="宋体" w:eastAsia="宋体" w:cs="宋体"/>
          <w:b/>
          <w:bCs/>
          <w:color w:val="auto"/>
          <w:sz w:val="24"/>
          <w:szCs w:val="24"/>
          <w:highlight w:val="none"/>
        </w:rPr>
      </w:pPr>
    </w:p>
    <w:p w14:paraId="4D033B8A">
      <w:pPr>
        <w:spacing w:line="360" w:lineRule="auto"/>
        <w:ind w:firstLine="482"/>
        <w:outlineLvl w:val="0"/>
        <w:rPr>
          <w:rFonts w:hint="eastAsia" w:ascii="宋体" w:hAnsi="宋体" w:eastAsia="宋体" w:cs="宋体"/>
          <w:b/>
          <w:bCs/>
          <w:color w:val="auto"/>
          <w:sz w:val="24"/>
          <w:szCs w:val="24"/>
          <w:highlight w:val="none"/>
        </w:rPr>
      </w:pPr>
    </w:p>
    <w:p w14:paraId="0B05B91F">
      <w:pPr>
        <w:spacing w:line="360" w:lineRule="auto"/>
        <w:ind w:firstLine="482"/>
        <w:outlineLvl w:val="0"/>
        <w:rPr>
          <w:rFonts w:hint="eastAsia" w:ascii="宋体" w:hAnsi="宋体" w:eastAsia="宋体" w:cs="宋体"/>
          <w:b/>
          <w:bCs/>
          <w:color w:val="auto"/>
          <w:sz w:val="24"/>
          <w:szCs w:val="24"/>
          <w:highlight w:val="none"/>
        </w:rPr>
      </w:pPr>
    </w:p>
    <w:p w14:paraId="1408EEC1">
      <w:pPr>
        <w:spacing w:line="360" w:lineRule="auto"/>
        <w:ind w:firstLine="482"/>
        <w:outlineLvl w:val="0"/>
        <w:rPr>
          <w:rFonts w:hint="eastAsia" w:ascii="宋体" w:hAnsi="宋体" w:eastAsia="宋体" w:cs="宋体"/>
          <w:b/>
          <w:bCs/>
          <w:color w:val="auto"/>
          <w:sz w:val="24"/>
          <w:szCs w:val="24"/>
          <w:highlight w:val="none"/>
        </w:rPr>
      </w:pPr>
    </w:p>
    <w:p w14:paraId="611FF3CF">
      <w:pPr>
        <w:spacing w:line="360" w:lineRule="auto"/>
        <w:ind w:firstLine="482"/>
        <w:outlineLvl w:val="0"/>
        <w:rPr>
          <w:rFonts w:hint="eastAsia" w:ascii="宋体" w:hAnsi="宋体" w:eastAsia="宋体" w:cs="宋体"/>
          <w:b/>
          <w:bCs/>
          <w:color w:val="auto"/>
          <w:sz w:val="24"/>
          <w:szCs w:val="24"/>
          <w:highlight w:val="none"/>
        </w:rPr>
      </w:pPr>
    </w:p>
    <w:p w14:paraId="12973295">
      <w:pPr>
        <w:spacing w:line="360" w:lineRule="auto"/>
        <w:ind w:firstLine="482"/>
        <w:outlineLvl w:val="0"/>
        <w:rPr>
          <w:rFonts w:hint="eastAsia" w:ascii="宋体" w:hAnsi="宋体" w:eastAsia="宋体" w:cs="宋体"/>
          <w:b/>
          <w:bCs/>
          <w:color w:val="auto"/>
          <w:sz w:val="24"/>
          <w:szCs w:val="24"/>
          <w:highlight w:val="none"/>
        </w:rPr>
      </w:pPr>
    </w:p>
    <w:p w14:paraId="4AA804C7">
      <w:pPr>
        <w:spacing w:line="360" w:lineRule="auto"/>
        <w:ind w:firstLine="482"/>
        <w:outlineLvl w:val="0"/>
        <w:rPr>
          <w:rFonts w:hint="eastAsia" w:ascii="宋体" w:hAnsi="宋体" w:eastAsia="宋体" w:cs="宋体"/>
          <w:b/>
          <w:bCs/>
          <w:color w:val="auto"/>
          <w:sz w:val="24"/>
          <w:szCs w:val="24"/>
          <w:highlight w:val="none"/>
        </w:rPr>
      </w:pPr>
    </w:p>
    <w:p w14:paraId="2BCD4FB8">
      <w:pPr>
        <w:spacing w:line="360" w:lineRule="auto"/>
        <w:ind w:firstLine="482"/>
        <w:outlineLvl w:val="0"/>
        <w:rPr>
          <w:rFonts w:hint="eastAsia" w:ascii="宋体" w:hAnsi="宋体" w:eastAsia="宋体" w:cs="宋体"/>
          <w:b/>
          <w:bCs/>
          <w:color w:val="auto"/>
          <w:sz w:val="24"/>
          <w:szCs w:val="24"/>
          <w:highlight w:val="none"/>
        </w:rPr>
      </w:pPr>
    </w:p>
    <w:p w14:paraId="4581673E">
      <w:pPr>
        <w:spacing w:line="360" w:lineRule="auto"/>
        <w:ind w:firstLine="482"/>
        <w:outlineLvl w:val="0"/>
        <w:rPr>
          <w:rFonts w:hint="eastAsia" w:ascii="宋体" w:hAnsi="宋体" w:eastAsia="宋体" w:cs="宋体"/>
          <w:b/>
          <w:bCs/>
          <w:color w:val="auto"/>
          <w:sz w:val="24"/>
          <w:szCs w:val="24"/>
          <w:highlight w:val="none"/>
        </w:rPr>
      </w:pPr>
    </w:p>
    <w:p w14:paraId="43804954">
      <w:pPr>
        <w:spacing w:line="360" w:lineRule="auto"/>
        <w:ind w:firstLine="482"/>
        <w:outlineLvl w:val="0"/>
        <w:rPr>
          <w:rFonts w:hint="eastAsia" w:ascii="宋体" w:hAnsi="宋体" w:eastAsia="宋体" w:cs="宋体"/>
          <w:b/>
          <w:bCs/>
          <w:color w:val="auto"/>
          <w:sz w:val="24"/>
          <w:szCs w:val="24"/>
          <w:highlight w:val="none"/>
        </w:rPr>
      </w:pPr>
    </w:p>
    <w:p w14:paraId="2D65018F">
      <w:pPr>
        <w:spacing w:line="360" w:lineRule="auto"/>
        <w:ind w:firstLine="482"/>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bookmarkEnd w:id="135"/>
      <w:bookmarkEnd w:id="136"/>
      <w:bookmarkEnd w:id="137"/>
    </w:p>
    <w:p w14:paraId="0E7BEA6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25A794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3D94CFD6">
      <w:pPr>
        <w:spacing w:line="360" w:lineRule="auto"/>
        <w:ind w:firstLine="200"/>
        <w:jc w:val="center"/>
        <w:rPr>
          <w:rFonts w:hint="eastAsia" w:ascii="宋体" w:hAnsi="宋体" w:eastAsia="宋体" w:cs="宋体"/>
          <w:color w:val="auto"/>
          <w:sz w:val="24"/>
          <w:szCs w:val="24"/>
          <w:highlight w:val="none"/>
        </w:rPr>
      </w:pPr>
    </w:p>
    <w:p w14:paraId="1A789C2E">
      <w:pPr>
        <w:ind w:firstLine="200"/>
        <w:jc w:val="center"/>
        <w:rPr>
          <w:rFonts w:hint="eastAsia" w:ascii="宋体" w:hAnsi="宋体" w:eastAsia="宋体" w:cs="宋体"/>
          <w:color w:val="auto"/>
          <w:sz w:val="24"/>
          <w:szCs w:val="24"/>
          <w:highlight w:val="none"/>
        </w:rPr>
      </w:pPr>
    </w:p>
    <w:p w14:paraId="32037C6A">
      <w:pPr>
        <w:ind w:firstLine="200"/>
        <w:jc w:val="center"/>
        <w:rPr>
          <w:rFonts w:hint="eastAsia" w:ascii="宋体" w:hAnsi="宋体" w:eastAsia="宋体" w:cs="宋体"/>
          <w:color w:val="auto"/>
          <w:sz w:val="28"/>
          <w:szCs w:val="28"/>
          <w:highlight w:val="none"/>
        </w:rPr>
      </w:pPr>
    </w:p>
    <w:p w14:paraId="2549F249">
      <w:pPr>
        <w:ind w:firstLine="200"/>
        <w:jc w:val="center"/>
        <w:rPr>
          <w:rFonts w:hint="eastAsia" w:ascii="宋体" w:hAnsi="宋体" w:eastAsia="宋体" w:cs="宋体"/>
          <w:color w:val="auto"/>
          <w:sz w:val="28"/>
          <w:szCs w:val="28"/>
          <w:highlight w:val="none"/>
        </w:rPr>
      </w:pPr>
    </w:p>
    <w:p w14:paraId="6FB8DC5D">
      <w:pPr>
        <w:ind w:firstLine="200"/>
        <w:jc w:val="center"/>
        <w:rPr>
          <w:rFonts w:hint="eastAsia" w:ascii="宋体" w:hAnsi="宋体" w:eastAsia="宋体" w:cs="宋体"/>
          <w:color w:val="auto"/>
          <w:sz w:val="28"/>
          <w:szCs w:val="28"/>
          <w:highlight w:val="none"/>
        </w:rPr>
      </w:pPr>
    </w:p>
    <w:p w14:paraId="2AF8E672">
      <w:pPr>
        <w:ind w:firstLine="200"/>
        <w:jc w:val="center"/>
        <w:rPr>
          <w:rFonts w:hint="eastAsia" w:ascii="宋体" w:hAnsi="宋体" w:eastAsia="宋体" w:cs="宋体"/>
          <w:color w:val="auto"/>
          <w:sz w:val="28"/>
          <w:szCs w:val="28"/>
          <w:highlight w:val="none"/>
        </w:rPr>
      </w:pPr>
    </w:p>
    <w:p w14:paraId="0F40748F">
      <w:pPr>
        <w:ind w:firstLine="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（结束）</w:t>
      </w:r>
    </w:p>
    <w:p w14:paraId="179BA071">
      <w:pPr>
        <w:tabs>
          <w:tab w:val="left" w:pos="6300"/>
        </w:tabs>
        <w:snapToGrid w:val="0"/>
        <w:spacing w:line="360" w:lineRule="auto"/>
        <w:ind w:right="480"/>
        <w:jc w:val="center"/>
        <w:rPr>
          <w:rFonts w:hint="eastAsia" w:ascii="宋体" w:hAnsi="宋体" w:eastAsia="宋体" w:cs="宋体"/>
          <w:color w:val="auto"/>
          <w:sz w:val="32"/>
          <w:szCs w:val="32"/>
          <w:highlight w:val="none"/>
        </w:rPr>
      </w:pPr>
    </w:p>
    <w:bookmarkEnd w:id="97"/>
    <w:p w14:paraId="02B1B5A7">
      <w:pPr>
        <w:tabs>
          <w:tab w:val="left" w:pos="6300"/>
        </w:tabs>
        <w:snapToGrid w:val="0"/>
        <w:spacing w:line="360" w:lineRule="auto"/>
        <w:ind w:right="480"/>
        <w:rPr>
          <w:rFonts w:hint="eastAsia" w:ascii="宋体" w:hAnsi="宋体" w:eastAsia="宋体" w:cs="宋体"/>
          <w:color w:val="auto"/>
          <w:sz w:val="24"/>
          <w:szCs w:val="24"/>
          <w:highlight w:val="none"/>
        </w:rPr>
      </w:pPr>
    </w:p>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91FA8E50-9925-4EAA-A389-F9118BAB5DFD}"/>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embedRegular r:id="rId2" w:fontKey="{516EACB5-B51E-49EE-88A4-370472F9A9C0}"/>
  </w:font>
  <w:font w:name="方正仿宋_GBK">
    <w:panose1 w:val="03000509000000000000"/>
    <w:charset w:val="86"/>
    <w:family w:val="script"/>
    <w:pitch w:val="default"/>
    <w:sig w:usb0="00000001" w:usb1="080E0000" w:usb2="00000000" w:usb3="00000000" w:csb0="00040000" w:csb1="00000000"/>
    <w:embedRegular r:id="rId3" w:fontKey="{C42D8F32-5C0F-430B-B087-F48D3479B7A5}"/>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6F94">
    <w:pPr>
      <w:tabs>
        <w:tab w:val="center" w:pos="4153"/>
        <w:tab w:val="right" w:pos="8306"/>
      </w:tabs>
      <w:snapToGrid w:val="0"/>
      <w:jc w:val="left"/>
      <w:rPr>
        <w:rFonts w:ascii="Times New Roman" w:hAnsi="Times New Roman" w:eastAsia="宋体" w:cs="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534D">
    <w:pPr>
      <w:pStyle w:val="16"/>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034DE">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61034DE">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EABB">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823F5">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9823F5">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9608">
    <w:pPr>
      <w:pStyle w:val="16"/>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95C6B">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1495C6B">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9DE9">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C519F">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8C519F">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33C9">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41C1">
    <w:pPr>
      <w:pStyle w:val="17"/>
      <w:pBdr>
        <w:bottom w:val="none" w:color="auto" w:sz="0" w:space="1"/>
      </w:pBdr>
    </w:pPr>
    <w:r>
      <w:rPr>
        <w:rFonts w:hint="eastAsia" w:ascii="仿宋" w:hAnsi="仿宋" w:eastAsia="仿宋"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A548">
    <w:pPr>
      <w:pStyle w:val="17"/>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BFA">
    <w:pPr>
      <w:pStyle w:val="1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3"/>
      <w:numFmt w:val="chineseCounting"/>
      <w:suff w:val="space"/>
      <w:lvlText w:val="第%1篇"/>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4F7617D"/>
    <w:multiLevelType w:val="singleLevel"/>
    <w:tmpl w:val="64F7617D"/>
    <w:lvl w:ilvl="0" w:tentative="0">
      <w:start w:val="1"/>
      <w:numFmt w:val="chineseCounting"/>
      <w:suff w:val="nothing"/>
      <w:lvlText w:val="%1、"/>
      <w:lvlJc w:val="left"/>
      <w:rPr>
        <w:rFonts w:hint="eastAsia"/>
      </w:rPr>
    </w:lvl>
  </w:abstractNum>
  <w:abstractNum w:abstractNumId="3">
    <w:nsid w:val="7C4904E9"/>
    <w:multiLevelType w:val="singleLevel"/>
    <w:tmpl w:val="7C4904E9"/>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YjQzNDczN2IxNjYwMmJmMWQyYmJmNDA5OGI0ZDkifQ=="/>
  </w:docVars>
  <w:rsids>
    <w:rsidRoot w:val="00000000"/>
    <w:rsid w:val="00516709"/>
    <w:rsid w:val="00533315"/>
    <w:rsid w:val="02764B21"/>
    <w:rsid w:val="03C760F6"/>
    <w:rsid w:val="041330EA"/>
    <w:rsid w:val="04187F7B"/>
    <w:rsid w:val="04C20DD9"/>
    <w:rsid w:val="05DF682E"/>
    <w:rsid w:val="06442676"/>
    <w:rsid w:val="06943B8E"/>
    <w:rsid w:val="07972AF0"/>
    <w:rsid w:val="09D64820"/>
    <w:rsid w:val="0A664DDC"/>
    <w:rsid w:val="0ABF5962"/>
    <w:rsid w:val="0B881241"/>
    <w:rsid w:val="0D9D443D"/>
    <w:rsid w:val="0E153CA2"/>
    <w:rsid w:val="0E71409B"/>
    <w:rsid w:val="0EE650CC"/>
    <w:rsid w:val="0FB00989"/>
    <w:rsid w:val="10896A30"/>
    <w:rsid w:val="11057A89"/>
    <w:rsid w:val="11807745"/>
    <w:rsid w:val="11D0104E"/>
    <w:rsid w:val="12F85CAD"/>
    <w:rsid w:val="13FD3CDB"/>
    <w:rsid w:val="14221350"/>
    <w:rsid w:val="14955985"/>
    <w:rsid w:val="15073A0B"/>
    <w:rsid w:val="15583D1A"/>
    <w:rsid w:val="1564245B"/>
    <w:rsid w:val="17BD76CF"/>
    <w:rsid w:val="17D46E24"/>
    <w:rsid w:val="1C75498D"/>
    <w:rsid w:val="1C7D00AF"/>
    <w:rsid w:val="1C9E0F27"/>
    <w:rsid w:val="1D245D5D"/>
    <w:rsid w:val="1D3D29E5"/>
    <w:rsid w:val="1D476FF3"/>
    <w:rsid w:val="1DFA2C78"/>
    <w:rsid w:val="1FD20711"/>
    <w:rsid w:val="21D4060F"/>
    <w:rsid w:val="231C6E9D"/>
    <w:rsid w:val="23C206B2"/>
    <w:rsid w:val="23D8675A"/>
    <w:rsid w:val="249547A2"/>
    <w:rsid w:val="24C279DD"/>
    <w:rsid w:val="25BE6063"/>
    <w:rsid w:val="260737D9"/>
    <w:rsid w:val="269609BB"/>
    <w:rsid w:val="26D8566A"/>
    <w:rsid w:val="28272824"/>
    <w:rsid w:val="299E493C"/>
    <w:rsid w:val="2A0D248D"/>
    <w:rsid w:val="2BD30AF4"/>
    <w:rsid w:val="2C572784"/>
    <w:rsid w:val="2C696A69"/>
    <w:rsid w:val="2D55796B"/>
    <w:rsid w:val="2D677713"/>
    <w:rsid w:val="2DD031B3"/>
    <w:rsid w:val="2E175CD9"/>
    <w:rsid w:val="2E48330B"/>
    <w:rsid w:val="2E763835"/>
    <w:rsid w:val="2EAA3011"/>
    <w:rsid w:val="30807BF5"/>
    <w:rsid w:val="30EF0216"/>
    <w:rsid w:val="313528AE"/>
    <w:rsid w:val="338B0EAB"/>
    <w:rsid w:val="34325CB8"/>
    <w:rsid w:val="34FF6A06"/>
    <w:rsid w:val="3542621A"/>
    <w:rsid w:val="35646427"/>
    <w:rsid w:val="375B6B3F"/>
    <w:rsid w:val="37793A1C"/>
    <w:rsid w:val="37E454F1"/>
    <w:rsid w:val="395F6A4C"/>
    <w:rsid w:val="39C678D5"/>
    <w:rsid w:val="3A273D93"/>
    <w:rsid w:val="3AA70688"/>
    <w:rsid w:val="3C8846AD"/>
    <w:rsid w:val="3F595E1B"/>
    <w:rsid w:val="407325E8"/>
    <w:rsid w:val="41B628BF"/>
    <w:rsid w:val="42656669"/>
    <w:rsid w:val="42FE1677"/>
    <w:rsid w:val="44390021"/>
    <w:rsid w:val="445B3680"/>
    <w:rsid w:val="45640F00"/>
    <w:rsid w:val="45F0744B"/>
    <w:rsid w:val="46916C59"/>
    <w:rsid w:val="48C64154"/>
    <w:rsid w:val="492C0488"/>
    <w:rsid w:val="492E00E9"/>
    <w:rsid w:val="49A54C47"/>
    <w:rsid w:val="4ACF36DC"/>
    <w:rsid w:val="4BD25472"/>
    <w:rsid w:val="4D9329DF"/>
    <w:rsid w:val="4E200B89"/>
    <w:rsid w:val="505F1978"/>
    <w:rsid w:val="51112598"/>
    <w:rsid w:val="51583315"/>
    <w:rsid w:val="515B7CB7"/>
    <w:rsid w:val="518058C4"/>
    <w:rsid w:val="51905A61"/>
    <w:rsid w:val="5237684E"/>
    <w:rsid w:val="52EA1BC9"/>
    <w:rsid w:val="5306723E"/>
    <w:rsid w:val="53150E9C"/>
    <w:rsid w:val="54880DC3"/>
    <w:rsid w:val="555330F7"/>
    <w:rsid w:val="5BE54B62"/>
    <w:rsid w:val="5DD1657C"/>
    <w:rsid w:val="5EFB59F3"/>
    <w:rsid w:val="60EC2575"/>
    <w:rsid w:val="61860438"/>
    <w:rsid w:val="61CB6FF3"/>
    <w:rsid w:val="62223352"/>
    <w:rsid w:val="626F4A8D"/>
    <w:rsid w:val="63CE60C7"/>
    <w:rsid w:val="64596731"/>
    <w:rsid w:val="663A3EE7"/>
    <w:rsid w:val="66CF3B3E"/>
    <w:rsid w:val="68091DC3"/>
    <w:rsid w:val="681D3257"/>
    <w:rsid w:val="694C1F68"/>
    <w:rsid w:val="696D5485"/>
    <w:rsid w:val="6BCE4F47"/>
    <w:rsid w:val="6BE369FE"/>
    <w:rsid w:val="6CCB3AEB"/>
    <w:rsid w:val="6D241F9D"/>
    <w:rsid w:val="6D3D2C47"/>
    <w:rsid w:val="6EF206C1"/>
    <w:rsid w:val="6F863714"/>
    <w:rsid w:val="70CE255D"/>
    <w:rsid w:val="71BC6E55"/>
    <w:rsid w:val="72AB6BB1"/>
    <w:rsid w:val="72AE660D"/>
    <w:rsid w:val="749A6D4F"/>
    <w:rsid w:val="760D4BD2"/>
    <w:rsid w:val="76B65452"/>
    <w:rsid w:val="78187E0F"/>
    <w:rsid w:val="7A2A1DA9"/>
    <w:rsid w:val="7AA17C39"/>
    <w:rsid w:val="7C1959F4"/>
    <w:rsid w:val="7D94447A"/>
    <w:rsid w:val="7DE80D01"/>
    <w:rsid w:val="7E2D7213"/>
    <w:rsid w:val="7E396041"/>
    <w:rsid w:val="7E6305E6"/>
    <w:rsid w:val="7E9C5F04"/>
    <w:rsid w:val="7EF41F00"/>
    <w:rsid w:val="7F20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3"/>
    <w:next w:val="1"/>
    <w:unhideWhenUsed/>
    <w:qFormat/>
    <w:uiPriority w:val="0"/>
    <w:pPr>
      <w:keepNext/>
      <w:keepLines/>
      <w:spacing w:before="280" w:after="290" w:line="376" w:lineRule="auto"/>
      <w:outlineLvl w:val="3"/>
    </w:pPr>
    <w:rPr>
      <w:rFonts w:ascii="Cambria" w:hAnsi="Cambria"/>
      <w:sz w:val="28"/>
      <w:szCs w:val="28"/>
    </w:rPr>
  </w:style>
  <w:style w:type="character" w:default="1" w:styleId="25">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99"/>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next w:val="10"/>
    <w:qFormat/>
    <w:uiPriority w:val="0"/>
    <w:rPr>
      <w:rFonts w:ascii="仿宋_GB2312" w:eastAsia="仿宋_GB2312"/>
      <w:sz w:val="32"/>
    </w:rPr>
  </w:style>
  <w:style w:type="paragraph" w:customStyle="1" w:styleId="1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1">
    <w:name w:val="Body Text Indent"/>
    <w:basedOn w:val="1"/>
    <w:qFormat/>
    <w:uiPriority w:val="0"/>
    <w:pPr>
      <w:spacing w:line="700" w:lineRule="exact"/>
      <w:ind w:left="960"/>
    </w:pPr>
    <w:rPr>
      <w:sz w:val="44"/>
    </w:rPr>
  </w:style>
  <w:style w:type="paragraph" w:styleId="1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Balloon Text"/>
    <w:basedOn w:val="1"/>
    <w:link w:val="3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line="180" w:lineRule="auto"/>
      <w:jc w:val="center"/>
    </w:pPr>
    <w:rPr>
      <w:sz w:val="30"/>
    </w:rPr>
  </w:style>
  <w:style w:type="paragraph" w:styleId="19">
    <w:name w:val="List"/>
    <w:basedOn w:val="1"/>
    <w:qFormat/>
    <w:uiPriority w:val="0"/>
    <w:pPr>
      <w:ind w:left="200" w:hanging="200" w:hangingChars="200"/>
    </w:pPr>
  </w:style>
  <w:style w:type="paragraph" w:styleId="20">
    <w:name w:val="table of figures"/>
    <w:basedOn w:val="1"/>
    <w:next w:val="1"/>
    <w:qFormat/>
    <w:uiPriority w:val="0"/>
    <w:pPr>
      <w:tabs>
        <w:tab w:val="right" w:leader="dot" w:pos="8640"/>
      </w:tabs>
      <w:spacing w:line="360" w:lineRule="auto"/>
      <w:ind w:left="400" w:hanging="400"/>
    </w:pPr>
    <w:rPr>
      <w:sz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9"/>
    <w:qFormat/>
    <w:uiPriority w:val="0"/>
    <w:pPr>
      <w:ind w:firstLine="420" w:firstLineChars="100"/>
    </w:pPr>
  </w:style>
  <w:style w:type="table" w:styleId="24">
    <w:name w:val="Table Grid"/>
    <w:basedOn w:val="2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annotation reference"/>
    <w:basedOn w:val="25"/>
    <w:qFormat/>
    <w:uiPriority w:val="0"/>
    <w:rPr>
      <w:sz w:val="21"/>
      <w:szCs w:val="21"/>
    </w:rPr>
  </w:style>
  <w:style w:type="paragraph" w:customStyle="1" w:styleId="2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0">
    <w:name w:val="图例"/>
    <w:basedOn w:val="1"/>
    <w:qFormat/>
    <w:uiPriority w:val="0"/>
    <w:pPr>
      <w:spacing w:before="120" w:after="120" w:line="360" w:lineRule="auto"/>
      <w:jc w:val="center"/>
    </w:pPr>
    <w:rPr>
      <w:rFonts w:eastAsia="仿宋_GB2312"/>
      <w:b/>
      <w:sz w:val="24"/>
    </w:rPr>
  </w:style>
  <w:style w:type="paragraph" w:customStyle="1" w:styleId="31">
    <w:name w:val="电建正文"/>
    <w:basedOn w:val="32"/>
    <w:qFormat/>
    <w:uiPriority w:val="0"/>
    <w:pPr>
      <w:tabs>
        <w:tab w:val="left" w:pos="720"/>
      </w:tabs>
      <w:spacing w:line="360" w:lineRule="auto"/>
      <w:ind w:firstLine="200" w:firstLineChars="200"/>
    </w:pPr>
    <w:rPr>
      <w:rFonts w:ascii="Tahoma" w:hAnsi="Tahoma"/>
      <w:sz w:val="24"/>
    </w:rPr>
  </w:style>
  <w:style w:type="paragraph" w:customStyle="1" w:styleId="32">
    <w:name w:val="List First"/>
    <w:basedOn w:val="19"/>
    <w:next w:val="19"/>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3">
    <w:name w:val="WPSOffice手动目录 1"/>
    <w:qFormat/>
    <w:uiPriority w:val="0"/>
    <w:rPr>
      <w:rFonts w:ascii="Calibri" w:hAnsi="Calibri" w:eastAsia="宋体" w:cs="宋体"/>
      <w:lang w:val="en-US" w:eastAsia="zh-CN" w:bidi="ar-SA"/>
    </w:rPr>
  </w:style>
  <w:style w:type="character" w:customStyle="1" w:styleId="34">
    <w:name w:val="批注框文本 字符"/>
    <w:basedOn w:val="25"/>
    <w:link w:val="15"/>
    <w:qFormat/>
    <w:uiPriority w:val="0"/>
    <w:rPr>
      <w:kern w:val="2"/>
      <w:sz w:val="18"/>
      <w:szCs w:val="18"/>
    </w:rPr>
  </w:style>
  <w:style w:type="paragraph" w:customStyle="1" w:styleId="35">
    <w:name w:val="正文1"/>
    <w:basedOn w:val="1"/>
    <w:next w:val="1"/>
    <w:qFormat/>
    <w:uiPriority w:val="0"/>
    <w:pPr>
      <w:spacing w:line="300" w:lineRule="auto"/>
      <w:ind w:firstLine="200" w:firstLineChars="200"/>
    </w:pPr>
    <w:rPr>
      <w:rFonts w:ascii="Times New Roman" w:hAnsi="Times New Roman" w:eastAsia="宋体" w:cs="Times New Roman"/>
      <w:sz w:val="24"/>
    </w:rPr>
  </w:style>
  <w:style w:type="paragraph" w:customStyle="1" w:styleId="36">
    <w:name w:val="正文 A"/>
    <w:qFormat/>
    <w:uiPriority w:val="0"/>
    <w:pPr>
      <w:widowControl w:val="0"/>
      <w:jc w:val="both"/>
    </w:pPr>
    <w:rPr>
      <w:rFonts w:ascii="Times New Roman" w:hAnsi="Times New Roman" w:eastAsia="Times New Roman" w:cs="Times New Roman"/>
      <w:color w:val="000000"/>
      <w:kern w:val="2"/>
      <w:sz w:val="28"/>
      <w:szCs w:val="28"/>
      <w:u w:val="none" w:color="000000"/>
      <w:lang w:val="en-US" w:eastAsia="zh-CN" w:bidi="ar-SA"/>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
    <w:name w:val="标题 5（有编号）（绿盟科技）"/>
    <w:basedOn w:val="1"/>
    <w:next w:val="37"/>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styleId="39">
    <w:name w:val="List Paragraph"/>
    <w:basedOn w:val="1"/>
    <w:qFormat/>
    <w:uiPriority w:val="99"/>
    <w:pPr>
      <w:ind w:firstLine="420" w:firstLineChars="200"/>
    </w:pPr>
  </w:style>
  <w:style w:type="paragraph" w:customStyle="1" w:styleId="40">
    <w:name w:val="样式 宋体 首行缩进:  2 字符"/>
    <w:basedOn w:val="1"/>
    <w:qFormat/>
    <w:uiPriority w:val="0"/>
    <w:pPr>
      <w:ind w:firstLine="480" w:firstLineChars="200"/>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1189d9f0-7192-4ed6-9742-3ead649da8cb</errorID>
      <errorWord>/）</errorWord>
      <group>L1_Punc</group>
      <groupName>标点问题</groupName>
      <ability>L2_Punc_CN</ability>
      <abilityName/>
      <candidateList>
        <item>）</item>
      </candidateList>
      <explain/>
      <paraID> 7FED865</paraID>
      <start>51</start>
      <end>53</end>
      <status>unmodified</status>
      <modifiedWord/>
      <trackRevisions>false</trackRevisions>
    </reviewItem>
    <reviewItem>
      <errorID>dae211b4-8728-43c9-ad7c-3e9a44164ec5</errorID>
      <errorWord>/）</errorWord>
      <group>L1_Punc</group>
      <groupName>标点问题</groupName>
      <ability>L2_Punc_CN</ability>
      <abilityName/>
      <candidateList>
        <item>）</item>
      </candidateList>
      <explain/>
      <paraID>1F80CB38</paraID>
      <start>55</start>
      <end>57</end>
      <status>unmodified</status>
      <modifiedWord/>
      <trackRevisions>false</trackRevisions>
    </reviewItem>
    <reviewItem>
      <errorID>7cba2cb6-13ea-48f8-8db9-8338d377d1a0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4C734C47</paraID>
      <start>0</start>
      <end>2</end>
      <status>unmodified</status>
      <modifiedWord/>
      <trackRevisions>false</trackRevisions>
    </reviewItem>
    <reviewItem>
      <errorID>de3d848d-3ef9-4d47-8f71-99f7159809bb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7DCB9E6E</paraID>
      <start>0</start>
      <end>2</end>
      <status>unmodified</status>
      <modifiedWord/>
      <trackRevisions>false</trackRevisions>
    </reviewItem>
    <reviewItem>
      <errorID>43421b8e-25da-4fe7-9cf9-2d428b05df53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293AA7CB</paraID>
      <start>0</start>
      <end>2</end>
      <status>unmodified</status>
      <modifiedWord/>
      <trackRevisions>false</trackRevisions>
    </reviewItem>
    <reviewItem>
      <errorID>e2fbacaf-74f1-4ebe-99de-f87a55df902e</errorID>
      <errorWord>(</errorWord>
      <group>L1_Format</group>
      <groupName>格式问题</groupName>
      <ability>L2_HalfPunc_CN</ability>
      <abilityName/>
      <candidateList>
        <item>（</item>
      </candidateList>
      <explain>文本全半角错误。</explain>
      <paraID>7F9A6F4E</paraID>
      <start>33</start>
      <end>34</end>
      <status>unmodified</status>
      <modifiedWord/>
      <trackRevisions>false</trackRevisions>
    </reviewItem>
    <reviewItem>
      <errorID>da44a953-9688-4772-b045-1f56080c7ea4</errorID>
      <errorWord>);</errorWord>
      <group>L1_Format</group>
      <groupName>格式问题</groupName>
      <ability>L2_HalfPunc_CN</ability>
      <abilityName/>
      <candidateList>
        <item>）；</item>
      </candidateList>
      <explain>文本全半角错误。</explain>
      <paraID>7F9A6F4E</paraID>
      <start>72</start>
      <end>74</end>
      <status>unmodified</status>
      <modifiedWord/>
      <trackRevisions>false</trackRevisions>
    </reviewItem>
    <reviewItem>
      <errorID>26162c61-d1d6-494e-9d30-3130393a814c</errorID>
      <errorWord>:</errorWord>
      <group>L1_Format</group>
      <groupName>格式问题</groupName>
      <ability>L2_HalfPunc_CN</ability>
      <abilityName/>
      <candidateList>
        <item>：</item>
      </candidateList>
      <explain>文本全半角错误。</explain>
      <paraID>7F9A6F4E</paraID>
      <start>108</start>
      <end>109</end>
      <status>unmodified</status>
      <modifiedWord/>
      <trackRevisions>false</trackRevisions>
    </reviewItem>
    <reviewItem>
      <errorID>5038e660-f425-49ab-bf2a-20d3133c3acc</errorID>
      <errorWord>其它</errorWord>
      <group>L1_Word</group>
      <groupName>字词问题</groupName>
      <ability>L2_Alias</ability>
      <abilityName>也作/曾用词</abilityName>
      <candidateList>
        <item>其他</item>
      </candidateList>
      <explain>词汇[其它]为不规范表述或旧称，其规范书面表述为[其他]。</explain>
      <paraID>3F35A20D</paraID>
      <start>44</start>
      <end>46</end>
      <status>unmodified</status>
      <modifiedWord/>
      <trackRevisions>false</trackRevisions>
    </reviewItem>
    <reviewItem>
      <errorID>93639f09-00d0-4e06-817a-a802b1172db7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514CD528</paraID>
      <start>0</start>
      <end>2</end>
      <status>unmodified</status>
      <modifiedWord/>
      <trackRevisions>false</trackRevisions>
    </reviewItem>
    <reviewItem>
      <errorID>5bb73520-f20b-431b-90c7-20e73f1d444c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610D5D81</paraID>
      <start>0</start>
      <end>2</end>
      <status>unmodified</status>
      <modifiedWord/>
      <trackRevisions>false</trackRevisions>
    </reviewItem>
    <reviewItem>
      <errorID>dc87d640-d700-4088-97aa-a82a13113caa</errorID>
      <errorWord>)</errorWord>
      <group>L1_Format</group>
      <groupName>格式问题</groupName>
      <ability>L2_HalfPunc_CN</ability>
      <abilityName/>
      <candidateList>
        <item>）</item>
      </candidateList>
      <explain>文本全半角错误。</explain>
      <paraID>7D4A3D41</paraID>
      <start>23</start>
      <end>24</end>
      <status>unmodified</status>
      <modifiedWord/>
      <trackRevisions>false</trackRevisions>
    </reviewItem>
    <reviewItem>
      <errorID>44400927-d43e-45d8-a3f3-1f402ccfe3a8</errorID>
      <errorWord>(</errorWord>
      <group>L1_Format</group>
      <groupName>格式问题</groupName>
      <ability>L2_HalfPunc_CN</ability>
      <abilityName/>
      <candidateList>
        <item>（</item>
      </candidateList>
      <explain>文本全半角错误。</explain>
      <paraID>7D4A3D41</paraID>
      <start>60</start>
      <end>61</end>
      <status>unmodified</status>
      <modifiedWord/>
      <trackRevisions>false</trackRevisions>
    </reviewItem>
    <reviewItem>
      <errorID>cf3f82d2-2482-47c0-a77e-25f7141c71db</errorID>
      <errorWord>)</errorWord>
      <group>L1_Format</group>
      <groupName>格式问题</groupName>
      <ability>L2_HalfPunc_CN</ability>
      <abilityName/>
      <candidateList>
        <item>）</item>
      </candidateList>
      <explain>文本全半角错误。</explain>
      <paraID>7D4A3D41</paraID>
      <start>62</start>
      <end>63</end>
      <status>unmodified</status>
      <modifiedWord/>
      <trackRevisions>false</trackRevisions>
    </reviewItem>
    <reviewItem>
      <errorID>23eca2c2-2aee-49d6-afa6-ffbed83584e9</errorID>
      <errorWord>(</errorWord>
      <group>L1_Format</group>
      <groupName>格式问题</groupName>
      <ability>L2_HalfPunc_CN</ability>
      <abilityName/>
      <candidateList>
        <item>（</item>
      </candidateList>
      <explain>文本全半角错误。</explain>
      <paraID>7D4A3D41</paraID>
      <start>83</start>
      <end>84</end>
      <status>unmodified</status>
      <modifiedWord/>
      <trackRevisions>false</trackRevisions>
    </reviewItem>
    <reviewItem>
      <errorID>c5a9b3ea-4e1d-4e4a-bb17-f58cb56e9749</errorID>
      <errorWord>)</errorWord>
      <group>L1_Format</group>
      <groupName>格式问题</groupName>
      <ability>L2_HalfPunc_CN</ability>
      <abilityName/>
      <candidateList>
        <item>）</item>
      </candidateList>
      <explain>文本全半角错误。</explain>
      <paraID>7D4A3D41</paraID>
      <start>85</start>
      <end>86</end>
      <status>unmodified</status>
      <modifiedWord/>
      <trackRevisions>false</trackRevisions>
    </reviewItem>
    <reviewItem>
      <errorID>cdbcf3ec-fe6f-4d57-b8b0-f13c2664baa7</errorID>
      <errorWord>(</errorWord>
      <group>L1_Format</group>
      <groupName>格式问题</groupName>
      <ability>L2_HalfPunc_CN</ability>
      <abilityName/>
      <candidateList>
        <item>（</item>
      </candidateList>
      <explain>文本全半角错误。</explain>
      <paraID>7D4A3D41</paraID>
      <start>100</start>
      <end>101</end>
      <status>unmodified</status>
      <modifiedWord/>
      <trackRevisions>false</trackRevisions>
    </reviewItem>
    <reviewItem>
      <errorID>a9a4076e-c85a-49f9-ba15-6938f851b29b</errorID>
      <errorWord>)</errorWord>
      <group>L1_Format</group>
      <groupName>格式问题</groupName>
      <ability>L2_HalfPunc_CN</ability>
      <abilityName/>
      <candidateList>
        <item>）</item>
      </candidateList>
      <explain>文本全半角错误。</explain>
      <paraID>7D4A3D41</paraID>
      <start>102</start>
      <end>103</end>
      <status>unmodified</status>
      <modifiedWord/>
      <trackRevisions>false</trackRevisions>
    </reviewItem>
    <reviewItem>
      <errorID>7427e61c-58b6-496e-ab67-c2e91ffa19a4</errorID>
      <errorWord>(</errorWord>
      <group>L1_Format</group>
      <groupName>格式问题</groupName>
      <ability>L2_HalfPunc_CN</ability>
      <abilityName/>
      <candidateList>
        <item>（</item>
      </candidateList>
      <explain>文本全半角错误。</explain>
      <paraID>7D4A3D41</paraID>
      <start>127</start>
      <end>128</end>
      <status>unmodified</status>
      <modifiedWord/>
      <trackRevisions>false</trackRevisions>
    </reviewItem>
    <reviewItem>
      <errorID>84a9cbc4-7af9-4166-a6f0-a75fd33cf4c4</errorID>
      <errorWord>)</errorWord>
      <group>L1_Format</group>
      <groupName>格式问题</groupName>
      <ability>L2_HalfPunc_CN</ability>
      <abilityName/>
      <candidateList>
        <item>）</item>
      </candidateList>
      <explain>文本全半角错误。</explain>
      <paraID>7D4A3D41</paraID>
      <start>129</start>
      <end>130</end>
      <status>unmodified</status>
      <modifiedWord/>
      <trackRevisions>false</trackRevisions>
    </reviewItem>
    <reviewItem>
      <errorID>1c1f56c0-ba87-43dd-a2ea-e0e3fa8deca3</errorID>
      <errorWord>(</errorWord>
      <group>L1_Format</group>
      <groupName>格式问题</groupName>
      <ability>L2_HalfPunc_CN</ability>
      <abilityName/>
      <candidateList>
        <item>（</item>
      </candidateList>
      <explain>文本全半角错误。</explain>
      <paraID>7D4A3D41</paraID>
      <start>149</start>
      <end>150</end>
      <status>unmodified</status>
      <modifiedWord/>
      <trackRevisions>false</trackRevisions>
    </reviewItem>
    <reviewItem>
      <errorID>9d27d828-bbc7-43d1-9d2d-a55b7bbaef21</errorID>
      <errorWord>)</errorWord>
      <group>L1_Format</group>
      <groupName>格式问题</groupName>
      <ability>L2_HalfPunc_CN</ability>
      <abilityName/>
      <candidateList>
        <item>）</item>
      </candidateList>
      <explain>文本全半角错误。</explain>
      <paraID>7D4A3D41</paraID>
      <start>151</start>
      <end>152</end>
      <status>unmodified</status>
      <modifiedWord/>
      <trackRevisions>false</trackRevisions>
    </reviewItem>
    <reviewItem>
      <errorID>3071e20c-5a03-42ea-8fd8-4d9000e3498d</errorID>
      <errorWord>(</errorWord>
      <group>L1_Format</group>
      <groupName>格式问题</groupName>
      <ability>L2_HalfPunc_CN</ability>
      <abilityName/>
      <candidateList>
        <item>（</item>
      </candidateList>
      <explain>文本全半角错误。</explain>
      <paraID>7D4A3D41</paraID>
      <start>166</start>
      <end>167</end>
      <status>unmodified</status>
      <modifiedWord/>
      <trackRevisions>false</trackRevisions>
    </reviewItem>
    <reviewItem>
      <errorID>0dc02b23-d7ba-4612-a7f0-9da984fdd60c</errorID>
      <errorWord>)</errorWord>
      <group>L1_Format</group>
      <groupName>格式问题</groupName>
      <ability>L2_HalfPunc_CN</ability>
      <abilityName/>
      <candidateList>
        <item>）</item>
      </candidateList>
      <explain>文本全半角错误。</explain>
      <paraID>7D4A3D41</paraID>
      <start>168</start>
      <end>169</end>
      <status>unmodified</status>
      <modifiedWord/>
      <trackRevisions>false</trackRevisions>
    </reviewItem>
    <reviewItem>
      <errorID>80ecd778-b438-42f7-840d-eb130ea75230</errorID>
      <errorWord>&lt;</errorWord>
      <group>L1_Format</group>
      <groupName>格式问题</groupName>
      <ability>L2_HalfPunc_CN</ability>
      <abilityName/>
      <candidateList>
        <item>〈</item>
      </candidateList>
      <explain>文本全半角错误。</explain>
      <paraID>7836E1EB</paraID>
      <start>9</start>
      <end>10</end>
      <status>unmodified</status>
      <modifiedWord/>
      <trackRevisions>false</trackRevisions>
    </reviewItem>
    <reviewItem>
      <errorID>6cc069b4-31ca-4231-bf41-f51d0bb76c0f</errorID>
      <errorWord>&gt;；</errorWord>
      <group>L1_Punc</group>
      <groupName>标点问题</groupName>
      <ability>L2_Punc_CN</ability>
      <abilityName/>
      <candidateList>
        <item>&gt;</item>
      </candidateList>
      <explain/>
      <paraID>7836E1EB</paraID>
      <start>28</start>
      <end>30</end>
      <status>unmodified</status>
      <modifiedWord/>
      <trackRevisions>false</trackRevisions>
    </reviewItem>
    <reviewItem>
      <errorID>e2ec9ec2-16a8-4d8d-9238-ab602482d3df</errorID>
      <errorWord>&lt;</errorWord>
      <group>L1_Format</group>
      <groupName>格式问题</groupName>
      <ability>L2_HalfPunc_CN</ability>
      <abilityName/>
      <candidateList>
        <item>〈</item>
      </candidateList>
      <explain>文本全半角错误。</explain>
      <paraID>7088DF99</paraID>
      <start>11</start>
      <end>12</end>
      <status>unmodified</status>
      <modifiedWord/>
      <trackRevisions>false</trackRevisions>
    </reviewItem>
    <reviewItem>
      <errorID>48b1bcc6-00cb-4e49-bd9a-3a40b09e1a78</errorID>
      <errorWord>&gt;；</errorWord>
      <group>L1_Punc</group>
      <groupName>标点问题</groupName>
      <ability>L2_Punc_CN</ability>
      <abilityName/>
      <candidateList>
        <item>&gt;</item>
      </candidateList>
      <explain/>
      <paraID>7088DF99</paraID>
      <start>36</start>
      <end>38</end>
      <status>unmodified</status>
      <modifiedWord/>
      <trackRevisions>false</trackRevisions>
    </reviewItem>
    <reviewItem>
      <errorID>e39c4945-d06f-44e0-a342-4ae33dfd66f1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1A5E8156</paraID>
      <start>0</start>
      <end>2</end>
      <status>unmodified</status>
      <modifiedWord/>
      <trackRevisions>false</trackRevisions>
    </reviewItem>
    <reviewItem>
      <errorID>86c7bd28-efcf-4931-aa73-34385e7a734a</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141FEBBE</paraID>
      <start>5</start>
      <end>16</end>
      <status>unmodified</status>
      <modifiedWord/>
      <trackRevisions>false</trackRevisions>
    </reviewItem>
    <reviewItem>
      <errorID>554b98a3-285f-4885-a1a5-5651b7e4504e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6716DCBB</paraID>
      <start>0</start>
      <end>2</end>
      <status>unmodified</status>
      <modifiedWord/>
      <trackRevisions>false</trackRevisions>
    </reviewItem>
    <reviewItem>
      <errorID>2994f1af-039e-453a-a952-7c8c38f2af21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629B9D77</paraID>
      <start>0</start>
      <end>2</end>
      <status>unmodified</status>
      <modifiedWord/>
      <trackRevisions>false</trackRevisions>
    </reviewItem>
    <reviewItem>
      <errorID>c03212fe-1e54-48a9-bcc1-8ce2b6ac69c7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6F4D8D1</paraID>
      <start>0</start>
      <end>2</end>
      <status>unmodified</status>
      <modifiedWord/>
      <trackRevisions>false</trackRevisions>
    </reviewItem>
    <reviewItem>
      <errorID>dd6aff60-290e-40ad-b69c-66f6350b05a1</errorID>
      <errorWord>其它</errorWord>
      <group>L1_Word</group>
      <groupName>字词问题</groupName>
      <ability>L2_Alias</ability>
      <abilityName>也作/曾用词</abilityName>
      <candidateList>
        <item>其他</item>
      </candidateList>
      <explain>词汇[其它]为不规范表述或旧称，其规范书面表述为[其他]。</explain>
      <paraID>11CA9BA3</paraID>
      <start>75</start>
      <end>77</end>
      <status>unmodified</status>
      <modifiedWord/>
      <trackRevisions>false</trackRevisions>
    </reviewItem>
    <reviewItem>
      <errorID>a9f71c50-827c-4a67-9a67-d48e5245a95e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74146304</paraID>
      <start>0</start>
      <end>2</end>
      <status>unmodified</status>
      <modifiedWord/>
      <trackRevisions>false</trackRevisions>
    </reviewItem>
    <reviewItem>
      <errorID>f4b5f266-f46b-4f41-a96f-7a0a75d4ca57</errorID>
      <errorWord>(</errorWord>
      <group>L1_Format</group>
      <groupName>格式问题</groupName>
      <ability>L2_HalfPunc_CN</ability>
      <abilityName/>
      <candidateList>
        <item>（</item>
      </candidateList>
      <explain>文本全半角错误。</explain>
      <paraID>37569563</paraID>
      <start>29</start>
      <end>30</end>
      <status>unmodified</status>
      <modifiedWord/>
      <trackRevisions>false</trackRevisions>
    </reviewItem>
    <reviewItem>
      <errorID>7c817daf-6e4d-4276-b165-e86300d1e60a</errorID>
      <errorWord>);</errorWord>
      <group>L1_Format</group>
      <groupName>格式问题</groupName>
      <ability>L2_HalfPunc_CN</ability>
      <abilityName/>
      <candidateList>
        <item>）；</item>
      </candidateList>
      <explain>文本全半角错误。</explain>
      <paraID>37569563</paraID>
      <start>68</start>
      <end>70</end>
      <status>unmodified</status>
      <modifiedWord/>
      <trackRevisions>false</trackRevisions>
    </reviewItem>
    <reviewItem>
      <errorID>760bc742-0c97-4d95-8ab3-c15edd906c79</errorID>
      <errorWord>:</errorWord>
      <group>L1_Format</group>
      <groupName>格式问题</groupName>
      <ability>L2_HalfPunc_CN</ability>
      <abilityName/>
      <candidateList>
        <item>：</item>
      </candidateList>
      <explain>文本全半角错误。</explain>
      <paraID>37569563</paraID>
      <start>104</start>
      <end>105</end>
      <status>unmodified</status>
      <modifiedWord/>
      <trackRevisions>false</trackRevisions>
    </reviewItem>
    <reviewItem>
      <errorID>46aa8541-99e9-4a1c-816a-62bbaf6af068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2028892D</paraID>
      <start>0</start>
      <end>2</end>
      <status>unmodified</status>
      <modifiedWord/>
      <trackRevisions>false</trackRevisions>
    </reviewItem>
    <reviewItem>
      <errorID>5f9ad867-d8fa-4aca-99da-dff1c1d84abd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2887D4E</paraID>
      <start>0</start>
      <end>2</end>
      <status>unmodified</status>
      <modifiedWord/>
      <trackRevisions>false</trackRevisions>
    </reviewItem>
    <reviewItem>
      <errorID>cd4d84db-7aea-416d-9e18-0bda7faea04c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7F44ED7E</paraID>
      <start>0</start>
      <end>2</end>
      <status>unmodified</status>
      <modifiedWord/>
      <trackRevisions>false</trackRevisions>
    </reviewItem>
    <reviewItem>
      <errorID>058c493d-8881-4984-9275-574fdd64c6b6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77F6318D</paraID>
      <start>0</start>
      <end>2</end>
      <status>unmodified</status>
      <modifiedWord/>
      <trackRevisions>false</trackRevisions>
    </reviewItem>
    <reviewItem>
      <errorID>25a7542b-4aff-4dc3-954e-a0556862eccc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90E5BFF</paraID>
      <start>0</start>
      <end>2</end>
      <status>unmodified</status>
      <modifiedWord/>
      <trackRevisions>false</trackRevisions>
    </reviewItem>
    <reviewItem>
      <errorID>9dc1ee31-54ca-4c76-b859-8328564aa576</errorID>
      <errorWord>(</errorWord>
      <group>L1_Format</group>
      <groupName>格式问题</groupName>
      <ability>L2_HalfPunc_CN</ability>
      <abilityName/>
      <candidateList>
        <item>（</item>
      </candidateList>
      <explain>文本全半角错误。</explain>
      <paraID>64E5A44C</paraID>
      <start>26</start>
      <end>27</end>
      <status>unmodified</status>
      <modifiedWord/>
      <trackRevisions>false</trackRevisions>
    </reviewItem>
    <reviewItem>
      <errorID>7c96604f-4905-43cc-9358-0760dae3552f</errorID>
      <errorWord>)</errorWord>
      <group>L1_Format</group>
      <groupName>格式问题</groupName>
      <ability>L2_HalfPunc_CN</ability>
      <abilityName/>
      <candidateList>
        <item>）</item>
      </candidateList>
      <explain>文本全半角错误。</explain>
      <paraID>64E5A44C</paraID>
      <start>30</start>
      <end>31</end>
      <status>unmodified</status>
      <modifiedWord/>
      <trackRevisions>false</trackRevisions>
    </reviewItem>
    <reviewItem>
      <errorID>30979a48-b5d0-48c1-b71a-ef569ebf937f</errorID>
      <errorWord>:</errorWord>
      <group>L1_Format</group>
      <groupName>格式问题</groupName>
      <ability>L2_HalfPunc_CN</ability>
      <abilityName/>
      <candidateList>
        <item>：</item>
      </candidateList>
      <explain>文本全半角错误。</explain>
      <paraID>65E03CB2</paraID>
      <start>62</start>
      <end>63</end>
      <status>unmodified</status>
      <modifiedWord/>
      <trackRevisions>false</trackRevisions>
    </reviewItem>
    <reviewItem>
      <errorID>1af71ac9-9166-417e-824d-f8897ee40a68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2554C35B</paraID>
      <start>57</start>
      <end>59</end>
      <status>unmodified</status>
      <modifiedWord/>
      <trackRevisions>false</trackRevisions>
    </reviewItem>
    <reviewItem>
      <errorID>b044f687-7add-4d82-b7f4-0a036ff4a8bf</errorID>
      <errorWord>:</errorWord>
      <group>L1_Format</group>
      <groupName>格式问题</groupName>
      <ability>L2_HalfPunc_CN</ability>
      <abilityName/>
      <candidateList>
        <item>：</item>
      </candidateList>
      <explain>文本全半角错误。</explain>
      <paraID>35ADB50D</paraID>
      <start>32</start>
      <end>33</end>
      <status>unmodified</status>
      <modifiedWord/>
      <trackRevisions>false</trackRevisions>
    </reviewItem>
    <reviewItem>
      <errorID>fc156eee-b256-4c6f-bc1a-333dedb0fbba</errorID>
      <errorWord>(</errorWord>
      <group>L1_Format</group>
      <groupName>格式问题</groupName>
      <ability>L2_HalfPunc_CN</ability>
      <abilityName/>
      <candidateList>
        <item>（</item>
      </candidateList>
      <explain>文本全半角错误。</explain>
      <paraID>2A364CA2</paraID>
      <start>36</start>
      <end>37</end>
      <status>unmodified</status>
      <modifiedWord/>
      <trackRevisions>false</trackRevisions>
    </reviewItem>
    <reviewItem>
      <errorID>d5f1d0e2-7b43-42ac-87d8-87de4ce03a22</errorID>
      <errorWord>)</errorWord>
      <group>L1_Format</group>
      <groupName>格式问题</groupName>
      <ability>L2_HalfPunc_CN</ability>
      <abilityName/>
      <candidateList>
        <item>）</item>
      </candidateList>
      <explain>文本全半角错误。</explain>
      <paraID>2A364CA2</paraID>
      <start>58</start>
      <end>59</end>
      <status>unmodified</status>
      <modifiedWord/>
      <trackRevisions>false</trackRevisions>
    </reviewItem>
    <reviewItem>
      <errorID>513ac7c9-91a6-4c25-9677-cf7d83f172ed</errorID>
      <errorWord>(</errorWord>
      <group>L1_Format</group>
      <groupName>格式问题</groupName>
      <ability>L2_HalfPunc_CN</ability>
      <abilityName/>
      <candidateList>
        <item>（</item>
      </candidateList>
      <explain>文本全半角错误。</explain>
      <paraID>15DAB332</paraID>
      <start>31</start>
      <end>32</end>
      <status>unmodified</status>
      <modifiedWord/>
      <trackRevisions>false</trackRevisions>
    </reviewItem>
    <reviewItem>
      <errorID>8254fa11-dad5-4e1e-afd5-aaac5599a0ed</errorID>
      <errorWord>)</errorWord>
      <group>L1_Format</group>
      <groupName>格式问题</groupName>
      <ability>L2_HalfPunc_CN</ability>
      <abilityName/>
      <candidateList>
        <item>）</item>
      </candidateList>
      <explain>文本全半角错误。</explain>
      <paraID>15DAB332</paraID>
      <start>40</start>
      <end>41</end>
      <status>unmodified</status>
      <modifiedWord/>
      <trackRevisions>false</trackRevisions>
    </reviewItem>
    <reviewItem>
      <errorID>44c58b9c-7f55-436d-b78f-9803a39039d3</errorID>
      <errorWord>(</errorWord>
      <group>L1_Format</group>
      <groupName>格式问题</groupName>
      <ability>L2_HalfPunc_CN</ability>
      <abilityName/>
      <candidateList>
        <item>（</item>
      </candidateList>
      <explain>文本全半角错误。</explain>
      <paraID>15DAB332</paraID>
      <start>52</start>
      <end>53</end>
      <status>unmodified</status>
      <modifiedWord/>
      <trackRevisions>false</trackRevisions>
    </reviewItem>
    <reviewItem>
      <errorID>5d5b792d-4a80-4e6d-b2e4-1d44ea8bb19a</errorID>
      <errorWord>)</errorWord>
      <group>L1_Format</group>
      <groupName>格式问题</groupName>
      <ability>L2_HalfPunc_CN</ability>
      <abilityName/>
      <candidateList>
        <item>）</item>
      </candidateList>
      <explain>文本全半角错误。</explain>
      <paraID>15DAB332</paraID>
      <start>66</start>
      <end>67</end>
      <status>unmodified</status>
      <modifiedWord/>
      <trackRevisions>false</trackRevisions>
    </reviewItem>
    <reviewItem>
      <errorID>c31e6728-8db5-4a6a-b4fd-04e48718f179</errorID>
      <errorWord>(</errorWord>
      <group>L1_Format</group>
      <groupName>格式问题</groupName>
      <ability>L2_HalfPunc_CN</ability>
      <abilityName/>
      <candidateList>
        <item>（</item>
      </candidateList>
      <explain>文本全半角错误。</explain>
      <paraID>4D689C6A</paraID>
      <start>33</start>
      <end>34</end>
      <status>unmodified</status>
      <modifiedWord/>
      <trackRevisions>false</trackRevisions>
    </reviewItem>
    <reviewItem>
      <errorID>3c0ecb72-02ae-46d1-9a25-6e95adabded3</errorID>
      <errorWord>)</errorWord>
      <group>L1_Format</group>
      <groupName>格式问题</groupName>
      <ability>L2_HalfPunc_CN</ability>
      <abilityName/>
      <candidateList>
        <item>）</item>
      </candidateList>
      <explain>文本全半角错误。</explain>
      <paraID>4D689C6A</paraID>
      <start>47</start>
      <end>48</end>
      <status>unmodified</status>
      <modifiedWord/>
      <trackRevisions>false</trackRevisions>
    </reviewItem>
    <reviewItem>
      <errorID>5d9dc61a-773b-429a-9498-29c8204f1a54</errorID>
      <errorWord>:</errorWord>
      <group>L1_Format</group>
      <groupName>格式问题</groupName>
      <ability>L2_HalfPunc_CN</ability>
      <abilityName/>
      <candidateList>
        <item>：</item>
      </candidateList>
      <explain>文本全半角错误。</explain>
      <paraID>7D55337F</paraID>
      <start>30</start>
      <end>31</end>
      <status>unmodified</status>
      <modifiedWord/>
      <trackRevisions>false</trackRevisions>
    </reviewItem>
    <reviewItem>
      <errorID>81c18ce1-bbc1-4113-a410-b033b8c597ef</errorID>
      <errorWord>.</errorWord>
      <group>L1_Format</group>
      <groupName>格式问题</groupName>
      <ability>L2_HalfPunc_CN</ability>
      <abilityName/>
      <candidateList>
        <item>。</item>
      </candidateList>
      <explain>文本全半角错误。</explain>
      <paraID>7B353B20</paraID>
      <start>9</start>
      <end>10</end>
      <status>unmodified</status>
      <modifiedWord/>
      <trackRevisions>false</trackRevisions>
    </reviewItem>
    <reviewItem>
      <errorID>77ad9c74-fb79-4253-b227-0f256f1df40e</errorID>
      <errorWord>:</errorWord>
      <group>L1_Format</group>
      <groupName>格式问题</groupName>
      <ability>L2_HalfPunc_CN</ability>
      <abilityName/>
      <candidateList>
        <item>：</item>
      </candidateList>
      <explain>文本全半角错误。</explain>
      <paraID>56F4D1A5</paraID>
      <start>85</start>
      <end>86</end>
      <status>unmodified</status>
      <modifiedWord/>
      <trackRevisions>false</trackRevisions>
    </reviewItem>
    <reviewItem>
      <errorID>7f123770-d3cf-4939-839b-84f13309ec43</errorID>
      <errorWord>(</errorWord>
      <group>L1_Format</group>
      <groupName>格式问题</groupName>
      <ability>L2_HalfPunc_CN</ability>
      <abilityName/>
      <candidateList>
        <item>（</item>
      </candidateList>
      <explain>文本全半角错误。</explain>
      <paraID>6F3E8D6B</paraID>
      <start>22</start>
      <end>23</end>
      <status>unmodified</status>
      <modifiedWord/>
      <trackRevisions>false</trackRevisions>
    </reviewItem>
    <reviewItem>
      <errorID>a191aa14-9135-4362-9cbc-5a32e9efbe79</errorID>
      <errorWord>)</errorWord>
      <group>L1_Format</group>
      <groupName>格式问题</groupName>
      <ability>L2_HalfPunc_CN</ability>
      <abilityName/>
      <candidateList>
        <item>）</item>
      </candidateList>
      <explain>文本全半角错误。</explain>
      <paraID>6F3E8D6B</paraID>
      <start>26</start>
      <end>27</end>
      <status>unmodified</status>
      <modifiedWord/>
      <trackRevisions>false</trackRevisions>
    </reviewItem>
    <reviewItem>
      <errorID>13ca6de5-129b-4cac-a9e4-dfe9548b2527</errorID>
      <errorWord>提高</errorWord>
      <group>L1_Grammar</group>
      <groupName>语法问题</groupName>
      <ability>L2_Grammar</ability>
      <abilityName>语法错误</abilityName>
      <candidateList>
        <item>增强</item>
      </candidateList>
      <explain>“提高～意识”搭配不当，建议修改为“增强～意识”。</explain>
      <paraID>5A7B4489</paraID>
      <start>32</start>
      <end>34</end>
      <status>unmodified</status>
      <modifiedWord/>
      <trackRevisions>false</trackRevisions>
    </reviewItem>
    <reviewItem>
      <errorID>0e1336f5-a97e-4393-810c-d53c14e44ac4</errorID>
      <errorWord>噪音</errorWord>
      <group>L1_Word</group>
      <groupName>字词问题</groupName>
      <ability>L2_Alias</ability>
      <abilityName>也作/曾用词</abilityName>
      <candidateList>
        <item>噪声</item>
      </candidateList>
      <explain>词汇[噪音]为不规范表述或旧称，其规范书面表述为[噪声]。</explain>
      <paraID>539F44DF</paraID>
      <start>53</start>
      <end>55</end>
      <status>unmodified</status>
      <modifiedWord/>
      <trackRevisions>false</trackRevisions>
    </reviewItem>
    <reviewItem>
      <errorID>ea55407c-5632-43c4-9b34-15b602588cf2</errorID>
      <errorWord>人民法院提出诉讼</errorWord>
      <group>L1_Word</group>
      <groupName>字词问题</groupName>
      <ability>L2_Typo</ability>
      <abilityName>字词错误</abilityName>
      <candidateList>
        <item>人民法院提起诉讼</item>
      </candidateList>
      <explain/>
      <paraID>5B96BE8F</paraID>
      <start>40</start>
      <end>48</end>
      <status>unmodified</status>
      <modifiedWord/>
      <trackRevisions>false</trackRevisions>
    </reviewItem>
    <reviewItem>
      <errorID>5e844bb0-ed58-462e-822f-dd0634fdaac4</errorID>
      <errorWord>其它</errorWord>
      <group>L1_Word</group>
      <groupName>字词问题</groupName>
      <ability>L2_Alias</ability>
      <abilityName>也作/曾用词</abilityName>
      <candidateList>
        <item>其他</item>
      </candidateList>
      <explain>词汇[其它]为不规范表述或旧称，其规范书面表述为[其他]。</explain>
      <paraID>238E3D42</paraID>
      <start>3</start>
      <end>5</end>
      <status>unmodified</status>
      <modifiedWord/>
      <trackRevisions>false</trackRevisions>
    </reviewItem>
    <reviewItem>
      <errorID>6e213495-d041-47e8-9bab-abb250a8c07b</errorID>
      <errorWord>其它</errorWord>
      <group>L1_Word</group>
      <groupName>字词问题</groupName>
      <ability>L2_Alias</ability>
      <abilityName>也作/曾用词</abilityName>
      <candidateList>
        <item>其他</item>
      </candidateList>
      <explain>词汇[其它]为不规范表述或旧称，其规范书面表述为[其他]。</explain>
      <paraID>19FA16F6</paraID>
      <start>27</start>
      <end>29</end>
      <status>unmodified</status>
      <modifiedWord/>
      <trackRevisions>false</trackRevisions>
    </reviewItem>
    <reviewItem>
      <errorID>c5d190f9-b456-45ad-8885-982b7df63e51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21675E11</paraID>
      <start>47</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5d199-f1e9-418b-ad68-5e881082df87}">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19439</Words>
  <Characters>20109</Characters>
  <Paragraphs>1129</Paragraphs>
  <TotalTime>14</TotalTime>
  <ScaleCrop>false</ScaleCrop>
  <LinksUpToDate>false</LinksUpToDate>
  <CharactersWithSpaces>21442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张庆</cp:lastModifiedBy>
  <dcterms:modified xsi:type="dcterms:W3CDTF">2026-05-26T06:21:52Z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F949E0C907344D76BAEACAA64CC20E0A_13</vt:lpwstr>
  </property>
  <property fmtid="{D5CDD505-2E9C-101B-9397-08002B2CF9AE}" pid="4" name="KSOTemplateDocerSaveRecord">
    <vt:lpwstr>eyJoZGlkIjoiMmE4ODQxMmEzYjEyM2YwZDRiZWI3YTc3YmY5ZDBjMDUiLCJ1c2VySWQiOiI1MzY1NTc4MjkifQ==</vt:lpwstr>
  </property>
</Properties>
</file>