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6009">
      <w:pPr>
        <w:spacing w:line="360" w:lineRule="auto"/>
        <w:jc w:val="center"/>
        <w:rPr>
          <w:rFonts w:hint="eastAsia" w:ascii="宋体" w:hAnsi="宋体" w:eastAsia="宋体" w:cs="宋体"/>
          <w:b/>
          <w:sz w:val="36"/>
          <w:szCs w:val="30"/>
        </w:rPr>
      </w:pPr>
      <w:r>
        <w:rPr>
          <w:rFonts w:hint="eastAsia" w:ascii="宋体" w:hAnsi="宋体" w:eastAsia="宋体" w:cs="宋体"/>
          <w:b/>
          <w:sz w:val="36"/>
          <w:szCs w:val="30"/>
        </w:rPr>
        <w:t>重庆医科大学采购双温四门冰柜网上询价公告</w:t>
      </w:r>
    </w:p>
    <w:p w14:paraId="10901AA6">
      <w:pPr>
        <w:outlineLvl w:val="1"/>
        <w:rPr>
          <w:rFonts w:hint="eastAsia" w:ascii="宋体" w:hAnsi="宋体" w:cs="宋体"/>
          <w:b/>
          <w:snapToGrid w:val="0"/>
          <w:kern w:val="0"/>
          <w:sz w:val="28"/>
          <w:szCs w:val="28"/>
        </w:rPr>
      </w:pPr>
      <w:r>
        <w:rPr>
          <w:rFonts w:hint="eastAsia" w:ascii="宋体" w:hAnsi="宋体" w:cs="宋体"/>
          <w:b/>
          <w:snapToGrid w:val="0"/>
          <w:kern w:val="0"/>
          <w:sz w:val="28"/>
          <w:szCs w:val="28"/>
        </w:rPr>
        <w:t>一、项目说明</w:t>
      </w:r>
    </w:p>
    <w:p w14:paraId="42B88652">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（一）本项目为非政府采购项目，不适用《中华人民共和国政府采购法》及其实施条例的有关规定。</w:t>
      </w:r>
    </w:p>
    <w:p w14:paraId="4854C574">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二）本项目根据《重庆医科大学采购管理办法》，参照政府采购的网上询价方式进行采购，在遵守公开、公平、公正、高效廉洁的原则下，以保障本单位科研及教学高质量为前提，合理设置采购需求，自行组织实施采购，并做好预算、合同、资产、收支等内控管理工作。 </w:t>
      </w:r>
    </w:p>
    <w:p w14:paraId="143BBDE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（三）本项目要求供应商提供</w:t>
      </w:r>
      <w:r>
        <w:rPr>
          <w:rFonts w:hint="eastAsia" w:ascii="宋体" w:hAnsi="宋体"/>
          <w:color w:val="000000"/>
          <w:sz w:val="24"/>
          <w:szCs w:val="24"/>
          <w:lang w:val="en-US" w:eastAsia="zh-CN"/>
        </w:rPr>
        <w:t>货物</w:t>
      </w:r>
      <w:r>
        <w:rPr>
          <w:rFonts w:hint="eastAsia" w:ascii="宋体" w:hAnsi="宋体"/>
          <w:color w:val="000000"/>
          <w:sz w:val="24"/>
          <w:szCs w:val="24"/>
        </w:rPr>
        <w:t>必须满足所有参数及要求,欢迎有符合要求的供应商参与投标。</w:t>
      </w:r>
    </w:p>
    <w:p w14:paraId="7865E054">
      <w:pPr>
        <w:spacing w:line="44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（四）投标供应商一旦参与报价，则视为完全响应询价文件所有要求。</w:t>
      </w:r>
    </w:p>
    <w:p w14:paraId="2231CE80">
      <w:pPr>
        <w:spacing w:line="440" w:lineRule="exact"/>
        <w:ind w:firstLine="482" w:firstLineChars="200"/>
        <w:rPr>
          <w:rFonts w:hint="eastAsia" w:ascii="宋体" w:hAnsi="宋体"/>
          <w:b/>
          <w:bCs/>
          <w:color w:val="000000"/>
          <w:sz w:val="24"/>
          <w:szCs w:val="24"/>
        </w:rPr>
      </w:pPr>
    </w:p>
    <w:p w14:paraId="1EE728BB">
      <w:pPr>
        <w:pStyle w:val="10"/>
        <w:spacing w:line="440" w:lineRule="exact"/>
        <w:outlineLvl w:val="1"/>
        <w:rPr>
          <w:rFonts w:hint="eastAsia" w:hAnsi="宋体"/>
          <w:color w:val="000000"/>
          <w:sz w:val="24"/>
          <w:szCs w:val="24"/>
        </w:rPr>
      </w:pPr>
      <w:r>
        <w:rPr>
          <w:rFonts w:hint="eastAsia" w:hAnsi="宋体" w:eastAsia="宋体" w:cs="宋体"/>
          <w:b/>
          <w:snapToGrid w:val="0"/>
          <w:kern w:val="0"/>
          <w:sz w:val="28"/>
          <w:szCs w:val="28"/>
        </w:rPr>
        <w:t>二、技术要求</w:t>
      </w:r>
    </w:p>
    <w:p w14:paraId="5FF4F988">
      <w:pPr>
        <w:pStyle w:val="10"/>
        <w:spacing w:line="440" w:lineRule="exact"/>
        <w:outlineLvl w:val="1"/>
        <w:rPr>
          <w:rFonts w:hint="eastAsia" w:hAnsi="宋体"/>
          <w:color w:val="000000"/>
          <w:sz w:val="24"/>
          <w:szCs w:val="24"/>
        </w:rPr>
      </w:pPr>
      <w:r>
        <w:rPr>
          <w:rFonts w:hint="eastAsia" w:hAnsi="宋体"/>
          <w:color w:val="000000"/>
          <w:sz w:val="24"/>
          <w:szCs w:val="24"/>
        </w:rPr>
        <w:t>（一）项目一览表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360"/>
        <w:gridCol w:w="1312"/>
        <w:gridCol w:w="2134"/>
        <w:gridCol w:w="2108"/>
      </w:tblGrid>
      <w:tr w14:paraId="5B81D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4" w:type="pct"/>
            <w:tcBorders>
              <w:tl2br w:val="nil"/>
              <w:tr2bl w:val="nil"/>
            </w:tcBorders>
            <w:shd w:val="clear" w:color="auto" w:fill="auto"/>
            <w:vAlign w:val="center"/>
          </w:tcPr>
          <w:p w14:paraId="2B0A57AA">
            <w:pPr>
              <w:widowControl/>
              <w:spacing w:line="276" w:lineRule="auto"/>
              <w:jc w:val="center"/>
              <w:rPr>
                <w:rFonts w:ascii="宋体" w:hAnsi="宋体" w:eastAsia="宋体" w:cs="宋体"/>
                <w:b/>
                <w:bCs/>
                <w:sz w:val="24"/>
                <w:szCs w:val="24"/>
              </w:rPr>
            </w:pPr>
            <w:r>
              <w:rPr>
                <w:rFonts w:hint="eastAsia" w:ascii="宋体" w:hAnsi="宋体" w:eastAsia="宋体" w:cs="宋体"/>
                <w:b/>
                <w:bCs/>
                <w:sz w:val="24"/>
                <w:szCs w:val="24"/>
              </w:rPr>
              <w:t>序 号</w:t>
            </w:r>
          </w:p>
        </w:tc>
        <w:tc>
          <w:tcPr>
            <w:tcW w:w="1286" w:type="pct"/>
            <w:tcBorders>
              <w:tl2br w:val="nil"/>
              <w:tr2bl w:val="nil"/>
            </w:tcBorders>
            <w:shd w:val="clear" w:color="auto" w:fill="auto"/>
            <w:vAlign w:val="center"/>
          </w:tcPr>
          <w:p w14:paraId="27495A94">
            <w:pPr>
              <w:widowControl/>
              <w:spacing w:line="276" w:lineRule="auto"/>
              <w:jc w:val="center"/>
              <w:rPr>
                <w:rFonts w:ascii="宋体" w:hAnsi="宋体" w:eastAsia="宋体" w:cs="宋体"/>
                <w:b/>
                <w:bCs/>
                <w:sz w:val="24"/>
                <w:szCs w:val="24"/>
              </w:rPr>
            </w:pPr>
            <w:r>
              <w:rPr>
                <w:rFonts w:hint="eastAsia" w:ascii="宋体" w:hAnsi="宋体" w:eastAsia="宋体" w:cs="宋体"/>
                <w:b/>
                <w:bCs/>
                <w:sz w:val="24"/>
                <w:szCs w:val="24"/>
                <w:lang w:eastAsia="zh-CN"/>
              </w:rPr>
              <w:t>标的</w:t>
            </w:r>
            <w:r>
              <w:rPr>
                <w:rFonts w:hint="eastAsia" w:ascii="宋体" w:hAnsi="宋体" w:eastAsia="宋体" w:cs="宋体"/>
                <w:b/>
                <w:bCs/>
                <w:sz w:val="24"/>
                <w:szCs w:val="24"/>
              </w:rPr>
              <w:t>名称</w:t>
            </w:r>
          </w:p>
        </w:tc>
        <w:tc>
          <w:tcPr>
            <w:tcW w:w="715" w:type="pct"/>
            <w:tcBorders>
              <w:tl2br w:val="nil"/>
              <w:tr2bl w:val="nil"/>
            </w:tcBorders>
            <w:shd w:val="clear" w:color="auto" w:fill="auto"/>
            <w:vAlign w:val="center"/>
          </w:tcPr>
          <w:p w14:paraId="77666BAC">
            <w:pPr>
              <w:widowControl/>
              <w:spacing w:line="276" w:lineRule="auto"/>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163" w:type="pct"/>
            <w:tcBorders>
              <w:tl2br w:val="nil"/>
              <w:tr2bl w:val="nil"/>
            </w:tcBorders>
            <w:shd w:val="clear" w:color="auto" w:fill="auto"/>
            <w:vAlign w:val="center"/>
          </w:tcPr>
          <w:p w14:paraId="4806AC52">
            <w:pPr>
              <w:widowControl/>
              <w:spacing w:line="276" w:lineRule="auto"/>
              <w:jc w:val="center"/>
              <w:rPr>
                <w:rFonts w:ascii="宋体" w:hAnsi="宋体" w:eastAsia="宋体" w:cs="宋体"/>
                <w:b/>
                <w:bCs/>
                <w:sz w:val="24"/>
                <w:szCs w:val="24"/>
              </w:rPr>
            </w:pPr>
            <w:r>
              <w:rPr>
                <w:rFonts w:hint="eastAsia" w:ascii="宋体" w:hAnsi="宋体" w:eastAsia="宋体" w:cs="宋体"/>
                <w:b/>
                <w:bCs/>
                <w:sz w:val="24"/>
                <w:szCs w:val="24"/>
              </w:rPr>
              <w:t>总</w:t>
            </w:r>
            <w:r>
              <w:rPr>
                <w:rFonts w:hint="eastAsia" w:ascii="宋体" w:hAnsi="宋体" w:eastAsia="宋体" w:cs="宋体"/>
                <w:b/>
                <w:bCs/>
                <w:sz w:val="24"/>
                <w:szCs w:val="24"/>
                <w:lang w:eastAsia="zh-CN"/>
              </w:rPr>
              <w:t>限</w:t>
            </w:r>
            <w:r>
              <w:rPr>
                <w:rFonts w:hint="eastAsia" w:ascii="宋体" w:hAnsi="宋体" w:eastAsia="宋体" w:cs="宋体"/>
                <w:b/>
                <w:bCs/>
                <w:sz w:val="24"/>
                <w:szCs w:val="24"/>
              </w:rPr>
              <w:t>价（元）</w:t>
            </w:r>
          </w:p>
        </w:tc>
        <w:tc>
          <w:tcPr>
            <w:tcW w:w="1149" w:type="pct"/>
            <w:tcBorders>
              <w:tl2br w:val="nil"/>
              <w:tr2bl w:val="nil"/>
            </w:tcBorders>
            <w:shd w:val="clear" w:color="auto" w:fill="auto"/>
            <w:vAlign w:val="center"/>
          </w:tcPr>
          <w:p w14:paraId="5C708564">
            <w:pPr>
              <w:widowControl/>
              <w:spacing w:line="276"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成交供应商</w:t>
            </w:r>
          </w:p>
        </w:tc>
      </w:tr>
      <w:tr w14:paraId="6CF20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84" w:type="pct"/>
            <w:tcBorders>
              <w:tl2br w:val="nil"/>
              <w:tr2bl w:val="nil"/>
            </w:tcBorders>
            <w:shd w:val="clear" w:color="auto" w:fill="auto"/>
            <w:vAlign w:val="center"/>
          </w:tcPr>
          <w:p w14:paraId="3053C8C0">
            <w:pPr>
              <w:widowControl/>
              <w:spacing w:line="276" w:lineRule="auto"/>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286" w:type="pct"/>
            <w:tcBorders>
              <w:tl2br w:val="nil"/>
              <w:tr2bl w:val="nil"/>
            </w:tcBorders>
            <w:shd w:val="clear" w:color="auto" w:fill="auto"/>
            <w:vAlign w:val="center"/>
          </w:tcPr>
          <w:p w14:paraId="1FBA665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双温四门冰柜</w:t>
            </w:r>
          </w:p>
        </w:tc>
        <w:tc>
          <w:tcPr>
            <w:tcW w:w="715" w:type="pct"/>
            <w:tcBorders>
              <w:tl2br w:val="nil"/>
              <w:tr2bl w:val="nil"/>
            </w:tcBorders>
            <w:shd w:val="clear" w:color="auto" w:fill="auto"/>
            <w:noWrap/>
            <w:vAlign w:val="center"/>
          </w:tcPr>
          <w:p w14:paraId="3F9887AA">
            <w:pPr>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7台</w:t>
            </w:r>
          </w:p>
        </w:tc>
        <w:tc>
          <w:tcPr>
            <w:tcW w:w="1163" w:type="pct"/>
            <w:tcBorders>
              <w:tl2br w:val="nil"/>
              <w:tr2bl w:val="nil"/>
            </w:tcBorders>
            <w:shd w:val="clear" w:color="auto" w:fill="auto"/>
            <w:noWrap/>
            <w:vAlign w:val="center"/>
          </w:tcPr>
          <w:p w14:paraId="5C6EFB9D">
            <w:pPr>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50000 </w:t>
            </w:r>
          </w:p>
        </w:tc>
        <w:tc>
          <w:tcPr>
            <w:tcW w:w="1149" w:type="pct"/>
            <w:tcBorders>
              <w:tl2br w:val="nil"/>
              <w:tr2bl w:val="nil"/>
            </w:tcBorders>
            <w:shd w:val="clear" w:color="auto" w:fill="auto"/>
            <w:noWrap/>
            <w:vAlign w:val="center"/>
          </w:tcPr>
          <w:p w14:paraId="40C47089">
            <w:pPr>
              <w:snapToGrid w:val="0"/>
              <w:contextualSpacing/>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r>
    </w:tbl>
    <w:p w14:paraId="6950D0F6">
      <w:pPr>
        <w:pStyle w:val="10"/>
        <w:spacing w:line="440" w:lineRule="exact"/>
        <w:outlineLvl w:val="1"/>
        <w:rPr>
          <w:rFonts w:hint="eastAsia" w:hAnsi="宋体" w:eastAsia="宋体" w:cs="宋体"/>
          <w:b/>
          <w:snapToGrid w:val="0"/>
          <w:kern w:val="0"/>
          <w:sz w:val="28"/>
          <w:szCs w:val="28"/>
        </w:rPr>
      </w:pPr>
      <w:r>
        <w:rPr>
          <w:rFonts w:hint="eastAsia" w:hAnsi="宋体"/>
          <w:color w:val="000000"/>
          <w:sz w:val="24"/>
          <w:szCs w:val="24"/>
          <w:lang w:eastAsia="zh-CN"/>
        </w:rPr>
        <w:t>（二）</w:t>
      </w:r>
      <w:r>
        <w:rPr>
          <w:rFonts w:hint="eastAsia" w:hAnsi="宋体"/>
          <w:color w:val="000000"/>
          <w:sz w:val="24"/>
          <w:szCs w:val="24"/>
        </w:rPr>
        <w:t>具体技术参数要求</w:t>
      </w:r>
    </w:p>
    <w:tbl>
      <w:tblPr>
        <w:tblStyle w:val="19"/>
        <w:tblW w:w="49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93"/>
        <w:gridCol w:w="5929"/>
      </w:tblGrid>
      <w:tr w14:paraId="1F32A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1" w:type="pct"/>
            <w:tcBorders>
              <w:tl2br w:val="nil"/>
              <w:tr2bl w:val="nil"/>
            </w:tcBorders>
            <w:shd w:val="clear" w:color="auto" w:fill="auto"/>
            <w:vAlign w:val="center"/>
          </w:tcPr>
          <w:p w14:paraId="16E2404C">
            <w:pPr>
              <w:widowControl/>
              <w:spacing w:line="276"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标的</w:t>
            </w:r>
          </w:p>
          <w:p w14:paraId="31EEE37D">
            <w:pPr>
              <w:widowControl/>
              <w:spacing w:line="276" w:lineRule="auto"/>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991" w:type="pct"/>
            <w:tcBorders>
              <w:tl2br w:val="nil"/>
              <w:tr2bl w:val="nil"/>
            </w:tcBorders>
            <w:shd w:val="clear" w:color="auto" w:fill="auto"/>
            <w:vAlign w:val="center"/>
          </w:tcPr>
          <w:p w14:paraId="235B516B">
            <w:pPr>
              <w:widowControl/>
              <w:spacing w:line="276"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规格（</w:t>
            </w:r>
            <w:r>
              <w:rPr>
                <w:rFonts w:hint="eastAsia" w:ascii="宋体" w:hAnsi="宋体" w:eastAsia="宋体" w:cs="宋体"/>
                <w:b/>
                <w:bCs/>
                <w:sz w:val="24"/>
                <w:szCs w:val="24"/>
                <w:lang w:val="en-US" w:eastAsia="zh-CN"/>
              </w:rPr>
              <w:t>W*D*H</w:t>
            </w:r>
            <w:r>
              <w:rPr>
                <w:rFonts w:hint="eastAsia" w:ascii="宋体" w:hAnsi="宋体" w:eastAsia="宋体" w:cs="宋体"/>
                <w:b/>
                <w:bCs/>
                <w:sz w:val="24"/>
                <w:szCs w:val="24"/>
                <w:lang w:eastAsia="zh-CN"/>
              </w:rPr>
              <w:t>）</w:t>
            </w:r>
          </w:p>
        </w:tc>
        <w:tc>
          <w:tcPr>
            <w:tcW w:w="3277" w:type="pct"/>
            <w:tcBorders>
              <w:tl2br w:val="nil"/>
              <w:tr2bl w:val="nil"/>
            </w:tcBorders>
            <w:shd w:val="clear" w:color="auto" w:fill="auto"/>
            <w:vAlign w:val="center"/>
          </w:tcPr>
          <w:p w14:paraId="7BC01FBB">
            <w:pPr>
              <w:widowControl/>
              <w:spacing w:line="276"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技术参数</w:t>
            </w:r>
          </w:p>
        </w:tc>
      </w:tr>
      <w:tr w14:paraId="1F631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5" w:hRule="atLeast"/>
          <w:jc w:val="center"/>
        </w:trPr>
        <w:tc>
          <w:tcPr>
            <w:tcW w:w="731" w:type="pct"/>
            <w:tcBorders>
              <w:tl2br w:val="nil"/>
              <w:tr2bl w:val="nil"/>
            </w:tcBorders>
            <w:shd w:val="clear" w:color="auto" w:fill="auto"/>
            <w:vAlign w:val="center"/>
          </w:tcPr>
          <w:p w14:paraId="0B4D243E">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双温四门冰柜</w:t>
            </w:r>
          </w:p>
        </w:tc>
        <w:tc>
          <w:tcPr>
            <w:tcW w:w="991" w:type="pct"/>
            <w:tcBorders>
              <w:tl2br w:val="nil"/>
              <w:tr2bl w:val="nil"/>
            </w:tcBorders>
            <w:shd w:val="clear" w:color="auto" w:fill="auto"/>
            <w:noWrap/>
            <w:vAlign w:val="center"/>
          </w:tcPr>
          <w:p w14:paraId="598B0A7C">
            <w:pPr>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1220*730*1940（mm）</w:t>
            </w:r>
          </w:p>
        </w:tc>
        <w:tc>
          <w:tcPr>
            <w:tcW w:w="3277" w:type="pct"/>
            <w:tcBorders>
              <w:tl2br w:val="nil"/>
              <w:tr2bl w:val="nil"/>
            </w:tcBorders>
            <w:shd w:val="clear" w:color="auto" w:fill="auto"/>
            <w:noWrap/>
            <w:vAlign w:val="center"/>
          </w:tcPr>
          <w:p w14:paraId="3FA92BA2">
            <w:pPr>
              <w:rPr>
                <w:rFonts w:hint="eastAsia" w:ascii="宋体" w:hAnsi="宋体" w:eastAsia="宋体" w:cs="宋体"/>
                <w:sz w:val="24"/>
                <w:szCs w:val="24"/>
              </w:rPr>
            </w:pPr>
            <w:r>
              <w:rPr>
                <w:rFonts w:hint="eastAsia" w:ascii="宋体" w:hAnsi="宋体" w:eastAsia="宋体" w:cs="宋体"/>
                <w:sz w:val="24"/>
                <w:szCs w:val="24"/>
              </w:rPr>
              <w:t>1.制冷方式:风冷。</w:t>
            </w:r>
          </w:p>
          <w:p w14:paraId="33172858">
            <w:pPr>
              <w:rPr>
                <w:rFonts w:hint="eastAsia" w:ascii="宋体" w:hAnsi="宋体" w:eastAsia="宋体" w:cs="宋体"/>
                <w:sz w:val="24"/>
                <w:szCs w:val="24"/>
              </w:rPr>
            </w:pPr>
            <w:r>
              <w:rPr>
                <w:rFonts w:hint="eastAsia" w:ascii="宋体" w:hAnsi="宋体" w:eastAsia="宋体" w:cs="宋体"/>
                <w:sz w:val="24"/>
                <w:szCs w:val="24"/>
              </w:rPr>
              <w:t>2.控温类型:电子数字控温。</w:t>
            </w:r>
          </w:p>
          <w:p w14:paraId="180E4669">
            <w:pPr>
              <w:rPr>
                <w:rFonts w:hint="eastAsia" w:ascii="宋体" w:hAnsi="宋体" w:eastAsia="宋体" w:cs="宋体"/>
                <w:sz w:val="24"/>
                <w:szCs w:val="24"/>
              </w:rPr>
            </w:pPr>
            <w:r>
              <w:rPr>
                <w:rFonts w:hint="eastAsia" w:ascii="宋体" w:hAnsi="宋体" w:eastAsia="宋体" w:cs="宋体"/>
                <w:sz w:val="24"/>
                <w:szCs w:val="24"/>
              </w:rPr>
              <w:t>3.环保制冷剂,内置铜管蒸发器,科学有效盘管,不易泄露,使用寿命长。</w:t>
            </w:r>
          </w:p>
          <w:p w14:paraId="31768821">
            <w:pPr>
              <w:rPr>
                <w:rFonts w:hint="eastAsia" w:ascii="宋体" w:hAnsi="宋体" w:eastAsia="宋体" w:cs="宋体"/>
                <w:sz w:val="24"/>
                <w:szCs w:val="24"/>
              </w:rPr>
            </w:pPr>
            <w:r>
              <w:rPr>
                <w:rFonts w:hint="eastAsia" w:ascii="宋体" w:hAnsi="宋体" w:eastAsia="宋体" w:cs="宋体"/>
                <w:sz w:val="24"/>
                <w:szCs w:val="24"/>
              </w:rPr>
              <w:t>4.内外箱采用优质加厚不锈钢正材制作,防腐能力优秀,坚园耐用钢。</w:t>
            </w:r>
          </w:p>
          <w:p w14:paraId="74DBE423">
            <w:pPr>
              <w:rPr>
                <w:rFonts w:hint="eastAsia" w:ascii="宋体" w:hAnsi="宋体" w:eastAsia="宋体" w:cs="宋体"/>
                <w:sz w:val="24"/>
                <w:szCs w:val="24"/>
              </w:rPr>
            </w:pPr>
            <w:r>
              <w:rPr>
                <w:rFonts w:hint="eastAsia" w:ascii="宋体" w:hAnsi="宋体" w:eastAsia="宋体" w:cs="宋体"/>
                <w:sz w:val="24"/>
                <w:szCs w:val="24"/>
              </w:rPr>
              <w:t>5.易拆卸磁性门铰链条便于清洗,卫生健康,有效避免冷量流失,暗藏式拉手设计,美观大方。</w:t>
            </w:r>
          </w:p>
          <w:p w14:paraId="38771CF0">
            <w:pPr>
              <w:rPr>
                <w:rFonts w:hint="eastAsia" w:ascii="宋体" w:hAnsi="宋体" w:eastAsia="宋体" w:cs="宋体"/>
                <w:sz w:val="24"/>
                <w:szCs w:val="24"/>
              </w:rPr>
            </w:pPr>
            <w:r>
              <w:rPr>
                <w:rFonts w:hint="eastAsia" w:ascii="宋体" w:hAnsi="宋体" w:eastAsia="宋体" w:cs="宋体"/>
                <w:sz w:val="24"/>
                <w:szCs w:val="24"/>
              </w:rPr>
              <w:t>6.电子式温控数显器,自动回归门,透明外膜。</w:t>
            </w:r>
          </w:p>
          <w:p w14:paraId="40891732">
            <w:pPr>
              <w:rPr>
                <w:rFonts w:hint="eastAsia" w:ascii="宋体" w:hAnsi="宋体" w:eastAsia="宋体" w:cs="宋体"/>
                <w:sz w:val="24"/>
                <w:szCs w:val="24"/>
              </w:rPr>
            </w:pPr>
            <w:r>
              <w:rPr>
                <w:rFonts w:hint="eastAsia" w:ascii="宋体" w:hAnsi="宋体" w:eastAsia="宋体" w:cs="宋体"/>
                <w:sz w:val="24"/>
                <w:szCs w:val="24"/>
              </w:rPr>
              <w:t>7.中梁、边桎带除露装置,有效避免产生凝露滴水。</w:t>
            </w:r>
          </w:p>
          <w:p w14:paraId="2C3543FF">
            <w:pPr>
              <w:rPr>
                <w:rFonts w:hint="eastAsia" w:ascii="宋体" w:hAnsi="宋体" w:eastAsia="宋体" w:cs="宋体"/>
                <w:sz w:val="24"/>
                <w:szCs w:val="24"/>
              </w:rPr>
            </w:pPr>
            <w:r>
              <w:rPr>
                <w:rFonts w:hint="eastAsia" w:ascii="宋体" w:hAnsi="宋体" w:eastAsia="宋体" w:cs="宋体"/>
                <w:sz w:val="24"/>
                <w:szCs w:val="24"/>
              </w:rPr>
              <w:t>8.温度范围:'-6℃~-18℃/'-5℃~+10℃。</w:t>
            </w:r>
          </w:p>
          <w:p w14:paraId="6D1BE7F1">
            <w:pPr>
              <w:rPr>
                <w:rFonts w:hint="eastAsia" w:ascii="宋体" w:hAnsi="宋体" w:eastAsia="宋体" w:cs="宋体"/>
                <w:sz w:val="24"/>
                <w:szCs w:val="24"/>
              </w:rPr>
            </w:pPr>
            <w:r>
              <w:rPr>
                <w:rFonts w:hint="eastAsia" w:ascii="宋体" w:hAnsi="宋体" w:eastAsia="宋体" w:cs="宋体"/>
                <w:sz w:val="24"/>
                <w:szCs w:val="24"/>
              </w:rPr>
              <w:t>9.环境温度:38℃。</w:t>
            </w:r>
          </w:p>
          <w:p w14:paraId="23B15667">
            <w:pPr>
              <w:rPr>
                <w:rFonts w:hint="eastAsia" w:ascii="宋体" w:hAnsi="宋体" w:eastAsia="宋体" w:cs="宋体"/>
                <w:bCs/>
                <w:color w:val="auto"/>
                <w:sz w:val="24"/>
                <w:szCs w:val="24"/>
                <w:lang w:val="en-US" w:eastAsia="zh-CN"/>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采用绿色环保环戊烷发泡剂整体发泡,密度佳保温性能好,加厚发泡层,保温隔热性能好,能耗低。</w:t>
            </w:r>
          </w:p>
        </w:tc>
      </w:tr>
    </w:tbl>
    <w:p w14:paraId="4AA7852D">
      <w:pPr>
        <w:pStyle w:val="10"/>
        <w:spacing w:line="440" w:lineRule="exact"/>
        <w:outlineLvl w:val="1"/>
        <w:rPr>
          <w:rFonts w:hint="eastAsia" w:hAnsi="宋体" w:eastAsia="宋体" w:cs="宋体"/>
          <w:b/>
          <w:snapToGrid w:val="0"/>
          <w:kern w:val="0"/>
          <w:sz w:val="28"/>
          <w:szCs w:val="28"/>
        </w:rPr>
      </w:pPr>
    </w:p>
    <w:p w14:paraId="16801F26">
      <w:pPr>
        <w:pStyle w:val="10"/>
        <w:spacing w:line="440" w:lineRule="exac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rPr>
        <w:t>三、资格条件</w:t>
      </w:r>
    </w:p>
    <w:p w14:paraId="04871783">
      <w:pPr>
        <w:pStyle w:val="5"/>
        <w:ind w:firstLine="0"/>
        <w:rPr>
          <w:rFonts w:hint="eastAsia" w:ascii="方正黑体_GBK" w:hAnsi="方正黑体_GBK" w:eastAsia="方正黑体_GBK" w:cs="方正黑体_GBK"/>
          <w:color w:val="000000"/>
          <w:szCs w:val="24"/>
        </w:rPr>
      </w:pPr>
      <w:r>
        <w:rPr>
          <w:rFonts w:hint="eastAsia" w:ascii="方正黑体_GBK" w:hAnsi="方正黑体_GBK" w:eastAsia="方正黑体_GBK" w:cs="方正黑体_GBK"/>
          <w:color w:val="000000"/>
          <w:szCs w:val="24"/>
        </w:rPr>
        <w:t>（一）一般资格条件</w:t>
      </w:r>
    </w:p>
    <w:p w14:paraId="639F0478">
      <w:pPr>
        <w:spacing w:line="440" w:lineRule="exact"/>
        <w:ind w:firstLine="480" w:firstLineChars="200"/>
        <w:rPr>
          <w:rFonts w:hint="eastAsia" w:hAnsi="宋体"/>
          <w:bCs/>
          <w:color w:val="000000"/>
          <w:sz w:val="24"/>
          <w:szCs w:val="24"/>
        </w:rPr>
      </w:pPr>
      <w:r>
        <w:rPr>
          <w:rFonts w:hint="eastAsia" w:hAnsi="宋体"/>
          <w:bCs/>
          <w:color w:val="000000"/>
          <w:sz w:val="24"/>
          <w:szCs w:val="24"/>
        </w:rPr>
        <w:t>1、具有独立承担民事责任的能力；</w:t>
      </w:r>
    </w:p>
    <w:p w14:paraId="2CACF27A">
      <w:pPr>
        <w:spacing w:line="440" w:lineRule="exact"/>
        <w:ind w:firstLine="480" w:firstLineChars="200"/>
        <w:rPr>
          <w:rFonts w:hint="eastAsia" w:hAnsi="宋体"/>
          <w:bCs/>
          <w:color w:val="000000"/>
          <w:sz w:val="24"/>
          <w:szCs w:val="24"/>
        </w:rPr>
      </w:pPr>
      <w:r>
        <w:rPr>
          <w:rFonts w:hint="eastAsia" w:hAnsi="宋体"/>
          <w:bCs/>
          <w:color w:val="000000"/>
          <w:sz w:val="24"/>
          <w:szCs w:val="24"/>
        </w:rPr>
        <w:t>2、具有良好的商业信誉和健全的财务会计制度；</w:t>
      </w:r>
    </w:p>
    <w:p w14:paraId="3D80629D">
      <w:pPr>
        <w:spacing w:line="440" w:lineRule="exact"/>
        <w:ind w:firstLine="480" w:firstLineChars="200"/>
        <w:rPr>
          <w:rFonts w:hint="eastAsia" w:hAnsi="宋体"/>
          <w:bCs/>
          <w:color w:val="000000"/>
          <w:sz w:val="24"/>
          <w:szCs w:val="24"/>
        </w:rPr>
      </w:pPr>
      <w:r>
        <w:rPr>
          <w:rFonts w:hint="eastAsia" w:hAnsi="宋体"/>
          <w:bCs/>
          <w:color w:val="000000"/>
          <w:sz w:val="24"/>
          <w:szCs w:val="24"/>
        </w:rPr>
        <w:t>3、具有履行合同所必需的设备和专业技术能力；</w:t>
      </w:r>
    </w:p>
    <w:p w14:paraId="5B59B2BD">
      <w:pPr>
        <w:spacing w:line="440" w:lineRule="exact"/>
        <w:ind w:firstLine="480" w:firstLineChars="200"/>
        <w:rPr>
          <w:rFonts w:hint="eastAsia" w:hAnsi="宋体"/>
          <w:bCs/>
          <w:color w:val="000000"/>
          <w:sz w:val="24"/>
          <w:szCs w:val="24"/>
        </w:rPr>
      </w:pPr>
      <w:r>
        <w:rPr>
          <w:rFonts w:hint="eastAsia" w:hAnsi="宋体"/>
          <w:bCs/>
          <w:color w:val="000000"/>
          <w:sz w:val="24"/>
          <w:szCs w:val="24"/>
        </w:rPr>
        <w:t>4、有依法缴纳税收和社会保障资金的良好记录；</w:t>
      </w:r>
    </w:p>
    <w:p w14:paraId="3C974560">
      <w:pPr>
        <w:spacing w:line="440" w:lineRule="exact"/>
        <w:ind w:firstLine="480" w:firstLineChars="200"/>
        <w:rPr>
          <w:rFonts w:hint="eastAsia" w:hAnsi="宋体"/>
          <w:bCs/>
          <w:color w:val="000000"/>
          <w:sz w:val="24"/>
          <w:szCs w:val="24"/>
        </w:rPr>
      </w:pPr>
      <w:r>
        <w:rPr>
          <w:rFonts w:hint="eastAsia" w:hAnsi="宋体"/>
          <w:bCs/>
          <w:color w:val="000000"/>
          <w:sz w:val="24"/>
          <w:szCs w:val="24"/>
        </w:rPr>
        <w:t>5、参加本次网上询价采购活动前三年内，在经营活动中没有重大违法记录；</w:t>
      </w:r>
    </w:p>
    <w:p w14:paraId="44D26F54">
      <w:pPr>
        <w:spacing w:line="440" w:lineRule="exact"/>
        <w:ind w:firstLine="480" w:firstLineChars="200"/>
        <w:rPr>
          <w:rFonts w:hint="eastAsia" w:hAnsi="宋体"/>
          <w:bCs/>
          <w:color w:val="000000"/>
          <w:sz w:val="24"/>
          <w:szCs w:val="24"/>
        </w:rPr>
      </w:pPr>
      <w:r>
        <w:rPr>
          <w:rFonts w:hint="eastAsia" w:hAnsi="宋体"/>
          <w:bCs/>
          <w:color w:val="000000"/>
          <w:sz w:val="24"/>
          <w:szCs w:val="24"/>
        </w:rPr>
        <w:t xml:space="preserve">6、法律、行政法规规定的其他条件。 </w:t>
      </w:r>
    </w:p>
    <w:p w14:paraId="03814D3A">
      <w:pPr>
        <w:pStyle w:val="10"/>
        <w:spacing w:line="440" w:lineRule="exac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lang w:eastAsia="zh-CN"/>
        </w:rPr>
        <w:br w:type="textWrapping"/>
      </w: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、报价要求</w:t>
      </w:r>
    </w:p>
    <w:p w14:paraId="6047F5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（一）本次报价须为人民币</w:t>
      </w:r>
      <w:r>
        <w:rPr>
          <w:rFonts w:hint="eastAsia" w:ascii="宋体" w:hAnsi="宋体" w:eastAsia="宋体" w:cs="宋体"/>
          <w:sz w:val="24"/>
          <w:szCs w:val="24"/>
          <w:lang w:eastAsia="zh-CN"/>
        </w:rPr>
        <w:t>报价，为</w:t>
      </w:r>
      <w:r>
        <w:rPr>
          <w:rFonts w:hint="eastAsia" w:ascii="宋体" w:hAnsi="宋体" w:eastAsia="宋体" w:cs="宋体"/>
          <w:sz w:val="24"/>
          <w:szCs w:val="24"/>
          <w:lang w:val="en-US" w:eastAsia="zh-CN"/>
        </w:rPr>
        <w:t>包干价</w:t>
      </w:r>
      <w:r>
        <w:rPr>
          <w:rFonts w:hint="eastAsia" w:ascii="宋体" w:hAnsi="宋体" w:eastAsia="宋体" w:cs="宋体"/>
          <w:sz w:val="24"/>
          <w:szCs w:val="24"/>
        </w:rPr>
        <w:t>，本项目报价时无需评审响应文件，报价时只需在系统报总报价。</w:t>
      </w:r>
    </w:p>
    <w:p w14:paraId="52F7FEE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（二）报价包含但不限于所有设备费、材料费、人工费、机械费、搬运费、安全措施费、道路及建筑物保护措施费用、运输费、</w:t>
      </w:r>
      <w:r>
        <w:rPr>
          <w:rFonts w:hint="eastAsia" w:ascii="宋体" w:hAnsi="宋体" w:eastAsia="宋体" w:cs="宋体"/>
          <w:color w:val="auto"/>
          <w:sz w:val="24"/>
          <w:szCs w:val="24"/>
        </w:rPr>
        <w:t>管理费、安装费、</w:t>
      </w:r>
      <w:r>
        <w:rPr>
          <w:rFonts w:hint="eastAsia" w:ascii="宋体" w:hAnsi="宋体" w:eastAsia="宋体" w:cs="宋体"/>
          <w:color w:val="auto"/>
          <w:sz w:val="24"/>
          <w:szCs w:val="24"/>
          <w:u w:val="none"/>
        </w:rPr>
        <w:t>调试费、培训费</w:t>
      </w:r>
      <w:r>
        <w:rPr>
          <w:rFonts w:hint="eastAsia" w:ascii="宋体" w:hAnsi="宋体" w:eastAsia="宋体" w:cs="宋体"/>
          <w:color w:val="auto"/>
          <w:sz w:val="24"/>
          <w:szCs w:val="24"/>
        </w:rPr>
        <w:t>及税费等以及</w:t>
      </w:r>
      <w:r>
        <w:rPr>
          <w:rFonts w:hint="eastAsia" w:ascii="宋体" w:hAnsi="宋体" w:eastAsia="宋体" w:cs="宋体"/>
          <w:color w:val="auto"/>
          <w:sz w:val="24"/>
          <w:szCs w:val="24"/>
          <w:lang w:eastAsia="zh-CN"/>
        </w:rPr>
        <w:t>清单外</w:t>
      </w:r>
      <w:r>
        <w:rPr>
          <w:rFonts w:hint="eastAsia" w:ascii="宋体" w:hAnsi="宋体" w:eastAsia="宋体" w:cs="宋体"/>
          <w:color w:val="auto"/>
          <w:sz w:val="24"/>
          <w:szCs w:val="24"/>
        </w:rPr>
        <w:t>甲方未考虑到的其他各种费用，因中标人自身原因造成漏报、少报皆由其自行承担责任，采购人不再补偿。请投标人在投标时充分考虑所有费用。</w:t>
      </w:r>
    </w:p>
    <w:p w14:paraId="0D95EA8C">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宋体"/>
          <w:b/>
          <w:snapToGrid w:val="0"/>
          <w:kern w:val="0"/>
          <w:sz w:val="28"/>
          <w:szCs w:val="28"/>
          <w:lang w:val="en-US" w:eastAsia="zh-CN"/>
        </w:rPr>
      </w:pPr>
      <w:r>
        <w:rPr>
          <w:rFonts w:hint="eastAsia" w:ascii="宋体" w:hAnsi="宋体" w:eastAsia="宋体" w:cs="宋体"/>
          <w:kern w:val="2"/>
          <w:sz w:val="24"/>
          <w:szCs w:val="24"/>
          <w:lang w:val="en-US" w:eastAsia="zh-CN" w:bidi="ar-SA"/>
        </w:rPr>
        <w:t>（三）中标结果公示结束后3个工作日内，需向需求部门提供报价明细表（详见文后附件），</w:t>
      </w:r>
      <w:r>
        <w:rPr>
          <w:rFonts w:hint="eastAsia" w:ascii="宋体" w:hAnsi="宋体" w:eastAsia="宋体" w:cs="宋体"/>
          <w:b/>
          <w:bCs/>
          <w:kern w:val="2"/>
          <w:sz w:val="24"/>
          <w:szCs w:val="24"/>
          <w:lang w:val="en-US" w:eastAsia="zh-CN" w:bidi="ar-SA"/>
        </w:rPr>
        <w:t>明细表总报价与行采家系统总报价不一致，视为无效投标</w:t>
      </w:r>
      <w:r>
        <w:rPr>
          <w:rFonts w:hint="eastAsia" w:ascii="宋体" w:hAnsi="宋体" w:eastAsia="宋体" w:cs="宋体"/>
          <w:kern w:val="2"/>
          <w:sz w:val="24"/>
          <w:szCs w:val="24"/>
          <w:lang w:val="en-US" w:eastAsia="zh-CN" w:bidi="ar-SA"/>
        </w:rPr>
        <w:t>。</w:t>
      </w:r>
      <w:r>
        <w:rPr>
          <w:rFonts w:hint="eastAsia" w:hAnsi="宋体" w:eastAsia="宋体" w:cs="宋体"/>
          <w:b/>
          <w:snapToGrid w:val="0"/>
          <w:kern w:val="0"/>
          <w:sz w:val="28"/>
          <w:szCs w:val="28"/>
        </w:rPr>
        <w:br w:type="textWrapping"/>
      </w:r>
      <w:r>
        <w:rPr>
          <w:rFonts w:hint="eastAsia" w:ascii="宋体" w:hAnsi="宋体" w:eastAsia="宋体" w:cs="宋体"/>
          <w:b/>
          <w:snapToGrid w:val="0"/>
          <w:kern w:val="0"/>
          <w:sz w:val="28"/>
          <w:szCs w:val="28"/>
          <w:lang w:val="en-US" w:eastAsia="zh-CN" w:bidi="ar-SA"/>
        </w:rPr>
        <w:t>五、供货期及供货地点</w:t>
      </w:r>
    </w:p>
    <w:p w14:paraId="20926CB9">
      <w:pPr>
        <w:spacing w:line="440" w:lineRule="exact"/>
        <w:ind w:firstLine="480" w:firstLineChars="200"/>
        <w:rPr>
          <w:rFonts w:hAnsi="宋体"/>
          <w:bCs/>
          <w:color w:val="auto"/>
          <w:sz w:val="24"/>
          <w:szCs w:val="24"/>
          <w:highlight w:val="none"/>
        </w:rPr>
      </w:pPr>
      <w:r>
        <w:rPr>
          <w:rFonts w:hint="eastAsia" w:hAnsi="宋体"/>
          <w:bCs/>
          <w:sz w:val="24"/>
          <w:szCs w:val="24"/>
        </w:rPr>
        <w:t>（一）供货期：</w:t>
      </w:r>
      <w:r>
        <w:rPr>
          <w:rFonts w:hint="eastAsia" w:hAnsi="宋体"/>
          <w:bCs/>
          <w:sz w:val="24"/>
          <w:szCs w:val="24"/>
          <w:lang w:val="en-US" w:eastAsia="zh-CN"/>
        </w:rPr>
        <w:t>合同签订后7个工作日完成供货及安装调试。</w:t>
      </w:r>
    </w:p>
    <w:p w14:paraId="3E70671F">
      <w:pPr>
        <w:spacing w:line="440" w:lineRule="exact"/>
        <w:ind w:firstLine="480" w:firstLineChars="200"/>
        <w:rPr>
          <w:rFonts w:hint="eastAsia" w:hAnsi="宋体"/>
          <w:bCs/>
          <w:sz w:val="24"/>
          <w:szCs w:val="24"/>
        </w:rPr>
      </w:pPr>
      <w:r>
        <w:rPr>
          <w:rFonts w:hint="eastAsia" w:hAnsi="宋体"/>
          <w:bCs/>
          <w:sz w:val="24"/>
          <w:szCs w:val="24"/>
          <w:lang w:eastAsia="zh-CN"/>
        </w:rPr>
        <w:t>（二）</w:t>
      </w:r>
      <w:r>
        <w:rPr>
          <w:rFonts w:hint="eastAsia" w:hAnsi="宋体"/>
          <w:bCs/>
          <w:sz w:val="24"/>
          <w:szCs w:val="24"/>
        </w:rPr>
        <w:t>供货</w:t>
      </w:r>
      <w:r>
        <w:rPr>
          <w:rFonts w:hint="eastAsia" w:hAnsi="宋体"/>
          <w:bCs/>
          <w:sz w:val="24"/>
          <w:szCs w:val="24"/>
          <w:lang w:eastAsia="zh-CN"/>
        </w:rPr>
        <w:t>、服务</w:t>
      </w:r>
      <w:r>
        <w:rPr>
          <w:rFonts w:hint="eastAsia" w:hAnsi="宋体"/>
          <w:bCs/>
          <w:sz w:val="24"/>
          <w:szCs w:val="24"/>
        </w:rPr>
        <w:t>要求：采购计划由采购人提前（具体时间以合同约定为准）通知供应商，供应商应严格按照采购计划中确定的货物规格型号、货物数量、交货时间和地点等向采购人及时送达。</w:t>
      </w:r>
    </w:p>
    <w:p w14:paraId="0BE24DCF">
      <w:pPr>
        <w:spacing w:line="440" w:lineRule="exact"/>
        <w:ind w:left="239" w:leftChars="114" w:firstLine="480" w:firstLineChars="200"/>
        <w:rPr>
          <w:rFonts w:hint="eastAsia" w:hAnsi="宋体"/>
          <w:bCs/>
          <w:color w:val="auto"/>
          <w:sz w:val="24"/>
          <w:szCs w:val="24"/>
          <w:highlight w:val="none"/>
        </w:rPr>
      </w:pPr>
      <w:r>
        <w:rPr>
          <w:rFonts w:hint="eastAsia" w:hAnsi="宋体"/>
          <w:bCs/>
          <w:sz w:val="24"/>
          <w:szCs w:val="24"/>
        </w:rPr>
        <w:t>注：中标人应按本条规定的时间供货及完成安装调试。若未在规定时间内完成供货</w:t>
      </w:r>
      <w:r>
        <w:rPr>
          <w:rFonts w:hint="eastAsia" w:hAnsi="宋体"/>
          <w:bCs/>
          <w:sz w:val="24"/>
          <w:szCs w:val="24"/>
          <w:lang w:eastAsia="zh-CN"/>
        </w:rPr>
        <w:t>和服务</w:t>
      </w:r>
      <w:r>
        <w:rPr>
          <w:rFonts w:hint="eastAsia" w:hAnsi="宋体"/>
          <w:bCs/>
          <w:sz w:val="24"/>
          <w:szCs w:val="24"/>
        </w:rPr>
        <w:t>，将视为中标人违反询价项目要求，采购人有权取消其中标资格，终止</w:t>
      </w:r>
      <w:r>
        <w:rPr>
          <w:rFonts w:hint="eastAsia" w:hAnsi="宋体"/>
          <w:bCs/>
          <w:sz w:val="24"/>
          <w:szCs w:val="24"/>
          <w:lang w:eastAsia="zh-CN"/>
        </w:rPr>
        <w:t>项目</w:t>
      </w:r>
      <w:r>
        <w:rPr>
          <w:rFonts w:hint="eastAsia" w:hAnsi="宋体"/>
          <w:bCs/>
          <w:sz w:val="24"/>
          <w:szCs w:val="24"/>
        </w:rPr>
        <w:t>，不支付任何款项，并没收履约保证金。</w:t>
      </w:r>
    </w:p>
    <w:p w14:paraId="0EA30932">
      <w:pPr>
        <w:spacing w:line="440" w:lineRule="exact"/>
        <w:ind w:firstLine="480" w:firstLineChars="200"/>
        <w:rPr>
          <w:color w:val="auto"/>
          <w:highlight w:val="none"/>
        </w:rPr>
      </w:pPr>
      <w:r>
        <w:rPr>
          <w:rFonts w:hint="eastAsia" w:hAnsi="宋体"/>
          <w:bCs/>
          <w:color w:val="auto"/>
          <w:sz w:val="24"/>
          <w:szCs w:val="24"/>
          <w:highlight w:val="none"/>
        </w:rPr>
        <w:t>（</w:t>
      </w:r>
      <w:r>
        <w:rPr>
          <w:rFonts w:hint="eastAsia" w:hAnsi="宋体"/>
          <w:bCs/>
          <w:color w:val="auto"/>
          <w:sz w:val="24"/>
          <w:szCs w:val="24"/>
          <w:highlight w:val="none"/>
          <w:lang w:eastAsia="zh-CN"/>
        </w:rPr>
        <w:t>三</w:t>
      </w:r>
      <w:r>
        <w:rPr>
          <w:rFonts w:hint="eastAsia" w:hAnsi="宋体"/>
          <w:bCs/>
          <w:color w:val="auto"/>
          <w:sz w:val="24"/>
          <w:szCs w:val="24"/>
          <w:highlight w:val="none"/>
        </w:rPr>
        <w:t>）供货地点（服务地点）：重庆医科大学采购人指定地点。</w:t>
      </w:r>
    </w:p>
    <w:p w14:paraId="204101BA">
      <w:pPr>
        <w:spacing w:line="440" w:lineRule="exact"/>
      </w:pPr>
    </w:p>
    <w:p w14:paraId="01E1025D">
      <w:pPr>
        <w:pStyle w:val="10"/>
        <w:spacing w:line="440" w:lineRule="exact"/>
        <w:outlineLvl w:val="1"/>
        <w:rPr>
          <w:rFonts w:hint="eastAsia" w:hAnsi="宋体" w:asciiTheme="minorHAnsi"/>
          <w:bCs/>
          <w:color w:val="000000"/>
          <w:sz w:val="24"/>
          <w:szCs w:val="24"/>
        </w:rPr>
      </w:pPr>
      <w:r>
        <w:rPr>
          <w:rFonts w:hint="eastAsia" w:hAnsi="宋体" w:eastAsia="宋体" w:cs="宋体"/>
          <w:b/>
          <w:snapToGrid w:val="0"/>
          <w:kern w:val="0"/>
          <w:sz w:val="28"/>
          <w:szCs w:val="28"/>
          <w:lang w:eastAsia="zh-CN"/>
        </w:rPr>
        <w:t>六</w:t>
      </w:r>
      <w:r>
        <w:rPr>
          <w:rFonts w:hint="eastAsia" w:hAnsi="宋体" w:eastAsia="宋体" w:cs="宋体"/>
          <w:b/>
          <w:snapToGrid w:val="0"/>
          <w:kern w:val="0"/>
          <w:sz w:val="28"/>
          <w:szCs w:val="28"/>
        </w:rPr>
        <w:t>、付款方式</w:t>
      </w:r>
    </w:p>
    <w:p w14:paraId="05825E7C">
      <w:pPr>
        <w:spacing w:line="440" w:lineRule="exact"/>
        <w:ind w:firstLine="480" w:firstLineChars="200"/>
        <w:rPr>
          <w:rFonts w:hint="eastAsia" w:hAnsi="宋体"/>
          <w:bCs/>
          <w:color w:val="000000"/>
          <w:sz w:val="24"/>
          <w:szCs w:val="24"/>
        </w:rPr>
      </w:pPr>
      <w:r>
        <w:rPr>
          <w:rFonts w:hint="eastAsia" w:hAnsi="宋体"/>
          <w:bCs/>
          <w:color w:val="000000"/>
          <w:sz w:val="24"/>
          <w:szCs w:val="24"/>
        </w:rPr>
        <w:t>（一）</w:t>
      </w:r>
      <w:bookmarkStart w:id="0" w:name="OLE_LINK3"/>
      <w:bookmarkStart w:id="1" w:name="OLE_LINK4"/>
      <w:r>
        <w:rPr>
          <w:rFonts w:hint="eastAsia" w:hAnsi="宋体"/>
          <w:bCs/>
          <w:sz w:val="24"/>
          <w:szCs w:val="24"/>
          <w:u w:val="single"/>
          <w:lang w:eastAsia="zh-CN"/>
        </w:rPr>
        <w:t>合同签订时</w:t>
      </w:r>
      <w:r>
        <w:rPr>
          <w:rFonts w:hint="eastAsia" w:hAnsi="宋体"/>
          <w:bCs/>
          <w:sz w:val="24"/>
          <w:szCs w:val="24"/>
        </w:rPr>
        <w:t>，</w:t>
      </w:r>
      <w:r>
        <w:rPr>
          <w:rFonts w:hint="eastAsia" w:hAnsi="宋体"/>
          <w:bCs/>
          <w:color w:val="000000"/>
          <w:sz w:val="24"/>
          <w:szCs w:val="24"/>
        </w:rPr>
        <w:t>中标人向采购人缴纳合同金额</w:t>
      </w:r>
      <w:r>
        <w:rPr>
          <w:rFonts w:hint="eastAsia" w:hAnsi="宋体"/>
          <w:bCs/>
          <w:color w:val="000000"/>
          <w:sz w:val="24"/>
          <w:szCs w:val="24"/>
          <w:u w:val="single"/>
        </w:rPr>
        <w:t xml:space="preserve">  5  </w:t>
      </w:r>
      <w:r>
        <w:rPr>
          <w:rFonts w:hint="eastAsia" w:hAnsi="宋体"/>
          <w:bCs/>
          <w:color w:val="000000"/>
          <w:sz w:val="24"/>
          <w:szCs w:val="24"/>
        </w:rPr>
        <w:t>% 的履约保证金（可以现金形式（银行转账方式），或以支票、汇票、本票或者金融机构、担保机构出具的保函等非现金形式提交</w:t>
      </w:r>
      <w:bookmarkEnd w:id="0"/>
      <w:bookmarkEnd w:id="1"/>
      <w:r>
        <w:rPr>
          <w:rFonts w:hint="eastAsia" w:hAnsi="宋体"/>
          <w:bCs/>
          <w:color w:val="000000"/>
          <w:sz w:val="24"/>
          <w:szCs w:val="24"/>
        </w:rPr>
        <w:t>）。</w:t>
      </w:r>
      <w:r>
        <w:rPr>
          <w:rFonts w:hint="eastAsia" w:ascii="宋体" w:hAnsi="宋体" w:eastAsia="宋体" w:cs="宋体"/>
          <w:bCs/>
          <w:sz w:val="24"/>
          <w:szCs w:val="24"/>
        </w:rPr>
        <w:t>若中标人未在规定时间内缴纳履约保证金，采购人有权拒绝支付本合同款项</w:t>
      </w:r>
      <w:r>
        <w:rPr>
          <w:rFonts w:hint="eastAsia" w:ascii="宋体" w:hAnsi="宋体" w:eastAsia="宋体" w:cs="宋体"/>
          <w:bCs/>
          <w:color w:val="000000"/>
          <w:sz w:val="24"/>
          <w:szCs w:val="24"/>
        </w:rPr>
        <w:t>。</w:t>
      </w:r>
    </w:p>
    <w:p w14:paraId="36F42A46">
      <w:pPr>
        <w:spacing w:line="440" w:lineRule="exact"/>
        <w:ind w:firstLine="480" w:firstLineChars="200"/>
        <w:rPr>
          <w:rFonts w:hint="eastAsia" w:hAnsi="宋体"/>
          <w:bCs/>
          <w:color w:val="000000"/>
          <w:sz w:val="24"/>
          <w:szCs w:val="24"/>
        </w:rPr>
      </w:pPr>
      <w:r>
        <w:rPr>
          <w:rFonts w:hint="eastAsia" w:hAnsi="宋体"/>
          <w:bCs/>
          <w:color w:val="000000"/>
          <w:sz w:val="24"/>
          <w:szCs w:val="24"/>
        </w:rPr>
        <w:t>（二）</w:t>
      </w:r>
      <w:r>
        <w:rPr>
          <w:rFonts w:hint="eastAsia" w:hAnsi="宋体"/>
          <w:bCs/>
          <w:color w:val="auto"/>
          <w:sz w:val="24"/>
          <w:szCs w:val="24"/>
        </w:rPr>
        <w:t>中标供应商按</w:t>
      </w:r>
      <w:r>
        <w:rPr>
          <w:rFonts w:hint="eastAsia" w:hAnsi="宋体"/>
          <w:bCs/>
          <w:color w:val="auto"/>
          <w:sz w:val="24"/>
          <w:szCs w:val="24"/>
          <w:lang w:eastAsia="zh-CN"/>
        </w:rPr>
        <w:t>合同要求</w:t>
      </w:r>
      <w:r>
        <w:rPr>
          <w:rFonts w:hint="eastAsia" w:hAnsi="宋体"/>
          <w:bCs/>
          <w:color w:val="auto"/>
          <w:sz w:val="24"/>
          <w:szCs w:val="24"/>
        </w:rPr>
        <w:t>提供货物</w:t>
      </w:r>
      <w:r>
        <w:rPr>
          <w:rFonts w:hint="eastAsia" w:hAnsi="宋体"/>
          <w:bCs/>
          <w:color w:val="auto"/>
          <w:sz w:val="24"/>
          <w:szCs w:val="24"/>
          <w:lang w:eastAsia="zh-CN"/>
        </w:rPr>
        <w:t>，最终</w:t>
      </w:r>
      <w:r>
        <w:rPr>
          <w:rFonts w:hint="eastAsia" w:hAnsi="宋体"/>
          <w:bCs/>
          <w:color w:val="auto"/>
          <w:sz w:val="24"/>
          <w:szCs w:val="24"/>
        </w:rPr>
        <w:t>验收合格后，</w:t>
      </w:r>
      <w:r>
        <w:rPr>
          <w:rFonts w:hint="eastAsia" w:hAnsi="宋体"/>
          <w:bCs/>
          <w:color w:val="auto"/>
          <w:sz w:val="24"/>
          <w:szCs w:val="24"/>
          <w:lang w:eastAsia="zh-CN"/>
        </w:rPr>
        <w:t>采购人按合同金额</w:t>
      </w:r>
      <w:r>
        <w:rPr>
          <w:rFonts w:hint="eastAsia" w:hAnsi="宋体"/>
          <w:bCs/>
          <w:color w:val="auto"/>
          <w:sz w:val="24"/>
          <w:szCs w:val="24"/>
          <w:lang w:val="en-US" w:eastAsia="zh-CN"/>
        </w:rPr>
        <w:t>一次性支付</w:t>
      </w:r>
      <w:r>
        <w:rPr>
          <w:rFonts w:hint="eastAsia"/>
          <w:lang w:eastAsia="zh-CN"/>
        </w:rPr>
        <w:t>。</w:t>
      </w:r>
    </w:p>
    <w:p w14:paraId="40C23C22">
      <w:pPr>
        <w:spacing w:line="440" w:lineRule="exact"/>
        <w:ind w:firstLine="480" w:firstLineChars="200"/>
        <w:rPr>
          <w:rFonts w:hint="eastAsia" w:hAnsi="宋体" w:eastAsiaTheme="minorEastAsia"/>
          <w:bCs/>
          <w:color w:val="000000"/>
          <w:sz w:val="24"/>
          <w:szCs w:val="24"/>
          <w:lang w:eastAsia="zh-CN"/>
        </w:rPr>
      </w:pPr>
      <w:r>
        <w:rPr>
          <w:rFonts w:hint="eastAsia" w:hAnsi="宋体"/>
          <w:bCs/>
          <w:color w:val="000000"/>
          <w:sz w:val="24"/>
          <w:szCs w:val="24"/>
        </w:rPr>
        <w:t>（三）履约保证金无息退还时间：合同履约</w:t>
      </w:r>
      <w:r>
        <w:rPr>
          <w:rFonts w:hint="eastAsia" w:hAnsi="宋体"/>
          <w:bCs/>
          <w:color w:val="000000"/>
          <w:sz w:val="24"/>
          <w:szCs w:val="24"/>
          <w:lang w:eastAsia="zh-CN"/>
        </w:rPr>
        <w:t>最终</w:t>
      </w:r>
      <w:r>
        <w:rPr>
          <w:rFonts w:hint="eastAsia" w:hAnsi="宋体"/>
          <w:bCs/>
          <w:color w:val="000000"/>
          <w:sz w:val="24"/>
          <w:szCs w:val="24"/>
        </w:rPr>
        <w:t>验收完成后，中标人提供的服务或货物无质量问题且没有其他违约行为，经</w:t>
      </w:r>
      <w:r>
        <w:rPr>
          <w:rFonts w:hint="eastAsia" w:hAnsi="宋体"/>
          <w:bCs/>
          <w:color w:val="000000"/>
          <w:sz w:val="24"/>
          <w:szCs w:val="24"/>
          <w:lang w:eastAsia="zh-CN"/>
        </w:rPr>
        <w:t>需求部门</w:t>
      </w:r>
      <w:r>
        <w:rPr>
          <w:rFonts w:hint="eastAsia" w:hAnsi="宋体"/>
          <w:bCs/>
          <w:color w:val="000000"/>
          <w:sz w:val="24"/>
          <w:szCs w:val="24"/>
        </w:rPr>
        <w:t>同意，无息退还</w:t>
      </w:r>
      <w:r>
        <w:rPr>
          <w:rFonts w:hint="eastAsia" w:hAnsi="宋体"/>
          <w:bCs/>
          <w:color w:val="000000"/>
          <w:sz w:val="24"/>
          <w:szCs w:val="24"/>
          <w:lang w:eastAsia="zh-CN"/>
        </w:rPr>
        <w:t>。</w:t>
      </w:r>
    </w:p>
    <w:p w14:paraId="1A9C14C2">
      <w:pPr>
        <w:spacing w:line="440" w:lineRule="exact"/>
        <w:ind w:firstLine="480" w:firstLineChars="200"/>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eastAsia="zh-CN"/>
        </w:rPr>
        <w:t>四</w:t>
      </w:r>
      <w:r>
        <w:rPr>
          <w:rFonts w:hint="eastAsia" w:hAnsi="宋体"/>
          <w:bCs/>
          <w:color w:val="000000"/>
          <w:sz w:val="24"/>
          <w:szCs w:val="24"/>
        </w:rPr>
        <w:t>）因服务不善造成采购人财产和经济损失的，采购人在书面通知中标供应商后，有权从</w:t>
      </w:r>
      <w:r>
        <w:rPr>
          <w:rFonts w:hint="eastAsia" w:hAnsi="宋体"/>
          <w:bCs/>
          <w:color w:val="000000"/>
          <w:sz w:val="24"/>
          <w:szCs w:val="24"/>
          <w:lang w:eastAsia="zh-CN"/>
        </w:rPr>
        <w:t>履约保证金或</w:t>
      </w:r>
      <w:r>
        <w:rPr>
          <w:rFonts w:hint="eastAsia" w:hAnsi="宋体"/>
          <w:bCs/>
          <w:color w:val="000000"/>
          <w:sz w:val="24"/>
          <w:szCs w:val="24"/>
        </w:rPr>
        <w:t>合同款中扣除相关损失的费用。</w:t>
      </w:r>
      <w:r>
        <w:rPr>
          <w:rFonts w:hint="eastAsia" w:hAnsi="宋体"/>
          <w:bCs/>
          <w:color w:val="000000"/>
          <w:sz w:val="24"/>
          <w:szCs w:val="24"/>
        </w:rPr>
        <w:br w:type="textWrapping"/>
      </w:r>
    </w:p>
    <w:p w14:paraId="6D8F8602">
      <w:pPr>
        <w:pStyle w:val="10"/>
        <w:spacing w:line="440" w:lineRule="exac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lang w:eastAsia="zh-CN"/>
        </w:rPr>
        <w:t>七</w:t>
      </w:r>
      <w:r>
        <w:rPr>
          <w:rFonts w:hint="eastAsia" w:hAnsi="宋体" w:eastAsia="宋体" w:cs="宋体"/>
          <w:b/>
          <w:snapToGrid w:val="0"/>
          <w:kern w:val="0"/>
          <w:sz w:val="28"/>
          <w:szCs w:val="28"/>
        </w:rPr>
        <w:t>、项目实施和验收</w:t>
      </w:r>
    </w:p>
    <w:p w14:paraId="47268F10">
      <w:pPr>
        <w:spacing w:line="440" w:lineRule="exact"/>
        <w:ind w:firstLine="482" w:firstLineChars="200"/>
        <w:rPr>
          <w:rFonts w:hint="eastAsia" w:hAnsi="宋体"/>
          <w:b/>
          <w:color w:val="000000"/>
          <w:sz w:val="24"/>
          <w:szCs w:val="24"/>
        </w:rPr>
      </w:pPr>
      <w:r>
        <w:rPr>
          <w:rFonts w:hint="eastAsia" w:hAnsi="宋体"/>
          <w:b/>
          <w:color w:val="000000"/>
          <w:sz w:val="24"/>
          <w:szCs w:val="24"/>
        </w:rPr>
        <w:t>（一）项目实施要求</w:t>
      </w:r>
    </w:p>
    <w:p w14:paraId="5F73959D">
      <w:pPr>
        <w:spacing w:line="440" w:lineRule="exact"/>
        <w:ind w:firstLine="480" w:firstLineChars="200"/>
        <w:rPr>
          <w:rFonts w:hint="eastAsia" w:hAnsi="宋体"/>
          <w:bCs/>
          <w:color w:val="000000"/>
          <w:sz w:val="24"/>
          <w:szCs w:val="24"/>
        </w:rPr>
      </w:pPr>
      <w:r>
        <w:rPr>
          <w:rFonts w:hint="eastAsia" w:hAnsi="宋体"/>
          <w:bCs/>
          <w:color w:val="000000"/>
          <w:sz w:val="24"/>
          <w:szCs w:val="24"/>
        </w:rPr>
        <w:t>1、中标结果公示后采购人有权对中标人响应文件进行核查，投标人在中标后，如不按时提供查验资料或查验资料不齐全或查实中标人存在弄虚作假、恶意中标等不良情况，将</w:t>
      </w:r>
      <w:r>
        <w:rPr>
          <w:rFonts w:hint="eastAsia" w:hAnsi="宋体"/>
          <w:bCs/>
          <w:sz w:val="24"/>
          <w:szCs w:val="24"/>
        </w:rPr>
        <w:t>列入我校失信惩戒对象名单</w:t>
      </w:r>
      <w:r>
        <w:rPr>
          <w:rFonts w:hint="eastAsia" w:hAnsi="宋体"/>
          <w:bCs/>
          <w:color w:val="000000"/>
          <w:sz w:val="24"/>
          <w:szCs w:val="24"/>
        </w:rPr>
        <w:t>。</w:t>
      </w:r>
    </w:p>
    <w:p w14:paraId="54D35DF3">
      <w:pPr>
        <w:spacing w:line="440" w:lineRule="exact"/>
        <w:ind w:firstLine="480" w:firstLineChars="200"/>
        <w:rPr>
          <w:rFonts w:hint="eastAsia" w:hAnsi="宋体"/>
          <w:bCs/>
          <w:color w:val="000000"/>
          <w:sz w:val="24"/>
          <w:szCs w:val="24"/>
        </w:rPr>
      </w:pPr>
      <w:r>
        <w:rPr>
          <w:rFonts w:hint="eastAsia" w:hAnsi="宋体"/>
          <w:bCs/>
          <w:color w:val="000000"/>
          <w:sz w:val="24"/>
          <w:szCs w:val="24"/>
        </w:rPr>
        <w:t>2、中标供应商提供的货物须为原厂制造并检验合格，全新、未被使用过。设备到货时，须确保产品包装完好、所有标识清晰、封条完整。</w:t>
      </w:r>
    </w:p>
    <w:p w14:paraId="0D125981">
      <w:pPr>
        <w:spacing w:line="440" w:lineRule="exact"/>
        <w:ind w:firstLine="480" w:firstLineChars="200"/>
        <w:rPr>
          <w:rFonts w:hint="eastAsia" w:hAnsi="宋体"/>
          <w:bCs/>
          <w:sz w:val="24"/>
          <w:szCs w:val="24"/>
        </w:rPr>
      </w:pPr>
      <w:r>
        <w:rPr>
          <w:rFonts w:hint="eastAsia" w:hAnsi="宋体"/>
          <w:bCs/>
          <w:sz w:val="24"/>
          <w:szCs w:val="24"/>
        </w:rPr>
        <w:t>3、中标单位按合同要求供货</w:t>
      </w:r>
      <w:r>
        <w:rPr>
          <w:rFonts w:hint="eastAsia" w:hAnsi="宋体"/>
          <w:bCs/>
          <w:sz w:val="24"/>
          <w:szCs w:val="24"/>
          <w:lang w:eastAsia="zh-CN"/>
        </w:rPr>
        <w:t>，提供服务</w:t>
      </w:r>
      <w:r>
        <w:rPr>
          <w:rFonts w:hint="eastAsia" w:hAnsi="宋体"/>
          <w:bCs/>
          <w:sz w:val="24"/>
          <w:szCs w:val="24"/>
        </w:rPr>
        <w:t>，并安装调试完成，采购人按技术要求组织验收，如供货时实际产品技术参数达不到询价文件的技术参数要求或所提供的参选产品存在假冒、侵权、不达标准等情形之一的，采购人将终止本项目，不支付任何货款，同时列入我校失信惩戒对象名单。</w:t>
      </w:r>
    </w:p>
    <w:p w14:paraId="4F7B55D7">
      <w:pPr>
        <w:spacing w:line="440" w:lineRule="exact"/>
        <w:ind w:firstLine="480" w:firstLineChars="200"/>
        <w:rPr>
          <w:rFonts w:hint="eastAsia" w:hAnsi="宋体" w:eastAsia="宋体" w:cs="宋体"/>
          <w:b/>
          <w:snapToGrid w:val="0"/>
          <w:kern w:val="0"/>
          <w:sz w:val="28"/>
          <w:szCs w:val="28"/>
        </w:rPr>
      </w:pPr>
      <w:r>
        <w:rPr>
          <w:rFonts w:hint="eastAsia" w:hAnsi="宋体"/>
          <w:bCs/>
          <w:sz w:val="24"/>
          <w:szCs w:val="24"/>
        </w:rPr>
        <w:t>4、列入我校失信惩戒对象名单的供应商将视情节严重程度，给予其中标无效、没收其投标保证金、履约保证金，扣减合同价款、单方面解除合同、要求其赔偿损失等，禁止供应商及关联关系方（指单位负责人为同一人或存在直接控股、关联关系的不同供应商）3个月至3年内参与学校自主采购项目投标。情节特别严重的，向财政行政部门或其他有关部门上报。</w:t>
      </w:r>
    </w:p>
    <w:p w14:paraId="33936CA8">
      <w:pPr>
        <w:spacing w:line="440" w:lineRule="exact"/>
        <w:ind w:firstLine="480" w:firstLineChars="200"/>
        <w:rPr>
          <w:rFonts w:hint="eastAsia" w:hAnsi="宋体"/>
          <w:bCs/>
          <w:color w:val="000000"/>
          <w:sz w:val="24"/>
          <w:szCs w:val="24"/>
        </w:rPr>
      </w:pPr>
      <w:r>
        <w:rPr>
          <w:rFonts w:hint="eastAsia" w:ascii="宋体" w:hAnsi="宋体" w:eastAsia="宋体" w:cs="宋体"/>
          <w:sz w:val="24"/>
          <w:szCs w:val="24"/>
        </w:rPr>
        <w:t>5、中标人在供货期间安全责任自行承担。</w:t>
      </w:r>
    </w:p>
    <w:p w14:paraId="1FDB68EB">
      <w:pPr>
        <w:spacing w:line="400" w:lineRule="exact"/>
        <w:ind w:firstLine="482" w:firstLineChars="200"/>
        <w:rPr>
          <w:rFonts w:hint="eastAsia" w:ascii="宋体" w:hAnsi="宋体" w:eastAsia="宋体" w:cs="宋体"/>
          <w:b/>
          <w:bCs/>
          <w:sz w:val="24"/>
          <w:szCs w:val="24"/>
        </w:rPr>
      </w:pPr>
      <w:bookmarkStart w:id="2" w:name="OLE_LINK49"/>
      <w:r>
        <w:rPr>
          <w:rFonts w:hint="eastAsia" w:ascii="宋体" w:hAnsi="宋体" w:eastAsia="宋体" w:cs="宋体"/>
          <w:b/>
          <w:bCs/>
          <w:sz w:val="24"/>
          <w:szCs w:val="24"/>
        </w:rPr>
        <w:t>（二）验收方式</w:t>
      </w:r>
    </w:p>
    <w:p w14:paraId="137300A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1、交付</w:t>
      </w:r>
      <w:bookmarkStart w:id="3" w:name="OLE_LINK7"/>
      <w:r>
        <w:rPr>
          <w:rFonts w:hint="eastAsia" w:ascii="宋体" w:hAnsi="宋体" w:eastAsia="宋体" w:cs="宋体"/>
          <w:sz w:val="24"/>
          <w:szCs w:val="24"/>
        </w:rPr>
        <w:t>货物</w:t>
      </w:r>
      <w:bookmarkEnd w:id="3"/>
      <w:r>
        <w:rPr>
          <w:rFonts w:hint="eastAsia" w:ascii="宋体" w:hAnsi="宋体" w:eastAsia="宋体" w:cs="宋体"/>
          <w:sz w:val="24"/>
          <w:szCs w:val="24"/>
        </w:rPr>
        <w:t>时，供应商应在</w:t>
      </w:r>
      <w:bookmarkStart w:id="4" w:name="OLE_LINK13"/>
      <w:r>
        <w:rPr>
          <w:rFonts w:hint="eastAsia" w:ascii="宋体" w:hAnsi="宋体" w:eastAsia="宋体" w:cs="宋体"/>
          <w:sz w:val="24"/>
          <w:szCs w:val="24"/>
        </w:rPr>
        <w:t>采购人</w:t>
      </w:r>
      <w:bookmarkEnd w:id="4"/>
      <w:r>
        <w:rPr>
          <w:rFonts w:hint="eastAsia" w:ascii="宋体" w:hAnsi="宋体" w:eastAsia="宋体" w:cs="宋体"/>
          <w:sz w:val="24"/>
          <w:szCs w:val="24"/>
        </w:rPr>
        <w:t>用户单位在场情况下当面交付，共同清点、检查，作出交付记录，双方签字确认。</w:t>
      </w:r>
    </w:p>
    <w:p w14:paraId="0557ABA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2、供应商应当保证货物/服务到达采购人所在地完好无损，如有缺漏、损坏，由供应商负责调换、补齐或赔偿。</w:t>
      </w:r>
    </w:p>
    <w:p w14:paraId="07405A2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3、供应商应随货物/服务提供完备的技术资料、装箱单和合格证等，并派遣专业技术人员进行现场支持。按履约验收方案，验收合格条件如下：</w:t>
      </w:r>
    </w:p>
    <w:p w14:paraId="22DB42E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（1）货物/服务商务参数、技术参数与本合同一致，性能指标达到规定的标准。</w:t>
      </w:r>
    </w:p>
    <w:p w14:paraId="7A2D3B6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（2）货物/服务技术资料、装箱单、合格证等资料齐全。</w:t>
      </w:r>
    </w:p>
    <w:p w14:paraId="4E5099D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（3）在系统试运行</w:t>
      </w:r>
      <w:r>
        <w:rPr>
          <w:rFonts w:hint="eastAsia" w:ascii="宋体" w:hAnsi="宋体" w:eastAsia="宋体" w:cs="宋体"/>
          <w:sz w:val="24"/>
          <w:szCs w:val="24"/>
          <w:lang w:val="en-US" w:eastAsia="zh-CN"/>
        </w:rPr>
        <w:t>三个月内</w:t>
      </w:r>
      <w:r>
        <w:rPr>
          <w:rFonts w:hint="eastAsia" w:ascii="宋体" w:hAnsi="宋体" w:eastAsia="宋体" w:cs="宋体"/>
          <w:sz w:val="24"/>
          <w:szCs w:val="24"/>
        </w:rPr>
        <w:t>所出现的问题得到解决，并运行正常。</w:t>
      </w:r>
    </w:p>
    <w:p w14:paraId="46C0F91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（4）在规定时间内完成交付并验收，并经采购人确认。</w:t>
      </w:r>
    </w:p>
    <w:p w14:paraId="61AD3C2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货物/服务在试运行符合要求后，才作为最终验收。采购人对供应商交付货物的验收仅为表面验收，验收合格不视为供应商对质量问题免责；采购人验收时未提出异议不视为对供应商货物/服务质量合格之认定。若供应商货物存在任何质量问题，采购人有权要求供应商承担相应责任。</w:t>
      </w:r>
    </w:p>
    <w:p w14:paraId="226F45B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5、供应商所交货物的质量指标不得低于采购人招标文件要求、供应商提供的试用货物指标、供应商承诺的质量指标或有关</w:t>
      </w:r>
      <w:bookmarkStart w:id="17" w:name="_GoBack"/>
      <w:bookmarkEnd w:id="17"/>
      <w:r>
        <w:rPr>
          <w:rFonts w:hint="eastAsia" w:ascii="宋体" w:hAnsi="宋体" w:eastAsia="宋体" w:cs="宋体"/>
          <w:sz w:val="24"/>
          <w:szCs w:val="24"/>
        </w:rPr>
        <w:t>国家标准（标准不一致的，以高标准计）。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91DA63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售后服务质量要求，按招标文件和投标文件的内容执行。供应商交付时，采购人可根据需要随机抽取一部分货物/服务送有关权威检测部门检测（费用由供应商承担）；如检测不合格，供应商应承担采购人所支出的检测费用并向采购人赔偿一切损失。供应商所交货物/服务若未达到招标文件要求，且对采购人造成损失的，由供应商承担一切责任，并赔偿所造成的损失。</w:t>
      </w:r>
    </w:p>
    <w:p w14:paraId="1EBF748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如验收不合格，采购人有权单方</w:t>
      </w:r>
      <w:r>
        <w:rPr>
          <w:rFonts w:hint="eastAsia" w:ascii="宋体" w:hAnsi="宋体" w:eastAsia="宋体" w:cs="宋体"/>
          <w:sz w:val="24"/>
          <w:szCs w:val="24"/>
          <w:lang w:eastAsia="zh-CN"/>
        </w:rPr>
        <w:t>终止项目</w:t>
      </w:r>
      <w:r>
        <w:rPr>
          <w:rFonts w:hint="eastAsia" w:ascii="宋体" w:hAnsi="宋体" w:eastAsia="宋体" w:cs="宋体"/>
          <w:sz w:val="24"/>
          <w:szCs w:val="24"/>
        </w:rPr>
        <w:t>并没收履约保证金</w:t>
      </w:r>
      <w:r>
        <w:rPr>
          <w:rFonts w:hint="eastAsia" w:ascii="宋体" w:hAnsi="宋体" w:eastAsia="宋体" w:cs="宋体"/>
          <w:sz w:val="24"/>
          <w:szCs w:val="24"/>
          <w:lang w:eastAsia="zh-CN"/>
        </w:rPr>
        <w:t>，不支付任何款项</w:t>
      </w:r>
      <w:r>
        <w:rPr>
          <w:rFonts w:hint="eastAsia" w:ascii="宋体" w:hAnsi="宋体" w:eastAsia="宋体" w:cs="宋体"/>
          <w:sz w:val="24"/>
          <w:szCs w:val="24"/>
        </w:rPr>
        <w:t>；供应商应当赔偿采购人一切损失，并返还采购人已支付的全部合同款，并据实接受行政主管部门的相关处罚结果。</w:t>
      </w:r>
    </w:p>
    <w:p w14:paraId="05EF820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6、采购人需要对供应商交付的货物/服务（包括质量、技术参数等）进行确认的，供应商应予以配合，并出具书面意见。</w:t>
      </w:r>
    </w:p>
    <w:p w14:paraId="167F34B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7、货物/服务包装材料归采购人所有。供应商负责及时将货物/服务包装材料清运离开采购人所在地，由此产生的费用由供应商自行承担。</w:t>
      </w:r>
      <w:bookmarkEnd w:id="2"/>
    </w:p>
    <w:p w14:paraId="241D5472">
      <w:pPr>
        <w:spacing w:line="400" w:lineRule="exact"/>
        <w:outlineLvl w:val="1"/>
        <w:rPr>
          <w:rFonts w:hint="eastAsia" w:ascii="宋体" w:hAnsi="宋体" w:eastAsia="宋体" w:cs="宋体"/>
          <w:b/>
          <w:snapToGrid w:val="0"/>
          <w:kern w:val="0"/>
          <w:sz w:val="28"/>
          <w:szCs w:val="28"/>
        </w:rPr>
      </w:pPr>
      <w:r>
        <w:rPr>
          <w:rFonts w:hint="eastAsia" w:ascii="宋体" w:hAnsi="宋体" w:eastAsia="宋体" w:cs="宋体"/>
          <w:sz w:val="24"/>
          <w:szCs w:val="28"/>
        </w:rPr>
        <w:br w:type="textWrapping"/>
      </w:r>
      <w:r>
        <w:rPr>
          <w:rFonts w:hint="eastAsia" w:ascii="宋体" w:hAnsi="宋体" w:eastAsia="宋体" w:cs="宋体"/>
          <w:b/>
          <w:snapToGrid w:val="0"/>
          <w:kern w:val="0"/>
          <w:sz w:val="28"/>
          <w:szCs w:val="28"/>
          <w:lang w:eastAsia="zh-CN"/>
        </w:rPr>
        <w:t>八</w:t>
      </w:r>
      <w:r>
        <w:rPr>
          <w:rFonts w:hint="eastAsia" w:ascii="宋体" w:hAnsi="宋体" w:eastAsia="宋体" w:cs="宋体"/>
          <w:b/>
          <w:snapToGrid w:val="0"/>
          <w:kern w:val="0"/>
          <w:sz w:val="28"/>
          <w:szCs w:val="28"/>
        </w:rPr>
        <w:t>、质量保证及售后服务</w:t>
      </w:r>
    </w:p>
    <w:p w14:paraId="27841D21">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（一）产品质量保证期</w:t>
      </w:r>
    </w:p>
    <w:p w14:paraId="7F5C5745">
      <w:pPr>
        <w:pStyle w:val="10"/>
        <w:spacing w:line="360" w:lineRule="auto"/>
        <w:ind w:left="719" w:leftChars="114" w:right="-255" w:hanging="480" w:hangingChars="200"/>
        <w:jc w:val="left"/>
        <w:rPr>
          <w:rFonts w:hint="eastAsia" w:hAnsi="宋体" w:eastAsia="宋体" w:cs="宋体"/>
          <w:color w:val="auto"/>
          <w:sz w:val="24"/>
          <w:szCs w:val="24"/>
        </w:rPr>
      </w:pPr>
      <w:r>
        <w:rPr>
          <w:rFonts w:hint="eastAsia" w:hAnsi="宋体" w:eastAsia="宋体" w:cs="宋体"/>
          <w:color w:val="000000"/>
          <w:sz w:val="24"/>
          <w:szCs w:val="24"/>
        </w:rPr>
        <w:t>1、自验收合格且通过安装调试之日起，其投标产品质量保证期达</w:t>
      </w:r>
      <w:r>
        <w:rPr>
          <w:rFonts w:hint="eastAsia" w:hAnsi="宋体" w:eastAsia="宋体" w:cs="宋体"/>
          <w:color w:val="auto"/>
          <w:sz w:val="24"/>
          <w:szCs w:val="24"/>
        </w:rPr>
        <w:t>到</w:t>
      </w:r>
      <w:r>
        <w:rPr>
          <w:rFonts w:hint="eastAsia" w:hAnsi="宋体" w:eastAsia="宋体" w:cs="宋体"/>
          <w:color w:val="auto"/>
          <w:sz w:val="24"/>
          <w:szCs w:val="24"/>
          <w:u w:val="single"/>
          <w:lang w:val="en-US" w:eastAsia="zh-CN"/>
        </w:rPr>
        <w:t xml:space="preserve"> 6 </w:t>
      </w:r>
      <w:r>
        <w:rPr>
          <w:rFonts w:hint="eastAsia" w:hAnsi="宋体" w:eastAsia="宋体" w:cs="宋体"/>
          <w:color w:val="auto"/>
          <w:sz w:val="24"/>
          <w:szCs w:val="24"/>
        </w:rPr>
        <w:t>年。</w:t>
      </w:r>
    </w:p>
    <w:p w14:paraId="42D1AED8">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（二）售后服务内容</w:t>
      </w:r>
    </w:p>
    <w:p w14:paraId="265A2E3E">
      <w:pPr>
        <w:pStyle w:val="10"/>
        <w:spacing w:line="360" w:lineRule="auto"/>
        <w:ind w:right="-255" w:firstLine="480" w:firstLineChars="200"/>
        <w:rPr>
          <w:rFonts w:hint="eastAsia" w:hAnsi="宋体" w:eastAsia="宋体" w:cs="宋体"/>
          <w:color w:val="000000"/>
          <w:sz w:val="24"/>
          <w:szCs w:val="24"/>
        </w:rPr>
      </w:pPr>
      <w:r>
        <w:rPr>
          <w:rFonts w:hint="eastAsia" w:hAnsi="宋体" w:eastAsia="宋体" w:cs="宋体"/>
          <w:color w:val="000000"/>
          <w:sz w:val="24"/>
          <w:szCs w:val="24"/>
        </w:rPr>
        <w:t>供应商所报产品提供原厂质保，在质量保证期内应当为采购人提供以下技术支持服务：</w:t>
      </w:r>
    </w:p>
    <w:p w14:paraId="27331953">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1、质量保证期内服务要求</w:t>
      </w:r>
    </w:p>
    <w:p w14:paraId="23AF6876">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（1）电话咨询：供应商和厂家应当为用户提供技术援助电话，解答用户在使用中遇到的问题，及时为用户提出解决问题的建议。</w:t>
      </w:r>
    </w:p>
    <w:p w14:paraId="1841F8BF">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 xml:space="preserve">（2）现场响应：用户遇到使用及技术问题，电话咨询不能解决的，供应商或厂家的服务人员应在1小时内响应并采取相应措施，提供上门服务，确保产品正常工作。 </w:t>
      </w:r>
    </w:p>
    <w:p w14:paraId="14D7ADB7">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（3）技术升级：在质保期内，如果供应商和厂家的产品技术升级，供应商应及时通知采购人；如采购人有相应要求，供应商和厂家应对采购人进行升级服务。</w:t>
      </w:r>
    </w:p>
    <w:p w14:paraId="72BC1342">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4）故障响应时间要求：在质保期内，属质量问题者无条件保修。要求具备相应的维护保养服务能力，包括拥有本次所出售设备的备件、专用设备，拥有属其公司的可随时上门做维修及检测服务的专业技术人员。售后响应时间：1小时内响应；4小时内上门；8小时内修好。</w:t>
      </w:r>
    </w:p>
    <w:p w14:paraId="4EC3EED8">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 xml:space="preserve"> （5）维修配件：供应商售后服务中，使用的维修零配件应为原厂配件，未经用户同意不得使用非原厂配件。</w:t>
      </w:r>
    </w:p>
    <w:p w14:paraId="4C4C8842">
      <w:pPr>
        <w:pStyle w:val="10"/>
        <w:spacing w:line="360" w:lineRule="auto"/>
        <w:ind w:right="-255" w:firstLine="480" w:firstLineChars="200"/>
        <w:rPr>
          <w:rFonts w:hint="eastAsia" w:hAnsi="宋体" w:eastAsia="宋体" w:cs="宋体"/>
          <w:color w:val="000000"/>
          <w:sz w:val="24"/>
          <w:szCs w:val="24"/>
        </w:rPr>
      </w:pPr>
      <w:r>
        <w:rPr>
          <w:rFonts w:hint="eastAsia" w:hAnsi="宋体" w:eastAsia="宋体" w:cs="宋体"/>
          <w:color w:val="000000"/>
          <w:sz w:val="24"/>
          <w:szCs w:val="24"/>
        </w:rPr>
        <w:t>2、质量保证期外服务要求</w:t>
      </w:r>
    </w:p>
    <w:p w14:paraId="3560635D">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（1）质量保证期过后，供应商和厂家应同样提供免费电话咨询服务，并应承诺提供产品上门维护服务。</w:t>
      </w:r>
    </w:p>
    <w:p w14:paraId="6FB9F036">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（2）质量保证期过后，采购人需要继续由原供应商和厂家提供售后服务的，该供应商和厂家应以优惠价格提供售后服务。</w:t>
      </w:r>
    </w:p>
    <w:p w14:paraId="157BC010">
      <w:pPr>
        <w:pStyle w:val="10"/>
        <w:spacing w:line="360" w:lineRule="auto"/>
        <w:ind w:right="-255" w:firstLine="240" w:firstLineChars="100"/>
        <w:rPr>
          <w:rFonts w:hint="eastAsia"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color w:val="000000"/>
          <w:sz w:val="24"/>
          <w:szCs w:val="24"/>
          <w:lang w:eastAsia="zh-CN"/>
        </w:rPr>
        <w:t>三</w:t>
      </w:r>
      <w:r>
        <w:rPr>
          <w:rFonts w:hint="eastAsia" w:hAnsi="宋体" w:eastAsia="宋体" w:cs="宋体"/>
          <w:color w:val="000000"/>
          <w:sz w:val="24"/>
          <w:szCs w:val="24"/>
        </w:rPr>
        <w:t>）维修配件</w:t>
      </w:r>
    </w:p>
    <w:p w14:paraId="6357B742">
      <w:pPr>
        <w:pStyle w:val="10"/>
        <w:spacing w:line="360" w:lineRule="auto"/>
        <w:ind w:right="-255" w:firstLine="480" w:firstLineChars="200"/>
      </w:pPr>
      <w:r>
        <w:rPr>
          <w:rFonts w:hint="eastAsia" w:hAnsi="宋体" w:eastAsia="宋体" w:cs="宋体"/>
          <w:color w:val="000000"/>
          <w:sz w:val="24"/>
          <w:szCs w:val="24"/>
        </w:rPr>
        <w:t>质保期内非人为故障均为免费维修，质保期后的维保采用先维修后付款的方式，终身免费维修，只收取配件或耗材成本费。</w:t>
      </w:r>
    </w:p>
    <w:p w14:paraId="4029125E">
      <w:pPr>
        <w:pStyle w:val="10"/>
        <w:spacing w:line="440" w:lineRule="exac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lang w:eastAsia="zh-CN"/>
        </w:rPr>
        <w:t>九</w:t>
      </w:r>
      <w:r>
        <w:rPr>
          <w:rFonts w:hint="eastAsia" w:hAnsi="宋体" w:eastAsia="宋体" w:cs="宋体"/>
          <w:b/>
          <w:snapToGrid w:val="0"/>
          <w:kern w:val="0"/>
          <w:sz w:val="28"/>
          <w:szCs w:val="28"/>
        </w:rPr>
        <w:t>、其他说明</w:t>
      </w:r>
    </w:p>
    <w:p w14:paraId="360DDB7D">
      <w:pPr>
        <w:pStyle w:val="12"/>
        <w:spacing w:line="440" w:lineRule="exact"/>
        <w:ind w:firstLine="480" w:firstLineChars="200"/>
        <w:rPr>
          <w:rFonts w:hint="eastAsia" w:ascii="宋体" w:hAnsi="宋体" w:cs="宋体"/>
          <w:sz w:val="24"/>
          <w:szCs w:val="24"/>
        </w:rPr>
      </w:pPr>
      <w:r>
        <w:rPr>
          <w:rFonts w:hint="eastAsia" w:ascii="宋体" w:hAnsi="宋体" w:cs="宋体"/>
          <w:sz w:val="24"/>
          <w:szCs w:val="24"/>
        </w:rPr>
        <w:t>（一）供货及安装、服务期间，所有安全责任全部由中标人承担。</w:t>
      </w:r>
    </w:p>
    <w:p w14:paraId="18149E4F">
      <w:pPr>
        <w:pStyle w:val="12"/>
        <w:spacing w:line="440" w:lineRule="exact"/>
        <w:ind w:firstLine="480" w:firstLineChars="200"/>
        <w:rPr>
          <w:rFonts w:hint="eastAsia" w:ascii="宋体" w:hAnsi="宋体" w:cs="宋体"/>
          <w:sz w:val="24"/>
          <w:szCs w:val="24"/>
        </w:rPr>
      </w:pPr>
      <w:r>
        <w:rPr>
          <w:rFonts w:hint="eastAsia" w:ascii="宋体" w:hAnsi="宋体" w:cs="宋体"/>
          <w:sz w:val="24"/>
          <w:szCs w:val="24"/>
        </w:rPr>
        <w:t>（二）供应商对其提供产品的使用和操作应尽培训义务。供应商应提供对采购人的基本免费培训，使采购人使用人员能够正常操作。</w:t>
      </w:r>
    </w:p>
    <w:p w14:paraId="673D63D0">
      <w:pPr>
        <w:pStyle w:val="12"/>
        <w:spacing w:line="440" w:lineRule="exact"/>
        <w:ind w:firstLine="480" w:firstLineChars="200"/>
        <w:rPr>
          <w:rFonts w:hint="eastAsia" w:ascii="宋体" w:hAnsi="宋体" w:cs="宋体"/>
          <w:sz w:val="24"/>
          <w:szCs w:val="24"/>
        </w:rPr>
      </w:pPr>
      <w:r>
        <w:rPr>
          <w:rFonts w:hint="eastAsia" w:ascii="宋体" w:hAnsi="宋体" w:cs="宋体"/>
          <w:sz w:val="24"/>
          <w:szCs w:val="24"/>
        </w:rPr>
        <w:t>（三）采购人在中华人民共和国境内使用成交供应商提供的货物及服务时免受第三方提出的侵犯其专利权或其它知识产权的起诉。如果第三方提出侵权指控，成交供应商应承担由此而引起的一切法律责任和费用。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8455259">
      <w:pPr>
        <w:pStyle w:val="10"/>
        <w:spacing w:line="440" w:lineRule="exac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rPr>
        <w:br w:type="textWrapping"/>
      </w:r>
      <w:r>
        <w:rPr>
          <w:rFonts w:hint="eastAsia" w:hAnsi="宋体" w:eastAsia="宋体" w:cs="宋体"/>
          <w:b/>
          <w:snapToGrid w:val="0"/>
          <w:kern w:val="0"/>
          <w:sz w:val="28"/>
          <w:szCs w:val="28"/>
        </w:rPr>
        <w:t>十、联系方式</w:t>
      </w:r>
    </w:p>
    <w:p w14:paraId="0B7B81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采购执行方：重庆医科大学招标采购中心</w:t>
      </w:r>
    </w:p>
    <w:p w14:paraId="0F3F5BC0">
      <w:pPr>
        <w:spacing w:line="360" w:lineRule="auto"/>
        <w:ind w:left="720" w:firstLine="720" w:firstLineChars="300"/>
        <w:rPr>
          <w:rFonts w:hint="eastAsia" w:ascii="宋体" w:hAnsi="宋体" w:eastAsia="宋体" w:cs="宋体"/>
          <w:sz w:val="24"/>
          <w:szCs w:val="24"/>
        </w:rPr>
      </w:pPr>
      <w:r>
        <w:rPr>
          <w:rFonts w:hint="eastAsia" w:ascii="宋体" w:hAnsi="宋体" w:eastAsia="宋体" w:cs="宋体"/>
          <w:sz w:val="24"/>
          <w:szCs w:val="24"/>
        </w:rPr>
        <w:t>联系人：李</w:t>
      </w:r>
      <w:r>
        <w:rPr>
          <w:rFonts w:ascii="宋体" w:hAnsi="宋体" w:eastAsia="宋体" w:cs="宋体"/>
          <w:sz w:val="24"/>
          <w:szCs w:val="24"/>
        </w:rPr>
        <w:t>老师</w:t>
      </w:r>
    </w:p>
    <w:p w14:paraId="1D09A6ED">
      <w:pPr>
        <w:spacing w:line="360" w:lineRule="auto"/>
        <w:ind w:left="720" w:firstLine="720" w:firstLineChars="300"/>
        <w:rPr>
          <w:rFonts w:hint="eastAsia" w:ascii="宋体" w:hAnsi="宋体" w:eastAsia="宋体" w:cs="宋体"/>
          <w:sz w:val="24"/>
          <w:szCs w:val="24"/>
        </w:rPr>
      </w:pPr>
      <w:r>
        <w:rPr>
          <w:rFonts w:hint="eastAsia" w:ascii="宋体" w:hAnsi="宋体" w:eastAsia="宋体" w:cs="宋体"/>
          <w:sz w:val="24"/>
          <w:szCs w:val="24"/>
        </w:rPr>
        <w:t>电  话：</w:t>
      </w:r>
      <w:r>
        <w:rPr>
          <w:rFonts w:ascii="宋体" w:hAnsi="宋体" w:eastAsia="宋体" w:cs="宋体"/>
          <w:sz w:val="24"/>
          <w:szCs w:val="24"/>
        </w:rPr>
        <w:t>023-</w:t>
      </w:r>
      <w:r>
        <w:rPr>
          <w:rFonts w:hint="eastAsia" w:ascii="宋体" w:hAnsi="宋体" w:eastAsia="宋体" w:cs="宋体"/>
          <w:sz w:val="24"/>
          <w:szCs w:val="24"/>
        </w:rPr>
        <w:t>68485118</w:t>
      </w:r>
    </w:p>
    <w:p w14:paraId="301FD4BB">
      <w:pPr>
        <w:spacing w:line="440" w:lineRule="exact"/>
        <w:ind w:firstLine="720" w:firstLineChars="300"/>
        <w:rPr>
          <w:rFonts w:hint="eastAsia" w:ascii="宋体" w:hAnsi="宋体" w:eastAsia="宋体" w:cs="宋体"/>
          <w:bCs/>
          <w:color w:val="000000"/>
          <w:sz w:val="24"/>
          <w:szCs w:val="24"/>
        </w:rPr>
      </w:pPr>
      <w:r>
        <w:rPr>
          <w:rFonts w:hint="eastAsia" w:ascii="宋体" w:hAnsi="宋体" w:eastAsia="宋体" w:cs="宋体"/>
          <w:sz w:val="24"/>
          <w:szCs w:val="24"/>
        </w:rPr>
        <w:t xml:space="preserve">      地  址：</w:t>
      </w:r>
      <w:r>
        <w:rPr>
          <w:rFonts w:hint="eastAsia" w:ascii="宋体" w:hAnsi="宋体" w:eastAsia="宋体" w:cs="宋体"/>
          <w:bCs/>
          <w:color w:val="000000"/>
          <w:sz w:val="24"/>
          <w:szCs w:val="24"/>
        </w:rPr>
        <w:t>重庆医科大学袁家岗校区南楼B</w:t>
      </w:r>
      <w:r>
        <w:rPr>
          <w:rFonts w:hint="eastAsia" w:ascii="宋体" w:hAnsi="宋体" w:eastAsia="宋体" w:cs="宋体"/>
          <w:bCs/>
          <w:color w:val="000000"/>
          <w:sz w:val="24"/>
          <w:szCs w:val="24"/>
          <w:lang w:val="en-US" w:eastAsia="zh-CN"/>
        </w:rPr>
        <w:t>129</w:t>
      </w:r>
      <w:r>
        <w:rPr>
          <w:rFonts w:hint="eastAsia" w:ascii="宋体" w:hAnsi="宋体" w:eastAsia="宋体" w:cs="宋体"/>
          <w:bCs/>
          <w:color w:val="000000"/>
          <w:sz w:val="24"/>
          <w:szCs w:val="24"/>
        </w:rPr>
        <w:t>招标采购中心</w:t>
      </w:r>
    </w:p>
    <w:p w14:paraId="19F17814">
      <w:pPr>
        <w:pStyle w:val="14"/>
        <w:rPr>
          <w:rFonts w:eastAsia="宋体"/>
        </w:rPr>
      </w:pPr>
    </w:p>
    <w:p w14:paraId="549CED8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采购需求方：</w:t>
      </w:r>
      <w:r>
        <w:rPr>
          <w:rFonts w:hint="eastAsia" w:ascii="宋体" w:hAnsi="宋体" w:eastAsia="宋体" w:cs="宋体"/>
          <w:sz w:val="24"/>
          <w:szCs w:val="24"/>
          <w:lang w:eastAsia="zh-CN"/>
        </w:rPr>
        <w:t>重庆医科大学后勤管理处</w:t>
      </w:r>
    </w:p>
    <w:p w14:paraId="1823530A">
      <w:pPr>
        <w:spacing w:line="360" w:lineRule="auto"/>
        <w:rPr>
          <w:rFonts w:hint="default" w:ascii="宋体" w:hAnsi="宋体" w:cs="宋体" w:eastAsiaTheme="minorEastAsia"/>
          <w:color w:val="auto"/>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联系人：</w:t>
      </w:r>
      <w:r>
        <w:rPr>
          <w:rFonts w:hint="eastAsia" w:ascii="宋体" w:hAnsi="宋体" w:eastAsia="宋体" w:cs="宋体"/>
          <w:sz w:val="24"/>
          <w:szCs w:val="24"/>
          <w:lang w:val="en-US" w:eastAsia="zh-CN"/>
        </w:rPr>
        <w:t>吴老师</w:t>
      </w:r>
    </w:p>
    <w:p w14:paraId="6C26AABF">
      <w:pPr>
        <w:pStyle w:val="14"/>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lang w:val="en-US" w:eastAsia="zh-CN"/>
        </w:rPr>
        <w:t>13996239374</w:t>
      </w:r>
    </w:p>
    <w:p w14:paraId="789D6618">
      <w:pPr>
        <w:pStyle w:val="10"/>
        <w:spacing w:line="440" w:lineRule="exac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一</w:t>
      </w:r>
      <w:r>
        <w:rPr>
          <w:rFonts w:hint="eastAsia" w:hAnsi="宋体" w:eastAsia="宋体" w:cs="宋体"/>
          <w:b/>
          <w:snapToGrid w:val="0"/>
          <w:kern w:val="0"/>
          <w:sz w:val="28"/>
          <w:szCs w:val="28"/>
        </w:rPr>
        <w:t>、成交及废标原则</w:t>
      </w:r>
    </w:p>
    <w:p w14:paraId="57A2EC0B">
      <w:pPr>
        <w:pStyle w:val="12"/>
        <w:spacing w:line="440" w:lineRule="exact"/>
        <w:ind w:firstLine="480" w:firstLineChars="200"/>
        <w:rPr>
          <w:rFonts w:hint="eastAsia" w:hAnsi="宋体"/>
          <w:color w:val="000000"/>
          <w:sz w:val="24"/>
          <w:szCs w:val="24"/>
        </w:rPr>
      </w:pPr>
      <w:r>
        <w:rPr>
          <w:rFonts w:hint="eastAsia" w:hAnsi="宋体"/>
          <w:color w:val="000000"/>
          <w:sz w:val="24"/>
          <w:szCs w:val="24"/>
        </w:rPr>
        <w:t>（一）成交原则：</w:t>
      </w:r>
    </w:p>
    <w:p w14:paraId="715C0746">
      <w:pPr>
        <w:pStyle w:val="12"/>
        <w:spacing w:line="440" w:lineRule="exact"/>
        <w:ind w:firstLine="480" w:firstLineChars="200"/>
        <w:rPr>
          <w:rFonts w:hint="eastAsia" w:hAnsi="宋体"/>
          <w:color w:val="000000"/>
          <w:sz w:val="24"/>
          <w:szCs w:val="24"/>
        </w:rPr>
      </w:pPr>
      <w:r>
        <w:rPr>
          <w:rFonts w:hint="eastAsia" w:hAnsi="宋体"/>
          <w:color w:val="000000"/>
          <w:sz w:val="24"/>
          <w:szCs w:val="24"/>
        </w:rPr>
        <w:t>在符合项目要求的供应商数量不少于“3家”的前提下，按报价最低的原则推荐成交供应商，如出现两个以上相同最低报价的，由采购人自行选择成交供应商。</w:t>
      </w:r>
    </w:p>
    <w:p w14:paraId="3ED7B176">
      <w:pPr>
        <w:pStyle w:val="12"/>
        <w:spacing w:line="440" w:lineRule="exact"/>
        <w:ind w:firstLine="480" w:firstLineChars="200"/>
        <w:rPr>
          <w:rFonts w:hint="eastAsia" w:hAnsi="宋体"/>
          <w:color w:val="000000"/>
          <w:sz w:val="24"/>
          <w:szCs w:val="24"/>
        </w:rPr>
      </w:pPr>
      <w:r>
        <w:rPr>
          <w:rFonts w:hint="eastAsia" w:hAnsi="宋体"/>
          <w:color w:val="000000"/>
          <w:sz w:val="24"/>
          <w:szCs w:val="24"/>
        </w:rPr>
        <w:t>（二）采购异议处理：</w:t>
      </w:r>
    </w:p>
    <w:p w14:paraId="51826B1C">
      <w:pPr>
        <w:pStyle w:val="12"/>
        <w:spacing w:line="440" w:lineRule="exact"/>
        <w:ind w:firstLine="480" w:firstLineChars="200"/>
        <w:rPr>
          <w:rFonts w:hint="eastAsia" w:hAnsi="宋体"/>
          <w:sz w:val="24"/>
          <w:szCs w:val="24"/>
        </w:rPr>
      </w:pPr>
      <w:r>
        <w:rPr>
          <w:rFonts w:hint="eastAsia" w:hAnsi="宋体"/>
          <w:color w:val="000000"/>
          <w:sz w:val="24"/>
          <w:szCs w:val="24"/>
        </w:rPr>
        <w:t>1、供应商对采购文件中供应商特定资格条件、技术质量和商务要求、评审标准及评审细则有异议</w:t>
      </w:r>
      <w:r>
        <w:rPr>
          <w:rFonts w:hint="eastAsia" w:hAnsi="宋体"/>
          <w:sz w:val="24"/>
          <w:szCs w:val="24"/>
        </w:rPr>
        <w:t>的，应以书面形式在询价公告发布之日起2个日历日内及时向采购人提出。</w:t>
      </w:r>
    </w:p>
    <w:p w14:paraId="3F9A0C45">
      <w:pPr>
        <w:pStyle w:val="12"/>
        <w:spacing w:line="440" w:lineRule="exact"/>
        <w:ind w:firstLine="480" w:firstLineChars="200"/>
        <w:rPr>
          <w:rFonts w:hint="eastAsia" w:hAnsi="宋体"/>
          <w:color w:val="000000"/>
          <w:sz w:val="24"/>
          <w:szCs w:val="24"/>
        </w:rPr>
      </w:pPr>
      <w:r>
        <w:rPr>
          <w:rFonts w:hint="eastAsia" w:hAnsi="宋体"/>
          <w:color w:val="000000"/>
          <w:sz w:val="24"/>
          <w:szCs w:val="24"/>
        </w:rPr>
        <w:t>2、供应商对成交结果或中标结果有异议的，应当在成交预公示发布之日起1个日历日内以书面形式向采购人提出，并附相关证明材料。</w:t>
      </w:r>
    </w:p>
    <w:p w14:paraId="279025F2">
      <w:pPr>
        <w:pStyle w:val="12"/>
        <w:spacing w:line="440" w:lineRule="exact"/>
        <w:ind w:firstLine="480" w:firstLineChars="200"/>
        <w:rPr>
          <w:rFonts w:hint="eastAsia" w:hAnsi="宋体"/>
          <w:color w:val="000000"/>
          <w:sz w:val="24"/>
          <w:szCs w:val="24"/>
        </w:rPr>
      </w:pPr>
      <w:r>
        <w:rPr>
          <w:rFonts w:hint="eastAsia" w:hAnsi="宋体"/>
          <w:color w:val="000000"/>
          <w:sz w:val="24"/>
          <w:szCs w:val="24"/>
        </w:rPr>
        <w:t>3、采购人在收到供应商书面异议后3个工作日内，通过书面方式对异议进行答复。</w:t>
      </w:r>
    </w:p>
    <w:p w14:paraId="3E4F374C">
      <w:pPr>
        <w:pStyle w:val="12"/>
        <w:spacing w:line="440" w:lineRule="exact"/>
        <w:ind w:firstLine="480" w:firstLineChars="200"/>
        <w:rPr>
          <w:rFonts w:hint="eastAsia" w:hAnsi="宋体"/>
          <w:color w:val="000000"/>
          <w:sz w:val="24"/>
          <w:szCs w:val="24"/>
        </w:rPr>
      </w:pPr>
      <w:r>
        <w:rPr>
          <w:rFonts w:hint="eastAsia" w:hAnsi="宋体"/>
          <w:color w:val="000000"/>
          <w:sz w:val="24"/>
          <w:szCs w:val="24"/>
        </w:rPr>
        <w:t>4、对于供应商弄虚作假、恶意中标或中标后</w:t>
      </w:r>
      <w:r>
        <w:rPr>
          <w:rFonts w:hint="eastAsia" w:hAnsi="宋体"/>
          <w:color w:val="000000"/>
          <w:sz w:val="24"/>
          <w:szCs w:val="24"/>
          <w:lang w:eastAsia="zh-CN"/>
        </w:rPr>
        <w:t>无正当理由放弃中标资格，</w:t>
      </w:r>
      <w:r>
        <w:rPr>
          <w:rFonts w:hint="eastAsia" w:hAnsi="宋体"/>
          <w:color w:val="000000"/>
          <w:sz w:val="24"/>
          <w:szCs w:val="24"/>
        </w:rPr>
        <w:t>不履行服务承诺</w:t>
      </w:r>
      <w:r>
        <w:rPr>
          <w:rFonts w:hint="eastAsia" w:hAnsi="宋体"/>
          <w:color w:val="000000"/>
          <w:sz w:val="24"/>
          <w:szCs w:val="24"/>
          <w:lang w:eastAsia="zh-CN"/>
        </w:rPr>
        <w:t>、拒绝签订经济合同</w:t>
      </w:r>
      <w:r>
        <w:rPr>
          <w:rFonts w:hint="eastAsia" w:hAnsi="宋体"/>
          <w:color w:val="000000"/>
          <w:sz w:val="24"/>
          <w:szCs w:val="24"/>
        </w:rPr>
        <w:t>等不良行为，采购人有权取消其中标资格或扣除全部保证金。情节严重者，直接列入“重庆医科大学</w:t>
      </w:r>
      <w:r>
        <w:rPr>
          <w:rFonts w:hint="eastAsia" w:hAnsi="宋体"/>
          <w:color w:val="000000"/>
          <w:sz w:val="24"/>
          <w:szCs w:val="24"/>
          <w:lang w:eastAsia="zh-CN"/>
        </w:rPr>
        <w:t>失信惩戒对象名单</w:t>
      </w:r>
      <w:r>
        <w:rPr>
          <w:rFonts w:hint="eastAsia" w:hAnsi="宋体"/>
          <w:color w:val="000000"/>
          <w:sz w:val="24"/>
          <w:szCs w:val="24"/>
        </w:rPr>
        <w:t>”。</w:t>
      </w:r>
    </w:p>
    <w:p w14:paraId="3F6AA3B8">
      <w:pPr>
        <w:pStyle w:val="12"/>
        <w:spacing w:line="440" w:lineRule="exact"/>
        <w:ind w:firstLine="480" w:firstLineChars="200"/>
        <w:rPr>
          <w:rFonts w:hint="eastAsia" w:hAnsi="宋体"/>
          <w:color w:val="000000"/>
          <w:sz w:val="24"/>
          <w:szCs w:val="24"/>
        </w:rPr>
      </w:pPr>
      <w:r>
        <w:rPr>
          <w:rFonts w:hint="eastAsia" w:hAnsi="宋体"/>
          <w:color w:val="000000"/>
          <w:sz w:val="24"/>
          <w:szCs w:val="24"/>
        </w:rPr>
        <w:t>（三）废标条款</w:t>
      </w:r>
    </w:p>
    <w:p w14:paraId="7594A5E1">
      <w:pPr>
        <w:pStyle w:val="12"/>
        <w:spacing w:line="440" w:lineRule="exact"/>
        <w:ind w:firstLine="480" w:firstLineChars="200"/>
        <w:rPr>
          <w:rFonts w:hint="eastAsia" w:hAnsi="宋体"/>
          <w:color w:val="000000"/>
          <w:sz w:val="24"/>
          <w:szCs w:val="24"/>
        </w:rPr>
      </w:pPr>
      <w:r>
        <w:rPr>
          <w:rFonts w:hint="eastAsia" w:hAnsi="宋体"/>
          <w:color w:val="000000"/>
          <w:sz w:val="24"/>
          <w:szCs w:val="24"/>
        </w:rPr>
        <w:t>出现下列情形之一的，采购人有权终止询价采购活动，发布项目终止公告并说明原因，根据采购人需求视情进行重新采购：</w:t>
      </w:r>
    </w:p>
    <w:p w14:paraId="07F2372A">
      <w:pPr>
        <w:pStyle w:val="12"/>
        <w:spacing w:line="440" w:lineRule="exact"/>
        <w:ind w:left="479" w:leftChars="228" w:firstLine="0"/>
        <w:rPr>
          <w:rFonts w:hint="eastAsia" w:hAnsi="宋体"/>
          <w:color w:val="000000"/>
          <w:sz w:val="24"/>
          <w:szCs w:val="24"/>
        </w:rPr>
      </w:pPr>
      <w:r>
        <w:rPr>
          <w:rFonts w:hint="eastAsia" w:hAnsi="宋体"/>
          <w:color w:val="000000"/>
          <w:sz w:val="24"/>
          <w:szCs w:val="24"/>
        </w:rPr>
        <w:t>1、因采购人需求做了变更，又无法补遗的情况下；</w:t>
      </w:r>
    </w:p>
    <w:p w14:paraId="6EB9A658">
      <w:pPr>
        <w:pStyle w:val="12"/>
        <w:spacing w:line="440" w:lineRule="exact"/>
        <w:ind w:left="479" w:leftChars="228" w:firstLine="0"/>
        <w:rPr>
          <w:rFonts w:hint="eastAsia" w:hAnsi="宋体"/>
          <w:color w:val="000000"/>
          <w:sz w:val="24"/>
          <w:szCs w:val="24"/>
        </w:rPr>
      </w:pPr>
      <w:r>
        <w:rPr>
          <w:rFonts w:hint="eastAsia" w:hAnsi="宋体"/>
          <w:color w:val="000000"/>
          <w:sz w:val="24"/>
          <w:szCs w:val="24"/>
        </w:rPr>
        <w:t>2、出现影响采购公正的违法、违规行为的；</w:t>
      </w:r>
    </w:p>
    <w:p w14:paraId="67B30C7F">
      <w:pPr>
        <w:pStyle w:val="12"/>
        <w:spacing w:line="440" w:lineRule="exact"/>
        <w:ind w:left="479" w:leftChars="228" w:firstLine="0"/>
        <w:rPr>
          <w:rFonts w:hint="eastAsia" w:hAnsi="宋体"/>
          <w:color w:val="000000"/>
          <w:sz w:val="24"/>
          <w:szCs w:val="24"/>
        </w:rPr>
      </w:pPr>
      <w:r>
        <w:rPr>
          <w:rFonts w:hint="eastAsia" w:hAnsi="宋体"/>
          <w:color w:val="000000"/>
          <w:sz w:val="24"/>
          <w:szCs w:val="24"/>
        </w:rPr>
        <w:t>3、在采购过程中符合竞争要求的供应商或者报价未超过采购预算的供应商不足3家的；</w:t>
      </w:r>
    </w:p>
    <w:p w14:paraId="385F86C9">
      <w:pPr>
        <w:pStyle w:val="12"/>
        <w:spacing w:line="440" w:lineRule="exact"/>
        <w:ind w:firstLine="480" w:firstLineChars="200"/>
        <w:rPr>
          <w:rFonts w:hint="eastAsia" w:hAnsi="宋体"/>
          <w:color w:val="000000"/>
          <w:sz w:val="24"/>
          <w:szCs w:val="24"/>
        </w:rPr>
      </w:pPr>
      <w:r>
        <w:rPr>
          <w:rFonts w:hint="eastAsia" w:hAnsi="宋体"/>
          <w:color w:val="000000"/>
          <w:sz w:val="24"/>
          <w:szCs w:val="24"/>
        </w:rPr>
        <w:t>4、开标后，采购人需求做出改变，与询价需求严重不符时，采购人有权取消本次询价采购，并说明原因。</w:t>
      </w:r>
    </w:p>
    <w:p w14:paraId="794C321A">
      <w:pPr>
        <w:pStyle w:val="12"/>
        <w:spacing w:line="440" w:lineRule="exact"/>
        <w:ind w:firstLine="480" w:firstLineChars="200"/>
        <w:rPr>
          <w:rFonts w:hint="eastAsia" w:hAnsi="宋体"/>
          <w:color w:val="000000"/>
          <w:sz w:val="24"/>
          <w:szCs w:val="24"/>
        </w:rPr>
      </w:pPr>
      <w:r>
        <w:rPr>
          <w:rFonts w:hint="eastAsia" w:hAnsi="宋体"/>
          <w:color w:val="000000"/>
          <w:sz w:val="24"/>
          <w:szCs w:val="24"/>
        </w:rPr>
        <w:t>（四）成交供应商的变更情况</w:t>
      </w:r>
    </w:p>
    <w:p w14:paraId="4EFD1A88">
      <w:pPr>
        <w:pStyle w:val="12"/>
        <w:spacing w:line="440" w:lineRule="exact"/>
        <w:ind w:firstLine="480" w:firstLineChars="200"/>
        <w:rPr>
          <w:rFonts w:hint="eastAsia" w:hAnsi="宋体"/>
          <w:color w:val="000000"/>
          <w:sz w:val="24"/>
          <w:szCs w:val="24"/>
        </w:rPr>
      </w:pPr>
      <w:r>
        <w:rPr>
          <w:rFonts w:hint="eastAsia" w:hAnsi="宋体"/>
          <w:color w:val="000000"/>
          <w:sz w:val="24"/>
          <w:szCs w:val="24"/>
        </w:rPr>
        <w:t>成交供应商因不可抗力或者自身原因不能履行合同的，采购人可以确定排名其后一位的成交候选人为成交供应商或重新组织挂网招标。</w:t>
      </w:r>
    </w:p>
    <w:p w14:paraId="221F696A">
      <w:pPr>
        <w:rPr>
          <w:rFonts w:hint="eastAsia" w:hAnsi="宋体" w:eastAsia="宋体" w:cs="宋体"/>
          <w:b/>
          <w:snapToGrid w:val="0"/>
          <w:kern w:val="0"/>
          <w:sz w:val="28"/>
          <w:szCs w:val="28"/>
        </w:rPr>
      </w:pPr>
      <w:r>
        <w:rPr>
          <w:rFonts w:hint="eastAsia" w:hAnsi="宋体" w:eastAsia="宋体" w:cs="宋体"/>
          <w:b/>
          <w:snapToGrid w:val="0"/>
          <w:kern w:val="0"/>
          <w:sz w:val="28"/>
          <w:szCs w:val="28"/>
        </w:rPr>
        <w:br w:type="page"/>
      </w:r>
    </w:p>
    <w:p w14:paraId="4FA6B969">
      <w:pPr>
        <w:pStyle w:val="10"/>
        <w:spacing w:line="440" w:lineRule="exact"/>
        <w:outlineLvl w:val="1"/>
        <w:rPr>
          <w:rFonts w:hint="eastAsia" w:hAnsi="宋体"/>
          <w:bCs/>
          <w:color w:val="000000"/>
          <w:sz w:val="24"/>
          <w:szCs w:val="24"/>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二</w:t>
      </w:r>
      <w:r>
        <w:rPr>
          <w:rFonts w:hint="eastAsia" w:hAnsi="宋体" w:eastAsia="宋体" w:cs="宋体"/>
          <w:b/>
          <w:snapToGrid w:val="0"/>
          <w:kern w:val="0"/>
          <w:sz w:val="28"/>
          <w:szCs w:val="28"/>
        </w:rPr>
        <w:t>、响应要求</w:t>
      </w:r>
      <w:bookmarkStart w:id="5" w:name="_Toc342913419"/>
      <w:bookmarkStart w:id="6" w:name="_Toc135039066"/>
      <w:bookmarkStart w:id="7" w:name="_Toc313008356"/>
      <w:bookmarkStart w:id="8" w:name="_Toc76462350"/>
      <w:bookmarkStart w:id="9" w:name="_Toc283382454"/>
      <w:bookmarkStart w:id="10" w:name="_Toc12789073"/>
      <w:bookmarkStart w:id="11" w:name="_Toc313888360"/>
      <w:r>
        <w:rPr>
          <w:rFonts w:hint="eastAsia" w:hAnsi="宋体" w:eastAsia="宋体" w:cs="宋体"/>
          <w:b/>
          <w:snapToGrid w:val="0"/>
          <w:kern w:val="0"/>
          <w:sz w:val="28"/>
          <w:szCs w:val="28"/>
        </w:rPr>
        <w:t>提交要求</w:t>
      </w:r>
    </w:p>
    <w:bookmarkEnd w:id="5"/>
    <w:bookmarkEnd w:id="6"/>
    <w:bookmarkEnd w:id="7"/>
    <w:bookmarkEnd w:id="8"/>
    <w:bookmarkEnd w:id="9"/>
    <w:bookmarkEnd w:id="10"/>
    <w:bookmarkEnd w:id="11"/>
    <w:p w14:paraId="3E5D007A">
      <w:pPr>
        <w:spacing w:line="440" w:lineRule="exact"/>
        <w:ind w:firstLine="482" w:firstLineChars="200"/>
        <w:rPr>
          <w:rFonts w:hint="eastAsia" w:hAnsi="宋体" w:eastAsiaTheme="minorEastAsia"/>
          <w:b w:val="0"/>
          <w:bCs/>
          <w:sz w:val="24"/>
          <w:szCs w:val="24"/>
          <w:lang w:eastAsia="zh-CN"/>
        </w:rPr>
      </w:pPr>
      <w:bookmarkStart w:id="12" w:name="_Toc76462353"/>
      <w:bookmarkStart w:id="13" w:name="_Toc313008359"/>
      <w:bookmarkStart w:id="14" w:name="_Toc313888363"/>
      <w:bookmarkStart w:id="15" w:name="_Toc342913422"/>
      <w:bookmarkStart w:id="16" w:name="_Toc135039069"/>
      <w:r>
        <w:rPr>
          <w:rFonts w:hint="eastAsia" w:hAnsi="宋体"/>
          <w:b/>
          <w:sz w:val="24"/>
          <w:szCs w:val="24"/>
        </w:rPr>
        <w:t>本项目不评审，无需提交响应文件。</w:t>
      </w:r>
    </w:p>
    <w:p w14:paraId="7E73BECF">
      <w:pPr>
        <w:spacing w:line="440" w:lineRule="exact"/>
        <w:rPr>
          <w:rFonts w:hint="eastAsia" w:hAnsi="宋体"/>
          <w:b/>
          <w:color w:val="000000"/>
          <w:sz w:val="24"/>
          <w:szCs w:val="24"/>
        </w:rPr>
      </w:pPr>
    </w:p>
    <w:p w14:paraId="55760AA8">
      <w:pPr>
        <w:spacing w:line="440" w:lineRule="exact"/>
        <w:rPr>
          <w:rFonts w:hint="eastAsia" w:hAnsi="宋体"/>
          <w:b/>
          <w:color w:val="000000"/>
          <w:sz w:val="24"/>
          <w:szCs w:val="24"/>
        </w:rPr>
      </w:pPr>
    </w:p>
    <w:p w14:paraId="4D8E85B1">
      <w:pPr>
        <w:spacing w:line="440" w:lineRule="exact"/>
        <w:rPr>
          <w:rFonts w:hint="eastAsia" w:hAnsi="宋体"/>
          <w:b/>
          <w:color w:val="000000"/>
          <w:sz w:val="24"/>
          <w:szCs w:val="24"/>
        </w:rPr>
      </w:pPr>
    </w:p>
    <w:p w14:paraId="0BB392B1">
      <w:pPr>
        <w:spacing w:line="440" w:lineRule="exact"/>
        <w:rPr>
          <w:rFonts w:hint="eastAsia" w:hAnsi="宋体"/>
          <w:b/>
          <w:color w:val="000000"/>
          <w:sz w:val="24"/>
          <w:szCs w:val="24"/>
        </w:rPr>
      </w:pPr>
    </w:p>
    <w:p w14:paraId="1A3D32EA">
      <w:pPr>
        <w:spacing w:line="440" w:lineRule="exact"/>
        <w:rPr>
          <w:rFonts w:hint="eastAsia" w:hAnsi="宋体"/>
          <w:b/>
          <w:color w:val="000000"/>
          <w:sz w:val="24"/>
          <w:szCs w:val="24"/>
        </w:rPr>
      </w:pPr>
    </w:p>
    <w:p w14:paraId="7558CDF0">
      <w:pPr>
        <w:spacing w:line="440" w:lineRule="exact"/>
        <w:rPr>
          <w:rFonts w:hint="eastAsia" w:hAnsi="宋体"/>
          <w:b/>
          <w:color w:val="000000"/>
          <w:sz w:val="24"/>
          <w:szCs w:val="24"/>
        </w:rPr>
      </w:pPr>
    </w:p>
    <w:p w14:paraId="211C1E42">
      <w:pPr>
        <w:spacing w:line="440" w:lineRule="exact"/>
        <w:rPr>
          <w:rFonts w:hint="eastAsia" w:hAnsi="宋体"/>
          <w:b/>
          <w:color w:val="000000"/>
          <w:sz w:val="24"/>
          <w:szCs w:val="24"/>
        </w:rPr>
      </w:pPr>
    </w:p>
    <w:p w14:paraId="2157CB87">
      <w:pPr>
        <w:spacing w:line="440" w:lineRule="exact"/>
        <w:jc w:val="left"/>
        <w:rPr>
          <w:rFonts w:hint="eastAsia" w:hAnsi="宋体"/>
          <w:bCs/>
          <w:color w:val="000000"/>
          <w:sz w:val="28"/>
          <w:szCs w:val="28"/>
        </w:rPr>
      </w:pPr>
      <w:r>
        <w:rPr>
          <w:rFonts w:hint="eastAsia" w:hAnsi="宋体"/>
          <w:bCs/>
          <w:color w:val="000000"/>
          <w:sz w:val="28"/>
          <w:szCs w:val="28"/>
        </w:rPr>
        <w:t>注：中标结果公示后采购人有权对中标人的资质要求和需求、服务响应情况进行核查。若需求部门有要求的，拟成交供应商应在规定时间内提供相关材料供需求部门审核。若拟成交供应商未在规定时间内提供或提供的资料不能证明其所提供的</w:t>
      </w:r>
      <w:r>
        <w:rPr>
          <w:rFonts w:hint="eastAsia" w:hAnsi="宋体"/>
          <w:bCs/>
          <w:color w:val="000000"/>
          <w:sz w:val="28"/>
          <w:szCs w:val="28"/>
          <w:lang w:eastAsia="zh-CN"/>
        </w:rPr>
        <w:t>货物、</w:t>
      </w:r>
      <w:r>
        <w:rPr>
          <w:rFonts w:hint="eastAsia" w:hAnsi="宋体"/>
          <w:bCs/>
          <w:color w:val="000000"/>
          <w:sz w:val="28"/>
          <w:szCs w:val="28"/>
        </w:rPr>
        <w:t>服务满足询价文件要求的，将视其为虚假应标，</w:t>
      </w:r>
      <w:r>
        <w:rPr>
          <w:rFonts w:hint="eastAsia" w:hAnsi="宋体"/>
          <w:bCs/>
          <w:color w:val="000000"/>
          <w:sz w:val="28"/>
          <w:szCs w:val="28"/>
          <w:lang w:eastAsia="zh-CN"/>
        </w:rPr>
        <w:t>或中标后无正当理由放弃项目中标资格、拒绝与学校签订经济合同或拒绝履行合同义务的，采购人有权</w:t>
      </w:r>
      <w:r>
        <w:rPr>
          <w:rFonts w:hint="eastAsia" w:hAnsi="宋体"/>
          <w:bCs/>
          <w:color w:val="000000"/>
          <w:sz w:val="28"/>
          <w:szCs w:val="28"/>
        </w:rPr>
        <w:t>取消其中标资格或不予退还其缴纳的全部保证金，禁止其再次参与本项目相关内容投标。情节严重者，直接列入我校信惩戒对象名单。</w:t>
      </w:r>
    </w:p>
    <w:p w14:paraId="078A1FE1">
      <w:pPr>
        <w:spacing w:line="440" w:lineRule="exact"/>
        <w:jc w:val="left"/>
        <w:rPr>
          <w:rFonts w:hint="eastAsia" w:hAnsi="宋体"/>
          <w:bCs/>
          <w:color w:val="000000"/>
          <w:sz w:val="28"/>
          <w:szCs w:val="28"/>
        </w:rPr>
      </w:pPr>
    </w:p>
    <w:p w14:paraId="25405C19">
      <w:pPr>
        <w:spacing w:line="440" w:lineRule="exact"/>
        <w:jc w:val="left"/>
        <w:rPr>
          <w:rFonts w:hint="eastAsia" w:hAnsi="宋体"/>
          <w:bCs/>
          <w:color w:val="000000"/>
          <w:sz w:val="28"/>
          <w:szCs w:val="28"/>
        </w:rPr>
      </w:pPr>
    </w:p>
    <w:p w14:paraId="42785B99">
      <w:pPr>
        <w:spacing w:line="440" w:lineRule="exact"/>
        <w:jc w:val="left"/>
        <w:rPr>
          <w:rFonts w:hint="eastAsia" w:hAnsi="宋体"/>
          <w:bCs/>
          <w:color w:val="000000"/>
          <w:sz w:val="28"/>
          <w:szCs w:val="28"/>
        </w:rPr>
      </w:pPr>
    </w:p>
    <w:p w14:paraId="0CD7113B">
      <w:pPr>
        <w:spacing w:line="440" w:lineRule="exact"/>
        <w:jc w:val="left"/>
        <w:rPr>
          <w:rFonts w:hint="eastAsia" w:hAnsi="宋体"/>
          <w:bCs/>
          <w:color w:val="000000"/>
          <w:sz w:val="28"/>
          <w:szCs w:val="28"/>
        </w:rPr>
      </w:pPr>
    </w:p>
    <w:p w14:paraId="3E5D1CD8">
      <w:pPr>
        <w:spacing w:line="440" w:lineRule="exact"/>
        <w:jc w:val="left"/>
        <w:rPr>
          <w:rFonts w:hint="eastAsia" w:hAnsi="宋体"/>
          <w:bCs/>
          <w:color w:val="000000"/>
          <w:sz w:val="28"/>
          <w:szCs w:val="28"/>
        </w:rPr>
      </w:pPr>
    </w:p>
    <w:p w14:paraId="141C1448">
      <w:pPr>
        <w:spacing w:line="440" w:lineRule="exact"/>
        <w:jc w:val="left"/>
        <w:rPr>
          <w:rFonts w:hint="eastAsia" w:hAnsi="宋体"/>
          <w:bCs/>
          <w:color w:val="000000"/>
          <w:sz w:val="28"/>
          <w:szCs w:val="28"/>
        </w:rPr>
      </w:pPr>
    </w:p>
    <w:p w14:paraId="36A1D66D">
      <w:pPr>
        <w:spacing w:line="440" w:lineRule="exact"/>
        <w:jc w:val="left"/>
        <w:rPr>
          <w:rFonts w:hint="eastAsia" w:hAnsi="宋体"/>
          <w:bCs/>
          <w:color w:val="000000"/>
          <w:sz w:val="28"/>
          <w:szCs w:val="28"/>
        </w:rPr>
      </w:pPr>
    </w:p>
    <w:p w14:paraId="19772075">
      <w:pPr>
        <w:spacing w:line="440" w:lineRule="exact"/>
        <w:jc w:val="left"/>
        <w:rPr>
          <w:rFonts w:hint="eastAsia" w:hAnsi="宋体"/>
          <w:bCs/>
          <w:color w:val="000000"/>
          <w:sz w:val="28"/>
          <w:szCs w:val="28"/>
        </w:rPr>
      </w:pPr>
    </w:p>
    <w:p w14:paraId="27C468C3">
      <w:pPr>
        <w:spacing w:line="440" w:lineRule="exact"/>
        <w:jc w:val="left"/>
        <w:rPr>
          <w:rFonts w:hint="eastAsia" w:hAnsi="宋体"/>
          <w:bCs/>
          <w:color w:val="000000"/>
          <w:sz w:val="28"/>
          <w:szCs w:val="28"/>
        </w:rPr>
      </w:pPr>
    </w:p>
    <w:p w14:paraId="6FC18072">
      <w:pPr>
        <w:spacing w:line="440" w:lineRule="exact"/>
        <w:jc w:val="left"/>
        <w:rPr>
          <w:rFonts w:hint="eastAsia" w:hAnsi="宋体"/>
          <w:bCs/>
          <w:color w:val="000000"/>
          <w:sz w:val="28"/>
          <w:szCs w:val="28"/>
        </w:rPr>
      </w:pPr>
    </w:p>
    <w:p w14:paraId="26584E8F">
      <w:pPr>
        <w:spacing w:line="440" w:lineRule="exact"/>
        <w:jc w:val="left"/>
        <w:rPr>
          <w:rFonts w:hint="eastAsia" w:hAnsi="宋体"/>
          <w:bCs/>
          <w:color w:val="000000"/>
          <w:sz w:val="28"/>
          <w:szCs w:val="28"/>
        </w:rPr>
      </w:pPr>
    </w:p>
    <w:p w14:paraId="449D4AAB">
      <w:pPr>
        <w:spacing w:line="440" w:lineRule="exact"/>
        <w:jc w:val="left"/>
        <w:rPr>
          <w:rFonts w:hint="eastAsia" w:hAnsi="宋体"/>
          <w:bCs/>
          <w:color w:val="000000"/>
          <w:sz w:val="28"/>
          <w:szCs w:val="28"/>
        </w:rPr>
      </w:pPr>
    </w:p>
    <w:bookmarkEnd w:id="12"/>
    <w:bookmarkEnd w:id="13"/>
    <w:bookmarkEnd w:id="14"/>
    <w:bookmarkEnd w:id="15"/>
    <w:bookmarkEnd w:id="16"/>
    <w:p w14:paraId="64181F8A">
      <w:r>
        <w:br w:type="page"/>
      </w:r>
    </w:p>
    <w:p w14:paraId="2C9F801C">
      <w:pPr>
        <w:spacing w:line="400" w:lineRule="exact"/>
        <w:rPr>
          <w:rFonts w:hint="eastAsia" w:ascii="宋体" w:hAnsi="宋体" w:cs="宋体" w:eastAsiaTheme="minorEastAsia"/>
          <w:color w:val="auto"/>
          <w:sz w:val="24"/>
          <w:szCs w:val="28"/>
          <w:lang w:eastAsia="zh-CN"/>
        </w:rPr>
      </w:pPr>
      <w:r>
        <w:rPr>
          <w:rFonts w:hint="eastAsia" w:ascii="宋体" w:hAnsi="宋体" w:cs="宋体"/>
          <w:color w:val="auto"/>
          <w:sz w:val="24"/>
          <w:szCs w:val="28"/>
          <w:lang w:eastAsia="zh-CN"/>
        </w:rPr>
        <w:t>附件：</w:t>
      </w:r>
    </w:p>
    <w:p w14:paraId="3D38D9A0">
      <w:pPr>
        <w:spacing w:line="400" w:lineRule="exact"/>
        <w:ind w:firstLine="482" w:firstLineChars="200"/>
        <w:jc w:val="center"/>
        <w:rPr>
          <w:rFonts w:hint="default" w:ascii="宋体" w:hAnsi="宋体" w:cs="宋体" w:eastAsiaTheme="minorEastAsia"/>
          <w:color w:val="auto"/>
          <w:sz w:val="24"/>
          <w:szCs w:val="28"/>
          <w:lang w:val="en-US" w:eastAsia="zh-CN"/>
        </w:rPr>
      </w:pPr>
      <w:r>
        <w:rPr>
          <w:rFonts w:hint="eastAsia" w:ascii="宋体" w:hAnsi="宋体" w:cs="宋体"/>
          <w:b/>
          <w:bCs/>
          <w:color w:val="auto"/>
          <w:sz w:val="24"/>
          <w:szCs w:val="28"/>
          <w:lang w:val="en-US" w:eastAsia="zh-CN"/>
        </w:rPr>
        <w:t>报价明细表</w:t>
      </w:r>
    </w:p>
    <w:p w14:paraId="40D25752">
      <w:pPr>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lang w:eastAsia="zh-CN"/>
        </w:rPr>
        <w:t>竞采编号</w:t>
      </w:r>
      <w:r>
        <w:rPr>
          <w:rFonts w:hint="eastAsia" w:ascii="宋体" w:hAnsi="宋体" w:cs="宋体"/>
          <w:color w:val="auto"/>
          <w:sz w:val="24"/>
          <w:szCs w:val="28"/>
        </w:rPr>
        <w:t>：</w:t>
      </w:r>
    </w:p>
    <w:p w14:paraId="3382F332">
      <w:pPr>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lang w:eastAsia="zh-CN"/>
        </w:rPr>
        <w:t>询价</w:t>
      </w:r>
      <w:r>
        <w:rPr>
          <w:rFonts w:hint="eastAsia" w:ascii="宋体" w:hAnsi="宋体" w:cs="宋体"/>
          <w:color w:val="auto"/>
          <w:sz w:val="24"/>
          <w:szCs w:val="28"/>
        </w:rPr>
        <w:t>项目名称：                                           单位：元</w:t>
      </w:r>
    </w:p>
    <w:tbl>
      <w:tblPr>
        <w:tblStyle w:val="1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39AC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663FD95D">
            <w:pPr>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721" w:type="dxa"/>
            <w:noWrap w:val="0"/>
            <w:vAlign w:val="center"/>
          </w:tcPr>
          <w:p w14:paraId="1BEB2EE3">
            <w:pPr>
              <w:jc w:val="center"/>
              <w:rPr>
                <w:rFonts w:hint="eastAsia" w:ascii="宋体" w:hAnsi="宋体" w:eastAsia="宋体" w:cs="宋体"/>
                <w:b/>
                <w:bCs/>
                <w:sz w:val="21"/>
                <w:szCs w:val="21"/>
              </w:rPr>
            </w:pPr>
            <w:r>
              <w:rPr>
                <w:rFonts w:hint="eastAsia" w:ascii="宋体" w:hAnsi="宋体" w:eastAsia="宋体" w:cs="宋体"/>
                <w:b/>
                <w:bCs/>
                <w:sz w:val="21"/>
                <w:szCs w:val="21"/>
              </w:rPr>
              <w:t>品牌及产地</w:t>
            </w:r>
          </w:p>
        </w:tc>
        <w:tc>
          <w:tcPr>
            <w:tcW w:w="1417" w:type="dxa"/>
            <w:noWrap w:val="0"/>
            <w:vAlign w:val="center"/>
          </w:tcPr>
          <w:p w14:paraId="3587C077">
            <w:pPr>
              <w:jc w:val="center"/>
              <w:rPr>
                <w:rFonts w:hint="eastAsia" w:ascii="宋体" w:hAnsi="宋体" w:eastAsia="宋体" w:cs="宋体"/>
                <w:b/>
                <w:bCs/>
                <w:sz w:val="21"/>
                <w:szCs w:val="21"/>
              </w:rPr>
            </w:pPr>
            <w:r>
              <w:rPr>
                <w:rFonts w:hint="eastAsia" w:ascii="宋体" w:hAnsi="宋体" w:eastAsia="宋体" w:cs="宋体"/>
                <w:b/>
                <w:bCs/>
                <w:sz w:val="21"/>
                <w:szCs w:val="21"/>
              </w:rPr>
              <w:t>制造商名称</w:t>
            </w:r>
          </w:p>
        </w:tc>
        <w:tc>
          <w:tcPr>
            <w:tcW w:w="1250" w:type="dxa"/>
            <w:noWrap w:val="0"/>
            <w:vAlign w:val="center"/>
          </w:tcPr>
          <w:p w14:paraId="3104BE50">
            <w:pPr>
              <w:jc w:val="center"/>
              <w:rPr>
                <w:rFonts w:hint="eastAsia" w:ascii="宋体" w:hAnsi="宋体" w:eastAsia="宋体" w:cs="宋体"/>
                <w:b/>
                <w:bCs/>
                <w:sz w:val="21"/>
                <w:szCs w:val="21"/>
              </w:rPr>
            </w:pPr>
            <w:r>
              <w:rPr>
                <w:rFonts w:hint="eastAsia" w:ascii="宋体" w:hAnsi="宋体" w:eastAsia="宋体" w:cs="宋体"/>
                <w:b/>
                <w:bCs/>
                <w:sz w:val="21"/>
                <w:szCs w:val="21"/>
              </w:rPr>
              <w:t>规格型号</w:t>
            </w:r>
          </w:p>
        </w:tc>
        <w:tc>
          <w:tcPr>
            <w:tcW w:w="867" w:type="dxa"/>
            <w:noWrap w:val="0"/>
            <w:vAlign w:val="center"/>
          </w:tcPr>
          <w:p w14:paraId="189CB338">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186" w:type="dxa"/>
            <w:noWrap w:val="0"/>
            <w:vAlign w:val="center"/>
          </w:tcPr>
          <w:p w14:paraId="7E029B27">
            <w:pPr>
              <w:jc w:val="center"/>
              <w:rPr>
                <w:rFonts w:hint="eastAsia" w:ascii="宋体" w:hAnsi="宋体" w:eastAsia="宋体" w:cs="宋体"/>
                <w:b/>
                <w:bCs/>
                <w:sz w:val="21"/>
                <w:szCs w:val="21"/>
              </w:rPr>
            </w:pPr>
            <w:r>
              <w:rPr>
                <w:rFonts w:hint="eastAsia" w:ascii="宋体" w:hAnsi="宋体" w:eastAsia="宋体" w:cs="宋体"/>
                <w:b/>
                <w:bCs/>
                <w:sz w:val="21"/>
                <w:szCs w:val="21"/>
              </w:rPr>
              <w:t>单价</w:t>
            </w:r>
          </w:p>
          <w:p w14:paraId="29AAC213">
            <w:pPr>
              <w:jc w:val="center"/>
              <w:rPr>
                <w:rFonts w:hint="eastAsia" w:ascii="宋体" w:hAnsi="宋体" w:eastAsia="宋体" w:cs="宋体"/>
                <w:b/>
                <w:bCs/>
                <w:sz w:val="21"/>
                <w:szCs w:val="21"/>
              </w:rPr>
            </w:pPr>
            <w:r>
              <w:rPr>
                <w:rFonts w:hint="eastAsia" w:ascii="宋体" w:hAnsi="宋体" w:eastAsia="宋体" w:cs="宋体"/>
                <w:b/>
                <w:bCs/>
                <w:sz w:val="21"/>
                <w:szCs w:val="21"/>
              </w:rPr>
              <w:t>（   ）</w:t>
            </w:r>
          </w:p>
        </w:tc>
        <w:tc>
          <w:tcPr>
            <w:tcW w:w="1233" w:type="dxa"/>
            <w:noWrap w:val="0"/>
            <w:vAlign w:val="center"/>
          </w:tcPr>
          <w:p w14:paraId="3B7D1705">
            <w:pPr>
              <w:jc w:val="center"/>
              <w:rPr>
                <w:rFonts w:hint="eastAsia" w:ascii="宋体" w:hAnsi="宋体" w:eastAsia="宋体" w:cs="宋体"/>
                <w:b/>
                <w:bCs/>
                <w:sz w:val="21"/>
                <w:szCs w:val="21"/>
              </w:rPr>
            </w:pPr>
            <w:r>
              <w:rPr>
                <w:rFonts w:hint="eastAsia" w:ascii="宋体" w:hAnsi="宋体" w:eastAsia="宋体" w:cs="宋体"/>
                <w:b/>
                <w:bCs/>
                <w:sz w:val="21"/>
                <w:szCs w:val="21"/>
              </w:rPr>
              <w:t>合计</w:t>
            </w:r>
          </w:p>
          <w:p w14:paraId="7DD8F702">
            <w:pPr>
              <w:jc w:val="center"/>
              <w:rPr>
                <w:rFonts w:hint="eastAsia" w:ascii="宋体" w:hAnsi="宋体" w:eastAsia="宋体" w:cs="宋体"/>
                <w:b/>
                <w:bCs/>
                <w:sz w:val="21"/>
                <w:szCs w:val="21"/>
              </w:rPr>
            </w:pPr>
            <w:r>
              <w:rPr>
                <w:rFonts w:hint="eastAsia" w:ascii="宋体" w:hAnsi="宋体" w:eastAsia="宋体" w:cs="宋体"/>
                <w:b/>
                <w:bCs/>
                <w:sz w:val="21"/>
                <w:szCs w:val="21"/>
              </w:rPr>
              <w:t>（   ）</w:t>
            </w:r>
          </w:p>
        </w:tc>
      </w:tr>
      <w:tr w14:paraId="5B08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16885A0C">
            <w:pPr>
              <w:jc w:val="center"/>
              <w:rPr>
                <w:rFonts w:hint="eastAsia" w:ascii="宋体" w:hAnsi="宋体" w:eastAsia="宋体" w:cs="宋体"/>
                <w:sz w:val="24"/>
                <w:szCs w:val="28"/>
              </w:rPr>
            </w:pPr>
          </w:p>
        </w:tc>
        <w:tc>
          <w:tcPr>
            <w:tcW w:w="1721" w:type="dxa"/>
            <w:tcBorders>
              <w:bottom w:val="single" w:color="auto" w:sz="4" w:space="0"/>
            </w:tcBorders>
            <w:noWrap w:val="0"/>
            <w:vAlign w:val="center"/>
          </w:tcPr>
          <w:p w14:paraId="1923C598">
            <w:pPr>
              <w:jc w:val="center"/>
              <w:rPr>
                <w:rFonts w:hint="eastAsia" w:ascii="宋体" w:hAnsi="宋体" w:eastAsia="宋体" w:cs="宋体"/>
                <w:sz w:val="24"/>
                <w:szCs w:val="28"/>
              </w:rPr>
            </w:pPr>
          </w:p>
        </w:tc>
        <w:tc>
          <w:tcPr>
            <w:tcW w:w="1417" w:type="dxa"/>
            <w:tcBorders>
              <w:bottom w:val="single" w:color="auto" w:sz="4" w:space="0"/>
            </w:tcBorders>
            <w:noWrap w:val="0"/>
            <w:vAlign w:val="center"/>
          </w:tcPr>
          <w:p w14:paraId="6ED65B11">
            <w:pPr>
              <w:jc w:val="center"/>
              <w:rPr>
                <w:rFonts w:hint="eastAsia" w:ascii="宋体" w:hAnsi="宋体" w:eastAsia="宋体" w:cs="宋体"/>
                <w:sz w:val="24"/>
                <w:szCs w:val="28"/>
              </w:rPr>
            </w:pPr>
          </w:p>
        </w:tc>
        <w:tc>
          <w:tcPr>
            <w:tcW w:w="1250" w:type="dxa"/>
            <w:tcBorders>
              <w:bottom w:val="single" w:color="auto" w:sz="4" w:space="0"/>
            </w:tcBorders>
            <w:noWrap w:val="0"/>
            <w:vAlign w:val="center"/>
          </w:tcPr>
          <w:p w14:paraId="3A251C98">
            <w:pPr>
              <w:jc w:val="center"/>
              <w:rPr>
                <w:rFonts w:hint="eastAsia" w:ascii="宋体" w:hAnsi="宋体" w:eastAsia="宋体" w:cs="宋体"/>
                <w:sz w:val="24"/>
                <w:szCs w:val="28"/>
              </w:rPr>
            </w:pPr>
          </w:p>
        </w:tc>
        <w:tc>
          <w:tcPr>
            <w:tcW w:w="867" w:type="dxa"/>
            <w:tcBorders>
              <w:bottom w:val="single" w:color="auto" w:sz="4" w:space="0"/>
            </w:tcBorders>
            <w:noWrap w:val="0"/>
            <w:vAlign w:val="center"/>
          </w:tcPr>
          <w:p w14:paraId="66E2787D">
            <w:pPr>
              <w:jc w:val="center"/>
              <w:rPr>
                <w:rFonts w:hint="eastAsia" w:ascii="宋体" w:hAnsi="宋体" w:eastAsia="宋体" w:cs="宋体"/>
                <w:sz w:val="24"/>
                <w:szCs w:val="28"/>
              </w:rPr>
            </w:pPr>
          </w:p>
        </w:tc>
        <w:tc>
          <w:tcPr>
            <w:tcW w:w="1186" w:type="dxa"/>
            <w:tcBorders>
              <w:bottom w:val="single" w:color="auto" w:sz="4" w:space="0"/>
            </w:tcBorders>
            <w:noWrap w:val="0"/>
            <w:vAlign w:val="center"/>
          </w:tcPr>
          <w:p w14:paraId="77D7F8FA">
            <w:pPr>
              <w:jc w:val="center"/>
              <w:rPr>
                <w:rFonts w:hint="eastAsia" w:ascii="宋体" w:hAnsi="宋体" w:eastAsia="宋体" w:cs="宋体"/>
                <w:sz w:val="24"/>
                <w:szCs w:val="28"/>
              </w:rPr>
            </w:pPr>
          </w:p>
        </w:tc>
        <w:tc>
          <w:tcPr>
            <w:tcW w:w="1233" w:type="dxa"/>
            <w:tcBorders>
              <w:bottom w:val="single" w:color="auto" w:sz="4" w:space="0"/>
            </w:tcBorders>
            <w:noWrap w:val="0"/>
            <w:vAlign w:val="center"/>
          </w:tcPr>
          <w:p w14:paraId="53301B32">
            <w:pPr>
              <w:jc w:val="center"/>
              <w:rPr>
                <w:rFonts w:hint="eastAsia" w:ascii="宋体" w:hAnsi="宋体" w:eastAsia="宋体" w:cs="宋体"/>
                <w:sz w:val="24"/>
                <w:szCs w:val="28"/>
              </w:rPr>
            </w:pPr>
          </w:p>
        </w:tc>
      </w:tr>
      <w:tr w14:paraId="03A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3D0F52F2">
            <w:pPr>
              <w:jc w:val="center"/>
              <w:rPr>
                <w:rFonts w:hint="eastAsia" w:ascii="宋体" w:hAnsi="宋体" w:eastAsia="宋体" w:cs="宋体"/>
                <w:sz w:val="24"/>
                <w:szCs w:val="28"/>
              </w:rPr>
            </w:pPr>
          </w:p>
        </w:tc>
        <w:tc>
          <w:tcPr>
            <w:tcW w:w="1721" w:type="dxa"/>
            <w:noWrap w:val="0"/>
            <w:vAlign w:val="center"/>
          </w:tcPr>
          <w:p w14:paraId="6353E345">
            <w:pPr>
              <w:jc w:val="center"/>
              <w:rPr>
                <w:rFonts w:hint="eastAsia" w:ascii="宋体" w:hAnsi="宋体" w:eastAsia="宋体" w:cs="宋体"/>
                <w:sz w:val="24"/>
                <w:szCs w:val="28"/>
              </w:rPr>
            </w:pPr>
          </w:p>
        </w:tc>
        <w:tc>
          <w:tcPr>
            <w:tcW w:w="1417" w:type="dxa"/>
            <w:noWrap w:val="0"/>
            <w:vAlign w:val="center"/>
          </w:tcPr>
          <w:p w14:paraId="19A59FE3">
            <w:pPr>
              <w:jc w:val="center"/>
              <w:rPr>
                <w:rFonts w:hint="eastAsia" w:ascii="宋体" w:hAnsi="宋体" w:eastAsia="宋体" w:cs="宋体"/>
                <w:sz w:val="24"/>
                <w:szCs w:val="28"/>
              </w:rPr>
            </w:pPr>
          </w:p>
        </w:tc>
        <w:tc>
          <w:tcPr>
            <w:tcW w:w="1250" w:type="dxa"/>
            <w:noWrap w:val="0"/>
            <w:vAlign w:val="center"/>
          </w:tcPr>
          <w:p w14:paraId="596584C3">
            <w:pPr>
              <w:jc w:val="center"/>
              <w:rPr>
                <w:rFonts w:hint="eastAsia" w:ascii="宋体" w:hAnsi="宋体" w:eastAsia="宋体" w:cs="宋体"/>
                <w:sz w:val="24"/>
                <w:szCs w:val="28"/>
              </w:rPr>
            </w:pPr>
          </w:p>
        </w:tc>
        <w:tc>
          <w:tcPr>
            <w:tcW w:w="867" w:type="dxa"/>
            <w:noWrap w:val="0"/>
            <w:vAlign w:val="center"/>
          </w:tcPr>
          <w:p w14:paraId="58780884">
            <w:pPr>
              <w:jc w:val="center"/>
              <w:rPr>
                <w:rFonts w:hint="eastAsia" w:ascii="宋体" w:hAnsi="宋体" w:eastAsia="宋体" w:cs="宋体"/>
                <w:sz w:val="24"/>
                <w:szCs w:val="28"/>
              </w:rPr>
            </w:pPr>
          </w:p>
        </w:tc>
        <w:tc>
          <w:tcPr>
            <w:tcW w:w="1186" w:type="dxa"/>
            <w:noWrap w:val="0"/>
            <w:vAlign w:val="center"/>
          </w:tcPr>
          <w:p w14:paraId="428B7F0C">
            <w:pPr>
              <w:jc w:val="center"/>
              <w:rPr>
                <w:rFonts w:hint="eastAsia" w:ascii="宋体" w:hAnsi="宋体" w:eastAsia="宋体" w:cs="宋体"/>
                <w:sz w:val="24"/>
                <w:szCs w:val="28"/>
              </w:rPr>
            </w:pPr>
          </w:p>
        </w:tc>
        <w:tc>
          <w:tcPr>
            <w:tcW w:w="1233" w:type="dxa"/>
            <w:noWrap w:val="0"/>
            <w:vAlign w:val="center"/>
          </w:tcPr>
          <w:p w14:paraId="283105AC">
            <w:pPr>
              <w:jc w:val="center"/>
              <w:rPr>
                <w:rFonts w:hint="eastAsia" w:ascii="宋体" w:hAnsi="宋体" w:eastAsia="宋体" w:cs="宋体"/>
                <w:sz w:val="24"/>
                <w:szCs w:val="28"/>
              </w:rPr>
            </w:pPr>
          </w:p>
        </w:tc>
      </w:tr>
      <w:tr w14:paraId="58C0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6E07ABDA">
            <w:pPr>
              <w:jc w:val="center"/>
              <w:rPr>
                <w:rFonts w:hint="eastAsia" w:ascii="宋体" w:hAnsi="宋体" w:eastAsia="宋体" w:cs="宋体"/>
                <w:sz w:val="24"/>
                <w:szCs w:val="28"/>
              </w:rPr>
            </w:pPr>
          </w:p>
        </w:tc>
        <w:tc>
          <w:tcPr>
            <w:tcW w:w="1721" w:type="dxa"/>
            <w:noWrap w:val="0"/>
            <w:vAlign w:val="center"/>
          </w:tcPr>
          <w:p w14:paraId="20531ECB">
            <w:pPr>
              <w:jc w:val="center"/>
              <w:rPr>
                <w:rFonts w:hint="eastAsia" w:ascii="宋体" w:hAnsi="宋体" w:eastAsia="宋体" w:cs="宋体"/>
                <w:sz w:val="24"/>
                <w:szCs w:val="28"/>
              </w:rPr>
            </w:pPr>
          </w:p>
        </w:tc>
        <w:tc>
          <w:tcPr>
            <w:tcW w:w="1417" w:type="dxa"/>
            <w:noWrap w:val="0"/>
            <w:vAlign w:val="center"/>
          </w:tcPr>
          <w:p w14:paraId="2E02F568">
            <w:pPr>
              <w:jc w:val="center"/>
              <w:rPr>
                <w:rFonts w:hint="eastAsia" w:ascii="宋体" w:hAnsi="宋体" w:eastAsia="宋体" w:cs="宋体"/>
                <w:sz w:val="24"/>
                <w:szCs w:val="28"/>
              </w:rPr>
            </w:pPr>
          </w:p>
        </w:tc>
        <w:tc>
          <w:tcPr>
            <w:tcW w:w="1250" w:type="dxa"/>
            <w:noWrap w:val="0"/>
            <w:vAlign w:val="center"/>
          </w:tcPr>
          <w:p w14:paraId="2E50F0FC">
            <w:pPr>
              <w:jc w:val="center"/>
              <w:rPr>
                <w:rFonts w:hint="eastAsia" w:ascii="宋体" w:hAnsi="宋体" w:eastAsia="宋体" w:cs="宋体"/>
                <w:sz w:val="24"/>
                <w:szCs w:val="28"/>
              </w:rPr>
            </w:pPr>
          </w:p>
        </w:tc>
        <w:tc>
          <w:tcPr>
            <w:tcW w:w="867" w:type="dxa"/>
            <w:noWrap w:val="0"/>
            <w:vAlign w:val="center"/>
          </w:tcPr>
          <w:p w14:paraId="19DA81B1">
            <w:pPr>
              <w:jc w:val="center"/>
              <w:rPr>
                <w:rFonts w:hint="eastAsia" w:ascii="宋体" w:hAnsi="宋体" w:eastAsia="宋体" w:cs="宋体"/>
                <w:sz w:val="24"/>
                <w:szCs w:val="28"/>
              </w:rPr>
            </w:pPr>
          </w:p>
        </w:tc>
        <w:tc>
          <w:tcPr>
            <w:tcW w:w="1186" w:type="dxa"/>
            <w:noWrap w:val="0"/>
            <w:vAlign w:val="center"/>
          </w:tcPr>
          <w:p w14:paraId="66C8A45C">
            <w:pPr>
              <w:jc w:val="center"/>
              <w:rPr>
                <w:rFonts w:hint="eastAsia" w:ascii="宋体" w:hAnsi="宋体" w:eastAsia="宋体" w:cs="宋体"/>
                <w:sz w:val="24"/>
                <w:szCs w:val="28"/>
              </w:rPr>
            </w:pPr>
          </w:p>
        </w:tc>
        <w:tc>
          <w:tcPr>
            <w:tcW w:w="1233" w:type="dxa"/>
            <w:noWrap w:val="0"/>
            <w:vAlign w:val="center"/>
          </w:tcPr>
          <w:p w14:paraId="520DDA29">
            <w:pPr>
              <w:jc w:val="center"/>
              <w:rPr>
                <w:rFonts w:hint="eastAsia" w:ascii="宋体" w:hAnsi="宋体" w:eastAsia="宋体" w:cs="宋体"/>
                <w:sz w:val="24"/>
                <w:szCs w:val="28"/>
              </w:rPr>
            </w:pPr>
          </w:p>
        </w:tc>
      </w:tr>
      <w:tr w14:paraId="4647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7AB41601">
            <w:pPr>
              <w:jc w:val="center"/>
              <w:rPr>
                <w:rFonts w:hint="eastAsia" w:ascii="宋体" w:hAnsi="宋体" w:eastAsia="宋体" w:cs="宋体"/>
                <w:sz w:val="24"/>
                <w:szCs w:val="28"/>
              </w:rPr>
            </w:pPr>
          </w:p>
        </w:tc>
        <w:tc>
          <w:tcPr>
            <w:tcW w:w="1721" w:type="dxa"/>
            <w:tcBorders>
              <w:bottom w:val="single" w:color="auto" w:sz="4" w:space="0"/>
            </w:tcBorders>
            <w:noWrap w:val="0"/>
            <w:vAlign w:val="center"/>
          </w:tcPr>
          <w:p w14:paraId="0B5C457B">
            <w:pPr>
              <w:jc w:val="center"/>
              <w:rPr>
                <w:rFonts w:hint="eastAsia" w:ascii="宋体" w:hAnsi="宋体" w:eastAsia="宋体" w:cs="宋体"/>
                <w:sz w:val="24"/>
                <w:szCs w:val="28"/>
              </w:rPr>
            </w:pPr>
          </w:p>
        </w:tc>
        <w:tc>
          <w:tcPr>
            <w:tcW w:w="1417" w:type="dxa"/>
            <w:tcBorders>
              <w:bottom w:val="single" w:color="auto" w:sz="4" w:space="0"/>
            </w:tcBorders>
            <w:noWrap w:val="0"/>
            <w:vAlign w:val="center"/>
          </w:tcPr>
          <w:p w14:paraId="31FEFEED">
            <w:pPr>
              <w:jc w:val="center"/>
              <w:rPr>
                <w:rFonts w:hint="eastAsia" w:ascii="宋体" w:hAnsi="宋体" w:eastAsia="宋体" w:cs="宋体"/>
                <w:sz w:val="24"/>
                <w:szCs w:val="28"/>
              </w:rPr>
            </w:pPr>
          </w:p>
        </w:tc>
        <w:tc>
          <w:tcPr>
            <w:tcW w:w="1250" w:type="dxa"/>
            <w:tcBorders>
              <w:bottom w:val="single" w:color="auto" w:sz="4" w:space="0"/>
            </w:tcBorders>
            <w:noWrap w:val="0"/>
            <w:vAlign w:val="center"/>
          </w:tcPr>
          <w:p w14:paraId="71697186">
            <w:pPr>
              <w:jc w:val="center"/>
              <w:rPr>
                <w:rFonts w:hint="eastAsia" w:ascii="宋体" w:hAnsi="宋体" w:eastAsia="宋体" w:cs="宋体"/>
                <w:sz w:val="24"/>
                <w:szCs w:val="28"/>
              </w:rPr>
            </w:pPr>
          </w:p>
        </w:tc>
        <w:tc>
          <w:tcPr>
            <w:tcW w:w="867" w:type="dxa"/>
            <w:tcBorders>
              <w:bottom w:val="single" w:color="auto" w:sz="4" w:space="0"/>
            </w:tcBorders>
            <w:noWrap w:val="0"/>
            <w:vAlign w:val="center"/>
          </w:tcPr>
          <w:p w14:paraId="006D9E2E">
            <w:pPr>
              <w:jc w:val="center"/>
              <w:rPr>
                <w:rFonts w:hint="eastAsia" w:ascii="宋体" w:hAnsi="宋体" w:eastAsia="宋体" w:cs="宋体"/>
                <w:sz w:val="24"/>
                <w:szCs w:val="28"/>
              </w:rPr>
            </w:pPr>
          </w:p>
        </w:tc>
        <w:tc>
          <w:tcPr>
            <w:tcW w:w="1186" w:type="dxa"/>
            <w:tcBorders>
              <w:bottom w:val="single" w:color="auto" w:sz="4" w:space="0"/>
            </w:tcBorders>
            <w:noWrap w:val="0"/>
            <w:vAlign w:val="center"/>
          </w:tcPr>
          <w:p w14:paraId="34943586">
            <w:pPr>
              <w:jc w:val="center"/>
              <w:rPr>
                <w:rFonts w:hint="eastAsia" w:ascii="宋体" w:hAnsi="宋体" w:eastAsia="宋体" w:cs="宋体"/>
                <w:sz w:val="24"/>
                <w:szCs w:val="28"/>
              </w:rPr>
            </w:pPr>
          </w:p>
        </w:tc>
        <w:tc>
          <w:tcPr>
            <w:tcW w:w="1233" w:type="dxa"/>
            <w:tcBorders>
              <w:bottom w:val="single" w:color="auto" w:sz="4" w:space="0"/>
            </w:tcBorders>
            <w:noWrap w:val="0"/>
            <w:vAlign w:val="center"/>
          </w:tcPr>
          <w:p w14:paraId="36D5F43D">
            <w:pPr>
              <w:jc w:val="center"/>
              <w:rPr>
                <w:rFonts w:hint="eastAsia" w:ascii="宋体" w:hAnsi="宋体" w:eastAsia="宋体" w:cs="宋体"/>
                <w:sz w:val="24"/>
                <w:szCs w:val="28"/>
              </w:rPr>
            </w:pPr>
          </w:p>
        </w:tc>
      </w:tr>
      <w:tr w14:paraId="198E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64F51269">
            <w:pPr>
              <w:jc w:val="center"/>
              <w:rPr>
                <w:rFonts w:hint="eastAsia" w:ascii="宋体" w:hAnsi="宋体" w:eastAsia="宋体" w:cs="宋体"/>
                <w:sz w:val="24"/>
                <w:szCs w:val="28"/>
              </w:rPr>
            </w:pPr>
          </w:p>
          <w:p w14:paraId="4D4FC787">
            <w:pPr>
              <w:jc w:val="center"/>
              <w:rPr>
                <w:rFonts w:hint="eastAsia" w:ascii="宋体" w:hAnsi="宋体" w:eastAsia="宋体" w:cs="宋体"/>
                <w:sz w:val="24"/>
                <w:szCs w:val="28"/>
              </w:rPr>
            </w:pPr>
          </w:p>
        </w:tc>
        <w:tc>
          <w:tcPr>
            <w:tcW w:w="1721" w:type="dxa"/>
            <w:noWrap w:val="0"/>
            <w:vAlign w:val="center"/>
          </w:tcPr>
          <w:p w14:paraId="7B25397F">
            <w:pPr>
              <w:jc w:val="center"/>
              <w:rPr>
                <w:rFonts w:hint="eastAsia" w:ascii="宋体" w:hAnsi="宋体" w:eastAsia="宋体" w:cs="宋体"/>
                <w:sz w:val="24"/>
                <w:szCs w:val="28"/>
              </w:rPr>
            </w:pPr>
          </w:p>
        </w:tc>
        <w:tc>
          <w:tcPr>
            <w:tcW w:w="1417" w:type="dxa"/>
            <w:noWrap w:val="0"/>
            <w:vAlign w:val="center"/>
          </w:tcPr>
          <w:p w14:paraId="2E18D486">
            <w:pPr>
              <w:jc w:val="center"/>
              <w:rPr>
                <w:rFonts w:hint="eastAsia" w:ascii="宋体" w:hAnsi="宋体" w:eastAsia="宋体" w:cs="宋体"/>
                <w:sz w:val="24"/>
                <w:szCs w:val="28"/>
              </w:rPr>
            </w:pPr>
          </w:p>
        </w:tc>
        <w:tc>
          <w:tcPr>
            <w:tcW w:w="1250" w:type="dxa"/>
            <w:noWrap w:val="0"/>
            <w:vAlign w:val="center"/>
          </w:tcPr>
          <w:p w14:paraId="4F86937F">
            <w:pPr>
              <w:jc w:val="center"/>
              <w:rPr>
                <w:rFonts w:hint="eastAsia" w:ascii="宋体" w:hAnsi="宋体" w:eastAsia="宋体" w:cs="宋体"/>
                <w:sz w:val="24"/>
                <w:szCs w:val="28"/>
              </w:rPr>
            </w:pPr>
          </w:p>
        </w:tc>
        <w:tc>
          <w:tcPr>
            <w:tcW w:w="867" w:type="dxa"/>
            <w:noWrap w:val="0"/>
            <w:vAlign w:val="center"/>
          </w:tcPr>
          <w:p w14:paraId="3518FAE8">
            <w:pPr>
              <w:jc w:val="center"/>
              <w:rPr>
                <w:rFonts w:hint="eastAsia" w:ascii="宋体" w:hAnsi="宋体" w:eastAsia="宋体" w:cs="宋体"/>
                <w:sz w:val="24"/>
                <w:szCs w:val="28"/>
              </w:rPr>
            </w:pPr>
          </w:p>
        </w:tc>
        <w:tc>
          <w:tcPr>
            <w:tcW w:w="1186" w:type="dxa"/>
            <w:noWrap w:val="0"/>
            <w:vAlign w:val="center"/>
          </w:tcPr>
          <w:p w14:paraId="1C282398">
            <w:pPr>
              <w:jc w:val="center"/>
              <w:rPr>
                <w:rFonts w:hint="eastAsia" w:ascii="宋体" w:hAnsi="宋体" w:eastAsia="宋体" w:cs="宋体"/>
                <w:sz w:val="24"/>
                <w:szCs w:val="28"/>
              </w:rPr>
            </w:pPr>
          </w:p>
        </w:tc>
        <w:tc>
          <w:tcPr>
            <w:tcW w:w="1233" w:type="dxa"/>
            <w:noWrap w:val="0"/>
            <w:vAlign w:val="center"/>
          </w:tcPr>
          <w:p w14:paraId="06CBED37">
            <w:pPr>
              <w:jc w:val="center"/>
              <w:rPr>
                <w:rFonts w:hint="eastAsia" w:ascii="宋体" w:hAnsi="宋体" w:eastAsia="宋体" w:cs="宋体"/>
                <w:sz w:val="24"/>
                <w:szCs w:val="28"/>
              </w:rPr>
            </w:pPr>
          </w:p>
        </w:tc>
      </w:tr>
    </w:tbl>
    <w:p w14:paraId="482F4913">
      <w:pPr>
        <w:spacing w:line="500" w:lineRule="exact"/>
        <w:rPr>
          <w:rFonts w:hint="eastAsia" w:ascii="宋体" w:hAnsi="宋体" w:cs="宋体"/>
          <w:color w:val="auto"/>
          <w:sz w:val="24"/>
          <w:szCs w:val="28"/>
        </w:rPr>
      </w:pPr>
    </w:p>
    <w:p w14:paraId="21D45B98">
      <w:pPr>
        <w:spacing w:line="500" w:lineRule="exact"/>
        <w:rPr>
          <w:rFonts w:hint="eastAsia" w:ascii="宋体" w:hAnsi="宋体" w:cs="宋体"/>
          <w:color w:val="auto"/>
          <w:sz w:val="24"/>
          <w:szCs w:val="28"/>
        </w:rPr>
      </w:pPr>
    </w:p>
    <w:p w14:paraId="6D7658E1">
      <w:pPr>
        <w:spacing w:line="500" w:lineRule="exact"/>
        <w:rPr>
          <w:rFonts w:hint="eastAsia" w:ascii="宋体" w:hAnsi="宋体" w:cs="宋体"/>
          <w:color w:val="auto"/>
          <w:sz w:val="24"/>
          <w:szCs w:val="28"/>
        </w:rPr>
      </w:pPr>
    </w:p>
    <w:p w14:paraId="4A3957A0">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投标人：                   法定代表人（或法定代表人授权代表）或自然人：</w:t>
      </w:r>
    </w:p>
    <w:p w14:paraId="110954A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（投标人公章）                               （签署或盖章）</w:t>
      </w:r>
    </w:p>
    <w:p w14:paraId="337CE8F1">
      <w:pPr>
        <w:spacing w:line="500" w:lineRule="exact"/>
        <w:rPr>
          <w:rFonts w:hint="eastAsia" w:ascii="宋体" w:hAnsi="宋体" w:cs="宋体"/>
          <w:color w:val="auto"/>
          <w:sz w:val="24"/>
          <w:szCs w:val="28"/>
        </w:rPr>
      </w:pPr>
    </w:p>
    <w:p w14:paraId="5A031ABF">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年     月     日</w:t>
      </w:r>
    </w:p>
    <w:p w14:paraId="1E4B2FB6">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注：</w:t>
      </w:r>
    </w:p>
    <w:p w14:paraId="1820E79D">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1.请投标人完整填写本表；</w:t>
      </w:r>
    </w:p>
    <w:p w14:paraId="247D2A88">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2.该表可扩展。</w:t>
      </w:r>
    </w:p>
    <w:p w14:paraId="2029F36E">
      <w:pPr>
        <w:pStyle w:val="14"/>
        <w:rPr>
          <w:rFonts w:hint="eastAsia" w:ascii="宋体" w:hAnsi="宋体" w:eastAsia="宋体" w:cs="宋体"/>
          <w:sz w:val="24"/>
          <w:szCs w:val="24"/>
          <w:highlight w:val="yellow"/>
        </w:rPr>
      </w:pPr>
    </w:p>
    <w:p w14:paraId="1D4F4CA1">
      <w:pPr>
        <w:pStyle w:val="14"/>
        <w:rPr>
          <w:rFonts w:hint="eastAsia" w:ascii="宋体" w:hAnsi="宋体" w:eastAsia="宋体" w:cs="宋体"/>
          <w:sz w:val="24"/>
          <w:szCs w:val="24"/>
          <w:highlight w:val="yellow"/>
        </w:rPr>
      </w:pPr>
    </w:p>
    <w:p w14:paraId="3ACA0B5F">
      <w:pPr>
        <w:pStyle w:val="14"/>
        <w:rPr>
          <w:rFonts w:hint="eastAsia" w:ascii="宋体" w:hAnsi="宋体" w:eastAsia="宋体" w:cs="宋体"/>
          <w:sz w:val="24"/>
          <w:szCs w:val="24"/>
          <w:highlight w:val="yellow"/>
        </w:rPr>
      </w:pPr>
    </w:p>
    <w:p w14:paraId="108B6675">
      <w:pPr>
        <w:pStyle w:val="14"/>
        <w:rPr>
          <w:rFonts w:hint="eastAsia" w:ascii="宋体" w:hAnsi="宋体" w:eastAsia="宋体" w:cs="宋体"/>
          <w:sz w:val="24"/>
          <w:szCs w:val="24"/>
          <w:highlight w:val="yellow"/>
        </w:rPr>
      </w:pPr>
    </w:p>
    <w:p w14:paraId="084D07C6">
      <w:pPr>
        <w:pStyle w:val="14"/>
        <w:rPr>
          <w:rFonts w:hint="eastAsia" w:ascii="宋体" w:hAnsi="宋体" w:eastAsia="宋体" w:cs="宋体"/>
          <w:sz w:val="24"/>
          <w:szCs w:val="24"/>
          <w:highlight w:val="yellow"/>
        </w:rPr>
      </w:pPr>
    </w:p>
    <w:p w14:paraId="1043813A">
      <w:pPr>
        <w:pStyle w:val="14"/>
        <w:rPr>
          <w:rFonts w:hint="eastAsia" w:ascii="宋体" w:hAnsi="宋体" w:eastAsia="宋体" w:cs="宋体"/>
          <w:sz w:val="24"/>
          <w:szCs w:val="24"/>
          <w:highlight w:val="yellow"/>
        </w:rPr>
      </w:pPr>
    </w:p>
    <w:p w14:paraId="2718D3A8">
      <w:pPr>
        <w:pStyle w:val="14"/>
        <w:rPr>
          <w:rFonts w:hint="eastAsia" w:ascii="宋体" w:hAnsi="宋体" w:eastAsia="宋体" w:cs="宋体"/>
          <w:sz w:val="24"/>
          <w:szCs w:val="24"/>
          <w:highlight w:val="yellow"/>
        </w:rPr>
      </w:pPr>
    </w:p>
    <w:p w14:paraId="3B5CEE2E">
      <w:pPr>
        <w:pStyle w:val="14"/>
        <w:rPr>
          <w:rFonts w:hint="eastAsia" w:ascii="宋体" w:hAnsi="宋体" w:eastAsia="宋体" w:cs="宋体"/>
          <w:sz w:val="24"/>
          <w:szCs w:val="24"/>
          <w:highlight w:val="yellow"/>
        </w:rPr>
      </w:pPr>
    </w:p>
    <w:p w14:paraId="6D965035">
      <w:pPr>
        <w:jc w:val="center"/>
        <w:rPr>
          <w:rFonts w:hint="eastAsia" w:ascii="宋体" w:hAnsi="宋体" w:eastAsia="宋体" w:cs="宋体"/>
          <w:sz w:val="24"/>
          <w:szCs w:val="24"/>
          <w:highlight w:val="yellow"/>
        </w:rPr>
      </w:pPr>
      <w:r>
        <w:rPr>
          <w:rFonts w:hint="eastAsia" w:ascii="方正仿宋_GBK" w:hAnsi="宋体" w:eastAsia="方正仿宋_GBK"/>
          <w:sz w:val="24"/>
          <w:szCs w:val="24"/>
        </w:rPr>
        <w:t>（结束）</w:t>
      </w:r>
    </w:p>
    <w:sectPr>
      <w:headerReference r:id="rId3" w:type="default"/>
      <w:footerReference r:id="rId4" w:type="default"/>
      <w:pgSz w:w="11905" w:h="16838"/>
      <w:pgMar w:top="1247" w:right="1474" w:bottom="1247" w:left="1474" w:header="850"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6B28C12-7787-496B-B75C-6579C491ED73}"/>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embedRegular r:id="rId2" w:fontKey="{96B18EAF-B022-47D6-BF70-7F1F52B20476}"/>
  </w:font>
  <w:font w:name="方正仿宋_GBK">
    <w:panose1 w:val="03000509000000000000"/>
    <w:charset w:val="86"/>
    <w:family w:val="script"/>
    <w:pitch w:val="default"/>
    <w:sig w:usb0="00000001" w:usb1="080E0000" w:usb2="00000000" w:usb3="00000000" w:csb0="00040000" w:csb1="00000000"/>
    <w:embedRegular r:id="rId3" w:fontKey="{36024DD9-1997-4C65-9123-7DEC1A885DD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FFC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0CD">
                          <w:pPr>
                            <w:pStyle w:val="14"/>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27D30CD">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AC27">
    <w:pPr>
      <w:pStyle w:val="15"/>
      <w:jc w:val="both"/>
      <w:rPr>
        <w:rFonts w:ascii="方正仿宋_GBK" w:eastAsia="方正仿宋_GBK"/>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7EFB6">
                          <w:pPr>
                            <w:pStyle w:val="15"/>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7627EFB6">
                    <w:pPr>
                      <w:pStyle w:val="15"/>
                    </w:pPr>
                  </w:p>
                </w:txbxContent>
              </v:textbox>
            </v:shape>
          </w:pict>
        </mc:Fallback>
      </mc:AlternateContent>
    </w:r>
    <w:r>
      <w:rPr>
        <w:rFonts w:hint="eastAsia" w:ascii="方正仿宋_GBK" w:eastAsia="方正仿宋_GBK"/>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M0MjQ1NzkyZDQ0N2ZhZjBiMmMxMGE3M2RhYWIifQ=="/>
  </w:docVars>
  <w:rsids>
    <w:rsidRoot w:val="0026077D"/>
    <w:rsid w:val="00002457"/>
    <w:rsid w:val="00006352"/>
    <w:rsid w:val="000464DD"/>
    <w:rsid w:val="00050987"/>
    <w:rsid w:val="00057BDC"/>
    <w:rsid w:val="000C5799"/>
    <w:rsid w:val="000D5C53"/>
    <w:rsid w:val="000F6CAD"/>
    <w:rsid w:val="001149BC"/>
    <w:rsid w:val="001330CC"/>
    <w:rsid w:val="00142AA5"/>
    <w:rsid w:val="00147207"/>
    <w:rsid w:val="0015011D"/>
    <w:rsid w:val="00180FAD"/>
    <w:rsid w:val="001D73F9"/>
    <w:rsid w:val="002169D5"/>
    <w:rsid w:val="0025166F"/>
    <w:rsid w:val="0026077D"/>
    <w:rsid w:val="00287859"/>
    <w:rsid w:val="002A6C2F"/>
    <w:rsid w:val="002B7527"/>
    <w:rsid w:val="002F1642"/>
    <w:rsid w:val="0030431A"/>
    <w:rsid w:val="003061A4"/>
    <w:rsid w:val="0032735C"/>
    <w:rsid w:val="00333324"/>
    <w:rsid w:val="00337C8F"/>
    <w:rsid w:val="00344E3C"/>
    <w:rsid w:val="0035377A"/>
    <w:rsid w:val="00354946"/>
    <w:rsid w:val="0038218E"/>
    <w:rsid w:val="0038716B"/>
    <w:rsid w:val="003A770F"/>
    <w:rsid w:val="003B2EDB"/>
    <w:rsid w:val="003D18B5"/>
    <w:rsid w:val="00443BFA"/>
    <w:rsid w:val="00461320"/>
    <w:rsid w:val="00463B7A"/>
    <w:rsid w:val="00483694"/>
    <w:rsid w:val="004A3BA8"/>
    <w:rsid w:val="004A5E4F"/>
    <w:rsid w:val="004B460E"/>
    <w:rsid w:val="004B781D"/>
    <w:rsid w:val="004C70F0"/>
    <w:rsid w:val="004E7F1B"/>
    <w:rsid w:val="005425BF"/>
    <w:rsid w:val="005467C1"/>
    <w:rsid w:val="00552325"/>
    <w:rsid w:val="00570D6E"/>
    <w:rsid w:val="00571672"/>
    <w:rsid w:val="005A468F"/>
    <w:rsid w:val="005C3EFE"/>
    <w:rsid w:val="005E23B4"/>
    <w:rsid w:val="005F031D"/>
    <w:rsid w:val="005F0D3C"/>
    <w:rsid w:val="005F454B"/>
    <w:rsid w:val="00601BD0"/>
    <w:rsid w:val="006428A7"/>
    <w:rsid w:val="00646D9C"/>
    <w:rsid w:val="00660917"/>
    <w:rsid w:val="00681006"/>
    <w:rsid w:val="00691F3D"/>
    <w:rsid w:val="0069316C"/>
    <w:rsid w:val="00695063"/>
    <w:rsid w:val="006A57E0"/>
    <w:rsid w:val="006A6EF7"/>
    <w:rsid w:val="006D1E75"/>
    <w:rsid w:val="006E247E"/>
    <w:rsid w:val="00702336"/>
    <w:rsid w:val="0070695F"/>
    <w:rsid w:val="00740F8E"/>
    <w:rsid w:val="00763F02"/>
    <w:rsid w:val="00784C5C"/>
    <w:rsid w:val="0079755C"/>
    <w:rsid w:val="007A2785"/>
    <w:rsid w:val="007B06AB"/>
    <w:rsid w:val="007D57E1"/>
    <w:rsid w:val="007E40D1"/>
    <w:rsid w:val="0081159D"/>
    <w:rsid w:val="00814CC8"/>
    <w:rsid w:val="008156B6"/>
    <w:rsid w:val="00817E19"/>
    <w:rsid w:val="00820862"/>
    <w:rsid w:val="00836FBE"/>
    <w:rsid w:val="008B1872"/>
    <w:rsid w:val="008B5854"/>
    <w:rsid w:val="008B69FA"/>
    <w:rsid w:val="008C6EAE"/>
    <w:rsid w:val="00910AA9"/>
    <w:rsid w:val="00930047"/>
    <w:rsid w:val="00944056"/>
    <w:rsid w:val="00953975"/>
    <w:rsid w:val="0098016C"/>
    <w:rsid w:val="00980A75"/>
    <w:rsid w:val="009A193E"/>
    <w:rsid w:val="009A28E1"/>
    <w:rsid w:val="009B1495"/>
    <w:rsid w:val="009C4349"/>
    <w:rsid w:val="009D39CA"/>
    <w:rsid w:val="009D6032"/>
    <w:rsid w:val="009F4E82"/>
    <w:rsid w:val="00A05382"/>
    <w:rsid w:val="00A12B7A"/>
    <w:rsid w:val="00A30001"/>
    <w:rsid w:val="00A34A55"/>
    <w:rsid w:val="00A40D20"/>
    <w:rsid w:val="00A72177"/>
    <w:rsid w:val="00A92DCF"/>
    <w:rsid w:val="00A946D9"/>
    <w:rsid w:val="00AD5FF8"/>
    <w:rsid w:val="00AD7323"/>
    <w:rsid w:val="00AF20F1"/>
    <w:rsid w:val="00B01C1B"/>
    <w:rsid w:val="00B1217D"/>
    <w:rsid w:val="00B130DA"/>
    <w:rsid w:val="00B134D1"/>
    <w:rsid w:val="00B6020A"/>
    <w:rsid w:val="00B84F5E"/>
    <w:rsid w:val="00BC4115"/>
    <w:rsid w:val="00C02A1A"/>
    <w:rsid w:val="00C06FDA"/>
    <w:rsid w:val="00C10096"/>
    <w:rsid w:val="00C2665A"/>
    <w:rsid w:val="00C371E3"/>
    <w:rsid w:val="00C66F23"/>
    <w:rsid w:val="00C67820"/>
    <w:rsid w:val="00C809CF"/>
    <w:rsid w:val="00CB6BEA"/>
    <w:rsid w:val="00CD696D"/>
    <w:rsid w:val="00CE3FAD"/>
    <w:rsid w:val="00CF46E2"/>
    <w:rsid w:val="00CF6554"/>
    <w:rsid w:val="00D314D2"/>
    <w:rsid w:val="00D37AD5"/>
    <w:rsid w:val="00D42C61"/>
    <w:rsid w:val="00D6151A"/>
    <w:rsid w:val="00D7788F"/>
    <w:rsid w:val="00DD08A7"/>
    <w:rsid w:val="00DF3CFA"/>
    <w:rsid w:val="00E0238C"/>
    <w:rsid w:val="00E02F0C"/>
    <w:rsid w:val="00E06B16"/>
    <w:rsid w:val="00E17F22"/>
    <w:rsid w:val="00E52DDF"/>
    <w:rsid w:val="00E565CC"/>
    <w:rsid w:val="00E736EE"/>
    <w:rsid w:val="00E80A01"/>
    <w:rsid w:val="00E94BB5"/>
    <w:rsid w:val="00EB1A3D"/>
    <w:rsid w:val="00F12710"/>
    <w:rsid w:val="00F16017"/>
    <w:rsid w:val="00F24217"/>
    <w:rsid w:val="00F404A5"/>
    <w:rsid w:val="00F42F8A"/>
    <w:rsid w:val="00F44641"/>
    <w:rsid w:val="00F46AA4"/>
    <w:rsid w:val="00F5043A"/>
    <w:rsid w:val="00F56F72"/>
    <w:rsid w:val="00F616AA"/>
    <w:rsid w:val="00F74847"/>
    <w:rsid w:val="00F750CF"/>
    <w:rsid w:val="00F76218"/>
    <w:rsid w:val="00FC206D"/>
    <w:rsid w:val="00FD44D5"/>
    <w:rsid w:val="013B4E92"/>
    <w:rsid w:val="013E61E2"/>
    <w:rsid w:val="014A1357"/>
    <w:rsid w:val="0189664D"/>
    <w:rsid w:val="018D0F17"/>
    <w:rsid w:val="02532161"/>
    <w:rsid w:val="02755DFE"/>
    <w:rsid w:val="029D33DC"/>
    <w:rsid w:val="02A93B2F"/>
    <w:rsid w:val="02CB1CF7"/>
    <w:rsid w:val="02DA4885"/>
    <w:rsid w:val="035F2367"/>
    <w:rsid w:val="037E320E"/>
    <w:rsid w:val="03BD6757"/>
    <w:rsid w:val="04426D8D"/>
    <w:rsid w:val="048A5B41"/>
    <w:rsid w:val="04BD7164"/>
    <w:rsid w:val="04C902E7"/>
    <w:rsid w:val="04E1510C"/>
    <w:rsid w:val="04F80D9E"/>
    <w:rsid w:val="04F8558C"/>
    <w:rsid w:val="05056A91"/>
    <w:rsid w:val="05123C0E"/>
    <w:rsid w:val="051C181F"/>
    <w:rsid w:val="05237065"/>
    <w:rsid w:val="05483AD3"/>
    <w:rsid w:val="05626D26"/>
    <w:rsid w:val="056A0389"/>
    <w:rsid w:val="05787F1A"/>
    <w:rsid w:val="060E0879"/>
    <w:rsid w:val="06233BF8"/>
    <w:rsid w:val="064029FC"/>
    <w:rsid w:val="067578E9"/>
    <w:rsid w:val="0687062B"/>
    <w:rsid w:val="068C534B"/>
    <w:rsid w:val="06A8211E"/>
    <w:rsid w:val="06B70F10"/>
    <w:rsid w:val="06B75848"/>
    <w:rsid w:val="06EB4447"/>
    <w:rsid w:val="06EE4206"/>
    <w:rsid w:val="06FA2BAB"/>
    <w:rsid w:val="073267E9"/>
    <w:rsid w:val="0749768F"/>
    <w:rsid w:val="07554952"/>
    <w:rsid w:val="076A5F83"/>
    <w:rsid w:val="076B5857"/>
    <w:rsid w:val="07CD74CD"/>
    <w:rsid w:val="0822060B"/>
    <w:rsid w:val="08235321"/>
    <w:rsid w:val="085207C5"/>
    <w:rsid w:val="087B5F6E"/>
    <w:rsid w:val="08A54236"/>
    <w:rsid w:val="08ED3316"/>
    <w:rsid w:val="091A022E"/>
    <w:rsid w:val="0960418D"/>
    <w:rsid w:val="09A6701A"/>
    <w:rsid w:val="09C474A0"/>
    <w:rsid w:val="09D9119E"/>
    <w:rsid w:val="0A026946"/>
    <w:rsid w:val="0A040ADC"/>
    <w:rsid w:val="0A0C42B6"/>
    <w:rsid w:val="0A445307"/>
    <w:rsid w:val="0A59408D"/>
    <w:rsid w:val="0A641E54"/>
    <w:rsid w:val="0ABA45BB"/>
    <w:rsid w:val="0AD12C53"/>
    <w:rsid w:val="0AD5764C"/>
    <w:rsid w:val="0ADD012D"/>
    <w:rsid w:val="0AE93662"/>
    <w:rsid w:val="0B052C79"/>
    <w:rsid w:val="0B1701D0"/>
    <w:rsid w:val="0B2E1CE4"/>
    <w:rsid w:val="0B2F68B0"/>
    <w:rsid w:val="0B526B01"/>
    <w:rsid w:val="0B754EF6"/>
    <w:rsid w:val="0B7A250D"/>
    <w:rsid w:val="0B907F82"/>
    <w:rsid w:val="0BD51E39"/>
    <w:rsid w:val="0BE81B6C"/>
    <w:rsid w:val="0BEB51B8"/>
    <w:rsid w:val="0BFE6C9A"/>
    <w:rsid w:val="0C3E353A"/>
    <w:rsid w:val="0C404D4B"/>
    <w:rsid w:val="0C602B1E"/>
    <w:rsid w:val="0C6A7422"/>
    <w:rsid w:val="0C9C64B3"/>
    <w:rsid w:val="0CB0187F"/>
    <w:rsid w:val="0CC53C5B"/>
    <w:rsid w:val="0D116EA1"/>
    <w:rsid w:val="0D8F0AE7"/>
    <w:rsid w:val="0DB8731C"/>
    <w:rsid w:val="0DC72E3E"/>
    <w:rsid w:val="0DC77056"/>
    <w:rsid w:val="0DE325EB"/>
    <w:rsid w:val="0E19366C"/>
    <w:rsid w:val="0EC341CA"/>
    <w:rsid w:val="0EC456AB"/>
    <w:rsid w:val="0EDC29CD"/>
    <w:rsid w:val="0EEA1757"/>
    <w:rsid w:val="0F1113DA"/>
    <w:rsid w:val="0F1775AC"/>
    <w:rsid w:val="0F1F4EFA"/>
    <w:rsid w:val="0F4B3970"/>
    <w:rsid w:val="0F824086"/>
    <w:rsid w:val="0FA062BA"/>
    <w:rsid w:val="0FB3423F"/>
    <w:rsid w:val="102869DB"/>
    <w:rsid w:val="10A67900"/>
    <w:rsid w:val="10A87FA5"/>
    <w:rsid w:val="10B60A0F"/>
    <w:rsid w:val="10B93F43"/>
    <w:rsid w:val="10CF32FA"/>
    <w:rsid w:val="10D42720"/>
    <w:rsid w:val="10F92232"/>
    <w:rsid w:val="1139171B"/>
    <w:rsid w:val="115C5375"/>
    <w:rsid w:val="115F1B25"/>
    <w:rsid w:val="11E27CAC"/>
    <w:rsid w:val="11FC1ECD"/>
    <w:rsid w:val="122A1972"/>
    <w:rsid w:val="122D1939"/>
    <w:rsid w:val="123903D4"/>
    <w:rsid w:val="12392171"/>
    <w:rsid w:val="123E7F36"/>
    <w:rsid w:val="124C2BBB"/>
    <w:rsid w:val="126C57AE"/>
    <w:rsid w:val="12AD766B"/>
    <w:rsid w:val="12B02CB8"/>
    <w:rsid w:val="12CD73C6"/>
    <w:rsid w:val="12E41073"/>
    <w:rsid w:val="13207027"/>
    <w:rsid w:val="1372740F"/>
    <w:rsid w:val="13A062E5"/>
    <w:rsid w:val="13B32A60"/>
    <w:rsid w:val="13F217DA"/>
    <w:rsid w:val="13F310AE"/>
    <w:rsid w:val="147321EF"/>
    <w:rsid w:val="14ED01F3"/>
    <w:rsid w:val="15202EF4"/>
    <w:rsid w:val="1525798D"/>
    <w:rsid w:val="154C2E8A"/>
    <w:rsid w:val="1552488C"/>
    <w:rsid w:val="156A53A0"/>
    <w:rsid w:val="15AA25F7"/>
    <w:rsid w:val="16013EE6"/>
    <w:rsid w:val="1606156C"/>
    <w:rsid w:val="16747D3A"/>
    <w:rsid w:val="1677406C"/>
    <w:rsid w:val="168E1562"/>
    <w:rsid w:val="16C17241"/>
    <w:rsid w:val="16D276A1"/>
    <w:rsid w:val="17063ECA"/>
    <w:rsid w:val="172B7CA6"/>
    <w:rsid w:val="172D0D7B"/>
    <w:rsid w:val="175C56A1"/>
    <w:rsid w:val="17953F98"/>
    <w:rsid w:val="18043AAD"/>
    <w:rsid w:val="18093FB6"/>
    <w:rsid w:val="1840688C"/>
    <w:rsid w:val="18563EC4"/>
    <w:rsid w:val="185D11EC"/>
    <w:rsid w:val="18733BAD"/>
    <w:rsid w:val="1876405C"/>
    <w:rsid w:val="18786643"/>
    <w:rsid w:val="18BD0524"/>
    <w:rsid w:val="18DF42F7"/>
    <w:rsid w:val="18F2402A"/>
    <w:rsid w:val="19066D08"/>
    <w:rsid w:val="195720DF"/>
    <w:rsid w:val="19D63A4C"/>
    <w:rsid w:val="1A3B37AF"/>
    <w:rsid w:val="1A4621B2"/>
    <w:rsid w:val="1A760443"/>
    <w:rsid w:val="1AA50C28"/>
    <w:rsid w:val="1B3D41E0"/>
    <w:rsid w:val="1B3F107D"/>
    <w:rsid w:val="1BAB04C0"/>
    <w:rsid w:val="1BC958FA"/>
    <w:rsid w:val="1BDD2D6F"/>
    <w:rsid w:val="1C3253C3"/>
    <w:rsid w:val="1C34578A"/>
    <w:rsid w:val="1C4526C3"/>
    <w:rsid w:val="1C6E5776"/>
    <w:rsid w:val="1C7D3C0B"/>
    <w:rsid w:val="1CF26612"/>
    <w:rsid w:val="1D0B56BA"/>
    <w:rsid w:val="1D3249F5"/>
    <w:rsid w:val="1D507DD5"/>
    <w:rsid w:val="1DCB6BF8"/>
    <w:rsid w:val="1DCE3054"/>
    <w:rsid w:val="1E033FA3"/>
    <w:rsid w:val="1E26624F"/>
    <w:rsid w:val="1E4A12EB"/>
    <w:rsid w:val="1E4B0DCA"/>
    <w:rsid w:val="1E617054"/>
    <w:rsid w:val="1E7F009A"/>
    <w:rsid w:val="1EAE0073"/>
    <w:rsid w:val="1EB251F8"/>
    <w:rsid w:val="1ECC0E79"/>
    <w:rsid w:val="1ED61CF8"/>
    <w:rsid w:val="1F4E5E4E"/>
    <w:rsid w:val="1F525966"/>
    <w:rsid w:val="1F6F5F92"/>
    <w:rsid w:val="1F8C04D8"/>
    <w:rsid w:val="1FAD2A59"/>
    <w:rsid w:val="1FCE6723"/>
    <w:rsid w:val="1FD75D28"/>
    <w:rsid w:val="200B5CB8"/>
    <w:rsid w:val="204213F3"/>
    <w:rsid w:val="205630F0"/>
    <w:rsid w:val="206D121A"/>
    <w:rsid w:val="2091237A"/>
    <w:rsid w:val="20C20786"/>
    <w:rsid w:val="20DE6C42"/>
    <w:rsid w:val="2130749E"/>
    <w:rsid w:val="21710889"/>
    <w:rsid w:val="219F4E8B"/>
    <w:rsid w:val="21F506E7"/>
    <w:rsid w:val="220B3055"/>
    <w:rsid w:val="221943D6"/>
    <w:rsid w:val="22340084"/>
    <w:rsid w:val="229E0D7F"/>
    <w:rsid w:val="22AE0FC2"/>
    <w:rsid w:val="2333665C"/>
    <w:rsid w:val="239A0867"/>
    <w:rsid w:val="23CD5928"/>
    <w:rsid w:val="23D45DC0"/>
    <w:rsid w:val="24062738"/>
    <w:rsid w:val="241A270A"/>
    <w:rsid w:val="24547947"/>
    <w:rsid w:val="245C7F70"/>
    <w:rsid w:val="24A75516"/>
    <w:rsid w:val="251D6E96"/>
    <w:rsid w:val="251E5B96"/>
    <w:rsid w:val="25277BA3"/>
    <w:rsid w:val="256C18F4"/>
    <w:rsid w:val="25861774"/>
    <w:rsid w:val="258E6E89"/>
    <w:rsid w:val="25D80104"/>
    <w:rsid w:val="26076E80"/>
    <w:rsid w:val="26170C2C"/>
    <w:rsid w:val="264A4474"/>
    <w:rsid w:val="26586904"/>
    <w:rsid w:val="267A740D"/>
    <w:rsid w:val="26A55C9F"/>
    <w:rsid w:val="26ED7BDF"/>
    <w:rsid w:val="27391076"/>
    <w:rsid w:val="277327DA"/>
    <w:rsid w:val="27912C60"/>
    <w:rsid w:val="27C9321A"/>
    <w:rsid w:val="2891704F"/>
    <w:rsid w:val="28AC5FA3"/>
    <w:rsid w:val="28AE3C8C"/>
    <w:rsid w:val="28F25F48"/>
    <w:rsid w:val="292E4F05"/>
    <w:rsid w:val="294100A6"/>
    <w:rsid w:val="296074BF"/>
    <w:rsid w:val="29E21551"/>
    <w:rsid w:val="2A5D7A96"/>
    <w:rsid w:val="2A6E7289"/>
    <w:rsid w:val="2AB761FA"/>
    <w:rsid w:val="2AF75C96"/>
    <w:rsid w:val="2B022031"/>
    <w:rsid w:val="2B0674C1"/>
    <w:rsid w:val="2B081B54"/>
    <w:rsid w:val="2B762B5B"/>
    <w:rsid w:val="2B793AD0"/>
    <w:rsid w:val="2BDB3AD7"/>
    <w:rsid w:val="2BFE692D"/>
    <w:rsid w:val="2C072235"/>
    <w:rsid w:val="2C327BCB"/>
    <w:rsid w:val="2C5524AE"/>
    <w:rsid w:val="2C862667"/>
    <w:rsid w:val="2CD71ADE"/>
    <w:rsid w:val="2CE7730B"/>
    <w:rsid w:val="2CF87F64"/>
    <w:rsid w:val="2D4D2A86"/>
    <w:rsid w:val="2D5B590B"/>
    <w:rsid w:val="2D6A1F89"/>
    <w:rsid w:val="2DE735DA"/>
    <w:rsid w:val="2DFA2359"/>
    <w:rsid w:val="2E405189"/>
    <w:rsid w:val="2E452E34"/>
    <w:rsid w:val="2E526506"/>
    <w:rsid w:val="2F1856C3"/>
    <w:rsid w:val="2F666780"/>
    <w:rsid w:val="2F996B56"/>
    <w:rsid w:val="2FA93899"/>
    <w:rsid w:val="2FBB4D1E"/>
    <w:rsid w:val="2FCD4A51"/>
    <w:rsid w:val="2FCF07C9"/>
    <w:rsid w:val="300246FB"/>
    <w:rsid w:val="30077F63"/>
    <w:rsid w:val="30212D2A"/>
    <w:rsid w:val="3055190E"/>
    <w:rsid w:val="30C31DCB"/>
    <w:rsid w:val="30E65DCB"/>
    <w:rsid w:val="30F32074"/>
    <w:rsid w:val="30FA5EA1"/>
    <w:rsid w:val="3107557B"/>
    <w:rsid w:val="31077AEF"/>
    <w:rsid w:val="311F1372"/>
    <w:rsid w:val="31305298"/>
    <w:rsid w:val="313B30A4"/>
    <w:rsid w:val="313F45C2"/>
    <w:rsid w:val="31436D79"/>
    <w:rsid w:val="31667FB0"/>
    <w:rsid w:val="31A57A34"/>
    <w:rsid w:val="31E24414"/>
    <w:rsid w:val="31FC246E"/>
    <w:rsid w:val="32017127"/>
    <w:rsid w:val="321A4503"/>
    <w:rsid w:val="32454D73"/>
    <w:rsid w:val="3255145A"/>
    <w:rsid w:val="32EB591A"/>
    <w:rsid w:val="332D0DA5"/>
    <w:rsid w:val="334212AF"/>
    <w:rsid w:val="33574D5E"/>
    <w:rsid w:val="33784CD4"/>
    <w:rsid w:val="33BC6189"/>
    <w:rsid w:val="33FC76B3"/>
    <w:rsid w:val="34006150"/>
    <w:rsid w:val="340124BE"/>
    <w:rsid w:val="344219DC"/>
    <w:rsid w:val="344352E2"/>
    <w:rsid w:val="344C7360"/>
    <w:rsid w:val="34D16D92"/>
    <w:rsid w:val="35004F81"/>
    <w:rsid w:val="351530B1"/>
    <w:rsid w:val="3522139B"/>
    <w:rsid w:val="35571C14"/>
    <w:rsid w:val="355D301E"/>
    <w:rsid w:val="355F3E26"/>
    <w:rsid w:val="357B68FB"/>
    <w:rsid w:val="35CF1523"/>
    <w:rsid w:val="36435A6D"/>
    <w:rsid w:val="36525CB0"/>
    <w:rsid w:val="36BD1388"/>
    <w:rsid w:val="36C16365"/>
    <w:rsid w:val="36DF0F2D"/>
    <w:rsid w:val="36F823B4"/>
    <w:rsid w:val="37083764"/>
    <w:rsid w:val="37904CE2"/>
    <w:rsid w:val="379245B6"/>
    <w:rsid w:val="3882287D"/>
    <w:rsid w:val="389E342F"/>
    <w:rsid w:val="38C83C36"/>
    <w:rsid w:val="38D96215"/>
    <w:rsid w:val="3911775D"/>
    <w:rsid w:val="392207EA"/>
    <w:rsid w:val="394E6C03"/>
    <w:rsid w:val="398C439E"/>
    <w:rsid w:val="39930ABA"/>
    <w:rsid w:val="39D42283"/>
    <w:rsid w:val="39F80C3C"/>
    <w:rsid w:val="3A212C7F"/>
    <w:rsid w:val="3A257964"/>
    <w:rsid w:val="3A325BDD"/>
    <w:rsid w:val="3A5A0B7E"/>
    <w:rsid w:val="3A9F13BC"/>
    <w:rsid w:val="3AD83CCE"/>
    <w:rsid w:val="3AEF07D4"/>
    <w:rsid w:val="3B0E664A"/>
    <w:rsid w:val="3B215BC2"/>
    <w:rsid w:val="3B392F9B"/>
    <w:rsid w:val="3B5A4E6D"/>
    <w:rsid w:val="3B862684"/>
    <w:rsid w:val="3C017196"/>
    <w:rsid w:val="3C306331"/>
    <w:rsid w:val="3C3C7866"/>
    <w:rsid w:val="3CAF5C0A"/>
    <w:rsid w:val="3CBB4F2E"/>
    <w:rsid w:val="3CEA09F1"/>
    <w:rsid w:val="3CEA53F6"/>
    <w:rsid w:val="3D234463"/>
    <w:rsid w:val="3DB214CE"/>
    <w:rsid w:val="3DB3244A"/>
    <w:rsid w:val="3DB92552"/>
    <w:rsid w:val="3DDC47DD"/>
    <w:rsid w:val="3DE051EE"/>
    <w:rsid w:val="3DF20955"/>
    <w:rsid w:val="3DFD6502"/>
    <w:rsid w:val="3E1425A5"/>
    <w:rsid w:val="3E155F41"/>
    <w:rsid w:val="3E7569E0"/>
    <w:rsid w:val="3EB05C6A"/>
    <w:rsid w:val="3F43088C"/>
    <w:rsid w:val="3F56236D"/>
    <w:rsid w:val="406F4DA3"/>
    <w:rsid w:val="409A274A"/>
    <w:rsid w:val="40D82B13"/>
    <w:rsid w:val="40DE6ABE"/>
    <w:rsid w:val="410D73A4"/>
    <w:rsid w:val="41151DB4"/>
    <w:rsid w:val="4124336F"/>
    <w:rsid w:val="415D64DE"/>
    <w:rsid w:val="41630D72"/>
    <w:rsid w:val="41847666"/>
    <w:rsid w:val="4189078D"/>
    <w:rsid w:val="41915593"/>
    <w:rsid w:val="42295497"/>
    <w:rsid w:val="429A6A15"/>
    <w:rsid w:val="42A11B51"/>
    <w:rsid w:val="42AA1F42"/>
    <w:rsid w:val="42BD15EC"/>
    <w:rsid w:val="42D55C9F"/>
    <w:rsid w:val="43087A30"/>
    <w:rsid w:val="430D5439"/>
    <w:rsid w:val="431747A5"/>
    <w:rsid w:val="43250658"/>
    <w:rsid w:val="43395289"/>
    <w:rsid w:val="43505326"/>
    <w:rsid w:val="43574906"/>
    <w:rsid w:val="435C3CCA"/>
    <w:rsid w:val="43615785"/>
    <w:rsid w:val="436539EB"/>
    <w:rsid w:val="438D689B"/>
    <w:rsid w:val="43987851"/>
    <w:rsid w:val="43DA2B56"/>
    <w:rsid w:val="43ED1C79"/>
    <w:rsid w:val="43F42155"/>
    <w:rsid w:val="443D6F42"/>
    <w:rsid w:val="44496945"/>
    <w:rsid w:val="44AA58B3"/>
    <w:rsid w:val="44AB1874"/>
    <w:rsid w:val="44C24001"/>
    <w:rsid w:val="451A5BEB"/>
    <w:rsid w:val="45506045"/>
    <w:rsid w:val="45604523"/>
    <w:rsid w:val="45A831F7"/>
    <w:rsid w:val="45C8407F"/>
    <w:rsid w:val="45F57422"/>
    <w:rsid w:val="46001C7B"/>
    <w:rsid w:val="4604222D"/>
    <w:rsid w:val="46050649"/>
    <w:rsid w:val="460C314A"/>
    <w:rsid w:val="46195EA3"/>
    <w:rsid w:val="461E795D"/>
    <w:rsid w:val="4631143E"/>
    <w:rsid w:val="46362F69"/>
    <w:rsid w:val="46386C71"/>
    <w:rsid w:val="46487760"/>
    <w:rsid w:val="46575145"/>
    <w:rsid w:val="46814E27"/>
    <w:rsid w:val="46F30DEA"/>
    <w:rsid w:val="46F8008E"/>
    <w:rsid w:val="47040901"/>
    <w:rsid w:val="470B1C8F"/>
    <w:rsid w:val="47356950"/>
    <w:rsid w:val="474931B2"/>
    <w:rsid w:val="47A457EC"/>
    <w:rsid w:val="47C22C96"/>
    <w:rsid w:val="47FF064F"/>
    <w:rsid w:val="480B1540"/>
    <w:rsid w:val="485E533F"/>
    <w:rsid w:val="48CB3DCC"/>
    <w:rsid w:val="48CE566A"/>
    <w:rsid w:val="491258DC"/>
    <w:rsid w:val="493A4AAE"/>
    <w:rsid w:val="49610644"/>
    <w:rsid w:val="4963096F"/>
    <w:rsid w:val="49693B09"/>
    <w:rsid w:val="49851C32"/>
    <w:rsid w:val="498A77E3"/>
    <w:rsid w:val="499441BE"/>
    <w:rsid w:val="49A56EE3"/>
    <w:rsid w:val="49BD4250"/>
    <w:rsid w:val="49CC0F6F"/>
    <w:rsid w:val="49CF7754"/>
    <w:rsid w:val="49E36EF3"/>
    <w:rsid w:val="49E631E4"/>
    <w:rsid w:val="49EF4246"/>
    <w:rsid w:val="4A026361"/>
    <w:rsid w:val="4A0654DC"/>
    <w:rsid w:val="4A12749E"/>
    <w:rsid w:val="4A610DF6"/>
    <w:rsid w:val="4A7140CA"/>
    <w:rsid w:val="4A9326C8"/>
    <w:rsid w:val="4AA11B0B"/>
    <w:rsid w:val="4ABC5DD2"/>
    <w:rsid w:val="4ABE02E5"/>
    <w:rsid w:val="4ACA1E61"/>
    <w:rsid w:val="4B621471"/>
    <w:rsid w:val="4B657F50"/>
    <w:rsid w:val="4B797B0F"/>
    <w:rsid w:val="4B8F4681"/>
    <w:rsid w:val="4B9E11B1"/>
    <w:rsid w:val="4BA907E3"/>
    <w:rsid w:val="4BBE51C0"/>
    <w:rsid w:val="4BCE3AD9"/>
    <w:rsid w:val="4BD9235C"/>
    <w:rsid w:val="4C1753ED"/>
    <w:rsid w:val="4C667003"/>
    <w:rsid w:val="4C74746E"/>
    <w:rsid w:val="4CE54D31"/>
    <w:rsid w:val="4D2163D0"/>
    <w:rsid w:val="4D4B18E5"/>
    <w:rsid w:val="4D5048A0"/>
    <w:rsid w:val="4D607209"/>
    <w:rsid w:val="4D6A7284"/>
    <w:rsid w:val="4D72067C"/>
    <w:rsid w:val="4D781691"/>
    <w:rsid w:val="4D9218E1"/>
    <w:rsid w:val="4DA55576"/>
    <w:rsid w:val="4DD059E1"/>
    <w:rsid w:val="4EAC1CF1"/>
    <w:rsid w:val="4ED51CD9"/>
    <w:rsid w:val="4EDE3549"/>
    <w:rsid w:val="4EE02CDE"/>
    <w:rsid w:val="4EE03A01"/>
    <w:rsid w:val="4F416B96"/>
    <w:rsid w:val="4F794D58"/>
    <w:rsid w:val="4F8448F2"/>
    <w:rsid w:val="4F8B7E11"/>
    <w:rsid w:val="4F8D6891"/>
    <w:rsid w:val="4F9C1947"/>
    <w:rsid w:val="4FA85FEA"/>
    <w:rsid w:val="4FE033EC"/>
    <w:rsid w:val="4FF1337F"/>
    <w:rsid w:val="5019366F"/>
    <w:rsid w:val="502C5C58"/>
    <w:rsid w:val="502E50F4"/>
    <w:rsid w:val="50384256"/>
    <w:rsid w:val="505E5526"/>
    <w:rsid w:val="50811214"/>
    <w:rsid w:val="5098103F"/>
    <w:rsid w:val="50AE307B"/>
    <w:rsid w:val="50C7131D"/>
    <w:rsid w:val="50CC248F"/>
    <w:rsid w:val="50CC6933"/>
    <w:rsid w:val="511A3CE9"/>
    <w:rsid w:val="513149E8"/>
    <w:rsid w:val="51677FFE"/>
    <w:rsid w:val="51856AE2"/>
    <w:rsid w:val="519304C7"/>
    <w:rsid w:val="51A2178B"/>
    <w:rsid w:val="51AA471F"/>
    <w:rsid w:val="520B5A03"/>
    <w:rsid w:val="524349D3"/>
    <w:rsid w:val="52614E59"/>
    <w:rsid w:val="527F3531"/>
    <w:rsid w:val="52884ADC"/>
    <w:rsid w:val="52976ACD"/>
    <w:rsid w:val="53204D14"/>
    <w:rsid w:val="533B7DA0"/>
    <w:rsid w:val="53583448"/>
    <w:rsid w:val="53622239"/>
    <w:rsid w:val="537B1F4B"/>
    <w:rsid w:val="53991D4E"/>
    <w:rsid w:val="53BF62DB"/>
    <w:rsid w:val="54317321"/>
    <w:rsid w:val="543D36A4"/>
    <w:rsid w:val="544D4EA0"/>
    <w:rsid w:val="547370C6"/>
    <w:rsid w:val="54817A35"/>
    <w:rsid w:val="54AA5234"/>
    <w:rsid w:val="54B75204"/>
    <w:rsid w:val="54DD45D9"/>
    <w:rsid w:val="54FC355F"/>
    <w:rsid w:val="550C567F"/>
    <w:rsid w:val="553834E7"/>
    <w:rsid w:val="55702A53"/>
    <w:rsid w:val="559066BB"/>
    <w:rsid w:val="55A10237"/>
    <w:rsid w:val="55AD5535"/>
    <w:rsid w:val="55BF269E"/>
    <w:rsid w:val="55DD5CB4"/>
    <w:rsid w:val="55DD66F5"/>
    <w:rsid w:val="55E464CD"/>
    <w:rsid w:val="560F04C9"/>
    <w:rsid w:val="563F5174"/>
    <w:rsid w:val="566273F2"/>
    <w:rsid w:val="56682C5A"/>
    <w:rsid w:val="566C4F24"/>
    <w:rsid w:val="56756BA4"/>
    <w:rsid w:val="56E2173C"/>
    <w:rsid w:val="56EA1292"/>
    <w:rsid w:val="5740094B"/>
    <w:rsid w:val="574D0C27"/>
    <w:rsid w:val="576A2A02"/>
    <w:rsid w:val="578651E7"/>
    <w:rsid w:val="57931F59"/>
    <w:rsid w:val="57A9433B"/>
    <w:rsid w:val="57CC7219"/>
    <w:rsid w:val="57F8000E"/>
    <w:rsid w:val="584414A5"/>
    <w:rsid w:val="584C43A0"/>
    <w:rsid w:val="5887183A"/>
    <w:rsid w:val="589139C3"/>
    <w:rsid w:val="58A21C3C"/>
    <w:rsid w:val="58E31EC0"/>
    <w:rsid w:val="59066C26"/>
    <w:rsid w:val="591064E5"/>
    <w:rsid w:val="5913438D"/>
    <w:rsid w:val="59253609"/>
    <w:rsid w:val="5952374E"/>
    <w:rsid w:val="59722042"/>
    <w:rsid w:val="59C939C3"/>
    <w:rsid w:val="59D423B5"/>
    <w:rsid w:val="59D57819"/>
    <w:rsid w:val="5A693FDA"/>
    <w:rsid w:val="5A6C145A"/>
    <w:rsid w:val="5A98470F"/>
    <w:rsid w:val="5AB87F28"/>
    <w:rsid w:val="5ABE7B70"/>
    <w:rsid w:val="5AC4067B"/>
    <w:rsid w:val="5B063975"/>
    <w:rsid w:val="5B4D0671"/>
    <w:rsid w:val="5B647BFC"/>
    <w:rsid w:val="5B6D486F"/>
    <w:rsid w:val="5BA109BC"/>
    <w:rsid w:val="5C203FF7"/>
    <w:rsid w:val="5C226A4D"/>
    <w:rsid w:val="5C903405"/>
    <w:rsid w:val="5CD84015"/>
    <w:rsid w:val="5CFC10D2"/>
    <w:rsid w:val="5D225ADD"/>
    <w:rsid w:val="5D6469BA"/>
    <w:rsid w:val="5D647EF4"/>
    <w:rsid w:val="5D83037A"/>
    <w:rsid w:val="5D9355C8"/>
    <w:rsid w:val="5DA36C6E"/>
    <w:rsid w:val="5DF27F2D"/>
    <w:rsid w:val="5E2A4C99"/>
    <w:rsid w:val="5E563EAE"/>
    <w:rsid w:val="5E745F14"/>
    <w:rsid w:val="5E895E64"/>
    <w:rsid w:val="5E9266DB"/>
    <w:rsid w:val="5E9E7C02"/>
    <w:rsid w:val="5EC80949"/>
    <w:rsid w:val="5EEC7108"/>
    <w:rsid w:val="5F20072A"/>
    <w:rsid w:val="5F2F4D3A"/>
    <w:rsid w:val="5F35637B"/>
    <w:rsid w:val="5F5D4BFA"/>
    <w:rsid w:val="5F5E6BD8"/>
    <w:rsid w:val="5F6706E3"/>
    <w:rsid w:val="5F7F3432"/>
    <w:rsid w:val="5F7F587A"/>
    <w:rsid w:val="5FD70E51"/>
    <w:rsid w:val="5FDF13DA"/>
    <w:rsid w:val="5FFA4A2E"/>
    <w:rsid w:val="5FFC40FF"/>
    <w:rsid w:val="608E4844"/>
    <w:rsid w:val="60DE25A3"/>
    <w:rsid w:val="60EA78AC"/>
    <w:rsid w:val="61300818"/>
    <w:rsid w:val="614B7400"/>
    <w:rsid w:val="61692624"/>
    <w:rsid w:val="617221C8"/>
    <w:rsid w:val="617C1CB0"/>
    <w:rsid w:val="61922EB0"/>
    <w:rsid w:val="61B4001A"/>
    <w:rsid w:val="61C80A51"/>
    <w:rsid w:val="61DE0849"/>
    <w:rsid w:val="61E138C1"/>
    <w:rsid w:val="61FF370F"/>
    <w:rsid w:val="620A772B"/>
    <w:rsid w:val="62373E29"/>
    <w:rsid w:val="62407F88"/>
    <w:rsid w:val="62631329"/>
    <w:rsid w:val="62836D04"/>
    <w:rsid w:val="62AF39BF"/>
    <w:rsid w:val="62BC40AF"/>
    <w:rsid w:val="62E23D94"/>
    <w:rsid w:val="63053DF1"/>
    <w:rsid w:val="632E0D88"/>
    <w:rsid w:val="63307788"/>
    <w:rsid w:val="63512CC8"/>
    <w:rsid w:val="635518AE"/>
    <w:rsid w:val="639D5F0D"/>
    <w:rsid w:val="63A70B3A"/>
    <w:rsid w:val="63D16FDA"/>
    <w:rsid w:val="6405643E"/>
    <w:rsid w:val="64375AF1"/>
    <w:rsid w:val="645138AB"/>
    <w:rsid w:val="649B069F"/>
    <w:rsid w:val="64F20CD0"/>
    <w:rsid w:val="65113A94"/>
    <w:rsid w:val="652B723C"/>
    <w:rsid w:val="654F73EE"/>
    <w:rsid w:val="65AB2B63"/>
    <w:rsid w:val="65B51117"/>
    <w:rsid w:val="65BA5810"/>
    <w:rsid w:val="65E75180"/>
    <w:rsid w:val="6608112B"/>
    <w:rsid w:val="66385495"/>
    <w:rsid w:val="664E2AA4"/>
    <w:rsid w:val="66666A8A"/>
    <w:rsid w:val="668C4743"/>
    <w:rsid w:val="673D6A15"/>
    <w:rsid w:val="67DF08A2"/>
    <w:rsid w:val="67F00D02"/>
    <w:rsid w:val="680D363F"/>
    <w:rsid w:val="68435CC2"/>
    <w:rsid w:val="68F44821"/>
    <w:rsid w:val="68F47416"/>
    <w:rsid w:val="68F62348"/>
    <w:rsid w:val="690A194F"/>
    <w:rsid w:val="690D761B"/>
    <w:rsid w:val="6973347C"/>
    <w:rsid w:val="698C2CAC"/>
    <w:rsid w:val="69F34AD9"/>
    <w:rsid w:val="69F8644D"/>
    <w:rsid w:val="69FD3262"/>
    <w:rsid w:val="6A067DB8"/>
    <w:rsid w:val="6A4432DE"/>
    <w:rsid w:val="6A470981"/>
    <w:rsid w:val="6A503532"/>
    <w:rsid w:val="6A5C17EC"/>
    <w:rsid w:val="6A7B25F3"/>
    <w:rsid w:val="6AAB0F10"/>
    <w:rsid w:val="6ADB77DB"/>
    <w:rsid w:val="6ADF5F6D"/>
    <w:rsid w:val="6AE659A3"/>
    <w:rsid w:val="6AED76D6"/>
    <w:rsid w:val="6B120F8F"/>
    <w:rsid w:val="6B5670CE"/>
    <w:rsid w:val="6B6C069F"/>
    <w:rsid w:val="6B9D4323"/>
    <w:rsid w:val="6BC73B27"/>
    <w:rsid w:val="6BCD012A"/>
    <w:rsid w:val="6BCD2135"/>
    <w:rsid w:val="6BD36970"/>
    <w:rsid w:val="6BE566A3"/>
    <w:rsid w:val="6C0C59DE"/>
    <w:rsid w:val="6C123536"/>
    <w:rsid w:val="6C3118E9"/>
    <w:rsid w:val="6C425BE9"/>
    <w:rsid w:val="6C5633E1"/>
    <w:rsid w:val="6C581F33"/>
    <w:rsid w:val="6C792204"/>
    <w:rsid w:val="6D035033"/>
    <w:rsid w:val="6D175990"/>
    <w:rsid w:val="6D360E1C"/>
    <w:rsid w:val="6D631F76"/>
    <w:rsid w:val="6D632B13"/>
    <w:rsid w:val="6D6D06FE"/>
    <w:rsid w:val="6D6D5576"/>
    <w:rsid w:val="6D6F4477"/>
    <w:rsid w:val="6D751CC8"/>
    <w:rsid w:val="6D961554"/>
    <w:rsid w:val="6D997745"/>
    <w:rsid w:val="6DAD4F9F"/>
    <w:rsid w:val="6E001573"/>
    <w:rsid w:val="6E4D21A9"/>
    <w:rsid w:val="6E7D0E15"/>
    <w:rsid w:val="6E7F2DDF"/>
    <w:rsid w:val="6E87347F"/>
    <w:rsid w:val="6EB87DE7"/>
    <w:rsid w:val="6F021716"/>
    <w:rsid w:val="6F3E67F6"/>
    <w:rsid w:val="6F480413"/>
    <w:rsid w:val="6F6A75EB"/>
    <w:rsid w:val="6F7A769A"/>
    <w:rsid w:val="6FA6277F"/>
    <w:rsid w:val="6FC224C5"/>
    <w:rsid w:val="6FC30AAA"/>
    <w:rsid w:val="6FF033C7"/>
    <w:rsid w:val="70A90D18"/>
    <w:rsid w:val="70CE5958"/>
    <w:rsid w:val="70E76A1A"/>
    <w:rsid w:val="711B55DD"/>
    <w:rsid w:val="718F4A08"/>
    <w:rsid w:val="71D71EB9"/>
    <w:rsid w:val="721B6AFC"/>
    <w:rsid w:val="722C7F80"/>
    <w:rsid w:val="723849E3"/>
    <w:rsid w:val="723A7E2D"/>
    <w:rsid w:val="723F6B0D"/>
    <w:rsid w:val="7254624C"/>
    <w:rsid w:val="72594A12"/>
    <w:rsid w:val="727A5D97"/>
    <w:rsid w:val="729D4377"/>
    <w:rsid w:val="72A17993"/>
    <w:rsid w:val="72A30B94"/>
    <w:rsid w:val="72DF5BFA"/>
    <w:rsid w:val="72FB055A"/>
    <w:rsid w:val="734142A1"/>
    <w:rsid w:val="736F3422"/>
    <w:rsid w:val="7371012D"/>
    <w:rsid w:val="737F2F3A"/>
    <w:rsid w:val="73AF1A71"/>
    <w:rsid w:val="73ED4347"/>
    <w:rsid w:val="741144D9"/>
    <w:rsid w:val="742C22DD"/>
    <w:rsid w:val="743F0EE4"/>
    <w:rsid w:val="74763CC5"/>
    <w:rsid w:val="74911176"/>
    <w:rsid w:val="74A715D2"/>
    <w:rsid w:val="74AF48D2"/>
    <w:rsid w:val="74BF6BC1"/>
    <w:rsid w:val="74C2141F"/>
    <w:rsid w:val="74C5514C"/>
    <w:rsid w:val="74C67E78"/>
    <w:rsid w:val="74FD06B6"/>
    <w:rsid w:val="75442478"/>
    <w:rsid w:val="756A2043"/>
    <w:rsid w:val="758111EB"/>
    <w:rsid w:val="75926681"/>
    <w:rsid w:val="75A924F0"/>
    <w:rsid w:val="75AB270C"/>
    <w:rsid w:val="75FB08FC"/>
    <w:rsid w:val="76114C42"/>
    <w:rsid w:val="76164029"/>
    <w:rsid w:val="7691545E"/>
    <w:rsid w:val="769B128F"/>
    <w:rsid w:val="76B012F4"/>
    <w:rsid w:val="76C3082D"/>
    <w:rsid w:val="775E5C88"/>
    <w:rsid w:val="77674410"/>
    <w:rsid w:val="77704737"/>
    <w:rsid w:val="77822FF8"/>
    <w:rsid w:val="77B238DE"/>
    <w:rsid w:val="78007B88"/>
    <w:rsid w:val="780672FF"/>
    <w:rsid w:val="781A5C19"/>
    <w:rsid w:val="78294562"/>
    <w:rsid w:val="783E33C3"/>
    <w:rsid w:val="785901FD"/>
    <w:rsid w:val="785B52D1"/>
    <w:rsid w:val="78986F77"/>
    <w:rsid w:val="78A3591C"/>
    <w:rsid w:val="78D87374"/>
    <w:rsid w:val="79003493"/>
    <w:rsid w:val="7908420F"/>
    <w:rsid w:val="790E2D96"/>
    <w:rsid w:val="7950018C"/>
    <w:rsid w:val="797846B3"/>
    <w:rsid w:val="79927E6B"/>
    <w:rsid w:val="79BD2A0E"/>
    <w:rsid w:val="79D73ACF"/>
    <w:rsid w:val="79E461EC"/>
    <w:rsid w:val="7A0A0114"/>
    <w:rsid w:val="7A772BBC"/>
    <w:rsid w:val="7AF9268C"/>
    <w:rsid w:val="7B0C1557"/>
    <w:rsid w:val="7BB10350"/>
    <w:rsid w:val="7BC03EBF"/>
    <w:rsid w:val="7BE201B9"/>
    <w:rsid w:val="7C2E78D5"/>
    <w:rsid w:val="7C68267F"/>
    <w:rsid w:val="7CA879B6"/>
    <w:rsid w:val="7CBE2D25"/>
    <w:rsid w:val="7CD073F4"/>
    <w:rsid w:val="7CEA1D6C"/>
    <w:rsid w:val="7CFB1883"/>
    <w:rsid w:val="7D2012E9"/>
    <w:rsid w:val="7D8555F0"/>
    <w:rsid w:val="7D9D293A"/>
    <w:rsid w:val="7DE71E07"/>
    <w:rsid w:val="7E380DE2"/>
    <w:rsid w:val="7E461224"/>
    <w:rsid w:val="7E4D4360"/>
    <w:rsid w:val="7E5576B9"/>
    <w:rsid w:val="7E5D031B"/>
    <w:rsid w:val="7E834226"/>
    <w:rsid w:val="7E9B4891"/>
    <w:rsid w:val="7E9F0934"/>
    <w:rsid w:val="7F0F7867"/>
    <w:rsid w:val="7F2A6C54"/>
    <w:rsid w:val="7F7C78BF"/>
    <w:rsid w:val="7F9D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link w:val="2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4">
    <w:name w:val="heading 4"/>
    <w:basedOn w:val="2"/>
    <w:next w:val="1"/>
    <w:qFormat/>
    <w:uiPriority w:val="0"/>
    <w:pPr>
      <w:widowControl/>
      <w:spacing w:before="280" w:after="290" w:line="376" w:lineRule="auto"/>
      <w:jc w:val="center"/>
      <w:outlineLvl w:val="3"/>
    </w:pPr>
    <w:rPr>
      <w:rFonts w:ascii="Cambria" w:hAnsi="Cambria"/>
      <w:bCs w:val="0"/>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annotation text"/>
    <w:basedOn w:val="1"/>
    <w:link w:val="35"/>
    <w:semiHidden/>
    <w:unhideWhenUsed/>
    <w:qFormat/>
    <w:uiPriority w:val="99"/>
    <w:pPr>
      <w:jc w:val="left"/>
    </w:pPr>
  </w:style>
  <w:style w:type="paragraph" w:styleId="7">
    <w:name w:val="Body Text"/>
    <w:basedOn w:val="1"/>
    <w:next w:val="1"/>
    <w:qFormat/>
    <w:uiPriority w:val="0"/>
    <w:rPr>
      <w:rFonts w:ascii="仿宋_GB2312" w:eastAsia="仿宋_GB2312"/>
      <w:sz w:val="32"/>
    </w:rPr>
  </w:style>
  <w:style w:type="paragraph" w:styleId="8">
    <w:name w:val="Body Text Indent"/>
    <w:basedOn w:val="1"/>
    <w:next w:val="9"/>
    <w:qFormat/>
    <w:uiPriority w:val="99"/>
    <w:pPr>
      <w:spacing w:line="360" w:lineRule="auto"/>
      <w:ind w:firstLine="570"/>
    </w:pPr>
    <w:rPr>
      <w:sz w:val="24"/>
    </w:rPr>
  </w:style>
  <w:style w:type="paragraph" w:styleId="9">
    <w:name w:val="envelope return"/>
    <w:basedOn w:val="1"/>
    <w:qFormat/>
    <w:uiPriority w:val="0"/>
    <w:rPr>
      <w:rFonts w:ascii="Arial" w:hAnsi="Arial" w:eastAsia="Arial"/>
      <w:spacing w:val="-10"/>
      <w:szCs w:val="21"/>
    </w:rPr>
  </w:style>
  <w:style w:type="paragraph" w:styleId="10">
    <w:name w:val="Plain Text"/>
    <w:basedOn w:val="1"/>
    <w:link w:val="24"/>
    <w:qFormat/>
    <w:uiPriority w:val="0"/>
    <w:rPr>
      <w:rFonts w:ascii="宋体" w:hAnsi="Courier New"/>
    </w:rPr>
  </w:style>
  <w:style w:type="paragraph" w:styleId="11">
    <w:name w:val="Date"/>
    <w:basedOn w:val="1"/>
    <w:next w:val="1"/>
    <w:qFormat/>
    <w:uiPriority w:val="0"/>
  </w:style>
  <w:style w:type="paragraph" w:styleId="12">
    <w:name w:val="Body Text Indent 2"/>
    <w:basedOn w:val="1"/>
    <w:link w:val="29"/>
    <w:qFormat/>
    <w:uiPriority w:val="0"/>
    <w:pPr>
      <w:snapToGrid w:val="0"/>
      <w:spacing w:line="560" w:lineRule="atLeast"/>
      <w:ind w:firstLine="540"/>
    </w:pPr>
    <w:rPr>
      <w:sz w:val="28"/>
    </w:rPr>
  </w:style>
  <w:style w:type="paragraph" w:styleId="13">
    <w:name w:val="Balloon Text"/>
    <w:basedOn w:val="1"/>
    <w:link w:val="37"/>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180" w:lineRule="auto"/>
      <w:jc w:val="center"/>
    </w:pPr>
    <w:rPr>
      <w:sz w:val="30"/>
    </w:rPr>
  </w:style>
  <w:style w:type="paragraph" w:styleId="17">
    <w:name w:val="Subtitle"/>
    <w:basedOn w:val="1"/>
    <w:next w:val="1"/>
    <w:qFormat/>
    <w:uiPriority w:val="11"/>
    <w:pPr>
      <w:spacing w:before="240" w:after="60" w:line="312" w:lineRule="auto"/>
      <w:jc w:val="center"/>
      <w:outlineLvl w:val="1"/>
    </w:pPr>
    <w:rPr>
      <w:b/>
      <w:bCs/>
      <w:kern w:val="28"/>
      <w:sz w:val="32"/>
      <w:szCs w:val="32"/>
    </w:rPr>
  </w:style>
  <w:style w:type="paragraph" w:styleId="18">
    <w:name w:val="annotation subject"/>
    <w:basedOn w:val="6"/>
    <w:next w:val="6"/>
    <w:link w:val="36"/>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
    <w:name w:val="纯文本 字符1"/>
    <w:link w:val="10"/>
    <w:qFormat/>
    <w:locked/>
    <w:uiPriority w:val="0"/>
    <w:rPr>
      <w:rFonts w:ascii="宋体" w:hAnsi="Courier New"/>
    </w:rPr>
  </w:style>
  <w:style w:type="character" w:customStyle="1" w:styleId="25">
    <w:name w:val="纯文本 Char"/>
    <w:basedOn w:val="21"/>
    <w:semiHidden/>
    <w:qFormat/>
    <w:uiPriority w:val="99"/>
    <w:rPr>
      <w:rFonts w:ascii="宋体" w:hAnsi="Courier New" w:eastAsia="宋体" w:cs="Courier New"/>
      <w:szCs w:val="21"/>
    </w:rPr>
  </w:style>
  <w:style w:type="character" w:customStyle="1" w:styleId="26">
    <w:name w:val="bluetitle1"/>
    <w:qFormat/>
    <w:uiPriority w:val="0"/>
    <w:rPr>
      <w:b/>
      <w:bCs/>
      <w:color w:val="081B39"/>
      <w:sz w:val="21"/>
      <w:szCs w:val="21"/>
    </w:rPr>
  </w:style>
  <w:style w:type="character" w:customStyle="1" w:styleId="27">
    <w:name w:val="标题 3 Char"/>
    <w:basedOn w:val="21"/>
    <w:semiHidden/>
    <w:qFormat/>
    <w:uiPriority w:val="9"/>
    <w:rPr>
      <w:b/>
      <w:bCs/>
      <w:sz w:val="32"/>
      <w:szCs w:val="32"/>
    </w:rPr>
  </w:style>
  <w:style w:type="character" w:customStyle="1" w:styleId="28">
    <w:name w:val="标题 3 字符1"/>
    <w:link w:val="3"/>
    <w:qFormat/>
    <w:uiPriority w:val="0"/>
    <w:rPr>
      <w:rFonts w:ascii="Times New Roman" w:hAnsi="Times New Roman" w:eastAsia="宋体" w:cs="Times New Roman"/>
      <w:b/>
      <w:sz w:val="32"/>
      <w:szCs w:val="20"/>
    </w:rPr>
  </w:style>
  <w:style w:type="character" w:customStyle="1" w:styleId="29">
    <w:name w:val="正文文本缩进 2 字符"/>
    <w:link w:val="12"/>
    <w:qFormat/>
    <w:uiPriority w:val="0"/>
    <w:rPr>
      <w:sz w:val="28"/>
    </w:rPr>
  </w:style>
  <w:style w:type="character" w:customStyle="1" w:styleId="30">
    <w:name w:val="正文文本缩进 2 Char"/>
    <w:basedOn w:val="21"/>
    <w:semiHidden/>
    <w:qFormat/>
    <w:uiPriority w:val="99"/>
  </w:style>
  <w:style w:type="character" w:customStyle="1" w:styleId="31">
    <w:name w:val="页眉 字符"/>
    <w:basedOn w:val="21"/>
    <w:link w:val="15"/>
    <w:qFormat/>
    <w:uiPriority w:val="99"/>
    <w:rPr>
      <w:sz w:val="18"/>
      <w:szCs w:val="18"/>
    </w:rPr>
  </w:style>
  <w:style w:type="character" w:customStyle="1" w:styleId="32">
    <w:name w:val="页脚 字符"/>
    <w:basedOn w:val="21"/>
    <w:link w:val="14"/>
    <w:qFormat/>
    <w:uiPriority w:val="99"/>
    <w:rPr>
      <w:sz w:val="18"/>
      <w:szCs w:val="18"/>
    </w:rPr>
  </w:style>
  <w:style w:type="character" w:customStyle="1" w:styleId="33">
    <w:name w:val="纯文本 字符"/>
    <w:qFormat/>
    <w:locked/>
    <w:uiPriority w:val="0"/>
    <w:rPr>
      <w:rFonts w:ascii="宋体" w:hAnsi="Courier New"/>
      <w:kern w:val="2"/>
      <w:sz w:val="21"/>
    </w:rPr>
  </w:style>
  <w:style w:type="character" w:customStyle="1" w:styleId="34">
    <w:name w:val="标题 3 字符"/>
    <w:qFormat/>
    <w:uiPriority w:val="0"/>
    <w:rPr>
      <w:rFonts w:eastAsia="宋体"/>
      <w:b/>
      <w:kern w:val="2"/>
      <w:sz w:val="32"/>
      <w:lang w:val="en-US" w:eastAsia="zh-CN"/>
    </w:rPr>
  </w:style>
  <w:style w:type="character" w:customStyle="1" w:styleId="35">
    <w:name w:val="批注文字 字符"/>
    <w:basedOn w:val="21"/>
    <w:link w:val="6"/>
    <w:semiHidden/>
    <w:qFormat/>
    <w:uiPriority w:val="99"/>
  </w:style>
  <w:style w:type="character" w:customStyle="1" w:styleId="36">
    <w:name w:val="批注主题 字符"/>
    <w:basedOn w:val="35"/>
    <w:link w:val="18"/>
    <w:semiHidden/>
    <w:qFormat/>
    <w:uiPriority w:val="99"/>
    <w:rPr>
      <w:b/>
      <w:bCs/>
    </w:rPr>
  </w:style>
  <w:style w:type="character" w:customStyle="1" w:styleId="37">
    <w:name w:val="批注框文本 字符"/>
    <w:basedOn w:val="21"/>
    <w:link w:val="13"/>
    <w:semiHidden/>
    <w:qFormat/>
    <w:uiPriority w:val="99"/>
    <w:rPr>
      <w:sz w:val="18"/>
      <w:szCs w:val="18"/>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9">
    <w:name w:val="font21"/>
    <w:basedOn w:val="21"/>
    <w:qFormat/>
    <w:uiPriority w:val="0"/>
    <w:rPr>
      <w:rFonts w:hint="eastAsia" w:ascii="宋体" w:hAnsi="宋体" w:eastAsia="宋体" w:cs="宋体"/>
      <w:color w:val="000000"/>
      <w:sz w:val="24"/>
      <w:szCs w:val="24"/>
      <w:u w:val="none"/>
    </w:rPr>
  </w:style>
  <w:style w:type="character" w:customStyle="1" w:styleId="40">
    <w:name w:val="font11"/>
    <w:basedOn w:val="21"/>
    <w:qFormat/>
    <w:uiPriority w:val="0"/>
    <w:rPr>
      <w:rFonts w:hint="eastAsia" w:ascii="宋体" w:hAnsi="宋体" w:eastAsia="宋体" w:cs="宋体"/>
      <w:color w:val="000000"/>
      <w:sz w:val="28"/>
      <w:szCs w:val="28"/>
      <w:u w:val="none"/>
    </w:rPr>
  </w:style>
  <w:style w:type="character" w:customStyle="1" w:styleId="41">
    <w:name w:val="font61"/>
    <w:basedOn w:val="21"/>
    <w:qFormat/>
    <w:uiPriority w:val="0"/>
    <w:rPr>
      <w:rFonts w:hint="eastAsia" w:ascii="宋体" w:hAnsi="宋体" w:eastAsia="宋体" w:cs="宋体"/>
      <w:color w:val="000000"/>
      <w:sz w:val="20"/>
      <w:szCs w:val="20"/>
      <w:u w:val="none"/>
    </w:rPr>
  </w:style>
  <w:style w:type="character" w:customStyle="1" w:styleId="42">
    <w:name w:val="font121"/>
    <w:basedOn w:val="21"/>
    <w:qFormat/>
    <w:uiPriority w:val="0"/>
    <w:rPr>
      <w:rFonts w:hint="eastAsia" w:ascii="宋体" w:hAnsi="宋体" w:eastAsia="宋体" w:cs="宋体"/>
      <w:color w:val="FF0000"/>
      <w:sz w:val="20"/>
      <w:szCs w:val="20"/>
      <w:u w:val="none"/>
    </w:rPr>
  </w:style>
  <w:style w:type="character" w:customStyle="1" w:styleId="43">
    <w:name w:val="font101"/>
    <w:basedOn w:val="21"/>
    <w:qFormat/>
    <w:uiPriority w:val="0"/>
    <w:rPr>
      <w:rFonts w:hint="eastAsia" w:ascii="宋体" w:hAnsi="宋体" w:eastAsia="宋体" w:cs="宋体"/>
      <w:color w:val="FF0000"/>
      <w:sz w:val="22"/>
      <w:szCs w:val="22"/>
      <w:u w:val="none"/>
    </w:rPr>
  </w:style>
  <w:style w:type="character" w:customStyle="1" w:styleId="44">
    <w:name w:val="font31"/>
    <w:basedOn w:val="21"/>
    <w:qFormat/>
    <w:uiPriority w:val="0"/>
    <w:rPr>
      <w:rFonts w:hint="eastAsia" w:ascii="宋体" w:hAnsi="宋体" w:eastAsia="宋体" w:cs="宋体"/>
      <w:color w:val="000000"/>
      <w:sz w:val="22"/>
      <w:szCs w:val="22"/>
      <w:u w:val="none"/>
    </w:rPr>
  </w:style>
  <w:style w:type="character" w:customStyle="1" w:styleId="45">
    <w:name w:val="NormalCharacter"/>
    <w:qFormat/>
    <w:uiPriority w:val="0"/>
  </w:style>
  <w:style w:type="paragraph" w:customStyle="1" w:styleId="4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8D7D8-2A98-4DA1-9BEE-FFE33F950C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4908</Words>
  <Characters>4980</Characters>
  <Lines>114</Lines>
  <Paragraphs>32</Paragraphs>
  <TotalTime>8</TotalTime>
  <ScaleCrop>false</ScaleCrop>
  <LinksUpToDate>false</LinksUpToDate>
  <CharactersWithSpaces>5189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2022-09-06T06:37:00Z</dcterms:created>
  <dc:creator>PC</dc:creator>
  <cp:lastModifiedBy>LQ</cp:lastModifiedBy>
  <cp:lastPrinted>2025-02-26T01:27:00Z</cp:lastPrinted>
  <dcterms:modified xsi:type="dcterms:W3CDTF">2025-10-27T03:29:28Z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C86BB258E30843C881A2CEA871A7C00A_13</vt:lpwstr>
  </property>
  <property fmtid="{D5CDD505-2E9C-101B-9397-08002B2CF9AE}" pid="4" name="KSOTemplateDocerSaveRecord">
    <vt:lpwstr>eyJoZGlkIjoiNjZhYTA0ZTNjOTc2NDk2NzA2Yjk2MTI4YjEzM2U4MWQiLCJ1c2VySWQiOiI3MTg1NDc1NTUifQ==</vt:lpwstr>
  </property>
</Properties>
</file>