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4E7A3C">
      <w:pPr>
        <w:pStyle w:val="3"/>
        <w:bidi w:val="0"/>
        <w:jc w:val="center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电动病床</w:t>
      </w:r>
      <w:r>
        <w:rPr>
          <w:rFonts w:hint="eastAsia"/>
          <w:lang w:eastAsia="zh-CN"/>
        </w:rPr>
        <w:t>技术参数</w:t>
      </w:r>
    </w:p>
    <w:p w14:paraId="6F2D0DCB">
      <w:pPr>
        <w:pStyle w:val="4"/>
        <w:bidi w:val="0"/>
        <w:rPr>
          <w:rFonts w:hint="default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以下要求需</w:t>
      </w:r>
      <w:bookmarkStart w:id="0" w:name="_GoBack"/>
      <w:bookmarkEnd w:id="0"/>
      <w:r>
        <w:rPr>
          <w:rFonts w:hint="eastAsia"/>
          <w:highlight w:val="yellow"/>
          <w:lang w:val="en-US" w:eastAsia="zh-CN"/>
        </w:rPr>
        <w:t>全部响应和满足！！！</w:t>
      </w:r>
    </w:p>
    <w:p w14:paraId="248EB5B8">
      <w:pPr>
        <w:pageBreakBefore w:val="0"/>
        <w:kinsoku/>
        <w:wordWrap/>
        <w:overflowPunct/>
        <w:topLinePunct w:val="0"/>
        <w:bidi w:val="0"/>
        <w:spacing w:line="360" w:lineRule="auto"/>
        <w:ind w:firstLine="472" w:firstLineChars="196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4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highlight w:val="none"/>
          <w:lang w:val="en-US" w:eastAsia="zh-CN"/>
        </w:rPr>
        <w:t>一、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highlight w:val="none"/>
        </w:rPr>
        <w:t>一般资格条件</w:t>
      </w:r>
    </w:p>
    <w:p w14:paraId="50BE854B">
      <w:pPr>
        <w:pageBreakBefore w:val="0"/>
        <w:kinsoku/>
        <w:wordWrap/>
        <w:overflowPunct/>
        <w:topLinePunct w:val="0"/>
        <w:bidi w:val="0"/>
        <w:spacing w:line="360" w:lineRule="auto"/>
        <w:ind w:firstLine="470" w:firstLineChars="196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highlight w:val="none"/>
        </w:rPr>
        <w:t>①具有独立承担民事责任的能力；</w:t>
      </w:r>
    </w:p>
    <w:p w14:paraId="69C84D1D">
      <w:pPr>
        <w:pageBreakBefore w:val="0"/>
        <w:kinsoku/>
        <w:wordWrap/>
        <w:overflowPunct/>
        <w:topLinePunct w:val="0"/>
        <w:bidi w:val="0"/>
        <w:spacing w:line="360" w:lineRule="auto"/>
        <w:ind w:firstLine="470" w:firstLineChars="196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highlight w:val="none"/>
        </w:rPr>
        <w:t>②具有良好的商业信誉和健全的财务会计制度；</w:t>
      </w:r>
    </w:p>
    <w:p w14:paraId="40983BF4">
      <w:pPr>
        <w:pageBreakBefore w:val="0"/>
        <w:kinsoku/>
        <w:wordWrap/>
        <w:overflowPunct/>
        <w:topLinePunct w:val="0"/>
        <w:bidi w:val="0"/>
        <w:spacing w:line="360" w:lineRule="auto"/>
        <w:ind w:firstLine="470" w:firstLineChars="196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highlight w:val="none"/>
        </w:rPr>
        <w:t>③具有履行合同所必须的设备和专业技术能力；</w:t>
      </w:r>
    </w:p>
    <w:p w14:paraId="0D10A5D1">
      <w:pPr>
        <w:pageBreakBefore w:val="0"/>
        <w:kinsoku/>
        <w:wordWrap/>
        <w:overflowPunct/>
        <w:topLinePunct w:val="0"/>
        <w:bidi w:val="0"/>
        <w:spacing w:line="360" w:lineRule="auto"/>
        <w:ind w:firstLine="470" w:firstLineChars="196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highlight w:val="none"/>
        </w:rPr>
        <w:t>④有依法缴纳税收和社会保障资金的良好记录；</w:t>
      </w:r>
    </w:p>
    <w:p w14:paraId="1731C84F">
      <w:pPr>
        <w:pageBreakBefore w:val="0"/>
        <w:kinsoku/>
        <w:wordWrap/>
        <w:overflowPunct/>
        <w:topLinePunct w:val="0"/>
        <w:bidi w:val="0"/>
        <w:spacing w:line="360" w:lineRule="auto"/>
        <w:ind w:firstLine="470" w:firstLineChars="196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highlight w:val="none"/>
        </w:rPr>
        <w:t>⑤参加政府采购活动近三年内，在经营活动中没有重大违纪记录；</w:t>
      </w:r>
    </w:p>
    <w:p w14:paraId="7571977D">
      <w:pPr>
        <w:pageBreakBefore w:val="0"/>
        <w:kinsoku/>
        <w:wordWrap/>
        <w:overflowPunct/>
        <w:topLinePunct w:val="0"/>
        <w:bidi w:val="0"/>
        <w:spacing w:line="360" w:lineRule="auto"/>
        <w:ind w:firstLine="470" w:firstLineChars="196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highlight w:val="none"/>
        </w:rPr>
        <w:t>⑥法律、行政法规规定的其他条件</w:t>
      </w:r>
    </w:p>
    <w:p w14:paraId="29A3ED92">
      <w:pPr>
        <w:pageBreakBefore w:val="0"/>
        <w:kinsoku/>
        <w:wordWrap/>
        <w:overflowPunct/>
        <w:topLinePunct w:val="0"/>
        <w:bidi w:val="0"/>
        <w:spacing w:line="360" w:lineRule="auto"/>
        <w:ind w:firstLine="472" w:firstLineChars="196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4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highlight w:val="none"/>
          <w:lang w:val="en-US" w:eastAsia="zh-CN"/>
        </w:rPr>
        <w:t>二、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highlight w:val="none"/>
        </w:rPr>
        <w:t>特定资格条件</w:t>
      </w:r>
    </w:p>
    <w:p w14:paraId="30C8D5C6">
      <w:pPr>
        <w:pageBreakBefore w:val="0"/>
        <w:kinsoku/>
        <w:wordWrap/>
        <w:overflowPunct/>
        <w:topLinePunct w:val="0"/>
        <w:bidi w:val="0"/>
        <w:spacing w:line="360" w:lineRule="auto"/>
        <w:ind w:firstLine="470" w:firstLineChars="196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highlight w:val="none"/>
        </w:rPr>
        <w:t>①本次招标采购的产品若为医疗器械，须具有所提供产品有效期内的《中华人民共和国医疗器械注册证》；本次招标采购的产品若不属于医疗器械，则</w:t>
      </w:r>
      <w:r>
        <w:rPr>
          <w:rFonts w:hint="eastAsia" w:ascii="方正仿宋_GBK" w:hAnsi="方正仿宋_GBK" w:eastAsia="方正仿宋_GBK" w:cs="方正仿宋_GBK"/>
          <w:color w:val="auto"/>
          <w:sz w:val="24"/>
          <w:highlight w:val="none"/>
          <w:lang w:val="en-US" w:eastAsia="zh-CN"/>
        </w:rPr>
        <w:t>可不提供</w:t>
      </w:r>
      <w:r>
        <w:rPr>
          <w:rFonts w:hint="eastAsia" w:ascii="方正仿宋_GBK" w:hAnsi="方正仿宋_GBK" w:eastAsia="方正仿宋_GBK" w:cs="方正仿宋_GBK"/>
          <w:color w:val="auto"/>
          <w:sz w:val="24"/>
          <w:highlight w:val="none"/>
        </w:rPr>
        <w:t xml:space="preserve">。 </w:t>
      </w:r>
    </w:p>
    <w:p w14:paraId="7D0C9B14">
      <w:pPr>
        <w:pageBreakBefore w:val="0"/>
        <w:kinsoku/>
        <w:wordWrap/>
        <w:overflowPunct/>
        <w:topLinePunct w:val="0"/>
        <w:bidi w:val="0"/>
        <w:spacing w:line="360" w:lineRule="auto"/>
        <w:ind w:firstLine="470" w:firstLineChars="196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highlight w:val="none"/>
        </w:rPr>
        <w:t>②所提供产品属三类医疗器械的，供应商须具备有效期内《医疗器械经营企业许可证》或《医疗器械经营许可证》；所提供产品属二类医疗器械的，供应商须具备有效期内《医疗器械经营企业许可证》或《第二类医疗器械经营备案凭证》（二类、三类医疗器械均需提供加盖宣章许可证复印件或备案凭证复印件）（原件备查）。</w:t>
      </w:r>
    </w:p>
    <w:p w14:paraId="54DD2C79">
      <w:pPr>
        <w:pageBreakBefore w:val="0"/>
        <w:kinsoku/>
        <w:wordWrap/>
        <w:overflowPunct/>
        <w:topLinePunct w:val="0"/>
        <w:bidi w:val="0"/>
        <w:spacing w:line="360" w:lineRule="auto"/>
        <w:ind w:firstLine="472" w:firstLineChars="196"/>
        <w:textAlignment w:val="auto"/>
        <w:rPr>
          <w:rFonts w:hint="default" w:ascii="方正仿宋_GBK" w:hAnsi="方正仿宋_GBK" w:eastAsia="方正仿宋_GBK" w:cs="方正仿宋_GBK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highlight w:val="none"/>
          <w:lang w:val="en-US" w:eastAsia="zh-CN"/>
        </w:rPr>
        <w:t>三、具体参数</w:t>
      </w:r>
    </w:p>
    <w:p w14:paraId="125A3B91">
      <w:pPr>
        <w:pageBreakBefore w:val="0"/>
        <w:kinsoku/>
        <w:wordWrap/>
        <w:overflowPunct/>
        <w:topLinePunct w:val="0"/>
        <w:bidi w:val="0"/>
        <w:spacing w:line="360" w:lineRule="auto"/>
        <w:ind w:firstLine="470" w:firstLineChars="196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highlight w:val="none"/>
        </w:rPr>
        <w:t>1</w:t>
      </w:r>
      <w:r>
        <w:rPr>
          <w:rFonts w:hint="eastAsia" w:ascii="方正仿宋_GBK" w:hAnsi="方正仿宋_GBK" w:eastAsia="方正仿宋_GBK" w:cs="方正仿宋_GBK"/>
          <w:color w:val="auto"/>
          <w:sz w:val="24"/>
          <w:highlight w:val="none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color w:val="auto"/>
          <w:sz w:val="24"/>
          <w:highlight w:val="none"/>
        </w:rPr>
        <w:t>规格</w:t>
      </w:r>
      <w:r>
        <w:rPr>
          <w:rFonts w:hint="eastAsia" w:ascii="方正仿宋_GBK" w:hAnsi="方正仿宋_GBK" w:eastAsia="方正仿宋_GBK" w:cs="方正仿宋_GBK"/>
          <w:color w:val="auto"/>
          <w:sz w:val="24"/>
          <w:highlight w:val="none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sz w:val="24"/>
          <w:highlight w:val="none"/>
        </w:rPr>
        <w:t>床板长≧2000mm，全长≧2210mm；床板宽≦860mm，全宽≦980mm（竖起侧护栏时）≦1005mm（降下侧护栏时），高低升降范围≧350mm。</w:t>
      </w:r>
    </w:p>
    <w:p w14:paraId="5F785D95">
      <w:pPr>
        <w:pageBreakBefore w:val="0"/>
        <w:kinsoku/>
        <w:wordWrap/>
        <w:overflowPunct/>
        <w:topLinePunct w:val="0"/>
        <w:bidi w:val="0"/>
        <w:spacing w:line="360" w:lineRule="auto"/>
        <w:ind w:firstLine="470" w:firstLineChars="196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highlight w:val="none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24"/>
          <w:highlight w:val="none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color w:val="auto"/>
          <w:sz w:val="24"/>
          <w:highlight w:val="none"/>
        </w:rPr>
        <w:t>功能</w:t>
      </w:r>
      <w:r>
        <w:rPr>
          <w:rFonts w:hint="eastAsia" w:ascii="方正仿宋_GBK" w:hAnsi="方正仿宋_GBK" w:eastAsia="方正仿宋_GBK" w:cs="方正仿宋_GBK"/>
          <w:color w:val="auto"/>
          <w:sz w:val="24"/>
          <w:highlight w:val="none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sz w:val="24"/>
          <w:highlight w:val="none"/>
        </w:rPr>
        <w:t>体位调节功能背部升降≧70°，膝部升降≧25°，高低升降范围≧350mm，头高脚低≧12°，头低脚高≧12°，一键式心脏椅位，一键复位，电动+手动CPR功能。</w:t>
      </w:r>
    </w:p>
    <w:p w14:paraId="761F39DF">
      <w:pPr>
        <w:pageBreakBefore w:val="0"/>
        <w:kinsoku/>
        <w:wordWrap/>
        <w:overflowPunct/>
        <w:topLinePunct w:val="0"/>
        <w:bidi w:val="0"/>
        <w:spacing w:line="360" w:lineRule="auto"/>
        <w:ind w:firstLine="470" w:firstLineChars="196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highlight w:val="none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24"/>
          <w:highlight w:val="none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color w:val="auto"/>
          <w:sz w:val="24"/>
          <w:highlight w:val="none"/>
        </w:rPr>
        <w:t>电机</w:t>
      </w:r>
      <w:r>
        <w:rPr>
          <w:rFonts w:hint="eastAsia" w:ascii="方正仿宋_GBK" w:hAnsi="方正仿宋_GBK" w:eastAsia="方正仿宋_GBK" w:cs="方正仿宋_GBK"/>
          <w:color w:val="auto"/>
          <w:sz w:val="24"/>
          <w:highlight w:val="none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sz w:val="24"/>
          <w:highlight w:val="none"/>
        </w:rPr>
        <w:t>电机</w:t>
      </w:r>
      <w:r>
        <w:rPr>
          <w:rFonts w:hint="eastAsia" w:ascii="方正仿宋_GBK" w:hAnsi="方正仿宋_GBK" w:eastAsia="方正仿宋_GBK" w:cs="方正仿宋_GBK"/>
          <w:color w:val="auto"/>
          <w:sz w:val="24"/>
          <w:highlight w:val="none"/>
          <w:lang w:eastAsia="zh-CN"/>
        </w:rPr>
        <w:t>数量</w:t>
      </w:r>
      <w:r>
        <w:rPr>
          <w:rFonts w:hint="eastAsia" w:ascii="方正仿宋_GBK" w:hAnsi="方正仿宋_GBK" w:eastAsia="方正仿宋_GBK" w:cs="方正仿宋_GBK"/>
          <w:color w:val="auto"/>
          <w:sz w:val="24"/>
          <w:highlight w:val="none"/>
        </w:rPr>
        <w:t>≥4个</w:t>
      </w:r>
      <w:r>
        <w:rPr>
          <w:rFonts w:hint="eastAsia" w:ascii="方正仿宋_GBK" w:hAnsi="方正仿宋_GBK" w:eastAsia="方正仿宋_GBK" w:cs="方正仿宋_GBK"/>
          <w:color w:val="auto"/>
          <w:sz w:val="24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24"/>
          <w:highlight w:val="none"/>
        </w:rPr>
        <w:t>采用专业医用电机系统，4个电机控制体位升降功能。</w:t>
      </w:r>
    </w:p>
    <w:p w14:paraId="6D7170F4">
      <w:pPr>
        <w:pageBreakBefore w:val="0"/>
        <w:kinsoku/>
        <w:wordWrap/>
        <w:overflowPunct/>
        <w:topLinePunct w:val="0"/>
        <w:bidi w:val="0"/>
        <w:spacing w:line="360" w:lineRule="auto"/>
        <w:ind w:firstLine="470" w:firstLineChars="196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highlight w:val="none"/>
        </w:rPr>
        <w:t>4</w:t>
      </w:r>
      <w:r>
        <w:rPr>
          <w:rFonts w:hint="eastAsia" w:ascii="方正仿宋_GBK" w:hAnsi="方正仿宋_GBK" w:eastAsia="方正仿宋_GBK" w:cs="方正仿宋_GBK"/>
          <w:color w:val="auto"/>
          <w:sz w:val="24"/>
          <w:highlight w:val="none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color w:val="auto"/>
          <w:sz w:val="24"/>
          <w:highlight w:val="none"/>
        </w:rPr>
        <w:t>脚轮</w:t>
      </w:r>
      <w:r>
        <w:rPr>
          <w:rFonts w:hint="eastAsia" w:ascii="方正仿宋_GBK" w:hAnsi="方正仿宋_GBK" w:eastAsia="方正仿宋_GBK" w:cs="方正仿宋_GBK"/>
          <w:color w:val="auto"/>
          <w:sz w:val="24"/>
          <w:highlight w:val="none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sz w:val="24"/>
          <w:highlight w:val="none"/>
        </w:rPr>
        <w:t>直径≧125mm脚轮，具有锁定、自由、定向三段式跷跷板中央控制锁定装置；防腐蚀，耐酸性佳，静音，防缠绕。</w:t>
      </w:r>
    </w:p>
    <w:p w14:paraId="6AD1ACCD">
      <w:pPr>
        <w:pageBreakBefore w:val="0"/>
        <w:kinsoku/>
        <w:wordWrap/>
        <w:overflowPunct/>
        <w:topLinePunct w:val="0"/>
        <w:bidi w:val="0"/>
        <w:spacing w:line="360" w:lineRule="auto"/>
        <w:ind w:firstLine="470" w:firstLineChars="196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highlight w:val="none"/>
          <w:lang w:val="en-US" w:eastAsia="zh-CN"/>
        </w:rPr>
        <w:t>5.配置床垫及输液架。</w:t>
      </w:r>
    </w:p>
    <w:p w14:paraId="2EB7B67F">
      <w:pPr>
        <w:pageBreakBefore w:val="0"/>
        <w:kinsoku/>
        <w:wordWrap/>
        <w:overflowPunct/>
        <w:topLinePunct w:val="0"/>
        <w:bidi w:val="0"/>
        <w:spacing w:line="360" w:lineRule="auto"/>
        <w:ind w:firstLine="470" w:firstLineChars="196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highlight w:val="none"/>
          <w:lang w:val="en-US" w:eastAsia="zh-CN"/>
        </w:rPr>
        <w:t>6.配置X光影像盒托架。</w:t>
      </w:r>
    </w:p>
    <w:p w14:paraId="49143640">
      <w:pPr>
        <w:pStyle w:val="2"/>
        <w:ind w:firstLine="482" w:firstLineChars="200"/>
        <w:rPr>
          <w:rFonts w:hint="eastAsia" w:ascii="方正仿宋_GBK" w:hAnsi="方正仿宋_GBK" w:eastAsia="方正仿宋_GBK" w:cs="方正仿宋_GBK"/>
          <w:color w:val="auto"/>
          <w:sz w:val="24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四、质保期：</w:t>
      </w:r>
      <w:r>
        <w:rPr>
          <w:rFonts w:hint="eastAsia" w:ascii="方正仿宋_GBK" w:hAnsi="方正仿宋_GBK" w:eastAsia="方正仿宋_GBK" w:cs="方正仿宋_GBK"/>
          <w:color w:val="auto"/>
          <w:sz w:val="24"/>
          <w:highlight w:val="none"/>
          <w:lang w:eastAsia="zh-CN"/>
        </w:rPr>
        <w:t>提供</w:t>
      </w:r>
      <w:r>
        <w:rPr>
          <w:rFonts w:hint="eastAsia" w:ascii="方正仿宋_GBK" w:hAnsi="方正仿宋_GBK" w:eastAsia="方正仿宋_GBK" w:cs="方正仿宋_GBK"/>
          <w:color w:val="auto"/>
          <w:sz w:val="24"/>
          <w:highlight w:val="none"/>
          <w:lang w:val="en-US" w:eastAsia="zh-CN"/>
        </w:rPr>
        <w:t>5年</w:t>
      </w:r>
      <w:r>
        <w:rPr>
          <w:rFonts w:hint="eastAsia" w:ascii="方正仿宋_GBK" w:hAnsi="方正仿宋_GBK" w:eastAsia="方正仿宋_GBK" w:cs="方正仿宋_GBK"/>
          <w:color w:val="auto"/>
          <w:sz w:val="24"/>
          <w:highlight w:val="none"/>
          <w:lang w:eastAsia="zh-CN"/>
        </w:rPr>
        <w:t>质量维护，并提供</w:t>
      </w:r>
      <w:r>
        <w:rPr>
          <w:rFonts w:hint="eastAsia" w:ascii="方正仿宋_GBK" w:hAnsi="方正仿宋_GBK" w:eastAsia="方正仿宋_GBK" w:cs="方正仿宋_GBK"/>
          <w:color w:val="auto"/>
          <w:sz w:val="24"/>
          <w:highlight w:val="none"/>
          <w:lang w:val="en-US" w:eastAsia="zh-CN"/>
        </w:rPr>
        <w:t>原厂</w:t>
      </w:r>
      <w:r>
        <w:rPr>
          <w:rFonts w:hint="eastAsia" w:ascii="方正仿宋_GBK" w:hAnsi="方正仿宋_GBK" w:eastAsia="方正仿宋_GBK" w:cs="方正仿宋_GBK"/>
          <w:color w:val="auto"/>
          <w:sz w:val="24"/>
          <w:highlight w:val="none"/>
          <w:lang w:eastAsia="zh-CN"/>
        </w:rPr>
        <w:t>售后服务维修承诺（提供</w:t>
      </w:r>
      <w:r>
        <w:rPr>
          <w:rFonts w:hint="eastAsia" w:ascii="方正仿宋_GBK" w:hAnsi="方正仿宋_GBK" w:eastAsia="方正仿宋_GBK" w:cs="方正仿宋_GBK"/>
          <w:color w:val="auto"/>
          <w:sz w:val="24"/>
          <w:highlight w:val="none"/>
          <w:lang w:val="en-US" w:eastAsia="zh-CN"/>
        </w:rPr>
        <w:t>原厂</w:t>
      </w:r>
      <w:r>
        <w:rPr>
          <w:rFonts w:hint="eastAsia" w:ascii="方正仿宋_GBK" w:hAnsi="方正仿宋_GBK" w:eastAsia="方正仿宋_GBK" w:cs="方正仿宋_GBK"/>
          <w:color w:val="auto"/>
          <w:sz w:val="24"/>
          <w:highlight w:val="none"/>
          <w:lang w:eastAsia="zh-CN"/>
        </w:rPr>
        <w:t>售后服务维修承诺函原件）。</w:t>
      </w:r>
    </w:p>
    <w:p w14:paraId="12041D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方正仿宋_GBK" w:hAnsi="方正仿宋_GBK" w:eastAsia="方正仿宋_GBK" w:cs="方正仿宋_GBK"/>
          <w:b/>
          <w:color w:val="auto"/>
          <w:sz w:val="24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24"/>
          <w:highlight w:val="none"/>
          <w:lang w:val="en-US" w:eastAsia="zh-CN"/>
        </w:rPr>
        <w:t>五、</w:t>
      </w:r>
      <w:r>
        <w:rPr>
          <w:rFonts w:hint="eastAsia" w:ascii="方正仿宋_GBK" w:hAnsi="方正仿宋_GBK" w:eastAsia="方正仿宋_GBK" w:cs="方正仿宋_GBK"/>
          <w:b/>
          <w:color w:val="auto"/>
          <w:sz w:val="24"/>
          <w:highlight w:val="none"/>
        </w:rPr>
        <w:t>付款方式</w:t>
      </w:r>
    </w:p>
    <w:p w14:paraId="7A779755">
      <w:pPr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highlight w:val="none"/>
          <w:lang w:val="en-US" w:eastAsia="zh-CN"/>
        </w:rPr>
        <w:t>货物安装完毕验收合格后且</w:t>
      </w:r>
      <w:r>
        <w:rPr>
          <w:rFonts w:hint="eastAsia" w:ascii="方正仿宋_GBK" w:hAnsi="方正仿宋_GBK" w:eastAsia="方正仿宋_GBK" w:cs="方正仿宋_GBK"/>
          <w:color w:val="auto"/>
          <w:sz w:val="24"/>
          <w:highlight w:val="none"/>
          <w:lang w:eastAsia="zh-CN"/>
        </w:rPr>
        <w:t>中标供应商提供合法合规票据（</w:t>
      </w:r>
      <w:r>
        <w:rPr>
          <w:rFonts w:hint="eastAsia" w:ascii="方正仿宋_GBK" w:hAnsi="方正仿宋_GBK" w:eastAsia="方正仿宋_GBK" w:cs="方正仿宋_GBK"/>
          <w:color w:val="auto"/>
          <w:sz w:val="24"/>
          <w:highlight w:val="none"/>
          <w:lang w:val="en-US" w:eastAsia="zh-CN"/>
        </w:rPr>
        <w:t>货款的100%</w:t>
      </w:r>
      <w:r>
        <w:rPr>
          <w:rFonts w:hint="eastAsia" w:ascii="方正仿宋_GBK" w:hAnsi="方正仿宋_GBK" w:eastAsia="方正仿宋_GBK" w:cs="方正仿宋_GBK"/>
          <w:color w:val="auto"/>
          <w:sz w:val="24"/>
          <w:highlight w:val="none"/>
          <w:lang w:eastAsia="zh-CN"/>
        </w:rPr>
        <w:t>）和其他</w:t>
      </w:r>
      <w:r>
        <w:rPr>
          <w:rFonts w:hint="eastAsia" w:ascii="方正仿宋_GBK" w:hAnsi="方正仿宋_GBK" w:eastAsia="方正仿宋_GBK" w:cs="方正仿宋_GBK"/>
          <w:color w:val="auto"/>
          <w:sz w:val="24"/>
          <w:highlight w:val="none"/>
          <w:lang w:val="en-US" w:eastAsia="zh-CN"/>
        </w:rPr>
        <w:t>付款资料后，采购人收到发票后5个工作日内按程序启动办理支付手续，并于60个日历日内完成付款。款项支付通过双方开户银行进行，结算费用双方各自承担。申请付款资料包含但不限于：相应金额的发票、交货验收合格证明及履约保证金复印件。</w:t>
      </w:r>
    </w:p>
    <w:p w14:paraId="43BE64A2">
      <w:pPr>
        <w:rPr>
          <w:rFonts w:hint="default"/>
          <w:lang w:val="en-US" w:eastAsia="zh-CN"/>
        </w:rPr>
      </w:pPr>
    </w:p>
    <w:p w14:paraId="7868E3F0">
      <w:pPr>
        <w:spacing w:line="360" w:lineRule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C00FD"/>
    <w:rsid w:val="03B540AE"/>
    <w:rsid w:val="13417C9D"/>
    <w:rsid w:val="2BC776F3"/>
    <w:rsid w:val="37FF0B20"/>
    <w:rsid w:val="56130724"/>
    <w:rsid w:val="681C327A"/>
    <w:rsid w:val="68CB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798</Words>
  <Characters>849</Characters>
  <Lines>0</Lines>
  <Paragraphs>0</Paragraphs>
  <TotalTime>0</TotalTime>
  <ScaleCrop>false</ScaleCrop>
  <LinksUpToDate>false</LinksUpToDate>
  <CharactersWithSpaces>850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2025-05-07T03:04:00Z</dcterms:created>
  <dc:creator>Administrator</dc:creator>
  <cp:lastModifiedBy>HYQ</cp:lastModifiedBy>
  <dcterms:modified xsi:type="dcterms:W3CDTF">2025-06-10T06:24:37Z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eyJoZGlkIjoiYjkzMWEyNjU1ODNhMTk0NzUyZTIyZmM4YTRjYTY2MTUiLCJ1c2VySWQiOiIxNTU4MTM3OTAyIn0=</vt:lpwstr>
  </property>
  <property fmtid="{D5CDD505-2E9C-101B-9397-08002B2CF9AE}" pid="4" name="ICV">
    <vt:lpwstr>D06AA3902FF345CFB5559A5AF6C769C1_12</vt:lpwstr>
  </property>
</Properties>
</file>