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1E7B7">
      <w:pPr>
        <w:spacing w:line="360" w:lineRule="auto"/>
        <w:rPr>
          <w:rFonts w:ascii="宋体" w:hAnsi="宋体" w:cs="宋体"/>
          <w:color w:val="auto"/>
          <w:szCs w:val="28"/>
          <w:highlight w:val="none"/>
        </w:rPr>
      </w:pPr>
    </w:p>
    <w:p w14:paraId="7E01248A">
      <w:pPr>
        <w:spacing w:line="360" w:lineRule="auto"/>
        <w:rPr>
          <w:rFonts w:ascii="宋体" w:hAnsi="宋体" w:cs="宋体"/>
          <w:color w:val="auto"/>
          <w:szCs w:val="28"/>
          <w:highlight w:val="none"/>
        </w:rPr>
      </w:pPr>
      <w:r>
        <w:rPr>
          <w:rFonts w:hint="eastAsia" w:ascii="宋体" w:hAnsi="宋体" w:cs="宋体"/>
          <w:color w:val="auto"/>
          <w:szCs w:val="28"/>
          <w:highlight w:val="none"/>
        </w:rPr>
        <w:t>项目编号：CQYS-20260514006</w:t>
      </w:r>
    </w:p>
    <w:p w14:paraId="533EB8D5">
      <w:pPr>
        <w:spacing w:line="360" w:lineRule="auto"/>
        <w:ind w:left="1400" w:hanging="1400" w:hangingChars="500"/>
        <w:rPr>
          <w:rFonts w:ascii="宋体" w:hAnsi="宋体" w:cs="宋体"/>
          <w:color w:val="auto"/>
          <w:szCs w:val="28"/>
          <w:highlight w:val="none"/>
        </w:rPr>
      </w:pPr>
      <w:r>
        <w:rPr>
          <w:rFonts w:hint="eastAsia" w:ascii="宋体" w:hAnsi="宋体" w:cs="宋体"/>
          <w:color w:val="auto"/>
          <w:szCs w:val="28"/>
          <w:highlight w:val="none"/>
        </w:rPr>
        <w:t>项目名称：龙山街道为高层建筑</w:t>
      </w:r>
      <w:r>
        <w:rPr>
          <w:rFonts w:hint="eastAsia" w:ascii="宋体" w:hAnsi="宋体" w:cs="宋体"/>
          <w:color w:val="auto"/>
          <w:szCs w:val="28"/>
          <w:highlight w:val="none"/>
          <w:lang w:val="en-US" w:eastAsia="zh-CN"/>
        </w:rPr>
        <w:t>内部分</w:t>
      </w:r>
      <w:r>
        <w:rPr>
          <w:rFonts w:hint="eastAsia" w:ascii="宋体" w:hAnsi="宋体" w:cs="宋体"/>
          <w:color w:val="auto"/>
          <w:szCs w:val="28"/>
          <w:highlight w:val="none"/>
        </w:rPr>
        <w:t>独居、空巢</w:t>
      </w:r>
      <w:r>
        <w:rPr>
          <w:rFonts w:hint="eastAsia" w:ascii="宋体" w:hAnsi="宋体" w:cs="宋体"/>
          <w:color w:val="auto"/>
          <w:szCs w:val="28"/>
          <w:highlight w:val="none"/>
          <w:lang w:val="en-US" w:eastAsia="zh-CN"/>
        </w:rPr>
        <w:t>和留守</w:t>
      </w:r>
      <w:r>
        <w:rPr>
          <w:rFonts w:hint="eastAsia" w:ascii="宋体" w:hAnsi="宋体" w:cs="宋体"/>
          <w:color w:val="auto"/>
          <w:szCs w:val="28"/>
          <w:highlight w:val="none"/>
        </w:rPr>
        <w:t>老人配设消防器材采购项目</w:t>
      </w:r>
    </w:p>
    <w:p w14:paraId="72CE2D7A">
      <w:pPr>
        <w:pStyle w:val="31"/>
        <w:rPr>
          <w:rFonts w:hAnsi="宋体" w:cs="宋体"/>
          <w:color w:val="auto"/>
          <w:szCs w:val="28"/>
          <w:highlight w:val="none"/>
        </w:rPr>
      </w:pPr>
    </w:p>
    <w:p w14:paraId="3E4E9CB9">
      <w:pPr>
        <w:pStyle w:val="31"/>
        <w:rPr>
          <w:rFonts w:hAnsi="宋体" w:cs="宋体"/>
          <w:color w:val="auto"/>
          <w:szCs w:val="28"/>
          <w:highlight w:val="none"/>
        </w:rPr>
      </w:pPr>
    </w:p>
    <w:p w14:paraId="2407914C">
      <w:pPr>
        <w:spacing w:line="1600" w:lineRule="exact"/>
        <w:jc w:val="center"/>
        <w:rPr>
          <w:rFonts w:ascii="宋体" w:hAnsi="宋体" w:cs="宋体"/>
          <w:color w:val="auto"/>
          <w:sz w:val="72"/>
          <w:szCs w:val="72"/>
          <w:highlight w:val="none"/>
        </w:rPr>
      </w:pPr>
      <w:bookmarkStart w:id="0" w:name="_Toc30988"/>
      <w:bookmarkStart w:id="1" w:name="_Toc17591"/>
      <w:bookmarkStart w:id="2" w:name="_Toc31917"/>
      <w:bookmarkStart w:id="3" w:name="_Toc31370"/>
      <w:bookmarkStart w:id="4" w:name="_Toc16779"/>
      <w:bookmarkStart w:id="5" w:name="_Toc18758"/>
      <w:bookmarkStart w:id="6" w:name="_Toc7408"/>
      <w:bookmarkStart w:id="7" w:name="_Toc19609"/>
      <w:bookmarkStart w:id="8" w:name="_Toc2781"/>
      <w:r>
        <w:rPr>
          <w:rFonts w:hint="eastAsia" w:ascii="宋体" w:hAnsi="宋体" w:cs="宋体"/>
          <w:color w:val="auto"/>
          <w:sz w:val="72"/>
          <w:szCs w:val="72"/>
          <w:highlight w:val="none"/>
        </w:rPr>
        <w:t xml:space="preserve"> </w:t>
      </w:r>
      <w:r>
        <w:rPr>
          <w:rFonts w:ascii="宋体" w:hAnsi="宋体" w:cs="宋体"/>
          <w:color w:val="auto"/>
          <w:sz w:val="72"/>
          <w:szCs w:val="72"/>
          <w:highlight w:val="none"/>
        </w:rPr>
        <w:t xml:space="preserve">                    </w:t>
      </w:r>
    </w:p>
    <w:p w14:paraId="1E4AD459">
      <w:pPr>
        <w:spacing w:line="360" w:lineRule="auto"/>
        <w:jc w:val="center"/>
        <w:rPr>
          <w:rFonts w:ascii="宋体" w:hAnsi="宋体" w:cs="宋体"/>
          <w:color w:val="auto"/>
          <w:sz w:val="72"/>
          <w:szCs w:val="72"/>
          <w:highlight w:val="none"/>
        </w:rPr>
      </w:pPr>
    </w:p>
    <w:bookmarkEnd w:id="0"/>
    <w:bookmarkEnd w:id="1"/>
    <w:bookmarkEnd w:id="2"/>
    <w:bookmarkEnd w:id="3"/>
    <w:bookmarkEnd w:id="4"/>
    <w:bookmarkEnd w:id="5"/>
    <w:bookmarkEnd w:id="6"/>
    <w:bookmarkEnd w:id="7"/>
    <w:bookmarkEnd w:id="8"/>
    <w:p w14:paraId="3B3EDB64">
      <w:pPr>
        <w:spacing w:line="360" w:lineRule="auto"/>
        <w:jc w:val="center"/>
        <w:rPr>
          <w:rFonts w:hint="eastAsia" w:ascii="方正小标宋_GBK" w:hAnsi="方正小标宋_GBK" w:eastAsia="方正小标宋_GBK" w:cs="方正小标宋_GBK"/>
          <w:b/>
          <w:color w:val="auto"/>
          <w:sz w:val="84"/>
          <w:szCs w:val="84"/>
          <w:highlight w:val="none"/>
        </w:rPr>
      </w:pPr>
      <w:r>
        <w:rPr>
          <w:rFonts w:hint="eastAsia" w:ascii="方正小标宋_GBK" w:hAnsi="方正小标宋_GBK" w:eastAsia="方正小标宋_GBK" w:cs="方正小标宋_GBK"/>
          <w:color w:val="auto"/>
          <w:sz w:val="84"/>
          <w:szCs w:val="84"/>
          <w:highlight w:val="none"/>
        </w:rPr>
        <w:t>竞争性比选文件</w:t>
      </w:r>
    </w:p>
    <w:p w14:paraId="749C48B2">
      <w:pPr>
        <w:spacing w:line="700" w:lineRule="exact"/>
        <w:jc w:val="center"/>
        <w:rPr>
          <w:rFonts w:ascii="宋体" w:hAnsi="宋体" w:cs="宋体"/>
          <w:color w:val="auto"/>
          <w:sz w:val="32"/>
          <w:highlight w:val="none"/>
        </w:rPr>
      </w:pPr>
    </w:p>
    <w:p w14:paraId="2DB39359">
      <w:pPr>
        <w:pStyle w:val="9"/>
        <w:rPr>
          <w:color w:val="auto"/>
          <w:highlight w:val="none"/>
        </w:rPr>
      </w:pPr>
    </w:p>
    <w:p w14:paraId="44FC95EB">
      <w:pPr>
        <w:spacing w:line="440" w:lineRule="exact"/>
        <w:ind w:firstLine="960" w:firstLineChars="400"/>
        <w:rPr>
          <w:rFonts w:ascii="宋体" w:hAnsi="宋体" w:cs="宋体"/>
          <w:color w:val="auto"/>
          <w:sz w:val="24"/>
          <w:szCs w:val="24"/>
          <w:highlight w:val="none"/>
        </w:rPr>
      </w:pPr>
    </w:p>
    <w:p w14:paraId="76F4C94B">
      <w:pPr>
        <w:spacing w:line="500" w:lineRule="exact"/>
        <w:rPr>
          <w:rFonts w:ascii="宋体" w:hAnsi="宋体" w:cs="宋体"/>
          <w:color w:val="auto"/>
          <w:sz w:val="36"/>
          <w:szCs w:val="36"/>
          <w:highlight w:val="none"/>
        </w:rPr>
      </w:pPr>
    </w:p>
    <w:p w14:paraId="0B9E1557">
      <w:pPr>
        <w:rPr>
          <w:color w:val="auto"/>
          <w:highlight w:val="none"/>
        </w:rPr>
      </w:pPr>
    </w:p>
    <w:p w14:paraId="039026D4">
      <w:pPr>
        <w:pStyle w:val="9"/>
        <w:rPr>
          <w:color w:val="auto"/>
          <w:highlight w:val="none"/>
        </w:rPr>
      </w:pPr>
    </w:p>
    <w:p w14:paraId="372C6876">
      <w:pPr>
        <w:spacing w:line="520" w:lineRule="exact"/>
        <w:ind w:firstLine="1400" w:firstLineChars="500"/>
        <w:rPr>
          <w:rFonts w:ascii="宋体" w:hAnsi="宋体" w:cs="宋体"/>
          <w:color w:val="auto"/>
          <w:szCs w:val="28"/>
          <w:highlight w:val="none"/>
        </w:rPr>
      </w:pPr>
    </w:p>
    <w:p w14:paraId="63D2954C">
      <w:pPr>
        <w:spacing w:line="520" w:lineRule="exact"/>
        <w:ind w:firstLine="1400" w:firstLineChars="500"/>
        <w:rPr>
          <w:rFonts w:ascii="宋体" w:hAnsi="宋体" w:cs="宋体"/>
          <w:color w:val="auto"/>
          <w:szCs w:val="28"/>
          <w:highlight w:val="none"/>
        </w:rPr>
      </w:pPr>
    </w:p>
    <w:p w14:paraId="6C0515FA">
      <w:pPr>
        <w:spacing w:line="520" w:lineRule="exact"/>
        <w:ind w:firstLine="1400" w:firstLineChars="500"/>
        <w:rPr>
          <w:rFonts w:ascii="宋体" w:hAnsi="宋体" w:cs="宋体"/>
          <w:color w:val="auto"/>
          <w:szCs w:val="28"/>
          <w:highlight w:val="none"/>
        </w:rPr>
      </w:pPr>
      <w:r>
        <w:rPr>
          <w:rFonts w:hint="eastAsia" w:ascii="宋体" w:hAnsi="宋体" w:cs="宋体"/>
          <w:color w:val="auto"/>
          <w:szCs w:val="28"/>
          <w:highlight w:val="none"/>
        </w:rPr>
        <w:t>采 购 人：重庆市两江新区人民政府龙山街道办事处</w:t>
      </w:r>
    </w:p>
    <w:p w14:paraId="15C169AF">
      <w:pPr>
        <w:spacing w:line="520" w:lineRule="exact"/>
        <w:ind w:firstLine="1400" w:firstLineChars="500"/>
        <w:rPr>
          <w:rFonts w:ascii="宋体" w:hAnsi="宋体" w:cs="宋体"/>
          <w:color w:val="auto"/>
          <w:szCs w:val="28"/>
          <w:highlight w:val="none"/>
        </w:rPr>
      </w:pPr>
      <w:r>
        <w:rPr>
          <w:rFonts w:hint="eastAsia" w:ascii="宋体" w:hAnsi="宋体" w:cs="宋体"/>
          <w:color w:val="auto"/>
          <w:szCs w:val="28"/>
          <w:highlight w:val="none"/>
        </w:rPr>
        <w:t>采购代理机构：重庆垚杉工程管理有限公司</w:t>
      </w:r>
    </w:p>
    <w:p w14:paraId="5290651B">
      <w:pPr>
        <w:spacing w:line="520" w:lineRule="exact"/>
        <w:ind w:firstLine="3500" w:firstLineChars="1250"/>
        <w:rPr>
          <w:rFonts w:ascii="宋体" w:hAnsi="宋体" w:cs="宋体"/>
          <w:color w:val="auto"/>
          <w:sz w:val="44"/>
          <w:szCs w:val="28"/>
          <w:highlight w:val="none"/>
        </w:rPr>
        <w:sectPr>
          <w:headerReference r:id="rId4" w:type="first"/>
          <w:footerReference r:id="rId6" w:type="first"/>
          <w:headerReference r:id="rId3" w:type="default"/>
          <w:footerReference r:id="rId5" w:type="even"/>
          <w:pgSz w:w="11907" w:h="16840"/>
          <w:pgMar w:top="1440" w:right="1547" w:bottom="1440" w:left="1800" w:header="851" w:footer="992" w:gutter="0"/>
          <w:pgNumType w:fmt="numberInDash" w:start="1"/>
          <w:cols w:space="720" w:num="1"/>
          <w:titlePg/>
          <w:docGrid w:linePitch="381" w:charSpace="-5735"/>
        </w:sectPr>
      </w:pPr>
      <w:r>
        <w:rPr>
          <w:rFonts w:hint="eastAsia" w:ascii="宋体" w:hAnsi="宋体" w:cs="宋体"/>
          <w:color w:val="auto"/>
          <w:szCs w:val="28"/>
          <w:highlight w:val="none"/>
        </w:rPr>
        <w:t>二〇二六年</w:t>
      </w:r>
      <w:r>
        <w:rPr>
          <w:rFonts w:hint="eastAsia" w:ascii="宋体" w:hAnsi="宋体" w:cs="宋体"/>
          <w:color w:val="auto"/>
          <w:szCs w:val="28"/>
          <w:highlight w:val="none"/>
          <w:lang w:val="en-US" w:eastAsia="zh-CN"/>
        </w:rPr>
        <w:t>六</w:t>
      </w:r>
      <w:r>
        <w:rPr>
          <w:rFonts w:hint="eastAsia" w:ascii="宋体" w:hAnsi="宋体" w:cs="宋体"/>
          <w:color w:val="auto"/>
          <w:szCs w:val="28"/>
          <w:highlight w:val="none"/>
        </w:rPr>
        <w:t>月</w:t>
      </w:r>
    </w:p>
    <w:p w14:paraId="3D4282AF">
      <w:pPr>
        <w:spacing w:line="480" w:lineRule="exact"/>
        <w:jc w:val="center"/>
        <w:outlineLvl w:val="0"/>
        <w:rPr>
          <w:rFonts w:ascii="宋体" w:hAnsi="宋体" w:cs="宋体"/>
          <w:color w:val="auto"/>
          <w:sz w:val="44"/>
          <w:szCs w:val="28"/>
          <w:highlight w:val="none"/>
        </w:rPr>
      </w:pPr>
    </w:p>
    <w:p w14:paraId="6B0641E2">
      <w:pPr>
        <w:spacing w:after="573" w:afterLines="150" w:line="360" w:lineRule="auto"/>
        <w:jc w:val="center"/>
        <w:outlineLvl w:val="0"/>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目</w:t>
      </w:r>
      <w:r>
        <w:rPr>
          <w:rFonts w:hint="eastAsia" w:ascii="方正小标宋_GBK" w:hAnsi="方正小标宋_GBK" w:eastAsia="方正小标宋_GBK" w:cs="方正小标宋_GBK"/>
          <w:color w:val="auto"/>
          <w:sz w:val="32"/>
          <w:szCs w:val="32"/>
          <w:highlight w:val="none"/>
          <w:lang w:val="en-US" w:eastAsia="zh-CN"/>
        </w:rPr>
        <w:t xml:space="preserve">  </w:t>
      </w:r>
      <w:r>
        <w:rPr>
          <w:rFonts w:hint="eastAsia" w:ascii="方正小标宋_GBK" w:hAnsi="方正小标宋_GBK" w:eastAsia="方正小标宋_GBK" w:cs="方正小标宋_GBK"/>
          <w:color w:val="auto"/>
          <w:sz w:val="32"/>
          <w:szCs w:val="32"/>
          <w:highlight w:val="none"/>
        </w:rPr>
        <w:t>录</w:t>
      </w:r>
    </w:p>
    <w:p w14:paraId="3821267A">
      <w:pPr>
        <w:pStyle w:val="18"/>
        <w:tabs>
          <w:tab w:val="right" w:leader="dot" w:pos="8307"/>
        </w:tabs>
        <w:rPr>
          <w:color w:val="auto"/>
          <w:highlight w:val="none"/>
        </w:rPr>
      </w:pPr>
      <w:r>
        <w:rPr>
          <w:rFonts w:hint="eastAsia"/>
          <w:color w:val="auto"/>
          <w:sz w:val="24"/>
          <w:szCs w:val="24"/>
          <w:highlight w:val="none"/>
        </w:rPr>
        <w:fldChar w:fldCharType="begin"/>
      </w:r>
      <w:r>
        <w:rPr>
          <w:rFonts w:hint="eastAsia"/>
          <w:color w:val="auto"/>
          <w:sz w:val="24"/>
          <w:szCs w:val="24"/>
          <w:highlight w:val="none"/>
        </w:rPr>
        <w:instrText xml:space="preserve"> TOC \o "1-3" \h \z </w:instrText>
      </w:r>
      <w:r>
        <w:rPr>
          <w:rFonts w:hint="eastAsia"/>
          <w:color w:val="auto"/>
          <w:sz w:val="24"/>
          <w:szCs w:val="24"/>
          <w:highlight w:val="none"/>
        </w:rPr>
        <w:fldChar w:fldCharType="separate"/>
      </w:r>
      <w:r>
        <w:rPr>
          <w:rFonts w:hint="eastAsia"/>
          <w:color w:val="auto"/>
          <w:szCs w:val="24"/>
          <w:highlight w:val="none"/>
        </w:rPr>
        <w:fldChar w:fldCharType="begin"/>
      </w:r>
      <w:r>
        <w:rPr>
          <w:rFonts w:hint="eastAsia"/>
          <w:color w:val="auto"/>
          <w:szCs w:val="24"/>
          <w:highlight w:val="none"/>
        </w:rPr>
        <w:instrText xml:space="preserve"> HYPERLINK \l _Toc29048 </w:instrText>
      </w:r>
      <w:r>
        <w:rPr>
          <w:rFonts w:hint="eastAsia"/>
          <w:color w:val="auto"/>
          <w:szCs w:val="24"/>
          <w:highlight w:val="none"/>
        </w:rPr>
        <w:fldChar w:fldCharType="separate"/>
      </w:r>
      <w:r>
        <w:rPr>
          <w:rFonts w:hint="eastAsia" w:hAnsi="宋体" w:cs="宋体"/>
          <w:bCs/>
          <w:color w:val="auto"/>
          <w:szCs w:val="36"/>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_Toc29048 \h </w:instrText>
      </w:r>
      <w:r>
        <w:rPr>
          <w:color w:val="auto"/>
          <w:highlight w:val="none"/>
        </w:rPr>
        <w:fldChar w:fldCharType="separate"/>
      </w:r>
      <w:r>
        <w:rPr>
          <w:color w:val="auto"/>
          <w:highlight w:val="none"/>
        </w:rPr>
        <w:t>- 1 -</w:t>
      </w:r>
      <w:r>
        <w:rPr>
          <w:color w:val="auto"/>
          <w:highlight w:val="none"/>
        </w:rPr>
        <w:fldChar w:fldCharType="end"/>
      </w:r>
      <w:r>
        <w:rPr>
          <w:rFonts w:hint="eastAsia"/>
          <w:color w:val="auto"/>
          <w:szCs w:val="24"/>
          <w:highlight w:val="none"/>
        </w:rPr>
        <w:fldChar w:fldCharType="end"/>
      </w:r>
    </w:p>
    <w:p w14:paraId="11D145C7">
      <w:pPr>
        <w:pStyle w:val="18"/>
        <w:tabs>
          <w:tab w:val="right" w:leader="dot" w:pos="8307"/>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_Toc30202 </w:instrText>
      </w:r>
      <w:r>
        <w:rPr>
          <w:rFonts w:hint="eastAsia" w:ascii="宋体" w:hAnsi="宋体" w:cs="宋体"/>
          <w:color w:val="auto"/>
          <w:szCs w:val="24"/>
          <w:highlight w:val="none"/>
        </w:rPr>
        <w:fldChar w:fldCharType="separate"/>
      </w:r>
      <w:r>
        <w:rPr>
          <w:rFonts w:hint="eastAsia" w:hAnsi="宋体" w:cs="宋体"/>
          <w:bCs/>
          <w:color w:val="auto"/>
          <w:szCs w:val="32"/>
          <w:highlight w:val="none"/>
        </w:rPr>
        <w:t>第二篇  项目服务需求</w:t>
      </w:r>
      <w:r>
        <w:rPr>
          <w:color w:val="auto"/>
          <w:highlight w:val="none"/>
        </w:rPr>
        <w:tab/>
      </w:r>
      <w:r>
        <w:rPr>
          <w:color w:val="auto"/>
          <w:highlight w:val="none"/>
        </w:rPr>
        <w:fldChar w:fldCharType="begin"/>
      </w:r>
      <w:r>
        <w:rPr>
          <w:color w:val="auto"/>
          <w:highlight w:val="none"/>
        </w:rPr>
        <w:instrText xml:space="preserve"> PAGEREF _Toc30202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cs="宋体"/>
          <w:color w:val="auto"/>
          <w:szCs w:val="24"/>
          <w:highlight w:val="none"/>
        </w:rPr>
        <w:fldChar w:fldCharType="end"/>
      </w:r>
    </w:p>
    <w:p w14:paraId="7AA815DD">
      <w:pPr>
        <w:pStyle w:val="18"/>
        <w:tabs>
          <w:tab w:val="right" w:leader="dot" w:pos="8307"/>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_Toc13943 </w:instrText>
      </w:r>
      <w:r>
        <w:rPr>
          <w:rFonts w:hint="eastAsia" w:ascii="宋体" w:hAnsi="宋体" w:cs="宋体"/>
          <w:color w:val="auto"/>
          <w:szCs w:val="24"/>
          <w:highlight w:val="none"/>
        </w:rPr>
        <w:fldChar w:fldCharType="separate"/>
      </w:r>
      <w:r>
        <w:rPr>
          <w:rFonts w:hint="eastAsia" w:hAnsi="宋体" w:cs="宋体"/>
          <w:bCs/>
          <w:color w:val="auto"/>
          <w:szCs w:val="32"/>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_Toc13943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cs="宋体"/>
          <w:color w:val="auto"/>
          <w:szCs w:val="24"/>
          <w:highlight w:val="none"/>
        </w:rPr>
        <w:fldChar w:fldCharType="end"/>
      </w:r>
    </w:p>
    <w:p w14:paraId="5ADD9473">
      <w:pPr>
        <w:pStyle w:val="18"/>
        <w:tabs>
          <w:tab w:val="right" w:leader="dot" w:pos="8307"/>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_Toc4898 </w:instrText>
      </w:r>
      <w:r>
        <w:rPr>
          <w:rFonts w:hint="eastAsia" w:ascii="宋体" w:hAnsi="宋体" w:cs="宋体"/>
          <w:color w:val="auto"/>
          <w:szCs w:val="24"/>
          <w:highlight w:val="none"/>
        </w:rPr>
        <w:fldChar w:fldCharType="separate"/>
      </w:r>
      <w:r>
        <w:rPr>
          <w:rFonts w:hint="eastAsia" w:hAnsi="宋体" w:cs="宋体"/>
          <w:bCs/>
          <w:color w:val="auto"/>
          <w:szCs w:val="32"/>
          <w:highlight w:val="none"/>
        </w:rPr>
        <w:t>第四篇  资格审查及</w:t>
      </w:r>
      <w:r>
        <w:rPr>
          <w:rFonts w:hint="eastAsia" w:cs="宋体"/>
          <w:bCs/>
          <w:color w:val="auto"/>
          <w:szCs w:val="32"/>
          <w:highlight w:val="none"/>
          <w:lang w:eastAsia="zh-CN"/>
        </w:rPr>
        <w:t>评审</w:t>
      </w:r>
      <w:r>
        <w:rPr>
          <w:rFonts w:hint="eastAsia" w:hAnsi="宋体" w:cs="宋体"/>
          <w:bCs/>
          <w:color w:val="auto"/>
          <w:szCs w:val="32"/>
          <w:highlight w:val="none"/>
        </w:rPr>
        <w:t>办法</w:t>
      </w:r>
      <w:r>
        <w:rPr>
          <w:color w:val="auto"/>
          <w:highlight w:val="none"/>
        </w:rPr>
        <w:tab/>
      </w:r>
      <w:r>
        <w:rPr>
          <w:color w:val="auto"/>
          <w:highlight w:val="none"/>
        </w:rPr>
        <w:fldChar w:fldCharType="begin"/>
      </w:r>
      <w:r>
        <w:rPr>
          <w:color w:val="auto"/>
          <w:highlight w:val="none"/>
        </w:rPr>
        <w:instrText xml:space="preserve"> PAGEREF _Toc4898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cs="宋体"/>
          <w:color w:val="auto"/>
          <w:szCs w:val="24"/>
          <w:highlight w:val="none"/>
        </w:rPr>
        <w:fldChar w:fldCharType="end"/>
      </w:r>
    </w:p>
    <w:p w14:paraId="07FC9BE9">
      <w:pPr>
        <w:pStyle w:val="18"/>
        <w:tabs>
          <w:tab w:val="right" w:leader="dot" w:pos="8307"/>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_Toc18985 </w:instrText>
      </w:r>
      <w:r>
        <w:rPr>
          <w:rFonts w:hint="eastAsia" w:ascii="宋体" w:hAnsi="宋体" w:cs="宋体"/>
          <w:color w:val="auto"/>
          <w:szCs w:val="24"/>
          <w:highlight w:val="none"/>
        </w:rPr>
        <w:fldChar w:fldCharType="separate"/>
      </w:r>
      <w:r>
        <w:rPr>
          <w:rFonts w:hint="eastAsia" w:hAnsi="宋体" w:cs="宋体"/>
          <w:bCs/>
          <w:color w:val="auto"/>
          <w:szCs w:val="32"/>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_Toc18985 \h </w:instrText>
      </w:r>
      <w:r>
        <w:rPr>
          <w:color w:val="auto"/>
          <w:highlight w:val="none"/>
        </w:rPr>
        <w:fldChar w:fldCharType="separate"/>
      </w:r>
      <w:r>
        <w:rPr>
          <w:color w:val="auto"/>
          <w:highlight w:val="none"/>
        </w:rPr>
        <w:t>- 12 -</w:t>
      </w:r>
      <w:r>
        <w:rPr>
          <w:color w:val="auto"/>
          <w:highlight w:val="none"/>
        </w:rPr>
        <w:fldChar w:fldCharType="end"/>
      </w:r>
      <w:r>
        <w:rPr>
          <w:rFonts w:hint="eastAsia" w:ascii="宋体" w:hAnsi="宋体" w:cs="宋体"/>
          <w:color w:val="auto"/>
          <w:szCs w:val="24"/>
          <w:highlight w:val="none"/>
        </w:rPr>
        <w:fldChar w:fldCharType="end"/>
      </w:r>
    </w:p>
    <w:p w14:paraId="1C6260A4">
      <w:pPr>
        <w:pStyle w:val="18"/>
        <w:tabs>
          <w:tab w:val="right" w:leader="dot" w:pos="8307"/>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_Toc1967 </w:instrText>
      </w:r>
      <w:r>
        <w:rPr>
          <w:rFonts w:hint="eastAsia" w:ascii="宋体" w:hAnsi="宋体" w:cs="宋体"/>
          <w:color w:val="auto"/>
          <w:szCs w:val="24"/>
          <w:highlight w:val="none"/>
        </w:rPr>
        <w:fldChar w:fldCharType="separate"/>
      </w:r>
      <w:r>
        <w:rPr>
          <w:rFonts w:hint="eastAsia" w:hAnsi="宋体" w:cs="宋体"/>
          <w:bCs/>
          <w:color w:val="auto"/>
          <w:szCs w:val="32"/>
          <w:highlight w:val="none"/>
        </w:rPr>
        <w:t>第六篇  合同</w:t>
      </w:r>
      <w:r>
        <w:rPr>
          <w:rFonts w:hint="eastAsia" w:ascii="宋体" w:hAnsi="宋体" w:eastAsia="宋体" w:cs="宋体"/>
          <w:bCs/>
          <w:color w:val="auto"/>
          <w:szCs w:val="32"/>
          <w:highlight w:val="none"/>
        </w:rPr>
        <w:t>条款</w:t>
      </w:r>
      <w:r>
        <w:rPr>
          <w:rFonts w:hint="eastAsia" w:hAnsi="宋体" w:cs="宋体"/>
          <w:bCs/>
          <w:color w:val="auto"/>
          <w:szCs w:val="32"/>
          <w:highlight w:val="none"/>
        </w:rPr>
        <w:t>及格式</w:t>
      </w:r>
      <w:r>
        <w:rPr>
          <w:color w:val="auto"/>
          <w:highlight w:val="none"/>
        </w:rPr>
        <w:tab/>
      </w:r>
      <w:r>
        <w:rPr>
          <w:color w:val="auto"/>
          <w:highlight w:val="none"/>
        </w:rPr>
        <w:fldChar w:fldCharType="begin"/>
      </w:r>
      <w:r>
        <w:rPr>
          <w:color w:val="auto"/>
          <w:highlight w:val="none"/>
        </w:rPr>
        <w:instrText xml:space="preserve"> PAGEREF _Toc1967 \h </w:instrText>
      </w:r>
      <w:r>
        <w:rPr>
          <w:color w:val="auto"/>
          <w:highlight w:val="none"/>
        </w:rPr>
        <w:fldChar w:fldCharType="separate"/>
      </w:r>
      <w:r>
        <w:rPr>
          <w:color w:val="auto"/>
          <w:highlight w:val="none"/>
        </w:rPr>
        <w:t>- 17 -</w:t>
      </w:r>
      <w:r>
        <w:rPr>
          <w:color w:val="auto"/>
          <w:highlight w:val="none"/>
        </w:rPr>
        <w:fldChar w:fldCharType="end"/>
      </w:r>
      <w:r>
        <w:rPr>
          <w:rFonts w:hint="eastAsia" w:ascii="宋体" w:hAnsi="宋体" w:cs="宋体"/>
          <w:color w:val="auto"/>
          <w:szCs w:val="24"/>
          <w:highlight w:val="none"/>
        </w:rPr>
        <w:fldChar w:fldCharType="end"/>
      </w:r>
    </w:p>
    <w:p w14:paraId="2E0095A2">
      <w:pPr>
        <w:pStyle w:val="18"/>
        <w:tabs>
          <w:tab w:val="right" w:leader="dot" w:pos="8307"/>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_Toc2619 </w:instrText>
      </w:r>
      <w:r>
        <w:rPr>
          <w:rFonts w:hint="eastAsia" w:ascii="宋体" w:hAnsi="宋体" w:cs="宋体"/>
          <w:color w:val="auto"/>
          <w:szCs w:val="24"/>
          <w:highlight w:val="none"/>
        </w:rPr>
        <w:fldChar w:fldCharType="separate"/>
      </w:r>
      <w:r>
        <w:rPr>
          <w:rFonts w:hint="eastAsia" w:hAnsi="宋体" w:cs="宋体"/>
          <w:bCs/>
          <w:color w:val="auto"/>
          <w:szCs w:val="32"/>
          <w:highlight w:val="none"/>
        </w:rPr>
        <w:t>第七篇  响应文件格式</w:t>
      </w:r>
      <w:r>
        <w:rPr>
          <w:color w:val="auto"/>
          <w:highlight w:val="none"/>
        </w:rPr>
        <w:tab/>
      </w:r>
      <w:r>
        <w:rPr>
          <w:color w:val="auto"/>
          <w:highlight w:val="none"/>
        </w:rPr>
        <w:fldChar w:fldCharType="begin"/>
      </w:r>
      <w:r>
        <w:rPr>
          <w:color w:val="auto"/>
          <w:highlight w:val="none"/>
        </w:rPr>
        <w:instrText xml:space="preserve"> PAGEREF _Toc2619 \h </w:instrText>
      </w:r>
      <w:r>
        <w:rPr>
          <w:color w:val="auto"/>
          <w:highlight w:val="none"/>
        </w:rPr>
        <w:fldChar w:fldCharType="separate"/>
      </w:r>
      <w:r>
        <w:rPr>
          <w:color w:val="auto"/>
          <w:highlight w:val="none"/>
        </w:rPr>
        <w:t>- 18 -</w:t>
      </w:r>
      <w:r>
        <w:rPr>
          <w:color w:val="auto"/>
          <w:highlight w:val="none"/>
        </w:rPr>
        <w:fldChar w:fldCharType="end"/>
      </w:r>
      <w:r>
        <w:rPr>
          <w:rFonts w:hint="eastAsia" w:ascii="宋体" w:hAnsi="宋体" w:cs="宋体"/>
          <w:color w:val="auto"/>
          <w:szCs w:val="24"/>
          <w:highlight w:val="none"/>
        </w:rPr>
        <w:fldChar w:fldCharType="end"/>
      </w:r>
    </w:p>
    <w:p w14:paraId="27A9E577">
      <w:pPr>
        <w:pStyle w:val="19"/>
        <w:tabs>
          <w:tab w:val="right" w:leader="dot" w:pos="9402"/>
        </w:tabs>
        <w:spacing w:line="560" w:lineRule="exact"/>
        <w:ind w:left="560"/>
        <w:rPr>
          <w:rFonts w:ascii="宋体" w:hAnsi="宋体" w:cs="宋体"/>
          <w:color w:val="auto"/>
          <w:szCs w:val="24"/>
          <w:highlight w:val="none"/>
        </w:rPr>
      </w:pPr>
      <w:r>
        <w:rPr>
          <w:rFonts w:hint="eastAsia" w:ascii="宋体" w:hAnsi="宋体" w:cs="宋体"/>
          <w:color w:val="auto"/>
          <w:szCs w:val="24"/>
          <w:highlight w:val="none"/>
        </w:rPr>
        <w:fldChar w:fldCharType="end"/>
      </w:r>
      <w:bookmarkStart w:id="9" w:name="_Toc12789052"/>
      <w:bookmarkStart w:id="10" w:name="_Toc11641050"/>
    </w:p>
    <w:p w14:paraId="710EBC04">
      <w:pPr>
        <w:rPr>
          <w:color w:val="auto"/>
          <w:highlight w:val="none"/>
        </w:rPr>
      </w:pPr>
    </w:p>
    <w:p w14:paraId="79AD98B1">
      <w:pPr>
        <w:rPr>
          <w:color w:val="auto"/>
          <w:highlight w:val="none"/>
        </w:rPr>
      </w:pPr>
    </w:p>
    <w:p w14:paraId="3EE13326">
      <w:pPr>
        <w:rPr>
          <w:color w:val="auto"/>
          <w:highlight w:val="none"/>
        </w:rPr>
      </w:pPr>
    </w:p>
    <w:p w14:paraId="1B69571D">
      <w:pPr>
        <w:rPr>
          <w:color w:val="auto"/>
          <w:highlight w:val="none"/>
        </w:rPr>
      </w:pPr>
    </w:p>
    <w:p w14:paraId="1D107388">
      <w:pPr>
        <w:rPr>
          <w:color w:val="auto"/>
          <w:highlight w:val="none"/>
        </w:rPr>
      </w:pPr>
    </w:p>
    <w:p w14:paraId="7094B43C">
      <w:pPr>
        <w:rPr>
          <w:color w:val="auto"/>
          <w:highlight w:val="none"/>
        </w:rPr>
      </w:pPr>
    </w:p>
    <w:p w14:paraId="4A8C5E0F">
      <w:pPr>
        <w:rPr>
          <w:color w:val="auto"/>
          <w:highlight w:val="none"/>
        </w:rPr>
      </w:pPr>
    </w:p>
    <w:p w14:paraId="2BFBA553">
      <w:pPr>
        <w:rPr>
          <w:color w:val="auto"/>
          <w:highlight w:val="none"/>
        </w:rPr>
      </w:pPr>
    </w:p>
    <w:p w14:paraId="08420F47">
      <w:pPr>
        <w:rPr>
          <w:color w:val="auto"/>
          <w:highlight w:val="none"/>
        </w:rPr>
      </w:pPr>
    </w:p>
    <w:p w14:paraId="547E7AC4">
      <w:pPr>
        <w:rPr>
          <w:color w:val="auto"/>
          <w:highlight w:val="none"/>
        </w:rPr>
      </w:pPr>
    </w:p>
    <w:p w14:paraId="1817C0E5">
      <w:pPr>
        <w:rPr>
          <w:color w:val="auto"/>
          <w:highlight w:val="none"/>
        </w:rPr>
      </w:pPr>
    </w:p>
    <w:p w14:paraId="004490ED">
      <w:pPr>
        <w:rPr>
          <w:color w:val="auto"/>
          <w:highlight w:val="none"/>
        </w:rPr>
      </w:pPr>
    </w:p>
    <w:p w14:paraId="30356591">
      <w:pPr>
        <w:rPr>
          <w:color w:val="auto"/>
          <w:highlight w:val="none"/>
        </w:rPr>
      </w:pPr>
    </w:p>
    <w:p w14:paraId="253B3D3B">
      <w:pPr>
        <w:rPr>
          <w:color w:val="auto"/>
          <w:highlight w:val="none"/>
        </w:rPr>
      </w:pPr>
    </w:p>
    <w:p w14:paraId="72681373">
      <w:pPr>
        <w:rPr>
          <w:color w:val="auto"/>
          <w:highlight w:val="none"/>
        </w:rPr>
      </w:pPr>
    </w:p>
    <w:p w14:paraId="3ECB90D5">
      <w:pPr>
        <w:rPr>
          <w:color w:val="auto"/>
          <w:highlight w:val="none"/>
        </w:rPr>
      </w:pPr>
    </w:p>
    <w:p w14:paraId="3D01C0F1">
      <w:pPr>
        <w:rPr>
          <w:color w:val="auto"/>
          <w:highlight w:val="none"/>
        </w:rPr>
      </w:pPr>
    </w:p>
    <w:p w14:paraId="67A70302">
      <w:pPr>
        <w:rPr>
          <w:color w:val="auto"/>
          <w:highlight w:val="none"/>
        </w:rPr>
      </w:pPr>
    </w:p>
    <w:p w14:paraId="3A46EE33">
      <w:pPr>
        <w:rPr>
          <w:color w:val="auto"/>
          <w:highlight w:val="none"/>
        </w:rPr>
      </w:pPr>
    </w:p>
    <w:p w14:paraId="7C323AC7">
      <w:pPr>
        <w:rPr>
          <w:color w:val="auto"/>
          <w:highlight w:val="none"/>
        </w:rPr>
      </w:pPr>
    </w:p>
    <w:p w14:paraId="418278C9">
      <w:pPr>
        <w:rPr>
          <w:color w:val="auto"/>
          <w:highlight w:val="none"/>
        </w:rPr>
      </w:pPr>
    </w:p>
    <w:p w14:paraId="6F44D6CF">
      <w:pPr>
        <w:tabs>
          <w:tab w:val="center" w:pos="4153"/>
        </w:tabs>
        <w:jc w:val="left"/>
        <w:rPr>
          <w:color w:val="auto"/>
          <w:highlight w:val="none"/>
        </w:rPr>
        <w:sectPr>
          <w:pgSz w:w="11907" w:h="16840"/>
          <w:pgMar w:top="1440" w:right="1800" w:bottom="1440" w:left="1800" w:header="851" w:footer="992" w:gutter="0"/>
          <w:pgNumType w:fmt="numberInDash" w:start="1"/>
          <w:cols w:space="720" w:num="1"/>
          <w:docGrid w:linePitch="381" w:charSpace="-5735"/>
        </w:sectPr>
      </w:pPr>
      <w:r>
        <w:rPr>
          <w:rFonts w:hint="eastAsia"/>
          <w:color w:val="auto"/>
          <w:highlight w:val="none"/>
        </w:rPr>
        <w:tab/>
      </w:r>
    </w:p>
    <w:p w14:paraId="0C34EE93">
      <w:pPr>
        <w:pStyle w:val="2"/>
        <w:spacing w:line="360" w:lineRule="auto"/>
        <w:jc w:val="center"/>
        <w:rPr>
          <w:rFonts w:hint="eastAsia" w:ascii="方正小标宋_GBK" w:hAnsi="方正小标宋_GBK" w:cs="方正小标宋_GBK"/>
          <w:b w:val="0"/>
          <w:bCs w:val="0"/>
          <w:color w:val="auto"/>
          <w:szCs w:val="32"/>
          <w:highlight w:val="none"/>
        </w:rPr>
      </w:pPr>
      <w:bookmarkStart w:id="11" w:name="_Toc29048"/>
      <w:r>
        <w:rPr>
          <w:rFonts w:hint="eastAsia" w:ascii="方正小标宋_GBK" w:hAnsi="方正小标宋_GBK" w:cs="方正小标宋_GBK"/>
          <w:b w:val="0"/>
          <w:bCs w:val="0"/>
          <w:color w:val="auto"/>
          <w:sz w:val="32"/>
          <w:szCs w:val="36"/>
          <w:highlight w:val="none"/>
        </w:rPr>
        <w:t>第一篇  采购邀请书</w:t>
      </w:r>
      <w:bookmarkEnd w:id="9"/>
      <w:bookmarkEnd w:id="10"/>
      <w:bookmarkEnd w:id="11"/>
    </w:p>
    <w:p w14:paraId="5676E8C5">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u w:val="single"/>
        </w:rPr>
        <w:t>重庆垚杉工程管理有限公司</w:t>
      </w:r>
      <w:r>
        <w:rPr>
          <w:rFonts w:hint="eastAsia" w:ascii="宋体" w:hAnsi="宋体" w:cs="宋体"/>
          <w:color w:val="auto"/>
          <w:sz w:val="21"/>
          <w:szCs w:val="21"/>
          <w:highlight w:val="none"/>
        </w:rPr>
        <w:t>（以下简称：采购代理机构）接受</w:t>
      </w:r>
      <w:r>
        <w:rPr>
          <w:rFonts w:hint="eastAsia" w:ascii="宋体" w:hAnsi="宋体" w:cs="宋体"/>
          <w:color w:val="auto"/>
          <w:sz w:val="21"/>
          <w:szCs w:val="21"/>
          <w:highlight w:val="none"/>
          <w:u w:val="single"/>
        </w:rPr>
        <w:t>重庆市两江新区人民政府龙山街道办事处</w:t>
      </w:r>
      <w:r>
        <w:rPr>
          <w:rFonts w:hint="eastAsia" w:ascii="宋体" w:hAnsi="宋体" w:cs="宋体"/>
          <w:color w:val="auto"/>
          <w:sz w:val="21"/>
          <w:szCs w:val="21"/>
          <w:highlight w:val="none"/>
        </w:rPr>
        <w:t>（以下简称：采购人）的委托，对</w:t>
      </w:r>
      <w:r>
        <w:rPr>
          <w:rFonts w:hint="eastAsia" w:ascii="宋体" w:hAnsi="宋体" w:cs="宋体"/>
          <w:color w:val="auto"/>
          <w:sz w:val="21"/>
          <w:szCs w:val="21"/>
          <w:highlight w:val="none"/>
          <w:u w:val="single"/>
        </w:rPr>
        <w:t xml:space="preserve"> 龙山街道为高层建筑</w:t>
      </w:r>
      <w:r>
        <w:rPr>
          <w:rFonts w:hint="eastAsia" w:ascii="宋体" w:hAnsi="宋体" w:cs="宋体"/>
          <w:color w:val="auto"/>
          <w:sz w:val="21"/>
          <w:szCs w:val="21"/>
          <w:highlight w:val="none"/>
          <w:u w:val="single"/>
          <w:lang w:val="en-US" w:eastAsia="zh-CN"/>
        </w:rPr>
        <w:t>内部分</w:t>
      </w:r>
      <w:r>
        <w:rPr>
          <w:rFonts w:hint="eastAsia" w:ascii="宋体" w:hAnsi="宋体" w:cs="宋体"/>
          <w:color w:val="auto"/>
          <w:sz w:val="21"/>
          <w:szCs w:val="21"/>
          <w:highlight w:val="none"/>
          <w:u w:val="single"/>
        </w:rPr>
        <w:t>独居、空巢</w:t>
      </w:r>
      <w:r>
        <w:rPr>
          <w:rFonts w:hint="eastAsia" w:ascii="宋体" w:hAnsi="宋体" w:cs="宋体"/>
          <w:color w:val="auto"/>
          <w:sz w:val="21"/>
          <w:szCs w:val="21"/>
          <w:highlight w:val="none"/>
          <w:u w:val="single"/>
          <w:lang w:val="en-US" w:eastAsia="zh-CN"/>
        </w:rPr>
        <w:t>和留守</w:t>
      </w:r>
      <w:r>
        <w:rPr>
          <w:rFonts w:hint="eastAsia" w:ascii="宋体" w:hAnsi="宋体" w:cs="宋体"/>
          <w:color w:val="auto"/>
          <w:sz w:val="21"/>
          <w:szCs w:val="21"/>
          <w:highlight w:val="none"/>
          <w:u w:val="single"/>
        </w:rPr>
        <w:t xml:space="preserve">老人配设消防器材采购项目 </w:t>
      </w:r>
      <w:r>
        <w:rPr>
          <w:rFonts w:hint="eastAsia" w:ascii="宋体" w:hAnsi="宋体" w:cs="宋体"/>
          <w:color w:val="auto"/>
          <w:sz w:val="21"/>
          <w:szCs w:val="21"/>
          <w:highlight w:val="none"/>
        </w:rPr>
        <w:t>进行竞争性比选，欢迎有资格的供应商前来参与比选。</w:t>
      </w:r>
    </w:p>
    <w:p w14:paraId="6BE3E6D0">
      <w:pPr>
        <w:pStyle w:val="3"/>
        <w:bidi w:val="0"/>
      </w:pPr>
      <w:bookmarkStart w:id="12" w:name="_Toc313893526"/>
      <w:bookmarkStart w:id="13" w:name="_Toc317775175"/>
      <w:r>
        <w:rPr>
          <w:rFonts w:hint="eastAsia"/>
        </w:rPr>
        <w:t>一、比选内容</w:t>
      </w:r>
      <w:bookmarkEnd w:id="12"/>
      <w:bookmarkEnd w:id="13"/>
    </w:p>
    <w:tbl>
      <w:tblPr>
        <w:tblStyle w:val="23"/>
        <w:tblW w:w="8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5"/>
        <w:gridCol w:w="1387"/>
        <w:gridCol w:w="1746"/>
        <w:gridCol w:w="1022"/>
      </w:tblGrid>
      <w:tr w14:paraId="2C24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65" w:type="dxa"/>
            <w:tcBorders>
              <w:top w:val="single" w:color="auto" w:sz="4" w:space="0"/>
              <w:left w:val="single" w:color="auto" w:sz="4" w:space="0"/>
              <w:right w:val="single" w:color="auto" w:sz="4" w:space="0"/>
            </w:tcBorders>
            <w:vAlign w:val="center"/>
          </w:tcPr>
          <w:p w14:paraId="6FCBABC1">
            <w:pPr>
              <w:widowControl/>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项目名称</w:t>
            </w:r>
          </w:p>
        </w:tc>
        <w:tc>
          <w:tcPr>
            <w:tcW w:w="1387" w:type="dxa"/>
            <w:tcBorders>
              <w:top w:val="single" w:color="auto" w:sz="4" w:space="0"/>
              <w:left w:val="single" w:color="auto" w:sz="4" w:space="0"/>
              <w:right w:val="single" w:color="auto" w:sz="4" w:space="0"/>
            </w:tcBorders>
            <w:vAlign w:val="center"/>
          </w:tcPr>
          <w:p w14:paraId="5841CD7A">
            <w:pPr>
              <w:widowControl/>
              <w:spacing w:line="240" w:lineRule="auto"/>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最高限价</w:t>
            </w:r>
          </w:p>
          <w:p w14:paraId="048A8C69">
            <w:pPr>
              <w:widowControl/>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1746" w:type="dxa"/>
            <w:tcBorders>
              <w:top w:val="single" w:color="auto" w:sz="4" w:space="0"/>
              <w:left w:val="single" w:color="auto" w:sz="4" w:space="0"/>
              <w:right w:val="single" w:color="auto" w:sz="4" w:space="0"/>
            </w:tcBorders>
            <w:vAlign w:val="center"/>
          </w:tcPr>
          <w:p w14:paraId="2A74F4BE">
            <w:pPr>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成交供应商数量（名）</w:t>
            </w:r>
          </w:p>
        </w:tc>
        <w:tc>
          <w:tcPr>
            <w:tcW w:w="1022" w:type="dxa"/>
            <w:tcBorders>
              <w:top w:val="single" w:color="auto" w:sz="4" w:space="0"/>
              <w:left w:val="single" w:color="auto" w:sz="4" w:space="0"/>
              <w:right w:val="single" w:color="auto" w:sz="4" w:space="0"/>
            </w:tcBorders>
            <w:vAlign w:val="center"/>
          </w:tcPr>
          <w:p w14:paraId="64062F86">
            <w:pPr>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备注</w:t>
            </w:r>
          </w:p>
        </w:tc>
      </w:tr>
      <w:tr w14:paraId="398A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65" w:type="dxa"/>
            <w:tcBorders>
              <w:top w:val="single" w:color="auto" w:sz="4" w:space="0"/>
              <w:left w:val="single" w:color="auto" w:sz="4" w:space="0"/>
              <w:bottom w:val="single" w:color="auto" w:sz="4" w:space="0"/>
              <w:right w:val="single" w:color="auto" w:sz="4" w:space="0"/>
            </w:tcBorders>
            <w:vAlign w:val="center"/>
          </w:tcPr>
          <w:p w14:paraId="189D7035">
            <w:pPr>
              <w:widowControl/>
              <w:spacing w:line="240" w:lineRule="auto"/>
              <w:jc w:val="center"/>
              <w:rPr>
                <w:rFonts w:hint="eastAsia" w:ascii="宋体" w:hAnsi="宋体" w:cs="宋体"/>
                <w:color w:val="auto"/>
                <w:kern w:val="0"/>
                <w:sz w:val="21"/>
                <w:szCs w:val="21"/>
                <w:highlight w:val="none"/>
              </w:rPr>
            </w:pPr>
            <w:bookmarkStart w:id="14" w:name="_Hlk344477914"/>
            <w:r>
              <w:rPr>
                <w:rFonts w:hint="eastAsia" w:ascii="宋体" w:hAnsi="宋体" w:cs="宋体"/>
                <w:color w:val="auto"/>
                <w:kern w:val="0"/>
                <w:sz w:val="21"/>
                <w:szCs w:val="21"/>
                <w:highlight w:val="none"/>
              </w:rPr>
              <w:t>龙山街道为高层建筑</w:t>
            </w:r>
            <w:r>
              <w:rPr>
                <w:rFonts w:hint="eastAsia" w:ascii="宋体" w:hAnsi="宋体" w:cs="宋体"/>
                <w:color w:val="auto"/>
                <w:kern w:val="0"/>
                <w:sz w:val="21"/>
                <w:szCs w:val="21"/>
                <w:highlight w:val="none"/>
                <w:lang w:val="en-US" w:eastAsia="zh-CN"/>
              </w:rPr>
              <w:t>内部分</w:t>
            </w:r>
            <w:r>
              <w:rPr>
                <w:rFonts w:hint="eastAsia" w:ascii="宋体" w:hAnsi="宋体" w:cs="宋体"/>
                <w:color w:val="auto"/>
                <w:kern w:val="0"/>
                <w:sz w:val="21"/>
                <w:szCs w:val="21"/>
                <w:highlight w:val="none"/>
              </w:rPr>
              <w:t>独居、</w:t>
            </w:r>
          </w:p>
          <w:p w14:paraId="70EE537D">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空巢</w:t>
            </w:r>
            <w:r>
              <w:rPr>
                <w:rFonts w:hint="eastAsia" w:ascii="宋体" w:hAnsi="宋体" w:cs="宋体"/>
                <w:color w:val="auto"/>
                <w:kern w:val="0"/>
                <w:sz w:val="21"/>
                <w:szCs w:val="21"/>
                <w:highlight w:val="none"/>
                <w:lang w:val="en-US" w:eastAsia="zh-CN"/>
              </w:rPr>
              <w:t>和留守老人</w:t>
            </w:r>
            <w:r>
              <w:rPr>
                <w:rFonts w:hint="eastAsia" w:ascii="宋体" w:hAnsi="宋体" w:cs="宋体"/>
                <w:color w:val="auto"/>
                <w:kern w:val="0"/>
                <w:sz w:val="21"/>
                <w:szCs w:val="21"/>
                <w:highlight w:val="none"/>
              </w:rPr>
              <w:t>配设消防器材采购项目</w:t>
            </w:r>
          </w:p>
        </w:tc>
        <w:tc>
          <w:tcPr>
            <w:tcW w:w="1387" w:type="dxa"/>
            <w:tcBorders>
              <w:top w:val="single" w:color="auto" w:sz="4" w:space="0"/>
              <w:left w:val="single" w:color="auto" w:sz="4" w:space="0"/>
              <w:bottom w:val="single" w:color="auto" w:sz="4" w:space="0"/>
              <w:right w:val="single" w:color="auto" w:sz="4" w:space="0"/>
            </w:tcBorders>
            <w:vAlign w:val="center"/>
          </w:tcPr>
          <w:p w14:paraId="4E1E1FCD">
            <w:pPr>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14.1</w:t>
            </w:r>
          </w:p>
        </w:tc>
        <w:tc>
          <w:tcPr>
            <w:tcW w:w="1746" w:type="dxa"/>
            <w:tcBorders>
              <w:top w:val="single" w:color="auto" w:sz="4" w:space="0"/>
              <w:left w:val="single" w:color="auto" w:sz="4" w:space="0"/>
              <w:bottom w:val="single" w:color="auto" w:sz="4" w:space="0"/>
              <w:right w:val="single" w:color="auto" w:sz="4" w:space="0"/>
            </w:tcBorders>
            <w:vAlign w:val="center"/>
          </w:tcPr>
          <w:p w14:paraId="5858B4DD">
            <w:pPr>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022" w:type="dxa"/>
            <w:tcBorders>
              <w:top w:val="single" w:color="auto" w:sz="4" w:space="0"/>
              <w:left w:val="single" w:color="auto" w:sz="4" w:space="0"/>
              <w:bottom w:val="single" w:color="auto" w:sz="4" w:space="0"/>
              <w:right w:val="single" w:color="auto" w:sz="4" w:space="0"/>
            </w:tcBorders>
            <w:vAlign w:val="center"/>
          </w:tcPr>
          <w:p w14:paraId="23057D60">
            <w:pPr>
              <w:spacing w:line="240" w:lineRule="auto"/>
              <w:jc w:val="center"/>
              <w:rPr>
                <w:rFonts w:ascii="宋体" w:hAnsi="宋体" w:cs="宋体"/>
                <w:b/>
                <w:color w:val="auto"/>
                <w:sz w:val="21"/>
                <w:szCs w:val="21"/>
                <w:highlight w:val="none"/>
              </w:rPr>
            </w:pPr>
          </w:p>
        </w:tc>
      </w:tr>
      <w:bookmarkEnd w:id="14"/>
    </w:tbl>
    <w:p w14:paraId="17FEB890">
      <w:pPr>
        <w:pStyle w:val="3"/>
        <w:bidi w:val="0"/>
      </w:pPr>
      <w:bookmarkStart w:id="15" w:name="_Toc373860293"/>
      <w:bookmarkStart w:id="16" w:name="_Toc317775178"/>
      <w:r>
        <w:rPr>
          <w:rFonts w:hint="eastAsia"/>
        </w:rPr>
        <w:t>二、资金来源</w:t>
      </w:r>
    </w:p>
    <w:p w14:paraId="42A4F574">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财政资金。</w:t>
      </w:r>
    </w:p>
    <w:p w14:paraId="2D466C5F">
      <w:pPr>
        <w:pStyle w:val="3"/>
        <w:bidi w:val="0"/>
      </w:pPr>
      <w:r>
        <w:rPr>
          <w:rFonts w:hint="eastAsia"/>
        </w:rPr>
        <w:t>三、供应商资格条件</w:t>
      </w:r>
    </w:p>
    <w:p w14:paraId="065C926F">
      <w:pPr>
        <w:adjustRightInd w:val="0"/>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（一）满足《中华人民共和国政府采购法》第二十二条规定；</w:t>
      </w:r>
    </w:p>
    <w:p w14:paraId="0374C534">
      <w:pPr>
        <w:adjustRightInd w:val="0"/>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（二）落实政府采购政策需满足的资格要求：无；</w:t>
      </w:r>
    </w:p>
    <w:p w14:paraId="1BF001E3">
      <w:pPr>
        <w:adjustRightInd w:val="0"/>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（三）本项目的特定资格要求：无。</w:t>
      </w:r>
    </w:p>
    <w:p w14:paraId="2EF9894A">
      <w:pPr>
        <w:pStyle w:val="3"/>
        <w:bidi w:val="0"/>
      </w:pPr>
      <w:r>
        <w:rPr>
          <w:rFonts w:hint="eastAsia"/>
        </w:rPr>
        <w:t>四、比选有关说明</w:t>
      </w:r>
      <w:bookmarkEnd w:id="15"/>
    </w:p>
    <w:bookmarkEnd w:id="16"/>
    <w:p w14:paraId="190DAE28">
      <w:pPr>
        <w:spacing w:line="400" w:lineRule="exact"/>
        <w:ind w:firstLine="420" w:firstLineChars="200"/>
        <w:rPr>
          <w:rFonts w:ascii="宋体" w:hAnsi="宋体" w:cs="宋体"/>
          <w:bCs/>
          <w:color w:val="auto"/>
          <w:sz w:val="21"/>
          <w:szCs w:val="21"/>
          <w:highlight w:val="none"/>
        </w:rPr>
      </w:pPr>
      <w:bookmarkStart w:id="17" w:name="_Toc521053053"/>
      <w:bookmarkStart w:id="18" w:name="_Toc525047161"/>
      <w:bookmarkStart w:id="19" w:name="_Toc373860294"/>
      <w:r>
        <w:rPr>
          <w:rFonts w:hint="eastAsia" w:ascii="宋体" w:hAnsi="宋体" w:cs="宋体"/>
          <w:bCs/>
          <w:color w:val="auto"/>
          <w:sz w:val="21"/>
          <w:szCs w:val="21"/>
          <w:highlight w:val="none"/>
        </w:rPr>
        <w:t>（一）供应商应通过“行采家”（https://www.gec123.com/）登记成为行采家平台供应商。</w:t>
      </w:r>
    </w:p>
    <w:p w14:paraId="36BBD260">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（二）凡有意参加</w:t>
      </w:r>
      <w:r>
        <w:rPr>
          <w:rFonts w:hint="eastAsia" w:ascii="宋体" w:hAnsi="宋体" w:cs="宋体"/>
          <w:bCs/>
          <w:color w:val="auto"/>
          <w:sz w:val="21"/>
          <w:szCs w:val="21"/>
          <w:highlight w:val="none"/>
          <w:lang w:eastAsia="zh-CN"/>
        </w:rPr>
        <w:t>响应</w:t>
      </w:r>
      <w:r>
        <w:rPr>
          <w:rFonts w:hint="eastAsia" w:ascii="宋体" w:hAnsi="宋体" w:cs="宋体"/>
          <w:bCs/>
          <w:color w:val="auto"/>
          <w:sz w:val="21"/>
          <w:szCs w:val="21"/>
          <w:highlight w:val="none"/>
        </w:rPr>
        <w:t>的供应商，请于公告发布之日起至报名截止时间之前，在“行采家”（https://www.gec123.com/）上下载查看本项目需求文件以及变更公告等公布的所有项目资料，无论供应商下载查看与否，均视为已知晓所有实质性要求内容。</w:t>
      </w:r>
    </w:p>
    <w:p w14:paraId="0B1B1466">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（三）竞争性比选公告期限：自采购公告发布之日起三个工作日。</w:t>
      </w:r>
    </w:p>
    <w:p w14:paraId="1CCC165E">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（四）报名和竞争性比选文件发售</w:t>
      </w:r>
    </w:p>
    <w:p w14:paraId="4DE619D7">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1.报名和竞争性比选文件发售期：2026年</w:t>
      </w:r>
      <w:r>
        <w:rPr>
          <w:rFonts w:hint="eastAsia" w:ascii="宋体" w:hAnsi="宋体" w:cs="宋体"/>
          <w:bCs/>
          <w:color w:val="auto"/>
          <w:sz w:val="21"/>
          <w:szCs w:val="21"/>
          <w:highlight w:val="none"/>
          <w:lang w:val="en-US" w:eastAsia="zh-CN"/>
        </w:rPr>
        <w:t>6</w:t>
      </w:r>
      <w:r>
        <w:rPr>
          <w:rFonts w:hint="eastAsia" w:ascii="宋体" w:hAnsi="宋体" w:cs="宋体"/>
          <w:bCs/>
          <w:color w:val="auto"/>
          <w:sz w:val="21"/>
          <w:szCs w:val="21"/>
          <w:highlight w:val="none"/>
        </w:rPr>
        <w:t>月</w:t>
      </w:r>
      <w:r>
        <w:rPr>
          <w:rFonts w:hint="eastAsia" w:ascii="宋体" w:hAnsi="宋体" w:cs="宋体"/>
          <w:bCs/>
          <w:color w:val="auto"/>
          <w:sz w:val="21"/>
          <w:szCs w:val="21"/>
          <w:highlight w:val="none"/>
          <w:lang w:val="en-US" w:eastAsia="zh-CN"/>
        </w:rPr>
        <w:t>4</w:t>
      </w:r>
      <w:r>
        <w:rPr>
          <w:rFonts w:hint="eastAsia" w:ascii="宋体" w:hAnsi="宋体" w:cs="宋体"/>
          <w:bCs/>
          <w:color w:val="auto"/>
          <w:sz w:val="21"/>
          <w:szCs w:val="21"/>
          <w:highlight w:val="none"/>
        </w:rPr>
        <w:t>日至2026年</w:t>
      </w:r>
      <w:r>
        <w:rPr>
          <w:rFonts w:hint="eastAsia" w:ascii="宋体" w:hAnsi="宋体" w:cs="宋体"/>
          <w:bCs/>
          <w:color w:val="auto"/>
          <w:sz w:val="21"/>
          <w:szCs w:val="21"/>
          <w:highlight w:val="none"/>
          <w:lang w:val="en-US" w:eastAsia="zh-CN"/>
        </w:rPr>
        <w:t>6</w:t>
      </w:r>
      <w:r>
        <w:rPr>
          <w:rFonts w:hint="eastAsia" w:ascii="宋体" w:hAnsi="宋体" w:cs="宋体"/>
          <w:bCs/>
          <w:color w:val="auto"/>
          <w:sz w:val="21"/>
          <w:szCs w:val="21"/>
          <w:highlight w:val="none"/>
        </w:rPr>
        <w:t>月</w:t>
      </w:r>
      <w:r>
        <w:rPr>
          <w:rFonts w:hint="eastAsia" w:ascii="宋体" w:hAnsi="宋体" w:cs="宋体"/>
          <w:bCs/>
          <w:color w:val="auto"/>
          <w:sz w:val="21"/>
          <w:szCs w:val="21"/>
          <w:highlight w:val="none"/>
          <w:lang w:val="en-US" w:eastAsia="zh-CN"/>
        </w:rPr>
        <w:t>9</w:t>
      </w:r>
      <w:r>
        <w:rPr>
          <w:rFonts w:hint="eastAsia" w:ascii="宋体" w:hAnsi="宋体" w:cs="宋体"/>
          <w:bCs/>
          <w:color w:val="auto"/>
          <w:sz w:val="21"/>
          <w:szCs w:val="21"/>
          <w:highlight w:val="none"/>
        </w:rPr>
        <w:t>日17：00时（北京时间），比选文件费用500元/份，售后不退。</w:t>
      </w:r>
    </w:p>
    <w:p w14:paraId="6EE76EA3">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2.报名和竞争性比选文件购买方式：在报名和竞争性比选文件发售期内，采用邮件报名的方式，供应商将《竞争性比选文件发售登记表》（见附件）扫描件加盖供应商公章传至2292381581 @qq.com，并在邮件中注明所获取竞争性比选文件的项目名称、供应商名称、联系人、联系电话等相关信息。报名及获取了竞争性比选文件的供应商，其</w:t>
      </w:r>
      <w:r>
        <w:rPr>
          <w:rFonts w:hint="eastAsia" w:ascii="宋体" w:hAnsi="宋体" w:cs="宋体"/>
          <w:bCs/>
          <w:color w:val="auto"/>
          <w:sz w:val="21"/>
          <w:szCs w:val="21"/>
          <w:highlight w:val="none"/>
          <w:lang w:eastAsia="zh-CN"/>
        </w:rPr>
        <w:t>响应</w:t>
      </w:r>
      <w:r>
        <w:rPr>
          <w:rFonts w:hint="eastAsia" w:ascii="宋体" w:hAnsi="宋体" w:cs="宋体"/>
          <w:bCs/>
          <w:color w:val="auto"/>
          <w:sz w:val="21"/>
          <w:szCs w:val="21"/>
          <w:highlight w:val="none"/>
        </w:rPr>
        <w:t>才被接收。</w:t>
      </w:r>
    </w:p>
    <w:p w14:paraId="2E34635A">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注：各供应商须在报名和竞争性比选文件发售期内报名才具备</w:t>
      </w:r>
      <w:r>
        <w:rPr>
          <w:rFonts w:hint="eastAsia" w:ascii="宋体" w:hAnsi="宋体" w:cs="宋体"/>
          <w:bCs/>
          <w:color w:val="auto"/>
          <w:sz w:val="21"/>
          <w:szCs w:val="21"/>
          <w:highlight w:val="none"/>
          <w:lang w:val="en-US" w:eastAsia="zh-CN"/>
        </w:rPr>
        <w:t>参选</w:t>
      </w:r>
      <w:r>
        <w:rPr>
          <w:rFonts w:hint="eastAsia" w:ascii="宋体" w:hAnsi="宋体" w:cs="宋体"/>
          <w:bCs/>
          <w:color w:val="auto"/>
          <w:sz w:val="21"/>
          <w:szCs w:val="21"/>
          <w:highlight w:val="none"/>
        </w:rPr>
        <w:t>资格。</w:t>
      </w:r>
    </w:p>
    <w:p w14:paraId="6979FD8D">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（五）</w:t>
      </w:r>
      <w:r>
        <w:rPr>
          <w:rFonts w:hint="eastAsia" w:ascii="宋体" w:hAnsi="宋体" w:cs="宋体"/>
          <w:bCs/>
          <w:color w:val="auto"/>
          <w:sz w:val="21"/>
          <w:szCs w:val="21"/>
          <w:highlight w:val="none"/>
          <w:lang w:eastAsia="zh-CN"/>
        </w:rPr>
        <w:t>响应</w:t>
      </w:r>
      <w:r>
        <w:rPr>
          <w:rFonts w:hint="eastAsia" w:ascii="宋体" w:hAnsi="宋体" w:cs="宋体"/>
          <w:bCs/>
          <w:color w:val="auto"/>
          <w:sz w:val="21"/>
          <w:szCs w:val="21"/>
          <w:highlight w:val="none"/>
        </w:rPr>
        <w:t>方式及报价</w:t>
      </w:r>
    </w:p>
    <w:p w14:paraId="65628AA4">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本项目采用线上报价、线下评审的方式进行</w:t>
      </w:r>
      <w:r>
        <w:rPr>
          <w:rFonts w:hint="eastAsia" w:ascii="宋体" w:hAnsi="宋体" w:cs="宋体"/>
          <w:bCs/>
          <w:color w:val="auto"/>
          <w:sz w:val="21"/>
          <w:szCs w:val="21"/>
          <w:highlight w:val="none"/>
          <w:lang w:eastAsia="zh-CN"/>
        </w:rPr>
        <w:t>响应</w:t>
      </w:r>
      <w:r>
        <w:rPr>
          <w:rFonts w:hint="eastAsia" w:ascii="宋体" w:hAnsi="宋体" w:cs="宋体"/>
          <w:bCs/>
          <w:color w:val="auto"/>
          <w:sz w:val="21"/>
          <w:szCs w:val="21"/>
          <w:highlight w:val="none"/>
        </w:rPr>
        <w:t>报价；</w:t>
      </w:r>
    </w:p>
    <w:p w14:paraId="1C26E48A">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1.线上</w:t>
      </w:r>
    </w:p>
    <w:p w14:paraId="46B4C9DC">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 xml:space="preserve">1.1 </w:t>
      </w:r>
      <w:r>
        <w:rPr>
          <w:rFonts w:hint="eastAsia" w:ascii="宋体" w:hAnsi="宋体" w:cs="宋体"/>
          <w:bCs/>
          <w:color w:val="auto"/>
          <w:sz w:val="21"/>
          <w:szCs w:val="21"/>
          <w:highlight w:val="none"/>
          <w:lang w:eastAsia="zh-CN"/>
        </w:rPr>
        <w:t>响应</w:t>
      </w:r>
      <w:r>
        <w:rPr>
          <w:rFonts w:hint="eastAsia" w:ascii="宋体" w:hAnsi="宋体" w:cs="宋体"/>
          <w:bCs/>
          <w:color w:val="auto"/>
          <w:sz w:val="21"/>
          <w:szCs w:val="21"/>
          <w:highlight w:val="none"/>
        </w:rPr>
        <w:t>起止时间：以行采家电子竞采平台上本项目发布的时间为准。</w:t>
      </w:r>
    </w:p>
    <w:p w14:paraId="35107D47">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1.2 报价要求：供应商在本项目规定的时间内，通过（https://www.gec123.com/xe/）行采家电子竞采平台进行网上报价，并线上提交响应文件电子文档（pdf格式）；未在规定的时间内报价和上传响应文件电子文档的供应商将失去成交供应商资格。</w:t>
      </w:r>
    </w:p>
    <w:p w14:paraId="5831EAF5">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2.线下</w:t>
      </w:r>
    </w:p>
    <w:p w14:paraId="177FC0BF">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 xml:space="preserve">2.1 </w:t>
      </w:r>
      <w:r>
        <w:rPr>
          <w:rFonts w:hint="eastAsia" w:ascii="宋体" w:hAnsi="宋体" w:cs="宋体"/>
          <w:bCs/>
          <w:color w:val="auto"/>
          <w:sz w:val="21"/>
          <w:szCs w:val="21"/>
          <w:highlight w:val="none"/>
          <w:lang w:eastAsia="zh-CN"/>
        </w:rPr>
        <w:t>响应</w:t>
      </w:r>
      <w:r>
        <w:rPr>
          <w:rFonts w:hint="eastAsia" w:ascii="宋体" w:hAnsi="宋体" w:cs="宋体"/>
          <w:bCs/>
          <w:color w:val="auto"/>
          <w:sz w:val="21"/>
          <w:szCs w:val="21"/>
          <w:highlight w:val="none"/>
        </w:rPr>
        <w:t>起止时间：2026年</w:t>
      </w:r>
      <w:r>
        <w:rPr>
          <w:rFonts w:hint="eastAsia" w:ascii="宋体" w:hAnsi="宋体" w:cs="宋体"/>
          <w:bCs/>
          <w:color w:val="auto"/>
          <w:sz w:val="21"/>
          <w:szCs w:val="21"/>
          <w:highlight w:val="none"/>
          <w:lang w:val="en-US" w:eastAsia="zh-CN"/>
        </w:rPr>
        <w:t>6</w:t>
      </w:r>
      <w:r>
        <w:rPr>
          <w:rFonts w:hint="eastAsia" w:ascii="宋体" w:hAnsi="宋体" w:cs="宋体"/>
          <w:bCs/>
          <w:color w:val="auto"/>
          <w:sz w:val="21"/>
          <w:szCs w:val="21"/>
          <w:highlight w:val="none"/>
        </w:rPr>
        <w:t>月</w:t>
      </w:r>
      <w:r>
        <w:rPr>
          <w:rFonts w:hint="eastAsia" w:ascii="宋体" w:hAnsi="宋体" w:cs="宋体"/>
          <w:bCs/>
          <w:color w:val="auto"/>
          <w:sz w:val="21"/>
          <w:szCs w:val="21"/>
          <w:highlight w:val="none"/>
          <w:lang w:val="en-US" w:eastAsia="zh-CN"/>
        </w:rPr>
        <w:t>12</w:t>
      </w:r>
      <w:r>
        <w:rPr>
          <w:rFonts w:hint="eastAsia" w:ascii="宋体" w:hAnsi="宋体" w:cs="宋体"/>
          <w:bCs/>
          <w:color w:val="auto"/>
          <w:sz w:val="21"/>
          <w:szCs w:val="21"/>
          <w:highlight w:val="none"/>
        </w:rPr>
        <w:t>日09：</w:t>
      </w:r>
      <w:r>
        <w:rPr>
          <w:rFonts w:hint="eastAsia" w:ascii="宋体" w:hAnsi="宋体" w:cs="宋体"/>
          <w:bCs/>
          <w:color w:val="auto"/>
          <w:sz w:val="21"/>
          <w:szCs w:val="21"/>
          <w:highlight w:val="none"/>
          <w:lang w:val="en-US" w:eastAsia="zh-CN"/>
        </w:rPr>
        <w:t>3</w:t>
      </w:r>
      <w:r>
        <w:rPr>
          <w:rFonts w:hint="eastAsia" w:ascii="宋体" w:hAnsi="宋体" w:cs="宋体"/>
          <w:bCs/>
          <w:color w:val="auto"/>
          <w:sz w:val="21"/>
          <w:szCs w:val="21"/>
          <w:highlight w:val="none"/>
        </w:rPr>
        <w:t>0至</w:t>
      </w:r>
      <w:r>
        <w:rPr>
          <w:rFonts w:hint="eastAsia" w:ascii="宋体" w:hAnsi="宋体" w:cs="宋体"/>
          <w:bCs/>
          <w:color w:val="auto"/>
          <w:sz w:val="21"/>
          <w:szCs w:val="21"/>
          <w:highlight w:val="none"/>
          <w:lang w:val="en-US" w:eastAsia="zh-CN"/>
        </w:rPr>
        <w:t>10</w:t>
      </w:r>
      <w:r>
        <w:rPr>
          <w:rFonts w:hint="eastAsia" w:ascii="宋体" w:hAnsi="宋体" w:cs="宋体"/>
          <w:bCs/>
          <w:color w:val="auto"/>
          <w:sz w:val="21"/>
          <w:szCs w:val="21"/>
          <w:highlight w:val="none"/>
        </w:rPr>
        <w:t>：</w:t>
      </w:r>
      <w:r>
        <w:rPr>
          <w:rFonts w:hint="eastAsia" w:ascii="宋体" w:hAnsi="宋体" w:cs="宋体"/>
          <w:bCs/>
          <w:color w:val="auto"/>
          <w:sz w:val="21"/>
          <w:szCs w:val="21"/>
          <w:highlight w:val="none"/>
          <w:lang w:val="en-US" w:eastAsia="zh-CN"/>
        </w:rPr>
        <w:t>0</w:t>
      </w:r>
      <w:r>
        <w:rPr>
          <w:rFonts w:hint="eastAsia" w:ascii="宋体" w:hAnsi="宋体" w:cs="宋体"/>
          <w:bCs/>
          <w:color w:val="auto"/>
          <w:sz w:val="21"/>
          <w:szCs w:val="21"/>
          <w:highlight w:val="none"/>
        </w:rPr>
        <w:t>0时止（北京时间，逾期不予受理）。</w:t>
      </w:r>
    </w:p>
    <w:p w14:paraId="3B46645A">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2.2 比选开始时间：同截止时间。</w:t>
      </w:r>
    </w:p>
    <w:p w14:paraId="58F99668">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2.3 比选地点：重庆市两江新区人民政府龙山街道办事处六楼</w:t>
      </w:r>
      <w:r>
        <w:rPr>
          <w:rFonts w:hint="eastAsia" w:ascii="宋体" w:hAnsi="宋体" w:cs="宋体"/>
          <w:bCs/>
          <w:color w:val="auto"/>
          <w:sz w:val="21"/>
          <w:szCs w:val="21"/>
          <w:highlight w:val="none"/>
          <w:lang w:val="en-US" w:eastAsia="zh-CN"/>
        </w:rPr>
        <w:t>602</w:t>
      </w:r>
      <w:r>
        <w:rPr>
          <w:rFonts w:hint="eastAsia" w:ascii="宋体" w:hAnsi="宋体" w:cs="宋体"/>
          <w:bCs/>
          <w:color w:val="auto"/>
          <w:sz w:val="21"/>
          <w:szCs w:val="21"/>
          <w:highlight w:val="none"/>
        </w:rPr>
        <w:t>会议室。</w:t>
      </w:r>
    </w:p>
    <w:p w14:paraId="3F131325">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3. 纸质响应文件、电子文档（pdf格式）内容必须相同一致，供应商若因上传的电子文档无法打开或与纸质文档内容不一致，由评审小组作无效响应处理。</w:t>
      </w:r>
    </w:p>
    <w:p w14:paraId="1474478E">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（六）供应商须满足以下要求，其响应文件才被接受：</w:t>
      </w:r>
    </w:p>
    <w:p w14:paraId="2EDFD79B">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1.符合“第一篇  四、竞争性比选有关说明（四）报名和竞争性比选文件发售”要求。</w:t>
      </w:r>
    </w:p>
    <w:p w14:paraId="59C1F91F">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2.符合“第一篇  四、竞争性比选有关说明（五）</w:t>
      </w:r>
      <w:r>
        <w:rPr>
          <w:rFonts w:hint="eastAsia" w:ascii="宋体" w:hAnsi="宋体" w:cs="宋体"/>
          <w:bCs/>
          <w:color w:val="auto"/>
          <w:sz w:val="21"/>
          <w:szCs w:val="21"/>
          <w:highlight w:val="none"/>
          <w:lang w:eastAsia="zh-CN"/>
        </w:rPr>
        <w:t>响应</w:t>
      </w:r>
      <w:r>
        <w:rPr>
          <w:rFonts w:hint="eastAsia" w:ascii="宋体" w:hAnsi="宋体" w:cs="宋体"/>
          <w:bCs/>
          <w:color w:val="auto"/>
          <w:sz w:val="21"/>
          <w:szCs w:val="21"/>
          <w:highlight w:val="none"/>
        </w:rPr>
        <w:t>方式及报价”要求。</w:t>
      </w:r>
    </w:p>
    <w:p w14:paraId="40B911CF">
      <w:pPr>
        <w:pStyle w:val="3"/>
        <w:bidi w:val="0"/>
      </w:pPr>
      <w:r>
        <w:rPr>
          <w:rFonts w:hint="eastAsia"/>
        </w:rPr>
        <w:t>五、比选保证金</w:t>
      </w:r>
      <w:bookmarkEnd w:id="17"/>
      <w:bookmarkEnd w:id="18"/>
      <w:bookmarkEnd w:id="19"/>
    </w:p>
    <w:p w14:paraId="4A7E2809">
      <w:pPr>
        <w:adjustRightInd w:val="0"/>
        <w:snapToGrid w:val="0"/>
        <w:spacing w:line="400" w:lineRule="exact"/>
        <w:ind w:firstLine="420" w:firstLineChars="200"/>
        <w:rPr>
          <w:rFonts w:ascii="宋体" w:hAnsi="宋体" w:cs="宋体"/>
          <w:color w:val="auto"/>
          <w:sz w:val="21"/>
          <w:szCs w:val="21"/>
          <w:highlight w:val="none"/>
        </w:rPr>
      </w:pPr>
      <w:bookmarkStart w:id="20" w:name="_Toc525047163"/>
      <w:bookmarkStart w:id="21" w:name="_Toc521053055"/>
      <w:r>
        <w:rPr>
          <w:rFonts w:hint="eastAsia" w:ascii="宋体" w:hAnsi="宋体" w:cs="宋体"/>
          <w:color w:val="auto"/>
          <w:sz w:val="21"/>
          <w:szCs w:val="21"/>
          <w:highlight w:val="none"/>
        </w:rPr>
        <w:t>无。</w:t>
      </w:r>
    </w:p>
    <w:p w14:paraId="037A8E50">
      <w:pPr>
        <w:pStyle w:val="3"/>
        <w:bidi w:val="0"/>
      </w:pPr>
      <w:r>
        <w:rPr>
          <w:rFonts w:hint="eastAsia"/>
        </w:rPr>
        <w:t>六、其它有关规定</w:t>
      </w:r>
      <w:bookmarkEnd w:id="20"/>
      <w:bookmarkEnd w:id="21"/>
    </w:p>
    <w:p w14:paraId="6E762021">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（一）单位负责人为同一人或者存在直接控股、管理关系的不同供应商，不得参加同一合同项（包）下的政府采购活动，否则均为无效比选。</w:t>
      </w:r>
    </w:p>
    <w:p w14:paraId="53B56B1B">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（二）为采购项目提供整体设计、规范编制或者项目管理、监理、检测等服务的供应商，不得再参加该采购项目的其他采购活动。</w:t>
      </w:r>
    </w:p>
    <w:p w14:paraId="6CE0C14C">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（三）本项目的澄清文件（如果有）一律在</w:t>
      </w:r>
      <w:r>
        <w:rPr>
          <w:color w:val="auto"/>
          <w:highlight w:val="none"/>
        </w:rPr>
        <w:fldChar w:fldCharType="begin"/>
      </w:r>
      <w:r>
        <w:rPr>
          <w:color w:val="auto"/>
          <w:highlight w:val="none"/>
        </w:rPr>
        <w:instrText xml:space="preserve"> HYPERLINK "https://xj.ccgp-chongqing.gov.cn/ge/" </w:instrText>
      </w:r>
      <w:r>
        <w:rPr>
          <w:color w:val="auto"/>
          <w:highlight w:val="none"/>
        </w:rPr>
        <w:fldChar w:fldCharType="separate"/>
      </w:r>
      <w:r>
        <w:rPr>
          <w:rFonts w:hint="eastAsia" w:ascii="宋体" w:hAnsi="宋体" w:cs="宋体"/>
          <w:color w:val="auto"/>
          <w:sz w:val="21"/>
          <w:szCs w:val="21"/>
          <w:highlight w:val="none"/>
        </w:rPr>
        <w:t>“行采家”（https://www.gec123.com/）</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上发布，请各供应商注意下载；无论供应商下载或领取与否，均视同供应商已知晓本项目澄清文件（如果有）的内容。</w:t>
      </w:r>
    </w:p>
    <w:p w14:paraId="575E3ABC">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（四）超过响应文件截止时间递交的响应文件，恕不接收。</w:t>
      </w:r>
    </w:p>
    <w:p w14:paraId="52CBC301">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（五）比选费用：无论比选结果如何，供应商参与本项目比选的所有费用均应由供应商自行承担。</w:t>
      </w:r>
    </w:p>
    <w:p w14:paraId="57EC257C">
      <w:pPr>
        <w:pStyle w:val="14"/>
        <w:spacing w:line="400" w:lineRule="exact"/>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（六）本项目不接受联合体参与比选，否则按无效处理。</w:t>
      </w:r>
    </w:p>
    <w:p w14:paraId="2EB3037A">
      <w:pPr>
        <w:pStyle w:val="14"/>
        <w:spacing w:line="400" w:lineRule="exact"/>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（七）本项目不接受合同分包，否则按无效处理。</w:t>
      </w:r>
    </w:p>
    <w:p w14:paraId="7BEEC782">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55E3B347">
      <w:pPr>
        <w:pStyle w:val="3"/>
        <w:keepNext w:val="0"/>
        <w:keepLines w:val="0"/>
        <w:wordWrap w:val="0"/>
        <w:topLinePunct/>
        <w:adjustRightInd w:val="0"/>
        <w:snapToGrid w:val="0"/>
        <w:ind w:firstLineChars="200"/>
        <w:rPr>
          <w:rFonts w:hint="eastAsia"/>
          <w:color w:val="auto"/>
          <w:highlight w:val="none"/>
        </w:rPr>
      </w:pPr>
      <w:bookmarkStart w:id="22" w:name="_Toc521053056"/>
      <w:bookmarkStart w:id="23" w:name="_Toc525047164"/>
    </w:p>
    <w:p w14:paraId="14F14A29">
      <w:pPr>
        <w:pStyle w:val="3"/>
        <w:bidi w:val="0"/>
      </w:pPr>
      <w:r>
        <w:rPr>
          <w:rFonts w:hint="eastAsia"/>
        </w:rPr>
        <w:t>七、联系方式</w:t>
      </w:r>
      <w:bookmarkEnd w:id="22"/>
      <w:bookmarkEnd w:id="23"/>
    </w:p>
    <w:p w14:paraId="733E07F3">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（一）采购人：重庆市两江新区人民政府龙山街道办事处</w:t>
      </w:r>
    </w:p>
    <w:p w14:paraId="10F789C2">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联系人：张老师</w:t>
      </w:r>
    </w:p>
    <w:p w14:paraId="180B24C3">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电  话：023-67615930</w:t>
      </w:r>
    </w:p>
    <w:p w14:paraId="1699D9E1">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地  址：重庆市两江新区龙山路70号</w:t>
      </w:r>
    </w:p>
    <w:p w14:paraId="73F7B052">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14:paraId="295836F7">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（二）采购代理机构：重庆垚杉工程管理有限公司</w:t>
      </w:r>
    </w:p>
    <w:p w14:paraId="76E97784">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联系人：李老师</w:t>
      </w:r>
    </w:p>
    <w:p w14:paraId="1DB93FE1">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电  话：023-68863300</w:t>
      </w:r>
    </w:p>
    <w:p w14:paraId="6522ACDE">
      <w:pPr>
        <w:pStyle w:val="14"/>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地  址：重庆市两江新区大竹林街道黄山大道中段1号</w:t>
      </w:r>
    </w:p>
    <w:p w14:paraId="37E7B8CC">
      <w:pPr>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2D9CA444">
      <w:pPr>
        <w:pStyle w:val="14"/>
        <w:spacing w:line="400" w:lineRule="exact"/>
        <w:ind w:firstLine="420" w:firstLineChars="200"/>
        <w:rPr>
          <w:rFonts w:hint="eastAsia" w:ascii="宋体" w:hAnsi="宋体" w:cs="宋体"/>
          <w:color w:val="auto"/>
          <w:sz w:val="21"/>
          <w:szCs w:val="21"/>
          <w:highlight w:val="none"/>
        </w:rPr>
        <w:sectPr>
          <w:footerReference r:id="rId7" w:type="default"/>
          <w:pgSz w:w="11907" w:h="16840"/>
          <w:pgMar w:top="1440" w:right="1800" w:bottom="1440" w:left="1800" w:header="964" w:footer="992" w:gutter="0"/>
          <w:pgNumType w:fmt="numberInDash" w:start="1"/>
          <w:cols w:space="720" w:num="1"/>
          <w:docGrid w:linePitch="312" w:charSpace="0"/>
        </w:sectPr>
      </w:pPr>
    </w:p>
    <w:p w14:paraId="164E16B8">
      <w:pPr>
        <w:pStyle w:val="2"/>
        <w:spacing w:line="240" w:lineRule="auto"/>
        <w:jc w:val="center"/>
        <w:rPr>
          <w:color w:val="auto"/>
          <w:highlight w:val="none"/>
        </w:rPr>
      </w:pPr>
      <w:bookmarkStart w:id="24" w:name="_Toc30202"/>
      <w:bookmarkStart w:id="25" w:name="_Toc102227313"/>
      <w:r>
        <w:rPr>
          <w:rFonts w:hint="eastAsia"/>
          <w:color w:val="auto"/>
          <w:highlight w:val="none"/>
        </w:rPr>
        <w:t>第二篇  项目服务需求</w:t>
      </w:r>
      <w:bookmarkEnd w:id="24"/>
    </w:p>
    <w:p w14:paraId="1F991F67">
      <w:pPr>
        <w:snapToGrid w:val="0"/>
        <w:spacing w:after="381" w:afterLines="100" w:line="400" w:lineRule="exact"/>
        <w:ind w:firstLine="360" w:firstLineChars="200"/>
        <w:rPr>
          <w:rFonts w:ascii="宋体" w:hAnsi="宋体" w:cs="宋体"/>
          <w:bCs/>
          <w:color w:val="auto"/>
          <w:sz w:val="18"/>
          <w:szCs w:val="18"/>
          <w:highlight w:val="none"/>
        </w:rPr>
      </w:pPr>
      <w:bookmarkStart w:id="26" w:name="_Toc26128"/>
      <w:r>
        <w:rPr>
          <w:rFonts w:hint="eastAsia" w:ascii="宋体" w:hAnsi="宋体" w:cs="宋体"/>
          <w:bCs/>
          <w:color w:val="auto"/>
          <w:sz w:val="18"/>
          <w:szCs w:val="18"/>
          <w:highlight w:val="none"/>
        </w:rPr>
        <w:t>“※”标注的技术需求为符合性审查中的实质性要求，若不满足按</w:t>
      </w:r>
      <w:r>
        <w:rPr>
          <w:rFonts w:hint="eastAsia" w:ascii="宋体" w:hAnsi="宋体" w:cs="宋体"/>
          <w:bCs/>
          <w:color w:val="auto"/>
          <w:sz w:val="18"/>
          <w:szCs w:val="18"/>
          <w:highlight w:val="none"/>
          <w:lang w:eastAsia="zh-CN"/>
        </w:rPr>
        <w:t>无效响应</w:t>
      </w:r>
      <w:r>
        <w:rPr>
          <w:rFonts w:hint="eastAsia" w:ascii="宋体" w:hAnsi="宋体" w:cs="宋体"/>
          <w:bCs/>
          <w:color w:val="auto"/>
          <w:sz w:val="18"/>
          <w:szCs w:val="18"/>
          <w:highlight w:val="none"/>
        </w:rPr>
        <w:t>处理。</w:t>
      </w:r>
    </w:p>
    <w:p w14:paraId="6AE471DA">
      <w:pPr>
        <w:pStyle w:val="3"/>
        <w:bidi w:val="0"/>
      </w:pPr>
      <w:bookmarkStart w:id="27" w:name="_Toc530144825"/>
      <w:bookmarkStart w:id="28" w:name="_Toc15509"/>
      <w:bookmarkStart w:id="29" w:name="_Toc22894"/>
      <w:bookmarkStart w:id="30" w:name="_Toc9022"/>
      <w:bookmarkStart w:id="31" w:name="_Toc17012"/>
      <w:bookmarkStart w:id="32" w:name="_Toc106291076"/>
      <w:bookmarkStart w:id="33" w:name="_Toc29620"/>
      <w:r>
        <w:rPr>
          <w:rFonts w:hint="eastAsia"/>
        </w:rPr>
        <w:t>一、采购项目</w:t>
      </w:r>
      <w:bookmarkEnd w:id="27"/>
      <w:bookmarkEnd w:id="28"/>
      <w:r>
        <w:rPr>
          <w:rFonts w:hint="eastAsia"/>
        </w:rPr>
        <w:t>一览表</w:t>
      </w:r>
      <w:bookmarkEnd w:id="29"/>
      <w:bookmarkEnd w:id="30"/>
      <w:bookmarkEnd w:id="31"/>
      <w:bookmarkEnd w:id="32"/>
      <w:bookmarkEnd w:id="33"/>
    </w:p>
    <w:tbl>
      <w:tblPr>
        <w:tblStyle w:val="23"/>
        <w:tblW w:w="48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3512"/>
        <w:gridCol w:w="1366"/>
        <w:gridCol w:w="1348"/>
        <w:gridCol w:w="1063"/>
      </w:tblGrid>
      <w:tr w14:paraId="493B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right w:val="single" w:color="auto" w:sz="4" w:space="0"/>
            </w:tcBorders>
            <w:vAlign w:val="center"/>
          </w:tcPr>
          <w:p w14:paraId="3D7EDEDE">
            <w:pPr>
              <w:wordWrap w:val="0"/>
              <w:topLinePunct/>
              <w:adjustRightInd w:val="0"/>
              <w:snapToGrid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3608" w:type="dxa"/>
            <w:tcBorders>
              <w:top w:val="single" w:color="auto" w:sz="4" w:space="0"/>
              <w:left w:val="single" w:color="auto" w:sz="4" w:space="0"/>
              <w:right w:val="single" w:color="auto" w:sz="4" w:space="0"/>
            </w:tcBorders>
            <w:vAlign w:val="center"/>
          </w:tcPr>
          <w:p w14:paraId="0A620A73">
            <w:pPr>
              <w:wordWrap w:val="0"/>
              <w:topLinePunct/>
              <w:adjustRightInd w:val="0"/>
              <w:snapToGrid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1403" w:type="dxa"/>
            <w:tcBorders>
              <w:top w:val="single" w:color="auto" w:sz="4" w:space="0"/>
              <w:left w:val="single" w:color="auto" w:sz="4" w:space="0"/>
              <w:right w:val="single" w:color="auto" w:sz="4" w:space="0"/>
            </w:tcBorders>
            <w:vAlign w:val="center"/>
          </w:tcPr>
          <w:p w14:paraId="5581140F">
            <w:pPr>
              <w:wordWrap w:val="0"/>
              <w:topLinePunct/>
              <w:adjustRightInd w:val="0"/>
              <w:snapToGrid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单价限价（元）</w:t>
            </w:r>
          </w:p>
        </w:tc>
        <w:tc>
          <w:tcPr>
            <w:tcW w:w="1385" w:type="dxa"/>
            <w:tcBorders>
              <w:top w:val="single" w:color="auto" w:sz="4" w:space="0"/>
              <w:left w:val="single" w:color="auto" w:sz="4" w:space="0"/>
              <w:right w:val="single" w:color="auto" w:sz="4" w:space="0"/>
            </w:tcBorders>
            <w:shd w:val="clear" w:color="auto" w:fill="auto"/>
            <w:vAlign w:val="center"/>
          </w:tcPr>
          <w:p w14:paraId="2AAF6818">
            <w:pPr>
              <w:wordWrap w:val="0"/>
              <w:topLinePunct/>
              <w:adjustRightInd w:val="0"/>
              <w:snapToGrid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每户数量（个）</w:t>
            </w:r>
          </w:p>
        </w:tc>
        <w:tc>
          <w:tcPr>
            <w:tcW w:w="1092" w:type="dxa"/>
            <w:tcBorders>
              <w:top w:val="single" w:color="auto" w:sz="4" w:space="0"/>
              <w:left w:val="single" w:color="auto" w:sz="4" w:space="0"/>
              <w:right w:val="single" w:color="auto" w:sz="4" w:space="0"/>
            </w:tcBorders>
            <w:vAlign w:val="center"/>
          </w:tcPr>
          <w:p w14:paraId="47738103">
            <w:pPr>
              <w:wordWrap w:val="0"/>
              <w:topLinePunct/>
              <w:adjustRightInd w:val="0"/>
              <w:snapToGrid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单户合计（元）</w:t>
            </w:r>
          </w:p>
        </w:tc>
      </w:tr>
      <w:tr w14:paraId="240B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096D6DC">
            <w:pPr>
              <w:wordWrap w:val="0"/>
              <w:topLinePunct/>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608" w:type="dxa"/>
            <w:tcBorders>
              <w:top w:val="single" w:color="auto" w:sz="4" w:space="0"/>
              <w:left w:val="single" w:color="auto" w:sz="4" w:space="0"/>
              <w:bottom w:val="single" w:color="auto" w:sz="4" w:space="0"/>
              <w:right w:val="single" w:color="auto" w:sz="4" w:space="0"/>
            </w:tcBorders>
            <w:vAlign w:val="center"/>
          </w:tcPr>
          <w:p w14:paraId="0E7B6BA8">
            <w:pPr>
              <w:wordWrap w:val="0"/>
              <w:topLinePunct/>
              <w:adjustRightInd w:val="0"/>
              <w:snapToGrid w:val="0"/>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电气火灾智防设备（探测器）</w:t>
            </w:r>
          </w:p>
        </w:tc>
        <w:tc>
          <w:tcPr>
            <w:tcW w:w="1403" w:type="dxa"/>
            <w:tcBorders>
              <w:top w:val="single" w:color="auto" w:sz="4" w:space="0"/>
              <w:left w:val="single" w:color="auto" w:sz="4" w:space="0"/>
              <w:bottom w:val="single" w:color="auto" w:sz="4" w:space="0"/>
              <w:right w:val="single" w:color="auto" w:sz="4" w:space="0"/>
            </w:tcBorders>
            <w:vAlign w:val="center"/>
          </w:tcPr>
          <w:p w14:paraId="042DD72C">
            <w:pPr>
              <w:wordWrap w:val="0"/>
              <w:topLinePunct/>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455</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14:paraId="7A362481">
            <w:pPr>
              <w:wordWrap w:val="0"/>
              <w:topLinePunct/>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92" w:type="dxa"/>
            <w:tcBorders>
              <w:top w:val="single" w:color="auto" w:sz="4" w:space="0"/>
              <w:left w:val="single" w:color="auto" w:sz="4" w:space="0"/>
              <w:bottom w:val="single" w:color="auto" w:sz="4" w:space="0"/>
              <w:right w:val="single" w:color="auto" w:sz="4" w:space="0"/>
            </w:tcBorders>
            <w:vAlign w:val="center"/>
          </w:tcPr>
          <w:p w14:paraId="7A1C607F">
            <w:pPr>
              <w:wordWrap w:val="0"/>
              <w:topLinePunct/>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455</w:t>
            </w:r>
          </w:p>
        </w:tc>
      </w:tr>
      <w:tr w14:paraId="5CBA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66E574CD">
            <w:pPr>
              <w:wordWrap w:val="0"/>
              <w:topLinePunct/>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608" w:type="dxa"/>
            <w:tcBorders>
              <w:top w:val="single" w:color="auto" w:sz="4" w:space="0"/>
              <w:left w:val="single" w:color="auto" w:sz="4" w:space="0"/>
              <w:bottom w:val="single" w:color="auto" w:sz="4" w:space="0"/>
              <w:right w:val="single" w:color="auto" w:sz="4" w:space="0"/>
            </w:tcBorders>
            <w:vAlign w:val="center"/>
          </w:tcPr>
          <w:p w14:paraId="4E7345BC">
            <w:pPr>
              <w:wordWrap w:val="0"/>
              <w:topLinePunct/>
              <w:adjustRightInd w:val="0"/>
              <w:snapToGrid w:val="0"/>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联网型独立式烟感火灾探测报警器</w:t>
            </w:r>
          </w:p>
        </w:tc>
        <w:tc>
          <w:tcPr>
            <w:tcW w:w="1403" w:type="dxa"/>
            <w:tcBorders>
              <w:top w:val="single" w:color="auto" w:sz="4" w:space="0"/>
              <w:left w:val="single" w:color="auto" w:sz="4" w:space="0"/>
              <w:bottom w:val="single" w:color="auto" w:sz="4" w:space="0"/>
              <w:right w:val="single" w:color="auto" w:sz="4" w:space="0"/>
            </w:tcBorders>
            <w:vAlign w:val="center"/>
          </w:tcPr>
          <w:p w14:paraId="31BDF1F5">
            <w:pPr>
              <w:wordWrap w:val="0"/>
              <w:topLinePunct/>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160</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14:paraId="3CA0CAC0">
            <w:pPr>
              <w:wordWrap w:val="0"/>
              <w:topLinePunct/>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92" w:type="dxa"/>
            <w:tcBorders>
              <w:top w:val="single" w:color="auto" w:sz="4" w:space="0"/>
              <w:left w:val="single" w:color="auto" w:sz="4" w:space="0"/>
              <w:bottom w:val="single" w:color="auto" w:sz="4" w:space="0"/>
              <w:right w:val="single" w:color="auto" w:sz="4" w:space="0"/>
            </w:tcBorders>
            <w:vAlign w:val="center"/>
          </w:tcPr>
          <w:p w14:paraId="78F19725">
            <w:pPr>
              <w:wordWrap w:val="0"/>
              <w:topLinePunct/>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160</w:t>
            </w:r>
          </w:p>
        </w:tc>
      </w:tr>
      <w:tr w14:paraId="18C1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6861E8D2">
            <w:pPr>
              <w:wordWrap w:val="0"/>
              <w:topLinePunct/>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608" w:type="dxa"/>
            <w:tcBorders>
              <w:top w:val="single" w:color="auto" w:sz="4" w:space="0"/>
              <w:left w:val="single" w:color="auto" w:sz="4" w:space="0"/>
              <w:bottom w:val="single" w:color="auto" w:sz="4" w:space="0"/>
              <w:right w:val="single" w:color="auto" w:sz="4" w:space="0"/>
            </w:tcBorders>
            <w:vAlign w:val="center"/>
          </w:tcPr>
          <w:p w14:paraId="15836695">
            <w:pPr>
              <w:wordWrap w:val="0"/>
              <w:topLinePunct/>
              <w:adjustRightInd w:val="0"/>
              <w:snapToGrid w:val="0"/>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简易防烟面罩（消防自救呼吸器）</w:t>
            </w:r>
          </w:p>
        </w:tc>
        <w:tc>
          <w:tcPr>
            <w:tcW w:w="1403" w:type="dxa"/>
            <w:tcBorders>
              <w:top w:val="single" w:color="auto" w:sz="4" w:space="0"/>
              <w:left w:val="single" w:color="auto" w:sz="4" w:space="0"/>
              <w:bottom w:val="single" w:color="auto" w:sz="4" w:space="0"/>
              <w:right w:val="single" w:color="auto" w:sz="4" w:space="0"/>
            </w:tcBorders>
            <w:vAlign w:val="center"/>
          </w:tcPr>
          <w:p w14:paraId="47886478">
            <w:pPr>
              <w:wordWrap w:val="0"/>
              <w:topLinePunct/>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14:paraId="34525637">
            <w:pPr>
              <w:wordWrap w:val="0"/>
              <w:topLinePunct/>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92" w:type="dxa"/>
            <w:tcBorders>
              <w:top w:val="single" w:color="auto" w:sz="4" w:space="0"/>
              <w:left w:val="single" w:color="auto" w:sz="4" w:space="0"/>
              <w:bottom w:val="single" w:color="auto" w:sz="4" w:space="0"/>
              <w:right w:val="single" w:color="auto" w:sz="4" w:space="0"/>
            </w:tcBorders>
            <w:vAlign w:val="center"/>
          </w:tcPr>
          <w:p w14:paraId="3666D001">
            <w:pPr>
              <w:wordWrap w:val="0"/>
              <w:topLinePunct/>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135</w:t>
            </w:r>
          </w:p>
        </w:tc>
      </w:tr>
      <w:tr w14:paraId="66ED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0" w:type="dxa"/>
            <w:gridSpan w:val="4"/>
            <w:tcBorders>
              <w:top w:val="single" w:color="auto" w:sz="4" w:space="0"/>
              <w:left w:val="single" w:color="auto" w:sz="4" w:space="0"/>
              <w:bottom w:val="single" w:color="auto" w:sz="4" w:space="0"/>
              <w:right w:val="single" w:color="auto" w:sz="4" w:space="0"/>
            </w:tcBorders>
            <w:vAlign w:val="center"/>
          </w:tcPr>
          <w:p w14:paraId="16EE0DF7">
            <w:pPr>
              <w:wordWrap w:val="0"/>
              <w:topLinePunct/>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单户总合计（元）</w:t>
            </w:r>
          </w:p>
        </w:tc>
        <w:tc>
          <w:tcPr>
            <w:tcW w:w="1092" w:type="dxa"/>
            <w:tcBorders>
              <w:top w:val="single" w:color="auto" w:sz="4" w:space="0"/>
              <w:left w:val="single" w:color="auto" w:sz="4" w:space="0"/>
              <w:bottom w:val="single" w:color="auto" w:sz="4" w:space="0"/>
              <w:right w:val="single" w:color="auto" w:sz="4" w:space="0"/>
            </w:tcBorders>
            <w:vAlign w:val="center"/>
          </w:tcPr>
          <w:p w14:paraId="60E86A35">
            <w:pPr>
              <w:wordWrap w:val="0"/>
              <w:topLinePunct/>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750</w:t>
            </w:r>
          </w:p>
        </w:tc>
      </w:tr>
      <w:tr w14:paraId="58E0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10" w:type="dxa"/>
            <w:gridSpan w:val="4"/>
            <w:tcBorders>
              <w:top w:val="single" w:color="auto" w:sz="4" w:space="0"/>
              <w:left w:val="single" w:color="auto" w:sz="4" w:space="0"/>
              <w:bottom w:val="single" w:color="auto" w:sz="4" w:space="0"/>
              <w:right w:val="single" w:color="auto" w:sz="4" w:space="0"/>
            </w:tcBorders>
            <w:vAlign w:val="center"/>
          </w:tcPr>
          <w:p w14:paraId="2322AAD2">
            <w:pPr>
              <w:wordWrap w:val="0"/>
              <w:topLinePunct/>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188户总合计（元）</w:t>
            </w:r>
          </w:p>
        </w:tc>
        <w:tc>
          <w:tcPr>
            <w:tcW w:w="1092" w:type="dxa"/>
            <w:tcBorders>
              <w:top w:val="single" w:color="auto" w:sz="4" w:space="0"/>
              <w:left w:val="single" w:color="auto" w:sz="4" w:space="0"/>
              <w:bottom w:val="single" w:color="auto" w:sz="4" w:space="0"/>
              <w:right w:val="single" w:color="auto" w:sz="4" w:space="0"/>
            </w:tcBorders>
            <w:vAlign w:val="center"/>
          </w:tcPr>
          <w:p w14:paraId="5D8D99B7">
            <w:pPr>
              <w:wordWrap w:val="0"/>
              <w:topLinePunct/>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141000</w:t>
            </w:r>
          </w:p>
        </w:tc>
      </w:tr>
    </w:tbl>
    <w:p w14:paraId="40F808ED">
      <w:pPr>
        <w:pStyle w:val="3"/>
        <w:bidi w:val="0"/>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w:t>
      </w:r>
      <w:bookmarkStart w:id="34" w:name="_Hlk230703123"/>
      <w:r>
        <w:rPr>
          <w:rFonts w:hint="eastAsia" w:ascii="黑体" w:hAnsi="黑体" w:eastAsia="黑体" w:cs="黑体"/>
          <w:b w:val="0"/>
          <w:bCs w:val="0"/>
          <w:color w:val="auto"/>
          <w:sz w:val="21"/>
          <w:szCs w:val="21"/>
          <w:highlight w:val="none"/>
        </w:rPr>
        <w:t>二、服务范围</w:t>
      </w:r>
    </w:p>
    <w:p w14:paraId="1AC7AA2E">
      <w:pPr>
        <w:pStyle w:val="14"/>
        <w:tabs>
          <w:tab w:val="left" w:pos="453"/>
        </w:tabs>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拟为龙山街道辖区188户高层建筑内的独居、空巢及留守老人，每户安装一个电气火灾智防设备（探测器）、一个联网型独立式烟感火灾探测报警器，并配置3个简易防烟面罩（消防自救呼吸器）。</w:t>
      </w:r>
    </w:p>
    <w:p w14:paraId="6027A439">
      <w:pPr>
        <w:pStyle w:val="3"/>
        <w:bidi w:val="0"/>
      </w:pPr>
      <w:r>
        <w:rPr>
          <w:rFonts w:hint="eastAsia"/>
          <w:lang w:val="en-US" w:eastAsia="zh-CN"/>
        </w:rPr>
        <w:t>三、</w:t>
      </w:r>
      <w:r>
        <w:rPr>
          <w:rFonts w:hint="eastAsia"/>
        </w:rPr>
        <w:t>服务内容</w:t>
      </w:r>
    </w:p>
    <w:p w14:paraId="4D9EA418">
      <w:pPr>
        <w:pStyle w:val="20"/>
        <w:numPr>
          <w:ilvl w:val="0"/>
          <w:numId w:val="1"/>
        </w:numPr>
        <w:shd w:val="clear" w:color="auto" w:fill="FFFFFF"/>
        <w:wordWrap w:val="0"/>
        <w:topLinePunct/>
        <w:spacing w:line="400" w:lineRule="exact"/>
        <w:ind w:firstLine="422"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shd w:val="clear" w:color="auto" w:fill="FFFFFF"/>
        </w:rPr>
        <w:t>设备配置标准</w:t>
      </w:r>
      <w:r>
        <w:rPr>
          <w:rFonts w:hint="eastAsia" w:asciiTheme="minorEastAsia" w:hAnsiTheme="minorEastAsia" w:eastAsiaTheme="minorEastAsia" w:cstheme="minorEastAsia"/>
          <w:color w:val="auto"/>
          <w:sz w:val="21"/>
          <w:szCs w:val="21"/>
          <w:highlight w:val="none"/>
          <w:shd w:val="clear" w:color="auto" w:fill="FFFFFF"/>
        </w:rPr>
        <w:br w:type="textWrapping"/>
      </w:r>
      <w:r>
        <w:rPr>
          <w:rFonts w:hint="eastAsia" w:asciiTheme="minorEastAsia" w:hAnsiTheme="minorEastAsia" w:eastAsiaTheme="minorEastAsia" w:cstheme="minorEastAsia"/>
          <w:color w:val="auto"/>
          <w:sz w:val="21"/>
          <w:szCs w:val="21"/>
          <w:highlight w:val="none"/>
          <w:shd w:val="clear" w:color="auto" w:fill="FFFFFF"/>
        </w:rPr>
        <w:t xml:space="preserve">    为每户独居、空巢</w:t>
      </w:r>
      <w:r>
        <w:rPr>
          <w:rFonts w:hint="eastAsia" w:asciiTheme="minorEastAsia" w:hAnsiTheme="minorEastAsia" w:eastAsiaTheme="minorEastAsia" w:cstheme="minorEastAsia"/>
          <w:color w:val="auto"/>
          <w:sz w:val="21"/>
          <w:szCs w:val="21"/>
          <w:highlight w:val="none"/>
          <w:lang w:val="en-US" w:eastAsia="zh-CN"/>
        </w:rPr>
        <w:t>和留守</w:t>
      </w:r>
      <w:r>
        <w:rPr>
          <w:rFonts w:hint="eastAsia" w:asciiTheme="minorEastAsia" w:hAnsiTheme="minorEastAsia" w:eastAsiaTheme="minorEastAsia" w:cstheme="minorEastAsia"/>
          <w:color w:val="auto"/>
          <w:sz w:val="21"/>
          <w:szCs w:val="21"/>
          <w:highlight w:val="none"/>
          <w:shd w:val="clear" w:color="auto" w:fill="FFFFFF"/>
        </w:rPr>
        <w:t>老人配置以下消防器材</w:t>
      </w:r>
      <w:r>
        <w:rPr>
          <w:rFonts w:hint="eastAsia" w:asciiTheme="minorEastAsia" w:hAnsiTheme="minorEastAsia" w:eastAsiaTheme="minorEastAsia" w:cstheme="minorEastAsia"/>
          <w:color w:val="auto"/>
          <w:sz w:val="21"/>
          <w:szCs w:val="21"/>
          <w:highlight w:val="none"/>
          <w:shd w:val="clear" w:color="auto" w:fill="FFFFFF"/>
          <w:lang w:val="en-US" w:eastAsia="zh-CN"/>
        </w:rPr>
        <w:t>及设备调试</w:t>
      </w:r>
      <w:r>
        <w:rPr>
          <w:rFonts w:hint="eastAsia" w:asciiTheme="minorEastAsia" w:hAnsiTheme="minorEastAsia" w:eastAsiaTheme="minorEastAsia" w:cstheme="minorEastAsia"/>
          <w:color w:val="auto"/>
          <w:sz w:val="21"/>
          <w:szCs w:val="21"/>
          <w:highlight w:val="none"/>
          <w:shd w:val="clear" w:color="auto" w:fill="FFFFFF"/>
        </w:rPr>
        <w:t>：</w:t>
      </w:r>
    </w:p>
    <w:p w14:paraId="33472793">
      <w:pPr>
        <w:pStyle w:val="20"/>
        <w:numPr>
          <w:ilvl w:val="255"/>
          <w:numId w:val="0"/>
        </w:numPr>
        <w:shd w:val="clear" w:color="auto" w:fill="FFFFFF"/>
        <w:wordWrap w:val="0"/>
        <w:topLinePunct/>
        <w:spacing w:line="400" w:lineRule="exact"/>
        <w:ind w:firstLine="420" w:firstLineChars="200"/>
        <w:rPr>
          <w:rFonts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1.电气火灾智防设备（探测器）1个；</w:t>
      </w:r>
    </w:p>
    <w:p w14:paraId="67FE2CB2">
      <w:pPr>
        <w:pStyle w:val="20"/>
        <w:numPr>
          <w:ilvl w:val="255"/>
          <w:numId w:val="0"/>
        </w:numPr>
        <w:shd w:val="clear" w:color="auto" w:fill="FFFFFF"/>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2.联网型独立式烟感火灾探测报警器1个；</w:t>
      </w:r>
    </w:p>
    <w:p w14:paraId="7205A038">
      <w:pPr>
        <w:pStyle w:val="20"/>
        <w:numPr>
          <w:ilvl w:val="255"/>
          <w:numId w:val="0"/>
        </w:numPr>
        <w:wordWrap w:val="0"/>
        <w:topLinePunct/>
        <w:spacing w:line="400" w:lineRule="exact"/>
        <w:ind w:firstLine="420" w:firstLineChars="200"/>
        <w:rPr>
          <w:rFonts w:hint="eastAsia" w:asciiTheme="minorEastAsia" w:hAnsiTheme="minorEastAsia" w:eastAsiaTheme="minorEastAsia" w:cstheme="minorEastAsia"/>
          <w:color w:val="auto"/>
          <w:sz w:val="21"/>
          <w:szCs w:val="21"/>
          <w:highlight w:val="none"/>
          <w:shd w:val="clear" w:color="auto" w:fill="FFFFFF"/>
          <w:lang w:eastAsia="zh-CN"/>
        </w:rPr>
      </w:pPr>
      <w:r>
        <w:rPr>
          <w:rFonts w:hint="eastAsia" w:asciiTheme="minorEastAsia" w:hAnsiTheme="minorEastAsia" w:eastAsiaTheme="minorEastAsia" w:cstheme="minorEastAsia"/>
          <w:color w:val="auto"/>
          <w:sz w:val="21"/>
          <w:szCs w:val="21"/>
          <w:highlight w:val="none"/>
          <w:shd w:val="clear" w:color="auto" w:fill="FFFFFF"/>
        </w:rPr>
        <w:t>3.简易防烟面罩（消防自救呼吸器）3个</w:t>
      </w:r>
      <w:r>
        <w:rPr>
          <w:rFonts w:hint="eastAsia" w:asciiTheme="minorEastAsia" w:hAnsiTheme="minorEastAsia" w:eastAsiaTheme="minorEastAsia" w:cstheme="minorEastAsia"/>
          <w:color w:val="auto"/>
          <w:sz w:val="21"/>
          <w:szCs w:val="21"/>
          <w:highlight w:val="none"/>
          <w:shd w:val="clear" w:color="auto" w:fill="FFFFFF"/>
          <w:lang w:eastAsia="zh-CN"/>
        </w:rPr>
        <w:t>；</w:t>
      </w:r>
    </w:p>
    <w:p w14:paraId="5100C691">
      <w:pPr>
        <w:pStyle w:val="20"/>
        <w:numPr>
          <w:ilvl w:val="255"/>
          <w:numId w:val="0"/>
        </w:numPr>
        <w:wordWrap w:val="0"/>
        <w:topLinePunct/>
        <w:spacing w:line="400" w:lineRule="exact"/>
        <w:ind w:firstLine="420" w:firstLineChars="200"/>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4.安装调试。</w:t>
      </w:r>
    </w:p>
    <w:p w14:paraId="635C2776">
      <w:pPr>
        <w:pStyle w:val="20"/>
        <w:numPr>
          <w:ilvl w:val="0"/>
          <w:numId w:val="1"/>
        </w:numPr>
        <w:shd w:val="clear" w:color="auto" w:fill="FFFFFF"/>
        <w:wordWrap w:val="0"/>
        <w:topLinePunct/>
        <w:spacing w:line="400" w:lineRule="exact"/>
        <w:ind w:firstLine="422" w:firstLineChars="200"/>
        <w:rPr>
          <w:rFonts w:asciiTheme="minorEastAsia" w:hAnsiTheme="minorEastAsia" w:eastAsiaTheme="minorEastAsia" w:cstheme="minorEastAsia"/>
          <w:b/>
          <w:bCs/>
          <w:color w:val="auto"/>
          <w:sz w:val="21"/>
          <w:szCs w:val="21"/>
          <w:highlight w:val="none"/>
          <w:shd w:val="clear" w:color="auto" w:fill="FFFFFF"/>
        </w:rPr>
      </w:pPr>
      <w:r>
        <w:rPr>
          <w:rFonts w:hint="eastAsia" w:asciiTheme="minorEastAsia" w:hAnsiTheme="minorEastAsia" w:eastAsiaTheme="minorEastAsia" w:cstheme="minorEastAsia"/>
          <w:b/>
          <w:bCs/>
          <w:color w:val="auto"/>
          <w:sz w:val="21"/>
          <w:szCs w:val="21"/>
          <w:highlight w:val="none"/>
          <w:shd w:val="clear" w:color="auto" w:fill="FFFFFF"/>
        </w:rPr>
        <w:t>产品质量要求</w:t>
      </w:r>
    </w:p>
    <w:p w14:paraId="02C9F293">
      <w:pPr>
        <w:pStyle w:val="20"/>
        <w:numPr>
          <w:ilvl w:val="255"/>
          <w:numId w:val="0"/>
        </w:numPr>
        <w:shd w:val="clear" w:color="auto" w:fill="FFFFFF"/>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所有采购产品须为合格产品，符合国家相关产品质量标准及消防产品市场准入制度，应具备强制性产品认证（CCC认证）或有效的技术鉴定证书，并随货交付。</w:t>
      </w:r>
    </w:p>
    <w:p w14:paraId="7332D771">
      <w:pPr>
        <w:pStyle w:val="20"/>
        <w:numPr>
          <w:ilvl w:val="0"/>
          <w:numId w:val="1"/>
        </w:numPr>
        <w:shd w:val="clear" w:color="auto" w:fill="FFFFFF"/>
        <w:wordWrap w:val="0"/>
        <w:topLinePunct/>
        <w:spacing w:line="400" w:lineRule="exact"/>
        <w:ind w:firstLine="422" w:firstLineChars="200"/>
        <w:rPr>
          <w:rFonts w:asciiTheme="minorEastAsia" w:hAnsiTheme="minorEastAsia" w:eastAsiaTheme="minorEastAsia" w:cstheme="minorEastAsia"/>
          <w:b/>
          <w:bCs/>
          <w:color w:val="auto"/>
          <w:sz w:val="21"/>
          <w:szCs w:val="21"/>
          <w:highlight w:val="none"/>
          <w:shd w:val="clear" w:color="auto" w:fill="FFFFFF"/>
        </w:rPr>
      </w:pPr>
      <w:r>
        <w:rPr>
          <w:rFonts w:hint="eastAsia" w:asciiTheme="minorEastAsia" w:hAnsiTheme="minorEastAsia" w:eastAsiaTheme="minorEastAsia" w:cstheme="minorEastAsia"/>
          <w:b/>
          <w:bCs/>
          <w:color w:val="auto"/>
          <w:sz w:val="21"/>
          <w:szCs w:val="21"/>
          <w:highlight w:val="none"/>
          <w:shd w:val="clear" w:color="auto" w:fill="FFFFFF"/>
        </w:rPr>
        <w:t>物联网设备接入及预案编制要求</w:t>
      </w:r>
    </w:p>
    <w:p w14:paraId="6C5027FE">
      <w:pPr>
        <w:pStyle w:val="20"/>
        <w:shd w:val="clear" w:color="auto" w:fill="FFFFFF"/>
        <w:wordWrap w:val="0"/>
        <w:topLinePunct/>
        <w:spacing w:line="400" w:lineRule="exact"/>
        <w:ind w:firstLine="420" w:firstLineChars="200"/>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shd w:val="clear" w:color="auto" w:fill="FFFFFF"/>
        </w:rPr>
        <w:t>本项目配置的联网型独立式烟感火灾探测报警器、电气火灾智防设备均为物联网设备，须</w:t>
      </w:r>
      <w:r>
        <w:rPr>
          <w:rFonts w:hint="eastAsia" w:asciiTheme="minorEastAsia" w:hAnsiTheme="minorEastAsia" w:eastAsiaTheme="minorEastAsia" w:cstheme="minorEastAsia"/>
          <w:b w:val="0"/>
          <w:bCs w:val="0"/>
          <w:color w:val="auto"/>
          <w:sz w:val="21"/>
          <w:szCs w:val="21"/>
          <w:highlight w:val="none"/>
          <w:shd w:val="clear" w:color="auto" w:fill="FFFFFF"/>
          <w:lang w:val="en-US" w:eastAsia="zh-CN"/>
        </w:rPr>
        <w:t>编入</w:t>
      </w:r>
      <w:r>
        <w:rPr>
          <w:rFonts w:hint="eastAsia" w:asciiTheme="minorEastAsia" w:hAnsiTheme="minorEastAsia" w:eastAsiaTheme="minorEastAsia" w:cstheme="minorEastAsia"/>
          <w:b w:val="0"/>
          <w:bCs w:val="0"/>
          <w:color w:val="auto"/>
          <w:sz w:val="21"/>
          <w:szCs w:val="21"/>
          <w:highlight w:val="none"/>
          <w:shd w:val="clear" w:color="auto" w:fill="FFFFFF"/>
        </w:rPr>
        <w:t>两江新区IRS编目中。</w:t>
      </w:r>
    </w:p>
    <w:p w14:paraId="3B814414">
      <w:pPr>
        <w:pStyle w:val="20"/>
        <w:shd w:val="clear" w:color="auto" w:fill="FFFFFF"/>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w:t>
      </w:r>
      <w:r>
        <w:rPr>
          <w:rFonts w:hint="eastAsia" w:asciiTheme="minorEastAsia" w:hAnsiTheme="minorEastAsia" w:eastAsiaTheme="minorEastAsia" w:cstheme="minorEastAsia"/>
          <w:b w:val="0"/>
          <w:bCs w:val="0"/>
          <w:color w:val="auto"/>
          <w:sz w:val="21"/>
          <w:szCs w:val="21"/>
          <w:highlight w:val="none"/>
          <w:shd w:val="clear" w:color="auto" w:fill="FFFFFF"/>
        </w:rPr>
        <w:t>成交供应商应负责编制物联感知设备告警预案，分别关联“独居老人安全守护”和“电气火灾智防”两个“一件事”应用场景，并确保告警信息能够在</w:t>
      </w:r>
      <w:r>
        <w:rPr>
          <w:rFonts w:hint="eastAsia" w:asciiTheme="minorEastAsia" w:hAnsiTheme="minorEastAsia" w:eastAsiaTheme="minorEastAsia" w:cstheme="minorEastAsia"/>
          <w:b w:val="0"/>
          <w:bCs w:val="0"/>
          <w:color w:val="auto"/>
          <w:sz w:val="21"/>
          <w:szCs w:val="21"/>
          <w:highlight w:val="none"/>
          <w:shd w:val="clear" w:color="auto" w:fill="FFFFFF"/>
          <w:lang w:val="en-US" w:eastAsia="zh-CN"/>
        </w:rPr>
        <w:t>两江新区</w:t>
      </w:r>
      <w:r>
        <w:rPr>
          <w:rFonts w:hint="eastAsia" w:asciiTheme="minorEastAsia" w:hAnsiTheme="minorEastAsia" w:eastAsiaTheme="minorEastAsia" w:cstheme="minorEastAsia"/>
          <w:b w:val="0"/>
          <w:bCs w:val="0"/>
          <w:color w:val="auto"/>
          <w:sz w:val="21"/>
          <w:szCs w:val="21"/>
          <w:highlight w:val="none"/>
          <w:shd w:val="clear" w:color="auto" w:fill="FFFFFF"/>
        </w:rPr>
        <w:t>城运中心实现流转与闭环处置</w:t>
      </w:r>
      <w:r>
        <w:rPr>
          <w:rFonts w:hint="eastAsia" w:asciiTheme="minorEastAsia" w:hAnsiTheme="minorEastAsia" w:eastAsiaTheme="minorEastAsia" w:cstheme="minorEastAsia"/>
          <w:color w:val="auto"/>
          <w:sz w:val="21"/>
          <w:szCs w:val="21"/>
          <w:highlight w:val="none"/>
          <w:shd w:val="clear" w:color="auto" w:fill="FFFFFF"/>
        </w:rPr>
        <w:t>。</w:t>
      </w:r>
    </w:p>
    <w:p w14:paraId="2C10E3B1">
      <w:pPr>
        <w:pStyle w:val="20"/>
        <w:numPr>
          <w:ilvl w:val="255"/>
          <w:numId w:val="0"/>
        </w:numPr>
        <w:shd w:val="clear" w:color="auto" w:fill="FFFFFF"/>
        <w:wordWrap w:val="0"/>
        <w:topLinePunct/>
        <w:snapToGrid w:val="0"/>
        <w:spacing w:line="400" w:lineRule="exact"/>
        <w:ind w:left="560" w:leftChars="200"/>
        <w:rPr>
          <w:rFonts w:asciiTheme="minorEastAsia" w:hAnsiTheme="minorEastAsia" w:eastAsiaTheme="minorEastAsia" w:cstheme="minorEastAsia"/>
          <w:b/>
          <w:bCs/>
          <w:color w:val="auto"/>
          <w:sz w:val="21"/>
          <w:szCs w:val="21"/>
          <w:highlight w:val="none"/>
          <w:shd w:val="clear" w:color="auto" w:fill="FFFFFF"/>
        </w:rPr>
      </w:pPr>
      <w:r>
        <w:rPr>
          <w:rFonts w:hint="eastAsia" w:asciiTheme="minorEastAsia" w:hAnsiTheme="minorEastAsia" w:eastAsiaTheme="minorEastAsia" w:cstheme="minorEastAsia"/>
          <w:b/>
          <w:bCs/>
          <w:color w:val="auto"/>
          <w:sz w:val="21"/>
          <w:szCs w:val="21"/>
          <w:highlight w:val="none"/>
          <w:shd w:val="clear" w:color="auto" w:fill="FFFFFF"/>
        </w:rPr>
        <w:t>（四）安装测试要求</w:t>
      </w:r>
    </w:p>
    <w:p w14:paraId="1A5B3F4F">
      <w:pPr>
        <w:wordWrap w:val="0"/>
        <w:topLinePunct/>
        <w:snapToGrid w:val="0"/>
        <w:spacing w:line="400" w:lineRule="exact"/>
        <w:ind w:firstLine="420" w:firstLineChars="200"/>
        <w:rPr>
          <w:rFonts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安装工作结束后，成交供应商须对每户的每个设备逐一进行功能测试，确保每个设备均能成功触发并完整运行预设的智能告警预案，实现告警信息从感知、上报、流转到处置的全流程通畅。测试记录应形成书面文件并提交采购人存档备查。</w:t>
      </w:r>
    </w:p>
    <w:p w14:paraId="5AF4D96E">
      <w:pPr>
        <w:pStyle w:val="3"/>
        <w:bidi w:val="0"/>
      </w:pPr>
      <w:r>
        <w:rPr>
          <w:rFonts w:hint="eastAsia"/>
        </w:rPr>
        <w:t>四、安全要求</w:t>
      </w:r>
    </w:p>
    <w:p w14:paraId="17B8A87E">
      <w:pPr>
        <w:wordWrap w:val="0"/>
        <w:topLinePunct/>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在施工过程中，成交供应商须做到安全施工、文明施工，并做好相应的施工安全公告及警戒标识，施工过程中发生的一切安全事故由成交供应商自行负责处理，造成采购人或任何第三方人身、财产损害的，全部责任及赔偿均由成交供应商独立承担。</w:t>
      </w:r>
    </w:p>
    <w:p w14:paraId="623F4FCC">
      <w:pPr>
        <w:wordWrap w:val="0"/>
        <w:topLinePunct/>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（二）成交供应商应当与其施工人员建立劳动关系，承担全部用人用工主体责任。</w:t>
      </w:r>
    </w:p>
    <w:p w14:paraId="7CE84B19">
      <w:pPr>
        <w:wordWrap w:val="0"/>
        <w:topLinePunct/>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（三）若因成交供应商原因导致采购人被追索或遭受损失的（包括但不限于赔偿款、罚款、律师费、诉讼费等），成交供应商应予以全额赔偿，采购人有权从应付未付款项中直接扣除相应金额。</w:t>
      </w:r>
    </w:p>
    <w:p w14:paraId="2D0447A1">
      <w:pPr>
        <w:pStyle w:val="3"/>
        <w:bidi w:val="0"/>
      </w:pPr>
      <w:r>
        <w:rPr>
          <w:rFonts w:hint="eastAsia"/>
        </w:rPr>
        <w:t>五、现场踏勘</w:t>
      </w:r>
    </w:p>
    <w:p w14:paraId="2925016F">
      <w:pPr>
        <w:wordWrap w:val="0"/>
        <w:topLinePunct/>
        <w:snapToGrid w:val="0"/>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采购人不统一组织踏勘项目现场。供应商可以在报价截止时间之前自行对本项目现场进行踏勘、询问。无论供应商是否踏勘过现场，均被视为在报价截止时间之前已踏勘过现场，且对本项目潜在的风险和义务已完全了解，并在其报价文件中已充分考虑了本项目可能面临的不确定因素可能导致的风险。踏勘现场所发生的费用由供应商自行承担。</w:t>
      </w:r>
    </w:p>
    <w:p w14:paraId="48CBFA7F">
      <w:pPr>
        <w:pStyle w:val="3"/>
        <w:bidi w:val="0"/>
        <w:rPr>
          <w:rFonts w:hint="eastAsia"/>
          <w:lang w:val="en-US" w:eastAsia="zh-CN"/>
        </w:rPr>
      </w:pPr>
      <w:r>
        <w:rPr>
          <w:rFonts w:hint="eastAsia"/>
          <w:lang w:val="en-US" w:eastAsia="zh-CN"/>
        </w:rPr>
        <w:t>六、人员要求</w:t>
      </w:r>
    </w:p>
    <w:p w14:paraId="069B2477">
      <w:pPr>
        <w:wordWrap w:val="0"/>
        <w:topLinePunct/>
        <w:snapToGrid w:val="0"/>
        <w:spacing w:line="400" w:lineRule="exact"/>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提供供应商为授权委托人缴纳的连续养老保险证明期限须包含2026年3月至2026年5月[提供的养老保险参保证明须体现人员的姓名、身份证号（或社保号）、单位名称、本单位参保时间（或起始参保时间），并带有社保部门公章或社保部门的有效电子印章，并加盖供应商公章]。</w:t>
      </w:r>
    </w:p>
    <w:bookmarkEnd w:id="26"/>
    <w:p w14:paraId="44B3C2B3">
      <w:pPr>
        <w:pStyle w:val="14"/>
        <w:spacing w:line="400" w:lineRule="exact"/>
        <w:ind w:firstLine="420" w:firstLineChars="200"/>
        <w:rPr>
          <w:rFonts w:ascii="宋体" w:hAnsi="宋体" w:cs="宋体"/>
          <w:color w:val="auto"/>
          <w:sz w:val="21"/>
          <w:szCs w:val="21"/>
          <w:highlight w:val="none"/>
        </w:rPr>
      </w:pPr>
    </w:p>
    <w:p w14:paraId="70071776">
      <w:pPr>
        <w:pStyle w:val="14"/>
        <w:spacing w:line="400" w:lineRule="exact"/>
        <w:ind w:firstLine="480" w:firstLineChars="200"/>
        <w:rPr>
          <w:rFonts w:ascii="宋体" w:hAnsi="宋体" w:cs="宋体"/>
          <w:color w:val="auto"/>
          <w:sz w:val="24"/>
          <w:szCs w:val="24"/>
          <w:highlight w:val="none"/>
        </w:rPr>
      </w:pPr>
    </w:p>
    <w:p w14:paraId="17F71ACF">
      <w:pPr>
        <w:pStyle w:val="14"/>
        <w:spacing w:line="400" w:lineRule="exact"/>
        <w:ind w:firstLine="480" w:firstLineChars="200"/>
        <w:rPr>
          <w:rFonts w:ascii="宋体" w:hAnsi="宋体" w:cs="宋体"/>
          <w:color w:val="auto"/>
          <w:sz w:val="24"/>
          <w:szCs w:val="24"/>
          <w:highlight w:val="none"/>
        </w:rPr>
      </w:pPr>
    </w:p>
    <w:p w14:paraId="713DF1E0">
      <w:pPr>
        <w:pStyle w:val="2"/>
        <w:spacing w:line="240" w:lineRule="auto"/>
        <w:jc w:val="center"/>
        <w:rPr>
          <w:rFonts w:hAnsi="宋体" w:cs="宋体"/>
          <w:b/>
          <w:bCs/>
          <w:color w:val="auto"/>
          <w:szCs w:val="32"/>
          <w:highlight w:val="none"/>
        </w:rPr>
      </w:pPr>
      <w:r>
        <w:rPr>
          <w:rFonts w:hint="eastAsia" w:hAnsi="宋体" w:cs="宋体"/>
          <w:color w:val="auto"/>
          <w:szCs w:val="30"/>
          <w:highlight w:val="none"/>
        </w:rPr>
        <w:br w:type="page"/>
      </w:r>
      <w:bookmarkStart w:id="35" w:name="_Toc13943"/>
      <w:r>
        <w:rPr>
          <w:rFonts w:hint="eastAsia"/>
          <w:color w:val="auto"/>
          <w:highlight w:val="none"/>
        </w:rPr>
        <w:t xml:space="preserve">第三篇  </w:t>
      </w:r>
      <w:bookmarkEnd w:id="25"/>
      <w:r>
        <w:rPr>
          <w:rFonts w:hint="eastAsia"/>
          <w:color w:val="auto"/>
          <w:highlight w:val="none"/>
        </w:rPr>
        <w:t>项目商务需求</w:t>
      </w:r>
      <w:bookmarkEnd w:id="35"/>
    </w:p>
    <w:p w14:paraId="38C45C74">
      <w:pPr>
        <w:spacing w:after="381" w:afterLines="100" w:line="400" w:lineRule="exact"/>
        <w:ind w:firstLine="360" w:firstLineChars="200"/>
        <w:rPr>
          <w:rFonts w:ascii="宋体" w:hAnsi="宋体" w:cs="宋体"/>
          <w:color w:val="auto"/>
          <w:sz w:val="18"/>
          <w:szCs w:val="18"/>
          <w:highlight w:val="none"/>
        </w:rPr>
      </w:pPr>
      <w:r>
        <w:rPr>
          <w:rFonts w:hint="eastAsia" w:ascii="宋体" w:hAnsi="宋体" w:cs="宋体"/>
          <w:color w:val="auto"/>
          <w:sz w:val="18"/>
          <w:szCs w:val="18"/>
          <w:highlight w:val="none"/>
        </w:rPr>
        <w:t>“※”标注的商务要求为符合性审查中的实质性要求，若不满足按</w:t>
      </w:r>
      <w:r>
        <w:rPr>
          <w:rFonts w:hint="eastAsia" w:ascii="宋体" w:hAnsi="宋体" w:cs="宋体"/>
          <w:color w:val="auto"/>
          <w:sz w:val="18"/>
          <w:szCs w:val="18"/>
          <w:highlight w:val="none"/>
          <w:lang w:eastAsia="zh-CN"/>
        </w:rPr>
        <w:t>无效响应</w:t>
      </w:r>
      <w:r>
        <w:rPr>
          <w:rFonts w:hint="eastAsia" w:ascii="宋体" w:hAnsi="宋体" w:cs="宋体"/>
          <w:color w:val="auto"/>
          <w:sz w:val="18"/>
          <w:szCs w:val="18"/>
          <w:highlight w:val="none"/>
        </w:rPr>
        <w:t>处理。</w:t>
      </w:r>
    </w:p>
    <w:p w14:paraId="24203A6D">
      <w:pPr>
        <w:pStyle w:val="3"/>
        <w:bidi w:val="0"/>
      </w:pPr>
      <w:r>
        <w:rPr>
          <w:rFonts w:hint="eastAsia"/>
        </w:rPr>
        <w:t>※一、服务时间、实施地点及验收方式</w:t>
      </w:r>
    </w:p>
    <w:p w14:paraId="0DA19F05">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（一）服务时间</w:t>
      </w:r>
    </w:p>
    <w:p w14:paraId="2F89753E">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合同签订之日起40个日历天完成全部服务内容并经采购人最终验收合格。</w:t>
      </w:r>
    </w:p>
    <w:p w14:paraId="32ACB395">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（二）服务地点</w:t>
      </w:r>
    </w:p>
    <w:p w14:paraId="50E46CEB">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采购人指定地点。</w:t>
      </w:r>
    </w:p>
    <w:p w14:paraId="0661BE6B">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（三）验收方式</w:t>
      </w:r>
    </w:p>
    <w:p w14:paraId="7E481518">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成交供应商完成全部工作并自检合格后，应向采购人提交书面验收申请及全套验收资料。项目最终验收以所有物联设备成功关联“独居老人安全守护”和“电气火灾智防”两个“一件事”应用场景，并确保告警信息能够在两江新区城运中心实现流转与闭环处置。如验收不合格，供应商应在采购人指定期限内完成整改并重新提请验收，产生的费用由供应商承担，导致超出服务时间完成的，还应承担逾期完成违约责任。供应商逾期不整改或整改3次后仍未通过验收的，甲方有权解除合同并不再支付费用，供应商应按合同总额的20%向采购人支付违约金，若违约金不足以覆盖采购人损失的，供应商还应赔偿差额部分。</w:t>
      </w:r>
    </w:p>
    <w:p w14:paraId="51EA2DD8">
      <w:pPr>
        <w:pStyle w:val="3"/>
        <w:bidi w:val="0"/>
      </w:pPr>
      <w:bookmarkStart w:id="36" w:name="_Toc487204778"/>
      <w:bookmarkStart w:id="37" w:name="_Toc3115"/>
      <w:bookmarkStart w:id="38" w:name="_Toc6453"/>
      <w:bookmarkStart w:id="39" w:name="_Toc342913389"/>
      <w:r>
        <w:rPr>
          <w:rFonts w:hint="eastAsia"/>
        </w:rPr>
        <w:t>二、报价要求</w:t>
      </w:r>
    </w:p>
    <w:p w14:paraId="556DA033">
      <w:pPr>
        <w:wordWrap w:val="0"/>
        <w:topLinePunct/>
        <w:snapToGrid w:val="0"/>
        <w:spacing w:line="400" w:lineRule="exact"/>
        <w:ind w:firstLine="420" w:firstLineChars="200"/>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报价须包含但不限于：完成本项目所需的服务费、人工费及提供服务所需的设备或货物购买（制造）费、辅材费、运输费、装卸费、安装调试费、设备三年运维费用、培训费及各种应纳的税费等完成本项目所需的所有费用。因供应商自身原因造成漏报、少报皆由其自行承担责任，采购人不再补偿任何费用。</w:t>
      </w:r>
    </w:p>
    <w:p w14:paraId="4A087CF2">
      <w:pPr>
        <w:pStyle w:val="3"/>
        <w:bidi w:val="0"/>
        <w:rPr>
          <w:rFonts w:hint="eastAsia"/>
        </w:rPr>
      </w:pPr>
      <w:bookmarkStart w:id="40" w:name="_Toc5572"/>
      <w:bookmarkStart w:id="41" w:name="_Toc23820"/>
      <w:bookmarkStart w:id="42" w:name="_Toc13481"/>
      <w:bookmarkStart w:id="43" w:name="_Toc11506"/>
      <w:bookmarkStart w:id="44" w:name="_Toc1725"/>
      <w:bookmarkStart w:id="45" w:name="_Toc221605445"/>
      <w:bookmarkStart w:id="46" w:name="_Toc20691"/>
      <w:bookmarkStart w:id="47" w:name="_Toc28380"/>
      <w:r>
        <w:rPr>
          <w:rFonts w:hint="eastAsia"/>
          <w:lang w:val="en-US" w:eastAsia="zh-CN"/>
        </w:rPr>
        <w:t>三</w:t>
      </w:r>
      <w:r>
        <w:rPr>
          <w:rFonts w:hint="eastAsia"/>
        </w:rPr>
        <w:t>、履约保证金</w:t>
      </w:r>
    </w:p>
    <w:p w14:paraId="7C6FBB87">
      <w:pPr>
        <w:keepNext w:val="0"/>
        <w:keepLines w:val="0"/>
        <w:pageBreakBefore w:val="0"/>
        <w:widowControl w:val="0"/>
        <w:kinsoku/>
        <w:wordWrap w:val="0"/>
        <w:overflowPunct/>
        <w:topLinePunct/>
        <w:autoSpaceDE/>
        <w:autoSpaceDN/>
        <w:bidi w:val="0"/>
        <w:adjustRightInd/>
        <w:snapToGrid w:val="0"/>
        <w:spacing w:line="40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一</w:t>
      </w:r>
      <w:r>
        <w:rPr>
          <w:rFonts w:hint="eastAsia" w:asciiTheme="minorEastAsia" w:hAnsiTheme="minorEastAsia" w:eastAsiaTheme="minorEastAsia" w:cstheme="minorEastAsia"/>
          <w:b w:val="0"/>
          <w:bCs w:val="0"/>
          <w:color w:val="auto"/>
          <w:sz w:val="21"/>
          <w:szCs w:val="21"/>
          <w:highlight w:val="none"/>
          <w:lang w:eastAsia="zh-CN"/>
        </w:rPr>
        <w:t>）履约保证金数额</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成交</w:t>
      </w:r>
      <w:r>
        <w:rPr>
          <w:rFonts w:hint="eastAsia" w:asciiTheme="minorEastAsia" w:hAnsiTheme="minorEastAsia" w:eastAsiaTheme="minorEastAsia" w:cstheme="minorEastAsia"/>
          <w:b w:val="0"/>
          <w:bCs w:val="0"/>
          <w:color w:val="auto"/>
          <w:sz w:val="21"/>
          <w:szCs w:val="21"/>
          <w:highlight w:val="none"/>
        </w:rPr>
        <w:t>金额的</w:t>
      </w: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w:t>
      </w:r>
    </w:p>
    <w:p w14:paraId="6CE99761">
      <w:pPr>
        <w:keepNext w:val="0"/>
        <w:keepLines w:val="0"/>
        <w:pageBreakBefore w:val="0"/>
        <w:widowControl w:val="0"/>
        <w:kinsoku/>
        <w:wordWrap w:val="0"/>
        <w:overflowPunct/>
        <w:topLinePunct/>
        <w:autoSpaceDE/>
        <w:autoSpaceDN/>
        <w:bidi w:val="0"/>
        <w:adjustRightInd/>
        <w:snapToGrid w:val="0"/>
        <w:spacing w:line="40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二</w:t>
      </w:r>
      <w:r>
        <w:rPr>
          <w:rFonts w:hint="eastAsia" w:asciiTheme="minorEastAsia" w:hAnsiTheme="minorEastAsia" w:eastAsiaTheme="minorEastAsia" w:cstheme="minorEastAsia"/>
          <w:b w:val="0"/>
          <w:bCs w:val="0"/>
          <w:color w:val="auto"/>
          <w:sz w:val="21"/>
          <w:szCs w:val="21"/>
          <w:highlight w:val="none"/>
          <w:lang w:eastAsia="zh-CN"/>
        </w:rPr>
        <w:t>）履约保证金的缴纳期限：</w:t>
      </w:r>
      <w:r>
        <w:rPr>
          <w:rFonts w:hint="eastAsia" w:asciiTheme="minorEastAsia" w:hAnsiTheme="minorEastAsia" w:eastAsiaTheme="minorEastAsia" w:cstheme="minorEastAsia"/>
          <w:b w:val="0"/>
          <w:bCs w:val="0"/>
          <w:color w:val="auto"/>
          <w:sz w:val="21"/>
          <w:szCs w:val="21"/>
          <w:highlight w:val="none"/>
          <w:lang w:val="en-US" w:eastAsia="zh-CN"/>
        </w:rPr>
        <w:t>成交供应商</w:t>
      </w:r>
      <w:r>
        <w:rPr>
          <w:rFonts w:hint="eastAsia" w:asciiTheme="minorEastAsia" w:hAnsiTheme="minorEastAsia" w:eastAsiaTheme="minorEastAsia" w:cstheme="minorEastAsia"/>
          <w:b w:val="0"/>
          <w:bCs w:val="0"/>
          <w:color w:val="auto"/>
          <w:sz w:val="21"/>
          <w:szCs w:val="21"/>
          <w:highlight w:val="none"/>
          <w:lang w:eastAsia="zh-CN"/>
        </w:rPr>
        <w:t>领取成交通知书之日起，采购合同签订前。</w:t>
      </w:r>
    </w:p>
    <w:p w14:paraId="7F383E96">
      <w:pPr>
        <w:keepNext w:val="0"/>
        <w:keepLines w:val="0"/>
        <w:pageBreakBefore w:val="0"/>
        <w:widowControl w:val="0"/>
        <w:kinsoku/>
        <w:wordWrap w:val="0"/>
        <w:overflowPunct/>
        <w:topLinePunct/>
        <w:autoSpaceDE/>
        <w:autoSpaceDN/>
        <w:bidi w:val="0"/>
        <w:adjustRightInd/>
        <w:snapToGrid w:val="0"/>
        <w:spacing w:line="40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三</w:t>
      </w:r>
      <w:r>
        <w:rPr>
          <w:rFonts w:hint="eastAsia" w:asciiTheme="minorEastAsia" w:hAnsiTheme="minorEastAsia" w:eastAsiaTheme="minorEastAsia" w:cstheme="minorEastAsia"/>
          <w:b w:val="0"/>
          <w:bCs w:val="0"/>
          <w:color w:val="auto"/>
          <w:sz w:val="21"/>
          <w:szCs w:val="21"/>
          <w:highlight w:val="none"/>
          <w:lang w:eastAsia="zh-CN"/>
        </w:rPr>
        <w:t>）履约保证金缴纳形式</w:t>
      </w:r>
      <w:r>
        <w:rPr>
          <w:rFonts w:hint="eastAsia" w:asciiTheme="minorEastAsia" w:hAnsiTheme="minorEastAsia" w:eastAsiaTheme="minorEastAsia" w:cstheme="minorEastAsia"/>
          <w:b w:val="0"/>
          <w:bCs w:val="0"/>
          <w:color w:val="auto"/>
          <w:sz w:val="21"/>
          <w:szCs w:val="21"/>
          <w:highlight w:val="none"/>
        </w:rPr>
        <w:t>：本项目履约保证金应以现金转账、支票、汇票、本票或者金融机构、担保机构出具的见索即付的保函等形式提交。</w:t>
      </w:r>
    </w:p>
    <w:p w14:paraId="512B11E5">
      <w:pPr>
        <w:keepNext w:val="0"/>
        <w:keepLines w:val="0"/>
        <w:pageBreakBefore w:val="0"/>
        <w:widowControl w:val="0"/>
        <w:kinsoku/>
        <w:wordWrap w:val="0"/>
        <w:overflowPunct/>
        <w:topLinePunct/>
        <w:autoSpaceDE/>
        <w:autoSpaceDN/>
        <w:bidi w:val="0"/>
        <w:adjustRightInd/>
        <w:snapToGrid w:val="0"/>
        <w:spacing w:line="40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四</w:t>
      </w:r>
      <w:r>
        <w:rPr>
          <w:rFonts w:hint="eastAsia" w:asciiTheme="minorEastAsia" w:hAnsiTheme="minorEastAsia" w:eastAsiaTheme="minorEastAsia" w:cstheme="minorEastAsia"/>
          <w:b w:val="0"/>
          <w:bCs w:val="0"/>
          <w:color w:val="auto"/>
          <w:sz w:val="21"/>
          <w:szCs w:val="21"/>
          <w:highlight w:val="none"/>
          <w:lang w:eastAsia="zh-CN"/>
        </w:rPr>
        <w:t>）履约保证金的退还</w:t>
      </w:r>
      <w:r>
        <w:rPr>
          <w:rFonts w:hint="eastAsia" w:asciiTheme="minorEastAsia" w:hAnsiTheme="minorEastAsia" w:eastAsiaTheme="minorEastAsia" w:cstheme="minorEastAsia"/>
          <w:b w:val="0"/>
          <w:bCs w:val="0"/>
          <w:color w:val="auto"/>
          <w:sz w:val="21"/>
          <w:szCs w:val="21"/>
          <w:highlight w:val="none"/>
        </w:rPr>
        <w:t>：项目验收合格并审计后无息退还。</w:t>
      </w:r>
    </w:p>
    <w:p w14:paraId="5918B92F">
      <w:pPr>
        <w:pStyle w:val="3"/>
        <w:bidi w:val="0"/>
      </w:pPr>
      <w:r>
        <w:rPr>
          <w:rFonts w:hint="eastAsia"/>
        </w:rPr>
        <w:t>※</w:t>
      </w:r>
      <w:bookmarkEnd w:id="40"/>
      <w:bookmarkEnd w:id="41"/>
      <w:bookmarkEnd w:id="42"/>
      <w:bookmarkEnd w:id="43"/>
      <w:bookmarkEnd w:id="44"/>
      <w:bookmarkEnd w:id="45"/>
      <w:bookmarkEnd w:id="46"/>
      <w:bookmarkEnd w:id="47"/>
      <w:bookmarkStart w:id="48" w:name="_Toc19499"/>
      <w:bookmarkStart w:id="49" w:name="_Toc12759"/>
      <w:bookmarkStart w:id="50" w:name="_Toc4875"/>
      <w:r>
        <w:rPr>
          <w:rFonts w:hint="eastAsia"/>
          <w:lang w:val="en-US" w:eastAsia="zh-CN"/>
        </w:rPr>
        <w:t>四</w:t>
      </w:r>
      <w:r>
        <w:rPr>
          <w:rFonts w:hint="eastAsia"/>
        </w:rPr>
        <w:t>、付款方式</w:t>
      </w:r>
    </w:p>
    <w:p w14:paraId="3DEAA609">
      <w:pPr>
        <w:wordWrap w:val="0"/>
        <w:topLinePunct/>
        <w:spacing w:line="400" w:lineRule="exact"/>
        <w:ind w:firstLine="420" w:firstLineChars="200"/>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（一）成交供应商按采购合同完成接入后，由采购人组织验收，经验收合格后采购人出具项目验收报告；</w:t>
      </w:r>
    </w:p>
    <w:p w14:paraId="76010242">
      <w:pPr>
        <w:wordWrap w:val="0"/>
        <w:topLinePunct/>
        <w:spacing w:line="400" w:lineRule="exact"/>
        <w:ind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（二）成交供应商向采购人开具合同金额全额发票，项目整体验收合格且采购人在收到发票后</w:t>
      </w:r>
      <w:r>
        <w:rPr>
          <w:rFonts w:hint="eastAsia" w:asciiTheme="minorEastAsia" w:hAnsiTheme="minorEastAsia" w:eastAsiaTheme="minorEastAsia" w:cstheme="minorEastAsia"/>
          <w:b w:val="0"/>
          <w:bCs w:val="0"/>
          <w:color w:val="auto"/>
          <w:sz w:val="21"/>
          <w:szCs w:val="21"/>
          <w:highlight w:val="none"/>
          <w:lang w:val="en-US" w:eastAsia="zh-CN"/>
        </w:rPr>
        <w:t>20</w:t>
      </w:r>
      <w:r>
        <w:rPr>
          <w:rFonts w:hint="eastAsia" w:asciiTheme="minorEastAsia" w:hAnsiTheme="minorEastAsia" w:eastAsiaTheme="minorEastAsia" w:cstheme="minorEastAsia"/>
          <w:b w:val="0"/>
          <w:bCs w:val="0"/>
          <w:color w:val="auto"/>
          <w:sz w:val="21"/>
          <w:szCs w:val="21"/>
          <w:highlight w:val="none"/>
        </w:rPr>
        <w:t>个工作日内，以转账方式向成交供应商支付合同金额的100%。</w:t>
      </w:r>
    </w:p>
    <w:p w14:paraId="159025B7">
      <w:pPr>
        <w:pStyle w:val="3"/>
        <w:bidi w:val="0"/>
      </w:pPr>
      <w:r>
        <w:rPr>
          <w:rFonts w:hint="eastAsia"/>
          <w:lang w:val="en-US" w:eastAsia="zh-CN"/>
        </w:rPr>
        <w:t>五</w:t>
      </w:r>
      <w:r>
        <w:rPr>
          <w:rFonts w:hint="eastAsia"/>
        </w:rPr>
        <w:t>、运维服务期</w:t>
      </w:r>
    </w:p>
    <w:p w14:paraId="4963A2F7">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本项目的运维服务期为3年，运行维护期内，本次采购产品出现任何质量问题成交供应商须上门免费维修：</w:t>
      </w:r>
    </w:p>
    <w:p w14:paraId="30E5C824">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1.供应商在运维服务期内应当为采购人提供以下技术支持和服务：</w:t>
      </w:r>
    </w:p>
    <w:p w14:paraId="6A7CAFA0">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1.1电话咨询</w:t>
      </w:r>
    </w:p>
    <w:p w14:paraId="5A34D646">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供应商应当为采购人提供7</w:t>
      </w:r>
      <w:r>
        <w:rPr>
          <w:rFonts w:asciiTheme="minorEastAsia" w:hAnsiTheme="minorEastAsia" w:eastAsiaTheme="minorEastAsia" w:cstheme="minorEastAsia"/>
          <w:color w:val="auto"/>
          <w:sz w:val="21"/>
          <w:szCs w:val="21"/>
          <w:highlight w:val="none"/>
        </w:rPr>
        <w:t>*24</w:t>
      </w:r>
      <w:r>
        <w:rPr>
          <w:rFonts w:hint="eastAsia" w:asciiTheme="minorEastAsia" w:hAnsiTheme="minorEastAsia" w:eastAsiaTheme="minorEastAsia" w:cstheme="minorEastAsia"/>
          <w:color w:val="auto"/>
          <w:sz w:val="21"/>
          <w:szCs w:val="21"/>
          <w:highlight w:val="none"/>
        </w:rPr>
        <w:t>小时技术援助电话，解答采购人在使用中遇到的问题，及时为采购人提出解决问题的建议。</w:t>
      </w:r>
    </w:p>
    <w:p w14:paraId="1D96216C">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1.2现场响应</w:t>
      </w:r>
    </w:p>
    <w:p w14:paraId="350F89FA">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人遇到使用及技术问题，电话咨询不能解决的，供应商应在2小时内到达现场进行处理，确保产品正常工作；无法在12小时内解决的，应在24小时内提供性能不低于原产品标准的备用产品，使采购人能够正常使用。未按约定时间履行维修或更换义务的，每发生一次，应向采购人支付违约金</w:t>
      </w:r>
      <w:r>
        <w:rPr>
          <w:rFonts w:hint="eastAsia" w:asciiTheme="minorEastAsia" w:hAnsiTheme="minorEastAsia" w:eastAsiaTheme="minorEastAsia" w:cstheme="minorEastAsia"/>
          <w:color w:val="auto"/>
          <w:sz w:val="21"/>
          <w:szCs w:val="21"/>
          <w:highlight w:val="none"/>
          <w:lang w:val="en-US" w:eastAsia="zh-CN"/>
        </w:rPr>
        <w:t>800</w:t>
      </w:r>
      <w:r>
        <w:rPr>
          <w:rFonts w:hint="eastAsia" w:asciiTheme="minorEastAsia" w:hAnsiTheme="minorEastAsia" w:eastAsiaTheme="minorEastAsia" w:cstheme="minorEastAsia"/>
          <w:color w:val="auto"/>
          <w:sz w:val="21"/>
          <w:szCs w:val="21"/>
          <w:highlight w:val="none"/>
        </w:rPr>
        <w:t>元；因成交供应商运维服务不及时或不当导致设备失效、告警信息流转处置中断，并造成损失的，成交供应商应承担全部赔偿责任。</w:t>
      </w:r>
    </w:p>
    <w:p w14:paraId="76D2CF5A">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1.3技术升级</w:t>
      </w:r>
    </w:p>
    <w:p w14:paraId="3F4957F0">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在质保期内，如果供应商的产品技术升级，供应商应及时通知采购人，如采购人有相应要求，供应商应对采购人购买的产品进行免费升级服务。</w:t>
      </w:r>
    </w:p>
    <w:p w14:paraId="3FEFDBA5">
      <w:pPr>
        <w:pStyle w:val="3"/>
        <w:bidi w:val="0"/>
      </w:pPr>
      <w:r>
        <w:rPr>
          <w:rFonts w:hint="eastAsia"/>
          <w:lang w:val="en-US" w:eastAsia="zh-CN"/>
        </w:rPr>
        <w:t>六</w:t>
      </w:r>
      <w:r>
        <w:rPr>
          <w:rFonts w:hint="eastAsia"/>
        </w:rPr>
        <w:t>、知识产权</w:t>
      </w:r>
    </w:p>
    <w:p w14:paraId="23AD4E9D">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bookmarkEnd w:id="48"/>
    <w:bookmarkEnd w:id="49"/>
    <w:bookmarkEnd w:id="50"/>
    <w:p w14:paraId="17B7EDD2">
      <w:pPr>
        <w:pStyle w:val="3"/>
        <w:bidi w:val="0"/>
      </w:pPr>
      <w:r>
        <w:rPr>
          <w:rFonts w:hint="eastAsia"/>
          <w:lang w:val="en-US" w:eastAsia="zh-CN"/>
        </w:rPr>
        <w:t>七</w:t>
      </w:r>
      <w:r>
        <w:rPr>
          <w:rFonts w:hint="eastAsia"/>
        </w:rPr>
        <w:t>、违约责任</w:t>
      </w:r>
    </w:p>
    <w:p w14:paraId="01164EBE">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成交供应商逾期完成项目的，每逾期一日，应向采购人支付合同总金额万分之五的违约金；逾期超过15日的，采购人有权单方解除合同，并要求成交供应商支付合同总金额20%的违约金，并赔偿由此给采购人造成的全部损失。</w:t>
      </w:r>
    </w:p>
    <w:p w14:paraId="4860DDB0">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2.采购人应承担的违约金、赔偿金等，采购人有权从未支付的合同款项中直接扣除，不足以抵扣的，成交供应商应在采购人通知后5个工作日内另行支付。</w:t>
      </w:r>
    </w:p>
    <w:p w14:paraId="46C1AFFB">
      <w:pPr>
        <w:wordWrap w:val="0"/>
        <w:topLinePunct/>
        <w:snapToGrid/>
        <w:spacing w:line="400" w:lineRule="exact"/>
        <w:ind w:firstLine="420" w:firstLineChars="200"/>
        <w:rPr>
          <w:rFonts w:asciiTheme="minorEastAsia" w:hAnsiTheme="minorEastAsia" w:eastAsiaTheme="minorEastAsia" w:cstheme="minorEastAsia"/>
          <w:b w:val="0"/>
          <w:bCs w:val="0"/>
          <w:color w:val="auto"/>
          <w:sz w:val="21"/>
          <w:szCs w:val="21"/>
          <w:highlight w:val="none"/>
        </w:rPr>
      </w:pPr>
      <w:r>
        <w:rPr>
          <w:rFonts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rPr>
        <w:t>违约方应承担守约方为主张合法权益支出的诉讼费用、保全费、保全担保费、评估鉴定费、律师费、差旅费等合理费用。</w:t>
      </w:r>
    </w:p>
    <w:p w14:paraId="512C01EC">
      <w:pPr>
        <w:pStyle w:val="3"/>
        <w:bidi w:val="0"/>
      </w:pPr>
      <w:r>
        <w:rPr>
          <w:rFonts w:hint="eastAsia"/>
          <w:lang w:val="en-US" w:eastAsia="zh-CN"/>
        </w:rPr>
        <w:t>八</w:t>
      </w:r>
      <w:r>
        <w:rPr>
          <w:rFonts w:hint="eastAsia"/>
        </w:rPr>
        <w:t>、其他</w:t>
      </w:r>
    </w:p>
    <w:p w14:paraId="73E823E2">
      <w:pPr>
        <w:wordWrap w:val="0"/>
        <w:topLinePunct/>
        <w:snapToGrid w:val="0"/>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（一）供应商必须在响应文件中对以上条款和服务承诺明确列出，承诺内容必须达到本篇及采购其他条款的要求。</w:t>
      </w:r>
    </w:p>
    <w:p w14:paraId="7EF80983">
      <w:pPr>
        <w:wordWrap w:val="0"/>
        <w:topLinePunct/>
        <w:snapToGrid w:val="0"/>
        <w:spacing w:line="400" w:lineRule="exact"/>
        <w:ind w:firstLine="420" w:firstLineChars="200"/>
        <w:rPr>
          <w:rFonts w:ascii="宋体" w:hAnsi="宋体" w:cs="宋体"/>
          <w:b/>
          <w:color w:val="auto"/>
          <w:szCs w:val="32"/>
          <w:highlight w:val="none"/>
        </w:rPr>
      </w:pPr>
      <w:r>
        <w:rPr>
          <w:rFonts w:hint="eastAsia" w:asciiTheme="minorEastAsia" w:hAnsiTheme="minorEastAsia" w:eastAsiaTheme="minorEastAsia" w:cstheme="minorEastAsia"/>
          <w:color w:val="auto"/>
          <w:sz w:val="21"/>
          <w:szCs w:val="21"/>
          <w:highlight w:val="none"/>
        </w:rPr>
        <w:t>（二）其他未尽事宜由供需双方在采购合同中详细约定。</w:t>
      </w:r>
      <w:bookmarkEnd w:id="34"/>
      <w:r>
        <w:rPr>
          <w:rFonts w:hint="eastAsia" w:ascii="宋体" w:hAnsi="宋体" w:cs="宋体"/>
          <w:b/>
          <w:color w:val="auto"/>
          <w:szCs w:val="32"/>
          <w:highlight w:val="none"/>
        </w:rPr>
        <w:br w:type="page"/>
      </w:r>
    </w:p>
    <w:p w14:paraId="3454EA33">
      <w:pPr>
        <w:pStyle w:val="2"/>
        <w:spacing w:line="240" w:lineRule="auto"/>
        <w:jc w:val="center"/>
        <w:rPr>
          <w:color w:val="auto"/>
          <w:highlight w:val="none"/>
        </w:rPr>
      </w:pPr>
      <w:bookmarkStart w:id="51" w:name="_Toc4898"/>
      <w:r>
        <w:rPr>
          <w:rFonts w:hint="eastAsia"/>
          <w:color w:val="auto"/>
          <w:highlight w:val="none"/>
        </w:rPr>
        <w:t xml:space="preserve">第四篇  </w:t>
      </w:r>
      <w:bookmarkEnd w:id="36"/>
      <w:bookmarkEnd w:id="37"/>
      <w:bookmarkEnd w:id="38"/>
      <w:r>
        <w:rPr>
          <w:rFonts w:hint="eastAsia"/>
          <w:color w:val="auto"/>
          <w:highlight w:val="none"/>
        </w:rPr>
        <w:t>资格审查及</w:t>
      </w:r>
      <w:r>
        <w:rPr>
          <w:rFonts w:hint="eastAsia"/>
          <w:color w:val="auto"/>
          <w:highlight w:val="none"/>
          <w:lang w:eastAsia="zh-CN"/>
        </w:rPr>
        <w:t>评审</w:t>
      </w:r>
      <w:r>
        <w:rPr>
          <w:rFonts w:hint="eastAsia"/>
          <w:color w:val="auto"/>
          <w:highlight w:val="none"/>
        </w:rPr>
        <w:t>办法</w:t>
      </w:r>
      <w:bookmarkEnd w:id="51"/>
    </w:p>
    <w:bookmarkEnd w:id="39"/>
    <w:p w14:paraId="5275844C">
      <w:pPr>
        <w:pStyle w:val="3"/>
        <w:bidi w:val="0"/>
      </w:pPr>
      <w:bookmarkStart w:id="52" w:name="OLE_LINK42"/>
      <w:bookmarkStart w:id="53" w:name="_Toc12789059"/>
      <w:bookmarkStart w:id="54" w:name="_Toc11641055"/>
      <w:r>
        <w:rPr>
          <w:rFonts w:hint="eastAsia"/>
        </w:rPr>
        <w:t>一、资格审查及符合性审查</w:t>
      </w:r>
    </w:p>
    <w:p w14:paraId="7A5CE09E">
      <w:pPr>
        <w:snapToGrid w:val="0"/>
        <w:spacing w:line="36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若未通过资格审查及符合性审查的响应文件，不进入评审环节。</w:t>
      </w:r>
    </w:p>
    <w:p w14:paraId="3D25547B">
      <w:pPr>
        <w:snapToGrid w:val="0"/>
        <w:spacing w:line="36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（一）资格审查</w:t>
      </w:r>
    </w:p>
    <w:p w14:paraId="76D9DA8F">
      <w:pPr>
        <w:snapToGrid w:val="0"/>
        <w:spacing w:line="36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依据政府采购相关法律法规规定，由采购人或采购代理机构对响应文件中的资格证明文件进行审查。资格审查资料表如下：</w:t>
      </w:r>
    </w:p>
    <w:bookmarkEnd w:id="52"/>
    <w:tbl>
      <w:tblPr>
        <w:tblStyle w:val="23"/>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867"/>
        <w:gridCol w:w="2837"/>
        <w:gridCol w:w="3848"/>
      </w:tblGrid>
      <w:tr w14:paraId="2822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1AD42D13">
            <w:pPr>
              <w:spacing w:line="240" w:lineRule="auto"/>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704" w:type="dxa"/>
            <w:gridSpan w:val="2"/>
            <w:tcBorders>
              <w:top w:val="single" w:color="auto" w:sz="4" w:space="0"/>
              <w:left w:val="single" w:color="auto" w:sz="4" w:space="0"/>
              <w:bottom w:val="single" w:color="auto" w:sz="4" w:space="0"/>
              <w:right w:val="single" w:color="auto" w:sz="4" w:space="0"/>
            </w:tcBorders>
            <w:vAlign w:val="center"/>
          </w:tcPr>
          <w:p w14:paraId="3865A78D">
            <w:pPr>
              <w:spacing w:line="240" w:lineRule="auto"/>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lang w:val="en-US" w:eastAsia="zh-CN"/>
              </w:rPr>
              <w:t>评审</w:t>
            </w:r>
            <w:r>
              <w:rPr>
                <w:rFonts w:hint="eastAsia" w:ascii="宋体" w:hAnsi="宋体" w:cs="宋体"/>
                <w:b/>
                <w:color w:val="auto"/>
                <w:kern w:val="0"/>
                <w:sz w:val="21"/>
                <w:szCs w:val="21"/>
                <w:highlight w:val="none"/>
              </w:rPr>
              <w:t>因素</w:t>
            </w:r>
          </w:p>
        </w:tc>
        <w:tc>
          <w:tcPr>
            <w:tcW w:w="3848" w:type="dxa"/>
            <w:tcBorders>
              <w:top w:val="single" w:color="auto" w:sz="4" w:space="0"/>
              <w:left w:val="single" w:color="auto" w:sz="4" w:space="0"/>
              <w:bottom w:val="single" w:color="auto" w:sz="4" w:space="0"/>
              <w:right w:val="single" w:color="auto" w:sz="4" w:space="0"/>
            </w:tcBorders>
            <w:vAlign w:val="center"/>
          </w:tcPr>
          <w:p w14:paraId="5404E22E">
            <w:pPr>
              <w:spacing w:line="240" w:lineRule="auto"/>
              <w:jc w:val="center"/>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val="en-US" w:eastAsia="zh-CN"/>
              </w:rPr>
              <w:t>评审标准</w:t>
            </w:r>
          </w:p>
        </w:tc>
      </w:tr>
      <w:tr w14:paraId="0CE9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restart"/>
            <w:vAlign w:val="center"/>
          </w:tcPr>
          <w:p w14:paraId="51D02988">
            <w:pPr>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一</w:t>
            </w:r>
            <w:r>
              <w:rPr>
                <w:rFonts w:hint="eastAsia" w:ascii="宋体" w:hAnsi="宋体" w:cs="宋体"/>
                <w:color w:val="auto"/>
                <w:sz w:val="21"/>
                <w:szCs w:val="21"/>
                <w:highlight w:val="none"/>
                <w:lang w:val="en-US" w:eastAsia="zh-CN"/>
              </w:rPr>
              <w:t>)</w:t>
            </w:r>
          </w:p>
        </w:tc>
        <w:tc>
          <w:tcPr>
            <w:tcW w:w="867" w:type="dxa"/>
            <w:vMerge w:val="restart"/>
            <w:vAlign w:val="center"/>
          </w:tcPr>
          <w:p w14:paraId="669B9947">
            <w:pPr>
              <w:spacing w:line="240" w:lineRule="auto"/>
              <w:jc w:val="cente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《中华人民共和国政府采购法》第二十二条规定</w:t>
            </w:r>
          </w:p>
        </w:tc>
        <w:tc>
          <w:tcPr>
            <w:tcW w:w="2837" w:type="dxa"/>
            <w:vAlign w:val="center"/>
          </w:tcPr>
          <w:p w14:paraId="409E8E9A">
            <w:pPr>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tc>
        <w:tc>
          <w:tcPr>
            <w:tcW w:w="3848" w:type="dxa"/>
            <w:vAlign w:val="center"/>
          </w:tcPr>
          <w:p w14:paraId="5425B6B8">
            <w:pPr>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t>1.供应商法人营业执照（副本）或事业单位法人证书（副本）或个体工商户营业执照或有效的自然人身份证明或社会团体法人登记证书（提供复印件）。</w:t>
            </w:r>
          </w:p>
          <w:p w14:paraId="087B4F9A">
            <w:pPr>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t>2.供应商法定代表人身份证明和法定代表人授权代表委托书。</w:t>
            </w:r>
          </w:p>
        </w:tc>
      </w:tr>
      <w:tr w14:paraId="0529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continue"/>
            <w:vAlign w:val="center"/>
          </w:tcPr>
          <w:p w14:paraId="371DF114">
            <w:pPr>
              <w:spacing w:line="240" w:lineRule="auto"/>
              <w:jc w:val="both"/>
              <w:rPr>
                <w:rFonts w:ascii="宋体" w:hAnsi="宋体" w:cs="宋体"/>
                <w:color w:val="auto"/>
                <w:sz w:val="21"/>
                <w:szCs w:val="21"/>
                <w:highlight w:val="none"/>
              </w:rPr>
            </w:pPr>
          </w:p>
        </w:tc>
        <w:tc>
          <w:tcPr>
            <w:tcW w:w="867" w:type="dxa"/>
            <w:vMerge w:val="continue"/>
            <w:vAlign w:val="center"/>
          </w:tcPr>
          <w:p w14:paraId="2D2F6FFF">
            <w:pPr>
              <w:spacing w:line="240" w:lineRule="auto"/>
              <w:rPr>
                <w:rFonts w:ascii="宋体" w:hAnsi="宋体" w:cs="宋体"/>
                <w:color w:val="auto"/>
                <w:sz w:val="21"/>
                <w:szCs w:val="21"/>
                <w:highlight w:val="none"/>
                <w:lang w:val="zh-CN"/>
              </w:rPr>
            </w:pPr>
          </w:p>
        </w:tc>
        <w:tc>
          <w:tcPr>
            <w:tcW w:w="2837" w:type="dxa"/>
            <w:vAlign w:val="center"/>
          </w:tcPr>
          <w:p w14:paraId="163E1FA7">
            <w:pPr>
              <w:spacing w:line="240" w:lineRule="auto"/>
              <w:rPr>
                <w:rFonts w:ascii="宋体" w:hAnsi="宋体" w:cs="宋体"/>
                <w:color w:val="auto"/>
                <w:sz w:val="21"/>
                <w:szCs w:val="21"/>
                <w:highlight w:val="none"/>
              </w:rPr>
            </w:pPr>
            <w:r>
              <w:rPr>
                <w:rFonts w:hint="eastAsia" w:ascii="宋体" w:hAnsi="宋体" w:cs="宋体"/>
                <w:color w:val="auto"/>
                <w:sz w:val="21"/>
                <w:szCs w:val="21"/>
                <w:highlight w:val="none"/>
                <w:lang w:val="zh-CN"/>
              </w:rPr>
              <w:t>2.</w:t>
            </w:r>
            <w:r>
              <w:rPr>
                <w:rFonts w:hint="eastAsia" w:ascii="宋体" w:hAnsi="宋体" w:cs="宋体"/>
                <w:color w:val="auto"/>
                <w:sz w:val="21"/>
                <w:szCs w:val="21"/>
                <w:highlight w:val="none"/>
              </w:rPr>
              <w:t>具有良好的商业信誉和健全的财务会计制度</w:t>
            </w:r>
          </w:p>
        </w:tc>
        <w:tc>
          <w:tcPr>
            <w:tcW w:w="3848" w:type="dxa"/>
            <w:vMerge w:val="restart"/>
            <w:vAlign w:val="center"/>
          </w:tcPr>
          <w:p w14:paraId="3B9C97A7">
            <w:pPr>
              <w:spacing w:line="240" w:lineRule="auto"/>
              <w:rPr>
                <w:rFonts w:ascii="宋体" w:hAnsi="宋体" w:cs="宋体"/>
                <w:b/>
                <w:color w:val="auto"/>
                <w:sz w:val="21"/>
                <w:szCs w:val="21"/>
                <w:highlight w:val="none"/>
              </w:rPr>
            </w:pPr>
            <w:r>
              <w:rPr>
                <w:rFonts w:hint="eastAsia" w:ascii="宋体" w:hAnsi="宋体" w:cs="宋体"/>
                <w:b/>
                <w:color w:val="auto"/>
                <w:sz w:val="21"/>
                <w:szCs w:val="21"/>
                <w:highlight w:val="none"/>
              </w:rPr>
              <w:t>供应商提供“基本资格条件承诺函”（格式详见第七篇）</w:t>
            </w:r>
          </w:p>
        </w:tc>
      </w:tr>
      <w:tr w14:paraId="2106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continue"/>
            <w:vAlign w:val="center"/>
          </w:tcPr>
          <w:p w14:paraId="5D057769">
            <w:pPr>
              <w:spacing w:line="240" w:lineRule="auto"/>
              <w:jc w:val="both"/>
              <w:rPr>
                <w:rFonts w:ascii="宋体" w:hAnsi="宋体" w:cs="宋体"/>
                <w:color w:val="auto"/>
                <w:sz w:val="21"/>
                <w:szCs w:val="21"/>
                <w:highlight w:val="none"/>
              </w:rPr>
            </w:pPr>
          </w:p>
        </w:tc>
        <w:tc>
          <w:tcPr>
            <w:tcW w:w="867" w:type="dxa"/>
            <w:vMerge w:val="continue"/>
            <w:vAlign w:val="center"/>
          </w:tcPr>
          <w:p w14:paraId="5265C791">
            <w:pPr>
              <w:spacing w:line="240" w:lineRule="auto"/>
              <w:rPr>
                <w:rFonts w:ascii="宋体" w:hAnsi="宋体" w:cs="宋体"/>
                <w:color w:val="auto"/>
                <w:sz w:val="21"/>
                <w:szCs w:val="21"/>
                <w:highlight w:val="none"/>
                <w:lang w:val="zh-CN"/>
              </w:rPr>
            </w:pPr>
          </w:p>
        </w:tc>
        <w:tc>
          <w:tcPr>
            <w:tcW w:w="2837" w:type="dxa"/>
            <w:vAlign w:val="center"/>
          </w:tcPr>
          <w:p w14:paraId="2CA93325">
            <w:pPr>
              <w:spacing w:line="240" w:lineRule="auto"/>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3.具有履行合同所必需的设备和专业技术能力</w:t>
            </w:r>
          </w:p>
        </w:tc>
        <w:tc>
          <w:tcPr>
            <w:tcW w:w="3848" w:type="dxa"/>
            <w:vMerge w:val="continue"/>
            <w:vAlign w:val="center"/>
          </w:tcPr>
          <w:p w14:paraId="2728D28D">
            <w:pPr>
              <w:spacing w:line="240" w:lineRule="auto"/>
              <w:rPr>
                <w:rFonts w:ascii="宋体" w:hAnsi="宋体" w:cs="宋体"/>
                <w:color w:val="auto"/>
                <w:sz w:val="21"/>
                <w:szCs w:val="21"/>
                <w:highlight w:val="none"/>
              </w:rPr>
            </w:pPr>
          </w:p>
        </w:tc>
      </w:tr>
      <w:tr w14:paraId="6084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continue"/>
            <w:vAlign w:val="center"/>
          </w:tcPr>
          <w:p w14:paraId="0BC64CFD">
            <w:pPr>
              <w:spacing w:line="240" w:lineRule="auto"/>
              <w:jc w:val="both"/>
              <w:rPr>
                <w:rFonts w:ascii="宋体" w:hAnsi="宋体" w:cs="宋体"/>
                <w:color w:val="auto"/>
                <w:sz w:val="21"/>
                <w:szCs w:val="21"/>
                <w:highlight w:val="none"/>
              </w:rPr>
            </w:pPr>
          </w:p>
        </w:tc>
        <w:tc>
          <w:tcPr>
            <w:tcW w:w="867" w:type="dxa"/>
            <w:vMerge w:val="continue"/>
            <w:vAlign w:val="center"/>
          </w:tcPr>
          <w:p w14:paraId="708E0BCA">
            <w:pPr>
              <w:spacing w:line="240" w:lineRule="auto"/>
              <w:rPr>
                <w:rFonts w:ascii="宋体" w:hAnsi="宋体" w:cs="宋体"/>
                <w:color w:val="auto"/>
                <w:sz w:val="21"/>
                <w:szCs w:val="21"/>
                <w:highlight w:val="none"/>
                <w:lang w:val="zh-CN"/>
              </w:rPr>
            </w:pPr>
          </w:p>
        </w:tc>
        <w:tc>
          <w:tcPr>
            <w:tcW w:w="2837" w:type="dxa"/>
            <w:vAlign w:val="center"/>
          </w:tcPr>
          <w:p w14:paraId="7D9DEBAB">
            <w:pPr>
              <w:spacing w:line="240" w:lineRule="auto"/>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4.有依法缴纳税收和社会保障金的良好记录</w:t>
            </w:r>
          </w:p>
        </w:tc>
        <w:tc>
          <w:tcPr>
            <w:tcW w:w="3848" w:type="dxa"/>
            <w:vMerge w:val="continue"/>
            <w:vAlign w:val="center"/>
          </w:tcPr>
          <w:p w14:paraId="7E6AA090">
            <w:pPr>
              <w:spacing w:line="240" w:lineRule="auto"/>
              <w:rPr>
                <w:rFonts w:ascii="宋体" w:hAnsi="宋体" w:cs="宋体"/>
                <w:color w:val="auto"/>
                <w:sz w:val="21"/>
                <w:szCs w:val="21"/>
                <w:highlight w:val="none"/>
              </w:rPr>
            </w:pPr>
          </w:p>
        </w:tc>
      </w:tr>
      <w:tr w14:paraId="1A53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continue"/>
            <w:vAlign w:val="center"/>
          </w:tcPr>
          <w:p w14:paraId="73F9965B">
            <w:pPr>
              <w:spacing w:line="240" w:lineRule="auto"/>
              <w:jc w:val="both"/>
              <w:rPr>
                <w:rFonts w:ascii="宋体" w:hAnsi="宋体" w:cs="宋体"/>
                <w:color w:val="auto"/>
                <w:sz w:val="21"/>
                <w:szCs w:val="21"/>
                <w:highlight w:val="none"/>
              </w:rPr>
            </w:pPr>
          </w:p>
        </w:tc>
        <w:tc>
          <w:tcPr>
            <w:tcW w:w="867" w:type="dxa"/>
            <w:vMerge w:val="continue"/>
            <w:vAlign w:val="center"/>
          </w:tcPr>
          <w:p w14:paraId="4F0C1E48">
            <w:pPr>
              <w:spacing w:line="240" w:lineRule="auto"/>
              <w:rPr>
                <w:rFonts w:ascii="宋体" w:hAnsi="宋体" w:cs="宋体"/>
                <w:color w:val="auto"/>
                <w:sz w:val="21"/>
                <w:szCs w:val="21"/>
                <w:highlight w:val="none"/>
                <w:lang w:val="zh-CN"/>
              </w:rPr>
            </w:pPr>
          </w:p>
        </w:tc>
        <w:tc>
          <w:tcPr>
            <w:tcW w:w="2837" w:type="dxa"/>
            <w:vAlign w:val="center"/>
          </w:tcPr>
          <w:p w14:paraId="3EAA26F7">
            <w:pPr>
              <w:spacing w:line="240" w:lineRule="auto"/>
              <w:rPr>
                <w:rFonts w:ascii="宋体" w:hAnsi="宋体" w:cs="宋体"/>
                <w:color w:val="auto"/>
                <w:sz w:val="21"/>
                <w:szCs w:val="21"/>
                <w:highlight w:val="none"/>
                <w:lang w:val="zh-CN"/>
              </w:rPr>
            </w:pPr>
            <w:r>
              <w:rPr>
                <w:rFonts w:hint="eastAsia" w:ascii="宋体" w:hAnsi="宋体" w:cs="宋体"/>
                <w:color w:val="auto"/>
                <w:sz w:val="21"/>
                <w:szCs w:val="21"/>
                <w:highlight w:val="none"/>
              </w:rPr>
              <w:t>5.参加政府采购活动前三年内，在经营活动中没有重大违法记录</w:t>
            </w:r>
          </w:p>
        </w:tc>
        <w:tc>
          <w:tcPr>
            <w:tcW w:w="3848" w:type="dxa"/>
            <w:vMerge w:val="continue"/>
            <w:vAlign w:val="center"/>
          </w:tcPr>
          <w:p w14:paraId="58890E42">
            <w:pPr>
              <w:spacing w:line="240" w:lineRule="auto"/>
              <w:rPr>
                <w:rFonts w:ascii="宋体" w:hAnsi="宋体" w:cs="宋体"/>
                <w:b/>
                <w:color w:val="auto"/>
                <w:sz w:val="21"/>
                <w:szCs w:val="21"/>
                <w:highlight w:val="none"/>
              </w:rPr>
            </w:pPr>
          </w:p>
        </w:tc>
      </w:tr>
      <w:tr w14:paraId="3BF6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continue"/>
            <w:vAlign w:val="center"/>
          </w:tcPr>
          <w:p w14:paraId="59823488">
            <w:pPr>
              <w:spacing w:line="240" w:lineRule="auto"/>
              <w:jc w:val="both"/>
              <w:rPr>
                <w:rFonts w:ascii="宋体" w:hAnsi="宋体" w:cs="宋体"/>
                <w:color w:val="auto"/>
                <w:sz w:val="21"/>
                <w:szCs w:val="21"/>
                <w:highlight w:val="none"/>
              </w:rPr>
            </w:pPr>
          </w:p>
        </w:tc>
        <w:tc>
          <w:tcPr>
            <w:tcW w:w="867" w:type="dxa"/>
            <w:vMerge w:val="continue"/>
            <w:vAlign w:val="center"/>
          </w:tcPr>
          <w:p w14:paraId="02472B2B">
            <w:pPr>
              <w:spacing w:line="240" w:lineRule="auto"/>
              <w:rPr>
                <w:rFonts w:ascii="宋体" w:hAnsi="宋体" w:cs="宋体"/>
                <w:color w:val="auto"/>
                <w:sz w:val="21"/>
                <w:szCs w:val="21"/>
                <w:highlight w:val="none"/>
              </w:rPr>
            </w:pPr>
          </w:p>
        </w:tc>
        <w:tc>
          <w:tcPr>
            <w:tcW w:w="2837" w:type="dxa"/>
            <w:vAlign w:val="center"/>
          </w:tcPr>
          <w:p w14:paraId="0D717DA1">
            <w:pPr>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tc>
        <w:tc>
          <w:tcPr>
            <w:tcW w:w="3848" w:type="dxa"/>
            <w:vAlign w:val="center"/>
          </w:tcPr>
          <w:p w14:paraId="236E6829">
            <w:pPr>
              <w:spacing w:line="240" w:lineRule="auto"/>
              <w:rPr>
                <w:rFonts w:ascii="宋体" w:hAnsi="宋体" w:cs="宋体"/>
                <w:color w:val="auto"/>
                <w:sz w:val="21"/>
                <w:szCs w:val="21"/>
                <w:highlight w:val="none"/>
              </w:rPr>
            </w:pPr>
          </w:p>
        </w:tc>
      </w:tr>
      <w:tr w14:paraId="29BA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continue"/>
            <w:vAlign w:val="center"/>
          </w:tcPr>
          <w:p w14:paraId="12AB6421">
            <w:pPr>
              <w:spacing w:line="240" w:lineRule="auto"/>
              <w:jc w:val="both"/>
              <w:rPr>
                <w:rFonts w:ascii="宋体" w:hAnsi="宋体" w:cs="宋体"/>
                <w:color w:val="auto"/>
                <w:sz w:val="21"/>
                <w:szCs w:val="21"/>
                <w:highlight w:val="none"/>
              </w:rPr>
            </w:pPr>
          </w:p>
        </w:tc>
        <w:tc>
          <w:tcPr>
            <w:tcW w:w="867" w:type="dxa"/>
            <w:vMerge w:val="continue"/>
            <w:vAlign w:val="center"/>
          </w:tcPr>
          <w:p w14:paraId="1DD73379">
            <w:pPr>
              <w:spacing w:line="240" w:lineRule="auto"/>
              <w:rPr>
                <w:rFonts w:ascii="宋体" w:hAnsi="宋体" w:cs="宋体"/>
                <w:color w:val="auto"/>
                <w:sz w:val="21"/>
                <w:szCs w:val="21"/>
                <w:highlight w:val="none"/>
              </w:rPr>
            </w:pPr>
          </w:p>
        </w:tc>
        <w:tc>
          <w:tcPr>
            <w:tcW w:w="2837" w:type="dxa"/>
            <w:vAlign w:val="center"/>
          </w:tcPr>
          <w:p w14:paraId="0FE9DC0B">
            <w:pPr>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t>7.本项目的特定资格要求</w:t>
            </w:r>
          </w:p>
        </w:tc>
        <w:tc>
          <w:tcPr>
            <w:tcW w:w="3848" w:type="dxa"/>
            <w:vAlign w:val="center"/>
          </w:tcPr>
          <w:p w14:paraId="3AAB2633">
            <w:pPr>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t>按“第一篇三、供应商资格要求（三）本项目的特定资格要求”的要求提交（如果有）。</w:t>
            </w:r>
          </w:p>
        </w:tc>
      </w:tr>
      <w:tr w14:paraId="1945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14:paraId="18996FA4">
            <w:pPr>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二</w:t>
            </w:r>
            <w:r>
              <w:rPr>
                <w:rFonts w:hint="eastAsia" w:ascii="宋体" w:hAnsi="宋体" w:cs="宋体"/>
                <w:color w:val="auto"/>
                <w:sz w:val="21"/>
                <w:szCs w:val="21"/>
                <w:highlight w:val="none"/>
                <w:lang w:val="en-US" w:eastAsia="zh-CN"/>
              </w:rPr>
              <w:t>)</w:t>
            </w:r>
          </w:p>
        </w:tc>
        <w:tc>
          <w:tcPr>
            <w:tcW w:w="3704" w:type="dxa"/>
            <w:gridSpan w:val="2"/>
            <w:vAlign w:val="center"/>
          </w:tcPr>
          <w:p w14:paraId="003C81E4">
            <w:pPr>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t>落实政府采购政策需满足的资格要求</w:t>
            </w:r>
          </w:p>
        </w:tc>
        <w:tc>
          <w:tcPr>
            <w:tcW w:w="3848" w:type="dxa"/>
            <w:vAlign w:val="center"/>
          </w:tcPr>
          <w:p w14:paraId="0C7A2073">
            <w:pPr>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t>按“第一篇三、供应商资格要求（二）落实政府采购政策需满足的资格要求”的要求提交（如果有）。</w:t>
            </w:r>
          </w:p>
        </w:tc>
      </w:tr>
    </w:tbl>
    <w:p w14:paraId="6627D011">
      <w:pPr>
        <w:snapToGrid w:val="0"/>
        <w:spacing w:line="360" w:lineRule="exact"/>
        <w:ind w:firstLine="420" w:firstLineChars="200"/>
        <w:rPr>
          <w:rFonts w:ascii="宋体" w:hAnsi="宋体" w:cs="宋体"/>
          <w:color w:val="auto"/>
          <w:kern w:val="0"/>
          <w:sz w:val="21"/>
          <w:szCs w:val="21"/>
          <w:highlight w:val="none"/>
        </w:rPr>
      </w:pPr>
      <w:bookmarkStart w:id="55" w:name="OLE_LINK41"/>
      <w:r>
        <w:rPr>
          <w:rFonts w:hint="eastAsia" w:ascii="宋体" w:hAnsi="宋体" w:cs="宋体"/>
          <w:color w:val="auto"/>
          <w:kern w:val="0"/>
          <w:sz w:val="21"/>
          <w:szCs w:val="21"/>
          <w:highlight w:val="none"/>
        </w:rPr>
        <w:t>注：</w:t>
      </w:r>
    </w:p>
    <w:p w14:paraId="294A00D8">
      <w:pPr>
        <w:snapToGrid w:val="0"/>
        <w:spacing w:line="36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1.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w:t>
      </w:r>
      <w:r>
        <w:rPr>
          <w:rFonts w:hint="eastAsia" w:ascii="宋体" w:hAnsi="宋体" w:cs="宋体"/>
          <w:color w:val="auto"/>
          <w:kern w:val="0"/>
          <w:sz w:val="21"/>
          <w:szCs w:val="21"/>
          <w:highlight w:val="none"/>
          <w:lang w:eastAsia="zh-CN"/>
        </w:rPr>
        <w:t>确定成交</w:t>
      </w:r>
      <w:r>
        <w:rPr>
          <w:rFonts w:hint="eastAsia" w:ascii="宋体" w:hAnsi="宋体" w:cs="宋体"/>
          <w:color w:val="auto"/>
          <w:kern w:val="0"/>
          <w:sz w:val="21"/>
          <w:szCs w:val="21"/>
          <w:highlight w:val="none"/>
        </w:rPr>
        <w:t>准，按照《财政部关于&lt;中华人民共和国政府采购法实施条例&gt;第十九条第一款“较大数额罚款”具体适用问题的意见》（财库〔2022〕3号）执行。供应商可于</w:t>
      </w:r>
      <w:r>
        <w:rPr>
          <w:rFonts w:hint="eastAsia" w:ascii="宋体" w:hAnsi="宋体" w:cs="宋体"/>
          <w:color w:val="auto"/>
          <w:kern w:val="0"/>
          <w:sz w:val="21"/>
          <w:szCs w:val="21"/>
          <w:highlight w:val="none"/>
          <w:lang w:eastAsia="zh-CN"/>
        </w:rPr>
        <w:t>响应</w:t>
      </w:r>
      <w:r>
        <w:rPr>
          <w:rFonts w:hint="eastAsia" w:ascii="宋体" w:hAnsi="宋体" w:cs="宋体"/>
          <w:color w:val="auto"/>
          <w:kern w:val="0"/>
          <w:sz w:val="21"/>
          <w:szCs w:val="21"/>
          <w:highlight w:val="none"/>
        </w:rPr>
        <w:t>截止日期前通过“信用中国”网站(www.creditchina.gov.cn)、"中国政府采购网"(www.ccgp.gov.cn)等渠道查询信用记录。</w:t>
      </w:r>
    </w:p>
    <w:p w14:paraId="16A19AB6">
      <w:pPr>
        <w:snapToGrid w:val="0"/>
        <w:spacing w:line="36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（二）符合性审查</w:t>
      </w:r>
    </w:p>
    <w:p w14:paraId="369B98EC">
      <w:pPr>
        <w:snapToGrid w:val="0"/>
        <w:spacing w:line="36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评审小组应当对符合资格的供应商的响应文件进行符合性审查，以确定其是否满足比选文件的实质性要求。符合性审查资料表如下：</w:t>
      </w:r>
    </w:p>
    <w:bookmarkEnd w:id="55"/>
    <w:tbl>
      <w:tblPr>
        <w:tblStyle w:val="23"/>
        <w:tblW w:w="8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994"/>
        <w:gridCol w:w="2166"/>
        <w:gridCol w:w="4602"/>
      </w:tblGrid>
      <w:tr w14:paraId="18F8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vAlign w:val="center"/>
          </w:tcPr>
          <w:p w14:paraId="7E7EAE49">
            <w:pPr>
              <w:spacing w:line="240" w:lineRule="auto"/>
              <w:jc w:val="center"/>
              <w:rPr>
                <w:rFonts w:hint="eastAsia" w:ascii="宋体" w:hAnsi="宋体" w:cs="宋体"/>
                <w:b/>
                <w:color w:val="auto"/>
                <w:kern w:val="0"/>
                <w:sz w:val="21"/>
                <w:szCs w:val="21"/>
                <w:highlight w:val="none"/>
              </w:rPr>
            </w:pPr>
            <w:bookmarkStart w:id="56" w:name="_Toc26754"/>
            <w:bookmarkStart w:id="57" w:name="_Toc31293"/>
            <w:bookmarkStart w:id="58" w:name="_Toc5535"/>
            <w:bookmarkStart w:id="59" w:name="_Toc76373887"/>
            <w:bookmarkStart w:id="60" w:name="_Toc13585"/>
            <w:r>
              <w:rPr>
                <w:rFonts w:hint="eastAsia" w:ascii="宋体" w:hAnsi="宋体" w:cs="宋体"/>
                <w:b/>
                <w:color w:val="auto"/>
                <w:kern w:val="0"/>
                <w:sz w:val="21"/>
                <w:szCs w:val="21"/>
                <w:highlight w:val="none"/>
              </w:rPr>
              <w:t>序号</w:t>
            </w:r>
          </w:p>
        </w:tc>
        <w:tc>
          <w:tcPr>
            <w:tcW w:w="3160" w:type="dxa"/>
            <w:gridSpan w:val="2"/>
            <w:vAlign w:val="center"/>
          </w:tcPr>
          <w:p w14:paraId="3815B2FA">
            <w:pPr>
              <w:spacing w:line="24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4602" w:type="dxa"/>
            <w:vAlign w:val="center"/>
          </w:tcPr>
          <w:p w14:paraId="4C97B344">
            <w:pPr>
              <w:spacing w:line="24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评审标准</w:t>
            </w:r>
          </w:p>
        </w:tc>
      </w:tr>
      <w:tr w14:paraId="6DCE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vMerge w:val="restart"/>
            <w:vAlign w:val="center"/>
          </w:tcPr>
          <w:p w14:paraId="004F1967">
            <w:pPr>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94" w:type="dxa"/>
            <w:vMerge w:val="restart"/>
            <w:vAlign w:val="center"/>
          </w:tcPr>
          <w:p w14:paraId="2B247D26">
            <w:pPr>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有效性审查</w:t>
            </w:r>
          </w:p>
        </w:tc>
        <w:tc>
          <w:tcPr>
            <w:tcW w:w="2166" w:type="dxa"/>
            <w:vAlign w:val="center"/>
          </w:tcPr>
          <w:p w14:paraId="75028C97">
            <w:pPr>
              <w:spacing w:line="240" w:lineRule="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响应文件签署或盖章</w:t>
            </w:r>
          </w:p>
        </w:tc>
        <w:tc>
          <w:tcPr>
            <w:tcW w:w="4602" w:type="dxa"/>
            <w:vAlign w:val="center"/>
          </w:tcPr>
          <w:p w14:paraId="4BFEB167">
            <w:pPr>
              <w:spacing w:line="240" w:lineRule="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按竞争性采购文件“第七篇响应文件编制要求”要求签署或盖章。</w:t>
            </w:r>
          </w:p>
        </w:tc>
      </w:tr>
      <w:tr w14:paraId="7A4D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vMerge w:val="continue"/>
            <w:vAlign w:val="center"/>
          </w:tcPr>
          <w:p w14:paraId="1F35D139">
            <w:pPr>
              <w:spacing w:line="240" w:lineRule="auto"/>
              <w:jc w:val="center"/>
              <w:rPr>
                <w:rFonts w:hint="eastAsia" w:ascii="宋体" w:hAnsi="宋体" w:cs="宋体"/>
                <w:color w:val="auto"/>
                <w:kern w:val="0"/>
                <w:sz w:val="21"/>
                <w:szCs w:val="21"/>
                <w:highlight w:val="none"/>
              </w:rPr>
            </w:pPr>
          </w:p>
        </w:tc>
        <w:tc>
          <w:tcPr>
            <w:tcW w:w="994" w:type="dxa"/>
            <w:vMerge w:val="continue"/>
            <w:vAlign w:val="center"/>
          </w:tcPr>
          <w:p w14:paraId="17C498E9">
            <w:pPr>
              <w:spacing w:line="240" w:lineRule="auto"/>
              <w:jc w:val="center"/>
              <w:rPr>
                <w:rFonts w:hint="eastAsia" w:ascii="宋体" w:hAnsi="宋体" w:cs="宋体"/>
                <w:color w:val="auto"/>
                <w:kern w:val="0"/>
                <w:sz w:val="21"/>
                <w:szCs w:val="21"/>
                <w:highlight w:val="none"/>
              </w:rPr>
            </w:pPr>
          </w:p>
        </w:tc>
        <w:tc>
          <w:tcPr>
            <w:tcW w:w="2166" w:type="dxa"/>
            <w:vAlign w:val="center"/>
          </w:tcPr>
          <w:p w14:paraId="149A5D0E">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w:t>
            </w:r>
          </w:p>
        </w:tc>
        <w:tc>
          <w:tcPr>
            <w:tcW w:w="4602" w:type="dxa"/>
            <w:vAlign w:val="center"/>
          </w:tcPr>
          <w:p w14:paraId="7F643DA1">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法定代表人身份证明及授权委托书有效，符合比选文件规定的格式，签署或盖章齐全。</w:t>
            </w:r>
          </w:p>
        </w:tc>
      </w:tr>
      <w:tr w14:paraId="0FBEB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vMerge w:val="continue"/>
            <w:vAlign w:val="center"/>
          </w:tcPr>
          <w:p w14:paraId="107B3A3B">
            <w:pPr>
              <w:spacing w:line="240" w:lineRule="auto"/>
              <w:jc w:val="center"/>
              <w:rPr>
                <w:rFonts w:hint="eastAsia" w:ascii="宋体" w:hAnsi="宋体" w:cs="宋体"/>
                <w:color w:val="auto"/>
                <w:kern w:val="0"/>
                <w:sz w:val="21"/>
                <w:szCs w:val="21"/>
                <w:highlight w:val="none"/>
              </w:rPr>
            </w:pPr>
          </w:p>
        </w:tc>
        <w:tc>
          <w:tcPr>
            <w:tcW w:w="994" w:type="dxa"/>
            <w:vMerge w:val="continue"/>
            <w:vAlign w:val="center"/>
          </w:tcPr>
          <w:p w14:paraId="7ACC5D2F">
            <w:pPr>
              <w:spacing w:line="240" w:lineRule="auto"/>
              <w:jc w:val="center"/>
              <w:rPr>
                <w:rFonts w:hint="eastAsia" w:ascii="宋体" w:hAnsi="宋体" w:cs="宋体"/>
                <w:color w:val="auto"/>
                <w:kern w:val="0"/>
                <w:sz w:val="21"/>
                <w:szCs w:val="21"/>
                <w:highlight w:val="none"/>
              </w:rPr>
            </w:pPr>
          </w:p>
        </w:tc>
        <w:tc>
          <w:tcPr>
            <w:tcW w:w="2166" w:type="dxa"/>
            <w:vAlign w:val="center"/>
          </w:tcPr>
          <w:p w14:paraId="090CEEC8">
            <w:pPr>
              <w:spacing w:line="24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c>
          <w:tcPr>
            <w:tcW w:w="4602" w:type="dxa"/>
            <w:vAlign w:val="center"/>
          </w:tcPr>
          <w:p w14:paraId="7D504522">
            <w:pPr>
              <w:spacing w:line="240" w:lineRule="auto"/>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zh-CN"/>
              </w:rPr>
              <w:t>每个包只能有一个</w:t>
            </w: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r>
      <w:tr w14:paraId="196B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vMerge w:val="continue"/>
            <w:vAlign w:val="center"/>
          </w:tcPr>
          <w:p w14:paraId="17723A49">
            <w:pPr>
              <w:spacing w:line="240" w:lineRule="auto"/>
              <w:jc w:val="center"/>
              <w:rPr>
                <w:rFonts w:hint="eastAsia" w:ascii="宋体" w:hAnsi="宋体" w:cs="宋体"/>
                <w:color w:val="auto"/>
                <w:kern w:val="0"/>
                <w:sz w:val="21"/>
                <w:szCs w:val="21"/>
                <w:highlight w:val="none"/>
              </w:rPr>
            </w:pPr>
          </w:p>
        </w:tc>
        <w:tc>
          <w:tcPr>
            <w:tcW w:w="994" w:type="dxa"/>
            <w:vMerge w:val="continue"/>
            <w:vAlign w:val="center"/>
          </w:tcPr>
          <w:p w14:paraId="7476B2E5">
            <w:pPr>
              <w:spacing w:line="240" w:lineRule="auto"/>
              <w:jc w:val="center"/>
              <w:rPr>
                <w:rFonts w:hint="eastAsia" w:ascii="宋体" w:hAnsi="宋体" w:cs="宋体"/>
                <w:color w:val="auto"/>
                <w:kern w:val="0"/>
                <w:sz w:val="21"/>
                <w:szCs w:val="21"/>
                <w:highlight w:val="none"/>
              </w:rPr>
            </w:pPr>
          </w:p>
        </w:tc>
        <w:tc>
          <w:tcPr>
            <w:tcW w:w="2166" w:type="dxa"/>
            <w:vAlign w:val="center"/>
          </w:tcPr>
          <w:p w14:paraId="65C79AF0">
            <w:pPr>
              <w:spacing w:line="24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报价唯一</w:t>
            </w:r>
          </w:p>
        </w:tc>
        <w:tc>
          <w:tcPr>
            <w:tcW w:w="4602" w:type="dxa"/>
            <w:vAlign w:val="center"/>
          </w:tcPr>
          <w:p w14:paraId="5D8F0A83">
            <w:pPr>
              <w:spacing w:line="240" w:lineRule="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只能有一个有效报价，不得提交选择性报价。</w:t>
            </w:r>
          </w:p>
        </w:tc>
      </w:tr>
      <w:tr w14:paraId="16D9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vAlign w:val="center"/>
          </w:tcPr>
          <w:p w14:paraId="3395470A">
            <w:pPr>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994" w:type="dxa"/>
            <w:vAlign w:val="center"/>
          </w:tcPr>
          <w:p w14:paraId="51AB7618">
            <w:pPr>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完整性审查</w:t>
            </w:r>
          </w:p>
        </w:tc>
        <w:tc>
          <w:tcPr>
            <w:tcW w:w="2166" w:type="dxa"/>
            <w:vAlign w:val="center"/>
          </w:tcPr>
          <w:p w14:paraId="6EF55B5B">
            <w:pPr>
              <w:spacing w:line="240" w:lineRule="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文件份数</w:t>
            </w:r>
          </w:p>
        </w:tc>
        <w:tc>
          <w:tcPr>
            <w:tcW w:w="4602" w:type="dxa"/>
            <w:vAlign w:val="center"/>
          </w:tcPr>
          <w:p w14:paraId="44564CBF">
            <w:pPr>
              <w:spacing w:line="240" w:lineRule="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文件正、副本数量（含电子文档）符合</w:t>
            </w:r>
            <w:r>
              <w:rPr>
                <w:rFonts w:hint="eastAsia" w:ascii="宋体" w:hAnsi="宋体" w:cs="宋体"/>
                <w:color w:val="auto"/>
                <w:sz w:val="21"/>
                <w:szCs w:val="21"/>
                <w:highlight w:val="none"/>
              </w:rPr>
              <w:t>竞争性采购文件</w:t>
            </w:r>
            <w:r>
              <w:rPr>
                <w:rFonts w:hint="eastAsia" w:ascii="宋体" w:hAnsi="宋体" w:cs="宋体"/>
                <w:color w:val="auto"/>
                <w:sz w:val="21"/>
                <w:szCs w:val="21"/>
                <w:highlight w:val="none"/>
                <w:lang w:val="zh-CN"/>
              </w:rPr>
              <w:t>要求。</w:t>
            </w:r>
          </w:p>
        </w:tc>
      </w:tr>
      <w:tr w14:paraId="5443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vMerge w:val="restart"/>
            <w:vAlign w:val="center"/>
          </w:tcPr>
          <w:p w14:paraId="24A475BD">
            <w:pPr>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994" w:type="dxa"/>
            <w:vMerge w:val="restart"/>
            <w:vAlign w:val="center"/>
          </w:tcPr>
          <w:p w14:paraId="024A8E43">
            <w:pPr>
              <w:spacing w:line="240" w:lineRule="auto"/>
              <w:jc w:val="center"/>
              <w:rPr>
                <w:rFonts w:hint="eastAsia" w:ascii="宋体" w:hAnsi="宋体" w:cs="宋体"/>
                <w:color w:val="auto"/>
                <w:sz w:val="21"/>
                <w:szCs w:val="21"/>
                <w:highlight w:val="none"/>
                <w:lang w:val="zh-CN"/>
              </w:rPr>
            </w:pPr>
            <w:r>
              <w:rPr>
                <w:rFonts w:hint="eastAsia" w:ascii="宋体" w:hAnsi="宋体" w:cs="宋体"/>
                <w:color w:val="auto"/>
                <w:kern w:val="0"/>
                <w:sz w:val="21"/>
                <w:szCs w:val="21"/>
                <w:highlight w:val="none"/>
              </w:rPr>
              <w:t>响应程度审查</w:t>
            </w:r>
          </w:p>
        </w:tc>
        <w:tc>
          <w:tcPr>
            <w:tcW w:w="2166" w:type="dxa"/>
            <w:vAlign w:val="center"/>
          </w:tcPr>
          <w:p w14:paraId="72C34A91">
            <w:pPr>
              <w:spacing w:line="24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实质性响应</w:t>
            </w:r>
          </w:p>
        </w:tc>
        <w:tc>
          <w:tcPr>
            <w:tcW w:w="4602" w:type="dxa"/>
            <w:vAlign w:val="center"/>
          </w:tcPr>
          <w:p w14:paraId="49ED8846">
            <w:pPr>
              <w:pStyle w:val="13"/>
              <w:spacing w:line="24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竞争性采购文件第二篇、第三篇“</w:t>
            </w:r>
            <w:r>
              <w:rPr>
                <w:rFonts w:hint="eastAsia" w:ascii="宋体" w:hAnsi="宋体" w:cs="宋体"/>
                <w:color w:val="auto"/>
                <w:sz w:val="21"/>
                <w:szCs w:val="21"/>
                <w:highlight w:val="none"/>
              </w:rPr>
              <w:t>※</w:t>
            </w:r>
            <w:r>
              <w:rPr>
                <w:rFonts w:hint="eastAsia" w:ascii="宋体" w:hAnsi="宋体" w:cs="宋体"/>
                <w:color w:val="auto"/>
                <w:kern w:val="0"/>
                <w:sz w:val="21"/>
                <w:szCs w:val="21"/>
                <w:highlight w:val="none"/>
              </w:rPr>
              <w:t>”标注部分。</w:t>
            </w:r>
          </w:p>
        </w:tc>
      </w:tr>
      <w:tr w14:paraId="3EBD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vMerge w:val="continue"/>
            <w:vAlign w:val="center"/>
          </w:tcPr>
          <w:p w14:paraId="609E463E">
            <w:pPr>
              <w:spacing w:line="240" w:lineRule="auto"/>
              <w:jc w:val="center"/>
              <w:rPr>
                <w:rFonts w:hint="eastAsia" w:ascii="宋体" w:hAnsi="宋体" w:cs="宋体"/>
                <w:color w:val="auto"/>
                <w:kern w:val="0"/>
                <w:sz w:val="21"/>
                <w:szCs w:val="21"/>
                <w:highlight w:val="none"/>
              </w:rPr>
            </w:pPr>
          </w:p>
        </w:tc>
        <w:tc>
          <w:tcPr>
            <w:tcW w:w="994" w:type="dxa"/>
            <w:vMerge w:val="continue"/>
            <w:vAlign w:val="center"/>
          </w:tcPr>
          <w:p w14:paraId="12AABBCB">
            <w:pPr>
              <w:spacing w:line="240" w:lineRule="auto"/>
              <w:jc w:val="center"/>
              <w:rPr>
                <w:rFonts w:hint="eastAsia" w:ascii="宋体" w:hAnsi="宋体" w:cs="宋体"/>
                <w:color w:val="auto"/>
                <w:sz w:val="21"/>
                <w:szCs w:val="21"/>
                <w:highlight w:val="none"/>
                <w:lang w:val="zh-CN"/>
              </w:rPr>
            </w:pPr>
          </w:p>
        </w:tc>
        <w:tc>
          <w:tcPr>
            <w:tcW w:w="2166" w:type="dxa"/>
            <w:vAlign w:val="center"/>
          </w:tcPr>
          <w:p w14:paraId="10500C52">
            <w:pPr>
              <w:spacing w:line="24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比选有效期</w:t>
            </w:r>
          </w:p>
        </w:tc>
        <w:tc>
          <w:tcPr>
            <w:tcW w:w="4602" w:type="dxa"/>
            <w:vAlign w:val="center"/>
          </w:tcPr>
          <w:p w14:paraId="0B999B1D">
            <w:pPr>
              <w:spacing w:line="24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响应文件及有关承诺文件有效期为提交响应文件截止时间起90天。</w:t>
            </w:r>
          </w:p>
        </w:tc>
      </w:tr>
    </w:tbl>
    <w:p w14:paraId="27181A83">
      <w:pPr>
        <w:pStyle w:val="3"/>
        <w:bidi w:val="0"/>
        <w:rPr>
          <w:rFonts w:hint="eastAsia"/>
          <w:lang w:eastAsia="zh-CN"/>
        </w:rPr>
      </w:pPr>
      <w:r>
        <w:rPr>
          <w:rFonts w:hint="eastAsia"/>
        </w:rPr>
        <w:t>二、</w:t>
      </w:r>
      <w:r>
        <w:rPr>
          <w:rFonts w:hint="eastAsia"/>
          <w:lang w:eastAsia="zh-CN"/>
        </w:rPr>
        <w:t>评审</w:t>
      </w:r>
      <w:bookmarkEnd w:id="56"/>
      <w:bookmarkEnd w:id="57"/>
      <w:bookmarkEnd w:id="58"/>
      <w:bookmarkEnd w:id="59"/>
      <w:bookmarkEnd w:id="60"/>
      <w:r>
        <w:rPr>
          <w:rFonts w:hint="eastAsia"/>
          <w:lang w:val="en-US" w:eastAsia="zh-CN"/>
        </w:rPr>
        <w:t>方法</w:t>
      </w:r>
    </w:p>
    <w:p w14:paraId="6E07D23D">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本项目采用综合评分法进行</w:t>
      </w:r>
      <w:r>
        <w:rPr>
          <w:rFonts w:hint="eastAsia" w:asciiTheme="minorEastAsia" w:hAnsiTheme="minorEastAsia" w:eastAsiaTheme="minorEastAsia" w:cstheme="minorEastAsia"/>
          <w:color w:val="auto"/>
          <w:sz w:val="21"/>
          <w:szCs w:val="21"/>
          <w:highlight w:val="none"/>
          <w:lang w:eastAsia="zh-CN"/>
        </w:rPr>
        <w:t>评审</w:t>
      </w:r>
      <w:r>
        <w:rPr>
          <w:rFonts w:hint="eastAsia" w:asciiTheme="minorEastAsia" w:hAnsiTheme="minorEastAsia" w:eastAsiaTheme="minorEastAsia" w:cstheme="minorEastAsia"/>
          <w:color w:val="auto"/>
          <w:sz w:val="21"/>
          <w:szCs w:val="21"/>
          <w:highlight w:val="none"/>
        </w:rPr>
        <w:t>。</w:t>
      </w:r>
    </w:p>
    <w:p w14:paraId="2866F939">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综合评分法，是指响应文件满足比选文件全部实质性要求且按照评审因素的量化指标评审得分最高的供应商为中选候选人的</w:t>
      </w:r>
      <w:r>
        <w:rPr>
          <w:rFonts w:hint="eastAsia" w:asciiTheme="minorEastAsia" w:hAnsiTheme="minorEastAsia" w:eastAsiaTheme="minorEastAsia" w:cstheme="minorEastAsia"/>
          <w:color w:val="auto"/>
          <w:sz w:val="21"/>
          <w:szCs w:val="21"/>
          <w:highlight w:val="none"/>
          <w:lang w:eastAsia="zh-CN"/>
        </w:rPr>
        <w:t>评审</w:t>
      </w:r>
      <w:r>
        <w:rPr>
          <w:rFonts w:hint="eastAsia" w:asciiTheme="minorEastAsia" w:hAnsiTheme="minorEastAsia" w:eastAsiaTheme="minorEastAsia" w:cstheme="minorEastAsia"/>
          <w:color w:val="auto"/>
          <w:sz w:val="21"/>
          <w:szCs w:val="21"/>
          <w:highlight w:val="none"/>
        </w:rPr>
        <w:t>方法。供应商总得分为价格、商务、服务等评定因素分别按照相应权重值计算分项得分后相加，满分为100分。</w:t>
      </w:r>
    </w:p>
    <w:p w14:paraId="14E7EBDB">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澄清有关问题。对响应文件中含义不明确、同类问题表述不一致或者有明显文字和计算错误的内容，评审小组可以书面形式（应当由评审小组成员签字）要求供应商作出必要澄清、说明或者补正。供应商的澄清、说明或者补正应当采用书面形式，由其法定代表人（或其授权代表）或自然人（供应商为自然人）签字，其澄清的内容不得超出响应文件的范围或者改变响应文件的实质性内容。</w:t>
      </w:r>
    </w:p>
    <w:p w14:paraId="51F1CD37">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（一）比较与评价。按比选文件中规定的</w:t>
      </w:r>
      <w:r>
        <w:rPr>
          <w:rFonts w:hint="eastAsia" w:asciiTheme="minorEastAsia" w:hAnsiTheme="minorEastAsia" w:eastAsiaTheme="minorEastAsia" w:cstheme="minorEastAsia"/>
          <w:color w:val="auto"/>
          <w:sz w:val="21"/>
          <w:szCs w:val="21"/>
          <w:highlight w:val="none"/>
          <w:lang w:eastAsia="zh-CN"/>
        </w:rPr>
        <w:t>评审</w:t>
      </w:r>
      <w:r>
        <w:rPr>
          <w:rFonts w:hint="eastAsia" w:asciiTheme="minorEastAsia" w:hAnsiTheme="minorEastAsia" w:eastAsiaTheme="minorEastAsia" w:cstheme="minorEastAsia"/>
          <w:color w:val="auto"/>
          <w:sz w:val="21"/>
          <w:szCs w:val="21"/>
          <w:highlight w:val="none"/>
        </w:rPr>
        <w:t>方法和标准，对资格审查和符合性审查合格的响应文件进行商务和技术评估。</w:t>
      </w:r>
    </w:p>
    <w:p w14:paraId="24BDF6E1">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同一合同项（包）下为单一品目或非单一品目核心产品品牌的货物采购</w:t>
      </w:r>
      <w:r>
        <w:rPr>
          <w:rFonts w:hint="eastAsia" w:asciiTheme="minorEastAsia" w:hAnsiTheme="minorEastAsia" w:eastAsiaTheme="minorEastAsia" w:cstheme="minorEastAsia"/>
          <w:color w:val="auto"/>
          <w:sz w:val="21"/>
          <w:szCs w:val="21"/>
          <w:highlight w:val="none"/>
          <w:lang w:eastAsia="zh-CN"/>
        </w:rPr>
        <w:t>比选</w:t>
      </w:r>
      <w:r>
        <w:rPr>
          <w:rFonts w:hint="eastAsia" w:asciiTheme="minorEastAsia" w:hAnsiTheme="minorEastAsia" w:eastAsiaTheme="minorEastAsia" w:cstheme="minorEastAsia"/>
          <w:color w:val="auto"/>
          <w:sz w:val="21"/>
          <w:szCs w:val="21"/>
          <w:highlight w:val="none"/>
        </w:rPr>
        <w:t xml:space="preserve">中，提供相同品牌产品且通过资格审查、符合性审查的不同供应商参加的，按一家供应商计算，评审后得分最高的同品牌供应商获得成交供应商推荐资格；评审得分相同的，由采购人或者采购人委托评审小组按照比选文件规定的方式确定一个供应商获得成交供应商推荐资格，比选文件未规定的采取随机抽取方式确定，其他同品牌供应商不作为中选候选人。 </w:t>
      </w:r>
    </w:p>
    <w:p w14:paraId="7AC133A0">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评审小组各成员独立对每个有效供应</w:t>
      </w:r>
      <w:bookmarkStart w:id="61" w:name="OLE_LINK43"/>
      <w:r>
        <w:rPr>
          <w:rFonts w:hint="eastAsia" w:asciiTheme="minorEastAsia" w:hAnsiTheme="minorEastAsia" w:eastAsiaTheme="minorEastAsia" w:cstheme="minorEastAsia"/>
          <w:color w:val="auto"/>
          <w:sz w:val="21"/>
          <w:szCs w:val="21"/>
          <w:highlight w:val="none"/>
        </w:rPr>
        <w:t>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w:t>
      </w:r>
    </w:p>
    <w:bookmarkEnd w:id="61"/>
    <w:p w14:paraId="72CD20C6">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复核后，评审小组汇总每个供应商每项评分因素的得分。</w:t>
      </w:r>
    </w:p>
    <w:p w14:paraId="27932B7E">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（二）推荐中选候选人名单。</w:t>
      </w:r>
    </w:p>
    <w:p w14:paraId="7F9B6628">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按评审后得分由高到低的排列顺序推荐综合得分排名前三的供应商为本包（项目）中选候选人，排名第一的为第一中选候选人。得分相同的，按</w:t>
      </w:r>
      <w:r>
        <w:rPr>
          <w:rFonts w:hint="eastAsia" w:asciiTheme="minorEastAsia" w:hAnsiTheme="minorEastAsia" w:eastAsiaTheme="minorEastAsia" w:cstheme="minorEastAsia"/>
          <w:color w:val="auto"/>
          <w:sz w:val="21"/>
          <w:szCs w:val="21"/>
          <w:highlight w:val="none"/>
          <w:lang w:eastAsia="zh-CN"/>
        </w:rPr>
        <w:t>响应</w:t>
      </w:r>
      <w:r>
        <w:rPr>
          <w:rFonts w:hint="eastAsia" w:asciiTheme="minorEastAsia" w:hAnsiTheme="minorEastAsia" w:eastAsiaTheme="minorEastAsia" w:cstheme="minorEastAsia"/>
          <w:color w:val="auto"/>
          <w:sz w:val="21"/>
          <w:szCs w:val="21"/>
          <w:highlight w:val="none"/>
        </w:rPr>
        <w:t>报价由低到高顺序排列。得分且</w:t>
      </w:r>
      <w:r>
        <w:rPr>
          <w:rFonts w:hint="eastAsia" w:asciiTheme="minorEastAsia" w:hAnsiTheme="minorEastAsia" w:eastAsiaTheme="minorEastAsia" w:cstheme="minorEastAsia"/>
          <w:color w:val="auto"/>
          <w:sz w:val="21"/>
          <w:szCs w:val="21"/>
          <w:highlight w:val="none"/>
          <w:lang w:eastAsia="zh-CN"/>
        </w:rPr>
        <w:t>响应</w:t>
      </w:r>
      <w:r>
        <w:rPr>
          <w:rFonts w:hint="eastAsia" w:asciiTheme="minorEastAsia" w:hAnsiTheme="minorEastAsia" w:eastAsiaTheme="minorEastAsia" w:cstheme="minorEastAsia"/>
          <w:color w:val="auto"/>
          <w:sz w:val="21"/>
          <w:szCs w:val="21"/>
          <w:highlight w:val="none"/>
        </w:rPr>
        <w:t>报价相同的并列。服务部分得分为0分的供应商，将失去成为中选候选人的资格。</w:t>
      </w:r>
    </w:p>
    <w:p w14:paraId="6ED3017C">
      <w:pPr>
        <w:pStyle w:val="3"/>
        <w:bidi w:val="0"/>
      </w:pPr>
      <w:bookmarkStart w:id="62" w:name="_Toc267320057"/>
      <w:bookmarkStart w:id="63" w:name="_Toc27869"/>
      <w:bookmarkStart w:id="64" w:name="_Toc31727"/>
      <w:bookmarkStart w:id="65" w:name="_Toc76373888"/>
      <w:bookmarkStart w:id="66" w:name="_Toc3726"/>
      <w:bookmarkStart w:id="67" w:name="_Toc18448"/>
      <w:r>
        <w:rPr>
          <w:rFonts w:hint="eastAsia"/>
        </w:rPr>
        <w:t>三、</w:t>
      </w:r>
      <w:r>
        <w:rPr>
          <w:rFonts w:hint="eastAsia"/>
          <w:lang w:eastAsia="zh-CN"/>
        </w:rPr>
        <w:t>评审</w:t>
      </w:r>
      <w:r>
        <w:rPr>
          <w:rFonts w:hint="eastAsia"/>
        </w:rPr>
        <w:t>标准</w:t>
      </w:r>
      <w:bookmarkEnd w:id="62"/>
      <w:bookmarkEnd w:id="63"/>
      <w:bookmarkEnd w:id="64"/>
      <w:bookmarkEnd w:id="65"/>
      <w:bookmarkEnd w:id="66"/>
      <w:bookmarkEnd w:id="67"/>
    </w:p>
    <w:p w14:paraId="31BFB56F">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（一）评审因素</w:t>
      </w:r>
    </w:p>
    <w:tbl>
      <w:tblPr>
        <w:tblStyle w:val="23"/>
        <w:tblW w:w="7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106"/>
        <w:gridCol w:w="707"/>
        <w:gridCol w:w="3785"/>
        <w:gridCol w:w="1787"/>
      </w:tblGrid>
      <w:tr w14:paraId="1F1F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30" w:type="dxa"/>
            <w:vAlign w:val="center"/>
          </w:tcPr>
          <w:p w14:paraId="41DB2EA8">
            <w:pPr>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06" w:type="dxa"/>
            <w:vAlign w:val="center"/>
          </w:tcPr>
          <w:p w14:paraId="2AE3E872">
            <w:pPr>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评分因素及权值</w:t>
            </w:r>
          </w:p>
        </w:tc>
        <w:tc>
          <w:tcPr>
            <w:tcW w:w="707" w:type="dxa"/>
            <w:vAlign w:val="center"/>
          </w:tcPr>
          <w:p w14:paraId="3B8AC814">
            <w:pPr>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3785" w:type="dxa"/>
            <w:vAlign w:val="center"/>
          </w:tcPr>
          <w:p w14:paraId="556013EF">
            <w:pPr>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1787" w:type="dxa"/>
            <w:vAlign w:val="center"/>
          </w:tcPr>
          <w:p w14:paraId="5410CAAF">
            <w:pPr>
              <w:pStyle w:val="36"/>
              <w:spacing w:before="0" w:after="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6CA0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14:paraId="7EB855E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06" w:type="dxa"/>
            <w:vAlign w:val="center"/>
          </w:tcPr>
          <w:p w14:paraId="63CB639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报价</w:t>
            </w:r>
          </w:p>
          <w:p w14:paraId="14D7345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w:t>
            </w:r>
          </w:p>
        </w:tc>
        <w:tc>
          <w:tcPr>
            <w:tcW w:w="707" w:type="dxa"/>
            <w:vAlign w:val="center"/>
          </w:tcPr>
          <w:p w14:paraId="6DF8B1A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w:t>
            </w:r>
          </w:p>
        </w:tc>
        <w:tc>
          <w:tcPr>
            <w:tcW w:w="3785" w:type="dxa"/>
            <w:vAlign w:val="center"/>
          </w:tcPr>
          <w:p w14:paraId="765F5D24">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报价中的最低价为</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基准价，其价格分为满分。按照下列公式计算每个供应商的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价格得分。</w:t>
            </w:r>
          </w:p>
          <w:p w14:paraId="1B01278D">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总报价得分＝（</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基准价/</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报价）×价格权重×100。</w:t>
            </w:r>
          </w:p>
        </w:tc>
        <w:tc>
          <w:tcPr>
            <w:tcW w:w="1787" w:type="dxa"/>
            <w:vAlign w:val="center"/>
          </w:tcPr>
          <w:p w14:paraId="21F956CC">
            <w:pPr>
              <w:ind w:firstLine="420" w:firstLineChars="200"/>
              <w:rPr>
                <w:rFonts w:hint="eastAsia" w:ascii="宋体" w:hAnsi="宋体" w:eastAsia="宋体" w:cs="宋体"/>
                <w:color w:val="auto"/>
                <w:sz w:val="21"/>
                <w:szCs w:val="21"/>
                <w:highlight w:val="none"/>
              </w:rPr>
            </w:pPr>
            <w:bookmarkStart w:id="68" w:name="OLE_LINK3"/>
            <w:r>
              <w:rPr>
                <w:rFonts w:hint="eastAsia" w:ascii="宋体" w:hAnsi="宋体" w:eastAsia="宋体" w:cs="宋体"/>
                <w:color w:val="auto"/>
                <w:sz w:val="21"/>
                <w:szCs w:val="21"/>
                <w:highlight w:val="none"/>
              </w:rPr>
              <w:t>计算结果四舍五入，保留两位小数。</w:t>
            </w:r>
            <w:bookmarkEnd w:id="68"/>
          </w:p>
        </w:tc>
      </w:tr>
      <w:tr w14:paraId="1440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Merge w:val="restart"/>
            <w:vAlign w:val="center"/>
          </w:tcPr>
          <w:p w14:paraId="661B324C">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06" w:type="dxa"/>
            <w:vMerge w:val="restart"/>
            <w:vAlign w:val="center"/>
          </w:tcPr>
          <w:p w14:paraId="4E3F1D6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服务部分（</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w:t>
            </w:r>
          </w:p>
        </w:tc>
        <w:tc>
          <w:tcPr>
            <w:tcW w:w="707" w:type="dxa"/>
            <w:shd w:val="clear" w:color="auto" w:fill="auto"/>
            <w:vAlign w:val="center"/>
          </w:tcPr>
          <w:p w14:paraId="47E13A6C">
            <w:pPr>
              <w:adjustRightInd w:val="0"/>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3785" w:type="dxa"/>
            <w:shd w:val="clear" w:color="auto" w:fill="auto"/>
            <w:vAlign w:val="center"/>
          </w:tcPr>
          <w:p w14:paraId="37920CBD">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.项目实施方案</w:t>
            </w:r>
          </w:p>
          <w:p w14:paraId="48D0C3AA">
            <w:pPr>
              <w:adjustRightInd w:val="0"/>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供应商针对本项目服务需求，提供项目实施方案，内容包括但不限于项目团队组织架构、实施阶段与进度安排、资源调配与保障、难点分析与应对等。</w:t>
            </w:r>
          </w:p>
          <w:p w14:paraId="00259AA2">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评审内容：</w:t>
            </w:r>
          </w:p>
          <w:p w14:paraId="7839AA6F">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方案内容不存在瑕疵，得10分；</w:t>
            </w:r>
          </w:p>
          <w:p w14:paraId="772EB676">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方案内容存在1处瑕疵，得7分；</w:t>
            </w:r>
          </w:p>
          <w:p w14:paraId="61611B7A">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方案内容存在2处瑕疵，得4分；</w:t>
            </w:r>
          </w:p>
          <w:p w14:paraId="047A2159">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方案内容存在3处瑕疵，得1分；</w:t>
            </w:r>
          </w:p>
          <w:p w14:paraId="0AC1A8ED">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方案内容存在4处及以上瑕疵或未提供方案得0分。</w:t>
            </w:r>
          </w:p>
        </w:tc>
        <w:tc>
          <w:tcPr>
            <w:tcW w:w="1787" w:type="dxa"/>
            <w:vMerge w:val="restart"/>
            <w:vAlign w:val="center"/>
          </w:tcPr>
          <w:p w14:paraId="6173ED38">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1.提供方案（格式自定）不得超过200页，不得出现与本工程无关的内容，否则由评审小组作无效响应处理。</w:t>
            </w:r>
          </w:p>
          <w:p w14:paraId="1F0295DA">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2.本项内容中所称的“瑕疵”指：</w:t>
            </w:r>
          </w:p>
          <w:p w14:paraId="076A1222">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（1）方案内容表述前后矛盾、无连贯性；</w:t>
            </w:r>
          </w:p>
          <w:p w14:paraId="5EBA7C37">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（2）内容存在逻辑漏洞；</w:t>
            </w:r>
          </w:p>
          <w:p w14:paraId="34022812">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（3）内容存在常识错误；</w:t>
            </w:r>
          </w:p>
          <w:p w14:paraId="3DD5A08A">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（4）内容存在科学原理错误；</w:t>
            </w:r>
          </w:p>
          <w:p w14:paraId="135C9BA5">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（5）措施保障安排并不适用本项目特性或非专门针对本项目制定；</w:t>
            </w:r>
          </w:p>
          <w:p w14:paraId="5D6FE454">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（6）方案中提出的措施举措不利于本项目目标的实现；</w:t>
            </w:r>
          </w:p>
          <w:p w14:paraId="420945A4">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（7）现有技术条件下不可能出现的情形。</w:t>
            </w:r>
          </w:p>
          <w:p w14:paraId="341D827E">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3.取各评审小组成员打分的算术平均值,保留小数点后两位。</w:t>
            </w:r>
          </w:p>
        </w:tc>
      </w:tr>
      <w:tr w14:paraId="0231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Merge w:val="continue"/>
            <w:vAlign w:val="center"/>
          </w:tcPr>
          <w:p w14:paraId="02CBAD67">
            <w:pPr>
              <w:ind w:firstLine="28"/>
              <w:jc w:val="center"/>
              <w:rPr>
                <w:rFonts w:hint="eastAsia" w:ascii="宋体" w:hAnsi="宋体" w:eastAsia="宋体" w:cs="宋体"/>
                <w:color w:val="auto"/>
                <w:sz w:val="21"/>
                <w:szCs w:val="21"/>
                <w:highlight w:val="none"/>
              </w:rPr>
            </w:pPr>
          </w:p>
        </w:tc>
        <w:tc>
          <w:tcPr>
            <w:tcW w:w="1106" w:type="dxa"/>
            <w:vMerge w:val="continue"/>
            <w:vAlign w:val="center"/>
          </w:tcPr>
          <w:p w14:paraId="1581C0EF">
            <w:pPr>
              <w:jc w:val="center"/>
              <w:rPr>
                <w:rFonts w:hint="eastAsia" w:ascii="宋体" w:hAnsi="宋体" w:eastAsia="宋体" w:cs="宋体"/>
                <w:color w:val="auto"/>
                <w:sz w:val="21"/>
                <w:szCs w:val="21"/>
                <w:highlight w:val="none"/>
              </w:rPr>
            </w:pPr>
          </w:p>
        </w:tc>
        <w:tc>
          <w:tcPr>
            <w:tcW w:w="707" w:type="dxa"/>
            <w:shd w:val="clear" w:color="auto" w:fill="auto"/>
            <w:vAlign w:val="center"/>
          </w:tcPr>
          <w:p w14:paraId="2F38DABF">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3785" w:type="dxa"/>
            <w:shd w:val="clear" w:color="auto" w:fill="auto"/>
            <w:vAlign w:val="center"/>
          </w:tcPr>
          <w:p w14:paraId="10DEACCC">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.质量与安全保障</w:t>
            </w:r>
          </w:p>
          <w:p w14:paraId="484B9EEA">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供应商针对本项目服务需求，提供项目质量与安全保障方案，内容包括但不限于质量管理体系与措施、施工安全专项方案、数据与网络安全、应急预案等。</w:t>
            </w:r>
          </w:p>
          <w:p w14:paraId="38DC3F44">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p w14:paraId="47EB5F02">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方案内容不存在瑕疵，得10分；</w:t>
            </w:r>
          </w:p>
          <w:p w14:paraId="607DD561">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方案内容存在1处瑕疵，得7分；</w:t>
            </w:r>
          </w:p>
          <w:p w14:paraId="141D47E7">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方案内容存在2处瑕疵，得4分；</w:t>
            </w:r>
          </w:p>
          <w:p w14:paraId="76ECD60E">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方案内容存在3处瑕疵，得1分；</w:t>
            </w:r>
          </w:p>
          <w:p w14:paraId="325436EF">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方案内容存在4处及以上瑕疵或未提供方案得0分。</w:t>
            </w:r>
          </w:p>
        </w:tc>
        <w:tc>
          <w:tcPr>
            <w:tcW w:w="1787" w:type="dxa"/>
            <w:vMerge w:val="continue"/>
            <w:vAlign w:val="center"/>
          </w:tcPr>
          <w:p w14:paraId="7AA9FCAE">
            <w:pPr>
              <w:rPr>
                <w:rFonts w:hint="eastAsia" w:ascii="宋体" w:hAnsi="宋体" w:eastAsia="宋体" w:cs="宋体"/>
                <w:color w:val="auto"/>
                <w:sz w:val="21"/>
                <w:szCs w:val="21"/>
                <w:highlight w:val="none"/>
              </w:rPr>
            </w:pPr>
          </w:p>
        </w:tc>
      </w:tr>
      <w:tr w14:paraId="0FCB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Merge w:val="continue"/>
            <w:vAlign w:val="center"/>
          </w:tcPr>
          <w:p w14:paraId="6C6BE1F1">
            <w:pPr>
              <w:ind w:firstLine="28"/>
              <w:jc w:val="center"/>
              <w:rPr>
                <w:rFonts w:hint="eastAsia" w:ascii="宋体" w:hAnsi="宋体" w:eastAsia="宋体" w:cs="宋体"/>
                <w:color w:val="auto"/>
                <w:sz w:val="21"/>
                <w:szCs w:val="21"/>
                <w:highlight w:val="none"/>
              </w:rPr>
            </w:pPr>
          </w:p>
        </w:tc>
        <w:tc>
          <w:tcPr>
            <w:tcW w:w="1106" w:type="dxa"/>
            <w:vMerge w:val="continue"/>
            <w:vAlign w:val="center"/>
          </w:tcPr>
          <w:p w14:paraId="5A12F50B">
            <w:pPr>
              <w:jc w:val="center"/>
              <w:rPr>
                <w:rFonts w:hint="eastAsia" w:ascii="宋体" w:hAnsi="宋体" w:eastAsia="宋体" w:cs="宋体"/>
                <w:color w:val="auto"/>
                <w:sz w:val="21"/>
                <w:szCs w:val="21"/>
                <w:highlight w:val="none"/>
              </w:rPr>
            </w:pPr>
          </w:p>
        </w:tc>
        <w:tc>
          <w:tcPr>
            <w:tcW w:w="707" w:type="dxa"/>
            <w:shd w:val="clear" w:color="auto" w:fill="auto"/>
            <w:vAlign w:val="center"/>
          </w:tcPr>
          <w:p w14:paraId="5A1A0863">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3785" w:type="dxa"/>
            <w:shd w:val="clear" w:color="auto" w:fill="auto"/>
            <w:vAlign w:val="center"/>
          </w:tcPr>
          <w:p w14:paraId="02DB5AF6">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.培训与售后服务保障</w:t>
            </w:r>
          </w:p>
          <w:p w14:paraId="55942BC1">
            <w:pPr>
              <w:adjustRightInd w:val="0"/>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供应商针对本项目服务需求，提供项目培训与售后服务保障方案，内容包括但不限于项目培训方案、售后服务承诺、售后服务响应机制等。</w:t>
            </w:r>
          </w:p>
          <w:p w14:paraId="2D40029C">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方评审内容：</w:t>
            </w:r>
          </w:p>
          <w:p w14:paraId="553C6AF3">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方案内容不存在瑕疵，得10分；</w:t>
            </w:r>
          </w:p>
          <w:p w14:paraId="6720ED40">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方案内容存在1处瑕疵，得7分；</w:t>
            </w:r>
          </w:p>
          <w:p w14:paraId="7185F60A">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方案内容存在2处瑕疵，得4分；</w:t>
            </w:r>
          </w:p>
          <w:p w14:paraId="0089CB8B">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方案内容存在3处瑕疵，得1分；</w:t>
            </w:r>
          </w:p>
          <w:p w14:paraId="51C3DF53">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方案内容存在4处及以上瑕疵或未提供方案得0分。</w:t>
            </w:r>
          </w:p>
        </w:tc>
        <w:tc>
          <w:tcPr>
            <w:tcW w:w="1787" w:type="dxa"/>
            <w:vMerge w:val="continue"/>
            <w:vAlign w:val="center"/>
          </w:tcPr>
          <w:p w14:paraId="1B51932A">
            <w:pPr>
              <w:rPr>
                <w:rFonts w:hint="eastAsia" w:ascii="宋体" w:hAnsi="宋体" w:eastAsia="宋体" w:cs="宋体"/>
                <w:color w:val="auto"/>
                <w:sz w:val="21"/>
                <w:szCs w:val="21"/>
                <w:highlight w:val="none"/>
              </w:rPr>
            </w:pPr>
          </w:p>
        </w:tc>
      </w:tr>
      <w:tr w14:paraId="54C6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Merge w:val="restart"/>
            <w:vAlign w:val="center"/>
          </w:tcPr>
          <w:p w14:paraId="20A120BD">
            <w:pPr>
              <w:adjustRightInd w:val="0"/>
              <w:snapToGrid w:val="0"/>
              <w:jc w:val="center"/>
              <w:rPr>
                <w:rFonts w:hint="eastAsia" w:ascii="宋体" w:hAnsi="宋体" w:eastAsia="宋体" w:cs="宋体"/>
                <w:color w:val="auto"/>
                <w:sz w:val="21"/>
                <w:szCs w:val="21"/>
                <w:highlight w:val="none"/>
              </w:rPr>
            </w:pPr>
            <w:bookmarkStart w:id="69" w:name="_Toc30068"/>
            <w:bookmarkStart w:id="70" w:name="_Toc5251"/>
            <w:bookmarkStart w:id="71" w:name="_Toc2900"/>
            <w:bookmarkStart w:id="72" w:name="_Toc16925"/>
            <w:bookmarkStart w:id="73" w:name="_Toc76373889"/>
            <w:r>
              <w:rPr>
                <w:rFonts w:hint="eastAsia" w:ascii="宋体" w:hAnsi="宋体" w:eastAsia="宋体" w:cs="宋体"/>
                <w:color w:val="auto"/>
                <w:sz w:val="21"/>
                <w:szCs w:val="21"/>
                <w:highlight w:val="none"/>
              </w:rPr>
              <w:t>3</w:t>
            </w:r>
          </w:p>
        </w:tc>
        <w:tc>
          <w:tcPr>
            <w:tcW w:w="1106" w:type="dxa"/>
            <w:vMerge w:val="restart"/>
            <w:vAlign w:val="center"/>
          </w:tcPr>
          <w:p w14:paraId="470D5F1E">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tc>
        <w:tc>
          <w:tcPr>
            <w:tcW w:w="707" w:type="dxa"/>
            <w:shd w:val="clear" w:color="auto" w:fill="auto"/>
            <w:vAlign w:val="center"/>
          </w:tcPr>
          <w:p w14:paraId="00894EB5">
            <w:pPr>
              <w:adjustRightInd w:val="0"/>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3785" w:type="dxa"/>
            <w:shd w:val="clear" w:color="auto" w:fill="auto"/>
            <w:vAlign w:val="center"/>
          </w:tcPr>
          <w:p w14:paraId="76C0165E">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1.业绩</w:t>
            </w:r>
          </w:p>
          <w:p w14:paraId="65EA53DB">
            <w:pPr>
              <w:adjustRightInd w:val="0"/>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2023年1月1日（以合同签订时间为准）至响应文件递交截止时间，供应商承担过类似项目业绩，每提供1个得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分，最多得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分，未提供不得分。</w:t>
            </w:r>
          </w:p>
        </w:tc>
        <w:tc>
          <w:tcPr>
            <w:tcW w:w="1787" w:type="dxa"/>
            <w:shd w:val="clear" w:color="auto" w:fill="auto"/>
            <w:vAlign w:val="center"/>
          </w:tcPr>
          <w:p w14:paraId="136F64B8">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提供合同复印件并加盖供应商公章。</w:t>
            </w:r>
          </w:p>
        </w:tc>
      </w:tr>
      <w:tr w14:paraId="6800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Merge w:val="continue"/>
            <w:vAlign w:val="center"/>
          </w:tcPr>
          <w:p w14:paraId="79379143">
            <w:pPr>
              <w:adjustRightInd w:val="0"/>
              <w:snapToGrid w:val="0"/>
              <w:jc w:val="center"/>
              <w:rPr>
                <w:rFonts w:hint="eastAsia" w:ascii="宋体" w:hAnsi="宋体" w:eastAsia="宋体" w:cs="宋体"/>
                <w:color w:val="auto"/>
                <w:sz w:val="21"/>
                <w:szCs w:val="21"/>
                <w:highlight w:val="none"/>
              </w:rPr>
            </w:pPr>
          </w:p>
        </w:tc>
        <w:tc>
          <w:tcPr>
            <w:tcW w:w="1106" w:type="dxa"/>
            <w:vMerge w:val="continue"/>
            <w:vAlign w:val="center"/>
          </w:tcPr>
          <w:p w14:paraId="367C1068">
            <w:pPr>
              <w:adjustRightInd w:val="0"/>
              <w:snapToGrid w:val="0"/>
              <w:jc w:val="center"/>
              <w:rPr>
                <w:rFonts w:hint="eastAsia" w:ascii="宋体" w:hAnsi="宋体" w:eastAsia="宋体" w:cs="宋体"/>
                <w:color w:val="auto"/>
                <w:sz w:val="21"/>
                <w:szCs w:val="21"/>
                <w:highlight w:val="none"/>
              </w:rPr>
            </w:pPr>
          </w:p>
        </w:tc>
        <w:tc>
          <w:tcPr>
            <w:tcW w:w="707" w:type="dxa"/>
            <w:shd w:val="clear" w:color="auto" w:fill="auto"/>
            <w:vAlign w:val="center"/>
          </w:tcPr>
          <w:p w14:paraId="5F55E730">
            <w:pPr>
              <w:adjustRightInd w:val="0"/>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3785" w:type="dxa"/>
            <w:shd w:val="clear" w:color="auto" w:fill="auto"/>
            <w:vAlign w:val="center"/>
          </w:tcPr>
          <w:p w14:paraId="643F61ED">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2.售后服务承诺</w:t>
            </w:r>
          </w:p>
          <w:p w14:paraId="63EC6FE2">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供应商承诺提供在重庆本地成立售后服务团队的承诺函，提供得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分，未提供不得分。</w:t>
            </w:r>
          </w:p>
        </w:tc>
        <w:tc>
          <w:tcPr>
            <w:tcW w:w="1787" w:type="dxa"/>
            <w:shd w:val="clear" w:color="auto" w:fill="auto"/>
            <w:vAlign w:val="center"/>
          </w:tcPr>
          <w:p w14:paraId="62703A7F">
            <w:pPr>
              <w:adjustRightInd w:val="0"/>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提供承诺书并加盖供应商公章。</w:t>
            </w:r>
          </w:p>
        </w:tc>
      </w:tr>
    </w:tbl>
    <w:p w14:paraId="2ACBD747">
      <w:pPr>
        <w:pStyle w:val="3"/>
        <w:bidi w:val="0"/>
      </w:pPr>
      <w:r>
        <w:rPr>
          <w:rFonts w:hint="eastAsia"/>
        </w:rPr>
        <w:t>四、</w:t>
      </w:r>
      <w:r>
        <w:rPr>
          <w:rFonts w:hint="eastAsia"/>
          <w:lang w:eastAsia="zh-CN"/>
        </w:rPr>
        <w:t>无效响应</w:t>
      </w:r>
      <w:r>
        <w:rPr>
          <w:rFonts w:hint="eastAsia"/>
        </w:rPr>
        <w:t>条款</w:t>
      </w:r>
      <w:bookmarkEnd w:id="69"/>
      <w:bookmarkEnd w:id="70"/>
      <w:bookmarkEnd w:id="71"/>
      <w:bookmarkEnd w:id="72"/>
      <w:bookmarkEnd w:id="73"/>
    </w:p>
    <w:p w14:paraId="48D8B1BB">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供应商或其响应文件出现下列情况之一者，应为</w:t>
      </w:r>
      <w:r>
        <w:rPr>
          <w:rFonts w:hint="eastAsia" w:asciiTheme="minorEastAsia" w:hAnsiTheme="minorEastAsia" w:eastAsiaTheme="minorEastAsia" w:cstheme="minorEastAsia"/>
          <w:color w:val="auto"/>
          <w:sz w:val="21"/>
          <w:szCs w:val="21"/>
          <w:highlight w:val="none"/>
          <w:lang w:eastAsia="zh-CN"/>
        </w:rPr>
        <w:t>无效响应</w:t>
      </w:r>
      <w:r>
        <w:rPr>
          <w:rFonts w:hint="eastAsia" w:asciiTheme="minorEastAsia" w:hAnsiTheme="minorEastAsia" w:eastAsiaTheme="minorEastAsia" w:cstheme="minorEastAsia"/>
          <w:color w:val="auto"/>
          <w:sz w:val="21"/>
          <w:szCs w:val="21"/>
          <w:highlight w:val="none"/>
        </w:rPr>
        <w:t>：</w:t>
      </w:r>
    </w:p>
    <w:p w14:paraId="03E90356">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（一）未按照比选文件的规定提交</w:t>
      </w:r>
      <w:r>
        <w:rPr>
          <w:rFonts w:hint="eastAsia" w:asciiTheme="minorEastAsia" w:hAnsiTheme="minorEastAsia" w:eastAsiaTheme="minorEastAsia" w:cstheme="minorEastAsia"/>
          <w:color w:val="auto"/>
          <w:sz w:val="21"/>
          <w:szCs w:val="21"/>
          <w:highlight w:val="none"/>
          <w:lang w:eastAsia="zh-CN"/>
        </w:rPr>
        <w:t>响应</w:t>
      </w:r>
      <w:r>
        <w:rPr>
          <w:rFonts w:hint="eastAsia" w:asciiTheme="minorEastAsia" w:hAnsiTheme="minorEastAsia" w:eastAsiaTheme="minorEastAsia" w:cstheme="minorEastAsia"/>
          <w:color w:val="auto"/>
          <w:sz w:val="21"/>
          <w:szCs w:val="21"/>
          <w:highlight w:val="none"/>
        </w:rPr>
        <w:t>保证金的</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如有</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t>
      </w:r>
    </w:p>
    <w:p w14:paraId="7B9B0C3E">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（二）响应文件未按比选文件要求签署、盖章的；</w:t>
      </w:r>
    </w:p>
    <w:p w14:paraId="50596A66">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（三）不具备比选文件中规定的资格要求的；</w:t>
      </w:r>
    </w:p>
    <w:p w14:paraId="51556F3F">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（四）报价超过比选文件中规定的预算金额或者最高限价的；</w:t>
      </w:r>
    </w:p>
    <w:p w14:paraId="4D4F7105">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（五）响应文件含有采购人不能接受的附加条件的；</w:t>
      </w:r>
    </w:p>
    <w:p w14:paraId="00C632A0">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（六）供应商串通</w:t>
      </w:r>
      <w:r>
        <w:rPr>
          <w:rFonts w:hint="eastAsia" w:asciiTheme="minorEastAsia" w:hAnsiTheme="minorEastAsia" w:eastAsiaTheme="minorEastAsia" w:cstheme="minorEastAsia"/>
          <w:color w:val="auto"/>
          <w:sz w:val="21"/>
          <w:szCs w:val="21"/>
          <w:highlight w:val="none"/>
          <w:lang w:eastAsia="zh-CN"/>
        </w:rPr>
        <w:t>响应</w:t>
      </w:r>
      <w:r>
        <w:rPr>
          <w:rFonts w:hint="eastAsia" w:asciiTheme="minorEastAsia" w:hAnsiTheme="minorEastAsia" w:eastAsiaTheme="minorEastAsia" w:cstheme="minorEastAsia"/>
          <w:color w:val="auto"/>
          <w:sz w:val="21"/>
          <w:szCs w:val="21"/>
          <w:highlight w:val="none"/>
        </w:rPr>
        <w:t>的；</w:t>
      </w:r>
    </w:p>
    <w:p w14:paraId="68CDAB5F">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（七）法律、法规和比选文件规定的其他无效情形。</w:t>
      </w:r>
    </w:p>
    <w:p w14:paraId="0F48D65D">
      <w:pPr>
        <w:pStyle w:val="3"/>
        <w:bidi w:val="0"/>
      </w:pPr>
      <w:bookmarkStart w:id="74" w:name="_Toc20034"/>
      <w:bookmarkStart w:id="75" w:name="_Toc11342"/>
      <w:bookmarkStart w:id="76" w:name="_Toc76373890"/>
      <w:bookmarkStart w:id="77" w:name="_Toc26071"/>
      <w:bookmarkStart w:id="78" w:name="_Toc27443"/>
      <w:r>
        <w:rPr>
          <w:rFonts w:hint="eastAsia"/>
        </w:rPr>
        <w:t>五、</w:t>
      </w:r>
      <w:bookmarkEnd w:id="74"/>
      <w:bookmarkEnd w:id="75"/>
      <w:bookmarkEnd w:id="76"/>
      <w:bookmarkEnd w:id="77"/>
      <w:bookmarkEnd w:id="78"/>
      <w:r>
        <w:rPr>
          <w:rFonts w:hint="eastAsia"/>
        </w:rPr>
        <w:t>采购终止</w:t>
      </w:r>
    </w:p>
    <w:p w14:paraId="1AF21191">
      <w:pPr>
        <w:snapToGrid w:val="0"/>
        <w:spacing w:line="3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出现下列情形之一的，采购人或者采购代理机构应当终</w:t>
      </w:r>
      <w:r>
        <w:rPr>
          <w:rFonts w:hint="eastAsia" w:asciiTheme="minorEastAsia" w:hAnsiTheme="minorEastAsia" w:eastAsiaTheme="minorEastAsia" w:cstheme="minorEastAsia"/>
          <w:color w:val="auto"/>
          <w:sz w:val="21"/>
          <w:szCs w:val="21"/>
          <w:highlight w:val="none"/>
          <w:lang w:val="en-US" w:eastAsia="zh-CN"/>
        </w:rPr>
        <w:t>止竞争性比选</w:t>
      </w:r>
      <w:r>
        <w:rPr>
          <w:rFonts w:hint="eastAsia" w:asciiTheme="minorEastAsia" w:hAnsiTheme="minorEastAsia" w:eastAsiaTheme="minorEastAsia" w:cstheme="minorEastAsia"/>
          <w:color w:val="auto"/>
          <w:sz w:val="21"/>
          <w:szCs w:val="21"/>
          <w:highlight w:val="none"/>
        </w:rPr>
        <w:t>活动，发布项目终止公告并说明原因，重新开展采购活动：</w:t>
      </w:r>
    </w:p>
    <w:p w14:paraId="1C810096">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（一）符合专业条件的供应商或者对比选文件作实质响应的供应商不足三家的；</w:t>
      </w:r>
    </w:p>
    <w:p w14:paraId="51CC88D1">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（二）出现影响采购公正的违法、违规行为的；</w:t>
      </w:r>
    </w:p>
    <w:p w14:paraId="03950D8C">
      <w:pPr>
        <w:snapToGrid w:val="0"/>
        <w:spacing w:line="360" w:lineRule="exact"/>
        <w:ind w:firstLine="420" w:firstLineChars="200"/>
        <w:rPr>
          <w:rFonts w:ascii="宋体" w:hAnsi="宋体" w:cs="宋体"/>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三</w:t>
      </w:r>
      <w:r>
        <w:rPr>
          <w:rFonts w:hint="eastAsia" w:asciiTheme="minorEastAsia" w:hAnsiTheme="minorEastAsia" w:eastAsiaTheme="minorEastAsia" w:cstheme="minorEastAsia"/>
          <w:color w:val="auto"/>
          <w:sz w:val="21"/>
          <w:szCs w:val="21"/>
          <w:highlight w:val="none"/>
        </w:rPr>
        <w:t>）因重大变故，采购任务取消的。</w:t>
      </w:r>
    </w:p>
    <w:p w14:paraId="15BDF455">
      <w:pPr>
        <w:snapToGrid w:val="0"/>
        <w:spacing w:line="400" w:lineRule="exact"/>
        <w:ind w:firstLine="420" w:firstLineChars="200"/>
        <w:rPr>
          <w:rFonts w:ascii="宋体" w:hAnsi="宋体" w:cs="宋体"/>
          <w:color w:val="auto"/>
          <w:sz w:val="21"/>
          <w:szCs w:val="21"/>
          <w:highlight w:val="none"/>
        </w:rPr>
      </w:pPr>
    </w:p>
    <w:p w14:paraId="3DF18BF4">
      <w:pPr>
        <w:snapToGrid w:val="0"/>
        <w:spacing w:line="400" w:lineRule="exact"/>
        <w:ind w:firstLine="420" w:firstLineChars="200"/>
        <w:rPr>
          <w:rFonts w:ascii="宋体" w:hAnsi="宋体" w:cs="宋体"/>
          <w:color w:val="auto"/>
          <w:sz w:val="21"/>
          <w:szCs w:val="21"/>
          <w:highlight w:val="none"/>
        </w:rPr>
      </w:pPr>
    </w:p>
    <w:p w14:paraId="38ACDE13">
      <w:pPr>
        <w:snapToGrid w:val="0"/>
        <w:spacing w:line="400" w:lineRule="exact"/>
        <w:ind w:firstLine="420" w:firstLineChars="200"/>
        <w:rPr>
          <w:rFonts w:ascii="宋体" w:hAnsi="宋体" w:cs="宋体"/>
          <w:color w:val="auto"/>
          <w:sz w:val="21"/>
          <w:szCs w:val="21"/>
          <w:highlight w:val="none"/>
        </w:rPr>
      </w:pPr>
    </w:p>
    <w:p w14:paraId="60BCAB40">
      <w:pPr>
        <w:snapToGrid w:val="0"/>
        <w:spacing w:line="400" w:lineRule="exact"/>
        <w:ind w:firstLine="420" w:firstLineChars="200"/>
        <w:rPr>
          <w:rFonts w:ascii="宋体" w:hAnsi="宋体" w:cs="宋体"/>
          <w:color w:val="auto"/>
          <w:sz w:val="21"/>
          <w:szCs w:val="21"/>
          <w:highlight w:val="none"/>
        </w:rPr>
      </w:pPr>
    </w:p>
    <w:p w14:paraId="3BDC63E8">
      <w:pPr>
        <w:snapToGrid w:val="0"/>
        <w:spacing w:line="400" w:lineRule="exact"/>
        <w:ind w:firstLine="420" w:firstLineChars="200"/>
        <w:rPr>
          <w:rFonts w:ascii="宋体" w:hAnsi="宋体" w:cs="宋体"/>
          <w:color w:val="auto"/>
          <w:sz w:val="21"/>
          <w:szCs w:val="21"/>
          <w:highlight w:val="none"/>
        </w:rPr>
      </w:pPr>
    </w:p>
    <w:p w14:paraId="402D8016">
      <w:pPr>
        <w:rPr>
          <w:rFonts w:ascii="宋体" w:hAnsi="宋体" w:cs="宋体"/>
          <w:b/>
          <w:color w:val="auto"/>
          <w:szCs w:val="32"/>
          <w:highlight w:val="none"/>
        </w:rPr>
      </w:pPr>
      <w:r>
        <w:rPr>
          <w:rFonts w:hint="eastAsia" w:ascii="宋体" w:hAnsi="宋体" w:cs="宋体"/>
          <w:b/>
          <w:color w:val="auto"/>
          <w:szCs w:val="32"/>
          <w:highlight w:val="none"/>
        </w:rPr>
        <w:br w:type="page"/>
      </w:r>
    </w:p>
    <w:p w14:paraId="18AE43B0">
      <w:pPr>
        <w:pStyle w:val="2"/>
        <w:spacing w:line="240" w:lineRule="auto"/>
        <w:jc w:val="center"/>
        <w:rPr>
          <w:color w:val="auto"/>
          <w:highlight w:val="none"/>
        </w:rPr>
      </w:pPr>
      <w:bookmarkStart w:id="79" w:name="_Toc18985"/>
      <w:r>
        <w:rPr>
          <w:rFonts w:hint="eastAsia"/>
          <w:color w:val="auto"/>
          <w:highlight w:val="none"/>
        </w:rPr>
        <w:t>第五篇</w:t>
      </w:r>
      <w:bookmarkEnd w:id="53"/>
      <w:bookmarkEnd w:id="54"/>
      <w:bookmarkStart w:id="80" w:name="_Toc25199"/>
      <w:bookmarkStart w:id="81" w:name="_Toc27646"/>
      <w:bookmarkStart w:id="82" w:name="_Toc10864"/>
      <w:bookmarkStart w:id="83" w:name="_Toc76373891"/>
      <w:bookmarkStart w:id="84" w:name="_Toc675"/>
      <w:bookmarkStart w:id="85" w:name="_Toc20391"/>
      <w:r>
        <w:rPr>
          <w:rFonts w:hint="eastAsia"/>
          <w:color w:val="auto"/>
          <w:highlight w:val="none"/>
        </w:rPr>
        <w:t xml:space="preserve">  供应商须知</w:t>
      </w:r>
      <w:bookmarkEnd w:id="79"/>
      <w:bookmarkEnd w:id="80"/>
      <w:bookmarkEnd w:id="81"/>
      <w:bookmarkEnd w:id="82"/>
      <w:bookmarkEnd w:id="83"/>
      <w:bookmarkEnd w:id="84"/>
      <w:bookmarkEnd w:id="85"/>
    </w:p>
    <w:p w14:paraId="730B42A1">
      <w:pPr>
        <w:pStyle w:val="3"/>
        <w:bidi w:val="0"/>
      </w:pPr>
      <w:bookmarkStart w:id="86" w:name="_Toc17823"/>
      <w:bookmarkStart w:id="87" w:name="_Toc19018"/>
      <w:bookmarkStart w:id="88" w:name="_Toc8878"/>
      <w:bookmarkStart w:id="89" w:name="_Toc76373892"/>
      <w:bookmarkStart w:id="90" w:name="_Toc26807"/>
      <w:r>
        <w:rPr>
          <w:rFonts w:hint="eastAsia"/>
        </w:rPr>
        <w:t>一、</w:t>
      </w:r>
      <w:bookmarkEnd w:id="86"/>
      <w:bookmarkEnd w:id="87"/>
      <w:bookmarkEnd w:id="88"/>
      <w:bookmarkEnd w:id="89"/>
      <w:bookmarkEnd w:id="90"/>
      <w:r>
        <w:rPr>
          <w:rFonts w:hint="eastAsia"/>
        </w:rPr>
        <w:t>供应商</w:t>
      </w:r>
    </w:p>
    <w:p w14:paraId="5C933904">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（一）供应商</w:t>
      </w:r>
    </w:p>
    <w:p w14:paraId="58C71F3E">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供应商是指响应</w:t>
      </w:r>
      <w:r>
        <w:rPr>
          <w:rFonts w:hint="eastAsia" w:ascii="宋体" w:hAnsi="宋体" w:cs="宋体"/>
          <w:color w:val="auto"/>
          <w:sz w:val="21"/>
          <w:szCs w:val="21"/>
          <w:highlight w:val="none"/>
          <w:lang w:eastAsia="zh-CN"/>
        </w:rPr>
        <w:t>比选</w:t>
      </w:r>
      <w:r>
        <w:rPr>
          <w:rFonts w:hint="eastAsia" w:ascii="宋体" w:hAnsi="宋体" w:cs="宋体"/>
          <w:color w:val="auto"/>
          <w:sz w:val="21"/>
          <w:szCs w:val="21"/>
          <w:highlight w:val="none"/>
        </w:rPr>
        <w:t>、参加</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竞争的法人、其他组织或者自然人。</w:t>
      </w:r>
    </w:p>
    <w:p w14:paraId="5B37C241">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（二）合格供应商条件</w:t>
      </w:r>
    </w:p>
    <w:p w14:paraId="2593C239">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合格供应商应完全符合比选文件第一篇中规定的供应商资格条件，并对比选文件作出实质性响应。</w:t>
      </w:r>
    </w:p>
    <w:p w14:paraId="1167152B">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（三）供应商的风险</w:t>
      </w:r>
    </w:p>
    <w:p w14:paraId="3B57B0CB">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供应商没有按照比选文件要求提供全部资料，或者供应商没有对比选文件在各方面作出实质性响应，可能导致</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被拒绝或评定为</w:t>
      </w:r>
      <w:r>
        <w:rPr>
          <w:rFonts w:hint="eastAsia" w:ascii="宋体" w:hAnsi="宋体" w:cs="宋体"/>
          <w:color w:val="auto"/>
          <w:sz w:val="21"/>
          <w:szCs w:val="21"/>
          <w:highlight w:val="none"/>
          <w:lang w:eastAsia="zh-CN"/>
        </w:rPr>
        <w:t>无效响应</w:t>
      </w:r>
      <w:r>
        <w:rPr>
          <w:rFonts w:hint="eastAsia" w:ascii="宋体" w:hAnsi="宋体" w:cs="宋体"/>
          <w:color w:val="auto"/>
          <w:sz w:val="21"/>
          <w:szCs w:val="21"/>
          <w:highlight w:val="none"/>
        </w:rPr>
        <w:t>。</w:t>
      </w:r>
    </w:p>
    <w:p w14:paraId="7C8D2AF3">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（四）法律责任</w:t>
      </w:r>
    </w:p>
    <w:p w14:paraId="2F426667">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供应商违反《中华人民共和国政府采购法》、《中华人民共和国政府采购法实施条例》等相关规定，将按规定追究供应商法律责任。</w:t>
      </w:r>
    </w:p>
    <w:p w14:paraId="0487D749">
      <w:pPr>
        <w:pStyle w:val="3"/>
        <w:bidi w:val="0"/>
      </w:pPr>
      <w:bookmarkStart w:id="91" w:name="_Toc9136"/>
      <w:bookmarkStart w:id="92" w:name="_Toc2527"/>
      <w:bookmarkStart w:id="93" w:name="_Toc20761"/>
      <w:bookmarkStart w:id="94" w:name="_Toc76373893"/>
      <w:bookmarkStart w:id="95" w:name="_Toc17840"/>
      <w:r>
        <w:rPr>
          <w:rFonts w:hint="eastAsia"/>
        </w:rPr>
        <w:t>二、</w:t>
      </w:r>
      <w:bookmarkEnd w:id="91"/>
      <w:bookmarkEnd w:id="92"/>
      <w:bookmarkEnd w:id="93"/>
      <w:bookmarkEnd w:id="94"/>
      <w:bookmarkEnd w:id="95"/>
      <w:r>
        <w:rPr>
          <w:rFonts w:hint="eastAsia"/>
        </w:rPr>
        <w:t>比选文件</w:t>
      </w:r>
    </w:p>
    <w:p w14:paraId="55FB7A89">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比选文件是供应商编制响应文件的依据，是评审小组评判依据和标准。比选文件也是采购人与成交供应商签订合同的基础。</w:t>
      </w:r>
    </w:p>
    <w:p w14:paraId="25AE332F">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（一）比选文件由</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邀请书；项目服务需求；商务条款；供应商须知；</w:t>
      </w:r>
      <w:r>
        <w:rPr>
          <w:rFonts w:hint="eastAsia" w:ascii="宋体" w:hAnsi="宋体" w:cs="宋体"/>
          <w:color w:val="auto"/>
          <w:sz w:val="21"/>
          <w:szCs w:val="21"/>
          <w:highlight w:val="none"/>
          <w:lang w:eastAsia="zh-CN"/>
        </w:rPr>
        <w:t>评审</w:t>
      </w:r>
      <w:r>
        <w:rPr>
          <w:rFonts w:hint="eastAsia" w:ascii="宋体" w:hAnsi="宋体" w:cs="宋体"/>
          <w:color w:val="auto"/>
          <w:sz w:val="21"/>
          <w:szCs w:val="21"/>
          <w:highlight w:val="none"/>
        </w:rPr>
        <w:t>方法、</w:t>
      </w:r>
      <w:r>
        <w:rPr>
          <w:rFonts w:hint="eastAsia" w:ascii="宋体" w:hAnsi="宋体" w:cs="宋体"/>
          <w:color w:val="auto"/>
          <w:sz w:val="21"/>
          <w:szCs w:val="21"/>
          <w:highlight w:val="none"/>
          <w:lang w:eastAsia="zh-CN"/>
        </w:rPr>
        <w:t>评审</w:t>
      </w:r>
      <w:r>
        <w:rPr>
          <w:rFonts w:hint="eastAsia" w:ascii="宋体" w:hAnsi="宋体" w:cs="宋体"/>
          <w:color w:val="auto"/>
          <w:sz w:val="21"/>
          <w:szCs w:val="21"/>
          <w:highlight w:val="none"/>
        </w:rPr>
        <w:t>标准、</w:t>
      </w:r>
      <w:r>
        <w:rPr>
          <w:rFonts w:hint="eastAsia" w:ascii="宋体" w:hAnsi="宋体" w:cs="宋体"/>
          <w:color w:val="auto"/>
          <w:sz w:val="21"/>
          <w:szCs w:val="21"/>
          <w:highlight w:val="none"/>
          <w:lang w:eastAsia="zh-CN"/>
        </w:rPr>
        <w:t>无效响应</w:t>
      </w:r>
      <w:r>
        <w:rPr>
          <w:rFonts w:hint="eastAsia" w:ascii="宋体" w:hAnsi="宋体" w:cs="宋体"/>
          <w:color w:val="auto"/>
          <w:sz w:val="21"/>
          <w:szCs w:val="21"/>
          <w:highlight w:val="none"/>
        </w:rPr>
        <w:t>条款和</w:t>
      </w:r>
      <w:r>
        <w:rPr>
          <w:rFonts w:hint="eastAsia" w:ascii="宋体" w:hAnsi="宋体" w:cs="宋体"/>
          <w:color w:val="auto"/>
          <w:sz w:val="21"/>
          <w:szCs w:val="21"/>
          <w:highlight w:val="none"/>
          <w:lang w:eastAsia="zh-CN"/>
        </w:rPr>
        <w:t>采购终止</w:t>
      </w:r>
      <w:r>
        <w:rPr>
          <w:rFonts w:hint="eastAsia" w:ascii="宋体" w:hAnsi="宋体" w:cs="宋体"/>
          <w:color w:val="auto"/>
          <w:sz w:val="21"/>
          <w:szCs w:val="21"/>
          <w:highlight w:val="none"/>
        </w:rPr>
        <w:t>条款；合同主要条款、合同范本；响应文件格式等七部分组成。</w:t>
      </w:r>
    </w:p>
    <w:p w14:paraId="62D82FB9">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（二）采购代理机构对比选文件所作的一切有效的书面通知、修改及补充，都是比选文件不可分割的部分。</w:t>
      </w:r>
    </w:p>
    <w:p w14:paraId="51FD8BD1">
      <w:pPr>
        <w:wordWrap w:val="0"/>
        <w:topLinePunct/>
        <w:snapToGrid w:val="0"/>
        <w:spacing w:line="40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三）本项目的比选文件、澄清文件（如果有）一律在“行采家”（https://www.gec123.com/）上发布，请各供应商注意下载或到采购人处领取；无论供应商下载或领取与否，均视同供应商已知晓本项目比选文件、澄清文件的内容。</w:t>
      </w:r>
    </w:p>
    <w:p w14:paraId="619C15C4">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（四）采购代理机构对已发出的比选文件需要进行澄清或修改的，应以书面形式或公告形式通知所有比选文件收受人。该澄清或者修改的内容为比选文件的组成部分。</w:t>
      </w:r>
    </w:p>
    <w:p w14:paraId="1C341808">
      <w:pPr>
        <w:pStyle w:val="3"/>
        <w:bidi w:val="0"/>
      </w:pPr>
      <w:bookmarkStart w:id="96" w:name="_Toc1032"/>
      <w:bookmarkStart w:id="97" w:name="_Toc76373894"/>
      <w:bookmarkStart w:id="98" w:name="_Toc15978"/>
      <w:bookmarkStart w:id="99" w:name="_Toc4861"/>
      <w:bookmarkStart w:id="100" w:name="_Toc5517"/>
      <w:r>
        <w:rPr>
          <w:rFonts w:hint="eastAsia"/>
        </w:rPr>
        <w:t>三、</w:t>
      </w:r>
      <w:bookmarkEnd w:id="96"/>
      <w:bookmarkEnd w:id="97"/>
      <w:bookmarkEnd w:id="98"/>
      <w:bookmarkEnd w:id="99"/>
      <w:bookmarkEnd w:id="100"/>
      <w:r>
        <w:rPr>
          <w:rFonts w:hint="eastAsia"/>
        </w:rPr>
        <w:t>响应文件</w:t>
      </w:r>
    </w:p>
    <w:p w14:paraId="261B76C5">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供应商应当按照比选文件的要求编制响应文件，并对比选文件提出的要求和条件作出实质性响应，响应文件原则上采用软面订本，同时应编制完整的页码、目录。</w:t>
      </w:r>
    </w:p>
    <w:p w14:paraId="6BAD8A52">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（一）响应文件组成</w:t>
      </w:r>
    </w:p>
    <w:p w14:paraId="6D964F4D">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响应文件由 第七篇“响应文件格式”规定的部分和供应商所作的一切有效补充、修改和承诺等文件组成，供应商应按照第七篇“响应文件格式”规定的目录顺序组织编写和装订，否则有可能影响评委对响应文件的评审。</w:t>
      </w:r>
    </w:p>
    <w:p w14:paraId="011E3C76">
      <w:pPr>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（二）联合</w:t>
      </w:r>
      <w:r>
        <w:rPr>
          <w:rFonts w:hint="eastAsia" w:ascii="宋体" w:hAnsi="宋体" w:cs="宋体"/>
          <w:color w:val="auto"/>
          <w:sz w:val="21"/>
          <w:szCs w:val="21"/>
          <w:highlight w:val="none"/>
          <w:lang w:eastAsia="zh-CN"/>
        </w:rPr>
        <w:t>响应</w:t>
      </w:r>
    </w:p>
    <w:p w14:paraId="6F5FC4CA">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本项目不接受联合体。</w:t>
      </w:r>
    </w:p>
    <w:p w14:paraId="645916BE">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（三）比选有效期</w:t>
      </w:r>
    </w:p>
    <w:p w14:paraId="2FA2AD5E">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比选有效期为</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截止时间起90天。</w:t>
      </w:r>
    </w:p>
    <w:p w14:paraId="50852A5D">
      <w:pPr>
        <w:snapToGrid w:val="0"/>
        <w:spacing w:line="40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（四）</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保证金：无。</w:t>
      </w:r>
    </w:p>
    <w:p w14:paraId="282328A1">
      <w:pPr>
        <w:snapToGrid w:val="0"/>
        <w:spacing w:line="400" w:lineRule="exact"/>
        <w:ind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（五）响应文件的份数和签署</w:t>
      </w:r>
    </w:p>
    <w:p w14:paraId="6E625EC0">
      <w:pPr>
        <w:tabs>
          <w:tab w:val="left" w:pos="0"/>
        </w:tabs>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响应文件一式四份，其中正本一份，副本二份，电子文档一份（电子文档内容应与响应文件正本一致，推荐采用光盘或U盘为文件载体）；每套响应文件须在封面清楚地标明“正本”、“副本”或“电子文档”，副本应为正本的完整复印件；否则按无效响应处理。</w:t>
      </w:r>
    </w:p>
    <w:p w14:paraId="766E24A0">
      <w:pPr>
        <w:tabs>
          <w:tab w:val="left" w:pos="0"/>
        </w:tabs>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2.响应文件按竞争性磋商文件“第七篇响应文件编制要求”要求签署或盖章。</w:t>
      </w:r>
    </w:p>
    <w:p w14:paraId="18FB2CAA">
      <w:pPr>
        <w:tabs>
          <w:tab w:val="left" w:pos="0"/>
        </w:tabs>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3.若供应商对响应文件的错处作必要修改，则应在修改处加盖供应商公章或由法定代表人（或其授权代表）或自然人（供应商为自然人）签署确认。</w:t>
      </w:r>
    </w:p>
    <w:p w14:paraId="2E4347B2">
      <w:pPr>
        <w:snapToGrid w:val="0"/>
        <w:spacing w:line="400" w:lineRule="exact"/>
        <w:ind w:firstLine="420" w:firstLineChars="200"/>
        <w:jc w:val="left"/>
        <w:rPr>
          <w:rFonts w:ascii="宋体" w:hAnsi="宋体" w:cs="宋体"/>
          <w:bCs/>
          <w:color w:val="auto"/>
          <w:sz w:val="21"/>
          <w:szCs w:val="21"/>
          <w:highlight w:val="none"/>
        </w:rPr>
      </w:pPr>
      <w:r>
        <w:rPr>
          <w:rFonts w:hint="eastAsia" w:ascii="宋体" w:hAnsi="宋体" w:cs="宋体"/>
          <w:color w:val="auto"/>
          <w:sz w:val="21"/>
          <w:szCs w:val="21"/>
          <w:highlight w:val="none"/>
        </w:rPr>
        <w:t>4.电报、电话、传真形式的响应文件概不接受。</w:t>
      </w:r>
    </w:p>
    <w:p w14:paraId="55FD49C0">
      <w:pPr>
        <w:snapToGrid w:val="0"/>
        <w:spacing w:line="400" w:lineRule="exact"/>
        <w:ind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（六）</w:t>
      </w:r>
      <w:r>
        <w:rPr>
          <w:rFonts w:hint="eastAsia" w:ascii="宋体" w:hAnsi="宋体" w:cs="宋体"/>
          <w:bCs/>
          <w:color w:val="auto"/>
          <w:sz w:val="21"/>
          <w:szCs w:val="21"/>
          <w:highlight w:val="none"/>
          <w:lang w:eastAsia="zh-CN"/>
        </w:rPr>
        <w:t>响应</w:t>
      </w:r>
      <w:r>
        <w:rPr>
          <w:rFonts w:hint="eastAsia" w:ascii="宋体" w:hAnsi="宋体" w:cs="宋体"/>
          <w:bCs/>
          <w:color w:val="auto"/>
          <w:sz w:val="21"/>
          <w:szCs w:val="21"/>
          <w:highlight w:val="none"/>
        </w:rPr>
        <w:t>报价</w:t>
      </w:r>
    </w:p>
    <w:p w14:paraId="1D9F1DE0">
      <w:pPr>
        <w:snapToGrid w:val="0"/>
        <w:spacing w:line="400" w:lineRule="exact"/>
        <w:ind w:firstLine="420" w:firstLineChars="200"/>
        <w:jc w:val="left"/>
        <w:rPr>
          <w:rFonts w:ascii="宋体" w:hAnsi="宋体" w:cs="宋体"/>
          <w:color w:val="auto"/>
          <w:sz w:val="21"/>
          <w:szCs w:val="21"/>
          <w:highlight w:val="none"/>
        </w:rPr>
      </w:pPr>
      <w:r>
        <w:rPr>
          <w:rFonts w:hint="eastAsia" w:ascii="宋体" w:hAnsi="宋体" w:cs="宋体"/>
          <w:bCs/>
          <w:color w:val="auto"/>
          <w:sz w:val="21"/>
          <w:szCs w:val="21"/>
          <w:highlight w:val="none"/>
        </w:rPr>
        <w:t>1.供应商应严格按照“响应文件格式”中“</w:t>
      </w:r>
      <w:r>
        <w:rPr>
          <w:rFonts w:hint="eastAsia" w:ascii="宋体" w:hAnsi="宋体" w:cs="宋体"/>
          <w:bCs/>
          <w:color w:val="auto"/>
          <w:sz w:val="21"/>
          <w:szCs w:val="21"/>
          <w:highlight w:val="none"/>
          <w:lang w:eastAsia="zh-CN"/>
        </w:rPr>
        <w:t>响应文件开启</w:t>
      </w:r>
      <w:r>
        <w:rPr>
          <w:rFonts w:hint="eastAsia" w:ascii="宋体" w:hAnsi="宋体" w:cs="宋体"/>
          <w:bCs/>
          <w:color w:val="auto"/>
          <w:sz w:val="21"/>
          <w:szCs w:val="21"/>
          <w:highlight w:val="none"/>
        </w:rPr>
        <w:t>一览表”和“分项报价明细表”</w:t>
      </w:r>
      <w:r>
        <w:rPr>
          <w:rFonts w:hint="eastAsia" w:ascii="宋体" w:hAnsi="宋体" w:cs="宋体"/>
          <w:color w:val="auto"/>
          <w:sz w:val="21"/>
          <w:szCs w:val="21"/>
          <w:highlight w:val="none"/>
        </w:rPr>
        <w:t>的格式填写报价。</w:t>
      </w:r>
    </w:p>
    <w:p w14:paraId="310B9768">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2.供应商的报价为一次性报价，即在</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有效期内</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价格固定不变。</w:t>
      </w:r>
    </w:p>
    <w:p w14:paraId="1513910F">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3.本项目只接受一个</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报价，有选择的或有条件的报价将不予接受。</w:t>
      </w:r>
    </w:p>
    <w:p w14:paraId="6BFAB4C3">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（七）修正错误</w:t>
      </w:r>
    </w:p>
    <w:p w14:paraId="66B3B705">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若响应文件出现计算或表达上的错误，修正错误的原则如下：</w:t>
      </w:r>
    </w:p>
    <w:p w14:paraId="336C0C14">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1.响应文件中</w:t>
      </w:r>
      <w:r>
        <w:rPr>
          <w:rFonts w:hint="eastAsia" w:hAnsi="宋体" w:cs="宋体"/>
          <w:color w:val="auto"/>
          <w:szCs w:val="21"/>
          <w:highlight w:val="none"/>
          <w:lang w:eastAsia="zh-CN"/>
        </w:rPr>
        <w:t>响应文件开启</w:t>
      </w:r>
      <w:r>
        <w:rPr>
          <w:rFonts w:hint="eastAsia" w:hAnsi="宋体" w:cs="宋体"/>
          <w:color w:val="auto"/>
          <w:szCs w:val="21"/>
          <w:highlight w:val="none"/>
        </w:rPr>
        <w:t>一览表（报价表）内容与响应文件中相应内容不一致的，以</w:t>
      </w:r>
      <w:r>
        <w:rPr>
          <w:rFonts w:hint="eastAsia" w:hAnsi="宋体" w:cs="宋体"/>
          <w:color w:val="auto"/>
          <w:szCs w:val="21"/>
          <w:highlight w:val="none"/>
          <w:lang w:eastAsia="zh-CN"/>
        </w:rPr>
        <w:t>响应文件开启</w:t>
      </w:r>
      <w:r>
        <w:rPr>
          <w:rFonts w:hint="eastAsia" w:hAnsi="宋体" w:cs="宋体"/>
          <w:color w:val="auto"/>
          <w:szCs w:val="21"/>
          <w:highlight w:val="none"/>
        </w:rPr>
        <w:t>一览表（报价表）为准；</w:t>
      </w:r>
    </w:p>
    <w:p w14:paraId="072E59AA">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2.大写金额和小写金额不一致的，以大写金额为准；</w:t>
      </w:r>
    </w:p>
    <w:p w14:paraId="242A6276">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3.单价金额小数点或者百分比有明显错位的，以</w:t>
      </w:r>
      <w:r>
        <w:rPr>
          <w:rFonts w:hint="eastAsia" w:hAnsi="宋体" w:cs="宋体"/>
          <w:color w:val="auto"/>
          <w:szCs w:val="21"/>
          <w:highlight w:val="none"/>
          <w:lang w:eastAsia="zh-CN"/>
        </w:rPr>
        <w:t>响应文件开启</w:t>
      </w:r>
      <w:r>
        <w:rPr>
          <w:rFonts w:hint="eastAsia" w:hAnsi="宋体" w:cs="宋体"/>
          <w:color w:val="auto"/>
          <w:szCs w:val="21"/>
          <w:highlight w:val="none"/>
        </w:rPr>
        <w:t>一览表的总价为准，并修改单价；</w:t>
      </w:r>
    </w:p>
    <w:p w14:paraId="4D8A0600">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4.总价金额与按单价汇总金额不一致的，以单价金额计算结果为准。</w:t>
      </w:r>
    </w:p>
    <w:p w14:paraId="1400D114">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评审小组按上述修正错误的原则及方法调整或修正供应商</w:t>
      </w:r>
      <w:r>
        <w:rPr>
          <w:rFonts w:hint="eastAsia" w:hAnsi="宋体" w:cs="宋体"/>
          <w:color w:val="auto"/>
          <w:szCs w:val="21"/>
          <w:highlight w:val="none"/>
          <w:lang w:eastAsia="zh-CN"/>
        </w:rPr>
        <w:t>响应</w:t>
      </w:r>
      <w:r>
        <w:rPr>
          <w:rFonts w:hint="eastAsia" w:hAnsi="宋体" w:cs="宋体"/>
          <w:color w:val="auto"/>
          <w:szCs w:val="21"/>
          <w:highlight w:val="none"/>
        </w:rPr>
        <w:t>报价，若同时出现两种以上不一致的，按照前款规定的顺序修正，供应商同意并签字确认后，调整后的</w:t>
      </w:r>
      <w:r>
        <w:rPr>
          <w:rFonts w:hint="eastAsia" w:hAnsi="宋体" w:cs="宋体"/>
          <w:color w:val="auto"/>
          <w:szCs w:val="21"/>
          <w:highlight w:val="none"/>
          <w:lang w:eastAsia="zh-CN"/>
        </w:rPr>
        <w:t>响应</w:t>
      </w:r>
      <w:r>
        <w:rPr>
          <w:rFonts w:hint="eastAsia" w:hAnsi="宋体" w:cs="宋体"/>
          <w:color w:val="auto"/>
          <w:szCs w:val="21"/>
          <w:highlight w:val="none"/>
        </w:rPr>
        <w:t>报价对供应商具有约束作用。如果供应商不接受修正后的报价，则其</w:t>
      </w:r>
      <w:r>
        <w:rPr>
          <w:rFonts w:hint="eastAsia" w:hAnsi="宋体" w:cs="宋体"/>
          <w:color w:val="auto"/>
          <w:szCs w:val="21"/>
          <w:highlight w:val="none"/>
          <w:lang w:eastAsia="zh-CN"/>
        </w:rPr>
        <w:t>响应</w:t>
      </w:r>
      <w:r>
        <w:rPr>
          <w:rFonts w:hint="eastAsia" w:hAnsi="宋体" w:cs="宋体"/>
          <w:color w:val="auto"/>
          <w:szCs w:val="21"/>
          <w:highlight w:val="none"/>
        </w:rPr>
        <w:t>将作为</w:t>
      </w:r>
      <w:r>
        <w:rPr>
          <w:rFonts w:hint="eastAsia" w:hAnsi="宋体" w:cs="宋体"/>
          <w:color w:val="auto"/>
          <w:szCs w:val="21"/>
          <w:highlight w:val="none"/>
          <w:lang w:eastAsia="zh-CN"/>
        </w:rPr>
        <w:t>无效响应</w:t>
      </w:r>
      <w:r>
        <w:rPr>
          <w:rFonts w:hint="eastAsia" w:hAnsi="宋体" w:cs="宋体"/>
          <w:color w:val="auto"/>
          <w:szCs w:val="21"/>
          <w:highlight w:val="none"/>
        </w:rPr>
        <w:t>处理。</w:t>
      </w:r>
    </w:p>
    <w:p w14:paraId="6653AD93">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（八）响应文件的递交</w:t>
      </w:r>
    </w:p>
    <w:p w14:paraId="2E0EF9C1">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响应文件的正本、副本以及电子文档均应密封送达比选地点，应在封套上注明项目名称、供应商名称。若正本、副本以及电子文档分别进行密封的，还</w:t>
      </w:r>
      <w:r>
        <w:rPr>
          <w:rFonts w:hint="eastAsia" w:hAnsi="宋体" w:cs="宋体"/>
          <w:color w:val="auto"/>
          <w:highlight w:val="none"/>
        </w:rPr>
        <w:t>应在封套上注明项目名称、供应商名称、联系人姓名及电话、于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r>
        <w:rPr>
          <w:rFonts w:hint="eastAsia" w:hAnsi="宋体" w:cs="宋体"/>
          <w:color w:val="auto"/>
          <w:highlight w:val="none"/>
          <w:u w:val="single"/>
        </w:rPr>
        <w:t xml:space="preserve">  </w:t>
      </w:r>
      <w:r>
        <w:rPr>
          <w:rFonts w:hint="eastAsia" w:hAnsi="宋体" w:cs="宋体"/>
          <w:color w:val="auto"/>
          <w:highlight w:val="none"/>
        </w:rPr>
        <w:t>时前不得开启，否则作为</w:t>
      </w:r>
      <w:r>
        <w:rPr>
          <w:rFonts w:hint="eastAsia" w:hAnsi="宋体" w:cs="宋体"/>
          <w:color w:val="auto"/>
          <w:highlight w:val="none"/>
          <w:lang w:eastAsia="zh-CN"/>
        </w:rPr>
        <w:t>无效响应</w:t>
      </w:r>
      <w:r>
        <w:rPr>
          <w:rFonts w:hint="eastAsia" w:hAnsi="宋体" w:cs="宋体"/>
          <w:color w:val="auto"/>
          <w:highlight w:val="none"/>
        </w:rPr>
        <w:t>处理。</w:t>
      </w:r>
    </w:p>
    <w:p w14:paraId="7360421E">
      <w:pPr>
        <w:pStyle w:val="3"/>
        <w:bidi w:val="0"/>
        <w:rPr>
          <w:rFonts w:hint="eastAsia"/>
          <w:lang w:eastAsia="zh-CN"/>
        </w:rPr>
      </w:pPr>
      <w:bookmarkStart w:id="101" w:name="_Toc22026"/>
      <w:bookmarkStart w:id="102" w:name="_Toc76373895"/>
      <w:bookmarkStart w:id="103" w:name="_Toc7461"/>
      <w:bookmarkStart w:id="104" w:name="_Toc2808"/>
      <w:bookmarkStart w:id="105" w:name="_Toc415"/>
      <w:r>
        <w:rPr>
          <w:rFonts w:hint="eastAsia"/>
        </w:rPr>
        <w:t>四、</w:t>
      </w:r>
      <w:bookmarkEnd w:id="101"/>
      <w:bookmarkEnd w:id="102"/>
      <w:bookmarkEnd w:id="103"/>
      <w:bookmarkEnd w:id="104"/>
      <w:bookmarkEnd w:id="105"/>
      <w:r>
        <w:rPr>
          <w:rFonts w:hint="eastAsia"/>
          <w:lang w:eastAsia="zh-CN"/>
        </w:rPr>
        <w:t>响应文件开启</w:t>
      </w:r>
    </w:p>
    <w:p w14:paraId="57751581">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w:t>
      </w:r>
      <w:r>
        <w:rPr>
          <w:rFonts w:hint="eastAsia" w:ascii="宋体" w:hAnsi="宋体" w:cs="宋体"/>
          <w:color w:val="auto"/>
          <w:sz w:val="21"/>
          <w:szCs w:val="21"/>
          <w:highlight w:val="none"/>
          <w:lang w:eastAsia="zh-CN"/>
        </w:rPr>
        <w:t>响应文件开启</w:t>
      </w:r>
      <w:r>
        <w:rPr>
          <w:rFonts w:hint="eastAsia" w:ascii="宋体" w:hAnsi="宋体" w:cs="宋体"/>
          <w:color w:val="auto"/>
          <w:sz w:val="21"/>
          <w:szCs w:val="21"/>
          <w:highlight w:val="none"/>
        </w:rPr>
        <w:t>应当在比选文件中“</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邀请书”确定的时间和地点公开进行。</w:t>
      </w:r>
    </w:p>
    <w:p w14:paraId="4D724C03">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（二）采购代理机构可视采购具体情况，延长</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截止时间和</w:t>
      </w:r>
      <w:r>
        <w:rPr>
          <w:rFonts w:hint="eastAsia" w:ascii="宋体" w:hAnsi="宋体" w:cs="宋体"/>
          <w:color w:val="auto"/>
          <w:sz w:val="21"/>
          <w:szCs w:val="21"/>
          <w:highlight w:val="none"/>
          <w:lang w:eastAsia="zh-CN"/>
        </w:rPr>
        <w:t>响应文件开启</w:t>
      </w:r>
      <w:r>
        <w:rPr>
          <w:rFonts w:hint="eastAsia" w:ascii="宋体" w:hAnsi="宋体" w:cs="宋体"/>
          <w:color w:val="auto"/>
          <w:sz w:val="21"/>
          <w:szCs w:val="21"/>
          <w:highlight w:val="none"/>
        </w:rPr>
        <w:t>时间，并将变更时间书面通知所有比选文件收受人。</w:t>
      </w:r>
    </w:p>
    <w:p w14:paraId="0639FA73">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w:t>
      </w:r>
      <w:r>
        <w:rPr>
          <w:rFonts w:hint="eastAsia" w:ascii="宋体" w:hAnsi="宋体" w:cs="宋体"/>
          <w:color w:val="auto"/>
          <w:sz w:val="21"/>
          <w:szCs w:val="21"/>
          <w:highlight w:val="none"/>
          <w:lang w:eastAsia="zh-CN"/>
        </w:rPr>
        <w:t>响应文件开启</w:t>
      </w:r>
      <w:r>
        <w:rPr>
          <w:rFonts w:hint="eastAsia" w:ascii="宋体" w:hAnsi="宋体" w:cs="宋体"/>
          <w:color w:val="auto"/>
          <w:sz w:val="21"/>
          <w:szCs w:val="21"/>
          <w:highlight w:val="none"/>
        </w:rPr>
        <w:t>由采购人或采购代理机构主持，邀请供应商和有关监督部门代表参加,有关监督部门可视情况派员现场监督。</w:t>
      </w:r>
    </w:p>
    <w:p w14:paraId="6CD29172">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（四）</w:t>
      </w:r>
      <w:r>
        <w:rPr>
          <w:rFonts w:hint="eastAsia" w:ascii="宋体" w:hAnsi="宋体" w:cs="宋体"/>
          <w:color w:val="auto"/>
          <w:sz w:val="21"/>
          <w:szCs w:val="21"/>
          <w:highlight w:val="none"/>
          <w:lang w:eastAsia="zh-CN"/>
        </w:rPr>
        <w:t>响应文件开启</w:t>
      </w:r>
      <w:r>
        <w:rPr>
          <w:rFonts w:hint="eastAsia" w:ascii="宋体" w:hAnsi="宋体" w:cs="宋体"/>
          <w:color w:val="auto"/>
          <w:sz w:val="21"/>
          <w:szCs w:val="21"/>
          <w:highlight w:val="none"/>
        </w:rPr>
        <w:t>时，由供应商或者其推选的代表检查响应文件的密封情况；经确认无误后，由采购人或者采购代理机构工作人员当众拆封，宣布供应商名称、</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价格和《</w:t>
      </w:r>
      <w:r>
        <w:rPr>
          <w:rFonts w:hint="eastAsia" w:ascii="宋体" w:hAnsi="宋体" w:cs="宋体"/>
          <w:color w:val="auto"/>
          <w:sz w:val="21"/>
          <w:szCs w:val="21"/>
          <w:highlight w:val="none"/>
          <w:lang w:eastAsia="zh-CN"/>
        </w:rPr>
        <w:t>响应文件开启</w:t>
      </w:r>
      <w:r>
        <w:rPr>
          <w:rFonts w:hint="eastAsia" w:ascii="宋体" w:hAnsi="宋体" w:cs="宋体"/>
          <w:color w:val="auto"/>
          <w:sz w:val="21"/>
          <w:szCs w:val="21"/>
          <w:highlight w:val="none"/>
        </w:rPr>
        <w:t>一览表》规定的需要宣布的其他内容。供应商不足三家的，不得</w:t>
      </w:r>
      <w:r>
        <w:rPr>
          <w:rFonts w:hint="eastAsia" w:ascii="宋体" w:hAnsi="宋体" w:cs="宋体"/>
          <w:color w:val="auto"/>
          <w:sz w:val="21"/>
          <w:szCs w:val="21"/>
          <w:highlight w:val="none"/>
          <w:lang w:eastAsia="zh-CN"/>
        </w:rPr>
        <w:t>开启响应文件</w:t>
      </w:r>
      <w:r>
        <w:rPr>
          <w:rFonts w:hint="eastAsia" w:ascii="宋体" w:hAnsi="宋体" w:cs="宋体"/>
          <w:color w:val="auto"/>
          <w:sz w:val="21"/>
          <w:szCs w:val="21"/>
          <w:highlight w:val="none"/>
        </w:rPr>
        <w:t>。</w:t>
      </w:r>
    </w:p>
    <w:p w14:paraId="3B7E3BFA">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（五）未宣读的</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价格、价格折扣和比选文件允许提供的备选</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方案等实质性内容等，</w:t>
      </w:r>
      <w:r>
        <w:rPr>
          <w:rFonts w:hint="eastAsia" w:ascii="宋体" w:hAnsi="宋体" w:cs="宋体"/>
          <w:color w:val="auto"/>
          <w:sz w:val="21"/>
          <w:szCs w:val="21"/>
          <w:highlight w:val="none"/>
          <w:lang w:eastAsia="zh-CN"/>
        </w:rPr>
        <w:t>评审</w:t>
      </w:r>
      <w:r>
        <w:rPr>
          <w:rFonts w:hint="eastAsia" w:ascii="宋体" w:hAnsi="宋体" w:cs="宋体"/>
          <w:color w:val="auto"/>
          <w:sz w:val="21"/>
          <w:szCs w:val="21"/>
          <w:highlight w:val="none"/>
        </w:rPr>
        <w:t>时不予承认。</w:t>
      </w:r>
    </w:p>
    <w:p w14:paraId="42DC3A90">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（六）</w:t>
      </w:r>
      <w:r>
        <w:rPr>
          <w:rFonts w:hint="eastAsia" w:hAnsi="宋体" w:cs="宋体"/>
          <w:color w:val="auto"/>
          <w:szCs w:val="21"/>
          <w:highlight w:val="none"/>
          <w:lang w:eastAsia="zh-CN"/>
        </w:rPr>
        <w:t>响应文件开启</w:t>
      </w:r>
      <w:r>
        <w:rPr>
          <w:rFonts w:hint="eastAsia" w:hAnsi="宋体" w:cs="宋体"/>
          <w:color w:val="auto"/>
          <w:szCs w:val="21"/>
          <w:highlight w:val="none"/>
        </w:rPr>
        <w:t>过程应由采购人或采购代理机构指定专人负责记录，并存档备查。</w:t>
      </w:r>
    </w:p>
    <w:p w14:paraId="1275B601">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（七）供应商未参加</w:t>
      </w:r>
      <w:r>
        <w:rPr>
          <w:rFonts w:hint="eastAsia" w:hAnsi="宋体" w:cs="宋体"/>
          <w:color w:val="auto"/>
          <w:szCs w:val="21"/>
          <w:highlight w:val="none"/>
          <w:lang w:eastAsia="zh-CN"/>
        </w:rPr>
        <w:t>响应文件开启</w:t>
      </w:r>
      <w:r>
        <w:rPr>
          <w:rFonts w:hint="eastAsia" w:hAnsi="宋体" w:cs="宋体"/>
          <w:color w:val="auto"/>
          <w:szCs w:val="21"/>
          <w:highlight w:val="none"/>
        </w:rPr>
        <w:t>的，视同认可</w:t>
      </w:r>
      <w:r>
        <w:rPr>
          <w:rFonts w:hint="eastAsia" w:hAnsi="宋体" w:cs="宋体"/>
          <w:color w:val="auto"/>
          <w:szCs w:val="21"/>
          <w:highlight w:val="none"/>
          <w:lang w:eastAsia="zh-CN"/>
        </w:rPr>
        <w:t>响应文件开启</w:t>
      </w:r>
      <w:r>
        <w:rPr>
          <w:rFonts w:hint="eastAsia" w:hAnsi="宋体" w:cs="宋体"/>
          <w:color w:val="auto"/>
          <w:szCs w:val="21"/>
          <w:highlight w:val="none"/>
        </w:rPr>
        <w:t>结果。</w:t>
      </w:r>
    </w:p>
    <w:p w14:paraId="44E6F0CE">
      <w:pPr>
        <w:pStyle w:val="3"/>
        <w:bidi w:val="0"/>
        <w:rPr>
          <w:rFonts w:hint="eastAsia"/>
          <w:lang w:eastAsia="zh-CN"/>
        </w:rPr>
      </w:pPr>
      <w:bookmarkStart w:id="106" w:name="_Toc4514"/>
      <w:bookmarkStart w:id="107" w:name="_Toc30704"/>
      <w:bookmarkStart w:id="108" w:name="_Toc14882"/>
      <w:bookmarkStart w:id="109" w:name="_Toc76373896"/>
      <w:bookmarkStart w:id="110" w:name="_Toc6547"/>
      <w:r>
        <w:rPr>
          <w:rFonts w:hint="eastAsia"/>
        </w:rPr>
        <w:t>五、</w:t>
      </w:r>
      <w:bookmarkEnd w:id="106"/>
      <w:bookmarkEnd w:id="107"/>
      <w:bookmarkEnd w:id="108"/>
      <w:bookmarkEnd w:id="109"/>
      <w:bookmarkEnd w:id="110"/>
      <w:r>
        <w:rPr>
          <w:rFonts w:hint="eastAsia"/>
          <w:lang w:eastAsia="zh-CN"/>
        </w:rPr>
        <w:t>评审</w:t>
      </w:r>
    </w:p>
    <w:p w14:paraId="42D30973">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见第四篇内容。</w:t>
      </w:r>
    </w:p>
    <w:p w14:paraId="79F99918">
      <w:pPr>
        <w:pStyle w:val="3"/>
        <w:bidi w:val="0"/>
        <w:rPr>
          <w:rFonts w:hint="eastAsia"/>
          <w:lang w:eastAsia="zh-CN"/>
        </w:rPr>
      </w:pPr>
      <w:bookmarkStart w:id="111" w:name="_Toc27920"/>
      <w:bookmarkStart w:id="112" w:name="_Toc76373897"/>
      <w:bookmarkStart w:id="113" w:name="_Toc16489"/>
      <w:bookmarkStart w:id="114" w:name="_Toc28129"/>
      <w:bookmarkStart w:id="115" w:name="_Toc13262"/>
      <w:r>
        <w:rPr>
          <w:rFonts w:hint="eastAsia"/>
        </w:rPr>
        <w:t>六、</w:t>
      </w:r>
      <w:bookmarkEnd w:id="111"/>
      <w:bookmarkEnd w:id="112"/>
      <w:bookmarkEnd w:id="113"/>
      <w:bookmarkEnd w:id="114"/>
      <w:bookmarkEnd w:id="115"/>
      <w:r>
        <w:rPr>
          <w:rFonts w:hint="eastAsia"/>
          <w:lang w:eastAsia="zh-CN"/>
        </w:rPr>
        <w:t>确定成交</w:t>
      </w:r>
    </w:p>
    <w:p w14:paraId="52DE6203">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w:t>
      </w:r>
      <w:r>
        <w:rPr>
          <w:rFonts w:hint="eastAsia" w:ascii="宋体" w:hAnsi="宋体" w:cs="宋体"/>
          <w:color w:val="auto"/>
          <w:sz w:val="21"/>
          <w:szCs w:val="21"/>
          <w:highlight w:val="none"/>
          <w:lang w:eastAsia="zh-CN"/>
        </w:rPr>
        <w:t>确定成交</w:t>
      </w:r>
      <w:r>
        <w:rPr>
          <w:rFonts w:hint="eastAsia" w:ascii="宋体" w:hAnsi="宋体" w:cs="宋体"/>
          <w:color w:val="auto"/>
          <w:sz w:val="21"/>
          <w:szCs w:val="21"/>
          <w:highlight w:val="none"/>
        </w:rPr>
        <w:t>原则</w:t>
      </w:r>
    </w:p>
    <w:p w14:paraId="3A967B1D">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采购人或其授权的评审小组应按照评审报告中推荐的中选候选人排名顺序确定成交供应商。</w:t>
      </w:r>
    </w:p>
    <w:p w14:paraId="3A4B1ABB">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（二）</w:t>
      </w:r>
      <w:r>
        <w:rPr>
          <w:rFonts w:hint="eastAsia" w:hAnsi="宋体" w:cs="宋体"/>
          <w:color w:val="auto"/>
          <w:szCs w:val="21"/>
          <w:highlight w:val="none"/>
          <w:lang w:eastAsia="zh-CN"/>
        </w:rPr>
        <w:t>确定成交</w:t>
      </w:r>
      <w:r>
        <w:rPr>
          <w:rFonts w:hint="eastAsia" w:hAnsi="宋体" w:cs="宋体"/>
          <w:color w:val="auto"/>
          <w:szCs w:val="21"/>
          <w:highlight w:val="none"/>
        </w:rPr>
        <w:t>程序</w:t>
      </w:r>
    </w:p>
    <w:p w14:paraId="72E8C9D7">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1.采购代理机构应当在</w:t>
      </w:r>
      <w:r>
        <w:rPr>
          <w:rFonts w:hint="eastAsia" w:hAnsi="宋体" w:cs="宋体"/>
          <w:color w:val="auto"/>
          <w:szCs w:val="21"/>
          <w:highlight w:val="none"/>
          <w:lang w:eastAsia="zh-CN"/>
        </w:rPr>
        <w:t>评审</w:t>
      </w:r>
      <w:r>
        <w:rPr>
          <w:rFonts w:hint="eastAsia" w:hAnsi="宋体" w:cs="宋体"/>
          <w:color w:val="auto"/>
          <w:szCs w:val="21"/>
          <w:highlight w:val="none"/>
        </w:rPr>
        <w:t>结束后2个工作日内将评审报告送采购人。</w:t>
      </w:r>
    </w:p>
    <w:p w14:paraId="45D1E47B">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2.采购人应当自收到评审报告之日起5个工作日内按评审报告推荐的中选候选人顺序确定成交供应商。</w:t>
      </w:r>
    </w:p>
    <w:p w14:paraId="7618360C">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中选候选人并列的，由采购人或者采购人委托评审小组按照技术（质量）部分得分由高到低的顺序排列；技术（质量）部分得分相同的，按商务部分得分由高到低的顺序排列确定成交供应商。</w:t>
      </w:r>
    </w:p>
    <w:p w14:paraId="355D8BB1">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3.采购人或者采购代理机构应当自成交供应商确定之日起2个工作日内，在“行采家”（https://www.gec123.com/）上公告</w:t>
      </w:r>
      <w:r>
        <w:rPr>
          <w:rFonts w:hint="eastAsia" w:hAnsi="宋体" w:cs="宋体"/>
          <w:color w:val="auto"/>
          <w:szCs w:val="21"/>
          <w:highlight w:val="none"/>
          <w:lang w:eastAsia="zh-CN"/>
        </w:rPr>
        <w:t>成交</w:t>
      </w:r>
      <w:r>
        <w:rPr>
          <w:rFonts w:hint="eastAsia" w:hAnsi="宋体" w:cs="宋体"/>
          <w:color w:val="auto"/>
          <w:szCs w:val="21"/>
          <w:highlight w:val="none"/>
        </w:rPr>
        <w:t>结果。</w:t>
      </w:r>
      <w:r>
        <w:rPr>
          <w:rFonts w:hint="eastAsia" w:hAnsi="宋体" w:cs="宋体"/>
          <w:color w:val="auto"/>
          <w:szCs w:val="21"/>
          <w:highlight w:val="none"/>
          <w:lang w:eastAsia="zh-CN"/>
        </w:rPr>
        <w:t>成交</w:t>
      </w:r>
      <w:r>
        <w:rPr>
          <w:rFonts w:hint="eastAsia" w:hAnsi="宋体" w:cs="宋体"/>
          <w:color w:val="auto"/>
          <w:szCs w:val="21"/>
          <w:highlight w:val="none"/>
        </w:rPr>
        <w:t>公告期限为</w:t>
      </w:r>
      <w:r>
        <w:rPr>
          <w:rFonts w:hint="eastAsia" w:hAnsi="宋体" w:cs="宋体"/>
          <w:color w:val="auto"/>
          <w:szCs w:val="21"/>
          <w:highlight w:val="none"/>
          <w:lang w:val="en-US" w:eastAsia="zh-CN"/>
        </w:rPr>
        <w:t>3</w:t>
      </w:r>
      <w:r>
        <w:rPr>
          <w:rFonts w:hint="eastAsia" w:hAnsi="宋体" w:cs="宋体"/>
          <w:color w:val="auto"/>
          <w:szCs w:val="21"/>
          <w:highlight w:val="none"/>
        </w:rPr>
        <w:t>个工作日。</w:t>
      </w:r>
    </w:p>
    <w:p w14:paraId="6D74AEB6">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4.成交供应商变更</w:t>
      </w:r>
    </w:p>
    <w:p w14:paraId="7F009B6F">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成交供应商拒绝与采购人签订合同的，采购人可以按照评审报告推荐的中选候选人顺序，确定排名下一位的候选人为成交供应商，也可以重新开展政府采购活动。</w:t>
      </w:r>
    </w:p>
    <w:p w14:paraId="026CA27A">
      <w:pPr>
        <w:pStyle w:val="3"/>
        <w:bidi w:val="0"/>
        <w:rPr>
          <w:rFonts w:hint="eastAsia"/>
          <w:lang w:eastAsia="zh-CN"/>
        </w:rPr>
      </w:pPr>
      <w:bookmarkStart w:id="116" w:name="_Toc1779"/>
      <w:bookmarkStart w:id="117" w:name="_Toc23869"/>
      <w:bookmarkStart w:id="118" w:name="_Toc25825"/>
      <w:bookmarkStart w:id="119" w:name="_Toc30543"/>
      <w:bookmarkStart w:id="120" w:name="_Toc76373898"/>
      <w:r>
        <w:rPr>
          <w:rFonts w:hint="eastAsia"/>
        </w:rPr>
        <w:t>七、</w:t>
      </w:r>
      <w:bookmarkEnd w:id="116"/>
      <w:bookmarkEnd w:id="117"/>
      <w:bookmarkEnd w:id="118"/>
      <w:bookmarkEnd w:id="119"/>
      <w:bookmarkEnd w:id="120"/>
      <w:r>
        <w:rPr>
          <w:rFonts w:hint="eastAsia"/>
          <w:lang w:eastAsia="zh-CN"/>
        </w:rPr>
        <w:t>成交</w:t>
      </w:r>
    </w:p>
    <w:p w14:paraId="7BA3EB0F">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（一）采购人依法确定成交供应商后，采购代理机构以书面形式发出</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通知书。</w:t>
      </w:r>
    </w:p>
    <w:p w14:paraId="6E82B596">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通知书发出后，采购人改变</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结果，或者成交供应商放弃</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，应当承担相应的法律责任。</w:t>
      </w:r>
    </w:p>
    <w:p w14:paraId="4666B984">
      <w:pPr>
        <w:pStyle w:val="3"/>
        <w:bidi w:val="0"/>
      </w:pPr>
      <w:bookmarkStart w:id="121" w:name="_Toc25002"/>
      <w:bookmarkStart w:id="122" w:name="_Toc30577"/>
      <w:bookmarkStart w:id="123" w:name="_Toc1399"/>
      <w:bookmarkStart w:id="124" w:name="_Toc76373899"/>
      <w:bookmarkStart w:id="125" w:name="_Toc1939"/>
      <w:r>
        <w:rPr>
          <w:rFonts w:hint="eastAsia"/>
        </w:rPr>
        <w:t>八、询问、质疑和投诉</w:t>
      </w:r>
      <w:bookmarkEnd w:id="121"/>
      <w:bookmarkEnd w:id="122"/>
      <w:bookmarkEnd w:id="123"/>
      <w:bookmarkEnd w:id="124"/>
      <w:bookmarkEnd w:id="125"/>
    </w:p>
    <w:p w14:paraId="50BCAF63">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（一）询问</w:t>
      </w:r>
    </w:p>
    <w:p w14:paraId="1D53345F">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采购人或者采购代理机构应当在3个工作日内对供应商依法提出的询问作出答复。供应商询问可以是口头或书面形式。</w:t>
      </w:r>
    </w:p>
    <w:p w14:paraId="1A213335">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（二）质疑</w:t>
      </w:r>
    </w:p>
    <w:p w14:paraId="4DEEAB26">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供应商认为采购文件、采购过程和</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结果使自己的权益受到伤害的，可向采购人或采购代理机构以书面形式提出质疑。</w:t>
      </w:r>
    </w:p>
    <w:p w14:paraId="2CDBC837">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提出质疑的应当是参与所质疑项目采购活动的供应商。 </w:t>
      </w:r>
    </w:p>
    <w:p w14:paraId="3CCBDF06">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1.质疑时限、内容</w:t>
      </w:r>
    </w:p>
    <w:p w14:paraId="5B6C3708">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1.1供应商对比选文件提出质疑的，应在依法获取比选文件之日或者比选文件公告期限届满之日起七个工作日内提出。</w:t>
      </w:r>
    </w:p>
    <w:p w14:paraId="33B2D37D">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1.2 供应商对采购过程提出质疑的，应在各采购程序环节结束之日起七个工作日内提出。</w:t>
      </w:r>
    </w:p>
    <w:p w14:paraId="1AF42303">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1.3供应商对</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结果提出质疑的，应当在</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结果公告期限届满之日起七个工作日内提出。</w:t>
      </w:r>
    </w:p>
    <w:p w14:paraId="4827F2EA">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1.4供应商提出质疑应当提交质疑函和必要的证明材料，质疑函应当包括下列内容：</w:t>
      </w:r>
    </w:p>
    <w:p w14:paraId="13391E4C">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1.4.1供应商的姓名或者名称、地址、邮编、联系人及联系电话；</w:t>
      </w:r>
    </w:p>
    <w:p w14:paraId="681D909D">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1.4.2质疑项目的名称、项目号以及采购执行编号；</w:t>
      </w:r>
    </w:p>
    <w:p w14:paraId="20756DE5">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1.4.3具体、明确的质疑事项和与质疑事项相关的请求；</w:t>
      </w:r>
    </w:p>
    <w:p w14:paraId="7026E70F">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1.4.4事实依据；</w:t>
      </w:r>
    </w:p>
    <w:p w14:paraId="1BB2104B">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1.4.5必要的法律依据；</w:t>
      </w:r>
    </w:p>
    <w:p w14:paraId="4166EDBC">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1.4.6提出质疑的日期；</w:t>
      </w:r>
    </w:p>
    <w:p w14:paraId="42F1ED1A">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1.4.7营业执照（或事业单位法人证书，或个体工商户营业执照或有效的自然人身份证明）复印件；</w:t>
      </w:r>
    </w:p>
    <w:p w14:paraId="482D7299">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1.4.8法定代表人授权委托书原件、法定代表人身份证复印件和其授权代表的身份证复印件（供应商为自然人的提供自然人身份证复印件）；</w:t>
      </w:r>
    </w:p>
    <w:p w14:paraId="5FFA6995">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1.5供应商为自然人的，质疑函应当由本人签字；供应商为法人或者其他组织的，质疑函应当由法定代表人、主要负责人，或者其授权代表签字或者盖章，并加盖公章。</w:t>
      </w:r>
    </w:p>
    <w:p w14:paraId="7A13066E">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2.质疑答复</w:t>
      </w:r>
    </w:p>
    <w:p w14:paraId="308089B6">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采购人、采购代理机构应当在收到供应商的书面质疑后七个工作日内作出答复，并以书面形式通知质疑供应商和其他有关供应商。</w:t>
      </w:r>
    </w:p>
    <w:p w14:paraId="7BCA930D">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3.其他</w:t>
      </w:r>
    </w:p>
    <w:p w14:paraId="4FC4244F">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3.1供应商应按照《政府采购质疑和投诉办法》（财政部令第94号）及相关法律法规要求，在法定质疑期内一次性提出针对同一采购程序环节的质疑。</w:t>
      </w:r>
    </w:p>
    <w:p w14:paraId="44DAACA3">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3.2质疑函范本可在财政部门户网站和中国政府采购网下载。</w:t>
      </w:r>
    </w:p>
    <w:p w14:paraId="302D3646">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4.质疑联系方式详见第一篇“联系方式”。</w:t>
      </w:r>
    </w:p>
    <w:p w14:paraId="1288567E">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（三）投诉</w:t>
      </w:r>
    </w:p>
    <w:p w14:paraId="1F888ABD">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1.供应商对采购人、采购代理机构的答复不满意，或者采购人、采购代理机构未在规定时间内作出答复的，可以在答复期满后15个工作日内按照相关法律法规向财政部门提起投诉。</w:t>
      </w:r>
    </w:p>
    <w:p w14:paraId="0B035C32">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2.供应商应按照《政府采购质疑和投诉办法》（财政部令第94号）及相关法律法规要求递交投诉书和必要的证明材料。投诉书范本可在财政部门户网站和中国政府采购网下载。</w:t>
      </w:r>
    </w:p>
    <w:p w14:paraId="4E0E0E68">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E0322C9">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4.在确定受理投诉后，财政部门自受理投诉之日起30个工作日内（需要检验、检测、鉴定、专家评审以及需要投诉人补正材料的，所需时间不计算在投诉处理期限内）对投诉事项做出处理决定。</w:t>
      </w:r>
    </w:p>
    <w:p w14:paraId="2E20AC2C">
      <w:pPr>
        <w:pStyle w:val="3"/>
        <w:bidi w:val="0"/>
      </w:pPr>
      <w:bookmarkStart w:id="126" w:name="_Toc18352"/>
      <w:bookmarkStart w:id="127" w:name="_Toc22227"/>
      <w:bookmarkStart w:id="128" w:name="_Toc18235"/>
      <w:bookmarkStart w:id="129" w:name="_Toc14546"/>
      <w:bookmarkStart w:id="130" w:name="_Toc76373900"/>
      <w:r>
        <w:rPr>
          <w:rFonts w:hint="eastAsia"/>
        </w:rPr>
        <w:t>九、采购代理服务费</w:t>
      </w:r>
      <w:bookmarkEnd w:id="126"/>
      <w:bookmarkEnd w:id="127"/>
      <w:bookmarkEnd w:id="128"/>
      <w:bookmarkEnd w:id="129"/>
      <w:bookmarkEnd w:id="130"/>
    </w:p>
    <w:p w14:paraId="1D1F54FA">
      <w:pPr>
        <w:spacing w:line="400" w:lineRule="exact"/>
        <w:ind w:firstLine="420" w:firstLineChars="200"/>
        <w:rPr>
          <w:rFonts w:ascii="宋体" w:hAnsi="宋体" w:cs="宋体"/>
          <w:bCs/>
          <w:color w:val="auto"/>
          <w:sz w:val="21"/>
          <w:szCs w:val="21"/>
          <w:highlight w:val="none"/>
        </w:rPr>
      </w:pPr>
      <w:bookmarkStart w:id="131" w:name="_Toc76373901"/>
      <w:bookmarkStart w:id="132" w:name="_Toc345318310"/>
      <w:bookmarkStart w:id="133" w:name="_Toc30332"/>
      <w:bookmarkStart w:id="134" w:name="_Toc342983494"/>
      <w:bookmarkStart w:id="135" w:name="_Toc429584878"/>
      <w:bookmarkStart w:id="136" w:name="_Toc6078"/>
      <w:bookmarkStart w:id="137" w:name="_Toc343881212"/>
      <w:bookmarkStart w:id="138" w:name="_Toc14077"/>
      <w:bookmarkStart w:id="139" w:name="_Toc28913"/>
      <w:r>
        <w:rPr>
          <w:rFonts w:hint="eastAsia" w:ascii="宋体" w:hAnsi="宋体" w:cs="宋体"/>
          <w:bCs/>
          <w:color w:val="auto"/>
          <w:sz w:val="21"/>
          <w:szCs w:val="21"/>
          <w:highlight w:val="none"/>
        </w:rPr>
        <w:t>本项目由采购人向采购代理机构缴纳采购代理服务费。</w:t>
      </w:r>
    </w:p>
    <w:p w14:paraId="184619DB">
      <w:pPr>
        <w:pStyle w:val="3"/>
        <w:bidi w:val="0"/>
      </w:pPr>
      <w:r>
        <w:rPr>
          <w:rFonts w:hint="eastAsia"/>
        </w:rPr>
        <w:t>十、</w:t>
      </w:r>
      <w:bookmarkEnd w:id="131"/>
      <w:bookmarkEnd w:id="132"/>
      <w:bookmarkEnd w:id="133"/>
      <w:bookmarkEnd w:id="134"/>
      <w:bookmarkEnd w:id="135"/>
      <w:bookmarkEnd w:id="136"/>
      <w:bookmarkEnd w:id="137"/>
      <w:bookmarkEnd w:id="138"/>
      <w:bookmarkEnd w:id="139"/>
      <w:bookmarkStart w:id="140" w:name="_Toc18118"/>
      <w:bookmarkStart w:id="141" w:name="_Toc16111"/>
      <w:bookmarkStart w:id="142" w:name="_Toc20951"/>
      <w:bookmarkStart w:id="143" w:name="_Toc76373902"/>
      <w:bookmarkStart w:id="144" w:name="_Toc6985"/>
      <w:r>
        <w:rPr>
          <w:rFonts w:hint="eastAsia"/>
        </w:rPr>
        <w:t>签订合同</w:t>
      </w:r>
      <w:bookmarkEnd w:id="140"/>
      <w:bookmarkEnd w:id="141"/>
      <w:bookmarkEnd w:id="142"/>
      <w:bookmarkEnd w:id="143"/>
      <w:bookmarkEnd w:id="144"/>
    </w:p>
    <w:p w14:paraId="0A37E38A">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（一）采购人原则上应在</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通知书发出之日起二十日内和成交供应商签订政府采购合同，无正当理由不得拒绝或拖延合同签订。所签订的合同不得对比选文件和成交供应商响应文件作实质性修改。其他未尽事宜由采购人和成交供应商在采购合同中详细约定。</w:t>
      </w:r>
    </w:p>
    <w:p w14:paraId="297AFC7B">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（二）比选文件、成交供应商的响应文件及澄清文件等，均为签订政府采购合同的依据。</w:t>
      </w:r>
    </w:p>
    <w:p w14:paraId="6B2795B7">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（三）合同生效条款由供需双方约定，法律、行政法规规定应当办理批准、登记等手续后生效的合同，依照其规定。</w:t>
      </w:r>
    </w:p>
    <w:p w14:paraId="0EE1D7CC">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（四）合同原则上应按照《重庆市政府采购合同》签订，相关单位要求适用合同通用格式版本的，应按其要求另行签订其他合同。</w:t>
      </w:r>
    </w:p>
    <w:p w14:paraId="6A91D3E9">
      <w:pPr>
        <w:spacing w:line="360" w:lineRule="auto"/>
        <w:jc w:val="center"/>
        <w:rPr>
          <w:rFonts w:ascii="宋体" w:hAnsi="宋体" w:cs="宋体"/>
          <w:b/>
          <w:bCs/>
          <w:color w:val="auto"/>
          <w:szCs w:val="32"/>
          <w:highlight w:val="none"/>
        </w:rPr>
      </w:pPr>
      <w:r>
        <w:rPr>
          <w:rFonts w:hint="eastAsia" w:ascii="宋体" w:hAnsi="宋体" w:cs="宋体"/>
          <w:b/>
          <w:bCs/>
          <w:color w:val="auto"/>
          <w:szCs w:val="32"/>
          <w:highlight w:val="none"/>
        </w:rPr>
        <w:br w:type="textWrapping"/>
      </w:r>
      <w:bookmarkStart w:id="145" w:name="_Toc19409"/>
      <w:bookmarkStart w:id="146" w:name="_Toc10152"/>
      <w:bookmarkStart w:id="147" w:name="_Toc24088"/>
      <w:bookmarkStart w:id="148" w:name="_Toc11228"/>
      <w:bookmarkStart w:id="149" w:name="_Toc76373904"/>
      <w:bookmarkStart w:id="150" w:name="_Toc20762"/>
    </w:p>
    <w:p w14:paraId="36403955">
      <w:pPr>
        <w:pStyle w:val="2"/>
        <w:spacing w:line="240" w:lineRule="auto"/>
        <w:jc w:val="center"/>
        <w:rPr>
          <w:rFonts w:hAnsi="宋体" w:cs="宋体"/>
          <w:b/>
          <w:bCs/>
          <w:color w:val="auto"/>
          <w:szCs w:val="32"/>
          <w:highlight w:val="none"/>
        </w:rPr>
      </w:pPr>
      <w:r>
        <w:rPr>
          <w:rFonts w:hint="eastAsia" w:hAnsi="宋体" w:cs="宋体"/>
          <w:b/>
          <w:bCs/>
          <w:color w:val="auto"/>
          <w:szCs w:val="32"/>
          <w:highlight w:val="none"/>
        </w:rPr>
        <w:br w:type="page"/>
      </w:r>
      <w:bookmarkStart w:id="151" w:name="_Toc1967"/>
      <w:r>
        <w:rPr>
          <w:rFonts w:hint="eastAsia"/>
          <w:color w:val="auto"/>
          <w:highlight w:val="none"/>
        </w:rPr>
        <w:t xml:space="preserve">第六篇  </w:t>
      </w:r>
      <w:bookmarkEnd w:id="145"/>
      <w:bookmarkEnd w:id="146"/>
      <w:bookmarkEnd w:id="147"/>
      <w:bookmarkEnd w:id="148"/>
      <w:bookmarkEnd w:id="149"/>
      <w:bookmarkEnd w:id="150"/>
      <w:bookmarkStart w:id="152" w:name="_Toc12789072"/>
      <w:r>
        <w:rPr>
          <w:rFonts w:hint="eastAsia"/>
          <w:color w:val="auto"/>
          <w:highlight w:val="none"/>
        </w:rPr>
        <w:t>合同条款及格式</w:t>
      </w:r>
      <w:bookmarkEnd w:id="151"/>
    </w:p>
    <w:p w14:paraId="66392478">
      <w:pPr>
        <w:spacing w:line="500" w:lineRule="exact"/>
        <w:jc w:val="center"/>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采购合同</w:t>
      </w:r>
    </w:p>
    <w:p w14:paraId="04DABD19">
      <w:pPr>
        <w:spacing w:line="500" w:lineRule="exact"/>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（项目号：     ）</w:t>
      </w:r>
    </w:p>
    <w:p w14:paraId="6AF3F9E2">
      <w:pPr>
        <w:spacing w:line="500" w:lineRule="exac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甲方（需方）：___________________________      计价单位：____________</w:t>
      </w:r>
    </w:p>
    <w:p w14:paraId="507ECBE8">
      <w:pPr>
        <w:spacing w:line="500" w:lineRule="exac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乙方（供方）：___________________________      计量单位：_____________</w:t>
      </w:r>
    </w:p>
    <w:p w14:paraId="6988CE2C">
      <w:pPr>
        <w:spacing w:line="500" w:lineRule="exact"/>
        <w:rPr>
          <w:rFonts w:asciiTheme="minorEastAsia" w:hAnsiTheme="minorEastAsia" w:eastAsiaTheme="minorEastAsia" w:cstheme="minorEastAsia"/>
          <w:color w:val="auto"/>
          <w:sz w:val="21"/>
          <w:szCs w:val="21"/>
          <w:highlight w:val="none"/>
        </w:rPr>
      </w:pPr>
    </w:p>
    <w:p w14:paraId="67384B3B">
      <w:pPr>
        <w:spacing w:line="500" w:lineRule="exac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经双方协商一致，达成以下购销合同：</w:t>
      </w:r>
    </w:p>
    <w:tbl>
      <w:tblPr>
        <w:tblStyle w:val="23"/>
        <w:tblW w:w="8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8"/>
        <w:gridCol w:w="976"/>
        <w:gridCol w:w="586"/>
        <w:gridCol w:w="703"/>
        <w:gridCol w:w="832"/>
        <w:gridCol w:w="1223"/>
        <w:gridCol w:w="1269"/>
      </w:tblGrid>
      <w:tr w14:paraId="476D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048" w:type="dxa"/>
            <w:vAlign w:val="center"/>
          </w:tcPr>
          <w:p w14:paraId="5E4EA630">
            <w:pPr>
              <w:spacing w:line="240" w:lineRule="atLeast"/>
              <w:jc w:val="center"/>
              <w:rPr>
                <w:rFonts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项目名称</w:t>
            </w:r>
          </w:p>
        </w:tc>
        <w:tc>
          <w:tcPr>
            <w:tcW w:w="976" w:type="dxa"/>
            <w:vAlign w:val="center"/>
          </w:tcPr>
          <w:p w14:paraId="21323F29">
            <w:pPr>
              <w:spacing w:line="240" w:lineRule="atLeast"/>
              <w:jc w:val="center"/>
              <w:rPr>
                <w:rFonts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数量</w:t>
            </w:r>
          </w:p>
        </w:tc>
        <w:tc>
          <w:tcPr>
            <w:tcW w:w="1289" w:type="dxa"/>
            <w:gridSpan w:val="2"/>
            <w:vAlign w:val="center"/>
          </w:tcPr>
          <w:p w14:paraId="12570CB3">
            <w:pPr>
              <w:spacing w:line="240" w:lineRule="atLeast"/>
              <w:jc w:val="center"/>
              <w:rPr>
                <w:rFonts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综合单价</w:t>
            </w:r>
          </w:p>
        </w:tc>
        <w:tc>
          <w:tcPr>
            <w:tcW w:w="832" w:type="dxa"/>
            <w:vAlign w:val="center"/>
          </w:tcPr>
          <w:p w14:paraId="24D4E8EC">
            <w:pPr>
              <w:spacing w:line="240" w:lineRule="atLeast"/>
              <w:jc w:val="center"/>
              <w:rPr>
                <w:rFonts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总价</w:t>
            </w:r>
          </w:p>
        </w:tc>
        <w:tc>
          <w:tcPr>
            <w:tcW w:w="1223" w:type="dxa"/>
            <w:vAlign w:val="center"/>
          </w:tcPr>
          <w:p w14:paraId="224512B6">
            <w:pPr>
              <w:spacing w:line="240" w:lineRule="atLeast"/>
              <w:jc w:val="center"/>
              <w:rPr>
                <w:rFonts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服务时间</w:t>
            </w:r>
          </w:p>
        </w:tc>
        <w:tc>
          <w:tcPr>
            <w:tcW w:w="1269" w:type="dxa"/>
            <w:vAlign w:val="center"/>
          </w:tcPr>
          <w:p w14:paraId="5865266A">
            <w:pPr>
              <w:spacing w:line="240" w:lineRule="atLeast"/>
              <w:jc w:val="center"/>
              <w:rPr>
                <w:rFonts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服务地点</w:t>
            </w:r>
          </w:p>
        </w:tc>
      </w:tr>
      <w:tr w14:paraId="3526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048" w:type="dxa"/>
            <w:vAlign w:val="center"/>
          </w:tcPr>
          <w:p w14:paraId="35FE8082">
            <w:pPr>
              <w:spacing w:line="240" w:lineRule="atLeast"/>
              <w:jc w:val="left"/>
              <w:rPr>
                <w:rFonts w:asciiTheme="minorEastAsia" w:hAnsiTheme="minorEastAsia" w:eastAsiaTheme="minorEastAsia" w:cstheme="minorEastAsia"/>
                <w:color w:val="auto"/>
                <w:sz w:val="21"/>
                <w:szCs w:val="21"/>
                <w:highlight w:val="none"/>
              </w:rPr>
            </w:pPr>
          </w:p>
        </w:tc>
        <w:tc>
          <w:tcPr>
            <w:tcW w:w="976" w:type="dxa"/>
            <w:vAlign w:val="center"/>
          </w:tcPr>
          <w:p w14:paraId="5EF99082">
            <w:pPr>
              <w:spacing w:line="240" w:lineRule="atLeast"/>
              <w:jc w:val="left"/>
              <w:rPr>
                <w:rFonts w:asciiTheme="minorEastAsia" w:hAnsiTheme="minorEastAsia" w:eastAsiaTheme="minorEastAsia" w:cstheme="minorEastAsia"/>
                <w:color w:val="auto"/>
                <w:sz w:val="21"/>
                <w:szCs w:val="21"/>
                <w:highlight w:val="none"/>
              </w:rPr>
            </w:pPr>
          </w:p>
        </w:tc>
        <w:tc>
          <w:tcPr>
            <w:tcW w:w="1289" w:type="dxa"/>
            <w:gridSpan w:val="2"/>
            <w:vAlign w:val="center"/>
          </w:tcPr>
          <w:p w14:paraId="36F325B0">
            <w:pPr>
              <w:spacing w:line="240" w:lineRule="atLeast"/>
              <w:jc w:val="left"/>
              <w:rPr>
                <w:rFonts w:asciiTheme="minorEastAsia" w:hAnsiTheme="minorEastAsia" w:eastAsiaTheme="minorEastAsia" w:cstheme="minorEastAsia"/>
                <w:color w:val="auto"/>
                <w:sz w:val="21"/>
                <w:szCs w:val="21"/>
                <w:highlight w:val="none"/>
              </w:rPr>
            </w:pPr>
          </w:p>
        </w:tc>
        <w:tc>
          <w:tcPr>
            <w:tcW w:w="832" w:type="dxa"/>
            <w:vAlign w:val="center"/>
          </w:tcPr>
          <w:p w14:paraId="199FC592">
            <w:pPr>
              <w:spacing w:line="240" w:lineRule="atLeast"/>
              <w:jc w:val="left"/>
              <w:rPr>
                <w:rFonts w:asciiTheme="minorEastAsia" w:hAnsiTheme="minorEastAsia" w:eastAsiaTheme="minorEastAsia" w:cstheme="minorEastAsia"/>
                <w:color w:val="auto"/>
                <w:sz w:val="21"/>
                <w:szCs w:val="21"/>
                <w:highlight w:val="none"/>
              </w:rPr>
            </w:pPr>
          </w:p>
        </w:tc>
        <w:tc>
          <w:tcPr>
            <w:tcW w:w="1223" w:type="dxa"/>
            <w:vAlign w:val="center"/>
          </w:tcPr>
          <w:p w14:paraId="25D4FC96">
            <w:pPr>
              <w:spacing w:line="240" w:lineRule="atLeast"/>
              <w:jc w:val="left"/>
              <w:rPr>
                <w:rFonts w:asciiTheme="minorEastAsia" w:hAnsiTheme="minorEastAsia" w:eastAsiaTheme="minorEastAsia" w:cstheme="minorEastAsia"/>
                <w:color w:val="auto"/>
                <w:sz w:val="21"/>
                <w:szCs w:val="21"/>
                <w:highlight w:val="none"/>
              </w:rPr>
            </w:pPr>
          </w:p>
        </w:tc>
        <w:tc>
          <w:tcPr>
            <w:tcW w:w="1269" w:type="dxa"/>
            <w:vAlign w:val="center"/>
          </w:tcPr>
          <w:p w14:paraId="689252E8">
            <w:pPr>
              <w:spacing w:line="240" w:lineRule="atLeast"/>
              <w:jc w:val="left"/>
              <w:rPr>
                <w:rFonts w:asciiTheme="minorEastAsia" w:hAnsiTheme="minorEastAsia" w:eastAsiaTheme="minorEastAsia" w:cstheme="minorEastAsia"/>
                <w:color w:val="auto"/>
                <w:sz w:val="21"/>
                <w:szCs w:val="21"/>
                <w:highlight w:val="none"/>
              </w:rPr>
            </w:pPr>
          </w:p>
        </w:tc>
      </w:tr>
      <w:tr w14:paraId="2F85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048" w:type="dxa"/>
            <w:vAlign w:val="center"/>
          </w:tcPr>
          <w:p w14:paraId="6DB95814">
            <w:pPr>
              <w:spacing w:line="240" w:lineRule="atLeast"/>
              <w:jc w:val="left"/>
              <w:rPr>
                <w:rFonts w:asciiTheme="minorEastAsia" w:hAnsiTheme="minorEastAsia" w:eastAsiaTheme="minorEastAsia" w:cstheme="minorEastAsia"/>
                <w:color w:val="auto"/>
                <w:sz w:val="21"/>
                <w:szCs w:val="21"/>
                <w:highlight w:val="none"/>
              </w:rPr>
            </w:pPr>
          </w:p>
        </w:tc>
        <w:tc>
          <w:tcPr>
            <w:tcW w:w="976" w:type="dxa"/>
            <w:vAlign w:val="center"/>
          </w:tcPr>
          <w:p w14:paraId="6AF58BFD">
            <w:pPr>
              <w:spacing w:line="240" w:lineRule="atLeast"/>
              <w:jc w:val="left"/>
              <w:rPr>
                <w:rFonts w:asciiTheme="minorEastAsia" w:hAnsiTheme="minorEastAsia" w:eastAsiaTheme="minorEastAsia" w:cstheme="minorEastAsia"/>
                <w:color w:val="auto"/>
                <w:sz w:val="21"/>
                <w:szCs w:val="21"/>
                <w:highlight w:val="none"/>
              </w:rPr>
            </w:pPr>
          </w:p>
        </w:tc>
        <w:tc>
          <w:tcPr>
            <w:tcW w:w="1289" w:type="dxa"/>
            <w:gridSpan w:val="2"/>
            <w:vAlign w:val="center"/>
          </w:tcPr>
          <w:p w14:paraId="73EF0846">
            <w:pPr>
              <w:spacing w:line="240" w:lineRule="atLeast"/>
              <w:jc w:val="left"/>
              <w:rPr>
                <w:rFonts w:asciiTheme="minorEastAsia" w:hAnsiTheme="minorEastAsia" w:eastAsiaTheme="minorEastAsia" w:cstheme="minorEastAsia"/>
                <w:color w:val="auto"/>
                <w:sz w:val="21"/>
                <w:szCs w:val="21"/>
                <w:highlight w:val="none"/>
              </w:rPr>
            </w:pPr>
          </w:p>
        </w:tc>
        <w:tc>
          <w:tcPr>
            <w:tcW w:w="832" w:type="dxa"/>
            <w:vAlign w:val="center"/>
          </w:tcPr>
          <w:p w14:paraId="6EED9A80">
            <w:pPr>
              <w:spacing w:line="240" w:lineRule="atLeast"/>
              <w:jc w:val="left"/>
              <w:rPr>
                <w:rFonts w:asciiTheme="minorEastAsia" w:hAnsiTheme="minorEastAsia" w:eastAsiaTheme="minorEastAsia" w:cstheme="minorEastAsia"/>
                <w:color w:val="auto"/>
                <w:sz w:val="21"/>
                <w:szCs w:val="21"/>
                <w:highlight w:val="none"/>
              </w:rPr>
            </w:pPr>
          </w:p>
        </w:tc>
        <w:tc>
          <w:tcPr>
            <w:tcW w:w="1223" w:type="dxa"/>
            <w:vAlign w:val="center"/>
          </w:tcPr>
          <w:p w14:paraId="1F9E15E4">
            <w:pPr>
              <w:spacing w:line="240" w:lineRule="atLeast"/>
              <w:jc w:val="left"/>
              <w:rPr>
                <w:rFonts w:asciiTheme="minorEastAsia" w:hAnsiTheme="minorEastAsia" w:eastAsiaTheme="minorEastAsia" w:cstheme="minorEastAsia"/>
                <w:color w:val="auto"/>
                <w:sz w:val="21"/>
                <w:szCs w:val="21"/>
                <w:highlight w:val="none"/>
              </w:rPr>
            </w:pPr>
          </w:p>
        </w:tc>
        <w:tc>
          <w:tcPr>
            <w:tcW w:w="1269" w:type="dxa"/>
            <w:vAlign w:val="center"/>
          </w:tcPr>
          <w:p w14:paraId="6FC2EF7B">
            <w:pPr>
              <w:spacing w:line="240" w:lineRule="atLeast"/>
              <w:jc w:val="left"/>
              <w:rPr>
                <w:rFonts w:asciiTheme="minorEastAsia" w:hAnsiTheme="minorEastAsia" w:eastAsiaTheme="minorEastAsia" w:cstheme="minorEastAsia"/>
                <w:color w:val="auto"/>
                <w:sz w:val="21"/>
                <w:szCs w:val="21"/>
                <w:highlight w:val="none"/>
              </w:rPr>
            </w:pPr>
          </w:p>
        </w:tc>
      </w:tr>
      <w:tr w14:paraId="4EA6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637" w:type="dxa"/>
            <w:gridSpan w:val="7"/>
            <w:vAlign w:val="center"/>
          </w:tcPr>
          <w:p w14:paraId="3267F5AC">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合计人民币（小写）：</w:t>
            </w:r>
          </w:p>
        </w:tc>
      </w:tr>
      <w:tr w14:paraId="1EA7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637" w:type="dxa"/>
            <w:gridSpan w:val="7"/>
            <w:vAlign w:val="center"/>
          </w:tcPr>
          <w:p w14:paraId="3AA57D4C">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合计人民币（大写）：</w:t>
            </w:r>
          </w:p>
        </w:tc>
      </w:tr>
      <w:tr w14:paraId="60DC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637" w:type="dxa"/>
            <w:gridSpan w:val="7"/>
            <w:vAlign w:val="center"/>
          </w:tcPr>
          <w:p w14:paraId="30A6C0C6">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一、服务要求</w:t>
            </w:r>
          </w:p>
        </w:tc>
      </w:tr>
      <w:tr w14:paraId="49E8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637" w:type="dxa"/>
            <w:gridSpan w:val="7"/>
            <w:vAlign w:val="center"/>
          </w:tcPr>
          <w:p w14:paraId="7DF2F573">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二、考核方式</w:t>
            </w:r>
          </w:p>
        </w:tc>
      </w:tr>
      <w:tr w14:paraId="235A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637" w:type="dxa"/>
            <w:gridSpan w:val="7"/>
            <w:vAlign w:val="center"/>
          </w:tcPr>
          <w:p w14:paraId="5561C8F1">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三、付款方式：</w:t>
            </w:r>
          </w:p>
          <w:p w14:paraId="3603A64A">
            <w:pPr>
              <w:jc w:val="left"/>
              <w:rPr>
                <w:rFonts w:asciiTheme="minorEastAsia" w:hAnsiTheme="minorEastAsia" w:eastAsiaTheme="minorEastAsia" w:cstheme="minorEastAsia"/>
                <w:color w:val="auto"/>
                <w:sz w:val="21"/>
                <w:szCs w:val="21"/>
                <w:highlight w:val="none"/>
              </w:rPr>
            </w:pPr>
          </w:p>
        </w:tc>
      </w:tr>
      <w:tr w14:paraId="5CED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637" w:type="dxa"/>
            <w:gridSpan w:val="7"/>
            <w:vAlign w:val="center"/>
          </w:tcPr>
          <w:p w14:paraId="6B3D7103">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X、履约保证金：</w:t>
            </w:r>
          </w:p>
        </w:tc>
      </w:tr>
      <w:tr w14:paraId="74FA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637" w:type="dxa"/>
            <w:gridSpan w:val="7"/>
            <w:vAlign w:val="center"/>
          </w:tcPr>
          <w:p w14:paraId="5191CAD4">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四、违约责任：</w:t>
            </w:r>
          </w:p>
          <w:p w14:paraId="7F53762E">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按《中华人民共和国民法典》、《中华人民共和国政府采购法》执行，或按双方约定。</w:t>
            </w:r>
          </w:p>
        </w:tc>
      </w:tr>
      <w:tr w14:paraId="0475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8637" w:type="dxa"/>
            <w:gridSpan w:val="7"/>
            <w:vAlign w:val="center"/>
          </w:tcPr>
          <w:p w14:paraId="00E6B386">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五、其他约定事项：</w:t>
            </w:r>
          </w:p>
          <w:p w14:paraId="456281F9">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1.竞采文件及其澄清文件、响应文件和承诺是本合同不可分割的部分。</w:t>
            </w:r>
          </w:p>
          <w:p w14:paraId="45B45793">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2.本合同如发生争议由双方协商解决，协商不成向需方所在人民法院提请诉讼。</w:t>
            </w:r>
          </w:p>
          <w:p w14:paraId="04828C3A">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3.本合同一式__份， 需方__份，供方__份，具同等法律效力。</w:t>
            </w:r>
          </w:p>
          <w:p w14:paraId="6750E9D7">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4.其他：</w:t>
            </w:r>
          </w:p>
        </w:tc>
      </w:tr>
      <w:tr w14:paraId="1FA2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trPr>
        <w:tc>
          <w:tcPr>
            <w:tcW w:w="4610" w:type="dxa"/>
            <w:gridSpan w:val="3"/>
            <w:vAlign w:val="center"/>
          </w:tcPr>
          <w:p w14:paraId="10DF495C">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需方：</w:t>
            </w:r>
          </w:p>
          <w:p w14:paraId="608CB6A6">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p>
          <w:p w14:paraId="6EDEFEF9">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联系电话：</w:t>
            </w:r>
          </w:p>
          <w:p w14:paraId="240F9312">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授权代表：</w:t>
            </w:r>
          </w:p>
        </w:tc>
        <w:tc>
          <w:tcPr>
            <w:tcW w:w="4027" w:type="dxa"/>
            <w:gridSpan w:val="4"/>
            <w:vAlign w:val="center"/>
          </w:tcPr>
          <w:p w14:paraId="4F8A7BA0">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供方：</w:t>
            </w:r>
          </w:p>
          <w:p w14:paraId="645B229B">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p>
          <w:p w14:paraId="1843A7FB">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p>
          <w:p w14:paraId="28615EBA">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传真：</w:t>
            </w:r>
          </w:p>
          <w:p w14:paraId="12B150FF">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p>
          <w:p w14:paraId="064B4A7A">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账号：</w:t>
            </w:r>
          </w:p>
          <w:p w14:paraId="245AFC6A">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授权代表：</w:t>
            </w:r>
          </w:p>
          <w:p w14:paraId="7A310FD5">
            <w:pPr>
              <w:widowControl/>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（本栏请用计算机打印以便于准确付款）</w:t>
            </w:r>
          </w:p>
        </w:tc>
      </w:tr>
      <w:tr w14:paraId="1BA7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637" w:type="dxa"/>
            <w:gridSpan w:val="7"/>
            <w:vAlign w:val="center"/>
          </w:tcPr>
          <w:p w14:paraId="1989159E">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w:t>
            </w:r>
          </w:p>
        </w:tc>
      </w:tr>
    </w:tbl>
    <w:p w14:paraId="3E099327">
      <w:pPr>
        <w:rPr>
          <w:rFonts w:asciiTheme="minorEastAsia" w:hAnsiTheme="minorEastAsia" w:eastAsiaTheme="minorEastAsia" w:cstheme="minorEastAsia"/>
          <w:color w:val="auto"/>
          <w:sz w:val="21"/>
          <w:szCs w:val="21"/>
          <w:highlight w:val="none"/>
        </w:rPr>
      </w:pPr>
    </w:p>
    <w:p w14:paraId="56BEC836">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签约时间：           年   月   日            签约地点：</w:t>
      </w:r>
    </w:p>
    <w:p w14:paraId="4B08A0E0">
      <w:pPr>
        <w:spacing w:line="400" w:lineRule="exact"/>
        <w:ind w:firstLine="280" w:firstLineChars="100"/>
        <w:rPr>
          <w:color w:val="auto"/>
          <w:highlight w:val="none"/>
        </w:rPr>
      </w:pPr>
    </w:p>
    <w:p w14:paraId="2B7DB255">
      <w:pPr>
        <w:pStyle w:val="2"/>
        <w:spacing w:line="240" w:lineRule="auto"/>
        <w:jc w:val="center"/>
        <w:rPr>
          <w:color w:val="auto"/>
          <w:highlight w:val="none"/>
        </w:rPr>
      </w:pPr>
      <w:bookmarkStart w:id="153" w:name="_Toc2619"/>
      <w:r>
        <w:rPr>
          <w:rFonts w:hint="eastAsia"/>
          <w:color w:val="auto"/>
          <w:highlight w:val="none"/>
        </w:rPr>
        <w:t>第七篇  响应文件格式</w:t>
      </w:r>
      <w:bookmarkEnd w:id="152"/>
      <w:bookmarkEnd w:id="153"/>
    </w:p>
    <w:p w14:paraId="0336FD8B">
      <w:pPr>
        <w:spacing w:line="360" w:lineRule="auto"/>
        <w:jc w:val="center"/>
        <w:rPr>
          <w:rFonts w:ascii="宋体" w:hAnsi="宋体"/>
          <w:color w:val="auto"/>
          <w:sz w:val="32"/>
          <w:szCs w:val="32"/>
          <w:highlight w:val="none"/>
          <w:u w:val="single"/>
        </w:rPr>
      </w:pPr>
    </w:p>
    <w:p w14:paraId="60303FFD">
      <w:pPr>
        <w:spacing w:line="360" w:lineRule="auto"/>
        <w:jc w:val="center"/>
        <w:rPr>
          <w:rFonts w:ascii="宋体" w:hAnsi="宋体"/>
          <w:color w:val="auto"/>
          <w:sz w:val="32"/>
          <w:szCs w:val="32"/>
          <w:highlight w:val="none"/>
          <w:u w:val="single"/>
        </w:rPr>
      </w:pPr>
    </w:p>
    <w:p w14:paraId="6ECA130E">
      <w:pPr>
        <w:spacing w:line="360" w:lineRule="auto"/>
        <w:jc w:val="center"/>
        <w:rPr>
          <w:rFonts w:ascii="宋体" w:hAnsi="宋体"/>
          <w:color w:val="auto"/>
          <w:sz w:val="32"/>
          <w:szCs w:val="32"/>
          <w:highlight w:val="none"/>
          <w:u w:val="single"/>
        </w:rPr>
      </w:pPr>
    </w:p>
    <w:p w14:paraId="088A1FE7">
      <w:pPr>
        <w:spacing w:line="360" w:lineRule="auto"/>
        <w:jc w:val="center"/>
        <w:rPr>
          <w:rFonts w:ascii="宋体" w:hAnsi="宋体"/>
          <w:color w:val="auto"/>
          <w:sz w:val="32"/>
          <w:szCs w:val="32"/>
          <w:highlight w:val="none"/>
          <w:u w:val="single"/>
        </w:rPr>
      </w:pPr>
    </w:p>
    <w:p w14:paraId="218300E9">
      <w:pPr>
        <w:spacing w:line="360" w:lineRule="auto"/>
        <w:jc w:val="center"/>
        <w:rPr>
          <w:rFonts w:ascii="宋体" w:hAnsi="宋体"/>
          <w:color w:val="auto"/>
          <w:sz w:val="32"/>
          <w:szCs w:val="32"/>
          <w:highlight w:val="none"/>
          <w:u w:val="single"/>
        </w:rPr>
      </w:pPr>
    </w:p>
    <w:p w14:paraId="630C5589">
      <w:pPr>
        <w:spacing w:line="360" w:lineRule="auto"/>
        <w:jc w:val="center"/>
        <w:rPr>
          <w:rFonts w:ascii="宋体" w:hAnsi="宋体"/>
          <w:color w:val="auto"/>
          <w:sz w:val="32"/>
          <w:szCs w:val="32"/>
          <w:highlight w:val="none"/>
          <w:u w:val="single"/>
        </w:rPr>
      </w:pPr>
    </w:p>
    <w:p w14:paraId="2FF86F6C">
      <w:pPr>
        <w:spacing w:line="360" w:lineRule="auto"/>
        <w:jc w:val="center"/>
        <w:rPr>
          <w:rFonts w:ascii="宋体" w:hAnsi="宋体"/>
          <w:color w:val="auto"/>
          <w:sz w:val="32"/>
          <w:szCs w:val="32"/>
          <w:highlight w:val="none"/>
          <w:u w:val="single"/>
        </w:rPr>
      </w:pPr>
    </w:p>
    <w:p w14:paraId="0FA8AD71">
      <w:pPr>
        <w:spacing w:line="360" w:lineRule="auto"/>
        <w:jc w:val="center"/>
        <w:rPr>
          <w:rFonts w:ascii="宋体" w:hAnsi="宋体"/>
          <w:color w:val="auto"/>
          <w:sz w:val="32"/>
          <w:szCs w:val="32"/>
          <w:highlight w:val="none"/>
          <w:u w:val="single"/>
        </w:rPr>
      </w:pPr>
    </w:p>
    <w:p w14:paraId="260DF846">
      <w:pPr>
        <w:spacing w:line="360" w:lineRule="auto"/>
        <w:jc w:val="center"/>
        <w:rPr>
          <w:rFonts w:ascii="宋体" w:hAnsi="宋体"/>
          <w:color w:val="auto"/>
          <w:sz w:val="32"/>
          <w:szCs w:val="32"/>
          <w:highlight w:val="none"/>
          <w:u w:val="single"/>
        </w:rPr>
      </w:pPr>
    </w:p>
    <w:p w14:paraId="7308C6A5">
      <w:pPr>
        <w:spacing w:line="360" w:lineRule="auto"/>
        <w:jc w:val="center"/>
        <w:rPr>
          <w:rFonts w:ascii="宋体" w:hAnsi="宋体"/>
          <w:color w:val="auto"/>
          <w:sz w:val="32"/>
          <w:szCs w:val="32"/>
          <w:highlight w:val="none"/>
          <w:u w:val="single"/>
        </w:rPr>
      </w:pPr>
    </w:p>
    <w:p w14:paraId="1834C769">
      <w:pPr>
        <w:spacing w:line="360" w:lineRule="auto"/>
        <w:jc w:val="center"/>
        <w:rPr>
          <w:rFonts w:ascii="宋体" w:hAnsi="宋体"/>
          <w:color w:val="auto"/>
          <w:sz w:val="32"/>
          <w:szCs w:val="32"/>
          <w:highlight w:val="none"/>
          <w:u w:val="single"/>
        </w:rPr>
      </w:pPr>
    </w:p>
    <w:p w14:paraId="1EC2C0BD">
      <w:pPr>
        <w:spacing w:line="360" w:lineRule="auto"/>
        <w:jc w:val="center"/>
        <w:rPr>
          <w:rFonts w:ascii="宋体" w:hAnsi="宋体"/>
          <w:color w:val="auto"/>
          <w:sz w:val="32"/>
          <w:szCs w:val="32"/>
          <w:highlight w:val="none"/>
          <w:u w:val="single"/>
        </w:rPr>
      </w:pPr>
    </w:p>
    <w:p w14:paraId="7356E22B">
      <w:pPr>
        <w:spacing w:line="360" w:lineRule="auto"/>
        <w:jc w:val="center"/>
        <w:rPr>
          <w:rFonts w:ascii="宋体" w:hAnsi="宋体"/>
          <w:color w:val="auto"/>
          <w:sz w:val="32"/>
          <w:szCs w:val="32"/>
          <w:highlight w:val="none"/>
          <w:u w:val="single"/>
        </w:rPr>
      </w:pPr>
    </w:p>
    <w:p w14:paraId="2F275429">
      <w:pPr>
        <w:spacing w:line="360" w:lineRule="auto"/>
        <w:jc w:val="center"/>
        <w:rPr>
          <w:rFonts w:ascii="宋体" w:hAnsi="宋体"/>
          <w:color w:val="auto"/>
          <w:sz w:val="32"/>
          <w:szCs w:val="32"/>
          <w:highlight w:val="none"/>
          <w:u w:val="single"/>
        </w:rPr>
      </w:pPr>
    </w:p>
    <w:p w14:paraId="6B6F21ED">
      <w:pPr>
        <w:spacing w:line="360" w:lineRule="auto"/>
        <w:jc w:val="center"/>
        <w:rPr>
          <w:rFonts w:ascii="宋体" w:hAnsi="宋体"/>
          <w:color w:val="auto"/>
          <w:sz w:val="32"/>
          <w:szCs w:val="32"/>
          <w:highlight w:val="none"/>
          <w:u w:val="single"/>
        </w:rPr>
      </w:pPr>
    </w:p>
    <w:p w14:paraId="393A998B">
      <w:pPr>
        <w:spacing w:line="360" w:lineRule="auto"/>
        <w:jc w:val="center"/>
        <w:rPr>
          <w:rFonts w:ascii="宋体" w:hAnsi="宋体"/>
          <w:color w:val="auto"/>
          <w:sz w:val="32"/>
          <w:szCs w:val="32"/>
          <w:highlight w:val="none"/>
          <w:u w:val="single"/>
        </w:rPr>
      </w:pPr>
    </w:p>
    <w:p w14:paraId="10E51983">
      <w:pPr>
        <w:spacing w:line="360" w:lineRule="auto"/>
        <w:jc w:val="center"/>
        <w:rPr>
          <w:rFonts w:ascii="宋体" w:hAnsi="宋体"/>
          <w:color w:val="auto"/>
          <w:sz w:val="32"/>
          <w:szCs w:val="32"/>
          <w:highlight w:val="none"/>
          <w:u w:val="single"/>
        </w:rPr>
      </w:pPr>
    </w:p>
    <w:p w14:paraId="70C8A9F1">
      <w:pPr>
        <w:spacing w:line="360" w:lineRule="auto"/>
        <w:jc w:val="center"/>
        <w:rPr>
          <w:rFonts w:ascii="宋体" w:hAnsi="宋体"/>
          <w:color w:val="auto"/>
          <w:sz w:val="32"/>
          <w:szCs w:val="32"/>
          <w:highlight w:val="none"/>
          <w:u w:val="single"/>
        </w:rPr>
      </w:pPr>
    </w:p>
    <w:p w14:paraId="0B5F4442">
      <w:pPr>
        <w:spacing w:line="360" w:lineRule="auto"/>
        <w:jc w:val="center"/>
        <w:rPr>
          <w:rFonts w:ascii="宋体" w:hAnsi="宋体"/>
          <w:color w:val="auto"/>
          <w:sz w:val="32"/>
          <w:szCs w:val="32"/>
          <w:highlight w:val="none"/>
          <w:u w:val="single"/>
        </w:rPr>
      </w:pPr>
    </w:p>
    <w:p w14:paraId="7BD35FFC">
      <w:pPr>
        <w:spacing w:line="360" w:lineRule="auto"/>
        <w:jc w:val="center"/>
        <w:rPr>
          <w:rFonts w:ascii="宋体" w:hAnsi="宋体"/>
          <w:color w:val="auto"/>
          <w:sz w:val="32"/>
          <w:szCs w:val="32"/>
          <w:highlight w:val="none"/>
          <w:u w:val="single"/>
        </w:rPr>
      </w:pPr>
    </w:p>
    <w:p w14:paraId="3B3885D4">
      <w:pPr>
        <w:spacing w:line="360" w:lineRule="auto"/>
        <w:jc w:val="center"/>
        <w:rPr>
          <w:rFonts w:ascii="宋体" w:hAnsi="宋体"/>
          <w:color w:val="auto"/>
          <w:sz w:val="32"/>
          <w:szCs w:val="32"/>
          <w:highlight w:val="none"/>
          <w:u w:val="single"/>
        </w:rPr>
      </w:pPr>
    </w:p>
    <w:p w14:paraId="1465AD92">
      <w:pPr>
        <w:spacing w:line="360" w:lineRule="auto"/>
        <w:jc w:val="center"/>
        <w:rPr>
          <w:rFonts w:ascii="宋体" w:hAnsi="宋体"/>
          <w:color w:val="auto"/>
          <w:sz w:val="32"/>
          <w:szCs w:val="32"/>
          <w:highlight w:val="none"/>
          <w:u w:val="single"/>
        </w:rPr>
      </w:pPr>
    </w:p>
    <w:p w14:paraId="713630D0">
      <w:pPr>
        <w:spacing w:line="360" w:lineRule="auto"/>
        <w:jc w:val="center"/>
        <w:rPr>
          <w:rFonts w:ascii="宋体" w:hAnsi="宋体"/>
          <w:color w:val="auto"/>
          <w:sz w:val="32"/>
          <w:szCs w:val="32"/>
          <w:highlight w:val="none"/>
          <w:u w:val="single"/>
        </w:rPr>
      </w:pPr>
    </w:p>
    <w:p w14:paraId="283B3BE7">
      <w:pPr>
        <w:spacing w:line="360" w:lineRule="auto"/>
        <w:jc w:val="center"/>
        <w:rPr>
          <w:rFonts w:ascii="宋体" w:hAnsi="宋体"/>
          <w:color w:val="auto"/>
          <w:sz w:val="32"/>
          <w:szCs w:val="32"/>
          <w:highlight w:val="none"/>
          <w:u w:val="single"/>
        </w:rPr>
      </w:pPr>
    </w:p>
    <w:p w14:paraId="35DB0863">
      <w:pPr>
        <w:spacing w:line="360" w:lineRule="auto"/>
        <w:jc w:val="center"/>
        <w:rPr>
          <w:rFonts w:ascii="宋体" w:hAnsi="宋体"/>
          <w:color w:val="auto"/>
          <w:sz w:val="32"/>
          <w:szCs w:val="32"/>
          <w:highlight w:val="none"/>
          <w:u w:val="single"/>
        </w:rPr>
      </w:pPr>
      <w:r>
        <w:rPr>
          <w:rFonts w:hint="eastAsia" w:ascii="宋体" w:hAnsi="宋体"/>
          <w:color w:val="auto"/>
          <w:sz w:val="32"/>
          <w:szCs w:val="32"/>
          <w:highlight w:val="none"/>
          <w:u w:val="single"/>
        </w:rPr>
        <w:t xml:space="preserve">                   （项目名称）</w:t>
      </w:r>
    </w:p>
    <w:p w14:paraId="43B72D1A">
      <w:pPr>
        <w:tabs>
          <w:tab w:val="left" w:pos="3600"/>
          <w:tab w:val="left" w:pos="4480"/>
          <w:tab w:val="left" w:pos="5360"/>
        </w:tabs>
        <w:autoSpaceDE w:val="0"/>
        <w:autoSpaceDN w:val="0"/>
        <w:adjustRightInd w:val="0"/>
        <w:snapToGrid w:val="0"/>
        <w:spacing w:line="360" w:lineRule="auto"/>
        <w:jc w:val="left"/>
        <w:rPr>
          <w:rFonts w:ascii="宋体" w:hAnsi="宋体"/>
          <w:color w:val="auto"/>
          <w:sz w:val="44"/>
          <w:szCs w:val="44"/>
          <w:highlight w:val="none"/>
        </w:rPr>
      </w:pPr>
    </w:p>
    <w:p w14:paraId="453FF868">
      <w:pPr>
        <w:tabs>
          <w:tab w:val="left" w:pos="3600"/>
          <w:tab w:val="left" w:pos="4480"/>
          <w:tab w:val="left" w:pos="5360"/>
        </w:tabs>
        <w:autoSpaceDE w:val="0"/>
        <w:autoSpaceDN w:val="0"/>
        <w:adjustRightInd w:val="0"/>
        <w:snapToGrid w:val="0"/>
        <w:spacing w:line="360" w:lineRule="auto"/>
        <w:jc w:val="left"/>
        <w:rPr>
          <w:rFonts w:ascii="宋体" w:hAnsi="宋体"/>
          <w:color w:val="auto"/>
          <w:sz w:val="44"/>
          <w:szCs w:val="44"/>
          <w:highlight w:val="none"/>
        </w:rPr>
      </w:pPr>
    </w:p>
    <w:p w14:paraId="4DCB2351">
      <w:pPr>
        <w:tabs>
          <w:tab w:val="left" w:pos="3600"/>
          <w:tab w:val="left" w:pos="4480"/>
          <w:tab w:val="left" w:pos="5360"/>
        </w:tabs>
        <w:autoSpaceDE w:val="0"/>
        <w:autoSpaceDN w:val="0"/>
        <w:adjustRightInd w:val="0"/>
        <w:snapToGrid w:val="0"/>
        <w:spacing w:line="360" w:lineRule="auto"/>
        <w:jc w:val="left"/>
        <w:rPr>
          <w:rFonts w:ascii="宋体" w:hAnsi="宋体"/>
          <w:color w:val="auto"/>
          <w:sz w:val="44"/>
          <w:szCs w:val="44"/>
          <w:highlight w:val="none"/>
        </w:rPr>
      </w:pPr>
    </w:p>
    <w:p w14:paraId="76C7060D">
      <w:pPr>
        <w:tabs>
          <w:tab w:val="left" w:pos="3600"/>
          <w:tab w:val="left" w:pos="4480"/>
          <w:tab w:val="left" w:pos="5360"/>
        </w:tabs>
        <w:autoSpaceDE w:val="0"/>
        <w:autoSpaceDN w:val="0"/>
        <w:adjustRightInd w:val="0"/>
        <w:snapToGrid w:val="0"/>
        <w:spacing w:line="360" w:lineRule="auto"/>
        <w:jc w:val="center"/>
        <w:rPr>
          <w:rFonts w:hint="eastAsia" w:ascii="方正小标宋_GBK" w:hAnsi="方正小标宋_GBK" w:eastAsia="方正小标宋_GBK" w:cs="方正小标宋_GBK"/>
          <w:color w:val="auto"/>
          <w:sz w:val="72"/>
          <w:szCs w:val="72"/>
          <w:highlight w:val="none"/>
        </w:rPr>
      </w:pPr>
      <w:r>
        <w:rPr>
          <w:rFonts w:hint="eastAsia" w:ascii="方正小标宋_GBK" w:hAnsi="方正小标宋_GBK" w:eastAsia="方正小标宋_GBK" w:cs="方正小标宋_GBK"/>
          <w:color w:val="auto"/>
          <w:sz w:val="72"/>
          <w:szCs w:val="72"/>
          <w:highlight w:val="none"/>
        </w:rPr>
        <w:t>响应文件</w:t>
      </w:r>
    </w:p>
    <w:p w14:paraId="3FF5A21D">
      <w:pPr>
        <w:autoSpaceDE w:val="0"/>
        <w:autoSpaceDN w:val="0"/>
        <w:adjustRightInd w:val="0"/>
        <w:snapToGrid w:val="0"/>
        <w:spacing w:line="360" w:lineRule="auto"/>
        <w:jc w:val="left"/>
        <w:rPr>
          <w:rFonts w:ascii="宋体" w:hAnsi="宋体"/>
          <w:color w:val="auto"/>
          <w:sz w:val="16"/>
          <w:szCs w:val="16"/>
          <w:highlight w:val="none"/>
        </w:rPr>
      </w:pPr>
    </w:p>
    <w:p w14:paraId="27F9F01E">
      <w:pPr>
        <w:autoSpaceDE w:val="0"/>
        <w:autoSpaceDN w:val="0"/>
        <w:adjustRightInd w:val="0"/>
        <w:snapToGrid w:val="0"/>
        <w:spacing w:line="360" w:lineRule="auto"/>
        <w:jc w:val="center"/>
        <w:rPr>
          <w:rFonts w:ascii="宋体" w:hAnsi="宋体"/>
          <w:color w:val="auto"/>
          <w:sz w:val="36"/>
          <w:szCs w:val="36"/>
          <w:highlight w:val="none"/>
        </w:rPr>
      </w:pPr>
    </w:p>
    <w:p w14:paraId="52E3F5BA">
      <w:pPr>
        <w:autoSpaceDE w:val="0"/>
        <w:autoSpaceDN w:val="0"/>
        <w:adjustRightInd w:val="0"/>
        <w:snapToGrid w:val="0"/>
        <w:spacing w:line="360" w:lineRule="auto"/>
        <w:jc w:val="center"/>
        <w:rPr>
          <w:rFonts w:ascii="宋体" w:hAnsi="宋体"/>
          <w:color w:val="auto"/>
          <w:sz w:val="36"/>
          <w:szCs w:val="36"/>
          <w:highlight w:val="none"/>
        </w:rPr>
      </w:pPr>
    </w:p>
    <w:p w14:paraId="6F27CBE0">
      <w:pPr>
        <w:autoSpaceDE w:val="0"/>
        <w:autoSpaceDN w:val="0"/>
        <w:adjustRightInd w:val="0"/>
        <w:snapToGrid w:val="0"/>
        <w:spacing w:line="360" w:lineRule="auto"/>
        <w:jc w:val="left"/>
        <w:rPr>
          <w:rFonts w:ascii="宋体" w:hAnsi="宋体"/>
          <w:b/>
          <w:color w:val="auto"/>
          <w:highlight w:val="none"/>
        </w:rPr>
      </w:pPr>
    </w:p>
    <w:p w14:paraId="5EFCE4B3">
      <w:pPr>
        <w:autoSpaceDE w:val="0"/>
        <w:autoSpaceDN w:val="0"/>
        <w:adjustRightInd w:val="0"/>
        <w:snapToGrid w:val="0"/>
        <w:spacing w:line="360" w:lineRule="auto"/>
        <w:jc w:val="left"/>
        <w:rPr>
          <w:rFonts w:ascii="宋体" w:hAnsi="宋体"/>
          <w:b/>
          <w:color w:val="auto"/>
          <w:highlight w:val="none"/>
        </w:rPr>
      </w:pPr>
    </w:p>
    <w:p w14:paraId="483C4041">
      <w:pPr>
        <w:autoSpaceDE w:val="0"/>
        <w:autoSpaceDN w:val="0"/>
        <w:adjustRightInd w:val="0"/>
        <w:snapToGrid w:val="0"/>
        <w:spacing w:line="360" w:lineRule="auto"/>
        <w:jc w:val="left"/>
        <w:rPr>
          <w:rFonts w:ascii="宋体" w:hAnsi="宋体"/>
          <w:b/>
          <w:color w:val="auto"/>
          <w:highlight w:val="none"/>
        </w:rPr>
      </w:pPr>
    </w:p>
    <w:p w14:paraId="1DCCD2C8">
      <w:pPr>
        <w:autoSpaceDE w:val="0"/>
        <w:autoSpaceDN w:val="0"/>
        <w:adjustRightInd w:val="0"/>
        <w:snapToGrid w:val="0"/>
        <w:spacing w:line="360" w:lineRule="auto"/>
        <w:jc w:val="left"/>
        <w:rPr>
          <w:rFonts w:ascii="宋体" w:hAnsi="宋体"/>
          <w:b/>
          <w:color w:val="auto"/>
          <w:highlight w:val="none"/>
        </w:rPr>
      </w:pPr>
    </w:p>
    <w:p w14:paraId="60C0F44F">
      <w:pPr>
        <w:tabs>
          <w:tab w:val="left" w:pos="6080"/>
          <w:tab w:val="left" w:pos="6640"/>
        </w:tabs>
        <w:autoSpaceDE w:val="0"/>
        <w:autoSpaceDN w:val="0"/>
        <w:adjustRightInd w:val="0"/>
        <w:snapToGrid w:val="0"/>
        <w:spacing w:after="120" w:afterLines="50" w:line="360" w:lineRule="auto"/>
        <w:jc w:val="center"/>
        <w:rPr>
          <w:rFonts w:ascii="宋体" w:hAnsi="宋体"/>
          <w:color w:val="auto"/>
          <w:w w:val="99"/>
          <w:szCs w:val="28"/>
          <w:highlight w:val="none"/>
        </w:rPr>
      </w:pPr>
      <w:r>
        <w:rPr>
          <w:rFonts w:hint="eastAsia" w:ascii="宋体" w:hAnsi="宋体"/>
          <w:color w:val="auto"/>
          <w:w w:val="99"/>
          <w:szCs w:val="28"/>
          <w:highlight w:val="none"/>
        </w:rPr>
        <w:t>供应商</w:t>
      </w:r>
      <w:r>
        <w:rPr>
          <w:rFonts w:ascii="宋体" w:hAnsi="宋体"/>
          <w:color w:val="auto"/>
          <w:spacing w:val="1"/>
          <w:w w:val="99"/>
          <w:szCs w:val="28"/>
          <w:highlight w:val="none"/>
        </w:rPr>
        <w:t>：</w:t>
      </w:r>
      <w:r>
        <w:rPr>
          <w:rFonts w:ascii="宋体" w:hAnsi="宋体"/>
          <w:color w:val="auto"/>
          <w:w w:val="198"/>
          <w:szCs w:val="28"/>
          <w:highlight w:val="none"/>
          <w:u w:val="single"/>
        </w:rPr>
        <w:t xml:space="preserve"> 　　　　 　　</w:t>
      </w:r>
      <w:r>
        <w:rPr>
          <w:rFonts w:ascii="宋体" w:hAnsi="宋体"/>
          <w:color w:val="auto"/>
          <w:w w:val="99"/>
          <w:szCs w:val="28"/>
          <w:highlight w:val="none"/>
        </w:rPr>
        <w:t>（盖单位法人章）</w:t>
      </w:r>
    </w:p>
    <w:p w14:paraId="7CB8052A">
      <w:pPr>
        <w:tabs>
          <w:tab w:val="left" w:pos="6080"/>
          <w:tab w:val="left" w:pos="6640"/>
        </w:tabs>
        <w:autoSpaceDE w:val="0"/>
        <w:autoSpaceDN w:val="0"/>
        <w:adjustRightInd w:val="0"/>
        <w:snapToGrid w:val="0"/>
        <w:spacing w:after="120" w:afterLines="50" w:line="360" w:lineRule="auto"/>
        <w:jc w:val="center"/>
        <w:rPr>
          <w:rFonts w:ascii="宋体" w:hAnsi="宋体"/>
          <w:color w:val="auto"/>
          <w:szCs w:val="28"/>
          <w:highlight w:val="none"/>
        </w:rPr>
      </w:pPr>
      <w:r>
        <w:rPr>
          <w:rFonts w:ascii="宋体" w:hAnsi="宋体"/>
          <w:color w:val="auto"/>
          <w:w w:val="99"/>
          <w:szCs w:val="28"/>
          <w:highlight w:val="none"/>
        </w:rPr>
        <w:t>法定代表人或其委托代理人：</w:t>
      </w:r>
      <w:r>
        <w:rPr>
          <w:rFonts w:ascii="宋体" w:hAnsi="宋体"/>
          <w:color w:val="auto"/>
          <w:w w:val="198"/>
          <w:szCs w:val="28"/>
          <w:highlight w:val="none"/>
          <w:u w:val="single"/>
        </w:rPr>
        <w:t xml:space="preserve"> 　　 </w:t>
      </w:r>
      <w:r>
        <w:rPr>
          <w:rFonts w:ascii="宋体" w:hAnsi="宋体"/>
          <w:color w:val="auto"/>
          <w:w w:val="99"/>
          <w:szCs w:val="28"/>
          <w:highlight w:val="none"/>
        </w:rPr>
        <w:t>（签字或盖章）</w:t>
      </w:r>
    </w:p>
    <w:p w14:paraId="1693E1C3">
      <w:pPr>
        <w:pStyle w:val="14"/>
        <w:spacing w:line="400" w:lineRule="exact"/>
        <w:ind w:firstLine="0" w:firstLineChars="0"/>
        <w:jc w:val="center"/>
        <w:rPr>
          <w:rFonts w:hint="eastAsia" w:ascii="黑体" w:hAnsi="黑体" w:eastAsia="黑体" w:cs="黑体"/>
          <w:b w:val="0"/>
          <w:bCs/>
          <w:color w:val="auto"/>
          <w:sz w:val="21"/>
          <w:szCs w:val="21"/>
          <w:highlight w:val="none"/>
        </w:rPr>
      </w:pPr>
      <w:r>
        <w:rPr>
          <w:sz w:val="28"/>
        </w:rPr>
        <mc:AlternateContent>
          <mc:Choice Requires="wps">
            <w:drawing>
              <wp:anchor distT="0" distB="0" distL="114300" distR="114300" simplePos="0" relativeHeight="251660288" behindDoc="0" locked="0" layoutInCell="1" allowOverlap="1">
                <wp:simplePos x="0" y="0"/>
                <wp:positionH relativeFrom="column">
                  <wp:posOffset>1453515</wp:posOffset>
                </wp:positionH>
                <wp:positionV relativeFrom="paragraph">
                  <wp:posOffset>231140</wp:posOffset>
                </wp:positionV>
                <wp:extent cx="570865" cy="4445"/>
                <wp:effectExtent l="0" t="0" r="0" b="0"/>
                <wp:wrapNone/>
                <wp:docPr id="1" name="直接连接符 1"/>
                <wp:cNvGraphicFramePr/>
                <a:graphic xmlns:a="http://schemas.openxmlformats.org/drawingml/2006/main">
                  <a:graphicData uri="http://schemas.microsoft.com/office/word/2010/wordprocessingShape">
                    <wps:wsp>
                      <wps:cNvCnPr/>
                      <wps:spPr>
                        <a:xfrm flipV="1">
                          <a:off x="2596515" y="8712835"/>
                          <a:ext cx="570865" cy="4445"/>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14.45pt;margin-top:18.2pt;height:0.35pt;width:44.95pt;z-index:251660288;mso-width-relative:page;mso-height-relative:page;" filled="f" stroked="t" coordsize="21600,21600" o:gfxdata="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rfeptkAAAAJAQAADwAAAAAAAAABACAAAAAiAAAAZHJzL2Rvd25yZXYu&#10;eG1sUEsBAhQAFAAAAAgAh07iQHxoyS76AQAAyQMAAA4AAAAAAAAAAQAgAAAAKAEAAGRycy9lMm9E&#10;b2MueG1sUEsFBgAAAAAGAAYAWQEAAJQFAAAAAA==&#10;">
                <v:fill on="f" focussize="0,0"/>
                <v:stroke color="#000000 [3213]" miterlimit="8" joinstyle="miter"/>
                <v:imagedata o:title=""/>
                <o:lock v:ext="edit" aspectratio="f"/>
              </v:line>
            </w:pict>
          </mc:Fallback>
        </mc:AlternateContent>
      </w:r>
      <w:r>
        <w:rPr>
          <w:rFonts w:hint="eastAsia" w:ascii="宋体" w:hAnsi="宋体"/>
          <w:color w:val="auto"/>
          <w:w w:val="99"/>
          <w:szCs w:val="28"/>
          <w:highlight w:val="none"/>
        </w:rPr>
        <w:t>年</w:t>
      </w:r>
      <w:r>
        <w:rPr>
          <w:rFonts w:hint="eastAsia" w:ascii="宋体" w:hAnsi="宋体"/>
          <w:color w:val="auto"/>
          <w:w w:val="99"/>
          <w:szCs w:val="28"/>
          <w:highlight w:val="none"/>
          <w:u w:val="single"/>
        </w:rPr>
        <w:t xml:space="preserve">    </w:t>
      </w:r>
      <w:r>
        <w:rPr>
          <w:rFonts w:hint="eastAsia" w:ascii="宋体" w:hAnsi="宋体"/>
          <w:color w:val="auto"/>
          <w:w w:val="99"/>
          <w:szCs w:val="28"/>
          <w:highlight w:val="none"/>
        </w:rPr>
        <w:t>月</w:t>
      </w:r>
      <w:r>
        <w:rPr>
          <w:rFonts w:hint="eastAsia" w:ascii="宋体" w:hAnsi="宋体"/>
          <w:color w:val="auto"/>
          <w:w w:val="99"/>
          <w:szCs w:val="28"/>
          <w:highlight w:val="none"/>
          <w:u w:val="single"/>
        </w:rPr>
        <w:t xml:space="preserve">    </w:t>
      </w:r>
      <w:r>
        <w:rPr>
          <w:rFonts w:hint="eastAsia" w:ascii="宋体" w:hAnsi="宋体"/>
          <w:color w:val="auto"/>
          <w:w w:val="99"/>
          <w:szCs w:val="28"/>
          <w:highlight w:val="none"/>
        </w:rPr>
        <w:t>日</w:t>
      </w:r>
    </w:p>
    <w:p w14:paraId="3FC5E23D">
      <w:pPr>
        <w:pStyle w:val="14"/>
        <w:spacing w:line="400" w:lineRule="exact"/>
        <w:ind w:firstLine="0" w:firstLineChars="0"/>
        <w:rPr>
          <w:rFonts w:hint="eastAsia" w:ascii="黑体" w:hAnsi="黑体" w:eastAsia="黑体" w:cs="黑体"/>
          <w:b w:val="0"/>
          <w:bCs/>
          <w:color w:val="auto"/>
          <w:sz w:val="21"/>
          <w:szCs w:val="21"/>
          <w:highlight w:val="none"/>
        </w:rPr>
      </w:pPr>
    </w:p>
    <w:p w14:paraId="46569337">
      <w:pPr>
        <w:pStyle w:val="14"/>
        <w:spacing w:line="400" w:lineRule="exact"/>
        <w:ind w:firstLine="0" w:firstLineChars="0"/>
        <w:rPr>
          <w:rFonts w:hint="eastAsia" w:ascii="黑体" w:hAnsi="黑体" w:eastAsia="黑体" w:cs="黑体"/>
          <w:b w:val="0"/>
          <w:bCs/>
          <w:color w:val="auto"/>
          <w:sz w:val="21"/>
          <w:szCs w:val="21"/>
          <w:highlight w:val="none"/>
        </w:rPr>
      </w:pPr>
    </w:p>
    <w:p w14:paraId="70F96656">
      <w:pPr>
        <w:pStyle w:val="14"/>
        <w:spacing w:line="400" w:lineRule="exact"/>
        <w:ind w:firstLine="0" w:firstLineChars="0"/>
        <w:rPr>
          <w:rFonts w:ascii="宋体" w:hAnsi="宋体" w:cs="宋体"/>
          <w:b/>
          <w:color w:val="auto"/>
          <w:sz w:val="24"/>
          <w:szCs w:val="24"/>
          <w:highlight w:val="none"/>
        </w:rPr>
      </w:pPr>
      <w:r>
        <w:rPr>
          <w:rFonts w:hint="eastAsia" w:ascii="黑体" w:hAnsi="黑体" w:eastAsia="黑体" w:cs="黑体"/>
          <w:b w:val="0"/>
          <w:bCs/>
          <w:color w:val="auto"/>
          <w:sz w:val="21"/>
          <w:szCs w:val="21"/>
          <w:highlight w:val="none"/>
        </w:rPr>
        <w:t xml:space="preserve">                                 </w:t>
      </w:r>
      <w:r>
        <w:rPr>
          <w:rFonts w:ascii="宋体" w:hAnsi="宋体" w:cs="宋体"/>
          <w:b/>
          <w:color w:val="auto"/>
          <w:sz w:val="24"/>
          <w:szCs w:val="24"/>
          <w:highlight w:val="none"/>
        </w:rPr>
        <w:t xml:space="preserve"> </w:t>
      </w:r>
    </w:p>
    <w:p w14:paraId="73640B2E">
      <w:pPr>
        <w:rPr>
          <w:rFonts w:ascii="宋体" w:hAnsi="宋体" w:cs="宋体"/>
          <w:b/>
          <w:color w:val="auto"/>
          <w:sz w:val="24"/>
          <w:szCs w:val="24"/>
          <w:highlight w:val="none"/>
        </w:rPr>
      </w:pPr>
      <w:r>
        <w:rPr>
          <w:rFonts w:ascii="宋体" w:hAnsi="宋体" w:cs="宋体"/>
          <w:b/>
          <w:color w:val="auto"/>
          <w:sz w:val="24"/>
          <w:szCs w:val="24"/>
          <w:highlight w:val="none"/>
        </w:rPr>
        <w:br w:type="page"/>
      </w:r>
    </w:p>
    <w:p w14:paraId="3F053A39">
      <w:pPr>
        <w:pStyle w:val="14"/>
        <w:wordWrap w:val="0"/>
        <w:topLinePunct/>
        <w:spacing w:line="360" w:lineRule="auto"/>
        <w:ind w:firstLine="0" w:firstLineChars="0"/>
        <w:jc w:val="center"/>
        <w:rPr>
          <w:rFonts w:ascii="宋体" w:hAnsi="宋体" w:cs="宋体"/>
          <w:b/>
          <w:color w:val="auto"/>
          <w:sz w:val="24"/>
          <w:szCs w:val="24"/>
          <w:highlight w:val="none"/>
        </w:rPr>
      </w:pPr>
      <w:r>
        <w:rPr>
          <w:rFonts w:hint="eastAsia" w:ascii="方正小标宋_GBK" w:hAnsi="方正小标宋_GBK" w:eastAsia="方正小标宋_GBK" w:cs="方正小标宋_GBK"/>
          <w:b w:val="0"/>
          <w:bCs/>
          <w:color w:val="auto"/>
          <w:sz w:val="24"/>
          <w:szCs w:val="24"/>
          <w:highlight w:val="none"/>
        </w:rPr>
        <w:t>目</w:t>
      </w:r>
      <w:r>
        <w:rPr>
          <w:rFonts w:hint="eastAsia" w:ascii="方正小标宋_GBK" w:hAnsi="方正小标宋_GBK" w:eastAsia="方正小标宋_GBK" w:cs="方正小标宋_GBK"/>
          <w:b w:val="0"/>
          <w:bCs/>
          <w:color w:val="auto"/>
          <w:sz w:val="24"/>
          <w:szCs w:val="24"/>
          <w:highlight w:val="none"/>
          <w:lang w:val="en-US" w:eastAsia="zh-CN"/>
        </w:rPr>
        <w:t xml:space="preserve">  </w:t>
      </w:r>
      <w:r>
        <w:rPr>
          <w:rFonts w:hint="eastAsia" w:ascii="方正小标宋_GBK" w:hAnsi="方正小标宋_GBK" w:eastAsia="方正小标宋_GBK" w:cs="方正小标宋_GBK"/>
          <w:b w:val="0"/>
          <w:bCs/>
          <w:color w:val="auto"/>
          <w:sz w:val="24"/>
          <w:szCs w:val="24"/>
          <w:highlight w:val="none"/>
        </w:rPr>
        <w:t>录</w:t>
      </w:r>
    </w:p>
    <w:p w14:paraId="00177C90">
      <w:pPr>
        <w:pStyle w:val="14"/>
        <w:spacing w:line="400" w:lineRule="exact"/>
        <w:ind w:firstLine="0" w:firstLineChars="0"/>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一、经济部分</w:t>
      </w:r>
    </w:p>
    <w:p w14:paraId="302C8E6E">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（一）报价函</w:t>
      </w:r>
    </w:p>
    <w:p w14:paraId="7A1C3155">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（二）分项报价明细表</w:t>
      </w:r>
    </w:p>
    <w:p w14:paraId="5E47AA8A">
      <w:pPr>
        <w:pStyle w:val="14"/>
        <w:spacing w:line="400" w:lineRule="exact"/>
        <w:ind w:firstLine="0" w:firstLineChars="0"/>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二、服务部分</w:t>
      </w:r>
    </w:p>
    <w:p w14:paraId="65BA357B">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（一）服务响应偏离表</w:t>
      </w:r>
    </w:p>
    <w:p w14:paraId="29B74E16">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（二）其它资料（如有）</w:t>
      </w:r>
    </w:p>
    <w:p w14:paraId="393F399C">
      <w:pPr>
        <w:pStyle w:val="14"/>
        <w:spacing w:line="400" w:lineRule="exact"/>
        <w:ind w:firstLine="0" w:firstLineChars="0"/>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三、商务部分</w:t>
      </w:r>
    </w:p>
    <w:p w14:paraId="7B06303F">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（一）商务响应偏离表</w:t>
      </w:r>
    </w:p>
    <w:p w14:paraId="3A277897">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（二）其它商务资料（如有）</w:t>
      </w:r>
    </w:p>
    <w:p w14:paraId="5A93406A">
      <w:pPr>
        <w:pStyle w:val="14"/>
        <w:spacing w:line="400" w:lineRule="exact"/>
        <w:ind w:firstLine="0" w:firstLineChars="0"/>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四、资格条件及其他</w:t>
      </w:r>
    </w:p>
    <w:p w14:paraId="2642BEA4">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（一）法人营业执照（副本）或事业单位法人证书（副本）或个体工商户营业执照或有效的自然人身份证明或社会团体法人登记证书复印件</w:t>
      </w:r>
    </w:p>
    <w:p w14:paraId="533D886A">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（二）法定代表人身份证明书（格式）</w:t>
      </w:r>
    </w:p>
    <w:p w14:paraId="6E76FAFE">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（三）法定代表人授权委托书（格式）</w:t>
      </w:r>
    </w:p>
    <w:p w14:paraId="4F291679">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（四）基本资格条件承诺函（格式）</w:t>
      </w:r>
    </w:p>
    <w:p w14:paraId="0AB6BE4A">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（五）特定资格条件证书或证明文件</w:t>
      </w:r>
    </w:p>
    <w:p w14:paraId="50ACE3C0">
      <w:pPr>
        <w:pStyle w:val="14"/>
        <w:spacing w:line="400" w:lineRule="exact"/>
        <w:ind w:firstLine="0" w:firstLineChars="0"/>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五、其他资料</w:t>
      </w:r>
    </w:p>
    <w:p w14:paraId="5859356D">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（一）其他与项目有关的资料</w:t>
      </w:r>
    </w:p>
    <w:p w14:paraId="1CAF096E">
      <w:pPr>
        <w:pStyle w:val="14"/>
        <w:spacing w:line="400" w:lineRule="exact"/>
        <w:ind w:firstLine="480" w:firstLineChars="200"/>
        <w:rPr>
          <w:rFonts w:ascii="宋体" w:hAnsi="宋体" w:cs="宋体"/>
          <w:color w:val="auto"/>
          <w:sz w:val="24"/>
          <w:szCs w:val="24"/>
          <w:highlight w:val="none"/>
        </w:rPr>
        <w:sectPr>
          <w:footerReference r:id="rId8" w:type="default"/>
          <w:pgSz w:w="11907" w:h="16840"/>
          <w:pgMar w:top="1440" w:right="1800" w:bottom="1440" w:left="1800" w:header="851" w:footer="992" w:gutter="0"/>
          <w:pgNumType w:fmt="numberInDash"/>
          <w:cols w:space="720" w:num="1"/>
          <w:docGrid w:linePitch="380" w:charSpace="-5735"/>
        </w:sectPr>
      </w:pPr>
    </w:p>
    <w:p w14:paraId="6709ED80">
      <w:pPr>
        <w:adjustRightInd w:val="0"/>
        <w:snapToGrid w:val="0"/>
        <w:spacing w:line="400" w:lineRule="exact"/>
        <w:ind w:firstLine="0" w:firstLineChars="0"/>
        <w:rPr>
          <w:rFonts w:hint="eastAsia" w:ascii="黑体" w:hAnsi="黑体" w:eastAsia="黑体" w:cs="黑体"/>
          <w:color w:val="auto"/>
          <w:sz w:val="24"/>
          <w:highlight w:val="none"/>
        </w:rPr>
      </w:pPr>
      <w:bookmarkStart w:id="154" w:name="_Toc313008356"/>
      <w:bookmarkStart w:id="155" w:name="_Toc313888360"/>
      <w:bookmarkStart w:id="156" w:name="_Toc342913419"/>
      <w:bookmarkStart w:id="157" w:name="_Toc283382454"/>
      <w:bookmarkStart w:id="158" w:name="_Toc12789073"/>
      <w:r>
        <w:rPr>
          <w:rFonts w:hint="eastAsia" w:ascii="黑体" w:hAnsi="黑体" w:eastAsia="黑体" w:cs="黑体"/>
          <w:color w:val="auto"/>
          <w:szCs w:val="21"/>
          <w:highlight w:val="none"/>
        </w:rPr>
        <w:t>一、经济部分</w:t>
      </w:r>
      <w:bookmarkEnd w:id="154"/>
      <w:bookmarkEnd w:id="155"/>
      <w:bookmarkEnd w:id="156"/>
    </w:p>
    <w:bookmarkEnd w:id="157"/>
    <w:bookmarkEnd w:id="158"/>
    <w:p w14:paraId="6008F64E">
      <w:pPr>
        <w:pStyle w:val="14"/>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（一）报价函</w:t>
      </w:r>
    </w:p>
    <w:p w14:paraId="3234CE5B">
      <w:pPr>
        <w:widowControl/>
        <w:spacing w:line="400" w:lineRule="exact"/>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报价函</w:t>
      </w:r>
    </w:p>
    <w:p w14:paraId="137793F2">
      <w:pPr>
        <w:tabs>
          <w:tab w:val="left" w:pos="6300"/>
        </w:tabs>
        <w:snapToGrid w:val="0"/>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u w:val="single"/>
        </w:rPr>
        <w:t>（采购代理机构名称）</w:t>
      </w:r>
      <w:r>
        <w:rPr>
          <w:rFonts w:hint="eastAsia" w:ascii="宋体" w:hAnsi="宋体" w:cs="宋体"/>
          <w:color w:val="auto"/>
          <w:sz w:val="21"/>
          <w:szCs w:val="21"/>
          <w:highlight w:val="none"/>
        </w:rPr>
        <w:t>：</w:t>
      </w:r>
    </w:p>
    <w:p w14:paraId="368C4F31">
      <w:pPr>
        <w:tabs>
          <w:tab w:val="left" w:pos="6300"/>
        </w:tabs>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我方收到____________________________（项目名称）的比选文件，经详细研究，决定参加该比选项目的</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w:t>
      </w:r>
    </w:p>
    <w:p w14:paraId="23CFF09F">
      <w:pPr>
        <w:tabs>
          <w:tab w:val="left" w:pos="6300"/>
        </w:tabs>
        <w:snapToGrid w:val="0"/>
        <w:spacing w:line="4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1.愿意按照网上比选文件中的一切要求，提供本项目的交货及技术服务，报价为人民币大写：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；人民币小写：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10C62DC9">
      <w:pPr>
        <w:tabs>
          <w:tab w:val="left" w:pos="6300"/>
        </w:tabs>
        <w:snapToGrid w:val="0"/>
        <w:spacing w:line="4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2.我方现提交的响应文件为线上在平台报价并上传响应文件电子文档一份。</w:t>
      </w:r>
    </w:p>
    <w:p w14:paraId="3581B73A">
      <w:pPr>
        <w:tabs>
          <w:tab w:val="left" w:pos="6300"/>
        </w:tabs>
        <w:snapToGrid w:val="0"/>
        <w:spacing w:line="4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3.我方承诺：本次比选的有效期为提交响应文件截止时间起90日历天。</w:t>
      </w:r>
    </w:p>
    <w:p w14:paraId="5CC4E170">
      <w:pPr>
        <w:tabs>
          <w:tab w:val="left" w:pos="6300"/>
        </w:tabs>
        <w:snapToGrid w:val="0"/>
        <w:spacing w:line="4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4.我方完全理解和接受贵方网上比选文件的一切规定和要求及评审办法。</w:t>
      </w:r>
    </w:p>
    <w:p w14:paraId="39AEA8B6">
      <w:pPr>
        <w:tabs>
          <w:tab w:val="left" w:pos="6300"/>
        </w:tabs>
        <w:snapToGrid w:val="0"/>
        <w:spacing w:line="4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5.在整个网上比选过程中，我方若有违规行为，接受按照《中华人民共和国政府采购法》和《网上比选文件》之规定给予惩罚。</w:t>
      </w:r>
    </w:p>
    <w:p w14:paraId="1BCAD5AC">
      <w:pPr>
        <w:tabs>
          <w:tab w:val="left" w:pos="6300"/>
        </w:tabs>
        <w:snapToGrid w:val="0"/>
        <w:spacing w:line="4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6.我方若成为成交供应商，将按照最终网上比选结果签订合同，并且严格履行合同义务。本承诺函将成为合同不可分割的一部分，与合同具有同等的法律效力。</w:t>
      </w:r>
    </w:p>
    <w:p w14:paraId="1FCB7F07">
      <w:pPr>
        <w:tabs>
          <w:tab w:val="left" w:pos="6300"/>
        </w:tabs>
        <w:snapToGrid w:val="0"/>
        <w:spacing w:line="4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7.我方同意比选文件规定。如果我方成为成交供应商，保证在接到成交通知书前，向采购代理机构缴纳比选文件规定的采购代理服务费及平台交易费。</w:t>
      </w:r>
    </w:p>
    <w:p w14:paraId="12A7302D">
      <w:pPr>
        <w:tabs>
          <w:tab w:val="left" w:pos="6300"/>
        </w:tabs>
        <w:snapToGrid w:val="0"/>
        <w:spacing w:line="4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8.我方未为采购项目提供整体设计、规范编制或者项目管理、监理、检测等服务。</w:t>
      </w:r>
    </w:p>
    <w:p w14:paraId="22225F8E">
      <w:pPr>
        <w:tabs>
          <w:tab w:val="left" w:pos="6300"/>
        </w:tabs>
        <w:snapToGrid w:val="0"/>
        <w:spacing w:line="4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9</w:t>
      </w:r>
      <w:r>
        <w:rPr>
          <w:rFonts w:ascii="宋体" w:hAnsi="宋体" w:cs="宋体"/>
          <w:color w:val="auto"/>
          <w:sz w:val="21"/>
          <w:szCs w:val="21"/>
          <w:highlight w:val="none"/>
        </w:rPr>
        <w:t>.</w:t>
      </w:r>
      <w:r>
        <w:rPr>
          <w:rFonts w:hint="eastAsia" w:ascii="宋体" w:hAnsi="宋体" w:cs="宋体"/>
          <w:snapToGrid w:val="0"/>
          <w:color w:val="auto"/>
          <w:w w:val="200"/>
          <w:sz w:val="21"/>
          <w:szCs w:val="21"/>
          <w:highlight w:val="none"/>
          <w:u w:val="single"/>
        </w:rPr>
        <w:t xml:space="preserve"> </w:t>
      </w:r>
      <w:r>
        <w:rPr>
          <w:rFonts w:ascii="宋体" w:hAnsi="宋体" w:cs="宋体"/>
          <w:snapToGrid w:val="0"/>
          <w:color w:val="auto"/>
          <w:w w:val="200"/>
          <w:sz w:val="21"/>
          <w:szCs w:val="21"/>
          <w:highlight w:val="none"/>
          <w:u w:val="single"/>
        </w:rPr>
        <w:t xml:space="preserve">       </w:t>
      </w:r>
      <w:r>
        <w:rPr>
          <w:rFonts w:hint="eastAsia" w:ascii="宋体" w:hAnsi="宋体" w:cs="宋体"/>
          <w:snapToGrid w:val="0"/>
          <w:color w:val="auto"/>
          <w:sz w:val="21"/>
          <w:szCs w:val="21"/>
          <w:highlight w:val="none"/>
          <w:u w:val="single"/>
        </w:rPr>
        <w:t>（其他补充说明）</w:t>
      </w:r>
      <w:r>
        <w:rPr>
          <w:rFonts w:hint="eastAsia" w:ascii="宋体" w:hAnsi="宋体" w:cs="宋体"/>
          <w:snapToGrid w:val="0"/>
          <w:color w:val="auto"/>
          <w:sz w:val="21"/>
          <w:szCs w:val="21"/>
          <w:highlight w:val="none"/>
        </w:rPr>
        <w:t>。</w:t>
      </w:r>
    </w:p>
    <w:p w14:paraId="5E7CF9C0">
      <w:pPr>
        <w:tabs>
          <w:tab w:val="left" w:pos="6300"/>
        </w:tabs>
        <w:snapToGrid w:val="0"/>
        <w:spacing w:line="400" w:lineRule="exact"/>
        <w:ind w:firstLine="570"/>
        <w:rPr>
          <w:rFonts w:ascii="宋体" w:hAnsi="宋体" w:cs="宋体"/>
          <w:color w:val="auto"/>
          <w:sz w:val="21"/>
          <w:szCs w:val="21"/>
          <w:highlight w:val="none"/>
        </w:rPr>
      </w:pPr>
    </w:p>
    <w:p w14:paraId="7A875584">
      <w:pPr>
        <w:tabs>
          <w:tab w:val="left" w:pos="6300"/>
        </w:tabs>
        <w:snapToGrid w:val="0"/>
        <w:spacing w:line="4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供应商（公章）或自然人签署：</w:t>
      </w:r>
    </w:p>
    <w:p w14:paraId="5267A354">
      <w:pPr>
        <w:tabs>
          <w:tab w:val="left" w:pos="6300"/>
        </w:tabs>
        <w:snapToGrid w:val="0"/>
        <w:spacing w:line="4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 xml:space="preserve">地址：  </w:t>
      </w:r>
    </w:p>
    <w:p w14:paraId="45CD5C74">
      <w:pPr>
        <w:tabs>
          <w:tab w:val="left" w:pos="6300"/>
        </w:tabs>
        <w:snapToGrid w:val="0"/>
        <w:spacing w:line="4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电话：                           传真：</w:t>
      </w:r>
    </w:p>
    <w:p w14:paraId="630CD9DD">
      <w:pPr>
        <w:tabs>
          <w:tab w:val="left" w:pos="6300"/>
        </w:tabs>
        <w:snapToGrid w:val="0"/>
        <w:spacing w:line="4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网址：                           邮编：</w:t>
      </w:r>
    </w:p>
    <w:p w14:paraId="29DF8A9F">
      <w:pPr>
        <w:tabs>
          <w:tab w:val="left" w:pos="6300"/>
        </w:tabs>
        <w:snapToGrid w:val="0"/>
        <w:spacing w:line="4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联系人：</w:t>
      </w:r>
    </w:p>
    <w:p w14:paraId="4AD474C6">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14:paraId="03C56405">
      <w:pPr>
        <w:snapToGrid w:val="0"/>
        <w:spacing w:line="400" w:lineRule="exact"/>
        <w:ind w:firstLine="420" w:firstLineChars="200"/>
        <w:rPr>
          <w:rFonts w:ascii="宋体" w:hAnsi="宋体" w:cs="宋体"/>
          <w:color w:val="auto"/>
          <w:sz w:val="21"/>
          <w:szCs w:val="21"/>
          <w:highlight w:val="none"/>
        </w:rPr>
      </w:pPr>
    </w:p>
    <w:p w14:paraId="350C4467">
      <w:pPr>
        <w:snapToGrid w:val="0"/>
        <w:spacing w:line="400" w:lineRule="exact"/>
        <w:ind w:firstLine="5670" w:firstLineChars="2700"/>
        <w:rPr>
          <w:rFonts w:ascii="宋体" w:hAnsi="宋体" w:cs="宋体"/>
          <w:color w:val="auto"/>
          <w:sz w:val="21"/>
          <w:szCs w:val="21"/>
          <w:highlight w:val="none"/>
        </w:rPr>
      </w:pPr>
      <w:r>
        <w:rPr>
          <w:rFonts w:hint="eastAsia" w:ascii="宋体" w:hAnsi="宋体" w:cs="宋体"/>
          <w:color w:val="auto"/>
          <w:sz w:val="21"/>
          <w:szCs w:val="21"/>
          <w:highlight w:val="none"/>
        </w:rPr>
        <w:t xml:space="preserve">    年   月   日</w:t>
      </w:r>
    </w:p>
    <w:p w14:paraId="4DB8B466">
      <w:pPr>
        <w:rPr>
          <w:rFonts w:ascii="宋体" w:hAnsi="宋体" w:cs="宋体"/>
          <w:color w:val="auto"/>
          <w:sz w:val="21"/>
          <w:szCs w:val="21"/>
          <w:highlight w:val="none"/>
        </w:rPr>
      </w:pPr>
      <w:r>
        <w:rPr>
          <w:rFonts w:hint="eastAsia" w:ascii="宋体" w:hAnsi="宋体" w:cs="宋体"/>
          <w:color w:val="auto"/>
          <w:sz w:val="21"/>
          <w:szCs w:val="21"/>
          <w:highlight w:val="none"/>
        </w:rPr>
        <w:br w:type="page"/>
      </w:r>
    </w:p>
    <w:p w14:paraId="43F3E5D7">
      <w:pPr>
        <w:pStyle w:val="9"/>
        <w:rPr>
          <w:color w:val="auto"/>
          <w:highlight w:val="none"/>
        </w:rPr>
        <w:sectPr>
          <w:pgSz w:w="11907" w:h="16840"/>
          <w:pgMar w:top="1440" w:right="1800" w:bottom="1440" w:left="1800" w:header="851" w:footer="992" w:gutter="0"/>
          <w:pgNumType w:fmt="numberInDash"/>
          <w:cols w:space="720" w:num="1"/>
          <w:docGrid w:linePitch="380" w:charSpace="-5735"/>
        </w:sectPr>
      </w:pPr>
    </w:p>
    <w:p w14:paraId="24326166">
      <w:pPr>
        <w:tabs>
          <w:tab w:val="left" w:pos="6300"/>
        </w:tabs>
        <w:snapToGrid w:val="0"/>
        <w:spacing w:line="312" w:lineRule="auto"/>
        <w:ind w:firstLine="480" w:firstLineChars="200"/>
        <w:rPr>
          <w:rFonts w:ascii="宋体" w:hAnsi="宋体"/>
          <w:color w:val="auto"/>
          <w:sz w:val="24"/>
          <w:szCs w:val="24"/>
          <w:highlight w:val="none"/>
        </w:rPr>
      </w:pPr>
      <w:bookmarkStart w:id="159" w:name="_Toc313008357"/>
      <w:bookmarkStart w:id="160" w:name="_Toc342913420"/>
      <w:bookmarkStart w:id="161" w:name="_Toc313888361"/>
      <w:r>
        <w:rPr>
          <w:rFonts w:hint="eastAsia" w:ascii="宋体" w:hAnsi="宋体"/>
          <w:color w:val="auto"/>
          <w:sz w:val="24"/>
          <w:szCs w:val="24"/>
          <w:highlight w:val="none"/>
        </w:rPr>
        <w:t>（二）分项报价明细表</w:t>
      </w:r>
    </w:p>
    <w:p w14:paraId="5AA5B22D">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项目编号：</w:t>
      </w:r>
    </w:p>
    <w:p w14:paraId="65D46B15">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项目名称：                                           </w:t>
      </w:r>
    </w:p>
    <w:tbl>
      <w:tblPr>
        <w:tblStyle w:val="23"/>
        <w:tblW w:w="8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242"/>
        <w:gridCol w:w="2413"/>
        <w:gridCol w:w="861"/>
        <w:gridCol w:w="1443"/>
        <w:gridCol w:w="1326"/>
      </w:tblGrid>
      <w:tr w14:paraId="5F29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6" w:type="dxa"/>
            <w:vAlign w:val="center"/>
          </w:tcPr>
          <w:p w14:paraId="501E74C2">
            <w:pPr>
              <w:snapToGrid w:val="0"/>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1242" w:type="dxa"/>
            <w:vAlign w:val="center"/>
          </w:tcPr>
          <w:p w14:paraId="3E18EBD0">
            <w:pPr>
              <w:snapToGrid w:val="0"/>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名称</w:t>
            </w:r>
          </w:p>
        </w:tc>
        <w:tc>
          <w:tcPr>
            <w:tcW w:w="2413" w:type="dxa"/>
            <w:vAlign w:val="center"/>
          </w:tcPr>
          <w:p w14:paraId="39A7892C">
            <w:pPr>
              <w:snapToGrid w:val="0"/>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相关信息</w:t>
            </w:r>
          </w:p>
        </w:tc>
        <w:tc>
          <w:tcPr>
            <w:tcW w:w="861" w:type="dxa"/>
            <w:vAlign w:val="center"/>
          </w:tcPr>
          <w:p w14:paraId="1A1CAB3E">
            <w:pPr>
              <w:snapToGrid w:val="0"/>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数量</w:t>
            </w:r>
          </w:p>
        </w:tc>
        <w:tc>
          <w:tcPr>
            <w:tcW w:w="1443" w:type="dxa"/>
            <w:vAlign w:val="center"/>
          </w:tcPr>
          <w:p w14:paraId="2BF4C236">
            <w:pPr>
              <w:snapToGrid w:val="0"/>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单价（元）</w:t>
            </w:r>
          </w:p>
        </w:tc>
        <w:tc>
          <w:tcPr>
            <w:tcW w:w="1326" w:type="dxa"/>
            <w:vAlign w:val="center"/>
          </w:tcPr>
          <w:p w14:paraId="46653936">
            <w:pPr>
              <w:snapToGrid w:val="0"/>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合计（元）</w:t>
            </w:r>
          </w:p>
        </w:tc>
      </w:tr>
      <w:tr w14:paraId="29FD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6" w:type="dxa"/>
            <w:vAlign w:val="center"/>
          </w:tcPr>
          <w:p w14:paraId="0382AC78">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242" w:type="dxa"/>
            <w:vAlign w:val="center"/>
          </w:tcPr>
          <w:p w14:paraId="6D268D8C">
            <w:pPr>
              <w:snapToGrid w:val="0"/>
              <w:jc w:val="center"/>
              <w:rPr>
                <w:rFonts w:ascii="宋体" w:hAnsi="宋体" w:cs="宋体"/>
                <w:color w:val="auto"/>
                <w:sz w:val="21"/>
                <w:szCs w:val="21"/>
                <w:highlight w:val="none"/>
              </w:rPr>
            </w:pPr>
          </w:p>
        </w:tc>
        <w:tc>
          <w:tcPr>
            <w:tcW w:w="2413" w:type="dxa"/>
            <w:vAlign w:val="center"/>
          </w:tcPr>
          <w:p w14:paraId="354B823C">
            <w:pPr>
              <w:snapToGrid w:val="0"/>
              <w:jc w:val="center"/>
              <w:rPr>
                <w:rFonts w:ascii="宋体" w:hAnsi="宋体" w:cs="宋体"/>
                <w:color w:val="auto"/>
                <w:sz w:val="21"/>
                <w:szCs w:val="21"/>
                <w:highlight w:val="none"/>
              </w:rPr>
            </w:pPr>
          </w:p>
        </w:tc>
        <w:tc>
          <w:tcPr>
            <w:tcW w:w="861" w:type="dxa"/>
            <w:vAlign w:val="center"/>
          </w:tcPr>
          <w:p w14:paraId="5BCDE0BD">
            <w:pPr>
              <w:snapToGrid w:val="0"/>
              <w:jc w:val="center"/>
              <w:rPr>
                <w:rFonts w:ascii="宋体" w:hAnsi="宋体" w:cs="宋体"/>
                <w:color w:val="auto"/>
                <w:sz w:val="21"/>
                <w:szCs w:val="21"/>
                <w:highlight w:val="none"/>
              </w:rPr>
            </w:pPr>
          </w:p>
        </w:tc>
        <w:tc>
          <w:tcPr>
            <w:tcW w:w="1443" w:type="dxa"/>
            <w:vAlign w:val="center"/>
          </w:tcPr>
          <w:p w14:paraId="159C7B59">
            <w:pPr>
              <w:snapToGrid w:val="0"/>
              <w:jc w:val="center"/>
              <w:rPr>
                <w:rFonts w:ascii="宋体" w:hAnsi="宋体" w:cs="宋体"/>
                <w:color w:val="auto"/>
                <w:sz w:val="21"/>
                <w:szCs w:val="21"/>
                <w:highlight w:val="none"/>
              </w:rPr>
            </w:pPr>
          </w:p>
        </w:tc>
        <w:tc>
          <w:tcPr>
            <w:tcW w:w="1326" w:type="dxa"/>
            <w:vAlign w:val="center"/>
          </w:tcPr>
          <w:p w14:paraId="2270905C">
            <w:pPr>
              <w:snapToGrid w:val="0"/>
              <w:jc w:val="center"/>
              <w:rPr>
                <w:rFonts w:ascii="宋体" w:hAnsi="宋体" w:cs="宋体"/>
                <w:color w:val="auto"/>
                <w:sz w:val="21"/>
                <w:szCs w:val="21"/>
                <w:highlight w:val="none"/>
              </w:rPr>
            </w:pPr>
          </w:p>
        </w:tc>
      </w:tr>
      <w:tr w14:paraId="21CB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6" w:type="dxa"/>
            <w:vAlign w:val="center"/>
          </w:tcPr>
          <w:p w14:paraId="3B0D30B4">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242" w:type="dxa"/>
            <w:vAlign w:val="center"/>
          </w:tcPr>
          <w:p w14:paraId="28E005C2">
            <w:pPr>
              <w:snapToGrid w:val="0"/>
              <w:jc w:val="center"/>
              <w:rPr>
                <w:rFonts w:ascii="宋体" w:hAnsi="宋体" w:cs="宋体"/>
                <w:color w:val="auto"/>
                <w:sz w:val="21"/>
                <w:szCs w:val="21"/>
                <w:highlight w:val="none"/>
              </w:rPr>
            </w:pPr>
          </w:p>
        </w:tc>
        <w:tc>
          <w:tcPr>
            <w:tcW w:w="2413" w:type="dxa"/>
            <w:vAlign w:val="center"/>
          </w:tcPr>
          <w:p w14:paraId="0B86C408">
            <w:pPr>
              <w:snapToGrid w:val="0"/>
              <w:jc w:val="center"/>
              <w:rPr>
                <w:rFonts w:ascii="宋体" w:hAnsi="宋体" w:cs="宋体"/>
                <w:color w:val="auto"/>
                <w:sz w:val="21"/>
                <w:szCs w:val="21"/>
                <w:highlight w:val="none"/>
              </w:rPr>
            </w:pPr>
          </w:p>
        </w:tc>
        <w:tc>
          <w:tcPr>
            <w:tcW w:w="861" w:type="dxa"/>
            <w:vAlign w:val="center"/>
          </w:tcPr>
          <w:p w14:paraId="0B66AEE9">
            <w:pPr>
              <w:snapToGrid w:val="0"/>
              <w:jc w:val="center"/>
              <w:rPr>
                <w:rFonts w:ascii="宋体" w:hAnsi="宋体" w:cs="宋体"/>
                <w:color w:val="auto"/>
                <w:sz w:val="21"/>
                <w:szCs w:val="21"/>
                <w:highlight w:val="none"/>
              </w:rPr>
            </w:pPr>
          </w:p>
        </w:tc>
        <w:tc>
          <w:tcPr>
            <w:tcW w:w="1443" w:type="dxa"/>
            <w:vAlign w:val="center"/>
          </w:tcPr>
          <w:p w14:paraId="4480F48B">
            <w:pPr>
              <w:snapToGrid w:val="0"/>
              <w:jc w:val="center"/>
              <w:rPr>
                <w:rFonts w:ascii="宋体" w:hAnsi="宋体" w:cs="宋体"/>
                <w:color w:val="auto"/>
                <w:sz w:val="21"/>
                <w:szCs w:val="21"/>
                <w:highlight w:val="none"/>
              </w:rPr>
            </w:pPr>
          </w:p>
        </w:tc>
        <w:tc>
          <w:tcPr>
            <w:tcW w:w="1326" w:type="dxa"/>
            <w:vAlign w:val="center"/>
          </w:tcPr>
          <w:p w14:paraId="099B0E49">
            <w:pPr>
              <w:snapToGrid w:val="0"/>
              <w:jc w:val="center"/>
              <w:rPr>
                <w:rFonts w:ascii="宋体" w:hAnsi="宋体" w:cs="宋体"/>
                <w:color w:val="auto"/>
                <w:sz w:val="21"/>
                <w:szCs w:val="21"/>
                <w:highlight w:val="none"/>
              </w:rPr>
            </w:pPr>
          </w:p>
        </w:tc>
      </w:tr>
      <w:tr w14:paraId="5C94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6" w:type="dxa"/>
            <w:vAlign w:val="center"/>
          </w:tcPr>
          <w:p w14:paraId="5D123C66">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1242" w:type="dxa"/>
            <w:vAlign w:val="center"/>
          </w:tcPr>
          <w:p w14:paraId="6E0F6D3A">
            <w:pPr>
              <w:snapToGrid w:val="0"/>
              <w:jc w:val="center"/>
              <w:rPr>
                <w:rFonts w:ascii="宋体" w:hAnsi="宋体" w:cs="宋体"/>
                <w:color w:val="auto"/>
                <w:sz w:val="21"/>
                <w:szCs w:val="21"/>
                <w:highlight w:val="none"/>
              </w:rPr>
            </w:pPr>
          </w:p>
        </w:tc>
        <w:tc>
          <w:tcPr>
            <w:tcW w:w="2413" w:type="dxa"/>
            <w:vAlign w:val="center"/>
          </w:tcPr>
          <w:p w14:paraId="43690DC8">
            <w:pPr>
              <w:snapToGrid w:val="0"/>
              <w:jc w:val="center"/>
              <w:rPr>
                <w:rFonts w:ascii="宋体" w:hAnsi="宋体" w:cs="宋体"/>
                <w:color w:val="auto"/>
                <w:sz w:val="21"/>
                <w:szCs w:val="21"/>
                <w:highlight w:val="none"/>
              </w:rPr>
            </w:pPr>
          </w:p>
        </w:tc>
        <w:tc>
          <w:tcPr>
            <w:tcW w:w="861" w:type="dxa"/>
            <w:vAlign w:val="center"/>
          </w:tcPr>
          <w:p w14:paraId="3DDE4658">
            <w:pPr>
              <w:snapToGrid w:val="0"/>
              <w:jc w:val="center"/>
              <w:rPr>
                <w:rFonts w:ascii="宋体" w:hAnsi="宋体" w:cs="宋体"/>
                <w:color w:val="auto"/>
                <w:sz w:val="21"/>
                <w:szCs w:val="21"/>
                <w:highlight w:val="none"/>
              </w:rPr>
            </w:pPr>
          </w:p>
        </w:tc>
        <w:tc>
          <w:tcPr>
            <w:tcW w:w="1443" w:type="dxa"/>
            <w:vAlign w:val="center"/>
          </w:tcPr>
          <w:p w14:paraId="0300386F">
            <w:pPr>
              <w:snapToGrid w:val="0"/>
              <w:jc w:val="center"/>
              <w:rPr>
                <w:rFonts w:ascii="宋体" w:hAnsi="宋体" w:cs="宋体"/>
                <w:color w:val="auto"/>
                <w:sz w:val="21"/>
                <w:szCs w:val="21"/>
                <w:highlight w:val="none"/>
              </w:rPr>
            </w:pPr>
          </w:p>
        </w:tc>
        <w:tc>
          <w:tcPr>
            <w:tcW w:w="1326" w:type="dxa"/>
            <w:vAlign w:val="center"/>
          </w:tcPr>
          <w:p w14:paraId="36F997E7">
            <w:pPr>
              <w:snapToGrid w:val="0"/>
              <w:jc w:val="center"/>
              <w:rPr>
                <w:rFonts w:ascii="宋体" w:hAnsi="宋体" w:cs="宋体"/>
                <w:color w:val="auto"/>
                <w:sz w:val="21"/>
                <w:szCs w:val="21"/>
                <w:highlight w:val="none"/>
              </w:rPr>
            </w:pPr>
          </w:p>
        </w:tc>
      </w:tr>
      <w:tr w14:paraId="36FF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6" w:type="dxa"/>
            <w:vAlign w:val="center"/>
          </w:tcPr>
          <w:p w14:paraId="23118702">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1242" w:type="dxa"/>
            <w:vAlign w:val="center"/>
          </w:tcPr>
          <w:p w14:paraId="4E9BA6F6">
            <w:pPr>
              <w:snapToGrid w:val="0"/>
              <w:jc w:val="center"/>
              <w:rPr>
                <w:rFonts w:ascii="宋体" w:hAnsi="宋体" w:cs="宋体"/>
                <w:color w:val="auto"/>
                <w:sz w:val="21"/>
                <w:szCs w:val="21"/>
                <w:highlight w:val="none"/>
              </w:rPr>
            </w:pPr>
          </w:p>
        </w:tc>
        <w:tc>
          <w:tcPr>
            <w:tcW w:w="2413" w:type="dxa"/>
            <w:vAlign w:val="center"/>
          </w:tcPr>
          <w:p w14:paraId="52882A66">
            <w:pPr>
              <w:snapToGrid w:val="0"/>
              <w:jc w:val="center"/>
              <w:rPr>
                <w:rFonts w:ascii="宋体" w:hAnsi="宋体" w:cs="宋体"/>
                <w:color w:val="auto"/>
                <w:sz w:val="21"/>
                <w:szCs w:val="21"/>
                <w:highlight w:val="none"/>
              </w:rPr>
            </w:pPr>
          </w:p>
        </w:tc>
        <w:tc>
          <w:tcPr>
            <w:tcW w:w="861" w:type="dxa"/>
            <w:vAlign w:val="center"/>
          </w:tcPr>
          <w:p w14:paraId="2D2800EB">
            <w:pPr>
              <w:snapToGrid w:val="0"/>
              <w:jc w:val="center"/>
              <w:rPr>
                <w:rFonts w:ascii="宋体" w:hAnsi="宋体" w:cs="宋体"/>
                <w:color w:val="auto"/>
                <w:sz w:val="21"/>
                <w:szCs w:val="21"/>
                <w:highlight w:val="none"/>
              </w:rPr>
            </w:pPr>
          </w:p>
        </w:tc>
        <w:tc>
          <w:tcPr>
            <w:tcW w:w="1443" w:type="dxa"/>
            <w:vAlign w:val="center"/>
          </w:tcPr>
          <w:p w14:paraId="6E931E8F">
            <w:pPr>
              <w:snapToGrid w:val="0"/>
              <w:jc w:val="center"/>
              <w:rPr>
                <w:rFonts w:ascii="宋体" w:hAnsi="宋体" w:cs="宋体"/>
                <w:color w:val="auto"/>
                <w:sz w:val="21"/>
                <w:szCs w:val="21"/>
                <w:highlight w:val="none"/>
              </w:rPr>
            </w:pPr>
          </w:p>
        </w:tc>
        <w:tc>
          <w:tcPr>
            <w:tcW w:w="1326" w:type="dxa"/>
            <w:vAlign w:val="center"/>
          </w:tcPr>
          <w:p w14:paraId="72A5AE29">
            <w:pPr>
              <w:snapToGrid w:val="0"/>
              <w:jc w:val="center"/>
              <w:rPr>
                <w:rFonts w:ascii="宋体" w:hAnsi="宋体" w:cs="宋体"/>
                <w:color w:val="auto"/>
                <w:sz w:val="21"/>
                <w:szCs w:val="21"/>
                <w:highlight w:val="none"/>
              </w:rPr>
            </w:pPr>
          </w:p>
        </w:tc>
      </w:tr>
      <w:tr w14:paraId="3E9C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6" w:type="dxa"/>
            <w:vAlign w:val="center"/>
          </w:tcPr>
          <w:p w14:paraId="574E263B">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1242" w:type="dxa"/>
            <w:vAlign w:val="center"/>
          </w:tcPr>
          <w:p w14:paraId="167E421D">
            <w:pPr>
              <w:snapToGrid w:val="0"/>
              <w:jc w:val="center"/>
              <w:rPr>
                <w:rFonts w:ascii="宋体" w:hAnsi="宋体" w:cs="宋体"/>
                <w:color w:val="auto"/>
                <w:sz w:val="21"/>
                <w:szCs w:val="21"/>
                <w:highlight w:val="none"/>
              </w:rPr>
            </w:pPr>
          </w:p>
        </w:tc>
        <w:tc>
          <w:tcPr>
            <w:tcW w:w="2413" w:type="dxa"/>
            <w:vAlign w:val="center"/>
          </w:tcPr>
          <w:p w14:paraId="29B91985">
            <w:pPr>
              <w:snapToGrid w:val="0"/>
              <w:jc w:val="center"/>
              <w:rPr>
                <w:rFonts w:ascii="宋体" w:hAnsi="宋体" w:cs="宋体"/>
                <w:color w:val="auto"/>
                <w:sz w:val="21"/>
                <w:szCs w:val="21"/>
                <w:highlight w:val="none"/>
              </w:rPr>
            </w:pPr>
          </w:p>
        </w:tc>
        <w:tc>
          <w:tcPr>
            <w:tcW w:w="861" w:type="dxa"/>
            <w:vAlign w:val="center"/>
          </w:tcPr>
          <w:p w14:paraId="1C3F7CD7">
            <w:pPr>
              <w:snapToGrid w:val="0"/>
              <w:jc w:val="center"/>
              <w:rPr>
                <w:rFonts w:ascii="宋体" w:hAnsi="宋体" w:cs="宋体"/>
                <w:color w:val="auto"/>
                <w:sz w:val="21"/>
                <w:szCs w:val="21"/>
                <w:highlight w:val="none"/>
              </w:rPr>
            </w:pPr>
          </w:p>
        </w:tc>
        <w:tc>
          <w:tcPr>
            <w:tcW w:w="1443" w:type="dxa"/>
            <w:vAlign w:val="center"/>
          </w:tcPr>
          <w:p w14:paraId="06C8E5A5">
            <w:pPr>
              <w:snapToGrid w:val="0"/>
              <w:jc w:val="center"/>
              <w:rPr>
                <w:rFonts w:ascii="宋体" w:hAnsi="宋体" w:cs="宋体"/>
                <w:color w:val="auto"/>
                <w:sz w:val="21"/>
                <w:szCs w:val="21"/>
                <w:highlight w:val="none"/>
              </w:rPr>
            </w:pPr>
          </w:p>
        </w:tc>
        <w:tc>
          <w:tcPr>
            <w:tcW w:w="1326" w:type="dxa"/>
            <w:vAlign w:val="center"/>
          </w:tcPr>
          <w:p w14:paraId="6BD046A6">
            <w:pPr>
              <w:snapToGrid w:val="0"/>
              <w:jc w:val="center"/>
              <w:rPr>
                <w:rFonts w:ascii="宋体" w:hAnsi="宋体" w:cs="宋体"/>
                <w:color w:val="auto"/>
                <w:sz w:val="21"/>
                <w:szCs w:val="21"/>
                <w:highlight w:val="none"/>
              </w:rPr>
            </w:pPr>
          </w:p>
        </w:tc>
      </w:tr>
      <w:tr w14:paraId="6036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6" w:type="dxa"/>
            <w:vAlign w:val="center"/>
          </w:tcPr>
          <w:p w14:paraId="22AF9751">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1242" w:type="dxa"/>
            <w:vAlign w:val="center"/>
          </w:tcPr>
          <w:p w14:paraId="1CD95E0B">
            <w:pPr>
              <w:snapToGrid w:val="0"/>
              <w:jc w:val="center"/>
              <w:rPr>
                <w:rFonts w:ascii="宋体" w:hAnsi="宋体" w:cs="宋体"/>
                <w:color w:val="auto"/>
                <w:sz w:val="21"/>
                <w:szCs w:val="21"/>
                <w:highlight w:val="none"/>
              </w:rPr>
            </w:pPr>
          </w:p>
        </w:tc>
        <w:tc>
          <w:tcPr>
            <w:tcW w:w="2413" w:type="dxa"/>
            <w:vAlign w:val="center"/>
          </w:tcPr>
          <w:p w14:paraId="499271FE">
            <w:pPr>
              <w:snapToGrid w:val="0"/>
              <w:jc w:val="center"/>
              <w:rPr>
                <w:rFonts w:ascii="宋体" w:hAnsi="宋体" w:cs="宋体"/>
                <w:color w:val="auto"/>
                <w:sz w:val="21"/>
                <w:szCs w:val="21"/>
                <w:highlight w:val="none"/>
              </w:rPr>
            </w:pPr>
          </w:p>
        </w:tc>
        <w:tc>
          <w:tcPr>
            <w:tcW w:w="861" w:type="dxa"/>
            <w:vAlign w:val="center"/>
          </w:tcPr>
          <w:p w14:paraId="4EB50D8A">
            <w:pPr>
              <w:snapToGrid w:val="0"/>
              <w:jc w:val="center"/>
              <w:rPr>
                <w:rFonts w:ascii="宋体" w:hAnsi="宋体" w:cs="宋体"/>
                <w:color w:val="auto"/>
                <w:sz w:val="21"/>
                <w:szCs w:val="21"/>
                <w:highlight w:val="none"/>
              </w:rPr>
            </w:pPr>
          </w:p>
        </w:tc>
        <w:tc>
          <w:tcPr>
            <w:tcW w:w="1443" w:type="dxa"/>
            <w:vAlign w:val="center"/>
          </w:tcPr>
          <w:p w14:paraId="1DBE53E4">
            <w:pPr>
              <w:snapToGrid w:val="0"/>
              <w:jc w:val="center"/>
              <w:rPr>
                <w:rFonts w:ascii="宋体" w:hAnsi="宋体" w:cs="宋体"/>
                <w:color w:val="auto"/>
                <w:sz w:val="21"/>
                <w:szCs w:val="21"/>
                <w:highlight w:val="none"/>
              </w:rPr>
            </w:pPr>
          </w:p>
        </w:tc>
        <w:tc>
          <w:tcPr>
            <w:tcW w:w="1326" w:type="dxa"/>
            <w:vAlign w:val="center"/>
          </w:tcPr>
          <w:p w14:paraId="11FAAAAA">
            <w:pPr>
              <w:snapToGrid w:val="0"/>
              <w:jc w:val="center"/>
              <w:rPr>
                <w:rFonts w:ascii="宋体" w:hAnsi="宋体" w:cs="宋体"/>
                <w:color w:val="auto"/>
                <w:sz w:val="21"/>
                <w:szCs w:val="21"/>
                <w:highlight w:val="none"/>
              </w:rPr>
            </w:pPr>
          </w:p>
        </w:tc>
      </w:tr>
      <w:tr w14:paraId="5C61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6" w:type="dxa"/>
            <w:vAlign w:val="center"/>
          </w:tcPr>
          <w:p w14:paraId="602DBF35">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1242" w:type="dxa"/>
            <w:vAlign w:val="center"/>
          </w:tcPr>
          <w:p w14:paraId="376A3F57">
            <w:pPr>
              <w:snapToGrid w:val="0"/>
              <w:jc w:val="center"/>
              <w:rPr>
                <w:rFonts w:ascii="宋体" w:hAnsi="宋体" w:cs="宋体"/>
                <w:color w:val="auto"/>
                <w:sz w:val="21"/>
                <w:szCs w:val="21"/>
                <w:highlight w:val="none"/>
              </w:rPr>
            </w:pPr>
          </w:p>
        </w:tc>
        <w:tc>
          <w:tcPr>
            <w:tcW w:w="2413" w:type="dxa"/>
            <w:vAlign w:val="center"/>
          </w:tcPr>
          <w:p w14:paraId="3294AE78">
            <w:pPr>
              <w:snapToGrid w:val="0"/>
              <w:jc w:val="center"/>
              <w:rPr>
                <w:rFonts w:ascii="宋体" w:hAnsi="宋体" w:cs="宋体"/>
                <w:color w:val="auto"/>
                <w:sz w:val="21"/>
                <w:szCs w:val="21"/>
                <w:highlight w:val="none"/>
              </w:rPr>
            </w:pPr>
          </w:p>
        </w:tc>
        <w:tc>
          <w:tcPr>
            <w:tcW w:w="861" w:type="dxa"/>
            <w:vAlign w:val="center"/>
          </w:tcPr>
          <w:p w14:paraId="138AA600">
            <w:pPr>
              <w:snapToGrid w:val="0"/>
              <w:jc w:val="center"/>
              <w:rPr>
                <w:rFonts w:ascii="宋体" w:hAnsi="宋体" w:cs="宋体"/>
                <w:color w:val="auto"/>
                <w:sz w:val="21"/>
                <w:szCs w:val="21"/>
                <w:highlight w:val="none"/>
              </w:rPr>
            </w:pPr>
          </w:p>
        </w:tc>
        <w:tc>
          <w:tcPr>
            <w:tcW w:w="1443" w:type="dxa"/>
            <w:vAlign w:val="center"/>
          </w:tcPr>
          <w:p w14:paraId="718AC435">
            <w:pPr>
              <w:snapToGrid w:val="0"/>
              <w:jc w:val="center"/>
              <w:rPr>
                <w:rFonts w:ascii="宋体" w:hAnsi="宋体" w:cs="宋体"/>
                <w:color w:val="auto"/>
                <w:sz w:val="21"/>
                <w:szCs w:val="21"/>
                <w:highlight w:val="none"/>
              </w:rPr>
            </w:pPr>
          </w:p>
        </w:tc>
        <w:tc>
          <w:tcPr>
            <w:tcW w:w="1326" w:type="dxa"/>
            <w:vAlign w:val="center"/>
          </w:tcPr>
          <w:p w14:paraId="7C13690D">
            <w:pPr>
              <w:snapToGrid w:val="0"/>
              <w:jc w:val="center"/>
              <w:rPr>
                <w:rFonts w:ascii="宋体" w:hAnsi="宋体" w:cs="宋体"/>
                <w:color w:val="auto"/>
                <w:sz w:val="21"/>
                <w:szCs w:val="21"/>
                <w:highlight w:val="none"/>
              </w:rPr>
            </w:pPr>
          </w:p>
        </w:tc>
      </w:tr>
      <w:tr w14:paraId="0A36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6" w:type="dxa"/>
            <w:vAlign w:val="center"/>
          </w:tcPr>
          <w:p w14:paraId="77460520">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1242" w:type="dxa"/>
            <w:vAlign w:val="center"/>
          </w:tcPr>
          <w:p w14:paraId="45459BC0">
            <w:pPr>
              <w:snapToGrid w:val="0"/>
              <w:jc w:val="center"/>
              <w:rPr>
                <w:rFonts w:ascii="宋体" w:hAnsi="宋体" w:cs="宋体"/>
                <w:color w:val="auto"/>
                <w:sz w:val="21"/>
                <w:szCs w:val="21"/>
                <w:highlight w:val="none"/>
              </w:rPr>
            </w:pPr>
          </w:p>
        </w:tc>
        <w:tc>
          <w:tcPr>
            <w:tcW w:w="2413" w:type="dxa"/>
            <w:vAlign w:val="center"/>
          </w:tcPr>
          <w:p w14:paraId="7355E5FC">
            <w:pPr>
              <w:snapToGrid w:val="0"/>
              <w:jc w:val="center"/>
              <w:rPr>
                <w:rFonts w:ascii="宋体" w:hAnsi="宋体" w:cs="宋体"/>
                <w:color w:val="auto"/>
                <w:sz w:val="21"/>
                <w:szCs w:val="21"/>
                <w:highlight w:val="none"/>
              </w:rPr>
            </w:pPr>
          </w:p>
        </w:tc>
        <w:tc>
          <w:tcPr>
            <w:tcW w:w="861" w:type="dxa"/>
            <w:vAlign w:val="center"/>
          </w:tcPr>
          <w:p w14:paraId="6A35C434">
            <w:pPr>
              <w:snapToGrid w:val="0"/>
              <w:jc w:val="center"/>
              <w:rPr>
                <w:rFonts w:ascii="宋体" w:hAnsi="宋体" w:cs="宋体"/>
                <w:color w:val="auto"/>
                <w:sz w:val="21"/>
                <w:szCs w:val="21"/>
                <w:highlight w:val="none"/>
              </w:rPr>
            </w:pPr>
          </w:p>
        </w:tc>
        <w:tc>
          <w:tcPr>
            <w:tcW w:w="1443" w:type="dxa"/>
            <w:vAlign w:val="center"/>
          </w:tcPr>
          <w:p w14:paraId="4262BF36">
            <w:pPr>
              <w:snapToGrid w:val="0"/>
              <w:jc w:val="center"/>
              <w:rPr>
                <w:rFonts w:ascii="宋体" w:hAnsi="宋体" w:cs="宋体"/>
                <w:color w:val="auto"/>
                <w:sz w:val="21"/>
                <w:szCs w:val="21"/>
                <w:highlight w:val="none"/>
              </w:rPr>
            </w:pPr>
          </w:p>
        </w:tc>
        <w:tc>
          <w:tcPr>
            <w:tcW w:w="1326" w:type="dxa"/>
            <w:vAlign w:val="center"/>
          </w:tcPr>
          <w:p w14:paraId="6B385164">
            <w:pPr>
              <w:snapToGrid w:val="0"/>
              <w:jc w:val="center"/>
              <w:rPr>
                <w:rFonts w:ascii="宋体" w:hAnsi="宋体" w:cs="宋体"/>
                <w:color w:val="auto"/>
                <w:sz w:val="21"/>
                <w:szCs w:val="21"/>
                <w:highlight w:val="none"/>
              </w:rPr>
            </w:pPr>
          </w:p>
        </w:tc>
      </w:tr>
      <w:tr w14:paraId="107A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6" w:type="dxa"/>
            <w:vAlign w:val="center"/>
          </w:tcPr>
          <w:p w14:paraId="01EC21D4">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1242" w:type="dxa"/>
            <w:vAlign w:val="center"/>
          </w:tcPr>
          <w:p w14:paraId="397F46EF">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2413" w:type="dxa"/>
            <w:vAlign w:val="center"/>
          </w:tcPr>
          <w:p w14:paraId="210CA9C1">
            <w:pPr>
              <w:snapToGrid w:val="0"/>
              <w:jc w:val="center"/>
              <w:rPr>
                <w:rFonts w:ascii="宋体" w:hAnsi="宋体" w:cs="宋体"/>
                <w:color w:val="auto"/>
                <w:sz w:val="21"/>
                <w:szCs w:val="21"/>
                <w:highlight w:val="none"/>
              </w:rPr>
            </w:pPr>
          </w:p>
        </w:tc>
        <w:tc>
          <w:tcPr>
            <w:tcW w:w="861" w:type="dxa"/>
            <w:vAlign w:val="center"/>
          </w:tcPr>
          <w:p w14:paraId="5974FAE8">
            <w:pPr>
              <w:snapToGrid w:val="0"/>
              <w:jc w:val="center"/>
              <w:rPr>
                <w:rFonts w:ascii="宋体" w:hAnsi="宋体" w:cs="宋体"/>
                <w:color w:val="auto"/>
                <w:sz w:val="21"/>
                <w:szCs w:val="21"/>
                <w:highlight w:val="none"/>
              </w:rPr>
            </w:pPr>
          </w:p>
        </w:tc>
        <w:tc>
          <w:tcPr>
            <w:tcW w:w="1443" w:type="dxa"/>
            <w:vAlign w:val="center"/>
          </w:tcPr>
          <w:p w14:paraId="077673F7">
            <w:pPr>
              <w:snapToGrid w:val="0"/>
              <w:jc w:val="center"/>
              <w:rPr>
                <w:rFonts w:ascii="宋体" w:hAnsi="宋体" w:cs="宋体"/>
                <w:color w:val="auto"/>
                <w:sz w:val="21"/>
                <w:szCs w:val="21"/>
                <w:highlight w:val="none"/>
              </w:rPr>
            </w:pPr>
          </w:p>
        </w:tc>
        <w:tc>
          <w:tcPr>
            <w:tcW w:w="1326" w:type="dxa"/>
            <w:vAlign w:val="center"/>
          </w:tcPr>
          <w:p w14:paraId="7B20B673">
            <w:pPr>
              <w:snapToGrid w:val="0"/>
              <w:jc w:val="center"/>
              <w:rPr>
                <w:rFonts w:ascii="宋体" w:hAnsi="宋体" w:cs="宋体"/>
                <w:color w:val="auto"/>
                <w:sz w:val="21"/>
                <w:szCs w:val="21"/>
                <w:highlight w:val="none"/>
              </w:rPr>
            </w:pPr>
          </w:p>
        </w:tc>
      </w:tr>
      <w:tr w14:paraId="5192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6" w:type="dxa"/>
            <w:vAlign w:val="center"/>
          </w:tcPr>
          <w:p w14:paraId="57146CB2">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1242" w:type="dxa"/>
            <w:vAlign w:val="center"/>
          </w:tcPr>
          <w:p w14:paraId="0A8D7812">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总计</w:t>
            </w:r>
          </w:p>
        </w:tc>
        <w:tc>
          <w:tcPr>
            <w:tcW w:w="6043" w:type="dxa"/>
            <w:gridSpan w:val="4"/>
            <w:vAlign w:val="center"/>
          </w:tcPr>
          <w:p w14:paraId="75F88856">
            <w:pPr>
              <w:snapToGrid w:val="0"/>
              <w:jc w:val="center"/>
              <w:rPr>
                <w:rFonts w:ascii="宋体" w:hAnsi="宋体" w:cs="宋体"/>
                <w:color w:val="auto"/>
                <w:sz w:val="21"/>
                <w:szCs w:val="21"/>
                <w:highlight w:val="none"/>
              </w:rPr>
            </w:pPr>
          </w:p>
        </w:tc>
      </w:tr>
    </w:tbl>
    <w:p w14:paraId="01566CD8">
      <w:pPr>
        <w:spacing w:line="500" w:lineRule="exact"/>
        <w:ind w:firstLine="420" w:firstLineChars="200"/>
        <w:rPr>
          <w:rFonts w:ascii="宋体" w:hAnsi="宋体" w:cs="宋体"/>
          <w:color w:val="auto"/>
          <w:sz w:val="21"/>
          <w:szCs w:val="21"/>
          <w:highlight w:val="none"/>
        </w:rPr>
      </w:pPr>
    </w:p>
    <w:p w14:paraId="77844AAE">
      <w:pPr>
        <w:spacing w:line="500" w:lineRule="exact"/>
        <w:ind w:firstLine="525" w:firstLineChars="250"/>
        <w:rPr>
          <w:rFonts w:ascii="宋体" w:hAnsi="宋体" w:cs="宋体"/>
          <w:color w:val="auto"/>
          <w:sz w:val="21"/>
          <w:szCs w:val="21"/>
          <w:highlight w:val="none"/>
        </w:rPr>
      </w:pPr>
      <w:r>
        <w:rPr>
          <w:rFonts w:hint="eastAsia" w:ascii="宋体" w:hAnsi="宋体" w:cs="宋体"/>
          <w:color w:val="auto"/>
          <w:sz w:val="21"/>
          <w:szCs w:val="21"/>
          <w:highlight w:val="none"/>
        </w:rPr>
        <w:t>供应商：                            法定代表人（或其授权代表）或自然人：</w:t>
      </w:r>
    </w:p>
    <w:p w14:paraId="4D5FC346">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14:paraId="1A1077F4">
      <w:pPr>
        <w:spacing w:line="500" w:lineRule="exact"/>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（供应商公章）                               （签署或盖章）</w:t>
      </w:r>
    </w:p>
    <w:p w14:paraId="2033F421">
      <w:pPr>
        <w:tabs>
          <w:tab w:val="left" w:pos="6300"/>
        </w:tabs>
        <w:snapToGrid w:val="0"/>
        <w:spacing w:line="5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 xml:space="preserve">                                              年     月     日</w:t>
      </w:r>
    </w:p>
    <w:p w14:paraId="0AED31C0">
      <w:pPr>
        <w:snapToGrid w:val="0"/>
        <w:spacing w:line="500" w:lineRule="exact"/>
        <w:ind w:firstLine="420" w:firstLineChars="200"/>
        <w:rPr>
          <w:rFonts w:ascii="宋体" w:hAnsi="宋体" w:cs="宋体"/>
          <w:color w:val="auto"/>
          <w:sz w:val="21"/>
          <w:szCs w:val="21"/>
          <w:highlight w:val="none"/>
        </w:rPr>
      </w:pPr>
    </w:p>
    <w:p w14:paraId="1D5B2CBC">
      <w:pPr>
        <w:snapToGrid w:val="0"/>
        <w:ind w:firstLine="360" w:firstLineChars="200"/>
        <w:rPr>
          <w:rFonts w:ascii="宋体" w:hAnsi="宋体" w:cs="宋体"/>
          <w:color w:val="auto"/>
          <w:sz w:val="18"/>
          <w:szCs w:val="18"/>
          <w:highlight w:val="none"/>
        </w:rPr>
      </w:pPr>
    </w:p>
    <w:p w14:paraId="28E3253B">
      <w:pPr>
        <w:snapToGrid w:val="0"/>
        <w:ind w:firstLine="360" w:firstLineChars="200"/>
        <w:rPr>
          <w:rFonts w:ascii="宋体" w:hAnsi="宋体" w:cs="宋体"/>
          <w:color w:val="auto"/>
          <w:sz w:val="18"/>
          <w:szCs w:val="18"/>
          <w:highlight w:val="none"/>
        </w:rPr>
      </w:pPr>
    </w:p>
    <w:p w14:paraId="6E3721EA">
      <w:pPr>
        <w:snapToGrid w:val="0"/>
        <w:ind w:firstLine="360" w:firstLineChars="200"/>
        <w:rPr>
          <w:rFonts w:ascii="宋体" w:hAnsi="宋体" w:cs="宋体"/>
          <w:color w:val="auto"/>
          <w:sz w:val="18"/>
          <w:szCs w:val="18"/>
          <w:highlight w:val="none"/>
        </w:rPr>
      </w:pPr>
    </w:p>
    <w:p w14:paraId="139A2B64">
      <w:pPr>
        <w:snapToGrid w:val="0"/>
        <w:ind w:firstLine="360" w:firstLineChars="200"/>
        <w:rPr>
          <w:rFonts w:ascii="宋体" w:hAnsi="宋体" w:cs="宋体"/>
          <w:color w:val="auto"/>
          <w:sz w:val="18"/>
          <w:szCs w:val="18"/>
          <w:highlight w:val="none"/>
        </w:rPr>
      </w:pPr>
    </w:p>
    <w:p w14:paraId="2A7D8A87">
      <w:pPr>
        <w:snapToGrid w:val="0"/>
        <w:ind w:firstLine="360" w:firstLineChars="200"/>
        <w:rPr>
          <w:rFonts w:ascii="宋体" w:hAnsi="宋体" w:cs="宋体"/>
          <w:color w:val="auto"/>
          <w:sz w:val="18"/>
          <w:szCs w:val="18"/>
          <w:highlight w:val="none"/>
        </w:rPr>
      </w:pPr>
    </w:p>
    <w:p w14:paraId="0CE3E4BC">
      <w:pPr>
        <w:snapToGrid w:val="0"/>
        <w:ind w:firstLine="360" w:firstLineChars="200"/>
        <w:rPr>
          <w:rFonts w:ascii="宋体" w:hAnsi="宋体" w:cs="宋体"/>
          <w:color w:val="auto"/>
          <w:sz w:val="18"/>
          <w:szCs w:val="18"/>
          <w:highlight w:val="none"/>
        </w:rPr>
      </w:pPr>
    </w:p>
    <w:p w14:paraId="4CE83550">
      <w:pPr>
        <w:snapToGrid w:val="0"/>
        <w:ind w:firstLine="360" w:firstLineChars="200"/>
        <w:rPr>
          <w:rFonts w:ascii="宋体" w:hAnsi="宋体" w:cs="宋体"/>
          <w:color w:val="auto"/>
          <w:sz w:val="18"/>
          <w:szCs w:val="18"/>
          <w:highlight w:val="none"/>
        </w:rPr>
      </w:pPr>
    </w:p>
    <w:p w14:paraId="70AFCE74">
      <w:pPr>
        <w:snapToGrid w:val="0"/>
        <w:spacing w:line="400" w:lineRule="exact"/>
        <w:ind w:firstLine="360" w:firstLineChars="200"/>
        <w:rPr>
          <w:rFonts w:ascii="宋体" w:hAnsi="宋体" w:cs="宋体"/>
          <w:color w:val="auto"/>
          <w:sz w:val="18"/>
          <w:szCs w:val="18"/>
          <w:highlight w:val="none"/>
        </w:rPr>
      </w:pPr>
      <w:r>
        <w:rPr>
          <w:rFonts w:hint="eastAsia" w:ascii="宋体" w:hAnsi="宋体" w:cs="宋体"/>
          <w:color w:val="auto"/>
          <w:sz w:val="18"/>
          <w:szCs w:val="18"/>
          <w:highlight w:val="none"/>
        </w:rPr>
        <w:t>注：</w:t>
      </w:r>
    </w:p>
    <w:p w14:paraId="32F63904">
      <w:pPr>
        <w:snapToGrid w:val="0"/>
        <w:spacing w:line="400" w:lineRule="exact"/>
        <w:ind w:firstLine="360" w:firstLineChars="200"/>
        <w:rPr>
          <w:rFonts w:ascii="宋体" w:hAnsi="宋体" w:cs="宋体"/>
          <w:color w:val="auto"/>
          <w:sz w:val="18"/>
          <w:szCs w:val="18"/>
          <w:highlight w:val="none"/>
        </w:rPr>
      </w:pPr>
      <w:r>
        <w:rPr>
          <w:rFonts w:hint="eastAsia" w:ascii="宋体" w:hAnsi="宋体" w:cs="宋体"/>
          <w:color w:val="auto"/>
          <w:sz w:val="18"/>
          <w:szCs w:val="18"/>
          <w:highlight w:val="none"/>
        </w:rPr>
        <w:t>1.请供应商完整填写本表；</w:t>
      </w:r>
    </w:p>
    <w:p w14:paraId="2E413B41">
      <w:pPr>
        <w:spacing w:line="400" w:lineRule="exact"/>
        <w:ind w:firstLine="360" w:firstLineChars="200"/>
        <w:rPr>
          <w:rFonts w:hint="eastAsia" w:ascii="宋体" w:hAnsi="宋体" w:cs="宋体"/>
          <w:color w:val="auto"/>
          <w:sz w:val="18"/>
          <w:szCs w:val="18"/>
          <w:highlight w:val="none"/>
        </w:rPr>
      </w:pPr>
      <w:r>
        <w:rPr>
          <w:rFonts w:hint="eastAsia" w:ascii="宋体" w:hAnsi="宋体" w:cs="宋体"/>
          <w:color w:val="auto"/>
          <w:sz w:val="18"/>
          <w:szCs w:val="18"/>
          <w:highlight w:val="none"/>
        </w:rPr>
        <w:t>2.该表可扩展。</w:t>
      </w:r>
    </w:p>
    <w:p w14:paraId="454C09F9">
      <w:pPr>
        <w:spacing w:line="400" w:lineRule="exact"/>
        <w:ind w:firstLine="0" w:firstLineChars="0"/>
        <w:rPr>
          <w:rFonts w:hint="eastAsia" w:ascii="宋体" w:hAnsi="宋体" w:cs="宋体"/>
          <w:color w:val="auto"/>
          <w:sz w:val="18"/>
          <w:szCs w:val="18"/>
          <w:highlight w:val="none"/>
        </w:rPr>
      </w:pPr>
      <w:r>
        <w:rPr>
          <w:rFonts w:hint="eastAsia" w:ascii="宋体" w:hAnsi="宋体" w:cs="宋体"/>
          <w:color w:val="auto"/>
          <w:sz w:val="18"/>
          <w:szCs w:val="18"/>
          <w:highlight w:val="none"/>
        </w:rPr>
        <w:br w:type="page"/>
      </w:r>
    </w:p>
    <w:p w14:paraId="6209FE7B">
      <w:pPr>
        <w:adjustRightInd w:val="0"/>
        <w:snapToGrid w:val="0"/>
        <w:spacing w:line="400" w:lineRule="exact"/>
        <w:ind w:firstLine="0" w:firstLineChars="0"/>
        <w:rPr>
          <w:rFonts w:hint="eastAsia" w:ascii="黑体" w:hAnsi="黑体" w:eastAsia="黑体" w:cs="黑体"/>
          <w:color w:val="auto"/>
          <w:szCs w:val="21"/>
          <w:highlight w:val="none"/>
        </w:rPr>
      </w:pPr>
      <w:r>
        <w:rPr>
          <w:rFonts w:hint="eastAsia" w:ascii="黑体" w:hAnsi="黑体" w:eastAsia="黑体" w:cs="黑体"/>
          <w:color w:val="auto"/>
          <w:szCs w:val="21"/>
          <w:highlight w:val="none"/>
        </w:rPr>
        <w:t>二、服务部分</w:t>
      </w:r>
      <w:bookmarkEnd w:id="159"/>
      <w:bookmarkEnd w:id="160"/>
      <w:bookmarkEnd w:id="161"/>
    </w:p>
    <w:p w14:paraId="5CBEF0EE">
      <w:pPr>
        <w:widowControl/>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（一）服务响应偏离表                              </w:t>
      </w:r>
    </w:p>
    <w:p w14:paraId="49344900">
      <w:pPr>
        <w:widowControl/>
        <w:spacing w:line="40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项目编号：</w:t>
      </w:r>
    </w:p>
    <w:p w14:paraId="2552870E">
      <w:pPr>
        <w:widowControl/>
        <w:spacing w:line="40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项目名称：</w:t>
      </w:r>
    </w:p>
    <w:tbl>
      <w:tblPr>
        <w:tblStyle w:val="23"/>
        <w:tblW w:w="8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658"/>
        <w:gridCol w:w="3003"/>
        <w:gridCol w:w="1823"/>
      </w:tblGrid>
      <w:tr w14:paraId="1C4DE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4" w:type="dxa"/>
            <w:vAlign w:val="center"/>
          </w:tcPr>
          <w:p w14:paraId="05C8A931">
            <w:pPr>
              <w:tabs>
                <w:tab w:val="left" w:pos="6300"/>
              </w:tabs>
              <w:snapToGrid w:val="0"/>
              <w:spacing w:line="24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658" w:type="dxa"/>
            <w:vAlign w:val="center"/>
          </w:tcPr>
          <w:p w14:paraId="7F3CF5F4">
            <w:pPr>
              <w:tabs>
                <w:tab w:val="left" w:pos="6300"/>
              </w:tabs>
              <w:snapToGrid w:val="0"/>
              <w:spacing w:line="24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服务需求</w:t>
            </w:r>
          </w:p>
        </w:tc>
        <w:tc>
          <w:tcPr>
            <w:tcW w:w="3003" w:type="dxa"/>
            <w:vAlign w:val="center"/>
          </w:tcPr>
          <w:p w14:paraId="7D6D75B5">
            <w:pPr>
              <w:tabs>
                <w:tab w:val="left" w:pos="6300"/>
              </w:tabs>
              <w:snapToGrid w:val="0"/>
              <w:spacing w:line="24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响应情况</w:t>
            </w:r>
          </w:p>
        </w:tc>
        <w:tc>
          <w:tcPr>
            <w:tcW w:w="1823" w:type="dxa"/>
            <w:vAlign w:val="center"/>
          </w:tcPr>
          <w:p w14:paraId="633BFB91">
            <w:pPr>
              <w:tabs>
                <w:tab w:val="left" w:pos="6300"/>
              </w:tabs>
              <w:snapToGrid w:val="0"/>
              <w:spacing w:line="24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差异说明</w:t>
            </w:r>
          </w:p>
        </w:tc>
      </w:tr>
      <w:tr w14:paraId="2549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4" w:type="dxa"/>
            <w:vAlign w:val="center"/>
          </w:tcPr>
          <w:p w14:paraId="24A2561B">
            <w:pPr>
              <w:tabs>
                <w:tab w:val="left" w:pos="6300"/>
              </w:tabs>
              <w:snapToGrid w:val="0"/>
              <w:spacing w:line="240" w:lineRule="auto"/>
              <w:jc w:val="center"/>
              <w:rPr>
                <w:rFonts w:ascii="宋体" w:hAnsi="宋体" w:cs="宋体"/>
                <w:color w:val="auto"/>
                <w:sz w:val="21"/>
                <w:szCs w:val="21"/>
                <w:highlight w:val="none"/>
              </w:rPr>
            </w:pPr>
          </w:p>
        </w:tc>
        <w:tc>
          <w:tcPr>
            <w:tcW w:w="2658" w:type="dxa"/>
            <w:vAlign w:val="center"/>
          </w:tcPr>
          <w:p w14:paraId="2A8C6AC7">
            <w:pPr>
              <w:tabs>
                <w:tab w:val="left" w:pos="6300"/>
              </w:tabs>
              <w:snapToGrid w:val="0"/>
              <w:spacing w:line="240" w:lineRule="auto"/>
              <w:jc w:val="center"/>
              <w:rPr>
                <w:rFonts w:ascii="宋体" w:hAnsi="宋体" w:cs="宋体"/>
                <w:color w:val="auto"/>
                <w:sz w:val="21"/>
                <w:szCs w:val="21"/>
                <w:highlight w:val="none"/>
              </w:rPr>
            </w:pPr>
          </w:p>
        </w:tc>
        <w:tc>
          <w:tcPr>
            <w:tcW w:w="3003" w:type="dxa"/>
            <w:vAlign w:val="center"/>
          </w:tcPr>
          <w:p w14:paraId="67EF048B">
            <w:pPr>
              <w:tabs>
                <w:tab w:val="left" w:pos="6300"/>
              </w:tabs>
              <w:snapToGrid w:val="0"/>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提醒：请注明技术参数或具体内容以及响应文件中技术参数或具体内容的位置（页码）</w:t>
            </w:r>
          </w:p>
        </w:tc>
        <w:tc>
          <w:tcPr>
            <w:tcW w:w="1823" w:type="dxa"/>
            <w:vAlign w:val="center"/>
          </w:tcPr>
          <w:p w14:paraId="3D7EBFD9">
            <w:pPr>
              <w:tabs>
                <w:tab w:val="left" w:pos="6300"/>
              </w:tabs>
              <w:snapToGrid w:val="0"/>
              <w:spacing w:line="240" w:lineRule="auto"/>
              <w:jc w:val="center"/>
              <w:rPr>
                <w:rFonts w:ascii="宋体" w:hAnsi="宋体" w:cs="宋体"/>
                <w:color w:val="auto"/>
                <w:sz w:val="21"/>
                <w:szCs w:val="21"/>
                <w:highlight w:val="none"/>
              </w:rPr>
            </w:pPr>
          </w:p>
        </w:tc>
      </w:tr>
      <w:tr w14:paraId="153F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4" w:type="dxa"/>
            <w:vAlign w:val="center"/>
          </w:tcPr>
          <w:p w14:paraId="1E7BEEBE">
            <w:pPr>
              <w:tabs>
                <w:tab w:val="left" w:pos="6300"/>
              </w:tabs>
              <w:snapToGrid w:val="0"/>
              <w:spacing w:line="240" w:lineRule="auto"/>
              <w:jc w:val="center"/>
              <w:rPr>
                <w:rFonts w:ascii="宋体" w:hAnsi="宋体" w:cs="宋体"/>
                <w:color w:val="auto"/>
                <w:sz w:val="21"/>
                <w:szCs w:val="21"/>
                <w:highlight w:val="none"/>
              </w:rPr>
            </w:pPr>
          </w:p>
        </w:tc>
        <w:tc>
          <w:tcPr>
            <w:tcW w:w="2658" w:type="dxa"/>
            <w:vAlign w:val="center"/>
          </w:tcPr>
          <w:p w14:paraId="35DB724E">
            <w:pPr>
              <w:tabs>
                <w:tab w:val="left" w:pos="6300"/>
              </w:tabs>
              <w:snapToGrid w:val="0"/>
              <w:spacing w:line="240" w:lineRule="auto"/>
              <w:jc w:val="center"/>
              <w:rPr>
                <w:rFonts w:ascii="宋体" w:hAnsi="宋体" w:cs="宋体"/>
                <w:color w:val="auto"/>
                <w:sz w:val="21"/>
                <w:szCs w:val="21"/>
                <w:highlight w:val="none"/>
              </w:rPr>
            </w:pPr>
          </w:p>
        </w:tc>
        <w:tc>
          <w:tcPr>
            <w:tcW w:w="3003" w:type="dxa"/>
            <w:vAlign w:val="center"/>
          </w:tcPr>
          <w:p w14:paraId="5E994FFB">
            <w:pPr>
              <w:tabs>
                <w:tab w:val="left" w:pos="6300"/>
              </w:tabs>
              <w:snapToGrid w:val="0"/>
              <w:spacing w:line="240" w:lineRule="auto"/>
              <w:jc w:val="center"/>
              <w:rPr>
                <w:rFonts w:ascii="宋体" w:hAnsi="宋体" w:cs="宋体"/>
                <w:color w:val="auto"/>
                <w:sz w:val="21"/>
                <w:szCs w:val="21"/>
                <w:highlight w:val="none"/>
              </w:rPr>
            </w:pPr>
          </w:p>
        </w:tc>
        <w:tc>
          <w:tcPr>
            <w:tcW w:w="1823" w:type="dxa"/>
            <w:vAlign w:val="center"/>
          </w:tcPr>
          <w:p w14:paraId="76E3E988">
            <w:pPr>
              <w:tabs>
                <w:tab w:val="left" w:pos="6300"/>
              </w:tabs>
              <w:snapToGrid w:val="0"/>
              <w:spacing w:line="240" w:lineRule="auto"/>
              <w:jc w:val="center"/>
              <w:rPr>
                <w:rFonts w:ascii="宋体" w:hAnsi="宋体" w:cs="宋体"/>
                <w:color w:val="auto"/>
                <w:sz w:val="21"/>
                <w:szCs w:val="21"/>
                <w:highlight w:val="none"/>
              </w:rPr>
            </w:pPr>
          </w:p>
        </w:tc>
      </w:tr>
      <w:tr w14:paraId="3AC9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4" w:type="dxa"/>
            <w:vAlign w:val="center"/>
          </w:tcPr>
          <w:p w14:paraId="3F748E93">
            <w:pPr>
              <w:tabs>
                <w:tab w:val="left" w:pos="6300"/>
              </w:tabs>
              <w:snapToGrid w:val="0"/>
              <w:spacing w:line="240" w:lineRule="auto"/>
              <w:jc w:val="center"/>
              <w:rPr>
                <w:rFonts w:ascii="宋体" w:hAnsi="宋体" w:cs="宋体"/>
                <w:color w:val="auto"/>
                <w:sz w:val="21"/>
                <w:szCs w:val="21"/>
                <w:highlight w:val="none"/>
              </w:rPr>
            </w:pPr>
          </w:p>
        </w:tc>
        <w:tc>
          <w:tcPr>
            <w:tcW w:w="2658" w:type="dxa"/>
            <w:vAlign w:val="center"/>
          </w:tcPr>
          <w:p w14:paraId="78DEDBFB">
            <w:pPr>
              <w:tabs>
                <w:tab w:val="left" w:pos="6300"/>
              </w:tabs>
              <w:snapToGrid w:val="0"/>
              <w:spacing w:line="240" w:lineRule="auto"/>
              <w:jc w:val="center"/>
              <w:rPr>
                <w:rFonts w:ascii="宋体" w:hAnsi="宋体" w:cs="宋体"/>
                <w:color w:val="auto"/>
                <w:sz w:val="21"/>
                <w:szCs w:val="21"/>
                <w:highlight w:val="none"/>
              </w:rPr>
            </w:pPr>
          </w:p>
        </w:tc>
        <w:tc>
          <w:tcPr>
            <w:tcW w:w="3003" w:type="dxa"/>
            <w:vAlign w:val="center"/>
          </w:tcPr>
          <w:p w14:paraId="362BBC95">
            <w:pPr>
              <w:tabs>
                <w:tab w:val="left" w:pos="6300"/>
              </w:tabs>
              <w:snapToGrid w:val="0"/>
              <w:spacing w:line="240" w:lineRule="auto"/>
              <w:jc w:val="center"/>
              <w:rPr>
                <w:rFonts w:ascii="宋体" w:hAnsi="宋体" w:cs="宋体"/>
                <w:color w:val="auto"/>
                <w:sz w:val="21"/>
                <w:szCs w:val="21"/>
                <w:highlight w:val="none"/>
              </w:rPr>
            </w:pPr>
          </w:p>
        </w:tc>
        <w:tc>
          <w:tcPr>
            <w:tcW w:w="1823" w:type="dxa"/>
            <w:vAlign w:val="center"/>
          </w:tcPr>
          <w:p w14:paraId="152CB732">
            <w:pPr>
              <w:tabs>
                <w:tab w:val="left" w:pos="6300"/>
              </w:tabs>
              <w:snapToGrid w:val="0"/>
              <w:spacing w:line="240" w:lineRule="auto"/>
              <w:jc w:val="center"/>
              <w:rPr>
                <w:rFonts w:ascii="宋体" w:hAnsi="宋体" w:cs="宋体"/>
                <w:color w:val="auto"/>
                <w:sz w:val="21"/>
                <w:szCs w:val="21"/>
                <w:highlight w:val="none"/>
              </w:rPr>
            </w:pPr>
          </w:p>
        </w:tc>
      </w:tr>
      <w:tr w14:paraId="469C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4" w:type="dxa"/>
            <w:vAlign w:val="center"/>
          </w:tcPr>
          <w:p w14:paraId="15E72B99">
            <w:pPr>
              <w:tabs>
                <w:tab w:val="left" w:pos="6300"/>
              </w:tabs>
              <w:snapToGrid w:val="0"/>
              <w:spacing w:line="240" w:lineRule="auto"/>
              <w:jc w:val="center"/>
              <w:rPr>
                <w:rFonts w:ascii="宋体" w:hAnsi="宋体" w:cs="宋体"/>
                <w:color w:val="auto"/>
                <w:sz w:val="21"/>
                <w:szCs w:val="21"/>
                <w:highlight w:val="none"/>
              </w:rPr>
            </w:pPr>
          </w:p>
        </w:tc>
        <w:tc>
          <w:tcPr>
            <w:tcW w:w="2658" w:type="dxa"/>
            <w:vAlign w:val="center"/>
          </w:tcPr>
          <w:p w14:paraId="61F3840A">
            <w:pPr>
              <w:tabs>
                <w:tab w:val="left" w:pos="6300"/>
              </w:tabs>
              <w:snapToGrid w:val="0"/>
              <w:spacing w:line="240" w:lineRule="auto"/>
              <w:jc w:val="center"/>
              <w:rPr>
                <w:rFonts w:ascii="宋体" w:hAnsi="宋体" w:cs="宋体"/>
                <w:color w:val="auto"/>
                <w:sz w:val="21"/>
                <w:szCs w:val="21"/>
                <w:highlight w:val="none"/>
              </w:rPr>
            </w:pPr>
          </w:p>
        </w:tc>
        <w:tc>
          <w:tcPr>
            <w:tcW w:w="3003" w:type="dxa"/>
            <w:vAlign w:val="center"/>
          </w:tcPr>
          <w:p w14:paraId="2966E503">
            <w:pPr>
              <w:tabs>
                <w:tab w:val="left" w:pos="6300"/>
              </w:tabs>
              <w:snapToGrid w:val="0"/>
              <w:spacing w:line="240" w:lineRule="auto"/>
              <w:jc w:val="center"/>
              <w:rPr>
                <w:rFonts w:ascii="宋体" w:hAnsi="宋体" w:cs="宋体"/>
                <w:color w:val="auto"/>
                <w:sz w:val="21"/>
                <w:szCs w:val="21"/>
                <w:highlight w:val="none"/>
              </w:rPr>
            </w:pPr>
          </w:p>
        </w:tc>
        <w:tc>
          <w:tcPr>
            <w:tcW w:w="1823" w:type="dxa"/>
            <w:vAlign w:val="center"/>
          </w:tcPr>
          <w:p w14:paraId="0F6812E6">
            <w:pPr>
              <w:tabs>
                <w:tab w:val="left" w:pos="6300"/>
              </w:tabs>
              <w:snapToGrid w:val="0"/>
              <w:spacing w:line="240" w:lineRule="auto"/>
              <w:jc w:val="center"/>
              <w:rPr>
                <w:rFonts w:ascii="宋体" w:hAnsi="宋体" w:cs="宋体"/>
                <w:color w:val="auto"/>
                <w:sz w:val="21"/>
                <w:szCs w:val="21"/>
                <w:highlight w:val="none"/>
              </w:rPr>
            </w:pPr>
          </w:p>
        </w:tc>
      </w:tr>
      <w:tr w14:paraId="5F13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4" w:type="dxa"/>
            <w:vAlign w:val="center"/>
          </w:tcPr>
          <w:p w14:paraId="57F19916">
            <w:pPr>
              <w:tabs>
                <w:tab w:val="left" w:pos="6300"/>
              </w:tabs>
              <w:snapToGrid w:val="0"/>
              <w:spacing w:line="240" w:lineRule="auto"/>
              <w:jc w:val="center"/>
              <w:rPr>
                <w:rFonts w:ascii="宋体" w:hAnsi="宋体" w:cs="宋体"/>
                <w:color w:val="auto"/>
                <w:sz w:val="21"/>
                <w:szCs w:val="21"/>
                <w:highlight w:val="none"/>
              </w:rPr>
            </w:pPr>
          </w:p>
        </w:tc>
        <w:tc>
          <w:tcPr>
            <w:tcW w:w="2658" w:type="dxa"/>
            <w:vAlign w:val="center"/>
          </w:tcPr>
          <w:p w14:paraId="52CE89F2">
            <w:pPr>
              <w:tabs>
                <w:tab w:val="left" w:pos="6300"/>
              </w:tabs>
              <w:snapToGrid w:val="0"/>
              <w:spacing w:line="240" w:lineRule="auto"/>
              <w:jc w:val="center"/>
              <w:rPr>
                <w:rFonts w:ascii="宋体" w:hAnsi="宋体" w:cs="宋体"/>
                <w:color w:val="auto"/>
                <w:sz w:val="21"/>
                <w:szCs w:val="21"/>
                <w:highlight w:val="none"/>
              </w:rPr>
            </w:pPr>
          </w:p>
        </w:tc>
        <w:tc>
          <w:tcPr>
            <w:tcW w:w="3003" w:type="dxa"/>
            <w:vAlign w:val="center"/>
          </w:tcPr>
          <w:p w14:paraId="25A3D1C1">
            <w:pPr>
              <w:tabs>
                <w:tab w:val="left" w:pos="6300"/>
              </w:tabs>
              <w:snapToGrid w:val="0"/>
              <w:spacing w:line="240" w:lineRule="auto"/>
              <w:jc w:val="center"/>
              <w:rPr>
                <w:rFonts w:ascii="宋体" w:hAnsi="宋体" w:cs="宋体"/>
                <w:color w:val="auto"/>
                <w:sz w:val="21"/>
                <w:szCs w:val="21"/>
                <w:highlight w:val="none"/>
              </w:rPr>
            </w:pPr>
          </w:p>
        </w:tc>
        <w:tc>
          <w:tcPr>
            <w:tcW w:w="1823" w:type="dxa"/>
            <w:vAlign w:val="center"/>
          </w:tcPr>
          <w:p w14:paraId="637F7A8B">
            <w:pPr>
              <w:tabs>
                <w:tab w:val="left" w:pos="6300"/>
              </w:tabs>
              <w:snapToGrid w:val="0"/>
              <w:spacing w:line="240" w:lineRule="auto"/>
              <w:jc w:val="center"/>
              <w:rPr>
                <w:rFonts w:ascii="宋体" w:hAnsi="宋体" w:cs="宋体"/>
                <w:color w:val="auto"/>
                <w:sz w:val="21"/>
                <w:szCs w:val="21"/>
                <w:highlight w:val="none"/>
              </w:rPr>
            </w:pPr>
          </w:p>
        </w:tc>
      </w:tr>
      <w:tr w14:paraId="1C52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4" w:type="dxa"/>
            <w:vAlign w:val="center"/>
          </w:tcPr>
          <w:p w14:paraId="379AD2FB">
            <w:pPr>
              <w:tabs>
                <w:tab w:val="left" w:pos="6300"/>
              </w:tabs>
              <w:snapToGrid w:val="0"/>
              <w:spacing w:line="240" w:lineRule="auto"/>
              <w:jc w:val="center"/>
              <w:rPr>
                <w:rFonts w:ascii="宋体" w:hAnsi="宋体" w:cs="宋体"/>
                <w:color w:val="auto"/>
                <w:sz w:val="21"/>
                <w:szCs w:val="21"/>
                <w:highlight w:val="none"/>
              </w:rPr>
            </w:pPr>
          </w:p>
        </w:tc>
        <w:tc>
          <w:tcPr>
            <w:tcW w:w="2658" w:type="dxa"/>
            <w:vAlign w:val="center"/>
          </w:tcPr>
          <w:p w14:paraId="6BAA5D9C">
            <w:pPr>
              <w:tabs>
                <w:tab w:val="left" w:pos="6300"/>
              </w:tabs>
              <w:snapToGrid w:val="0"/>
              <w:spacing w:line="240" w:lineRule="auto"/>
              <w:jc w:val="center"/>
              <w:rPr>
                <w:rFonts w:ascii="宋体" w:hAnsi="宋体" w:cs="宋体"/>
                <w:color w:val="auto"/>
                <w:sz w:val="21"/>
                <w:szCs w:val="21"/>
                <w:highlight w:val="none"/>
              </w:rPr>
            </w:pPr>
          </w:p>
        </w:tc>
        <w:tc>
          <w:tcPr>
            <w:tcW w:w="3003" w:type="dxa"/>
            <w:vAlign w:val="center"/>
          </w:tcPr>
          <w:p w14:paraId="4C3CD2EF">
            <w:pPr>
              <w:tabs>
                <w:tab w:val="left" w:pos="6300"/>
              </w:tabs>
              <w:snapToGrid w:val="0"/>
              <w:spacing w:line="240" w:lineRule="auto"/>
              <w:jc w:val="center"/>
              <w:rPr>
                <w:rFonts w:ascii="宋体" w:hAnsi="宋体" w:cs="宋体"/>
                <w:color w:val="auto"/>
                <w:sz w:val="21"/>
                <w:szCs w:val="21"/>
                <w:highlight w:val="none"/>
              </w:rPr>
            </w:pPr>
          </w:p>
        </w:tc>
        <w:tc>
          <w:tcPr>
            <w:tcW w:w="1823" w:type="dxa"/>
            <w:vAlign w:val="center"/>
          </w:tcPr>
          <w:p w14:paraId="023D8A50">
            <w:pPr>
              <w:tabs>
                <w:tab w:val="left" w:pos="6300"/>
              </w:tabs>
              <w:snapToGrid w:val="0"/>
              <w:spacing w:line="240" w:lineRule="auto"/>
              <w:jc w:val="center"/>
              <w:rPr>
                <w:rFonts w:ascii="宋体" w:hAnsi="宋体" w:cs="宋体"/>
                <w:color w:val="auto"/>
                <w:sz w:val="21"/>
                <w:szCs w:val="21"/>
                <w:highlight w:val="none"/>
              </w:rPr>
            </w:pPr>
          </w:p>
        </w:tc>
      </w:tr>
      <w:tr w14:paraId="16F1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4" w:type="dxa"/>
            <w:vAlign w:val="center"/>
          </w:tcPr>
          <w:p w14:paraId="4A5B2D68">
            <w:pPr>
              <w:tabs>
                <w:tab w:val="left" w:pos="6300"/>
              </w:tabs>
              <w:snapToGrid w:val="0"/>
              <w:spacing w:line="240" w:lineRule="auto"/>
              <w:jc w:val="center"/>
              <w:rPr>
                <w:rFonts w:ascii="宋体" w:hAnsi="宋体" w:cs="宋体"/>
                <w:color w:val="auto"/>
                <w:sz w:val="21"/>
                <w:szCs w:val="21"/>
                <w:highlight w:val="none"/>
              </w:rPr>
            </w:pPr>
          </w:p>
        </w:tc>
        <w:tc>
          <w:tcPr>
            <w:tcW w:w="2658" w:type="dxa"/>
            <w:vAlign w:val="center"/>
          </w:tcPr>
          <w:p w14:paraId="37FABEDB">
            <w:pPr>
              <w:tabs>
                <w:tab w:val="left" w:pos="6300"/>
              </w:tabs>
              <w:snapToGrid w:val="0"/>
              <w:spacing w:line="240" w:lineRule="auto"/>
              <w:jc w:val="center"/>
              <w:rPr>
                <w:rFonts w:ascii="宋体" w:hAnsi="宋体" w:cs="宋体"/>
                <w:color w:val="auto"/>
                <w:sz w:val="21"/>
                <w:szCs w:val="21"/>
                <w:highlight w:val="none"/>
              </w:rPr>
            </w:pPr>
          </w:p>
        </w:tc>
        <w:tc>
          <w:tcPr>
            <w:tcW w:w="3003" w:type="dxa"/>
            <w:vAlign w:val="center"/>
          </w:tcPr>
          <w:p w14:paraId="11037E18">
            <w:pPr>
              <w:tabs>
                <w:tab w:val="left" w:pos="6300"/>
              </w:tabs>
              <w:snapToGrid w:val="0"/>
              <w:spacing w:line="240" w:lineRule="auto"/>
              <w:jc w:val="center"/>
              <w:rPr>
                <w:rFonts w:ascii="宋体" w:hAnsi="宋体" w:cs="宋体"/>
                <w:color w:val="auto"/>
                <w:sz w:val="21"/>
                <w:szCs w:val="21"/>
                <w:highlight w:val="none"/>
              </w:rPr>
            </w:pPr>
          </w:p>
        </w:tc>
        <w:tc>
          <w:tcPr>
            <w:tcW w:w="1823" w:type="dxa"/>
            <w:vAlign w:val="center"/>
          </w:tcPr>
          <w:p w14:paraId="0C809475">
            <w:pPr>
              <w:tabs>
                <w:tab w:val="left" w:pos="6300"/>
              </w:tabs>
              <w:snapToGrid w:val="0"/>
              <w:spacing w:line="240" w:lineRule="auto"/>
              <w:jc w:val="center"/>
              <w:rPr>
                <w:rFonts w:ascii="宋体" w:hAnsi="宋体" w:cs="宋体"/>
                <w:color w:val="auto"/>
                <w:sz w:val="21"/>
                <w:szCs w:val="21"/>
                <w:highlight w:val="none"/>
              </w:rPr>
            </w:pPr>
          </w:p>
        </w:tc>
      </w:tr>
      <w:tr w14:paraId="331E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4" w:type="dxa"/>
            <w:vAlign w:val="center"/>
          </w:tcPr>
          <w:p w14:paraId="71AFD75F">
            <w:pPr>
              <w:tabs>
                <w:tab w:val="left" w:pos="6300"/>
              </w:tabs>
              <w:snapToGrid w:val="0"/>
              <w:spacing w:line="240" w:lineRule="auto"/>
              <w:jc w:val="center"/>
              <w:rPr>
                <w:rFonts w:ascii="宋体" w:hAnsi="宋体" w:cs="宋体"/>
                <w:color w:val="auto"/>
                <w:sz w:val="21"/>
                <w:szCs w:val="21"/>
                <w:highlight w:val="none"/>
              </w:rPr>
            </w:pPr>
          </w:p>
        </w:tc>
        <w:tc>
          <w:tcPr>
            <w:tcW w:w="2658" w:type="dxa"/>
            <w:vAlign w:val="center"/>
          </w:tcPr>
          <w:p w14:paraId="108A9436">
            <w:pPr>
              <w:tabs>
                <w:tab w:val="left" w:pos="6300"/>
              </w:tabs>
              <w:snapToGrid w:val="0"/>
              <w:spacing w:line="240" w:lineRule="auto"/>
              <w:jc w:val="center"/>
              <w:rPr>
                <w:rFonts w:ascii="宋体" w:hAnsi="宋体" w:cs="宋体"/>
                <w:color w:val="auto"/>
                <w:sz w:val="21"/>
                <w:szCs w:val="21"/>
                <w:highlight w:val="none"/>
              </w:rPr>
            </w:pPr>
          </w:p>
        </w:tc>
        <w:tc>
          <w:tcPr>
            <w:tcW w:w="3003" w:type="dxa"/>
            <w:vAlign w:val="center"/>
          </w:tcPr>
          <w:p w14:paraId="0E0F0D8C">
            <w:pPr>
              <w:tabs>
                <w:tab w:val="left" w:pos="6300"/>
              </w:tabs>
              <w:snapToGrid w:val="0"/>
              <w:spacing w:line="240" w:lineRule="auto"/>
              <w:jc w:val="center"/>
              <w:rPr>
                <w:rFonts w:ascii="宋体" w:hAnsi="宋体" w:cs="宋体"/>
                <w:color w:val="auto"/>
                <w:sz w:val="21"/>
                <w:szCs w:val="21"/>
                <w:highlight w:val="none"/>
              </w:rPr>
            </w:pPr>
          </w:p>
        </w:tc>
        <w:tc>
          <w:tcPr>
            <w:tcW w:w="1823" w:type="dxa"/>
            <w:vAlign w:val="center"/>
          </w:tcPr>
          <w:p w14:paraId="10917F76">
            <w:pPr>
              <w:tabs>
                <w:tab w:val="left" w:pos="6300"/>
              </w:tabs>
              <w:snapToGrid w:val="0"/>
              <w:spacing w:line="240" w:lineRule="auto"/>
              <w:jc w:val="center"/>
              <w:rPr>
                <w:rFonts w:ascii="宋体" w:hAnsi="宋体" w:cs="宋体"/>
                <w:color w:val="auto"/>
                <w:sz w:val="21"/>
                <w:szCs w:val="21"/>
                <w:highlight w:val="none"/>
              </w:rPr>
            </w:pPr>
          </w:p>
        </w:tc>
      </w:tr>
      <w:tr w14:paraId="4331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4" w:type="dxa"/>
            <w:vAlign w:val="center"/>
          </w:tcPr>
          <w:p w14:paraId="66DDF1A7">
            <w:pPr>
              <w:tabs>
                <w:tab w:val="left" w:pos="6300"/>
              </w:tabs>
              <w:snapToGrid w:val="0"/>
              <w:spacing w:line="240" w:lineRule="auto"/>
              <w:jc w:val="center"/>
              <w:rPr>
                <w:rFonts w:ascii="宋体" w:hAnsi="宋体" w:cs="宋体"/>
                <w:color w:val="auto"/>
                <w:sz w:val="21"/>
                <w:szCs w:val="21"/>
                <w:highlight w:val="none"/>
              </w:rPr>
            </w:pPr>
          </w:p>
        </w:tc>
        <w:tc>
          <w:tcPr>
            <w:tcW w:w="2658" w:type="dxa"/>
            <w:vAlign w:val="center"/>
          </w:tcPr>
          <w:p w14:paraId="660C6118">
            <w:pPr>
              <w:tabs>
                <w:tab w:val="left" w:pos="6300"/>
              </w:tabs>
              <w:snapToGrid w:val="0"/>
              <w:spacing w:line="240" w:lineRule="auto"/>
              <w:jc w:val="center"/>
              <w:rPr>
                <w:rFonts w:ascii="宋体" w:hAnsi="宋体" w:cs="宋体"/>
                <w:color w:val="auto"/>
                <w:sz w:val="21"/>
                <w:szCs w:val="21"/>
                <w:highlight w:val="none"/>
              </w:rPr>
            </w:pPr>
          </w:p>
        </w:tc>
        <w:tc>
          <w:tcPr>
            <w:tcW w:w="3003" w:type="dxa"/>
            <w:vAlign w:val="center"/>
          </w:tcPr>
          <w:p w14:paraId="69559ACC">
            <w:pPr>
              <w:tabs>
                <w:tab w:val="left" w:pos="6300"/>
              </w:tabs>
              <w:snapToGrid w:val="0"/>
              <w:spacing w:line="240" w:lineRule="auto"/>
              <w:jc w:val="center"/>
              <w:rPr>
                <w:rFonts w:ascii="宋体" w:hAnsi="宋体" w:cs="宋体"/>
                <w:color w:val="auto"/>
                <w:sz w:val="21"/>
                <w:szCs w:val="21"/>
                <w:highlight w:val="none"/>
              </w:rPr>
            </w:pPr>
          </w:p>
        </w:tc>
        <w:tc>
          <w:tcPr>
            <w:tcW w:w="1823" w:type="dxa"/>
            <w:vAlign w:val="center"/>
          </w:tcPr>
          <w:p w14:paraId="0024E766">
            <w:pPr>
              <w:tabs>
                <w:tab w:val="left" w:pos="6300"/>
              </w:tabs>
              <w:snapToGrid w:val="0"/>
              <w:spacing w:line="240" w:lineRule="auto"/>
              <w:jc w:val="center"/>
              <w:rPr>
                <w:rFonts w:ascii="宋体" w:hAnsi="宋体" w:cs="宋体"/>
                <w:color w:val="auto"/>
                <w:sz w:val="21"/>
                <w:szCs w:val="21"/>
                <w:highlight w:val="none"/>
              </w:rPr>
            </w:pPr>
          </w:p>
        </w:tc>
      </w:tr>
      <w:tr w14:paraId="6D95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4" w:type="dxa"/>
            <w:vAlign w:val="center"/>
          </w:tcPr>
          <w:p w14:paraId="5E3651CE">
            <w:pPr>
              <w:tabs>
                <w:tab w:val="left" w:pos="6300"/>
              </w:tabs>
              <w:snapToGrid w:val="0"/>
              <w:spacing w:line="240" w:lineRule="auto"/>
              <w:jc w:val="center"/>
              <w:rPr>
                <w:rFonts w:ascii="宋体" w:hAnsi="宋体" w:cs="宋体"/>
                <w:color w:val="auto"/>
                <w:sz w:val="21"/>
                <w:szCs w:val="21"/>
                <w:highlight w:val="none"/>
              </w:rPr>
            </w:pPr>
          </w:p>
        </w:tc>
        <w:tc>
          <w:tcPr>
            <w:tcW w:w="2658" w:type="dxa"/>
            <w:vAlign w:val="center"/>
          </w:tcPr>
          <w:p w14:paraId="7D617DA0">
            <w:pPr>
              <w:tabs>
                <w:tab w:val="left" w:pos="6300"/>
              </w:tabs>
              <w:snapToGrid w:val="0"/>
              <w:spacing w:line="240" w:lineRule="auto"/>
              <w:jc w:val="center"/>
              <w:rPr>
                <w:rFonts w:ascii="宋体" w:hAnsi="宋体" w:cs="宋体"/>
                <w:color w:val="auto"/>
                <w:sz w:val="21"/>
                <w:szCs w:val="21"/>
                <w:highlight w:val="none"/>
              </w:rPr>
            </w:pPr>
          </w:p>
        </w:tc>
        <w:tc>
          <w:tcPr>
            <w:tcW w:w="3003" w:type="dxa"/>
            <w:vAlign w:val="center"/>
          </w:tcPr>
          <w:p w14:paraId="1A44592C">
            <w:pPr>
              <w:tabs>
                <w:tab w:val="left" w:pos="6300"/>
              </w:tabs>
              <w:snapToGrid w:val="0"/>
              <w:spacing w:line="240" w:lineRule="auto"/>
              <w:jc w:val="center"/>
              <w:rPr>
                <w:rFonts w:ascii="宋体" w:hAnsi="宋体" w:cs="宋体"/>
                <w:color w:val="auto"/>
                <w:sz w:val="21"/>
                <w:szCs w:val="21"/>
                <w:highlight w:val="none"/>
              </w:rPr>
            </w:pPr>
          </w:p>
        </w:tc>
        <w:tc>
          <w:tcPr>
            <w:tcW w:w="1823" w:type="dxa"/>
            <w:vAlign w:val="center"/>
          </w:tcPr>
          <w:p w14:paraId="20E0B474">
            <w:pPr>
              <w:tabs>
                <w:tab w:val="left" w:pos="6300"/>
              </w:tabs>
              <w:snapToGrid w:val="0"/>
              <w:spacing w:line="240" w:lineRule="auto"/>
              <w:jc w:val="center"/>
              <w:rPr>
                <w:rFonts w:ascii="宋体" w:hAnsi="宋体" w:cs="宋体"/>
                <w:color w:val="auto"/>
                <w:sz w:val="21"/>
                <w:szCs w:val="21"/>
                <w:highlight w:val="none"/>
              </w:rPr>
            </w:pPr>
          </w:p>
        </w:tc>
      </w:tr>
    </w:tbl>
    <w:p w14:paraId="5E19CD02">
      <w:pPr>
        <w:spacing w:line="500" w:lineRule="exact"/>
        <w:ind w:firstLine="525" w:firstLineChars="250"/>
        <w:rPr>
          <w:rFonts w:ascii="宋体" w:hAnsi="宋体" w:cs="宋体"/>
          <w:color w:val="auto"/>
          <w:sz w:val="21"/>
          <w:szCs w:val="21"/>
          <w:highlight w:val="none"/>
        </w:rPr>
      </w:pPr>
      <w:r>
        <w:rPr>
          <w:rFonts w:hint="eastAsia" w:ascii="宋体" w:hAnsi="宋体" w:cs="宋体"/>
          <w:color w:val="auto"/>
          <w:sz w:val="21"/>
          <w:szCs w:val="21"/>
          <w:highlight w:val="none"/>
        </w:rPr>
        <w:t>供应商：                            法定代表人（或其授权代表）或自然人：</w:t>
      </w:r>
    </w:p>
    <w:p w14:paraId="423B795C">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14:paraId="67870F8E">
      <w:pPr>
        <w:spacing w:line="500" w:lineRule="exact"/>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（供应商公章）                               （签署或盖章）</w:t>
      </w:r>
    </w:p>
    <w:p w14:paraId="437D8994">
      <w:pPr>
        <w:tabs>
          <w:tab w:val="left" w:pos="6300"/>
        </w:tabs>
        <w:snapToGrid w:val="0"/>
        <w:spacing w:line="5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 xml:space="preserve">                                              年     月     日</w:t>
      </w:r>
    </w:p>
    <w:p w14:paraId="1B54D2F8">
      <w:pPr>
        <w:tabs>
          <w:tab w:val="left" w:pos="6300"/>
        </w:tabs>
        <w:snapToGrid w:val="0"/>
        <w:spacing w:line="400" w:lineRule="exact"/>
        <w:ind w:firstLine="420" w:firstLineChars="200"/>
        <w:rPr>
          <w:rFonts w:ascii="宋体" w:hAnsi="宋体" w:cs="宋体"/>
          <w:color w:val="auto"/>
          <w:sz w:val="21"/>
          <w:szCs w:val="21"/>
          <w:highlight w:val="none"/>
        </w:rPr>
      </w:pPr>
    </w:p>
    <w:p w14:paraId="560CD427">
      <w:pPr>
        <w:tabs>
          <w:tab w:val="left" w:pos="6300"/>
        </w:tabs>
        <w:snapToGrid w:val="0"/>
        <w:spacing w:line="400" w:lineRule="exact"/>
        <w:ind w:firstLine="420" w:firstLineChars="200"/>
        <w:rPr>
          <w:rFonts w:ascii="宋体" w:hAnsi="宋体" w:cs="宋体"/>
          <w:color w:val="auto"/>
          <w:sz w:val="21"/>
          <w:szCs w:val="21"/>
          <w:highlight w:val="none"/>
        </w:rPr>
      </w:pPr>
    </w:p>
    <w:p w14:paraId="65BA89CC">
      <w:pPr>
        <w:tabs>
          <w:tab w:val="left" w:pos="6300"/>
        </w:tabs>
        <w:snapToGrid w:val="0"/>
        <w:spacing w:line="400" w:lineRule="exact"/>
        <w:ind w:firstLine="420" w:firstLineChars="200"/>
        <w:rPr>
          <w:rFonts w:ascii="宋体" w:hAnsi="宋体" w:cs="宋体"/>
          <w:color w:val="auto"/>
          <w:sz w:val="21"/>
          <w:szCs w:val="21"/>
          <w:highlight w:val="none"/>
        </w:rPr>
      </w:pPr>
    </w:p>
    <w:p w14:paraId="32B22C7F">
      <w:pPr>
        <w:tabs>
          <w:tab w:val="left" w:pos="6300"/>
        </w:tabs>
        <w:snapToGrid w:val="0"/>
        <w:spacing w:line="400" w:lineRule="exact"/>
        <w:ind w:firstLine="420" w:firstLineChars="200"/>
        <w:rPr>
          <w:rFonts w:ascii="宋体" w:hAnsi="宋体" w:cs="宋体"/>
          <w:color w:val="auto"/>
          <w:sz w:val="21"/>
          <w:szCs w:val="21"/>
          <w:highlight w:val="none"/>
        </w:rPr>
      </w:pPr>
    </w:p>
    <w:p w14:paraId="63E22275">
      <w:pPr>
        <w:tabs>
          <w:tab w:val="left" w:pos="6300"/>
        </w:tabs>
        <w:snapToGrid w:val="0"/>
        <w:spacing w:line="400" w:lineRule="exact"/>
        <w:ind w:firstLine="420" w:firstLineChars="200"/>
        <w:rPr>
          <w:rFonts w:ascii="宋体" w:hAnsi="宋体" w:cs="宋体"/>
          <w:color w:val="auto"/>
          <w:sz w:val="21"/>
          <w:szCs w:val="21"/>
          <w:highlight w:val="none"/>
        </w:rPr>
      </w:pPr>
    </w:p>
    <w:p w14:paraId="49C294AC">
      <w:pPr>
        <w:tabs>
          <w:tab w:val="left" w:pos="6300"/>
        </w:tabs>
        <w:snapToGrid w:val="0"/>
        <w:spacing w:line="400" w:lineRule="exact"/>
        <w:ind w:firstLine="360" w:firstLineChars="200"/>
        <w:rPr>
          <w:rFonts w:ascii="宋体" w:hAnsi="宋体" w:cs="宋体"/>
          <w:color w:val="auto"/>
          <w:sz w:val="18"/>
          <w:szCs w:val="18"/>
          <w:highlight w:val="none"/>
        </w:rPr>
      </w:pPr>
      <w:r>
        <w:rPr>
          <w:rFonts w:hint="eastAsia" w:ascii="宋体" w:hAnsi="宋体" w:cs="宋体"/>
          <w:color w:val="auto"/>
          <w:sz w:val="18"/>
          <w:szCs w:val="18"/>
          <w:highlight w:val="none"/>
        </w:rPr>
        <w:t>注：</w:t>
      </w:r>
    </w:p>
    <w:p w14:paraId="2EE37436">
      <w:pPr>
        <w:tabs>
          <w:tab w:val="left" w:pos="6300"/>
        </w:tabs>
        <w:snapToGrid w:val="0"/>
        <w:spacing w:line="400" w:lineRule="exact"/>
        <w:ind w:firstLine="360" w:firstLineChars="200"/>
        <w:rPr>
          <w:rFonts w:ascii="宋体" w:hAnsi="宋体" w:cs="宋体"/>
          <w:color w:val="auto"/>
          <w:sz w:val="18"/>
          <w:szCs w:val="18"/>
          <w:highlight w:val="none"/>
        </w:rPr>
      </w:pPr>
      <w:r>
        <w:rPr>
          <w:rFonts w:hint="eastAsia" w:ascii="宋体" w:hAnsi="宋体" w:cs="宋体"/>
          <w:color w:val="auto"/>
          <w:sz w:val="18"/>
          <w:szCs w:val="18"/>
          <w:highlight w:val="none"/>
        </w:rPr>
        <w:t>1.本表即为对本项目“第二篇  项目服务需求”中所列条款进行比较和响应；</w:t>
      </w:r>
    </w:p>
    <w:p w14:paraId="147F8DB0">
      <w:pPr>
        <w:tabs>
          <w:tab w:val="left" w:pos="6300"/>
        </w:tabs>
        <w:snapToGrid w:val="0"/>
        <w:spacing w:line="400" w:lineRule="exact"/>
        <w:ind w:firstLine="360" w:firstLineChars="200"/>
        <w:rPr>
          <w:rFonts w:ascii="宋体" w:hAnsi="宋体" w:cs="宋体"/>
          <w:color w:val="auto"/>
          <w:sz w:val="18"/>
          <w:szCs w:val="18"/>
          <w:highlight w:val="none"/>
        </w:rPr>
      </w:pPr>
      <w:r>
        <w:rPr>
          <w:rFonts w:hint="eastAsia" w:ascii="宋体" w:hAnsi="宋体" w:cs="宋体"/>
          <w:color w:val="auto"/>
          <w:sz w:val="18"/>
          <w:szCs w:val="18"/>
          <w:highlight w:val="none"/>
        </w:rPr>
        <w:t>2.本表可扩展。</w:t>
      </w:r>
    </w:p>
    <w:p w14:paraId="64D15758">
      <w:pPr>
        <w:adjustRightInd w:val="0"/>
        <w:snapToGrid w:val="0"/>
        <w:spacing w:line="400" w:lineRule="exact"/>
        <w:ind w:firstLine="560" w:firstLineChars="200"/>
        <w:rPr>
          <w:rFonts w:ascii="宋体" w:hAnsi="宋体" w:cs="宋体"/>
          <w:color w:val="auto"/>
          <w:highlight w:val="none"/>
        </w:rPr>
      </w:pPr>
      <w:r>
        <w:rPr>
          <w:rFonts w:hint="eastAsia" w:ascii="宋体" w:hAnsi="宋体" w:cs="宋体"/>
          <w:color w:val="auto"/>
          <w:highlight w:val="none"/>
        </w:rPr>
        <w:br w:type="page"/>
      </w:r>
      <w:bookmarkStart w:id="162" w:name="_Toc342913421"/>
      <w:bookmarkStart w:id="163" w:name="_Toc313888362"/>
      <w:bookmarkStart w:id="164" w:name="_Toc313008358"/>
    </w:p>
    <w:p w14:paraId="7F2DAB2C">
      <w:pPr>
        <w:adjustRightInd w:val="0"/>
        <w:snapToGrid w:val="0"/>
        <w:spacing w:line="400" w:lineRule="exact"/>
        <w:ind w:firstLine="480" w:firstLineChars="200"/>
        <w:rPr>
          <w:rFonts w:ascii="宋体" w:hAnsi="宋体" w:cs="宋体"/>
          <w:color w:val="auto"/>
          <w:highlight w:val="none"/>
        </w:rPr>
      </w:pPr>
      <w:r>
        <w:rPr>
          <w:rFonts w:hint="eastAsia" w:ascii="宋体" w:hAnsi="宋体" w:cs="宋体"/>
          <w:color w:val="auto"/>
          <w:sz w:val="24"/>
          <w:szCs w:val="24"/>
          <w:highlight w:val="none"/>
        </w:rPr>
        <w:t>（三）其它技术资料（如有）</w:t>
      </w:r>
    </w:p>
    <w:p w14:paraId="3754297D">
      <w:pPr>
        <w:adjustRightInd w:val="0"/>
        <w:snapToGrid w:val="0"/>
        <w:spacing w:line="400" w:lineRule="exact"/>
        <w:ind w:firstLine="480" w:firstLineChars="200"/>
        <w:rPr>
          <w:rFonts w:ascii="宋体" w:hAnsi="宋体" w:cs="宋体"/>
          <w:color w:val="auto"/>
          <w:sz w:val="24"/>
          <w:highlight w:val="none"/>
        </w:rPr>
      </w:pPr>
    </w:p>
    <w:p w14:paraId="43E575C7">
      <w:pPr>
        <w:adjustRightInd w:val="0"/>
        <w:snapToGrid w:val="0"/>
        <w:spacing w:line="400" w:lineRule="exact"/>
        <w:ind w:firstLine="480" w:firstLineChars="200"/>
        <w:rPr>
          <w:rFonts w:ascii="宋体" w:hAnsi="宋体" w:cs="宋体"/>
          <w:color w:val="auto"/>
          <w:sz w:val="24"/>
          <w:highlight w:val="none"/>
        </w:rPr>
      </w:pPr>
    </w:p>
    <w:p w14:paraId="39148189">
      <w:pPr>
        <w:adjustRightInd w:val="0"/>
        <w:snapToGrid w:val="0"/>
        <w:spacing w:line="400" w:lineRule="exact"/>
        <w:ind w:firstLine="480" w:firstLineChars="200"/>
        <w:rPr>
          <w:rFonts w:ascii="宋体" w:hAnsi="宋体" w:cs="宋体"/>
          <w:color w:val="auto"/>
          <w:sz w:val="24"/>
          <w:highlight w:val="none"/>
        </w:rPr>
      </w:pPr>
    </w:p>
    <w:p w14:paraId="1242917C">
      <w:pPr>
        <w:adjustRightInd w:val="0"/>
        <w:snapToGrid w:val="0"/>
        <w:spacing w:line="400" w:lineRule="exact"/>
        <w:ind w:firstLine="480" w:firstLineChars="200"/>
        <w:rPr>
          <w:rFonts w:ascii="宋体" w:hAnsi="宋体" w:cs="宋体"/>
          <w:color w:val="auto"/>
          <w:sz w:val="24"/>
          <w:highlight w:val="none"/>
        </w:rPr>
      </w:pPr>
    </w:p>
    <w:p w14:paraId="25836A63">
      <w:pPr>
        <w:adjustRightInd w:val="0"/>
        <w:snapToGrid w:val="0"/>
        <w:spacing w:line="400" w:lineRule="exact"/>
        <w:ind w:firstLine="480" w:firstLineChars="200"/>
        <w:rPr>
          <w:rFonts w:ascii="宋体" w:hAnsi="宋体" w:cs="宋体"/>
          <w:color w:val="auto"/>
          <w:sz w:val="24"/>
          <w:highlight w:val="none"/>
        </w:rPr>
      </w:pPr>
    </w:p>
    <w:p w14:paraId="3DC4076F">
      <w:pPr>
        <w:adjustRightInd w:val="0"/>
        <w:snapToGrid w:val="0"/>
        <w:spacing w:line="400" w:lineRule="exact"/>
        <w:ind w:firstLine="480" w:firstLineChars="200"/>
        <w:rPr>
          <w:rFonts w:ascii="宋体" w:hAnsi="宋体" w:cs="宋体"/>
          <w:color w:val="auto"/>
          <w:sz w:val="24"/>
          <w:highlight w:val="none"/>
        </w:rPr>
      </w:pPr>
    </w:p>
    <w:p w14:paraId="0EB9AC54">
      <w:pPr>
        <w:adjustRightInd w:val="0"/>
        <w:snapToGrid w:val="0"/>
        <w:spacing w:line="400" w:lineRule="exact"/>
        <w:ind w:firstLine="480" w:firstLineChars="200"/>
        <w:rPr>
          <w:rFonts w:ascii="宋体" w:hAnsi="宋体" w:cs="宋体"/>
          <w:color w:val="auto"/>
          <w:sz w:val="24"/>
          <w:highlight w:val="none"/>
        </w:rPr>
      </w:pPr>
    </w:p>
    <w:p w14:paraId="6C64F502">
      <w:pPr>
        <w:adjustRightInd w:val="0"/>
        <w:snapToGrid w:val="0"/>
        <w:spacing w:line="400" w:lineRule="exact"/>
        <w:ind w:firstLine="480" w:firstLineChars="200"/>
        <w:rPr>
          <w:rFonts w:ascii="宋体" w:hAnsi="宋体" w:cs="宋体"/>
          <w:color w:val="auto"/>
          <w:sz w:val="24"/>
          <w:highlight w:val="none"/>
        </w:rPr>
      </w:pPr>
    </w:p>
    <w:p w14:paraId="6D0BBA0A">
      <w:pPr>
        <w:adjustRightInd w:val="0"/>
        <w:snapToGrid w:val="0"/>
        <w:spacing w:line="400" w:lineRule="exact"/>
        <w:ind w:firstLine="480" w:firstLineChars="200"/>
        <w:rPr>
          <w:rFonts w:ascii="宋体" w:hAnsi="宋体" w:cs="宋体"/>
          <w:color w:val="auto"/>
          <w:sz w:val="24"/>
          <w:highlight w:val="none"/>
        </w:rPr>
      </w:pPr>
    </w:p>
    <w:p w14:paraId="1ABE7BCB">
      <w:pPr>
        <w:adjustRightInd w:val="0"/>
        <w:snapToGrid w:val="0"/>
        <w:spacing w:line="400" w:lineRule="exact"/>
        <w:ind w:firstLine="480" w:firstLineChars="200"/>
        <w:rPr>
          <w:rFonts w:ascii="宋体" w:hAnsi="宋体" w:cs="宋体"/>
          <w:color w:val="auto"/>
          <w:sz w:val="24"/>
          <w:highlight w:val="none"/>
        </w:rPr>
      </w:pPr>
    </w:p>
    <w:p w14:paraId="25BEACFA">
      <w:pPr>
        <w:adjustRightInd w:val="0"/>
        <w:snapToGrid w:val="0"/>
        <w:spacing w:line="400" w:lineRule="exact"/>
        <w:ind w:firstLine="480" w:firstLineChars="200"/>
        <w:rPr>
          <w:rFonts w:ascii="宋体" w:hAnsi="宋体" w:cs="宋体"/>
          <w:color w:val="auto"/>
          <w:sz w:val="24"/>
          <w:highlight w:val="none"/>
        </w:rPr>
      </w:pPr>
    </w:p>
    <w:p w14:paraId="64F66A77">
      <w:pPr>
        <w:adjustRightInd w:val="0"/>
        <w:snapToGrid w:val="0"/>
        <w:spacing w:line="400" w:lineRule="exact"/>
        <w:ind w:firstLine="480" w:firstLineChars="200"/>
        <w:rPr>
          <w:rFonts w:ascii="宋体" w:hAnsi="宋体" w:cs="宋体"/>
          <w:color w:val="auto"/>
          <w:sz w:val="24"/>
          <w:highlight w:val="none"/>
        </w:rPr>
      </w:pPr>
    </w:p>
    <w:p w14:paraId="143655AE">
      <w:pPr>
        <w:adjustRightInd w:val="0"/>
        <w:snapToGrid w:val="0"/>
        <w:spacing w:line="400" w:lineRule="exact"/>
        <w:ind w:firstLine="480" w:firstLineChars="200"/>
        <w:rPr>
          <w:rFonts w:ascii="宋体" w:hAnsi="宋体" w:cs="宋体"/>
          <w:color w:val="auto"/>
          <w:sz w:val="24"/>
          <w:highlight w:val="none"/>
        </w:rPr>
      </w:pPr>
    </w:p>
    <w:p w14:paraId="252D50DA">
      <w:pPr>
        <w:adjustRightInd w:val="0"/>
        <w:snapToGrid w:val="0"/>
        <w:spacing w:line="400" w:lineRule="exact"/>
        <w:ind w:firstLine="480" w:firstLineChars="200"/>
        <w:rPr>
          <w:rFonts w:ascii="宋体" w:hAnsi="宋体" w:cs="宋体"/>
          <w:color w:val="auto"/>
          <w:sz w:val="24"/>
          <w:highlight w:val="none"/>
        </w:rPr>
      </w:pPr>
    </w:p>
    <w:p w14:paraId="4A61FD0F">
      <w:pPr>
        <w:adjustRightInd w:val="0"/>
        <w:snapToGrid w:val="0"/>
        <w:spacing w:line="400" w:lineRule="exact"/>
        <w:ind w:firstLine="480" w:firstLineChars="200"/>
        <w:rPr>
          <w:rFonts w:ascii="宋体" w:hAnsi="宋体" w:cs="宋体"/>
          <w:color w:val="auto"/>
          <w:sz w:val="24"/>
          <w:highlight w:val="none"/>
        </w:rPr>
      </w:pPr>
    </w:p>
    <w:p w14:paraId="6F5B2064">
      <w:pPr>
        <w:adjustRightInd w:val="0"/>
        <w:snapToGrid w:val="0"/>
        <w:spacing w:line="400" w:lineRule="exact"/>
        <w:ind w:firstLine="480" w:firstLineChars="200"/>
        <w:rPr>
          <w:rFonts w:ascii="宋体" w:hAnsi="宋体" w:cs="宋体"/>
          <w:color w:val="auto"/>
          <w:sz w:val="24"/>
          <w:highlight w:val="none"/>
        </w:rPr>
      </w:pPr>
    </w:p>
    <w:p w14:paraId="0A74C12B">
      <w:pPr>
        <w:adjustRightInd w:val="0"/>
        <w:snapToGrid w:val="0"/>
        <w:spacing w:line="400" w:lineRule="exact"/>
        <w:ind w:firstLine="480" w:firstLineChars="200"/>
        <w:rPr>
          <w:rFonts w:ascii="宋体" w:hAnsi="宋体" w:cs="宋体"/>
          <w:color w:val="auto"/>
          <w:sz w:val="24"/>
          <w:highlight w:val="none"/>
        </w:rPr>
      </w:pPr>
    </w:p>
    <w:p w14:paraId="57BB6B20">
      <w:pPr>
        <w:adjustRightInd w:val="0"/>
        <w:snapToGrid w:val="0"/>
        <w:spacing w:line="400" w:lineRule="exact"/>
        <w:ind w:firstLine="480" w:firstLineChars="200"/>
        <w:rPr>
          <w:rFonts w:ascii="宋体" w:hAnsi="宋体" w:cs="宋体"/>
          <w:color w:val="auto"/>
          <w:sz w:val="24"/>
          <w:highlight w:val="none"/>
        </w:rPr>
      </w:pPr>
    </w:p>
    <w:p w14:paraId="6C7B7618">
      <w:pPr>
        <w:adjustRightInd w:val="0"/>
        <w:snapToGrid w:val="0"/>
        <w:spacing w:line="400" w:lineRule="exact"/>
        <w:ind w:firstLine="480" w:firstLineChars="200"/>
        <w:rPr>
          <w:rFonts w:ascii="宋体" w:hAnsi="宋体" w:cs="宋体"/>
          <w:color w:val="auto"/>
          <w:sz w:val="24"/>
          <w:highlight w:val="none"/>
        </w:rPr>
      </w:pPr>
    </w:p>
    <w:p w14:paraId="7014D38A">
      <w:pPr>
        <w:adjustRightInd w:val="0"/>
        <w:snapToGrid w:val="0"/>
        <w:spacing w:line="400" w:lineRule="exact"/>
        <w:ind w:firstLine="480" w:firstLineChars="200"/>
        <w:rPr>
          <w:rFonts w:ascii="宋体" w:hAnsi="宋体" w:cs="宋体"/>
          <w:color w:val="auto"/>
          <w:sz w:val="24"/>
          <w:highlight w:val="none"/>
        </w:rPr>
      </w:pPr>
    </w:p>
    <w:p w14:paraId="2138A49A">
      <w:pPr>
        <w:adjustRightInd w:val="0"/>
        <w:snapToGrid w:val="0"/>
        <w:spacing w:line="400" w:lineRule="exact"/>
        <w:ind w:firstLine="480" w:firstLineChars="200"/>
        <w:rPr>
          <w:rFonts w:ascii="宋体" w:hAnsi="宋体" w:cs="宋体"/>
          <w:color w:val="auto"/>
          <w:sz w:val="24"/>
          <w:highlight w:val="none"/>
        </w:rPr>
      </w:pPr>
    </w:p>
    <w:p w14:paraId="14366570">
      <w:pPr>
        <w:adjustRightInd w:val="0"/>
        <w:snapToGrid w:val="0"/>
        <w:spacing w:line="400" w:lineRule="exact"/>
        <w:ind w:firstLine="480" w:firstLineChars="200"/>
        <w:rPr>
          <w:rFonts w:ascii="宋体" w:hAnsi="宋体" w:cs="宋体"/>
          <w:color w:val="auto"/>
          <w:sz w:val="24"/>
          <w:highlight w:val="none"/>
        </w:rPr>
      </w:pPr>
    </w:p>
    <w:p w14:paraId="1DB228D1">
      <w:pPr>
        <w:adjustRightInd w:val="0"/>
        <w:snapToGrid w:val="0"/>
        <w:spacing w:line="400" w:lineRule="exact"/>
        <w:ind w:firstLine="480" w:firstLineChars="200"/>
        <w:rPr>
          <w:rFonts w:ascii="宋体" w:hAnsi="宋体" w:cs="宋体"/>
          <w:color w:val="auto"/>
          <w:sz w:val="24"/>
          <w:highlight w:val="none"/>
        </w:rPr>
      </w:pPr>
    </w:p>
    <w:p w14:paraId="777271B8">
      <w:pPr>
        <w:adjustRightInd w:val="0"/>
        <w:snapToGrid w:val="0"/>
        <w:spacing w:line="400" w:lineRule="exact"/>
        <w:ind w:firstLine="480" w:firstLineChars="200"/>
        <w:rPr>
          <w:rFonts w:ascii="宋体" w:hAnsi="宋体" w:cs="宋体"/>
          <w:color w:val="auto"/>
          <w:sz w:val="24"/>
          <w:highlight w:val="none"/>
        </w:rPr>
      </w:pPr>
    </w:p>
    <w:p w14:paraId="25AF8AFC">
      <w:pPr>
        <w:adjustRightInd w:val="0"/>
        <w:snapToGrid w:val="0"/>
        <w:spacing w:line="400" w:lineRule="exact"/>
        <w:ind w:firstLine="480" w:firstLineChars="200"/>
        <w:rPr>
          <w:rFonts w:ascii="宋体" w:hAnsi="宋体" w:cs="宋体"/>
          <w:color w:val="auto"/>
          <w:sz w:val="24"/>
          <w:highlight w:val="none"/>
        </w:rPr>
      </w:pPr>
    </w:p>
    <w:p w14:paraId="579D6ED5">
      <w:pPr>
        <w:adjustRightInd w:val="0"/>
        <w:snapToGrid w:val="0"/>
        <w:spacing w:line="400" w:lineRule="exact"/>
        <w:ind w:firstLine="480" w:firstLineChars="200"/>
        <w:rPr>
          <w:rFonts w:ascii="宋体" w:hAnsi="宋体" w:cs="宋体"/>
          <w:color w:val="auto"/>
          <w:sz w:val="24"/>
          <w:highlight w:val="none"/>
        </w:rPr>
      </w:pPr>
    </w:p>
    <w:p w14:paraId="549C69C1">
      <w:pPr>
        <w:adjustRightInd w:val="0"/>
        <w:snapToGrid w:val="0"/>
        <w:spacing w:line="400" w:lineRule="exact"/>
        <w:ind w:firstLine="480" w:firstLineChars="200"/>
        <w:rPr>
          <w:rFonts w:ascii="宋体" w:hAnsi="宋体" w:cs="宋体"/>
          <w:color w:val="auto"/>
          <w:sz w:val="24"/>
          <w:highlight w:val="none"/>
        </w:rPr>
      </w:pPr>
    </w:p>
    <w:p w14:paraId="2A613986">
      <w:pPr>
        <w:adjustRightInd w:val="0"/>
        <w:snapToGrid w:val="0"/>
        <w:spacing w:line="400" w:lineRule="exact"/>
        <w:ind w:firstLine="480" w:firstLineChars="200"/>
        <w:rPr>
          <w:rFonts w:ascii="宋体" w:hAnsi="宋体" w:cs="宋体"/>
          <w:color w:val="auto"/>
          <w:sz w:val="24"/>
          <w:highlight w:val="none"/>
        </w:rPr>
      </w:pPr>
    </w:p>
    <w:p w14:paraId="4B951ED9">
      <w:pPr>
        <w:adjustRightInd w:val="0"/>
        <w:snapToGrid w:val="0"/>
        <w:spacing w:line="400" w:lineRule="exact"/>
        <w:ind w:firstLine="480" w:firstLineChars="200"/>
        <w:rPr>
          <w:rFonts w:ascii="宋体" w:hAnsi="宋体" w:cs="宋体"/>
          <w:color w:val="auto"/>
          <w:sz w:val="24"/>
          <w:highlight w:val="none"/>
        </w:rPr>
      </w:pPr>
    </w:p>
    <w:p w14:paraId="657E956A">
      <w:pPr>
        <w:adjustRightInd w:val="0"/>
        <w:snapToGrid w:val="0"/>
        <w:spacing w:line="400" w:lineRule="exact"/>
        <w:ind w:firstLine="480" w:firstLineChars="200"/>
        <w:rPr>
          <w:rFonts w:ascii="宋体" w:hAnsi="宋体" w:cs="宋体"/>
          <w:color w:val="auto"/>
          <w:sz w:val="24"/>
          <w:highlight w:val="none"/>
        </w:rPr>
      </w:pPr>
    </w:p>
    <w:p w14:paraId="23E49A16">
      <w:pPr>
        <w:adjustRightInd w:val="0"/>
        <w:snapToGrid w:val="0"/>
        <w:spacing w:line="400" w:lineRule="exact"/>
        <w:ind w:firstLine="480" w:firstLineChars="200"/>
        <w:rPr>
          <w:rFonts w:ascii="宋体" w:hAnsi="宋体" w:cs="宋体"/>
          <w:color w:val="auto"/>
          <w:sz w:val="24"/>
          <w:highlight w:val="none"/>
        </w:rPr>
      </w:pPr>
    </w:p>
    <w:p w14:paraId="71F5EB0D">
      <w:pPr>
        <w:adjustRightInd w:val="0"/>
        <w:snapToGrid w:val="0"/>
        <w:spacing w:line="400" w:lineRule="exact"/>
        <w:ind w:firstLine="480" w:firstLineChars="200"/>
        <w:rPr>
          <w:rFonts w:ascii="宋体" w:hAnsi="宋体" w:cs="宋体"/>
          <w:color w:val="auto"/>
          <w:sz w:val="24"/>
          <w:highlight w:val="none"/>
        </w:rPr>
      </w:pPr>
    </w:p>
    <w:p w14:paraId="1A7E337D">
      <w:pPr>
        <w:adjustRightInd w:val="0"/>
        <w:snapToGrid w:val="0"/>
        <w:spacing w:line="400" w:lineRule="exact"/>
        <w:ind w:firstLine="480" w:firstLineChars="200"/>
        <w:rPr>
          <w:rFonts w:ascii="宋体" w:hAnsi="宋体" w:cs="宋体"/>
          <w:color w:val="auto"/>
          <w:sz w:val="24"/>
          <w:highlight w:val="none"/>
        </w:rPr>
      </w:pPr>
    </w:p>
    <w:p w14:paraId="2C530DA7">
      <w:pPr>
        <w:adjustRightInd w:val="0"/>
        <w:snapToGrid w:val="0"/>
        <w:spacing w:line="400" w:lineRule="exact"/>
        <w:ind w:firstLine="480" w:firstLineChars="200"/>
        <w:rPr>
          <w:rFonts w:ascii="宋体" w:hAnsi="宋体" w:cs="宋体"/>
          <w:color w:val="auto"/>
          <w:sz w:val="24"/>
          <w:highlight w:val="none"/>
        </w:rPr>
      </w:pPr>
    </w:p>
    <w:p w14:paraId="06683349">
      <w:pPr>
        <w:adjustRightInd w:val="0"/>
        <w:snapToGrid w:val="0"/>
        <w:spacing w:line="400" w:lineRule="exact"/>
        <w:ind w:firstLine="0" w:firstLineChars="0"/>
        <w:rPr>
          <w:rFonts w:hint="eastAsia" w:ascii="黑体" w:hAnsi="黑体" w:eastAsia="黑体" w:cs="黑体"/>
          <w:color w:val="auto"/>
          <w:szCs w:val="21"/>
          <w:highlight w:val="none"/>
        </w:rPr>
      </w:pPr>
      <w:r>
        <w:rPr>
          <w:rFonts w:hint="eastAsia" w:ascii="黑体" w:hAnsi="黑体" w:eastAsia="黑体" w:cs="黑体"/>
          <w:color w:val="auto"/>
          <w:szCs w:val="21"/>
          <w:highlight w:val="none"/>
        </w:rPr>
        <w:t>三、商务部分</w:t>
      </w:r>
    </w:p>
    <w:p w14:paraId="17D13DF6">
      <w:pPr>
        <w:widowControl/>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（一）商务响应偏离表                       </w:t>
      </w:r>
    </w:p>
    <w:p w14:paraId="72D71764">
      <w:pPr>
        <w:widowControl/>
        <w:spacing w:line="40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项目编号：</w:t>
      </w:r>
    </w:p>
    <w:p w14:paraId="219847D7">
      <w:pPr>
        <w:widowControl/>
        <w:spacing w:line="40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项目名称： </w:t>
      </w:r>
    </w:p>
    <w:tbl>
      <w:tblPr>
        <w:tblStyle w:val="23"/>
        <w:tblW w:w="8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835"/>
        <w:gridCol w:w="2835"/>
        <w:gridCol w:w="1701"/>
      </w:tblGrid>
      <w:tr w14:paraId="38EC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vAlign w:val="center"/>
          </w:tcPr>
          <w:p w14:paraId="77135310">
            <w:pPr>
              <w:snapToGrid w:val="0"/>
              <w:spacing w:line="24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835" w:type="dxa"/>
            <w:vAlign w:val="center"/>
          </w:tcPr>
          <w:p w14:paraId="0A31F714">
            <w:pPr>
              <w:tabs>
                <w:tab w:val="left" w:pos="6300"/>
              </w:tabs>
              <w:snapToGrid w:val="0"/>
              <w:spacing w:line="24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商务需求</w:t>
            </w:r>
          </w:p>
        </w:tc>
        <w:tc>
          <w:tcPr>
            <w:tcW w:w="2835" w:type="dxa"/>
            <w:vAlign w:val="center"/>
          </w:tcPr>
          <w:p w14:paraId="35F27F56">
            <w:pPr>
              <w:tabs>
                <w:tab w:val="left" w:pos="6300"/>
              </w:tabs>
              <w:snapToGrid w:val="0"/>
              <w:spacing w:line="24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响应情况</w:t>
            </w:r>
          </w:p>
        </w:tc>
        <w:tc>
          <w:tcPr>
            <w:tcW w:w="1701" w:type="dxa"/>
            <w:vAlign w:val="center"/>
          </w:tcPr>
          <w:p w14:paraId="5D3CF48B">
            <w:pPr>
              <w:tabs>
                <w:tab w:val="left" w:pos="6300"/>
              </w:tabs>
              <w:snapToGrid w:val="0"/>
              <w:spacing w:line="24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差异说明</w:t>
            </w:r>
          </w:p>
        </w:tc>
      </w:tr>
      <w:tr w14:paraId="5C27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vAlign w:val="center"/>
          </w:tcPr>
          <w:p w14:paraId="1D016F9D">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69FE4E34">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19BB69DD">
            <w:pPr>
              <w:tabs>
                <w:tab w:val="left" w:pos="6300"/>
              </w:tabs>
              <w:snapToGrid w:val="0"/>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提醒：请注明内容及响应文件中具体内容的位置（页码）</w:t>
            </w:r>
          </w:p>
        </w:tc>
        <w:tc>
          <w:tcPr>
            <w:tcW w:w="1701" w:type="dxa"/>
            <w:vAlign w:val="center"/>
          </w:tcPr>
          <w:p w14:paraId="652C8875">
            <w:pPr>
              <w:tabs>
                <w:tab w:val="left" w:pos="6300"/>
              </w:tabs>
              <w:snapToGrid w:val="0"/>
              <w:spacing w:line="240" w:lineRule="auto"/>
              <w:jc w:val="center"/>
              <w:rPr>
                <w:rFonts w:ascii="宋体" w:hAnsi="宋体" w:cs="宋体"/>
                <w:color w:val="auto"/>
                <w:sz w:val="21"/>
                <w:szCs w:val="21"/>
                <w:highlight w:val="none"/>
              </w:rPr>
            </w:pPr>
          </w:p>
        </w:tc>
      </w:tr>
      <w:tr w14:paraId="0E0F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vAlign w:val="center"/>
          </w:tcPr>
          <w:p w14:paraId="564AE68A">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525EA946">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6FD02C2E">
            <w:pPr>
              <w:tabs>
                <w:tab w:val="left" w:pos="6300"/>
              </w:tabs>
              <w:snapToGrid w:val="0"/>
              <w:spacing w:line="240" w:lineRule="auto"/>
              <w:jc w:val="center"/>
              <w:rPr>
                <w:rFonts w:ascii="宋体" w:hAnsi="宋体" w:cs="宋体"/>
                <w:color w:val="auto"/>
                <w:sz w:val="21"/>
                <w:szCs w:val="21"/>
                <w:highlight w:val="none"/>
              </w:rPr>
            </w:pPr>
          </w:p>
        </w:tc>
        <w:tc>
          <w:tcPr>
            <w:tcW w:w="1701" w:type="dxa"/>
            <w:vAlign w:val="center"/>
          </w:tcPr>
          <w:p w14:paraId="49A2CB28">
            <w:pPr>
              <w:tabs>
                <w:tab w:val="left" w:pos="6300"/>
              </w:tabs>
              <w:snapToGrid w:val="0"/>
              <w:spacing w:line="240" w:lineRule="auto"/>
              <w:jc w:val="center"/>
              <w:rPr>
                <w:rFonts w:ascii="宋体" w:hAnsi="宋体" w:cs="宋体"/>
                <w:color w:val="auto"/>
                <w:sz w:val="21"/>
                <w:szCs w:val="21"/>
                <w:highlight w:val="none"/>
              </w:rPr>
            </w:pPr>
          </w:p>
        </w:tc>
      </w:tr>
      <w:tr w14:paraId="07FB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vAlign w:val="center"/>
          </w:tcPr>
          <w:p w14:paraId="0B12BF80">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38F4D466">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57FCD200">
            <w:pPr>
              <w:tabs>
                <w:tab w:val="left" w:pos="6300"/>
              </w:tabs>
              <w:snapToGrid w:val="0"/>
              <w:spacing w:line="240" w:lineRule="auto"/>
              <w:jc w:val="center"/>
              <w:rPr>
                <w:rFonts w:ascii="宋体" w:hAnsi="宋体" w:cs="宋体"/>
                <w:color w:val="auto"/>
                <w:sz w:val="21"/>
                <w:szCs w:val="21"/>
                <w:highlight w:val="none"/>
              </w:rPr>
            </w:pPr>
          </w:p>
        </w:tc>
        <w:tc>
          <w:tcPr>
            <w:tcW w:w="1701" w:type="dxa"/>
            <w:vAlign w:val="center"/>
          </w:tcPr>
          <w:p w14:paraId="4C27CEAC">
            <w:pPr>
              <w:tabs>
                <w:tab w:val="left" w:pos="6300"/>
              </w:tabs>
              <w:snapToGrid w:val="0"/>
              <w:spacing w:line="240" w:lineRule="auto"/>
              <w:jc w:val="center"/>
              <w:rPr>
                <w:rFonts w:ascii="宋体" w:hAnsi="宋体" w:cs="宋体"/>
                <w:color w:val="auto"/>
                <w:sz w:val="21"/>
                <w:szCs w:val="21"/>
                <w:highlight w:val="none"/>
              </w:rPr>
            </w:pPr>
          </w:p>
        </w:tc>
      </w:tr>
      <w:tr w14:paraId="4821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vAlign w:val="center"/>
          </w:tcPr>
          <w:p w14:paraId="7F83582A">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25CBDA4F">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0F01172F">
            <w:pPr>
              <w:tabs>
                <w:tab w:val="left" w:pos="6300"/>
              </w:tabs>
              <w:snapToGrid w:val="0"/>
              <w:spacing w:line="240" w:lineRule="auto"/>
              <w:jc w:val="center"/>
              <w:rPr>
                <w:rFonts w:ascii="宋体" w:hAnsi="宋体" w:cs="宋体"/>
                <w:color w:val="auto"/>
                <w:sz w:val="21"/>
                <w:szCs w:val="21"/>
                <w:highlight w:val="none"/>
              </w:rPr>
            </w:pPr>
          </w:p>
        </w:tc>
        <w:tc>
          <w:tcPr>
            <w:tcW w:w="1701" w:type="dxa"/>
            <w:vAlign w:val="center"/>
          </w:tcPr>
          <w:p w14:paraId="603A76E1">
            <w:pPr>
              <w:tabs>
                <w:tab w:val="left" w:pos="6300"/>
              </w:tabs>
              <w:snapToGrid w:val="0"/>
              <w:spacing w:line="240" w:lineRule="auto"/>
              <w:jc w:val="center"/>
              <w:rPr>
                <w:rFonts w:ascii="宋体" w:hAnsi="宋体" w:cs="宋体"/>
                <w:color w:val="auto"/>
                <w:sz w:val="21"/>
                <w:szCs w:val="21"/>
                <w:highlight w:val="none"/>
              </w:rPr>
            </w:pPr>
          </w:p>
        </w:tc>
      </w:tr>
      <w:tr w14:paraId="350A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vAlign w:val="center"/>
          </w:tcPr>
          <w:p w14:paraId="62878E62">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5FAAA768">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22D02585">
            <w:pPr>
              <w:tabs>
                <w:tab w:val="left" w:pos="6300"/>
              </w:tabs>
              <w:snapToGrid w:val="0"/>
              <w:spacing w:line="240" w:lineRule="auto"/>
              <w:jc w:val="center"/>
              <w:rPr>
                <w:rFonts w:ascii="宋体" w:hAnsi="宋体" w:cs="宋体"/>
                <w:color w:val="auto"/>
                <w:sz w:val="21"/>
                <w:szCs w:val="21"/>
                <w:highlight w:val="none"/>
              </w:rPr>
            </w:pPr>
          </w:p>
        </w:tc>
        <w:tc>
          <w:tcPr>
            <w:tcW w:w="1701" w:type="dxa"/>
            <w:vAlign w:val="center"/>
          </w:tcPr>
          <w:p w14:paraId="19C27731">
            <w:pPr>
              <w:tabs>
                <w:tab w:val="left" w:pos="6300"/>
              </w:tabs>
              <w:snapToGrid w:val="0"/>
              <w:spacing w:line="240" w:lineRule="auto"/>
              <w:jc w:val="center"/>
              <w:rPr>
                <w:rFonts w:ascii="宋体" w:hAnsi="宋体" w:cs="宋体"/>
                <w:color w:val="auto"/>
                <w:sz w:val="21"/>
                <w:szCs w:val="21"/>
                <w:highlight w:val="none"/>
              </w:rPr>
            </w:pPr>
          </w:p>
        </w:tc>
      </w:tr>
      <w:tr w14:paraId="2B0D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vAlign w:val="center"/>
          </w:tcPr>
          <w:p w14:paraId="37E9E54E">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7506F4B7">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782433A2">
            <w:pPr>
              <w:tabs>
                <w:tab w:val="left" w:pos="6300"/>
              </w:tabs>
              <w:snapToGrid w:val="0"/>
              <w:spacing w:line="240" w:lineRule="auto"/>
              <w:jc w:val="center"/>
              <w:rPr>
                <w:rFonts w:ascii="宋体" w:hAnsi="宋体" w:cs="宋体"/>
                <w:color w:val="auto"/>
                <w:sz w:val="21"/>
                <w:szCs w:val="21"/>
                <w:highlight w:val="none"/>
              </w:rPr>
            </w:pPr>
          </w:p>
        </w:tc>
        <w:tc>
          <w:tcPr>
            <w:tcW w:w="1701" w:type="dxa"/>
            <w:vAlign w:val="center"/>
          </w:tcPr>
          <w:p w14:paraId="594D274D">
            <w:pPr>
              <w:tabs>
                <w:tab w:val="left" w:pos="6300"/>
              </w:tabs>
              <w:snapToGrid w:val="0"/>
              <w:spacing w:line="240" w:lineRule="auto"/>
              <w:jc w:val="center"/>
              <w:rPr>
                <w:rFonts w:ascii="宋体" w:hAnsi="宋体" w:cs="宋体"/>
                <w:color w:val="auto"/>
                <w:sz w:val="21"/>
                <w:szCs w:val="21"/>
                <w:highlight w:val="none"/>
              </w:rPr>
            </w:pPr>
          </w:p>
        </w:tc>
      </w:tr>
      <w:tr w14:paraId="1E71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vAlign w:val="center"/>
          </w:tcPr>
          <w:p w14:paraId="12B270B0">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7B15B888">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5426E0DB">
            <w:pPr>
              <w:tabs>
                <w:tab w:val="left" w:pos="6300"/>
              </w:tabs>
              <w:snapToGrid w:val="0"/>
              <w:spacing w:line="240" w:lineRule="auto"/>
              <w:jc w:val="center"/>
              <w:rPr>
                <w:rFonts w:ascii="宋体" w:hAnsi="宋体" w:cs="宋体"/>
                <w:color w:val="auto"/>
                <w:sz w:val="21"/>
                <w:szCs w:val="21"/>
                <w:highlight w:val="none"/>
              </w:rPr>
            </w:pPr>
          </w:p>
        </w:tc>
        <w:tc>
          <w:tcPr>
            <w:tcW w:w="1701" w:type="dxa"/>
            <w:vAlign w:val="center"/>
          </w:tcPr>
          <w:p w14:paraId="7128EB5B">
            <w:pPr>
              <w:tabs>
                <w:tab w:val="left" w:pos="6300"/>
              </w:tabs>
              <w:snapToGrid w:val="0"/>
              <w:spacing w:line="240" w:lineRule="auto"/>
              <w:jc w:val="center"/>
              <w:rPr>
                <w:rFonts w:ascii="宋体" w:hAnsi="宋体" w:cs="宋体"/>
                <w:color w:val="auto"/>
                <w:sz w:val="21"/>
                <w:szCs w:val="21"/>
                <w:highlight w:val="none"/>
              </w:rPr>
            </w:pPr>
          </w:p>
        </w:tc>
      </w:tr>
      <w:tr w14:paraId="61EC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vAlign w:val="center"/>
          </w:tcPr>
          <w:p w14:paraId="2554228A">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6E74DDA0">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4C2D9D4A">
            <w:pPr>
              <w:tabs>
                <w:tab w:val="left" w:pos="6300"/>
              </w:tabs>
              <w:snapToGrid w:val="0"/>
              <w:spacing w:line="240" w:lineRule="auto"/>
              <w:jc w:val="center"/>
              <w:rPr>
                <w:rFonts w:ascii="宋体" w:hAnsi="宋体" w:cs="宋体"/>
                <w:color w:val="auto"/>
                <w:sz w:val="21"/>
                <w:szCs w:val="21"/>
                <w:highlight w:val="none"/>
              </w:rPr>
            </w:pPr>
          </w:p>
        </w:tc>
        <w:tc>
          <w:tcPr>
            <w:tcW w:w="1701" w:type="dxa"/>
            <w:vAlign w:val="center"/>
          </w:tcPr>
          <w:p w14:paraId="14A00767">
            <w:pPr>
              <w:tabs>
                <w:tab w:val="left" w:pos="6300"/>
              </w:tabs>
              <w:snapToGrid w:val="0"/>
              <w:spacing w:line="240" w:lineRule="auto"/>
              <w:jc w:val="center"/>
              <w:rPr>
                <w:rFonts w:ascii="宋体" w:hAnsi="宋体" w:cs="宋体"/>
                <w:color w:val="auto"/>
                <w:sz w:val="21"/>
                <w:szCs w:val="21"/>
                <w:highlight w:val="none"/>
              </w:rPr>
            </w:pPr>
          </w:p>
        </w:tc>
      </w:tr>
      <w:tr w14:paraId="15EC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vAlign w:val="center"/>
          </w:tcPr>
          <w:p w14:paraId="7C065C7F">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5B363BCF">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09EC094E">
            <w:pPr>
              <w:tabs>
                <w:tab w:val="left" w:pos="6300"/>
              </w:tabs>
              <w:snapToGrid w:val="0"/>
              <w:spacing w:line="240" w:lineRule="auto"/>
              <w:jc w:val="center"/>
              <w:rPr>
                <w:rFonts w:ascii="宋体" w:hAnsi="宋体" w:cs="宋体"/>
                <w:color w:val="auto"/>
                <w:sz w:val="21"/>
                <w:szCs w:val="21"/>
                <w:highlight w:val="none"/>
              </w:rPr>
            </w:pPr>
          </w:p>
        </w:tc>
        <w:tc>
          <w:tcPr>
            <w:tcW w:w="1701" w:type="dxa"/>
            <w:vAlign w:val="center"/>
          </w:tcPr>
          <w:p w14:paraId="7E2950CB">
            <w:pPr>
              <w:tabs>
                <w:tab w:val="left" w:pos="6300"/>
              </w:tabs>
              <w:snapToGrid w:val="0"/>
              <w:spacing w:line="240" w:lineRule="auto"/>
              <w:jc w:val="center"/>
              <w:rPr>
                <w:rFonts w:ascii="宋体" w:hAnsi="宋体" w:cs="宋体"/>
                <w:color w:val="auto"/>
                <w:sz w:val="21"/>
                <w:szCs w:val="21"/>
                <w:highlight w:val="none"/>
              </w:rPr>
            </w:pPr>
          </w:p>
        </w:tc>
      </w:tr>
      <w:tr w14:paraId="1B65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vAlign w:val="center"/>
          </w:tcPr>
          <w:p w14:paraId="0743E245">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6D6ADC25">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3C2CBC00">
            <w:pPr>
              <w:tabs>
                <w:tab w:val="left" w:pos="6300"/>
              </w:tabs>
              <w:snapToGrid w:val="0"/>
              <w:spacing w:line="240" w:lineRule="auto"/>
              <w:jc w:val="center"/>
              <w:rPr>
                <w:rFonts w:ascii="宋体" w:hAnsi="宋体" w:cs="宋体"/>
                <w:color w:val="auto"/>
                <w:sz w:val="21"/>
                <w:szCs w:val="21"/>
                <w:highlight w:val="none"/>
              </w:rPr>
            </w:pPr>
          </w:p>
        </w:tc>
        <w:tc>
          <w:tcPr>
            <w:tcW w:w="1701" w:type="dxa"/>
            <w:vAlign w:val="center"/>
          </w:tcPr>
          <w:p w14:paraId="20C6E0A1">
            <w:pPr>
              <w:tabs>
                <w:tab w:val="left" w:pos="6300"/>
              </w:tabs>
              <w:snapToGrid w:val="0"/>
              <w:spacing w:line="240" w:lineRule="auto"/>
              <w:jc w:val="center"/>
              <w:rPr>
                <w:rFonts w:ascii="宋体" w:hAnsi="宋体" w:cs="宋体"/>
                <w:color w:val="auto"/>
                <w:sz w:val="21"/>
                <w:szCs w:val="21"/>
                <w:highlight w:val="none"/>
              </w:rPr>
            </w:pPr>
          </w:p>
        </w:tc>
      </w:tr>
    </w:tbl>
    <w:p w14:paraId="6527299D">
      <w:pPr>
        <w:snapToGrid w:val="0"/>
        <w:spacing w:line="360" w:lineRule="auto"/>
        <w:ind w:firstLine="465"/>
        <w:rPr>
          <w:rFonts w:ascii="宋体" w:hAnsi="宋体" w:cs="宋体"/>
          <w:color w:val="auto"/>
          <w:sz w:val="21"/>
          <w:szCs w:val="21"/>
          <w:highlight w:val="none"/>
        </w:rPr>
      </w:pPr>
    </w:p>
    <w:p w14:paraId="6F44417C">
      <w:pPr>
        <w:spacing w:line="500" w:lineRule="exact"/>
        <w:ind w:firstLine="525" w:firstLineChars="250"/>
        <w:rPr>
          <w:rFonts w:ascii="宋体" w:hAnsi="宋体" w:cs="宋体"/>
          <w:color w:val="auto"/>
          <w:sz w:val="21"/>
          <w:szCs w:val="21"/>
          <w:highlight w:val="none"/>
        </w:rPr>
      </w:pPr>
      <w:r>
        <w:rPr>
          <w:rFonts w:hint="eastAsia" w:ascii="宋体" w:hAnsi="宋体" w:cs="宋体"/>
          <w:color w:val="auto"/>
          <w:sz w:val="21"/>
          <w:szCs w:val="21"/>
          <w:highlight w:val="none"/>
        </w:rPr>
        <w:t>供应商：                            法定代表人（或其授权代表）或自然人：</w:t>
      </w:r>
    </w:p>
    <w:p w14:paraId="25C6FA47">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14:paraId="2D7779DF">
      <w:pPr>
        <w:spacing w:line="500" w:lineRule="exact"/>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（供应商公章）                                 （签署或盖章）</w:t>
      </w:r>
    </w:p>
    <w:p w14:paraId="585B1B25">
      <w:pPr>
        <w:tabs>
          <w:tab w:val="left" w:pos="6300"/>
        </w:tabs>
        <w:snapToGrid w:val="0"/>
        <w:spacing w:line="5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 xml:space="preserve">                                            年     月     日</w:t>
      </w:r>
    </w:p>
    <w:p w14:paraId="47CD576F">
      <w:pPr>
        <w:tabs>
          <w:tab w:val="left" w:pos="6300"/>
        </w:tabs>
        <w:snapToGrid w:val="0"/>
        <w:spacing w:line="400" w:lineRule="exact"/>
        <w:ind w:firstLine="420" w:firstLineChars="200"/>
        <w:rPr>
          <w:rFonts w:ascii="宋体" w:hAnsi="宋体" w:cs="宋体"/>
          <w:color w:val="auto"/>
          <w:sz w:val="21"/>
          <w:szCs w:val="21"/>
          <w:highlight w:val="none"/>
        </w:rPr>
      </w:pPr>
    </w:p>
    <w:p w14:paraId="6AC2AA60">
      <w:pPr>
        <w:tabs>
          <w:tab w:val="left" w:pos="6300"/>
        </w:tabs>
        <w:snapToGrid w:val="0"/>
        <w:spacing w:line="400" w:lineRule="exact"/>
        <w:ind w:firstLine="420" w:firstLineChars="200"/>
        <w:rPr>
          <w:rFonts w:ascii="宋体" w:hAnsi="宋体" w:cs="宋体"/>
          <w:color w:val="auto"/>
          <w:sz w:val="21"/>
          <w:szCs w:val="21"/>
          <w:highlight w:val="none"/>
        </w:rPr>
      </w:pPr>
    </w:p>
    <w:p w14:paraId="0ABEA809">
      <w:pPr>
        <w:tabs>
          <w:tab w:val="left" w:pos="6300"/>
        </w:tabs>
        <w:snapToGrid w:val="0"/>
        <w:spacing w:line="400" w:lineRule="exact"/>
        <w:ind w:firstLine="420" w:firstLineChars="200"/>
        <w:rPr>
          <w:rFonts w:ascii="宋体" w:hAnsi="宋体" w:cs="宋体"/>
          <w:color w:val="auto"/>
          <w:sz w:val="21"/>
          <w:szCs w:val="21"/>
          <w:highlight w:val="none"/>
        </w:rPr>
      </w:pPr>
    </w:p>
    <w:p w14:paraId="2ED87420">
      <w:pPr>
        <w:widowControl/>
        <w:spacing w:line="400" w:lineRule="exact"/>
        <w:ind w:firstLine="360" w:firstLineChars="200"/>
        <w:jc w:val="left"/>
        <w:rPr>
          <w:rFonts w:ascii="宋体" w:hAnsi="宋体" w:cs="宋体"/>
          <w:color w:val="auto"/>
          <w:sz w:val="18"/>
          <w:szCs w:val="18"/>
          <w:highlight w:val="none"/>
        </w:rPr>
      </w:pPr>
      <w:r>
        <w:rPr>
          <w:rFonts w:hint="eastAsia" w:ascii="宋体" w:hAnsi="宋体" w:cs="宋体"/>
          <w:color w:val="auto"/>
          <w:sz w:val="18"/>
          <w:szCs w:val="18"/>
          <w:highlight w:val="none"/>
        </w:rPr>
        <w:t>注：</w:t>
      </w:r>
    </w:p>
    <w:p w14:paraId="383C7C13">
      <w:pPr>
        <w:widowControl/>
        <w:spacing w:line="400" w:lineRule="exact"/>
        <w:ind w:firstLine="360" w:firstLineChars="200"/>
        <w:jc w:val="left"/>
        <w:rPr>
          <w:rFonts w:ascii="宋体" w:hAnsi="宋体" w:cs="宋体"/>
          <w:color w:val="auto"/>
          <w:sz w:val="18"/>
          <w:szCs w:val="18"/>
          <w:highlight w:val="none"/>
        </w:rPr>
      </w:pPr>
      <w:r>
        <w:rPr>
          <w:rFonts w:hint="eastAsia" w:ascii="宋体" w:hAnsi="宋体" w:cs="宋体"/>
          <w:color w:val="auto"/>
          <w:sz w:val="18"/>
          <w:szCs w:val="18"/>
          <w:highlight w:val="none"/>
        </w:rPr>
        <w:t>1.本表即为对本项目“第三篇  项目商务需求”中所列条款进行比较和响应；</w:t>
      </w:r>
    </w:p>
    <w:p w14:paraId="4DF20D5F">
      <w:pPr>
        <w:widowControl/>
        <w:spacing w:line="400" w:lineRule="exact"/>
        <w:ind w:firstLine="360" w:firstLineChars="200"/>
        <w:jc w:val="left"/>
        <w:rPr>
          <w:rFonts w:ascii="宋体" w:hAnsi="宋体" w:cs="宋体"/>
          <w:color w:val="auto"/>
          <w:sz w:val="24"/>
          <w:szCs w:val="24"/>
          <w:highlight w:val="none"/>
        </w:rPr>
      </w:pPr>
      <w:r>
        <w:rPr>
          <w:rFonts w:hint="eastAsia" w:ascii="宋体" w:hAnsi="宋体" w:cs="宋体"/>
          <w:color w:val="auto"/>
          <w:sz w:val="18"/>
          <w:szCs w:val="18"/>
          <w:highlight w:val="none"/>
        </w:rPr>
        <w:t>2.本表可扩展。</w:t>
      </w:r>
      <w:r>
        <w:rPr>
          <w:rFonts w:hint="eastAsia" w:ascii="宋体" w:hAnsi="宋体" w:cs="宋体"/>
          <w:color w:val="auto"/>
          <w:sz w:val="21"/>
          <w:szCs w:val="21"/>
          <w:highlight w:val="none"/>
        </w:rPr>
        <w:br w:type="page"/>
      </w:r>
      <w:r>
        <w:rPr>
          <w:rFonts w:hint="eastAsia" w:ascii="宋体" w:hAnsi="宋体" w:cs="宋体"/>
          <w:color w:val="auto"/>
          <w:sz w:val="24"/>
          <w:szCs w:val="24"/>
          <w:highlight w:val="none"/>
        </w:rPr>
        <w:t>（二）其它商务资料（如有）</w:t>
      </w:r>
    </w:p>
    <w:p w14:paraId="2651BEA6">
      <w:pPr>
        <w:tabs>
          <w:tab w:val="left" w:pos="6300"/>
        </w:tabs>
        <w:snapToGrid w:val="0"/>
        <w:spacing w:line="480" w:lineRule="exact"/>
        <w:ind w:firstLine="480" w:firstLineChars="200"/>
        <w:rPr>
          <w:rFonts w:ascii="宋体" w:hAnsi="宋体" w:cs="宋体"/>
          <w:color w:val="auto"/>
          <w:sz w:val="24"/>
          <w:szCs w:val="24"/>
          <w:highlight w:val="none"/>
        </w:rPr>
      </w:pPr>
    </w:p>
    <w:p w14:paraId="57DDFB31">
      <w:pPr>
        <w:adjustRightInd w:val="0"/>
        <w:snapToGrid w:val="0"/>
        <w:spacing w:line="400" w:lineRule="exact"/>
        <w:ind w:firstLine="0" w:firstLineChars="0"/>
        <w:rPr>
          <w:rFonts w:ascii="宋体" w:hAnsi="宋体" w:cs="宋体"/>
          <w:color w:val="auto"/>
          <w:sz w:val="24"/>
          <w:highlight w:val="none"/>
        </w:rPr>
      </w:pPr>
      <w:r>
        <w:rPr>
          <w:rFonts w:hint="eastAsia" w:ascii="宋体" w:hAnsi="宋体" w:cs="宋体"/>
          <w:color w:val="auto"/>
          <w:sz w:val="24"/>
          <w:szCs w:val="24"/>
          <w:highlight w:val="none"/>
        </w:rPr>
        <w:br w:type="page"/>
      </w:r>
      <w:r>
        <w:rPr>
          <w:rFonts w:hint="eastAsia" w:ascii="黑体" w:hAnsi="黑体" w:eastAsia="黑体" w:cs="黑体"/>
          <w:color w:val="auto"/>
          <w:szCs w:val="21"/>
          <w:highlight w:val="none"/>
        </w:rPr>
        <w:t>四、</w:t>
      </w:r>
      <w:bookmarkEnd w:id="162"/>
      <w:bookmarkEnd w:id="163"/>
      <w:bookmarkEnd w:id="164"/>
      <w:r>
        <w:rPr>
          <w:rFonts w:hint="eastAsia" w:ascii="黑体" w:hAnsi="黑体" w:eastAsia="黑体" w:cs="黑体"/>
          <w:color w:val="auto"/>
          <w:szCs w:val="21"/>
          <w:highlight w:val="none"/>
        </w:rPr>
        <w:t>资格</w:t>
      </w:r>
      <w:bookmarkStart w:id="165" w:name="_Toc342913422"/>
      <w:bookmarkStart w:id="166" w:name="_Toc313008359"/>
      <w:bookmarkStart w:id="167" w:name="_Toc313888363"/>
      <w:r>
        <w:rPr>
          <w:rFonts w:hint="eastAsia" w:ascii="黑体" w:hAnsi="黑体" w:eastAsia="黑体" w:cs="黑体"/>
          <w:color w:val="auto"/>
          <w:szCs w:val="21"/>
          <w:highlight w:val="none"/>
        </w:rPr>
        <w:t>条件及其它</w:t>
      </w:r>
    </w:p>
    <w:p w14:paraId="731BC02B">
      <w:pPr>
        <w:widowControl/>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2BA0903B">
      <w:pPr>
        <w:tabs>
          <w:tab w:val="left" w:pos="6300"/>
        </w:tabs>
        <w:snapToGrid w:val="0"/>
        <w:spacing w:line="500" w:lineRule="exact"/>
        <w:ind w:firstLine="570"/>
        <w:rPr>
          <w:rFonts w:ascii="宋体" w:hAnsi="宋体" w:cs="宋体"/>
          <w:color w:val="auto"/>
          <w:highlight w:val="none"/>
        </w:rPr>
      </w:pPr>
    </w:p>
    <w:p w14:paraId="1453C301">
      <w:pPr>
        <w:tabs>
          <w:tab w:val="left" w:pos="6300"/>
        </w:tabs>
        <w:snapToGrid w:val="0"/>
        <w:spacing w:line="500" w:lineRule="exact"/>
        <w:ind w:firstLine="570"/>
        <w:rPr>
          <w:rFonts w:ascii="宋体" w:hAnsi="宋体" w:cs="宋体"/>
          <w:color w:val="auto"/>
          <w:highlight w:val="none"/>
        </w:rPr>
      </w:pPr>
    </w:p>
    <w:p w14:paraId="3305EF0C">
      <w:pPr>
        <w:tabs>
          <w:tab w:val="left" w:pos="6300"/>
        </w:tabs>
        <w:snapToGrid w:val="0"/>
        <w:spacing w:line="500" w:lineRule="exact"/>
        <w:ind w:firstLine="570"/>
        <w:rPr>
          <w:rFonts w:ascii="宋体" w:hAnsi="宋体" w:cs="宋体"/>
          <w:color w:val="auto"/>
          <w:highlight w:val="none"/>
        </w:rPr>
      </w:pPr>
    </w:p>
    <w:p w14:paraId="1BCDEF4F">
      <w:pPr>
        <w:tabs>
          <w:tab w:val="left" w:pos="6300"/>
        </w:tabs>
        <w:snapToGrid w:val="0"/>
        <w:spacing w:line="500" w:lineRule="exact"/>
        <w:ind w:firstLine="570"/>
        <w:rPr>
          <w:rFonts w:ascii="宋体" w:hAnsi="宋体" w:cs="宋体"/>
          <w:color w:val="auto"/>
          <w:highlight w:val="none"/>
        </w:rPr>
      </w:pPr>
    </w:p>
    <w:p w14:paraId="42084C14">
      <w:pPr>
        <w:tabs>
          <w:tab w:val="left" w:pos="6300"/>
        </w:tabs>
        <w:snapToGrid w:val="0"/>
        <w:spacing w:line="500" w:lineRule="exact"/>
        <w:ind w:firstLine="570"/>
        <w:rPr>
          <w:rFonts w:ascii="宋体" w:hAnsi="宋体" w:cs="宋体"/>
          <w:color w:val="auto"/>
          <w:highlight w:val="none"/>
        </w:rPr>
      </w:pPr>
    </w:p>
    <w:p w14:paraId="0A6F60E5">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14:paraId="667CDEDE">
      <w:pPr>
        <w:tabs>
          <w:tab w:val="left" w:pos="6300"/>
        </w:tabs>
        <w:snapToGrid w:val="0"/>
        <w:spacing w:line="500" w:lineRule="exact"/>
        <w:ind w:firstLine="570"/>
        <w:rPr>
          <w:rFonts w:ascii="宋体" w:hAnsi="宋体" w:cs="宋体"/>
          <w:color w:val="auto"/>
          <w:sz w:val="24"/>
          <w:highlight w:val="none"/>
        </w:rPr>
      </w:pPr>
    </w:p>
    <w:p w14:paraId="45826BBA">
      <w:pPr>
        <w:tabs>
          <w:tab w:val="left" w:pos="6300"/>
        </w:tabs>
        <w:snapToGrid w:val="0"/>
        <w:spacing w:line="5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u w:val="single"/>
        </w:rPr>
        <w:t xml:space="preserve">                                                </w:t>
      </w:r>
    </w:p>
    <w:p w14:paraId="6175F93E">
      <w:pPr>
        <w:tabs>
          <w:tab w:val="left" w:pos="6300"/>
        </w:tabs>
        <w:snapToGrid w:val="0"/>
        <w:spacing w:line="500" w:lineRule="exact"/>
        <w:ind w:firstLine="570"/>
        <w:rPr>
          <w:rFonts w:ascii="宋体" w:hAnsi="宋体" w:cs="宋体"/>
          <w:color w:val="auto"/>
          <w:sz w:val="21"/>
          <w:szCs w:val="21"/>
          <w:highlight w:val="none"/>
        </w:rPr>
      </w:pPr>
    </w:p>
    <w:p w14:paraId="2C773612">
      <w:pPr>
        <w:tabs>
          <w:tab w:val="left" w:pos="6300"/>
        </w:tabs>
        <w:snapToGrid w:val="0"/>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（采购代理机构名称）：</w:t>
      </w:r>
    </w:p>
    <w:p w14:paraId="4270897E">
      <w:pPr>
        <w:tabs>
          <w:tab w:val="left" w:pos="6300"/>
        </w:tabs>
        <w:snapToGrid w:val="0"/>
        <w:spacing w:line="5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（法定代表人姓名）在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（供应商名称）任</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（职务名称）职务，是（供应商名称）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的法定代表人。</w:t>
      </w:r>
    </w:p>
    <w:p w14:paraId="5F73421C">
      <w:pPr>
        <w:tabs>
          <w:tab w:val="left" w:pos="6300"/>
        </w:tabs>
        <w:snapToGrid w:val="0"/>
        <w:spacing w:line="500" w:lineRule="exact"/>
        <w:ind w:firstLine="570"/>
        <w:rPr>
          <w:rFonts w:ascii="宋体" w:hAnsi="宋体" w:cs="宋体"/>
          <w:color w:val="auto"/>
          <w:sz w:val="21"/>
          <w:szCs w:val="21"/>
          <w:highlight w:val="none"/>
        </w:rPr>
      </w:pPr>
    </w:p>
    <w:p w14:paraId="2D54639D">
      <w:pPr>
        <w:tabs>
          <w:tab w:val="left" w:pos="6300"/>
        </w:tabs>
        <w:snapToGrid w:val="0"/>
        <w:spacing w:line="5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特此证明。</w:t>
      </w:r>
    </w:p>
    <w:p w14:paraId="6F9F8626">
      <w:pPr>
        <w:tabs>
          <w:tab w:val="left" w:pos="6300"/>
        </w:tabs>
        <w:snapToGrid w:val="0"/>
        <w:spacing w:line="500" w:lineRule="exact"/>
        <w:ind w:firstLine="570"/>
        <w:rPr>
          <w:rFonts w:ascii="宋体" w:hAnsi="宋体" w:cs="宋体"/>
          <w:color w:val="auto"/>
          <w:sz w:val="21"/>
          <w:szCs w:val="21"/>
          <w:highlight w:val="none"/>
        </w:rPr>
      </w:pPr>
    </w:p>
    <w:p w14:paraId="148498B2">
      <w:pPr>
        <w:tabs>
          <w:tab w:val="left" w:pos="6300"/>
        </w:tabs>
        <w:snapToGrid w:val="0"/>
        <w:spacing w:line="500" w:lineRule="exact"/>
        <w:ind w:firstLine="570"/>
        <w:rPr>
          <w:rFonts w:ascii="宋体" w:hAnsi="宋体" w:cs="宋体"/>
          <w:color w:val="auto"/>
          <w:sz w:val="21"/>
          <w:szCs w:val="21"/>
          <w:highlight w:val="none"/>
        </w:rPr>
      </w:pPr>
    </w:p>
    <w:p w14:paraId="6382B5F2">
      <w:pPr>
        <w:tabs>
          <w:tab w:val="left" w:pos="6300"/>
        </w:tabs>
        <w:snapToGrid w:val="0"/>
        <w:spacing w:line="500" w:lineRule="exact"/>
        <w:ind w:firstLine="570"/>
        <w:rPr>
          <w:rFonts w:ascii="宋体" w:hAnsi="宋体" w:cs="宋体"/>
          <w:color w:val="auto"/>
          <w:sz w:val="21"/>
          <w:szCs w:val="21"/>
          <w:highlight w:val="none"/>
        </w:rPr>
      </w:pPr>
    </w:p>
    <w:p w14:paraId="4E1AE9B3">
      <w:pPr>
        <w:tabs>
          <w:tab w:val="left" w:pos="6300"/>
        </w:tabs>
        <w:snapToGrid w:val="0"/>
        <w:spacing w:line="5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 xml:space="preserve">                                             （供应商公章）</w:t>
      </w:r>
    </w:p>
    <w:p w14:paraId="1F933BAE">
      <w:pPr>
        <w:tabs>
          <w:tab w:val="left" w:pos="6300"/>
        </w:tabs>
        <w:snapToGrid w:val="0"/>
        <w:spacing w:line="500" w:lineRule="exact"/>
        <w:ind w:firstLine="570"/>
        <w:rPr>
          <w:rFonts w:ascii="宋体" w:hAnsi="宋体" w:cs="宋体"/>
          <w:color w:val="auto"/>
          <w:sz w:val="21"/>
          <w:szCs w:val="21"/>
          <w:highlight w:val="none"/>
        </w:rPr>
      </w:pPr>
    </w:p>
    <w:p w14:paraId="469020F5">
      <w:pPr>
        <w:tabs>
          <w:tab w:val="left" w:pos="6300"/>
        </w:tabs>
        <w:snapToGrid w:val="0"/>
        <w:spacing w:line="5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 xml:space="preserve">                                             年   月   日</w:t>
      </w:r>
    </w:p>
    <w:p w14:paraId="061FA8EF">
      <w:pPr>
        <w:tabs>
          <w:tab w:val="left" w:pos="6300"/>
        </w:tabs>
        <w:snapToGrid w:val="0"/>
        <w:spacing w:line="500" w:lineRule="exact"/>
        <w:ind w:firstLine="570"/>
        <w:rPr>
          <w:rFonts w:ascii="宋体" w:hAnsi="宋体" w:cs="宋体"/>
          <w:color w:val="auto"/>
          <w:sz w:val="21"/>
          <w:szCs w:val="21"/>
          <w:highlight w:val="none"/>
        </w:rPr>
      </w:pPr>
    </w:p>
    <w:p w14:paraId="4D5F6834">
      <w:pPr>
        <w:tabs>
          <w:tab w:val="left" w:pos="6300"/>
        </w:tabs>
        <w:snapToGrid w:val="0"/>
        <w:spacing w:line="500" w:lineRule="exact"/>
        <w:ind w:firstLine="570"/>
        <w:rPr>
          <w:rFonts w:ascii="宋体" w:hAnsi="宋体" w:cs="宋体"/>
          <w:color w:val="auto"/>
          <w:sz w:val="21"/>
          <w:szCs w:val="21"/>
          <w:highlight w:val="none"/>
        </w:rPr>
      </w:pPr>
    </w:p>
    <w:p w14:paraId="2B30952D">
      <w:pPr>
        <w:tabs>
          <w:tab w:val="left" w:pos="6300"/>
        </w:tabs>
        <w:snapToGrid w:val="0"/>
        <w:spacing w:line="5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法定代表人电话：</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电子邮箱：</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（若授权他人办理并签署响应文件的可不填写）</w:t>
      </w:r>
    </w:p>
    <w:p w14:paraId="7A1F05CA">
      <w:pPr>
        <w:tabs>
          <w:tab w:val="left" w:pos="6300"/>
        </w:tabs>
        <w:snapToGrid w:val="0"/>
        <w:spacing w:line="5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（附：法定代表人身份证正反面复印件）</w:t>
      </w:r>
    </w:p>
    <w:p w14:paraId="7CDE6652">
      <w:pPr>
        <w:tabs>
          <w:tab w:val="left" w:pos="6300"/>
        </w:tabs>
        <w:snapToGrid w:val="0"/>
        <w:spacing w:line="500" w:lineRule="exact"/>
        <w:ind w:firstLine="570"/>
        <w:rPr>
          <w:rFonts w:ascii="宋体" w:hAnsi="宋体" w:cs="宋体"/>
          <w:color w:val="auto"/>
          <w:sz w:val="24"/>
          <w:highlight w:val="none"/>
        </w:rPr>
      </w:pPr>
    </w:p>
    <w:p w14:paraId="58AA5F82">
      <w:pPr>
        <w:tabs>
          <w:tab w:val="left" w:pos="6300"/>
        </w:tabs>
        <w:snapToGrid w:val="0"/>
        <w:spacing w:line="500" w:lineRule="exact"/>
        <w:ind w:firstLine="570"/>
        <w:rPr>
          <w:rFonts w:ascii="宋体" w:hAnsi="宋体" w:cs="宋体"/>
          <w:color w:val="auto"/>
          <w:sz w:val="24"/>
          <w:highlight w:val="none"/>
        </w:rPr>
      </w:pPr>
    </w:p>
    <w:p w14:paraId="233E0622">
      <w:pPr>
        <w:tabs>
          <w:tab w:val="left" w:pos="6300"/>
        </w:tabs>
        <w:snapToGrid w:val="0"/>
        <w:spacing w:line="500" w:lineRule="exact"/>
        <w:ind w:firstLine="570"/>
        <w:rPr>
          <w:rFonts w:ascii="宋体" w:hAnsi="宋体" w:cs="宋体"/>
          <w:color w:val="auto"/>
          <w:sz w:val="24"/>
          <w:highlight w:val="none"/>
        </w:rPr>
      </w:pPr>
    </w:p>
    <w:p w14:paraId="2BCFFC9E">
      <w:pPr>
        <w:tabs>
          <w:tab w:val="left" w:pos="6300"/>
        </w:tabs>
        <w:snapToGrid w:val="0"/>
        <w:spacing w:line="500" w:lineRule="exact"/>
        <w:ind w:firstLine="570"/>
        <w:rPr>
          <w:rFonts w:ascii="宋体" w:hAnsi="宋体" w:cs="宋体"/>
          <w:color w:val="auto"/>
          <w:sz w:val="24"/>
          <w:highlight w:val="none"/>
        </w:rPr>
      </w:pPr>
    </w:p>
    <w:p w14:paraId="1ABC754E">
      <w:pPr>
        <w:tabs>
          <w:tab w:val="left" w:pos="6300"/>
        </w:tabs>
        <w:snapToGrid w:val="0"/>
        <w:spacing w:line="500" w:lineRule="exact"/>
        <w:ind w:firstLine="570"/>
        <w:rPr>
          <w:rFonts w:ascii="宋体" w:hAnsi="宋体" w:cs="宋体"/>
          <w:color w:val="auto"/>
          <w:sz w:val="24"/>
          <w:highlight w:val="none"/>
        </w:rPr>
      </w:pPr>
    </w:p>
    <w:p w14:paraId="2E900EF9">
      <w:pPr>
        <w:tabs>
          <w:tab w:val="left" w:pos="6300"/>
        </w:tabs>
        <w:snapToGrid w:val="0"/>
        <w:spacing w:line="500" w:lineRule="exact"/>
        <w:ind w:firstLine="570"/>
        <w:rPr>
          <w:rFonts w:ascii="宋体" w:hAnsi="宋体" w:cs="宋体"/>
          <w:color w:val="auto"/>
          <w:sz w:val="24"/>
          <w:highlight w:val="none"/>
        </w:rPr>
      </w:pPr>
    </w:p>
    <w:p w14:paraId="40DFE204">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p>
    <w:p w14:paraId="222FA541">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w:t>
      </w:r>
    </w:p>
    <w:p w14:paraId="4B9CB1E3">
      <w:pPr>
        <w:tabs>
          <w:tab w:val="left" w:pos="6300"/>
        </w:tabs>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u w:val="single"/>
        </w:rPr>
        <w:t xml:space="preserve">                                                </w:t>
      </w:r>
    </w:p>
    <w:p w14:paraId="0E9EDFE4">
      <w:pPr>
        <w:tabs>
          <w:tab w:val="left" w:pos="6300"/>
        </w:tabs>
        <w:snapToGrid w:val="0"/>
        <w:spacing w:line="500" w:lineRule="exact"/>
        <w:ind w:firstLine="570"/>
        <w:rPr>
          <w:rFonts w:ascii="宋体" w:hAnsi="宋体" w:cs="宋体"/>
          <w:color w:val="auto"/>
          <w:sz w:val="21"/>
          <w:szCs w:val="21"/>
          <w:highlight w:val="none"/>
        </w:rPr>
      </w:pPr>
    </w:p>
    <w:p w14:paraId="27A557F6">
      <w:pPr>
        <w:tabs>
          <w:tab w:val="left" w:pos="6300"/>
        </w:tabs>
        <w:snapToGrid w:val="0"/>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（采购代理机构名称）：</w:t>
      </w:r>
    </w:p>
    <w:p w14:paraId="025DCA4A">
      <w:pPr>
        <w:tabs>
          <w:tab w:val="left" w:pos="6300"/>
        </w:tabs>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（供应商法定代表人名称）是</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（供应商名称）的法定代表人，特授权</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（被授权人姓名及身份证代码）代表我单位全权办理上述项目的比选、签约等具体工作，并签署全部有关文件、协议及合同。</w:t>
      </w:r>
    </w:p>
    <w:p w14:paraId="5ABF8074">
      <w:pPr>
        <w:tabs>
          <w:tab w:val="left" w:pos="6300"/>
        </w:tabs>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我单位对被授权人的签署负全部责任。</w:t>
      </w:r>
    </w:p>
    <w:p w14:paraId="035F6A76">
      <w:pPr>
        <w:tabs>
          <w:tab w:val="left" w:pos="6300"/>
        </w:tabs>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在撤销授权的书面通知以前，本授权书一直有效。被授权人在授权书有效期内签署的所有文件不因授权的撤销而失效。</w:t>
      </w:r>
    </w:p>
    <w:p w14:paraId="032B50FA">
      <w:pPr>
        <w:tabs>
          <w:tab w:val="left" w:pos="6300"/>
        </w:tabs>
        <w:snapToGrid w:val="0"/>
        <w:spacing w:line="500" w:lineRule="exact"/>
        <w:ind w:firstLine="570"/>
        <w:rPr>
          <w:rFonts w:ascii="宋体" w:hAnsi="宋体" w:cs="宋体"/>
          <w:color w:val="auto"/>
          <w:sz w:val="21"/>
          <w:szCs w:val="21"/>
          <w:highlight w:val="none"/>
        </w:rPr>
      </w:pPr>
    </w:p>
    <w:p w14:paraId="02ECBCD3">
      <w:pPr>
        <w:tabs>
          <w:tab w:val="left" w:pos="6300"/>
        </w:tabs>
        <w:snapToGrid w:val="0"/>
        <w:spacing w:line="500" w:lineRule="exact"/>
        <w:ind w:firstLine="570"/>
        <w:rPr>
          <w:rFonts w:ascii="宋体" w:hAnsi="宋体" w:cs="宋体"/>
          <w:color w:val="auto"/>
          <w:sz w:val="21"/>
          <w:szCs w:val="21"/>
          <w:highlight w:val="none"/>
        </w:rPr>
      </w:pPr>
    </w:p>
    <w:p w14:paraId="75AE5415">
      <w:pPr>
        <w:tabs>
          <w:tab w:val="left" w:pos="6300"/>
        </w:tabs>
        <w:snapToGrid w:val="0"/>
        <w:spacing w:line="5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被授权人：                                 供应商法定代表人：</w:t>
      </w:r>
    </w:p>
    <w:p w14:paraId="2F2C19DB">
      <w:pPr>
        <w:tabs>
          <w:tab w:val="left" w:pos="6300"/>
        </w:tabs>
        <w:snapToGrid w:val="0"/>
        <w:spacing w:line="5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（签署或盖章）                                （签署或盖章）</w:t>
      </w:r>
    </w:p>
    <w:p w14:paraId="2920A0A8">
      <w:pPr>
        <w:tabs>
          <w:tab w:val="left" w:pos="6300"/>
        </w:tabs>
        <w:snapToGrid w:val="0"/>
        <w:spacing w:line="500" w:lineRule="exact"/>
        <w:ind w:firstLine="570"/>
        <w:rPr>
          <w:rFonts w:ascii="宋体" w:hAnsi="宋体" w:cs="宋体"/>
          <w:color w:val="auto"/>
          <w:sz w:val="21"/>
          <w:szCs w:val="21"/>
          <w:highlight w:val="none"/>
        </w:rPr>
      </w:pPr>
    </w:p>
    <w:p w14:paraId="27B183E1">
      <w:pPr>
        <w:tabs>
          <w:tab w:val="left" w:pos="6300"/>
        </w:tabs>
        <w:snapToGrid w:val="0"/>
        <w:spacing w:line="500" w:lineRule="exact"/>
        <w:ind w:firstLine="570"/>
        <w:rPr>
          <w:rFonts w:ascii="宋体" w:hAnsi="宋体" w:cs="宋体"/>
          <w:color w:val="auto"/>
          <w:sz w:val="21"/>
          <w:szCs w:val="21"/>
          <w:highlight w:val="none"/>
        </w:rPr>
      </w:pPr>
    </w:p>
    <w:p w14:paraId="53AA0B62">
      <w:pPr>
        <w:tabs>
          <w:tab w:val="left" w:pos="6300"/>
        </w:tabs>
        <w:snapToGrid w:val="0"/>
        <w:spacing w:line="5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（附：被授权人身份证正反面复印件）</w:t>
      </w:r>
    </w:p>
    <w:p w14:paraId="15CE62A9">
      <w:pPr>
        <w:tabs>
          <w:tab w:val="left" w:pos="6300"/>
        </w:tabs>
        <w:snapToGrid w:val="0"/>
        <w:spacing w:line="5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14:paraId="5D8EF6DE">
      <w:pPr>
        <w:tabs>
          <w:tab w:val="left" w:pos="6300"/>
        </w:tabs>
        <w:snapToGrid w:val="0"/>
        <w:spacing w:line="500" w:lineRule="exact"/>
        <w:ind w:firstLine="570"/>
        <w:rPr>
          <w:rFonts w:ascii="宋体" w:hAnsi="宋体" w:cs="宋体"/>
          <w:color w:val="auto"/>
          <w:sz w:val="21"/>
          <w:szCs w:val="21"/>
          <w:highlight w:val="none"/>
        </w:rPr>
      </w:pPr>
    </w:p>
    <w:p w14:paraId="5E09679C">
      <w:pPr>
        <w:tabs>
          <w:tab w:val="left" w:pos="6300"/>
        </w:tabs>
        <w:snapToGrid w:val="0"/>
        <w:spacing w:line="500" w:lineRule="exact"/>
        <w:ind w:right="480" w:firstLine="570"/>
        <w:jc w:val="right"/>
        <w:rPr>
          <w:rFonts w:ascii="宋体" w:hAnsi="宋体" w:cs="宋体"/>
          <w:color w:val="auto"/>
          <w:sz w:val="21"/>
          <w:szCs w:val="21"/>
          <w:highlight w:val="none"/>
        </w:rPr>
      </w:pPr>
      <w:r>
        <w:rPr>
          <w:rFonts w:hint="eastAsia" w:ascii="宋体" w:hAnsi="宋体" w:cs="宋体"/>
          <w:color w:val="auto"/>
          <w:sz w:val="21"/>
          <w:szCs w:val="21"/>
          <w:highlight w:val="none"/>
        </w:rPr>
        <w:t>（供应商公章）</w:t>
      </w:r>
    </w:p>
    <w:p w14:paraId="62D8AAAB">
      <w:pPr>
        <w:tabs>
          <w:tab w:val="left" w:pos="6300"/>
        </w:tabs>
        <w:snapToGrid w:val="0"/>
        <w:spacing w:line="500" w:lineRule="exact"/>
        <w:ind w:right="480" w:firstLine="570"/>
        <w:jc w:val="right"/>
        <w:rPr>
          <w:rFonts w:ascii="宋体" w:hAnsi="宋体" w:cs="宋体"/>
          <w:color w:val="auto"/>
          <w:sz w:val="21"/>
          <w:szCs w:val="21"/>
          <w:highlight w:val="none"/>
        </w:rPr>
      </w:pPr>
      <w:r>
        <w:rPr>
          <w:rFonts w:hint="eastAsia" w:ascii="宋体" w:hAnsi="宋体" w:cs="宋体"/>
          <w:color w:val="auto"/>
          <w:sz w:val="21"/>
          <w:szCs w:val="21"/>
          <w:highlight w:val="none"/>
        </w:rPr>
        <w:t>年   月   日</w:t>
      </w:r>
    </w:p>
    <w:p w14:paraId="2D1A2971">
      <w:pPr>
        <w:tabs>
          <w:tab w:val="left" w:pos="6300"/>
        </w:tabs>
        <w:snapToGrid w:val="0"/>
        <w:spacing w:line="400" w:lineRule="exact"/>
        <w:ind w:right="482" w:firstLine="573"/>
        <w:jc w:val="left"/>
        <w:rPr>
          <w:rFonts w:ascii="宋体" w:hAnsi="宋体" w:cs="宋体"/>
          <w:color w:val="auto"/>
          <w:sz w:val="21"/>
          <w:szCs w:val="21"/>
          <w:highlight w:val="none"/>
        </w:rPr>
      </w:pPr>
      <w:r>
        <w:rPr>
          <w:rFonts w:hint="eastAsia" w:ascii="宋体" w:hAnsi="宋体" w:cs="宋体"/>
          <w:color w:val="auto"/>
          <w:sz w:val="21"/>
          <w:szCs w:val="21"/>
          <w:highlight w:val="none"/>
        </w:rPr>
        <w:t>被授权人电话：</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电子邮箱：</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（若法定代表人办理并签署响应文件的可不填写）</w:t>
      </w:r>
    </w:p>
    <w:p w14:paraId="2EFC7AF5">
      <w:pPr>
        <w:tabs>
          <w:tab w:val="left" w:pos="6300"/>
        </w:tabs>
        <w:snapToGrid w:val="0"/>
        <w:spacing w:line="400" w:lineRule="exact"/>
        <w:ind w:right="482" w:firstLine="573"/>
        <w:jc w:val="left"/>
        <w:rPr>
          <w:rFonts w:ascii="宋体" w:hAnsi="宋体" w:cs="宋体"/>
          <w:color w:val="auto"/>
          <w:sz w:val="21"/>
          <w:szCs w:val="21"/>
          <w:highlight w:val="none"/>
        </w:rPr>
      </w:pPr>
      <w:r>
        <w:rPr>
          <w:rFonts w:hint="eastAsia" w:ascii="宋体" w:hAnsi="宋体" w:cs="宋体"/>
          <w:color w:val="auto"/>
          <w:sz w:val="21"/>
          <w:szCs w:val="21"/>
          <w:highlight w:val="none"/>
        </w:rPr>
        <w:t>注：</w:t>
      </w:r>
    </w:p>
    <w:p w14:paraId="3664DECF">
      <w:pPr>
        <w:tabs>
          <w:tab w:val="left" w:pos="6300"/>
        </w:tabs>
        <w:snapToGrid w:val="0"/>
        <w:spacing w:line="400" w:lineRule="exact"/>
        <w:ind w:right="482" w:firstLine="573"/>
        <w:jc w:val="left"/>
        <w:rPr>
          <w:rFonts w:ascii="宋体" w:hAnsi="宋体" w:cs="宋体"/>
          <w:color w:val="auto"/>
          <w:sz w:val="24"/>
          <w:szCs w:val="24"/>
          <w:highlight w:val="none"/>
        </w:rPr>
      </w:pPr>
      <w:r>
        <w:rPr>
          <w:rFonts w:hint="eastAsia" w:ascii="宋体" w:hAnsi="宋体" w:cs="宋体"/>
          <w:color w:val="auto"/>
          <w:sz w:val="21"/>
          <w:szCs w:val="21"/>
          <w:highlight w:val="none"/>
        </w:rPr>
        <w:t>1.若为法定代表人办理并签署响应文件的，不提供此文件。</w:t>
      </w:r>
      <w:r>
        <w:rPr>
          <w:rFonts w:hint="eastAsia" w:ascii="宋体" w:hAnsi="宋体" w:cs="宋体"/>
          <w:color w:val="auto"/>
          <w:sz w:val="21"/>
          <w:szCs w:val="21"/>
          <w:highlight w:val="none"/>
        </w:rPr>
        <w:br w:type="column"/>
      </w:r>
      <w:r>
        <w:rPr>
          <w:rFonts w:hint="eastAsia" w:ascii="宋体" w:hAnsi="宋体" w:cs="宋体"/>
          <w:color w:val="auto"/>
          <w:sz w:val="24"/>
          <w:szCs w:val="24"/>
          <w:highlight w:val="none"/>
        </w:rPr>
        <w:t>（四）基本资格条件承诺函</w:t>
      </w:r>
    </w:p>
    <w:p w14:paraId="61372BF7">
      <w:pPr>
        <w:tabs>
          <w:tab w:val="left" w:pos="6300"/>
        </w:tabs>
        <w:snapToGrid w:val="0"/>
        <w:spacing w:line="500" w:lineRule="exact"/>
        <w:ind w:firstLine="57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基本资格条件承诺函</w:t>
      </w:r>
    </w:p>
    <w:p w14:paraId="50474CB1">
      <w:pPr>
        <w:tabs>
          <w:tab w:val="left" w:pos="6300"/>
        </w:tabs>
        <w:snapToGrid w:val="0"/>
        <w:spacing w:line="530" w:lineRule="exact"/>
        <w:rPr>
          <w:rFonts w:ascii="宋体" w:hAnsi="宋体" w:cs="宋体"/>
          <w:color w:val="auto"/>
          <w:sz w:val="24"/>
          <w:szCs w:val="24"/>
          <w:highlight w:val="none"/>
        </w:rPr>
      </w:pPr>
    </w:p>
    <w:p w14:paraId="18D947F4">
      <w:pPr>
        <w:tabs>
          <w:tab w:val="left" w:pos="6300"/>
        </w:tabs>
        <w:snapToGrid w:val="0"/>
        <w:spacing w:line="530" w:lineRule="exact"/>
        <w:rPr>
          <w:rFonts w:ascii="宋体" w:hAns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（采购代理机构名称）：</w:t>
      </w:r>
    </w:p>
    <w:p w14:paraId="0E5675DF">
      <w:pPr>
        <w:tabs>
          <w:tab w:val="left" w:pos="6300"/>
        </w:tabs>
        <w:snapToGrid w:val="0"/>
        <w:spacing w:line="53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（供应商名称）郑重承诺：</w:t>
      </w:r>
    </w:p>
    <w:p w14:paraId="22A56D97">
      <w:pPr>
        <w:spacing w:line="53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1.我方具有良好的商业信誉和健全的财务会计制度，具有履行合同所必需的设备和专业技术能力，具</w:t>
      </w:r>
      <w:r>
        <w:rPr>
          <w:rFonts w:hint="eastAsia" w:ascii="宋体" w:hAnsi="宋体" w:cs="宋体"/>
          <w:color w:val="auto"/>
          <w:sz w:val="21"/>
          <w:szCs w:val="21"/>
          <w:highlight w:val="none"/>
          <w:lang w:val="zh-CN"/>
        </w:rPr>
        <w:t>有依法缴纳税收和社会保障金的良好记录</w:t>
      </w:r>
      <w:r>
        <w:rPr>
          <w:rFonts w:hint="eastAsia" w:ascii="宋体" w:hAnsi="宋体" w:cs="宋体"/>
          <w:color w:val="auto"/>
          <w:sz w:val="21"/>
          <w:szCs w:val="21"/>
          <w:highlight w:val="none"/>
        </w:rPr>
        <w:t>，参加本项目采购活动前三年内无重大违法活动记录。</w:t>
      </w:r>
    </w:p>
    <w:p w14:paraId="3DB23D0E">
      <w:pPr>
        <w:spacing w:line="53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2.我方未列入在信用中国网站（www.creditchina.gov.cn）“失信被执行人”、“重大税收违法案件当事人名单”中，也未列入中国政府采购网（www.ccgp.gov.cn）“政府采购严重违法失信行为记录名单”中。</w:t>
      </w:r>
    </w:p>
    <w:p w14:paraId="6AC1E1F8">
      <w:pPr>
        <w:spacing w:line="53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3.我方在采购项目评审环节结束后，随时接受采购人、采购代理机构的检查验证，配合提供相关证明材料，证明符合《中华人民共和国政府采购法》规定的供应商基本资格条件。</w:t>
      </w:r>
    </w:p>
    <w:p w14:paraId="003B8CE7">
      <w:pPr>
        <w:tabs>
          <w:tab w:val="left" w:pos="6300"/>
        </w:tabs>
        <w:snapToGrid w:val="0"/>
        <w:spacing w:line="53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我方对以上承诺负全部法律责任。</w:t>
      </w:r>
    </w:p>
    <w:p w14:paraId="28406B2D">
      <w:pPr>
        <w:tabs>
          <w:tab w:val="left" w:pos="6300"/>
        </w:tabs>
        <w:snapToGrid w:val="0"/>
        <w:spacing w:line="53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特此承诺。</w:t>
      </w:r>
    </w:p>
    <w:p w14:paraId="56A6D980">
      <w:pPr>
        <w:tabs>
          <w:tab w:val="left" w:pos="6300"/>
        </w:tabs>
        <w:snapToGrid w:val="0"/>
        <w:spacing w:line="530" w:lineRule="exact"/>
        <w:rPr>
          <w:rFonts w:ascii="宋体" w:hAnsi="宋体" w:cs="宋体"/>
          <w:color w:val="auto"/>
          <w:sz w:val="21"/>
          <w:szCs w:val="21"/>
          <w:highlight w:val="none"/>
        </w:rPr>
      </w:pPr>
    </w:p>
    <w:p w14:paraId="5E7C0559">
      <w:pPr>
        <w:tabs>
          <w:tab w:val="left" w:pos="6300"/>
        </w:tabs>
        <w:snapToGrid w:val="0"/>
        <w:spacing w:line="530" w:lineRule="exact"/>
        <w:ind w:right="424" w:firstLine="570"/>
        <w:jc w:val="right"/>
        <w:rPr>
          <w:rFonts w:ascii="宋体" w:hAnsi="宋体" w:cs="宋体"/>
          <w:color w:val="auto"/>
          <w:sz w:val="21"/>
          <w:szCs w:val="21"/>
          <w:highlight w:val="none"/>
        </w:rPr>
      </w:pPr>
      <w:r>
        <w:rPr>
          <w:rFonts w:hint="eastAsia" w:ascii="宋体" w:hAnsi="宋体" w:cs="宋体"/>
          <w:color w:val="auto"/>
          <w:sz w:val="21"/>
          <w:szCs w:val="21"/>
          <w:highlight w:val="none"/>
        </w:rPr>
        <w:t>（供应商公章）</w:t>
      </w:r>
    </w:p>
    <w:p w14:paraId="166D9B24">
      <w:pPr>
        <w:widowControl/>
        <w:spacing w:line="400" w:lineRule="exact"/>
        <w:ind w:firstLine="6720" w:firstLineChars="3200"/>
        <w:jc w:val="left"/>
        <w:rPr>
          <w:rFonts w:ascii="宋体" w:hAnsi="宋体" w:cs="宋体"/>
          <w:color w:val="auto"/>
          <w:sz w:val="21"/>
          <w:szCs w:val="21"/>
          <w:highlight w:val="none"/>
        </w:rPr>
      </w:pPr>
      <w:r>
        <w:rPr>
          <w:rFonts w:hint="eastAsia" w:ascii="宋体" w:hAnsi="宋体" w:cs="宋体"/>
          <w:color w:val="auto"/>
          <w:sz w:val="21"/>
          <w:szCs w:val="21"/>
          <w:highlight w:val="none"/>
        </w:rPr>
        <w:t>年   月   日</w:t>
      </w:r>
    </w:p>
    <w:p w14:paraId="5E2F79A6">
      <w:pPr>
        <w:widowControl/>
        <w:spacing w:line="400" w:lineRule="exact"/>
        <w:ind w:firstLine="420" w:firstLineChars="200"/>
        <w:jc w:val="left"/>
        <w:rPr>
          <w:rFonts w:ascii="宋体" w:hAnsi="宋体" w:cs="宋体"/>
          <w:color w:val="auto"/>
          <w:sz w:val="24"/>
          <w:szCs w:val="24"/>
          <w:highlight w:val="none"/>
        </w:rPr>
      </w:pPr>
      <w:r>
        <w:rPr>
          <w:rFonts w:hint="eastAsia" w:ascii="宋体" w:hAnsi="宋体" w:cs="宋体"/>
          <w:color w:val="auto"/>
          <w:sz w:val="21"/>
          <w:szCs w:val="21"/>
          <w:highlight w:val="none"/>
        </w:rPr>
        <w:br w:type="page"/>
      </w:r>
      <w:r>
        <w:rPr>
          <w:rFonts w:hint="eastAsia" w:ascii="宋体" w:hAnsi="宋体" w:cs="宋体"/>
          <w:color w:val="auto"/>
          <w:sz w:val="24"/>
          <w:szCs w:val="24"/>
          <w:highlight w:val="none"/>
        </w:rPr>
        <w:t>（五）特定资格条件证书或证明文件</w:t>
      </w:r>
    </w:p>
    <w:p w14:paraId="19402FD0">
      <w:pPr>
        <w:widowControl/>
        <w:spacing w:line="400" w:lineRule="exact"/>
        <w:ind w:firstLine="480" w:firstLineChars="200"/>
        <w:jc w:val="left"/>
        <w:rPr>
          <w:rFonts w:ascii="宋体" w:hAnsi="宋体" w:cs="宋体"/>
          <w:color w:val="auto"/>
          <w:sz w:val="24"/>
          <w:szCs w:val="24"/>
          <w:highlight w:val="none"/>
        </w:rPr>
      </w:pPr>
    </w:p>
    <w:p w14:paraId="61006C42">
      <w:pPr>
        <w:adjustRightInd w:val="0"/>
        <w:snapToGrid w:val="0"/>
        <w:spacing w:line="400" w:lineRule="exact"/>
        <w:ind w:firstLine="0" w:firstLineChars="0"/>
        <w:rPr>
          <w:rFonts w:ascii="宋体" w:hAnsi="宋体" w:cs="宋体"/>
          <w:color w:val="auto"/>
          <w:sz w:val="24"/>
          <w:highlight w:val="none"/>
        </w:rPr>
      </w:pPr>
      <w:r>
        <w:rPr>
          <w:rFonts w:hint="eastAsia" w:ascii="宋体" w:hAnsi="宋体" w:cs="宋体"/>
          <w:color w:val="auto"/>
          <w:sz w:val="24"/>
          <w:szCs w:val="24"/>
          <w:highlight w:val="none"/>
        </w:rPr>
        <w:br w:type="page"/>
      </w:r>
      <w:r>
        <w:rPr>
          <w:rFonts w:hint="eastAsia" w:ascii="黑体" w:hAnsi="黑体" w:eastAsia="黑体" w:cs="黑体"/>
          <w:color w:val="auto"/>
          <w:szCs w:val="21"/>
          <w:highlight w:val="none"/>
        </w:rPr>
        <w:t>五、</w:t>
      </w:r>
      <w:bookmarkEnd w:id="165"/>
      <w:bookmarkEnd w:id="166"/>
      <w:bookmarkEnd w:id="167"/>
      <w:r>
        <w:rPr>
          <w:rFonts w:hint="eastAsia" w:ascii="黑体" w:hAnsi="黑体" w:eastAsia="黑体" w:cs="黑体"/>
          <w:color w:val="auto"/>
          <w:szCs w:val="21"/>
          <w:highlight w:val="none"/>
        </w:rPr>
        <w:t>其他资料</w:t>
      </w:r>
    </w:p>
    <w:p w14:paraId="46F61DA7">
      <w:pPr>
        <w:widowControl/>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（一）其他与项目有关的资料（自附）</w:t>
      </w:r>
    </w:p>
    <w:p w14:paraId="61D28EC4">
      <w:pPr>
        <w:spacing w:line="360" w:lineRule="auto"/>
        <w:ind w:firstLine="480" w:firstLineChars="200"/>
        <w:jc w:val="center"/>
        <w:rPr>
          <w:rFonts w:ascii="宋体" w:hAnsi="宋体" w:cs="宋体"/>
          <w:color w:val="auto"/>
          <w:sz w:val="24"/>
          <w:szCs w:val="24"/>
          <w:highlight w:val="none"/>
        </w:rPr>
      </w:pPr>
    </w:p>
    <w:p w14:paraId="31139F83">
      <w:pPr>
        <w:pStyle w:val="31"/>
        <w:rPr>
          <w:rFonts w:hAnsi="宋体" w:cs="宋体"/>
          <w:color w:val="auto"/>
          <w:szCs w:val="24"/>
          <w:highlight w:val="none"/>
        </w:rPr>
      </w:pPr>
    </w:p>
    <w:p w14:paraId="3133E272">
      <w:pPr>
        <w:pStyle w:val="31"/>
        <w:rPr>
          <w:rFonts w:hAnsi="宋体" w:cs="宋体"/>
          <w:color w:val="auto"/>
          <w:szCs w:val="24"/>
          <w:highlight w:val="none"/>
        </w:rPr>
      </w:pPr>
    </w:p>
    <w:p w14:paraId="1EEAE67E">
      <w:pPr>
        <w:spacing w:line="360" w:lineRule="auto"/>
        <w:ind w:firstLine="480" w:firstLineChars="200"/>
        <w:jc w:val="center"/>
        <w:rPr>
          <w:rFonts w:ascii="宋体" w:hAnsi="宋体" w:cs="宋体"/>
          <w:color w:val="auto"/>
          <w:sz w:val="24"/>
          <w:szCs w:val="24"/>
          <w:highlight w:val="none"/>
        </w:rPr>
      </w:pPr>
    </w:p>
    <w:p w14:paraId="14B1E164">
      <w:pPr>
        <w:spacing w:line="360" w:lineRule="auto"/>
        <w:ind w:firstLine="480" w:firstLineChars="200"/>
        <w:jc w:val="center"/>
        <w:rPr>
          <w:rFonts w:ascii="宋体" w:hAnsi="宋体" w:cs="宋体"/>
          <w:color w:val="auto"/>
          <w:sz w:val="24"/>
          <w:szCs w:val="24"/>
          <w:highlight w:val="none"/>
        </w:rPr>
      </w:pPr>
    </w:p>
    <w:p w14:paraId="6A1F5836">
      <w:pPr>
        <w:spacing w:line="360" w:lineRule="auto"/>
        <w:ind w:firstLine="480" w:firstLineChars="200"/>
        <w:jc w:val="center"/>
        <w:rPr>
          <w:rFonts w:ascii="宋体" w:hAnsi="宋体" w:cs="宋体"/>
          <w:color w:val="auto"/>
          <w:sz w:val="24"/>
          <w:szCs w:val="24"/>
          <w:highlight w:val="none"/>
        </w:rPr>
      </w:pPr>
    </w:p>
    <w:p w14:paraId="080A279A">
      <w:pPr>
        <w:spacing w:line="360" w:lineRule="auto"/>
        <w:ind w:firstLine="480" w:firstLineChars="200"/>
        <w:jc w:val="center"/>
        <w:rPr>
          <w:rFonts w:ascii="宋体" w:hAnsi="宋体" w:cs="宋体"/>
          <w:color w:val="auto"/>
          <w:sz w:val="24"/>
          <w:szCs w:val="24"/>
          <w:highlight w:val="none"/>
        </w:rPr>
      </w:pPr>
    </w:p>
    <w:p w14:paraId="2E7AED3F">
      <w:pPr>
        <w:pStyle w:val="9"/>
        <w:rPr>
          <w:rFonts w:ascii="宋体" w:hAnsi="宋体" w:cs="宋体"/>
          <w:color w:val="auto"/>
          <w:highlight w:val="none"/>
        </w:rPr>
      </w:pPr>
    </w:p>
    <w:p w14:paraId="470109AB">
      <w:pPr>
        <w:spacing w:line="360" w:lineRule="auto"/>
        <w:ind w:firstLine="480" w:firstLineChars="200"/>
        <w:jc w:val="center"/>
        <w:rPr>
          <w:rFonts w:ascii="宋体" w:hAnsi="宋体" w:cs="宋体"/>
          <w:color w:val="auto"/>
          <w:sz w:val="24"/>
          <w:szCs w:val="24"/>
          <w:highlight w:val="none"/>
        </w:rPr>
      </w:pPr>
    </w:p>
    <w:p w14:paraId="383F60FB">
      <w:pPr>
        <w:spacing w:line="360" w:lineRule="auto"/>
        <w:ind w:firstLine="480" w:firstLineChars="200"/>
        <w:jc w:val="center"/>
        <w:rPr>
          <w:rFonts w:ascii="宋体" w:hAnsi="宋体" w:cs="宋体"/>
          <w:color w:val="auto"/>
          <w:sz w:val="24"/>
          <w:szCs w:val="24"/>
          <w:highlight w:val="none"/>
        </w:rPr>
      </w:pPr>
    </w:p>
    <w:p w14:paraId="54B606AC">
      <w:pPr>
        <w:spacing w:line="360" w:lineRule="auto"/>
        <w:ind w:firstLine="480" w:firstLineChars="200"/>
        <w:jc w:val="center"/>
        <w:rPr>
          <w:rFonts w:ascii="宋体" w:hAnsi="宋体" w:cs="宋体"/>
          <w:color w:val="auto"/>
          <w:sz w:val="24"/>
          <w:szCs w:val="24"/>
          <w:highlight w:val="none"/>
        </w:rPr>
      </w:pPr>
    </w:p>
    <w:p w14:paraId="397A3052">
      <w:pPr>
        <w:spacing w:line="360" w:lineRule="auto"/>
        <w:ind w:firstLine="560" w:firstLineChars="200"/>
        <w:jc w:val="center"/>
        <w:rPr>
          <w:rFonts w:ascii="宋体" w:hAnsi="宋体" w:cs="宋体"/>
          <w:color w:val="auto"/>
          <w:highlight w:val="none"/>
        </w:rPr>
      </w:pPr>
      <w:r>
        <w:rPr>
          <w:rFonts w:hint="eastAsia" w:ascii="宋体" w:hAnsi="宋体" w:cs="宋体"/>
          <w:color w:val="auto"/>
          <w:highlight w:val="none"/>
        </w:rPr>
        <w:t>（结束）</w:t>
      </w:r>
    </w:p>
    <w:p w14:paraId="0D8C52FC">
      <w:pPr>
        <w:rPr>
          <w:rFonts w:ascii="宋体" w:hAnsi="宋体" w:cs="宋体"/>
          <w:color w:val="auto"/>
          <w:highlight w:val="none"/>
        </w:rPr>
      </w:pPr>
      <w:r>
        <w:rPr>
          <w:rFonts w:hint="eastAsia" w:ascii="宋体" w:hAnsi="宋体" w:cs="宋体"/>
          <w:color w:val="auto"/>
          <w:highlight w:val="none"/>
        </w:rPr>
        <w:br w:type="page"/>
      </w:r>
    </w:p>
    <w:p w14:paraId="23BFE141">
      <w:pPr>
        <w:snapToGrid w:val="0"/>
        <w:spacing w:line="44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附件：</w:t>
      </w:r>
    </w:p>
    <w:p w14:paraId="1F4DC5FD">
      <w:pPr>
        <w:rPr>
          <w:rFonts w:ascii="宋体" w:hAnsi="宋体" w:cs="宋体"/>
          <w:color w:val="auto"/>
          <w:highlight w:val="none"/>
        </w:rPr>
      </w:pPr>
    </w:p>
    <w:p w14:paraId="18A27574">
      <w:pPr>
        <w:jc w:val="center"/>
        <w:rPr>
          <w:rFonts w:hint="eastAsia" w:ascii="方正小标宋_GBK" w:hAnsi="方正小标宋_GBK" w:eastAsia="方正小标宋_GBK" w:cs="方正小标宋_GBK"/>
          <w:color w:val="auto"/>
          <w:kern w:val="0"/>
          <w:sz w:val="32"/>
          <w:szCs w:val="32"/>
          <w:highlight w:val="none"/>
        </w:rPr>
      </w:pPr>
      <w:r>
        <w:rPr>
          <w:rFonts w:hint="eastAsia" w:ascii="方正小标宋_GBK" w:hAnsi="方正小标宋_GBK" w:eastAsia="方正小标宋_GBK" w:cs="方正小标宋_GBK"/>
          <w:color w:val="auto"/>
          <w:kern w:val="0"/>
          <w:sz w:val="32"/>
          <w:szCs w:val="32"/>
          <w:highlight w:val="none"/>
        </w:rPr>
        <w:t>竞争性比选文件发售登记表</w:t>
      </w:r>
    </w:p>
    <w:p w14:paraId="71751E33">
      <w:pPr>
        <w:pStyle w:val="9"/>
        <w:rPr>
          <w:rFonts w:ascii="宋体" w:hAnsi="宋体" w:cs="宋体"/>
          <w:b/>
          <w:bCs/>
          <w:color w:val="auto"/>
          <w:kern w:val="0"/>
          <w:sz w:val="24"/>
          <w:szCs w:val="24"/>
          <w:highlight w:val="none"/>
        </w:rPr>
      </w:pPr>
    </w:p>
    <w:tbl>
      <w:tblPr>
        <w:tblStyle w:val="23"/>
        <w:tblW w:w="912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6896"/>
      </w:tblGrid>
      <w:tr w14:paraId="0FF1DE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231" w:type="dxa"/>
            <w:noWrap/>
            <w:vAlign w:val="center"/>
          </w:tcPr>
          <w:p w14:paraId="44A6E876">
            <w:pPr>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6896" w:type="dxa"/>
            <w:noWrap/>
            <w:vAlign w:val="center"/>
          </w:tcPr>
          <w:p w14:paraId="1FE431F8">
            <w:pPr>
              <w:jc w:val="center"/>
              <w:rPr>
                <w:rFonts w:ascii="宋体" w:hAnsi="宋体" w:cs="宋体"/>
                <w:color w:val="auto"/>
                <w:sz w:val="21"/>
                <w:szCs w:val="21"/>
                <w:highlight w:val="none"/>
              </w:rPr>
            </w:pPr>
          </w:p>
        </w:tc>
      </w:tr>
      <w:tr w14:paraId="522D88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231" w:type="dxa"/>
            <w:noWrap/>
            <w:vAlign w:val="center"/>
          </w:tcPr>
          <w:p w14:paraId="326582C9">
            <w:pPr>
              <w:jc w:val="center"/>
              <w:rPr>
                <w:rFonts w:ascii="宋体" w:hAnsi="宋体" w:cs="宋体"/>
                <w:color w:val="auto"/>
                <w:sz w:val="24"/>
                <w:szCs w:val="24"/>
                <w:highlight w:val="none"/>
              </w:rPr>
            </w:pPr>
            <w:r>
              <w:rPr>
                <w:rFonts w:hint="eastAsia" w:ascii="宋体" w:hAnsi="宋体" w:cs="宋体"/>
                <w:color w:val="auto"/>
                <w:sz w:val="24"/>
                <w:szCs w:val="24"/>
                <w:highlight w:val="none"/>
              </w:rPr>
              <w:t>供应商（签章）</w:t>
            </w:r>
          </w:p>
        </w:tc>
        <w:tc>
          <w:tcPr>
            <w:tcW w:w="6896" w:type="dxa"/>
            <w:noWrap/>
            <w:vAlign w:val="bottom"/>
          </w:tcPr>
          <w:p w14:paraId="52C8B35A">
            <w:pPr>
              <w:jc w:val="center"/>
              <w:rPr>
                <w:rFonts w:ascii="宋体" w:hAnsi="宋体" w:cs="宋体"/>
                <w:color w:val="auto"/>
                <w:sz w:val="24"/>
                <w:szCs w:val="24"/>
                <w:highlight w:val="none"/>
              </w:rPr>
            </w:pPr>
          </w:p>
        </w:tc>
      </w:tr>
      <w:tr w14:paraId="7E8953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231" w:type="dxa"/>
            <w:noWrap/>
            <w:vAlign w:val="center"/>
          </w:tcPr>
          <w:p w14:paraId="665E815B">
            <w:pPr>
              <w:jc w:val="center"/>
              <w:rPr>
                <w:rFonts w:ascii="宋体" w:hAnsi="宋体" w:cs="宋体"/>
                <w:color w:val="auto"/>
                <w:sz w:val="24"/>
                <w:szCs w:val="24"/>
                <w:highlight w:val="none"/>
              </w:rPr>
            </w:pPr>
            <w:r>
              <w:rPr>
                <w:rFonts w:hint="eastAsia" w:ascii="宋体" w:hAnsi="宋体" w:cs="宋体"/>
                <w:color w:val="auto"/>
                <w:sz w:val="24"/>
                <w:szCs w:val="24"/>
                <w:highlight w:val="none"/>
              </w:rPr>
              <w:t>联系人</w:t>
            </w:r>
          </w:p>
        </w:tc>
        <w:tc>
          <w:tcPr>
            <w:tcW w:w="6896" w:type="dxa"/>
            <w:noWrap/>
            <w:vAlign w:val="center"/>
          </w:tcPr>
          <w:p w14:paraId="6CBF56AB">
            <w:pPr>
              <w:jc w:val="left"/>
              <w:rPr>
                <w:rFonts w:ascii="宋体" w:hAnsi="宋体" w:cs="宋体"/>
                <w:color w:val="auto"/>
                <w:sz w:val="24"/>
                <w:szCs w:val="24"/>
                <w:highlight w:val="none"/>
              </w:rPr>
            </w:pPr>
          </w:p>
          <w:p w14:paraId="65F128BA">
            <w:pPr>
              <w:jc w:val="left"/>
              <w:rPr>
                <w:rFonts w:ascii="宋体" w:hAnsi="宋体" w:cs="宋体"/>
                <w:color w:val="auto"/>
                <w:sz w:val="24"/>
                <w:szCs w:val="24"/>
                <w:highlight w:val="none"/>
              </w:rPr>
            </w:pPr>
          </w:p>
        </w:tc>
      </w:tr>
      <w:tr w14:paraId="7B48B0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231" w:type="dxa"/>
            <w:noWrap/>
            <w:vAlign w:val="center"/>
          </w:tcPr>
          <w:p w14:paraId="53232212">
            <w:pPr>
              <w:jc w:val="center"/>
              <w:rPr>
                <w:rFonts w:ascii="宋体" w:hAnsi="宋体" w:cs="宋体"/>
                <w:color w:val="auto"/>
                <w:sz w:val="24"/>
                <w:szCs w:val="24"/>
                <w:highlight w:val="none"/>
              </w:rPr>
            </w:pPr>
            <w:r>
              <w:rPr>
                <w:rFonts w:hint="eastAsia" w:ascii="宋体" w:hAnsi="宋体" w:cs="宋体"/>
                <w:color w:val="auto"/>
                <w:sz w:val="24"/>
                <w:szCs w:val="24"/>
                <w:highlight w:val="none"/>
              </w:rPr>
              <w:t>手机/办公电话</w:t>
            </w:r>
          </w:p>
        </w:tc>
        <w:tc>
          <w:tcPr>
            <w:tcW w:w="6896" w:type="dxa"/>
            <w:noWrap/>
            <w:vAlign w:val="center"/>
          </w:tcPr>
          <w:p w14:paraId="75B79DA6">
            <w:pPr>
              <w:jc w:val="left"/>
              <w:rPr>
                <w:rFonts w:ascii="宋体" w:hAnsi="宋体" w:cs="宋体"/>
                <w:color w:val="auto"/>
                <w:sz w:val="24"/>
                <w:szCs w:val="24"/>
                <w:highlight w:val="none"/>
              </w:rPr>
            </w:pPr>
          </w:p>
        </w:tc>
      </w:tr>
      <w:tr w14:paraId="18F362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231" w:type="dxa"/>
            <w:noWrap/>
            <w:vAlign w:val="center"/>
          </w:tcPr>
          <w:p w14:paraId="193C4B6D">
            <w:pPr>
              <w:jc w:val="center"/>
              <w:rPr>
                <w:rFonts w:ascii="宋体" w:hAnsi="宋体" w:cs="宋体"/>
                <w:color w:val="auto"/>
                <w:sz w:val="24"/>
                <w:szCs w:val="24"/>
                <w:highlight w:val="none"/>
              </w:rPr>
            </w:pPr>
            <w:r>
              <w:rPr>
                <w:rFonts w:hint="eastAsia" w:ascii="宋体" w:hAnsi="宋体" w:cs="宋体"/>
                <w:color w:val="auto"/>
                <w:sz w:val="24"/>
                <w:szCs w:val="24"/>
                <w:highlight w:val="none"/>
              </w:rPr>
              <w:t>联系邮箱</w:t>
            </w:r>
          </w:p>
        </w:tc>
        <w:tc>
          <w:tcPr>
            <w:tcW w:w="6896" w:type="dxa"/>
            <w:noWrap/>
            <w:vAlign w:val="center"/>
          </w:tcPr>
          <w:p w14:paraId="2254A944">
            <w:pPr>
              <w:jc w:val="left"/>
              <w:rPr>
                <w:rFonts w:ascii="宋体" w:hAnsi="宋体" w:cs="宋体"/>
                <w:color w:val="auto"/>
                <w:sz w:val="24"/>
                <w:szCs w:val="24"/>
                <w:highlight w:val="none"/>
              </w:rPr>
            </w:pPr>
          </w:p>
          <w:p w14:paraId="4CBC41E7">
            <w:pPr>
              <w:autoSpaceDE w:val="0"/>
              <w:autoSpaceDN w:val="0"/>
              <w:adjustRightInd w:val="0"/>
              <w:jc w:val="left"/>
              <w:rPr>
                <w:rFonts w:ascii="宋体" w:hAnsi="宋体" w:cs="宋体"/>
                <w:color w:val="auto"/>
                <w:sz w:val="24"/>
                <w:szCs w:val="24"/>
                <w:highlight w:val="none"/>
              </w:rPr>
            </w:pPr>
          </w:p>
        </w:tc>
      </w:tr>
      <w:tr w14:paraId="541924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231" w:type="dxa"/>
            <w:noWrap/>
            <w:vAlign w:val="center"/>
          </w:tcPr>
          <w:p w14:paraId="19298240">
            <w:pPr>
              <w:jc w:val="center"/>
              <w:rPr>
                <w:rFonts w:ascii="宋体" w:hAnsi="宋体" w:cs="宋体"/>
                <w:color w:val="auto"/>
                <w:sz w:val="24"/>
                <w:szCs w:val="24"/>
                <w:highlight w:val="none"/>
              </w:rPr>
            </w:pPr>
            <w:r>
              <w:rPr>
                <w:rFonts w:hint="eastAsia" w:ascii="宋体" w:hAnsi="宋体" w:cs="宋体"/>
                <w:color w:val="auto"/>
                <w:sz w:val="24"/>
                <w:szCs w:val="24"/>
                <w:highlight w:val="none"/>
              </w:rPr>
              <w:t>单位地址</w:t>
            </w:r>
          </w:p>
        </w:tc>
        <w:tc>
          <w:tcPr>
            <w:tcW w:w="6896" w:type="dxa"/>
            <w:noWrap/>
            <w:vAlign w:val="center"/>
          </w:tcPr>
          <w:p w14:paraId="6D24943C">
            <w:pPr>
              <w:jc w:val="left"/>
              <w:rPr>
                <w:rFonts w:ascii="宋体" w:hAnsi="宋体" w:cs="宋体"/>
                <w:color w:val="auto"/>
                <w:sz w:val="24"/>
                <w:szCs w:val="24"/>
                <w:highlight w:val="none"/>
              </w:rPr>
            </w:pPr>
          </w:p>
          <w:p w14:paraId="4867EE2C">
            <w:pPr>
              <w:autoSpaceDE w:val="0"/>
              <w:autoSpaceDN w:val="0"/>
              <w:adjustRightInd w:val="0"/>
              <w:jc w:val="left"/>
              <w:rPr>
                <w:rFonts w:ascii="宋体" w:hAnsi="宋体" w:cs="宋体"/>
                <w:color w:val="auto"/>
                <w:sz w:val="24"/>
                <w:szCs w:val="24"/>
                <w:highlight w:val="none"/>
              </w:rPr>
            </w:pPr>
          </w:p>
        </w:tc>
      </w:tr>
      <w:tr w14:paraId="2C4B9C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31" w:type="dxa"/>
            <w:noWrap/>
            <w:vAlign w:val="center"/>
          </w:tcPr>
          <w:p w14:paraId="71E881AB">
            <w:pPr>
              <w:jc w:val="center"/>
              <w:rPr>
                <w:rFonts w:ascii="宋体" w:hAnsi="宋体" w:cs="宋体"/>
                <w:color w:val="auto"/>
                <w:sz w:val="24"/>
                <w:szCs w:val="24"/>
                <w:highlight w:val="none"/>
              </w:rPr>
            </w:pPr>
            <w:r>
              <w:rPr>
                <w:rFonts w:hint="eastAsia" w:ascii="宋体" w:hAnsi="宋体" w:cs="宋体"/>
                <w:color w:val="auto"/>
                <w:sz w:val="24"/>
                <w:szCs w:val="24"/>
                <w:highlight w:val="none"/>
              </w:rPr>
              <w:t>获取时间</w:t>
            </w:r>
          </w:p>
        </w:tc>
        <w:tc>
          <w:tcPr>
            <w:tcW w:w="6896" w:type="dxa"/>
            <w:noWrap/>
            <w:vAlign w:val="center"/>
          </w:tcPr>
          <w:p w14:paraId="054DC765">
            <w:pPr>
              <w:jc w:val="center"/>
              <w:rPr>
                <w:rFonts w:ascii="宋体" w:hAnsi="宋体" w:cs="宋体"/>
                <w:color w:val="auto"/>
                <w:sz w:val="24"/>
                <w:szCs w:val="24"/>
                <w:highlight w:val="none"/>
              </w:rPr>
            </w:pPr>
            <w:r>
              <w:rPr>
                <w:rFonts w:hint="eastAsia" w:ascii="宋体" w:hAnsi="宋体" w:cs="宋体"/>
                <w:color w:val="auto"/>
                <w:sz w:val="24"/>
                <w:szCs w:val="24"/>
                <w:highlight w:val="none"/>
              </w:rPr>
              <w:t>年     月     日</w:t>
            </w:r>
          </w:p>
        </w:tc>
      </w:tr>
      <w:tr w14:paraId="75DA89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22" w:hRule="atLeast"/>
          <w:jc w:val="center"/>
        </w:trPr>
        <w:tc>
          <w:tcPr>
            <w:tcW w:w="9127" w:type="dxa"/>
            <w:gridSpan w:val="2"/>
            <w:noWrap/>
            <w:vAlign w:val="center"/>
          </w:tcPr>
          <w:p w14:paraId="3814B9D4">
            <w:pPr>
              <w:spacing w:line="400" w:lineRule="exact"/>
              <w:rPr>
                <w:rFonts w:ascii="宋体" w:hAnsi="宋体" w:cs="宋体"/>
                <w:bCs/>
                <w:color w:val="auto"/>
                <w:spacing w:val="-6"/>
                <w:sz w:val="22"/>
                <w:szCs w:val="22"/>
                <w:highlight w:val="none"/>
              </w:rPr>
            </w:pPr>
            <w:r>
              <w:rPr>
                <w:rFonts w:hint="eastAsia" w:ascii="宋体" w:hAnsi="宋体" w:cs="宋体"/>
                <w:bCs/>
                <w:color w:val="auto"/>
                <w:spacing w:val="-6"/>
                <w:sz w:val="22"/>
                <w:szCs w:val="22"/>
                <w:highlight w:val="none"/>
              </w:rPr>
              <w:t>供应商通过扫描此码，支付购买竞争性比选文件资料费</w:t>
            </w:r>
            <w:r>
              <w:rPr>
                <w:rFonts w:hint="eastAsia" w:ascii="宋体" w:hAnsi="宋体" w:cs="宋体"/>
                <w:bCs/>
                <w:color w:val="auto"/>
                <w:spacing w:val="-6"/>
                <w:sz w:val="22"/>
                <w:szCs w:val="22"/>
                <w:highlight w:val="none"/>
                <w:u w:val="single"/>
              </w:rPr>
              <w:t>500元/套</w:t>
            </w:r>
            <w:r>
              <w:rPr>
                <w:rFonts w:hint="eastAsia" w:ascii="宋体" w:hAnsi="宋体" w:cs="宋体"/>
                <w:bCs/>
                <w:color w:val="auto"/>
                <w:spacing w:val="-6"/>
                <w:sz w:val="22"/>
                <w:szCs w:val="22"/>
                <w:highlight w:val="none"/>
              </w:rPr>
              <w:t>，并备注</w:t>
            </w:r>
            <w:r>
              <w:rPr>
                <w:rFonts w:hint="eastAsia" w:ascii="宋体" w:hAnsi="宋体" w:cs="宋体"/>
                <w:bCs/>
                <w:color w:val="auto"/>
                <w:spacing w:val="-6"/>
                <w:sz w:val="22"/>
                <w:szCs w:val="22"/>
                <w:highlight w:val="none"/>
                <w:u w:val="single"/>
              </w:rPr>
              <w:t>单位简称+项目名称</w:t>
            </w:r>
            <w:r>
              <w:rPr>
                <w:rFonts w:hint="eastAsia" w:ascii="宋体" w:hAnsi="宋体" w:cs="宋体"/>
                <w:bCs/>
                <w:color w:val="auto"/>
                <w:spacing w:val="-6"/>
                <w:sz w:val="22"/>
                <w:szCs w:val="22"/>
                <w:highlight w:val="none"/>
              </w:rPr>
              <w:t>；</w:t>
            </w:r>
          </w:p>
          <w:p w14:paraId="695F8345">
            <w:pPr>
              <w:pStyle w:val="7"/>
              <w:ind w:firstLine="400"/>
              <w:rPr>
                <w:rFonts w:ascii="宋体" w:hAnsi="宋体" w:cs="宋体"/>
                <w:color w:val="auto"/>
                <w:highlight w:val="none"/>
              </w:rPr>
            </w:pPr>
            <w:r>
              <w:rPr>
                <w:color w:val="auto"/>
                <w:highlight w:val="none"/>
              </w:rPr>
              <w:drawing>
                <wp:anchor distT="0" distB="0" distL="114300" distR="114300" simplePos="0" relativeHeight="251659264" behindDoc="0" locked="0" layoutInCell="1" allowOverlap="1">
                  <wp:simplePos x="0" y="0"/>
                  <wp:positionH relativeFrom="column">
                    <wp:posOffset>2036445</wp:posOffset>
                  </wp:positionH>
                  <wp:positionV relativeFrom="paragraph">
                    <wp:posOffset>32385</wp:posOffset>
                  </wp:positionV>
                  <wp:extent cx="1913890" cy="2607310"/>
                  <wp:effectExtent l="0" t="0" r="10160" b="254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1913890" cy="2607310"/>
                          </a:xfrm>
                          <a:prstGeom prst="rect">
                            <a:avLst/>
                          </a:prstGeom>
                          <a:noFill/>
                          <a:ln>
                            <a:noFill/>
                          </a:ln>
                        </pic:spPr>
                      </pic:pic>
                    </a:graphicData>
                  </a:graphic>
                </wp:anchor>
              </w:drawing>
            </w:r>
          </w:p>
        </w:tc>
      </w:tr>
    </w:tbl>
    <w:p w14:paraId="21561881">
      <w:pPr>
        <w:spacing w:line="360" w:lineRule="auto"/>
        <w:ind w:firstLine="398" w:firstLineChars="200"/>
        <w:rPr>
          <w:rFonts w:ascii="宋体" w:hAnsi="宋体" w:cs="宋体"/>
          <w:b/>
          <w:bCs/>
          <w:color w:val="auto"/>
          <w:spacing w:val="-6"/>
          <w:sz w:val="21"/>
          <w:szCs w:val="21"/>
          <w:highlight w:val="none"/>
          <w:u w:val="single"/>
        </w:rPr>
      </w:pPr>
      <w:r>
        <w:rPr>
          <w:rFonts w:hint="eastAsia" w:ascii="宋体" w:hAnsi="宋体" w:cs="宋体"/>
          <w:b/>
          <w:bCs/>
          <w:color w:val="auto"/>
          <w:spacing w:val="-6"/>
          <w:sz w:val="21"/>
          <w:szCs w:val="21"/>
          <w:highlight w:val="none"/>
          <w:u w:val="single"/>
        </w:rPr>
        <w:t>注：报名方式</w:t>
      </w:r>
    </w:p>
    <w:p w14:paraId="07285429">
      <w:pPr>
        <w:ind w:firstLine="396" w:firstLineChars="200"/>
        <w:rPr>
          <w:color w:val="auto"/>
          <w:highlight w:val="none"/>
        </w:rPr>
      </w:pPr>
      <w:r>
        <w:rPr>
          <w:rFonts w:hint="eastAsia" w:ascii="宋体" w:hAnsi="宋体" w:cs="宋体"/>
          <w:bCs/>
          <w:color w:val="auto"/>
          <w:spacing w:val="-6"/>
          <w:sz w:val="21"/>
          <w:szCs w:val="21"/>
          <w:highlight w:val="none"/>
        </w:rPr>
        <w:t>在比选公告期限内，采用邮件报名和线上扫码缴费的方式，供应商需填报此《竞争性比选文件发售登记表》，并将扫描件以电子邮件发送至2292381581 @qq.com邮箱，并在邮件中注明：所获取竞争性比选文件的项目名称、供应商名称、联系人、联系电话、收件邮箱；若有疑问，请拨打023-68863300进行咨询。</w:t>
      </w:r>
      <w:bookmarkStart w:id="168" w:name="_GoBack"/>
      <w:bookmarkEnd w:id="168"/>
    </w:p>
    <w:sectPr>
      <w:headerReference r:id="rId9" w:type="default"/>
      <w:pgSz w:w="11907" w:h="16840"/>
      <w:pgMar w:top="1440" w:right="1800" w:bottom="1440" w:left="1800"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A475BF-3791-4A97-AD6C-3CD65BD2D4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CDCF2CAC-F15E-4B5C-AD27-388279AF34C1}"/>
  </w:font>
  <w:font w:name="方正黑体_GBK">
    <w:panose1 w:val="0201060001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3" w:fontKey="{606A1352-085D-4563-A24F-D80373E8ED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CA2DF">
    <w:pPr>
      <w:pStyle w:val="15"/>
      <w:framePr w:wrap="around" w:vAnchor="text" w:hAnchor="margin" w:xAlign="center" w:y="1"/>
      <w:rPr>
        <w:rStyle w:val="27"/>
      </w:rPr>
    </w:pPr>
    <w:r>
      <w:fldChar w:fldCharType="begin"/>
    </w:r>
    <w:r>
      <w:rPr>
        <w:rStyle w:val="27"/>
      </w:rPr>
      <w:instrText xml:space="preserve">PAGE  </w:instrText>
    </w:r>
    <w:r>
      <w:fldChar w:fldCharType="end"/>
    </w:r>
  </w:p>
  <w:p w14:paraId="12FBA0F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606A6">
    <w:pPr>
      <w:pStyle w:val="15"/>
      <w:framePr w:wrap="around" w:vAnchor="text" w:hAnchor="margin" w:xAlign="center" w:y="1"/>
      <w:rPr>
        <w:rStyle w:val="27"/>
      </w:rPr>
    </w:pPr>
  </w:p>
  <w:p w14:paraId="7151C92A">
    <w:pPr>
      <w:pStyle w:val="15"/>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0B547">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7FF3D">
                          <w:pPr>
                            <w:pStyle w:val="15"/>
                          </w:pPr>
                          <w:r>
                            <w:fldChar w:fldCharType="begin"/>
                          </w:r>
                          <w:r>
                            <w:instrText xml:space="preserve"> PAGE  \* MERGEFORMAT </w:instrText>
                          </w:r>
                          <w:r>
                            <w:fldChar w:fldCharType="separate"/>
                          </w:r>
                          <w:r>
                            <w:t>- 20 -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67FF3D">
                    <w:pPr>
                      <w:pStyle w:val="15"/>
                    </w:pPr>
                    <w:r>
                      <w:fldChar w:fldCharType="begin"/>
                    </w:r>
                    <w:r>
                      <w:instrText xml:space="preserve"> PAGE  \* MERGEFORMAT </w:instrText>
                    </w:r>
                    <w:r>
                      <w:fldChar w:fldCharType="separate"/>
                    </w:r>
                    <w:r>
                      <w:t>- 20 -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E94D6">
    <w:pPr>
      <w:pStyle w:val="15"/>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962F6">
                          <w:pPr>
                            <w:pStyle w:val="15"/>
                          </w:pPr>
                          <w:r>
                            <w:fldChar w:fldCharType="begin"/>
                          </w:r>
                          <w:r>
                            <w:instrText xml:space="preserve"> PAGE  \* MERGEFORMAT </w:instrText>
                          </w:r>
                          <w:r>
                            <w:fldChar w:fldCharType="separate"/>
                          </w:r>
                          <w:r>
                            <w:t>- 55 -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CE962F6">
                    <w:pPr>
                      <w:pStyle w:val="15"/>
                    </w:pPr>
                    <w:r>
                      <w:fldChar w:fldCharType="begin"/>
                    </w:r>
                    <w:r>
                      <w:instrText xml:space="preserve"> PAGE  \* MERGEFORMAT </w:instrText>
                    </w:r>
                    <w:r>
                      <w:fldChar w:fldCharType="separate"/>
                    </w:r>
                    <w:r>
                      <w:t>- 55 -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9FEB2">
    <w:pPr>
      <w:pStyle w:val="17"/>
      <w:pBdr>
        <w:bottom w:val="none" w:color="auto" w:sz="0" w:space="1"/>
      </w:pBdr>
      <w:ind w:right="-168" w:rightChars="-60"/>
      <w:jc w:val="both"/>
      <w:rPr>
        <w:rFonts w:ascii="宋体" w:hAnsi="宋体" w:cs="宋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5449C">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B525F">
    <w:pPr>
      <w:pStyle w:val="17"/>
      <w:pBdr>
        <w:bottom w:val="none" w:color="auto" w:sz="0" w:space="1"/>
      </w:pBdr>
      <w:jc w:val="both"/>
      <w:rPr>
        <w:rFonts w:ascii="方正仿宋_GBK" w:eastAsia="方正仿宋_GBK"/>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1D19E"/>
    <w:multiLevelType w:val="singleLevel"/>
    <w:tmpl w:val="3E71D1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lZjU5YzgzNzE5ZGU1OWYxYzM5NWRiMWE0NGRkYjUifQ=="/>
  </w:docVars>
  <w:rsids>
    <w:rsidRoot w:val="71DE5A4F"/>
    <w:rsid w:val="00003E4E"/>
    <w:rsid w:val="000069DC"/>
    <w:rsid w:val="00016F87"/>
    <w:rsid w:val="000216A7"/>
    <w:rsid w:val="00021E79"/>
    <w:rsid w:val="0002322A"/>
    <w:rsid w:val="000238FB"/>
    <w:rsid w:val="00033E14"/>
    <w:rsid w:val="000459B5"/>
    <w:rsid w:val="000644FF"/>
    <w:rsid w:val="00064F74"/>
    <w:rsid w:val="00085CC3"/>
    <w:rsid w:val="0009525F"/>
    <w:rsid w:val="000A2F7D"/>
    <w:rsid w:val="000A3556"/>
    <w:rsid w:val="000A5819"/>
    <w:rsid w:val="000C3FCC"/>
    <w:rsid w:val="000D4096"/>
    <w:rsid w:val="000D55A1"/>
    <w:rsid w:val="000F0744"/>
    <w:rsid w:val="000F0BF0"/>
    <w:rsid w:val="00126243"/>
    <w:rsid w:val="00155D09"/>
    <w:rsid w:val="00160A2C"/>
    <w:rsid w:val="00177482"/>
    <w:rsid w:val="0019529F"/>
    <w:rsid w:val="0019601B"/>
    <w:rsid w:val="001B5759"/>
    <w:rsid w:val="001C1E64"/>
    <w:rsid w:val="001C2E24"/>
    <w:rsid w:val="001C322A"/>
    <w:rsid w:val="001C3E6C"/>
    <w:rsid w:val="001D23D9"/>
    <w:rsid w:val="001D3DE1"/>
    <w:rsid w:val="001E0C6F"/>
    <w:rsid w:val="001F7AD0"/>
    <w:rsid w:val="002029D5"/>
    <w:rsid w:val="002104C9"/>
    <w:rsid w:val="00211A11"/>
    <w:rsid w:val="00214B54"/>
    <w:rsid w:val="00225C67"/>
    <w:rsid w:val="00236706"/>
    <w:rsid w:val="00252CE6"/>
    <w:rsid w:val="00260AFE"/>
    <w:rsid w:val="002632C3"/>
    <w:rsid w:val="00265E43"/>
    <w:rsid w:val="00266414"/>
    <w:rsid w:val="0027132B"/>
    <w:rsid w:val="00283BC0"/>
    <w:rsid w:val="00285BC9"/>
    <w:rsid w:val="00290FAB"/>
    <w:rsid w:val="00297866"/>
    <w:rsid w:val="00297B7C"/>
    <w:rsid w:val="002A2A85"/>
    <w:rsid w:val="002A449A"/>
    <w:rsid w:val="002B6654"/>
    <w:rsid w:val="002D6F0C"/>
    <w:rsid w:val="002D7165"/>
    <w:rsid w:val="002E01B5"/>
    <w:rsid w:val="002F7698"/>
    <w:rsid w:val="0030794B"/>
    <w:rsid w:val="0031292C"/>
    <w:rsid w:val="00312996"/>
    <w:rsid w:val="00317297"/>
    <w:rsid w:val="00325579"/>
    <w:rsid w:val="00330620"/>
    <w:rsid w:val="00333EFB"/>
    <w:rsid w:val="0033469C"/>
    <w:rsid w:val="003357CE"/>
    <w:rsid w:val="00346762"/>
    <w:rsid w:val="003531F6"/>
    <w:rsid w:val="00355B2F"/>
    <w:rsid w:val="00362429"/>
    <w:rsid w:val="00363334"/>
    <w:rsid w:val="00364442"/>
    <w:rsid w:val="00372CCC"/>
    <w:rsid w:val="00373662"/>
    <w:rsid w:val="00376F8F"/>
    <w:rsid w:val="00386496"/>
    <w:rsid w:val="00387A65"/>
    <w:rsid w:val="00391CC1"/>
    <w:rsid w:val="00395BEF"/>
    <w:rsid w:val="00397169"/>
    <w:rsid w:val="003A23A8"/>
    <w:rsid w:val="003B592C"/>
    <w:rsid w:val="003C12B5"/>
    <w:rsid w:val="003C59CA"/>
    <w:rsid w:val="003C6122"/>
    <w:rsid w:val="003C7BF0"/>
    <w:rsid w:val="003D307B"/>
    <w:rsid w:val="003F1ECB"/>
    <w:rsid w:val="00404B3A"/>
    <w:rsid w:val="004054BC"/>
    <w:rsid w:val="004104EF"/>
    <w:rsid w:val="00410C92"/>
    <w:rsid w:val="004149D7"/>
    <w:rsid w:val="00426099"/>
    <w:rsid w:val="004262FA"/>
    <w:rsid w:val="00435142"/>
    <w:rsid w:val="0044036D"/>
    <w:rsid w:val="00446ADF"/>
    <w:rsid w:val="00454249"/>
    <w:rsid w:val="00457E2E"/>
    <w:rsid w:val="00470382"/>
    <w:rsid w:val="0047674F"/>
    <w:rsid w:val="004A739E"/>
    <w:rsid w:val="004A7F58"/>
    <w:rsid w:val="004B62E7"/>
    <w:rsid w:val="004B6848"/>
    <w:rsid w:val="004B6BD7"/>
    <w:rsid w:val="004B6D36"/>
    <w:rsid w:val="004B7119"/>
    <w:rsid w:val="004C556E"/>
    <w:rsid w:val="004D6899"/>
    <w:rsid w:val="004E4132"/>
    <w:rsid w:val="0050278F"/>
    <w:rsid w:val="0052000B"/>
    <w:rsid w:val="00536A46"/>
    <w:rsid w:val="00546A00"/>
    <w:rsid w:val="00547E9C"/>
    <w:rsid w:val="00552CEE"/>
    <w:rsid w:val="00561663"/>
    <w:rsid w:val="00563520"/>
    <w:rsid w:val="00581066"/>
    <w:rsid w:val="0059582E"/>
    <w:rsid w:val="005C1344"/>
    <w:rsid w:val="005C3966"/>
    <w:rsid w:val="005D3732"/>
    <w:rsid w:val="005D56EB"/>
    <w:rsid w:val="005D7264"/>
    <w:rsid w:val="005F07A2"/>
    <w:rsid w:val="005F74C0"/>
    <w:rsid w:val="006109A1"/>
    <w:rsid w:val="00610AB1"/>
    <w:rsid w:val="0064184C"/>
    <w:rsid w:val="0064331B"/>
    <w:rsid w:val="00655963"/>
    <w:rsid w:val="00655C85"/>
    <w:rsid w:val="00662477"/>
    <w:rsid w:val="00663488"/>
    <w:rsid w:val="0067617D"/>
    <w:rsid w:val="006A463F"/>
    <w:rsid w:val="006A64FE"/>
    <w:rsid w:val="006C0176"/>
    <w:rsid w:val="006D2595"/>
    <w:rsid w:val="006D6E75"/>
    <w:rsid w:val="006E4C2E"/>
    <w:rsid w:val="006F1C3C"/>
    <w:rsid w:val="006F1FCA"/>
    <w:rsid w:val="006F3B9F"/>
    <w:rsid w:val="006F7890"/>
    <w:rsid w:val="007034E8"/>
    <w:rsid w:val="00706A9D"/>
    <w:rsid w:val="00723088"/>
    <w:rsid w:val="007360B6"/>
    <w:rsid w:val="00740B1D"/>
    <w:rsid w:val="00743CBB"/>
    <w:rsid w:val="00763FE9"/>
    <w:rsid w:val="00776D05"/>
    <w:rsid w:val="00777471"/>
    <w:rsid w:val="00780EBE"/>
    <w:rsid w:val="00794A41"/>
    <w:rsid w:val="007B279D"/>
    <w:rsid w:val="007B2997"/>
    <w:rsid w:val="007E4D6E"/>
    <w:rsid w:val="00801984"/>
    <w:rsid w:val="00803F68"/>
    <w:rsid w:val="0081398D"/>
    <w:rsid w:val="00813F46"/>
    <w:rsid w:val="00817A4A"/>
    <w:rsid w:val="00834AC6"/>
    <w:rsid w:val="00834E98"/>
    <w:rsid w:val="008362A2"/>
    <w:rsid w:val="0083633F"/>
    <w:rsid w:val="008470D3"/>
    <w:rsid w:val="00855386"/>
    <w:rsid w:val="00861DAB"/>
    <w:rsid w:val="00865284"/>
    <w:rsid w:val="00873F48"/>
    <w:rsid w:val="00890C55"/>
    <w:rsid w:val="00892620"/>
    <w:rsid w:val="00895C14"/>
    <w:rsid w:val="008A1972"/>
    <w:rsid w:val="008B4B17"/>
    <w:rsid w:val="008B56EF"/>
    <w:rsid w:val="008B607E"/>
    <w:rsid w:val="008C34B5"/>
    <w:rsid w:val="008E44AB"/>
    <w:rsid w:val="008E66C4"/>
    <w:rsid w:val="008F1C27"/>
    <w:rsid w:val="008F252B"/>
    <w:rsid w:val="00914A24"/>
    <w:rsid w:val="00920C43"/>
    <w:rsid w:val="00925A9E"/>
    <w:rsid w:val="00945C28"/>
    <w:rsid w:val="009708B9"/>
    <w:rsid w:val="00985565"/>
    <w:rsid w:val="0099641E"/>
    <w:rsid w:val="009A099D"/>
    <w:rsid w:val="009A1E61"/>
    <w:rsid w:val="009A2A7A"/>
    <w:rsid w:val="009B146A"/>
    <w:rsid w:val="009B29F9"/>
    <w:rsid w:val="009C43DF"/>
    <w:rsid w:val="009C46E0"/>
    <w:rsid w:val="009D3532"/>
    <w:rsid w:val="009E16CA"/>
    <w:rsid w:val="009E1CCF"/>
    <w:rsid w:val="009E220A"/>
    <w:rsid w:val="009F5417"/>
    <w:rsid w:val="00A1186E"/>
    <w:rsid w:val="00A21AFB"/>
    <w:rsid w:val="00A34B25"/>
    <w:rsid w:val="00A47C5E"/>
    <w:rsid w:val="00A5171A"/>
    <w:rsid w:val="00A57093"/>
    <w:rsid w:val="00A7300B"/>
    <w:rsid w:val="00A80934"/>
    <w:rsid w:val="00A84D6B"/>
    <w:rsid w:val="00A859D1"/>
    <w:rsid w:val="00A94B07"/>
    <w:rsid w:val="00AC2134"/>
    <w:rsid w:val="00AC2DCB"/>
    <w:rsid w:val="00AD08EE"/>
    <w:rsid w:val="00AD757A"/>
    <w:rsid w:val="00AE21A3"/>
    <w:rsid w:val="00AE568C"/>
    <w:rsid w:val="00AF285C"/>
    <w:rsid w:val="00AF42D6"/>
    <w:rsid w:val="00B22386"/>
    <w:rsid w:val="00B229B0"/>
    <w:rsid w:val="00B269EE"/>
    <w:rsid w:val="00B34E2B"/>
    <w:rsid w:val="00B358E7"/>
    <w:rsid w:val="00B37991"/>
    <w:rsid w:val="00B43892"/>
    <w:rsid w:val="00B47107"/>
    <w:rsid w:val="00B51EDD"/>
    <w:rsid w:val="00B5244E"/>
    <w:rsid w:val="00B54394"/>
    <w:rsid w:val="00B67825"/>
    <w:rsid w:val="00B758C3"/>
    <w:rsid w:val="00B84C6E"/>
    <w:rsid w:val="00B91064"/>
    <w:rsid w:val="00B96113"/>
    <w:rsid w:val="00BA02C2"/>
    <w:rsid w:val="00BA1935"/>
    <w:rsid w:val="00BA6280"/>
    <w:rsid w:val="00BB095E"/>
    <w:rsid w:val="00BB4F18"/>
    <w:rsid w:val="00BD0DEA"/>
    <w:rsid w:val="00BE0F35"/>
    <w:rsid w:val="00BE2879"/>
    <w:rsid w:val="00BE538F"/>
    <w:rsid w:val="00BE5ADC"/>
    <w:rsid w:val="00BE6667"/>
    <w:rsid w:val="00BF025E"/>
    <w:rsid w:val="00C05A85"/>
    <w:rsid w:val="00C1418C"/>
    <w:rsid w:val="00C247D7"/>
    <w:rsid w:val="00C26EDD"/>
    <w:rsid w:val="00C27A3F"/>
    <w:rsid w:val="00C32537"/>
    <w:rsid w:val="00C365BD"/>
    <w:rsid w:val="00C402AB"/>
    <w:rsid w:val="00C442E3"/>
    <w:rsid w:val="00C455CA"/>
    <w:rsid w:val="00C47DF9"/>
    <w:rsid w:val="00C47E21"/>
    <w:rsid w:val="00C55FAE"/>
    <w:rsid w:val="00C56BA8"/>
    <w:rsid w:val="00C6378B"/>
    <w:rsid w:val="00C63F5F"/>
    <w:rsid w:val="00C91976"/>
    <w:rsid w:val="00CA0438"/>
    <w:rsid w:val="00CA2238"/>
    <w:rsid w:val="00CA4858"/>
    <w:rsid w:val="00CB1823"/>
    <w:rsid w:val="00CC1AA9"/>
    <w:rsid w:val="00CC2C51"/>
    <w:rsid w:val="00CD0E5C"/>
    <w:rsid w:val="00CD5D79"/>
    <w:rsid w:val="00CF55BA"/>
    <w:rsid w:val="00D01A76"/>
    <w:rsid w:val="00D0343F"/>
    <w:rsid w:val="00D05E13"/>
    <w:rsid w:val="00D10322"/>
    <w:rsid w:val="00D112D3"/>
    <w:rsid w:val="00D44ACA"/>
    <w:rsid w:val="00D45AEA"/>
    <w:rsid w:val="00D45FA6"/>
    <w:rsid w:val="00D4788C"/>
    <w:rsid w:val="00D53836"/>
    <w:rsid w:val="00D63088"/>
    <w:rsid w:val="00D65A09"/>
    <w:rsid w:val="00D66A45"/>
    <w:rsid w:val="00D77C1F"/>
    <w:rsid w:val="00D80E59"/>
    <w:rsid w:val="00D861D4"/>
    <w:rsid w:val="00D96BC0"/>
    <w:rsid w:val="00DA34A4"/>
    <w:rsid w:val="00DA45D4"/>
    <w:rsid w:val="00DA6988"/>
    <w:rsid w:val="00DC5119"/>
    <w:rsid w:val="00DC710E"/>
    <w:rsid w:val="00DE4B8B"/>
    <w:rsid w:val="00E07228"/>
    <w:rsid w:val="00E07CE1"/>
    <w:rsid w:val="00E21A9D"/>
    <w:rsid w:val="00E27881"/>
    <w:rsid w:val="00E30FAC"/>
    <w:rsid w:val="00E35376"/>
    <w:rsid w:val="00E4068C"/>
    <w:rsid w:val="00E53D1F"/>
    <w:rsid w:val="00E776EC"/>
    <w:rsid w:val="00E8651E"/>
    <w:rsid w:val="00E93B3A"/>
    <w:rsid w:val="00EA6AB7"/>
    <w:rsid w:val="00EB0AEE"/>
    <w:rsid w:val="00EB29BD"/>
    <w:rsid w:val="00EC234E"/>
    <w:rsid w:val="00EC78B9"/>
    <w:rsid w:val="00EE4B06"/>
    <w:rsid w:val="00F0190C"/>
    <w:rsid w:val="00F0238F"/>
    <w:rsid w:val="00F02A5C"/>
    <w:rsid w:val="00F059A8"/>
    <w:rsid w:val="00F15A8C"/>
    <w:rsid w:val="00F33A0D"/>
    <w:rsid w:val="00F367B4"/>
    <w:rsid w:val="00F4104E"/>
    <w:rsid w:val="00F50CDF"/>
    <w:rsid w:val="00F7373E"/>
    <w:rsid w:val="00F80306"/>
    <w:rsid w:val="00F81876"/>
    <w:rsid w:val="00F9021F"/>
    <w:rsid w:val="00F962B8"/>
    <w:rsid w:val="00FA6890"/>
    <w:rsid w:val="00FB3821"/>
    <w:rsid w:val="00FB4E48"/>
    <w:rsid w:val="00FB5924"/>
    <w:rsid w:val="00FC103B"/>
    <w:rsid w:val="00FC1E41"/>
    <w:rsid w:val="00FC2201"/>
    <w:rsid w:val="00FC64A5"/>
    <w:rsid w:val="00FE1401"/>
    <w:rsid w:val="00FF4827"/>
    <w:rsid w:val="00FF713B"/>
    <w:rsid w:val="01347E94"/>
    <w:rsid w:val="023B6940"/>
    <w:rsid w:val="027D1C40"/>
    <w:rsid w:val="036F3C9F"/>
    <w:rsid w:val="03A9642F"/>
    <w:rsid w:val="03F31506"/>
    <w:rsid w:val="04BE74A3"/>
    <w:rsid w:val="05657AA5"/>
    <w:rsid w:val="05E337FC"/>
    <w:rsid w:val="06BB67BE"/>
    <w:rsid w:val="07F71DEA"/>
    <w:rsid w:val="080F2F3C"/>
    <w:rsid w:val="08DA005A"/>
    <w:rsid w:val="09335A7C"/>
    <w:rsid w:val="0A1F20B3"/>
    <w:rsid w:val="0A5B5200"/>
    <w:rsid w:val="0B523199"/>
    <w:rsid w:val="0C5114BF"/>
    <w:rsid w:val="0CF94ED8"/>
    <w:rsid w:val="0DDE3227"/>
    <w:rsid w:val="0E6016F2"/>
    <w:rsid w:val="0F334EAC"/>
    <w:rsid w:val="0F8FEEE3"/>
    <w:rsid w:val="0FA77648"/>
    <w:rsid w:val="10461A09"/>
    <w:rsid w:val="1076366E"/>
    <w:rsid w:val="11196324"/>
    <w:rsid w:val="11952184"/>
    <w:rsid w:val="11EB7CC0"/>
    <w:rsid w:val="123A0344"/>
    <w:rsid w:val="123E53C8"/>
    <w:rsid w:val="12EA7CE7"/>
    <w:rsid w:val="13B12A04"/>
    <w:rsid w:val="14531EE3"/>
    <w:rsid w:val="14C94833"/>
    <w:rsid w:val="15451DDD"/>
    <w:rsid w:val="15F37747"/>
    <w:rsid w:val="16E11B89"/>
    <w:rsid w:val="16F7045E"/>
    <w:rsid w:val="17CE6494"/>
    <w:rsid w:val="17D95D8A"/>
    <w:rsid w:val="19C13E98"/>
    <w:rsid w:val="1AF649F1"/>
    <w:rsid w:val="1AF912DD"/>
    <w:rsid w:val="1CC655B2"/>
    <w:rsid w:val="1DB55722"/>
    <w:rsid w:val="1DD91DC4"/>
    <w:rsid w:val="1E1A69A7"/>
    <w:rsid w:val="1E2008C1"/>
    <w:rsid w:val="1EA709B1"/>
    <w:rsid w:val="1ED146E2"/>
    <w:rsid w:val="1EFB73DD"/>
    <w:rsid w:val="1EFF229D"/>
    <w:rsid w:val="1FFA91C0"/>
    <w:rsid w:val="2009111B"/>
    <w:rsid w:val="2265586D"/>
    <w:rsid w:val="235356C5"/>
    <w:rsid w:val="243B54BA"/>
    <w:rsid w:val="253A4C6E"/>
    <w:rsid w:val="26F87DF5"/>
    <w:rsid w:val="27392E24"/>
    <w:rsid w:val="27393A05"/>
    <w:rsid w:val="27767BD4"/>
    <w:rsid w:val="277719E9"/>
    <w:rsid w:val="27A512E0"/>
    <w:rsid w:val="27F23B57"/>
    <w:rsid w:val="280C22E7"/>
    <w:rsid w:val="284D2928"/>
    <w:rsid w:val="285D0DB4"/>
    <w:rsid w:val="29141E5F"/>
    <w:rsid w:val="299A1CC3"/>
    <w:rsid w:val="2A8F67C7"/>
    <w:rsid w:val="2B4F6DA7"/>
    <w:rsid w:val="2B584903"/>
    <w:rsid w:val="2B796D57"/>
    <w:rsid w:val="2C416E63"/>
    <w:rsid w:val="2CF7475F"/>
    <w:rsid w:val="2D621C05"/>
    <w:rsid w:val="2D850FEA"/>
    <w:rsid w:val="2E25364B"/>
    <w:rsid w:val="2E382087"/>
    <w:rsid w:val="2E775EC8"/>
    <w:rsid w:val="2EDF2C3E"/>
    <w:rsid w:val="2EEC32C0"/>
    <w:rsid w:val="2F774633"/>
    <w:rsid w:val="2FF10EEB"/>
    <w:rsid w:val="30B05F05"/>
    <w:rsid w:val="30CB573F"/>
    <w:rsid w:val="30D325EA"/>
    <w:rsid w:val="312D39F9"/>
    <w:rsid w:val="31D30814"/>
    <w:rsid w:val="320C63DA"/>
    <w:rsid w:val="32DB1233"/>
    <w:rsid w:val="33BA4B66"/>
    <w:rsid w:val="33E55C2C"/>
    <w:rsid w:val="346516FC"/>
    <w:rsid w:val="34A044E2"/>
    <w:rsid w:val="34CE63BA"/>
    <w:rsid w:val="35451C89"/>
    <w:rsid w:val="3596728A"/>
    <w:rsid w:val="361A029D"/>
    <w:rsid w:val="36C87C24"/>
    <w:rsid w:val="36D14DF2"/>
    <w:rsid w:val="378A0189"/>
    <w:rsid w:val="37A60193"/>
    <w:rsid w:val="382A2A41"/>
    <w:rsid w:val="395134C4"/>
    <w:rsid w:val="3D0A2E41"/>
    <w:rsid w:val="3D9A41C5"/>
    <w:rsid w:val="3EBE2BCB"/>
    <w:rsid w:val="3F1D676D"/>
    <w:rsid w:val="3F2969DF"/>
    <w:rsid w:val="3F374775"/>
    <w:rsid w:val="40E65224"/>
    <w:rsid w:val="413956FC"/>
    <w:rsid w:val="41733B91"/>
    <w:rsid w:val="41C0099D"/>
    <w:rsid w:val="41F12DBB"/>
    <w:rsid w:val="42F51E9D"/>
    <w:rsid w:val="459518ED"/>
    <w:rsid w:val="461A5919"/>
    <w:rsid w:val="468633C0"/>
    <w:rsid w:val="46952981"/>
    <w:rsid w:val="46C67DD9"/>
    <w:rsid w:val="46F53673"/>
    <w:rsid w:val="47280A93"/>
    <w:rsid w:val="48FD6B5E"/>
    <w:rsid w:val="4A1812A9"/>
    <w:rsid w:val="4A4621ED"/>
    <w:rsid w:val="4A9E012C"/>
    <w:rsid w:val="4AFC64BF"/>
    <w:rsid w:val="4B502367"/>
    <w:rsid w:val="4B751DCD"/>
    <w:rsid w:val="4CA83C58"/>
    <w:rsid w:val="4D3B0EF1"/>
    <w:rsid w:val="4D470587"/>
    <w:rsid w:val="4DEF2EA2"/>
    <w:rsid w:val="4EB3323A"/>
    <w:rsid w:val="4F2908A4"/>
    <w:rsid w:val="4FAB48F5"/>
    <w:rsid w:val="4FDC66A3"/>
    <w:rsid w:val="4FF363B3"/>
    <w:rsid w:val="507C4D00"/>
    <w:rsid w:val="50832EE6"/>
    <w:rsid w:val="511C05A4"/>
    <w:rsid w:val="512420D2"/>
    <w:rsid w:val="52AF5242"/>
    <w:rsid w:val="52BC26F5"/>
    <w:rsid w:val="52F5184E"/>
    <w:rsid w:val="53AF0CD5"/>
    <w:rsid w:val="53F96E5F"/>
    <w:rsid w:val="545F21A9"/>
    <w:rsid w:val="54804B21"/>
    <w:rsid w:val="552C79A0"/>
    <w:rsid w:val="555B1FB3"/>
    <w:rsid w:val="559D209E"/>
    <w:rsid w:val="55D911AB"/>
    <w:rsid w:val="55E17C0F"/>
    <w:rsid w:val="55FF6E63"/>
    <w:rsid w:val="568D446F"/>
    <w:rsid w:val="57671164"/>
    <w:rsid w:val="579923D2"/>
    <w:rsid w:val="57B420FD"/>
    <w:rsid w:val="5827444F"/>
    <w:rsid w:val="586133E2"/>
    <w:rsid w:val="586D6111"/>
    <w:rsid w:val="58B95CBA"/>
    <w:rsid w:val="58EE5A86"/>
    <w:rsid w:val="59A50ECE"/>
    <w:rsid w:val="59CA6951"/>
    <w:rsid w:val="5AFB6D51"/>
    <w:rsid w:val="5B836048"/>
    <w:rsid w:val="5C812ED8"/>
    <w:rsid w:val="5C93584D"/>
    <w:rsid w:val="5D172CE4"/>
    <w:rsid w:val="5D5E4DB7"/>
    <w:rsid w:val="5DFD7288"/>
    <w:rsid w:val="5E323B4E"/>
    <w:rsid w:val="5E361890"/>
    <w:rsid w:val="5E456E9A"/>
    <w:rsid w:val="5EBC2537"/>
    <w:rsid w:val="5EE412EC"/>
    <w:rsid w:val="5FBE5890"/>
    <w:rsid w:val="5FEE5A81"/>
    <w:rsid w:val="5FF7EA90"/>
    <w:rsid w:val="5FFD5FD2"/>
    <w:rsid w:val="60131229"/>
    <w:rsid w:val="6121185D"/>
    <w:rsid w:val="627C2556"/>
    <w:rsid w:val="62A467F0"/>
    <w:rsid w:val="6344403A"/>
    <w:rsid w:val="63770838"/>
    <w:rsid w:val="63CD12A9"/>
    <w:rsid w:val="63DE2547"/>
    <w:rsid w:val="641C4FD4"/>
    <w:rsid w:val="644B7717"/>
    <w:rsid w:val="65542AF8"/>
    <w:rsid w:val="668D2269"/>
    <w:rsid w:val="66AC5521"/>
    <w:rsid w:val="66E6746C"/>
    <w:rsid w:val="677DECE2"/>
    <w:rsid w:val="67F7BFFE"/>
    <w:rsid w:val="696C299B"/>
    <w:rsid w:val="69BD6152"/>
    <w:rsid w:val="69F71B11"/>
    <w:rsid w:val="6ABE50E7"/>
    <w:rsid w:val="6B657311"/>
    <w:rsid w:val="6D125276"/>
    <w:rsid w:val="6E8B52E0"/>
    <w:rsid w:val="6EEDC5BA"/>
    <w:rsid w:val="6EFB597C"/>
    <w:rsid w:val="6F1A5974"/>
    <w:rsid w:val="6F3627F8"/>
    <w:rsid w:val="6FB179B6"/>
    <w:rsid w:val="6FB65F18"/>
    <w:rsid w:val="6FD744F3"/>
    <w:rsid w:val="708F73C2"/>
    <w:rsid w:val="71285068"/>
    <w:rsid w:val="71A12BFD"/>
    <w:rsid w:val="71A14D39"/>
    <w:rsid w:val="71DE5A4F"/>
    <w:rsid w:val="723363EA"/>
    <w:rsid w:val="72B8241C"/>
    <w:rsid w:val="72DB1B9A"/>
    <w:rsid w:val="72DFCB46"/>
    <w:rsid w:val="731D4740"/>
    <w:rsid w:val="74B74509"/>
    <w:rsid w:val="74E25D5E"/>
    <w:rsid w:val="756D27F4"/>
    <w:rsid w:val="75A12C1F"/>
    <w:rsid w:val="75EA6D90"/>
    <w:rsid w:val="764E1BCC"/>
    <w:rsid w:val="768D63EE"/>
    <w:rsid w:val="76A21419"/>
    <w:rsid w:val="77902B61"/>
    <w:rsid w:val="77E64225"/>
    <w:rsid w:val="77FAA7EB"/>
    <w:rsid w:val="77FF8F48"/>
    <w:rsid w:val="78161F7B"/>
    <w:rsid w:val="783562BD"/>
    <w:rsid w:val="787979C2"/>
    <w:rsid w:val="7A670FC4"/>
    <w:rsid w:val="7A862F10"/>
    <w:rsid w:val="7BBD4F47"/>
    <w:rsid w:val="7BFD10A9"/>
    <w:rsid w:val="7BFF49A9"/>
    <w:rsid w:val="7C6A4590"/>
    <w:rsid w:val="7CBF573C"/>
    <w:rsid w:val="7D8E0949"/>
    <w:rsid w:val="7DA16371"/>
    <w:rsid w:val="7DEDE011"/>
    <w:rsid w:val="7E247357"/>
    <w:rsid w:val="7E473378"/>
    <w:rsid w:val="7ED9E74B"/>
    <w:rsid w:val="7EFB43F1"/>
    <w:rsid w:val="7F0217B8"/>
    <w:rsid w:val="7F5B6AF3"/>
    <w:rsid w:val="7F7F4DA8"/>
    <w:rsid w:val="7FDF751C"/>
    <w:rsid w:val="7FF68096"/>
    <w:rsid w:val="7FF7A77A"/>
    <w:rsid w:val="7FFE7F59"/>
    <w:rsid w:val="7FFF46DF"/>
    <w:rsid w:val="9AB70F91"/>
    <w:rsid w:val="9E7F8E10"/>
    <w:rsid w:val="A32F862B"/>
    <w:rsid w:val="ADF870C2"/>
    <w:rsid w:val="AEEFD43F"/>
    <w:rsid w:val="B6F7D6F5"/>
    <w:rsid w:val="BBFF0616"/>
    <w:rsid w:val="BF7A0A81"/>
    <w:rsid w:val="BFFE1513"/>
    <w:rsid w:val="D1EF92CB"/>
    <w:rsid w:val="D6FFFF25"/>
    <w:rsid w:val="DFE476BB"/>
    <w:rsid w:val="DFEEF6C4"/>
    <w:rsid w:val="DFF6FDD5"/>
    <w:rsid w:val="DFF72CD2"/>
    <w:rsid w:val="E37F9FC1"/>
    <w:rsid w:val="ED7B5E37"/>
    <w:rsid w:val="ED9FC4D3"/>
    <w:rsid w:val="EDFB21EA"/>
    <w:rsid w:val="EEA016A1"/>
    <w:rsid w:val="EEFE89D7"/>
    <w:rsid w:val="F3F7D762"/>
    <w:rsid w:val="F7DEC768"/>
    <w:rsid w:val="F87ED59B"/>
    <w:rsid w:val="FBE6DAB9"/>
    <w:rsid w:val="FDAFB912"/>
    <w:rsid w:val="FDDF0F96"/>
    <w:rsid w:val="FDFB8EF9"/>
    <w:rsid w:val="FE7E44B6"/>
    <w:rsid w:val="FE9E1A5D"/>
    <w:rsid w:val="FF5F80E8"/>
    <w:rsid w:val="FFDD02AE"/>
    <w:rsid w:val="FFFD923C"/>
    <w:rsid w:val="FFFE19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after="150" w:afterLines="150" w:line="360" w:lineRule="auto"/>
      <w:jc w:val="center"/>
      <w:outlineLvl w:val="0"/>
    </w:pPr>
    <w:rPr>
      <w:rFonts w:ascii="宋体" w:hAnsi="宋体" w:eastAsia="方正小标宋_GBK"/>
      <w:sz w:val="32"/>
    </w:rPr>
  </w:style>
  <w:style w:type="paragraph" w:styleId="3">
    <w:name w:val="heading 2"/>
    <w:basedOn w:val="1"/>
    <w:next w:val="1"/>
    <w:link w:val="34"/>
    <w:qFormat/>
    <w:uiPriority w:val="0"/>
    <w:pPr>
      <w:keepNext/>
      <w:keepLines/>
      <w:adjustRightInd w:val="0"/>
      <w:snapToGrid w:val="0"/>
      <w:spacing w:before="0" w:after="0" w:line="400" w:lineRule="exact"/>
      <w:jc w:val="left"/>
      <w:outlineLvl w:val="1"/>
    </w:pPr>
    <w:rPr>
      <w:rFonts w:ascii="Arial" w:hAnsi="Arial" w:eastAsia="黑体"/>
      <w:sz w:val="21"/>
    </w:rPr>
  </w:style>
  <w:style w:type="paragraph" w:styleId="4">
    <w:name w:val="heading 3"/>
    <w:basedOn w:val="1"/>
    <w:qFormat/>
    <w:uiPriority w:val="99"/>
    <w:pPr>
      <w:keepNext/>
      <w:keepLines/>
      <w:spacing w:before="260" w:after="260" w:line="415"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style>
  <w:style w:type="paragraph" w:styleId="7">
    <w:name w:val="Normal Indent"/>
    <w:basedOn w:val="1"/>
    <w:qFormat/>
    <w:uiPriority w:val="0"/>
    <w:pPr>
      <w:adjustRightInd w:val="0"/>
      <w:snapToGrid w:val="0"/>
      <w:spacing w:line="360" w:lineRule="auto"/>
      <w:ind w:firstLine="420"/>
    </w:pPr>
    <w:rPr>
      <w:sz w:val="24"/>
    </w:rPr>
  </w:style>
  <w:style w:type="paragraph" w:styleId="8">
    <w:name w:val="annotation text"/>
    <w:basedOn w:val="1"/>
    <w:link w:val="54"/>
    <w:semiHidden/>
    <w:unhideWhenUsed/>
    <w:qFormat/>
    <w:uiPriority w:val="0"/>
    <w:pPr>
      <w:jc w:val="left"/>
    </w:pPr>
  </w:style>
  <w:style w:type="paragraph" w:styleId="9">
    <w:name w:val="Body Text"/>
    <w:basedOn w:val="1"/>
    <w:next w:val="1"/>
    <w:unhideWhenUsed/>
    <w:qFormat/>
    <w:uiPriority w:val="99"/>
    <w:pPr>
      <w:spacing w:after="120"/>
    </w:pPr>
  </w:style>
  <w:style w:type="paragraph" w:styleId="10">
    <w:name w:val="Body Text Indent"/>
    <w:basedOn w:val="1"/>
    <w:qFormat/>
    <w:uiPriority w:val="0"/>
    <w:pPr>
      <w:spacing w:line="700" w:lineRule="exact"/>
      <w:ind w:left="960"/>
    </w:pPr>
    <w:rPr>
      <w:sz w:val="44"/>
    </w:rPr>
  </w:style>
  <w:style w:type="paragraph" w:styleId="11">
    <w:name w:val="toc 3"/>
    <w:basedOn w:val="1"/>
    <w:next w:val="1"/>
    <w:qFormat/>
    <w:uiPriority w:val="0"/>
    <w:pPr>
      <w:ind w:left="840" w:leftChars="400"/>
    </w:pPr>
  </w:style>
  <w:style w:type="paragraph" w:styleId="12">
    <w:name w:val="Plain Text"/>
    <w:basedOn w:val="1"/>
    <w:link w:val="50"/>
    <w:semiHidden/>
    <w:unhideWhenUsed/>
    <w:qFormat/>
    <w:uiPriority w:val="0"/>
    <w:pPr>
      <w:adjustRightInd w:val="0"/>
      <w:snapToGrid w:val="0"/>
      <w:spacing w:line="360" w:lineRule="auto"/>
    </w:pPr>
    <w:rPr>
      <w:rFonts w:ascii="宋体" w:hAnsi="Courier New"/>
      <w:sz w:val="21"/>
    </w:rPr>
  </w:style>
  <w:style w:type="paragraph" w:styleId="13">
    <w:name w:val="Date"/>
    <w:basedOn w:val="1"/>
    <w:next w:val="1"/>
    <w:qFormat/>
    <w:uiPriority w:val="0"/>
  </w:style>
  <w:style w:type="paragraph" w:styleId="14">
    <w:name w:val="Body Text Indent 2"/>
    <w:basedOn w:val="1"/>
    <w:qFormat/>
    <w:uiPriority w:val="0"/>
    <w:pPr>
      <w:snapToGrid w:val="0"/>
      <w:spacing w:line="560" w:lineRule="atLeast"/>
      <w:ind w:firstLine="540"/>
    </w:pPr>
  </w:style>
  <w:style w:type="paragraph" w:styleId="15">
    <w:name w:val="footer"/>
    <w:basedOn w:val="1"/>
    <w:next w:val="16"/>
    <w:qFormat/>
    <w:uiPriority w:val="0"/>
    <w:pPr>
      <w:tabs>
        <w:tab w:val="center" w:pos="4153"/>
        <w:tab w:val="right" w:pos="8306"/>
      </w:tabs>
      <w:snapToGrid w:val="0"/>
      <w:jc w:val="left"/>
    </w:pPr>
    <w:rPr>
      <w:sz w:val="18"/>
    </w:rPr>
  </w:style>
  <w:style w:type="paragraph" w:customStyle="1" w:styleId="16">
    <w:name w:val="索引 51"/>
    <w:basedOn w:val="1"/>
    <w:next w:val="1"/>
    <w:qFormat/>
    <w:uiPriority w:val="0"/>
    <w:pPr>
      <w:ind w:left="1680"/>
    </w:pPr>
  </w:style>
  <w:style w:type="paragraph" w:styleId="17">
    <w:name w:val="header"/>
    <w:basedOn w:val="1"/>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qFormat/>
    <w:uiPriority w:val="39"/>
    <w:pPr>
      <w:spacing w:line="360" w:lineRule="auto"/>
      <w:jc w:val="center"/>
    </w:pPr>
    <w:rPr>
      <w:rFonts w:ascii="宋体" w:hAnsi="宋体" w:cs="宋体"/>
      <w:szCs w:val="28"/>
    </w:rPr>
  </w:style>
  <w:style w:type="paragraph" w:styleId="19">
    <w:name w:val="toc 2"/>
    <w:basedOn w:val="1"/>
    <w:next w:val="1"/>
    <w:qFormat/>
    <w:uiPriority w:val="39"/>
    <w:pPr>
      <w:ind w:left="420" w:leftChars="200"/>
    </w:pPr>
  </w:style>
  <w:style w:type="paragraph" w:styleId="20">
    <w:name w:val="Normal (Web)"/>
    <w:basedOn w:val="1"/>
    <w:semiHidden/>
    <w:unhideWhenUsed/>
    <w:qFormat/>
    <w:uiPriority w:val="0"/>
    <w:rPr>
      <w:sz w:val="24"/>
    </w:rPr>
  </w:style>
  <w:style w:type="paragraph" w:styleId="21">
    <w:name w:val="annotation subject"/>
    <w:basedOn w:val="8"/>
    <w:next w:val="8"/>
    <w:link w:val="55"/>
    <w:semiHidden/>
    <w:unhideWhenUsed/>
    <w:qFormat/>
    <w:uiPriority w:val="0"/>
    <w:rPr>
      <w:b/>
      <w:bCs/>
    </w:rPr>
  </w:style>
  <w:style w:type="paragraph" w:styleId="22">
    <w:name w:val="Body Text First Indent"/>
    <w:basedOn w:val="9"/>
    <w:qFormat/>
    <w:uiPriority w:val="0"/>
    <w:pPr>
      <w:ind w:firstLine="420"/>
    </w:pPr>
  </w:style>
  <w:style w:type="table" w:styleId="24">
    <w:name w:val="Table Grid"/>
    <w:basedOn w:val="23"/>
    <w:qFormat/>
    <w:uiPriority w:val="39"/>
    <w:rPr>
      <w:rFonts w:asciiTheme="minorHAnsi" w:hAnsiTheme="minorHAnsi" w:eastAsiaTheme="minorEastAsia" w:cstheme="minorBidi"/>
      <w:kern w:val="2"/>
      <w:sz w:val="21"/>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Hyperlink"/>
    <w:qFormat/>
    <w:uiPriority w:val="99"/>
    <w:rPr>
      <w:color w:val="0000FF"/>
      <w:u w:val="single"/>
    </w:rPr>
  </w:style>
  <w:style w:type="character" w:styleId="29">
    <w:name w:val="annotation reference"/>
    <w:basedOn w:val="25"/>
    <w:semiHidden/>
    <w:unhideWhenUsed/>
    <w:qFormat/>
    <w:uiPriority w:val="0"/>
    <w:rPr>
      <w:sz w:val="21"/>
      <w:szCs w:val="21"/>
    </w:rPr>
  </w:style>
  <w:style w:type="paragraph" w:customStyle="1" w:styleId="30">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1">
    <w:name w:val="Default"/>
    <w:semiHidden/>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32">
    <w:name w:val="Intense Quote"/>
    <w:basedOn w:val="1"/>
    <w:next w:val="1"/>
    <w:qFormat/>
    <w:uiPriority w:val="30"/>
    <w:pPr>
      <w:widowControl/>
      <w:pBdr>
        <w:top w:val="single" w:color="404040" w:sz="4" w:space="10"/>
        <w:bottom w:val="single" w:color="404040" w:sz="4" w:space="10"/>
      </w:pBdr>
      <w:spacing w:before="360" w:after="360" w:line="259" w:lineRule="auto"/>
      <w:ind w:left="864" w:right="864"/>
      <w:jc w:val="center"/>
    </w:pPr>
    <w:rPr>
      <w:rFonts w:ascii="Calibri" w:hAnsi="Calibri"/>
      <w:i/>
      <w:iCs/>
      <w:color w:val="404040"/>
      <w:kern w:val="0"/>
      <w:sz w:val="22"/>
      <w:szCs w:val="22"/>
    </w:rPr>
  </w:style>
  <w:style w:type="paragraph" w:customStyle="1" w:styleId="3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34">
    <w:name w:val="标题 2 字符"/>
    <w:link w:val="3"/>
    <w:qFormat/>
    <w:locked/>
    <w:uiPriority w:val="99"/>
    <w:rPr>
      <w:rFonts w:ascii="Arial" w:hAnsi="Arial" w:eastAsia="黑体"/>
      <w:sz w:val="21"/>
    </w:rPr>
  </w:style>
  <w:style w:type="paragraph" w:customStyle="1" w:styleId="35">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36">
    <w:name w:val="图例"/>
    <w:basedOn w:val="1"/>
    <w:qFormat/>
    <w:uiPriority w:val="0"/>
    <w:pPr>
      <w:spacing w:before="120" w:after="120" w:line="360" w:lineRule="auto"/>
      <w:jc w:val="center"/>
    </w:pPr>
    <w:rPr>
      <w:rFonts w:eastAsia="仿宋_GB2312"/>
      <w:b/>
      <w:sz w:val="24"/>
    </w:rPr>
  </w:style>
  <w:style w:type="paragraph" w:styleId="37">
    <w:name w:val="List Paragraph"/>
    <w:basedOn w:val="1"/>
    <w:unhideWhenUsed/>
    <w:qFormat/>
    <w:uiPriority w:val="0"/>
    <w:pPr>
      <w:ind w:firstLine="420" w:firstLineChars="200"/>
    </w:pPr>
  </w:style>
  <w:style w:type="character" w:customStyle="1" w:styleId="38">
    <w:name w:val="ca-11"/>
    <w:qFormat/>
    <w:uiPriority w:val="0"/>
    <w:rPr>
      <w:rFonts w:ascii="Times New Roman" w:hAnsi="Times New Roman" w:eastAsia="宋体" w:cs="Times New Roman"/>
    </w:rPr>
  </w:style>
  <w:style w:type="character" w:customStyle="1" w:styleId="39">
    <w:name w:val="ca-35"/>
    <w:qFormat/>
    <w:uiPriority w:val="0"/>
    <w:rPr>
      <w:rFonts w:ascii="Times New Roman" w:hAnsi="Times New Roman" w:eastAsia="宋体" w:cs="Times New Roman"/>
    </w:rPr>
  </w:style>
  <w:style w:type="character" w:customStyle="1" w:styleId="40">
    <w:name w:val="ca-32"/>
    <w:qFormat/>
    <w:uiPriority w:val="0"/>
    <w:rPr>
      <w:rFonts w:ascii="Times New Roman" w:hAnsi="Times New Roman" w:eastAsia="宋体" w:cs="Times New Roman"/>
    </w:rPr>
  </w:style>
  <w:style w:type="character" w:customStyle="1" w:styleId="41">
    <w:name w:val="ca-9"/>
    <w:qFormat/>
    <w:uiPriority w:val="0"/>
    <w:rPr>
      <w:rFonts w:ascii="Times New Roman" w:hAnsi="Times New Roman" w:eastAsia="宋体" w:cs="Times New Roman"/>
    </w:rPr>
  </w:style>
  <w:style w:type="character" w:customStyle="1" w:styleId="42">
    <w:name w:val="ca-22"/>
    <w:qFormat/>
    <w:uiPriority w:val="0"/>
    <w:rPr>
      <w:rFonts w:ascii="Times New Roman" w:hAnsi="Times New Roman" w:eastAsia="宋体" w:cs="Times New Roman"/>
    </w:rPr>
  </w:style>
  <w:style w:type="paragraph" w:customStyle="1" w:styleId="43">
    <w:name w:val="pa-16"/>
    <w:basedOn w:val="1"/>
    <w:qFormat/>
    <w:uiPriority w:val="0"/>
    <w:pPr>
      <w:widowControl/>
      <w:spacing w:before="150" w:after="150"/>
      <w:jc w:val="left"/>
    </w:pPr>
    <w:rPr>
      <w:rFonts w:ascii="宋体" w:hAnsi="宋体" w:cs="宋体"/>
      <w:kern w:val="0"/>
      <w:sz w:val="24"/>
      <w:szCs w:val="24"/>
    </w:rPr>
  </w:style>
  <w:style w:type="paragraph" w:customStyle="1" w:styleId="44">
    <w:name w:val="pa-29"/>
    <w:basedOn w:val="1"/>
    <w:qFormat/>
    <w:uiPriority w:val="0"/>
    <w:pPr>
      <w:widowControl/>
      <w:spacing w:before="150" w:after="150"/>
      <w:jc w:val="left"/>
    </w:pPr>
    <w:rPr>
      <w:rFonts w:ascii="宋体" w:hAnsi="宋体" w:cs="宋体"/>
      <w:kern w:val="0"/>
      <w:sz w:val="24"/>
      <w:szCs w:val="24"/>
    </w:rPr>
  </w:style>
  <w:style w:type="paragraph" w:customStyle="1" w:styleId="45">
    <w:name w:val="pa-31"/>
    <w:basedOn w:val="1"/>
    <w:qFormat/>
    <w:uiPriority w:val="0"/>
    <w:pPr>
      <w:widowControl/>
      <w:spacing w:before="150" w:after="150"/>
      <w:jc w:val="left"/>
    </w:pPr>
    <w:rPr>
      <w:rFonts w:ascii="宋体" w:hAnsi="宋体" w:cs="宋体"/>
      <w:kern w:val="0"/>
      <w:sz w:val="24"/>
      <w:szCs w:val="24"/>
    </w:rPr>
  </w:style>
  <w:style w:type="paragraph" w:customStyle="1" w:styleId="46">
    <w:name w:val="pa-33"/>
    <w:basedOn w:val="1"/>
    <w:qFormat/>
    <w:uiPriority w:val="0"/>
    <w:pPr>
      <w:widowControl/>
      <w:spacing w:before="150" w:after="150"/>
      <w:jc w:val="left"/>
    </w:pPr>
    <w:rPr>
      <w:rFonts w:ascii="宋体" w:hAnsi="宋体" w:cs="宋体"/>
      <w:kern w:val="0"/>
      <w:sz w:val="24"/>
      <w:szCs w:val="24"/>
    </w:rPr>
  </w:style>
  <w:style w:type="paragraph" w:customStyle="1" w:styleId="47">
    <w:name w:val="pa-34"/>
    <w:basedOn w:val="1"/>
    <w:qFormat/>
    <w:uiPriority w:val="0"/>
    <w:pPr>
      <w:widowControl/>
      <w:spacing w:line="360" w:lineRule="atLeast"/>
      <w:ind w:firstLine="420"/>
      <w:jc w:val="left"/>
    </w:pPr>
    <w:rPr>
      <w:rFonts w:ascii="宋体" w:hAnsi="宋体" w:cs="宋体"/>
      <w:kern w:val="0"/>
      <w:sz w:val="24"/>
      <w:szCs w:val="24"/>
    </w:rPr>
  </w:style>
  <w:style w:type="paragraph" w:customStyle="1" w:styleId="48">
    <w:name w:val="pa-32"/>
    <w:basedOn w:val="1"/>
    <w:qFormat/>
    <w:uiPriority w:val="0"/>
    <w:pPr>
      <w:widowControl/>
      <w:spacing w:before="150" w:after="150"/>
      <w:jc w:val="left"/>
    </w:pPr>
    <w:rPr>
      <w:rFonts w:ascii="宋体" w:hAnsi="宋体" w:cs="宋体"/>
      <w:kern w:val="0"/>
      <w:sz w:val="24"/>
      <w:szCs w:val="24"/>
    </w:rPr>
  </w:style>
  <w:style w:type="paragraph" w:customStyle="1" w:styleId="49">
    <w:name w:val="pa-0"/>
    <w:basedOn w:val="1"/>
    <w:qFormat/>
    <w:uiPriority w:val="0"/>
    <w:pPr>
      <w:widowControl/>
      <w:spacing w:before="150" w:after="150"/>
      <w:jc w:val="left"/>
    </w:pPr>
    <w:rPr>
      <w:rFonts w:ascii="宋体" w:hAnsi="宋体" w:cs="宋体"/>
      <w:kern w:val="0"/>
      <w:sz w:val="24"/>
      <w:szCs w:val="24"/>
    </w:rPr>
  </w:style>
  <w:style w:type="character" w:customStyle="1" w:styleId="50">
    <w:name w:val="纯文本 字符"/>
    <w:basedOn w:val="25"/>
    <w:link w:val="12"/>
    <w:semiHidden/>
    <w:qFormat/>
    <w:uiPriority w:val="0"/>
    <w:rPr>
      <w:rFonts w:ascii="宋体" w:hAnsi="Courier New"/>
      <w:kern w:val="2"/>
      <w:sz w:val="21"/>
    </w:rPr>
  </w:style>
  <w:style w:type="paragraph" w:customStyle="1" w:styleId="51">
    <w:name w:val="正文1"/>
    <w:basedOn w:val="7"/>
    <w:qFormat/>
    <w:uiPriority w:val="0"/>
    <w:pPr>
      <w:spacing w:line="300" w:lineRule="auto"/>
      <w:ind w:firstLine="200" w:firstLineChars="200"/>
    </w:pPr>
  </w:style>
  <w:style w:type="paragraph" w:customStyle="1" w:styleId="52">
    <w:name w:val="无间隔1"/>
    <w:qFormat/>
    <w:uiPriority w:val="1"/>
    <w:pPr>
      <w:jc w:val="both"/>
    </w:pPr>
    <w:rPr>
      <w:rFonts w:ascii="Calibri" w:hAnsi="Calibri" w:eastAsia="Times New Roman" w:cs="Times New Roman"/>
      <w:lang w:val="en-US" w:eastAsia="zh-CN" w:bidi="ar-SA"/>
    </w:rPr>
  </w:style>
  <w:style w:type="paragraph" w:customStyle="1" w:styleId="53">
    <w:name w:val="目录 83"/>
    <w:next w:val="1"/>
    <w:qFormat/>
    <w:uiPriority w:val="99"/>
    <w:pPr>
      <w:wordWrap w:val="0"/>
      <w:ind w:left="2550"/>
      <w:jc w:val="both"/>
    </w:pPr>
    <w:rPr>
      <w:rFonts w:ascii="Times New Roman" w:hAnsi="Times New Roman" w:eastAsia="宋体" w:cs="Times New Roman"/>
      <w:sz w:val="21"/>
      <w:lang w:val="en-US" w:eastAsia="zh-CN" w:bidi="ar-SA"/>
    </w:rPr>
  </w:style>
  <w:style w:type="character" w:customStyle="1" w:styleId="54">
    <w:name w:val="批注文字 字符"/>
    <w:basedOn w:val="25"/>
    <w:link w:val="8"/>
    <w:semiHidden/>
    <w:qFormat/>
    <w:uiPriority w:val="0"/>
    <w:rPr>
      <w:kern w:val="2"/>
      <w:sz w:val="28"/>
    </w:rPr>
  </w:style>
  <w:style w:type="character" w:customStyle="1" w:styleId="55">
    <w:name w:val="批注主题 字符"/>
    <w:basedOn w:val="54"/>
    <w:link w:val="21"/>
    <w:semiHidden/>
    <w:qFormat/>
    <w:uiPriority w:val="0"/>
    <w:rPr>
      <w:b/>
      <w:bCs/>
      <w:kern w:val="2"/>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14545</Words>
  <Characters>15203</Characters>
  <Lines>127</Lines>
  <Paragraphs>35</Paragraphs>
  <TotalTime>1</TotalTime>
  <ScaleCrop>false</ScaleCrop>
  <LinksUpToDate>false</LinksUpToDate>
  <CharactersWithSpaces>16583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2024-09-19T14:55:00Z</dcterms:created>
  <dc:creator>莉~</dc:creator>
  <cp:lastModifiedBy>粥粥</cp:lastModifiedBy>
  <cp:lastPrinted>2026-05-29T02:12:00Z</cp:lastPrinted>
  <dcterms:modified xsi:type="dcterms:W3CDTF">2026-06-04T10:16:24Z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4549291C5D704151A99C96B506621FB1_13</vt:lpwstr>
  </property>
  <property fmtid="{D5CDD505-2E9C-101B-9397-08002B2CF9AE}" pid="4" name="KSOSaveFontToCloudKey">
    <vt:lpwstr>547939489_btnclosed</vt:lpwstr>
  </property>
  <property fmtid="{D5CDD505-2E9C-101B-9397-08002B2CF9AE}" pid="5" name="KSOTemplateDocerSaveRecord">
    <vt:lpwstr>eyJoZGlkIjoiYWVlZjU5YzgzNzE5ZGU1OWYxYzM5NWRiMWE0NGRkYjUiLCJ1c2VySWQiOiIxMjEyNzMzODEwIn0=</vt:lpwstr>
  </property>
</Properties>
</file>