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b/>
          <w:bCs/>
          <w:color w:val="auto"/>
          <w:spacing w:val="80"/>
          <w:sz w:val="112"/>
          <w:szCs w:val="112"/>
        </w:rPr>
      </w:pPr>
    </w:p>
    <w:p>
      <w:pPr>
        <w:jc w:val="center"/>
        <w:outlineLvl w:val="0"/>
        <w:rPr>
          <w:rFonts w:ascii="仿宋" w:hAnsi="仿宋" w:eastAsia="仿宋"/>
          <w:b/>
          <w:bCs/>
          <w:color w:val="auto"/>
          <w:spacing w:val="80"/>
          <w:sz w:val="112"/>
          <w:szCs w:val="112"/>
        </w:rPr>
      </w:pPr>
      <w:bookmarkStart w:id="0" w:name="_Toc28778"/>
      <w:bookmarkStart w:id="1" w:name="_Toc187068675"/>
      <w:bookmarkStart w:id="2" w:name="_Toc17591"/>
      <w:bookmarkStart w:id="3" w:name="_Toc16779"/>
      <w:bookmarkStart w:id="4" w:name="_Toc7408"/>
      <w:bookmarkStart w:id="5" w:name="_Toc19609"/>
      <w:r>
        <w:rPr>
          <w:rFonts w:hint="eastAsia" w:ascii="仿宋" w:hAnsi="仿宋" w:eastAsia="仿宋"/>
          <w:b/>
          <w:bCs/>
          <w:color w:val="auto"/>
          <w:spacing w:val="80"/>
          <w:sz w:val="112"/>
          <w:szCs w:val="112"/>
        </w:rPr>
        <w:t>竞争性比选</w:t>
      </w:r>
      <w:bookmarkEnd w:id="0"/>
      <w:bookmarkEnd w:id="1"/>
    </w:p>
    <w:p>
      <w:pPr>
        <w:jc w:val="center"/>
        <w:outlineLvl w:val="0"/>
        <w:rPr>
          <w:rFonts w:ascii="仿宋" w:hAnsi="仿宋" w:eastAsia="仿宋"/>
          <w:b/>
          <w:bCs/>
          <w:color w:val="auto"/>
          <w:spacing w:val="80"/>
          <w:sz w:val="112"/>
          <w:szCs w:val="112"/>
        </w:rPr>
      </w:pPr>
      <w:bookmarkStart w:id="6" w:name="_Toc16418"/>
      <w:bookmarkStart w:id="7" w:name="_Toc187068676"/>
      <w:r>
        <w:rPr>
          <w:rFonts w:hint="eastAsia" w:ascii="仿宋" w:hAnsi="仿宋" w:eastAsia="仿宋"/>
          <w:b/>
          <w:bCs/>
          <w:color w:val="auto"/>
          <w:spacing w:val="80"/>
          <w:sz w:val="112"/>
          <w:szCs w:val="112"/>
        </w:rPr>
        <w:t>采购文件</w:t>
      </w:r>
      <w:bookmarkEnd w:id="2"/>
      <w:bookmarkEnd w:id="3"/>
      <w:bookmarkEnd w:id="4"/>
      <w:bookmarkEnd w:id="5"/>
      <w:bookmarkEnd w:id="6"/>
      <w:bookmarkEnd w:id="7"/>
    </w:p>
    <w:p>
      <w:pPr>
        <w:jc w:val="center"/>
        <w:rPr>
          <w:rFonts w:ascii="仿宋" w:hAnsi="仿宋" w:eastAsia="仿宋"/>
          <w:color w:val="auto"/>
        </w:rPr>
      </w:pPr>
      <w:r>
        <w:rPr>
          <w:rFonts w:hint="eastAsia" w:ascii="仿宋" w:hAnsi="仿宋" w:eastAsia="仿宋"/>
          <w:b/>
          <w:bCs/>
          <w:color w:val="auto"/>
          <w:spacing w:val="80"/>
          <w:sz w:val="48"/>
          <w:szCs w:val="48"/>
        </w:rPr>
        <w:t>（综合评分法）</w:t>
      </w:r>
    </w:p>
    <w:p>
      <w:pPr>
        <w:rPr>
          <w:rFonts w:ascii="仿宋" w:hAnsi="仿宋" w:eastAsia="仿宋"/>
          <w:b/>
          <w:color w:val="auto"/>
          <w:sz w:val="32"/>
          <w:szCs w:val="32"/>
        </w:rPr>
      </w:pPr>
    </w:p>
    <w:p>
      <w:pPr>
        <w:pStyle w:val="2"/>
        <w:rPr>
          <w:rFonts w:ascii="仿宋" w:hAnsi="仿宋" w:eastAsia="仿宋"/>
          <w:b/>
          <w:color w:val="auto"/>
          <w:sz w:val="32"/>
          <w:szCs w:val="32"/>
        </w:rPr>
      </w:pPr>
    </w:p>
    <w:p>
      <w:pPr>
        <w:ind w:firstLine="643" w:firstLineChars="200"/>
        <w:rPr>
          <w:rFonts w:hint="eastAsia" w:ascii="仿宋" w:hAnsi="仿宋" w:eastAsia="仿宋"/>
          <w:color w:val="auto"/>
          <w:lang w:eastAsia="zh-CN"/>
        </w:rPr>
      </w:pPr>
      <w:r>
        <w:rPr>
          <w:rFonts w:hint="eastAsia" w:ascii="仿宋" w:hAnsi="仿宋" w:eastAsia="仿宋"/>
          <w:b/>
          <w:color w:val="auto"/>
          <w:sz w:val="32"/>
          <w:szCs w:val="32"/>
        </w:rPr>
        <w:t>项目名称：</w:t>
      </w:r>
      <w:r>
        <w:rPr>
          <w:rFonts w:hint="eastAsia" w:ascii="仿宋" w:hAnsi="仿宋" w:eastAsia="仿宋"/>
          <w:b/>
          <w:color w:val="auto"/>
          <w:sz w:val="32"/>
          <w:szCs w:val="32"/>
          <w:lang w:eastAsia="zh-CN"/>
        </w:rPr>
        <w:t>森林防火太阳能语音宣传杆采购项目</w:t>
      </w:r>
    </w:p>
    <w:p>
      <w:pPr>
        <w:rPr>
          <w:color w:val="auto"/>
        </w:rPr>
      </w:pPr>
    </w:p>
    <w:p>
      <w:pPr>
        <w:pStyle w:val="2"/>
        <w:rPr>
          <w:color w:val="auto"/>
        </w:rPr>
      </w:pPr>
    </w:p>
    <w:p>
      <w:pPr>
        <w:pStyle w:val="41"/>
        <w:ind w:left="0"/>
        <w:rPr>
          <w:color w:val="auto"/>
        </w:rPr>
      </w:pP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采购人：</w:t>
      </w:r>
      <w:r>
        <w:rPr>
          <w:rFonts w:hint="eastAsia" w:ascii="仿宋" w:hAnsi="仿宋" w:eastAsia="仿宋"/>
          <w:b/>
          <w:color w:val="auto"/>
          <w:sz w:val="32"/>
          <w:szCs w:val="32"/>
          <w:lang w:eastAsia="zh-CN"/>
        </w:rPr>
        <w:t>重庆金佛山国家级自然保护区管理事务中心</w:t>
      </w:r>
    </w:p>
    <w:p>
      <w:pPr>
        <w:ind w:firstLine="643" w:firstLineChars="200"/>
        <w:jc w:val="left"/>
        <w:rPr>
          <w:rFonts w:ascii="仿宋" w:hAnsi="仿宋" w:eastAsia="仿宋"/>
          <w:b/>
          <w:color w:val="auto"/>
          <w:sz w:val="32"/>
          <w:szCs w:val="32"/>
        </w:rPr>
      </w:pPr>
      <w:r>
        <w:rPr>
          <w:rFonts w:hint="eastAsia" w:ascii="仿宋" w:hAnsi="仿宋" w:eastAsia="仿宋"/>
          <w:b/>
          <w:color w:val="auto"/>
          <w:sz w:val="32"/>
          <w:szCs w:val="32"/>
        </w:rPr>
        <w:t>采购代理机构：重庆市汇昊招标代理有限公司</w:t>
      </w:r>
    </w:p>
    <w:p>
      <w:pPr>
        <w:pStyle w:val="2"/>
        <w:rPr>
          <w:color w:val="auto"/>
          <w:lang w:val="en-US"/>
        </w:rPr>
      </w:pPr>
    </w:p>
    <w:p>
      <w:pPr>
        <w:spacing w:line="360" w:lineRule="auto"/>
        <w:jc w:val="center"/>
        <w:rPr>
          <w:rFonts w:ascii="仿宋" w:hAnsi="仿宋" w:eastAsia="仿宋"/>
          <w:b/>
          <w:color w:val="auto"/>
          <w:sz w:val="40"/>
          <w:szCs w:val="32"/>
        </w:rPr>
      </w:pPr>
      <w:r>
        <w:rPr>
          <w:rFonts w:hint="eastAsia" w:ascii="仿宋" w:hAnsi="仿宋" w:eastAsia="仿宋"/>
          <w:b/>
          <w:color w:val="auto"/>
          <w:sz w:val="40"/>
          <w:szCs w:val="32"/>
        </w:rPr>
        <w:t>二〇二五年</w:t>
      </w:r>
      <w:r>
        <w:rPr>
          <w:rFonts w:hint="eastAsia" w:ascii="仿宋" w:hAnsi="仿宋" w:eastAsia="仿宋"/>
          <w:b/>
          <w:color w:val="auto"/>
          <w:sz w:val="40"/>
          <w:szCs w:val="32"/>
          <w:lang w:val="en-US" w:eastAsia="zh-CN"/>
        </w:rPr>
        <w:t>六</w:t>
      </w:r>
      <w:r>
        <w:rPr>
          <w:rFonts w:hint="eastAsia" w:ascii="仿宋" w:hAnsi="仿宋" w:eastAsia="仿宋"/>
          <w:b/>
          <w:color w:val="auto"/>
          <w:sz w:val="40"/>
          <w:szCs w:val="32"/>
        </w:rPr>
        <w:t>月</w:t>
      </w:r>
    </w:p>
    <w:p>
      <w:pPr>
        <w:tabs>
          <w:tab w:val="left" w:pos="1185"/>
          <w:tab w:val="center" w:pos="4156"/>
          <w:tab w:val="left" w:pos="7095"/>
        </w:tabs>
        <w:spacing w:line="700" w:lineRule="exact"/>
        <w:rPr>
          <w:rFonts w:ascii="仿宋" w:hAnsi="仿宋" w:eastAsia="仿宋"/>
          <w:color w:val="auto"/>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pPr>
        <w:tabs>
          <w:tab w:val="left" w:pos="1185"/>
          <w:tab w:val="center" w:pos="4156"/>
          <w:tab w:val="left" w:pos="7095"/>
        </w:tabs>
        <w:spacing w:line="700" w:lineRule="exact"/>
        <w:rPr>
          <w:rFonts w:ascii="仿宋" w:hAnsi="仿宋" w:eastAsia="仿宋"/>
          <w:b/>
          <w:bCs/>
          <w:color w:val="auto"/>
          <w:sz w:val="40"/>
          <w:szCs w:val="40"/>
        </w:rPr>
      </w:pPr>
      <w:r>
        <w:rPr>
          <w:rFonts w:hint="eastAsia" w:ascii="仿宋" w:hAnsi="仿宋" w:eastAsia="仿宋"/>
          <w:color w:val="auto"/>
        </w:rPr>
        <w:tab/>
      </w:r>
      <w:r>
        <w:rPr>
          <w:rFonts w:hint="eastAsia" w:ascii="仿宋" w:hAnsi="仿宋" w:eastAsia="仿宋"/>
          <w:color w:val="auto"/>
        </w:rPr>
        <w:tab/>
      </w:r>
      <w:r>
        <w:rPr>
          <w:rFonts w:hint="eastAsia" w:ascii="仿宋" w:hAnsi="仿宋" w:eastAsia="仿宋" w:cs="仿宋_GB2312"/>
          <w:b/>
          <w:bCs/>
          <w:color w:val="auto"/>
          <w:sz w:val="40"/>
          <w:szCs w:val="40"/>
        </w:rPr>
        <w:t>目  录</w:t>
      </w:r>
    </w:p>
    <w:p>
      <w:pPr>
        <w:pStyle w:val="24"/>
        <w:rPr>
          <w:rFonts w:asciiTheme="minorHAnsi" w:hAnsiTheme="minorHAnsi" w:eastAsiaTheme="minorEastAsia" w:cstheme="minorBidi"/>
          <w:b w:val="0"/>
          <w:bCs w:val="0"/>
          <w:color w:val="auto"/>
          <w:kern w:val="2"/>
          <w:sz w:val="22"/>
          <w14:ligatures w14:val="standardContextual"/>
        </w:rPr>
      </w:pPr>
      <w:r>
        <w:rPr>
          <w:rFonts w:ascii="仿宋" w:hAnsi="仿宋" w:eastAsia="仿宋"/>
          <w:color w:val="auto"/>
        </w:rPr>
        <w:fldChar w:fldCharType="begin"/>
      </w:r>
      <w:r>
        <w:rPr>
          <w:rFonts w:ascii="仿宋" w:hAnsi="仿宋" w:eastAsia="仿宋"/>
          <w:color w:val="auto"/>
        </w:rPr>
        <w:instrText xml:space="preserve">TOC \o "1-3" \h \u </w:instrText>
      </w:r>
      <w:r>
        <w:rPr>
          <w:rFonts w:ascii="仿宋" w:hAnsi="仿宋" w:eastAsia="仿宋"/>
          <w:color w:val="auto"/>
        </w:rPr>
        <w:fldChar w:fldCharType="separate"/>
      </w:r>
      <w:r>
        <w:rPr>
          <w:color w:val="auto"/>
        </w:rPr>
        <w:fldChar w:fldCharType="begin"/>
      </w:r>
      <w:r>
        <w:rPr>
          <w:color w:val="auto"/>
        </w:rPr>
        <w:instrText xml:space="preserve"> HYPERLINK \l "_Toc187068675" </w:instrText>
      </w:r>
      <w:r>
        <w:rPr>
          <w:color w:val="auto"/>
        </w:rPr>
        <w:fldChar w:fldCharType="separate"/>
      </w:r>
      <w:r>
        <w:rPr>
          <w:rStyle w:val="38"/>
          <w:rFonts w:ascii="仿宋" w:hAnsi="仿宋" w:eastAsia="仿宋"/>
          <w:color w:val="auto"/>
          <w:spacing w:val="80"/>
        </w:rPr>
        <w:t>竞争性比选</w:t>
      </w:r>
      <w:r>
        <w:rPr>
          <w:color w:val="auto"/>
        </w:rPr>
        <w:tab/>
      </w:r>
      <w:r>
        <w:rPr>
          <w:color w:val="auto"/>
        </w:rPr>
        <w:fldChar w:fldCharType="begin"/>
      </w:r>
      <w:r>
        <w:rPr>
          <w:color w:val="auto"/>
        </w:rPr>
        <w:instrText xml:space="preserve"> PAGEREF _Toc187068675 \h </w:instrText>
      </w:r>
      <w:r>
        <w:rPr>
          <w:color w:val="auto"/>
        </w:rPr>
        <w:fldChar w:fldCharType="separate"/>
      </w:r>
      <w:r>
        <w:rPr>
          <w:color w:val="auto"/>
        </w:rPr>
        <w:t>- 1 -</w:t>
      </w:r>
      <w:r>
        <w:rPr>
          <w:color w:val="auto"/>
        </w:rPr>
        <w:fldChar w:fldCharType="end"/>
      </w:r>
      <w:r>
        <w:rPr>
          <w:color w:val="auto"/>
        </w:rPr>
        <w:fldChar w:fldCharType="end"/>
      </w:r>
    </w:p>
    <w:p>
      <w:pPr>
        <w:pStyle w:val="24"/>
        <w:rPr>
          <w:rFonts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"_Toc187068676" </w:instrText>
      </w:r>
      <w:r>
        <w:rPr>
          <w:color w:val="auto"/>
        </w:rPr>
        <w:fldChar w:fldCharType="separate"/>
      </w:r>
      <w:r>
        <w:rPr>
          <w:rStyle w:val="38"/>
          <w:rFonts w:ascii="仿宋" w:hAnsi="仿宋" w:eastAsia="仿宋"/>
          <w:color w:val="auto"/>
          <w:spacing w:val="80"/>
        </w:rPr>
        <w:t>采购文件</w:t>
      </w:r>
      <w:r>
        <w:rPr>
          <w:color w:val="auto"/>
        </w:rPr>
        <w:tab/>
      </w:r>
      <w:r>
        <w:rPr>
          <w:color w:val="auto"/>
        </w:rPr>
        <w:fldChar w:fldCharType="begin"/>
      </w:r>
      <w:r>
        <w:rPr>
          <w:color w:val="auto"/>
        </w:rPr>
        <w:instrText xml:space="preserve"> PAGEREF _Toc187068676 \h </w:instrText>
      </w:r>
      <w:r>
        <w:rPr>
          <w:color w:val="auto"/>
        </w:rPr>
        <w:fldChar w:fldCharType="separate"/>
      </w:r>
      <w:r>
        <w:rPr>
          <w:color w:val="auto"/>
        </w:rPr>
        <w:t>- 1 -</w:t>
      </w:r>
      <w:r>
        <w:rPr>
          <w:color w:val="auto"/>
        </w:rPr>
        <w:fldChar w:fldCharType="end"/>
      </w:r>
      <w:r>
        <w:rPr>
          <w:color w:val="auto"/>
        </w:rPr>
        <w:fldChar w:fldCharType="end"/>
      </w:r>
    </w:p>
    <w:p>
      <w:pPr>
        <w:pStyle w:val="24"/>
        <w:rPr>
          <w:rFonts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"_Toc187068677" </w:instrText>
      </w:r>
      <w:r>
        <w:rPr>
          <w:color w:val="auto"/>
        </w:rPr>
        <w:fldChar w:fldCharType="separate"/>
      </w:r>
      <w:r>
        <w:rPr>
          <w:rStyle w:val="38"/>
          <w:rFonts w:ascii="仿宋" w:hAnsi="仿宋" w:eastAsia="仿宋" w:cs="仿宋_GB2312"/>
          <w:color w:val="auto"/>
        </w:rPr>
        <w:t>第一篇  比选邀请书</w:t>
      </w:r>
      <w:r>
        <w:rPr>
          <w:color w:val="auto"/>
        </w:rPr>
        <w:tab/>
      </w:r>
      <w:r>
        <w:rPr>
          <w:color w:val="auto"/>
        </w:rPr>
        <w:fldChar w:fldCharType="begin"/>
      </w:r>
      <w:r>
        <w:rPr>
          <w:color w:val="auto"/>
        </w:rPr>
        <w:instrText xml:space="preserve"> PAGEREF _Toc187068677 \h </w:instrText>
      </w:r>
      <w:r>
        <w:rPr>
          <w:color w:val="auto"/>
        </w:rPr>
        <w:fldChar w:fldCharType="separate"/>
      </w:r>
      <w:r>
        <w:rPr>
          <w:color w:val="auto"/>
        </w:rPr>
        <w:t>- 3 -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"_Toc187068678" </w:instrText>
      </w:r>
      <w:r>
        <w:rPr>
          <w:color w:val="auto"/>
        </w:rPr>
        <w:fldChar w:fldCharType="separate"/>
      </w:r>
      <w:r>
        <w:rPr>
          <w:rStyle w:val="38"/>
          <w:rFonts w:ascii="仿宋" w:hAnsi="仿宋" w:eastAsia="仿宋"/>
          <w:b/>
          <w:bCs/>
          <w:color w:val="auto"/>
        </w:rPr>
        <w:t>一、比选项目内容</w:t>
      </w:r>
      <w:r>
        <w:rPr>
          <w:color w:val="auto"/>
        </w:rPr>
        <w:tab/>
      </w:r>
      <w:r>
        <w:rPr>
          <w:color w:val="auto"/>
        </w:rPr>
        <w:fldChar w:fldCharType="begin"/>
      </w:r>
      <w:r>
        <w:rPr>
          <w:color w:val="auto"/>
        </w:rPr>
        <w:instrText xml:space="preserve"> PAGEREF _Toc187068678 \h </w:instrText>
      </w:r>
      <w:r>
        <w:rPr>
          <w:color w:val="auto"/>
        </w:rPr>
        <w:fldChar w:fldCharType="separate"/>
      </w:r>
      <w:r>
        <w:rPr>
          <w:color w:val="auto"/>
        </w:rPr>
        <w:t>- 3 -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"_Toc187068679" </w:instrText>
      </w:r>
      <w:r>
        <w:rPr>
          <w:color w:val="auto"/>
        </w:rPr>
        <w:fldChar w:fldCharType="separate"/>
      </w:r>
      <w:r>
        <w:rPr>
          <w:rStyle w:val="38"/>
          <w:rFonts w:ascii="仿宋" w:hAnsi="仿宋" w:eastAsia="仿宋"/>
          <w:b/>
          <w:bCs/>
          <w:color w:val="auto"/>
        </w:rPr>
        <w:t>二、资金来源</w:t>
      </w:r>
      <w:r>
        <w:rPr>
          <w:color w:val="auto"/>
        </w:rPr>
        <w:tab/>
      </w:r>
      <w:r>
        <w:rPr>
          <w:color w:val="auto"/>
        </w:rPr>
        <w:fldChar w:fldCharType="begin"/>
      </w:r>
      <w:r>
        <w:rPr>
          <w:color w:val="auto"/>
        </w:rPr>
        <w:instrText xml:space="preserve"> PAGEREF _Toc187068679 \h </w:instrText>
      </w:r>
      <w:r>
        <w:rPr>
          <w:color w:val="auto"/>
        </w:rPr>
        <w:fldChar w:fldCharType="separate"/>
      </w:r>
      <w:r>
        <w:rPr>
          <w:color w:val="auto"/>
        </w:rPr>
        <w:t>- 3 -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"_Toc187068680" </w:instrText>
      </w:r>
      <w:r>
        <w:rPr>
          <w:color w:val="auto"/>
        </w:rPr>
        <w:fldChar w:fldCharType="separate"/>
      </w:r>
      <w:r>
        <w:rPr>
          <w:rStyle w:val="38"/>
          <w:rFonts w:ascii="仿宋" w:hAnsi="仿宋" w:eastAsia="仿宋"/>
          <w:b/>
          <w:bCs/>
          <w:color w:val="auto"/>
        </w:rPr>
        <w:t>三、资格要求</w:t>
      </w:r>
      <w:r>
        <w:rPr>
          <w:color w:val="auto"/>
        </w:rPr>
        <w:tab/>
      </w:r>
      <w:r>
        <w:rPr>
          <w:color w:val="auto"/>
        </w:rPr>
        <w:fldChar w:fldCharType="begin"/>
      </w:r>
      <w:r>
        <w:rPr>
          <w:color w:val="auto"/>
        </w:rPr>
        <w:instrText xml:space="preserve"> PAGEREF _Toc187068680 \h </w:instrText>
      </w:r>
      <w:r>
        <w:rPr>
          <w:color w:val="auto"/>
        </w:rPr>
        <w:fldChar w:fldCharType="separate"/>
      </w:r>
      <w:r>
        <w:rPr>
          <w:color w:val="auto"/>
        </w:rPr>
        <w:t>- 3 -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"_Toc187068681" </w:instrText>
      </w:r>
      <w:r>
        <w:rPr>
          <w:color w:val="auto"/>
        </w:rPr>
        <w:fldChar w:fldCharType="separate"/>
      </w:r>
      <w:r>
        <w:rPr>
          <w:rStyle w:val="38"/>
          <w:rFonts w:ascii="仿宋" w:hAnsi="仿宋" w:eastAsia="仿宋"/>
          <w:b/>
          <w:bCs/>
          <w:color w:val="auto"/>
        </w:rPr>
        <w:t>四、比选有关说明</w:t>
      </w:r>
      <w:r>
        <w:rPr>
          <w:color w:val="auto"/>
        </w:rPr>
        <w:tab/>
      </w:r>
      <w:r>
        <w:rPr>
          <w:color w:val="auto"/>
        </w:rPr>
        <w:fldChar w:fldCharType="begin"/>
      </w:r>
      <w:r>
        <w:rPr>
          <w:color w:val="auto"/>
        </w:rPr>
        <w:instrText xml:space="preserve"> PAGEREF _Toc187068681 \h </w:instrText>
      </w:r>
      <w:r>
        <w:rPr>
          <w:color w:val="auto"/>
        </w:rPr>
        <w:fldChar w:fldCharType="separate"/>
      </w:r>
      <w:r>
        <w:rPr>
          <w:color w:val="auto"/>
        </w:rPr>
        <w:t>- 4 -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"_Toc187068682" </w:instrText>
      </w:r>
      <w:r>
        <w:rPr>
          <w:color w:val="auto"/>
        </w:rPr>
        <w:fldChar w:fldCharType="separate"/>
      </w:r>
      <w:r>
        <w:rPr>
          <w:rStyle w:val="38"/>
          <w:rFonts w:ascii="仿宋" w:hAnsi="仿宋" w:eastAsia="仿宋"/>
          <w:b/>
          <w:bCs/>
          <w:color w:val="auto"/>
        </w:rPr>
        <w:t>五、比选保证金</w:t>
      </w:r>
      <w:r>
        <w:rPr>
          <w:color w:val="auto"/>
        </w:rPr>
        <w:tab/>
      </w:r>
      <w:r>
        <w:rPr>
          <w:color w:val="auto"/>
        </w:rPr>
        <w:fldChar w:fldCharType="begin"/>
      </w:r>
      <w:r>
        <w:rPr>
          <w:color w:val="auto"/>
        </w:rPr>
        <w:instrText xml:space="preserve"> PAGEREF _Toc187068682 \h </w:instrText>
      </w:r>
      <w:r>
        <w:rPr>
          <w:color w:val="auto"/>
        </w:rPr>
        <w:fldChar w:fldCharType="separate"/>
      </w:r>
      <w:r>
        <w:rPr>
          <w:color w:val="auto"/>
        </w:rPr>
        <w:t>- 5 -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"_Toc187068683" </w:instrText>
      </w:r>
      <w:r>
        <w:rPr>
          <w:color w:val="auto"/>
        </w:rPr>
        <w:fldChar w:fldCharType="separate"/>
      </w:r>
      <w:r>
        <w:rPr>
          <w:rStyle w:val="38"/>
          <w:rFonts w:ascii="仿宋" w:hAnsi="仿宋" w:eastAsia="仿宋"/>
          <w:b/>
          <w:bCs/>
          <w:color w:val="auto"/>
        </w:rPr>
        <w:t>六、比选有关规定</w:t>
      </w:r>
      <w:r>
        <w:rPr>
          <w:color w:val="auto"/>
        </w:rPr>
        <w:tab/>
      </w:r>
      <w:r>
        <w:rPr>
          <w:color w:val="auto"/>
        </w:rPr>
        <w:fldChar w:fldCharType="begin"/>
      </w:r>
      <w:r>
        <w:rPr>
          <w:color w:val="auto"/>
        </w:rPr>
        <w:instrText xml:space="preserve"> PAGEREF _Toc187068683 \h </w:instrText>
      </w:r>
      <w:r>
        <w:rPr>
          <w:color w:val="auto"/>
        </w:rPr>
        <w:fldChar w:fldCharType="separate"/>
      </w:r>
      <w:r>
        <w:rPr>
          <w:color w:val="auto"/>
        </w:rPr>
        <w:t>- 5 -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"_Toc187068684" </w:instrText>
      </w:r>
      <w:r>
        <w:rPr>
          <w:color w:val="auto"/>
        </w:rPr>
        <w:fldChar w:fldCharType="separate"/>
      </w:r>
      <w:r>
        <w:rPr>
          <w:rStyle w:val="38"/>
          <w:rFonts w:ascii="仿宋" w:hAnsi="仿宋" w:eastAsia="仿宋"/>
          <w:b/>
          <w:bCs/>
          <w:color w:val="auto"/>
        </w:rPr>
        <w:t>七、联系方式</w:t>
      </w:r>
      <w:r>
        <w:rPr>
          <w:color w:val="auto"/>
        </w:rPr>
        <w:tab/>
      </w:r>
      <w:r>
        <w:rPr>
          <w:color w:val="auto"/>
        </w:rPr>
        <w:fldChar w:fldCharType="begin"/>
      </w:r>
      <w:r>
        <w:rPr>
          <w:color w:val="auto"/>
        </w:rPr>
        <w:instrText xml:space="preserve"> PAGEREF _Toc187068684 \h </w:instrText>
      </w:r>
      <w:r>
        <w:rPr>
          <w:color w:val="auto"/>
        </w:rPr>
        <w:fldChar w:fldCharType="separate"/>
      </w:r>
      <w:r>
        <w:rPr>
          <w:color w:val="auto"/>
        </w:rPr>
        <w:t>- 5 -</w:t>
      </w:r>
      <w:r>
        <w:rPr>
          <w:color w:val="auto"/>
        </w:rPr>
        <w:fldChar w:fldCharType="end"/>
      </w:r>
      <w:r>
        <w:rPr>
          <w:color w:val="auto"/>
        </w:rPr>
        <w:fldChar w:fldCharType="end"/>
      </w:r>
    </w:p>
    <w:p>
      <w:pPr>
        <w:pStyle w:val="24"/>
        <w:rPr>
          <w:rFonts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"_Toc187068685" </w:instrText>
      </w:r>
      <w:r>
        <w:rPr>
          <w:color w:val="auto"/>
        </w:rPr>
        <w:fldChar w:fldCharType="separate"/>
      </w:r>
      <w:r>
        <w:rPr>
          <w:rStyle w:val="38"/>
          <w:rFonts w:ascii="仿宋" w:hAnsi="仿宋" w:eastAsia="仿宋" w:cs="仿宋_GB2312"/>
          <w:color w:val="auto"/>
        </w:rPr>
        <w:t>第二篇  供应商须知</w:t>
      </w:r>
      <w:r>
        <w:rPr>
          <w:color w:val="auto"/>
        </w:rPr>
        <w:tab/>
      </w:r>
      <w:r>
        <w:rPr>
          <w:color w:val="auto"/>
        </w:rPr>
        <w:fldChar w:fldCharType="begin"/>
      </w:r>
      <w:r>
        <w:rPr>
          <w:color w:val="auto"/>
        </w:rPr>
        <w:instrText xml:space="preserve"> PAGEREF _Toc187068685 \h </w:instrText>
      </w:r>
      <w:r>
        <w:rPr>
          <w:color w:val="auto"/>
        </w:rPr>
        <w:fldChar w:fldCharType="separate"/>
      </w:r>
      <w:r>
        <w:rPr>
          <w:color w:val="auto"/>
        </w:rPr>
        <w:t>- 7 -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"_Toc187068686" </w:instrText>
      </w:r>
      <w:r>
        <w:rPr>
          <w:color w:val="auto"/>
        </w:rPr>
        <w:fldChar w:fldCharType="separate"/>
      </w:r>
      <w:r>
        <w:rPr>
          <w:rStyle w:val="38"/>
          <w:rFonts w:ascii="仿宋" w:hAnsi="仿宋" w:eastAsia="仿宋"/>
          <w:b/>
          <w:bCs/>
          <w:color w:val="auto"/>
        </w:rPr>
        <w:t>一、比选费用</w:t>
      </w:r>
      <w:r>
        <w:rPr>
          <w:color w:val="auto"/>
        </w:rPr>
        <w:tab/>
      </w:r>
      <w:r>
        <w:rPr>
          <w:color w:val="auto"/>
        </w:rPr>
        <w:fldChar w:fldCharType="begin"/>
      </w:r>
      <w:r>
        <w:rPr>
          <w:color w:val="auto"/>
        </w:rPr>
        <w:instrText xml:space="preserve"> PAGEREF _Toc187068686 \h </w:instrText>
      </w:r>
      <w:r>
        <w:rPr>
          <w:color w:val="auto"/>
        </w:rPr>
        <w:fldChar w:fldCharType="separate"/>
      </w:r>
      <w:r>
        <w:rPr>
          <w:color w:val="auto"/>
        </w:rPr>
        <w:t>- 7 -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"_Toc187068687" </w:instrText>
      </w:r>
      <w:r>
        <w:rPr>
          <w:color w:val="auto"/>
        </w:rPr>
        <w:fldChar w:fldCharType="separate"/>
      </w:r>
      <w:r>
        <w:rPr>
          <w:rStyle w:val="38"/>
          <w:rFonts w:ascii="仿宋" w:hAnsi="仿宋" w:eastAsia="仿宋"/>
          <w:b/>
          <w:bCs/>
          <w:color w:val="auto"/>
        </w:rPr>
        <w:t>二、比选通知书</w:t>
      </w:r>
      <w:r>
        <w:rPr>
          <w:color w:val="auto"/>
        </w:rPr>
        <w:tab/>
      </w:r>
      <w:r>
        <w:rPr>
          <w:color w:val="auto"/>
        </w:rPr>
        <w:fldChar w:fldCharType="begin"/>
      </w:r>
      <w:r>
        <w:rPr>
          <w:color w:val="auto"/>
        </w:rPr>
        <w:instrText xml:space="preserve"> PAGEREF _Toc187068687 \h </w:instrText>
      </w:r>
      <w:r>
        <w:rPr>
          <w:color w:val="auto"/>
        </w:rPr>
        <w:fldChar w:fldCharType="separate"/>
      </w:r>
      <w:r>
        <w:rPr>
          <w:color w:val="auto"/>
        </w:rPr>
        <w:t>- 7 -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"_Toc187068688" </w:instrText>
      </w:r>
      <w:r>
        <w:rPr>
          <w:color w:val="auto"/>
        </w:rPr>
        <w:fldChar w:fldCharType="separate"/>
      </w:r>
      <w:r>
        <w:rPr>
          <w:rStyle w:val="38"/>
          <w:rFonts w:ascii="仿宋" w:hAnsi="仿宋" w:eastAsia="仿宋"/>
          <w:b/>
          <w:bCs/>
          <w:color w:val="auto"/>
        </w:rPr>
        <w:t>三、比选要求</w:t>
      </w:r>
      <w:r>
        <w:rPr>
          <w:color w:val="auto"/>
        </w:rPr>
        <w:tab/>
      </w:r>
      <w:r>
        <w:rPr>
          <w:color w:val="auto"/>
        </w:rPr>
        <w:fldChar w:fldCharType="begin"/>
      </w:r>
      <w:r>
        <w:rPr>
          <w:color w:val="auto"/>
        </w:rPr>
        <w:instrText xml:space="preserve"> PAGEREF _Toc187068688 \h </w:instrText>
      </w:r>
      <w:r>
        <w:rPr>
          <w:color w:val="auto"/>
        </w:rPr>
        <w:fldChar w:fldCharType="separate"/>
      </w:r>
      <w:r>
        <w:rPr>
          <w:color w:val="auto"/>
        </w:rPr>
        <w:t>- 7 -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"_Toc187068689" </w:instrText>
      </w:r>
      <w:r>
        <w:rPr>
          <w:color w:val="auto"/>
        </w:rPr>
        <w:fldChar w:fldCharType="separate"/>
      </w:r>
      <w:r>
        <w:rPr>
          <w:rStyle w:val="38"/>
          <w:rFonts w:ascii="仿宋" w:hAnsi="仿宋" w:eastAsia="仿宋"/>
          <w:b/>
          <w:bCs/>
          <w:color w:val="auto"/>
        </w:rPr>
        <w:t>四、比选程序及成交标准</w:t>
      </w:r>
      <w:r>
        <w:rPr>
          <w:color w:val="auto"/>
        </w:rPr>
        <w:tab/>
      </w:r>
      <w:r>
        <w:rPr>
          <w:color w:val="auto"/>
        </w:rPr>
        <w:fldChar w:fldCharType="begin"/>
      </w:r>
      <w:r>
        <w:rPr>
          <w:color w:val="auto"/>
        </w:rPr>
        <w:instrText xml:space="preserve"> PAGEREF _Toc187068689 \h </w:instrText>
      </w:r>
      <w:r>
        <w:rPr>
          <w:color w:val="auto"/>
        </w:rPr>
        <w:fldChar w:fldCharType="separate"/>
      </w:r>
      <w:r>
        <w:rPr>
          <w:color w:val="auto"/>
        </w:rPr>
        <w:t>- 10 -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"_Toc187068690" </w:instrText>
      </w:r>
      <w:r>
        <w:rPr>
          <w:color w:val="auto"/>
        </w:rPr>
        <w:fldChar w:fldCharType="separate"/>
      </w:r>
      <w:r>
        <w:rPr>
          <w:rStyle w:val="38"/>
          <w:rFonts w:ascii="仿宋" w:hAnsi="仿宋" w:eastAsia="仿宋"/>
          <w:b/>
          <w:bCs/>
          <w:color w:val="auto"/>
        </w:rPr>
        <w:t>五、评审标准</w:t>
      </w:r>
      <w:r>
        <w:rPr>
          <w:color w:val="auto"/>
        </w:rPr>
        <w:tab/>
      </w:r>
      <w:r>
        <w:rPr>
          <w:color w:val="auto"/>
        </w:rPr>
        <w:fldChar w:fldCharType="begin"/>
      </w:r>
      <w:r>
        <w:rPr>
          <w:color w:val="auto"/>
        </w:rPr>
        <w:instrText xml:space="preserve"> PAGEREF _Toc187068690 \h </w:instrText>
      </w:r>
      <w:r>
        <w:rPr>
          <w:color w:val="auto"/>
        </w:rPr>
        <w:fldChar w:fldCharType="separate"/>
      </w:r>
      <w:r>
        <w:rPr>
          <w:color w:val="auto"/>
        </w:rPr>
        <w:t>- 12 -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"_Toc187068691" </w:instrText>
      </w:r>
      <w:r>
        <w:rPr>
          <w:color w:val="auto"/>
        </w:rPr>
        <w:fldChar w:fldCharType="separate"/>
      </w:r>
      <w:r>
        <w:rPr>
          <w:rStyle w:val="38"/>
          <w:rFonts w:ascii="仿宋" w:hAnsi="仿宋" w:eastAsia="仿宋"/>
          <w:b/>
          <w:bCs/>
          <w:color w:val="auto"/>
        </w:rPr>
        <w:t>六、评审依据</w:t>
      </w:r>
      <w:r>
        <w:rPr>
          <w:color w:val="auto"/>
        </w:rPr>
        <w:tab/>
      </w:r>
      <w:r>
        <w:rPr>
          <w:color w:val="auto"/>
        </w:rPr>
        <w:fldChar w:fldCharType="begin"/>
      </w:r>
      <w:r>
        <w:rPr>
          <w:color w:val="auto"/>
        </w:rPr>
        <w:instrText xml:space="preserve"> PAGEREF _Toc187068691 \h </w:instrText>
      </w:r>
      <w:r>
        <w:rPr>
          <w:color w:val="auto"/>
        </w:rPr>
        <w:fldChar w:fldCharType="separate"/>
      </w:r>
      <w:r>
        <w:rPr>
          <w:color w:val="auto"/>
        </w:rPr>
        <w:t>- 15 -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"_Toc187068692" </w:instrText>
      </w:r>
      <w:r>
        <w:rPr>
          <w:color w:val="auto"/>
        </w:rPr>
        <w:fldChar w:fldCharType="separate"/>
      </w:r>
      <w:r>
        <w:rPr>
          <w:rStyle w:val="38"/>
          <w:rFonts w:ascii="仿宋" w:hAnsi="仿宋" w:eastAsia="仿宋"/>
          <w:b/>
          <w:bCs/>
          <w:color w:val="auto"/>
        </w:rPr>
        <w:t>七、成交通知</w:t>
      </w:r>
      <w:r>
        <w:rPr>
          <w:color w:val="auto"/>
        </w:rPr>
        <w:tab/>
      </w:r>
      <w:r>
        <w:rPr>
          <w:color w:val="auto"/>
        </w:rPr>
        <w:fldChar w:fldCharType="begin"/>
      </w:r>
      <w:r>
        <w:rPr>
          <w:color w:val="auto"/>
        </w:rPr>
        <w:instrText xml:space="preserve"> PAGEREF _Toc187068692 \h </w:instrText>
      </w:r>
      <w:r>
        <w:rPr>
          <w:color w:val="auto"/>
        </w:rPr>
        <w:fldChar w:fldCharType="separate"/>
      </w:r>
      <w:r>
        <w:rPr>
          <w:color w:val="auto"/>
        </w:rPr>
        <w:t>- 15 -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"_Toc187068693" </w:instrText>
      </w:r>
      <w:r>
        <w:rPr>
          <w:color w:val="auto"/>
        </w:rPr>
        <w:fldChar w:fldCharType="separate"/>
      </w:r>
      <w:r>
        <w:rPr>
          <w:rStyle w:val="38"/>
          <w:rFonts w:ascii="仿宋" w:hAnsi="仿宋" w:eastAsia="仿宋"/>
          <w:b/>
          <w:bCs/>
          <w:color w:val="auto"/>
        </w:rPr>
        <w:t>八、关于质疑和投诉</w:t>
      </w:r>
      <w:r>
        <w:rPr>
          <w:color w:val="auto"/>
        </w:rPr>
        <w:tab/>
      </w:r>
      <w:r>
        <w:rPr>
          <w:color w:val="auto"/>
        </w:rPr>
        <w:fldChar w:fldCharType="begin"/>
      </w:r>
      <w:r>
        <w:rPr>
          <w:color w:val="auto"/>
        </w:rPr>
        <w:instrText xml:space="preserve"> PAGEREF _Toc187068693 \h </w:instrText>
      </w:r>
      <w:r>
        <w:rPr>
          <w:color w:val="auto"/>
        </w:rPr>
        <w:fldChar w:fldCharType="separate"/>
      </w:r>
      <w:r>
        <w:rPr>
          <w:color w:val="auto"/>
        </w:rPr>
        <w:t>- 15 -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"_Toc187068694" </w:instrText>
      </w:r>
      <w:r>
        <w:rPr>
          <w:color w:val="auto"/>
        </w:rPr>
        <w:fldChar w:fldCharType="separate"/>
      </w:r>
      <w:r>
        <w:rPr>
          <w:rStyle w:val="38"/>
          <w:rFonts w:ascii="仿宋" w:hAnsi="仿宋" w:eastAsia="仿宋"/>
          <w:b/>
          <w:bCs/>
          <w:color w:val="auto"/>
        </w:rPr>
        <w:t>九、签订合同</w:t>
      </w:r>
      <w:r>
        <w:rPr>
          <w:color w:val="auto"/>
        </w:rPr>
        <w:tab/>
      </w:r>
      <w:r>
        <w:rPr>
          <w:color w:val="auto"/>
        </w:rPr>
        <w:fldChar w:fldCharType="begin"/>
      </w:r>
      <w:r>
        <w:rPr>
          <w:color w:val="auto"/>
        </w:rPr>
        <w:instrText xml:space="preserve"> PAGEREF _Toc187068694 \h </w:instrText>
      </w:r>
      <w:r>
        <w:rPr>
          <w:color w:val="auto"/>
        </w:rPr>
        <w:fldChar w:fldCharType="separate"/>
      </w:r>
      <w:r>
        <w:rPr>
          <w:color w:val="auto"/>
        </w:rPr>
        <w:t>- 16 -</w:t>
      </w:r>
      <w:r>
        <w:rPr>
          <w:color w:val="auto"/>
        </w:rPr>
        <w:fldChar w:fldCharType="end"/>
      </w:r>
      <w:r>
        <w:rPr>
          <w:color w:val="auto"/>
        </w:rPr>
        <w:fldChar w:fldCharType="end"/>
      </w:r>
    </w:p>
    <w:p>
      <w:pPr>
        <w:pStyle w:val="24"/>
        <w:rPr>
          <w:rFonts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"_Toc187068695" </w:instrText>
      </w:r>
      <w:r>
        <w:rPr>
          <w:color w:val="auto"/>
        </w:rPr>
        <w:fldChar w:fldCharType="separate"/>
      </w:r>
      <w:r>
        <w:rPr>
          <w:rStyle w:val="38"/>
          <w:rFonts w:ascii="仿宋" w:hAnsi="仿宋" w:eastAsia="仿宋" w:cs="仿宋_GB2312"/>
          <w:color w:val="auto"/>
        </w:rPr>
        <w:t>第三篇 服务需求</w:t>
      </w:r>
      <w:r>
        <w:rPr>
          <w:color w:val="auto"/>
        </w:rPr>
        <w:tab/>
      </w:r>
      <w:r>
        <w:rPr>
          <w:color w:val="auto"/>
        </w:rPr>
        <w:fldChar w:fldCharType="begin"/>
      </w:r>
      <w:r>
        <w:rPr>
          <w:color w:val="auto"/>
        </w:rPr>
        <w:instrText xml:space="preserve"> PAGEREF _Toc187068695 \h </w:instrText>
      </w:r>
      <w:r>
        <w:rPr>
          <w:color w:val="auto"/>
        </w:rPr>
        <w:fldChar w:fldCharType="separate"/>
      </w:r>
      <w:r>
        <w:rPr>
          <w:color w:val="auto"/>
        </w:rPr>
        <w:t>- 17 -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"_Toc187068696" </w:instrText>
      </w:r>
      <w:r>
        <w:rPr>
          <w:color w:val="auto"/>
        </w:rPr>
        <w:fldChar w:fldCharType="separate"/>
      </w:r>
      <w:r>
        <w:rPr>
          <w:rStyle w:val="38"/>
          <w:rFonts w:ascii="仿宋" w:hAnsi="仿宋" w:eastAsia="仿宋"/>
          <w:b/>
          <w:bCs/>
          <w:color w:val="auto"/>
        </w:rPr>
        <w:t>一、项目概况</w:t>
      </w:r>
      <w:r>
        <w:rPr>
          <w:color w:val="auto"/>
        </w:rPr>
        <w:tab/>
      </w:r>
      <w:r>
        <w:rPr>
          <w:color w:val="auto"/>
        </w:rPr>
        <w:fldChar w:fldCharType="begin"/>
      </w:r>
      <w:r>
        <w:rPr>
          <w:color w:val="auto"/>
        </w:rPr>
        <w:instrText xml:space="preserve"> PAGEREF _Toc187068696 \h </w:instrText>
      </w:r>
      <w:r>
        <w:rPr>
          <w:color w:val="auto"/>
        </w:rPr>
        <w:fldChar w:fldCharType="separate"/>
      </w:r>
      <w:r>
        <w:rPr>
          <w:color w:val="auto"/>
        </w:rPr>
        <w:t>- 17 -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"_Toc187068697" </w:instrText>
      </w:r>
      <w:r>
        <w:rPr>
          <w:color w:val="auto"/>
        </w:rPr>
        <w:fldChar w:fldCharType="separate"/>
      </w:r>
      <w:r>
        <w:rPr>
          <w:rStyle w:val="38"/>
          <w:rFonts w:ascii="仿宋" w:hAnsi="仿宋" w:eastAsia="仿宋"/>
          <w:b/>
          <w:bCs/>
          <w:color w:val="auto"/>
        </w:rPr>
        <w:t>二、服务内容</w:t>
      </w:r>
      <w:r>
        <w:rPr>
          <w:color w:val="auto"/>
        </w:rPr>
        <w:tab/>
      </w:r>
      <w:r>
        <w:rPr>
          <w:color w:val="auto"/>
        </w:rPr>
        <w:fldChar w:fldCharType="begin"/>
      </w:r>
      <w:r>
        <w:rPr>
          <w:color w:val="auto"/>
        </w:rPr>
        <w:instrText xml:space="preserve"> PAGEREF _Toc187068697 \h </w:instrText>
      </w:r>
      <w:r>
        <w:rPr>
          <w:color w:val="auto"/>
        </w:rPr>
        <w:fldChar w:fldCharType="separate"/>
      </w:r>
      <w:r>
        <w:rPr>
          <w:color w:val="auto"/>
        </w:rPr>
        <w:t>- 17 -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"_Toc187068698" </w:instrText>
      </w:r>
      <w:r>
        <w:rPr>
          <w:color w:val="auto"/>
        </w:rPr>
        <w:fldChar w:fldCharType="separate"/>
      </w:r>
      <w:r>
        <w:rPr>
          <w:rStyle w:val="38"/>
          <w:rFonts w:ascii="仿宋" w:hAnsi="仿宋" w:eastAsia="仿宋"/>
          <w:b/>
          <w:bCs/>
          <w:color w:val="auto"/>
        </w:rPr>
        <w:t>三、人员要求</w:t>
      </w:r>
      <w:r>
        <w:rPr>
          <w:color w:val="auto"/>
        </w:rPr>
        <w:tab/>
      </w:r>
      <w:r>
        <w:rPr>
          <w:color w:val="auto"/>
        </w:rPr>
        <w:fldChar w:fldCharType="begin"/>
      </w:r>
      <w:r>
        <w:rPr>
          <w:color w:val="auto"/>
        </w:rPr>
        <w:instrText xml:space="preserve"> PAGEREF _Toc187068698 \h </w:instrText>
      </w:r>
      <w:r>
        <w:rPr>
          <w:color w:val="auto"/>
        </w:rPr>
        <w:fldChar w:fldCharType="separate"/>
      </w:r>
      <w:r>
        <w:rPr>
          <w:color w:val="auto"/>
        </w:rPr>
        <w:t>- 17 -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"_Toc187068699" </w:instrText>
      </w:r>
      <w:r>
        <w:rPr>
          <w:color w:val="auto"/>
        </w:rPr>
        <w:fldChar w:fldCharType="separate"/>
      </w:r>
      <w:r>
        <w:rPr>
          <w:rStyle w:val="38"/>
          <w:rFonts w:ascii="仿宋" w:hAnsi="仿宋" w:eastAsia="仿宋" w:cs="宋体"/>
          <w:b/>
          <w:bCs/>
          <w:color w:val="auto"/>
        </w:rPr>
        <w:t>四、其他要求</w:t>
      </w:r>
      <w:r>
        <w:rPr>
          <w:color w:val="auto"/>
        </w:rPr>
        <w:tab/>
      </w:r>
      <w:r>
        <w:rPr>
          <w:color w:val="auto"/>
        </w:rPr>
        <w:fldChar w:fldCharType="begin"/>
      </w:r>
      <w:r>
        <w:rPr>
          <w:color w:val="auto"/>
        </w:rPr>
        <w:instrText xml:space="preserve"> PAGEREF _Toc187068699 \h </w:instrText>
      </w:r>
      <w:r>
        <w:rPr>
          <w:color w:val="auto"/>
        </w:rPr>
        <w:fldChar w:fldCharType="separate"/>
      </w:r>
      <w:r>
        <w:rPr>
          <w:color w:val="auto"/>
        </w:rPr>
        <w:t>- 18 -</w:t>
      </w:r>
      <w:r>
        <w:rPr>
          <w:color w:val="auto"/>
        </w:rPr>
        <w:fldChar w:fldCharType="end"/>
      </w:r>
      <w:r>
        <w:rPr>
          <w:color w:val="auto"/>
        </w:rPr>
        <w:fldChar w:fldCharType="end"/>
      </w:r>
    </w:p>
    <w:p>
      <w:pPr>
        <w:pStyle w:val="24"/>
        <w:rPr>
          <w:rFonts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"_Toc187068700" </w:instrText>
      </w:r>
      <w:r>
        <w:rPr>
          <w:color w:val="auto"/>
        </w:rPr>
        <w:fldChar w:fldCharType="separate"/>
      </w:r>
      <w:r>
        <w:rPr>
          <w:rStyle w:val="38"/>
          <w:rFonts w:ascii="仿宋" w:hAnsi="仿宋" w:eastAsia="仿宋" w:cs="仿宋_GB2312"/>
          <w:color w:val="auto"/>
        </w:rPr>
        <w:t>第四篇 商务要求</w:t>
      </w:r>
      <w:r>
        <w:rPr>
          <w:color w:val="auto"/>
        </w:rPr>
        <w:tab/>
      </w:r>
      <w:r>
        <w:rPr>
          <w:color w:val="auto"/>
        </w:rPr>
        <w:fldChar w:fldCharType="begin"/>
      </w:r>
      <w:r>
        <w:rPr>
          <w:color w:val="auto"/>
        </w:rPr>
        <w:instrText xml:space="preserve"> PAGEREF _Toc187068700 \h </w:instrText>
      </w:r>
      <w:r>
        <w:rPr>
          <w:color w:val="auto"/>
        </w:rPr>
        <w:fldChar w:fldCharType="separate"/>
      </w:r>
      <w:r>
        <w:rPr>
          <w:color w:val="auto"/>
        </w:rPr>
        <w:t>- 19 -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"_Toc187068701" </w:instrText>
      </w:r>
      <w:r>
        <w:rPr>
          <w:color w:val="auto"/>
        </w:rPr>
        <w:fldChar w:fldCharType="separate"/>
      </w:r>
      <w:r>
        <w:rPr>
          <w:rStyle w:val="38"/>
          <w:rFonts w:ascii="方正仿宋_GBK" w:eastAsia="方正仿宋_GBK" w:cs="宋体"/>
          <w:b/>
          <w:bCs/>
          <w:color w:val="auto"/>
        </w:rPr>
        <w:t>※</w:t>
      </w:r>
      <w:r>
        <w:rPr>
          <w:rStyle w:val="38"/>
          <w:rFonts w:ascii="仿宋" w:hAnsi="仿宋" w:eastAsia="仿宋"/>
          <w:b/>
          <w:bCs/>
          <w:color w:val="auto"/>
        </w:rPr>
        <w:t>一、服务时间、地点</w:t>
      </w:r>
      <w:r>
        <w:rPr>
          <w:color w:val="auto"/>
        </w:rPr>
        <w:tab/>
      </w:r>
      <w:r>
        <w:rPr>
          <w:color w:val="auto"/>
        </w:rPr>
        <w:fldChar w:fldCharType="begin"/>
      </w:r>
      <w:r>
        <w:rPr>
          <w:color w:val="auto"/>
        </w:rPr>
        <w:instrText xml:space="preserve"> PAGEREF _Toc187068701 \h </w:instrText>
      </w:r>
      <w:r>
        <w:rPr>
          <w:color w:val="auto"/>
        </w:rPr>
        <w:fldChar w:fldCharType="separate"/>
      </w:r>
      <w:r>
        <w:rPr>
          <w:color w:val="auto"/>
        </w:rPr>
        <w:t>- 19 -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"_Toc187068702" </w:instrText>
      </w:r>
      <w:r>
        <w:rPr>
          <w:color w:val="auto"/>
        </w:rPr>
        <w:fldChar w:fldCharType="separate"/>
      </w:r>
      <w:r>
        <w:rPr>
          <w:rStyle w:val="38"/>
          <w:rFonts w:ascii="方正仿宋_GBK" w:eastAsia="方正仿宋_GBK" w:cs="宋体"/>
          <w:b/>
          <w:bCs/>
          <w:color w:val="auto"/>
        </w:rPr>
        <w:t>※</w:t>
      </w:r>
      <w:r>
        <w:rPr>
          <w:rStyle w:val="38"/>
          <w:rFonts w:ascii="仿宋" w:hAnsi="仿宋" w:eastAsia="仿宋"/>
          <w:b/>
          <w:bCs/>
          <w:color w:val="auto"/>
        </w:rPr>
        <w:t>二、付款方式</w:t>
      </w:r>
      <w:r>
        <w:rPr>
          <w:color w:val="auto"/>
        </w:rPr>
        <w:tab/>
      </w:r>
      <w:r>
        <w:rPr>
          <w:color w:val="auto"/>
        </w:rPr>
        <w:fldChar w:fldCharType="begin"/>
      </w:r>
      <w:r>
        <w:rPr>
          <w:color w:val="auto"/>
        </w:rPr>
        <w:instrText xml:space="preserve"> PAGEREF _Toc187068702 \h </w:instrText>
      </w:r>
      <w:r>
        <w:rPr>
          <w:color w:val="auto"/>
        </w:rPr>
        <w:fldChar w:fldCharType="separate"/>
      </w:r>
      <w:r>
        <w:rPr>
          <w:color w:val="auto"/>
        </w:rPr>
        <w:t>- 19 -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"_Toc187068703" </w:instrText>
      </w:r>
      <w:r>
        <w:rPr>
          <w:color w:val="auto"/>
        </w:rPr>
        <w:fldChar w:fldCharType="separate"/>
      </w:r>
      <w:r>
        <w:rPr>
          <w:rStyle w:val="38"/>
          <w:rFonts w:ascii="方正仿宋_GBK" w:eastAsia="方正仿宋_GBK" w:cs="宋体"/>
          <w:b/>
          <w:bCs/>
          <w:color w:val="auto"/>
        </w:rPr>
        <w:t>※</w:t>
      </w:r>
      <w:r>
        <w:rPr>
          <w:rStyle w:val="38"/>
          <w:rFonts w:ascii="仿宋" w:hAnsi="仿宋" w:eastAsia="仿宋"/>
          <w:b/>
          <w:bCs/>
          <w:color w:val="auto"/>
        </w:rPr>
        <w:t>三、其他</w:t>
      </w:r>
      <w:r>
        <w:rPr>
          <w:color w:val="auto"/>
        </w:rPr>
        <w:tab/>
      </w:r>
      <w:r>
        <w:rPr>
          <w:color w:val="auto"/>
        </w:rPr>
        <w:fldChar w:fldCharType="begin"/>
      </w:r>
      <w:r>
        <w:rPr>
          <w:color w:val="auto"/>
        </w:rPr>
        <w:instrText xml:space="preserve"> PAGEREF _Toc187068703 \h </w:instrText>
      </w:r>
      <w:r>
        <w:rPr>
          <w:color w:val="auto"/>
        </w:rPr>
        <w:fldChar w:fldCharType="separate"/>
      </w:r>
      <w:r>
        <w:rPr>
          <w:color w:val="auto"/>
        </w:rPr>
        <w:t>- 19 -</w:t>
      </w:r>
      <w:r>
        <w:rPr>
          <w:color w:val="auto"/>
        </w:rPr>
        <w:fldChar w:fldCharType="end"/>
      </w:r>
      <w:r>
        <w:rPr>
          <w:color w:val="auto"/>
        </w:rPr>
        <w:fldChar w:fldCharType="end"/>
      </w:r>
    </w:p>
    <w:p>
      <w:pPr>
        <w:pStyle w:val="24"/>
        <w:rPr>
          <w:rFonts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"_Toc187068704" </w:instrText>
      </w:r>
      <w:r>
        <w:rPr>
          <w:color w:val="auto"/>
        </w:rPr>
        <w:fldChar w:fldCharType="separate"/>
      </w:r>
      <w:r>
        <w:rPr>
          <w:rStyle w:val="38"/>
          <w:rFonts w:ascii="仿宋" w:hAnsi="仿宋" w:eastAsia="仿宋" w:cs="仿宋_GB2312"/>
          <w:color w:val="auto"/>
        </w:rPr>
        <w:t>第五篇  合同草案</w:t>
      </w:r>
      <w:r>
        <w:rPr>
          <w:color w:val="auto"/>
        </w:rPr>
        <w:tab/>
      </w:r>
      <w:r>
        <w:rPr>
          <w:color w:val="auto"/>
        </w:rPr>
        <w:fldChar w:fldCharType="begin"/>
      </w:r>
      <w:r>
        <w:rPr>
          <w:color w:val="auto"/>
        </w:rPr>
        <w:instrText xml:space="preserve"> PAGEREF _Toc187068704 \h </w:instrText>
      </w:r>
      <w:r>
        <w:rPr>
          <w:color w:val="auto"/>
        </w:rPr>
        <w:fldChar w:fldCharType="separate"/>
      </w:r>
      <w:r>
        <w:rPr>
          <w:color w:val="auto"/>
        </w:rPr>
        <w:t>- 20 -</w:t>
      </w:r>
      <w:r>
        <w:rPr>
          <w:color w:val="auto"/>
        </w:rPr>
        <w:fldChar w:fldCharType="end"/>
      </w:r>
      <w:r>
        <w:rPr>
          <w:color w:val="auto"/>
        </w:rPr>
        <w:fldChar w:fldCharType="end"/>
      </w:r>
    </w:p>
    <w:p>
      <w:pPr>
        <w:pStyle w:val="24"/>
        <w:rPr>
          <w:rFonts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"_Toc187068705" </w:instrText>
      </w:r>
      <w:r>
        <w:rPr>
          <w:color w:val="auto"/>
        </w:rPr>
        <w:fldChar w:fldCharType="separate"/>
      </w:r>
      <w:r>
        <w:rPr>
          <w:rStyle w:val="38"/>
          <w:rFonts w:ascii="仿宋" w:hAnsi="仿宋" w:eastAsia="仿宋" w:cs="仿宋_GB2312"/>
          <w:color w:val="auto"/>
        </w:rPr>
        <w:t>第六篇  响应文件格式要求</w:t>
      </w:r>
      <w:r>
        <w:rPr>
          <w:color w:val="auto"/>
        </w:rPr>
        <w:tab/>
      </w:r>
      <w:r>
        <w:rPr>
          <w:color w:val="auto"/>
        </w:rPr>
        <w:fldChar w:fldCharType="begin"/>
      </w:r>
      <w:r>
        <w:rPr>
          <w:color w:val="auto"/>
        </w:rPr>
        <w:instrText xml:space="preserve"> PAGEREF _Toc187068705 \h </w:instrText>
      </w:r>
      <w:r>
        <w:rPr>
          <w:color w:val="auto"/>
        </w:rPr>
        <w:fldChar w:fldCharType="separate"/>
      </w:r>
      <w:r>
        <w:rPr>
          <w:color w:val="auto"/>
        </w:rPr>
        <w:t>- 21 -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"_Toc187068706" </w:instrText>
      </w:r>
      <w:r>
        <w:rPr>
          <w:color w:val="auto"/>
        </w:rPr>
        <w:fldChar w:fldCharType="separate"/>
      </w:r>
      <w:r>
        <w:rPr>
          <w:rStyle w:val="38"/>
          <w:rFonts w:ascii="仿宋" w:hAnsi="仿宋" w:eastAsia="仿宋"/>
          <w:b/>
          <w:bCs/>
          <w:color w:val="auto"/>
        </w:rPr>
        <w:t>一、经济部分</w:t>
      </w:r>
      <w:r>
        <w:rPr>
          <w:color w:val="auto"/>
        </w:rPr>
        <w:tab/>
      </w:r>
      <w:r>
        <w:rPr>
          <w:color w:val="auto"/>
        </w:rPr>
        <w:fldChar w:fldCharType="begin"/>
      </w:r>
      <w:r>
        <w:rPr>
          <w:color w:val="auto"/>
        </w:rPr>
        <w:instrText xml:space="preserve"> PAGEREF _Toc187068706 \h </w:instrText>
      </w:r>
      <w:r>
        <w:rPr>
          <w:color w:val="auto"/>
        </w:rPr>
        <w:fldChar w:fldCharType="separate"/>
      </w:r>
      <w:r>
        <w:rPr>
          <w:color w:val="auto"/>
        </w:rPr>
        <w:t>- 22 -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"_Toc187068707" </w:instrText>
      </w:r>
      <w:r>
        <w:rPr>
          <w:color w:val="auto"/>
        </w:rPr>
        <w:fldChar w:fldCharType="separate"/>
      </w:r>
      <w:r>
        <w:rPr>
          <w:rStyle w:val="38"/>
          <w:rFonts w:ascii="仿宋" w:hAnsi="仿宋" w:eastAsia="仿宋"/>
          <w:b/>
          <w:bCs/>
          <w:color w:val="auto"/>
        </w:rPr>
        <w:t>二、技术部分</w:t>
      </w:r>
      <w:r>
        <w:rPr>
          <w:color w:val="auto"/>
        </w:rPr>
        <w:tab/>
      </w:r>
      <w:r>
        <w:rPr>
          <w:color w:val="auto"/>
        </w:rPr>
        <w:fldChar w:fldCharType="begin"/>
      </w:r>
      <w:r>
        <w:rPr>
          <w:color w:val="auto"/>
        </w:rPr>
        <w:instrText xml:space="preserve"> PAGEREF _Toc187068707 \h </w:instrText>
      </w:r>
      <w:r>
        <w:rPr>
          <w:color w:val="auto"/>
        </w:rPr>
        <w:fldChar w:fldCharType="separate"/>
      </w:r>
      <w:r>
        <w:rPr>
          <w:color w:val="auto"/>
        </w:rPr>
        <w:t>- 24 -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"_Toc187068708" </w:instrText>
      </w:r>
      <w:r>
        <w:rPr>
          <w:color w:val="auto"/>
        </w:rPr>
        <w:fldChar w:fldCharType="separate"/>
      </w:r>
      <w:r>
        <w:rPr>
          <w:rStyle w:val="38"/>
          <w:rFonts w:ascii="仿宋" w:hAnsi="仿宋" w:eastAsia="仿宋"/>
          <w:b/>
          <w:bCs/>
          <w:color w:val="auto"/>
        </w:rPr>
        <w:t>三、商务部分</w:t>
      </w:r>
      <w:r>
        <w:rPr>
          <w:color w:val="auto"/>
        </w:rPr>
        <w:tab/>
      </w:r>
      <w:r>
        <w:rPr>
          <w:color w:val="auto"/>
        </w:rPr>
        <w:fldChar w:fldCharType="begin"/>
      </w:r>
      <w:r>
        <w:rPr>
          <w:color w:val="auto"/>
        </w:rPr>
        <w:instrText xml:space="preserve"> PAGEREF _Toc187068708 \h </w:instrText>
      </w:r>
      <w:r>
        <w:rPr>
          <w:color w:val="auto"/>
        </w:rPr>
        <w:fldChar w:fldCharType="separate"/>
      </w:r>
      <w:r>
        <w:rPr>
          <w:color w:val="auto"/>
        </w:rPr>
        <w:t>- 26 -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"_Toc187068709" </w:instrText>
      </w:r>
      <w:r>
        <w:rPr>
          <w:color w:val="auto"/>
        </w:rPr>
        <w:fldChar w:fldCharType="separate"/>
      </w:r>
      <w:r>
        <w:rPr>
          <w:rStyle w:val="38"/>
          <w:rFonts w:ascii="仿宋" w:hAnsi="仿宋" w:eastAsia="仿宋"/>
          <w:b/>
          <w:bCs/>
          <w:color w:val="auto"/>
        </w:rPr>
        <w:t>四、资格条件及其他</w:t>
      </w:r>
      <w:r>
        <w:rPr>
          <w:color w:val="auto"/>
        </w:rPr>
        <w:tab/>
      </w:r>
      <w:r>
        <w:rPr>
          <w:color w:val="auto"/>
        </w:rPr>
        <w:fldChar w:fldCharType="begin"/>
      </w:r>
      <w:r>
        <w:rPr>
          <w:color w:val="auto"/>
        </w:rPr>
        <w:instrText xml:space="preserve"> PAGEREF _Toc187068709 \h </w:instrText>
      </w:r>
      <w:r>
        <w:rPr>
          <w:color w:val="auto"/>
        </w:rPr>
        <w:fldChar w:fldCharType="separate"/>
      </w:r>
      <w:r>
        <w:rPr>
          <w:color w:val="auto"/>
        </w:rPr>
        <w:t>- 29 -</w:t>
      </w:r>
      <w:r>
        <w:rPr>
          <w:color w:val="auto"/>
        </w:rPr>
        <w:fldChar w:fldCharType="end"/>
      </w:r>
      <w:r>
        <w:rPr>
          <w:color w:val="auto"/>
        </w:rPr>
        <w:fldChar w:fldCharType="end"/>
      </w:r>
    </w:p>
    <w:p>
      <w:pPr>
        <w:pStyle w:val="17"/>
        <w:ind w:left="960"/>
        <w:rPr>
          <w:rFonts w:asciiTheme="minorHAnsi" w:hAnsiTheme="minorHAnsi" w:eastAsiaTheme="minorEastAsia" w:cstheme="minorBidi"/>
          <w:color w:val="auto"/>
          <w:kern w:val="2"/>
          <w:sz w:val="22"/>
          <w14:ligatures w14:val="standardContextual"/>
        </w:rPr>
      </w:pPr>
      <w:r>
        <w:rPr>
          <w:color w:val="auto"/>
        </w:rPr>
        <w:fldChar w:fldCharType="begin"/>
      </w:r>
      <w:r>
        <w:rPr>
          <w:color w:val="auto"/>
        </w:rPr>
        <w:instrText xml:space="preserve"> HYPERLINK \l "_Toc187068710" </w:instrText>
      </w:r>
      <w:r>
        <w:rPr>
          <w:color w:val="auto"/>
        </w:rPr>
        <w:fldChar w:fldCharType="separate"/>
      </w:r>
      <w:r>
        <w:rPr>
          <w:rStyle w:val="38"/>
          <w:rFonts w:ascii="仿宋" w:hAnsi="仿宋" w:eastAsia="仿宋"/>
          <w:b/>
          <w:bCs/>
          <w:color w:val="auto"/>
        </w:rPr>
        <w:t>五、其他应提供的资料</w:t>
      </w:r>
      <w:r>
        <w:rPr>
          <w:color w:val="auto"/>
        </w:rPr>
        <w:tab/>
      </w:r>
      <w:r>
        <w:rPr>
          <w:color w:val="auto"/>
        </w:rPr>
        <w:fldChar w:fldCharType="begin"/>
      </w:r>
      <w:r>
        <w:rPr>
          <w:color w:val="auto"/>
        </w:rPr>
        <w:instrText xml:space="preserve"> PAGEREF _Toc187068710 \h </w:instrText>
      </w:r>
      <w:r>
        <w:rPr>
          <w:color w:val="auto"/>
        </w:rPr>
        <w:fldChar w:fldCharType="separate"/>
      </w:r>
      <w:r>
        <w:rPr>
          <w:color w:val="auto"/>
        </w:rPr>
        <w:t>- 33 -</w:t>
      </w:r>
      <w:r>
        <w:rPr>
          <w:color w:val="auto"/>
        </w:rPr>
        <w:fldChar w:fldCharType="end"/>
      </w:r>
      <w:r>
        <w:rPr>
          <w:color w:val="auto"/>
        </w:rPr>
        <w:fldChar w:fldCharType="end"/>
      </w:r>
    </w:p>
    <w:p>
      <w:pPr>
        <w:pStyle w:val="24"/>
        <w:rPr>
          <w:rFonts w:asciiTheme="minorHAnsi" w:hAnsiTheme="minorHAnsi" w:eastAsiaTheme="minorEastAsia" w:cstheme="minorBidi"/>
          <w:b w:val="0"/>
          <w:bCs w:val="0"/>
          <w:color w:val="auto"/>
          <w:kern w:val="2"/>
          <w:sz w:val="22"/>
          <w14:ligatures w14:val="standardContextual"/>
        </w:rPr>
      </w:pPr>
      <w:r>
        <w:rPr>
          <w:color w:val="auto"/>
        </w:rPr>
        <w:fldChar w:fldCharType="begin"/>
      </w:r>
      <w:r>
        <w:rPr>
          <w:color w:val="auto"/>
        </w:rPr>
        <w:instrText xml:space="preserve"> HYPERLINK \l "_Toc187068711" </w:instrText>
      </w:r>
      <w:r>
        <w:rPr>
          <w:color w:val="auto"/>
        </w:rPr>
        <w:fldChar w:fldCharType="separate"/>
      </w:r>
      <w:r>
        <w:rPr>
          <w:rStyle w:val="38"/>
          <w:rFonts w:ascii="仿宋" w:hAnsi="仿宋" w:eastAsia="仿宋" w:cs="仿宋"/>
          <w:color w:val="auto"/>
        </w:rPr>
        <w:t>附件1：</w:t>
      </w:r>
      <w:r>
        <w:rPr>
          <w:color w:val="auto"/>
        </w:rPr>
        <w:tab/>
      </w:r>
      <w:r>
        <w:rPr>
          <w:color w:val="auto"/>
        </w:rPr>
        <w:fldChar w:fldCharType="begin"/>
      </w:r>
      <w:r>
        <w:rPr>
          <w:color w:val="auto"/>
        </w:rPr>
        <w:instrText xml:space="preserve"> PAGEREF _Toc187068711 \h </w:instrText>
      </w:r>
      <w:r>
        <w:rPr>
          <w:color w:val="auto"/>
        </w:rPr>
        <w:fldChar w:fldCharType="separate"/>
      </w:r>
      <w:r>
        <w:rPr>
          <w:color w:val="auto"/>
        </w:rPr>
        <w:t>- 34 -</w:t>
      </w:r>
      <w:r>
        <w:rPr>
          <w:color w:val="auto"/>
        </w:rPr>
        <w:fldChar w:fldCharType="end"/>
      </w:r>
      <w:r>
        <w:rPr>
          <w:color w:val="auto"/>
        </w:rPr>
        <w:fldChar w:fldCharType="end"/>
      </w:r>
    </w:p>
    <w:p>
      <w:pPr>
        <w:spacing w:line="360" w:lineRule="exact"/>
        <w:rPr>
          <w:rFonts w:ascii="仿宋" w:hAnsi="仿宋" w:eastAsia="仿宋"/>
          <w:color w:val="auto"/>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ascii="仿宋" w:hAnsi="仿宋" w:eastAsia="仿宋"/>
          <w:color w:val="auto"/>
        </w:rPr>
        <w:fldChar w:fldCharType="end"/>
      </w:r>
    </w:p>
    <w:p>
      <w:pPr>
        <w:pStyle w:val="3"/>
        <w:spacing w:before="0" w:line="276" w:lineRule="auto"/>
        <w:jc w:val="center"/>
        <w:rPr>
          <w:rFonts w:ascii="仿宋" w:hAnsi="仿宋" w:eastAsia="仿宋" w:cs="仿宋_GB2312"/>
          <w:b/>
          <w:bCs/>
          <w:color w:val="auto"/>
          <w:sz w:val="36"/>
          <w:szCs w:val="36"/>
        </w:rPr>
      </w:pPr>
      <w:bookmarkStart w:id="8" w:name="_Toc152480139"/>
      <w:bookmarkStart w:id="9" w:name="_Toc187068677"/>
      <w:bookmarkStart w:id="10" w:name="_Toc10115"/>
      <w:bookmarkStart w:id="11" w:name="_Toc12789052"/>
      <w:bookmarkStart w:id="12" w:name="_Toc128744981"/>
      <w:bookmarkStart w:id="13" w:name="_Toc11641050"/>
      <w:r>
        <w:rPr>
          <w:rFonts w:hint="eastAsia" w:ascii="仿宋" w:hAnsi="仿宋" w:eastAsia="仿宋" w:cs="仿宋_GB2312"/>
          <w:b/>
          <w:bCs/>
          <w:color w:val="auto"/>
          <w:sz w:val="36"/>
          <w:szCs w:val="36"/>
        </w:rPr>
        <w:t>第一篇  比选邀请书</w:t>
      </w:r>
      <w:bookmarkEnd w:id="8"/>
      <w:bookmarkEnd w:id="9"/>
      <w:bookmarkEnd w:id="10"/>
    </w:p>
    <w:p>
      <w:pPr>
        <w:snapToGrid w:val="0"/>
        <w:spacing w:line="360" w:lineRule="auto"/>
        <w:rPr>
          <w:rFonts w:ascii="仿宋" w:hAnsi="仿宋" w:eastAsia="仿宋"/>
          <w:color w:val="auto"/>
        </w:rPr>
      </w:pPr>
    </w:p>
    <w:p>
      <w:pPr>
        <w:snapToGrid w:val="0"/>
        <w:spacing w:line="360" w:lineRule="auto"/>
        <w:ind w:firstLine="480" w:firstLineChars="200"/>
        <w:rPr>
          <w:rFonts w:ascii="仿宋" w:hAnsi="仿宋" w:eastAsia="仿宋" w:cs="仿宋_GB2312"/>
          <w:color w:val="auto"/>
        </w:rPr>
      </w:pPr>
      <w:bookmarkStart w:id="14" w:name="_Toc379619850"/>
      <w:r>
        <w:rPr>
          <w:rFonts w:hint="eastAsia" w:ascii="仿宋" w:hAnsi="仿宋" w:eastAsia="仿宋" w:cs="仿宋_GB2312"/>
          <w:color w:val="auto"/>
        </w:rPr>
        <w:t>受</w:t>
      </w:r>
      <w:r>
        <w:rPr>
          <w:rFonts w:hint="eastAsia" w:ascii="仿宋" w:hAnsi="仿宋" w:eastAsia="仿宋"/>
          <w:color w:val="auto"/>
          <w:sz w:val="24"/>
          <w:szCs w:val="24"/>
          <w:u w:val="single"/>
        </w:rPr>
        <w:t>重庆市汇昊招标代理有限公司</w:t>
      </w:r>
      <w:r>
        <w:rPr>
          <w:rFonts w:hint="eastAsia" w:ascii="仿宋" w:hAnsi="仿宋" w:eastAsia="仿宋" w:cs="仿宋_GB2312"/>
          <w:color w:val="auto"/>
        </w:rPr>
        <w:t>的委托，我公司组织对</w:t>
      </w:r>
      <w:r>
        <w:rPr>
          <w:rFonts w:hint="eastAsia" w:ascii="仿宋" w:hAnsi="仿宋" w:eastAsia="仿宋"/>
          <w:color w:val="auto"/>
          <w:sz w:val="24"/>
          <w:szCs w:val="24"/>
          <w:highlight w:val="none"/>
          <w:u w:val="single"/>
          <w:lang w:eastAsia="zh-CN"/>
        </w:rPr>
        <w:t>森林防火太阳能语音宣传杆采购项目</w:t>
      </w:r>
      <w:r>
        <w:rPr>
          <w:rFonts w:hint="eastAsia" w:ascii="仿宋" w:hAnsi="仿宋" w:eastAsia="仿宋" w:cs="仿宋_GB2312"/>
          <w:color w:val="auto"/>
        </w:rPr>
        <w:t>进行比选采购。欢迎具备相关资质的供应商参加报价。</w:t>
      </w:r>
    </w:p>
    <w:p>
      <w:pPr>
        <w:pStyle w:val="5"/>
        <w:rPr>
          <w:rFonts w:ascii="仿宋" w:hAnsi="仿宋" w:eastAsia="仿宋"/>
          <w:b/>
          <w:bCs/>
          <w:color w:val="auto"/>
          <w:sz w:val="24"/>
          <w:szCs w:val="24"/>
        </w:rPr>
      </w:pPr>
      <w:bookmarkStart w:id="15" w:name="_Toc25592"/>
      <w:bookmarkStart w:id="16" w:name="_Toc187068678"/>
      <w:r>
        <w:rPr>
          <w:rFonts w:hint="eastAsia" w:ascii="仿宋" w:hAnsi="仿宋" w:eastAsia="仿宋"/>
          <w:b/>
          <w:bCs/>
          <w:color w:val="auto"/>
          <w:sz w:val="24"/>
          <w:szCs w:val="24"/>
        </w:rPr>
        <w:t>一、比选项目内容</w:t>
      </w:r>
      <w:bookmarkEnd w:id="14"/>
      <w:bookmarkEnd w:id="15"/>
      <w:bookmarkEnd w:id="16"/>
    </w:p>
    <w:tbl>
      <w:tblPr>
        <w:tblStyle w:val="33"/>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131"/>
        <w:gridCol w:w="213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631" w:type="dxa"/>
            <w:vAlign w:val="center"/>
          </w:tcPr>
          <w:p>
            <w:pPr>
              <w:spacing w:line="380" w:lineRule="exact"/>
              <w:jc w:val="center"/>
              <w:rPr>
                <w:rFonts w:ascii="仿宋" w:hAnsi="仿宋" w:eastAsia="仿宋"/>
                <w:b/>
                <w:bCs/>
                <w:color w:val="auto"/>
              </w:rPr>
            </w:pPr>
            <w:bookmarkStart w:id="17" w:name="_Toc378251877"/>
            <w:bookmarkStart w:id="18" w:name="_Toc152480140"/>
            <w:r>
              <w:rPr>
                <w:rFonts w:hint="eastAsia" w:ascii="仿宋" w:hAnsi="仿宋" w:eastAsia="仿宋"/>
                <w:b/>
                <w:bCs/>
                <w:color w:val="auto"/>
              </w:rPr>
              <w:t>项目名称</w:t>
            </w:r>
          </w:p>
        </w:tc>
        <w:tc>
          <w:tcPr>
            <w:tcW w:w="2131" w:type="dxa"/>
            <w:vAlign w:val="center"/>
          </w:tcPr>
          <w:p>
            <w:pPr>
              <w:spacing w:line="380" w:lineRule="exact"/>
              <w:jc w:val="center"/>
              <w:rPr>
                <w:rFonts w:ascii="仿宋" w:hAnsi="仿宋" w:eastAsia="仿宋"/>
                <w:b/>
                <w:bCs/>
                <w:color w:val="auto"/>
              </w:rPr>
            </w:pPr>
            <w:r>
              <w:rPr>
                <w:rFonts w:hint="eastAsia" w:ascii="仿宋" w:hAnsi="仿宋" w:eastAsia="仿宋"/>
                <w:b/>
                <w:bCs/>
                <w:color w:val="auto"/>
              </w:rPr>
              <w:t>预算金额</w:t>
            </w:r>
          </w:p>
          <w:p>
            <w:pPr>
              <w:spacing w:line="380" w:lineRule="exact"/>
              <w:jc w:val="center"/>
              <w:rPr>
                <w:rFonts w:ascii="仿宋" w:hAnsi="仿宋" w:eastAsia="仿宋"/>
                <w:b/>
                <w:bCs/>
                <w:color w:val="auto"/>
              </w:rPr>
            </w:pPr>
            <w:r>
              <w:rPr>
                <w:rFonts w:hint="eastAsia" w:ascii="仿宋" w:hAnsi="仿宋" w:eastAsia="仿宋"/>
                <w:b/>
                <w:bCs/>
                <w:color w:val="auto"/>
              </w:rPr>
              <w:t>（元）</w:t>
            </w:r>
          </w:p>
        </w:tc>
        <w:tc>
          <w:tcPr>
            <w:tcW w:w="2131" w:type="dxa"/>
            <w:vAlign w:val="center"/>
          </w:tcPr>
          <w:p>
            <w:pPr>
              <w:spacing w:line="380" w:lineRule="exact"/>
              <w:jc w:val="center"/>
              <w:rPr>
                <w:rFonts w:ascii="仿宋" w:hAnsi="仿宋" w:eastAsia="仿宋"/>
                <w:b/>
                <w:bCs/>
                <w:color w:val="auto"/>
              </w:rPr>
            </w:pPr>
            <w:r>
              <w:rPr>
                <w:rFonts w:hint="eastAsia" w:ascii="仿宋" w:hAnsi="仿宋" w:eastAsia="仿宋"/>
                <w:b/>
                <w:bCs/>
                <w:color w:val="auto"/>
              </w:rPr>
              <w:t>最高限价</w:t>
            </w:r>
          </w:p>
          <w:p>
            <w:pPr>
              <w:jc w:val="center"/>
              <w:rPr>
                <w:rFonts w:ascii="仿宋" w:hAnsi="仿宋" w:eastAsia="仿宋"/>
                <w:b/>
                <w:bCs/>
                <w:color w:val="auto"/>
              </w:rPr>
            </w:pPr>
            <w:r>
              <w:rPr>
                <w:rFonts w:hint="eastAsia" w:ascii="仿宋" w:hAnsi="仿宋" w:eastAsia="仿宋"/>
                <w:b/>
                <w:bCs/>
                <w:color w:val="auto"/>
              </w:rPr>
              <w:t>（元）</w:t>
            </w:r>
          </w:p>
        </w:tc>
        <w:tc>
          <w:tcPr>
            <w:tcW w:w="1600" w:type="dxa"/>
            <w:vAlign w:val="center"/>
          </w:tcPr>
          <w:p>
            <w:pPr>
              <w:jc w:val="center"/>
              <w:rPr>
                <w:rFonts w:ascii="仿宋" w:hAnsi="仿宋" w:eastAsia="仿宋"/>
                <w:b/>
                <w:bCs/>
                <w:color w:val="auto"/>
              </w:rPr>
            </w:pPr>
            <w:r>
              <w:rPr>
                <w:rFonts w:hint="eastAsia" w:ascii="仿宋" w:hAnsi="仿宋" w:eastAsia="仿宋"/>
                <w:b/>
                <w:bCs/>
                <w:color w:val="auto"/>
              </w:rPr>
              <w:t>成交供应商</w:t>
            </w:r>
          </w:p>
          <w:p>
            <w:pPr>
              <w:jc w:val="center"/>
              <w:rPr>
                <w:rFonts w:ascii="仿宋" w:hAnsi="仿宋" w:eastAsia="仿宋"/>
                <w:b/>
                <w:bCs/>
                <w:color w:val="auto"/>
              </w:rPr>
            </w:pPr>
            <w:r>
              <w:rPr>
                <w:rFonts w:hint="eastAsia" w:ascii="仿宋" w:hAnsi="仿宋" w:eastAsia="仿宋"/>
                <w:b/>
                <w:bCs/>
                <w:color w:val="auto"/>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3631" w:type="dxa"/>
            <w:vAlign w:val="center"/>
          </w:tcPr>
          <w:p>
            <w:pPr>
              <w:jc w:val="center"/>
              <w:rPr>
                <w:rFonts w:ascii="仿宋" w:hAnsi="仿宋" w:eastAsia="仿宋"/>
                <w:color w:val="auto"/>
              </w:rPr>
            </w:pPr>
            <w:r>
              <w:rPr>
                <w:rFonts w:hint="eastAsia" w:ascii="仿宋" w:hAnsi="仿宋" w:eastAsia="仿宋" w:cs="仿宋"/>
                <w:color w:val="auto"/>
                <w:sz w:val="24"/>
                <w:szCs w:val="24"/>
                <w:u w:val="none"/>
                <w:lang w:val="en-US" w:eastAsia="zh-CN"/>
              </w:rPr>
              <w:t>森林防火太阳能语音宣传杆采购</w:t>
            </w:r>
            <w:r>
              <w:rPr>
                <w:rFonts w:hint="eastAsia" w:ascii="仿宋" w:hAnsi="仿宋" w:eastAsia="仿宋" w:cs="仿宋"/>
                <w:color w:val="auto"/>
                <w:sz w:val="24"/>
                <w:szCs w:val="24"/>
                <w:u w:val="none"/>
              </w:rPr>
              <w:t>项目</w:t>
            </w:r>
          </w:p>
        </w:tc>
        <w:tc>
          <w:tcPr>
            <w:tcW w:w="2131" w:type="dxa"/>
            <w:vAlign w:val="center"/>
          </w:tcPr>
          <w:p>
            <w:pPr>
              <w:jc w:val="center"/>
              <w:rPr>
                <w:rFonts w:hint="default" w:ascii="仿宋" w:hAnsi="仿宋" w:eastAsia="仿宋"/>
                <w:color w:val="auto"/>
                <w:sz w:val="24"/>
                <w:lang w:val="en-US"/>
              </w:rPr>
            </w:pPr>
            <w:r>
              <w:rPr>
                <w:rFonts w:hint="eastAsia" w:ascii="仿宋" w:hAnsi="仿宋" w:eastAsia="仿宋" w:cs="仿宋"/>
                <w:color w:val="auto"/>
                <w:highlight w:val="none"/>
                <w:lang w:val="en-US" w:eastAsia="zh-CN"/>
              </w:rPr>
              <w:t>230000.00</w:t>
            </w:r>
            <w:r>
              <w:rPr>
                <w:rFonts w:hint="eastAsia" w:ascii="仿宋" w:hAnsi="仿宋" w:eastAsia="仿宋" w:cs="仿宋"/>
                <w:color w:val="auto"/>
                <w:highlight w:val="none"/>
              </w:rPr>
              <w:t>元</w:t>
            </w:r>
          </w:p>
        </w:tc>
        <w:tc>
          <w:tcPr>
            <w:tcW w:w="2131" w:type="dxa"/>
            <w:vAlign w:val="center"/>
          </w:tcPr>
          <w:p>
            <w:pPr>
              <w:ind w:left="0"/>
              <w:jc w:val="center"/>
              <w:rPr>
                <w:rFonts w:hint="default" w:ascii="仿宋" w:hAnsi="仿宋" w:eastAsia="仿宋"/>
                <w:color w:val="auto"/>
                <w:sz w:val="24"/>
                <w:lang w:val="en-US"/>
              </w:rPr>
            </w:pPr>
            <w:r>
              <w:rPr>
                <w:rFonts w:hint="eastAsia" w:ascii="仿宋" w:hAnsi="仿宋" w:eastAsia="仿宋" w:cs="仿宋"/>
                <w:color w:val="auto"/>
                <w:highlight w:val="none"/>
                <w:lang w:val="en-US" w:eastAsia="zh-CN"/>
              </w:rPr>
              <w:t>230000.00</w:t>
            </w:r>
            <w:r>
              <w:rPr>
                <w:rFonts w:hint="eastAsia" w:ascii="仿宋" w:hAnsi="仿宋" w:eastAsia="仿宋" w:cs="仿宋"/>
                <w:color w:val="auto"/>
                <w:highlight w:val="none"/>
              </w:rPr>
              <w:t>元</w:t>
            </w:r>
          </w:p>
        </w:tc>
        <w:tc>
          <w:tcPr>
            <w:tcW w:w="1600" w:type="dxa"/>
            <w:vAlign w:val="center"/>
          </w:tcPr>
          <w:p>
            <w:pPr>
              <w:jc w:val="center"/>
              <w:rPr>
                <w:rFonts w:ascii="仿宋" w:hAnsi="仿宋" w:eastAsia="仿宋"/>
                <w:color w:val="auto"/>
              </w:rPr>
            </w:pPr>
            <w:r>
              <w:rPr>
                <w:rFonts w:hint="eastAsia" w:ascii="仿宋" w:hAnsi="仿宋" w:eastAsia="仿宋"/>
                <w:color w:val="auto"/>
              </w:rPr>
              <w:t>1</w:t>
            </w:r>
          </w:p>
        </w:tc>
      </w:tr>
    </w:tbl>
    <w:p>
      <w:pPr>
        <w:pStyle w:val="5"/>
        <w:rPr>
          <w:rFonts w:ascii="仿宋" w:hAnsi="仿宋" w:eastAsia="仿宋"/>
          <w:b/>
          <w:bCs/>
          <w:color w:val="auto"/>
          <w:sz w:val="24"/>
          <w:szCs w:val="24"/>
        </w:rPr>
      </w:pPr>
      <w:bookmarkStart w:id="19" w:name="_Toc187068679"/>
      <w:bookmarkStart w:id="20" w:name="_Toc13375"/>
      <w:r>
        <w:rPr>
          <w:rFonts w:hint="eastAsia" w:ascii="仿宋" w:hAnsi="仿宋" w:eastAsia="仿宋"/>
          <w:b/>
          <w:bCs/>
          <w:color w:val="auto"/>
          <w:sz w:val="24"/>
          <w:szCs w:val="24"/>
        </w:rPr>
        <w:t>二、资金来源</w:t>
      </w:r>
      <w:bookmarkEnd w:id="17"/>
      <w:bookmarkEnd w:id="19"/>
      <w:bookmarkEnd w:id="20"/>
    </w:p>
    <w:p>
      <w:pPr>
        <w:snapToGrid w:val="0"/>
        <w:spacing w:line="360" w:lineRule="auto"/>
        <w:ind w:firstLine="480" w:firstLineChars="200"/>
        <w:rPr>
          <w:rFonts w:hint="eastAsia" w:ascii="仿宋" w:hAnsi="仿宋" w:eastAsia="仿宋" w:cs="仿宋_GB2312"/>
          <w:color w:val="auto"/>
        </w:rPr>
      </w:pPr>
      <w:bookmarkStart w:id="21" w:name="_Toc23079"/>
      <w:bookmarkStart w:id="22" w:name="_Toc187068680"/>
      <w:r>
        <w:rPr>
          <w:rFonts w:hint="eastAsia" w:ascii="仿宋" w:hAnsi="仿宋" w:eastAsia="仿宋" w:cs="仿宋_GB2312"/>
          <w:color w:val="auto"/>
          <w:lang w:val="en-US" w:eastAsia="zh-CN"/>
        </w:rPr>
        <w:t>2025年中央林业草原生态保护恢复资金。</w:t>
      </w:r>
    </w:p>
    <w:p>
      <w:pPr>
        <w:pStyle w:val="5"/>
        <w:rPr>
          <w:rFonts w:ascii="仿宋" w:hAnsi="仿宋" w:eastAsia="仿宋"/>
          <w:b/>
          <w:bCs/>
          <w:color w:val="auto"/>
          <w:sz w:val="24"/>
          <w:szCs w:val="24"/>
        </w:rPr>
      </w:pPr>
      <w:r>
        <w:rPr>
          <w:rFonts w:hint="eastAsia" w:ascii="仿宋" w:hAnsi="仿宋" w:eastAsia="仿宋"/>
          <w:b/>
          <w:bCs/>
          <w:color w:val="auto"/>
          <w:sz w:val="24"/>
          <w:szCs w:val="24"/>
        </w:rPr>
        <w:t>三、资格要求</w:t>
      </w:r>
      <w:bookmarkEnd w:id="21"/>
      <w:bookmarkEnd w:id="22"/>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比选供应商是指向采购人提供货物、项目或者服务的法人、其他组织或者自然人。以下简称供应商。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合格的供应商应符合下列条件：</w:t>
      </w:r>
    </w:p>
    <w:p>
      <w:pPr>
        <w:snapToGrid w:val="0"/>
        <w:spacing w:line="360" w:lineRule="auto"/>
        <w:ind w:firstLine="480" w:firstLineChars="200"/>
        <w:rPr>
          <w:rFonts w:ascii="仿宋" w:hAnsi="仿宋" w:eastAsia="仿宋" w:cs="仿宋_GB2312"/>
          <w:color w:val="auto"/>
        </w:rPr>
      </w:pPr>
      <w:bookmarkStart w:id="23" w:name="_Toc487204774"/>
      <w:bookmarkStart w:id="24" w:name="_Toc1359"/>
      <w:r>
        <w:rPr>
          <w:rFonts w:hint="eastAsia" w:ascii="仿宋" w:hAnsi="仿宋" w:eastAsia="仿宋" w:cs="仿宋_GB2312"/>
          <w:color w:val="auto"/>
        </w:rPr>
        <w:t>（一）基本条件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1、具有独立承担民事责任的能力；</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、具有良好的商业信誉和健全的财务会计制度；</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3</w:t>
      </w:r>
      <w:r>
        <w:rPr>
          <w:rFonts w:hint="eastAsia" w:ascii="仿宋" w:hAnsi="仿宋" w:eastAsia="仿宋" w:cs="仿宋_GB2312"/>
          <w:color w:val="auto"/>
        </w:rPr>
        <w:t>、具有履行合同所必需的设备和专业技术能力；</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4</w:t>
      </w:r>
      <w:r>
        <w:rPr>
          <w:rFonts w:hint="eastAsia" w:ascii="仿宋" w:hAnsi="仿宋" w:eastAsia="仿宋" w:cs="仿宋_GB2312"/>
          <w:color w:val="auto"/>
        </w:rPr>
        <w:t>、有依法缴纳税收和社会保障资金的良好记录；</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5</w:t>
      </w:r>
      <w:r>
        <w:rPr>
          <w:rFonts w:hint="eastAsia" w:ascii="仿宋" w:hAnsi="仿宋" w:eastAsia="仿宋" w:cs="仿宋_GB2312"/>
          <w:color w:val="auto"/>
        </w:rPr>
        <w:t>、参加政府采购活动前三年内，在经营活动中没有重大违法记录。</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（二）特定资格条件</w:t>
      </w:r>
    </w:p>
    <w:p>
      <w:pPr>
        <w:snapToGrid w:val="0"/>
        <w:spacing w:line="360" w:lineRule="auto"/>
        <w:ind w:firstLine="480" w:firstLineChars="200"/>
        <w:rPr>
          <w:rFonts w:hint="eastAsia" w:ascii="仿宋" w:hAnsi="仿宋" w:eastAsia="仿宋" w:cs="仿宋_GB2312"/>
          <w:color w:val="auto"/>
          <w:lang w:val="en-US" w:eastAsia="zh-CN"/>
        </w:rPr>
      </w:pPr>
      <w:r>
        <w:rPr>
          <w:rFonts w:hint="eastAsia" w:ascii="仿宋" w:hAnsi="仿宋" w:eastAsia="仿宋" w:cs="仿宋_GB2312"/>
          <w:color w:val="auto"/>
          <w:lang w:val="en-US" w:eastAsia="zh-CN"/>
        </w:rPr>
        <w:t>无。</w:t>
      </w:r>
    </w:p>
    <w:p>
      <w:pPr>
        <w:pStyle w:val="5"/>
        <w:rPr>
          <w:rFonts w:ascii="仿宋" w:hAnsi="仿宋" w:eastAsia="仿宋"/>
          <w:b/>
          <w:bCs/>
          <w:color w:val="auto"/>
          <w:sz w:val="24"/>
          <w:szCs w:val="24"/>
        </w:rPr>
      </w:pPr>
      <w:bookmarkStart w:id="25" w:name="_Toc187068681"/>
      <w:bookmarkStart w:id="26" w:name="_Toc27943"/>
      <w:r>
        <w:rPr>
          <w:rFonts w:hint="eastAsia" w:ascii="仿宋" w:hAnsi="仿宋" w:eastAsia="仿宋"/>
          <w:b/>
          <w:bCs/>
          <w:color w:val="auto"/>
          <w:sz w:val="24"/>
          <w:szCs w:val="24"/>
        </w:rPr>
        <w:t>四、比选有关说明</w:t>
      </w:r>
      <w:bookmarkEnd w:id="23"/>
      <w:bookmarkEnd w:id="24"/>
      <w:bookmarkEnd w:id="25"/>
      <w:bookmarkEnd w:id="26"/>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（一）凡有意参加比选的供应商，请于公告发布之日起至提交首次响应文件截止时间之前，在“行采家(</w:t>
      </w:r>
      <w:r>
        <w:rPr>
          <w:color w:val="auto"/>
        </w:rPr>
        <w:fldChar w:fldCharType="begin"/>
      </w:r>
      <w:r>
        <w:rPr>
          <w:color w:val="auto"/>
        </w:rPr>
        <w:instrText xml:space="preserve"> HYPERLINK "https://www.gec123.com/" </w:instrText>
      </w:r>
      <w:r>
        <w:rPr>
          <w:color w:val="auto"/>
        </w:rPr>
        <w:fldChar w:fldCharType="separate"/>
      </w:r>
      <w:r>
        <w:rPr>
          <w:rFonts w:hint="eastAsia"/>
          <w:color w:val="auto"/>
        </w:rPr>
        <w:t>https://www.gec123.com</w:t>
      </w:r>
      <w:r>
        <w:rPr>
          <w:rFonts w:hint="eastAsia"/>
          <w:color w:val="auto"/>
        </w:rPr>
        <w:fldChar w:fldCharType="end"/>
      </w:r>
      <w:r>
        <w:rPr>
          <w:rFonts w:hint="eastAsia" w:ascii="仿宋" w:hAnsi="仿宋" w:eastAsia="仿宋" w:cs="仿宋_GB2312"/>
          <w:color w:val="auto"/>
        </w:rPr>
        <w:t>）”上下载或到采购代理机构领取本项目比选文件以及图纸、补遗等比选前公布的所有项目资料，无论供应商下载或领取与否，均视为已知晓所有比选实质性要求内容。</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（二）比选文件公告期限：2025年</w:t>
      </w:r>
      <w:r>
        <w:rPr>
          <w:rFonts w:hint="eastAsia" w:ascii="仿宋" w:hAnsi="仿宋" w:eastAsia="仿宋" w:cs="仿宋_GB2312"/>
          <w:color w:val="auto"/>
          <w:lang w:val="en-US" w:eastAsia="zh-CN"/>
        </w:rPr>
        <w:t>6</w:t>
      </w:r>
      <w:r>
        <w:rPr>
          <w:rFonts w:hint="eastAsia" w:ascii="仿宋" w:hAnsi="仿宋" w:eastAsia="仿宋" w:cs="仿宋_GB2312"/>
          <w:color w:val="auto"/>
        </w:rPr>
        <w:t>月</w:t>
      </w:r>
      <w:r>
        <w:rPr>
          <w:rFonts w:hint="eastAsia" w:ascii="仿宋" w:hAnsi="仿宋" w:eastAsia="仿宋" w:cs="仿宋_GB2312"/>
          <w:color w:val="auto"/>
          <w:lang w:val="en-US" w:eastAsia="zh-CN"/>
        </w:rPr>
        <w:t>18</w:t>
      </w:r>
      <w:r>
        <w:rPr>
          <w:rFonts w:hint="eastAsia" w:ascii="仿宋" w:hAnsi="仿宋" w:eastAsia="仿宋" w:cs="仿宋_GB2312"/>
          <w:color w:val="auto"/>
        </w:rPr>
        <w:t>日-2025年</w:t>
      </w:r>
      <w:r>
        <w:rPr>
          <w:rFonts w:hint="eastAsia" w:ascii="仿宋" w:hAnsi="仿宋" w:eastAsia="仿宋" w:cs="仿宋_GB2312"/>
          <w:color w:val="auto"/>
          <w:lang w:val="en-US" w:eastAsia="zh-CN"/>
        </w:rPr>
        <w:t>6</w:t>
      </w:r>
      <w:r>
        <w:rPr>
          <w:rFonts w:hint="eastAsia" w:ascii="仿宋" w:hAnsi="仿宋" w:eastAsia="仿宋" w:cs="仿宋_GB2312"/>
          <w:color w:val="auto"/>
        </w:rPr>
        <w:t>月</w:t>
      </w:r>
      <w:r>
        <w:rPr>
          <w:rFonts w:hint="eastAsia" w:ascii="仿宋" w:hAnsi="仿宋" w:eastAsia="仿宋" w:cs="仿宋_GB2312"/>
          <w:color w:val="auto"/>
          <w:lang w:val="en-US" w:eastAsia="zh-CN"/>
        </w:rPr>
        <w:t>24</w:t>
      </w:r>
      <w:r>
        <w:rPr>
          <w:rFonts w:hint="eastAsia" w:ascii="仿宋" w:hAnsi="仿宋" w:eastAsia="仿宋" w:cs="仿宋_GB2312"/>
          <w:color w:val="auto"/>
        </w:rPr>
        <w:t>日（开标前，工作时间）。</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（三）文件购买费：招标文件购买费为300元/分包（售后不退）。</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1.招标文件购买方式</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1.1汇款购买</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color w:val="auto"/>
        </w:rPr>
        <w:t>664313343@</w:t>
      </w:r>
      <w:r>
        <w:rPr>
          <w:rFonts w:hint="eastAsia" w:ascii="仿宋" w:hAnsi="仿宋" w:eastAsia="仿宋" w:cs="仿宋_GB2312"/>
          <w:color w:val="auto"/>
        </w:rPr>
        <w:t>qq.com</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户  名：重庆市汇昊招标代理有限公司</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开户行：中国工商银行股份有限公司南川西城支行</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账  号：3100010109100027510</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、现金及微信转账</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2.1</w:t>
      </w:r>
      <w:r>
        <w:rPr>
          <w:rFonts w:hint="eastAsia" w:ascii="仿宋" w:hAnsi="仿宋" w:eastAsia="仿宋" w:cs="仿宋_GB2312"/>
          <w:color w:val="auto"/>
        </w:rPr>
        <w:t>在比选文件发售期内[2025年</w:t>
      </w:r>
      <w:r>
        <w:rPr>
          <w:rFonts w:hint="eastAsia" w:ascii="仿宋" w:hAnsi="仿宋" w:eastAsia="仿宋" w:cs="仿宋_GB2312"/>
          <w:color w:val="auto"/>
          <w:lang w:val="en-US" w:eastAsia="zh-CN"/>
        </w:rPr>
        <w:t>6</w:t>
      </w:r>
      <w:r>
        <w:rPr>
          <w:rFonts w:hint="eastAsia" w:ascii="仿宋" w:hAnsi="仿宋" w:eastAsia="仿宋" w:cs="仿宋_GB2312"/>
          <w:color w:val="auto"/>
        </w:rPr>
        <w:t>月</w:t>
      </w:r>
      <w:r>
        <w:rPr>
          <w:rFonts w:hint="eastAsia" w:ascii="仿宋" w:hAnsi="仿宋" w:eastAsia="仿宋" w:cs="仿宋_GB2312"/>
          <w:color w:val="auto"/>
          <w:lang w:val="en-US" w:eastAsia="zh-CN"/>
        </w:rPr>
        <w:t>18</w:t>
      </w:r>
      <w:r>
        <w:rPr>
          <w:rFonts w:hint="eastAsia" w:ascii="仿宋" w:hAnsi="仿宋" w:eastAsia="仿宋" w:cs="仿宋_GB2312"/>
          <w:color w:val="auto"/>
        </w:rPr>
        <w:t>日-2025年</w:t>
      </w:r>
      <w:r>
        <w:rPr>
          <w:rFonts w:hint="eastAsia" w:ascii="仿宋" w:hAnsi="仿宋" w:eastAsia="仿宋" w:cs="仿宋_GB2312"/>
          <w:color w:val="auto"/>
          <w:lang w:val="en-US" w:eastAsia="zh-CN"/>
        </w:rPr>
        <w:t>6</w:t>
      </w:r>
      <w:r>
        <w:rPr>
          <w:rFonts w:hint="eastAsia" w:ascii="仿宋" w:hAnsi="仿宋" w:eastAsia="仿宋" w:cs="仿宋_GB2312"/>
          <w:color w:val="auto"/>
        </w:rPr>
        <w:t>月</w:t>
      </w:r>
      <w:r>
        <w:rPr>
          <w:rFonts w:hint="eastAsia" w:ascii="仿宋" w:hAnsi="仿宋" w:eastAsia="仿宋" w:cs="仿宋_GB2312"/>
          <w:color w:val="auto"/>
          <w:lang w:val="en-US" w:eastAsia="zh-CN"/>
        </w:rPr>
        <w:t>24</w:t>
      </w:r>
      <w:r>
        <w:rPr>
          <w:rFonts w:hint="eastAsia" w:ascii="仿宋" w:hAnsi="仿宋" w:eastAsia="仿宋" w:cs="仿宋_GB2312"/>
          <w:color w:val="auto"/>
        </w:rPr>
        <w:t>日（开标前，工作时间）],供应商到</w:t>
      </w:r>
      <w:r>
        <w:rPr>
          <w:rFonts w:ascii="仿宋" w:hAnsi="仿宋" w:eastAsia="仿宋" w:cs="Times New Roman"/>
          <w:color w:val="auto"/>
        </w:rPr>
        <w:t>重庆市南川区</w:t>
      </w:r>
      <w:r>
        <w:rPr>
          <w:rFonts w:hint="eastAsia" w:ascii="仿宋" w:hAnsi="仿宋" w:eastAsia="仿宋" w:cs="Times New Roman"/>
          <w:color w:val="auto"/>
        </w:rPr>
        <w:t>金川路168号汇昊招标</w:t>
      </w:r>
      <w:r>
        <w:rPr>
          <w:rFonts w:hint="eastAsia" w:ascii="仿宋" w:hAnsi="仿宋" w:eastAsia="仿宋" w:cs="仿宋_GB2312"/>
          <w:color w:val="auto"/>
        </w:rPr>
        <w:t>，递交《采购文件发售登记表》（加盖供应商公章）并购买比选文件。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（四）供应商须满足以下三种要件，其响应文件才被接受：</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1.按时递交了响应文件；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w:t>
      </w:r>
      <w:r>
        <w:rPr>
          <w:rFonts w:ascii="仿宋" w:hAnsi="仿宋" w:eastAsia="仿宋" w:cs="仿宋_GB2312"/>
          <w:color w:val="auto"/>
        </w:rPr>
        <w:t>.</w:t>
      </w:r>
      <w:r>
        <w:rPr>
          <w:rFonts w:hint="eastAsia" w:ascii="仿宋" w:hAnsi="仿宋" w:eastAsia="仿宋" w:cs="仿宋_GB2312"/>
          <w:color w:val="auto"/>
        </w:rPr>
        <w:t>按时报名签到；</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3</w:t>
      </w:r>
      <w:r>
        <w:rPr>
          <w:rFonts w:hint="eastAsia" w:ascii="仿宋" w:hAnsi="仿宋" w:eastAsia="仿宋" w:cs="仿宋_GB2312"/>
          <w:color w:val="auto"/>
        </w:rPr>
        <w:t>.缴纳了文件购买费并登记递交《采购文件发售登记表》加盖供应商公章（《采购文件发售登记表》见文件最后页附件）。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（五）投标地点：重庆市南川区金川路168号汇昊招标2层接件台</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（六）投标开始时间：2025年</w:t>
      </w:r>
      <w:r>
        <w:rPr>
          <w:rFonts w:hint="eastAsia" w:ascii="仿宋" w:hAnsi="仿宋" w:eastAsia="仿宋" w:cs="仿宋_GB2312"/>
          <w:color w:val="auto"/>
          <w:lang w:val="en-US" w:eastAsia="zh-CN"/>
        </w:rPr>
        <w:t>6</w:t>
      </w:r>
      <w:r>
        <w:rPr>
          <w:rFonts w:hint="eastAsia" w:ascii="仿宋" w:hAnsi="仿宋" w:eastAsia="仿宋" w:cs="仿宋_GB2312"/>
          <w:color w:val="auto"/>
        </w:rPr>
        <w:t>月</w:t>
      </w:r>
      <w:r>
        <w:rPr>
          <w:rFonts w:hint="eastAsia" w:ascii="仿宋" w:hAnsi="仿宋" w:eastAsia="仿宋" w:cs="仿宋_GB2312"/>
          <w:color w:val="auto"/>
          <w:lang w:val="en-US" w:eastAsia="zh-CN"/>
        </w:rPr>
        <w:t>24</w:t>
      </w:r>
      <w:r>
        <w:rPr>
          <w:rFonts w:hint="eastAsia" w:ascii="仿宋" w:hAnsi="仿宋" w:eastAsia="仿宋" w:cs="仿宋_GB2312"/>
          <w:color w:val="auto"/>
        </w:rPr>
        <w:t>日北京时间</w:t>
      </w:r>
      <w:r>
        <w:rPr>
          <w:rFonts w:hint="eastAsia" w:ascii="仿宋" w:hAnsi="仿宋" w:eastAsia="仿宋" w:cs="仿宋_GB2312"/>
          <w:color w:val="auto"/>
          <w:lang w:val="en-US" w:eastAsia="zh-CN"/>
        </w:rPr>
        <w:t>9</w:t>
      </w:r>
      <w:r>
        <w:rPr>
          <w:rFonts w:hint="eastAsia" w:ascii="仿宋" w:hAnsi="仿宋" w:eastAsia="仿宋" w:cs="仿宋_GB2312"/>
          <w:color w:val="auto"/>
        </w:rPr>
        <w:t>:</w:t>
      </w:r>
      <w:r>
        <w:rPr>
          <w:rFonts w:hint="eastAsia" w:ascii="仿宋" w:hAnsi="仿宋" w:eastAsia="仿宋" w:cs="仿宋_GB2312"/>
          <w:color w:val="auto"/>
          <w:lang w:val="en-US" w:eastAsia="zh-CN"/>
        </w:rPr>
        <w:t>3</w:t>
      </w:r>
      <w:r>
        <w:rPr>
          <w:rFonts w:hint="eastAsia" w:ascii="仿宋" w:hAnsi="仿宋" w:eastAsia="仿宋" w:cs="仿宋_GB2312"/>
          <w:color w:val="auto"/>
        </w:rPr>
        <w:t>0</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（七）投标截止时间2025年</w:t>
      </w:r>
      <w:r>
        <w:rPr>
          <w:rFonts w:hint="eastAsia" w:ascii="仿宋" w:hAnsi="仿宋" w:eastAsia="仿宋" w:cs="仿宋_GB2312"/>
          <w:color w:val="auto"/>
          <w:lang w:val="en-US" w:eastAsia="zh-CN"/>
        </w:rPr>
        <w:t>6</w:t>
      </w:r>
      <w:r>
        <w:rPr>
          <w:rFonts w:hint="eastAsia" w:ascii="仿宋" w:hAnsi="仿宋" w:eastAsia="仿宋" w:cs="仿宋_GB2312"/>
          <w:color w:val="auto"/>
        </w:rPr>
        <w:t>月</w:t>
      </w:r>
      <w:r>
        <w:rPr>
          <w:rFonts w:hint="eastAsia" w:ascii="仿宋" w:hAnsi="仿宋" w:eastAsia="仿宋" w:cs="仿宋_GB2312"/>
          <w:color w:val="auto"/>
          <w:lang w:val="en-US" w:eastAsia="zh-CN"/>
        </w:rPr>
        <w:t>24</w:t>
      </w:r>
      <w:r>
        <w:rPr>
          <w:rFonts w:hint="eastAsia" w:ascii="仿宋" w:hAnsi="仿宋" w:eastAsia="仿宋" w:cs="仿宋_GB2312"/>
          <w:color w:val="auto"/>
        </w:rPr>
        <w:t>日北京时间</w:t>
      </w:r>
      <w:r>
        <w:rPr>
          <w:rFonts w:hint="eastAsia" w:ascii="仿宋" w:hAnsi="仿宋" w:eastAsia="仿宋" w:cs="仿宋_GB2312"/>
          <w:color w:val="auto"/>
          <w:lang w:val="en-US" w:eastAsia="zh-CN"/>
        </w:rPr>
        <w:t>10</w:t>
      </w:r>
      <w:r>
        <w:rPr>
          <w:rFonts w:hint="eastAsia" w:ascii="仿宋" w:hAnsi="仿宋" w:eastAsia="仿宋" w:cs="仿宋_GB2312"/>
          <w:color w:val="auto"/>
        </w:rPr>
        <w:t>:</w:t>
      </w:r>
      <w:r>
        <w:rPr>
          <w:rFonts w:hint="eastAsia" w:ascii="仿宋" w:hAnsi="仿宋" w:eastAsia="仿宋" w:cs="仿宋_GB2312"/>
          <w:color w:val="auto"/>
          <w:lang w:val="en-US" w:eastAsia="zh-CN"/>
        </w:rPr>
        <w:t>0</w:t>
      </w:r>
      <w:r>
        <w:rPr>
          <w:rFonts w:hint="eastAsia" w:ascii="仿宋" w:hAnsi="仿宋" w:eastAsia="仿宋" w:cs="仿宋_GB2312"/>
          <w:color w:val="auto"/>
        </w:rPr>
        <w:t>0</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（八）开标时间：2025年</w:t>
      </w:r>
      <w:r>
        <w:rPr>
          <w:rFonts w:hint="eastAsia" w:ascii="仿宋" w:hAnsi="仿宋" w:eastAsia="仿宋" w:cs="仿宋_GB2312"/>
          <w:color w:val="auto"/>
          <w:lang w:val="en-US" w:eastAsia="zh-CN"/>
        </w:rPr>
        <w:t>6</w:t>
      </w:r>
      <w:r>
        <w:rPr>
          <w:rFonts w:hint="eastAsia" w:ascii="仿宋" w:hAnsi="仿宋" w:eastAsia="仿宋" w:cs="仿宋_GB2312"/>
          <w:color w:val="auto"/>
        </w:rPr>
        <w:t>月</w:t>
      </w:r>
      <w:r>
        <w:rPr>
          <w:rFonts w:hint="eastAsia" w:ascii="仿宋" w:hAnsi="仿宋" w:eastAsia="仿宋" w:cs="仿宋_GB2312"/>
          <w:color w:val="auto"/>
          <w:lang w:val="en-US" w:eastAsia="zh-CN"/>
        </w:rPr>
        <w:t>24</w:t>
      </w:r>
      <w:r>
        <w:rPr>
          <w:rFonts w:hint="eastAsia" w:ascii="仿宋" w:hAnsi="仿宋" w:eastAsia="仿宋" w:cs="仿宋_GB2312"/>
          <w:color w:val="auto"/>
        </w:rPr>
        <w:t>日北京时间</w:t>
      </w:r>
      <w:r>
        <w:rPr>
          <w:rFonts w:hint="eastAsia" w:ascii="仿宋" w:hAnsi="仿宋" w:eastAsia="仿宋" w:cs="仿宋_GB2312"/>
          <w:color w:val="auto"/>
          <w:lang w:val="en-US" w:eastAsia="zh-CN"/>
        </w:rPr>
        <w:t>10</w:t>
      </w:r>
      <w:r>
        <w:rPr>
          <w:rFonts w:hint="eastAsia" w:ascii="仿宋" w:hAnsi="仿宋" w:eastAsia="仿宋" w:cs="仿宋_GB2312"/>
          <w:color w:val="auto"/>
        </w:rPr>
        <w:t>:</w:t>
      </w:r>
      <w:r>
        <w:rPr>
          <w:rFonts w:hint="eastAsia" w:ascii="仿宋" w:hAnsi="仿宋" w:eastAsia="仿宋" w:cs="仿宋_GB2312"/>
          <w:color w:val="auto"/>
          <w:lang w:val="en-US" w:eastAsia="zh-CN"/>
        </w:rPr>
        <w:t>0</w:t>
      </w:r>
      <w:r>
        <w:rPr>
          <w:rFonts w:hint="eastAsia" w:ascii="仿宋" w:hAnsi="仿宋" w:eastAsia="仿宋" w:cs="仿宋_GB2312"/>
          <w:color w:val="auto"/>
        </w:rPr>
        <w:t>0</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（九）开标地点：</w:t>
      </w:r>
      <w:r>
        <w:rPr>
          <w:rFonts w:ascii="仿宋" w:hAnsi="仿宋" w:eastAsia="仿宋" w:cs="仿宋_GB2312"/>
          <w:color w:val="auto"/>
        </w:rPr>
        <w:t>重庆市南川区</w:t>
      </w:r>
      <w:r>
        <w:rPr>
          <w:rFonts w:hint="eastAsia" w:ascii="仿宋" w:hAnsi="仿宋" w:eastAsia="仿宋" w:cs="仿宋_GB2312"/>
          <w:color w:val="auto"/>
        </w:rPr>
        <w:t>金川路168号汇昊招标2层开标厅</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rPr>
        <w:t>（十）</w:t>
      </w:r>
      <w:r>
        <w:rPr>
          <w:rFonts w:hint="eastAsia" w:ascii="仿宋" w:hAnsi="仿宋" w:eastAsia="仿宋" w:cs="仿宋_GB2312"/>
          <w:color w:val="auto"/>
          <w:highlight w:val="none"/>
        </w:rPr>
        <w:t>网上报价时间段：比选公告发布之日起至</w:t>
      </w:r>
      <w:r>
        <w:rPr>
          <w:rFonts w:hint="eastAsia" w:ascii="仿宋" w:hAnsi="仿宋" w:eastAsia="仿宋" w:cs="仿宋_GB2312"/>
          <w:color w:val="auto"/>
        </w:rPr>
        <w:t>2025年</w:t>
      </w:r>
      <w:r>
        <w:rPr>
          <w:rFonts w:hint="eastAsia" w:ascii="仿宋" w:hAnsi="仿宋" w:eastAsia="仿宋" w:cs="仿宋_GB2312"/>
          <w:color w:val="auto"/>
          <w:lang w:val="en-US" w:eastAsia="zh-CN"/>
        </w:rPr>
        <w:t>6</w:t>
      </w:r>
      <w:r>
        <w:rPr>
          <w:rFonts w:hint="eastAsia" w:ascii="仿宋" w:hAnsi="仿宋" w:eastAsia="仿宋" w:cs="仿宋_GB2312"/>
          <w:color w:val="auto"/>
        </w:rPr>
        <w:t>月</w:t>
      </w:r>
      <w:r>
        <w:rPr>
          <w:rFonts w:hint="eastAsia" w:ascii="仿宋" w:hAnsi="仿宋" w:eastAsia="仿宋" w:cs="仿宋_GB2312"/>
          <w:color w:val="auto"/>
          <w:lang w:val="en-US" w:eastAsia="zh-CN"/>
        </w:rPr>
        <w:t>24</w:t>
      </w:r>
      <w:r>
        <w:rPr>
          <w:rFonts w:hint="eastAsia" w:ascii="仿宋" w:hAnsi="仿宋" w:eastAsia="仿宋" w:cs="仿宋_GB2312"/>
          <w:color w:val="auto"/>
        </w:rPr>
        <w:t>日</w:t>
      </w:r>
      <w:r>
        <w:rPr>
          <w:rFonts w:hint="eastAsia" w:ascii="仿宋" w:hAnsi="仿宋" w:eastAsia="仿宋" w:cs="仿宋_GB2312"/>
          <w:color w:val="auto"/>
          <w:highlight w:val="none"/>
        </w:rPr>
        <w:t>北京时间</w:t>
      </w:r>
      <w:r>
        <w:rPr>
          <w:rFonts w:hint="eastAsia" w:ascii="仿宋" w:hAnsi="仿宋" w:eastAsia="仿宋" w:cs="仿宋_GB2312"/>
          <w:color w:val="auto"/>
          <w:highlight w:val="none"/>
          <w:lang w:val="en-US" w:eastAsia="zh-CN"/>
        </w:rPr>
        <w:t>9</w:t>
      </w:r>
      <w:r>
        <w:rPr>
          <w:rFonts w:hint="eastAsia" w:ascii="仿宋" w:hAnsi="仿宋" w:eastAsia="仿宋" w:cs="仿宋_GB2312"/>
          <w:color w:val="auto"/>
          <w:highlight w:val="none"/>
        </w:rPr>
        <w:t>:</w:t>
      </w:r>
      <w:r>
        <w:rPr>
          <w:rFonts w:hint="eastAsia" w:ascii="仿宋" w:hAnsi="仿宋" w:eastAsia="仿宋" w:cs="仿宋_GB2312"/>
          <w:color w:val="auto"/>
          <w:highlight w:val="none"/>
          <w:lang w:val="en-US" w:eastAsia="zh-CN"/>
        </w:rPr>
        <w:t>0</w:t>
      </w:r>
      <w:r>
        <w:rPr>
          <w:rFonts w:hint="eastAsia" w:ascii="仿宋" w:hAnsi="仿宋" w:eastAsia="仿宋" w:cs="仿宋_GB2312"/>
          <w:color w:val="auto"/>
          <w:highlight w:val="none"/>
        </w:rPr>
        <w:t>0</w:t>
      </w:r>
      <w:r>
        <w:rPr>
          <w:rFonts w:hint="eastAsia" w:ascii="Cambria" w:hAnsi="Cambria" w:eastAsia="仿宋" w:cs="Cambria"/>
          <w:color w:val="auto"/>
          <w:highlight w:val="none"/>
        </w:rPr>
        <w:t>止</w:t>
      </w:r>
    </w:p>
    <w:p>
      <w:pPr>
        <w:pStyle w:val="5"/>
        <w:rPr>
          <w:rFonts w:ascii="仿宋" w:hAnsi="仿宋" w:eastAsia="仿宋"/>
          <w:b/>
          <w:bCs/>
          <w:color w:val="auto"/>
          <w:sz w:val="24"/>
          <w:szCs w:val="24"/>
        </w:rPr>
      </w:pPr>
      <w:bookmarkStart w:id="27" w:name="_Toc487204775"/>
      <w:bookmarkStart w:id="28" w:name="_Toc2864"/>
      <w:bookmarkStart w:id="29" w:name="_Toc22356"/>
      <w:bookmarkStart w:id="30" w:name="_Toc187068682"/>
      <w:r>
        <w:rPr>
          <w:rFonts w:hint="eastAsia" w:ascii="仿宋" w:hAnsi="仿宋" w:eastAsia="仿宋"/>
          <w:b/>
          <w:bCs/>
          <w:color w:val="auto"/>
          <w:sz w:val="24"/>
          <w:szCs w:val="24"/>
        </w:rPr>
        <w:t>五、比选保证金</w:t>
      </w:r>
      <w:bookmarkEnd w:id="27"/>
      <w:bookmarkEnd w:id="28"/>
      <w:bookmarkEnd w:id="29"/>
      <w:bookmarkEnd w:id="30"/>
      <w:bookmarkStart w:id="186" w:name="_GoBack"/>
      <w:bookmarkEnd w:id="186"/>
    </w:p>
    <w:p>
      <w:pPr>
        <w:snapToGrid w:val="0"/>
        <w:ind w:firstLine="480" w:firstLineChars="200"/>
        <w:rPr>
          <w:rFonts w:ascii="仿宋" w:hAnsi="仿宋" w:eastAsia="仿宋" w:cs="仿宋_GB2312"/>
          <w:color w:val="auto"/>
        </w:rPr>
      </w:pPr>
      <w:bookmarkStart w:id="31" w:name="_Toc24666"/>
      <w:bookmarkStart w:id="32" w:name="_Toc487204776"/>
      <w:r>
        <w:rPr>
          <w:rFonts w:hint="eastAsia" w:ascii="仿宋" w:hAnsi="仿宋" w:eastAsia="仿宋" w:cs="仿宋_GB2312"/>
          <w:color w:val="auto"/>
        </w:rPr>
        <w:t>本次采购不设置。</w:t>
      </w:r>
    </w:p>
    <w:p>
      <w:pPr>
        <w:pStyle w:val="5"/>
        <w:rPr>
          <w:rFonts w:ascii="仿宋" w:hAnsi="仿宋" w:eastAsia="仿宋"/>
          <w:b/>
          <w:bCs/>
          <w:color w:val="auto"/>
          <w:sz w:val="24"/>
          <w:szCs w:val="24"/>
        </w:rPr>
      </w:pPr>
      <w:bookmarkStart w:id="33" w:name="_Toc15465"/>
      <w:bookmarkStart w:id="34" w:name="_Toc187068683"/>
      <w:r>
        <w:rPr>
          <w:rFonts w:hint="eastAsia" w:ascii="仿宋" w:hAnsi="仿宋" w:eastAsia="仿宋"/>
          <w:b/>
          <w:bCs/>
          <w:color w:val="auto"/>
          <w:sz w:val="24"/>
          <w:szCs w:val="24"/>
        </w:rPr>
        <w:t>六、比选有关规定</w:t>
      </w:r>
      <w:bookmarkEnd w:id="31"/>
      <w:bookmarkEnd w:id="32"/>
      <w:bookmarkEnd w:id="33"/>
      <w:bookmarkEnd w:id="34"/>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w:t>
      </w:r>
      <w:r>
        <w:rPr>
          <w:rFonts w:ascii="仿宋" w:hAnsi="仿宋" w:eastAsia="仿宋" w:cs="仿宋_GB2312"/>
          <w:color w:val="auto"/>
        </w:rPr>
        <w:t>本项目根据《重庆市政府集中采购目录及采购限额标准》</w:t>
      </w:r>
      <w:r>
        <w:rPr>
          <w:rFonts w:hint="eastAsia" w:ascii="仿宋" w:hAnsi="仿宋" w:eastAsia="仿宋" w:cs="仿宋_GB2312"/>
          <w:color w:val="auto"/>
        </w:rPr>
        <w:t>渝财规〔2023〕10 号文件</w:t>
      </w:r>
      <w:r>
        <w:rPr>
          <w:rFonts w:ascii="仿宋" w:hAnsi="仿宋" w:eastAsia="仿宋" w:cs="仿宋_GB2312"/>
          <w:color w:val="auto"/>
        </w:rPr>
        <w:t>要求，界定为非政府采购项目，采购活动由采购人委托代理机构负责组织实施。在实施过程中，参照《中华人民共和国政府采购法》及其相关配套政策文件的规定，但不完全按照上述法律法规的要求进行操作，具体采购方式和程序依据</w:t>
      </w:r>
      <w:r>
        <w:rPr>
          <w:rFonts w:hint="eastAsia" w:ascii="仿宋" w:hAnsi="仿宋" w:eastAsia="仿宋" w:cs="仿宋_GB2312"/>
          <w:color w:val="auto"/>
        </w:rPr>
        <w:t>本</w:t>
      </w:r>
      <w:r>
        <w:rPr>
          <w:rFonts w:ascii="仿宋" w:hAnsi="仿宋" w:eastAsia="仿宋" w:cs="仿宋_GB2312"/>
          <w:color w:val="auto"/>
        </w:rPr>
        <w:t>项目实际情况进行适当调整。</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w:t>
      </w:r>
      <w:r>
        <w:rPr>
          <w:rFonts w:ascii="仿宋" w:hAnsi="仿宋" w:eastAsia="仿宋" w:cs="仿宋_GB2312"/>
          <w:color w:val="auto"/>
        </w:rPr>
        <w:t>本次采购</w:t>
      </w:r>
      <w:r>
        <w:rPr>
          <w:rFonts w:hint="eastAsia" w:ascii="仿宋" w:hAnsi="仿宋" w:eastAsia="仿宋" w:cs="仿宋_GB2312"/>
          <w:color w:val="auto"/>
        </w:rPr>
        <w:t>按照</w:t>
      </w:r>
      <w:r>
        <w:rPr>
          <w:rFonts w:ascii="仿宋" w:hAnsi="仿宋" w:eastAsia="仿宋" w:cs="仿宋_GB2312"/>
          <w:color w:val="auto"/>
        </w:rPr>
        <w:t>公平、公正和公开</w:t>
      </w:r>
      <w:r>
        <w:rPr>
          <w:rFonts w:hint="eastAsia" w:ascii="仿宋" w:hAnsi="仿宋" w:eastAsia="仿宋" w:cs="仿宋_GB2312"/>
          <w:color w:val="auto"/>
        </w:rPr>
        <w:t>的原则</w:t>
      </w:r>
      <w:r>
        <w:rPr>
          <w:rFonts w:ascii="仿宋" w:hAnsi="仿宋" w:eastAsia="仿宋" w:cs="仿宋_GB2312"/>
          <w:color w:val="auto"/>
        </w:rPr>
        <w:t>，保障各参与方在同等条件下进行竞争，杜绝任何形式的徇私舞弊行为。采购人和代理机构将严格遵循廉洁自律的原则，确保整个采购活动在透明、廉洁的基础上</w:t>
      </w:r>
      <w:r>
        <w:rPr>
          <w:rFonts w:hint="eastAsia" w:ascii="仿宋" w:hAnsi="仿宋" w:eastAsia="仿宋" w:cs="仿宋_GB2312"/>
          <w:color w:val="auto"/>
        </w:rPr>
        <w:t>进行实施</w:t>
      </w:r>
      <w:r>
        <w:rPr>
          <w:rFonts w:ascii="仿宋" w:hAnsi="仿宋" w:eastAsia="仿宋" w:cs="仿宋_GB2312"/>
          <w:color w:val="auto"/>
        </w:rPr>
        <w:t>。</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（三）单位负责人为同一人或者存在直接控股、管理关系的不同供应商，不得参加同一合同项下的采购活动，否则均为无效响应。</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（四）为采购项目提供整体设计、规范编制或者项目管理、监理、检测等服务的供应商，不得再参加该采购项目的其他采购活动，否则均为无效响应。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（五）同一项目的货物，制造商参与比选的，不得再委托代理商参与比选，否则均为无效响应。</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（六）本项目的补遗文件（如果有）一律在“行采家(</w:t>
      </w:r>
      <w:r>
        <w:rPr>
          <w:color w:val="auto"/>
        </w:rPr>
        <w:fldChar w:fldCharType="begin"/>
      </w:r>
      <w:r>
        <w:rPr>
          <w:color w:val="auto"/>
        </w:rPr>
        <w:instrText xml:space="preserve"> HYPERLINK "https://www.gec123.com/" </w:instrText>
      </w:r>
      <w:r>
        <w:rPr>
          <w:color w:val="auto"/>
        </w:rPr>
        <w:fldChar w:fldCharType="separate"/>
      </w:r>
      <w:r>
        <w:rPr>
          <w:rFonts w:hint="eastAsia" w:ascii="仿宋" w:hAnsi="仿宋" w:eastAsia="仿宋" w:cs="仿宋_GB2312"/>
          <w:color w:val="auto"/>
        </w:rPr>
        <w:t>https://www.gec123.com</w:t>
      </w:r>
      <w:r>
        <w:rPr>
          <w:rFonts w:hint="eastAsia" w:ascii="仿宋" w:hAnsi="仿宋" w:eastAsia="仿宋" w:cs="仿宋_GB2312"/>
          <w:color w:val="auto"/>
        </w:rPr>
        <w:fldChar w:fldCharType="end"/>
      </w:r>
      <w:r>
        <w:rPr>
          <w:rFonts w:hint="eastAsia" w:ascii="仿宋" w:hAnsi="仿宋" w:eastAsia="仿宋" w:cs="仿宋_GB2312"/>
          <w:color w:val="auto"/>
        </w:rPr>
        <w:t>）”上发布，请各供应商注意下载或到代理机构处领取；无论供应商下载或领取与否，均视同供应商已知晓本项目补遗文件（如果有）的内容。</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（七）超过响应文件截止时间递交的响应文件，恕不接收。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（八）比选费用：无论比选结果如何，供应商参与本项目比选的所有费用均应由供应商自行承担。</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九）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5"/>
        <w:rPr>
          <w:rFonts w:ascii="仿宋" w:hAnsi="仿宋" w:eastAsia="仿宋"/>
          <w:b/>
          <w:bCs/>
          <w:color w:val="auto"/>
          <w:sz w:val="24"/>
          <w:szCs w:val="24"/>
        </w:rPr>
      </w:pPr>
      <w:bookmarkStart w:id="35" w:name="_Toc76462321"/>
      <w:bookmarkStart w:id="36" w:name="_Toc373860294"/>
      <w:bookmarkStart w:id="37" w:name="_Toc187068684"/>
      <w:bookmarkStart w:id="38" w:name="_Toc5491"/>
      <w:r>
        <w:rPr>
          <w:rFonts w:hint="eastAsia" w:ascii="仿宋" w:hAnsi="仿宋" w:eastAsia="仿宋"/>
          <w:b/>
          <w:bCs/>
          <w:color w:val="auto"/>
          <w:sz w:val="24"/>
          <w:szCs w:val="24"/>
        </w:rPr>
        <w:t>七</w:t>
      </w:r>
      <w:bookmarkEnd w:id="35"/>
      <w:bookmarkEnd w:id="36"/>
      <w:r>
        <w:rPr>
          <w:rFonts w:hint="eastAsia" w:ascii="仿宋" w:hAnsi="仿宋" w:eastAsia="仿宋"/>
          <w:b/>
          <w:bCs/>
          <w:color w:val="auto"/>
          <w:sz w:val="24"/>
          <w:szCs w:val="24"/>
        </w:rPr>
        <w:t>、联系方式</w:t>
      </w:r>
      <w:bookmarkEnd w:id="37"/>
      <w:bookmarkEnd w:id="38"/>
    </w:p>
    <w:p>
      <w:pPr>
        <w:snapToGrid w:val="0"/>
        <w:spacing w:line="360" w:lineRule="auto"/>
        <w:ind w:firstLine="480" w:firstLineChars="200"/>
        <w:rPr>
          <w:rFonts w:ascii="仿宋" w:hAnsi="仿宋" w:eastAsia="仿宋" w:cs="仿宋_GB2312"/>
          <w:color w:val="auto"/>
          <w:lang w:val="zh-CN"/>
        </w:rPr>
      </w:pPr>
      <w:r>
        <w:rPr>
          <w:rFonts w:hint="eastAsia" w:ascii="仿宋" w:hAnsi="仿宋" w:eastAsia="仿宋" w:cs="仿宋_GB2312"/>
          <w:color w:val="auto"/>
        </w:rPr>
        <w:t>（一）采购人：</w:t>
      </w:r>
      <w:r>
        <w:rPr>
          <w:rFonts w:hint="eastAsia" w:ascii="仿宋" w:hAnsi="仿宋" w:eastAsia="仿宋" w:cs="仿宋_GB2312"/>
          <w:color w:val="auto"/>
          <w:lang w:eastAsia="zh-CN"/>
        </w:rPr>
        <w:t>重庆金佛山国家级自然保护区管理事务中心</w:t>
      </w:r>
      <w:r>
        <w:rPr>
          <w:rFonts w:hint="eastAsia" w:ascii="仿宋" w:hAnsi="仿宋" w:eastAsia="仿宋" w:cs="仿宋_GB2312"/>
          <w:color w:val="auto"/>
        </w:rPr>
        <w:t xml:space="preserve"> </w:t>
      </w:r>
    </w:p>
    <w:p>
      <w:pPr>
        <w:snapToGrid w:val="0"/>
        <w:spacing w:line="360" w:lineRule="auto"/>
        <w:ind w:firstLine="480" w:firstLineChars="200"/>
        <w:rPr>
          <w:rFonts w:hint="eastAsia" w:ascii="仿宋" w:hAnsi="仿宋" w:eastAsia="仿宋" w:cs="仿宋_GB2312"/>
          <w:color w:val="auto"/>
          <w:lang w:val="en-US" w:eastAsia="zh-CN"/>
        </w:rPr>
      </w:pPr>
      <w:r>
        <w:rPr>
          <w:rFonts w:hint="eastAsia" w:ascii="仿宋" w:hAnsi="仿宋" w:eastAsia="仿宋" w:cs="仿宋_GB2312"/>
          <w:color w:val="auto"/>
        </w:rPr>
        <w:t>联系人：</w:t>
      </w:r>
      <w:r>
        <w:rPr>
          <w:rFonts w:hint="eastAsia" w:ascii="仿宋" w:hAnsi="仿宋" w:eastAsia="仿宋" w:cs="仿宋_GB2312"/>
          <w:color w:val="auto"/>
          <w:lang w:val="en-US" w:eastAsia="zh-CN"/>
        </w:rPr>
        <w:t>陈老师</w:t>
      </w:r>
    </w:p>
    <w:p>
      <w:pPr>
        <w:snapToGrid w:val="0"/>
        <w:spacing w:line="360" w:lineRule="auto"/>
        <w:ind w:firstLine="480" w:firstLineChars="200"/>
        <w:rPr>
          <w:rFonts w:hint="eastAsia" w:ascii="仿宋" w:hAnsi="仿宋" w:eastAsia="仿宋" w:cs="仿宋_GB2312"/>
          <w:color w:val="auto"/>
        </w:rPr>
      </w:pPr>
      <w:r>
        <w:rPr>
          <w:rFonts w:hint="eastAsia" w:ascii="仿宋" w:hAnsi="仿宋" w:eastAsia="仿宋" w:cs="仿宋_GB2312"/>
          <w:color w:val="auto"/>
        </w:rPr>
        <w:t>电  话：15978978784</w:t>
      </w:r>
    </w:p>
    <w:p>
      <w:pPr>
        <w:snapToGrid w:val="0"/>
        <w:spacing w:line="360" w:lineRule="auto"/>
        <w:ind w:firstLine="480" w:firstLineChars="200"/>
        <w:rPr>
          <w:rFonts w:hint="eastAsia" w:ascii="仿宋" w:hAnsi="仿宋" w:eastAsia="仿宋" w:cs="仿宋_GB2312"/>
          <w:color w:val="auto"/>
        </w:rPr>
      </w:pPr>
      <w:r>
        <w:rPr>
          <w:rFonts w:hint="eastAsia" w:ascii="仿宋" w:hAnsi="仿宋" w:eastAsia="仿宋" w:cs="仿宋_GB2312"/>
          <w:color w:val="auto"/>
        </w:rPr>
        <w:t>地  址：</w:t>
      </w:r>
      <w:r>
        <w:rPr>
          <w:rFonts w:hint="eastAsia" w:ascii="仿宋" w:hAnsi="仿宋" w:eastAsia="仿宋" w:cs="仿宋_GB2312"/>
          <w:color w:val="auto"/>
          <w:lang w:eastAsia="zh-CN"/>
        </w:rPr>
        <w:t>重庆金佛山国家级自然保护区管理事务中心</w:t>
      </w:r>
      <w:r>
        <w:rPr>
          <w:rFonts w:hint="eastAsia" w:ascii="仿宋" w:hAnsi="仿宋" w:eastAsia="仿宋" w:cs="仿宋_GB2312"/>
          <w:color w:val="auto"/>
        </w:rPr>
        <w:t xml:space="preserve"> </w:t>
      </w:r>
    </w:p>
    <w:p>
      <w:pPr>
        <w:pStyle w:val="122"/>
        <w:rPr>
          <w:color w:val="auto"/>
        </w:rPr>
      </w:pP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（二）采购代理机构：重庆市汇昊招标代理有限公司</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联系人：</w:t>
      </w:r>
      <w:r>
        <w:rPr>
          <w:rFonts w:hint="eastAsia" w:ascii="仿宋" w:hAnsi="仿宋" w:eastAsia="仿宋" w:cs="仿宋_GB2312"/>
          <w:color w:val="auto"/>
          <w:lang w:val="en-US" w:eastAsia="zh-CN"/>
        </w:rPr>
        <w:t>张</w:t>
      </w:r>
      <w:r>
        <w:rPr>
          <w:rFonts w:hint="eastAsia" w:ascii="仿宋" w:hAnsi="仿宋" w:eastAsia="仿宋" w:cs="仿宋_GB2312"/>
          <w:color w:val="auto"/>
        </w:rPr>
        <w:t>先生</w:t>
      </w:r>
    </w:p>
    <w:p>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rPr>
        <w:t>电  话：</w:t>
      </w:r>
      <w:r>
        <w:rPr>
          <w:rFonts w:hint="eastAsia" w:ascii="仿宋" w:hAnsi="仿宋" w:eastAsia="仿宋" w:cs="仿宋_GB2312"/>
          <w:color w:val="auto"/>
          <w:lang w:val="en-US" w:eastAsia="zh-CN"/>
        </w:rPr>
        <w:t>15123690194</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地  址：</w:t>
      </w:r>
      <w:r>
        <w:rPr>
          <w:rFonts w:ascii="仿宋" w:hAnsi="仿宋" w:eastAsia="仿宋" w:cs="Times New Roman"/>
          <w:color w:val="auto"/>
        </w:rPr>
        <w:t>重庆市南川区</w:t>
      </w:r>
      <w:r>
        <w:rPr>
          <w:rFonts w:hint="eastAsia" w:ascii="仿宋" w:hAnsi="仿宋" w:eastAsia="仿宋" w:cs="Times New Roman"/>
          <w:color w:val="auto"/>
        </w:rPr>
        <w:t>金川路168号汇昊招标</w:t>
      </w:r>
    </w:p>
    <w:bookmarkEnd w:id="18"/>
    <w:p>
      <w:pPr>
        <w:pStyle w:val="3"/>
        <w:spacing w:line="276" w:lineRule="auto"/>
        <w:rPr>
          <w:rFonts w:ascii="仿宋" w:hAnsi="仿宋" w:eastAsia="仿宋"/>
          <w:b/>
          <w:bCs/>
          <w:color w:val="auto"/>
        </w:rPr>
        <w:sectPr>
          <w:pgSz w:w="11907" w:h="16840"/>
          <w:pgMar w:top="1440" w:right="1797" w:bottom="1440" w:left="1797" w:header="454" w:footer="567" w:gutter="0"/>
          <w:pgNumType w:fmt="numberInDash"/>
          <w:cols w:space="720" w:num="1"/>
          <w:docGrid w:type="linesAndChars" w:linePitch="381" w:charSpace="0"/>
        </w:sectPr>
      </w:pPr>
      <w:bookmarkStart w:id="39" w:name="_Toc376349875"/>
      <w:bookmarkStart w:id="40" w:name="_Toc102227313"/>
      <w:bookmarkStart w:id="41" w:name="_Toc152480141"/>
    </w:p>
    <w:bookmarkEnd w:id="11"/>
    <w:bookmarkEnd w:id="12"/>
    <w:bookmarkEnd w:id="13"/>
    <w:bookmarkEnd w:id="39"/>
    <w:bookmarkEnd w:id="40"/>
    <w:bookmarkEnd w:id="41"/>
    <w:p>
      <w:pPr>
        <w:pStyle w:val="3"/>
        <w:spacing w:before="0" w:line="276" w:lineRule="auto"/>
        <w:jc w:val="center"/>
        <w:rPr>
          <w:rFonts w:ascii="仿宋" w:hAnsi="仿宋" w:eastAsia="仿宋" w:cs="仿宋_GB2312"/>
          <w:b/>
          <w:bCs/>
          <w:color w:val="auto"/>
          <w:sz w:val="36"/>
          <w:szCs w:val="36"/>
        </w:rPr>
      </w:pPr>
      <w:bookmarkStart w:id="42" w:name="_Toc487204778"/>
      <w:bookmarkStart w:id="43" w:name="_Toc6453"/>
      <w:bookmarkStart w:id="44" w:name="_Toc22568"/>
      <w:bookmarkStart w:id="45" w:name="_Toc187068685"/>
      <w:bookmarkStart w:id="46" w:name="_Toc128744991"/>
      <w:r>
        <w:rPr>
          <w:rFonts w:hint="eastAsia" w:ascii="仿宋" w:hAnsi="仿宋" w:eastAsia="仿宋" w:cs="仿宋_GB2312"/>
          <w:b/>
          <w:bCs/>
          <w:color w:val="auto"/>
          <w:sz w:val="36"/>
          <w:szCs w:val="36"/>
        </w:rPr>
        <w:t>第二篇  供应商须知</w:t>
      </w:r>
      <w:bookmarkEnd w:id="42"/>
      <w:bookmarkEnd w:id="43"/>
      <w:bookmarkEnd w:id="44"/>
      <w:bookmarkEnd w:id="45"/>
    </w:p>
    <w:p>
      <w:pPr>
        <w:pStyle w:val="5"/>
        <w:rPr>
          <w:rFonts w:ascii="仿宋" w:hAnsi="仿宋" w:eastAsia="仿宋"/>
          <w:b/>
          <w:bCs/>
          <w:color w:val="auto"/>
          <w:sz w:val="24"/>
          <w:szCs w:val="24"/>
        </w:rPr>
      </w:pPr>
      <w:bookmarkStart w:id="47" w:name="_Toc20643"/>
      <w:bookmarkStart w:id="48" w:name="_Toc342913389"/>
      <w:bookmarkStart w:id="49" w:name="_Toc187068686"/>
      <w:bookmarkStart w:id="50" w:name="_Toc426965630"/>
      <w:bookmarkStart w:id="51" w:name="_Toc487204779"/>
      <w:bookmarkStart w:id="52" w:name="_Toc10942"/>
      <w:r>
        <w:rPr>
          <w:rFonts w:hint="eastAsia" w:ascii="仿宋" w:hAnsi="仿宋" w:eastAsia="仿宋"/>
          <w:b/>
          <w:bCs/>
          <w:color w:val="auto"/>
          <w:sz w:val="24"/>
          <w:szCs w:val="24"/>
        </w:rPr>
        <w:t>一、比选费用</w:t>
      </w:r>
      <w:bookmarkEnd w:id="47"/>
      <w:bookmarkEnd w:id="48"/>
      <w:bookmarkEnd w:id="49"/>
      <w:bookmarkEnd w:id="50"/>
      <w:bookmarkEnd w:id="51"/>
      <w:bookmarkEnd w:id="52"/>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参与比选的供应商应承担其编制响应文件与递交响应文件所涉及的一切费用，不论比选结果如何，采购人和采购代理机构在任何情况下无义务也无责任承担这些费用。</w:t>
      </w:r>
    </w:p>
    <w:p>
      <w:pPr>
        <w:pStyle w:val="5"/>
        <w:rPr>
          <w:rFonts w:ascii="仿宋" w:hAnsi="仿宋" w:eastAsia="仿宋"/>
          <w:b/>
          <w:bCs/>
          <w:color w:val="auto"/>
          <w:sz w:val="24"/>
          <w:szCs w:val="24"/>
        </w:rPr>
      </w:pPr>
      <w:bookmarkStart w:id="53" w:name="_Toc487204780"/>
      <w:bookmarkStart w:id="54" w:name="_Toc426965631"/>
      <w:bookmarkStart w:id="55" w:name="_Toc342913391"/>
      <w:bookmarkStart w:id="56" w:name="_Toc5707"/>
      <w:bookmarkStart w:id="57" w:name="_Toc7850"/>
      <w:bookmarkStart w:id="58" w:name="_Toc187068687"/>
      <w:r>
        <w:rPr>
          <w:rFonts w:hint="eastAsia" w:ascii="仿宋" w:hAnsi="仿宋" w:eastAsia="仿宋"/>
          <w:b/>
          <w:bCs/>
          <w:color w:val="auto"/>
          <w:sz w:val="24"/>
          <w:szCs w:val="24"/>
        </w:rPr>
        <w:t>二、</w:t>
      </w:r>
      <w:bookmarkEnd w:id="53"/>
      <w:bookmarkEnd w:id="54"/>
      <w:bookmarkEnd w:id="55"/>
      <w:r>
        <w:rPr>
          <w:rFonts w:hint="eastAsia" w:ascii="仿宋" w:hAnsi="仿宋" w:eastAsia="仿宋"/>
          <w:b/>
          <w:bCs/>
          <w:color w:val="auto"/>
          <w:sz w:val="24"/>
          <w:szCs w:val="24"/>
        </w:rPr>
        <w:t>比选通知书</w:t>
      </w:r>
      <w:bookmarkEnd w:id="56"/>
      <w:bookmarkEnd w:id="57"/>
      <w:bookmarkEnd w:id="58"/>
      <w:r>
        <w:rPr>
          <w:rFonts w:hint="eastAsia" w:ascii="仿宋" w:hAnsi="仿宋" w:eastAsia="仿宋"/>
          <w:b/>
          <w:bCs/>
          <w:color w:val="auto"/>
          <w:sz w:val="24"/>
          <w:szCs w:val="24"/>
        </w:rPr>
        <w:tab/>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（一）比选通知书由比选邀请书、供应商须知、比选项目技术需求、比选项目商务需求、响应文件格式要求五部分组成。</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（二）采购人（或采购代理机构）所作的一切有效的书面通知、修改及补充，都是比选通知书不可分割的部分。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（三）比选通知书的解释</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59" w:name="_Toc318166429"/>
      <w:bookmarkStart w:id="60" w:name="_Toc318159780"/>
      <w:bookmarkStart w:id="61" w:name="_Toc318159349"/>
      <w:bookmarkStart w:id="62" w:name="_Toc318159160"/>
    </w:p>
    <w:bookmarkEnd w:id="59"/>
    <w:bookmarkEnd w:id="60"/>
    <w:bookmarkEnd w:id="61"/>
    <w:bookmarkEnd w:id="62"/>
    <w:p>
      <w:pPr>
        <w:pStyle w:val="5"/>
        <w:rPr>
          <w:rFonts w:ascii="仿宋" w:hAnsi="仿宋" w:eastAsia="仿宋"/>
          <w:b/>
          <w:bCs/>
          <w:color w:val="auto"/>
          <w:sz w:val="24"/>
          <w:szCs w:val="24"/>
        </w:rPr>
      </w:pPr>
      <w:bookmarkStart w:id="63" w:name="_Toc26774"/>
      <w:bookmarkStart w:id="64" w:name="_Toc20329"/>
      <w:bookmarkStart w:id="65" w:name="_Toc102227318"/>
      <w:bookmarkStart w:id="66" w:name="_Toc179714297"/>
      <w:bookmarkStart w:id="67" w:name="_Toc487204781"/>
      <w:bookmarkStart w:id="68" w:name="_Toc187068688"/>
      <w:bookmarkStart w:id="69" w:name="_Toc342913392"/>
      <w:bookmarkStart w:id="70" w:name="_Toc426965632"/>
      <w:r>
        <w:rPr>
          <w:rFonts w:hint="eastAsia" w:ascii="仿宋" w:hAnsi="仿宋" w:eastAsia="仿宋"/>
          <w:b/>
          <w:bCs/>
          <w:color w:val="auto"/>
          <w:sz w:val="24"/>
          <w:szCs w:val="24"/>
        </w:rPr>
        <w:t>三、比选要求</w:t>
      </w:r>
      <w:bookmarkEnd w:id="63"/>
      <w:bookmarkEnd w:id="64"/>
      <w:bookmarkEnd w:id="65"/>
      <w:bookmarkEnd w:id="66"/>
      <w:bookmarkEnd w:id="67"/>
      <w:bookmarkEnd w:id="68"/>
      <w:bookmarkEnd w:id="69"/>
      <w:bookmarkEnd w:id="70"/>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（一）响应文件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供应商应当按照比选通知书的要求编制响应文件，并对比选通知书提出的要求和条件作出实质性响应，响应文件原则上采用软面订本，同时应编制完整的页码、目录。</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1、响应文件组成</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2、联合体</w:t>
      </w:r>
    </w:p>
    <w:p>
      <w:pPr>
        <w:snapToGrid w:val="0"/>
        <w:spacing w:line="360" w:lineRule="auto"/>
        <w:ind w:firstLine="480" w:firstLineChars="200"/>
        <w:rPr>
          <w:rFonts w:ascii="仿宋" w:hAnsi="仿宋" w:eastAsia="仿宋" w:cs="仿宋_GB2312"/>
          <w:b/>
          <w:bCs/>
          <w:color w:val="auto"/>
        </w:rPr>
      </w:pPr>
      <w:r>
        <w:rPr>
          <w:rFonts w:hint="eastAsia" w:ascii="仿宋" w:hAnsi="仿宋" w:eastAsia="仿宋" w:cs="仿宋_GB2312"/>
          <w:b/>
          <w:bCs/>
          <w:color w:val="auto"/>
        </w:rPr>
        <w:t>本项目不接受联合体竞标。</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3、比选有效期：响应文件及有关承诺文件有效期为比选开始时间起90天。</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（二）保证金：</w:t>
      </w:r>
    </w:p>
    <w:p>
      <w:pPr>
        <w:snapToGrid w:val="0"/>
        <w:spacing w:line="360" w:lineRule="auto"/>
        <w:ind w:firstLine="480" w:firstLineChars="200"/>
        <w:rPr>
          <w:rFonts w:hint="eastAsia" w:ascii="仿宋" w:hAnsi="仿宋" w:eastAsia="仿宋" w:cs="仿宋_GB2312"/>
          <w:color w:val="auto"/>
          <w:lang w:val="en-US" w:eastAsia="zh-CN"/>
        </w:rPr>
      </w:pPr>
      <w:r>
        <w:rPr>
          <w:rFonts w:hint="eastAsia" w:ascii="仿宋" w:hAnsi="仿宋" w:eastAsia="仿宋" w:cs="仿宋_GB2312"/>
          <w:color w:val="auto"/>
          <w:lang w:val="en-US" w:eastAsia="zh-CN"/>
        </w:rPr>
        <w:t>无。</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（三）修正错误</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若响应文件出现计算或表达上的错误，修正错误的原则如下：</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1.响应文件中报价函的内容与响应文件中相应内容不一致的，以报价函为准；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2.大写金额和小写金额不一致的，以大写金额为准；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3.单价金额小数点或者百分比有明显错位的，以报价函总价为准，并修改单价；</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4.总价金额与按单价汇总金额不一致的，以单价金额计算结果为准。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360" w:lineRule="auto"/>
        <w:ind w:firstLine="360" w:firstLineChars="150"/>
        <w:rPr>
          <w:rFonts w:ascii="仿宋" w:hAnsi="仿宋" w:eastAsia="仿宋"/>
          <w:color w:val="auto"/>
        </w:rPr>
      </w:pPr>
      <w:r>
        <w:rPr>
          <w:rFonts w:hint="eastAsia" w:ascii="仿宋" w:hAnsi="仿宋" w:eastAsia="仿宋"/>
          <w:color w:val="auto"/>
        </w:rPr>
        <w:t>（四）提交响应文件的份数和签署和递交</w:t>
      </w:r>
    </w:p>
    <w:p>
      <w:pPr>
        <w:snapToGrid w:val="0"/>
        <w:spacing w:line="360" w:lineRule="auto"/>
        <w:ind w:firstLine="480" w:firstLineChars="200"/>
        <w:rPr>
          <w:rFonts w:ascii="仿宋" w:hAnsi="仿宋" w:eastAsia="仿宋" w:cs="仿宋_GB2312"/>
          <w:b/>
          <w:bCs/>
          <w:color w:val="auto"/>
        </w:rPr>
      </w:pPr>
      <w:r>
        <w:rPr>
          <w:rFonts w:hint="eastAsia" w:ascii="仿宋" w:hAnsi="仿宋" w:eastAsia="仿宋" w:cs="仿宋_GB2312"/>
          <w:b/>
          <w:bCs/>
          <w:color w:val="auto"/>
        </w:rPr>
        <w:t>投标现场响应文件提交规则：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1、</w:t>
      </w:r>
      <w:r>
        <w:rPr>
          <w:rFonts w:hint="eastAsia" w:ascii="仿宋" w:hAnsi="仿宋" w:eastAsia="仿宋"/>
          <w:b/>
          <w:bCs/>
          <w:color w:val="auto"/>
        </w:rPr>
        <w:t>响应文件一式三份，其中正本一份，副本两份</w:t>
      </w:r>
      <w:r>
        <w:rPr>
          <w:rFonts w:hint="eastAsia" w:ascii="仿宋" w:hAnsi="仿宋" w:eastAsia="仿宋"/>
          <w:color w:val="auto"/>
        </w:rPr>
        <w:t>；副本可为正本的复印件，应与正本一致，如出现不一致情况以正本为准。</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2、在响应文件正本中，比选通知书第六篇响应文件格式中规定签字、盖章的地方必须按其规定签字、盖章。</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3、响应文件的密封与标记</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响应文件的正本、副本均应密封送达比选地点，应在封套上注明项目名称、供应商名称。若正本、副本分别进行密封的，还应在封套上注明“正本”、“副本”字样。</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4.如果响应文件通过邮寄递交，供应商应将响应文件用内、外两层封套密封。</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5.如果未按上述规定进行密封的，采购人、采购代理机构将拒收其响应文件。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ascii="仿宋" w:hAnsi="仿宋" w:eastAsia="仿宋" w:cs="仿宋_GB2312"/>
          <w:color w:val="auto"/>
          <w:u w:val="single"/>
        </w:rPr>
      </w:pPr>
      <w:r>
        <w:rPr>
          <w:rFonts w:hint="eastAsia" w:ascii="仿宋" w:hAnsi="仿宋" w:eastAsia="仿宋" w:cs="仿宋_GB2312"/>
          <w:color w:val="auto"/>
          <w:u w:val="single"/>
        </w:rPr>
        <w:t>行采家平台响应文件提交规则：</w:t>
      </w:r>
    </w:p>
    <w:p>
      <w:pPr>
        <w:snapToGrid w:val="0"/>
        <w:spacing w:line="360" w:lineRule="auto"/>
        <w:ind w:firstLine="480" w:firstLineChars="200"/>
        <w:rPr>
          <w:rFonts w:ascii="仿宋" w:hAnsi="仿宋" w:eastAsia="仿宋" w:cs="仿宋_GB2312"/>
          <w:color w:val="auto"/>
          <w:u w:val="single"/>
        </w:rPr>
      </w:pPr>
      <w:r>
        <w:rPr>
          <w:rFonts w:hint="eastAsia" w:ascii="仿宋" w:hAnsi="仿宋" w:eastAsia="仿宋" w:cs="仿宋_GB2312"/>
          <w:color w:val="auto"/>
          <w:u w:val="single"/>
        </w:rPr>
        <w:t>供应商需在规定的时间内在行采家平台上传签字盖章后的投标文件电子文档PDF格式一份（如投标文件电子档内容与纸质投标文件不一致时，则以线下文件为准）。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（五）响应文件语言：简体中文</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（六）供应商参与人员</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各个供应商可派1-2名代表参与比选，至少1人应为法定代表人或具有法定代表人授权委托书的授权代表。</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（七）无效响应</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供应商发生以下条款情况之一者，视为无效响应，其响应文件将被拒绝：</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1、供应商不符合资格要求的；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2、供应商未按照比选通知书的要求缴纳保证金的；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3、供应商所提交的响应文件不按规定签字、盖章的；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4、供应商的报价超过采购预算（若有采购预算单价，则含采购预算单价）的；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5、供应商响应文件附有采购人无法接受的条件的；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6、供应商串通投标的；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7、供应商组成联合体投标的；</w:t>
      </w:r>
    </w:p>
    <w:p>
      <w:pPr>
        <w:snapToGrid w:val="0"/>
        <w:spacing w:line="360" w:lineRule="auto"/>
        <w:ind w:firstLine="480" w:firstLineChars="200"/>
        <w:rPr>
          <w:rFonts w:ascii="仿宋" w:hAnsi="仿宋" w:eastAsia="仿宋" w:cs="仿宋_GB2312"/>
          <w:color w:val="auto"/>
          <w:u w:val="single"/>
        </w:rPr>
      </w:pPr>
      <w:bookmarkStart w:id="71" w:name="_Toc492721019"/>
      <w:bookmarkStart w:id="72" w:name="_Toc493506302"/>
      <w:r>
        <w:rPr>
          <w:rFonts w:hint="eastAsia" w:ascii="仿宋" w:hAnsi="仿宋" w:eastAsia="仿宋" w:cs="仿宋_GB2312"/>
          <w:color w:val="auto"/>
          <w:u w:val="single"/>
        </w:rPr>
        <w:t>8、供应商网上报价和线下报价不一致的；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9、法律、法规和比选通知书规定的其他无效情形。</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（八）废标条款</w:t>
      </w:r>
      <w:bookmarkEnd w:id="71"/>
      <w:bookmarkEnd w:id="72"/>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出现下列情形之一的，采购人或者采购代理机构应当终止比选采购活动，发布项目终止公告并说明原因，重新开展采购活动：</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1、因情况变化，不再符合规定的比选采购方式适用情形的；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2、出现影响采购公正的违法、违规行为的；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3、在采购过程中符合竞争要求的供应商或者报价未超过采购预算的供应商不足3家的。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废标后，除采购任务取消情形外，应当重新组织采购。</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（九）采购代理服务费</w:t>
      </w:r>
      <w:bookmarkStart w:id="73" w:name="_Toc487204782"/>
      <w:bookmarkStart w:id="74" w:name="_Toc426965633"/>
      <w:bookmarkStart w:id="75" w:name="_Toc102227319"/>
      <w:bookmarkStart w:id="76" w:name="_Toc342913393"/>
      <w:bookmarkStart w:id="77" w:name="_Toc179714298"/>
      <w:bookmarkStart w:id="78" w:name="_Toc31741"/>
    </w:p>
    <w:p>
      <w:pPr>
        <w:snapToGrid w:val="0"/>
        <w:spacing w:line="360" w:lineRule="auto"/>
        <w:ind w:firstLine="480" w:firstLineChars="200"/>
        <w:rPr>
          <w:rFonts w:ascii="仿宋" w:hAnsi="仿宋" w:eastAsia="仿宋" w:cs="仿宋_GB2312"/>
          <w:color w:val="auto"/>
        </w:rPr>
      </w:pPr>
      <w:bookmarkStart w:id="79" w:name="_Toc187068689"/>
      <w:bookmarkStart w:id="80" w:name="_Toc32684"/>
      <w:r>
        <w:rPr>
          <w:rFonts w:hint="eastAsia" w:ascii="仿宋" w:hAnsi="仿宋" w:eastAsia="仿宋" w:cs="仿宋_GB2312"/>
          <w:color w:val="auto"/>
        </w:rPr>
        <w:t>1．</w:t>
      </w:r>
      <w:r>
        <w:rPr>
          <w:rFonts w:ascii="仿宋" w:hAnsi="仿宋" w:eastAsia="仿宋" w:cs="仿宋_GB2312"/>
          <w:color w:val="auto"/>
        </w:rPr>
        <w:t>成交供应商需向采购代理机构缴纳采购代理服务费，具体收费标准参照以下货物类标准执行。若计算金额</w:t>
      </w:r>
      <w:r>
        <w:rPr>
          <w:rFonts w:hint="eastAsia" w:ascii="仿宋" w:hAnsi="仿宋" w:eastAsia="仿宋" w:cs="仿宋_GB2312"/>
          <w:color w:val="auto"/>
        </w:rPr>
        <w:t>不足</w:t>
      </w:r>
      <w:r>
        <w:rPr>
          <w:rFonts w:hint="eastAsia" w:ascii="仿宋" w:hAnsi="仿宋" w:eastAsia="仿宋" w:cs="仿宋_GB2312"/>
          <w:color w:val="auto"/>
          <w:lang w:val="en-US" w:eastAsia="zh-CN"/>
        </w:rPr>
        <w:t>3</w:t>
      </w:r>
      <w:r>
        <w:rPr>
          <w:rFonts w:hint="eastAsia" w:ascii="仿宋" w:hAnsi="仿宋" w:eastAsia="仿宋" w:cs="仿宋_GB2312"/>
          <w:color w:val="auto"/>
        </w:rPr>
        <w:t>000</w:t>
      </w:r>
      <w:r>
        <w:rPr>
          <w:rFonts w:ascii="仿宋" w:hAnsi="仿宋" w:eastAsia="仿宋" w:cs="仿宋_GB2312"/>
          <w:color w:val="auto"/>
        </w:rPr>
        <w:t>元</w:t>
      </w:r>
      <w:r>
        <w:rPr>
          <w:rFonts w:hint="eastAsia" w:ascii="仿宋" w:hAnsi="仿宋" w:eastAsia="仿宋" w:cs="仿宋_GB2312"/>
          <w:color w:val="auto"/>
        </w:rPr>
        <w:t>时</w:t>
      </w:r>
      <w:r>
        <w:rPr>
          <w:rFonts w:ascii="仿宋" w:hAnsi="仿宋" w:eastAsia="仿宋" w:cs="仿宋_GB2312"/>
          <w:color w:val="auto"/>
        </w:rPr>
        <w:t>，则按</w:t>
      </w:r>
      <w:r>
        <w:rPr>
          <w:rFonts w:hint="eastAsia" w:ascii="仿宋" w:hAnsi="仿宋" w:eastAsia="仿宋" w:cs="仿宋_GB2312"/>
          <w:color w:val="auto"/>
          <w:lang w:val="en-US" w:eastAsia="zh-CN"/>
        </w:rPr>
        <w:t>3</w:t>
      </w:r>
      <w:r>
        <w:rPr>
          <w:rFonts w:ascii="仿宋" w:hAnsi="仿宋" w:eastAsia="仿宋" w:cs="仿宋_GB2312"/>
          <w:color w:val="auto"/>
        </w:rPr>
        <w:t>000元收取。中标人须在领取成交通知书时一次性支付全部费用。</w:t>
      </w:r>
    </w:p>
    <w:tbl>
      <w:tblPr>
        <w:tblStyle w:val="33"/>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957" w:type="dxa"/>
            <w:tcBorders>
              <w:tl2br w:val="single" w:color="auto" w:sz="4" w:space="0"/>
            </w:tcBorders>
            <w:vAlign w:val="center"/>
          </w:tcPr>
          <w:p>
            <w:pPr>
              <w:snapToGrid w:val="0"/>
              <w:ind w:firstLine="1680" w:firstLineChars="700"/>
              <w:rPr>
                <w:rFonts w:ascii="仿宋" w:hAnsi="仿宋" w:eastAsia="仿宋" w:cs="微软雅黑"/>
                <w:color w:val="auto"/>
              </w:rPr>
            </w:pPr>
            <w:r>
              <w:rPr>
                <w:rFonts w:ascii="仿宋" w:hAnsi="仿宋" w:eastAsia="仿宋" w:cs="微软雅黑"/>
                <w:color w:val="auto"/>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868457694"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 o:spid="_x0000_s1026" o:spt="20" style="position:absolute;left:0pt;margin-left:-9pt;margin-top:-0.5pt;height:0.05pt;width:0.05pt;z-index:251662336;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z75g9YAAAAIAQAADwAAAAAAAAABACAA&#10;AAAiAAAAZHJzL2Rvd25yZXYueG1sUEsBAhQAFAAAAAgAh07iQMq2dQbWAQAAkAMAAA4AAAAAAAAA&#10;AQAgAAAAJQEAAGRycy9lMm9Eb2MueG1sUEsFBgAAAAAGAAYAWQEAAG0FAAAAAA==&#10;">
                      <v:fill on="f" focussize="0,0"/>
                      <v:stroke color="#000000" joinstyle="round"/>
                      <v:imagedata o:title=""/>
                      <o:lock v:ext="edit" aspectratio="f"/>
                    </v:line>
                  </w:pict>
                </mc:Fallback>
              </mc:AlternateContent>
            </w:r>
            <w:r>
              <w:rPr>
                <w:rFonts w:hint="eastAsia" w:ascii="仿宋" w:hAnsi="仿宋" w:eastAsia="仿宋" w:cs="微软雅黑"/>
                <w:color w:val="auto"/>
              </w:rPr>
              <w:t>采购类型</w:t>
            </w:r>
          </w:p>
          <w:p>
            <w:pPr>
              <w:snapToGrid w:val="0"/>
              <w:rPr>
                <w:rFonts w:ascii="仿宋" w:hAnsi="仿宋" w:eastAsia="仿宋" w:cs="微软雅黑"/>
                <w:color w:val="auto"/>
              </w:rPr>
            </w:pPr>
            <w:r>
              <w:rPr>
                <w:rFonts w:hint="eastAsia" w:ascii="仿宋" w:hAnsi="仿宋" w:eastAsia="仿宋" w:cs="微软雅黑"/>
                <w:color w:val="auto"/>
              </w:rPr>
              <w:t>中标金额</w:t>
            </w:r>
          </w:p>
        </w:tc>
        <w:tc>
          <w:tcPr>
            <w:tcW w:w="2273"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货物类</w:t>
            </w:r>
          </w:p>
        </w:tc>
        <w:tc>
          <w:tcPr>
            <w:tcW w:w="2273"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服务类</w:t>
            </w:r>
          </w:p>
        </w:tc>
        <w:tc>
          <w:tcPr>
            <w:tcW w:w="2272"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957"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100万元以下</w:t>
            </w:r>
          </w:p>
        </w:tc>
        <w:tc>
          <w:tcPr>
            <w:tcW w:w="2273"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1.5%</w:t>
            </w:r>
          </w:p>
        </w:tc>
        <w:tc>
          <w:tcPr>
            <w:tcW w:w="2273"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1.5%</w:t>
            </w:r>
          </w:p>
        </w:tc>
        <w:tc>
          <w:tcPr>
            <w:tcW w:w="2272"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1.0%</w:t>
            </w:r>
          </w:p>
        </w:tc>
      </w:tr>
    </w:tbl>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．代理服务费以转帐或者现金形式支付。</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3</w:t>
      </w:r>
      <w:r>
        <w:rPr>
          <w:rFonts w:hint="eastAsia" w:ascii="仿宋" w:hAnsi="仿宋" w:eastAsia="仿宋" w:cs="仿宋_GB2312"/>
          <w:color w:val="auto"/>
        </w:rPr>
        <w:t>．费用缴纳账号：</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户  名：重庆市汇昊招标代理有限公司</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开户行：中国工商银行股份有限公司南川西城支行</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账  号：3100010109100027510</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（十）</w:t>
      </w:r>
      <w:r>
        <w:rPr>
          <w:rFonts w:ascii="仿宋" w:hAnsi="仿宋" w:eastAsia="仿宋" w:cs="仿宋_GB2312"/>
          <w:color w:val="auto"/>
        </w:rPr>
        <w:t>技术服务费</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该费用由行采家平台（</w:t>
      </w:r>
      <w:r>
        <w:rPr>
          <w:rFonts w:ascii="仿宋" w:hAnsi="仿宋" w:eastAsia="仿宋" w:cs="仿宋_GB2312"/>
          <w:color w:val="auto"/>
        </w:rPr>
        <w:t>www.gec123.com</w:t>
      </w:r>
      <w:r>
        <w:rPr>
          <w:rFonts w:hint="eastAsia" w:ascii="仿宋" w:hAnsi="仿宋" w:eastAsia="仿宋" w:cs="仿宋_GB2312"/>
          <w:color w:val="auto"/>
        </w:rPr>
        <w:t>）收取，成</w:t>
      </w:r>
      <w:r>
        <w:rPr>
          <w:rFonts w:ascii="仿宋" w:hAnsi="仿宋" w:eastAsia="仿宋" w:cs="仿宋_GB2312"/>
          <w:color w:val="auto"/>
        </w:rPr>
        <w:t>交供应商需向</w:t>
      </w:r>
      <w:r>
        <w:rPr>
          <w:rFonts w:hint="eastAsia" w:ascii="仿宋" w:hAnsi="仿宋" w:eastAsia="仿宋" w:cs="仿宋_GB2312"/>
          <w:color w:val="auto"/>
        </w:rPr>
        <w:t>行采家平台</w:t>
      </w:r>
      <w:r>
        <w:rPr>
          <w:rFonts w:ascii="仿宋" w:hAnsi="仿宋" w:eastAsia="仿宋" w:cs="仿宋_GB2312"/>
          <w:color w:val="auto"/>
        </w:rPr>
        <w:t>缴纳</w:t>
      </w:r>
      <w:r>
        <w:rPr>
          <w:rFonts w:hint="eastAsia" w:ascii="仿宋" w:hAnsi="仿宋" w:eastAsia="仿宋" w:cs="仿宋_GB2312"/>
          <w:color w:val="auto"/>
        </w:rPr>
        <w:t>技术</w:t>
      </w:r>
      <w:r>
        <w:rPr>
          <w:rFonts w:ascii="仿宋" w:hAnsi="仿宋" w:eastAsia="仿宋" w:cs="仿宋_GB2312"/>
          <w:color w:val="auto"/>
        </w:rPr>
        <w:t>服务费</w:t>
      </w:r>
      <w:r>
        <w:rPr>
          <w:rFonts w:hint="eastAsia" w:ascii="仿宋" w:hAnsi="仿宋" w:eastAsia="仿宋" w:cs="仿宋_GB2312"/>
          <w:color w:val="auto"/>
        </w:rPr>
        <w:t>。</w:t>
      </w:r>
      <w:r>
        <w:rPr>
          <w:rFonts w:ascii="仿宋" w:hAnsi="仿宋" w:eastAsia="仿宋" w:cs="仿宋_GB2312"/>
          <w:color w:val="auto"/>
        </w:rPr>
        <w:t>具体收费标准</w:t>
      </w:r>
      <w:r>
        <w:rPr>
          <w:rFonts w:hint="eastAsia" w:ascii="仿宋" w:hAnsi="仿宋" w:eastAsia="仿宋" w:cs="仿宋_GB2312"/>
          <w:color w:val="auto"/>
        </w:rPr>
        <w:t>、收费方式等，请咨询网站服务支持电话</w:t>
      </w:r>
      <w:r>
        <w:rPr>
          <w:rFonts w:ascii="仿宋" w:hAnsi="仿宋" w:eastAsia="仿宋" w:cs="仿宋_GB2312"/>
          <w:color w:val="auto"/>
        </w:rPr>
        <w:t>023-88158017 (工作日)</w:t>
      </w:r>
      <w:r>
        <w:rPr>
          <w:rFonts w:hint="eastAsia" w:ascii="仿宋" w:hAnsi="仿宋" w:eastAsia="仿宋" w:cs="仿宋_GB2312"/>
          <w:color w:val="auto"/>
        </w:rPr>
        <w:t>、</w:t>
      </w:r>
      <w:r>
        <w:rPr>
          <w:rFonts w:ascii="仿宋" w:hAnsi="仿宋" w:eastAsia="仿宋" w:cs="仿宋_GB2312"/>
          <w:color w:val="auto"/>
        </w:rPr>
        <w:t>18183107831 (节假日)。</w:t>
      </w:r>
    </w:p>
    <w:p>
      <w:pPr>
        <w:pStyle w:val="5"/>
        <w:rPr>
          <w:rFonts w:ascii="仿宋" w:hAnsi="仿宋" w:eastAsia="仿宋"/>
          <w:b/>
          <w:bCs/>
          <w:color w:val="auto"/>
          <w:sz w:val="24"/>
          <w:szCs w:val="24"/>
        </w:rPr>
      </w:pPr>
      <w:r>
        <w:rPr>
          <w:rFonts w:hint="eastAsia" w:ascii="仿宋" w:hAnsi="仿宋" w:eastAsia="仿宋"/>
          <w:b/>
          <w:bCs/>
          <w:color w:val="auto"/>
          <w:sz w:val="24"/>
          <w:szCs w:val="24"/>
        </w:rPr>
        <w:t>四、</w:t>
      </w:r>
      <w:bookmarkEnd w:id="73"/>
      <w:bookmarkEnd w:id="74"/>
      <w:bookmarkEnd w:id="75"/>
      <w:bookmarkEnd w:id="76"/>
      <w:bookmarkEnd w:id="77"/>
      <w:r>
        <w:rPr>
          <w:rFonts w:hint="eastAsia" w:ascii="仿宋" w:hAnsi="仿宋" w:eastAsia="仿宋"/>
          <w:b/>
          <w:bCs/>
          <w:color w:val="auto"/>
          <w:sz w:val="24"/>
          <w:szCs w:val="24"/>
        </w:rPr>
        <w:t>比选程序及成交标准</w:t>
      </w:r>
      <w:bookmarkEnd w:id="78"/>
      <w:bookmarkEnd w:id="79"/>
      <w:bookmarkEnd w:id="80"/>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（一）本项目比选按照比选通知书规定的时间和地点进行。供应商须有法定代表人或其授权代表参加并签到。</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（二）资格性符合性检查</w:t>
      </w:r>
    </w:p>
    <w:p>
      <w:pPr>
        <w:snapToGrid w:val="0"/>
        <w:spacing w:line="360" w:lineRule="auto"/>
        <w:ind w:firstLine="480" w:firstLineChars="200"/>
        <w:rPr>
          <w:rFonts w:ascii="仿宋" w:hAnsi="仿宋" w:eastAsia="仿宋"/>
          <w:color w:val="auto"/>
        </w:rPr>
      </w:pPr>
      <w:r>
        <w:rPr>
          <w:rFonts w:hint="eastAsia" w:ascii="仿宋" w:hAnsi="仿宋" w:eastAsia="仿宋" w:cs="仿宋_GB2312"/>
          <w:color w:val="auto"/>
        </w:rPr>
        <w:t>1.资格性检查。依据法律法规和比选通知书的规定，对响应文件中的资格证明、保证金等进行审查，以确定供应商是否具备比选资格。资格性检查资料表如下：</w:t>
      </w:r>
    </w:p>
    <w:tbl>
      <w:tblPr>
        <w:tblStyle w:val="3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1" w:type="dxa"/>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序号</w:t>
            </w:r>
          </w:p>
        </w:tc>
        <w:tc>
          <w:tcPr>
            <w:tcW w:w="3800" w:type="dxa"/>
            <w:gridSpan w:val="2"/>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检查因素</w:t>
            </w:r>
          </w:p>
        </w:tc>
        <w:tc>
          <w:tcPr>
            <w:tcW w:w="5812" w:type="dxa"/>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restart"/>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1</w:t>
            </w:r>
          </w:p>
        </w:tc>
        <w:tc>
          <w:tcPr>
            <w:tcW w:w="965" w:type="dxa"/>
            <w:vMerge w:val="restart"/>
            <w:vAlign w:val="center"/>
          </w:tcPr>
          <w:p>
            <w:pPr>
              <w:spacing w:line="380" w:lineRule="exact"/>
              <w:rPr>
                <w:rFonts w:ascii="仿宋" w:hAnsi="仿宋" w:eastAsia="仿宋" w:cs="仿宋_GB2312"/>
                <w:color w:val="auto"/>
                <w:sz w:val="21"/>
                <w:szCs w:val="21"/>
                <w:lang w:val="zh-CN"/>
              </w:rPr>
            </w:pPr>
            <w:r>
              <w:rPr>
                <w:rFonts w:hint="eastAsia" w:ascii="仿宋" w:hAnsi="仿宋" w:eastAsia="仿宋" w:cs="仿宋_GB2312"/>
                <w:color w:val="auto"/>
                <w:sz w:val="21"/>
                <w:szCs w:val="21"/>
              </w:rPr>
              <w:t>供应商</w:t>
            </w:r>
            <w:r>
              <w:rPr>
                <w:rFonts w:hint="eastAsia" w:ascii="仿宋" w:hAnsi="仿宋" w:eastAsia="仿宋" w:cs="仿宋_GB2312"/>
                <w:color w:val="auto"/>
                <w:sz w:val="21"/>
                <w:szCs w:val="21"/>
                <w:lang w:val="zh-CN"/>
              </w:rPr>
              <w:t>应符合的基本资格条件</w:t>
            </w:r>
          </w:p>
        </w:tc>
        <w:tc>
          <w:tcPr>
            <w:tcW w:w="2835" w:type="dxa"/>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（1）具有独立承担民事责任的能力</w:t>
            </w:r>
          </w:p>
        </w:tc>
        <w:tc>
          <w:tcPr>
            <w:tcW w:w="5812" w:type="dxa"/>
            <w:vAlign w:val="center"/>
          </w:tcPr>
          <w:p>
            <w:pPr>
              <w:rPr>
                <w:rFonts w:ascii="仿宋" w:hAnsi="仿宋" w:eastAsia="仿宋"/>
                <w:color w:val="auto"/>
                <w:sz w:val="21"/>
                <w:szCs w:val="21"/>
              </w:rPr>
            </w:pPr>
            <w:r>
              <w:rPr>
                <w:rFonts w:hint="eastAsia" w:ascii="仿宋" w:hAnsi="仿宋" w:eastAsia="仿宋"/>
                <w:color w:val="auto"/>
                <w:sz w:val="21"/>
                <w:szCs w:val="21"/>
              </w:rPr>
              <w:t>供应商法人营业执照（副本）或事业单位法人证书（副本）或个体工商户营业执照或有效的自然人身份证明、组织机构代码证复印件（注</w:t>
            </w:r>
            <w:r>
              <w:rPr>
                <w:rFonts w:hint="eastAsia" w:ascii="仿宋" w:hAnsi="仿宋" w:eastAsia="仿宋"/>
                <w:color w:val="auto"/>
              </w:rPr>
              <w:sym w:font="Wingdings" w:char="F081"/>
            </w:r>
            <w:r>
              <w:rPr>
                <w:rFonts w:hint="eastAsia" w:ascii="仿宋" w:hAnsi="仿宋" w:eastAsia="仿宋"/>
                <w:color w:val="auto"/>
                <w:sz w:val="21"/>
                <w:szCs w:val="21"/>
              </w:rPr>
              <w:t>）；</w:t>
            </w:r>
          </w:p>
          <w:p>
            <w:pPr>
              <w:rPr>
                <w:rFonts w:ascii="仿宋" w:hAnsi="仿宋" w:eastAsia="仿宋"/>
                <w:color w:val="auto"/>
                <w:sz w:val="21"/>
                <w:szCs w:val="21"/>
              </w:rPr>
            </w:pPr>
            <w:r>
              <w:rPr>
                <w:rFonts w:hint="eastAsia" w:ascii="仿宋" w:hAnsi="仿宋" w:eastAsia="仿宋"/>
                <w:color w:val="auto"/>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61" w:type="dxa"/>
            <w:vMerge w:val="continue"/>
            <w:vAlign w:val="center"/>
          </w:tcPr>
          <w:p>
            <w:pPr>
              <w:keepNext/>
              <w:keepLines/>
              <w:spacing w:before="260" w:after="260" w:line="380" w:lineRule="exact"/>
              <w:jc w:val="center"/>
              <w:outlineLvl w:val="2"/>
              <w:rPr>
                <w:rFonts w:ascii="仿宋" w:hAnsi="仿宋" w:eastAsia="仿宋"/>
                <w:color w:val="auto"/>
                <w:sz w:val="21"/>
                <w:szCs w:val="21"/>
              </w:rPr>
            </w:pPr>
          </w:p>
        </w:tc>
        <w:tc>
          <w:tcPr>
            <w:tcW w:w="965" w:type="dxa"/>
            <w:vMerge w:val="continue"/>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2835" w:type="dxa"/>
            <w:vAlign w:val="center"/>
          </w:tcPr>
          <w:p>
            <w:pPr>
              <w:spacing w:line="380" w:lineRule="exact"/>
              <w:rPr>
                <w:rFonts w:ascii="仿宋" w:hAnsi="仿宋" w:eastAsia="仿宋"/>
                <w:color w:val="auto"/>
                <w:sz w:val="21"/>
                <w:szCs w:val="21"/>
              </w:rPr>
            </w:pPr>
            <w:r>
              <w:rPr>
                <w:rFonts w:hint="eastAsia" w:ascii="仿宋" w:hAnsi="仿宋" w:eastAsia="仿宋" w:cs="仿宋_GB2312"/>
                <w:color w:val="auto"/>
                <w:sz w:val="21"/>
                <w:szCs w:val="21"/>
                <w:lang w:val="zh-CN"/>
              </w:rPr>
              <w:t>（2）</w:t>
            </w:r>
            <w:r>
              <w:rPr>
                <w:rFonts w:hint="eastAsia" w:ascii="仿宋" w:hAnsi="仿宋" w:eastAsia="仿宋"/>
                <w:color w:val="auto"/>
                <w:sz w:val="21"/>
                <w:szCs w:val="21"/>
              </w:rPr>
              <w:t>具有良好的商业信誉和健全的财务会计制度</w:t>
            </w:r>
          </w:p>
        </w:tc>
        <w:tc>
          <w:tcPr>
            <w:tcW w:w="5812" w:type="dxa"/>
            <w:vMerge w:val="restart"/>
            <w:vAlign w:val="center"/>
          </w:tcPr>
          <w:p>
            <w:pPr>
              <w:rPr>
                <w:rFonts w:ascii="仿宋" w:hAnsi="仿宋" w:eastAsia="仿宋"/>
                <w:color w:val="auto"/>
                <w:sz w:val="21"/>
                <w:szCs w:val="21"/>
              </w:rPr>
            </w:pPr>
            <w:r>
              <w:rPr>
                <w:rFonts w:hint="eastAsia" w:ascii="仿宋" w:hAnsi="仿宋" w:eastAsia="仿宋" w:cs="仿宋"/>
                <w:color w:val="auto"/>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rFonts w:ascii="仿宋" w:hAnsi="仿宋" w:eastAsia="仿宋"/>
                <w:color w:val="auto"/>
                <w:sz w:val="21"/>
                <w:szCs w:val="21"/>
              </w:rPr>
            </w:pPr>
          </w:p>
        </w:tc>
        <w:tc>
          <w:tcPr>
            <w:tcW w:w="965" w:type="dxa"/>
            <w:vMerge w:val="continue"/>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2835" w:type="dxa"/>
            <w:vAlign w:val="center"/>
          </w:tcPr>
          <w:p>
            <w:pPr>
              <w:spacing w:line="380" w:lineRule="exact"/>
              <w:rPr>
                <w:rFonts w:ascii="仿宋" w:hAnsi="仿宋" w:eastAsia="仿宋" w:cs="仿宋_GB2312"/>
                <w:color w:val="auto"/>
                <w:sz w:val="21"/>
                <w:szCs w:val="21"/>
                <w:lang w:val="zh-CN"/>
              </w:rPr>
            </w:pPr>
            <w:r>
              <w:rPr>
                <w:rFonts w:hint="eastAsia" w:ascii="仿宋" w:hAnsi="仿宋" w:eastAsia="仿宋" w:cs="仿宋_GB2312"/>
                <w:color w:val="auto"/>
                <w:sz w:val="21"/>
                <w:szCs w:val="21"/>
                <w:lang w:val="zh-CN"/>
              </w:rPr>
              <w:t>（3）具有履行合同所必需的设备和专业技术能力</w:t>
            </w:r>
          </w:p>
        </w:tc>
        <w:tc>
          <w:tcPr>
            <w:tcW w:w="5812" w:type="dxa"/>
            <w:vMerge w:val="continue"/>
            <w:vAlign w:val="center"/>
          </w:tcPr>
          <w:p>
            <w:pPr>
              <w:spacing w:line="38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rFonts w:ascii="仿宋" w:hAnsi="仿宋" w:eastAsia="仿宋"/>
                <w:color w:val="auto"/>
                <w:sz w:val="21"/>
                <w:szCs w:val="21"/>
              </w:rPr>
            </w:pPr>
          </w:p>
        </w:tc>
        <w:tc>
          <w:tcPr>
            <w:tcW w:w="965" w:type="dxa"/>
            <w:vMerge w:val="continue"/>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2835" w:type="dxa"/>
            <w:vAlign w:val="center"/>
          </w:tcPr>
          <w:p>
            <w:pPr>
              <w:spacing w:line="380" w:lineRule="exact"/>
              <w:rPr>
                <w:rFonts w:ascii="仿宋" w:hAnsi="仿宋" w:eastAsia="仿宋" w:cs="仿宋_GB2312"/>
                <w:color w:val="auto"/>
                <w:sz w:val="21"/>
                <w:szCs w:val="21"/>
                <w:lang w:val="zh-CN"/>
              </w:rPr>
            </w:pPr>
            <w:r>
              <w:rPr>
                <w:rFonts w:hint="eastAsia" w:ascii="仿宋" w:hAnsi="仿宋" w:eastAsia="仿宋" w:cs="仿宋_GB2312"/>
                <w:color w:val="auto"/>
                <w:sz w:val="21"/>
                <w:szCs w:val="21"/>
                <w:lang w:val="zh-CN"/>
              </w:rPr>
              <w:t>（4）有依法缴纳税收和社会保障金的良好记录</w:t>
            </w:r>
          </w:p>
        </w:tc>
        <w:tc>
          <w:tcPr>
            <w:tcW w:w="5812" w:type="dxa"/>
            <w:vMerge w:val="continue"/>
            <w:vAlign w:val="center"/>
          </w:tcPr>
          <w:p>
            <w:pP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spacing w:line="380" w:lineRule="exact"/>
              <w:jc w:val="center"/>
              <w:rPr>
                <w:rFonts w:ascii="仿宋" w:hAnsi="仿宋" w:eastAsia="仿宋"/>
                <w:color w:val="auto"/>
                <w:sz w:val="21"/>
                <w:szCs w:val="21"/>
              </w:rPr>
            </w:pPr>
          </w:p>
        </w:tc>
        <w:tc>
          <w:tcPr>
            <w:tcW w:w="965" w:type="dxa"/>
            <w:vMerge w:val="continue"/>
            <w:vAlign w:val="center"/>
          </w:tcPr>
          <w:p>
            <w:pPr>
              <w:spacing w:line="380" w:lineRule="exact"/>
              <w:rPr>
                <w:rFonts w:ascii="仿宋" w:hAnsi="仿宋" w:eastAsia="仿宋" w:cs="仿宋_GB2312"/>
                <w:color w:val="auto"/>
                <w:sz w:val="21"/>
                <w:szCs w:val="21"/>
                <w:lang w:val="zh-CN"/>
              </w:rPr>
            </w:pPr>
          </w:p>
        </w:tc>
        <w:tc>
          <w:tcPr>
            <w:tcW w:w="2835" w:type="dxa"/>
            <w:vAlign w:val="center"/>
          </w:tcPr>
          <w:p>
            <w:pPr>
              <w:spacing w:line="380" w:lineRule="exact"/>
              <w:rPr>
                <w:rFonts w:ascii="仿宋" w:hAnsi="仿宋" w:eastAsia="仿宋" w:cs="仿宋_GB2312"/>
                <w:color w:val="auto"/>
                <w:sz w:val="21"/>
                <w:szCs w:val="21"/>
                <w:lang w:val="zh-CN"/>
              </w:rPr>
            </w:pPr>
            <w:r>
              <w:rPr>
                <w:rFonts w:hint="eastAsia" w:ascii="仿宋" w:hAnsi="仿宋" w:eastAsia="仿宋"/>
                <w:color w:val="auto"/>
                <w:sz w:val="21"/>
                <w:szCs w:val="21"/>
              </w:rPr>
              <w:t>（5）参加政府采购活动前三年内，在经营活动中没有重大违法记录（注②）</w:t>
            </w:r>
          </w:p>
        </w:tc>
        <w:tc>
          <w:tcPr>
            <w:tcW w:w="5812" w:type="dxa"/>
            <w:vMerge w:val="continue"/>
            <w:vAlign w:val="center"/>
          </w:tcPr>
          <w:p>
            <w:pPr>
              <w:spacing w:line="38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61" w:type="dxa"/>
            <w:vMerge w:val="continue"/>
            <w:vAlign w:val="center"/>
          </w:tcPr>
          <w:p>
            <w:pPr>
              <w:keepNext/>
              <w:keepLines/>
              <w:spacing w:before="260" w:after="260" w:line="380" w:lineRule="exact"/>
              <w:jc w:val="center"/>
              <w:outlineLvl w:val="2"/>
              <w:rPr>
                <w:rFonts w:ascii="仿宋" w:hAnsi="仿宋" w:eastAsia="仿宋"/>
                <w:color w:val="auto"/>
                <w:sz w:val="21"/>
                <w:szCs w:val="21"/>
              </w:rPr>
            </w:pPr>
          </w:p>
        </w:tc>
        <w:tc>
          <w:tcPr>
            <w:tcW w:w="965" w:type="dxa"/>
            <w:vMerge w:val="continue"/>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2835" w:type="dxa"/>
            <w:vAlign w:val="center"/>
          </w:tcPr>
          <w:p>
            <w:pPr>
              <w:rPr>
                <w:rFonts w:ascii="仿宋" w:hAnsi="仿宋" w:eastAsia="仿宋"/>
                <w:color w:val="auto"/>
                <w:sz w:val="21"/>
                <w:szCs w:val="21"/>
              </w:rPr>
            </w:pPr>
            <w:r>
              <w:rPr>
                <w:rFonts w:hint="eastAsia" w:ascii="仿宋" w:hAnsi="仿宋" w:eastAsia="仿宋"/>
                <w:color w:val="auto"/>
                <w:sz w:val="21"/>
                <w:szCs w:val="21"/>
              </w:rPr>
              <w:t>（6）法律、行政法规规定的其他条件</w:t>
            </w:r>
          </w:p>
        </w:tc>
        <w:tc>
          <w:tcPr>
            <w:tcW w:w="5812" w:type="dxa"/>
            <w:vAlign w:val="center"/>
          </w:tcPr>
          <w:p>
            <w:pPr>
              <w:keepNext/>
              <w:keepLines/>
              <w:spacing w:before="260" w:after="260"/>
              <w:outlineLvl w:val="2"/>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2</w:t>
            </w:r>
          </w:p>
        </w:tc>
        <w:tc>
          <w:tcPr>
            <w:tcW w:w="3800" w:type="dxa"/>
            <w:gridSpan w:val="2"/>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特定资格条件</w:t>
            </w:r>
          </w:p>
        </w:tc>
        <w:tc>
          <w:tcPr>
            <w:tcW w:w="5812" w:type="dxa"/>
            <w:vAlign w:val="center"/>
          </w:tcPr>
          <w:p>
            <w:pPr>
              <w:rPr>
                <w:rFonts w:ascii="仿宋" w:hAnsi="仿宋" w:eastAsia="仿宋"/>
                <w:color w:val="auto"/>
                <w:sz w:val="21"/>
                <w:szCs w:val="21"/>
              </w:rPr>
            </w:pPr>
            <w:bookmarkStart w:id="81" w:name="_Toc11965"/>
            <w:bookmarkStart w:id="82" w:name="_Toc13413"/>
            <w:r>
              <w:rPr>
                <w:rFonts w:hint="eastAsia" w:ascii="仿宋" w:hAnsi="仿宋" w:eastAsia="仿宋"/>
                <w:color w:val="auto"/>
                <w:sz w:val="22"/>
                <w:szCs w:val="22"/>
              </w:rPr>
              <w:t>按第一篇“比选邀请书（三）特定资格条件”的要求提交证明文件复印件并加盖供应商公章。</w:t>
            </w:r>
            <w:bookmarkEnd w:id="81"/>
            <w:bookmarkEnd w:id="82"/>
          </w:p>
        </w:tc>
      </w:tr>
    </w:tbl>
    <w:p>
      <w:pPr>
        <w:snapToGrid w:val="0"/>
        <w:spacing w:line="380" w:lineRule="exact"/>
        <w:rPr>
          <w:rFonts w:ascii="仿宋" w:hAnsi="仿宋" w:eastAsia="仿宋"/>
          <w:color w:val="auto"/>
        </w:rPr>
      </w:pPr>
      <w:r>
        <w:rPr>
          <w:rFonts w:hint="eastAsia" w:ascii="仿宋" w:hAnsi="仿宋" w:eastAsia="仿宋"/>
          <w:color w:val="auto"/>
        </w:rPr>
        <w:t>注：</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sym w:font="Wingdings" w:char="F081"/>
      </w:r>
      <w:r>
        <w:rPr>
          <w:rFonts w:hint="eastAsia" w:ascii="仿宋" w:hAnsi="仿宋" w:eastAsia="仿宋"/>
          <w:color w:val="auto"/>
        </w:rPr>
        <w:t>供应商按“五证合一”登记制度办理营业执照的，组织机构代码证、税务登记证（副本）和社会保险登记证以供应商所提供的营业执照（副本）复印件为准。</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sym w:font="Wingdings" w:char="F082"/>
      </w:r>
      <w:r>
        <w:rPr>
          <w:rFonts w:hint="eastAsia" w:ascii="仿宋" w:hAnsi="仿宋" w:eastAsia="仿宋"/>
          <w:color w:val="auto"/>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③根据重庆市财政局文件 渝财规〔</w:t>
      </w:r>
      <w:r>
        <w:rPr>
          <w:rFonts w:ascii="仿宋" w:hAnsi="仿宋" w:eastAsia="仿宋"/>
          <w:color w:val="auto"/>
        </w:rPr>
        <w:t>2022〕4号</w:t>
      </w:r>
      <w:r>
        <w:rPr>
          <w:rFonts w:hint="eastAsia" w:ascii="仿宋" w:hAnsi="仿宋" w:eastAsia="仿宋"/>
          <w:color w:val="auto"/>
        </w:rPr>
        <w:t xml:space="preserve">重庆市财政局关于实施政府采购供应商 </w:t>
      </w:r>
      <w:r>
        <w:rPr>
          <w:rFonts w:ascii="仿宋" w:hAnsi="仿宋" w:eastAsia="仿宋"/>
          <w:color w:val="auto"/>
        </w:rPr>
        <w:t>基本资格条件承诺制的通知</w:t>
      </w:r>
      <w:r>
        <w:rPr>
          <w:rFonts w:hint="eastAsia" w:ascii="仿宋" w:hAnsi="仿宋" w:eastAsia="仿宋"/>
          <w:color w:val="auto"/>
        </w:rPr>
        <w:t>：供应商只</w:t>
      </w:r>
      <w:r>
        <w:rPr>
          <w:rFonts w:ascii="仿宋" w:hAnsi="仿宋" w:eastAsia="仿宋"/>
          <w:color w:val="auto"/>
        </w:rPr>
        <w:t xml:space="preserve">需以书面形式提供规定格式的《基本资格条件承诺函》，即可替代以下材料： </w:t>
      </w:r>
    </w:p>
    <w:p>
      <w:pPr>
        <w:snapToGrid w:val="0"/>
        <w:spacing w:line="360" w:lineRule="auto"/>
        <w:ind w:firstLine="480" w:firstLineChars="200"/>
        <w:rPr>
          <w:rFonts w:ascii="仿宋" w:hAnsi="仿宋" w:eastAsia="仿宋"/>
          <w:color w:val="auto"/>
        </w:rPr>
      </w:pPr>
      <w:r>
        <w:rPr>
          <w:rFonts w:ascii="仿宋" w:hAnsi="仿宋" w:eastAsia="仿宋"/>
          <w:color w:val="auto"/>
        </w:rPr>
        <w:t>1</w:t>
      </w:r>
      <w:r>
        <w:rPr>
          <w:rFonts w:hint="eastAsia" w:ascii="仿宋" w:hAnsi="仿宋" w:eastAsia="仿宋"/>
          <w:color w:val="auto"/>
        </w:rPr>
        <w:t>、财务状况报告（表）或其基本开户银行出具的资信证明材料；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2、依法缴纳税收的证明材料；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3、缴纳社会保障金的证明材料；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4、具有履行合同所必需的设备和专业技术能力的证明材料；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5、参加政府采购活动前三年内，在经营活动中没有重大违法记录的证明材料；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6、未被列入失信被执行人、重大税收违法案件当事人名单及政府采购严重违法失信行为记录名单的证明材料。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符合性检查。依据比选通知书的规定，从响应文件的有效性、完整性和对比选通知书的响应程度进行审查，以确定是否对比选通知书的实质性要求作出响应。符合性检查资料表如下：</w:t>
      </w:r>
    </w:p>
    <w:tbl>
      <w:tblPr>
        <w:tblStyle w:val="3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法定代表人身份证明及授权委托书有效，符合比选通知书规定的格式，签字或盖章齐全。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_GB2312"/>
                <w:color w:val="auto"/>
                <w:sz w:val="21"/>
                <w:szCs w:val="21"/>
                <w:lang w:val="zh-CN"/>
              </w:rPr>
            </w:pP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s="仿宋_GB2312"/>
                <w:color w:val="auto"/>
                <w:sz w:val="21"/>
                <w:szCs w:val="21"/>
                <w:lang w:val="zh-CN"/>
              </w:rPr>
              <w:t>每个分包只能有一个</w:t>
            </w: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_GB2312"/>
                <w:color w:val="auto"/>
                <w:sz w:val="21"/>
                <w:szCs w:val="21"/>
                <w:lang w:val="zh-CN"/>
              </w:rPr>
            </w:pPr>
            <w:r>
              <w:rPr>
                <w:rFonts w:hint="eastAsia" w:ascii="仿宋" w:hAnsi="仿宋" w:eastAsia="仿宋"/>
                <w:color w:val="auto"/>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s="仿宋_GB2312"/>
                <w:color w:val="auto"/>
                <w:sz w:val="21"/>
                <w:szCs w:val="21"/>
                <w:lang w:val="zh-CN"/>
              </w:rPr>
              <w:t>响应文件正、副本数量符合投标文件要求。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_GB2312"/>
                <w:color w:val="auto"/>
                <w:sz w:val="21"/>
                <w:szCs w:val="21"/>
                <w:lang w:val="zh-CN"/>
              </w:rPr>
            </w:pPr>
            <w:r>
              <w:rPr>
                <w:rFonts w:hint="eastAsia" w:ascii="仿宋" w:hAnsi="仿宋" w:eastAsia="仿宋"/>
                <w:color w:val="auto"/>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pPr>
              <w:pStyle w:val="19"/>
              <w:widowControl w:val="0"/>
              <w:spacing w:line="380" w:lineRule="exact"/>
              <w:jc w:val="both"/>
              <w:rPr>
                <w:rFonts w:ascii="仿宋" w:hAnsi="仿宋" w:eastAsia="仿宋" w:cs="宋体"/>
                <w:color w:val="auto"/>
                <w:kern w:val="2"/>
                <w:sz w:val="21"/>
                <w:szCs w:val="21"/>
                <w:lang w:val="en-US"/>
              </w:rPr>
            </w:pPr>
            <w:r>
              <w:rPr>
                <w:rFonts w:hint="eastAsia" w:ascii="仿宋" w:hAnsi="仿宋" w:eastAsia="仿宋" w:cs="宋体"/>
                <w:color w:val="auto"/>
                <w:kern w:val="2"/>
                <w:sz w:val="21"/>
                <w:szCs w:val="21"/>
                <w:lang w:val="en-US"/>
              </w:rPr>
              <w:t>对比选通知书第三篇、第四篇带</w:t>
            </w:r>
            <w:r>
              <w:rPr>
                <w:rFonts w:ascii="仿宋" w:hAnsi="仿宋" w:eastAsia="仿宋" w:cs="宋体"/>
                <w:color w:val="auto"/>
                <w:kern w:val="2"/>
                <w:sz w:val="21"/>
                <w:szCs w:val="21"/>
                <w:lang w:val="en-US"/>
              </w:rPr>
              <w:t>（※）号标注的部分</w:t>
            </w:r>
            <w:r>
              <w:rPr>
                <w:rFonts w:hint="eastAsia" w:ascii="仿宋" w:hAnsi="仿宋" w:eastAsia="仿宋" w:cs="宋体"/>
                <w:color w:val="auto"/>
                <w:kern w:val="2"/>
                <w:sz w:val="21"/>
                <w:szCs w:val="21"/>
                <w:lang w:val="en-US"/>
              </w:rPr>
              <w:t>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满足比选通知书</w:t>
            </w:r>
            <w:r>
              <w:rPr>
                <w:rFonts w:hint="eastAsia" w:ascii="仿宋" w:hAnsi="仿宋" w:eastAsia="仿宋" w:cs="仿宋_GB2312"/>
                <w:color w:val="auto"/>
                <w:sz w:val="21"/>
                <w:szCs w:val="21"/>
                <w:lang w:val="zh-CN"/>
              </w:rPr>
              <w:t>规定。</w:t>
            </w:r>
          </w:p>
        </w:tc>
      </w:tr>
    </w:tbl>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（3）在比选过程中比选的任何一方不得向他人透露与比选有关的技术资料、价格或其他信息。</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（4）比选小组采用</w:t>
      </w:r>
      <w:r>
        <w:rPr>
          <w:rFonts w:hint="eastAsia" w:ascii="仿宋" w:hAnsi="仿宋" w:eastAsia="仿宋" w:cs="仿宋_GB2312"/>
          <w:b/>
          <w:bCs/>
          <w:color w:val="auto"/>
        </w:rPr>
        <w:t>综合评分法</w:t>
      </w:r>
      <w:r>
        <w:rPr>
          <w:rFonts w:hint="eastAsia" w:ascii="仿宋" w:hAnsi="仿宋" w:eastAsia="仿宋" w:cs="仿宋_GB2312"/>
          <w:color w:val="auto"/>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pPr>
        <w:snapToGrid w:val="0"/>
        <w:spacing w:line="360" w:lineRule="auto"/>
        <w:ind w:firstLine="480" w:firstLineChars="200"/>
        <w:rPr>
          <w:rFonts w:ascii="仿宋" w:hAnsi="仿宋" w:eastAsia="仿宋"/>
          <w:color w:val="auto"/>
        </w:rPr>
      </w:pPr>
      <w:r>
        <w:rPr>
          <w:rFonts w:hint="eastAsia" w:ascii="仿宋" w:hAnsi="仿宋" w:eastAsia="仿宋" w:cs="仿宋_GB2312"/>
          <w:color w:val="auto"/>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pPr>
        <w:pStyle w:val="5"/>
        <w:rPr>
          <w:rFonts w:hint="eastAsia" w:ascii="仿宋" w:hAnsi="仿宋" w:eastAsia="仿宋"/>
          <w:b/>
          <w:bCs/>
          <w:color w:val="auto"/>
          <w:sz w:val="24"/>
          <w:szCs w:val="24"/>
        </w:rPr>
      </w:pPr>
      <w:bookmarkStart w:id="83" w:name="_Toc187068690"/>
      <w:bookmarkStart w:id="84" w:name="_Toc11594"/>
      <w:bookmarkStart w:id="85" w:name="_Toc12097"/>
      <w:r>
        <w:rPr>
          <w:rFonts w:hint="eastAsia" w:ascii="仿宋" w:hAnsi="仿宋" w:eastAsia="仿宋"/>
          <w:b/>
          <w:bCs/>
          <w:color w:val="auto"/>
          <w:sz w:val="24"/>
          <w:szCs w:val="24"/>
        </w:rPr>
        <w:t>五、评审标准</w:t>
      </w:r>
      <w:bookmarkEnd w:id="83"/>
      <w:bookmarkEnd w:id="84"/>
      <w:bookmarkEnd w:id="85"/>
    </w:p>
    <w:tbl>
      <w:tblPr>
        <w:tblStyle w:val="33"/>
        <w:tblW w:w="10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6"/>
        <w:gridCol w:w="851"/>
        <w:gridCol w:w="545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50" w:type="dxa"/>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276" w:type="dxa"/>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评分因素及权重</w:t>
            </w:r>
          </w:p>
        </w:tc>
        <w:tc>
          <w:tcPr>
            <w:tcW w:w="851" w:type="dxa"/>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分值</w:t>
            </w:r>
          </w:p>
        </w:tc>
        <w:tc>
          <w:tcPr>
            <w:tcW w:w="5458" w:type="dxa"/>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评分标准</w:t>
            </w:r>
          </w:p>
        </w:tc>
        <w:tc>
          <w:tcPr>
            <w:tcW w:w="1913" w:type="dxa"/>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850" w:type="dxa"/>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76" w:type="dxa"/>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比选</w:t>
            </w:r>
            <w:r>
              <w:rPr>
                <w:rFonts w:hint="eastAsia" w:ascii="仿宋" w:hAnsi="仿宋" w:eastAsia="仿宋" w:cs="仿宋"/>
                <w:color w:val="auto"/>
                <w:sz w:val="21"/>
                <w:szCs w:val="21"/>
              </w:rPr>
              <w:t>报价</w:t>
            </w:r>
          </w:p>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w:t>
            </w:r>
          </w:p>
        </w:tc>
        <w:tc>
          <w:tcPr>
            <w:tcW w:w="851" w:type="dxa"/>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w:t>
            </w:r>
          </w:p>
        </w:tc>
        <w:tc>
          <w:tcPr>
            <w:tcW w:w="7371" w:type="dxa"/>
            <w:gridSpan w:val="2"/>
            <w:noWrap w:val="0"/>
            <w:vAlign w:val="center"/>
          </w:tcPr>
          <w:p>
            <w:pPr>
              <w:snapToGrid w:val="0"/>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满足资格性、符合性要求且最后报价最低的供应商的价格为</w:t>
            </w:r>
            <w:r>
              <w:rPr>
                <w:rFonts w:hint="eastAsia" w:ascii="仿宋" w:hAnsi="仿宋" w:eastAsia="仿宋" w:cs="仿宋"/>
                <w:color w:val="auto"/>
                <w:sz w:val="21"/>
                <w:szCs w:val="21"/>
                <w:lang w:eastAsia="zh-CN"/>
              </w:rPr>
              <w:t>比选</w:t>
            </w:r>
            <w:r>
              <w:rPr>
                <w:rFonts w:hint="eastAsia" w:ascii="仿宋" w:hAnsi="仿宋" w:eastAsia="仿宋" w:cs="仿宋"/>
                <w:color w:val="auto"/>
                <w:sz w:val="21"/>
                <w:szCs w:val="21"/>
              </w:rPr>
              <w:t>基准价，其价格分为满分。其他供应商的价格分统一按照下列公式计算：</w:t>
            </w:r>
          </w:p>
          <w:p>
            <w:pPr>
              <w:snapToGrid w:val="0"/>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比选</w:t>
            </w:r>
            <w:r>
              <w:rPr>
                <w:rFonts w:hint="eastAsia" w:ascii="仿宋" w:hAnsi="仿宋" w:eastAsia="仿宋" w:cs="仿宋"/>
                <w:color w:val="auto"/>
                <w:sz w:val="21"/>
                <w:szCs w:val="21"/>
              </w:rPr>
              <w:t>报价得分=（</w:t>
            </w:r>
            <w:r>
              <w:rPr>
                <w:rFonts w:hint="eastAsia" w:ascii="仿宋" w:hAnsi="仿宋" w:eastAsia="仿宋" w:cs="仿宋"/>
                <w:color w:val="auto"/>
                <w:sz w:val="21"/>
                <w:szCs w:val="21"/>
                <w:lang w:eastAsia="zh-CN"/>
              </w:rPr>
              <w:t>比选</w:t>
            </w:r>
            <w:r>
              <w:rPr>
                <w:rFonts w:hint="eastAsia" w:ascii="仿宋" w:hAnsi="仿宋" w:eastAsia="仿宋" w:cs="仿宋"/>
                <w:color w:val="auto"/>
                <w:sz w:val="21"/>
                <w:szCs w:val="21"/>
              </w:rPr>
              <w:t>基准价/</w:t>
            </w:r>
            <w:r>
              <w:rPr>
                <w:rFonts w:hint="eastAsia" w:ascii="仿宋" w:hAnsi="仿宋" w:eastAsia="仿宋" w:cs="仿宋"/>
                <w:color w:val="auto"/>
                <w:sz w:val="21"/>
                <w:szCs w:val="21"/>
                <w:lang w:eastAsia="zh-CN"/>
              </w:rPr>
              <w:t>比选</w:t>
            </w:r>
            <w:r>
              <w:rPr>
                <w:rFonts w:hint="eastAsia" w:ascii="仿宋" w:hAnsi="仿宋" w:eastAsia="仿宋" w:cs="仿宋"/>
                <w:color w:val="auto"/>
                <w:sz w:val="21"/>
                <w:szCs w:val="21"/>
              </w:rPr>
              <w:t>报价）×价格权值×100具体分值采用插入法计算，保留小数点后两位，第三位四舍五入。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0" w:type="dxa"/>
            <w:vMerge w:val="restart"/>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276" w:type="dxa"/>
            <w:vMerge w:val="restart"/>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技术部分</w:t>
            </w:r>
          </w:p>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p>
        </w:tc>
        <w:tc>
          <w:tcPr>
            <w:tcW w:w="851" w:type="dxa"/>
            <w:noWrap w:val="0"/>
            <w:vAlign w:val="center"/>
          </w:tcPr>
          <w:p>
            <w:pPr>
              <w:spacing w:line="400" w:lineRule="exact"/>
              <w:jc w:val="center"/>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设备 安装 方案 （15 分）</w:t>
            </w:r>
          </w:p>
        </w:tc>
        <w:tc>
          <w:tcPr>
            <w:tcW w:w="5458" w:type="dxa"/>
            <w:noWrap w:val="0"/>
            <w:vAlign w:val="center"/>
          </w:tcPr>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供应商针对本项目提供完整详细的安装措施内容 包括但不限于： ①项目实施流程及项目时间进度安排 ②技术人员安排、人员安全保障； ③安装过程风险规避； ④安装后质保期内维护、检修等。</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内容不存在瑕疵得</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内容存在1处瑕疵得</w:t>
            </w:r>
            <w:r>
              <w:rPr>
                <w:rFonts w:hint="eastAsia" w:ascii="仿宋" w:hAnsi="仿宋" w:eastAsia="仿宋" w:cs="仿宋"/>
                <w:color w:val="auto"/>
                <w:sz w:val="21"/>
                <w:szCs w:val="21"/>
                <w:lang w:val="en-US" w:eastAsia="zh-CN"/>
              </w:rPr>
              <w:t>11</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内容存在2处瑕疵得</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内容存在3处瑕疵得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内容存在4处及以上瑕疵或未提供的得0分</w:t>
            </w:r>
          </w:p>
        </w:tc>
        <w:tc>
          <w:tcPr>
            <w:tcW w:w="1913" w:type="dxa"/>
            <w:vMerge w:val="restart"/>
            <w:noWrap w:val="0"/>
            <w:vAlign w:val="center"/>
          </w:tcPr>
          <w:p>
            <w:pPr>
              <w:snapToGrid w:val="0"/>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提供技术方案，格式自定。</w:t>
            </w:r>
          </w:p>
          <w:p>
            <w:pPr>
              <w:snapToGrid w:val="0"/>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方案评审标准：本项内容中所称的“瑕疵”是指内容与实际情况不符、内容与项目无关、内容表述错误、内容前后表述矛盾、内容与项目不匹配、项目信息错误、不符合本项目涉及的相关规范或标准或服务要求、套用其他方案、存在逻辑漏洞以及不可能实现的夸大情形、内容不完整或缺少关键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0" w:type="dxa"/>
            <w:vMerge w:val="continue"/>
            <w:noWrap w:val="0"/>
            <w:vAlign w:val="center"/>
          </w:tcPr>
          <w:p>
            <w:pPr>
              <w:snapToGrid w:val="0"/>
              <w:spacing w:line="400" w:lineRule="exact"/>
              <w:jc w:val="center"/>
              <w:rPr>
                <w:rFonts w:hint="eastAsia" w:ascii="仿宋" w:hAnsi="仿宋" w:eastAsia="仿宋" w:cs="仿宋"/>
                <w:color w:val="auto"/>
                <w:sz w:val="21"/>
                <w:szCs w:val="21"/>
              </w:rPr>
            </w:pPr>
          </w:p>
        </w:tc>
        <w:tc>
          <w:tcPr>
            <w:tcW w:w="1276" w:type="dxa"/>
            <w:vMerge w:val="continue"/>
            <w:noWrap w:val="0"/>
            <w:vAlign w:val="center"/>
          </w:tcPr>
          <w:p>
            <w:pPr>
              <w:snapToGrid w:val="0"/>
              <w:spacing w:line="400" w:lineRule="exact"/>
              <w:jc w:val="center"/>
              <w:rPr>
                <w:rFonts w:hint="eastAsia" w:ascii="仿宋" w:hAnsi="仿宋" w:eastAsia="仿宋" w:cs="仿宋"/>
                <w:color w:val="auto"/>
                <w:sz w:val="21"/>
                <w:szCs w:val="21"/>
              </w:rPr>
            </w:pPr>
          </w:p>
        </w:tc>
        <w:tc>
          <w:tcPr>
            <w:tcW w:w="851" w:type="dxa"/>
            <w:noWrap w:val="0"/>
            <w:vAlign w:val="center"/>
          </w:tcPr>
          <w:p>
            <w:pPr>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供货计 划及质 量保障 措施 （15 分）</w:t>
            </w:r>
          </w:p>
        </w:tc>
        <w:tc>
          <w:tcPr>
            <w:tcW w:w="5458" w:type="dxa"/>
            <w:noWrap w:val="0"/>
            <w:vAlign w:val="center"/>
          </w:tcPr>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供应商针对本项目提供详细的供货计划及完善的质 量保障措施，措施内容包括但不限于： ①货源组织及渠道来源； ②货物包装运输措施； ③质量保障措施等。</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内容不存在瑕疵得</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内容存在1处瑕疵得</w:t>
            </w:r>
            <w:r>
              <w:rPr>
                <w:rFonts w:hint="eastAsia" w:ascii="仿宋" w:hAnsi="仿宋" w:eastAsia="仿宋" w:cs="仿宋"/>
                <w:color w:val="auto"/>
                <w:sz w:val="21"/>
                <w:szCs w:val="21"/>
                <w:lang w:val="en-US" w:eastAsia="zh-CN"/>
              </w:rPr>
              <w:t>11</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内容存在2处瑕疵得</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内容存在3处瑕疵得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内容存在4处及以上瑕疵或未提供的得0分</w:t>
            </w:r>
          </w:p>
        </w:tc>
        <w:tc>
          <w:tcPr>
            <w:tcW w:w="1913" w:type="dxa"/>
            <w:vMerge w:val="continue"/>
            <w:noWrap w:val="0"/>
            <w:vAlign w:val="center"/>
          </w:tcPr>
          <w:p>
            <w:pPr>
              <w:pStyle w:val="42"/>
              <w:jc w:val="both"/>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850" w:type="dxa"/>
            <w:vMerge w:val="continue"/>
            <w:noWrap w:val="0"/>
            <w:vAlign w:val="center"/>
          </w:tcPr>
          <w:p>
            <w:pPr>
              <w:snapToGrid w:val="0"/>
              <w:spacing w:line="400" w:lineRule="exact"/>
              <w:jc w:val="center"/>
              <w:rPr>
                <w:rFonts w:hint="eastAsia" w:ascii="仿宋" w:hAnsi="仿宋" w:eastAsia="仿宋" w:cs="仿宋"/>
                <w:color w:val="auto"/>
                <w:sz w:val="21"/>
                <w:szCs w:val="21"/>
              </w:rPr>
            </w:pPr>
          </w:p>
        </w:tc>
        <w:tc>
          <w:tcPr>
            <w:tcW w:w="1276" w:type="dxa"/>
            <w:vMerge w:val="continue"/>
            <w:noWrap w:val="0"/>
            <w:vAlign w:val="center"/>
          </w:tcPr>
          <w:p>
            <w:pPr>
              <w:snapToGrid w:val="0"/>
              <w:spacing w:line="400" w:lineRule="exact"/>
              <w:jc w:val="center"/>
              <w:rPr>
                <w:rFonts w:hint="eastAsia" w:ascii="仿宋" w:hAnsi="仿宋" w:eastAsia="仿宋" w:cs="仿宋"/>
                <w:color w:val="auto"/>
                <w:sz w:val="21"/>
                <w:szCs w:val="21"/>
              </w:rPr>
            </w:pPr>
          </w:p>
        </w:tc>
        <w:tc>
          <w:tcPr>
            <w:tcW w:w="851" w:type="dxa"/>
            <w:noWrap w:val="0"/>
            <w:vAlign w:val="center"/>
          </w:tcPr>
          <w:p>
            <w:pPr>
              <w:rPr>
                <w:rFonts w:hint="eastAsia" w:ascii="仿宋" w:hAnsi="仿宋" w:eastAsia="仿宋" w:cs="仿宋"/>
                <w:color w:val="auto"/>
                <w:sz w:val="21"/>
                <w:szCs w:val="21"/>
                <w:lang w:eastAsia="zh-CN"/>
              </w:rPr>
            </w:pPr>
            <w:r>
              <w:rPr>
                <w:rFonts w:hint="eastAsia" w:ascii="仿宋" w:hAnsi="仿宋" w:eastAsia="仿宋" w:cs="仿宋"/>
                <w:color w:val="auto"/>
              </w:rPr>
              <w:t>售后服务方案（</w:t>
            </w:r>
            <w:r>
              <w:rPr>
                <w:rFonts w:hint="eastAsia" w:ascii="仿宋" w:hAnsi="仿宋" w:eastAsia="仿宋" w:cs="仿宋"/>
                <w:color w:val="auto"/>
                <w:lang w:val="en-US" w:eastAsia="zh-CN"/>
              </w:rPr>
              <w:t>10</w:t>
            </w:r>
            <w:r>
              <w:rPr>
                <w:rFonts w:hint="eastAsia" w:ascii="仿宋" w:hAnsi="仿宋" w:eastAsia="仿宋" w:cs="仿宋"/>
                <w:color w:val="auto"/>
              </w:rPr>
              <w:t>分）</w:t>
            </w:r>
          </w:p>
        </w:tc>
        <w:tc>
          <w:tcPr>
            <w:tcW w:w="5458" w:type="dxa"/>
            <w:noWrap w:val="0"/>
            <w:vAlign w:val="center"/>
          </w:tcPr>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3.供应商针对本项目提供详细、合理的售后服务方案， 方案内容包括但不限于： ①售后服务承诺； ②售后服务组织机构配置； ③售后服务内容及售后服务流程方案等。内容不存在瑕疵得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内容存在1处瑕疵得</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内容存在2处瑕疵得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内容存在3处瑕疵得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内容存在4处及以上瑕疵或未提供的得0分</w:t>
            </w:r>
          </w:p>
        </w:tc>
        <w:tc>
          <w:tcPr>
            <w:tcW w:w="1913" w:type="dxa"/>
            <w:vMerge w:val="continue"/>
            <w:noWrap w:val="0"/>
            <w:vAlign w:val="center"/>
          </w:tcPr>
          <w:p>
            <w:pPr>
              <w:snapToGrid w:val="0"/>
              <w:spacing w:line="40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50" w:type="dxa"/>
            <w:vMerge w:val="restart"/>
            <w:noWrap w:val="0"/>
            <w:vAlign w:val="center"/>
          </w:tcPr>
          <w:p>
            <w:pPr>
              <w:snapToGrid w:val="0"/>
              <w:spacing w:line="4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276" w:type="dxa"/>
            <w:vMerge w:val="restart"/>
            <w:noWrap w:val="0"/>
            <w:vAlign w:val="center"/>
          </w:tcPr>
          <w:p>
            <w:pPr>
              <w:snapToGrid w:val="0"/>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商务部分（</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p>
        </w:tc>
        <w:tc>
          <w:tcPr>
            <w:tcW w:w="851" w:type="dxa"/>
            <w:vMerge w:val="restart"/>
            <w:noWrap w:val="0"/>
            <w:vAlign w:val="center"/>
          </w:tcPr>
          <w:p>
            <w:pPr>
              <w:snapToGrid w:val="0"/>
              <w:spacing w:line="4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5458" w:type="dxa"/>
            <w:noWrap w:val="0"/>
            <w:vAlign w:val="center"/>
          </w:tcPr>
          <w:p>
            <w:pPr>
              <w:spacing w:line="400" w:lineRule="exact"/>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企业业绩</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5分</w:t>
            </w:r>
            <w:r>
              <w:rPr>
                <w:rFonts w:hint="eastAsia" w:ascii="仿宋" w:hAnsi="仿宋" w:eastAsia="仿宋" w:cs="仿宋"/>
                <w:color w:val="auto"/>
                <w:sz w:val="21"/>
                <w:szCs w:val="21"/>
                <w:lang w:eastAsia="zh-CN"/>
              </w:rPr>
              <w:t>）</w:t>
            </w:r>
          </w:p>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2021年1月1日至今（以合同签订时间为准），供应商具有</w:t>
            </w:r>
            <w:r>
              <w:rPr>
                <w:rFonts w:hint="eastAsia" w:ascii="仿宋" w:hAnsi="仿宋" w:eastAsia="仿宋" w:cs="仿宋"/>
                <w:color w:val="auto"/>
                <w:sz w:val="21"/>
                <w:szCs w:val="21"/>
                <w:lang w:val="en-US" w:eastAsia="zh-CN"/>
              </w:rPr>
              <w:t>安装语音播报杆或（类似弱电类）</w:t>
            </w:r>
            <w:r>
              <w:rPr>
                <w:rFonts w:hint="eastAsia" w:ascii="仿宋" w:hAnsi="仿宋" w:eastAsia="仿宋" w:cs="仿宋"/>
                <w:color w:val="auto"/>
                <w:sz w:val="21"/>
                <w:szCs w:val="21"/>
              </w:rPr>
              <w:t>业绩的，有1个得</w:t>
            </w:r>
            <w:r>
              <w:rPr>
                <w:rFonts w:hint="eastAsia" w:ascii="仿宋" w:hAnsi="仿宋" w:eastAsia="仿宋" w:cs="仿宋"/>
                <w:color w:val="auto"/>
                <w:sz w:val="21"/>
                <w:szCs w:val="21"/>
                <w:lang w:val="en-US" w:eastAsia="zh-CN"/>
              </w:rPr>
              <w:t>2.5</w:t>
            </w:r>
            <w:r>
              <w:rPr>
                <w:rFonts w:hint="eastAsia" w:ascii="仿宋" w:hAnsi="仿宋" w:eastAsia="仿宋" w:cs="仿宋"/>
                <w:color w:val="auto"/>
                <w:sz w:val="21"/>
                <w:szCs w:val="21"/>
              </w:rPr>
              <w:t>分，最多得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1913" w:type="dxa"/>
            <w:noWrap w:val="0"/>
            <w:vAlign w:val="center"/>
          </w:tcPr>
          <w:p>
            <w:pPr>
              <w:snapToGrid w:val="0"/>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提供合同复印件并加盖供应商公章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850" w:type="dxa"/>
            <w:vMerge w:val="continue"/>
            <w:noWrap w:val="0"/>
            <w:vAlign w:val="center"/>
          </w:tcPr>
          <w:p>
            <w:pPr>
              <w:spacing w:line="400" w:lineRule="exact"/>
              <w:jc w:val="left"/>
              <w:rPr>
                <w:color w:val="auto"/>
              </w:rPr>
            </w:pPr>
          </w:p>
        </w:tc>
        <w:tc>
          <w:tcPr>
            <w:tcW w:w="1276" w:type="dxa"/>
            <w:vMerge w:val="continue"/>
            <w:noWrap w:val="0"/>
            <w:vAlign w:val="center"/>
          </w:tcPr>
          <w:p>
            <w:pPr>
              <w:spacing w:line="400" w:lineRule="exact"/>
              <w:jc w:val="left"/>
              <w:rPr>
                <w:color w:val="auto"/>
              </w:rPr>
            </w:pPr>
          </w:p>
        </w:tc>
        <w:tc>
          <w:tcPr>
            <w:tcW w:w="851" w:type="dxa"/>
            <w:vMerge w:val="continue"/>
            <w:noWrap w:val="0"/>
            <w:vAlign w:val="center"/>
          </w:tcPr>
          <w:p>
            <w:pPr>
              <w:spacing w:line="400" w:lineRule="exact"/>
              <w:jc w:val="left"/>
              <w:rPr>
                <w:color w:val="auto"/>
              </w:rPr>
            </w:pPr>
          </w:p>
        </w:tc>
        <w:tc>
          <w:tcPr>
            <w:tcW w:w="5458" w:type="dxa"/>
            <w:noWrap w:val="0"/>
            <w:vAlign w:val="center"/>
          </w:tcPr>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投标人承诺售后质保期，每增加1年质保期得2.5分，最多得5分。</w:t>
            </w:r>
          </w:p>
        </w:tc>
        <w:tc>
          <w:tcPr>
            <w:tcW w:w="1913" w:type="dxa"/>
            <w:noWrap w:val="0"/>
            <w:vAlign w:val="center"/>
          </w:tcPr>
          <w:p>
            <w:pPr>
              <w:spacing w:line="4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提供</w:t>
            </w:r>
            <w:r>
              <w:rPr>
                <w:rFonts w:hint="eastAsia" w:ascii="仿宋" w:hAnsi="仿宋" w:eastAsia="仿宋" w:cs="仿宋"/>
                <w:color w:val="auto"/>
                <w:sz w:val="21"/>
                <w:szCs w:val="21"/>
                <w:lang w:val="en-US" w:eastAsia="zh-CN"/>
              </w:rPr>
              <w:t>承诺书</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签字盖章</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原</w:t>
            </w:r>
            <w:r>
              <w:rPr>
                <w:rFonts w:hint="eastAsia" w:ascii="仿宋" w:hAnsi="仿宋" w:eastAsia="仿宋" w:cs="仿宋"/>
                <w:color w:val="auto"/>
                <w:sz w:val="21"/>
                <w:szCs w:val="21"/>
              </w:rPr>
              <w:t>件。</w:t>
            </w:r>
          </w:p>
        </w:tc>
      </w:tr>
    </w:tbl>
    <w:p>
      <w:pPr>
        <w:snapToGrid w:val="0"/>
        <w:spacing w:line="360" w:lineRule="auto"/>
        <w:rPr>
          <w:rFonts w:ascii="仿宋" w:hAnsi="仿宋" w:eastAsia="仿宋" w:cs="仿宋_GB2312"/>
          <w:color w:val="auto"/>
        </w:rPr>
      </w:pP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pPr>
        <w:snapToGrid w:val="0"/>
        <w:spacing w:line="360" w:lineRule="auto"/>
        <w:ind w:firstLine="480" w:firstLineChars="200"/>
        <w:rPr>
          <w:rFonts w:ascii="仿宋" w:hAnsi="仿宋" w:eastAsia="仿宋" w:cs="仿宋_GB2312"/>
          <w:color w:val="auto"/>
        </w:rPr>
      </w:pPr>
      <w:bookmarkStart w:id="86" w:name="_Toc9686"/>
      <w:bookmarkStart w:id="87" w:name="_Toc1719"/>
      <w:r>
        <w:rPr>
          <w:rFonts w:hint="eastAsia" w:ascii="仿宋" w:hAnsi="仿宋" w:eastAsia="仿宋" w:cs="仿宋_GB2312"/>
          <w:color w:val="auto"/>
        </w:rPr>
        <w:t>2、采取采购人确定成交供应商的，采购代理机构应当在评审结束后2个工作日内将评审报告送采购人确认。采购人应当在收到评审报告后5个工作日内，从评审报告提出的成交候选人中，根据质量和服务均能满足竞争性比选通知书实质性响应要求且综合评分最高的原则确定成交供应商。采购人也可以授权竞争性比选小组直接确定成交供应商。</w:t>
      </w:r>
    </w:p>
    <w:p>
      <w:pPr>
        <w:pStyle w:val="5"/>
        <w:rPr>
          <w:rFonts w:ascii="仿宋" w:hAnsi="仿宋" w:eastAsia="仿宋"/>
          <w:b/>
          <w:bCs/>
          <w:color w:val="auto"/>
          <w:sz w:val="24"/>
          <w:szCs w:val="24"/>
        </w:rPr>
      </w:pPr>
      <w:bookmarkStart w:id="88" w:name="_Toc187068691"/>
      <w:r>
        <w:rPr>
          <w:rFonts w:hint="eastAsia" w:ascii="仿宋" w:hAnsi="仿宋" w:eastAsia="仿宋"/>
          <w:b/>
          <w:bCs/>
          <w:color w:val="auto"/>
          <w:sz w:val="24"/>
          <w:szCs w:val="24"/>
        </w:rPr>
        <w:t>六、评审依据</w:t>
      </w:r>
      <w:bookmarkEnd w:id="86"/>
      <w:bookmarkEnd w:id="87"/>
      <w:bookmarkEnd w:id="88"/>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评审的依据为比选通知书和响应文件（含有效的补充文件）。比选小组判断响应文件对比选通知书的响应，仅基于响应文件本身而不靠外部证据。</w:t>
      </w:r>
    </w:p>
    <w:p>
      <w:pPr>
        <w:pStyle w:val="5"/>
        <w:rPr>
          <w:rFonts w:ascii="仿宋" w:hAnsi="仿宋" w:eastAsia="仿宋"/>
          <w:b/>
          <w:bCs/>
          <w:color w:val="auto"/>
          <w:sz w:val="24"/>
          <w:szCs w:val="24"/>
        </w:rPr>
      </w:pPr>
      <w:bookmarkStart w:id="89" w:name="_Toc342913395"/>
      <w:bookmarkStart w:id="90" w:name="_Toc487204785"/>
      <w:bookmarkStart w:id="91" w:name="_Toc426965636"/>
      <w:bookmarkStart w:id="92" w:name="_Toc187068692"/>
      <w:bookmarkStart w:id="93" w:name="_Toc7883"/>
      <w:bookmarkStart w:id="94" w:name="_Toc102227321"/>
      <w:r>
        <w:rPr>
          <w:rFonts w:hint="eastAsia" w:ascii="仿宋" w:hAnsi="仿宋" w:eastAsia="仿宋"/>
          <w:b/>
          <w:bCs/>
          <w:color w:val="auto"/>
          <w:sz w:val="24"/>
          <w:szCs w:val="24"/>
        </w:rPr>
        <w:t>七、成交通知</w:t>
      </w:r>
      <w:bookmarkEnd w:id="89"/>
      <w:bookmarkEnd w:id="90"/>
      <w:bookmarkEnd w:id="91"/>
      <w:bookmarkEnd w:id="92"/>
      <w:bookmarkEnd w:id="93"/>
      <w:bookmarkEnd w:id="94"/>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（一）成交供应商确定后，采购代理机构将在“行采家(</w:t>
      </w:r>
      <w:r>
        <w:rPr>
          <w:color w:val="auto"/>
        </w:rPr>
        <w:fldChar w:fldCharType="begin"/>
      </w:r>
      <w:r>
        <w:rPr>
          <w:color w:val="auto"/>
        </w:rPr>
        <w:instrText xml:space="preserve"> HYPERLINK "https://www.gec123.com/" </w:instrText>
      </w:r>
      <w:r>
        <w:rPr>
          <w:color w:val="auto"/>
        </w:rPr>
        <w:fldChar w:fldCharType="separate"/>
      </w:r>
      <w:r>
        <w:rPr>
          <w:rFonts w:hint="eastAsia" w:ascii="仿宋" w:hAnsi="仿宋" w:eastAsia="仿宋" w:cs="仿宋_GB2312"/>
          <w:color w:val="auto"/>
        </w:rPr>
        <w:t>https://www.gec123.com</w:t>
      </w:r>
      <w:r>
        <w:rPr>
          <w:rFonts w:hint="eastAsia" w:ascii="仿宋" w:hAnsi="仿宋" w:eastAsia="仿宋" w:cs="仿宋_GB2312"/>
          <w:color w:val="auto"/>
        </w:rPr>
        <w:fldChar w:fldCharType="end"/>
      </w:r>
      <w:r>
        <w:rPr>
          <w:rFonts w:hint="eastAsia" w:ascii="仿宋" w:hAnsi="仿宋" w:eastAsia="仿宋" w:cs="仿宋_GB2312"/>
          <w:color w:val="auto"/>
        </w:rPr>
        <w:t>）”</w:t>
      </w:r>
      <w:r>
        <w:rPr>
          <w:color w:val="auto"/>
        </w:rPr>
        <w:fldChar w:fldCharType="begin"/>
      </w:r>
      <w:r>
        <w:rPr>
          <w:color w:val="auto"/>
        </w:rPr>
        <w:instrText xml:space="preserve"> HYPERLINK "http://www.cqgp.gov.cn）上发布成交结果公示。" </w:instrText>
      </w:r>
      <w:r>
        <w:rPr>
          <w:color w:val="auto"/>
        </w:rPr>
        <w:fldChar w:fldCharType="separate"/>
      </w:r>
      <w:r>
        <w:rPr>
          <w:rFonts w:hint="eastAsia" w:ascii="仿宋" w:hAnsi="仿宋" w:eastAsia="仿宋" w:cs="仿宋_GB2312"/>
          <w:color w:val="auto"/>
        </w:rPr>
        <w:t>上发布成交结果公示。</w:t>
      </w:r>
      <w:r>
        <w:rPr>
          <w:rFonts w:hint="eastAsia" w:ascii="仿宋" w:hAnsi="仿宋" w:eastAsia="仿宋" w:cs="仿宋_GB2312"/>
          <w:color w:val="auto"/>
        </w:rPr>
        <w:fldChar w:fldCharType="end"/>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（二）结果公告发出同时，采购代理机构将以书面形式发出《成交通知书》。《成交通知书》一经发出即发生法律效力。</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（三）《成交通知书》将作为签订合同的依据。</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（四）如有供应商对成交结果提出质疑的，在质疑处理完毕后发出成交通知书。</w:t>
      </w:r>
    </w:p>
    <w:p>
      <w:pPr>
        <w:pStyle w:val="5"/>
        <w:rPr>
          <w:rFonts w:ascii="仿宋" w:hAnsi="仿宋" w:eastAsia="仿宋"/>
          <w:b/>
          <w:bCs/>
          <w:color w:val="auto"/>
          <w:sz w:val="24"/>
          <w:szCs w:val="24"/>
        </w:rPr>
      </w:pPr>
      <w:bookmarkStart w:id="95" w:name="_Toc187068693"/>
      <w:bookmarkStart w:id="96" w:name="_Toc487204786"/>
      <w:bookmarkStart w:id="97" w:name="_Toc3695"/>
      <w:bookmarkStart w:id="98" w:name="_Toc426965637"/>
      <w:bookmarkStart w:id="99" w:name="_Toc6077"/>
      <w:r>
        <w:rPr>
          <w:rFonts w:hint="eastAsia" w:ascii="仿宋" w:hAnsi="仿宋" w:eastAsia="仿宋"/>
          <w:b/>
          <w:bCs/>
          <w:color w:val="auto"/>
          <w:sz w:val="24"/>
          <w:szCs w:val="24"/>
        </w:rPr>
        <w:t>八、关于质疑和投诉</w:t>
      </w:r>
      <w:bookmarkEnd w:id="95"/>
      <w:bookmarkEnd w:id="96"/>
      <w:bookmarkEnd w:id="97"/>
      <w:bookmarkEnd w:id="98"/>
      <w:bookmarkEnd w:id="99"/>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（一）质疑内容、时限</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1、供应商对成交结果有异议的，应当在结果公示发布之日起七个工作日内以书面形式向采购人、采购代理机构提出质疑，并附相关证明材料。</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2、供应商对比选通知书中供应商特定资格条件、技术质量和商务要求、评审标准及评审细则有异议的，应主要向采购人提出质疑，其他问题可向采购代理机构提出质疑。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（二）质疑答复</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采购人、采购代理机构将参照《重庆市政府采购供应商质疑投诉处理暂行规定》的相关规定对质疑内容作出答复和处理。</w:t>
      </w:r>
    </w:p>
    <w:p>
      <w:pPr>
        <w:pStyle w:val="5"/>
        <w:rPr>
          <w:rFonts w:ascii="仿宋" w:hAnsi="仿宋" w:eastAsia="仿宋"/>
          <w:b/>
          <w:bCs/>
          <w:color w:val="auto"/>
          <w:sz w:val="24"/>
          <w:szCs w:val="24"/>
        </w:rPr>
      </w:pPr>
      <w:bookmarkStart w:id="100" w:name="_Toc102227322"/>
      <w:bookmarkStart w:id="101" w:name="_Toc487204787"/>
      <w:bookmarkStart w:id="102" w:name="_Toc342913396"/>
      <w:bookmarkStart w:id="103" w:name="_Toc426965638"/>
      <w:bookmarkStart w:id="104" w:name="_Toc23427"/>
      <w:bookmarkStart w:id="105" w:name="_Toc187068694"/>
      <w:bookmarkStart w:id="106" w:name="_Toc21418"/>
      <w:r>
        <w:rPr>
          <w:rFonts w:hint="eastAsia" w:ascii="仿宋" w:hAnsi="仿宋" w:eastAsia="仿宋"/>
          <w:b/>
          <w:bCs/>
          <w:color w:val="auto"/>
          <w:sz w:val="24"/>
          <w:szCs w:val="24"/>
        </w:rPr>
        <w:t>九、签订</w:t>
      </w:r>
      <w:bookmarkEnd w:id="100"/>
      <w:r>
        <w:rPr>
          <w:rFonts w:hint="eastAsia" w:ascii="仿宋" w:hAnsi="仿宋" w:eastAsia="仿宋"/>
          <w:b/>
          <w:bCs/>
          <w:color w:val="auto"/>
          <w:sz w:val="24"/>
          <w:szCs w:val="24"/>
        </w:rPr>
        <w:t>合同</w:t>
      </w:r>
      <w:bookmarkEnd w:id="101"/>
      <w:bookmarkEnd w:id="102"/>
      <w:bookmarkEnd w:id="103"/>
      <w:bookmarkEnd w:id="104"/>
      <w:bookmarkEnd w:id="105"/>
      <w:bookmarkEnd w:id="106"/>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（一）采购人与成交供应商应当在成交通知书发出之日起20日内，按照比选文件确定的合同文本以及采购标的、规格型号、采购金额、采购数量、技术和服务要求等事项签订采购合同。</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（二）比选通知书、成交供应商的响应文件及有效承诺文件等，均为签订合同的依据。</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（三）成交供应商未按照比选通知书确定的事项签订合同，或者与采购人另行订立背离合同实质性内容协议的，将承担相关法律责任。</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（五）除不可抗力等因素外，成交通知书发出后，采购人改变成交结果，或者成交供应商无正当理由拒绝签订采购合同的，应当承担相应的法律责任。</w:t>
      </w:r>
    </w:p>
    <w:p>
      <w:pPr>
        <w:ind w:firstLine="720" w:firstLineChars="300"/>
        <w:rPr>
          <w:rFonts w:ascii="仿宋" w:hAnsi="仿宋" w:eastAsia="仿宋"/>
          <w:color w:val="auto"/>
        </w:rPr>
        <w:sectPr>
          <w:headerReference r:id="rId9" w:type="default"/>
          <w:pgSz w:w="11907" w:h="16840"/>
          <w:pgMar w:top="1440" w:right="1080" w:bottom="1440" w:left="1080" w:header="454" w:footer="567" w:gutter="0"/>
          <w:pgNumType w:fmt="numberInDash"/>
          <w:cols w:space="720" w:num="1"/>
          <w:docGrid w:type="linesAndChars" w:linePitch="381" w:charSpace="0"/>
        </w:sectPr>
      </w:pPr>
    </w:p>
    <w:p>
      <w:pPr>
        <w:pStyle w:val="3"/>
        <w:spacing w:before="0" w:line="276" w:lineRule="auto"/>
        <w:jc w:val="center"/>
        <w:rPr>
          <w:color w:val="auto"/>
        </w:rPr>
      </w:pPr>
      <w:bookmarkStart w:id="107" w:name="_Toc187068695"/>
      <w:bookmarkStart w:id="108" w:name="_Toc29960"/>
      <w:r>
        <w:rPr>
          <w:rFonts w:hint="eastAsia" w:ascii="仿宋" w:hAnsi="仿宋" w:eastAsia="仿宋" w:cs="仿宋_GB2312"/>
          <w:b/>
          <w:bCs/>
          <w:color w:val="auto"/>
          <w:sz w:val="36"/>
          <w:szCs w:val="36"/>
        </w:rPr>
        <w:t xml:space="preserve">第三篇 </w:t>
      </w:r>
      <w:bookmarkEnd w:id="46"/>
      <w:bookmarkEnd w:id="107"/>
      <w:bookmarkEnd w:id="108"/>
      <w:r>
        <w:rPr>
          <w:rFonts w:hint="eastAsia" w:ascii="仿宋" w:hAnsi="仿宋" w:eastAsia="仿宋" w:cs="仿宋_GB2312"/>
          <w:b/>
          <w:bCs/>
          <w:color w:val="auto"/>
          <w:sz w:val="36"/>
          <w:szCs w:val="36"/>
        </w:rPr>
        <w:t>采购服务需求</w:t>
      </w:r>
    </w:p>
    <w:p>
      <w:pPr>
        <w:rPr>
          <w:rFonts w:hint="eastAsia" w:ascii="仿宋" w:hAnsi="仿宋" w:eastAsia="仿宋" w:cs="仿宋"/>
          <w:color w:val="auto"/>
          <w:highlight w:val="none"/>
        </w:rPr>
      </w:pPr>
      <w:bookmarkStart w:id="109" w:name="_Toc16844"/>
      <w:bookmarkStart w:id="110" w:name="_Toc95749055"/>
      <w:bookmarkStart w:id="111" w:name="_Toc7347"/>
      <w:bookmarkStart w:id="112" w:name="_Toc12789058"/>
      <w:bookmarkStart w:id="113" w:name="_Toc128744993"/>
      <w:r>
        <w:rPr>
          <w:rFonts w:hint="eastAsia" w:ascii="仿宋" w:hAnsi="仿宋" w:eastAsia="仿宋" w:cs="仿宋"/>
          <w:b/>
          <w:color w:val="auto"/>
          <w:highlight w:val="none"/>
        </w:rPr>
        <w:t>“※”标注的内容为符合性审查中的实质性要求，响应文件若不满足按无效投标处理。</w:t>
      </w:r>
    </w:p>
    <w:p>
      <w:pPr>
        <w:snapToGrid w:val="0"/>
        <w:spacing w:line="560" w:lineRule="exact"/>
        <w:ind w:firstLine="480"/>
        <w:rPr>
          <w:rFonts w:hint="eastAsia" w:ascii="仿宋" w:hAnsi="仿宋" w:eastAsia="仿宋" w:cs="仿宋"/>
          <w:b/>
          <w:bCs/>
          <w:color w:val="auto"/>
          <w:highlight w:val="none"/>
        </w:rPr>
      </w:pPr>
      <w:bookmarkStart w:id="114" w:name="_Toc31334"/>
      <w:bookmarkStart w:id="115" w:name="_Toc1117"/>
      <w:r>
        <w:rPr>
          <w:rFonts w:hint="eastAsia" w:ascii="仿宋" w:hAnsi="仿宋" w:eastAsia="仿宋" w:cs="仿宋"/>
          <w:b/>
          <w:bCs/>
          <w:color w:val="auto"/>
          <w:highlight w:val="none"/>
        </w:rPr>
        <w:t>※一、项目一览表</w:t>
      </w:r>
      <w:bookmarkEnd w:id="114"/>
      <w:bookmarkEnd w:id="115"/>
    </w:p>
    <w:tbl>
      <w:tblPr>
        <w:tblStyle w:val="33"/>
        <w:tblW w:w="11359" w:type="dxa"/>
        <w:jc w:val="center"/>
        <w:tblInd w:w="0" w:type="dxa"/>
        <w:tblLayout w:type="fixed"/>
        <w:tblCellMar>
          <w:top w:w="0" w:type="dxa"/>
          <w:left w:w="108" w:type="dxa"/>
          <w:bottom w:w="0" w:type="dxa"/>
          <w:right w:w="108" w:type="dxa"/>
        </w:tblCellMar>
      </w:tblPr>
      <w:tblGrid>
        <w:gridCol w:w="817"/>
        <w:gridCol w:w="6291"/>
        <w:gridCol w:w="935"/>
        <w:gridCol w:w="893"/>
        <w:gridCol w:w="2423"/>
      </w:tblGrid>
      <w:tr>
        <w:tblPrEx>
          <w:tblLayout w:type="fixed"/>
          <w:tblCellMar>
            <w:top w:w="0" w:type="dxa"/>
            <w:left w:w="108" w:type="dxa"/>
            <w:bottom w:w="0" w:type="dxa"/>
            <w:right w:w="108" w:type="dxa"/>
          </w:tblCellMar>
        </w:tblPrEx>
        <w:trPr>
          <w:trHeight w:val="847"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lang w:val="en-US" w:eastAsia="zh-CN"/>
              </w:rPr>
              <w:t>产品</w:t>
            </w:r>
            <w:r>
              <w:rPr>
                <w:rFonts w:hint="default" w:ascii="仿宋" w:hAnsi="仿宋" w:eastAsia="仿宋" w:cs="仿宋"/>
                <w:color w:val="auto"/>
                <w:sz w:val="24"/>
                <w:szCs w:val="24"/>
                <w:lang w:val="en-US" w:eastAsia="zh-CN"/>
              </w:rPr>
              <w:t>名称</w:t>
            </w:r>
          </w:p>
        </w:tc>
        <w:tc>
          <w:tcPr>
            <w:tcW w:w="6291"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ind w:firstLine="480" w:firstLineChars="200"/>
              <w:jc w:val="center"/>
              <w:rPr>
                <w:rFonts w:hint="eastAsia" w:ascii="仿宋" w:hAnsi="仿宋" w:eastAsia="仿宋" w:cs="仿宋"/>
                <w:color w:val="auto"/>
                <w:highlight w:val="none"/>
                <w:lang w:eastAsia="zh-CN"/>
              </w:rPr>
            </w:pPr>
            <w:r>
              <w:rPr>
                <w:rFonts w:hint="default" w:ascii="仿宋" w:hAnsi="仿宋" w:eastAsia="仿宋" w:cs="仿宋"/>
                <w:color w:val="auto"/>
                <w:sz w:val="24"/>
                <w:szCs w:val="24"/>
                <w:lang w:val="en-US" w:eastAsia="zh-CN"/>
              </w:rPr>
              <w:t>技术参数、规格、型号、要求</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 w:hAnsi="仿宋" w:eastAsia="仿宋" w:cs="仿宋"/>
                <w:b/>
                <w:bCs/>
                <w:color w:val="auto"/>
                <w:highlight w:val="none"/>
                <w:lang w:val="en-US" w:eastAsia="zh-CN"/>
              </w:rPr>
            </w:pPr>
            <w:r>
              <w:rPr>
                <w:rFonts w:hint="default" w:ascii="仿宋" w:hAnsi="仿宋" w:eastAsia="仿宋" w:cs="仿宋"/>
                <w:color w:val="auto"/>
                <w:sz w:val="24"/>
                <w:szCs w:val="24"/>
                <w:lang w:val="en-US" w:eastAsia="zh-CN"/>
              </w:rPr>
              <w:t>单位</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 w:hAnsi="仿宋" w:eastAsia="仿宋" w:cs="仿宋"/>
                <w:b/>
                <w:bCs/>
                <w:color w:val="auto"/>
                <w:highlight w:val="none"/>
              </w:rPr>
            </w:pPr>
            <w:r>
              <w:rPr>
                <w:rFonts w:hint="default" w:ascii="仿宋" w:hAnsi="仿宋" w:eastAsia="仿宋" w:cs="仿宋"/>
                <w:color w:val="auto"/>
                <w:sz w:val="24"/>
                <w:szCs w:val="24"/>
                <w:lang w:val="en-US" w:eastAsia="zh-CN"/>
              </w:rPr>
              <w:t>数量</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ind w:firstLine="480" w:firstLineChars="200"/>
              <w:jc w:val="center"/>
              <w:rPr>
                <w:rFonts w:hint="eastAsia" w:ascii="仿宋" w:hAnsi="仿宋" w:eastAsia="仿宋" w:cs="仿宋"/>
                <w:b/>
                <w:bCs/>
                <w:color w:val="auto"/>
                <w:highlight w:val="none"/>
              </w:rPr>
            </w:pPr>
            <w:r>
              <w:rPr>
                <w:rFonts w:hint="eastAsia" w:ascii="仿宋" w:hAnsi="仿宋" w:eastAsia="仿宋" w:cs="仿宋"/>
                <w:color w:val="auto"/>
                <w:sz w:val="24"/>
                <w:szCs w:val="24"/>
                <w:lang w:val="en-US" w:eastAsia="zh-CN"/>
              </w:rPr>
              <w:t>参考图片</w:t>
            </w:r>
          </w:p>
        </w:tc>
      </w:tr>
      <w:tr>
        <w:tblPrEx>
          <w:tblLayout w:type="fixed"/>
          <w:tblCellMar>
            <w:top w:w="0" w:type="dxa"/>
            <w:left w:w="108" w:type="dxa"/>
            <w:bottom w:w="0" w:type="dxa"/>
            <w:right w:w="108" w:type="dxa"/>
          </w:tblCellMar>
        </w:tblPrEx>
        <w:trPr>
          <w:trHeight w:val="6606"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森林防火太阳能语音宣传杆</w:t>
            </w:r>
          </w:p>
          <w:p>
            <w:pPr>
              <w:spacing w:line="420" w:lineRule="exact"/>
              <w:ind w:firstLine="480" w:firstLineChars="200"/>
              <w:rPr>
                <w:rFonts w:hint="eastAsia" w:ascii="仿宋" w:hAnsi="仿宋" w:eastAsia="仿宋" w:cs="仿宋"/>
                <w:color w:val="auto"/>
                <w:highlight w:val="none"/>
                <w:lang w:val="en-US" w:eastAsia="zh-CN"/>
              </w:rPr>
            </w:pPr>
          </w:p>
        </w:tc>
        <w:tc>
          <w:tcPr>
            <w:tcW w:w="6291"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1.应用于森林防火领域，有太阳能系统供电，无须拉电线；</w:t>
            </w:r>
          </w:p>
          <w:p>
            <w:pPr>
              <w:spacing w:line="42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2.开机状态下，自动探测前方人员车辆，一旦有人车经过，主动播放提示语音，同时闪烁灯光对进山人员进行森林防火提示，尽可能降低森林火灾发生几率；</w:t>
            </w:r>
          </w:p>
          <w:p>
            <w:pPr>
              <w:spacing w:line="42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供电方式：DC15V/2A、11.1V 10AH锂电池</w:t>
            </w:r>
          </w:p>
          <w:p>
            <w:pPr>
              <w:spacing w:line="42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音频格式：MP3</w:t>
            </w:r>
          </w:p>
          <w:p>
            <w:pPr>
              <w:spacing w:line="42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音频输出功率：4Ω/20W（典型值）</w:t>
            </w:r>
          </w:p>
          <w:p>
            <w:pPr>
              <w:spacing w:line="42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红外感应：0-8米（水平方向100°视角）</w:t>
            </w:r>
          </w:p>
          <w:p>
            <w:pPr>
              <w:spacing w:line="42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微波感应：0-27米（水平方向140°视角）</w:t>
            </w:r>
          </w:p>
          <w:p>
            <w:pPr>
              <w:spacing w:line="42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报警声音：≥110dB（平行间隔一米）</w:t>
            </w:r>
          </w:p>
          <w:p>
            <w:pPr>
              <w:spacing w:line="42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工作环境：室内-30～50℃</w:t>
            </w:r>
          </w:p>
          <w:p>
            <w:pPr>
              <w:spacing w:line="42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防水等级：IP65</w:t>
            </w:r>
          </w:p>
          <w:p>
            <w:pPr>
              <w:spacing w:line="420" w:lineRule="exact"/>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播放时长：内置11.1V 10AH锂电池充满电状态可连续工作15小时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lang w:val="en-US" w:eastAsia="zh-CN"/>
              </w:rPr>
              <w:t>根</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sz w:val="24"/>
                <w:szCs w:val="24"/>
                <w:lang w:val="en-US" w:eastAsia="zh-CN"/>
              </w:rPr>
              <w:t>50</w:t>
            </w:r>
          </w:p>
        </w:tc>
        <w:tc>
          <w:tcPr>
            <w:tcW w:w="2423"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lang w:val="en-US" w:eastAsia="zh-CN"/>
              </w:rPr>
              <w:drawing>
                <wp:anchor distT="0" distB="0" distL="114300" distR="114300" simplePos="0" relativeHeight="251663360" behindDoc="0" locked="0" layoutInCell="1" allowOverlap="1">
                  <wp:simplePos x="0" y="0"/>
                  <wp:positionH relativeFrom="column">
                    <wp:posOffset>31750</wp:posOffset>
                  </wp:positionH>
                  <wp:positionV relativeFrom="paragraph">
                    <wp:posOffset>363855</wp:posOffset>
                  </wp:positionV>
                  <wp:extent cx="1272540" cy="3450590"/>
                  <wp:effectExtent l="0" t="0" r="10160" b="381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15"/>
                          <a:stretch>
                            <a:fillRect/>
                          </a:stretch>
                        </pic:blipFill>
                        <pic:spPr>
                          <a:xfrm>
                            <a:off x="0" y="0"/>
                            <a:ext cx="1272540" cy="3450590"/>
                          </a:xfrm>
                          <a:prstGeom prst="rect">
                            <a:avLst/>
                          </a:prstGeom>
                          <a:noFill/>
                          <a:ln>
                            <a:noFill/>
                          </a:ln>
                        </pic:spPr>
                      </pic:pic>
                    </a:graphicData>
                  </a:graphic>
                </wp:anchor>
              </w:drawing>
            </w:r>
          </w:p>
        </w:tc>
      </w:tr>
      <w:bookmarkEnd w:id="109"/>
    </w:tbl>
    <w:p>
      <w:pPr>
        <w:snapToGrid w:val="0"/>
        <w:spacing w:line="560" w:lineRule="exact"/>
        <w:ind w:firstLine="480"/>
        <w:rPr>
          <w:rFonts w:hint="eastAsia" w:ascii="仿宋" w:hAnsi="仿宋" w:eastAsia="仿宋" w:cs="仿宋"/>
          <w:b/>
          <w:bCs/>
          <w:color w:val="auto"/>
          <w:highlight w:val="none"/>
        </w:rPr>
      </w:pPr>
      <w:bookmarkStart w:id="116" w:name="_Toc22824"/>
      <w:bookmarkStart w:id="117" w:name="_Toc29486"/>
      <w:r>
        <w:rPr>
          <w:rFonts w:hint="eastAsia" w:ascii="仿宋" w:hAnsi="仿宋" w:eastAsia="仿宋" w:cs="仿宋"/>
          <w:b/>
          <w:bCs/>
          <w:color w:val="auto"/>
          <w:highlight w:val="none"/>
        </w:rPr>
        <w:t>※二、</w:t>
      </w:r>
      <w:bookmarkEnd w:id="116"/>
      <w:bookmarkEnd w:id="117"/>
      <w:r>
        <w:rPr>
          <w:rFonts w:hint="eastAsia" w:ascii="仿宋" w:hAnsi="仿宋" w:eastAsia="仿宋" w:cs="仿宋"/>
          <w:b/>
          <w:bCs/>
          <w:color w:val="auto"/>
          <w:highlight w:val="none"/>
        </w:rPr>
        <w:t>质量要求</w:t>
      </w:r>
    </w:p>
    <w:bookmarkEnd w:id="110"/>
    <w:p>
      <w:pPr>
        <w:snapToGrid w:val="0"/>
        <w:spacing w:line="560" w:lineRule="exact"/>
        <w:ind w:firstLine="480"/>
        <w:rPr>
          <w:rFonts w:hint="eastAsia" w:ascii="仿宋" w:hAnsi="仿宋" w:eastAsia="仿宋" w:cs="仿宋"/>
          <w:color w:val="auto"/>
          <w:highlight w:val="none"/>
          <w:lang w:val="en-US" w:eastAsia="zh-CN"/>
        </w:rPr>
      </w:pPr>
      <w:bookmarkStart w:id="118" w:name="_Toc22103"/>
      <w:bookmarkStart w:id="119" w:name="_Toc25399"/>
      <w:r>
        <w:rPr>
          <w:rFonts w:hint="eastAsia" w:ascii="仿宋" w:hAnsi="仿宋" w:eastAsia="仿宋" w:cs="仿宋"/>
          <w:color w:val="auto"/>
          <w:highlight w:val="none"/>
          <w:lang w:val="en-US" w:eastAsia="zh-CN"/>
        </w:rPr>
        <w:t>一、基础性能要求</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1、语音播报功能：语音清晰、音量可调，能覆盖目标区域（如户外场景音量需≥80分贝），支持多语种或方言切换，内容可远程更新或本地存储。</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2、播放稳定性：在高温、潮湿等环境下，设备不卡顿、不中断，支持定时播报、触发式播报（如感应人体靠近）。</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二、防火安全要求</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1、材质阻燃性：外壳需采用防火等级≥UL94 V-0的阻燃材料，遇明火不易燃烧，且燃烧时不释放有毒气体。</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2、电路防护：内部线路需做绝缘处理，配备过载保护、短路保护装置，避免因电路故障引发火灾。</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三、环境适应性</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1、耐候性：具备防水（如IP65及以上防护等级）、防尘、防晒能力，可在-20℃~60℃温度范围内正常工作。</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2、抗干扰性：不受电磁干扰影响，户外使用时抗风等级≥8级，结构稳固不易倾倒。</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四、结构与安装要求</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1、稳固性：杆体材质（如不锈钢、铝合金）强度高，底座承重能力强，安装后垂直偏差≤1°。</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2、易维护性：接口设计便于检修，部件可拆卸更换，如喇叭、电路板等支持快速替换。</w:t>
      </w:r>
    </w:p>
    <w:p>
      <w:pPr>
        <w:snapToGrid w:val="0"/>
        <w:spacing w:line="560" w:lineRule="exact"/>
        <w:ind w:firstLine="48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五、选址要求</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（1）地址应由采购人指定</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（2）阳光能直射在太阳能板上，立杆周边 5 米内无高大树木；</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（3）避开地质松软、陡峭斜坡、路面高度差太大的台阶、居民房屋旁边等位置。</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2.地基</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（1）基础坑尺寸：长 600mm，宽 600mm，深 800mm；</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（2）灌溉水泥，基础面与自然地面保持水平；</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（3）地笼螺丝头露出水泥基础表面 30-40mm；</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（4）3-5 天后，待水泥基础干硬化后，再进行产品安装。</w:t>
      </w:r>
    </w:p>
    <w:p>
      <w:pPr>
        <w:snapToGrid w:val="0"/>
        <w:spacing w:line="56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※三、安全要求</w:t>
      </w:r>
      <w:bookmarkEnd w:id="118"/>
      <w:bookmarkEnd w:id="119"/>
    </w:p>
    <w:p>
      <w:p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pPr>
        <w:snapToGrid w:val="0"/>
        <w:spacing w:line="560" w:lineRule="exact"/>
        <w:ind w:firstLine="480"/>
        <w:rPr>
          <w:rFonts w:hint="eastAsia" w:ascii="仿宋" w:hAnsi="仿宋" w:eastAsia="仿宋" w:cs="仿宋"/>
          <w:b/>
          <w:bCs/>
          <w:color w:val="auto"/>
          <w:highlight w:val="none"/>
        </w:rPr>
      </w:pPr>
      <w:bookmarkStart w:id="120" w:name="_Toc19750"/>
      <w:bookmarkStart w:id="121" w:name="_Toc30276"/>
      <w:r>
        <w:rPr>
          <w:rFonts w:hint="eastAsia" w:ascii="仿宋" w:hAnsi="仿宋" w:eastAsia="仿宋" w:cs="仿宋"/>
          <w:b/>
          <w:bCs/>
          <w:color w:val="auto"/>
          <w:highlight w:val="none"/>
        </w:rPr>
        <w:t>※五、踏勘现场</w:t>
      </w:r>
      <w:bookmarkEnd w:id="120"/>
      <w:bookmarkEnd w:id="121"/>
    </w:p>
    <w:p>
      <w:p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不组织。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pPr>
        <w:snapToGrid w:val="0"/>
        <w:spacing w:line="560" w:lineRule="exact"/>
        <w:ind w:firstLine="480"/>
        <w:rPr>
          <w:rFonts w:hint="eastAsia" w:ascii="仿宋" w:hAnsi="仿宋" w:eastAsia="仿宋" w:cs="仿宋"/>
          <w:b/>
          <w:bCs/>
          <w:color w:val="auto"/>
          <w:highlight w:val="none"/>
        </w:rPr>
      </w:pPr>
      <w:bookmarkStart w:id="122" w:name="_Toc707"/>
      <w:bookmarkStart w:id="123" w:name="_Toc25345"/>
      <w:r>
        <w:rPr>
          <w:rFonts w:hint="eastAsia" w:ascii="仿宋" w:hAnsi="仿宋" w:eastAsia="仿宋" w:cs="仿宋"/>
          <w:b/>
          <w:bCs/>
          <w:color w:val="auto"/>
          <w:highlight w:val="none"/>
        </w:rPr>
        <w:t>※六、其他要求</w:t>
      </w:r>
      <w:bookmarkEnd w:id="122"/>
      <w:bookmarkEnd w:id="123"/>
    </w:p>
    <w:p>
      <w:p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1.成交供应商的工作人员在为采购人的服务期间，因疾病、工伤、意外伤害、疾病传染、劳动保护、职业病等所产生的一切费用，均由成交供应商自行负责。</w:t>
      </w:r>
    </w:p>
    <w:p>
      <w:p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在履约服务期限内，中标供应商自行组织人员完成合同约定事务，并按国家法律法规的要求完善用工制度，中标供应商为完成合同约定事务自行聘请的人员工资、福利、社保等用工责任由中标供应商自行承担，因中标供应商未完善而引起的劳动争议由中标供应商自行负责。</w:t>
      </w:r>
    </w:p>
    <w:p>
      <w:p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3.成交供应商人员因自身工作失误造成设备、现场、人员及其他损失由成交供应商自行负责，采购人不承担责任。</w:t>
      </w:r>
    </w:p>
    <w:p>
      <w:pPr>
        <w:snapToGrid w:val="0"/>
        <w:spacing w:line="360" w:lineRule="auto"/>
        <w:ind w:firstLine="480" w:firstLineChars="200"/>
        <w:rPr>
          <w:rFonts w:ascii="仿宋" w:hAnsi="仿宋" w:eastAsia="仿宋" w:cs="仿宋_GB2312"/>
          <w:color w:val="auto"/>
        </w:rPr>
      </w:pPr>
    </w:p>
    <w:p>
      <w:pPr>
        <w:pStyle w:val="3"/>
        <w:spacing w:before="0" w:line="276" w:lineRule="auto"/>
        <w:jc w:val="center"/>
        <w:rPr>
          <w:rFonts w:ascii="仿宋" w:hAnsi="仿宋" w:eastAsia="仿宋" w:cs="仿宋_GB2312"/>
          <w:b/>
          <w:bCs/>
          <w:color w:val="auto"/>
          <w:sz w:val="36"/>
          <w:szCs w:val="36"/>
        </w:rPr>
      </w:pPr>
      <w:r>
        <w:rPr>
          <w:rStyle w:val="44"/>
          <w:rFonts w:ascii="仿宋" w:hAnsi="仿宋" w:eastAsia="仿宋" w:cs="宋体"/>
          <w:b/>
          <w:bCs/>
          <w:color w:val="auto"/>
        </w:rPr>
        <w:br w:type="page"/>
      </w:r>
      <w:bookmarkStart w:id="124" w:name="_Toc187068700"/>
      <w:r>
        <w:rPr>
          <w:rFonts w:hint="eastAsia" w:ascii="仿宋" w:hAnsi="仿宋" w:eastAsia="仿宋" w:cs="仿宋_GB2312"/>
          <w:b/>
          <w:bCs/>
          <w:color w:val="auto"/>
          <w:sz w:val="36"/>
          <w:szCs w:val="36"/>
        </w:rPr>
        <w:t>第四篇 商务要求</w:t>
      </w:r>
      <w:bookmarkEnd w:id="111"/>
      <w:bookmarkEnd w:id="124"/>
    </w:p>
    <w:p>
      <w:pPr>
        <w:rPr>
          <w:rFonts w:hint="eastAsia" w:ascii="仿宋" w:hAnsi="仿宋" w:eastAsia="仿宋" w:cs="仿宋"/>
          <w:color w:val="auto"/>
          <w:highlight w:val="none"/>
        </w:rPr>
      </w:pPr>
      <w:bookmarkStart w:id="125" w:name="_Toc28507"/>
      <w:bookmarkStart w:id="126" w:name="_Toc76462329"/>
      <w:bookmarkStart w:id="127" w:name="_Toc112263727"/>
      <w:bookmarkStart w:id="128" w:name="_Toc344475121"/>
      <w:bookmarkStart w:id="129" w:name="_Toc487204790"/>
      <w:bookmarkStart w:id="130" w:name="_Toc22463"/>
      <w:r>
        <w:rPr>
          <w:rFonts w:hint="eastAsia" w:ascii="仿宋" w:hAnsi="仿宋" w:eastAsia="仿宋" w:cs="仿宋"/>
          <w:b/>
          <w:color w:val="auto"/>
          <w:highlight w:val="none"/>
        </w:rPr>
        <w:t>“※”标注的内容为符合性审查中的实质性要求，响应文件若不满足按无效投标处理。</w:t>
      </w:r>
    </w:p>
    <w:p>
      <w:pPr>
        <w:snapToGrid w:val="0"/>
        <w:spacing w:line="400" w:lineRule="exact"/>
        <w:ind w:firstLine="361" w:firstLineChars="150"/>
        <w:rPr>
          <w:rFonts w:hint="eastAsia" w:ascii="仿宋" w:hAnsi="仿宋" w:eastAsia="仿宋" w:cs="仿宋"/>
          <w:b/>
          <w:bCs/>
          <w:color w:val="auto"/>
          <w:highlight w:val="none"/>
        </w:rPr>
      </w:pPr>
      <w:bookmarkStart w:id="131" w:name="_Toc344475120"/>
      <w:bookmarkStart w:id="132" w:name="_Toc80199768"/>
      <w:bookmarkStart w:id="133" w:name="_Toc11693"/>
      <w:r>
        <w:rPr>
          <w:rFonts w:hint="eastAsia" w:ascii="仿宋" w:hAnsi="仿宋" w:eastAsia="仿宋" w:cs="仿宋"/>
          <w:b/>
          <w:bCs/>
          <w:color w:val="auto"/>
          <w:highlight w:val="none"/>
        </w:rPr>
        <w:t>※一、服务期、地点及验收方式</w:t>
      </w:r>
      <w:bookmarkEnd w:id="131"/>
      <w:bookmarkEnd w:id="132"/>
      <w:bookmarkEnd w:id="133"/>
    </w:p>
    <w:p>
      <w:pPr>
        <w:snapToGrid w:val="0"/>
        <w:spacing w:line="40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（一）服务期：中标后签订合同之日后30日历天完工。</w:t>
      </w:r>
    </w:p>
    <w:p>
      <w:pPr>
        <w:snapToGrid w:val="0"/>
        <w:spacing w:line="40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（二）服务地点：采购人指定地点。</w:t>
      </w:r>
    </w:p>
    <w:p>
      <w:pPr>
        <w:snapToGrid w:val="0"/>
        <w:spacing w:line="40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（三）验收方式：在项目完成，供应商将项目成果提交后，采购方组织人员开展验收。</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1.货物送达后，供应商应在采购人员在场情况下当面开箱，共同清点品名、规格、数量，检查外观，作出开箱记录，采购人对供应商交付的产品（包括质量、技术参数等）进行确认，双方签字确认。</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2.乙方应保证货物到达甲方所在地全新、完好无损，如有缺漏、损坏，由乙方自行负责调换、</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补齐或赔偿。</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3.乙方应提供完备的技术资料、装箱单和合格证等。验收合格条件如下：</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（1）设备技术参数与采购合同一致，性能指标达到规定的标准。</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（2）货物技术资料、装箱单、合格证等资料齐全。</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（4）在规定时间内完成交货，并经采购人确认签字。</w:t>
      </w:r>
    </w:p>
    <w:p>
      <w:pPr>
        <w:snapToGrid w:val="0"/>
        <w:spacing w:line="560" w:lineRule="exact"/>
        <w:ind w:firstLine="480"/>
        <w:rPr>
          <w:rFonts w:hint="eastAsia"/>
          <w:color w:val="auto"/>
          <w:lang w:val="en-US" w:eastAsia="zh-CN"/>
        </w:rPr>
      </w:pPr>
      <w:r>
        <w:rPr>
          <w:rFonts w:hint="eastAsia" w:ascii="仿宋" w:hAnsi="仿宋" w:eastAsia="仿宋" w:cs="仿宋"/>
          <w:color w:val="auto"/>
          <w:highlight w:val="none"/>
          <w:lang w:val="en-US" w:eastAsia="zh-CN"/>
        </w:rPr>
        <w:t>（5）留存产品合格证、CCC认证复印件、出厂检验报告归档，以备监管部门查验。</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（6）若供应商提供的货物未达到竞争性比选文件规定要求，且对采购人造成损失的，由供应商承担一切责任，并赔偿所造成的损失。</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（四）验收标准</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1.按照国家相关规范及行业相关标准进行验收，采购人和供应商双方认可后签字。</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2.如验收达不到规定要求，对采购人造成一定的影响，供应商承担相应责任，并赔偿所造成的损失。</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（五）质量要求和技术标准。供应商提供的商品必须是全新的，完全符合国家有关技术标准，供应商的质量保证及售后服务承诺如下：</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1.质保期限：自验收之日起，提供一年的免费质保期。（任何因质量问题造成的损失由供应商承担）</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2.保修范围：采购货物属于国家规定“三包”范围的，其产品质量保证期不得低于“三</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包”规定。</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3.应急措施：</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3.1电话咨询</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供应商为采购人提供提供技术援助电话，解答采购人在使用过程中遇到的问题，及时为采购人提供解决问题的建议。</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3.2现场响应</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人遇到使用及技术问题产品遇到故障和质量问题，电话咨询不能解决的，供应商和制造商应在6小时内到达现场进行处理，如12小时内无法解决的，应在24小时内提供备用产品，确保甲方正常使用。（用户遇到使用及技术问题，电话咨询不能解决的，供应商在2小时内采取相应响应措施；无法在4小时内解决的，应在12小时内派出专业人员进行技术支持。）</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4.质保期后服务：</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4.1质量保证期过后，供应商同样提供免费电话咨询服务，并承诺提供产品上门维护服务。</w:t>
      </w:r>
    </w:p>
    <w:p>
      <w:pPr>
        <w:snapToGrid w:val="0"/>
        <w:spacing w:line="56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4.2质量保证期过后，采购人需要继续由供应商提供售后服务的，供应商以优惠价格提供售后服务。</w:t>
      </w:r>
    </w:p>
    <w:bookmarkEnd w:id="125"/>
    <w:bookmarkEnd w:id="126"/>
    <w:p>
      <w:pPr>
        <w:snapToGrid w:val="0"/>
        <w:spacing w:line="560" w:lineRule="exact"/>
        <w:ind w:firstLine="480"/>
        <w:rPr>
          <w:rFonts w:hint="eastAsia" w:ascii="仿宋" w:hAnsi="仿宋" w:eastAsia="仿宋" w:cs="仿宋"/>
          <w:b/>
          <w:bCs/>
          <w:color w:val="auto"/>
          <w:highlight w:val="none"/>
        </w:rPr>
      </w:pPr>
      <w:bookmarkStart w:id="134" w:name="_Toc80199769"/>
      <w:bookmarkStart w:id="135" w:name="_Toc12048"/>
      <w:r>
        <w:rPr>
          <w:rFonts w:hint="eastAsia" w:ascii="仿宋" w:hAnsi="仿宋" w:eastAsia="仿宋" w:cs="仿宋"/>
          <w:b/>
          <w:bCs/>
          <w:color w:val="auto"/>
          <w:highlight w:val="none"/>
        </w:rPr>
        <w:t>※二、</w:t>
      </w:r>
      <w:bookmarkEnd w:id="134"/>
      <w:r>
        <w:rPr>
          <w:rFonts w:hint="eastAsia" w:ascii="仿宋" w:hAnsi="仿宋" w:eastAsia="仿宋" w:cs="仿宋"/>
          <w:b/>
          <w:bCs/>
          <w:color w:val="auto"/>
          <w:highlight w:val="none"/>
          <w:lang w:val="en-US" w:eastAsia="zh-CN"/>
        </w:rPr>
        <w:t>报价要求</w:t>
      </w:r>
      <w:bookmarkEnd w:id="135"/>
    </w:p>
    <w:p>
      <w:pPr>
        <w:snapToGrid w:val="0"/>
        <w:spacing w:line="560" w:lineRule="exact"/>
        <w:ind w:firstLine="480"/>
        <w:rPr>
          <w:rFonts w:hint="eastAsia" w:ascii="仿宋" w:hAnsi="仿宋" w:eastAsia="仿宋" w:cs="仿宋"/>
          <w:color w:val="auto"/>
          <w:highlight w:val="none"/>
          <w:lang w:val="en-US" w:eastAsia="zh-CN"/>
        </w:rPr>
      </w:pPr>
      <w:bookmarkStart w:id="136" w:name="_Toc344475122"/>
      <w:bookmarkStart w:id="137" w:name="_Toc80199770"/>
      <w:bookmarkStart w:id="138" w:name="_Toc632"/>
      <w:r>
        <w:rPr>
          <w:rFonts w:hint="eastAsia" w:ascii="仿宋" w:hAnsi="仿宋" w:eastAsia="仿宋" w:cs="仿宋"/>
          <w:color w:val="auto"/>
          <w:highlight w:val="none"/>
          <w:lang w:val="en-US" w:eastAsia="zh-CN"/>
        </w:rPr>
        <w:t>本次报价须为人民币报价，包含：货物购买（制造）费、运输费（含装卸费）、设计、人员费、技术及措施费、风险费、管理费、验收、利润、规费、税金等所有费用。因投标人自身原因造成漏报、少报皆由其自行承担责任，采购人不再补偿。增减工程量据实结算，若工程量为本项目未涉及的品类结合市场价由采购人，成交供应商共同协商定价。</w:t>
      </w:r>
    </w:p>
    <w:p>
      <w:pPr>
        <w:snapToGrid w:val="0"/>
        <w:spacing w:line="400" w:lineRule="exact"/>
        <w:ind w:firstLine="361" w:firstLineChars="150"/>
        <w:rPr>
          <w:rFonts w:hint="eastAsia" w:ascii="仿宋" w:hAnsi="仿宋" w:eastAsia="仿宋" w:cs="仿宋"/>
          <w:b/>
          <w:bCs/>
          <w:color w:val="auto"/>
          <w:highlight w:val="none"/>
        </w:rPr>
      </w:pPr>
      <w:r>
        <w:rPr>
          <w:rFonts w:hint="eastAsia" w:ascii="仿宋" w:hAnsi="仿宋" w:eastAsia="仿宋" w:cs="仿宋"/>
          <w:b/>
          <w:bCs/>
          <w:color w:val="auto"/>
          <w:highlight w:val="none"/>
        </w:rPr>
        <w:t>※三、付款方式</w:t>
      </w:r>
      <w:bookmarkEnd w:id="136"/>
      <w:bookmarkEnd w:id="137"/>
      <w:bookmarkEnd w:id="138"/>
    </w:p>
    <w:p>
      <w:pPr>
        <w:snapToGrid w:val="0"/>
        <w:spacing w:line="560" w:lineRule="exact"/>
        <w:ind w:firstLine="480"/>
        <w:rPr>
          <w:rFonts w:hint="eastAsia" w:ascii="仿宋" w:hAnsi="仿宋" w:eastAsia="仿宋" w:cs="仿宋"/>
          <w:color w:val="auto"/>
          <w:highlight w:val="none"/>
          <w:lang w:val="en-US" w:eastAsia="zh-CN"/>
        </w:rPr>
      </w:pPr>
      <w:bookmarkStart w:id="139" w:name="_Toc344475123"/>
      <w:bookmarkStart w:id="140" w:name="_Toc80199771"/>
      <w:bookmarkStart w:id="141" w:name="_Toc2104"/>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采购人和供应商双方签订的合同生效后五个工作日</w:t>
      </w:r>
      <w:r>
        <w:rPr>
          <w:rFonts w:hint="eastAsia" w:ascii="仿宋" w:hAnsi="仿宋" w:eastAsia="仿宋" w:cs="仿宋"/>
          <w:color w:val="auto"/>
          <w:highlight w:val="none"/>
          <w:lang w:val="zh-CN" w:eastAsia="zh-CN"/>
        </w:rPr>
        <w:t>内，采购人向供应商支付合同总额的50%作为预付款</w:t>
      </w:r>
      <w:r>
        <w:rPr>
          <w:rFonts w:hint="eastAsia" w:ascii="仿宋" w:hAnsi="仿宋" w:eastAsia="仿宋" w:cs="仿宋"/>
          <w:color w:val="auto"/>
          <w:highlight w:val="none"/>
          <w:lang w:val="en-US" w:eastAsia="zh-CN"/>
        </w:rPr>
        <w:t>，货物到达采购人指定现场并经双方验收合格后，采购人在10个工作日内支付合同总价的剩余50%尾款。</w:t>
      </w:r>
    </w:p>
    <w:p>
      <w:p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付款前，</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开具等额法定税务发票，且开票方需与乙方名称一致，如乙方未开具发票，甲方有权延迟付款而不承担任何责任。</w:t>
      </w:r>
    </w:p>
    <w:p>
      <w:pPr>
        <w:snapToGrid w:val="0"/>
        <w:spacing w:line="400" w:lineRule="exact"/>
        <w:ind w:firstLine="480" w:firstLineChars="200"/>
        <w:rPr>
          <w:rFonts w:hint="eastAsia"/>
          <w:color w:val="auto"/>
        </w:rPr>
      </w:pPr>
      <w:r>
        <w:rPr>
          <w:rFonts w:hint="eastAsia" w:ascii="仿宋" w:hAnsi="仿宋" w:eastAsia="仿宋"/>
          <w:color w:val="auto"/>
          <w:lang w:val="en-US" w:eastAsia="zh-CN"/>
        </w:rPr>
        <w:t>（二）本项目首先保证农民工工资不拖欠，供应商必须及时支付人工费、材料费等费用，如有投诉材料费、人工费未结清的情况，采购单位将暂停余款支付，并有权动用成交供应商一切费用解决属实的投诉纠纷。</w:t>
      </w:r>
    </w:p>
    <w:p>
      <w:pPr>
        <w:snapToGrid w:val="0"/>
        <w:spacing w:line="56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rPr>
        <w:t>、</w:t>
      </w:r>
      <w:bookmarkEnd w:id="139"/>
      <w:bookmarkEnd w:id="140"/>
      <w:r>
        <w:rPr>
          <w:rFonts w:hint="eastAsia" w:ascii="仿宋" w:hAnsi="仿宋" w:eastAsia="仿宋" w:cs="仿宋"/>
          <w:b/>
          <w:bCs/>
          <w:color w:val="auto"/>
          <w:highlight w:val="none"/>
        </w:rPr>
        <w:t>转包、分包</w:t>
      </w:r>
      <w:bookmarkEnd w:id="141"/>
    </w:p>
    <w:p>
      <w:pPr>
        <w:numPr>
          <w:ilvl w:val="0"/>
          <w:numId w:val="2"/>
        </w:num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成交供应商未经采购人书面同意，不得将本项目转包、分包给第三方，如成交供应商将本项目转包、分包给第三方的，采购人有权解除合同，同时采购人有权要求成交供应商按合同总金额的10 %支付违约金，因此给采购人造成的损失应由成交供应商承担赔偿责任。</w:t>
      </w:r>
    </w:p>
    <w:p>
      <w:pPr>
        <w:snapToGrid w:val="0"/>
        <w:spacing w:line="56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rPr>
        <w:t>、知识产权</w:t>
      </w:r>
    </w:p>
    <w:p>
      <w:pPr>
        <w:numPr>
          <w:ilvl w:val="0"/>
          <w:numId w:val="0"/>
        </w:numPr>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snapToGrid w:val="0"/>
        <w:spacing w:line="560" w:lineRule="exact"/>
        <w:ind w:firstLine="480"/>
        <w:rPr>
          <w:rFonts w:hint="eastAsia" w:ascii="仿宋" w:hAnsi="仿宋" w:eastAsia="仿宋" w:cs="仿宋"/>
          <w:b/>
          <w:bCs/>
          <w:color w:val="auto"/>
          <w:highlight w:val="none"/>
        </w:rPr>
      </w:pPr>
      <w:bookmarkStart w:id="142" w:name="_Toc344475124"/>
      <w:bookmarkStart w:id="143" w:name="_Toc8955"/>
      <w:bookmarkStart w:id="144" w:name="_Toc80199772"/>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六</w:t>
      </w:r>
      <w:r>
        <w:rPr>
          <w:rFonts w:hint="eastAsia" w:ascii="仿宋" w:hAnsi="仿宋" w:eastAsia="仿宋" w:cs="仿宋"/>
          <w:b/>
          <w:bCs/>
          <w:color w:val="auto"/>
          <w:highlight w:val="none"/>
        </w:rPr>
        <w:t>、</w:t>
      </w:r>
      <w:bookmarkEnd w:id="142"/>
      <w:bookmarkStart w:id="145" w:name="_Toc344475125"/>
      <w:r>
        <w:rPr>
          <w:rFonts w:hint="eastAsia" w:ascii="仿宋" w:hAnsi="仿宋" w:eastAsia="仿宋" w:cs="仿宋"/>
          <w:b/>
          <w:bCs/>
          <w:color w:val="auto"/>
          <w:highlight w:val="none"/>
        </w:rPr>
        <w:t>其他</w:t>
      </w:r>
      <w:bookmarkEnd w:id="143"/>
      <w:bookmarkEnd w:id="144"/>
    </w:p>
    <w:bookmarkEnd w:id="145"/>
    <w:p>
      <w:p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供应商必须在响应文件中对以上条款和服务承诺明确列出，承诺内容必须达到本篇及竞争性磋商文件其他条款的要求。</w:t>
      </w:r>
    </w:p>
    <w:p>
      <w:pPr>
        <w:snapToGrid w:val="0"/>
        <w:spacing w:line="5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其他未尽事宜由供需双方在采购合同中详细约定。</w:t>
      </w:r>
    </w:p>
    <w:p>
      <w:pPr>
        <w:spacing w:before="99" w:line="226" w:lineRule="auto"/>
        <w:jc w:val="center"/>
        <w:outlineLvl w:val="0"/>
        <w:rPr>
          <w:rFonts w:ascii="仿宋" w:hAnsi="仿宋" w:eastAsia="仿宋" w:cs="仿宋"/>
          <w:color w:val="auto"/>
          <w:sz w:val="47"/>
          <w:szCs w:val="47"/>
        </w:rPr>
      </w:pPr>
      <w:r>
        <w:rPr>
          <w:rFonts w:ascii="仿宋" w:hAnsi="仿宋" w:eastAsia="仿宋" w:cs="仿宋"/>
          <w:color w:val="auto"/>
        </w:rPr>
        <w:br w:type="page"/>
      </w:r>
      <w:bookmarkEnd w:id="127"/>
      <w:r>
        <w:rPr>
          <w:rFonts w:hint="eastAsia" w:ascii="仿宋" w:hAnsi="仿宋" w:eastAsia="仿宋" w:cs="仿宋"/>
          <w:color w:val="auto"/>
          <w:spacing w:val="4"/>
          <w:sz w:val="47"/>
          <w:szCs w:val="47"/>
          <w:lang w:val="en-US" w:eastAsia="zh-CN"/>
        </w:rPr>
        <w:t>森林防火语音宣传杆</w:t>
      </w:r>
      <w:r>
        <w:rPr>
          <w:rFonts w:ascii="仿宋" w:hAnsi="仿宋" w:eastAsia="仿宋" w:cs="仿宋"/>
          <w:color w:val="auto"/>
          <w:spacing w:val="4"/>
          <w:sz w:val="47"/>
          <w:szCs w:val="47"/>
        </w:rPr>
        <w:t>采购与安装协议</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left"/>
        <w:textAlignment w:val="baseline"/>
        <w:outlineLvl w:val="9"/>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left"/>
        <w:textAlignment w:val="baseline"/>
        <w:outlineLvl w:val="9"/>
        <w:rPr>
          <w:rFonts w:ascii="仿宋" w:hAnsi="仿宋" w:eastAsia="仿宋" w:cs="仿宋"/>
          <w:color w:val="auto"/>
          <w:sz w:val="26"/>
          <w:szCs w:val="26"/>
        </w:rPr>
      </w:pPr>
      <w:r>
        <w:rPr>
          <w:rFonts w:ascii="仿宋" w:hAnsi="仿宋" w:eastAsia="仿宋" w:cs="仿宋"/>
          <w:color w:val="auto"/>
          <w:spacing w:val="7"/>
          <w:sz w:val="26"/>
          <w:szCs w:val="26"/>
        </w:rPr>
        <w:t>甲方（需方</w:t>
      </w:r>
      <w:r>
        <w:rPr>
          <w:rFonts w:ascii="仿宋" w:hAnsi="仿宋" w:eastAsia="仿宋" w:cs="仿宋"/>
          <w:color w:val="auto"/>
          <w:spacing w:val="-7"/>
          <w:sz w:val="26"/>
          <w:szCs w:val="26"/>
        </w:rPr>
        <w:t>）</w:t>
      </w:r>
      <w:r>
        <w:rPr>
          <w:rFonts w:ascii="仿宋" w:hAnsi="仿宋" w:eastAsia="仿宋" w:cs="仿宋"/>
          <w:color w:val="auto"/>
          <w:spacing w:val="-58"/>
          <w:sz w:val="26"/>
          <w:szCs w:val="26"/>
        </w:rPr>
        <w:t xml:space="preserve"> </w:t>
      </w:r>
      <w:r>
        <w:rPr>
          <w:rFonts w:ascii="仿宋" w:hAnsi="仿宋" w:eastAsia="仿宋" w:cs="仿宋"/>
          <w:color w:val="auto"/>
          <w:spacing w:val="-7"/>
          <w:sz w:val="26"/>
          <w:szCs w:val="26"/>
        </w:rPr>
        <w:t>：</w:t>
      </w:r>
      <w:r>
        <w:rPr>
          <w:rFonts w:ascii="仿宋" w:hAnsi="仿宋" w:eastAsia="仿宋" w:cs="仿宋"/>
          <w:color w:val="auto"/>
          <w:spacing w:val="24"/>
          <w:sz w:val="26"/>
          <w:szCs w:val="26"/>
          <w:u w:val="single" w:color="auto"/>
        </w:rPr>
        <w:t xml:space="preserve"> </w:t>
      </w:r>
      <w:r>
        <w:rPr>
          <w:rFonts w:ascii="仿宋" w:hAnsi="仿宋" w:eastAsia="仿宋" w:cs="仿宋"/>
          <w:color w:val="auto"/>
          <w:spacing w:val="7"/>
          <w:sz w:val="26"/>
          <w:szCs w:val="26"/>
          <w:u w:val="single" w:color="auto"/>
        </w:rPr>
        <w:t>重庆金佛山国家级自然保护区管理事务中心</w:t>
      </w:r>
      <w:r>
        <w:rPr>
          <w:rFonts w:ascii="仿宋" w:hAnsi="仿宋" w:eastAsia="仿宋" w:cs="仿宋"/>
          <w:color w:val="auto"/>
          <w:sz w:val="26"/>
          <w:szCs w:val="26"/>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left"/>
        <w:textAlignment w:val="baseline"/>
        <w:outlineLvl w:val="9"/>
        <w:rPr>
          <w:rFonts w:ascii="仿宋" w:hAnsi="仿宋" w:eastAsia="仿宋" w:cs="仿宋"/>
          <w:color w:val="auto"/>
          <w:sz w:val="26"/>
          <w:szCs w:val="26"/>
        </w:rPr>
      </w:pPr>
      <w:r>
        <w:rPr>
          <w:rFonts w:ascii="仿宋" w:hAnsi="仿宋" w:eastAsia="仿宋" w:cs="仿宋"/>
          <w:color w:val="auto"/>
          <w:spacing w:val="4"/>
          <w:sz w:val="26"/>
          <w:szCs w:val="26"/>
        </w:rPr>
        <w:t>乙方（供方</w:t>
      </w:r>
      <w:r>
        <w:rPr>
          <w:rFonts w:ascii="仿宋" w:hAnsi="仿宋" w:eastAsia="仿宋" w:cs="仿宋"/>
          <w:color w:val="auto"/>
          <w:spacing w:val="-10"/>
          <w:sz w:val="26"/>
          <w:szCs w:val="26"/>
        </w:rPr>
        <w:t>）</w:t>
      </w:r>
      <w:r>
        <w:rPr>
          <w:rFonts w:ascii="仿宋" w:hAnsi="仿宋" w:eastAsia="仿宋" w:cs="仿宋"/>
          <w:color w:val="auto"/>
          <w:spacing w:val="-60"/>
          <w:sz w:val="26"/>
          <w:szCs w:val="26"/>
        </w:rPr>
        <w:t xml:space="preserve"> </w:t>
      </w:r>
      <w:r>
        <w:rPr>
          <w:rFonts w:ascii="仿宋" w:hAnsi="仿宋" w:eastAsia="仿宋" w:cs="仿宋"/>
          <w:color w:val="auto"/>
          <w:spacing w:val="-10"/>
          <w:sz w:val="26"/>
          <w:szCs w:val="26"/>
        </w:rPr>
        <w:t>：</w:t>
      </w:r>
      <w:r>
        <w:rPr>
          <w:rFonts w:ascii="仿宋" w:hAnsi="仿宋" w:eastAsia="仿宋" w:cs="仿宋"/>
          <w:color w:val="auto"/>
          <w:sz w:val="26"/>
          <w:szCs w:val="26"/>
          <w:u w:val="single" w:color="auto"/>
        </w:rPr>
        <w:t xml:space="preserve">  </w:t>
      </w:r>
      <w:r>
        <w:rPr>
          <w:rFonts w:hint="eastAsia" w:ascii="仿宋" w:hAnsi="仿宋" w:eastAsia="仿宋" w:cs="仿宋"/>
          <w:color w:val="auto"/>
          <w:sz w:val="26"/>
          <w:szCs w:val="26"/>
          <w:u w:val="single" w:color="auto"/>
          <w:lang w:val="en-US" w:eastAsia="zh-CN"/>
        </w:rPr>
        <w:t xml:space="preserve">                      </w:t>
      </w:r>
      <w:r>
        <w:rPr>
          <w:rFonts w:ascii="仿宋" w:hAnsi="仿宋" w:eastAsia="仿宋" w:cs="仿宋"/>
          <w:color w:val="auto"/>
          <w:sz w:val="26"/>
          <w:szCs w:val="26"/>
          <w:u w:val="single" w:color="auto"/>
        </w:rPr>
        <w:t xml:space="preserve">                   </w:t>
      </w:r>
    </w:p>
    <w:p>
      <w:pPr>
        <w:spacing w:line="500" w:lineRule="exact"/>
        <w:ind w:firstLine="560" w:firstLineChars="200"/>
        <w:rPr>
          <w:rFonts w:hint="eastAsia" w:ascii="仿宋" w:hAnsi="仿宋" w:eastAsia="仿宋" w:cs="仿宋"/>
          <w:color w:val="auto"/>
          <w:sz w:val="28"/>
          <w:szCs w:val="28"/>
        </w:rPr>
      </w:pPr>
      <w:r>
        <w:rPr>
          <w:rFonts w:hint="eastAsia" w:ascii="Times New Roman" w:hAnsi="Times New Roman" w:eastAsia="方正仿宋_GBK" w:cs="Times New Roman"/>
          <w:color w:val="auto"/>
          <w:sz w:val="28"/>
          <w:szCs w:val="28"/>
        </w:rPr>
        <w:t>根据</w:t>
      </w:r>
      <w:r>
        <w:rPr>
          <w:rFonts w:hint="default" w:ascii="Times New Roman" w:hAnsi="Times New Roman" w:eastAsia="方正仿宋_GBK" w:cs="Times New Roman"/>
          <w:color w:val="auto"/>
          <w:sz w:val="28"/>
          <w:szCs w:val="28"/>
        </w:rPr>
        <w:t>《中华人民共和国</w:t>
      </w:r>
      <w:r>
        <w:rPr>
          <w:rFonts w:hint="eastAsia" w:ascii="Times New Roman" w:hAnsi="Times New Roman" w:eastAsia="方正仿宋_GBK" w:cs="Times New Roman"/>
          <w:color w:val="auto"/>
          <w:sz w:val="28"/>
          <w:szCs w:val="28"/>
          <w:lang w:val="en-US" w:eastAsia="zh-CN"/>
        </w:rPr>
        <w:t>民法典</w:t>
      </w:r>
      <w:r>
        <w:rPr>
          <w:rFonts w:hint="eastAsia"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rPr>
        <w:t>及其</w:t>
      </w:r>
      <w:r>
        <w:rPr>
          <w:rFonts w:hint="eastAsia" w:ascii="Times New Roman" w:hAnsi="Times New Roman" w:eastAsia="方正仿宋_GBK" w:cs="Times New Roman"/>
          <w:color w:val="auto"/>
          <w:sz w:val="28"/>
          <w:szCs w:val="28"/>
        </w:rPr>
        <w:t>他</w:t>
      </w:r>
      <w:r>
        <w:rPr>
          <w:rFonts w:hint="default" w:ascii="Times New Roman" w:hAnsi="Times New Roman" w:eastAsia="方正仿宋_GBK" w:cs="Times New Roman"/>
          <w:color w:val="auto"/>
          <w:sz w:val="28"/>
          <w:szCs w:val="28"/>
        </w:rPr>
        <w:t>有关法律、法规</w:t>
      </w:r>
      <w:r>
        <w:rPr>
          <w:rFonts w:hint="eastAsia" w:ascii="Times New Roman" w:hAnsi="Times New Roman" w:eastAsia="方正仿宋_GBK" w:cs="Times New Roman"/>
          <w:color w:val="auto"/>
          <w:sz w:val="28"/>
          <w:szCs w:val="28"/>
        </w:rPr>
        <w:t>的规定</w:t>
      </w:r>
      <w:r>
        <w:rPr>
          <w:rFonts w:hint="default" w:ascii="Times New Roman" w:hAnsi="Times New Roman" w:eastAsia="方正仿宋_GBK" w:cs="Times New Roman"/>
          <w:color w:val="auto"/>
          <w:sz w:val="28"/>
          <w:szCs w:val="28"/>
        </w:rPr>
        <w:t>，遵循平等、自愿、公开和诚实信用的原则，</w:t>
      </w:r>
      <w:r>
        <w:rPr>
          <w:rFonts w:hint="eastAsia" w:ascii="Times New Roman" w:hAnsi="Times New Roman" w:eastAsia="方正仿宋_GBK" w:cs="Times New Roman"/>
          <w:color w:val="auto"/>
          <w:sz w:val="28"/>
          <w:szCs w:val="28"/>
        </w:rPr>
        <w:t>经甲乙双方</w:t>
      </w:r>
      <w:r>
        <w:rPr>
          <w:rFonts w:hint="eastAsia" w:ascii="Times New Roman" w:hAnsi="Times New Roman" w:eastAsia="方正仿宋_GBK" w:cs="Times New Roman"/>
          <w:color w:val="auto"/>
          <w:sz w:val="28"/>
          <w:szCs w:val="28"/>
          <w:lang w:val="en-US" w:eastAsia="zh-CN"/>
        </w:rPr>
        <w:t>就森林防火</w:t>
      </w:r>
      <w:r>
        <w:rPr>
          <w:rFonts w:hint="eastAsia" w:ascii="Times New Roman" w:hAnsi="Times New Roman" w:eastAsia="方正仿宋_GBK" w:cs="Times New Roman"/>
          <w:color w:val="auto"/>
          <w:sz w:val="28"/>
          <w:szCs w:val="28"/>
          <w:lang w:eastAsia="zh-CN"/>
        </w:rPr>
        <w:t>语音</w:t>
      </w:r>
      <w:r>
        <w:rPr>
          <w:rFonts w:hint="eastAsia" w:ascii="Times New Roman" w:hAnsi="Times New Roman" w:eastAsia="方正仿宋_GBK" w:cs="Times New Roman"/>
          <w:color w:val="auto"/>
          <w:sz w:val="28"/>
          <w:szCs w:val="28"/>
          <w:lang w:val="en-US" w:eastAsia="zh-CN"/>
        </w:rPr>
        <w:t>宣传</w:t>
      </w:r>
      <w:r>
        <w:rPr>
          <w:rFonts w:hint="eastAsia" w:ascii="Times New Roman" w:hAnsi="Times New Roman" w:eastAsia="方正仿宋_GBK" w:cs="Times New Roman"/>
          <w:color w:val="auto"/>
          <w:sz w:val="28"/>
          <w:szCs w:val="28"/>
          <w:lang w:eastAsia="zh-CN"/>
        </w:rPr>
        <w:t>杆采购与安装</w:t>
      </w:r>
      <w:r>
        <w:rPr>
          <w:rFonts w:hint="eastAsia" w:ascii="Times New Roman" w:hAnsi="Times New Roman" w:eastAsia="方正仿宋_GBK" w:cs="Times New Roman"/>
          <w:color w:val="auto"/>
          <w:sz w:val="28"/>
          <w:szCs w:val="28"/>
          <w:lang w:val="en-US" w:eastAsia="zh-CN"/>
        </w:rPr>
        <w:t>事宜</w:t>
      </w:r>
      <w:r>
        <w:rPr>
          <w:rFonts w:hint="eastAsia" w:ascii="Times New Roman" w:hAnsi="Times New Roman" w:eastAsia="方正仿宋_GBK" w:cs="Times New Roman"/>
          <w:color w:val="auto"/>
          <w:sz w:val="28"/>
          <w:szCs w:val="28"/>
        </w:rPr>
        <w:t>协商一致，订立本合同</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 xml:space="preserve">   </w:t>
      </w:r>
      <w:r>
        <w:rPr>
          <w:rFonts w:hint="eastAsia" w:ascii="方正黑体_GBK" w:hAnsi="方正黑体_GBK" w:eastAsia="方正黑体_GBK" w:cs="方正黑体_GBK"/>
          <w:color w:val="auto"/>
          <w:sz w:val="28"/>
          <w:szCs w:val="28"/>
          <w:lang w:val="en-US" w:eastAsia="zh-CN"/>
        </w:rPr>
        <w:t xml:space="preserve"> </w:t>
      </w:r>
    </w:p>
    <w:p>
      <w:pPr>
        <w:spacing w:line="28" w:lineRule="exact"/>
        <w:rPr>
          <w:color w:val="auto"/>
          <w:sz w:val="26"/>
          <w:szCs w:val="26"/>
        </w:rPr>
      </w:pPr>
    </w:p>
    <w:tbl>
      <w:tblPr>
        <w:tblStyle w:val="107"/>
        <w:tblW w:w="9540"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3720"/>
        <w:gridCol w:w="1080"/>
        <w:gridCol w:w="825"/>
        <w:gridCol w:w="840"/>
        <w:gridCol w:w="810"/>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4" w:hRule="atLeast"/>
        </w:trPr>
        <w:tc>
          <w:tcPr>
            <w:tcW w:w="945" w:type="dxa"/>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方正黑体_GBK" w:hAnsi="方正黑体_GBK" w:eastAsia="方正黑体_GBK" w:cs="方正黑体_GBK"/>
                <w:color w:val="auto"/>
                <w:sz w:val="26"/>
                <w:szCs w:val="26"/>
              </w:rPr>
            </w:pPr>
            <w:r>
              <w:rPr>
                <w:rFonts w:hint="eastAsia" w:ascii="方正黑体_GBK" w:hAnsi="方正黑体_GBK" w:eastAsia="方正黑体_GBK" w:cs="方正黑体_GBK"/>
                <w:color w:val="auto"/>
                <w:spacing w:val="4"/>
                <w:sz w:val="26"/>
                <w:szCs w:val="26"/>
              </w:rPr>
              <w:t>商品名称</w:t>
            </w:r>
          </w:p>
        </w:tc>
        <w:tc>
          <w:tcPr>
            <w:tcW w:w="4800" w:type="dxa"/>
            <w:gridSpan w:val="2"/>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方正黑体_GBK" w:hAnsi="方正黑体_GBK" w:eastAsia="方正黑体_GBK" w:cs="方正黑体_GBK"/>
                <w:color w:val="auto"/>
                <w:sz w:val="26"/>
                <w:szCs w:val="26"/>
                <w:lang w:eastAsia="zh-CN"/>
              </w:rPr>
            </w:pPr>
            <w:r>
              <w:rPr>
                <w:rFonts w:hint="eastAsia" w:ascii="方正黑体_GBK" w:hAnsi="方正黑体_GBK" w:eastAsia="方正黑体_GBK" w:cs="方正黑体_GBK"/>
                <w:color w:val="auto"/>
                <w:spacing w:val="6"/>
                <w:sz w:val="26"/>
                <w:szCs w:val="26"/>
                <w:lang w:val="en-US" w:eastAsia="zh-CN"/>
              </w:rPr>
              <w:t>产品参数</w:t>
            </w:r>
          </w:p>
        </w:tc>
        <w:tc>
          <w:tcPr>
            <w:tcW w:w="825" w:type="dxa"/>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方正黑体_GBK" w:hAnsi="方正黑体_GBK" w:eastAsia="方正黑体_GBK" w:cs="方正黑体_GBK"/>
                <w:color w:val="auto"/>
                <w:sz w:val="26"/>
                <w:szCs w:val="26"/>
              </w:rPr>
            </w:pPr>
            <w:r>
              <w:rPr>
                <w:rFonts w:hint="eastAsia" w:ascii="方正黑体_GBK" w:hAnsi="方正黑体_GBK" w:eastAsia="方正黑体_GBK" w:cs="方正黑体_GBK"/>
                <w:color w:val="auto"/>
                <w:spacing w:val="2"/>
                <w:sz w:val="26"/>
                <w:szCs w:val="26"/>
              </w:rPr>
              <w:t>数量</w:t>
            </w:r>
          </w:p>
        </w:tc>
        <w:tc>
          <w:tcPr>
            <w:tcW w:w="840" w:type="dxa"/>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方正黑体_GBK" w:hAnsi="方正黑体_GBK" w:eastAsia="方正黑体_GBK" w:cs="方正黑体_GBK"/>
                <w:color w:val="auto"/>
                <w:spacing w:val="-16"/>
                <w:sz w:val="26"/>
                <w:szCs w:val="26"/>
              </w:rPr>
            </w:pPr>
            <w:r>
              <w:rPr>
                <w:rFonts w:hint="eastAsia" w:ascii="方正黑体_GBK" w:hAnsi="方正黑体_GBK" w:eastAsia="方正黑体_GBK" w:cs="方正黑体_GBK"/>
                <w:color w:val="auto"/>
                <w:spacing w:val="-16"/>
                <w:sz w:val="26"/>
                <w:szCs w:val="26"/>
              </w:rPr>
              <w:t>单价</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方正黑体_GBK" w:hAnsi="方正黑体_GBK" w:eastAsia="方正黑体_GBK" w:cs="方正黑体_GBK"/>
                <w:color w:val="auto"/>
                <w:sz w:val="26"/>
                <w:szCs w:val="26"/>
              </w:rPr>
            </w:pPr>
            <w:r>
              <w:rPr>
                <w:rFonts w:hint="eastAsia" w:ascii="方正黑体_GBK" w:hAnsi="方正黑体_GBK" w:eastAsia="方正黑体_GBK" w:cs="方正黑体_GBK"/>
                <w:color w:val="auto"/>
                <w:spacing w:val="-16"/>
                <w:sz w:val="26"/>
                <w:szCs w:val="26"/>
              </w:rPr>
              <w:t>（元）</w:t>
            </w:r>
          </w:p>
        </w:tc>
        <w:tc>
          <w:tcPr>
            <w:tcW w:w="810" w:type="dxa"/>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方正黑体_GBK" w:hAnsi="方正黑体_GBK" w:eastAsia="方正黑体_GBK" w:cs="方正黑体_GBK"/>
                <w:color w:val="auto"/>
                <w:spacing w:val="-3"/>
                <w:sz w:val="26"/>
                <w:szCs w:val="26"/>
              </w:rPr>
            </w:pPr>
            <w:r>
              <w:rPr>
                <w:rFonts w:hint="eastAsia" w:ascii="方正黑体_GBK" w:hAnsi="方正黑体_GBK" w:eastAsia="方正黑体_GBK" w:cs="方正黑体_GBK"/>
                <w:color w:val="auto"/>
                <w:spacing w:val="-3"/>
                <w:sz w:val="26"/>
                <w:szCs w:val="26"/>
              </w:rPr>
              <w:t>总价</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方正黑体_GBK" w:hAnsi="方正黑体_GBK" w:eastAsia="方正黑体_GBK" w:cs="方正黑体_GBK"/>
                <w:color w:val="auto"/>
                <w:sz w:val="26"/>
                <w:szCs w:val="26"/>
              </w:rPr>
            </w:pPr>
            <w:r>
              <w:rPr>
                <w:rFonts w:hint="eastAsia" w:ascii="方正黑体_GBK" w:hAnsi="方正黑体_GBK" w:eastAsia="方正黑体_GBK" w:cs="方正黑体_GBK"/>
                <w:color w:val="auto"/>
                <w:spacing w:val="-3"/>
                <w:sz w:val="26"/>
                <w:szCs w:val="26"/>
              </w:rPr>
              <w:t>（元）</w:t>
            </w:r>
          </w:p>
        </w:tc>
        <w:tc>
          <w:tcPr>
            <w:tcW w:w="1320" w:type="dxa"/>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eastAsia" w:ascii="方正黑体_GBK" w:hAnsi="方正黑体_GBK" w:eastAsia="方正黑体_GBK" w:cs="方正黑体_GBK"/>
                <w:color w:val="auto"/>
                <w:sz w:val="26"/>
                <w:szCs w:val="26"/>
              </w:rPr>
            </w:pPr>
            <w:r>
              <w:rPr>
                <w:rFonts w:hint="eastAsia" w:ascii="方正黑体_GBK" w:hAnsi="方正黑体_GBK" w:eastAsia="方正黑体_GBK" w:cs="方正黑体_GBK"/>
                <w:color w:val="auto"/>
                <w:spacing w:val="5"/>
                <w:sz w:val="26"/>
                <w:szCs w:val="26"/>
              </w:rPr>
              <w:t>采购工期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945" w:type="dxa"/>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default" w:ascii="Times New Roman" w:hAnsi="Times New Roman" w:eastAsia="方正仿宋_GBK" w:cs="Times New Roman"/>
                <w:color w:val="auto"/>
                <w:spacing w:val="9"/>
                <w:sz w:val="26"/>
                <w:szCs w:val="26"/>
                <w:lang w:val="en-US" w:eastAsia="en-US"/>
              </w:rPr>
            </w:pP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default" w:ascii="Times New Roman" w:hAnsi="Times New Roman" w:eastAsia="方正仿宋_GBK" w:cs="Times New Roman"/>
                <w:color w:val="auto"/>
                <w:spacing w:val="9"/>
                <w:sz w:val="26"/>
                <w:szCs w:val="26"/>
              </w:rPr>
            </w:pPr>
            <w:r>
              <w:rPr>
                <w:rFonts w:hint="default" w:ascii="Times New Roman" w:hAnsi="Times New Roman" w:eastAsia="方正仿宋_GBK" w:cs="Times New Roman"/>
                <w:color w:val="auto"/>
                <w:spacing w:val="9"/>
                <w:sz w:val="26"/>
                <w:szCs w:val="26"/>
                <w:lang w:val="en-US" w:eastAsia="en-US"/>
              </w:rPr>
              <w:t>森林防火语音宣传杆</w:t>
            </w:r>
          </w:p>
        </w:tc>
        <w:tc>
          <w:tcPr>
            <w:tcW w:w="4800" w:type="dxa"/>
            <w:gridSpan w:val="2"/>
            <w:vAlign w:val="top"/>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4"/>
                <w:szCs w:val="24"/>
                <w:lang w:val="en-US" w:eastAsia="zh-CN"/>
              </w:rPr>
            </w:pPr>
            <w:r>
              <w:rPr>
                <w:rFonts w:hint="default" w:ascii="Times New Roman" w:hAnsi="Times New Roman" w:eastAsia="方正仿宋_GBK" w:cs="Times New Roman"/>
                <w:color w:val="auto"/>
                <w:spacing w:val="9"/>
                <w:sz w:val="24"/>
                <w:szCs w:val="24"/>
                <w:lang w:val="en-US" w:eastAsia="zh-CN"/>
              </w:rPr>
              <w:t>供电方式：DC15V/2A、11.1V 10AH锂电池</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4"/>
                <w:szCs w:val="24"/>
                <w:lang w:val="en-US" w:eastAsia="zh-CN"/>
              </w:rPr>
            </w:pPr>
            <w:r>
              <w:rPr>
                <w:rFonts w:hint="default" w:ascii="Times New Roman" w:hAnsi="Times New Roman" w:eastAsia="方正仿宋_GBK" w:cs="Times New Roman"/>
                <w:color w:val="auto"/>
                <w:spacing w:val="9"/>
                <w:sz w:val="24"/>
                <w:szCs w:val="24"/>
                <w:lang w:val="en-US" w:eastAsia="zh-CN"/>
              </w:rPr>
              <w:t>音频格式：MP3</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4"/>
                <w:szCs w:val="24"/>
                <w:lang w:val="en-US" w:eastAsia="zh-CN"/>
              </w:rPr>
            </w:pPr>
            <w:r>
              <w:rPr>
                <w:rFonts w:hint="default" w:ascii="Times New Roman" w:hAnsi="Times New Roman" w:eastAsia="方正仿宋_GBK" w:cs="Times New Roman"/>
                <w:color w:val="auto"/>
                <w:spacing w:val="9"/>
                <w:sz w:val="24"/>
                <w:szCs w:val="24"/>
                <w:lang w:val="en-US" w:eastAsia="zh-CN"/>
              </w:rPr>
              <w:t>音频输出功率：4Ω/20W（典型值）</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4"/>
                <w:szCs w:val="24"/>
                <w:lang w:val="en-US" w:eastAsia="zh-CN"/>
              </w:rPr>
            </w:pPr>
            <w:r>
              <w:rPr>
                <w:rFonts w:hint="default" w:ascii="Times New Roman" w:hAnsi="Times New Roman" w:eastAsia="方正仿宋_GBK" w:cs="Times New Roman"/>
                <w:color w:val="auto"/>
                <w:spacing w:val="9"/>
                <w:sz w:val="24"/>
                <w:szCs w:val="24"/>
                <w:lang w:val="en-US" w:eastAsia="zh-CN"/>
              </w:rPr>
              <w:t>红外感应：0-8米（水平方向100°视角）</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4"/>
                <w:szCs w:val="24"/>
                <w:lang w:val="en-US" w:eastAsia="zh-CN"/>
              </w:rPr>
            </w:pPr>
            <w:r>
              <w:rPr>
                <w:rFonts w:hint="default" w:ascii="Times New Roman" w:hAnsi="Times New Roman" w:eastAsia="方正仿宋_GBK" w:cs="Times New Roman"/>
                <w:color w:val="auto"/>
                <w:spacing w:val="9"/>
                <w:sz w:val="24"/>
                <w:szCs w:val="24"/>
                <w:lang w:val="en-US" w:eastAsia="zh-CN"/>
              </w:rPr>
              <w:t>微波感应：0-27米（水平方向140°视角）</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4"/>
                <w:szCs w:val="24"/>
                <w:lang w:val="en-US" w:eastAsia="zh-CN"/>
              </w:rPr>
            </w:pPr>
            <w:r>
              <w:rPr>
                <w:rFonts w:hint="default" w:ascii="Times New Roman" w:hAnsi="Times New Roman" w:eastAsia="方正仿宋_GBK" w:cs="Times New Roman"/>
                <w:color w:val="auto"/>
                <w:spacing w:val="9"/>
                <w:sz w:val="24"/>
                <w:szCs w:val="24"/>
                <w:lang w:val="en-US" w:eastAsia="zh-CN"/>
              </w:rPr>
              <w:t>报警声音：≥110dB（平行间隔一米）</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4"/>
                <w:szCs w:val="24"/>
                <w:lang w:val="en-US" w:eastAsia="zh-CN"/>
              </w:rPr>
            </w:pPr>
            <w:r>
              <w:rPr>
                <w:rFonts w:hint="default" w:ascii="Times New Roman" w:hAnsi="Times New Roman" w:eastAsia="方正仿宋_GBK" w:cs="Times New Roman"/>
                <w:color w:val="auto"/>
                <w:spacing w:val="9"/>
                <w:sz w:val="24"/>
                <w:szCs w:val="24"/>
                <w:lang w:val="en-US" w:eastAsia="zh-CN"/>
              </w:rPr>
              <w:t>工作环境：室内-30～50℃</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4"/>
                <w:szCs w:val="24"/>
                <w:lang w:val="en-US" w:eastAsia="zh-CN"/>
              </w:rPr>
            </w:pPr>
            <w:r>
              <w:rPr>
                <w:rFonts w:hint="default" w:ascii="Times New Roman" w:hAnsi="Times New Roman" w:eastAsia="方正仿宋_GBK" w:cs="Times New Roman"/>
                <w:color w:val="auto"/>
                <w:spacing w:val="9"/>
                <w:sz w:val="24"/>
                <w:szCs w:val="24"/>
                <w:lang w:val="en-US" w:eastAsia="zh-CN"/>
              </w:rPr>
              <w:t>防水等级：IP65</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pacing w:val="9"/>
                <w:sz w:val="26"/>
                <w:szCs w:val="26"/>
                <w:lang w:val="en-US" w:eastAsia="zh-CN"/>
              </w:rPr>
            </w:pPr>
            <w:r>
              <w:rPr>
                <w:rFonts w:hint="default" w:ascii="Times New Roman" w:hAnsi="Times New Roman" w:eastAsia="方正仿宋_GBK" w:cs="Times New Roman"/>
                <w:color w:val="auto"/>
                <w:spacing w:val="9"/>
                <w:sz w:val="24"/>
                <w:szCs w:val="24"/>
                <w:lang w:val="en-US" w:eastAsia="zh-CN"/>
              </w:rPr>
              <w:t>播放时长：内置11.1V 10AH锂电池充满电状态可连续工作15小时</w:t>
            </w:r>
          </w:p>
        </w:tc>
        <w:tc>
          <w:tcPr>
            <w:tcW w:w="8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snapToGrid w:val="0"/>
                <w:color w:val="auto"/>
                <w:spacing w:val="4"/>
                <w:kern w:val="0"/>
                <w:sz w:val="26"/>
                <w:szCs w:val="26"/>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snapToGrid w:val="0"/>
                <w:color w:val="auto"/>
                <w:spacing w:val="4"/>
                <w:kern w:val="0"/>
                <w:sz w:val="26"/>
                <w:szCs w:val="26"/>
                <w:lang w:val="en-US" w:eastAsia="zh-CN" w:bidi="ar-SA"/>
              </w:rPr>
            </w:pPr>
          </w:p>
        </w:tc>
        <w:tc>
          <w:tcPr>
            <w:tcW w:w="84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snapToGrid w:val="0"/>
                <w:color w:val="auto"/>
                <w:spacing w:val="4"/>
                <w:kern w:val="0"/>
                <w:sz w:val="26"/>
                <w:szCs w:val="26"/>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snapToGrid w:val="0"/>
                <w:color w:val="auto"/>
                <w:spacing w:val="4"/>
                <w:kern w:val="0"/>
                <w:sz w:val="26"/>
                <w:szCs w:val="26"/>
                <w:lang w:val="en-US" w:eastAsia="zh-CN" w:bidi="ar-SA"/>
              </w:rPr>
            </w:pPr>
          </w:p>
        </w:tc>
        <w:tc>
          <w:tcPr>
            <w:tcW w:w="810" w:type="dxa"/>
            <w:vAlign w:val="top"/>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default" w:ascii="Times New Roman" w:hAnsi="Times New Roman" w:eastAsia="方正仿宋_GBK" w:cs="Times New Roman"/>
                <w:color w:val="auto"/>
                <w:sz w:val="26"/>
                <w:szCs w:val="26"/>
              </w:rPr>
            </w:pPr>
          </w:p>
        </w:tc>
        <w:tc>
          <w:tcPr>
            <w:tcW w:w="1320" w:type="dxa"/>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pacing w:val="4"/>
                <w:sz w:val="26"/>
                <w:szCs w:val="26"/>
              </w:rPr>
              <w:t>本合同生效后</w:t>
            </w:r>
            <w:r>
              <w:rPr>
                <w:rFonts w:hint="default" w:ascii="Times New Roman" w:hAnsi="Times New Roman" w:eastAsia="方正仿宋_GBK" w:cs="Times New Roman"/>
                <w:color w:val="auto"/>
                <w:spacing w:val="-34"/>
                <w:sz w:val="26"/>
                <w:szCs w:val="26"/>
              </w:rPr>
              <w:t xml:space="preserve"> </w:t>
            </w:r>
            <w:r>
              <w:rPr>
                <w:rFonts w:hint="default" w:ascii="Times New Roman" w:hAnsi="Times New Roman" w:eastAsia="方正仿宋_GBK" w:cs="Times New Roman"/>
                <w:color w:val="auto"/>
                <w:spacing w:val="4"/>
                <w:sz w:val="26"/>
                <w:szCs w:val="26"/>
              </w:rPr>
              <w:t>30</w:t>
            </w:r>
            <w:r>
              <w:rPr>
                <w:rFonts w:hint="default" w:ascii="Times New Roman" w:hAnsi="Times New Roman" w:eastAsia="方正仿宋_GBK" w:cs="Times New Roman"/>
                <w:color w:val="auto"/>
                <w:spacing w:val="-32"/>
                <w:sz w:val="26"/>
                <w:szCs w:val="26"/>
              </w:rPr>
              <w:t xml:space="preserve"> </w:t>
            </w:r>
            <w:r>
              <w:rPr>
                <w:rFonts w:hint="default" w:ascii="Times New Roman" w:hAnsi="Times New Roman" w:eastAsia="方正仿宋_GBK" w:cs="Times New Roman"/>
                <w:color w:val="auto"/>
                <w:spacing w:val="4"/>
                <w:sz w:val="26"/>
                <w:szCs w:val="26"/>
              </w:rPr>
              <w:t>个</w:t>
            </w:r>
            <w:r>
              <w:rPr>
                <w:rFonts w:hint="default" w:ascii="Times New Roman" w:hAnsi="Times New Roman" w:eastAsia="方正仿宋_GBK" w:cs="Times New Roman"/>
                <w:color w:val="auto"/>
                <w:sz w:val="26"/>
                <w:szCs w:val="26"/>
              </w:rPr>
              <w:t xml:space="preserve"> </w:t>
            </w:r>
            <w:r>
              <w:rPr>
                <w:rFonts w:hint="default" w:ascii="Times New Roman" w:hAnsi="Times New Roman" w:eastAsia="方正仿宋_GBK" w:cs="Times New Roman"/>
                <w:color w:val="auto"/>
                <w:spacing w:val="-10"/>
                <w:sz w:val="26"/>
                <w:szCs w:val="26"/>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9540" w:type="dxa"/>
            <w:gridSpan w:val="7"/>
            <w:vAlign w:val="top"/>
          </w:tcPr>
          <w:p>
            <w:pPr>
              <w:pStyle w:val="111"/>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left"/>
              <w:textAlignment w:val="baseline"/>
              <w:outlineLvl w:val="9"/>
              <w:rPr>
                <w:color w:val="auto"/>
                <w:sz w:val="26"/>
                <w:szCs w:val="26"/>
              </w:rPr>
            </w:pPr>
            <w:r>
              <w:rPr>
                <w:color w:val="auto"/>
                <w:spacing w:val="6"/>
                <w:sz w:val="26"/>
                <w:szCs w:val="26"/>
              </w:rPr>
              <w:t>合计人民币（小写</w:t>
            </w:r>
            <w:r>
              <w:rPr>
                <w:color w:val="auto"/>
                <w:spacing w:val="-12"/>
                <w:sz w:val="26"/>
                <w:szCs w:val="26"/>
              </w:rPr>
              <w:t>）</w:t>
            </w:r>
            <w:r>
              <w:rPr>
                <w:color w:val="auto"/>
                <w:spacing w:val="-60"/>
                <w:sz w:val="26"/>
                <w:szCs w:val="26"/>
              </w:rPr>
              <w:t xml:space="preserve"> </w:t>
            </w:r>
            <w:r>
              <w:rPr>
                <w:color w:val="auto"/>
                <w:spacing w:val="-12"/>
                <w:sz w:val="26"/>
                <w:szCs w:val="26"/>
              </w:rPr>
              <w:t>：</w:t>
            </w:r>
            <w:r>
              <w:rPr>
                <w:color w:val="auto"/>
                <w:spacing w:val="2"/>
                <w:sz w:val="26"/>
                <w:szCs w:val="26"/>
              </w:rPr>
              <w:t xml:space="preserve">   </w:t>
            </w:r>
            <w:r>
              <w:rPr>
                <w:color w:val="auto"/>
                <w:spacing w:val="6"/>
                <w:sz w:val="26"/>
                <w:szCs w:val="26"/>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9540" w:type="dxa"/>
            <w:gridSpan w:val="7"/>
            <w:vAlign w:val="top"/>
          </w:tcPr>
          <w:p>
            <w:pPr>
              <w:pStyle w:val="111"/>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left"/>
              <w:textAlignment w:val="baseline"/>
              <w:outlineLvl w:val="9"/>
              <w:rPr>
                <w:color w:val="auto"/>
                <w:sz w:val="26"/>
                <w:szCs w:val="26"/>
              </w:rPr>
            </w:pPr>
            <w:r>
              <w:rPr>
                <w:color w:val="auto"/>
                <w:spacing w:val="5"/>
                <w:sz w:val="26"/>
                <w:szCs w:val="26"/>
              </w:rPr>
              <w:t>合计人民币（大写</w:t>
            </w:r>
            <w:r>
              <w:rPr>
                <w:color w:val="auto"/>
                <w:spacing w:val="-10"/>
                <w:sz w:val="26"/>
                <w:szCs w:val="26"/>
              </w:rPr>
              <w:t>）</w:t>
            </w:r>
            <w:r>
              <w:rPr>
                <w:color w:val="auto"/>
                <w:spacing w:val="-59"/>
                <w:sz w:val="26"/>
                <w:szCs w:val="26"/>
              </w:rPr>
              <w:t xml:space="preserve"> </w:t>
            </w:r>
            <w:r>
              <w:rPr>
                <w:color w:val="auto"/>
                <w:spacing w:val="-10"/>
                <w:sz w:val="26"/>
                <w:szCs w:val="26"/>
              </w:rPr>
              <w:t>：</w:t>
            </w:r>
            <w:r>
              <w:rPr>
                <w:color w:val="auto"/>
                <w:spacing w:val="2"/>
                <w:sz w:val="26"/>
                <w:szCs w:val="26"/>
              </w:rPr>
              <w:t xml:space="preserve"> </w:t>
            </w:r>
            <w:r>
              <w:rPr>
                <w:rFonts w:hint="eastAsia"/>
                <w:color w:val="auto"/>
                <w:spacing w:val="2"/>
                <w:sz w:val="26"/>
                <w:szCs w:val="26"/>
                <w:lang w:val="en-US" w:eastAsia="zh-CN"/>
              </w:rPr>
              <w:t xml:space="preserve">   </w:t>
            </w:r>
            <w:r>
              <w:rPr>
                <w:color w:val="auto"/>
                <w:spacing w:val="5"/>
                <w:sz w:val="26"/>
                <w:szCs w:val="26"/>
              </w:rPr>
              <w:t>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9540" w:type="dxa"/>
            <w:gridSpan w:val="7"/>
            <w:vAlign w:val="top"/>
          </w:tcPr>
          <w:p>
            <w:pPr>
              <w:pStyle w:val="111"/>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left"/>
              <w:textAlignment w:val="baseline"/>
              <w:outlineLvl w:val="9"/>
              <w:rPr>
                <w:color w:val="auto"/>
                <w:spacing w:val="5"/>
                <w:sz w:val="26"/>
                <w:szCs w:val="26"/>
              </w:rPr>
            </w:pPr>
            <w:r>
              <w:rPr>
                <w:color w:val="auto"/>
                <w:spacing w:val="4"/>
                <w:sz w:val="26"/>
                <w:szCs w:val="26"/>
              </w:rPr>
              <w:t>交货地点</w:t>
            </w:r>
            <w:r>
              <w:rPr>
                <w:rFonts w:hint="eastAsia"/>
                <w:color w:val="auto"/>
                <w:spacing w:val="4"/>
                <w:sz w:val="26"/>
                <w:szCs w:val="26"/>
                <w:lang w:eastAsia="zh-CN"/>
              </w:rPr>
              <w:t>：</w:t>
            </w:r>
            <w:r>
              <w:rPr>
                <w:color w:val="auto"/>
                <w:spacing w:val="-1"/>
                <w:sz w:val="26"/>
                <w:szCs w:val="26"/>
              </w:rPr>
              <w:t>甲方指定</w:t>
            </w:r>
            <w:r>
              <w:rPr>
                <w:color w:val="auto"/>
                <w:spacing w:val="1"/>
                <w:sz w:val="26"/>
                <w:szCs w:val="26"/>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82" w:hRule="exact"/>
        </w:trPr>
        <w:tc>
          <w:tcPr>
            <w:tcW w:w="9540" w:type="dxa"/>
            <w:gridSpan w:val="7"/>
            <w:vAlign w:val="top"/>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56" w:firstLineChars="200"/>
              <w:jc w:val="left"/>
              <w:textAlignment w:val="baseline"/>
              <w:outlineLvl w:val="9"/>
              <w:rPr>
                <w:rFonts w:hint="default" w:ascii="Times New Roman" w:hAnsi="Times New Roman" w:cs="Times New Roman"/>
                <w:color w:val="auto"/>
                <w:spacing w:val="7"/>
                <w:sz w:val="26"/>
                <w:szCs w:val="26"/>
              </w:rPr>
            </w:pPr>
            <w:r>
              <w:rPr>
                <w:rFonts w:hint="default" w:ascii="Times New Roman" w:hAnsi="Times New Roman" w:eastAsia="方正黑体_GBK" w:cs="Times New Roman"/>
                <w:color w:val="auto"/>
                <w:spacing w:val="9"/>
                <w:sz w:val="26"/>
                <w:szCs w:val="26"/>
              </w:rPr>
              <w:t>一、质量要求和技术标准。</w:t>
            </w:r>
            <w:r>
              <w:rPr>
                <w:rFonts w:hint="default" w:ascii="Times New Roman" w:hAnsi="Times New Roman" w:cs="Times New Roman"/>
                <w:color w:val="auto"/>
                <w:spacing w:val="9"/>
                <w:sz w:val="26"/>
                <w:szCs w:val="26"/>
              </w:rPr>
              <w:t>乙方提供的商品必须是全新的，完全符合国家有关技术标准，乙方</w:t>
            </w:r>
            <w:r>
              <w:rPr>
                <w:rFonts w:hint="default" w:ascii="Times New Roman" w:hAnsi="Times New Roman" w:cs="Times New Roman"/>
                <w:color w:val="auto"/>
                <w:spacing w:val="7"/>
                <w:sz w:val="26"/>
                <w:szCs w:val="26"/>
              </w:rPr>
              <w:t>的质量保证及售后服务承诺如下：</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8" w:firstLineChars="200"/>
              <w:jc w:val="left"/>
              <w:textAlignment w:val="baseline"/>
              <w:outlineLvl w:val="9"/>
              <w:rPr>
                <w:rFonts w:hint="default" w:ascii="Times New Roman" w:hAnsi="Times New Roman" w:eastAsia="方正楷体_GBK" w:cs="Times New Roman"/>
                <w:color w:val="auto"/>
                <w:sz w:val="26"/>
                <w:szCs w:val="26"/>
              </w:rPr>
            </w:pPr>
            <w:r>
              <w:rPr>
                <w:rFonts w:hint="default" w:ascii="Times New Roman" w:hAnsi="Times New Roman" w:eastAsia="方正楷体_GBK" w:cs="Times New Roman"/>
                <w:color w:val="auto"/>
                <w:spacing w:val="7"/>
                <w:sz w:val="26"/>
                <w:szCs w:val="26"/>
              </w:rPr>
              <w:t>（一）产品质量保证期</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8" w:firstLineChars="200"/>
              <w:jc w:val="left"/>
              <w:textAlignment w:val="baseline"/>
              <w:outlineLvl w:val="9"/>
              <w:rPr>
                <w:rFonts w:hint="default" w:ascii="Times New Roman" w:hAnsi="Times New Roman" w:cs="Times New Roman"/>
                <w:color w:val="auto"/>
                <w:sz w:val="26"/>
                <w:szCs w:val="26"/>
              </w:rPr>
            </w:pPr>
            <w:r>
              <w:rPr>
                <w:rFonts w:hint="default" w:ascii="Times New Roman" w:hAnsi="Times New Roman" w:cs="Times New Roman"/>
                <w:color w:val="auto"/>
                <w:spacing w:val="7"/>
                <w:sz w:val="26"/>
                <w:szCs w:val="26"/>
              </w:rPr>
              <w:t>1.</w:t>
            </w:r>
            <w:r>
              <w:rPr>
                <w:rFonts w:hint="eastAsia" w:ascii="Times New Roman" w:hAnsi="Times New Roman" w:cs="Times New Roman"/>
                <w:color w:val="auto"/>
                <w:spacing w:val="7"/>
                <w:sz w:val="26"/>
                <w:szCs w:val="26"/>
                <w:lang w:eastAsia="zh-CN"/>
              </w:rPr>
              <w:t>乙方</w:t>
            </w:r>
            <w:r>
              <w:rPr>
                <w:rFonts w:hint="default" w:ascii="Times New Roman" w:hAnsi="Times New Roman" w:cs="Times New Roman"/>
                <w:color w:val="auto"/>
                <w:spacing w:val="7"/>
                <w:sz w:val="26"/>
                <w:szCs w:val="26"/>
              </w:rPr>
              <w:t>所</w:t>
            </w:r>
            <w:r>
              <w:rPr>
                <w:rFonts w:hint="eastAsia" w:ascii="Times New Roman" w:hAnsi="Times New Roman" w:cs="Times New Roman"/>
                <w:color w:val="auto"/>
                <w:spacing w:val="7"/>
                <w:sz w:val="26"/>
                <w:szCs w:val="26"/>
                <w:lang w:val="en-US" w:eastAsia="zh-CN"/>
              </w:rPr>
              <w:t>售</w:t>
            </w:r>
            <w:r>
              <w:rPr>
                <w:rFonts w:hint="default" w:ascii="Times New Roman" w:hAnsi="Times New Roman" w:cs="Times New Roman"/>
                <w:color w:val="auto"/>
                <w:spacing w:val="7"/>
                <w:sz w:val="26"/>
                <w:szCs w:val="26"/>
              </w:rPr>
              <w:t>产品质量保证期不低于</w:t>
            </w:r>
            <w:r>
              <w:rPr>
                <w:rFonts w:hint="default" w:ascii="Times New Roman" w:hAnsi="Times New Roman" w:cs="Times New Roman"/>
                <w:color w:val="auto"/>
                <w:spacing w:val="-22"/>
                <w:sz w:val="26"/>
                <w:szCs w:val="26"/>
              </w:rPr>
              <w:t xml:space="preserve"> </w:t>
            </w:r>
            <w:r>
              <w:rPr>
                <w:rFonts w:hint="default" w:ascii="Times New Roman" w:hAnsi="Times New Roman" w:cs="Times New Roman"/>
                <w:color w:val="auto"/>
                <w:spacing w:val="7"/>
                <w:sz w:val="26"/>
                <w:szCs w:val="26"/>
              </w:rPr>
              <w:t>1</w:t>
            </w:r>
            <w:r>
              <w:rPr>
                <w:rFonts w:hint="default" w:ascii="Times New Roman" w:hAnsi="Times New Roman" w:cs="Times New Roman"/>
                <w:color w:val="auto"/>
                <w:spacing w:val="-31"/>
                <w:sz w:val="26"/>
                <w:szCs w:val="26"/>
              </w:rPr>
              <w:t xml:space="preserve"> </w:t>
            </w:r>
            <w:r>
              <w:rPr>
                <w:rFonts w:hint="default" w:ascii="Times New Roman" w:hAnsi="Times New Roman" w:cs="Times New Roman"/>
                <w:color w:val="auto"/>
                <w:spacing w:val="7"/>
                <w:sz w:val="26"/>
                <w:szCs w:val="26"/>
              </w:rPr>
              <w:t>年（自验收</w:t>
            </w:r>
            <w:r>
              <w:rPr>
                <w:rFonts w:hint="default" w:ascii="Times New Roman" w:hAnsi="Times New Roman" w:cs="Times New Roman"/>
                <w:color w:val="auto"/>
                <w:spacing w:val="6"/>
                <w:sz w:val="26"/>
                <w:szCs w:val="26"/>
              </w:rPr>
              <w:t>合格之日起计算）。</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52" w:firstLineChars="200"/>
              <w:jc w:val="left"/>
              <w:textAlignment w:val="baseline"/>
              <w:outlineLvl w:val="9"/>
              <w:rPr>
                <w:rFonts w:hint="default" w:ascii="Times New Roman" w:hAnsi="Times New Roman" w:cs="Times New Roman"/>
                <w:color w:val="auto"/>
                <w:sz w:val="26"/>
                <w:szCs w:val="26"/>
              </w:rPr>
            </w:pPr>
            <w:r>
              <w:rPr>
                <w:rFonts w:hint="default" w:ascii="Times New Roman" w:hAnsi="Times New Roman" w:cs="Times New Roman"/>
                <w:color w:val="auto"/>
                <w:spacing w:val="8"/>
                <w:sz w:val="26"/>
                <w:szCs w:val="26"/>
              </w:rPr>
              <w:t>2.</w:t>
            </w:r>
            <w:r>
              <w:rPr>
                <w:rFonts w:hint="eastAsia" w:ascii="Times New Roman" w:hAnsi="Times New Roman" w:cs="Times New Roman"/>
                <w:color w:val="auto"/>
                <w:spacing w:val="8"/>
                <w:sz w:val="26"/>
                <w:szCs w:val="26"/>
                <w:lang w:val="en-US" w:eastAsia="zh-CN"/>
              </w:rPr>
              <w:t>出售</w:t>
            </w:r>
            <w:r>
              <w:rPr>
                <w:rFonts w:hint="default" w:ascii="Times New Roman" w:hAnsi="Times New Roman" w:cs="Times New Roman"/>
                <w:color w:val="auto"/>
                <w:spacing w:val="8"/>
                <w:sz w:val="26"/>
                <w:szCs w:val="26"/>
              </w:rPr>
              <w:t>产品属于国家规定“三包</w:t>
            </w:r>
            <w:r>
              <w:rPr>
                <w:rFonts w:hint="default" w:ascii="Times New Roman" w:hAnsi="Times New Roman" w:cs="Times New Roman"/>
                <w:color w:val="auto"/>
                <w:spacing w:val="-70"/>
                <w:sz w:val="26"/>
                <w:szCs w:val="26"/>
              </w:rPr>
              <w:t xml:space="preserve"> </w:t>
            </w:r>
            <w:r>
              <w:rPr>
                <w:rFonts w:hint="default" w:ascii="Times New Roman" w:hAnsi="Times New Roman" w:cs="Times New Roman"/>
                <w:color w:val="auto"/>
                <w:spacing w:val="8"/>
                <w:sz w:val="26"/>
                <w:szCs w:val="26"/>
              </w:rPr>
              <w:t>”范围的，其产</w:t>
            </w:r>
            <w:r>
              <w:rPr>
                <w:rFonts w:hint="default" w:ascii="Times New Roman" w:hAnsi="Times New Roman" w:cs="Times New Roman"/>
                <w:color w:val="auto"/>
                <w:spacing w:val="7"/>
                <w:sz w:val="26"/>
                <w:szCs w:val="26"/>
              </w:rPr>
              <w:t>品质量保证期不得低于</w:t>
            </w:r>
            <w:r>
              <w:rPr>
                <w:rFonts w:hint="eastAsia" w:ascii="Times New Roman" w:hAnsi="Times New Roman" w:cs="Times New Roman"/>
                <w:color w:val="auto"/>
                <w:spacing w:val="7"/>
                <w:sz w:val="26"/>
                <w:szCs w:val="26"/>
                <w:lang w:eastAsia="zh-CN"/>
              </w:rPr>
              <w:t>“</w:t>
            </w:r>
            <w:r>
              <w:rPr>
                <w:rFonts w:hint="default" w:ascii="Times New Roman" w:hAnsi="Times New Roman" w:cs="Times New Roman"/>
                <w:color w:val="auto"/>
                <w:spacing w:val="7"/>
                <w:sz w:val="26"/>
                <w:szCs w:val="26"/>
              </w:rPr>
              <w:t>三包</w:t>
            </w:r>
            <w:r>
              <w:rPr>
                <w:rFonts w:hint="default" w:ascii="Times New Roman" w:hAnsi="Times New Roman" w:cs="Times New Roman"/>
                <w:color w:val="auto"/>
                <w:spacing w:val="-70"/>
                <w:sz w:val="26"/>
                <w:szCs w:val="26"/>
              </w:rPr>
              <w:t xml:space="preserve"> </w:t>
            </w:r>
            <w:r>
              <w:rPr>
                <w:rFonts w:hint="eastAsia" w:ascii="Times New Roman" w:hAnsi="Times New Roman" w:cs="Times New Roman"/>
                <w:color w:val="auto"/>
                <w:spacing w:val="7"/>
                <w:sz w:val="26"/>
                <w:szCs w:val="26"/>
                <w:lang w:eastAsia="zh-CN"/>
              </w:rPr>
              <w:t>”</w:t>
            </w:r>
            <w:r>
              <w:rPr>
                <w:rFonts w:hint="default" w:ascii="Times New Roman" w:hAnsi="Times New Roman" w:cs="Times New Roman"/>
                <w:color w:val="auto"/>
                <w:spacing w:val="7"/>
                <w:sz w:val="26"/>
                <w:szCs w:val="26"/>
              </w:rPr>
              <w:t>规定。</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52" w:firstLineChars="200"/>
              <w:jc w:val="left"/>
              <w:textAlignment w:val="baseline"/>
              <w:outlineLvl w:val="9"/>
              <w:rPr>
                <w:rFonts w:hint="eastAsia" w:ascii="Times New Roman" w:hAnsi="Times New Roman" w:cs="Times New Roman"/>
                <w:color w:val="auto"/>
                <w:spacing w:val="8"/>
                <w:sz w:val="26"/>
                <w:szCs w:val="26"/>
                <w:lang w:val="en-US" w:eastAsia="zh-CN"/>
              </w:rPr>
            </w:pPr>
            <w:r>
              <w:rPr>
                <w:rFonts w:hint="default" w:ascii="Times New Roman" w:hAnsi="Times New Roman" w:cs="Times New Roman"/>
                <w:color w:val="auto"/>
                <w:spacing w:val="8"/>
                <w:sz w:val="26"/>
                <w:szCs w:val="26"/>
              </w:rPr>
              <w:t>3.</w:t>
            </w:r>
            <w:r>
              <w:rPr>
                <w:rFonts w:hint="eastAsia" w:ascii="Times New Roman" w:hAnsi="Times New Roman" w:cs="Times New Roman"/>
                <w:color w:val="auto"/>
                <w:spacing w:val="8"/>
                <w:sz w:val="26"/>
                <w:szCs w:val="26"/>
                <w:lang w:eastAsia="zh-CN"/>
              </w:rPr>
              <w:t>乙方</w:t>
            </w:r>
            <w:r>
              <w:rPr>
                <w:rFonts w:hint="default" w:ascii="Times New Roman" w:hAnsi="Times New Roman" w:cs="Times New Roman"/>
                <w:color w:val="auto"/>
                <w:spacing w:val="8"/>
                <w:sz w:val="26"/>
                <w:szCs w:val="26"/>
              </w:rPr>
              <w:t>的质量保证期承诺优于国家“三包</w:t>
            </w:r>
            <w:r>
              <w:rPr>
                <w:rFonts w:hint="default" w:ascii="Times New Roman" w:hAnsi="Times New Roman" w:cs="Times New Roman"/>
                <w:color w:val="auto"/>
                <w:spacing w:val="-63"/>
                <w:sz w:val="26"/>
                <w:szCs w:val="26"/>
              </w:rPr>
              <w:t xml:space="preserve"> </w:t>
            </w:r>
            <w:r>
              <w:rPr>
                <w:rFonts w:hint="default" w:ascii="Times New Roman" w:hAnsi="Times New Roman" w:cs="Times New Roman"/>
                <w:color w:val="auto"/>
                <w:spacing w:val="8"/>
                <w:sz w:val="26"/>
                <w:szCs w:val="26"/>
              </w:rPr>
              <w:t>”规定的，按</w:t>
            </w:r>
            <w:r>
              <w:rPr>
                <w:rFonts w:hint="eastAsia" w:ascii="Times New Roman" w:hAnsi="Times New Roman" w:cs="Times New Roman"/>
                <w:color w:val="auto"/>
                <w:spacing w:val="8"/>
                <w:sz w:val="26"/>
                <w:szCs w:val="26"/>
                <w:lang w:eastAsia="zh-CN"/>
              </w:rPr>
              <w:t>乙方</w:t>
            </w:r>
            <w:r>
              <w:rPr>
                <w:rFonts w:hint="default" w:ascii="Times New Roman" w:hAnsi="Times New Roman" w:cs="Times New Roman"/>
                <w:color w:val="auto"/>
                <w:spacing w:val="8"/>
                <w:sz w:val="26"/>
                <w:szCs w:val="26"/>
              </w:rPr>
              <w:t>实际承诺执行。</w:t>
            </w:r>
            <w:r>
              <w:rPr>
                <w:rFonts w:hint="eastAsia" w:ascii="Times New Roman" w:hAnsi="Times New Roman" w:cs="Times New Roman"/>
                <w:color w:val="auto"/>
                <w:spacing w:val="8"/>
                <w:sz w:val="26"/>
                <w:szCs w:val="26"/>
                <w:lang w:val="en-US" w:eastAsia="zh-CN"/>
              </w:rPr>
              <w:t xml:space="preserve">  </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8"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楷体_GBK" w:cs="Times New Roman"/>
                <w:color w:val="auto"/>
                <w:spacing w:val="7"/>
                <w:sz w:val="26"/>
                <w:szCs w:val="26"/>
              </w:rPr>
              <w:t>（二）售后服务内容</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56" w:firstLineChars="200"/>
              <w:jc w:val="left"/>
              <w:textAlignment w:val="baseline"/>
              <w:outlineLvl w:val="9"/>
              <w:rPr>
                <w:rFonts w:hint="default" w:ascii="Times New Roman" w:hAnsi="Times New Roman" w:eastAsia="方正仿宋_GBK" w:cs="Times New Roman"/>
                <w:color w:val="auto"/>
                <w:spacing w:val="8"/>
                <w:sz w:val="26"/>
                <w:szCs w:val="26"/>
              </w:rPr>
            </w:pPr>
            <w:r>
              <w:rPr>
                <w:rFonts w:hint="eastAsia" w:ascii="Times New Roman" w:hAnsi="Times New Roman" w:eastAsia="方正仿宋_GBK" w:cs="Times New Roman"/>
                <w:color w:val="auto"/>
                <w:spacing w:val="9"/>
                <w:sz w:val="26"/>
                <w:szCs w:val="26"/>
                <w:lang w:val="en-US" w:eastAsia="zh-CN"/>
              </w:rPr>
              <w:t xml:space="preserve">  </w:t>
            </w:r>
            <w:r>
              <w:rPr>
                <w:rFonts w:hint="default" w:ascii="Times New Roman" w:hAnsi="Times New Roman" w:eastAsia="方正仿宋_GBK" w:cs="Times New Roman"/>
                <w:color w:val="auto"/>
                <w:spacing w:val="9"/>
                <w:sz w:val="26"/>
                <w:szCs w:val="26"/>
              </w:rPr>
              <w:t>1.</w:t>
            </w:r>
            <w:r>
              <w:rPr>
                <w:rFonts w:hint="eastAsia" w:ascii="Times New Roman" w:hAnsi="Times New Roman" w:eastAsia="方正仿宋_GBK" w:cs="Times New Roman"/>
                <w:color w:val="auto"/>
                <w:spacing w:val="9"/>
                <w:sz w:val="26"/>
                <w:szCs w:val="26"/>
                <w:lang w:eastAsia="zh-CN"/>
              </w:rPr>
              <w:t>乙方</w:t>
            </w:r>
            <w:r>
              <w:rPr>
                <w:rFonts w:hint="default" w:ascii="Times New Roman" w:hAnsi="Times New Roman" w:eastAsia="方正仿宋_GBK" w:cs="Times New Roman"/>
                <w:color w:val="auto"/>
                <w:spacing w:val="9"/>
                <w:sz w:val="26"/>
                <w:szCs w:val="26"/>
              </w:rPr>
              <w:t>或其产品制造商在质量保证期内应当为</w:t>
            </w:r>
            <w:r>
              <w:rPr>
                <w:rFonts w:hint="eastAsia" w:ascii="Times New Roman" w:hAnsi="Times New Roman" w:eastAsia="方正仿宋_GBK" w:cs="Times New Roman"/>
                <w:color w:val="auto"/>
                <w:spacing w:val="9"/>
                <w:sz w:val="26"/>
                <w:szCs w:val="26"/>
                <w:lang w:eastAsia="zh-CN"/>
              </w:rPr>
              <w:t>甲方</w:t>
            </w:r>
            <w:r>
              <w:rPr>
                <w:rFonts w:hint="default" w:ascii="Times New Roman" w:hAnsi="Times New Roman" w:eastAsia="方正仿宋_GBK" w:cs="Times New Roman"/>
                <w:color w:val="auto"/>
                <w:spacing w:val="9"/>
                <w:sz w:val="26"/>
                <w:szCs w:val="26"/>
              </w:rPr>
              <w:t>提供以下</w:t>
            </w:r>
            <w:r>
              <w:rPr>
                <w:rFonts w:hint="default" w:ascii="Times New Roman" w:hAnsi="Times New Roman" w:eastAsia="方正仿宋_GBK" w:cs="Times New Roman"/>
                <w:color w:val="auto"/>
                <w:spacing w:val="8"/>
                <w:sz w:val="26"/>
                <w:szCs w:val="26"/>
              </w:rPr>
              <w:t>技术支持和服务：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eastAsia" w:ascii="Times New Roman" w:hAnsi="Times New Roman" w:eastAsia="方正仿宋_GBK" w:cs="Times New Roman"/>
                <w:color w:val="auto"/>
                <w:sz w:val="26"/>
                <w:szCs w:val="26"/>
                <w:lang w:val="en-US" w:eastAsia="zh-CN"/>
              </w:rPr>
              <w:t xml:space="preserve"> </w:t>
            </w:r>
            <w:r>
              <w:rPr>
                <w:rFonts w:hint="default" w:ascii="Times New Roman" w:hAnsi="Times New Roman" w:eastAsia="方正仿宋_GBK" w:cs="Times New Roman"/>
                <w:color w:val="auto"/>
                <w:sz w:val="26"/>
                <w:szCs w:val="26"/>
              </w:rPr>
              <w:t>（1） 电话咨询</w:t>
            </w:r>
          </w:p>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或其产品制造商应当为</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提供技术援助电话，解答</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在使用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中遇到的问题，及时为</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提出解决问题的建议。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（2）现场响应</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遇到使用及技术问题</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产品遇到故障和质量问题， 电话咨询不能解决的，</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或 其产品制造商应在 12 小时内到达现场进行处理，如 12 小时内无法解决的，应在 24 小时内提供备用产品，确保</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正常使用。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（3）技术升级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在质保期内，如果</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或其产品制造商的产品技术升级，</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应及时通知</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如</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有相应要求，</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或其产品制造商应对</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购买的产品提供免费升级服务。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2.质保期外服务要求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（1）质量保证期过后，</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或其产品制造商应同样提供免费电话咨询服务，并应承诺提供产品上门维护服务。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（2）质量保证期过后，</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需要继续由</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或其产品制造商提供售后服务的，该</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或其产品制造商应以优惠价格提供售后服务。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eastAsia" w:ascii="方正楷体_GBK" w:hAnsi="方正楷体_GBK" w:eastAsia="方正楷体_GBK" w:cs="方正楷体_GBK"/>
                <w:color w:val="auto"/>
                <w:sz w:val="26"/>
                <w:szCs w:val="26"/>
              </w:rPr>
            </w:pPr>
            <w:r>
              <w:rPr>
                <w:rFonts w:hint="eastAsia" w:ascii="方正楷体_GBK" w:hAnsi="方正楷体_GBK" w:eastAsia="方正楷体_GBK" w:cs="方正楷体_GBK"/>
                <w:color w:val="auto"/>
                <w:sz w:val="26"/>
                <w:szCs w:val="26"/>
              </w:rPr>
              <w:t>（三）备品备件及易损件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color w:val="auto"/>
              </w:rPr>
            </w:pP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或其产品制造商售后服务中，维修使用的备品备件及易损件应为原厂配件，未经</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同意不得使用非原厂配件。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9540"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0" w:firstLineChars="200"/>
              <w:jc w:val="both"/>
              <w:textAlignment w:val="baseline"/>
              <w:outlineLvl w:val="9"/>
              <w:rPr>
                <w:rFonts w:hint="eastAsia" w:ascii="方正黑体_GBK" w:hAnsi="方正黑体_GBK" w:eastAsia="方正黑体_GBK" w:cs="方正黑体_GBK"/>
                <w:snapToGrid w:val="0"/>
                <w:color w:val="auto"/>
                <w:spacing w:val="5"/>
                <w:kern w:val="0"/>
                <w:sz w:val="26"/>
                <w:szCs w:val="26"/>
                <w:lang w:val="en-US" w:eastAsia="en-US" w:bidi="ar-SA"/>
              </w:rPr>
            </w:pPr>
            <w:r>
              <w:rPr>
                <w:rFonts w:hint="eastAsia" w:ascii="方正黑体_GBK" w:hAnsi="方正黑体_GBK" w:eastAsia="方正黑体_GBK" w:cs="方正黑体_GBK"/>
                <w:snapToGrid w:val="0"/>
                <w:color w:val="auto"/>
                <w:spacing w:val="5"/>
                <w:kern w:val="0"/>
                <w:sz w:val="26"/>
                <w:szCs w:val="26"/>
                <w:lang w:val="en-US" w:eastAsia="en-US" w:bidi="ar-SA"/>
              </w:rPr>
              <w:t>二、随机备品、附件、工具数量及供应方法</w:t>
            </w:r>
            <w:r>
              <w:rPr>
                <w:rFonts w:hint="eastAsia" w:ascii="方正黑体_GBK" w:hAnsi="方正黑体_GBK" w:eastAsia="方正黑体_GBK" w:cs="方正黑体_GBK"/>
                <w:snapToGrid w:val="0"/>
                <w:color w:val="auto"/>
                <w:spacing w:val="5"/>
                <w:kern w:val="0"/>
                <w:sz w:val="26"/>
                <w:szCs w:val="26"/>
                <w:lang w:val="en-US" w:eastAsia="zh-CN" w:bidi="ar-SA"/>
              </w:rPr>
              <w:t>。</w:t>
            </w:r>
            <w:r>
              <w:rPr>
                <w:rFonts w:hint="eastAsia" w:ascii="Times New Roman" w:hAnsi="Times New Roman" w:eastAsia="方正仿宋_GBK" w:cs="Times New Roman"/>
                <w:color w:val="auto"/>
                <w:sz w:val="26"/>
                <w:szCs w:val="26"/>
                <w:lang w:val="en-US" w:eastAsia="en-US"/>
              </w:rPr>
              <w:t>按出厂标准。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9540"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0" w:firstLineChars="200"/>
              <w:jc w:val="both"/>
              <w:textAlignment w:val="baseline"/>
              <w:outlineLvl w:val="9"/>
              <w:rPr>
                <w:rFonts w:hint="eastAsia" w:ascii="方正黑体_GBK" w:hAnsi="方正黑体_GBK" w:eastAsia="方正黑体_GBK" w:cs="方正黑体_GBK"/>
                <w:snapToGrid w:val="0"/>
                <w:color w:val="auto"/>
                <w:spacing w:val="5"/>
                <w:kern w:val="0"/>
                <w:sz w:val="26"/>
                <w:szCs w:val="26"/>
                <w:lang w:val="en-US" w:eastAsia="en-US" w:bidi="ar-SA"/>
              </w:rPr>
            </w:pPr>
            <w:r>
              <w:rPr>
                <w:rFonts w:hint="eastAsia" w:ascii="方正黑体_GBK" w:hAnsi="方正黑体_GBK" w:eastAsia="方正黑体_GBK" w:cs="方正黑体_GBK"/>
                <w:snapToGrid w:val="0"/>
                <w:color w:val="auto"/>
                <w:spacing w:val="5"/>
                <w:kern w:val="0"/>
                <w:sz w:val="26"/>
                <w:szCs w:val="26"/>
                <w:lang w:val="en-US" w:eastAsia="en-US" w:bidi="ar-SA"/>
              </w:rPr>
              <w:t>三、供货方式</w:t>
            </w:r>
            <w:r>
              <w:rPr>
                <w:rFonts w:hint="eastAsia" w:ascii="方正黑体_GBK" w:hAnsi="方正黑体_GBK" w:eastAsia="方正黑体_GBK" w:cs="方正黑体_GBK"/>
                <w:snapToGrid w:val="0"/>
                <w:color w:val="auto"/>
                <w:spacing w:val="5"/>
                <w:kern w:val="0"/>
                <w:sz w:val="26"/>
                <w:szCs w:val="26"/>
                <w:lang w:val="en-US" w:eastAsia="zh-CN" w:bidi="ar-SA"/>
              </w:rPr>
              <w:t>。</w:t>
            </w:r>
            <w:r>
              <w:rPr>
                <w:rFonts w:hint="eastAsia" w:ascii="Times New Roman" w:hAnsi="Times New Roman" w:eastAsia="方正仿宋_GBK" w:cs="Times New Roman"/>
                <w:color w:val="auto"/>
                <w:sz w:val="26"/>
                <w:szCs w:val="26"/>
                <w:lang w:val="en-US" w:eastAsia="zh-CN"/>
              </w:rPr>
              <w:t>乙方</w:t>
            </w:r>
            <w:r>
              <w:rPr>
                <w:rFonts w:hint="eastAsia" w:ascii="Times New Roman" w:hAnsi="Times New Roman" w:eastAsia="方正仿宋_GBK" w:cs="Times New Roman"/>
                <w:color w:val="auto"/>
                <w:sz w:val="26"/>
                <w:szCs w:val="26"/>
                <w:lang w:val="en-US" w:eastAsia="en-US"/>
              </w:rPr>
              <w:t>供货到</w:t>
            </w:r>
            <w:r>
              <w:rPr>
                <w:rFonts w:hint="eastAsia" w:ascii="Times New Roman" w:hAnsi="Times New Roman" w:eastAsia="方正仿宋_GBK" w:cs="Times New Roman"/>
                <w:color w:val="auto"/>
                <w:sz w:val="26"/>
                <w:szCs w:val="26"/>
                <w:lang w:val="en-US" w:eastAsia="zh-CN"/>
              </w:rPr>
              <w:t>甲方</w:t>
            </w:r>
            <w:r>
              <w:rPr>
                <w:rFonts w:hint="eastAsia" w:ascii="Times New Roman" w:hAnsi="Times New Roman" w:eastAsia="方正仿宋_GBK" w:cs="Times New Roman"/>
                <w:color w:val="auto"/>
                <w:sz w:val="26"/>
                <w:szCs w:val="26"/>
                <w:lang w:val="en-US" w:eastAsia="en-US"/>
              </w:rPr>
              <w:t>指定地点，并安装调试投入使用。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7" w:hRule="exact"/>
        </w:trPr>
        <w:tc>
          <w:tcPr>
            <w:tcW w:w="9540" w:type="dxa"/>
            <w:gridSpan w:val="7"/>
            <w:vAlign w:val="center"/>
          </w:tcPr>
          <w:p>
            <w:pPr>
              <w:pStyle w:val="11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0" w:firstLineChars="200"/>
              <w:jc w:val="left"/>
              <w:textAlignment w:val="baseline"/>
              <w:outlineLvl w:val="9"/>
              <w:rPr>
                <w:rFonts w:hint="eastAsia" w:ascii="方正黑体_GBK" w:hAnsi="方正黑体_GBK" w:eastAsia="方正黑体_GBK" w:cs="方正黑体_GBK"/>
                <w:snapToGrid w:val="0"/>
                <w:color w:val="auto"/>
                <w:spacing w:val="5"/>
                <w:kern w:val="0"/>
                <w:sz w:val="26"/>
                <w:szCs w:val="26"/>
                <w:lang w:val="en-US" w:eastAsia="en-US" w:bidi="ar-SA"/>
              </w:rPr>
            </w:pPr>
            <w:r>
              <w:rPr>
                <w:rFonts w:hint="eastAsia" w:ascii="方正黑体_GBK" w:hAnsi="方正黑体_GBK" w:eastAsia="方正黑体_GBK" w:cs="方正黑体_GBK"/>
                <w:snapToGrid w:val="0"/>
                <w:color w:val="auto"/>
                <w:spacing w:val="5"/>
                <w:kern w:val="0"/>
                <w:sz w:val="26"/>
                <w:szCs w:val="26"/>
                <w:lang w:val="en-US" w:eastAsia="en-US" w:bidi="ar-SA"/>
              </w:rPr>
              <w:t>四、安装标准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488" w:firstLineChars="200"/>
              <w:jc w:val="left"/>
              <w:textAlignment w:val="baseline"/>
              <w:outlineLvl w:val="9"/>
              <w:rPr>
                <w:rFonts w:hint="default" w:ascii="Times New Roman" w:hAnsi="Times New Roman" w:eastAsia="方正仿宋_GBK" w:cs="Times New Roman"/>
                <w:color w:val="auto"/>
                <w:sz w:val="26"/>
                <w:szCs w:val="26"/>
              </w:rPr>
            </w:pPr>
            <w:r>
              <w:rPr>
                <w:color w:val="auto"/>
                <w:spacing w:val="2"/>
              </w:rPr>
              <w:t>1</w:t>
            </w:r>
            <w:r>
              <w:rPr>
                <w:rFonts w:hint="eastAsia" w:eastAsia="宋体"/>
                <w:color w:val="auto"/>
                <w:spacing w:val="2"/>
                <w:lang w:val="en-US" w:eastAsia="zh-CN"/>
              </w:rPr>
              <w:t>.</w:t>
            </w:r>
            <w:r>
              <w:rPr>
                <w:rFonts w:hint="default" w:ascii="Times New Roman" w:hAnsi="Times New Roman" w:eastAsia="方正仿宋_GBK" w:cs="Times New Roman"/>
                <w:color w:val="auto"/>
                <w:sz w:val="26"/>
                <w:szCs w:val="26"/>
              </w:rPr>
              <w:t>选址</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（1）地址应由甲方指定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（2）阳光能直射在太阳能板上，立杆周边 5 米内无高大树木；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（3）避开地质松软、陡峭斜坡、路面高度差太大的台阶、居民房屋旁边等位置。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w:t>
            </w:r>
            <w:r>
              <w:rPr>
                <w:rFonts w:hint="eastAsia" w:ascii="Times New Roman" w:hAnsi="Times New Roman" w:eastAsia="方正仿宋_GBK" w:cs="Times New Roman"/>
                <w:color w:val="auto"/>
                <w:sz w:val="26"/>
                <w:szCs w:val="26"/>
                <w:lang w:val="en-US" w:eastAsia="zh-CN"/>
              </w:rPr>
              <w:t>.</w:t>
            </w:r>
            <w:r>
              <w:rPr>
                <w:rFonts w:hint="default" w:ascii="Times New Roman" w:hAnsi="Times New Roman" w:eastAsia="方正仿宋_GBK" w:cs="Times New Roman"/>
                <w:color w:val="auto"/>
                <w:sz w:val="26"/>
                <w:szCs w:val="26"/>
              </w:rPr>
              <w:t>地基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（1）基础坑尺寸：长 600mm，宽 600mm，深 800mm；</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（2）灌溉水泥，基础面与自然地面保持水平；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（3）地笼螺丝头露出水泥基础表面 30-40mm；</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（4）3-5 天后，待水泥基础干硬化后，再进行产品安装。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0" w:firstLineChars="200"/>
              <w:jc w:val="both"/>
              <w:textAlignment w:val="baseline"/>
              <w:outlineLvl w:val="9"/>
              <w:rPr>
                <w:rFonts w:hint="eastAsia" w:ascii="方正黑体_GBK" w:hAnsi="方正黑体_GBK" w:eastAsia="方正黑体_GBK" w:cs="方正黑体_GBK"/>
                <w:snapToGrid w:val="0"/>
                <w:color w:val="auto"/>
                <w:spacing w:val="5"/>
                <w:kern w:val="0"/>
                <w:sz w:val="26"/>
                <w:szCs w:val="26"/>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28" w:hRule="atLeast"/>
        </w:trPr>
        <w:tc>
          <w:tcPr>
            <w:tcW w:w="9540"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eastAsia" w:ascii="方正黑体_GBK" w:hAnsi="方正黑体_GBK" w:eastAsia="方正黑体_GBK" w:cs="方正黑体_GBK"/>
                <w:color w:val="auto"/>
                <w:sz w:val="26"/>
                <w:szCs w:val="26"/>
              </w:rPr>
            </w:pPr>
            <w:r>
              <w:rPr>
                <w:rFonts w:hint="eastAsia" w:ascii="方正黑体_GBK" w:hAnsi="方正黑体_GBK" w:eastAsia="方正黑体_GBK" w:cs="方正黑体_GBK"/>
                <w:color w:val="auto"/>
                <w:sz w:val="26"/>
                <w:szCs w:val="26"/>
              </w:rPr>
              <w:t>五、验收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eastAsia" w:ascii="方正楷体_GBK" w:hAnsi="方正楷体_GBK" w:eastAsia="方正楷体_GBK" w:cs="方正楷体_GBK"/>
                <w:color w:val="auto"/>
                <w:sz w:val="26"/>
                <w:szCs w:val="26"/>
              </w:rPr>
            </w:pPr>
            <w:r>
              <w:rPr>
                <w:rFonts w:hint="eastAsia" w:ascii="方正楷体_GBK" w:hAnsi="方正楷体_GBK" w:eastAsia="方正楷体_GBK" w:cs="方正楷体_GBK"/>
                <w:color w:val="auto"/>
                <w:sz w:val="26"/>
                <w:szCs w:val="26"/>
              </w:rPr>
              <w:t>（一）验收方式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1.货物到达现场后，</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应在</w:t>
            </w:r>
            <w:r>
              <w:rPr>
                <w:rFonts w:hint="eastAsia" w:ascii="Times New Roman" w:hAnsi="Times New Roman" w:eastAsia="方正仿宋_GBK" w:cs="Times New Roman"/>
                <w:color w:val="auto"/>
                <w:sz w:val="26"/>
                <w:szCs w:val="26"/>
                <w:lang w:val="en-US" w:eastAsia="zh-CN"/>
              </w:rPr>
              <w:t>甲方</w:t>
            </w:r>
            <w:r>
              <w:rPr>
                <w:rFonts w:hint="default" w:ascii="Times New Roman" w:hAnsi="Times New Roman" w:eastAsia="方正仿宋_GBK" w:cs="Times New Roman"/>
                <w:color w:val="auto"/>
                <w:sz w:val="26"/>
                <w:szCs w:val="26"/>
              </w:rPr>
              <w:t>人员在场情况下当面开箱，共同清点品名、规格、数量，检查外观，作出开箱记录，对</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交付的产品（包括质量、技术参数等）进行双方签字确认。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应保证货物到达</w:t>
            </w:r>
            <w:r>
              <w:rPr>
                <w:rFonts w:hint="eastAsia" w:ascii="Times New Roman" w:hAnsi="Times New Roman" w:eastAsia="方正仿宋_GBK" w:cs="Times New Roman"/>
                <w:color w:val="auto"/>
                <w:sz w:val="26"/>
                <w:szCs w:val="26"/>
                <w:lang w:val="en-US" w:eastAsia="zh-CN"/>
              </w:rPr>
              <w:t>甲方指定交付地点</w:t>
            </w:r>
            <w:r>
              <w:rPr>
                <w:rFonts w:hint="default" w:ascii="Times New Roman" w:hAnsi="Times New Roman" w:eastAsia="方正仿宋_GBK" w:cs="Times New Roman"/>
                <w:color w:val="auto"/>
                <w:sz w:val="26"/>
                <w:szCs w:val="26"/>
              </w:rPr>
              <w:t>完好无损，如有缺漏、损坏， 由</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负责调换、补齐或赔偿。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3.</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应提供完备的技术资料、装箱单和合格证等。验收合格条件如下：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（1）设备技术参数与</w:t>
            </w:r>
            <w:r>
              <w:rPr>
                <w:rFonts w:hint="eastAsia" w:ascii="Times New Roman" w:hAnsi="Times New Roman" w:eastAsia="方正仿宋_GBK" w:cs="Times New Roman"/>
                <w:color w:val="auto"/>
                <w:sz w:val="26"/>
                <w:szCs w:val="26"/>
                <w:lang w:val="en-US" w:eastAsia="zh-CN"/>
              </w:rPr>
              <w:t>本</w:t>
            </w:r>
            <w:r>
              <w:rPr>
                <w:rFonts w:hint="default" w:ascii="Times New Roman" w:hAnsi="Times New Roman" w:eastAsia="方正仿宋_GBK" w:cs="Times New Roman"/>
                <w:color w:val="auto"/>
                <w:sz w:val="26"/>
                <w:szCs w:val="26"/>
              </w:rPr>
              <w:t>合同一致，性能指标达到规定的标准。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（2）货物技术资料、装箱单、合格证等资料齐全。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（4）在规定时间内完成交货、安装、调试，并经</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确认签字。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（5）若</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提供的货物未达到竞争性比选文件规定要求，且对</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造成损失的，由</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承担一切责任，并赔偿所造成的损失。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方正楷体_GBK" w:hAnsi="方正楷体_GBK" w:eastAsia="方正楷体_GBK" w:cs="方正楷体_GBK"/>
                <w:color w:val="auto"/>
                <w:sz w:val="26"/>
                <w:szCs w:val="26"/>
              </w:rPr>
            </w:pPr>
            <w:r>
              <w:rPr>
                <w:rFonts w:hint="default" w:ascii="方正楷体_GBK" w:hAnsi="方正楷体_GBK" w:eastAsia="方正楷体_GBK" w:cs="方正楷体_GBK"/>
                <w:color w:val="auto"/>
                <w:sz w:val="26"/>
                <w:szCs w:val="26"/>
              </w:rPr>
              <w:t>（二）验收标准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1.按照国家相关规范及行业相关标准进行验收，安装调试完毕投入使用，</w:t>
            </w:r>
            <w:r>
              <w:rPr>
                <w:rFonts w:hint="eastAsia" w:ascii="Times New Roman" w:hAnsi="Times New Roman" w:eastAsia="方正仿宋_GBK" w:cs="Times New Roman"/>
                <w:color w:val="auto"/>
                <w:sz w:val="26"/>
                <w:szCs w:val="26"/>
                <w:lang w:val="en-US" w:eastAsia="zh-CN"/>
              </w:rPr>
              <w:t>甲乙</w:t>
            </w:r>
            <w:r>
              <w:rPr>
                <w:rFonts w:hint="default" w:ascii="Times New Roman" w:hAnsi="Times New Roman" w:eastAsia="方正仿宋_GBK" w:cs="Times New Roman"/>
                <w:color w:val="auto"/>
                <w:sz w:val="26"/>
                <w:szCs w:val="26"/>
              </w:rPr>
              <w:t>双方认可后签字。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2.如验收达不到规定要求，对</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造成一定的影响，</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承担一切责任，并赔偿所造成的损失。</w:t>
            </w:r>
            <w:r>
              <w:rPr>
                <w:rFonts w:hint="eastAsia" w:ascii="Times New Roman" w:hAnsi="Times New Roman" w:eastAsia="方正仿宋_GBK" w:cs="Times New Roman"/>
                <w:color w:val="auto"/>
                <w:sz w:val="26"/>
                <w:szCs w:val="26"/>
                <w:lang w:eastAsia="zh-CN"/>
              </w:rPr>
              <w:t>甲方</w:t>
            </w:r>
            <w:r>
              <w:rPr>
                <w:rFonts w:hint="default" w:ascii="Times New Roman" w:hAnsi="Times New Roman" w:eastAsia="方正仿宋_GBK" w:cs="Times New Roman"/>
                <w:color w:val="auto"/>
                <w:sz w:val="26"/>
                <w:szCs w:val="26"/>
              </w:rPr>
              <w:t>需要</w:t>
            </w:r>
            <w:r>
              <w:rPr>
                <w:rFonts w:hint="eastAsia" w:ascii="Times New Roman" w:hAnsi="Times New Roman" w:eastAsia="方正仿宋_GBK" w:cs="Times New Roman"/>
                <w:color w:val="auto"/>
                <w:sz w:val="26"/>
                <w:szCs w:val="26"/>
                <w:lang w:eastAsia="zh-CN"/>
              </w:rPr>
              <w:t>乙方</w:t>
            </w:r>
            <w:r>
              <w:rPr>
                <w:rFonts w:hint="default" w:ascii="Times New Roman" w:hAnsi="Times New Roman" w:eastAsia="方正仿宋_GBK" w:cs="Times New Roman"/>
                <w:color w:val="auto"/>
                <w:sz w:val="26"/>
                <w:szCs w:val="26"/>
              </w:rPr>
              <w:t>予以配合，并出具书面意见。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（三） 甲方</w:t>
            </w:r>
            <w:r>
              <w:rPr>
                <w:rFonts w:hint="eastAsia" w:ascii="Times New Roman" w:hAnsi="Times New Roman" w:eastAsia="方正仿宋_GBK" w:cs="Times New Roman"/>
                <w:color w:val="auto"/>
                <w:sz w:val="26"/>
                <w:szCs w:val="26"/>
                <w:lang w:val="en-US" w:eastAsia="zh-CN"/>
              </w:rPr>
              <w:t>对产品初验或安装调试后的最终验收情况</w:t>
            </w:r>
            <w:r>
              <w:rPr>
                <w:rFonts w:hint="default" w:ascii="Times New Roman" w:hAnsi="Times New Roman" w:eastAsia="方正仿宋_GBK" w:cs="Times New Roman"/>
                <w:color w:val="auto"/>
                <w:sz w:val="26"/>
                <w:szCs w:val="26"/>
              </w:rPr>
              <w:t>有异议</w:t>
            </w:r>
            <w:r>
              <w:rPr>
                <w:rFonts w:hint="eastAsia" w:ascii="Times New Roman" w:hAnsi="Times New Roman" w:eastAsia="方正仿宋_GBK" w:cs="Times New Roman"/>
                <w:color w:val="auto"/>
                <w:sz w:val="26"/>
                <w:szCs w:val="26"/>
                <w:lang w:val="en-US" w:eastAsia="zh-CN"/>
              </w:rPr>
              <w:t>的</w:t>
            </w:r>
            <w:r>
              <w:rPr>
                <w:rFonts w:hint="default" w:ascii="Times New Roman" w:hAnsi="Times New Roman" w:eastAsia="方正仿宋_GBK" w:cs="Times New Roman"/>
                <w:color w:val="auto"/>
                <w:sz w:val="26"/>
                <w:szCs w:val="26"/>
              </w:rPr>
              <w:t>，</w:t>
            </w:r>
            <w:r>
              <w:rPr>
                <w:rFonts w:hint="eastAsia" w:ascii="Times New Roman" w:hAnsi="Times New Roman" w:eastAsia="方正仿宋_GBK" w:cs="Times New Roman"/>
                <w:color w:val="auto"/>
                <w:sz w:val="26"/>
                <w:szCs w:val="26"/>
                <w:lang w:val="en-US" w:eastAsia="zh-CN"/>
              </w:rPr>
              <w:t>应</w:t>
            </w:r>
            <w:r>
              <w:rPr>
                <w:rFonts w:hint="default" w:ascii="Times New Roman" w:hAnsi="Times New Roman" w:eastAsia="方正仿宋_GBK" w:cs="Times New Roman"/>
                <w:color w:val="auto"/>
                <w:sz w:val="26"/>
                <w:szCs w:val="26"/>
              </w:rPr>
              <w:t>于</w:t>
            </w:r>
            <w:r>
              <w:rPr>
                <w:rFonts w:hint="eastAsia" w:ascii="Times New Roman" w:hAnsi="Times New Roman" w:eastAsia="方正仿宋_GBK" w:cs="Times New Roman"/>
                <w:color w:val="auto"/>
                <w:sz w:val="26"/>
                <w:szCs w:val="26"/>
                <w:lang w:val="en-US" w:eastAsia="zh-CN"/>
              </w:rPr>
              <w:t>验收之日起</w:t>
            </w:r>
            <w:r>
              <w:rPr>
                <w:rFonts w:hint="default" w:ascii="Times New Roman" w:hAnsi="Times New Roman" w:eastAsia="方正仿宋_GBK" w:cs="Times New Roman"/>
                <w:color w:val="auto"/>
                <w:sz w:val="26"/>
                <w:szCs w:val="26"/>
              </w:rPr>
              <w:t xml:space="preserve"> 3 日内提出。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1" w:hRule="atLeast"/>
        </w:trPr>
        <w:tc>
          <w:tcPr>
            <w:tcW w:w="9540"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eastAsia" w:ascii="方正黑体_GBK" w:hAnsi="方正黑体_GBK" w:eastAsia="方正黑体_GBK" w:cs="方正黑体_GBK"/>
                <w:color w:val="auto"/>
                <w:sz w:val="26"/>
                <w:szCs w:val="26"/>
              </w:rPr>
            </w:pPr>
            <w:r>
              <w:rPr>
                <w:rFonts w:hint="eastAsia" w:ascii="方正黑体_GBK" w:hAnsi="方正黑体_GBK" w:eastAsia="方正黑体_GBK" w:cs="方正黑体_GBK"/>
                <w:color w:val="auto"/>
                <w:sz w:val="26"/>
                <w:szCs w:val="26"/>
              </w:rPr>
              <w:t>六、付款方式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eastAsia" w:ascii="Times New Roman" w:hAnsi="Times New Roman" w:eastAsia="方正仿宋_GBK" w:cs="Times New Roman"/>
                <w:color w:val="auto"/>
                <w:sz w:val="26"/>
                <w:szCs w:val="26"/>
                <w:lang w:eastAsia="zh-CN"/>
              </w:rPr>
              <w:t>（</w:t>
            </w:r>
            <w:r>
              <w:rPr>
                <w:rFonts w:hint="eastAsia" w:ascii="Times New Roman" w:hAnsi="Times New Roman" w:eastAsia="方正仿宋_GBK" w:cs="Times New Roman"/>
                <w:color w:val="auto"/>
                <w:sz w:val="26"/>
                <w:szCs w:val="26"/>
                <w:lang w:val="en-US" w:eastAsia="zh-CN"/>
              </w:rPr>
              <w:t>一</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lang w:val="en-US" w:eastAsia="zh-CN"/>
              </w:rPr>
              <w:t>甲乙双方签订</w:t>
            </w:r>
            <w:r>
              <w:rPr>
                <w:rFonts w:hint="eastAsia" w:ascii="Times New Roman" w:hAnsi="Times New Roman" w:eastAsia="方正仿宋_GBK" w:cs="Times New Roman"/>
                <w:color w:val="auto"/>
                <w:sz w:val="26"/>
                <w:szCs w:val="26"/>
                <w:lang w:val="en-US" w:eastAsia="zh-CN"/>
              </w:rPr>
              <w:t>的</w:t>
            </w:r>
            <w:r>
              <w:rPr>
                <w:rFonts w:hint="default" w:ascii="Times New Roman" w:hAnsi="Times New Roman" w:eastAsia="方正仿宋_GBK" w:cs="Times New Roman"/>
                <w:color w:val="auto"/>
                <w:sz w:val="26"/>
                <w:szCs w:val="26"/>
                <w:lang w:val="en-US" w:eastAsia="zh-CN"/>
              </w:rPr>
              <w:t>合同</w:t>
            </w:r>
            <w:r>
              <w:rPr>
                <w:rFonts w:hint="eastAsia" w:ascii="Times New Roman" w:hAnsi="Times New Roman" w:eastAsia="方正仿宋_GBK" w:cs="Times New Roman"/>
                <w:color w:val="auto"/>
                <w:sz w:val="26"/>
                <w:szCs w:val="26"/>
                <w:lang w:val="en-US" w:eastAsia="zh-CN"/>
              </w:rPr>
              <w:t>生效</w:t>
            </w:r>
            <w:r>
              <w:rPr>
                <w:rFonts w:hint="default" w:ascii="Times New Roman" w:hAnsi="Times New Roman" w:eastAsia="方正仿宋_GBK" w:cs="Times New Roman"/>
                <w:color w:val="auto"/>
                <w:sz w:val="26"/>
                <w:szCs w:val="26"/>
                <w:lang w:val="en-US" w:eastAsia="zh-CN"/>
              </w:rPr>
              <w:t>后，甲方</w:t>
            </w:r>
            <w:r>
              <w:rPr>
                <w:rFonts w:hint="eastAsia" w:ascii="Times New Roman" w:hAnsi="Times New Roman" w:eastAsia="方正仿宋_GBK" w:cs="Times New Roman"/>
                <w:color w:val="auto"/>
                <w:sz w:val="26"/>
                <w:szCs w:val="26"/>
                <w:lang w:val="en-US" w:eastAsia="zh-CN"/>
              </w:rPr>
              <w:t>五</w:t>
            </w:r>
            <w:r>
              <w:rPr>
                <w:rFonts w:hint="default" w:ascii="Times New Roman" w:hAnsi="Times New Roman" w:eastAsia="方正仿宋_GBK" w:cs="Times New Roman"/>
                <w:color w:val="auto"/>
                <w:sz w:val="26"/>
                <w:szCs w:val="26"/>
                <w:lang w:val="zh-CN" w:eastAsia="zh-CN"/>
              </w:rPr>
              <w:t>日内支付</w:t>
            </w:r>
            <w:r>
              <w:rPr>
                <w:rFonts w:hint="default" w:ascii="Times New Roman" w:hAnsi="Times New Roman" w:eastAsia="方正仿宋_GBK" w:cs="Times New Roman"/>
                <w:color w:val="auto"/>
                <w:sz w:val="26"/>
                <w:szCs w:val="26"/>
                <w:lang w:val="en-US" w:eastAsia="zh-CN"/>
              </w:rPr>
              <w:t>乙方</w:t>
            </w:r>
            <w:r>
              <w:rPr>
                <w:rFonts w:hint="default" w:ascii="Times New Roman" w:hAnsi="Times New Roman" w:eastAsia="方正仿宋_GBK" w:cs="Times New Roman"/>
                <w:color w:val="auto"/>
                <w:sz w:val="26"/>
                <w:szCs w:val="26"/>
                <w:lang w:val="zh-CN" w:eastAsia="zh-CN"/>
              </w:rPr>
              <w:t>合同总额的</w:t>
            </w:r>
            <w:r>
              <w:rPr>
                <w:rFonts w:hint="default" w:ascii="Times New Roman" w:hAnsi="Times New Roman" w:eastAsia="方正仿宋_GBK" w:cs="Times New Roman"/>
                <w:color w:val="auto"/>
                <w:sz w:val="26"/>
                <w:szCs w:val="26"/>
                <w:lang w:val="en-US" w:eastAsia="zh-CN"/>
              </w:rPr>
              <w:t>50%预付款</w:t>
            </w:r>
            <w:r>
              <w:rPr>
                <w:rFonts w:hint="default" w:ascii="Times New Roman" w:hAnsi="Times New Roman" w:eastAsia="方正仿宋_GBK" w:cs="Times New Roman"/>
                <w:color w:val="auto"/>
                <w:sz w:val="26"/>
                <w:szCs w:val="26"/>
              </w:rPr>
              <w:t>，即</w:t>
            </w:r>
            <w:r>
              <w:rPr>
                <w:rFonts w:hint="eastAsia" w:ascii="Times New Roman" w:hAnsi="Times New Roman" w:eastAsia="方正仿宋_GBK" w:cs="Times New Roman"/>
                <w:color w:val="auto"/>
                <w:sz w:val="26"/>
                <w:szCs w:val="26"/>
                <w:u w:val="single"/>
                <w:lang w:val="en-US" w:eastAsia="zh-CN"/>
              </w:rPr>
              <w:t xml:space="preserve">          </w:t>
            </w:r>
            <w:r>
              <w:rPr>
                <w:rFonts w:hint="default" w:ascii="Times New Roman" w:hAnsi="Times New Roman" w:eastAsia="方正仿宋_GBK" w:cs="Times New Roman"/>
                <w:color w:val="auto"/>
                <w:sz w:val="26"/>
                <w:szCs w:val="26"/>
              </w:rPr>
              <w:t>；乙方安装、调试完成</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经甲方验收合格后十日内， 甲方支付乙方合同</w:t>
            </w:r>
            <w:r>
              <w:rPr>
                <w:rFonts w:hint="eastAsia" w:ascii="Times New Roman" w:hAnsi="Times New Roman" w:eastAsia="方正仿宋_GBK" w:cs="Times New Roman"/>
                <w:color w:val="auto"/>
                <w:sz w:val="26"/>
                <w:szCs w:val="26"/>
                <w:lang w:val="en-US" w:eastAsia="zh-CN"/>
              </w:rPr>
              <w:t>总额</w:t>
            </w:r>
            <w:r>
              <w:rPr>
                <w:rFonts w:hint="default" w:ascii="Times New Roman" w:hAnsi="Times New Roman" w:eastAsia="方正仿宋_GBK" w:cs="Times New Roman"/>
                <w:color w:val="auto"/>
                <w:sz w:val="26"/>
                <w:szCs w:val="26"/>
              </w:rPr>
              <w:t>的</w:t>
            </w:r>
            <w:r>
              <w:rPr>
                <w:rFonts w:hint="eastAsia" w:ascii="Times New Roman" w:hAnsi="Times New Roman" w:eastAsia="方正仿宋_GBK" w:cs="Times New Roman"/>
                <w:color w:val="auto"/>
                <w:sz w:val="26"/>
                <w:szCs w:val="26"/>
                <w:lang w:val="en-US" w:eastAsia="zh-CN"/>
              </w:rPr>
              <w:t>5</w:t>
            </w:r>
            <w:r>
              <w:rPr>
                <w:rFonts w:hint="default" w:ascii="Times New Roman" w:hAnsi="Times New Roman" w:eastAsia="方正仿宋_GBK" w:cs="Times New Roman"/>
                <w:color w:val="auto"/>
                <w:sz w:val="26"/>
                <w:szCs w:val="26"/>
              </w:rPr>
              <w:t>0%尾款，即</w:t>
            </w:r>
            <w:r>
              <w:rPr>
                <w:rFonts w:hint="eastAsia" w:ascii="Times New Roman" w:hAnsi="Times New Roman" w:eastAsia="方正仿宋_GBK" w:cs="Times New Roman"/>
                <w:color w:val="auto"/>
                <w:sz w:val="26"/>
                <w:szCs w:val="26"/>
                <w:u w:val="single"/>
                <w:lang w:val="en-US" w:eastAsia="zh-CN"/>
              </w:rPr>
              <w:t xml:space="preserve">          </w:t>
            </w:r>
            <w:r>
              <w:rPr>
                <w:rFonts w:hint="default" w:ascii="Times New Roman" w:hAnsi="Times New Roman" w:eastAsia="方正仿宋_GBK" w:cs="Times New Roman"/>
                <w:color w:val="auto"/>
                <w:sz w:val="26"/>
                <w:szCs w:val="26"/>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eastAsia" w:ascii="Times New Roman" w:hAnsi="Times New Roman" w:eastAsia="方正仿宋_GBK" w:cs="Times New Roman"/>
                <w:color w:val="auto"/>
                <w:sz w:val="26"/>
                <w:szCs w:val="26"/>
                <w:lang w:eastAsia="zh-CN"/>
              </w:rPr>
              <w:t>（</w:t>
            </w:r>
            <w:r>
              <w:rPr>
                <w:rFonts w:hint="eastAsia" w:ascii="Times New Roman" w:hAnsi="Times New Roman" w:eastAsia="方正仿宋_GBK" w:cs="Times New Roman"/>
                <w:color w:val="auto"/>
                <w:sz w:val="26"/>
                <w:szCs w:val="26"/>
                <w:lang w:val="en-US" w:eastAsia="zh-CN"/>
              </w:rPr>
              <w:t>二</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乙方须向甲方出具合法有效完整的完税发票及凭证资料。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7" w:hRule="exact"/>
        </w:trPr>
        <w:tc>
          <w:tcPr>
            <w:tcW w:w="9540"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both"/>
              <w:textAlignment w:val="baseline"/>
              <w:outlineLvl w:val="9"/>
              <w:rPr>
                <w:rFonts w:hint="eastAsia" w:ascii="Times New Roman" w:hAnsi="Times New Roman" w:eastAsia="方正仿宋_GBK" w:cs="Times New Roman"/>
                <w:color w:val="auto"/>
                <w:sz w:val="26"/>
                <w:szCs w:val="26"/>
                <w:lang w:eastAsia="zh-CN"/>
              </w:rPr>
            </w:pPr>
            <w:r>
              <w:rPr>
                <w:rFonts w:hint="eastAsia" w:ascii="方正黑体_GBK" w:hAnsi="方正黑体_GBK" w:eastAsia="方正黑体_GBK" w:cs="方正黑体_GBK"/>
                <w:color w:val="auto"/>
                <w:sz w:val="26"/>
                <w:szCs w:val="26"/>
              </w:rPr>
              <w:t>七、违约责任</w:t>
            </w:r>
            <w:r>
              <w:rPr>
                <w:rFonts w:hint="eastAsia" w:ascii="方正黑体_GBK" w:hAnsi="方正黑体_GBK" w:eastAsia="方正黑体_GBK" w:cs="方正黑体_GBK"/>
                <w:color w:val="auto"/>
                <w:sz w:val="26"/>
                <w:szCs w:val="26"/>
                <w:lang w:eastAsia="zh-CN"/>
              </w:rPr>
              <w:t>。</w:t>
            </w:r>
            <w:r>
              <w:rPr>
                <w:rFonts w:hint="default" w:ascii="Times New Roman" w:hAnsi="Times New Roman" w:eastAsia="方正仿宋_GBK" w:cs="Times New Roman"/>
                <w:color w:val="auto"/>
                <w:sz w:val="26"/>
                <w:szCs w:val="26"/>
              </w:rPr>
              <w:t>乙方如未按上述约定履行</w:t>
            </w:r>
            <w:r>
              <w:rPr>
                <w:rFonts w:hint="eastAsia" w:ascii="Times New Roman" w:hAnsi="Times New Roman" w:eastAsia="方正仿宋_GBK" w:cs="Times New Roman"/>
                <w:color w:val="auto"/>
                <w:sz w:val="26"/>
                <w:szCs w:val="26"/>
                <w:lang w:val="en-US" w:eastAsia="zh-CN"/>
              </w:rPr>
              <w:t>合同</w:t>
            </w:r>
            <w:r>
              <w:rPr>
                <w:rFonts w:hint="default" w:ascii="Times New Roman" w:hAnsi="Times New Roman" w:eastAsia="方正仿宋_GBK" w:cs="Times New Roman"/>
                <w:color w:val="auto"/>
                <w:sz w:val="26"/>
                <w:szCs w:val="26"/>
              </w:rPr>
              <w:t>，</w:t>
            </w:r>
            <w:r>
              <w:rPr>
                <w:rFonts w:hint="eastAsia" w:ascii="Times New Roman" w:hAnsi="Times New Roman" w:eastAsia="方正仿宋_GBK" w:cs="Times New Roman"/>
                <w:color w:val="auto"/>
                <w:sz w:val="26"/>
                <w:szCs w:val="26"/>
                <w:lang w:val="en-US" w:eastAsia="zh-CN"/>
              </w:rPr>
              <w:t>应向甲方承担本合同总额</w:t>
            </w:r>
            <w:r>
              <w:rPr>
                <w:rFonts w:hint="default" w:ascii="Times New Roman" w:hAnsi="Times New Roman" w:eastAsia="方正仿宋_GBK" w:cs="Times New Roman"/>
                <w:color w:val="auto"/>
                <w:sz w:val="26"/>
                <w:szCs w:val="26"/>
              </w:rPr>
              <w:t xml:space="preserve"> 20%</w:t>
            </w:r>
            <w:r>
              <w:rPr>
                <w:rFonts w:hint="eastAsia" w:ascii="Times New Roman" w:hAnsi="Times New Roman" w:eastAsia="方正仿宋_GBK" w:cs="Times New Roman"/>
                <w:color w:val="auto"/>
                <w:sz w:val="26"/>
                <w:szCs w:val="26"/>
                <w:lang w:val="en-US" w:eastAsia="zh-CN"/>
              </w:rPr>
              <w:t>的</w:t>
            </w:r>
            <w:r>
              <w:rPr>
                <w:rFonts w:hint="default" w:ascii="Times New Roman" w:hAnsi="Times New Roman" w:eastAsia="方正仿宋_GBK" w:cs="Times New Roman"/>
                <w:color w:val="auto"/>
                <w:sz w:val="26"/>
                <w:szCs w:val="26"/>
              </w:rPr>
              <w:t>违约金</w:t>
            </w:r>
            <w:r>
              <w:rPr>
                <w:rFonts w:hint="eastAsia" w:ascii="Times New Roman" w:hAnsi="Times New Roman" w:eastAsia="方正仿宋_GBK" w:cs="Times New Roman"/>
                <w:color w:val="auto"/>
                <w:sz w:val="26"/>
                <w:szCs w:val="26"/>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2" w:hRule="exact"/>
        </w:trPr>
        <w:tc>
          <w:tcPr>
            <w:tcW w:w="9540"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eastAsia" w:ascii="方正黑体_GBK" w:hAnsi="方正黑体_GBK" w:eastAsia="方正黑体_GBK" w:cs="方正黑体_GBK"/>
                <w:color w:val="auto"/>
                <w:sz w:val="26"/>
                <w:szCs w:val="26"/>
              </w:rPr>
            </w:pPr>
            <w:r>
              <w:rPr>
                <w:rFonts w:hint="eastAsia" w:ascii="方正黑体_GBK" w:hAnsi="方正黑体_GBK" w:eastAsia="方正黑体_GBK" w:cs="方正黑体_GBK"/>
                <w:color w:val="auto"/>
                <w:sz w:val="26"/>
                <w:szCs w:val="26"/>
              </w:rPr>
              <w:t>八、其他约定事项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eastAsia" w:ascii="Times New Roman" w:hAnsi="Times New Roman" w:eastAsia="方正仿宋_GBK" w:cs="Times New Roman"/>
                <w:color w:val="auto"/>
                <w:sz w:val="26"/>
                <w:szCs w:val="26"/>
                <w:lang w:eastAsia="zh-CN"/>
              </w:rPr>
              <w:t>（</w:t>
            </w:r>
            <w:r>
              <w:rPr>
                <w:rFonts w:hint="eastAsia" w:ascii="Times New Roman" w:hAnsi="Times New Roman" w:eastAsia="方正仿宋_GBK" w:cs="Times New Roman"/>
                <w:color w:val="auto"/>
                <w:sz w:val="26"/>
                <w:szCs w:val="26"/>
                <w:lang w:val="en-US" w:eastAsia="zh-CN"/>
              </w:rPr>
              <w:t>一</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本合同如发生争议</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由双方协商解决</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协商不成</w:t>
            </w:r>
            <w:r>
              <w:rPr>
                <w:rFonts w:hint="eastAsia" w:ascii="Times New Roman" w:hAnsi="Times New Roman" w:eastAsia="方正仿宋_GBK" w:cs="Times New Roman"/>
                <w:color w:val="auto"/>
                <w:sz w:val="26"/>
                <w:szCs w:val="26"/>
                <w:lang w:val="en-US" w:eastAsia="zh-CN"/>
              </w:rPr>
              <w:t>的，</w:t>
            </w:r>
            <w:r>
              <w:rPr>
                <w:rFonts w:hint="default" w:ascii="Times New Roman" w:hAnsi="Times New Roman" w:eastAsia="方正仿宋_GBK" w:cs="Times New Roman"/>
                <w:color w:val="auto"/>
                <w:sz w:val="26"/>
                <w:szCs w:val="26"/>
              </w:rPr>
              <w:t>向甲方所在地人民法院提请诉讼。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eastAsia" w:ascii="Times New Roman" w:hAnsi="Times New Roman" w:eastAsia="方正仿宋_GBK" w:cs="Times New Roman"/>
                <w:color w:val="auto"/>
                <w:sz w:val="26"/>
                <w:szCs w:val="26"/>
                <w:lang w:eastAsia="zh-CN"/>
              </w:rPr>
              <w:t>（</w:t>
            </w:r>
            <w:r>
              <w:rPr>
                <w:rFonts w:hint="eastAsia" w:ascii="Times New Roman" w:hAnsi="Times New Roman" w:eastAsia="方正仿宋_GBK" w:cs="Times New Roman"/>
                <w:color w:val="auto"/>
                <w:sz w:val="26"/>
                <w:szCs w:val="26"/>
                <w:lang w:val="en-US" w:eastAsia="zh-CN"/>
              </w:rPr>
              <w:t>二</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本合同自双方法定</w:t>
            </w:r>
            <w:r>
              <w:rPr>
                <w:rFonts w:hint="default" w:ascii="Times New Roman" w:hAnsi="Times New Roman" w:eastAsia="方正仿宋_GBK" w:cs="Times New Roman"/>
                <w:color w:val="auto"/>
                <w:sz w:val="26"/>
                <w:szCs w:val="26"/>
                <w:lang w:eastAsia="zh-CN"/>
              </w:rPr>
              <w:t>代表人</w:t>
            </w:r>
            <w:r>
              <w:rPr>
                <w:rFonts w:hint="default" w:ascii="Times New Roman" w:hAnsi="Times New Roman" w:eastAsia="方正仿宋_GBK" w:cs="Times New Roman"/>
                <w:color w:val="auto"/>
                <w:sz w:val="26"/>
                <w:szCs w:val="26"/>
              </w:rPr>
              <w:t>或授权代表签字并加盖公章或合同专用章之日起生效</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如双方签署 时间不一致，自较迟的签署日起生效。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eastAsia" w:ascii="Times New Roman" w:hAnsi="Times New Roman" w:eastAsia="方正仿宋_GBK" w:cs="Times New Roman"/>
                <w:color w:val="auto"/>
                <w:sz w:val="26"/>
                <w:szCs w:val="26"/>
                <w:lang w:eastAsia="zh-CN"/>
              </w:rPr>
              <w:t>（</w:t>
            </w:r>
            <w:r>
              <w:rPr>
                <w:rFonts w:hint="eastAsia" w:ascii="Times New Roman" w:hAnsi="Times New Roman" w:eastAsia="方正仿宋_GBK" w:cs="Times New Roman"/>
                <w:color w:val="auto"/>
                <w:sz w:val="26"/>
                <w:szCs w:val="26"/>
                <w:lang w:val="en-US" w:eastAsia="zh-CN"/>
              </w:rPr>
              <w:t>三</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 xml:space="preserve">本合同一式陆份， </w:t>
            </w:r>
            <w:r>
              <w:rPr>
                <w:rFonts w:hint="eastAsia" w:ascii="Times New Roman" w:hAnsi="Times New Roman" w:eastAsia="方正仿宋_GBK" w:cs="Times New Roman"/>
                <w:color w:val="auto"/>
                <w:sz w:val="26"/>
                <w:szCs w:val="26"/>
                <w:lang w:val="en-US" w:eastAsia="zh-CN"/>
              </w:rPr>
              <w:t>甲方</w:t>
            </w:r>
            <w:r>
              <w:rPr>
                <w:rFonts w:hint="default" w:ascii="Times New Roman" w:hAnsi="Times New Roman" w:eastAsia="方正仿宋_GBK" w:cs="Times New Roman"/>
                <w:color w:val="auto"/>
                <w:sz w:val="26"/>
                <w:szCs w:val="26"/>
              </w:rPr>
              <w:t>叁份，</w:t>
            </w:r>
            <w:r>
              <w:rPr>
                <w:rFonts w:hint="eastAsia" w:ascii="Times New Roman" w:hAnsi="Times New Roman" w:eastAsia="方正仿宋_GBK" w:cs="Times New Roman"/>
                <w:color w:val="auto"/>
                <w:sz w:val="26"/>
                <w:szCs w:val="26"/>
                <w:lang w:val="en-US" w:eastAsia="zh-CN"/>
              </w:rPr>
              <w:t>乙</w:t>
            </w:r>
            <w:r>
              <w:rPr>
                <w:rFonts w:hint="default" w:ascii="Times New Roman" w:hAnsi="Times New Roman" w:eastAsia="方正仿宋_GBK" w:cs="Times New Roman"/>
                <w:color w:val="auto"/>
                <w:sz w:val="26"/>
                <w:szCs w:val="26"/>
              </w:rPr>
              <w:t>方叁份，</w:t>
            </w:r>
            <w:r>
              <w:rPr>
                <w:rFonts w:hint="eastAsia" w:ascii="Times New Roman" w:hAnsi="Times New Roman" w:eastAsia="方正仿宋_GBK" w:cs="Times New Roman"/>
                <w:color w:val="auto"/>
                <w:sz w:val="26"/>
                <w:szCs w:val="26"/>
                <w:lang w:val="en-US" w:eastAsia="zh-CN"/>
              </w:rPr>
              <w:t>均</w:t>
            </w:r>
            <w:r>
              <w:rPr>
                <w:rFonts w:hint="default" w:ascii="Times New Roman" w:hAnsi="Times New Roman" w:eastAsia="方正仿宋_GBK" w:cs="Times New Roman"/>
                <w:color w:val="auto"/>
                <w:sz w:val="26"/>
                <w:szCs w:val="26"/>
              </w:rPr>
              <w:t>具</w:t>
            </w:r>
            <w:r>
              <w:rPr>
                <w:rFonts w:hint="eastAsia" w:ascii="Times New Roman" w:hAnsi="Times New Roman" w:eastAsia="方正仿宋_GBK" w:cs="Times New Roman"/>
                <w:color w:val="auto"/>
                <w:sz w:val="26"/>
                <w:szCs w:val="26"/>
                <w:lang w:val="en-US" w:eastAsia="zh-CN"/>
              </w:rPr>
              <w:t>有</w:t>
            </w:r>
            <w:r>
              <w:rPr>
                <w:rFonts w:hint="default" w:ascii="Times New Roman" w:hAnsi="Times New Roman" w:eastAsia="方正仿宋_GBK" w:cs="Times New Roman"/>
                <w:color w:val="auto"/>
                <w:sz w:val="26"/>
                <w:szCs w:val="26"/>
              </w:rPr>
              <w:t>同等法律效力。</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lang w:val="en-US" w:eastAsia="zh-CN"/>
              </w:rPr>
            </w:pPr>
            <w:r>
              <w:rPr>
                <w:rFonts w:hint="eastAsia" w:ascii="Times New Roman" w:hAnsi="Times New Roman" w:eastAsia="方正仿宋_GBK" w:cs="Times New Roman"/>
                <w:color w:val="auto"/>
                <w:sz w:val="26"/>
                <w:szCs w:val="26"/>
                <w:lang w:val="en-US" w:eastAsia="zh-CN"/>
              </w:rPr>
              <w:t>（四）乙方在履行本合同工程中所产生的任何安全问题，应由乙方承担法律责任；如因此给甲方造成损失的，甲方有权向乙方追偿。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eastAsia" w:ascii="方正黑体_GBK" w:hAnsi="方正黑体_GBK" w:eastAsia="方正黑体_GBK" w:cs="方正黑体_GBK"/>
                <w:color w:val="auto"/>
                <w:sz w:val="26"/>
                <w:szCs w:val="26"/>
              </w:rPr>
            </w:pPr>
            <w:r>
              <w:rPr>
                <w:rFonts w:hint="eastAsia" w:ascii="Times New Roman" w:hAnsi="Times New Roman" w:eastAsia="方正仿宋_GBK" w:cs="Times New Roman"/>
                <w:color w:val="auto"/>
                <w:sz w:val="26"/>
                <w:szCs w:val="26"/>
                <w:lang w:eastAsia="zh-CN"/>
              </w:rPr>
              <w:t>（</w:t>
            </w:r>
            <w:r>
              <w:rPr>
                <w:rFonts w:hint="eastAsia" w:ascii="Times New Roman" w:hAnsi="Times New Roman" w:eastAsia="方正仿宋_GBK" w:cs="Times New Roman"/>
                <w:color w:val="auto"/>
                <w:sz w:val="26"/>
                <w:szCs w:val="26"/>
                <w:lang w:val="en-US" w:eastAsia="zh-CN"/>
              </w:rPr>
              <w:t>五</w:t>
            </w:r>
            <w:r>
              <w:rPr>
                <w:rFonts w:hint="eastAsia" w:ascii="Times New Roman" w:hAnsi="Times New Roman" w:eastAsia="方正仿宋_GBK" w:cs="Times New Roman"/>
                <w:color w:val="auto"/>
                <w:sz w:val="26"/>
                <w:szCs w:val="26"/>
                <w:lang w:eastAsia="zh-CN"/>
              </w:rPr>
              <w:t>）</w:t>
            </w:r>
            <w:r>
              <w:rPr>
                <w:rFonts w:hint="default" w:ascii="Times New Roman" w:hAnsi="Times New Roman" w:eastAsia="方正仿宋_GBK" w:cs="Times New Roman"/>
                <w:color w:val="auto"/>
                <w:sz w:val="26"/>
                <w:szCs w:val="26"/>
              </w:rPr>
              <w:t>本合同附件、竞争性比选文件、会议纪要等为本合同的重要组成部分，与本合同具有同等法 律效力。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2" w:hRule="exact"/>
        </w:trPr>
        <w:tc>
          <w:tcPr>
            <w:tcW w:w="4665"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甲方：重庆金佛山国家级自然保护区管理事务中心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地址：</w:t>
            </w:r>
            <w:r>
              <w:rPr>
                <w:rFonts w:hint="default" w:ascii="Times New Roman" w:hAnsi="Times New Roman" w:eastAsia="方正仿宋_GBK" w:cs="Times New Roman"/>
                <w:color w:val="auto"/>
                <w:spacing w:val="-6"/>
                <w:sz w:val="26"/>
                <w:szCs w:val="26"/>
              </w:rPr>
              <w:t>重庆市南川区金佛大道 239 号10 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法定代表人（或授权代表）：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联系电话：</w:t>
            </w:r>
          </w:p>
        </w:tc>
        <w:tc>
          <w:tcPr>
            <w:tcW w:w="4875"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乙方：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地址：</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开户银行：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账号：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法定代表人（或授权代表）：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260" w:firstLineChars="1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联系电话：</w:t>
            </w:r>
          </w:p>
        </w:tc>
      </w:tr>
    </w:tbl>
    <w:p>
      <w:pPr>
        <w:spacing w:line="168" w:lineRule="exact"/>
        <w:rPr>
          <w:rFonts w:ascii="Arial"/>
          <w:color w:val="auto"/>
          <w:sz w:val="1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Times New Roman" w:hAnsi="Times New Roman" w:eastAsia="方正仿宋_GBK" w:cs="Times New Roman"/>
          <w:color w:val="auto"/>
          <w:sz w:val="26"/>
          <w:szCs w:val="26"/>
        </w:rPr>
      </w:pPr>
      <w:r>
        <w:rPr>
          <w:rFonts w:hint="default" w:ascii="Times New Roman" w:hAnsi="Times New Roman" w:eastAsia="方正仿宋_GBK" w:cs="Times New Roman"/>
          <w:color w:val="auto"/>
          <w:sz w:val="26"/>
          <w:szCs w:val="26"/>
        </w:rPr>
        <w:t xml:space="preserve">签约时间：    </w:t>
      </w:r>
      <w:r>
        <w:rPr>
          <w:rFonts w:hint="eastAsia" w:ascii="Times New Roman" w:hAnsi="Times New Roman" w:eastAsia="方正仿宋_GBK" w:cs="Times New Roman"/>
          <w:color w:val="auto"/>
          <w:sz w:val="26"/>
          <w:szCs w:val="26"/>
          <w:lang w:val="en-US" w:eastAsia="zh-CN"/>
        </w:rPr>
        <w:t xml:space="preserve"> </w:t>
      </w:r>
      <w:r>
        <w:rPr>
          <w:rFonts w:hint="default" w:ascii="Times New Roman" w:hAnsi="Times New Roman" w:eastAsia="方正仿宋_GBK" w:cs="Times New Roman"/>
          <w:color w:val="auto"/>
          <w:sz w:val="26"/>
          <w:szCs w:val="26"/>
        </w:rPr>
        <w:t xml:space="preserve">年 </w:t>
      </w:r>
      <w:r>
        <w:rPr>
          <w:rFonts w:hint="eastAsia" w:ascii="Times New Roman" w:hAnsi="Times New Roman" w:eastAsia="方正仿宋_GBK" w:cs="Times New Roman"/>
          <w:color w:val="auto"/>
          <w:sz w:val="26"/>
          <w:szCs w:val="26"/>
          <w:lang w:val="en-US" w:eastAsia="zh-CN"/>
        </w:rPr>
        <w:t xml:space="preserve"> </w:t>
      </w:r>
      <w:r>
        <w:rPr>
          <w:rFonts w:hint="default" w:ascii="Times New Roman" w:hAnsi="Times New Roman" w:eastAsia="方正仿宋_GBK" w:cs="Times New Roman"/>
          <w:color w:val="auto"/>
          <w:sz w:val="26"/>
          <w:szCs w:val="26"/>
        </w:rPr>
        <w:t xml:space="preserve"> </w:t>
      </w:r>
      <w:r>
        <w:rPr>
          <w:rFonts w:hint="eastAsia" w:ascii="Times New Roman" w:hAnsi="Times New Roman" w:eastAsia="方正仿宋_GBK" w:cs="Times New Roman"/>
          <w:color w:val="auto"/>
          <w:sz w:val="26"/>
          <w:szCs w:val="26"/>
          <w:lang w:val="en-US" w:eastAsia="zh-CN"/>
        </w:rPr>
        <w:t xml:space="preserve"> </w:t>
      </w:r>
      <w:r>
        <w:rPr>
          <w:rFonts w:hint="default" w:ascii="Times New Roman" w:hAnsi="Times New Roman" w:eastAsia="方正仿宋_GBK" w:cs="Times New Roman"/>
          <w:color w:val="auto"/>
          <w:sz w:val="26"/>
          <w:szCs w:val="26"/>
        </w:rPr>
        <w:t xml:space="preserve"> 月   </w:t>
      </w:r>
      <w:r>
        <w:rPr>
          <w:rFonts w:hint="eastAsia" w:ascii="Times New Roman" w:hAnsi="Times New Roman" w:eastAsia="方正仿宋_GBK" w:cs="Times New Roman"/>
          <w:color w:val="auto"/>
          <w:sz w:val="26"/>
          <w:szCs w:val="26"/>
          <w:lang w:val="en-US" w:eastAsia="zh-CN"/>
        </w:rPr>
        <w:t xml:space="preserve"> </w:t>
      </w:r>
      <w:r>
        <w:rPr>
          <w:rFonts w:hint="default" w:ascii="Times New Roman" w:hAnsi="Times New Roman" w:eastAsia="方正仿宋_GBK" w:cs="Times New Roman"/>
          <w:color w:val="auto"/>
          <w:sz w:val="26"/>
          <w:szCs w:val="26"/>
        </w:rPr>
        <w:t>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20" w:firstLineChars="200"/>
        <w:jc w:val="left"/>
        <w:textAlignment w:val="baseline"/>
        <w:outlineLvl w:val="9"/>
        <w:rPr>
          <w:rFonts w:hint="default" w:ascii="Arial"/>
          <w:color w:val="auto"/>
          <w:sz w:val="21"/>
        </w:rPr>
      </w:pPr>
      <w:r>
        <w:rPr>
          <w:rFonts w:hint="default" w:ascii="Times New Roman" w:hAnsi="Times New Roman" w:eastAsia="方正仿宋_GBK" w:cs="Times New Roman"/>
          <w:color w:val="auto"/>
          <w:sz w:val="26"/>
          <w:szCs w:val="26"/>
        </w:rPr>
        <w:t>签约地点：重庆金佛山国家级自然保护区管理事务中心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420" w:firstLineChars="200"/>
        <w:jc w:val="left"/>
        <w:textAlignment w:val="baseline"/>
        <w:outlineLvl w:val="9"/>
        <w:rPr>
          <w:rFonts w:hint="default" w:ascii="Arial"/>
          <w:color w:val="auto"/>
          <w:sz w:val="21"/>
        </w:rPr>
      </w:pPr>
    </w:p>
    <w:p>
      <w:pPr>
        <w:rPr>
          <w:rFonts w:ascii="仿宋" w:hAnsi="仿宋" w:eastAsia="仿宋" w:cs="仿宋"/>
          <w:color w:val="auto"/>
        </w:rPr>
      </w:pPr>
    </w:p>
    <w:p>
      <w:pPr>
        <w:rPr>
          <w:rFonts w:ascii="仿宋" w:hAnsi="仿宋" w:eastAsia="仿宋"/>
          <w:color w:val="auto"/>
        </w:rPr>
      </w:pPr>
      <w:r>
        <w:rPr>
          <w:rFonts w:ascii="仿宋" w:hAnsi="仿宋" w:eastAsia="仿宋"/>
          <w:color w:val="auto"/>
        </w:rPr>
        <w:br w:type="page"/>
      </w:r>
    </w:p>
    <w:p>
      <w:pPr>
        <w:spacing w:line="360" w:lineRule="auto"/>
        <w:ind w:firstLine="480" w:firstLineChars="200"/>
        <w:rPr>
          <w:rFonts w:ascii="仿宋" w:hAnsi="仿宋" w:eastAsia="仿宋"/>
          <w:color w:val="auto"/>
        </w:rPr>
      </w:pPr>
    </w:p>
    <w:bookmarkEnd w:id="112"/>
    <w:bookmarkEnd w:id="113"/>
    <w:bookmarkEnd w:id="128"/>
    <w:bookmarkEnd w:id="129"/>
    <w:bookmarkEnd w:id="130"/>
    <w:p>
      <w:pPr>
        <w:pStyle w:val="3"/>
        <w:spacing w:before="0" w:line="276" w:lineRule="auto"/>
        <w:jc w:val="center"/>
        <w:rPr>
          <w:rFonts w:ascii="仿宋" w:hAnsi="仿宋" w:eastAsia="仿宋" w:cs="仿宋_GB2312"/>
          <w:b/>
          <w:bCs/>
          <w:color w:val="auto"/>
          <w:sz w:val="36"/>
          <w:szCs w:val="36"/>
        </w:rPr>
      </w:pPr>
      <w:bookmarkStart w:id="146" w:name="_Toc10291"/>
      <w:bookmarkStart w:id="147" w:name="_Toc187068705"/>
      <w:bookmarkStart w:id="148" w:name="_Toc487204796"/>
      <w:bookmarkStart w:id="149" w:name="_Toc12942"/>
      <w:r>
        <w:rPr>
          <w:rFonts w:hint="eastAsia" w:ascii="仿宋" w:hAnsi="仿宋" w:eastAsia="仿宋" w:cs="仿宋_GB2312"/>
          <w:b/>
          <w:bCs/>
          <w:color w:val="auto"/>
          <w:sz w:val="36"/>
          <w:szCs w:val="36"/>
        </w:rPr>
        <w:t>第六篇  响应文件格式要求</w:t>
      </w:r>
      <w:bookmarkEnd w:id="146"/>
      <w:bookmarkEnd w:id="147"/>
      <w:bookmarkEnd w:id="148"/>
      <w:bookmarkEnd w:id="149"/>
    </w:p>
    <w:p>
      <w:pPr>
        <w:spacing w:line="360" w:lineRule="auto"/>
        <w:rPr>
          <w:rFonts w:ascii="仿宋" w:hAnsi="仿宋" w:eastAsia="仿宋"/>
          <w:b/>
          <w:bCs/>
          <w:color w:val="auto"/>
        </w:rPr>
      </w:pPr>
      <w:r>
        <w:rPr>
          <w:rFonts w:hint="eastAsia" w:ascii="仿宋" w:hAnsi="仿宋" w:eastAsia="仿宋"/>
          <w:b/>
          <w:bCs/>
          <w:color w:val="auto"/>
        </w:rPr>
        <w:t>一、经济部分</w:t>
      </w:r>
    </w:p>
    <w:p>
      <w:pPr>
        <w:spacing w:line="360" w:lineRule="auto"/>
        <w:ind w:firstLine="480" w:firstLineChars="200"/>
        <w:rPr>
          <w:rFonts w:ascii="仿宋" w:hAnsi="仿宋" w:eastAsia="仿宋"/>
          <w:color w:val="auto"/>
        </w:rPr>
      </w:pPr>
      <w:r>
        <w:rPr>
          <w:rFonts w:hint="eastAsia" w:ascii="仿宋" w:hAnsi="仿宋" w:eastAsia="仿宋"/>
          <w:color w:val="auto"/>
        </w:rPr>
        <w:t>（一）报价函</w:t>
      </w:r>
    </w:p>
    <w:p>
      <w:pPr>
        <w:spacing w:line="360" w:lineRule="auto"/>
        <w:ind w:firstLine="480" w:firstLineChars="200"/>
        <w:rPr>
          <w:rFonts w:ascii="仿宋" w:hAnsi="仿宋" w:eastAsia="仿宋"/>
          <w:color w:val="auto"/>
        </w:rPr>
      </w:pPr>
      <w:r>
        <w:rPr>
          <w:rFonts w:hint="eastAsia" w:ascii="仿宋" w:hAnsi="仿宋" w:eastAsia="仿宋"/>
          <w:color w:val="auto"/>
        </w:rPr>
        <w:t>（二）明细报价表</w:t>
      </w:r>
    </w:p>
    <w:p>
      <w:pPr>
        <w:spacing w:line="360" w:lineRule="auto"/>
        <w:rPr>
          <w:rFonts w:ascii="仿宋" w:hAnsi="仿宋" w:eastAsia="仿宋"/>
          <w:b/>
          <w:bCs/>
          <w:color w:val="auto"/>
        </w:rPr>
      </w:pPr>
      <w:r>
        <w:rPr>
          <w:rFonts w:hint="eastAsia" w:ascii="仿宋" w:hAnsi="仿宋" w:eastAsia="仿宋"/>
          <w:b/>
          <w:bCs/>
          <w:color w:val="auto"/>
        </w:rPr>
        <w:t>二、技术部分</w:t>
      </w:r>
    </w:p>
    <w:p>
      <w:pPr>
        <w:spacing w:line="360" w:lineRule="auto"/>
        <w:ind w:firstLine="480" w:firstLineChars="200"/>
        <w:rPr>
          <w:rFonts w:ascii="仿宋" w:hAnsi="仿宋" w:eastAsia="仿宋"/>
          <w:color w:val="auto"/>
        </w:rPr>
      </w:pPr>
      <w:r>
        <w:rPr>
          <w:rFonts w:hint="eastAsia" w:ascii="仿宋" w:hAnsi="仿宋" w:eastAsia="仿宋"/>
          <w:color w:val="auto"/>
        </w:rPr>
        <w:t>（一）技术应答</w:t>
      </w:r>
    </w:p>
    <w:p>
      <w:pPr>
        <w:spacing w:line="360" w:lineRule="auto"/>
        <w:ind w:firstLine="480" w:firstLineChars="200"/>
        <w:rPr>
          <w:rFonts w:ascii="仿宋" w:hAnsi="仿宋" w:eastAsia="仿宋"/>
          <w:color w:val="auto"/>
        </w:rPr>
      </w:pPr>
      <w:r>
        <w:rPr>
          <w:rFonts w:hint="eastAsia" w:ascii="仿宋" w:hAnsi="仿宋" w:eastAsia="仿宋"/>
          <w:color w:val="auto"/>
        </w:rPr>
        <w:t>（二）技术响应偏离表</w:t>
      </w:r>
    </w:p>
    <w:p>
      <w:pPr>
        <w:spacing w:line="360" w:lineRule="auto"/>
        <w:rPr>
          <w:rFonts w:ascii="仿宋" w:hAnsi="仿宋" w:eastAsia="仿宋"/>
          <w:b/>
          <w:bCs/>
          <w:color w:val="auto"/>
        </w:rPr>
      </w:pPr>
      <w:r>
        <w:rPr>
          <w:rFonts w:hint="eastAsia" w:ascii="仿宋" w:hAnsi="仿宋" w:eastAsia="仿宋"/>
          <w:b/>
          <w:bCs/>
          <w:color w:val="auto"/>
        </w:rPr>
        <w:t>三、商务部分</w:t>
      </w:r>
    </w:p>
    <w:p>
      <w:pPr>
        <w:spacing w:line="360" w:lineRule="auto"/>
        <w:ind w:firstLine="480" w:firstLineChars="200"/>
        <w:rPr>
          <w:rFonts w:ascii="仿宋" w:hAnsi="仿宋" w:eastAsia="仿宋"/>
          <w:color w:val="auto"/>
        </w:rPr>
      </w:pPr>
      <w:r>
        <w:rPr>
          <w:rFonts w:hint="eastAsia" w:ascii="仿宋" w:hAnsi="仿宋" w:eastAsia="仿宋"/>
          <w:color w:val="auto"/>
        </w:rPr>
        <w:t>（一）服务要求响应情况：交货时间、交货地点等。</w:t>
      </w:r>
    </w:p>
    <w:p>
      <w:pPr>
        <w:spacing w:line="360" w:lineRule="auto"/>
        <w:ind w:firstLine="480" w:firstLineChars="200"/>
        <w:rPr>
          <w:rFonts w:ascii="仿宋" w:hAnsi="仿宋" w:eastAsia="仿宋"/>
          <w:color w:val="auto"/>
        </w:rPr>
      </w:pPr>
      <w:r>
        <w:rPr>
          <w:rFonts w:hint="eastAsia" w:ascii="仿宋" w:hAnsi="仿宋" w:eastAsia="仿宋"/>
          <w:color w:val="auto"/>
        </w:rPr>
        <w:t>（一）商务响应偏离表</w:t>
      </w:r>
    </w:p>
    <w:p>
      <w:pPr>
        <w:spacing w:line="360" w:lineRule="auto"/>
        <w:ind w:firstLine="480" w:firstLineChars="200"/>
        <w:rPr>
          <w:rFonts w:ascii="仿宋" w:hAnsi="仿宋" w:eastAsia="仿宋"/>
          <w:color w:val="auto"/>
        </w:rPr>
      </w:pPr>
      <w:r>
        <w:rPr>
          <w:rFonts w:hint="eastAsia" w:ascii="仿宋" w:hAnsi="仿宋" w:eastAsia="仿宋"/>
          <w:color w:val="auto"/>
        </w:rPr>
        <w:t>（二）其它优惠承诺</w:t>
      </w:r>
    </w:p>
    <w:p>
      <w:pPr>
        <w:spacing w:line="360" w:lineRule="auto"/>
        <w:rPr>
          <w:rFonts w:ascii="仿宋" w:hAnsi="仿宋" w:eastAsia="仿宋"/>
          <w:b/>
          <w:bCs/>
          <w:color w:val="auto"/>
        </w:rPr>
      </w:pPr>
      <w:r>
        <w:rPr>
          <w:rFonts w:hint="eastAsia" w:ascii="仿宋" w:hAnsi="仿宋" w:eastAsia="仿宋"/>
          <w:b/>
          <w:bCs/>
          <w:color w:val="auto"/>
        </w:rPr>
        <w:t>四、资格条件及其他</w:t>
      </w:r>
    </w:p>
    <w:p>
      <w:pPr>
        <w:spacing w:line="360" w:lineRule="auto"/>
        <w:ind w:firstLine="480" w:firstLineChars="200"/>
        <w:rPr>
          <w:rFonts w:ascii="仿宋" w:hAnsi="仿宋" w:eastAsia="仿宋"/>
          <w:color w:val="auto"/>
        </w:rPr>
      </w:pPr>
      <w:r>
        <w:rPr>
          <w:rFonts w:hint="eastAsia" w:ascii="仿宋" w:hAnsi="仿宋" w:eastAsia="仿宋"/>
          <w:color w:val="auto"/>
        </w:rPr>
        <w:t>（一）营业执照（副本）或事业单位法人证书（副本）复印件或个体工商户营业执照</w:t>
      </w:r>
    </w:p>
    <w:p>
      <w:pPr>
        <w:spacing w:line="360" w:lineRule="auto"/>
        <w:ind w:firstLine="480" w:firstLineChars="200"/>
        <w:rPr>
          <w:rFonts w:ascii="仿宋" w:hAnsi="仿宋" w:eastAsia="仿宋"/>
          <w:color w:val="auto"/>
        </w:rPr>
      </w:pPr>
      <w:r>
        <w:rPr>
          <w:rFonts w:hint="eastAsia" w:ascii="仿宋" w:hAnsi="仿宋" w:eastAsia="仿宋"/>
          <w:color w:val="auto"/>
        </w:rPr>
        <w:t>（二）法定代表人身份证明书（格式）</w:t>
      </w:r>
    </w:p>
    <w:p>
      <w:pPr>
        <w:spacing w:line="360" w:lineRule="auto"/>
        <w:ind w:firstLine="480" w:firstLineChars="200"/>
        <w:rPr>
          <w:rFonts w:ascii="仿宋" w:hAnsi="仿宋" w:eastAsia="仿宋"/>
          <w:color w:val="auto"/>
        </w:rPr>
      </w:pPr>
      <w:r>
        <w:rPr>
          <w:rFonts w:hint="eastAsia" w:ascii="仿宋" w:hAnsi="仿宋" w:eastAsia="仿宋"/>
          <w:color w:val="auto"/>
        </w:rPr>
        <w:t>（三）法定代表人授权委托书（格式）</w:t>
      </w:r>
    </w:p>
    <w:p>
      <w:pPr>
        <w:spacing w:line="360" w:lineRule="auto"/>
        <w:ind w:firstLine="480" w:firstLineChars="200"/>
        <w:rPr>
          <w:rFonts w:ascii="仿宋" w:hAnsi="仿宋" w:eastAsia="仿宋"/>
          <w:color w:val="auto"/>
        </w:rPr>
      </w:pPr>
      <w:r>
        <w:rPr>
          <w:rFonts w:hint="eastAsia" w:ascii="仿宋" w:hAnsi="仿宋" w:eastAsia="仿宋"/>
          <w:color w:val="auto"/>
        </w:rPr>
        <w:t>（四）基本资格条件承诺函（格式）</w:t>
      </w:r>
    </w:p>
    <w:p>
      <w:pPr>
        <w:spacing w:line="360" w:lineRule="auto"/>
        <w:rPr>
          <w:rFonts w:ascii="仿宋" w:hAnsi="仿宋" w:eastAsia="仿宋"/>
          <w:b/>
          <w:bCs/>
          <w:color w:val="auto"/>
        </w:rPr>
      </w:pPr>
      <w:r>
        <w:rPr>
          <w:rFonts w:hint="eastAsia" w:ascii="仿宋" w:hAnsi="仿宋" w:eastAsia="仿宋"/>
          <w:b/>
          <w:bCs/>
          <w:color w:val="auto"/>
        </w:rPr>
        <w:t>五、其他应提供的资料</w:t>
      </w:r>
    </w:p>
    <w:p>
      <w:pPr>
        <w:spacing w:line="360" w:lineRule="auto"/>
        <w:ind w:firstLine="480" w:firstLineChars="200"/>
        <w:rPr>
          <w:rFonts w:ascii="仿宋" w:hAnsi="仿宋" w:eastAsia="仿宋"/>
          <w:color w:val="auto"/>
          <w:bdr w:val="single" w:color="auto" w:sz="4" w:space="0"/>
        </w:rPr>
        <w:sectPr>
          <w:headerReference r:id="rId10" w:type="default"/>
          <w:footerReference r:id="rId11"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color w:val="auto"/>
        </w:rPr>
        <w:t>（一）其他与项目有关的资料（自附）</w:t>
      </w:r>
    </w:p>
    <w:p>
      <w:pPr>
        <w:pStyle w:val="5"/>
        <w:spacing w:before="0" w:after="0" w:line="360" w:lineRule="auto"/>
        <w:rPr>
          <w:rFonts w:ascii="仿宋" w:hAnsi="仿宋" w:eastAsia="仿宋"/>
          <w:b/>
          <w:bCs/>
          <w:color w:val="auto"/>
          <w:sz w:val="24"/>
          <w:szCs w:val="24"/>
        </w:rPr>
      </w:pPr>
      <w:bookmarkStart w:id="150" w:name="_Toc487204797"/>
      <w:bookmarkStart w:id="151" w:name="_Toc14854"/>
      <w:bookmarkStart w:id="152" w:name="_Toc187068706"/>
      <w:bookmarkStart w:id="153" w:name="_Toc486585240"/>
      <w:bookmarkStart w:id="154" w:name="_Toc486608277"/>
      <w:bookmarkStart w:id="155" w:name="_Toc14834"/>
      <w:r>
        <w:rPr>
          <w:rFonts w:hint="eastAsia" w:ascii="仿宋" w:hAnsi="仿宋" w:eastAsia="仿宋"/>
          <w:b/>
          <w:bCs/>
          <w:color w:val="auto"/>
          <w:sz w:val="24"/>
          <w:szCs w:val="24"/>
        </w:rPr>
        <w:t>一、经济部分</w:t>
      </w:r>
      <w:bookmarkEnd w:id="150"/>
      <w:bookmarkEnd w:id="151"/>
      <w:bookmarkEnd w:id="152"/>
      <w:bookmarkEnd w:id="153"/>
      <w:bookmarkEnd w:id="154"/>
      <w:bookmarkEnd w:id="155"/>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（一）报价函</w:t>
      </w:r>
    </w:p>
    <w:p>
      <w:pPr>
        <w:tabs>
          <w:tab w:val="left" w:pos="6300"/>
        </w:tabs>
        <w:snapToGrid w:val="0"/>
        <w:spacing w:line="360" w:lineRule="auto"/>
        <w:ind w:firstLine="480" w:firstLineChars="200"/>
        <w:jc w:val="center"/>
        <w:rPr>
          <w:rFonts w:ascii="仿宋" w:hAnsi="仿宋" w:eastAsia="仿宋"/>
          <w:color w:val="auto"/>
        </w:rPr>
      </w:pPr>
      <w:r>
        <w:rPr>
          <w:rFonts w:hint="eastAsia" w:ascii="仿宋" w:hAnsi="仿宋" w:eastAsia="仿宋"/>
          <w:color w:val="auto"/>
        </w:rPr>
        <w:t>报价函</w:t>
      </w:r>
    </w:p>
    <w:p>
      <w:pPr>
        <w:tabs>
          <w:tab w:val="left" w:pos="6300"/>
        </w:tabs>
        <w:snapToGrid w:val="0"/>
        <w:spacing w:line="360" w:lineRule="auto"/>
        <w:rPr>
          <w:rFonts w:ascii="仿宋" w:hAnsi="仿宋" w:eastAsia="仿宋"/>
          <w:color w:val="auto"/>
        </w:rPr>
      </w:pPr>
      <w:r>
        <w:rPr>
          <w:rFonts w:hint="eastAsia" w:ascii="仿宋" w:hAnsi="仿宋" w:eastAsia="仿宋"/>
          <w:color w:val="auto"/>
          <w:u w:val="single"/>
        </w:rPr>
        <w:t>（采购代理机构名称）</w:t>
      </w:r>
      <w:r>
        <w:rPr>
          <w:rFonts w:hint="eastAsia" w:ascii="仿宋" w:hAnsi="仿宋" w:eastAsia="仿宋"/>
          <w:color w:val="auto"/>
        </w:rPr>
        <w:t>：</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我方收到____________________________（比选项目名称）的比选通知书，经详细研究，决定参加该项目的比选。</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1.愿意按照比选通知书中的一切要求，提供本项目的交货及技术服务，报价为人民币大写：    ；人民币小写：   元。</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2.我方现提交的响应文件为：响应文件正本  份，副本  份。</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3.我方承诺：本次比选的有效期为90天。</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4.我方完全理解和接受贵方比选通知书的一切规定和要求及比选评审办法。</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5.在整个比选过程中，我方若有违规行为，接受按照《中华人民共和国政府采购法》和《比选通知书》之规定给予惩罚。</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7.我方同意按比选通知书规定，交纳比选通知书要求的保证金。如果我方成为成交供应商，保证在接到成交通知书后，向采购代理机构交纳比选通知书规定的采购代理服务费。</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8.我方未为采购项目提供整体设计、规范编制或者项目管理、监理、检测等服务。</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供应商（公章）：</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地址：</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电话：            传真：</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网址：            邮编：</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联系人：</w:t>
      </w:r>
    </w:p>
    <w:p>
      <w:pPr>
        <w:snapToGrid w:val="0"/>
        <w:spacing w:line="360" w:lineRule="auto"/>
        <w:ind w:right="480" w:firstLine="480" w:firstLineChars="200"/>
        <w:rPr>
          <w:rFonts w:ascii="仿宋" w:hAnsi="仿宋" w:eastAsia="仿宋"/>
          <w:color w:val="auto"/>
        </w:rPr>
      </w:pPr>
      <w:r>
        <w:rPr>
          <w:rFonts w:hint="eastAsia" w:ascii="仿宋" w:hAnsi="仿宋" w:eastAsia="仿宋"/>
          <w:color w:val="auto"/>
        </w:rPr>
        <w:t xml:space="preserve">                               年   月   日</w:t>
      </w:r>
    </w:p>
    <w:p>
      <w:pPr>
        <w:spacing w:line="380" w:lineRule="exact"/>
        <w:rPr>
          <w:rFonts w:ascii="仿宋" w:hAnsi="仿宋" w:eastAsia="仿宋"/>
          <w:color w:val="auto"/>
        </w:rPr>
        <w:sectPr>
          <w:pgSz w:w="11907" w:h="16840"/>
          <w:pgMar w:top="1134" w:right="1191" w:bottom="1134" w:left="1304" w:header="454" w:footer="567" w:gutter="0"/>
          <w:pgNumType w:fmt="numberInDash"/>
          <w:cols w:space="720" w:num="1"/>
          <w:docGrid w:linePitch="326" w:charSpace="0"/>
        </w:sectPr>
      </w:pPr>
    </w:p>
    <w:p>
      <w:pPr>
        <w:tabs>
          <w:tab w:val="left" w:pos="2895"/>
        </w:tabs>
        <w:spacing w:line="380" w:lineRule="exact"/>
        <w:ind w:firstLine="480" w:firstLineChars="200"/>
        <w:rPr>
          <w:rFonts w:ascii="仿宋" w:hAnsi="仿宋" w:eastAsia="仿宋"/>
          <w:color w:val="auto"/>
        </w:rPr>
      </w:pPr>
      <w:r>
        <w:rPr>
          <w:rFonts w:hint="eastAsia" w:ascii="仿宋" w:hAnsi="仿宋" w:eastAsia="仿宋"/>
          <w:color w:val="auto"/>
        </w:rPr>
        <w:t>（二）明细报价表</w:t>
      </w:r>
    </w:p>
    <w:p>
      <w:pPr>
        <w:spacing w:line="360" w:lineRule="auto"/>
        <w:jc w:val="center"/>
        <w:rPr>
          <w:rFonts w:ascii="仿宋" w:hAnsi="仿宋" w:eastAsia="仿宋"/>
          <w:b/>
          <w:color w:val="auto"/>
        </w:rPr>
      </w:pPr>
      <w:r>
        <w:rPr>
          <w:rFonts w:hint="eastAsia" w:ascii="仿宋" w:hAnsi="仿宋" w:eastAsia="仿宋"/>
          <w:b/>
          <w:color w:val="auto"/>
        </w:rPr>
        <w:t>明细报价表</w:t>
      </w:r>
    </w:p>
    <w:p>
      <w:pPr>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项目号：                                  </w:t>
      </w:r>
    </w:p>
    <w:p>
      <w:pPr>
        <w:spacing w:line="400" w:lineRule="exact"/>
        <w:rPr>
          <w:rFonts w:ascii="仿宋_GB2312" w:hAnsi="仿宋_GB2312" w:eastAsia="仿宋_GB2312" w:cs="仿宋_GB2312"/>
          <w:color w:val="auto"/>
          <w:u w:val="single"/>
        </w:rPr>
      </w:pPr>
      <w:r>
        <w:rPr>
          <w:rFonts w:hint="eastAsia" w:ascii="仿宋_GB2312" w:hAnsi="仿宋_GB2312" w:eastAsia="仿宋_GB2312" w:cs="仿宋_GB2312"/>
          <w:color w:val="auto"/>
        </w:rPr>
        <w:t>项目名称：</w:t>
      </w:r>
    </w:p>
    <w:p>
      <w:pPr>
        <w:snapToGrid w:val="0"/>
        <w:spacing w:line="500" w:lineRule="exact"/>
        <w:rPr>
          <w:rFonts w:ascii="仿宋_GB2312" w:hAnsi="仿宋_GB2312" w:eastAsia="仿宋_GB2312" w:cs="仿宋_GB2312"/>
          <w:color w:val="auto"/>
          <w:szCs w:val="28"/>
        </w:rPr>
      </w:pPr>
    </w:p>
    <w:p>
      <w:pPr>
        <w:tabs>
          <w:tab w:val="left" w:pos="6300"/>
        </w:tabs>
        <w:snapToGrid w:val="0"/>
        <w:spacing w:line="360" w:lineRule="auto"/>
        <w:ind w:firstLine="480" w:firstLineChars="200"/>
        <w:rPr>
          <w:rFonts w:hint="default" w:ascii="仿宋" w:hAnsi="仿宋" w:eastAsia="仿宋"/>
          <w:color w:val="auto"/>
          <w:lang w:val="en-US" w:eastAsia="zh-CN"/>
        </w:rPr>
      </w:pPr>
      <w:r>
        <w:rPr>
          <w:rFonts w:hint="eastAsia" w:ascii="仿宋" w:hAnsi="仿宋" w:eastAsia="仿宋"/>
          <w:color w:val="auto"/>
        </w:rPr>
        <w:t>注：供应商</w:t>
      </w:r>
      <w:r>
        <w:rPr>
          <w:rFonts w:hint="eastAsia" w:ascii="仿宋" w:hAnsi="仿宋" w:eastAsia="仿宋"/>
          <w:color w:val="auto"/>
          <w:lang w:val="en-US" w:eastAsia="zh-CN"/>
        </w:rPr>
        <w:t>根据已发布的工程量清单进行填报。</w:t>
      </w:r>
    </w:p>
    <w:p>
      <w:pPr>
        <w:snapToGrid w:val="0"/>
        <w:spacing w:line="380" w:lineRule="exact"/>
        <w:rPr>
          <w:rFonts w:ascii="仿宋" w:hAnsi="仿宋" w:eastAsia="仿宋"/>
          <w:color w:val="auto"/>
        </w:rPr>
      </w:pPr>
    </w:p>
    <w:p>
      <w:pPr>
        <w:pStyle w:val="24"/>
        <w:spacing w:line="380" w:lineRule="exact"/>
        <w:rPr>
          <w:rFonts w:ascii="仿宋" w:hAnsi="仿宋" w:eastAsia="仿宋"/>
          <w:color w:val="auto"/>
        </w:rPr>
      </w:pPr>
    </w:p>
    <w:p>
      <w:pPr>
        <w:spacing w:line="380" w:lineRule="exact"/>
        <w:rPr>
          <w:rFonts w:ascii="仿宋" w:hAnsi="仿宋" w:eastAsia="仿宋"/>
          <w:color w:val="auto"/>
        </w:rPr>
      </w:pPr>
      <w:r>
        <w:rPr>
          <w:rFonts w:hint="eastAsia" w:ascii="仿宋" w:hAnsi="仿宋" w:eastAsia="仿宋"/>
          <w:color w:val="auto"/>
        </w:rPr>
        <w:t xml:space="preserve">                                                    供应商名称（公章）：</w:t>
      </w:r>
    </w:p>
    <w:p>
      <w:pPr>
        <w:spacing w:line="380" w:lineRule="exact"/>
        <w:ind w:right="480" w:firstLine="6480" w:firstLineChars="2700"/>
        <w:rPr>
          <w:rFonts w:ascii="仿宋" w:hAnsi="仿宋" w:eastAsia="仿宋"/>
          <w:color w:val="auto"/>
        </w:rPr>
      </w:pPr>
      <w:r>
        <w:rPr>
          <w:rFonts w:hint="eastAsia" w:ascii="仿宋" w:hAnsi="仿宋" w:eastAsia="仿宋"/>
          <w:color w:val="auto"/>
        </w:rPr>
        <w:t>年    月    日</w:t>
      </w:r>
    </w:p>
    <w:p>
      <w:pPr>
        <w:spacing w:line="380" w:lineRule="exact"/>
        <w:rPr>
          <w:rFonts w:ascii="仿宋" w:hAnsi="仿宋" w:eastAsia="仿宋"/>
          <w:color w:val="auto"/>
          <w:bdr w:val="single" w:color="auto" w:sz="4" w:space="0"/>
        </w:rPr>
        <w:sectPr>
          <w:pgSz w:w="11907" w:h="16840"/>
          <w:pgMar w:top="1134" w:right="1191" w:bottom="1134" w:left="1304" w:header="850" w:footer="992" w:gutter="0"/>
          <w:pgNumType w:fmt="numberInDash"/>
          <w:cols w:space="720" w:num="1"/>
          <w:docGrid w:linePitch="326" w:charSpace="0"/>
        </w:sectPr>
      </w:pPr>
    </w:p>
    <w:p>
      <w:pPr>
        <w:pStyle w:val="5"/>
        <w:spacing w:before="0" w:after="0" w:line="360" w:lineRule="auto"/>
        <w:rPr>
          <w:rFonts w:ascii="仿宋" w:hAnsi="仿宋" w:eastAsia="仿宋"/>
          <w:b/>
          <w:bCs/>
          <w:color w:val="auto"/>
          <w:sz w:val="24"/>
          <w:szCs w:val="24"/>
        </w:rPr>
      </w:pPr>
      <w:bookmarkStart w:id="156" w:name="_Toc487204798"/>
      <w:bookmarkStart w:id="157" w:name="_Toc486608278"/>
      <w:bookmarkStart w:id="158" w:name="_Toc486585241"/>
      <w:bookmarkStart w:id="159" w:name="_Toc187068707"/>
      <w:bookmarkStart w:id="160" w:name="_Toc10380"/>
      <w:bookmarkStart w:id="161" w:name="_Toc3192"/>
      <w:r>
        <w:rPr>
          <w:rFonts w:hint="eastAsia" w:ascii="仿宋" w:hAnsi="仿宋" w:eastAsia="仿宋"/>
          <w:b/>
          <w:bCs/>
          <w:color w:val="auto"/>
          <w:sz w:val="24"/>
          <w:szCs w:val="24"/>
        </w:rPr>
        <w:t>二、技术部分</w:t>
      </w:r>
      <w:bookmarkEnd w:id="156"/>
      <w:bookmarkEnd w:id="157"/>
      <w:bookmarkEnd w:id="158"/>
      <w:bookmarkEnd w:id="159"/>
      <w:bookmarkEnd w:id="160"/>
      <w:bookmarkEnd w:id="161"/>
    </w:p>
    <w:p>
      <w:pPr>
        <w:spacing w:line="360" w:lineRule="auto"/>
        <w:ind w:firstLine="480" w:firstLineChars="200"/>
        <w:rPr>
          <w:rFonts w:ascii="仿宋" w:hAnsi="仿宋" w:eastAsia="仿宋"/>
          <w:color w:val="auto"/>
        </w:rPr>
      </w:pPr>
      <w:r>
        <w:rPr>
          <w:rFonts w:hint="eastAsia" w:ascii="仿宋" w:hAnsi="仿宋" w:eastAsia="仿宋"/>
          <w:color w:val="auto"/>
        </w:rPr>
        <w:t>（一）技术应答（格式自拟）</w:t>
      </w: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pStyle w:val="13"/>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pStyle w:val="13"/>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rPr>
          <w:rFonts w:ascii="仿宋" w:hAnsi="仿宋" w:eastAsia="仿宋"/>
          <w:color w:val="auto"/>
        </w:rPr>
      </w:pPr>
      <w:r>
        <w:rPr>
          <w:rFonts w:hint="eastAsia" w:ascii="仿宋" w:hAnsi="仿宋" w:eastAsia="仿宋"/>
          <w:color w:val="auto"/>
        </w:rPr>
        <w:t>（二）技术响应偏离表</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项目名称：</w:t>
      </w:r>
    </w:p>
    <w:tbl>
      <w:tblPr>
        <w:tblStyle w:val="33"/>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rPr>
                <w:rFonts w:ascii="仿宋" w:hAnsi="仿宋" w:eastAsia="仿宋"/>
                <w:color w:val="auto"/>
              </w:rPr>
            </w:pPr>
            <w:r>
              <w:rPr>
                <w:rFonts w:hint="eastAsia" w:ascii="仿宋" w:hAnsi="仿宋" w:eastAsia="仿宋"/>
                <w:color w:val="auto"/>
              </w:rPr>
              <w:t>序号</w:t>
            </w:r>
          </w:p>
        </w:tc>
        <w:tc>
          <w:tcPr>
            <w:tcW w:w="2658" w:type="dxa"/>
            <w:vAlign w:val="center"/>
          </w:tcPr>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采购需求</w:t>
            </w:r>
          </w:p>
        </w:tc>
        <w:tc>
          <w:tcPr>
            <w:tcW w:w="2759" w:type="dxa"/>
            <w:vAlign w:val="center"/>
          </w:tcPr>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响应情况</w:t>
            </w:r>
          </w:p>
        </w:tc>
        <w:tc>
          <w:tcPr>
            <w:tcW w:w="2067" w:type="dxa"/>
            <w:vAlign w:val="center"/>
          </w:tcPr>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bl>
    <w:p>
      <w:pPr>
        <w:spacing w:line="500" w:lineRule="exact"/>
        <w:ind w:firstLine="600" w:firstLineChars="250"/>
        <w:rPr>
          <w:rFonts w:ascii="仿宋" w:hAnsi="仿宋" w:eastAsia="仿宋"/>
          <w:color w:val="auto"/>
        </w:rPr>
      </w:pPr>
      <w:r>
        <w:rPr>
          <w:rFonts w:hint="eastAsia" w:ascii="仿宋" w:hAnsi="仿宋" w:eastAsia="仿宋"/>
          <w:color w:val="auto"/>
        </w:rPr>
        <w:t>供应商：                                      法定代表人授权代表：</w:t>
      </w:r>
    </w:p>
    <w:p>
      <w:pPr>
        <w:spacing w:line="500" w:lineRule="exact"/>
        <w:rPr>
          <w:rFonts w:ascii="仿宋" w:hAnsi="仿宋" w:eastAsia="仿宋"/>
          <w:color w:val="auto"/>
        </w:rPr>
      </w:pPr>
    </w:p>
    <w:p>
      <w:pPr>
        <w:spacing w:line="500" w:lineRule="exact"/>
        <w:ind w:firstLine="720" w:firstLineChars="300"/>
        <w:rPr>
          <w:rFonts w:ascii="仿宋" w:hAnsi="仿宋" w:eastAsia="仿宋"/>
          <w:color w:val="auto"/>
        </w:rPr>
      </w:pPr>
      <w:r>
        <w:rPr>
          <w:rFonts w:hint="eastAsia" w:ascii="仿宋" w:hAnsi="仿宋" w:eastAsia="仿宋"/>
          <w:color w:val="auto"/>
        </w:rPr>
        <w:t>（供应商公章）                               （签字或盖章）</w:t>
      </w:r>
    </w:p>
    <w:p>
      <w:pPr>
        <w:tabs>
          <w:tab w:val="left" w:pos="6300"/>
        </w:tabs>
        <w:snapToGrid w:val="0"/>
        <w:spacing w:line="500" w:lineRule="exact"/>
        <w:ind w:firstLine="570"/>
        <w:rPr>
          <w:rFonts w:ascii="仿宋" w:hAnsi="仿宋" w:eastAsia="仿宋"/>
          <w:color w:val="auto"/>
        </w:rPr>
      </w:pPr>
      <w:r>
        <w:rPr>
          <w:rFonts w:hint="eastAsia" w:ascii="仿宋" w:hAnsi="仿宋" w:eastAsia="仿宋"/>
          <w:color w:val="auto"/>
        </w:rPr>
        <w:t xml:space="preserve">                                            年     月     日</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注：</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1.本表即为对本项目“第三篇  技术需求”中所列技术要求进行比较和响应；</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2.该表必须按照比选文件要求逐条如实填写，根据响应情况在“差异说明”项填写正偏离或负偏离及原因，完全符合的填写“无差异”；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3.该表可扩展，并逐页签字或盖章；</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4.可附相关技术支撑材料。（格式自定）</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ascii="仿宋" w:hAnsi="仿宋" w:eastAsia="仿宋"/>
          <w:b/>
          <w:bCs/>
          <w:color w:val="auto"/>
          <w:sz w:val="24"/>
          <w:szCs w:val="24"/>
        </w:rPr>
      </w:pPr>
      <w:r>
        <w:rPr>
          <w:rFonts w:hint="eastAsia" w:ascii="仿宋" w:hAnsi="仿宋" w:eastAsia="仿宋"/>
          <w:b/>
          <w:bCs/>
          <w:color w:val="auto"/>
          <w:sz w:val="24"/>
          <w:szCs w:val="24"/>
        </w:rPr>
        <w:br w:type="page"/>
      </w:r>
      <w:bookmarkStart w:id="162" w:name="_Toc487204799"/>
      <w:bookmarkStart w:id="163" w:name="_Toc486585242"/>
      <w:bookmarkStart w:id="164" w:name="_Toc17029"/>
      <w:bookmarkStart w:id="165" w:name="_Toc187068708"/>
      <w:bookmarkStart w:id="166" w:name="_Toc486608279"/>
      <w:bookmarkStart w:id="167" w:name="_Toc8044"/>
      <w:r>
        <w:rPr>
          <w:rFonts w:hint="eastAsia" w:ascii="仿宋" w:hAnsi="仿宋" w:eastAsia="仿宋"/>
          <w:b/>
          <w:bCs/>
          <w:color w:val="auto"/>
          <w:sz w:val="24"/>
          <w:szCs w:val="24"/>
        </w:rPr>
        <w:t>三、商务部分</w:t>
      </w:r>
      <w:bookmarkEnd w:id="162"/>
      <w:bookmarkEnd w:id="163"/>
      <w:bookmarkEnd w:id="164"/>
      <w:bookmarkEnd w:id="165"/>
      <w:bookmarkEnd w:id="166"/>
      <w:bookmarkEnd w:id="167"/>
    </w:p>
    <w:p>
      <w:pPr>
        <w:spacing w:line="360" w:lineRule="auto"/>
        <w:ind w:firstLine="480" w:firstLineChars="200"/>
        <w:rPr>
          <w:rFonts w:ascii="仿宋" w:hAnsi="仿宋" w:eastAsia="仿宋"/>
          <w:color w:val="auto"/>
        </w:rPr>
      </w:pPr>
      <w:r>
        <w:rPr>
          <w:rFonts w:hint="eastAsia" w:ascii="仿宋" w:hAnsi="仿宋" w:eastAsia="仿宋"/>
          <w:color w:val="auto"/>
        </w:rPr>
        <w:t>（一）按照商务要求进行响应，包括：服务时间、服务地点、付款方式等。</w:t>
      </w: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pStyle w:val="13"/>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pStyle w:val="13"/>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pStyle w:val="13"/>
        <w:rPr>
          <w:rFonts w:ascii="仿宋" w:hAnsi="仿宋" w:eastAsia="仿宋"/>
          <w:color w:val="auto"/>
        </w:rPr>
      </w:pPr>
    </w:p>
    <w:p>
      <w:pPr>
        <w:pStyle w:val="80"/>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r>
        <w:rPr>
          <w:rFonts w:hint="eastAsia" w:ascii="仿宋" w:hAnsi="仿宋" w:eastAsia="仿宋"/>
          <w:color w:val="auto"/>
        </w:rPr>
        <w:t>（二）商务响应偏离表</w:t>
      </w:r>
    </w:p>
    <w:p>
      <w:pPr>
        <w:snapToGrid w:val="0"/>
        <w:spacing w:line="360" w:lineRule="auto"/>
        <w:jc w:val="center"/>
        <w:rPr>
          <w:rFonts w:ascii="仿宋" w:hAnsi="仿宋" w:eastAsia="仿宋"/>
          <w:b/>
          <w:color w:val="auto"/>
        </w:rPr>
      </w:pPr>
      <w:r>
        <w:rPr>
          <w:rFonts w:hint="eastAsia" w:ascii="仿宋" w:hAnsi="仿宋" w:eastAsia="仿宋"/>
          <w:b/>
          <w:color w:val="auto"/>
        </w:rPr>
        <w:t>商务响应偏离表</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项目名称：</w:t>
      </w:r>
    </w:p>
    <w:tbl>
      <w:tblPr>
        <w:tblStyle w:val="3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10" w:type="dxa"/>
            <w:vAlign w:val="center"/>
          </w:tcPr>
          <w:p>
            <w:pPr>
              <w:jc w:val="center"/>
              <w:rPr>
                <w:rFonts w:ascii="仿宋" w:hAnsi="仿宋" w:eastAsia="仿宋"/>
                <w:color w:val="auto"/>
              </w:rPr>
            </w:pPr>
            <w:r>
              <w:rPr>
                <w:rFonts w:hint="eastAsia" w:ascii="仿宋" w:hAnsi="仿宋" w:eastAsia="仿宋"/>
                <w:color w:val="auto"/>
              </w:rPr>
              <w:t>序号</w:t>
            </w:r>
          </w:p>
        </w:tc>
        <w:tc>
          <w:tcPr>
            <w:tcW w:w="3179" w:type="dxa"/>
            <w:vAlign w:val="center"/>
          </w:tcPr>
          <w:p>
            <w:pPr>
              <w:jc w:val="center"/>
              <w:rPr>
                <w:rFonts w:ascii="仿宋" w:hAnsi="仿宋" w:eastAsia="仿宋"/>
                <w:color w:val="auto"/>
              </w:rPr>
            </w:pPr>
            <w:r>
              <w:rPr>
                <w:rFonts w:hint="eastAsia" w:ascii="仿宋" w:hAnsi="仿宋" w:eastAsia="仿宋"/>
                <w:color w:val="auto"/>
              </w:rPr>
              <w:t>比选项目需求</w:t>
            </w:r>
          </w:p>
        </w:tc>
        <w:tc>
          <w:tcPr>
            <w:tcW w:w="2434" w:type="dxa"/>
            <w:vAlign w:val="center"/>
          </w:tcPr>
          <w:p>
            <w:pPr>
              <w:jc w:val="center"/>
              <w:rPr>
                <w:rFonts w:ascii="仿宋" w:hAnsi="仿宋" w:eastAsia="仿宋"/>
                <w:color w:val="auto"/>
              </w:rPr>
            </w:pPr>
            <w:r>
              <w:rPr>
                <w:rFonts w:hint="eastAsia" w:ascii="仿宋" w:hAnsi="仿宋" w:eastAsia="仿宋"/>
                <w:color w:val="auto"/>
              </w:rPr>
              <w:t>响应情况</w:t>
            </w:r>
          </w:p>
        </w:tc>
        <w:tc>
          <w:tcPr>
            <w:tcW w:w="2355" w:type="dxa"/>
            <w:vAlign w:val="center"/>
          </w:tcPr>
          <w:p>
            <w:pPr>
              <w:jc w:val="center"/>
              <w:rPr>
                <w:rFonts w:ascii="仿宋" w:hAnsi="仿宋" w:eastAsia="仿宋"/>
                <w:color w:val="auto"/>
              </w:rPr>
            </w:pPr>
            <w:r>
              <w:rPr>
                <w:rFonts w:hint="eastAsia" w:ascii="仿宋" w:hAnsi="仿宋" w:eastAsia="仿宋"/>
                <w:color w:val="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bl>
    <w:p>
      <w:pPr>
        <w:spacing w:line="500" w:lineRule="exact"/>
        <w:ind w:firstLine="600" w:firstLineChars="250"/>
        <w:rPr>
          <w:rFonts w:ascii="仿宋" w:hAnsi="仿宋" w:eastAsia="仿宋"/>
          <w:color w:val="auto"/>
        </w:rPr>
      </w:pPr>
      <w:r>
        <w:rPr>
          <w:rFonts w:hint="eastAsia" w:ascii="仿宋" w:hAnsi="仿宋" w:eastAsia="仿宋"/>
          <w:color w:val="auto"/>
        </w:rPr>
        <w:t>供应商：                                      法定代表人授权代表：</w:t>
      </w:r>
    </w:p>
    <w:p>
      <w:pPr>
        <w:spacing w:line="500" w:lineRule="exact"/>
        <w:ind w:firstLine="360" w:firstLineChars="150"/>
        <w:rPr>
          <w:rFonts w:ascii="仿宋" w:hAnsi="仿宋" w:eastAsia="仿宋"/>
          <w:color w:val="auto"/>
        </w:rPr>
      </w:pPr>
      <w:r>
        <w:rPr>
          <w:rFonts w:hint="eastAsia" w:ascii="仿宋" w:hAnsi="仿宋" w:eastAsia="仿宋"/>
          <w:color w:val="auto"/>
        </w:rPr>
        <w:t>（供应商公章）                                 （签字或盖章）</w:t>
      </w:r>
    </w:p>
    <w:p>
      <w:pPr>
        <w:tabs>
          <w:tab w:val="left" w:pos="6300"/>
        </w:tabs>
        <w:snapToGrid w:val="0"/>
        <w:spacing w:line="500" w:lineRule="exact"/>
        <w:ind w:firstLine="570"/>
        <w:rPr>
          <w:rFonts w:ascii="仿宋" w:hAnsi="仿宋" w:eastAsia="仿宋"/>
          <w:color w:val="auto"/>
        </w:rPr>
      </w:pPr>
      <w:r>
        <w:rPr>
          <w:rFonts w:hint="eastAsia" w:ascii="仿宋" w:hAnsi="仿宋" w:eastAsia="仿宋"/>
          <w:color w:val="auto"/>
        </w:rPr>
        <w:t xml:space="preserve">                                            年     月     日</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注：</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1.本表即为对本项目“第四篇 商务要求”中所列服务要求进行比较和响应；</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2.该表必须按照比选要求逐条如实填写，根据响应情况在“差异说明”项填写正偏离或负偏离及原因，完全符合的填写“无差异”；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3.该表可扩展，并逐页签字或盖章；</w:t>
      </w:r>
    </w:p>
    <w:p>
      <w:pPr>
        <w:tabs>
          <w:tab w:val="left" w:pos="6300"/>
        </w:tabs>
        <w:snapToGrid w:val="0"/>
        <w:spacing w:line="360" w:lineRule="auto"/>
        <w:ind w:firstLine="480" w:firstLineChars="200"/>
        <w:rPr>
          <w:rFonts w:ascii="仿宋" w:hAnsi="仿宋" w:eastAsia="仿宋"/>
          <w:color w:val="auto"/>
          <w:u w:val="single"/>
        </w:rPr>
      </w:pPr>
      <w:r>
        <w:rPr>
          <w:rFonts w:hint="eastAsia" w:ascii="仿宋" w:hAnsi="仿宋" w:eastAsia="仿宋"/>
          <w:color w:val="auto"/>
        </w:rPr>
        <w:t>4.若“响应情况”栏中仅填写“无偏离”或“有偏离”等内容而未作实质性参数描述，该供应商将失去成为成交供应商的资格，仅保留其合格供应商的身份。</w:t>
      </w:r>
    </w:p>
    <w:p>
      <w:pPr>
        <w:spacing w:line="380" w:lineRule="exact"/>
        <w:ind w:firstLine="480" w:firstLineChars="200"/>
        <w:rPr>
          <w:rFonts w:ascii="仿宋" w:hAnsi="仿宋" w:eastAsia="仿宋"/>
          <w:color w:val="auto"/>
        </w:rPr>
      </w:pPr>
      <w:r>
        <w:rPr>
          <w:rFonts w:hint="eastAsia" w:ascii="仿宋" w:hAnsi="仿宋" w:eastAsia="仿宋"/>
          <w:color w:val="auto"/>
        </w:rPr>
        <w:br w:type="page"/>
      </w:r>
      <w:r>
        <w:rPr>
          <w:rFonts w:hint="eastAsia" w:ascii="仿宋" w:hAnsi="仿宋" w:eastAsia="仿宋"/>
          <w:color w:val="auto"/>
        </w:rPr>
        <w:t>（三）其它优惠承诺（格式自定）</w:t>
      </w:r>
    </w:p>
    <w:p>
      <w:pPr>
        <w:pStyle w:val="5"/>
        <w:spacing w:before="0" w:after="0" w:line="360" w:lineRule="auto"/>
        <w:rPr>
          <w:rFonts w:ascii="仿宋" w:hAnsi="仿宋" w:eastAsia="仿宋"/>
          <w:b/>
          <w:bCs/>
          <w:color w:val="auto"/>
          <w:sz w:val="24"/>
          <w:szCs w:val="24"/>
        </w:rPr>
      </w:pPr>
      <w:r>
        <w:rPr>
          <w:rFonts w:hint="eastAsia" w:ascii="仿宋" w:hAnsi="仿宋" w:eastAsia="仿宋"/>
          <w:b/>
          <w:bCs/>
          <w:color w:val="auto"/>
          <w:sz w:val="24"/>
          <w:szCs w:val="24"/>
        </w:rPr>
        <w:br w:type="page"/>
      </w:r>
      <w:bookmarkStart w:id="168" w:name="_Toc8290"/>
      <w:bookmarkStart w:id="169" w:name="_Toc187068709"/>
      <w:bookmarkStart w:id="170" w:name="_Toc487204800"/>
      <w:bookmarkStart w:id="171" w:name="_Toc23557"/>
      <w:bookmarkStart w:id="172" w:name="_Toc486608280"/>
      <w:bookmarkStart w:id="173" w:name="_Toc486585243"/>
      <w:bookmarkStart w:id="174" w:name="_Toc10289"/>
      <w:r>
        <w:rPr>
          <w:rFonts w:hint="eastAsia" w:ascii="仿宋" w:hAnsi="仿宋" w:eastAsia="仿宋"/>
          <w:b/>
          <w:bCs/>
          <w:color w:val="auto"/>
          <w:sz w:val="24"/>
          <w:szCs w:val="24"/>
        </w:rPr>
        <w:t>四、资格条件及其他</w:t>
      </w:r>
      <w:bookmarkEnd w:id="168"/>
      <w:bookmarkEnd w:id="169"/>
      <w:bookmarkEnd w:id="170"/>
      <w:bookmarkEnd w:id="171"/>
      <w:bookmarkEnd w:id="172"/>
      <w:bookmarkEnd w:id="173"/>
      <w:bookmarkEnd w:id="174"/>
    </w:p>
    <w:p>
      <w:pPr>
        <w:spacing w:line="420" w:lineRule="exact"/>
        <w:ind w:firstLine="480" w:firstLineChars="200"/>
        <w:rPr>
          <w:rFonts w:ascii="仿宋" w:hAnsi="仿宋" w:eastAsia="仿宋" w:cs="仿宋"/>
          <w:color w:val="auto"/>
        </w:rPr>
      </w:pPr>
      <w:r>
        <w:rPr>
          <w:rFonts w:hint="eastAsia" w:ascii="仿宋" w:hAnsi="仿宋" w:eastAsia="仿宋" w:cs="仿宋"/>
          <w:color w:val="auto"/>
        </w:rPr>
        <w:t>（一）营业执照（副本）或事业单位法人证书（副本）复印件或个体工商户营业执照</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spacing w:line="360" w:lineRule="auto"/>
        <w:ind w:firstLine="480" w:firstLineChars="200"/>
        <w:rPr>
          <w:rFonts w:ascii="仿宋" w:hAnsi="仿宋" w:eastAsia="仿宋"/>
          <w:color w:val="auto"/>
        </w:rPr>
      </w:pPr>
      <w:r>
        <w:rPr>
          <w:rFonts w:hint="eastAsia" w:ascii="仿宋" w:hAnsi="仿宋" w:eastAsia="仿宋"/>
          <w:color w:val="auto"/>
        </w:rPr>
        <w:br w:type="page"/>
      </w:r>
      <w:r>
        <w:rPr>
          <w:rFonts w:hint="eastAsia" w:ascii="仿宋" w:hAnsi="仿宋" w:eastAsia="仿宋"/>
          <w:color w:val="auto"/>
        </w:rPr>
        <w:t>（二）法定代表人身份证明书（格式）</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项目名称：</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致：</w:t>
      </w:r>
      <w:r>
        <w:rPr>
          <w:rFonts w:hint="eastAsia" w:ascii="仿宋" w:hAnsi="仿宋" w:eastAsia="仿宋"/>
          <w:color w:val="auto"/>
          <w:u w:val="single"/>
        </w:rPr>
        <w:t>（采购代理机构名称）</w:t>
      </w:r>
      <w:r>
        <w:rPr>
          <w:rFonts w:hint="eastAsia" w:ascii="仿宋" w:hAnsi="仿宋" w:eastAsia="仿宋"/>
          <w:color w:val="auto"/>
        </w:rPr>
        <w:t>：</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u w:val="single"/>
        </w:rPr>
        <w:t>（法定代表人姓名）</w:t>
      </w:r>
      <w:r>
        <w:rPr>
          <w:rFonts w:hint="eastAsia" w:ascii="仿宋" w:hAnsi="仿宋" w:eastAsia="仿宋"/>
          <w:color w:val="auto"/>
        </w:rPr>
        <w:t>在</w:t>
      </w:r>
      <w:r>
        <w:rPr>
          <w:rFonts w:hint="eastAsia" w:ascii="仿宋" w:hAnsi="仿宋" w:eastAsia="仿宋"/>
          <w:color w:val="auto"/>
          <w:u w:val="single"/>
        </w:rPr>
        <w:t>（供应商名称）</w:t>
      </w:r>
      <w:r>
        <w:rPr>
          <w:rFonts w:hint="eastAsia" w:ascii="仿宋" w:hAnsi="仿宋" w:eastAsia="仿宋"/>
          <w:color w:val="auto"/>
        </w:rPr>
        <w:t>任</w:t>
      </w:r>
      <w:r>
        <w:rPr>
          <w:rFonts w:hint="eastAsia" w:ascii="仿宋" w:hAnsi="仿宋" w:eastAsia="仿宋"/>
          <w:color w:val="auto"/>
          <w:u w:val="single"/>
        </w:rPr>
        <w:t>（职务名称）</w:t>
      </w:r>
      <w:r>
        <w:rPr>
          <w:rFonts w:hint="eastAsia" w:ascii="仿宋" w:hAnsi="仿宋" w:eastAsia="仿宋"/>
          <w:color w:val="auto"/>
        </w:rPr>
        <w:t>职务，是</w:t>
      </w:r>
      <w:r>
        <w:rPr>
          <w:rFonts w:hint="eastAsia" w:ascii="仿宋" w:hAnsi="仿宋" w:eastAsia="仿宋"/>
          <w:color w:val="auto"/>
          <w:u w:val="single"/>
        </w:rPr>
        <w:t>（供应商名称）</w:t>
      </w:r>
      <w:r>
        <w:rPr>
          <w:rFonts w:hint="eastAsia" w:ascii="仿宋" w:hAnsi="仿宋" w:eastAsia="仿宋"/>
          <w:color w:val="auto"/>
        </w:rPr>
        <w:t>的法定代表人。</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特此证明。</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 xml:space="preserve">                                             （供应商公章）</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 xml:space="preserve">                                             年   月   日</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（附：法定代表人身份证正反面复印件）</w:t>
      </w: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br w:type="column"/>
      </w:r>
      <w:r>
        <w:rPr>
          <w:rFonts w:hint="eastAsia" w:ascii="仿宋" w:hAnsi="仿宋" w:eastAsia="仿宋"/>
          <w:color w:val="auto"/>
        </w:rPr>
        <w:t>（三）法定代表人授权委托书（格式）</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项目名称：</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致：</w:t>
      </w:r>
      <w:r>
        <w:rPr>
          <w:rFonts w:hint="eastAsia" w:ascii="仿宋" w:hAnsi="仿宋" w:eastAsia="仿宋"/>
          <w:color w:val="auto"/>
          <w:u w:val="single"/>
        </w:rPr>
        <w:t>（采购代理机构名称）</w:t>
      </w:r>
      <w:r>
        <w:rPr>
          <w:rFonts w:hint="eastAsia" w:ascii="仿宋" w:hAnsi="仿宋" w:eastAsia="仿宋"/>
          <w:color w:val="auto"/>
        </w:rPr>
        <w:t>：</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u w:val="single"/>
        </w:rPr>
        <w:t>（供应商法定代表人名称）</w:t>
      </w:r>
      <w:r>
        <w:rPr>
          <w:rFonts w:hint="eastAsia" w:ascii="仿宋" w:hAnsi="仿宋" w:eastAsia="仿宋"/>
          <w:color w:val="auto"/>
        </w:rPr>
        <w:t>是</w:t>
      </w:r>
      <w:r>
        <w:rPr>
          <w:rFonts w:hint="eastAsia" w:ascii="仿宋" w:hAnsi="仿宋" w:eastAsia="仿宋"/>
          <w:color w:val="auto"/>
          <w:u w:val="single"/>
        </w:rPr>
        <w:t>（供应商名称）</w:t>
      </w:r>
      <w:r>
        <w:rPr>
          <w:rFonts w:hint="eastAsia" w:ascii="仿宋" w:hAnsi="仿宋" w:eastAsia="仿宋"/>
          <w:color w:val="auto"/>
        </w:rPr>
        <w:t>的法定代表人，特授权</w:t>
      </w:r>
      <w:r>
        <w:rPr>
          <w:rFonts w:hint="eastAsia" w:ascii="仿宋" w:hAnsi="仿宋" w:eastAsia="仿宋"/>
          <w:color w:val="auto"/>
          <w:u w:val="single"/>
        </w:rPr>
        <w:t>（被授权人姓名及身份证代码）</w:t>
      </w:r>
      <w:r>
        <w:rPr>
          <w:rFonts w:hint="eastAsia" w:ascii="仿宋" w:hAnsi="仿宋" w:eastAsia="仿宋"/>
          <w:color w:val="auto"/>
        </w:rPr>
        <w:t>代表我单位全权办理上述项目的比选、签约等具体工作，并签署全部有关文件、协议及合同。</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我单位对被授权人的签字负全部责任。</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被授权人：                                   供应商法定代表人：</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（签字或盖章）                              （签字或盖章）</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（附：被授权人身份证正反面复印件）</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right="480" w:firstLine="570"/>
        <w:jc w:val="right"/>
        <w:rPr>
          <w:rFonts w:ascii="仿宋" w:hAnsi="仿宋" w:eastAsia="仿宋"/>
          <w:color w:val="auto"/>
        </w:rPr>
      </w:pPr>
      <w:r>
        <w:rPr>
          <w:rFonts w:hint="eastAsia" w:ascii="仿宋" w:hAnsi="仿宋" w:eastAsia="仿宋"/>
          <w:color w:val="auto"/>
        </w:rPr>
        <w:t>（供应商公章）</w:t>
      </w:r>
    </w:p>
    <w:p>
      <w:pPr>
        <w:tabs>
          <w:tab w:val="left" w:pos="6300"/>
        </w:tabs>
        <w:snapToGrid w:val="0"/>
        <w:spacing w:line="360" w:lineRule="auto"/>
        <w:ind w:right="480" w:firstLine="570"/>
        <w:jc w:val="right"/>
        <w:rPr>
          <w:rFonts w:ascii="仿宋" w:hAnsi="仿宋" w:eastAsia="仿宋"/>
          <w:color w:val="auto"/>
        </w:rPr>
      </w:pPr>
      <w:r>
        <w:rPr>
          <w:rFonts w:hint="eastAsia" w:ascii="仿宋" w:hAnsi="仿宋" w:eastAsia="仿宋"/>
          <w:color w:val="auto"/>
        </w:rPr>
        <w:t>年   月   日</w:t>
      </w: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（四）基本资格条件承诺函</w:t>
      </w:r>
    </w:p>
    <w:p>
      <w:pPr>
        <w:tabs>
          <w:tab w:val="left" w:pos="6300"/>
        </w:tabs>
        <w:snapToGrid w:val="0"/>
        <w:spacing w:line="500" w:lineRule="exact"/>
        <w:rPr>
          <w:rFonts w:ascii="仿宋" w:hAnsi="仿宋" w:eastAsia="仿宋" w:cs="仿宋"/>
          <w:color w:val="auto"/>
        </w:rPr>
      </w:pPr>
    </w:p>
    <w:p>
      <w:pPr>
        <w:tabs>
          <w:tab w:val="left" w:pos="6300"/>
        </w:tabs>
        <w:snapToGrid w:val="0"/>
        <w:spacing w:line="500" w:lineRule="exact"/>
        <w:ind w:firstLine="640" w:firstLineChars="200"/>
        <w:jc w:val="center"/>
        <w:rPr>
          <w:rFonts w:ascii="仿宋" w:hAnsi="仿宋" w:eastAsia="仿宋" w:cs="仿宋"/>
          <w:color w:val="auto"/>
          <w:sz w:val="32"/>
          <w:szCs w:val="32"/>
        </w:rPr>
      </w:pPr>
      <w:r>
        <w:rPr>
          <w:rFonts w:hint="eastAsia" w:ascii="仿宋" w:hAnsi="仿宋" w:eastAsia="仿宋" w:cs="仿宋"/>
          <w:color w:val="auto"/>
          <w:sz w:val="32"/>
          <w:szCs w:val="32"/>
        </w:rPr>
        <w:t>基本资格条件承诺函</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致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（采购代理机构名称）：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（投标人名称）郑重承诺：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pPr>
        <w:pStyle w:val="13"/>
        <w:rPr>
          <w:color w:val="auto"/>
        </w:rPr>
      </w:pP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                                               （投标人公章）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                                              年     月      日</w:t>
      </w:r>
    </w:p>
    <w:p>
      <w:pPr>
        <w:tabs>
          <w:tab w:val="left" w:pos="6300"/>
        </w:tabs>
        <w:snapToGrid w:val="0"/>
        <w:spacing w:line="500" w:lineRule="exact"/>
        <w:rPr>
          <w:rFonts w:ascii="仿宋" w:hAnsi="仿宋" w:eastAsia="仿宋" w:cs="仿宋"/>
          <w:color w:val="auto"/>
        </w:rPr>
      </w:pPr>
      <w:r>
        <w:rPr>
          <w:rFonts w:ascii="仿宋" w:hAnsi="仿宋" w:eastAsia="仿宋" w:cs="仿宋"/>
          <w:color w:val="auto"/>
        </w:rPr>
        <w:br w:type="page"/>
      </w:r>
    </w:p>
    <w:p>
      <w:pPr>
        <w:pStyle w:val="5"/>
        <w:rPr>
          <w:rFonts w:ascii="仿宋" w:hAnsi="仿宋" w:eastAsia="仿宋"/>
          <w:b/>
          <w:bCs/>
          <w:color w:val="auto"/>
          <w:sz w:val="24"/>
          <w:szCs w:val="24"/>
        </w:rPr>
      </w:pPr>
      <w:bookmarkStart w:id="175" w:name="_Toc29032"/>
      <w:bookmarkStart w:id="176" w:name="_Toc11824"/>
      <w:bookmarkStart w:id="177" w:name="_Toc487204801"/>
      <w:bookmarkStart w:id="178" w:name="_Toc486608281"/>
      <w:bookmarkStart w:id="179" w:name="_Toc486585244"/>
      <w:bookmarkStart w:id="180" w:name="_Toc25958"/>
      <w:bookmarkStart w:id="181" w:name="_Toc187068710"/>
      <w:r>
        <w:rPr>
          <w:rFonts w:hint="eastAsia" w:ascii="仿宋" w:hAnsi="仿宋" w:eastAsia="仿宋"/>
          <w:b/>
          <w:bCs/>
          <w:color w:val="auto"/>
          <w:sz w:val="24"/>
          <w:szCs w:val="24"/>
        </w:rPr>
        <w:t>五、其他应提供的资料</w:t>
      </w:r>
      <w:bookmarkEnd w:id="175"/>
      <w:bookmarkEnd w:id="176"/>
      <w:bookmarkEnd w:id="177"/>
      <w:bookmarkEnd w:id="178"/>
      <w:bookmarkEnd w:id="179"/>
      <w:bookmarkEnd w:id="180"/>
      <w:bookmarkEnd w:id="181"/>
    </w:p>
    <w:p>
      <w:pPr>
        <w:spacing w:line="380" w:lineRule="exact"/>
        <w:rPr>
          <w:rFonts w:ascii="仿宋" w:hAnsi="仿宋" w:eastAsia="仿宋"/>
          <w:color w:val="auto"/>
        </w:rPr>
      </w:pPr>
      <w:r>
        <w:rPr>
          <w:rFonts w:hint="eastAsia" w:ascii="仿宋" w:hAnsi="仿宋" w:eastAsia="仿宋"/>
          <w:color w:val="auto"/>
        </w:rPr>
        <w:t>（一）其他与项目有关的资料（如有）</w:t>
      </w:r>
    </w:p>
    <w:p>
      <w:pPr>
        <w:spacing w:line="380" w:lineRule="exact"/>
        <w:rPr>
          <w:rFonts w:ascii="仿宋" w:hAnsi="仿宋" w:eastAsia="仿宋"/>
          <w:color w:val="auto"/>
        </w:rPr>
      </w:pPr>
      <w:r>
        <w:rPr>
          <w:rFonts w:hint="eastAsia" w:ascii="仿宋" w:hAnsi="仿宋" w:eastAsia="仿宋"/>
          <w:color w:val="auto"/>
        </w:rPr>
        <w:t>其他与项目有关的资料（自附）：供应商总体情况介绍、其他与本项目有关的资料等。</w:t>
      </w:r>
    </w:p>
    <w:p>
      <w:pPr>
        <w:spacing w:line="380" w:lineRule="exact"/>
        <w:rPr>
          <w:rFonts w:ascii="仿宋" w:hAnsi="仿宋" w:eastAsia="仿宋"/>
          <w:color w:val="auto"/>
        </w:rPr>
      </w:pPr>
    </w:p>
    <w:p>
      <w:pPr>
        <w:spacing w:line="380" w:lineRule="exact"/>
        <w:rPr>
          <w:rFonts w:ascii="仿宋" w:hAnsi="仿宋" w:eastAsia="仿宋"/>
          <w:color w:val="auto"/>
        </w:rPr>
      </w:pPr>
    </w:p>
    <w:p>
      <w:pPr>
        <w:rPr>
          <w:rFonts w:ascii="仿宋" w:hAnsi="仿宋" w:eastAsia="仿宋"/>
          <w:color w:val="auto"/>
        </w:rPr>
      </w:pPr>
    </w:p>
    <w:p>
      <w:pP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r>
        <w:rPr>
          <w:rFonts w:hint="eastAsia" w:ascii="仿宋" w:hAnsi="仿宋" w:eastAsia="仿宋"/>
          <w:color w:val="auto"/>
        </w:rPr>
        <w:t>（结束）</w:t>
      </w: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pStyle w:val="13"/>
        <w:rPr>
          <w:rFonts w:ascii="仿宋" w:hAnsi="仿宋" w:eastAsia="仿宋"/>
          <w:color w:val="auto"/>
        </w:rPr>
      </w:pPr>
    </w:p>
    <w:p>
      <w:pPr>
        <w:pStyle w:val="13"/>
        <w:rPr>
          <w:rFonts w:ascii="仿宋" w:hAnsi="仿宋" w:eastAsia="仿宋"/>
          <w:color w:val="auto"/>
        </w:rPr>
      </w:pPr>
    </w:p>
    <w:p>
      <w:pPr>
        <w:rPr>
          <w:color w:val="auto"/>
          <w:lang w:val="zh-CN"/>
        </w:rPr>
      </w:pPr>
    </w:p>
    <w:p>
      <w:pPr>
        <w:pStyle w:val="99"/>
        <w:jc w:val="both"/>
        <w:rPr>
          <w:rFonts w:ascii="仿宋" w:hAnsi="仿宋" w:eastAsia="仿宋" w:cs="仿宋"/>
          <w:color w:val="auto"/>
          <w:sz w:val="36"/>
          <w:szCs w:val="36"/>
        </w:rPr>
      </w:pPr>
      <w:bookmarkStart w:id="182" w:name="_Toc23244"/>
      <w:bookmarkStart w:id="183" w:name="_Toc2092"/>
      <w:bookmarkStart w:id="184" w:name="_Toc187068711"/>
      <w:bookmarkStart w:id="185" w:name="_Toc3096"/>
      <w:r>
        <w:rPr>
          <w:rFonts w:hint="eastAsia" w:ascii="仿宋" w:hAnsi="仿宋" w:eastAsia="仿宋" w:cs="仿宋"/>
          <w:color w:val="auto"/>
          <w:sz w:val="36"/>
          <w:szCs w:val="36"/>
        </w:rPr>
        <w:t>附件1：</w:t>
      </w:r>
      <w:bookmarkEnd w:id="182"/>
      <w:bookmarkEnd w:id="183"/>
      <w:bookmarkEnd w:id="184"/>
      <w:bookmarkEnd w:id="185"/>
    </w:p>
    <w:p>
      <w:pPr>
        <w:jc w:val="center"/>
        <w:rPr>
          <w:rFonts w:ascii="仿宋" w:hAnsi="仿宋" w:eastAsia="仿宋"/>
          <w:b/>
          <w:bCs/>
          <w:color w:val="auto"/>
          <w:sz w:val="44"/>
          <w:szCs w:val="44"/>
        </w:rPr>
      </w:pPr>
      <w:r>
        <w:rPr>
          <w:rFonts w:hint="eastAsia" w:ascii="仿宋" w:hAnsi="仿宋" w:eastAsia="仿宋"/>
          <w:b/>
          <w:bCs/>
          <w:color w:val="auto"/>
          <w:sz w:val="44"/>
          <w:szCs w:val="44"/>
        </w:rPr>
        <w:t>采购文件发售登记表</w:t>
      </w:r>
    </w:p>
    <w:p>
      <w:pPr>
        <w:jc w:val="center"/>
        <w:rPr>
          <w:rFonts w:ascii="仿宋" w:hAnsi="仿宋" w:eastAsia="仿宋"/>
          <w:b/>
          <w:bCs/>
          <w:color w:val="auto"/>
          <w:sz w:val="44"/>
          <w:szCs w:val="44"/>
        </w:rPr>
      </w:pPr>
      <w:r>
        <w:rPr>
          <w:rFonts w:hint="eastAsia" w:ascii="仿宋" w:hAnsi="仿宋" w:eastAsia="仿宋"/>
          <w:b/>
          <w:bCs/>
          <w:color w:val="auto"/>
          <w:szCs w:val="21"/>
        </w:rPr>
        <w:t>（重庆市汇昊招标代理有限公司）</w:t>
      </w:r>
    </w:p>
    <w:p>
      <w:pPr>
        <w:rPr>
          <w:rFonts w:ascii="仿宋" w:hAnsi="仿宋" w:eastAsia="仿宋"/>
          <w:b/>
          <w:bCs/>
          <w:color w:val="auto"/>
          <w:spacing w:val="40"/>
        </w:rPr>
      </w:pPr>
    </w:p>
    <w:tbl>
      <w:tblPr>
        <w:tblStyle w:val="33"/>
        <w:tblW w:w="917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项目名称</w:t>
            </w:r>
          </w:p>
        </w:tc>
        <w:tc>
          <w:tcPr>
            <w:tcW w:w="7226" w:type="dxa"/>
            <w:gridSpan w:val="3"/>
            <w:vAlign w:val="center"/>
          </w:tcPr>
          <w:p>
            <w:pPr>
              <w:spacing w:line="360" w:lineRule="exact"/>
              <w:jc w:val="cente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项目号</w:t>
            </w:r>
          </w:p>
        </w:tc>
        <w:tc>
          <w:tcPr>
            <w:tcW w:w="7226" w:type="dxa"/>
            <w:gridSpan w:val="3"/>
            <w:vAlign w:val="center"/>
          </w:tcPr>
          <w:p>
            <w:pPr>
              <w:spacing w:line="360" w:lineRule="exact"/>
              <w:jc w:val="cente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投标人名称</w:t>
            </w:r>
          </w:p>
        </w:tc>
        <w:tc>
          <w:tcPr>
            <w:tcW w:w="7226" w:type="dxa"/>
            <w:gridSpan w:val="3"/>
            <w:vAlign w:val="bottom"/>
          </w:tcPr>
          <w:p>
            <w:pPr>
              <w:spacing w:line="360" w:lineRule="exact"/>
              <w:jc w:val="right"/>
              <w:rPr>
                <w:rFonts w:ascii="仿宋" w:hAnsi="仿宋" w:eastAsia="仿宋"/>
                <w:color w:val="auto"/>
              </w:rPr>
            </w:pPr>
            <w:r>
              <w:rPr>
                <w:rFonts w:hint="eastAsia" w:ascii="仿宋" w:hAnsi="仿宋" w:eastAsia="仿宋"/>
                <w:color w:val="auto"/>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联系人</w:t>
            </w:r>
          </w:p>
        </w:tc>
        <w:tc>
          <w:tcPr>
            <w:tcW w:w="2573" w:type="dxa"/>
            <w:vAlign w:val="center"/>
          </w:tcPr>
          <w:p>
            <w:pPr>
              <w:spacing w:line="360" w:lineRule="exact"/>
              <w:rPr>
                <w:rFonts w:ascii="仿宋" w:hAnsi="仿宋" w:eastAsia="仿宋"/>
                <w:color w:val="auto"/>
              </w:rPr>
            </w:pPr>
          </w:p>
        </w:tc>
        <w:tc>
          <w:tcPr>
            <w:tcW w:w="1084" w:type="dxa"/>
            <w:vAlign w:val="center"/>
          </w:tcPr>
          <w:p>
            <w:pPr>
              <w:spacing w:line="360" w:lineRule="exact"/>
              <w:jc w:val="center"/>
              <w:rPr>
                <w:rFonts w:ascii="仿宋" w:hAnsi="仿宋" w:eastAsia="仿宋"/>
                <w:color w:val="auto"/>
              </w:rPr>
            </w:pPr>
            <w:r>
              <w:rPr>
                <w:rFonts w:hint="eastAsia" w:ascii="仿宋" w:hAnsi="仿宋" w:eastAsia="仿宋"/>
                <w:color w:val="auto"/>
              </w:rPr>
              <w:t>手机</w:t>
            </w:r>
          </w:p>
        </w:tc>
        <w:tc>
          <w:tcPr>
            <w:tcW w:w="3569" w:type="dxa"/>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办公电话</w:t>
            </w:r>
          </w:p>
        </w:tc>
        <w:tc>
          <w:tcPr>
            <w:tcW w:w="2573" w:type="dxa"/>
            <w:vAlign w:val="center"/>
          </w:tcPr>
          <w:p>
            <w:pPr>
              <w:spacing w:line="360" w:lineRule="exact"/>
              <w:rPr>
                <w:rFonts w:ascii="仿宋" w:hAnsi="仿宋" w:eastAsia="仿宋"/>
                <w:color w:val="auto"/>
              </w:rPr>
            </w:pPr>
          </w:p>
        </w:tc>
        <w:tc>
          <w:tcPr>
            <w:tcW w:w="1084" w:type="dxa"/>
            <w:vAlign w:val="center"/>
          </w:tcPr>
          <w:p>
            <w:pPr>
              <w:spacing w:line="360" w:lineRule="exact"/>
              <w:jc w:val="center"/>
              <w:rPr>
                <w:rFonts w:ascii="仿宋" w:hAnsi="仿宋" w:eastAsia="仿宋"/>
                <w:color w:val="auto"/>
              </w:rPr>
            </w:pPr>
            <w:r>
              <w:rPr>
                <w:rFonts w:hint="eastAsia" w:ascii="仿宋" w:hAnsi="仿宋" w:eastAsia="仿宋"/>
                <w:color w:val="auto"/>
              </w:rPr>
              <w:t>传真</w:t>
            </w:r>
          </w:p>
        </w:tc>
        <w:tc>
          <w:tcPr>
            <w:tcW w:w="3569" w:type="dxa"/>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E-mail</w:t>
            </w:r>
          </w:p>
        </w:tc>
        <w:tc>
          <w:tcPr>
            <w:tcW w:w="7226" w:type="dxa"/>
            <w:gridSpan w:val="3"/>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单位地址</w:t>
            </w:r>
          </w:p>
        </w:tc>
        <w:tc>
          <w:tcPr>
            <w:tcW w:w="7226" w:type="dxa"/>
            <w:gridSpan w:val="3"/>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jc w:val="cente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ascii="仿宋" w:hAnsi="仿宋" w:eastAsia="仿宋"/>
                <w:color w:val="auto"/>
              </w:rPr>
            </w:pPr>
            <w:r>
              <w:rPr>
                <w:rFonts w:hint="eastAsia" w:ascii="仿宋" w:hAnsi="仿宋" w:eastAsia="仿宋"/>
                <w:color w:val="auto"/>
              </w:rPr>
              <w:t>招标文件售价：人民币300元/份</w:t>
            </w:r>
          </w:p>
        </w:tc>
      </w:tr>
    </w:tbl>
    <w:p>
      <w:pPr>
        <w:rPr>
          <w:rFonts w:ascii="仿宋" w:hAnsi="仿宋" w:eastAsia="仿宋"/>
          <w:color w:val="auto"/>
        </w:rPr>
      </w:pPr>
      <w:r>
        <w:rPr>
          <w:rFonts w:hint="eastAsia" w:ascii="仿宋" w:hAnsi="仿宋" w:eastAsia="仿宋"/>
          <w:color w:val="auto"/>
        </w:rPr>
        <w:t xml:space="preserve">   发售人：                财务：                    日期：</w:t>
      </w:r>
    </w:p>
    <w:p>
      <w:pPr>
        <w:pStyle w:val="13"/>
        <w:rPr>
          <w:rFonts w:ascii="仿宋" w:hAnsi="仿宋" w:eastAsia="仿宋"/>
          <w:color w:val="auto"/>
        </w:rPr>
      </w:pPr>
    </w:p>
    <w:p>
      <w:pPr>
        <w:pStyle w:val="80"/>
        <w:rPr>
          <w:rFonts w:ascii="仿宋" w:hAnsi="仿宋" w:eastAsia="仿宋"/>
          <w:color w:val="auto"/>
        </w:rPr>
      </w:pPr>
    </w:p>
    <w:p>
      <w:pPr>
        <w:spacing w:line="360" w:lineRule="auto"/>
        <w:rPr>
          <w:rFonts w:ascii="仿宋" w:hAnsi="仿宋" w:eastAsia="仿宋"/>
          <w:color w:val="auto"/>
        </w:rPr>
      </w:pPr>
      <w:r>
        <w:rPr>
          <w:rFonts w:hint="eastAsia" w:ascii="仿宋" w:hAnsi="仿宋" w:eastAsia="仿宋"/>
          <w:color w:val="auto"/>
        </w:rPr>
        <w:t>说明：</w:t>
      </w:r>
    </w:p>
    <w:p>
      <w:pPr>
        <w:spacing w:line="360" w:lineRule="auto"/>
        <w:ind w:firstLine="480" w:firstLineChars="200"/>
        <w:rPr>
          <w:rFonts w:ascii="仿宋" w:hAnsi="仿宋" w:eastAsia="仿宋"/>
          <w:color w:val="auto"/>
        </w:rPr>
      </w:pPr>
      <w:r>
        <w:rPr>
          <w:rFonts w:hint="eastAsia" w:ascii="仿宋" w:hAnsi="仿宋" w:eastAsia="仿宋"/>
          <w:color w:val="auto"/>
        </w:rPr>
        <w:t>1.现金购买招标文件的投标人，在招标文件发售期内到</w:t>
      </w:r>
      <w:r>
        <w:rPr>
          <w:rFonts w:hint="eastAsia" w:ascii="仿宋" w:hAnsi="仿宋" w:eastAsia="仿宋" w:cs="仿宋_GB2312"/>
          <w:color w:val="auto"/>
        </w:rPr>
        <w:t>南川区金川1</w:t>
      </w:r>
      <w:r>
        <w:rPr>
          <w:rFonts w:ascii="仿宋" w:hAnsi="仿宋" w:eastAsia="仿宋" w:cs="仿宋_GB2312"/>
          <w:color w:val="auto"/>
        </w:rPr>
        <w:t>68</w:t>
      </w:r>
      <w:r>
        <w:rPr>
          <w:rFonts w:hint="eastAsia" w:ascii="仿宋" w:hAnsi="仿宋" w:eastAsia="仿宋" w:cs="仿宋_GB2312"/>
          <w:color w:val="auto"/>
        </w:rPr>
        <w:t>号</w:t>
      </w:r>
      <w:r>
        <w:rPr>
          <w:rFonts w:hint="eastAsia" w:ascii="仿宋" w:hAnsi="仿宋" w:eastAsia="仿宋"/>
          <w:color w:val="auto"/>
        </w:rPr>
        <w:t>递交发售登记表（加盖投标人公章），由发售人签字后购买招标文件，联系人：杨先生</w:t>
      </w:r>
    </w:p>
    <w:p>
      <w:pPr>
        <w:pStyle w:val="13"/>
        <w:rPr>
          <w:color w:val="auto"/>
        </w:rPr>
      </w:pPr>
    </w:p>
    <w:p>
      <w:pPr>
        <w:spacing w:line="360" w:lineRule="auto"/>
        <w:ind w:firstLine="482" w:firstLineChars="200"/>
        <w:rPr>
          <w:rFonts w:ascii="仿宋" w:hAnsi="仿宋" w:eastAsia="仿宋"/>
          <w:b/>
          <w:bCs/>
          <w:color w:val="auto"/>
        </w:rPr>
      </w:pPr>
    </w:p>
    <w:p>
      <w:pPr>
        <w:pStyle w:val="99"/>
        <w:jc w:val="both"/>
        <w:rPr>
          <w:rFonts w:ascii="仿宋" w:hAnsi="仿宋" w:eastAsia="仿宋"/>
          <w:color w:val="auto"/>
        </w:rPr>
      </w:pPr>
    </w:p>
    <w:p>
      <w:pPr>
        <w:rPr>
          <w:color w:val="auto"/>
        </w:rPr>
      </w:pPr>
    </w:p>
    <w:p>
      <w:pPr>
        <w:rPr>
          <w:color w:val="auto"/>
        </w:rPr>
      </w:pPr>
    </w:p>
    <w:p>
      <w:pPr>
        <w:rPr>
          <w:color w:val="auto"/>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B0604020202020204"/>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257930300"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pFLs0AAAAAMBAAAPAAAAAAAAAAEAIAAAACIA&#10;AABkcnMvZG93bnJldi54bWxQSwECFAAUAAAACACHTuJALCKZGdgBAACMAwAADgAAAAAAAAABACAA&#10;AAAfAQAAZHJzL2Uyb0RvYy54bWxQSwUGAAAAAAYABgBZAQAAaQUAAAAA&#10;">
              <v:fill on="f" focussize="0,0"/>
              <v:stroke on="f"/>
              <v:imagedata o:title=""/>
              <o:lock v:ext="edit" text="t" aspectratio="t"/>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97781981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exSODQAAAAAwEAAA8AAAAAAAAAAQAgAAAA&#10;IgAAAGRycy9kb3ducmV2LnhtbFBLAQIUABQAAAAIAIdO4kBbWFd82gEAAIwDAAAOAAAAAAAAAAEA&#10;IAAAAB8BAABkcnMvZTJvRG9jLnhtbFBLBQYAAAAABgAGAFkBAABrBQAAAAA=&#10;">
              <v:fill on="f" focussize="0,0"/>
              <v:stroke on="f"/>
              <v:imagedata o:title=""/>
              <o:lock v:ext="edit" text="t" aspectratio="t"/>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pPr>
                            <w:pStyle w:val="22"/>
                          </w:pPr>
                          <w:r>
                            <w:fldChar w:fldCharType="begin"/>
                          </w:r>
                          <w:r>
                            <w:instrText xml:space="preserve"> PAGE  \* MERGEFORMAT </w:instrText>
                          </w:r>
                          <w:r>
                            <w:fldChar w:fldCharType="separate"/>
                          </w:r>
                          <w:r>
                            <w:t>- 41 -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sUjg0AAAAAMBAAAPAAAAAAAAAAEAIAAA&#10;ACIAAABkcnMvZG93bnJldi54bWxQSwECFAAUAAAACACHTuJA2BMD3dsBAACTAwAADgAAAAAAAAAB&#10;ACAAAAAfAQAAZHJzL2Uyb0RvYy54bWxQSwUGAAAAAAYABgBZAQAAbA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pPr>
                            <w:pStyle w:val="22"/>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iJ8PxtIBAACEAwAADgAAAAAAAAABACAAAAAfAQAA&#10;ZHJzL2Uyb0RvYy54bWxQSwUGAAAAAAYABgBZAQAAYwUAAAAA&#10;">
              <v:fill on="f" focussize="0,0"/>
              <v:stroke on="f"/>
              <v:imagedata o:title=""/>
              <o:lock v:ext="edit" text="t" aspectratio="t"/>
              <v:textbox inset="0mm,0mm,0mm,0mm" style="mso-fit-shape-to-text:t;">
                <w:txbxContent>
                  <w:p>
                    <w:pPr>
                      <w:pStyle w:val="2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626091567" name="图片 1"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91567" name="图片 1"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127104438"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04438"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754107952"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07952"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179853617"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53617"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ascii="仿宋" w:hAnsi="仿宋" w:eastAsia="仿宋"/>
        <w:lang w:val="en-US"/>
      </w:rPr>
      <w:drawing>
        <wp:inline distT="0" distB="0" distL="0" distR="0">
          <wp:extent cx="1343660" cy="414655"/>
          <wp:effectExtent l="0" t="0" r="2540" b="4445"/>
          <wp:docPr id="391409321"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391409321"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lang w:val="en-US"/>
      </w:rPr>
      <w:t xml:space="preserve">                                     </w:t>
    </w:r>
    <w:r>
      <w:rPr>
        <w:rFonts w:hint="eastAsia" w:ascii="仿宋" w:hAnsi="仿宋" w:eastAsia="仿宋"/>
      </w:rPr>
      <w:t xml:space="preserve">   </w:t>
    </w:r>
    <w:r>
      <w:rPr>
        <w:rFonts w:hint="eastAsia" w:ascii="仿宋" w:hAnsi="仿宋" w:eastAsia="仿宋"/>
        <w:lang w:val="en-US"/>
      </w:rPr>
      <w:t xml:space="preserve">                                </w:t>
    </w:r>
    <w:r>
      <w:rPr>
        <w:rFonts w:hint="eastAsia" w:ascii="仿宋" w:hAnsi="仿宋" w:eastAsia="仿宋"/>
      </w:rPr>
      <w:t>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237670010"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70010"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pStyle w:val="1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A51B4DA"/>
    <w:multiLevelType w:val="singleLevel"/>
    <w:tmpl w:val="6A51B4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2D"/>
    <w:rsid w:val="001E2684"/>
    <w:rsid w:val="0031155A"/>
    <w:rsid w:val="004B3C46"/>
    <w:rsid w:val="00535F77"/>
    <w:rsid w:val="00621308"/>
    <w:rsid w:val="00652323"/>
    <w:rsid w:val="006F20C1"/>
    <w:rsid w:val="0073118F"/>
    <w:rsid w:val="00977E98"/>
    <w:rsid w:val="009A291F"/>
    <w:rsid w:val="00A52C5C"/>
    <w:rsid w:val="00C21D9F"/>
    <w:rsid w:val="00D64BC4"/>
    <w:rsid w:val="00E5033F"/>
    <w:rsid w:val="00E5382D"/>
    <w:rsid w:val="00EF3827"/>
    <w:rsid w:val="00F26833"/>
    <w:rsid w:val="00FD7B2B"/>
    <w:rsid w:val="0AEC27C7"/>
    <w:rsid w:val="1035539C"/>
    <w:rsid w:val="129D6781"/>
    <w:rsid w:val="17F9620E"/>
    <w:rsid w:val="1E7507B5"/>
    <w:rsid w:val="2CB530F0"/>
    <w:rsid w:val="322551C6"/>
    <w:rsid w:val="3669466C"/>
    <w:rsid w:val="397A78F5"/>
    <w:rsid w:val="3ECF050E"/>
    <w:rsid w:val="3FE2744B"/>
    <w:rsid w:val="43BD6950"/>
    <w:rsid w:val="4418020A"/>
    <w:rsid w:val="48023C72"/>
    <w:rsid w:val="4A8E270A"/>
    <w:rsid w:val="4CB07013"/>
    <w:rsid w:val="4D65371F"/>
    <w:rsid w:val="5274670C"/>
    <w:rsid w:val="56E5269B"/>
    <w:rsid w:val="573F06EA"/>
    <w:rsid w:val="5B3A525C"/>
    <w:rsid w:val="5DE5676F"/>
    <w:rsid w:val="61917425"/>
    <w:rsid w:val="63494357"/>
    <w:rsid w:val="6D01754F"/>
    <w:rsid w:val="71F458BD"/>
    <w:rsid w:val="771D54EB"/>
    <w:rsid w:val="7BB952E9"/>
    <w:rsid w:val="7D1A6A9C"/>
    <w:rsid w:val="7D8D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43"/>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76"/>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45"/>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4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47"/>
    <w:semiHidden/>
    <w:unhideWhenUsed/>
    <w:qFormat/>
    <w:uiPriority w:val="9"/>
    <w:pPr>
      <w:keepNext/>
      <w:keepLines/>
      <w:spacing w:before="80" w:after="40"/>
      <w:outlineLvl w:val="4"/>
    </w:pPr>
    <w:rPr>
      <w:rFonts w:cstheme="majorBidi"/>
      <w:color w:val="104862" w:themeColor="accent1" w:themeShade="BF"/>
    </w:rPr>
  </w:style>
  <w:style w:type="paragraph" w:styleId="8">
    <w:name w:val="heading 6"/>
    <w:basedOn w:val="1"/>
    <w:next w:val="1"/>
    <w:link w:val="48"/>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4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next w:val="1"/>
    <w:link w:val="74"/>
    <w:qFormat/>
    <w:uiPriority w:val="0"/>
    <w:pPr>
      <w:ind w:firstLine="420"/>
    </w:pPr>
  </w:style>
  <w:style w:type="paragraph" w:styleId="12">
    <w:name w:val="Normal Indent"/>
    <w:basedOn w:val="1"/>
    <w:next w:val="13"/>
    <w:qFormat/>
    <w:uiPriority w:val="99"/>
    <w:pPr>
      <w:adjustRightInd w:val="0"/>
      <w:snapToGrid w:val="0"/>
      <w:spacing w:line="360" w:lineRule="auto"/>
      <w:ind w:firstLine="420"/>
    </w:pPr>
    <w:rPr>
      <w:szCs w:val="20"/>
    </w:rPr>
  </w:style>
  <w:style w:type="paragraph" w:styleId="13">
    <w:name w:val="Body Text"/>
    <w:basedOn w:val="1"/>
    <w:next w:val="1"/>
    <w:link w:val="61"/>
    <w:unhideWhenUsed/>
    <w:qFormat/>
    <w:uiPriority w:val="99"/>
    <w:pPr>
      <w:spacing w:after="120"/>
    </w:pPr>
    <w:rPr>
      <w:rFonts w:ascii="Times New Roman" w:hAnsi="Times New Roman" w:cs="Times New Roman"/>
      <w:kern w:val="2"/>
      <w:sz w:val="28"/>
      <w:szCs w:val="28"/>
      <w:lang w:val="zh-CN"/>
    </w:rPr>
  </w:style>
  <w:style w:type="paragraph" w:styleId="14">
    <w:name w:val="Document Map"/>
    <w:basedOn w:val="1"/>
    <w:link w:val="62"/>
    <w:semiHidden/>
    <w:qFormat/>
    <w:uiPriority w:val="99"/>
    <w:pPr>
      <w:shd w:val="clear" w:color="auto" w:fill="000080"/>
    </w:pPr>
    <w:rPr>
      <w:rFonts w:ascii="Times New Roman" w:hAnsi="Times New Roman" w:cs="Times New Roman"/>
      <w:sz w:val="2"/>
      <w:szCs w:val="2"/>
      <w:lang w:val="zh-CN"/>
    </w:rPr>
  </w:style>
  <w:style w:type="paragraph" w:styleId="15">
    <w:name w:val="annotation text"/>
    <w:basedOn w:val="1"/>
    <w:link w:val="63"/>
    <w:unhideWhenUsed/>
    <w:qFormat/>
    <w:uiPriority w:val="0"/>
    <w:rPr>
      <w:rFonts w:ascii="Times New Roman" w:hAnsi="Times New Roman" w:cs="Times New Roman"/>
      <w:kern w:val="2"/>
      <w:sz w:val="28"/>
      <w:szCs w:val="28"/>
      <w:lang w:val="zh-CN"/>
    </w:rPr>
  </w:style>
  <w:style w:type="paragraph" w:styleId="16">
    <w:name w:val="Body Text Indent"/>
    <w:basedOn w:val="1"/>
    <w:link w:val="64"/>
    <w:qFormat/>
    <w:uiPriority w:val="99"/>
    <w:pPr>
      <w:spacing w:line="700" w:lineRule="exact"/>
      <w:ind w:left="960"/>
    </w:pPr>
    <w:rPr>
      <w:rFonts w:ascii="Times New Roman" w:hAnsi="Times New Roman" w:cs="Times New Roman"/>
      <w:sz w:val="20"/>
      <w:szCs w:val="20"/>
      <w:lang w:val="zh-CN"/>
    </w:rPr>
  </w:style>
  <w:style w:type="paragraph" w:styleId="17">
    <w:name w:val="toc 3"/>
    <w:basedOn w:val="1"/>
    <w:next w:val="1"/>
    <w:qFormat/>
    <w:uiPriority w:val="39"/>
    <w:pPr>
      <w:tabs>
        <w:tab w:val="right" w:leader="dot" w:pos="8303"/>
      </w:tabs>
      <w:spacing w:line="540" w:lineRule="exact"/>
      <w:ind w:left="1120" w:leftChars="400"/>
    </w:pPr>
  </w:style>
  <w:style w:type="paragraph" w:styleId="18">
    <w:name w:val="Plain Text"/>
    <w:basedOn w:val="1"/>
    <w:link w:val="65"/>
    <w:qFormat/>
    <w:uiPriority w:val="99"/>
    <w:rPr>
      <w:rFonts w:hAnsi="Courier New" w:cs="Times New Roman"/>
      <w:sz w:val="21"/>
      <w:szCs w:val="21"/>
      <w:lang w:val="zh-CN"/>
    </w:rPr>
  </w:style>
  <w:style w:type="paragraph" w:styleId="19">
    <w:name w:val="Date"/>
    <w:basedOn w:val="1"/>
    <w:next w:val="1"/>
    <w:link w:val="66"/>
    <w:qFormat/>
    <w:uiPriority w:val="99"/>
    <w:rPr>
      <w:rFonts w:ascii="Times New Roman" w:hAnsi="Times New Roman" w:cs="Times New Roman"/>
      <w:sz w:val="20"/>
      <w:szCs w:val="20"/>
      <w:lang w:val="zh-CN"/>
    </w:rPr>
  </w:style>
  <w:style w:type="paragraph" w:styleId="20">
    <w:name w:val="Body Text Indent 2"/>
    <w:basedOn w:val="1"/>
    <w:link w:val="67"/>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21">
    <w:name w:val="Balloon Text"/>
    <w:basedOn w:val="1"/>
    <w:link w:val="68"/>
    <w:semiHidden/>
    <w:qFormat/>
    <w:uiPriority w:val="99"/>
    <w:rPr>
      <w:rFonts w:ascii="Times New Roman" w:hAnsi="Times New Roman" w:cs="Times New Roman"/>
      <w:sz w:val="2"/>
      <w:szCs w:val="2"/>
      <w:lang w:val="zh-CN"/>
    </w:rPr>
  </w:style>
  <w:style w:type="paragraph" w:styleId="22">
    <w:name w:val="footer"/>
    <w:basedOn w:val="1"/>
    <w:link w:val="69"/>
    <w:qFormat/>
    <w:uiPriority w:val="99"/>
    <w:pPr>
      <w:tabs>
        <w:tab w:val="center" w:pos="4153"/>
        <w:tab w:val="right" w:pos="8306"/>
      </w:tabs>
      <w:snapToGrid w:val="0"/>
    </w:pPr>
    <w:rPr>
      <w:rFonts w:ascii="Times New Roman" w:hAnsi="Times New Roman" w:cs="Times New Roman"/>
      <w:sz w:val="18"/>
      <w:szCs w:val="18"/>
      <w:lang w:val="zh-CN"/>
    </w:rPr>
  </w:style>
  <w:style w:type="paragraph" w:styleId="23">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4">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25">
    <w:name w:val="Subtitle"/>
    <w:basedOn w:val="1"/>
    <w:next w:val="1"/>
    <w:link w:val="5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27">
    <w:name w:val="Body Text 2"/>
    <w:basedOn w:val="1"/>
    <w:link w:val="71"/>
    <w:unhideWhenUsed/>
    <w:qFormat/>
    <w:uiPriority w:val="99"/>
    <w:pPr>
      <w:spacing w:after="120" w:line="480" w:lineRule="auto"/>
    </w:pPr>
    <w:rPr>
      <w:rFonts w:cs="Times New Roman"/>
      <w:lang w:val="zh-CN"/>
    </w:rPr>
  </w:style>
  <w:style w:type="paragraph" w:styleId="28">
    <w:name w:val="HTML Preformatted"/>
    <w:basedOn w:val="1"/>
    <w:next w:val="1"/>
    <w:link w:val="72"/>
    <w:qFormat/>
    <w:uiPriority w:val="0"/>
    <w:rPr>
      <w:rFonts w:ascii="黑体" w:eastAsia="黑体"/>
      <w:sz w:val="20"/>
    </w:rPr>
  </w:style>
  <w:style w:type="paragraph" w:styleId="29">
    <w:name w:val="Normal (Web)"/>
    <w:basedOn w:val="1"/>
    <w:qFormat/>
    <w:uiPriority w:val="99"/>
    <w:pPr>
      <w:spacing w:before="100" w:beforeAutospacing="1" w:after="100" w:afterAutospacing="1"/>
    </w:pPr>
    <w:rPr>
      <w:color w:val="000000"/>
    </w:rPr>
  </w:style>
  <w:style w:type="paragraph" w:styleId="30">
    <w:name w:val="Title"/>
    <w:basedOn w:val="1"/>
    <w:next w:val="1"/>
    <w:link w:val="52"/>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1">
    <w:name w:val="annotation subject"/>
    <w:basedOn w:val="15"/>
    <w:next w:val="15"/>
    <w:link w:val="73"/>
    <w:unhideWhenUsed/>
    <w:qFormat/>
    <w:uiPriority w:val="99"/>
    <w:rPr>
      <w:b/>
      <w:bCs/>
    </w:rPr>
  </w:style>
  <w:style w:type="paragraph" w:styleId="32">
    <w:name w:val="Body Text First Indent 2"/>
    <w:basedOn w:val="16"/>
    <w:link w:val="120"/>
    <w:semiHidden/>
    <w:unhideWhenUsed/>
    <w:qFormat/>
    <w:uiPriority w:val="99"/>
    <w:pPr>
      <w:spacing w:after="120" w:line="240" w:lineRule="auto"/>
      <w:ind w:left="420" w:leftChars="200" w:firstLine="420" w:firstLineChars="200"/>
    </w:pPr>
    <w:rPr>
      <w:rFonts w:ascii="宋体" w:hAnsi="宋体" w:cs="宋体"/>
      <w:sz w:val="24"/>
      <w:szCs w:val="24"/>
      <w:lang w:val="en-US"/>
    </w:rPr>
  </w:style>
  <w:style w:type="table" w:styleId="34">
    <w:name w:val="Table Grid"/>
    <w:basedOn w:val="33"/>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6">
    <w:name w:val="Strong"/>
    <w:qFormat/>
    <w:uiPriority w:val="22"/>
    <w:rPr>
      <w:b/>
    </w:rPr>
  </w:style>
  <w:style w:type="character" w:styleId="37">
    <w:name w:val="page number"/>
    <w:qFormat/>
    <w:uiPriority w:val="0"/>
    <w:rPr>
      <w:rFonts w:cs="Times New Roman"/>
    </w:rPr>
  </w:style>
  <w:style w:type="character" w:styleId="38">
    <w:name w:val="Hyperlink"/>
    <w:qFormat/>
    <w:uiPriority w:val="99"/>
    <w:rPr>
      <w:rFonts w:cs="Times New Roman"/>
      <w:color w:val="0000FF"/>
      <w:u w:val="single"/>
    </w:rPr>
  </w:style>
  <w:style w:type="character" w:styleId="39">
    <w:name w:val="annotation reference"/>
    <w:unhideWhenUsed/>
    <w:qFormat/>
    <w:uiPriority w:val="99"/>
    <w:rPr>
      <w:sz w:val="21"/>
      <w:szCs w:val="21"/>
    </w:rPr>
  </w:style>
  <w:style w:type="paragraph" w:customStyle="1" w:styleId="40">
    <w:name w:val="正文缩进1"/>
    <w:basedOn w:val="1"/>
    <w:next w:val="41"/>
    <w:qFormat/>
    <w:uiPriority w:val="0"/>
    <w:pPr>
      <w:widowControl w:val="0"/>
      <w:spacing w:line="360" w:lineRule="auto"/>
      <w:ind w:firstLine="420"/>
      <w:jc w:val="both"/>
    </w:pPr>
    <w:rPr>
      <w:rFonts w:ascii="Times New Roman"/>
    </w:rPr>
  </w:style>
  <w:style w:type="paragraph" w:customStyle="1" w:styleId="41">
    <w:name w:val="目录 21"/>
    <w:basedOn w:val="1"/>
    <w:next w:val="1"/>
    <w:qFormat/>
    <w:uiPriority w:val="0"/>
    <w:pPr>
      <w:widowControl w:val="0"/>
      <w:spacing w:line="440" w:lineRule="exact"/>
      <w:ind w:left="280"/>
      <w:jc w:val="both"/>
    </w:pPr>
    <w:rPr>
      <w:rFonts w:ascii="Times New Roman"/>
      <w:sz w:val="28"/>
    </w:rPr>
  </w:style>
  <w:style w:type="paragraph" w:customStyle="1" w:styleId="42">
    <w:name w:val="Default"/>
    <w:semiHidden/>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43">
    <w:name w:val="标题 1 字符"/>
    <w:basedOn w:val="35"/>
    <w:link w:val="3"/>
    <w:qFormat/>
    <w:uiPriority w:val="99"/>
    <w:rPr>
      <w:rFonts w:asciiTheme="majorHAnsi" w:hAnsiTheme="majorHAnsi" w:eastAsiaTheme="majorEastAsia" w:cstheme="majorBidi"/>
      <w:color w:val="104862" w:themeColor="accent1" w:themeShade="BF"/>
      <w:sz w:val="48"/>
      <w:szCs w:val="48"/>
    </w:rPr>
  </w:style>
  <w:style w:type="character" w:customStyle="1" w:styleId="44">
    <w:name w:val="标题 2 字符"/>
    <w:basedOn w:val="35"/>
    <w:link w:val="4"/>
    <w:qFormat/>
    <w:uiPriority w:val="99"/>
    <w:rPr>
      <w:rFonts w:asciiTheme="majorHAnsi" w:hAnsiTheme="majorHAnsi" w:eastAsiaTheme="majorEastAsia" w:cstheme="majorBidi"/>
      <w:color w:val="104862" w:themeColor="accent1" w:themeShade="BF"/>
      <w:sz w:val="40"/>
      <w:szCs w:val="40"/>
    </w:rPr>
  </w:style>
  <w:style w:type="character" w:customStyle="1" w:styleId="45">
    <w:name w:val="标题 3 字符"/>
    <w:basedOn w:val="35"/>
    <w:link w:val="5"/>
    <w:qFormat/>
    <w:uiPriority w:val="0"/>
    <w:rPr>
      <w:rFonts w:asciiTheme="majorHAnsi" w:hAnsiTheme="majorHAnsi" w:eastAsiaTheme="majorEastAsia" w:cstheme="majorBidi"/>
      <w:color w:val="104862" w:themeColor="accent1" w:themeShade="BF"/>
      <w:sz w:val="32"/>
      <w:szCs w:val="32"/>
    </w:rPr>
  </w:style>
  <w:style w:type="character" w:customStyle="1" w:styleId="46">
    <w:name w:val="标题 4 字符"/>
    <w:basedOn w:val="35"/>
    <w:link w:val="6"/>
    <w:semiHidden/>
    <w:qFormat/>
    <w:uiPriority w:val="9"/>
    <w:rPr>
      <w:rFonts w:cstheme="majorBidi"/>
      <w:color w:val="104862" w:themeColor="accent1" w:themeShade="BF"/>
      <w:sz w:val="28"/>
      <w:szCs w:val="28"/>
    </w:rPr>
  </w:style>
  <w:style w:type="character" w:customStyle="1" w:styleId="47">
    <w:name w:val="标题 5 字符"/>
    <w:basedOn w:val="35"/>
    <w:link w:val="7"/>
    <w:semiHidden/>
    <w:qFormat/>
    <w:uiPriority w:val="9"/>
    <w:rPr>
      <w:rFonts w:cstheme="majorBidi"/>
      <w:color w:val="104862" w:themeColor="accent1" w:themeShade="BF"/>
      <w:sz w:val="24"/>
    </w:rPr>
  </w:style>
  <w:style w:type="character" w:customStyle="1" w:styleId="48">
    <w:name w:val="标题 6 字符"/>
    <w:basedOn w:val="35"/>
    <w:link w:val="8"/>
    <w:semiHidden/>
    <w:qFormat/>
    <w:uiPriority w:val="9"/>
    <w:rPr>
      <w:rFonts w:cstheme="majorBidi"/>
      <w:b/>
      <w:bCs/>
      <w:color w:val="104862" w:themeColor="accent1" w:themeShade="BF"/>
    </w:rPr>
  </w:style>
  <w:style w:type="character" w:customStyle="1" w:styleId="49">
    <w:name w:val="标题 7 字符"/>
    <w:basedOn w:val="35"/>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0">
    <w:name w:val="标题 8 字符"/>
    <w:basedOn w:val="35"/>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1">
    <w:name w:val="标题 9 字符"/>
    <w:basedOn w:val="35"/>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2">
    <w:name w:val="标题 字符"/>
    <w:basedOn w:val="35"/>
    <w:link w:val="30"/>
    <w:qFormat/>
    <w:uiPriority w:val="10"/>
    <w:rPr>
      <w:rFonts w:asciiTheme="majorHAnsi" w:hAnsiTheme="majorHAnsi" w:eastAsiaTheme="majorEastAsia" w:cstheme="majorBidi"/>
      <w:spacing w:val="-10"/>
      <w:kern w:val="28"/>
      <w:sz w:val="56"/>
      <w:szCs w:val="56"/>
    </w:rPr>
  </w:style>
  <w:style w:type="character" w:customStyle="1" w:styleId="53">
    <w:name w:val="副标题 字符"/>
    <w:basedOn w:val="35"/>
    <w:link w:val="2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4">
    <w:name w:val="Quote"/>
    <w:basedOn w:val="1"/>
    <w:next w:val="1"/>
    <w:link w:val="5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5">
    <w:name w:val="引用 字符"/>
    <w:basedOn w:val="35"/>
    <w:link w:val="54"/>
    <w:qFormat/>
    <w:uiPriority w:val="29"/>
    <w:rPr>
      <w:i/>
      <w:iCs/>
      <w:color w:val="404040" w:themeColor="text1" w:themeTint="BF"/>
      <w14:textFill>
        <w14:solidFill>
          <w14:schemeClr w14:val="tx1">
            <w14:lumMod w14:val="75000"/>
            <w14:lumOff w14:val="25000"/>
          </w14:schemeClr>
        </w14:solidFill>
      </w14:textFill>
    </w:rPr>
  </w:style>
  <w:style w:type="paragraph" w:styleId="56">
    <w:name w:val="List Paragraph"/>
    <w:basedOn w:val="1"/>
    <w:qFormat/>
    <w:uiPriority w:val="99"/>
    <w:pPr>
      <w:ind w:left="720"/>
      <w:contextualSpacing/>
    </w:pPr>
  </w:style>
  <w:style w:type="character" w:customStyle="1" w:styleId="57">
    <w:name w:val="Intense Emphasis"/>
    <w:basedOn w:val="35"/>
    <w:qFormat/>
    <w:uiPriority w:val="21"/>
    <w:rPr>
      <w:i/>
      <w:iCs/>
      <w:color w:val="104862" w:themeColor="accent1" w:themeShade="BF"/>
    </w:rPr>
  </w:style>
  <w:style w:type="paragraph" w:styleId="58">
    <w:name w:val="Intense Quote"/>
    <w:basedOn w:val="1"/>
    <w:next w:val="1"/>
    <w:link w:val="5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9">
    <w:name w:val="明显引用 字符"/>
    <w:basedOn w:val="35"/>
    <w:link w:val="58"/>
    <w:qFormat/>
    <w:uiPriority w:val="30"/>
    <w:rPr>
      <w:i/>
      <w:iCs/>
      <w:color w:val="104862" w:themeColor="accent1" w:themeShade="BF"/>
    </w:rPr>
  </w:style>
  <w:style w:type="character" w:customStyle="1" w:styleId="60">
    <w:name w:val="Intense Reference"/>
    <w:basedOn w:val="35"/>
    <w:qFormat/>
    <w:uiPriority w:val="32"/>
    <w:rPr>
      <w:b/>
      <w:bCs/>
      <w:smallCaps/>
      <w:color w:val="104862" w:themeColor="accent1" w:themeShade="BF"/>
      <w:spacing w:val="5"/>
    </w:rPr>
  </w:style>
  <w:style w:type="character" w:customStyle="1" w:styleId="61">
    <w:name w:val="正文文本 字符"/>
    <w:basedOn w:val="35"/>
    <w:link w:val="13"/>
    <w:qFormat/>
    <w:uiPriority w:val="99"/>
    <w:rPr>
      <w:rFonts w:ascii="Times New Roman" w:hAnsi="Times New Roman" w:eastAsia="宋体" w:cs="Times New Roman"/>
      <w:sz w:val="28"/>
      <w:szCs w:val="28"/>
      <w:lang w:val="zh-CN"/>
    </w:rPr>
  </w:style>
  <w:style w:type="character" w:customStyle="1" w:styleId="62">
    <w:name w:val="文档结构图 字符"/>
    <w:basedOn w:val="35"/>
    <w:link w:val="14"/>
    <w:semiHidden/>
    <w:qFormat/>
    <w:uiPriority w:val="99"/>
    <w:rPr>
      <w:rFonts w:ascii="Times New Roman" w:hAnsi="Times New Roman" w:eastAsia="宋体" w:cs="Times New Roman"/>
      <w:kern w:val="0"/>
      <w:sz w:val="2"/>
      <w:szCs w:val="2"/>
      <w:shd w:val="clear" w:color="auto" w:fill="000080"/>
      <w:lang w:val="zh-CN"/>
    </w:rPr>
  </w:style>
  <w:style w:type="character" w:customStyle="1" w:styleId="63">
    <w:name w:val="批注文字 字符"/>
    <w:basedOn w:val="35"/>
    <w:link w:val="15"/>
    <w:qFormat/>
    <w:uiPriority w:val="99"/>
    <w:rPr>
      <w:rFonts w:ascii="Times New Roman" w:hAnsi="Times New Roman" w:eastAsia="宋体" w:cs="Times New Roman"/>
      <w:sz w:val="28"/>
      <w:szCs w:val="28"/>
      <w:lang w:val="zh-CN"/>
    </w:rPr>
  </w:style>
  <w:style w:type="character" w:customStyle="1" w:styleId="64">
    <w:name w:val="正文文本缩进 字符"/>
    <w:basedOn w:val="35"/>
    <w:link w:val="16"/>
    <w:qFormat/>
    <w:uiPriority w:val="99"/>
    <w:rPr>
      <w:rFonts w:ascii="Times New Roman" w:hAnsi="Times New Roman" w:eastAsia="宋体" w:cs="Times New Roman"/>
      <w:kern w:val="0"/>
      <w:sz w:val="20"/>
      <w:szCs w:val="20"/>
      <w:lang w:val="zh-CN"/>
    </w:rPr>
  </w:style>
  <w:style w:type="character" w:customStyle="1" w:styleId="65">
    <w:name w:val="纯文本 字符"/>
    <w:basedOn w:val="35"/>
    <w:link w:val="18"/>
    <w:qFormat/>
    <w:uiPriority w:val="99"/>
    <w:rPr>
      <w:rFonts w:ascii="宋体" w:hAnsi="Courier New" w:eastAsia="宋体" w:cs="Times New Roman"/>
      <w:kern w:val="0"/>
      <w:szCs w:val="21"/>
      <w:lang w:val="zh-CN"/>
    </w:rPr>
  </w:style>
  <w:style w:type="character" w:customStyle="1" w:styleId="66">
    <w:name w:val="日期 字符"/>
    <w:basedOn w:val="35"/>
    <w:link w:val="19"/>
    <w:qFormat/>
    <w:uiPriority w:val="99"/>
    <w:rPr>
      <w:rFonts w:ascii="Times New Roman" w:hAnsi="Times New Roman" w:eastAsia="宋体" w:cs="Times New Roman"/>
      <w:kern w:val="0"/>
      <w:sz w:val="20"/>
      <w:szCs w:val="20"/>
      <w:lang w:val="zh-CN"/>
    </w:rPr>
  </w:style>
  <w:style w:type="character" w:customStyle="1" w:styleId="67">
    <w:name w:val="正文文本缩进 2 字符"/>
    <w:basedOn w:val="35"/>
    <w:link w:val="20"/>
    <w:qFormat/>
    <w:uiPriority w:val="99"/>
    <w:rPr>
      <w:rFonts w:ascii="Times New Roman" w:hAnsi="Times New Roman" w:eastAsia="宋体" w:cs="Times New Roman"/>
      <w:sz w:val="28"/>
      <w:szCs w:val="28"/>
      <w:lang w:val="zh-CN"/>
    </w:rPr>
  </w:style>
  <w:style w:type="character" w:customStyle="1" w:styleId="68">
    <w:name w:val="批注框文本 字符"/>
    <w:basedOn w:val="35"/>
    <w:link w:val="21"/>
    <w:semiHidden/>
    <w:qFormat/>
    <w:uiPriority w:val="99"/>
    <w:rPr>
      <w:rFonts w:ascii="Times New Roman" w:hAnsi="Times New Roman" w:eastAsia="宋体" w:cs="Times New Roman"/>
      <w:kern w:val="0"/>
      <w:sz w:val="2"/>
      <w:szCs w:val="2"/>
      <w:lang w:val="zh-CN"/>
    </w:rPr>
  </w:style>
  <w:style w:type="character" w:customStyle="1" w:styleId="69">
    <w:name w:val="页脚 字符"/>
    <w:basedOn w:val="35"/>
    <w:link w:val="22"/>
    <w:qFormat/>
    <w:uiPriority w:val="99"/>
    <w:rPr>
      <w:rFonts w:ascii="Times New Roman" w:hAnsi="Times New Roman" w:eastAsia="宋体" w:cs="Times New Roman"/>
      <w:kern w:val="0"/>
      <w:sz w:val="18"/>
      <w:szCs w:val="18"/>
      <w:lang w:val="zh-CN"/>
    </w:rPr>
  </w:style>
  <w:style w:type="character" w:customStyle="1" w:styleId="70">
    <w:name w:val="页眉 字符"/>
    <w:basedOn w:val="35"/>
    <w:link w:val="23"/>
    <w:qFormat/>
    <w:uiPriority w:val="0"/>
    <w:rPr>
      <w:rFonts w:ascii="Times New Roman" w:hAnsi="Times New Roman" w:eastAsia="宋体" w:cs="Times New Roman"/>
      <w:kern w:val="0"/>
      <w:sz w:val="18"/>
      <w:szCs w:val="18"/>
      <w:lang w:val="zh-CN"/>
    </w:rPr>
  </w:style>
  <w:style w:type="character" w:customStyle="1" w:styleId="71">
    <w:name w:val="正文文本 2 字符"/>
    <w:basedOn w:val="35"/>
    <w:link w:val="27"/>
    <w:qFormat/>
    <w:uiPriority w:val="99"/>
    <w:rPr>
      <w:rFonts w:ascii="宋体" w:hAnsi="宋体" w:eastAsia="宋体" w:cs="Times New Roman"/>
      <w:kern w:val="0"/>
      <w:sz w:val="24"/>
      <w:lang w:val="zh-CN"/>
    </w:rPr>
  </w:style>
  <w:style w:type="character" w:customStyle="1" w:styleId="72">
    <w:name w:val="HTML 预设格式 字符"/>
    <w:basedOn w:val="35"/>
    <w:link w:val="28"/>
    <w:qFormat/>
    <w:uiPriority w:val="0"/>
    <w:rPr>
      <w:rFonts w:ascii="黑体" w:hAnsi="宋体" w:eastAsia="黑体" w:cs="宋体"/>
      <w:kern w:val="0"/>
      <w:sz w:val="20"/>
    </w:rPr>
  </w:style>
  <w:style w:type="character" w:customStyle="1" w:styleId="73">
    <w:name w:val="批注主题 字符"/>
    <w:basedOn w:val="63"/>
    <w:link w:val="31"/>
    <w:qFormat/>
    <w:uiPriority w:val="99"/>
    <w:rPr>
      <w:rFonts w:ascii="Times New Roman" w:hAnsi="Times New Roman" w:eastAsia="宋体" w:cs="Times New Roman"/>
      <w:b/>
      <w:bCs/>
      <w:sz w:val="28"/>
      <w:szCs w:val="28"/>
      <w:lang w:val="zh-CN"/>
    </w:rPr>
  </w:style>
  <w:style w:type="character" w:customStyle="1" w:styleId="74">
    <w:name w:val="正文文本首行缩进 字符"/>
    <w:basedOn w:val="61"/>
    <w:link w:val="2"/>
    <w:qFormat/>
    <w:uiPriority w:val="0"/>
    <w:rPr>
      <w:rFonts w:ascii="Times New Roman" w:hAnsi="Times New Roman" w:eastAsia="宋体" w:cs="Times New Roman"/>
      <w:sz w:val="28"/>
      <w:szCs w:val="28"/>
      <w:lang w:val="zh-CN"/>
    </w:rPr>
  </w:style>
  <w:style w:type="paragraph" w:customStyle="1" w:styleId="75">
    <w:name w:val="目录 53"/>
    <w:next w:val="1"/>
    <w:qFormat/>
    <w:uiPriority w:val="0"/>
    <w:pPr>
      <w:wordWrap w:val="0"/>
      <w:ind w:left="1275"/>
      <w:jc w:val="both"/>
    </w:pPr>
    <w:rPr>
      <w:rFonts w:ascii="Times New Roman" w:hAnsi="Times New Roman" w:eastAsia="宋体" w:cs="Times New Roman"/>
      <w:kern w:val="0"/>
      <w:sz w:val="21"/>
      <w:szCs w:val="20"/>
      <w:lang w:val="en-US" w:eastAsia="zh-CN" w:bidi="ar-SA"/>
    </w:rPr>
  </w:style>
  <w:style w:type="character" w:customStyle="1" w:styleId="76">
    <w:name w:val="标题 2 Char"/>
    <w:basedOn w:val="35"/>
    <w:link w:val="4"/>
    <w:qFormat/>
    <w:uiPriority w:val="99"/>
    <w:rPr>
      <w:rFonts w:ascii="Cambria" w:hAnsi="Cambria" w:eastAsia="宋体" w:cs="Times New Roman"/>
      <w:b/>
      <w:bCs/>
      <w:kern w:val="0"/>
      <w:sz w:val="32"/>
      <w:szCs w:val="32"/>
      <w:lang w:val="zh-CN" w:eastAsia="zh-CN"/>
    </w:rPr>
  </w:style>
  <w:style w:type="paragraph" w:customStyle="1" w:styleId="77">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customStyle="1" w:styleId="78">
    <w:name w:val="标书正文1"/>
    <w:basedOn w:val="1"/>
    <w:qFormat/>
    <w:uiPriority w:val="0"/>
    <w:pPr>
      <w:spacing w:line="520" w:lineRule="exact"/>
      <w:ind w:firstLine="640" w:firstLineChars="200"/>
    </w:pPr>
    <w:rPr>
      <w:rFonts w:ascii="Times New Roman" w:hAnsi="Times New Roman"/>
    </w:rPr>
  </w:style>
  <w:style w:type="paragraph" w:customStyle="1" w:styleId="79">
    <w:name w:val="正文文本 21"/>
    <w:basedOn w:val="1"/>
    <w:qFormat/>
    <w:uiPriority w:val="0"/>
    <w:pPr>
      <w:snapToGrid w:val="0"/>
      <w:spacing w:line="540" w:lineRule="exact"/>
    </w:pPr>
    <w:rPr>
      <w:rFonts w:eastAsia="方正仿宋_GBK"/>
      <w:color w:val="000000"/>
    </w:rPr>
  </w:style>
  <w:style w:type="paragraph" w:customStyle="1" w:styleId="80">
    <w:name w:val="引用1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81">
    <w:name w:val="emphasizedtitle1"/>
    <w:qFormat/>
    <w:uiPriority w:val="99"/>
    <w:rPr>
      <w:rFonts w:ascii="Arial" w:hAnsi="Arial"/>
      <w:b/>
      <w:sz w:val="27"/>
    </w:rPr>
  </w:style>
  <w:style w:type="character" w:customStyle="1" w:styleId="82">
    <w:name w:val="font21"/>
    <w:qFormat/>
    <w:uiPriority w:val="0"/>
    <w:rPr>
      <w:rFonts w:ascii="宋体" w:eastAsia="宋体" w:cs="宋体"/>
      <w:color w:val="000000"/>
      <w:sz w:val="20"/>
      <w:szCs w:val="20"/>
      <w:u w:val="none"/>
    </w:rPr>
  </w:style>
  <w:style w:type="character" w:customStyle="1" w:styleId="83">
    <w:name w:val="apple-converted-space"/>
    <w:qFormat/>
    <w:uiPriority w:val="99"/>
    <w:rPr>
      <w:rFonts w:cs="Times New Roman"/>
    </w:rPr>
  </w:style>
  <w:style w:type="character" w:customStyle="1" w:styleId="84">
    <w:name w:val="active"/>
    <w:qFormat/>
    <w:uiPriority w:val="0"/>
    <w:rPr>
      <w:shd w:val="clear" w:color="auto" w:fill="EC3535"/>
    </w:rPr>
  </w:style>
  <w:style w:type="character" w:customStyle="1" w:styleId="85">
    <w:name w:val="样式 (中文) 仿宋_GB2312 小四 行距: 固定值 22 磅 Char"/>
    <w:link w:val="86"/>
    <w:qFormat/>
    <w:uiPriority w:val="0"/>
    <w:rPr>
      <w:rFonts w:eastAsia="仿宋_GB2312"/>
      <w:sz w:val="24"/>
    </w:rPr>
  </w:style>
  <w:style w:type="paragraph" w:customStyle="1" w:styleId="86">
    <w:name w:val="样式 (中文) 仿宋_GB2312 小四 行距: 固定值 22 磅"/>
    <w:basedOn w:val="1"/>
    <w:link w:val="85"/>
    <w:qFormat/>
    <w:uiPriority w:val="0"/>
    <w:pPr>
      <w:spacing w:line="400" w:lineRule="exact"/>
      <w:ind w:firstLine="150" w:firstLineChars="150"/>
    </w:pPr>
    <w:rPr>
      <w:rFonts w:eastAsia="仿宋_GB2312" w:asciiTheme="minorHAnsi" w:hAnsiTheme="minorHAnsi" w:cstheme="minorBidi"/>
      <w:kern w:val="2"/>
    </w:rPr>
  </w:style>
  <w:style w:type="character" w:customStyle="1" w:styleId="87">
    <w:name w:val="maincontenttable"/>
    <w:qFormat/>
    <w:uiPriority w:val="99"/>
    <w:rPr>
      <w:rFonts w:cs="Times New Roman"/>
    </w:rPr>
  </w:style>
  <w:style w:type="paragraph" w:customStyle="1" w:styleId="88">
    <w:name w:val="Char1 Char Char Char"/>
    <w:basedOn w:val="1"/>
    <w:qFormat/>
    <w:uiPriority w:val="99"/>
    <w:rPr>
      <w:rFonts w:ascii="Tahoma" w:hAnsi="Tahoma" w:cs="Tahoma"/>
      <w:sz w:val="30"/>
      <w:szCs w:val="30"/>
    </w:rPr>
  </w:style>
  <w:style w:type="paragraph" w:customStyle="1" w:styleId="89">
    <w:name w:val="Char Char Char Char Char Char Char Char Char Char"/>
    <w:basedOn w:val="1"/>
    <w:qFormat/>
    <w:uiPriority w:val="99"/>
    <w:pPr>
      <w:tabs>
        <w:tab w:val="left" w:pos="360"/>
      </w:tabs>
      <w:ind w:left="360" w:hanging="360" w:hangingChars="200"/>
    </w:pPr>
  </w:style>
  <w:style w:type="paragraph" w:customStyle="1" w:styleId="90">
    <w:name w:val="op_exactqa_s_prop"/>
    <w:basedOn w:val="1"/>
    <w:qFormat/>
    <w:uiPriority w:val="99"/>
  </w:style>
  <w:style w:type="paragraph" w:customStyle="1" w:styleId="91">
    <w:name w:val="Char"/>
    <w:basedOn w:val="1"/>
    <w:qFormat/>
    <w:uiPriority w:val="99"/>
    <w:pPr>
      <w:spacing w:after="160" w:line="240" w:lineRule="exact"/>
    </w:pPr>
    <w:rPr>
      <w:rFonts w:ascii="Verdana" w:hAnsi="Verdana" w:eastAsia="仿宋_GB2312" w:cs="Verdana"/>
      <w:lang w:eastAsia="en-US"/>
    </w:rPr>
  </w:style>
  <w:style w:type="paragraph" w:customStyle="1" w:styleId="92">
    <w:name w:val="图例"/>
    <w:basedOn w:val="1"/>
    <w:qFormat/>
    <w:uiPriority w:val="0"/>
    <w:pPr>
      <w:spacing w:before="120" w:after="120" w:line="360" w:lineRule="auto"/>
      <w:jc w:val="center"/>
    </w:pPr>
    <w:rPr>
      <w:rFonts w:eastAsia="仿宋_GB2312"/>
      <w:b/>
    </w:rPr>
  </w:style>
  <w:style w:type="paragraph" w:customStyle="1" w:styleId="9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94">
    <w:name w:val="_Style 7"/>
    <w:basedOn w:val="1"/>
    <w:qFormat/>
    <w:uiPriority w:val="0"/>
    <w:pPr>
      <w:ind w:firstLine="200" w:firstLineChars="200"/>
    </w:pPr>
    <w:rPr>
      <w:rFonts w:ascii="等线" w:eastAsia="等线" w:cs="Times New Roman"/>
      <w:sz w:val="21"/>
      <w:szCs w:val="22"/>
    </w:rPr>
  </w:style>
  <w:style w:type="paragraph" w:customStyle="1" w:styleId="95">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96">
    <w:name w:val="列表段落1"/>
    <w:basedOn w:val="1"/>
    <w:unhideWhenUsed/>
    <w:qFormat/>
    <w:uiPriority w:val="99"/>
    <w:pPr>
      <w:ind w:firstLine="420" w:firstLineChars="200"/>
    </w:pPr>
  </w:style>
  <w:style w:type="paragraph" w:customStyle="1" w:styleId="97">
    <w:name w:val="1"/>
    <w:basedOn w:val="1"/>
    <w:next w:val="18"/>
    <w:qFormat/>
    <w:uiPriority w:val="0"/>
    <w:rPr>
      <w:rFonts w:hAnsi="Courier New"/>
      <w:sz w:val="21"/>
      <w:szCs w:val="21"/>
    </w:rPr>
  </w:style>
  <w:style w:type="paragraph" w:customStyle="1" w:styleId="98">
    <w:name w:val="列出段落2"/>
    <w:basedOn w:val="1"/>
    <w:unhideWhenUsed/>
    <w:qFormat/>
    <w:uiPriority w:val="99"/>
    <w:pPr>
      <w:ind w:firstLine="420" w:firstLineChars="200"/>
    </w:pPr>
  </w:style>
  <w:style w:type="paragraph" w:customStyle="1" w:styleId="9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szCs w:val="20"/>
      <w:lang w:val="en-US" w:eastAsia="zh-CN" w:bidi="ar-SA"/>
    </w:rPr>
  </w:style>
  <w:style w:type="paragraph" w:customStyle="1" w:styleId="100">
    <w:name w:val="列出段落1"/>
    <w:basedOn w:val="1"/>
    <w:qFormat/>
    <w:uiPriority w:val="99"/>
    <w:pPr>
      <w:ind w:firstLine="420" w:firstLineChars="200"/>
    </w:pPr>
    <w:rPr>
      <w:rFonts w:ascii="Calibri" w:hAnsi="Calibri"/>
      <w:sz w:val="21"/>
      <w:szCs w:val="22"/>
    </w:rPr>
  </w:style>
  <w:style w:type="paragraph" w:customStyle="1" w:styleId="10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标题 5（有编号）（绿盟科技）"/>
    <w:basedOn w:val="1"/>
    <w:next w:val="103"/>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103">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customStyle="1" w:styleId="104">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105">
    <w:name w:val="NormalCharacter"/>
    <w:qFormat/>
    <w:uiPriority w:val="0"/>
    <w:rPr>
      <w:rFonts w:ascii="Calibri" w:hAnsi="Calibri" w:eastAsia="宋体"/>
    </w:rPr>
  </w:style>
  <w:style w:type="paragraph" w:customStyle="1" w:styleId="106">
    <w:name w:val="Normal_6b1eb2b1-915e-4520-a4ad-e896fdd76176"/>
    <w:next w:val="3"/>
    <w:qFormat/>
    <w:uiPriority w:val="0"/>
    <w:rPr>
      <w:rFonts w:ascii="Times New Roman" w:hAnsi="Times New Roman" w:eastAsia="宋体" w:cs="Times New Roman"/>
      <w:kern w:val="0"/>
      <w:sz w:val="21"/>
      <w:szCs w:val="20"/>
      <w:lang w:val="en-US" w:eastAsia="zh-CN" w:bidi="ar-SA"/>
    </w:rPr>
  </w:style>
  <w:style w:type="table" w:customStyle="1" w:styleId="107">
    <w:name w:val="Table Normal"/>
    <w:semiHidden/>
    <w:unhideWhenUsed/>
    <w:qFormat/>
    <w:uiPriority w:val="0"/>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108">
    <w:name w:val="引用2"/>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09">
    <w:name w:val="font71"/>
    <w:basedOn w:val="35"/>
    <w:qFormat/>
    <w:uiPriority w:val="0"/>
    <w:rPr>
      <w:rFonts w:hint="eastAsia" w:ascii="宋体" w:hAnsi="宋体" w:eastAsia="宋体" w:cs="宋体"/>
      <w:color w:val="000000"/>
      <w:sz w:val="44"/>
      <w:szCs w:val="44"/>
      <w:u w:val="none"/>
    </w:rPr>
  </w:style>
  <w:style w:type="character" w:customStyle="1" w:styleId="110">
    <w:name w:val="font81"/>
    <w:basedOn w:val="35"/>
    <w:qFormat/>
    <w:uiPriority w:val="0"/>
    <w:rPr>
      <w:rFonts w:hint="eastAsia" w:ascii="宋体" w:hAnsi="宋体" w:eastAsia="宋体" w:cs="宋体"/>
      <w:color w:val="000000"/>
      <w:sz w:val="44"/>
      <w:szCs w:val="44"/>
      <w:u w:val="none"/>
    </w:rPr>
  </w:style>
  <w:style w:type="paragraph" w:customStyle="1" w:styleId="111">
    <w:name w:val="Table Text"/>
    <w:basedOn w:val="1"/>
    <w:semiHidden/>
    <w:qFormat/>
    <w:uiPriority w:val="0"/>
    <w:rPr>
      <w:sz w:val="20"/>
      <w:szCs w:val="20"/>
      <w:lang w:eastAsia="en-US"/>
    </w:rPr>
  </w:style>
  <w:style w:type="paragraph" w:customStyle="1" w:styleId="112">
    <w:name w:val="Table Paragraph"/>
    <w:basedOn w:val="1"/>
    <w:unhideWhenUsed/>
    <w:qFormat/>
    <w:uiPriority w:val="1"/>
  </w:style>
  <w:style w:type="paragraph" w:customStyle="1" w:styleId="113">
    <w:name w:val="样式 样式 左侧:  2 字符 + 左侧:  0.85 厘米 首行缩进:  2 字符1"/>
    <w:basedOn w:val="1"/>
    <w:qFormat/>
    <w:uiPriority w:val="0"/>
    <w:pPr>
      <w:ind w:left="482" w:firstLine="200" w:firstLineChars="200"/>
    </w:pPr>
    <w:rPr>
      <w:szCs w:val="20"/>
    </w:rPr>
  </w:style>
  <w:style w:type="paragraph" w:customStyle="1" w:styleId="114">
    <w:name w:val="BodyText"/>
    <w:basedOn w:val="1"/>
    <w:qFormat/>
    <w:uiPriority w:val="0"/>
    <w:pPr>
      <w:spacing w:after="120"/>
      <w:jc w:val="both"/>
      <w:textAlignment w:val="baseline"/>
    </w:pPr>
    <w:rPr>
      <w:kern w:val="2"/>
      <w:sz w:val="21"/>
    </w:rPr>
  </w:style>
  <w:style w:type="paragraph" w:customStyle="1" w:styleId="115">
    <w:name w:val="UserStyle_0"/>
    <w:basedOn w:val="1"/>
    <w:qFormat/>
    <w:uiPriority w:val="0"/>
    <w:pPr>
      <w:ind w:left="482" w:firstLine="200" w:firstLineChars="200"/>
      <w:jc w:val="both"/>
      <w:textAlignment w:val="baseline"/>
    </w:pPr>
    <w:rPr>
      <w:kern w:val="2"/>
      <w:sz w:val="21"/>
      <w:szCs w:val="20"/>
    </w:rPr>
  </w:style>
  <w:style w:type="character" w:customStyle="1" w:styleId="116">
    <w:name w:val="font41"/>
    <w:basedOn w:val="35"/>
    <w:qFormat/>
    <w:uiPriority w:val="0"/>
    <w:rPr>
      <w:rFonts w:hint="eastAsia" w:ascii="宋体" w:hAnsi="宋体" w:eastAsia="宋体" w:cs="宋体"/>
      <w:color w:val="000000"/>
      <w:sz w:val="21"/>
      <w:szCs w:val="21"/>
      <w:u w:val="none"/>
    </w:rPr>
  </w:style>
  <w:style w:type="character" w:customStyle="1" w:styleId="117">
    <w:name w:val="font01"/>
    <w:basedOn w:val="35"/>
    <w:qFormat/>
    <w:uiPriority w:val="0"/>
    <w:rPr>
      <w:rFonts w:hint="eastAsia" w:ascii="宋体" w:hAnsi="宋体" w:eastAsia="宋体" w:cs="宋体"/>
      <w:color w:val="000000"/>
      <w:sz w:val="24"/>
      <w:szCs w:val="24"/>
      <w:u w:val="none"/>
    </w:rPr>
  </w:style>
  <w:style w:type="character" w:customStyle="1" w:styleId="118">
    <w:name w:val="正文文本 (2)_"/>
    <w:link w:val="119"/>
    <w:qFormat/>
    <w:uiPriority w:val="99"/>
    <w:rPr>
      <w:rFonts w:ascii="MingLiU" w:hAnsi="Calibri" w:eastAsia="MingLiU" w:cs="MingLiU"/>
      <w:sz w:val="26"/>
      <w:szCs w:val="26"/>
      <w:shd w:val="clear" w:color="auto" w:fill="FFFFFF"/>
    </w:rPr>
  </w:style>
  <w:style w:type="paragraph" w:customStyle="1" w:styleId="119">
    <w:name w:val="正文文本 (2)"/>
    <w:basedOn w:val="1"/>
    <w:link w:val="118"/>
    <w:qFormat/>
    <w:uiPriority w:val="99"/>
    <w:pPr>
      <w:widowControl w:val="0"/>
      <w:shd w:val="clear" w:color="auto" w:fill="FFFFFF"/>
      <w:spacing w:before="720" w:line="499" w:lineRule="exact"/>
      <w:jc w:val="distribute"/>
    </w:pPr>
    <w:rPr>
      <w:rFonts w:ascii="MingLiU" w:hAnsi="Calibri" w:eastAsia="MingLiU" w:cs="MingLiU"/>
      <w:kern w:val="2"/>
      <w:sz w:val="26"/>
      <w:szCs w:val="26"/>
    </w:rPr>
  </w:style>
  <w:style w:type="character" w:customStyle="1" w:styleId="120">
    <w:name w:val="正文文本首行缩进 2 字符"/>
    <w:basedOn w:val="64"/>
    <w:link w:val="32"/>
    <w:semiHidden/>
    <w:qFormat/>
    <w:uiPriority w:val="99"/>
    <w:rPr>
      <w:rFonts w:ascii="宋体" w:hAnsi="宋体" w:eastAsia="宋体" w:cs="宋体"/>
      <w:kern w:val="0"/>
      <w:sz w:val="24"/>
      <w:szCs w:val="20"/>
      <w:lang w:val="zh-CN"/>
    </w:rPr>
  </w:style>
  <w:style w:type="character" w:customStyle="1" w:styleId="121">
    <w:name w:val="批注文字 Char"/>
    <w:qFormat/>
    <w:uiPriority w:val="0"/>
    <w:rPr>
      <w:rFonts w:eastAsia="PMingLiU"/>
      <w:sz w:val="24"/>
      <w:lang w:eastAsia="zh-TW"/>
    </w:rPr>
  </w:style>
  <w:style w:type="paragraph" w:customStyle="1" w:styleId="12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13550</Words>
  <Characters>14175</Characters>
  <Lines>209</Lines>
  <Paragraphs>59</Paragraphs>
  <TotalTime>4</TotalTime>
  <ScaleCrop>false</ScaleCrop>
  <LinksUpToDate>false</LinksUpToDate>
  <CharactersWithSpaces>15115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2025-04-03T08:03:00Z</dcterms:created>
  <dc:creator>ChatGPT 5.0 Turbo Alpha</dc:creator>
  <cp:lastModifiedBy>Administrator</cp:lastModifiedBy>
  <dcterms:modified xsi:type="dcterms:W3CDTF">2025-06-18T08:41:47Z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eyJoZGlkIjoiODY1Y2E1NDM5ZmE3NmNmY2MyNjU0YTc4NzJlNThhY2MiLCJ1c2VySWQiOiI0NjcxMjkxNDUifQ==</vt:lpwstr>
  </property>
  <property fmtid="{D5CDD505-2E9C-101B-9397-08002B2CF9AE}" pid="4" name="ICV">
    <vt:lpwstr>C716329D12944D00BB70B15B97B74768_13</vt:lpwstr>
  </property>
</Properties>
</file>