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00DEC">
      <w:pPr>
        <w:pStyle w:val="6"/>
        <w:tabs>
          <w:tab w:val="right" w:leader="dot" w:pos="9402"/>
        </w:tabs>
        <w:spacing w:line="480" w:lineRule="exact"/>
        <w:ind w:left="560"/>
        <w:jc w:val="center"/>
        <w:outlineLvl w:val="0"/>
        <w:rPr>
          <w:rFonts w:ascii="宋体" w:hAnsi="宋体" w:eastAsia="宋体" w:cs="宋体"/>
          <w:color w:val="auto"/>
          <w:szCs w:val="30"/>
          <w:highlight w:val="none"/>
        </w:rPr>
      </w:pPr>
      <w:bookmarkStart w:id="0" w:name="_Toc1205"/>
      <w:bookmarkStart w:id="1" w:name="_Toc14214"/>
      <w:r>
        <w:rPr>
          <w:rFonts w:hint="eastAsia" w:ascii="宋体" w:hAnsi="宋体" w:eastAsia="宋体" w:cs="宋体"/>
          <w:color w:val="auto"/>
          <w:sz w:val="36"/>
          <w:szCs w:val="30"/>
          <w:highlight w:val="none"/>
        </w:rPr>
        <w:t>采购公告</w:t>
      </w:r>
      <w:bookmarkEnd w:id="0"/>
      <w:bookmarkEnd w:id="1"/>
    </w:p>
    <w:p w14:paraId="0D212B1B">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重庆星佩企业管理咨询有限公司</w:t>
      </w:r>
      <w:r>
        <w:rPr>
          <w:rFonts w:hint="eastAsia" w:ascii="宋体" w:hAnsi="宋体" w:eastAsia="宋体" w:cs="宋体"/>
          <w:color w:val="auto"/>
          <w:sz w:val="24"/>
          <w:szCs w:val="24"/>
          <w:highlight w:val="none"/>
        </w:rPr>
        <w:t>（以下简称：采购代理机构）</w:t>
      </w:r>
      <w:r>
        <w:rPr>
          <w:rFonts w:hint="eastAsia" w:ascii="宋体" w:hAnsi="宋体" w:cs="宋体"/>
          <w:color w:val="auto"/>
          <w:sz w:val="24"/>
          <w:szCs w:val="24"/>
          <w:highlight w:val="none"/>
          <w:lang w:eastAsia="zh-CN"/>
        </w:rPr>
        <w:t>接受</w:t>
      </w:r>
      <w:r>
        <w:rPr>
          <w:rFonts w:hint="eastAsia" w:ascii="宋体" w:hAnsi="宋体" w:cs="宋体"/>
          <w:color w:val="auto"/>
          <w:sz w:val="24"/>
          <w:szCs w:val="24"/>
          <w:highlight w:val="none"/>
          <w:u w:val="single"/>
          <w:lang w:val="en-US" w:eastAsia="zh-CN"/>
        </w:rPr>
        <w:t>荣昌拓新上河城12栋电梯更换筹备组</w:t>
      </w:r>
      <w:r>
        <w:rPr>
          <w:rFonts w:hint="eastAsia" w:ascii="宋体" w:hAnsi="宋体" w:cs="宋体"/>
          <w:color w:val="auto"/>
          <w:sz w:val="24"/>
          <w:szCs w:val="24"/>
          <w:highlight w:val="none"/>
          <w:lang w:eastAsia="zh-CN"/>
        </w:rPr>
        <w:t>委托，</w:t>
      </w:r>
      <w:r>
        <w:rPr>
          <w:rFonts w:hint="eastAsia" w:ascii="宋体" w:hAnsi="宋体" w:eastAsia="宋体" w:cs="宋体"/>
          <w:color w:val="auto"/>
          <w:sz w:val="24"/>
          <w:szCs w:val="24"/>
          <w:highlight w:val="none"/>
        </w:rPr>
        <w:t>对其“</w:t>
      </w:r>
      <w:r>
        <w:rPr>
          <w:rFonts w:hint="eastAsia" w:ascii="宋体" w:hAnsi="宋体" w:cs="宋体"/>
          <w:color w:val="auto"/>
          <w:sz w:val="24"/>
          <w:szCs w:val="24"/>
          <w:highlight w:val="none"/>
          <w:lang w:val="en-US" w:eastAsia="zh-CN"/>
        </w:rPr>
        <w:t>荣昌拓新上河城12栋电梯更新改造</w:t>
      </w:r>
      <w:r>
        <w:rPr>
          <w:rFonts w:hint="eastAsia" w:ascii="宋体" w:hAnsi="宋体" w:eastAsia="宋体" w:cs="宋体"/>
          <w:color w:val="auto"/>
          <w:sz w:val="24"/>
          <w:szCs w:val="24"/>
          <w:highlight w:val="none"/>
        </w:rPr>
        <w:t>”项目进行询比采购。欢迎有资格的供应商前来参与询比。</w:t>
      </w:r>
    </w:p>
    <w:p w14:paraId="6C6E37F5">
      <w:pPr>
        <w:pStyle w:val="2"/>
        <w:spacing w:line="400" w:lineRule="exact"/>
        <w:rPr>
          <w:rFonts w:ascii="宋体" w:hAnsi="宋体" w:eastAsia="宋体" w:cs="宋体"/>
          <w:color w:val="auto"/>
          <w:sz w:val="24"/>
          <w:szCs w:val="24"/>
          <w:highlight w:val="none"/>
        </w:rPr>
      </w:pPr>
      <w:bookmarkStart w:id="2" w:name="_Toc28114"/>
      <w:bookmarkStart w:id="3" w:name="_Toc317775175"/>
      <w:bookmarkStart w:id="4" w:name="_Toc10001"/>
      <w:bookmarkStart w:id="5" w:name="_Toc5786"/>
      <w:bookmarkStart w:id="6" w:name="_Toc7224"/>
      <w:bookmarkStart w:id="7" w:name="_Toc47094760"/>
      <w:bookmarkStart w:id="8" w:name="_Toc313893526"/>
      <w:r>
        <w:rPr>
          <w:rFonts w:hint="eastAsia" w:ascii="宋体" w:hAnsi="宋体" w:eastAsia="宋体" w:cs="宋体"/>
          <w:color w:val="auto"/>
          <w:sz w:val="24"/>
          <w:szCs w:val="24"/>
          <w:highlight w:val="none"/>
        </w:rPr>
        <w:t>一、询比内容</w:t>
      </w:r>
      <w:bookmarkEnd w:id="2"/>
      <w:bookmarkEnd w:id="3"/>
      <w:bookmarkEnd w:id="4"/>
      <w:bookmarkEnd w:id="5"/>
      <w:bookmarkEnd w:id="6"/>
      <w:bookmarkEnd w:id="7"/>
      <w:bookmarkEnd w:id="8"/>
    </w:p>
    <w:tbl>
      <w:tblPr>
        <w:tblStyle w:val="7"/>
        <w:tblpPr w:leftFromText="180" w:rightFromText="180" w:vertAnchor="text" w:horzAnchor="page" w:tblpX="1404" w:tblpY="412"/>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387"/>
        <w:gridCol w:w="2813"/>
        <w:gridCol w:w="1397"/>
        <w:gridCol w:w="1925"/>
      </w:tblGrid>
      <w:tr w14:paraId="35A2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11" w:type="dxa"/>
            <w:tcBorders>
              <w:top w:val="single" w:color="auto" w:sz="4" w:space="0"/>
              <w:left w:val="single" w:color="auto" w:sz="4" w:space="0"/>
              <w:right w:val="single" w:color="auto" w:sz="4" w:space="0"/>
            </w:tcBorders>
            <w:vAlign w:val="center"/>
          </w:tcPr>
          <w:p w14:paraId="2D293CA3">
            <w:pPr>
              <w:widowControl/>
              <w:spacing w:line="500" w:lineRule="exact"/>
              <w:jc w:val="center"/>
              <w:rPr>
                <w:rFonts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项目名称</w:t>
            </w:r>
          </w:p>
        </w:tc>
        <w:tc>
          <w:tcPr>
            <w:tcW w:w="1387" w:type="dxa"/>
            <w:tcBorders>
              <w:top w:val="single" w:color="auto" w:sz="4" w:space="0"/>
              <w:left w:val="single" w:color="auto" w:sz="4" w:space="0"/>
              <w:right w:val="single" w:color="auto" w:sz="4" w:space="0"/>
            </w:tcBorders>
            <w:vAlign w:val="center"/>
          </w:tcPr>
          <w:p w14:paraId="26A96C72">
            <w:pPr>
              <w:widowControl/>
              <w:spacing w:line="500" w:lineRule="exact"/>
              <w:jc w:val="center"/>
              <w:rPr>
                <w:rFonts w:ascii="宋体" w:hAnsi="宋体" w:eastAsia="宋体" w:cs="宋体"/>
                <w:color w:val="auto"/>
                <w:highlight w:val="none"/>
              </w:rPr>
            </w:pPr>
            <w:r>
              <w:rPr>
                <w:rFonts w:hint="eastAsia" w:ascii="宋体" w:hAnsi="宋体" w:eastAsia="宋体" w:cs="宋体"/>
                <w:b/>
                <w:bCs/>
                <w:color w:val="auto"/>
                <w:kern w:val="0"/>
                <w:sz w:val="21"/>
                <w:szCs w:val="24"/>
                <w:highlight w:val="none"/>
              </w:rPr>
              <w:t>采购数量</w:t>
            </w:r>
          </w:p>
        </w:tc>
        <w:tc>
          <w:tcPr>
            <w:tcW w:w="2813" w:type="dxa"/>
            <w:tcBorders>
              <w:top w:val="single" w:color="auto" w:sz="4" w:space="0"/>
              <w:left w:val="single" w:color="auto" w:sz="4" w:space="0"/>
              <w:right w:val="single" w:color="auto" w:sz="4" w:space="0"/>
            </w:tcBorders>
            <w:vAlign w:val="center"/>
          </w:tcPr>
          <w:p w14:paraId="0B6B02D2">
            <w:pPr>
              <w:widowControl/>
              <w:spacing w:line="500" w:lineRule="exact"/>
              <w:jc w:val="center"/>
              <w:rPr>
                <w:rFonts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p>
        </w:tc>
        <w:tc>
          <w:tcPr>
            <w:tcW w:w="1397" w:type="dxa"/>
            <w:tcBorders>
              <w:top w:val="single" w:color="auto" w:sz="4" w:space="0"/>
              <w:left w:val="single" w:color="auto" w:sz="4" w:space="0"/>
              <w:right w:val="single" w:color="auto" w:sz="4" w:space="0"/>
            </w:tcBorders>
            <w:vAlign w:val="center"/>
          </w:tcPr>
          <w:p w14:paraId="163DF03C">
            <w:pPr>
              <w:spacing w:line="500" w:lineRule="exact"/>
              <w:jc w:val="center"/>
              <w:rPr>
                <w:rFonts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w:t>
            </w:r>
          </w:p>
          <w:p w14:paraId="55B275F9">
            <w:pPr>
              <w:spacing w:line="500" w:lineRule="exact"/>
              <w:jc w:val="center"/>
              <w:rPr>
                <w:rFonts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数量</w:t>
            </w:r>
          </w:p>
        </w:tc>
        <w:tc>
          <w:tcPr>
            <w:tcW w:w="1925" w:type="dxa"/>
            <w:tcBorders>
              <w:top w:val="single" w:color="auto" w:sz="4" w:space="0"/>
              <w:left w:val="single" w:color="auto" w:sz="4" w:space="0"/>
              <w:right w:val="single" w:color="auto" w:sz="4" w:space="0"/>
            </w:tcBorders>
            <w:vAlign w:val="center"/>
          </w:tcPr>
          <w:p w14:paraId="7E5CE937">
            <w:pPr>
              <w:spacing w:line="500" w:lineRule="exact"/>
              <w:jc w:val="center"/>
              <w:rPr>
                <w:rFonts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说明</w:t>
            </w:r>
          </w:p>
        </w:tc>
      </w:tr>
      <w:tr w14:paraId="7D6A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911" w:type="dxa"/>
            <w:tcBorders>
              <w:top w:val="single" w:color="auto" w:sz="4" w:space="0"/>
              <w:left w:val="single" w:color="auto" w:sz="4" w:space="0"/>
              <w:bottom w:val="single" w:color="auto" w:sz="4" w:space="0"/>
              <w:right w:val="single" w:color="auto" w:sz="4" w:space="0"/>
            </w:tcBorders>
            <w:vAlign w:val="center"/>
          </w:tcPr>
          <w:p w14:paraId="2C43947A">
            <w:pPr>
              <w:spacing w:line="400" w:lineRule="exact"/>
              <w:jc w:val="center"/>
              <w:rPr>
                <w:rFonts w:ascii="宋体" w:hAnsi="宋体" w:eastAsia="宋体" w:cs="宋体"/>
                <w:color w:val="auto"/>
                <w:sz w:val="21"/>
                <w:szCs w:val="21"/>
                <w:highlight w:val="none"/>
              </w:rPr>
            </w:pPr>
            <w:bookmarkStart w:id="9" w:name="_Hlk344477914"/>
            <w:r>
              <w:rPr>
                <w:rFonts w:hint="eastAsia" w:ascii="宋体" w:hAnsi="宋体" w:eastAsia="宋体" w:cs="宋体"/>
                <w:color w:val="auto"/>
                <w:sz w:val="21"/>
                <w:szCs w:val="21"/>
                <w:highlight w:val="none"/>
                <w:lang w:val="en-US" w:eastAsia="zh-CN"/>
              </w:rPr>
              <w:t>荣昌拓新上河城12栋电梯</w:t>
            </w:r>
            <w:r>
              <w:rPr>
                <w:rFonts w:hint="eastAsia" w:ascii="宋体" w:hAnsi="宋体" w:cs="宋体"/>
                <w:color w:val="auto"/>
                <w:sz w:val="21"/>
                <w:szCs w:val="21"/>
                <w:highlight w:val="none"/>
                <w:lang w:val="en-US" w:eastAsia="zh-CN"/>
              </w:rPr>
              <w:t>更新改造</w:t>
            </w:r>
            <w:r>
              <w:rPr>
                <w:rFonts w:hint="eastAsia" w:ascii="宋体" w:hAnsi="宋体" w:eastAsia="宋体" w:cs="宋体"/>
                <w:color w:val="auto"/>
                <w:sz w:val="21"/>
                <w:szCs w:val="21"/>
                <w:highlight w:val="none"/>
              </w:rPr>
              <w:t>项目</w:t>
            </w:r>
          </w:p>
        </w:tc>
        <w:tc>
          <w:tcPr>
            <w:tcW w:w="1387" w:type="dxa"/>
            <w:tcBorders>
              <w:top w:val="single" w:color="auto" w:sz="4" w:space="0"/>
              <w:left w:val="single" w:color="auto" w:sz="4" w:space="0"/>
              <w:bottom w:val="single" w:color="auto" w:sz="4" w:space="0"/>
              <w:right w:val="single" w:color="auto" w:sz="4" w:space="0"/>
            </w:tcBorders>
            <w:vAlign w:val="center"/>
          </w:tcPr>
          <w:p w14:paraId="61A761A9">
            <w:pPr>
              <w:jc w:val="center"/>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台</w:t>
            </w:r>
          </w:p>
        </w:tc>
        <w:tc>
          <w:tcPr>
            <w:tcW w:w="2813" w:type="dxa"/>
            <w:tcBorders>
              <w:top w:val="single" w:color="auto" w:sz="4" w:space="0"/>
              <w:left w:val="single" w:color="auto" w:sz="4" w:space="0"/>
              <w:bottom w:val="single" w:color="auto" w:sz="4" w:space="0"/>
              <w:right w:val="single" w:color="auto" w:sz="4" w:space="0"/>
            </w:tcBorders>
            <w:vAlign w:val="center"/>
          </w:tcPr>
          <w:p w14:paraId="3EC3B0A3">
            <w:pPr>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280000</w:t>
            </w:r>
            <w:r>
              <w:rPr>
                <w:rFonts w:hint="eastAsia" w:ascii="宋体" w:hAnsi="宋体" w:eastAsia="宋体" w:cs="宋体"/>
                <w:color w:val="auto"/>
                <w:kern w:val="0"/>
                <w:sz w:val="21"/>
                <w:szCs w:val="21"/>
                <w:highlight w:val="none"/>
              </w:rPr>
              <w:t>元/台</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合计：112万</w:t>
            </w:r>
          </w:p>
        </w:tc>
        <w:tc>
          <w:tcPr>
            <w:tcW w:w="1397" w:type="dxa"/>
            <w:tcBorders>
              <w:top w:val="single" w:color="auto" w:sz="4" w:space="0"/>
              <w:left w:val="single" w:color="auto" w:sz="4" w:space="0"/>
              <w:bottom w:val="single" w:color="auto" w:sz="4" w:space="0"/>
              <w:right w:val="single" w:color="auto" w:sz="4" w:space="0"/>
            </w:tcBorders>
            <w:vAlign w:val="center"/>
          </w:tcPr>
          <w:p w14:paraId="0291CA6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名</w:t>
            </w:r>
          </w:p>
        </w:tc>
        <w:tc>
          <w:tcPr>
            <w:tcW w:w="1925" w:type="dxa"/>
            <w:tcBorders>
              <w:top w:val="single" w:color="auto" w:sz="4" w:space="0"/>
              <w:left w:val="single" w:color="auto" w:sz="4" w:space="0"/>
              <w:bottom w:val="single" w:color="auto" w:sz="4" w:space="0"/>
              <w:right w:val="single" w:color="auto" w:sz="4" w:space="0"/>
            </w:tcBorders>
            <w:vAlign w:val="center"/>
          </w:tcPr>
          <w:p w14:paraId="2353A370">
            <w:pPr>
              <w:spacing w:line="5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最高限价为原有电梯残值抵扣后的限价。</w:t>
            </w:r>
            <w:r>
              <w:rPr>
                <w:rFonts w:hint="eastAsia" w:ascii="宋体" w:hAnsi="宋体" w:cs="宋体"/>
                <w:color w:val="auto"/>
                <w:sz w:val="21"/>
                <w:szCs w:val="21"/>
                <w:highlight w:val="none"/>
                <w:lang w:eastAsia="zh-CN"/>
              </w:rPr>
              <w:t>其中</w:t>
            </w:r>
            <w:r>
              <w:rPr>
                <w:rFonts w:hint="eastAsia" w:ascii="宋体" w:hAnsi="宋体" w:eastAsia="宋体" w:cs="宋体"/>
                <w:color w:val="auto"/>
                <w:sz w:val="21"/>
                <w:szCs w:val="21"/>
                <w:highlight w:val="none"/>
              </w:rPr>
              <w:t>国债补贴15万元/台</w:t>
            </w:r>
            <w:r>
              <w:rPr>
                <w:rFonts w:hint="eastAsia" w:ascii="宋体" w:hAnsi="宋体" w:cs="宋体"/>
                <w:color w:val="auto"/>
                <w:sz w:val="21"/>
                <w:szCs w:val="21"/>
                <w:highlight w:val="none"/>
                <w:lang w:eastAsia="zh-CN"/>
              </w:rPr>
              <w:t>。</w:t>
            </w:r>
          </w:p>
        </w:tc>
      </w:tr>
      <w:bookmarkEnd w:id="9"/>
    </w:tbl>
    <w:p w14:paraId="26DBE89A">
      <w:pPr>
        <w:pStyle w:val="3"/>
        <w:spacing w:line="500" w:lineRule="exact"/>
        <w:rPr>
          <w:rFonts w:ascii="宋体" w:hAnsi="宋体" w:eastAsia="宋体" w:cs="宋体"/>
          <w:color w:val="auto"/>
          <w:sz w:val="24"/>
          <w:szCs w:val="24"/>
          <w:highlight w:val="none"/>
        </w:rPr>
      </w:pPr>
      <w:bookmarkStart w:id="10" w:name="_Toc25320"/>
      <w:bookmarkStart w:id="11" w:name="_Toc47094762"/>
      <w:bookmarkStart w:id="12" w:name="_Toc22157"/>
      <w:bookmarkStart w:id="13" w:name="_Toc11135"/>
      <w:bookmarkStart w:id="14" w:name="_Toc373860293"/>
      <w:bookmarkStart w:id="15" w:name="_Toc317775178"/>
    </w:p>
    <w:p w14:paraId="5603A711">
      <w:pPr>
        <w:pStyle w:val="2"/>
        <w:spacing w:line="400" w:lineRule="exact"/>
        <w:rPr>
          <w:rFonts w:ascii="宋体" w:hAnsi="宋体" w:eastAsia="宋体" w:cs="宋体"/>
          <w:color w:val="auto"/>
          <w:sz w:val="24"/>
          <w:szCs w:val="24"/>
          <w:highlight w:val="none"/>
        </w:rPr>
      </w:pPr>
      <w:bookmarkStart w:id="16" w:name="_Toc2876"/>
      <w:bookmarkStart w:id="17" w:name="_Toc26489"/>
      <w:bookmarkStart w:id="18" w:name="_Toc47094761"/>
      <w:bookmarkStart w:id="19" w:name="_Toc20640"/>
      <w:bookmarkStart w:id="20" w:name="_Toc969"/>
      <w:bookmarkStart w:id="21" w:name="_Toc22333"/>
      <w:r>
        <w:rPr>
          <w:rFonts w:hint="eastAsia" w:ascii="宋体" w:hAnsi="宋体" w:eastAsia="宋体" w:cs="宋体"/>
          <w:color w:val="auto"/>
          <w:sz w:val="24"/>
          <w:szCs w:val="24"/>
          <w:highlight w:val="none"/>
        </w:rPr>
        <w:t>二、资金来源</w:t>
      </w:r>
      <w:bookmarkEnd w:id="16"/>
      <w:bookmarkEnd w:id="17"/>
      <w:bookmarkEnd w:id="18"/>
      <w:bookmarkEnd w:id="19"/>
      <w:bookmarkEnd w:id="20"/>
      <w:bookmarkEnd w:id="21"/>
    </w:p>
    <w:p w14:paraId="2729D63A">
      <w:pPr>
        <w:spacing w:line="40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自有资金</w:t>
      </w:r>
      <w:r>
        <w:rPr>
          <w:rFonts w:hint="eastAsia" w:ascii="宋体" w:hAnsi="宋体" w:eastAsia="宋体" w:cs="宋体"/>
          <w:color w:val="auto"/>
          <w:sz w:val="24"/>
          <w:szCs w:val="24"/>
          <w:highlight w:val="none"/>
        </w:rPr>
        <w:t>+超长国债补贴</w:t>
      </w:r>
    </w:p>
    <w:p w14:paraId="6840C905">
      <w:pPr>
        <w:pStyle w:val="2"/>
        <w:spacing w:line="400" w:lineRule="exact"/>
        <w:rPr>
          <w:rFonts w:ascii="宋体" w:hAnsi="宋体" w:eastAsia="宋体" w:cs="宋体"/>
          <w:color w:val="auto"/>
          <w:sz w:val="24"/>
          <w:szCs w:val="24"/>
          <w:highlight w:val="none"/>
        </w:rPr>
      </w:pPr>
      <w:bookmarkStart w:id="22" w:name="_Toc23602"/>
      <w:r>
        <w:rPr>
          <w:rFonts w:hint="eastAsia" w:ascii="宋体" w:hAnsi="宋体" w:eastAsia="宋体" w:cs="宋体"/>
          <w:color w:val="auto"/>
          <w:sz w:val="24"/>
          <w:szCs w:val="24"/>
          <w:highlight w:val="none"/>
        </w:rPr>
        <w:t>三、供应商资格条件</w:t>
      </w:r>
      <w:bookmarkEnd w:id="10"/>
      <w:bookmarkEnd w:id="11"/>
      <w:bookmarkEnd w:id="12"/>
      <w:bookmarkEnd w:id="13"/>
      <w:bookmarkEnd w:id="22"/>
    </w:p>
    <w:p w14:paraId="33A047CF">
      <w:pPr>
        <w:snapToGrid w:val="0"/>
        <w:spacing w:line="400" w:lineRule="exact"/>
        <w:ind w:firstLine="480" w:firstLineChars="200"/>
        <w:outlineLvl w:val="9"/>
        <w:rPr>
          <w:rFonts w:ascii="宋体" w:hAnsi="宋体" w:eastAsia="宋体" w:cs="宋体"/>
          <w:color w:val="auto"/>
          <w:sz w:val="24"/>
          <w:szCs w:val="24"/>
          <w:highlight w:val="none"/>
        </w:rPr>
      </w:pPr>
      <w:bookmarkStart w:id="23" w:name="_Toc19434"/>
      <w:bookmarkStart w:id="24" w:name="_Toc20379"/>
      <w:bookmarkStart w:id="25" w:name="_Toc9086"/>
      <w:bookmarkStart w:id="26" w:name="_Toc16272"/>
      <w:bookmarkStart w:id="27" w:name="_Toc9115"/>
      <w:bookmarkStart w:id="28" w:name="_Toc47094763"/>
      <w:r>
        <w:rPr>
          <w:rFonts w:hint="eastAsia" w:ascii="宋体" w:hAnsi="宋体" w:eastAsia="宋体" w:cs="宋体"/>
          <w:color w:val="auto"/>
          <w:sz w:val="24"/>
          <w:szCs w:val="24"/>
          <w:highlight w:val="none"/>
        </w:rPr>
        <w:t>（一）基本资格条件</w:t>
      </w:r>
      <w:bookmarkEnd w:id="23"/>
      <w:bookmarkEnd w:id="24"/>
      <w:bookmarkEnd w:id="25"/>
      <w:bookmarkEnd w:id="26"/>
    </w:p>
    <w:p w14:paraId="28F91D6F">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具有独立承担民事责任的能力；</w:t>
      </w:r>
    </w:p>
    <w:p w14:paraId="3C164434">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具有良好的商业信誉和健全的财务会计制度；</w:t>
      </w:r>
    </w:p>
    <w:p w14:paraId="35741FBE">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具有履行合同所必需的设备和专业技术能力；</w:t>
      </w:r>
    </w:p>
    <w:p w14:paraId="5B27891B">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有依法缴纳税收和社会保障资金的良好记录；</w:t>
      </w:r>
    </w:p>
    <w:p w14:paraId="06458E77">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参加本项目采购活动前三年内，在经营活动中没有重大违法记录；</w:t>
      </w:r>
    </w:p>
    <w:p w14:paraId="49E778FD">
      <w:pPr>
        <w:snapToGrid w:val="0"/>
        <w:spacing w:line="400" w:lineRule="exact"/>
        <w:ind w:firstLine="480" w:firstLineChars="200"/>
        <w:rPr>
          <w:rFonts w:ascii="宋体" w:hAnsi="宋体" w:eastAsia="宋体" w:cs="宋体"/>
          <w:color w:val="auto"/>
          <w:sz w:val="24"/>
          <w:szCs w:val="24"/>
          <w:highlight w:val="none"/>
        </w:rPr>
      </w:pPr>
      <w:bookmarkStart w:id="29" w:name="OLE_LINK7"/>
      <w:r>
        <w:rPr>
          <w:rFonts w:hint="eastAsia" w:ascii="宋体" w:hAnsi="宋体" w:eastAsia="宋体" w:cs="宋体"/>
          <w:color w:val="auto"/>
          <w:sz w:val="24"/>
          <w:szCs w:val="24"/>
          <w:highlight w:val="none"/>
        </w:rPr>
        <w:t>6. 法律、行政法规规定的其他条件。</w:t>
      </w:r>
    </w:p>
    <w:bookmarkEnd w:id="29"/>
    <w:p w14:paraId="54127349">
      <w:pPr>
        <w:snapToGrid w:val="0"/>
        <w:spacing w:line="400" w:lineRule="exact"/>
        <w:ind w:firstLine="480" w:firstLineChars="200"/>
        <w:outlineLvl w:val="9"/>
        <w:rPr>
          <w:rFonts w:ascii="宋体" w:hAnsi="宋体" w:eastAsia="宋体" w:cs="宋体"/>
          <w:color w:val="auto"/>
          <w:sz w:val="24"/>
          <w:szCs w:val="24"/>
          <w:highlight w:val="none"/>
        </w:rPr>
      </w:pPr>
      <w:bookmarkStart w:id="30" w:name="_Toc10828"/>
      <w:bookmarkStart w:id="31" w:name="_Toc22654"/>
      <w:bookmarkStart w:id="32" w:name="_Toc12446"/>
      <w:bookmarkStart w:id="33" w:name="_Toc31900"/>
      <w:r>
        <w:rPr>
          <w:rFonts w:hint="eastAsia" w:ascii="宋体" w:hAnsi="宋体" w:eastAsia="宋体" w:cs="宋体"/>
          <w:color w:val="auto"/>
          <w:sz w:val="24"/>
          <w:szCs w:val="24"/>
          <w:highlight w:val="none"/>
        </w:rPr>
        <w:t>（二）特定资格条件</w:t>
      </w:r>
      <w:bookmarkEnd w:id="30"/>
      <w:bookmarkEnd w:id="31"/>
      <w:bookmarkEnd w:id="32"/>
      <w:bookmarkEnd w:id="33"/>
    </w:p>
    <w:p w14:paraId="4BC80A8D">
      <w:pPr>
        <w:snapToGrid w:val="0"/>
        <w:spacing w:line="400" w:lineRule="exact"/>
        <w:ind w:firstLine="480" w:firstLineChars="200"/>
        <w:rPr>
          <w:rFonts w:ascii="宋体" w:hAnsi="宋体" w:eastAsia="宋体" w:cs="宋体"/>
          <w:color w:val="auto"/>
          <w:sz w:val="24"/>
          <w:szCs w:val="24"/>
          <w:highlight w:val="none"/>
        </w:rPr>
      </w:pPr>
      <w:bookmarkStart w:id="34" w:name="_Toc51057733"/>
      <w:bookmarkStart w:id="35" w:name="_Toc51056416"/>
      <w:bookmarkStart w:id="36" w:name="_Toc51057643"/>
      <w:bookmarkStart w:id="37" w:name="_Toc16314"/>
      <w:bookmarkStart w:id="38" w:name="_Toc21744"/>
      <w:r>
        <w:rPr>
          <w:rFonts w:hint="eastAsia" w:ascii="宋体" w:hAnsi="宋体" w:eastAsia="宋体" w:cs="宋体"/>
          <w:color w:val="auto"/>
          <w:sz w:val="24"/>
          <w:szCs w:val="24"/>
          <w:highlight w:val="none"/>
        </w:rPr>
        <w:t>1、电梯生产制造商参加比选的必须具备以下资格：</w:t>
      </w:r>
      <w:bookmarkEnd w:id="34"/>
      <w:bookmarkEnd w:id="35"/>
      <w:bookmarkEnd w:id="36"/>
    </w:p>
    <w:p w14:paraId="1C12EBAD">
      <w:pPr>
        <w:snapToGrid w:val="0"/>
        <w:spacing w:line="400" w:lineRule="exact"/>
        <w:ind w:firstLine="480" w:firstLineChars="200"/>
        <w:rPr>
          <w:rFonts w:ascii="宋体" w:hAnsi="宋体" w:eastAsia="宋体" w:cs="宋体"/>
          <w:color w:val="auto"/>
          <w:sz w:val="24"/>
          <w:szCs w:val="24"/>
          <w:highlight w:val="none"/>
        </w:rPr>
      </w:pPr>
      <w:bookmarkStart w:id="39" w:name="_Toc51057644"/>
      <w:bookmarkStart w:id="40" w:name="_Toc51056417"/>
      <w:bookmarkStart w:id="41" w:name="_Toc51057734"/>
      <w:r>
        <w:rPr>
          <w:rFonts w:hint="eastAsia" w:ascii="宋体" w:hAnsi="宋体" w:eastAsia="宋体" w:cs="宋体"/>
          <w:color w:val="auto"/>
          <w:sz w:val="24"/>
          <w:szCs w:val="24"/>
          <w:highlight w:val="none"/>
        </w:rPr>
        <w:t>（1）须在中华人民共和国境内合法注册的电梯制造商（经营范围包含电梯生产或制造），具有工商行政主管部门颁发的有效营业执照的电梯生产企业；</w:t>
      </w:r>
      <w:bookmarkEnd w:id="39"/>
      <w:bookmarkEnd w:id="40"/>
      <w:bookmarkEnd w:id="41"/>
    </w:p>
    <w:p w14:paraId="3491EEB3">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（须提供有效的法人营业执照副本复印件并加盖电梯生产制造商公章）</w:t>
      </w:r>
      <w:bookmarkStart w:id="89" w:name="_GoBack"/>
      <w:bookmarkEnd w:id="89"/>
    </w:p>
    <w:p w14:paraId="60E71D75">
      <w:pPr>
        <w:snapToGrid w:val="0"/>
        <w:spacing w:line="400" w:lineRule="exact"/>
        <w:ind w:firstLine="480" w:firstLineChars="200"/>
        <w:rPr>
          <w:rFonts w:ascii="宋体" w:hAnsi="宋体" w:eastAsia="宋体" w:cs="宋体"/>
          <w:color w:val="auto"/>
          <w:sz w:val="24"/>
          <w:szCs w:val="24"/>
          <w:highlight w:val="none"/>
        </w:rPr>
      </w:pPr>
      <w:bookmarkStart w:id="42" w:name="_Toc51057735"/>
      <w:bookmarkStart w:id="43" w:name="_Toc51057645"/>
      <w:bookmarkStart w:id="44" w:name="_Toc51056418"/>
      <w:r>
        <w:rPr>
          <w:rFonts w:hint="eastAsia" w:ascii="宋体" w:hAnsi="宋体" w:eastAsia="宋体" w:cs="宋体"/>
          <w:color w:val="auto"/>
          <w:sz w:val="24"/>
          <w:szCs w:val="24"/>
          <w:highlight w:val="none"/>
        </w:rPr>
        <w:t>(2)</w:t>
      </w:r>
      <w:bookmarkEnd w:id="42"/>
      <w:bookmarkEnd w:id="43"/>
      <w:bookmarkEnd w:id="44"/>
      <w:r>
        <w:rPr>
          <w:rFonts w:hint="eastAsia" w:ascii="宋体" w:hAnsi="宋体" w:eastAsia="宋体" w:cs="宋体"/>
          <w:color w:val="auto"/>
          <w:sz w:val="24"/>
          <w:szCs w:val="24"/>
          <w:highlight w:val="none"/>
        </w:rPr>
        <w:t xml:space="preserve"> 具有中华人民共和国国家质量监督检验检疫总局颁发的且在有效期的《中华人民共和国特种设备制造许可证》(电梯)（乘客电梯A级资质）或具有市场监督管理部门颁发且在有效期的《中华人民共和国特种设备生产许可证》｛许可项目：电梯制造〔含安装、修理、改造〕｝。</w:t>
      </w:r>
    </w:p>
    <w:p w14:paraId="65013A99">
      <w:pPr>
        <w:snapToGrid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sz w:val="24"/>
          <w:szCs w:val="24"/>
          <w:highlight w:val="none"/>
        </w:rPr>
        <w:t>(3) 具有有关质量监督检验部门颁发的且在有效期的《中华人民共和国特种设备安装改造修理（或维修）许可证》〔（电梯）安装、改造、修理（或维修）〕（乘客电梯A级及以上资质）或具有市场监督管理部门颁发且在有效期的《中华人民共和国特种设备生产许可证》｛许可项目：电梯制造〔含安装、修理、改造〕｝。（须提供有效的证书复印件并加盖供应商公章）</w:t>
      </w:r>
    </w:p>
    <w:p w14:paraId="1BCC556D">
      <w:pPr>
        <w:snapToGrid w:val="0"/>
        <w:spacing w:line="400" w:lineRule="exact"/>
        <w:ind w:firstLine="480" w:firstLineChars="200"/>
        <w:rPr>
          <w:rFonts w:ascii="宋体" w:hAnsi="宋体" w:eastAsia="宋体" w:cs="宋体"/>
          <w:color w:val="auto"/>
          <w:sz w:val="24"/>
          <w:szCs w:val="24"/>
          <w:highlight w:val="none"/>
        </w:rPr>
      </w:pPr>
      <w:bookmarkStart w:id="45" w:name="_Toc51057646"/>
      <w:bookmarkStart w:id="46" w:name="_Toc51056419"/>
      <w:bookmarkStart w:id="47" w:name="_Toc51057736"/>
      <w:r>
        <w:rPr>
          <w:rFonts w:hint="eastAsia" w:ascii="宋体" w:hAnsi="宋体" w:eastAsia="宋体" w:cs="宋体"/>
          <w:color w:val="auto"/>
          <w:sz w:val="24"/>
          <w:szCs w:val="24"/>
          <w:highlight w:val="none"/>
        </w:rPr>
        <w:t>2、代理供应商参加比选的必须具备以下资格：</w:t>
      </w:r>
      <w:bookmarkEnd w:id="45"/>
      <w:bookmarkEnd w:id="46"/>
      <w:bookmarkEnd w:id="47"/>
    </w:p>
    <w:p w14:paraId="1815E298">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（1）须在中华人民共和国境内合法注册的电梯安装企业，具有工商行政主管部门颁发的有效营业执照的电梯安装企业；</w:t>
      </w:r>
    </w:p>
    <w:p w14:paraId="3AEA6661">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（须提供有效的法人营业执照副本复印件并加盖供应商公章，原件备查。）</w:t>
      </w:r>
    </w:p>
    <w:p w14:paraId="263C73AD">
      <w:pPr>
        <w:snapToGrid w:val="0"/>
        <w:spacing w:line="400" w:lineRule="exact"/>
        <w:ind w:firstLine="480" w:firstLineChars="200"/>
        <w:rPr>
          <w:rFonts w:ascii="宋体" w:hAnsi="宋体" w:eastAsia="宋体" w:cs="宋体"/>
          <w:color w:val="auto"/>
          <w:sz w:val="24"/>
          <w:szCs w:val="24"/>
          <w:highlight w:val="none"/>
        </w:rPr>
      </w:pPr>
      <w:bookmarkStart w:id="48" w:name="_Toc51057647"/>
      <w:bookmarkStart w:id="49" w:name="_Toc51057737"/>
      <w:bookmarkStart w:id="50" w:name="_Toc51056420"/>
      <w:r>
        <w:rPr>
          <w:rFonts w:hint="eastAsia" w:ascii="宋体" w:hAnsi="宋体" w:eastAsia="宋体" w:cs="宋体"/>
          <w:color w:val="auto"/>
          <w:sz w:val="24"/>
          <w:szCs w:val="24"/>
          <w:highlight w:val="none"/>
        </w:rPr>
        <w:t>（2）取得电梯生产制造商针对本项目所投</w:t>
      </w:r>
      <w:r>
        <w:rPr>
          <w:rFonts w:hint="eastAsia" w:ascii="宋体" w:hAnsi="宋体" w:cs="宋体"/>
          <w:color w:val="auto"/>
          <w:sz w:val="24"/>
          <w:szCs w:val="24"/>
          <w:highlight w:val="none"/>
          <w:lang w:val="en-US" w:eastAsia="zh-CN"/>
        </w:rPr>
        <w:t>品牌及</w:t>
      </w:r>
      <w:r>
        <w:rPr>
          <w:rFonts w:hint="eastAsia" w:ascii="宋体" w:hAnsi="宋体" w:eastAsia="宋体" w:cs="宋体"/>
          <w:color w:val="auto"/>
          <w:sz w:val="24"/>
          <w:szCs w:val="24"/>
          <w:highlight w:val="none"/>
        </w:rPr>
        <w:t>产品的唯一授权，对其授权的生产制造商必须满足生产制造商独立投标的资格条件（即特定资格条件第１条）；</w:t>
      </w:r>
      <w:bookmarkEnd w:id="48"/>
      <w:bookmarkEnd w:id="49"/>
      <w:bookmarkEnd w:id="50"/>
    </w:p>
    <w:p w14:paraId="03995999">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生产制造商针对本项目所投所投产品的的唯一授权资料的复印件，原件备查；须提供供应商品牌生产制造商独立比选所需的全部资格审查资料的复印件（即特定资格条件第１条）。上述复印件均需同时加盖生产制造商公章和代理供应商公章。〕</w:t>
      </w:r>
    </w:p>
    <w:p w14:paraId="5E82647C">
      <w:pPr>
        <w:numPr>
          <w:ilvl w:val="0"/>
          <w:numId w:val="1"/>
        </w:num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有有关质量监督检验部门颁发的且在有效期的《中华人民共和国特种设备安装改造修理（或维修）许可证》〔（电梯）安装、改造、修理（或维修）〕（乘客电梯A级及以上资质）或具有市场监督管理部门颁发且在有效期的《中华人民共和国特种设备生产许可证》｛许可项目：电梯安装（含修理）｝。</w:t>
      </w:r>
    </w:p>
    <w:p w14:paraId="3AEC579D">
      <w:pPr>
        <w:numPr>
          <w:ilvl w:val="0"/>
          <w:numId w:val="0"/>
        </w:num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所投电梯</w:t>
      </w:r>
      <w:r>
        <w:rPr>
          <w:rFonts w:hint="eastAsia" w:ascii="宋体" w:hAnsi="宋体" w:eastAsia="宋体" w:cs="宋体"/>
          <w:color w:val="auto"/>
          <w:sz w:val="24"/>
          <w:szCs w:val="24"/>
          <w:highlight w:val="none"/>
          <w:lang w:val="en-US" w:eastAsia="zh-CN"/>
        </w:rPr>
        <w:t>限定如下</w:t>
      </w:r>
      <w:r>
        <w:rPr>
          <w:rFonts w:hint="eastAsia" w:ascii="宋体" w:hAnsi="宋体" w:eastAsia="宋体" w:cs="宋体"/>
          <w:color w:val="auto"/>
          <w:sz w:val="24"/>
          <w:szCs w:val="24"/>
          <w:highlight w:val="none"/>
        </w:rPr>
        <w:t>品牌：</w:t>
      </w:r>
      <w:r>
        <w:rPr>
          <w:rFonts w:hint="eastAsia" w:ascii="宋体" w:hAnsi="宋体" w:eastAsia="宋体" w:cs="宋体"/>
          <w:color w:val="auto"/>
          <w:sz w:val="24"/>
          <w:szCs w:val="24"/>
          <w:highlight w:val="none"/>
          <w:lang w:val="en-US" w:eastAsia="zh-CN"/>
        </w:rPr>
        <w:t>康力、广日、快意、西奥、三菱、奥的斯、日立、通力、富士达、东芝、西子、蒂升、迅达。</w:t>
      </w:r>
    </w:p>
    <w:p w14:paraId="56029019">
      <w:pPr>
        <w:numPr>
          <w:ilvl w:val="0"/>
          <w:numId w:val="2"/>
        </w:numPr>
        <w:snapToGrid w:val="0"/>
        <w:spacing w:line="400" w:lineRule="exact"/>
        <w:outlineLvl w:val="2"/>
        <w:rPr>
          <w:rFonts w:ascii="宋体" w:hAnsi="宋体" w:eastAsia="宋体" w:cs="宋体"/>
          <w:b/>
          <w:bCs/>
          <w:color w:val="auto"/>
          <w:sz w:val="24"/>
          <w:szCs w:val="24"/>
          <w:highlight w:val="none"/>
        </w:rPr>
      </w:pPr>
      <w:bookmarkStart w:id="51" w:name="_Toc15162"/>
      <w:r>
        <w:rPr>
          <w:rFonts w:hint="eastAsia" w:ascii="宋体" w:hAnsi="宋体" w:eastAsia="宋体" w:cs="宋体"/>
          <w:b/>
          <w:bCs/>
          <w:color w:val="auto"/>
          <w:sz w:val="24"/>
          <w:szCs w:val="24"/>
          <w:highlight w:val="none"/>
        </w:rPr>
        <w:t>询比有关说明</w:t>
      </w:r>
      <w:bookmarkEnd w:id="14"/>
      <w:bookmarkEnd w:id="27"/>
      <w:bookmarkEnd w:id="28"/>
      <w:bookmarkEnd w:id="37"/>
      <w:bookmarkEnd w:id="38"/>
      <w:bookmarkEnd w:id="51"/>
      <w:bookmarkStart w:id="52" w:name="_Toc88830797"/>
      <w:bookmarkStart w:id="53" w:name="_Toc1411"/>
      <w:bookmarkStart w:id="54" w:name="_Toc31116"/>
      <w:bookmarkStart w:id="55" w:name="_Toc47094764"/>
      <w:bookmarkStart w:id="56" w:name="_Toc19890"/>
      <w:bookmarkStart w:id="57" w:name="_Toc373860294"/>
    </w:p>
    <w:p w14:paraId="2BD09CEF">
      <w:pPr>
        <w:numPr>
          <w:ilvl w:val="0"/>
          <w:numId w:val="3"/>
        </w:numPr>
        <w:snapToGrid w:val="0"/>
        <w:spacing w:line="4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报名</w:t>
      </w:r>
      <w:bookmarkEnd w:id="52"/>
      <w:bookmarkEnd w:id="53"/>
      <w:bookmarkEnd w:id="54"/>
      <w:r>
        <w:rPr>
          <w:rFonts w:hint="eastAsia" w:ascii="宋体" w:hAnsi="宋体" w:eastAsia="宋体" w:cs="宋体"/>
          <w:color w:val="auto"/>
          <w:sz w:val="24"/>
          <w:szCs w:val="24"/>
          <w:highlight w:val="none"/>
        </w:rPr>
        <w:t>：请满足资格条件的供应商在询比公告发布之日（2025年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日）起5个工作日内，每日上午09:00至12:00，下午14:00至17:00（北京时间），</w:t>
      </w:r>
      <w:r>
        <w:rPr>
          <w:rFonts w:hint="eastAsia" w:ascii="宋体" w:hAnsi="宋体" w:cs="宋体"/>
          <w:color w:val="auto"/>
          <w:sz w:val="24"/>
          <w:szCs w:val="24"/>
          <w:highlight w:val="none"/>
          <w:lang w:val="en-US" w:eastAsia="zh-CN"/>
        </w:rPr>
        <w:t>将</w:t>
      </w:r>
      <w:r>
        <w:rPr>
          <w:rFonts w:hint="eastAsia" w:ascii="宋体" w:hAnsi="宋体" w:eastAsia="宋体" w:cs="宋体"/>
          <w:color w:val="auto"/>
          <w:sz w:val="24"/>
          <w:szCs w:val="24"/>
          <w:highlight w:val="none"/>
        </w:rPr>
        <w:t>单位营业执照（复印件加盖公章）、电梯生产制造商针对本项目所投产品的唯一授权书（复印件加盖公章）、介绍信（或授权委托书原件）、身份证复印件和文件发售登记表（加盖公章），</w:t>
      </w:r>
      <w:r>
        <w:rPr>
          <w:rFonts w:hint="eastAsia" w:ascii="宋体" w:hAnsi="宋体" w:cs="宋体"/>
          <w:color w:val="auto"/>
          <w:sz w:val="24"/>
          <w:szCs w:val="24"/>
          <w:highlight w:val="none"/>
          <w:lang w:val="en-US" w:eastAsia="zh-CN"/>
        </w:rPr>
        <w:t>报名邮箱：750321890@qq.com，咨询电话：63302437。</w:t>
      </w:r>
    </w:p>
    <w:p w14:paraId="7CB97B4A">
      <w:pPr>
        <w:snapToGrid w:val="0"/>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注:未按上述要求报名的供应商不能参与本项目询比。</w:t>
      </w:r>
    </w:p>
    <w:p w14:paraId="1CE67824">
      <w:pPr>
        <w:spacing w:line="3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（二）询比公告期限：自询比公告发布之日（2025年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rPr>
        <w:t>日）起7个日历日。（发布媒体：行采家www.gec123.com）</w:t>
      </w:r>
    </w:p>
    <w:p w14:paraId="0471F200">
      <w:pPr>
        <w:spacing w:line="38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（三）询比文件售价：人民币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00元/份（报名及获取询比资料时现金或银行转账缴纳，售后不退）。 </w:t>
      </w:r>
    </w:p>
    <w:p w14:paraId="4B0B735C">
      <w:pPr>
        <w:spacing w:line="400" w:lineRule="exact"/>
        <w:ind w:firstLine="480" w:firstLineChars="200"/>
        <w:rPr>
          <w:rFonts w:hint="eastAsia" w:ascii="宋体" w:hAnsi="宋体" w:eastAsia="宋体" w:cs="宋体"/>
          <w:color w:val="auto"/>
          <w:sz w:val="24"/>
          <w:szCs w:val="24"/>
          <w:highlight w:val="none"/>
          <w:u w:val="single"/>
        </w:rPr>
      </w:pPr>
      <w:bookmarkStart w:id="58" w:name="_Toc88830798"/>
      <w:bookmarkStart w:id="59" w:name="_Toc29760"/>
      <w:bookmarkStart w:id="60" w:name="_Toc9920"/>
      <w:r>
        <w:rPr>
          <w:rFonts w:hint="eastAsia" w:ascii="宋体" w:hAnsi="宋体" w:eastAsia="宋体" w:cs="宋体"/>
          <w:color w:val="auto"/>
          <w:sz w:val="24"/>
          <w:szCs w:val="24"/>
          <w:highlight w:val="none"/>
        </w:rPr>
        <w:t>（四）</w:t>
      </w:r>
      <w:bookmarkEnd w:id="58"/>
      <w:bookmarkEnd w:id="59"/>
      <w:bookmarkEnd w:id="60"/>
      <w:r>
        <w:rPr>
          <w:rFonts w:hint="eastAsia" w:ascii="宋体" w:hAnsi="宋体" w:eastAsia="宋体" w:cs="宋体"/>
          <w:color w:val="auto"/>
          <w:sz w:val="24"/>
          <w:szCs w:val="24"/>
          <w:highlight w:val="none"/>
        </w:rPr>
        <w:t>询比响应文件递交时间2025年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:00-</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:30，递交地点为：</w:t>
      </w:r>
      <w:r>
        <w:rPr>
          <w:rFonts w:hint="eastAsia" w:ascii="宋体" w:hAnsi="宋体" w:eastAsia="宋体" w:cs="宋体"/>
          <w:color w:val="auto"/>
          <w:sz w:val="24"/>
          <w:szCs w:val="24"/>
          <w:highlight w:val="none"/>
          <w:u w:val="single"/>
          <w:lang w:val="en-US" w:eastAsia="zh-CN"/>
        </w:rPr>
        <w:t>荣昌区昌元街道玉屏社区居委会二楼会议室，地址：荣昌区昌元街道南大街45号</w:t>
      </w:r>
      <w:r>
        <w:rPr>
          <w:rFonts w:hint="eastAsia" w:ascii="宋体" w:hAnsi="宋体" w:eastAsia="宋体" w:cs="宋体"/>
          <w:color w:val="auto"/>
          <w:sz w:val="24"/>
          <w:szCs w:val="24"/>
          <w:highlight w:val="none"/>
          <w:u w:val="single"/>
        </w:rPr>
        <w:t>。</w:t>
      </w:r>
    </w:p>
    <w:p w14:paraId="2CDDB716">
      <w:pPr>
        <w:spacing w:line="3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注:逾期送达或者未送达指定地点的询比申请文件，不予受理。</w:t>
      </w:r>
    </w:p>
    <w:p w14:paraId="74DE1016">
      <w:pPr>
        <w:spacing w:line="380" w:lineRule="exact"/>
        <w:ind w:left="238" w:leftChars="8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（五）询比开始时间：2025年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:30,询比地点</w:t>
      </w:r>
      <w:r>
        <w:rPr>
          <w:rFonts w:hint="eastAsia" w:ascii="宋体" w:hAnsi="宋体" w:eastAsia="宋体" w:cs="宋体"/>
          <w:color w:val="auto"/>
          <w:sz w:val="24"/>
          <w:szCs w:val="24"/>
          <w:highlight w:val="none"/>
          <w:lang w:val="en-US" w:eastAsia="zh-CN"/>
        </w:rPr>
        <w:t>：荣昌区昌元街道玉屏社区居委会二楼会议室，地址：荣昌区昌元街道南大街45号。</w:t>
      </w:r>
    </w:p>
    <w:p w14:paraId="5196DB55">
      <w:pPr>
        <w:pStyle w:val="2"/>
        <w:spacing w:line="380" w:lineRule="exact"/>
        <w:rPr>
          <w:rFonts w:ascii="宋体" w:hAnsi="宋体" w:eastAsia="宋体" w:cs="宋体"/>
          <w:color w:val="auto"/>
          <w:sz w:val="24"/>
          <w:szCs w:val="24"/>
          <w:highlight w:val="none"/>
        </w:rPr>
      </w:pPr>
      <w:bookmarkStart w:id="61" w:name="_Toc14398"/>
      <w:bookmarkStart w:id="62" w:name="_Toc13712"/>
      <w:bookmarkStart w:id="63" w:name="_Toc25759"/>
      <w:r>
        <w:rPr>
          <w:rFonts w:hint="eastAsia" w:ascii="宋体" w:hAnsi="宋体" w:eastAsia="宋体" w:cs="宋体"/>
          <w:color w:val="auto"/>
          <w:sz w:val="24"/>
          <w:szCs w:val="24"/>
          <w:highlight w:val="none"/>
        </w:rPr>
        <w:t>五、询比保证金</w:t>
      </w:r>
      <w:bookmarkEnd w:id="55"/>
      <w:bookmarkEnd w:id="56"/>
      <w:bookmarkEnd w:id="57"/>
      <w:bookmarkEnd w:id="61"/>
      <w:bookmarkEnd w:id="62"/>
      <w:bookmarkEnd w:id="63"/>
    </w:p>
    <w:bookmarkEnd w:id="15"/>
    <w:p w14:paraId="3F46C128">
      <w:pPr>
        <w:spacing w:line="380" w:lineRule="exact"/>
        <w:ind w:firstLine="480" w:firstLineChars="200"/>
        <w:rPr>
          <w:rFonts w:ascii="宋体" w:hAnsi="宋体" w:eastAsia="宋体" w:cs="宋体"/>
          <w:color w:val="auto"/>
          <w:sz w:val="24"/>
          <w:szCs w:val="24"/>
          <w:highlight w:val="none"/>
        </w:rPr>
      </w:pPr>
      <w:bookmarkStart w:id="64" w:name="_Toc23972"/>
      <w:bookmarkStart w:id="65" w:name="_Toc47094766"/>
      <w:r>
        <w:rPr>
          <w:rFonts w:hint="eastAsia" w:ascii="宋体" w:hAnsi="宋体" w:eastAsia="宋体" w:cs="宋体"/>
          <w:color w:val="auto"/>
          <w:sz w:val="24"/>
          <w:szCs w:val="24"/>
          <w:highlight w:val="none"/>
        </w:rPr>
        <w:t>1、供应商应足额交纳询比保证金人民币</w:t>
      </w:r>
      <w:r>
        <w:rPr>
          <w:rFonts w:hint="default"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22400</w:t>
      </w:r>
      <w:r>
        <w:rPr>
          <w:rFonts w:hint="eastAsia" w:ascii="宋体" w:hAnsi="宋体" w:eastAsia="宋体" w:cs="宋体"/>
          <w:color w:val="auto"/>
          <w:sz w:val="24"/>
          <w:szCs w:val="24"/>
          <w:highlight w:val="none"/>
        </w:rPr>
        <w:t>元（大写</w:t>
      </w:r>
      <w:r>
        <w:rPr>
          <w:rFonts w:hint="default"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贰万贰仟肆佰</w:t>
      </w:r>
      <w:r>
        <w:rPr>
          <w:rFonts w:hint="default" w:ascii="宋体" w:hAnsi="宋体" w:cs="宋体"/>
          <w:color w:val="auto"/>
          <w:sz w:val="24"/>
          <w:szCs w:val="24"/>
          <w:highlight w:val="none"/>
          <w:lang w:val="en-US"/>
        </w:rPr>
        <w:t>元</w:t>
      </w:r>
      <w:r>
        <w:rPr>
          <w:rFonts w:hint="eastAsia" w:ascii="宋体" w:hAnsi="宋体" w:eastAsia="宋体" w:cs="宋体"/>
          <w:color w:val="auto"/>
          <w:sz w:val="24"/>
          <w:szCs w:val="24"/>
          <w:highlight w:val="none"/>
        </w:rPr>
        <w:t>整），缴纳方式：银行转帐。缴纳截止时间：2025年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29 </w:t>
      </w:r>
      <w:r>
        <w:rPr>
          <w:rFonts w:hint="eastAsia" w:ascii="宋体" w:hAnsi="宋体" w:eastAsia="宋体" w:cs="宋体"/>
          <w:color w:val="auto"/>
          <w:sz w:val="24"/>
          <w:szCs w:val="24"/>
          <w:highlight w:val="none"/>
        </w:rPr>
        <w:t>日17时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0分。</w:t>
      </w:r>
    </w:p>
    <w:p w14:paraId="74E0006D">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2、供应商自行将询比保证金单据同询比申请文件一并提交，供应商未按时足额提交招询比保证金，视为自动放弃询比。</w:t>
      </w:r>
    </w:p>
    <w:p w14:paraId="67EEC71A">
      <w:pPr>
        <w:spacing w:line="380" w:lineRule="exact"/>
        <w:ind w:firstLine="480" w:firstLineChars="200"/>
        <w:outlineLvl w:val="9"/>
        <w:rPr>
          <w:rFonts w:ascii="宋体" w:hAnsi="宋体" w:eastAsia="宋体" w:cs="宋体"/>
          <w:color w:val="auto"/>
          <w:sz w:val="24"/>
          <w:szCs w:val="24"/>
          <w:highlight w:val="none"/>
        </w:rPr>
      </w:pPr>
      <w:bookmarkStart w:id="66" w:name="_Toc7338"/>
      <w:bookmarkStart w:id="67" w:name="_Toc18482"/>
      <w:bookmarkStart w:id="68" w:name="_Toc1648"/>
      <w:bookmarkStart w:id="69" w:name="_Toc22777"/>
      <w:r>
        <w:rPr>
          <w:rFonts w:hint="eastAsia" w:ascii="宋体" w:hAnsi="宋体" w:eastAsia="宋体" w:cs="宋体"/>
          <w:color w:val="auto"/>
          <w:sz w:val="24"/>
          <w:szCs w:val="24"/>
          <w:highlight w:val="none"/>
        </w:rPr>
        <w:t>3、询比保证金退还（不计息）：</w:t>
      </w:r>
      <w:bookmarkEnd w:id="66"/>
      <w:bookmarkEnd w:id="67"/>
      <w:bookmarkEnd w:id="68"/>
      <w:bookmarkEnd w:id="69"/>
    </w:p>
    <w:p w14:paraId="7550DEA5">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除成交候选人以外单位</w:t>
      </w:r>
      <w:r>
        <w:rPr>
          <w:rFonts w:hint="eastAsia" w:ascii="宋体" w:hAnsi="宋体" w:eastAsia="宋体" w:cs="宋体"/>
          <w:color w:val="auto"/>
          <w:sz w:val="24"/>
          <w:szCs w:val="24"/>
          <w:highlight w:val="none"/>
        </w:rPr>
        <w:t>的询比保证金，在成交通知书发放后，代理机构5个工作日内按来款渠道直接退还。</w:t>
      </w:r>
    </w:p>
    <w:bookmarkEnd w:id="64"/>
    <w:bookmarkEnd w:id="65"/>
    <w:p w14:paraId="5D186806">
      <w:pPr>
        <w:spacing w:line="400" w:lineRule="exact"/>
        <w:ind w:firstLine="480" w:firstLineChars="200"/>
        <w:rPr>
          <w:rFonts w:hint="eastAsia" w:ascii="宋体" w:hAnsi="宋体" w:eastAsia="宋体" w:cs="宋体"/>
          <w:color w:val="auto"/>
          <w:sz w:val="24"/>
          <w:szCs w:val="24"/>
          <w:highlight w:val="none"/>
        </w:rPr>
      </w:pPr>
      <w:bookmarkStart w:id="70" w:name="_Toc19057"/>
      <w:bookmarkStart w:id="71" w:name="_Toc10769"/>
      <w:bookmarkStart w:id="72" w:name="_Toc11942"/>
      <w:bookmarkStart w:id="73" w:name="_Toc26922"/>
      <w:bookmarkStart w:id="74" w:name="_Toc47094767"/>
      <w:r>
        <w:rPr>
          <w:rFonts w:hint="eastAsia" w:ascii="宋体" w:hAnsi="宋体" w:eastAsia="宋体" w:cs="宋体"/>
          <w:color w:val="auto"/>
          <w:sz w:val="24"/>
          <w:szCs w:val="24"/>
          <w:highlight w:val="none"/>
        </w:rPr>
        <w:t>（2）成交供应商的询比保证金，在成交供应商与采购人签订合同后，代理机构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日内按资金来款渠道直接退还。</w:t>
      </w:r>
    </w:p>
    <w:p w14:paraId="3021F07D">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（3）排名前三供应商的</w:t>
      </w:r>
      <w:r>
        <w:rPr>
          <w:rFonts w:hint="eastAsia" w:ascii="宋体" w:hAnsi="宋体" w:eastAsia="宋体" w:cs="宋体"/>
          <w:color w:val="auto"/>
          <w:sz w:val="24"/>
          <w:szCs w:val="24"/>
          <w:highlight w:val="none"/>
        </w:rPr>
        <w:t>询比保证金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在采购人完成合同签订后5日内退还。</w:t>
      </w:r>
    </w:p>
    <w:p w14:paraId="18617EEB">
      <w:pPr>
        <w:pStyle w:val="2"/>
        <w:spacing w:line="380" w:lineRule="exact"/>
        <w:rPr>
          <w:rFonts w:ascii="宋体" w:hAnsi="宋体" w:eastAsia="宋体" w:cs="宋体"/>
          <w:color w:val="auto"/>
          <w:sz w:val="24"/>
          <w:szCs w:val="24"/>
          <w:highlight w:val="none"/>
        </w:rPr>
      </w:pPr>
      <w:bookmarkStart w:id="75" w:name="_Toc4043"/>
      <w:bookmarkStart w:id="76" w:name="_Toc9319"/>
      <w:r>
        <w:rPr>
          <w:rFonts w:hint="eastAsia" w:ascii="宋体" w:hAnsi="宋体" w:eastAsia="宋体" w:cs="宋体"/>
          <w:color w:val="auto"/>
          <w:sz w:val="24"/>
          <w:szCs w:val="24"/>
          <w:highlight w:val="none"/>
        </w:rPr>
        <w:t>六、</w:t>
      </w:r>
      <w:bookmarkEnd w:id="70"/>
      <w:bookmarkEnd w:id="71"/>
      <w:bookmarkEnd w:id="72"/>
      <w:bookmarkEnd w:id="75"/>
      <w:r>
        <w:rPr>
          <w:rFonts w:hint="eastAsia" w:ascii="宋体" w:hAnsi="宋体" w:eastAsia="宋体" w:cs="宋体"/>
          <w:color w:val="auto"/>
          <w:sz w:val="24"/>
          <w:szCs w:val="24"/>
          <w:highlight w:val="none"/>
        </w:rPr>
        <w:t>采购代理服务费</w:t>
      </w:r>
      <w:bookmarkEnd w:id="76"/>
    </w:p>
    <w:p w14:paraId="70597B51">
      <w:pPr>
        <w:spacing w:line="38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固定金额收取，金额5000元</w:t>
      </w:r>
      <w:r>
        <w:rPr>
          <w:rFonts w:hint="eastAsia" w:ascii="宋体" w:hAnsi="宋体" w:eastAsia="宋体" w:cs="宋体"/>
          <w:color w:val="auto"/>
          <w:sz w:val="24"/>
          <w:szCs w:val="24"/>
          <w:highlight w:val="none"/>
        </w:rPr>
        <w:t>。由成交供应商领取成交通知书时一次性支付给代理机构。</w:t>
      </w:r>
    </w:p>
    <w:p w14:paraId="52F1BE89">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询比保证金、采购文件购买费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采购代理服务费</w:t>
      </w:r>
      <w:r>
        <w:rPr>
          <w:rFonts w:hint="eastAsia" w:ascii="宋体" w:hAnsi="宋体" w:eastAsia="宋体" w:cs="宋体"/>
          <w:color w:val="auto"/>
          <w:sz w:val="24"/>
          <w:szCs w:val="24"/>
          <w:highlight w:val="none"/>
        </w:rPr>
        <w:t>缴纳账户：</w:t>
      </w:r>
    </w:p>
    <w:p w14:paraId="6E3CFA71">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开户名称：</w:t>
      </w:r>
      <w:r>
        <w:rPr>
          <w:rFonts w:hint="eastAsia" w:ascii="宋体" w:hAnsi="宋体" w:cs="宋体"/>
          <w:color w:val="auto"/>
          <w:sz w:val="24"/>
          <w:highlight w:val="none"/>
          <w:lang w:eastAsia="zh-CN"/>
        </w:rPr>
        <w:t>重庆星佩企业管理咨询有限公司</w:t>
      </w:r>
    </w:p>
    <w:p w14:paraId="5CF5EF1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开户行：中国银行股份有限公司重庆洋河支行</w:t>
      </w:r>
    </w:p>
    <w:p w14:paraId="58CD2769">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highlight w:val="none"/>
        </w:rPr>
        <w:t>账号：110273473234</w:t>
      </w:r>
    </w:p>
    <w:p w14:paraId="634B6B62">
      <w:pPr>
        <w:pStyle w:val="2"/>
        <w:spacing w:line="380" w:lineRule="exact"/>
        <w:rPr>
          <w:rFonts w:ascii="宋体" w:hAnsi="宋体" w:eastAsia="宋体" w:cs="宋体"/>
          <w:color w:val="auto"/>
          <w:sz w:val="24"/>
          <w:szCs w:val="24"/>
          <w:highlight w:val="none"/>
        </w:rPr>
      </w:pPr>
      <w:bookmarkStart w:id="77" w:name="_Toc9019"/>
      <w:bookmarkStart w:id="78" w:name="_Toc17108"/>
      <w:bookmarkStart w:id="79" w:name="_Toc30964"/>
      <w:bookmarkStart w:id="80" w:name="_Toc27432"/>
      <w:r>
        <w:rPr>
          <w:rFonts w:hint="eastAsia" w:ascii="宋体" w:hAnsi="宋体" w:eastAsia="宋体" w:cs="宋体"/>
          <w:color w:val="auto"/>
          <w:sz w:val="24"/>
          <w:szCs w:val="24"/>
          <w:highlight w:val="none"/>
        </w:rPr>
        <w:t>七、联系方式</w:t>
      </w:r>
      <w:bookmarkEnd w:id="73"/>
      <w:bookmarkEnd w:id="74"/>
      <w:bookmarkEnd w:id="77"/>
      <w:bookmarkEnd w:id="78"/>
      <w:bookmarkEnd w:id="79"/>
      <w:bookmarkEnd w:id="80"/>
    </w:p>
    <w:p w14:paraId="12A333CB">
      <w:pPr>
        <w:snapToGrid w:val="0"/>
        <w:spacing w:line="380" w:lineRule="exact"/>
        <w:ind w:firstLine="480" w:firstLineChars="200"/>
        <w:rPr>
          <w:rFonts w:ascii="宋体" w:hAnsi="宋体" w:eastAsia="宋体" w:cs="宋体"/>
          <w:color w:val="auto"/>
          <w:sz w:val="24"/>
          <w:szCs w:val="24"/>
          <w:highlight w:val="none"/>
        </w:rPr>
      </w:pPr>
      <w:bookmarkStart w:id="81" w:name="_Toc4894"/>
      <w:bookmarkStart w:id="82" w:name="_Toc22296"/>
      <w:bookmarkStart w:id="83" w:name="_Toc29063"/>
      <w:bookmarkStart w:id="84" w:name="_Toc6584"/>
      <w:r>
        <w:rPr>
          <w:rFonts w:hint="eastAsia" w:ascii="宋体" w:hAnsi="宋体" w:eastAsia="宋体" w:cs="宋体"/>
          <w:color w:val="auto"/>
          <w:sz w:val="24"/>
          <w:szCs w:val="24"/>
          <w:highlight w:val="none"/>
        </w:rPr>
        <w:t>（一）</w:t>
      </w:r>
      <w:bookmarkEnd w:id="81"/>
      <w:bookmarkEnd w:id="82"/>
      <w:bookmarkEnd w:id="83"/>
      <w:bookmarkEnd w:id="84"/>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荣昌拓新上河城12栋电梯更换筹备组</w:t>
      </w:r>
      <w:r>
        <w:rPr>
          <w:rFonts w:hint="eastAsia" w:ascii="宋体" w:hAnsi="宋体" w:eastAsia="宋体" w:cs="宋体"/>
          <w:color w:val="auto"/>
          <w:sz w:val="24"/>
          <w:szCs w:val="24"/>
          <w:highlight w:val="none"/>
        </w:rPr>
        <w:tab/>
      </w:r>
    </w:p>
    <w:p w14:paraId="598BC129">
      <w:pPr>
        <w:snapToGrid w:val="0"/>
        <w:spacing w:line="380" w:lineRule="exact"/>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谢</w:t>
      </w:r>
      <w:r>
        <w:rPr>
          <w:rFonts w:hint="eastAsia" w:ascii="宋体" w:hAnsi="宋体" w:cs="宋体"/>
          <w:color w:val="auto"/>
          <w:sz w:val="24"/>
          <w:szCs w:val="24"/>
          <w:highlight w:val="none"/>
          <w:lang w:eastAsia="zh-CN"/>
        </w:rPr>
        <w:t>老师</w:t>
      </w:r>
    </w:p>
    <w:p w14:paraId="0931C7FC">
      <w:pPr>
        <w:snapToGrid w:val="0"/>
        <w:spacing w:line="38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18723454232</w:t>
      </w:r>
    </w:p>
    <w:p w14:paraId="1F36C85D">
      <w:pPr>
        <w:snapToGrid w:val="0"/>
        <w:spacing w:line="380" w:lineRule="exact"/>
        <w:ind w:firstLine="480" w:firstLineChars="200"/>
        <w:outlineLvl w:val="9"/>
        <w:rPr>
          <w:rFonts w:hint="eastAsia" w:ascii="宋体" w:hAnsi="宋体" w:eastAsia="宋体" w:cs="宋体"/>
          <w:color w:val="auto"/>
          <w:sz w:val="24"/>
          <w:szCs w:val="24"/>
          <w:highlight w:val="none"/>
          <w:lang w:eastAsia="zh-CN"/>
        </w:rPr>
      </w:pPr>
      <w:bookmarkStart w:id="85" w:name="_Toc28511"/>
      <w:bookmarkStart w:id="86" w:name="_Toc12533"/>
      <w:bookmarkStart w:id="87" w:name="_Toc21457"/>
      <w:bookmarkStart w:id="88" w:name="_Toc31665"/>
      <w:r>
        <w:rPr>
          <w:rFonts w:hint="eastAsia" w:ascii="宋体" w:hAnsi="宋体" w:eastAsia="宋体" w:cs="宋体"/>
          <w:color w:val="auto"/>
          <w:sz w:val="24"/>
          <w:szCs w:val="24"/>
          <w:highlight w:val="none"/>
        </w:rPr>
        <w:t>（二）采购代理机构：</w:t>
      </w:r>
      <w:bookmarkEnd w:id="85"/>
      <w:bookmarkEnd w:id="86"/>
      <w:bookmarkEnd w:id="87"/>
      <w:bookmarkEnd w:id="88"/>
      <w:r>
        <w:rPr>
          <w:rFonts w:hint="eastAsia" w:ascii="宋体" w:hAnsi="宋体" w:cs="宋体"/>
          <w:color w:val="auto"/>
          <w:sz w:val="24"/>
          <w:szCs w:val="24"/>
          <w:highlight w:val="none"/>
          <w:lang w:eastAsia="zh-CN"/>
        </w:rPr>
        <w:t>重庆星佩企业管理咨询有限公司</w:t>
      </w:r>
    </w:p>
    <w:p w14:paraId="012E77DD">
      <w:pPr>
        <w:snapToGrid w:val="0"/>
        <w:spacing w:line="380" w:lineRule="exact"/>
        <w:ind w:firstLine="1200" w:firstLineChars="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杨</w:t>
      </w:r>
      <w:r>
        <w:rPr>
          <w:rFonts w:hint="eastAsia" w:ascii="宋体" w:hAnsi="宋体" w:eastAsia="宋体" w:cs="宋体"/>
          <w:color w:val="auto"/>
          <w:sz w:val="24"/>
          <w:szCs w:val="24"/>
          <w:highlight w:val="none"/>
        </w:rPr>
        <w:t>老师</w:t>
      </w:r>
    </w:p>
    <w:p w14:paraId="4FF49F1D">
      <w:pPr>
        <w:snapToGrid w:val="0"/>
        <w:spacing w:line="38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15923301437</w:t>
      </w:r>
    </w:p>
    <w:p w14:paraId="06398406">
      <w:r>
        <w:rPr>
          <w:rFonts w:hint="eastAsia" w:ascii="宋体" w:hAnsi="宋体" w:eastAsia="宋体" w:cs="宋体"/>
          <w:color w:val="auto"/>
          <w:sz w:val="24"/>
          <w:szCs w:val="24"/>
          <w:highlight w:val="none"/>
        </w:rPr>
        <w:t>地  址：重庆市渝中区双钢路3号19楼1901号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06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F07E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AF07E9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abstractNum w:abstractNumId="2">
    <w:nsid w:val="00000004"/>
    <w:multiLevelType w:val="singleLevel"/>
    <w:tmpl w:val="00000004"/>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B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3"/>
    <w:basedOn w:val="1"/>
    <w:next w:val="1"/>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2025-12-23T08:42:05Z</dcterms:created>
  <dc:creator>Administrator</dc:creator>
  <cp:lastModifiedBy>小燕子</cp:lastModifiedBy>
  <dcterms:modified xsi:type="dcterms:W3CDTF">2025-12-23T08:43:43Z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eyJoZGlkIjoiYTUwNjMwNGU0ODVkMGMyZjc5NmNhZDJlZmU5Njg5NTgiLCJ1c2VySWQiOiI0NDcxNzc4ODYifQ==</vt:lpwstr>
  </property>
  <property fmtid="{D5CDD505-2E9C-101B-9397-08002B2CF9AE}" pid="4" name="ICV">
    <vt:lpwstr>01BF443A54204931B9687E0A25B61CA4_12</vt:lpwstr>
  </property>
</Properties>
</file>